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3.xml" ContentType="application/vnd.openxmlformats-officedocument.wordprocessingml.header+xml"/>
  <Override PartName="/word/footer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4F2ED" w14:textId="77777777" w:rsidR="006D48B0" w:rsidRDefault="006D48B0" w:rsidP="00AD44F8">
      <w:pPr>
        <w:rPr>
          <w:rFonts w:ascii="Arial" w:hAnsi="Arial" w:cs="Arial"/>
          <w:szCs w:val="24"/>
        </w:rPr>
      </w:pPr>
    </w:p>
    <w:p w14:paraId="1934970A" w14:textId="77777777" w:rsidR="006C6A98" w:rsidRPr="005C2DE7" w:rsidRDefault="006C6A98" w:rsidP="00AD44F8">
      <w:pPr>
        <w:rPr>
          <w:rFonts w:ascii="Arial" w:hAnsi="Arial" w:cs="Arial"/>
          <w:szCs w:val="24"/>
        </w:rPr>
      </w:pPr>
    </w:p>
    <w:p w14:paraId="11930BF0"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513DBD98"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489F4E07"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22814C45" w14:textId="77777777" w:rsidR="00C7146E" w:rsidRPr="00A76E3D" w:rsidRDefault="00C7146E" w:rsidP="00A97183">
      <w:pPr>
        <w:pStyle w:val="Ttuloprincipal"/>
        <w:tabs>
          <w:tab w:val="left" w:pos="1701"/>
          <w:tab w:val="left" w:pos="3119"/>
        </w:tabs>
        <w:jc w:val="left"/>
        <w:rPr>
          <w:rFonts w:ascii="Arial" w:hAnsi="Arial" w:cs="Arial"/>
          <w:szCs w:val="24"/>
          <w:lang w:val="es-ES"/>
        </w:rPr>
      </w:pPr>
    </w:p>
    <w:p w14:paraId="5557B1DB"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204F00A4"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11D86481"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359462EF" w14:textId="77777777" w:rsidR="00C7146E" w:rsidRPr="00A76E3D" w:rsidRDefault="00C7146E">
      <w:pPr>
        <w:pStyle w:val="Ttuloprincipal"/>
        <w:tabs>
          <w:tab w:val="left" w:pos="1701"/>
          <w:tab w:val="left" w:pos="3119"/>
        </w:tabs>
        <w:ind w:left="2127" w:hanging="142"/>
        <w:rPr>
          <w:rFonts w:ascii="Arial" w:hAnsi="Arial" w:cs="Arial"/>
          <w:szCs w:val="24"/>
          <w:lang w:val="es-ES"/>
        </w:rPr>
      </w:pPr>
    </w:p>
    <w:p w14:paraId="18A43BE6" w14:textId="77777777" w:rsidR="00C7146E" w:rsidRPr="00701F32" w:rsidRDefault="003575F1" w:rsidP="003D284C">
      <w:pPr>
        <w:pStyle w:val="Ttuloprincipal"/>
        <w:ind w:left="-120"/>
        <w:jc w:val="left"/>
        <w:rPr>
          <w:rFonts w:ascii="Arial" w:hAnsi="Arial" w:cs="Arial"/>
          <w:szCs w:val="24"/>
        </w:rPr>
      </w:pPr>
      <w:r w:rsidRPr="00701F32">
        <w:rPr>
          <w:rFonts w:ascii="Arial" w:hAnsi="Arial" w:cs="Arial"/>
          <w:szCs w:val="24"/>
        </w:rPr>
        <w:t>BANCO</w:t>
      </w:r>
      <w:r w:rsidR="00ED382B" w:rsidRPr="00701F32">
        <w:rPr>
          <w:rFonts w:ascii="Arial" w:hAnsi="Arial" w:cs="Arial"/>
          <w:szCs w:val="24"/>
        </w:rPr>
        <w:t xml:space="preserve"> SUPERVIELLE</w:t>
      </w:r>
      <w:r w:rsidR="002439EB" w:rsidRPr="00701F32">
        <w:rPr>
          <w:rFonts w:ascii="Arial" w:hAnsi="Arial" w:cs="Arial"/>
          <w:szCs w:val="24"/>
        </w:rPr>
        <w:t xml:space="preserve"> S.A.</w:t>
      </w:r>
    </w:p>
    <w:p w14:paraId="6F9AAE8F" w14:textId="77777777" w:rsidR="00C7146E" w:rsidRPr="00701F32" w:rsidRDefault="00C7146E">
      <w:pPr>
        <w:pStyle w:val="Ttuloprincipal"/>
        <w:ind w:left="-120"/>
        <w:rPr>
          <w:rFonts w:ascii="Arial" w:hAnsi="Arial" w:cs="Arial"/>
          <w:szCs w:val="24"/>
        </w:rPr>
      </w:pPr>
    </w:p>
    <w:p w14:paraId="1C279325" w14:textId="77777777" w:rsidR="003D284C" w:rsidRPr="00701F32" w:rsidRDefault="003D284C" w:rsidP="003D284C">
      <w:pPr>
        <w:pStyle w:val="Ttuloprincipal"/>
        <w:ind w:left="-120"/>
        <w:jc w:val="left"/>
        <w:rPr>
          <w:rFonts w:ascii="Arial" w:hAnsi="Arial" w:cs="Arial"/>
          <w:szCs w:val="24"/>
        </w:rPr>
      </w:pPr>
    </w:p>
    <w:p w14:paraId="3544BB33" w14:textId="77777777" w:rsidR="003D284C" w:rsidRPr="00701F32" w:rsidRDefault="00C7146E" w:rsidP="003D284C">
      <w:pPr>
        <w:pStyle w:val="Ttuloprincipal"/>
        <w:ind w:left="-120"/>
        <w:jc w:val="left"/>
        <w:rPr>
          <w:rFonts w:ascii="Arial" w:hAnsi="Arial" w:cs="Arial"/>
          <w:szCs w:val="24"/>
        </w:rPr>
      </w:pPr>
      <w:r w:rsidRPr="00701F32">
        <w:rPr>
          <w:rFonts w:ascii="Arial" w:hAnsi="Arial" w:cs="Arial"/>
          <w:szCs w:val="24"/>
        </w:rPr>
        <w:t xml:space="preserve">Estados </w:t>
      </w:r>
      <w:r w:rsidR="000014C9" w:rsidRPr="00701F32">
        <w:rPr>
          <w:rFonts w:ascii="Arial" w:hAnsi="Arial" w:cs="Arial"/>
          <w:szCs w:val="24"/>
        </w:rPr>
        <w:t>financieros</w:t>
      </w:r>
      <w:r w:rsidR="00B17828" w:rsidRPr="00701F32">
        <w:rPr>
          <w:rFonts w:ascii="Arial" w:hAnsi="Arial" w:cs="Arial"/>
          <w:szCs w:val="24"/>
        </w:rPr>
        <w:t xml:space="preserve"> condensados </w:t>
      </w:r>
      <w:r w:rsidR="00FD34B9" w:rsidRPr="00701F32">
        <w:rPr>
          <w:rFonts w:ascii="Arial" w:hAnsi="Arial" w:cs="Arial"/>
          <w:szCs w:val="24"/>
        </w:rPr>
        <w:t xml:space="preserve">consolidados </w:t>
      </w:r>
      <w:r w:rsidR="00B17828" w:rsidRPr="00701F32">
        <w:rPr>
          <w:rFonts w:ascii="Arial" w:hAnsi="Arial" w:cs="Arial"/>
          <w:szCs w:val="24"/>
        </w:rPr>
        <w:t>intermedios</w:t>
      </w:r>
    </w:p>
    <w:p w14:paraId="28CE5551" w14:textId="77777777" w:rsidR="003D284C" w:rsidRPr="00701F32" w:rsidRDefault="003D284C" w:rsidP="003D284C">
      <w:pPr>
        <w:pStyle w:val="Ttuloprincipal"/>
        <w:ind w:left="-120"/>
        <w:jc w:val="left"/>
        <w:rPr>
          <w:rFonts w:ascii="Arial" w:hAnsi="Arial" w:cs="Arial"/>
          <w:szCs w:val="24"/>
        </w:rPr>
      </w:pPr>
    </w:p>
    <w:p w14:paraId="0EABCA56" w14:textId="77777777" w:rsidR="00473475" w:rsidRPr="00701F32" w:rsidRDefault="00473475" w:rsidP="00473475">
      <w:pPr>
        <w:pStyle w:val="Ttuloprincipal"/>
        <w:ind w:left="-120"/>
        <w:jc w:val="left"/>
        <w:rPr>
          <w:rFonts w:ascii="Arial" w:hAnsi="Arial" w:cs="Arial"/>
          <w:b w:val="0"/>
          <w:szCs w:val="24"/>
        </w:rPr>
      </w:pPr>
      <w:r w:rsidRPr="00701F32">
        <w:rPr>
          <w:rFonts w:ascii="Arial" w:hAnsi="Arial" w:cs="Arial"/>
          <w:b w:val="0"/>
          <w:szCs w:val="24"/>
        </w:rPr>
        <w:t xml:space="preserve">Correspondientes al </w:t>
      </w:r>
      <w:r w:rsidR="00184D53" w:rsidRPr="00701F32">
        <w:rPr>
          <w:rFonts w:ascii="Arial" w:hAnsi="Arial" w:cs="Arial"/>
          <w:b w:val="0"/>
          <w:szCs w:val="24"/>
        </w:rPr>
        <w:t xml:space="preserve">período de </w:t>
      </w:r>
      <w:r w:rsidR="00202FE4" w:rsidRPr="00701F32">
        <w:rPr>
          <w:rFonts w:ascii="Arial" w:hAnsi="Arial" w:cs="Arial"/>
          <w:b w:val="0"/>
          <w:szCs w:val="24"/>
        </w:rPr>
        <w:t xml:space="preserve">nueve </w:t>
      </w:r>
      <w:r w:rsidR="00184D53" w:rsidRPr="00701F32">
        <w:rPr>
          <w:rFonts w:ascii="Arial" w:hAnsi="Arial" w:cs="Arial"/>
          <w:b w:val="0"/>
          <w:szCs w:val="24"/>
        </w:rPr>
        <w:t>meses</w:t>
      </w:r>
      <w:r w:rsidR="009979F3" w:rsidRPr="00701F32">
        <w:rPr>
          <w:rFonts w:ascii="Arial" w:hAnsi="Arial" w:cs="Arial"/>
          <w:b w:val="0"/>
          <w:szCs w:val="24"/>
        </w:rPr>
        <w:t xml:space="preserve"> </w:t>
      </w:r>
      <w:r w:rsidRPr="00701F32">
        <w:rPr>
          <w:rFonts w:ascii="Arial" w:hAnsi="Arial" w:cs="Arial"/>
          <w:b w:val="0"/>
          <w:szCs w:val="24"/>
        </w:rPr>
        <w:t xml:space="preserve">finalizado el </w:t>
      </w:r>
    </w:p>
    <w:p w14:paraId="6F7E0AC6" w14:textId="77777777" w:rsidR="00473475" w:rsidRPr="00701F32" w:rsidRDefault="00143CC8" w:rsidP="00027D6E">
      <w:pPr>
        <w:pStyle w:val="Ttuloprincipal"/>
        <w:ind w:left="-120"/>
        <w:jc w:val="left"/>
        <w:rPr>
          <w:rFonts w:ascii="Arial" w:hAnsi="Arial" w:cs="Arial"/>
          <w:b w:val="0"/>
          <w:szCs w:val="24"/>
        </w:rPr>
      </w:pPr>
      <w:r w:rsidRPr="00701F32">
        <w:rPr>
          <w:rFonts w:ascii="Arial" w:hAnsi="Arial" w:cs="Arial"/>
          <w:b w:val="0"/>
          <w:szCs w:val="24"/>
        </w:rPr>
        <w:t>3</w:t>
      </w:r>
      <w:r w:rsidR="00056942" w:rsidRPr="00701F32">
        <w:rPr>
          <w:rFonts w:ascii="Arial" w:hAnsi="Arial" w:cs="Arial"/>
          <w:b w:val="0"/>
          <w:szCs w:val="24"/>
        </w:rPr>
        <w:t>0</w:t>
      </w:r>
      <w:r w:rsidR="00473475" w:rsidRPr="00701F32">
        <w:rPr>
          <w:rFonts w:ascii="Arial" w:hAnsi="Arial" w:cs="Arial"/>
          <w:b w:val="0"/>
          <w:szCs w:val="24"/>
        </w:rPr>
        <w:t xml:space="preserve"> de </w:t>
      </w:r>
      <w:r w:rsidR="00202FE4" w:rsidRPr="00701F32">
        <w:rPr>
          <w:rFonts w:ascii="Arial" w:hAnsi="Arial" w:cs="Arial"/>
          <w:b w:val="0"/>
          <w:szCs w:val="24"/>
        </w:rPr>
        <w:t xml:space="preserve">septiembre </w:t>
      </w:r>
      <w:r w:rsidR="007276CC" w:rsidRPr="00701F32">
        <w:rPr>
          <w:rFonts w:ascii="Arial" w:hAnsi="Arial" w:cs="Arial"/>
          <w:b w:val="0"/>
          <w:szCs w:val="24"/>
        </w:rPr>
        <w:t>de 201</w:t>
      </w:r>
      <w:r w:rsidR="004E67BD" w:rsidRPr="00701F32">
        <w:rPr>
          <w:rFonts w:ascii="Arial" w:hAnsi="Arial" w:cs="Arial"/>
          <w:b w:val="0"/>
          <w:szCs w:val="24"/>
        </w:rPr>
        <w:t>8</w:t>
      </w:r>
      <w:r w:rsidR="00473475" w:rsidRPr="00701F32">
        <w:rPr>
          <w:rFonts w:ascii="Arial" w:hAnsi="Arial" w:cs="Arial"/>
          <w:b w:val="0"/>
          <w:szCs w:val="24"/>
        </w:rPr>
        <w:t>, presentados en forma comparativ</w:t>
      </w:r>
      <w:r w:rsidR="00B63929" w:rsidRPr="00701F32">
        <w:rPr>
          <w:rFonts w:ascii="Arial" w:hAnsi="Arial" w:cs="Arial"/>
          <w:b w:val="0"/>
          <w:szCs w:val="24"/>
        </w:rPr>
        <w:t>a</w:t>
      </w:r>
    </w:p>
    <w:p w14:paraId="51703D59" w14:textId="77777777" w:rsidR="00C7146E" w:rsidRPr="00701F32" w:rsidRDefault="00C7146E">
      <w:pPr>
        <w:pStyle w:val="Ttuloprincipal"/>
        <w:ind w:left="3119"/>
        <w:rPr>
          <w:rFonts w:ascii="Arial" w:hAnsi="Arial" w:cs="Arial"/>
          <w:szCs w:val="24"/>
        </w:rPr>
      </w:pPr>
    </w:p>
    <w:p w14:paraId="59EE5D11" w14:textId="77777777" w:rsidR="00C7146E" w:rsidRPr="00701F32" w:rsidRDefault="00C7146E">
      <w:pPr>
        <w:pStyle w:val="Ttuloprincipal"/>
        <w:tabs>
          <w:tab w:val="left" w:pos="1701"/>
          <w:tab w:val="left" w:pos="3119"/>
        </w:tabs>
        <w:ind w:left="2127" w:hanging="142"/>
        <w:rPr>
          <w:rFonts w:ascii="Arial" w:hAnsi="Arial" w:cs="Arial"/>
          <w:szCs w:val="24"/>
        </w:rPr>
      </w:pPr>
    </w:p>
    <w:p w14:paraId="287537EF"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33EF8EBC" w14:textId="77777777" w:rsidR="00C7146E" w:rsidRPr="00701F32" w:rsidRDefault="00C7146E">
      <w:pPr>
        <w:pStyle w:val="Ttuloprincipal"/>
        <w:tabs>
          <w:tab w:val="left" w:pos="1080"/>
          <w:tab w:val="left" w:pos="1701"/>
        </w:tabs>
        <w:ind w:left="240" w:hanging="142"/>
        <w:rPr>
          <w:rFonts w:ascii="Arial" w:hAnsi="Arial" w:cs="Arial"/>
          <w:szCs w:val="24"/>
          <w:lang w:val="es-ES"/>
        </w:rPr>
      </w:pPr>
    </w:p>
    <w:p w14:paraId="0843A402"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25F78ECF"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252E69E0"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00A08594"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29313205" w14:textId="77777777" w:rsidR="00C7146E" w:rsidRPr="00701F32" w:rsidRDefault="00C7146E">
      <w:pPr>
        <w:pStyle w:val="Ttuloprincipal"/>
        <w:tabs>
          <w:tab w:val="left" w:pos="1701"/>
          <w:tab w:val="left" w:pos="3119"/>
        </w:tabs>
        <w:ind w:left="2127" w:hanging="142"/>
        <w:rPr>
          <w:rFonts w:ascii="Arial" w:hAnsi="Arial" w:cs="Arial"/>
          <w:szCs w:val="24"/>
          <w:lang w:val="es-ES"/>
        </w:rPr>
      </w:pPr>
    </w:p>
    <w:p w14:paraId="5F58A695" w14:textId="77777777" w:rsidR="00C07CB3" w:rsidRPr="00701F32" w:rsidRDefault="00C07CB3" w:rsidP="00C07CB3">
      <w:pPr>
        <w:pStyle w:val="Ttulo7"/>
        <w:ind w:left="0"/>
        <w:rPr>
          <w:rFonts w:ascii="Arial" w:hAnsi="Arial" w:cs="Arial"/>
          <w:sz w:val="24"/>
          <w:szCs w:val="24"/>
        </w:rPr>
      </w:pPr>
      <w:r w:rsidRPr="00701F32">
        <w:rPr>
          <w:rFonts w:ascii="Arial" w:hAnsi="Arial" w:cs="Arial"/>
          <w:sz w:val="24"/>
          <w:szCs w:val="24"/>
        </w:rPr>
        <w:t>Contenido</w:t>
      </w:r>
    </w:p>
    <w:p w14:paraId="66FB9362" w14:textId="77777777" w:rsidR="00C7146E" w:rsidRPr="00701F32" w:rsidRDefault="00C7146E">
      <w:pPr>
        <w:pStyle w:val="Ttuloprincipal"/>
        <w:jc w:val="left"/>
        <w:rPr>
          <w:rFonts w:ascii="Arial" w:hAnsi="Arial" w:cs="Arial"/>
          <w:bCs/>
          <w:szCs w:val="24"/>
          <w:lang w:val="es-AR" w:eastAsia="es-ES"/>
        </w:rPr>
      </w:pPr>
    </w:p>
    <w:p w14:paraId="5C51F250" w14:textId="77777777" w:rsidR="003575F1" w:rsidRPr="00701F32" w:rsidRDefault="0044186C"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consolidado </w:t>
      </w:r>
      <w:r w:rsidRPr="00701F32">
        <w:rPr>
          <w:rFonts w:ascii="Arial" w:hAnsi="Arial" w:cs="Arial"/>
          <w:b w:val="0"/>
          <w:szCs w:val="24"/>
          <w:lang w:val="es-AR"/>
        </w:rPr>
        <w:t xml:space="preserve">de situación </w:t>
      </w:r>
      <w:r w:rsidR="004E67BD" w:rsidRPr="00701F32">
        <w:rPr>
          <w:rFonts w:ascii="Arial" w:hAnsi="Arial" w:cs="Arial"/>
          <w:b w:val="0"/>
          <w:szCs w:val="24"/>
          <w:lang w:val="es-AR"/>
        </w:rPr>
        <w:t>financiera</w:t>
      </w:r>
      <w:r w:rsidR="00286343" w:rsidRPr="00701F32">
        <w:rPr>
          <w:rFonts w:ascii="Arial" w:hAnsi="Arial" w:cs="Arial"/>
          <w:b w:val="0"/>
          <w:szCs w:val="24"/>
          <w:lang w:val="es-AR"/>
        </w:rPr>
        <w:t xml:space="preserve"> </w:t>
      </w:r>
    </w:p>
    <w:p w14:paraId="4EC9CD7D" w14:textId="77777777" w:rsidR="0044186C" w:rsidRPr="00701F32" w:rsidRDefault="0044186C"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consolidado </w:t>
      </w:r>
      <w:r w:rsidRPr="00701F32">
        <w:rPr>
          <w:rFonts w:ascii="Arial" w:hAnsi="Arial" w:cs="Arial"/>
          <w:b w:val="0"/>
          <w:szCs w:val="24"/>
          <w:lang w:val="es-AR"/>
        </w:rPr>
        <w:t>de resultados</w:t>
      </w:r>
    </w:p>
    <w:p w14:paraId="2EDD19DD" w14:textId="77777777" w:rsidR="004E67BD" w:rsidRPr="00701F32" w:rsidRDefault="004E67BD"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consolidado </w:t>
      </w:r>
      <w:r w:rsidRPr="00701F32">
        <w:rPr>
          <w:rFonts w:ascii="Arial" w:hAnsi="Arial" w:cs="Arial"/>
          <w:b w:val="0"/>
          <w:szCs w:val="24"/>
          <w:lang w:val="es-AR"/>
        </w:rPr>
        <w:t xml:space="preserve">de </w:t>
      </w:r>
      <w:r w:rsidR="00286343" w:rsidRPr="00701F32">
        <w:rPr>
          <w:rFonts w:ascii="Arial" w:hAnsi="Arial" w:cs="Arial"/>
          <w:b w:val="0"/>
          <w:szCs w:val="24"/>
          <w:lang w:val="es-AR"/>
        </w:rPr>
        <w:t>o</w:t>
      </w:r>
      <w:r w:rsidRPr="00701F32">
        <w:rPr>
          <w:rFonts w:ascii="Arial" w:hAnsi="Arial" w:cs="Arial"/>
          <w:b w:val="0"/>
          <w:szCs w:val="24"/>
          <w:lang w:val="es-AR"/>
        </w:rPr>
        <w:t xml:space="preserve">tros </w:t>
      </w:r>
      <w:r w:rsidR="00286343" w:rsidRPr="00701F32">
        <w:rPr>
          <w:rFonts w:ascii="Arial" w:hAnsi="Arial" w:cs="Arial"/>
          <w:b w:val="0"/>
          <w:szCs w:val="24"/>
          <w:lang w:val="es-AR"/>
        </w:rPr>
        <w:t>r</w:t>
      </w:r>
      <w:r w:rsidRPr="00701F32">
        <w:rPr>
          <w:rFonts w:ascii="Arial" w:hAnsi="Arial" w:cs="Arial"/>
          <w:b w:val="0"/>
          <w:szCs w:val="24"/>
          <w:lang w:val="es-AR"/>
        </w:rPr>
        <w:t xml:space="preserve">esultados </w:t>
      </w:r>
      <w:r w:rsidR="00025107" w:rsidRPr="00701F32">
        <w:rPr>
          <w:rFonts w:ascii="Arial" w:hAnsi="Arial" w:cs="Arial"/>
          <w:b w:val="0"/>
          <w:szCs w:val="24"/>
          <w:lang w:val="es-AR"/>
        </w:rPr>
        <w:t>i</w:t>
      </w:r>
      <w:r w:rsidRPr="00701F32">
        <w:rPr>
          <w:rFonts w:ascii="Arial" w:hAnsi="Arial" w:cs="Arial"/>
          <w:b w:val="0"/>
          <w:szCs w:val="24"/>
          <w:lang w:val="es-AR"/>
        </w:rPr>
        <w:t>ntegrales</w:t>
      </w:r>
    </w:p>
    <w:p w14:paraId="73360AE0" w14:textId="77777777" w:rsidR="003575F1" w:rsidRPr="00701F32" w:rsidRDefault="003575F1" w:rsidP="003575F1">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consolidado </w:t>
      </w:r>
      <w:r w:rsidRPr="00701F32">
        <w:rPr>
          <w:rFonts w:ascii="Arial" w:hAnsi="Arial" w:cs="Arial"/>
          <w:b w:val="0"/>
          <w:szCs w:val="24"/>
          <w:lang w:val="es-AR"/>
        </w:rPr>
        <w:t xml:space="preserve">de </w:t>
      </w:r>
      <w:r w:rsidR="00025107" w:rsidRPr="00701F32">
        <w:rPr>
          <w:rFonts w:ascii="Arial" w:hAnsi="Arial" w:cs="Arial"/>
          <w:b w:val="0"/>
          <w:szCs w:val="24"/>
          <w:lang w:val="es-AR"/>
        </w:rPr>
        <w:t>c</w:t>
      </w:r>
      <w:r w:rsidR="004E67BD" w:rsidRPr="00701F32">
        <w:rPr>
          <w:rFonts w:ascii="Arial" w:hAnsi="Arial" w:cs="Arial"/>
          <w:b w:val="0"/>
          <w:szCs w:val="24"/>
          <w:lang w:val="es-AR"/>
        </w:rPr>
        <w:t xml:space="preserve">ambios en el </w:t>
      </w:r>
      <w:r w:rsidR="00286343" w:rsidRPr="00701F32">
        <w:rPr>
          <w:rFonts w:ascii="Arial" w:hAnsi="Arial" w:cs="Arial"/>
          <w:b w:val="0"/>
          <w:szCs w:val="24"/>
          <w:lang w:val="es-AR"/>
        </w:rPr>
        <w:t>p</w:t>
      </w:r>
      <w:r w:rsidR="004E67BD" w:rsidRPr="00701F32">
        <w:rPr>
          <w:rFonts w:ascii="Arial" w:hAnsi="Arial" w:cs="Arial"/>
          <w:b w:val="0"/>
          <w:szCs w:val="24"/>
          <w:lang w:val="es-AR"/>
        </w:rPr>
        <w:t>atrimonio</w:t>
      </w:r>
    </w:p>
    <w:p w14:paraId="7B4C1A2C" w14:textId="77777777" w:rsidR="0044186C" w:rsidRPr="00701F32" w:rsidRDefault="0044186C"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Estado de </w:t>
      </w:r>
      <w:r w:rsidR="00286343" w:rsidRPr="00701F32">
        <w:rPr>
          <w:rFonts w:ascii="Arial" w:hAnsi="Arial" w:cs="Arial"/>
          <w:b w:val="0"/>
          <w:szCs w:val="24"/>
          <w:lang w:val="es-AR"/>
        </w:rPr>
        <w:t>f</w:t>
      </w:r>
      <w:r w:rsidRPr="00701F32">
        <w:rPr>
          <w:rFonts w:ascii="Arial" w:hAnsi="Arial" w:cs="Arial"/>
          <w:b w:val="0"/>
          <w:szCs w:val="24"/>
          <w:lang w:val="es-AR"/>
        </w:rPr>
        <w:t>lujo</w:t>
      </w:r>
      <w:r w:rsidR="00286343" w:rsidRPr="00701F32">
        <w:rPr>
          <w:rFonts w:ascii="Arial" w:hAnsi="Arial" w:cs="Arial"/>
          <w:b w:val="0"/>
          <w:szCs w:val="24"/>
          <w:lang w:val="es-AR"/>
        </w:rPr>
        <w:t>s</w:t>
      </w:r>
      <w:r w:rsidRPr="00701F32">
        <w:rPr>
          <w:rFonts w:ascii="Arial" w:hAnsi="Arial" w:cs="Arial"/>
          <w:b w:val="0"/>
          <w:szCs w:val="24"/>
          <w:lang w:val="es-AR"/>
        </w:rPr>
        <w:t xml:space="preserve"> de efectivo</w:t>
      </w:r>
      <w:r w:rsidR="00286343" w:rsidRPr="00701F32">
        <w:rPr>
          <w:rFonts w:ascii="Arial" w:hAnsi="Arial" w:cs="Arial"/>
          <w:b w:val="0"/>
          <w:szCs w:val="24"/>
          <w:lang w:val="es-AR"/>
        </w:rPr>
        <w:t xml:space="preserve"> consolidado</w:t>
      </w:r>
    </w:p>
    <w:p w14:paraId="31951248" w14:textId="77777777" w:rsidR="0044186C" w:rsidRPr="00701F32" w:rsidRDefault="0044186C"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Notas a los </w:t>
      </w:r>
      <w:r w:rsidR="003575F1" w:rsidRPr="00701F32">
        <w:rPr>
          <w:rFonts w:ascii="Arial" w:hAnsi="Arial" w:cs="Arial"/>
          <w:b w:val="0"/>
          <w:szCs w:val="24"/>
          <w:lang w:val="es-AR"/>
        </w:rPr>
        <w:t>e</w:t>
      </w:r>
      <w:r w:rsidRPr="00701F32">
        <w:rPr>
          <w:rFonts w:ascii="Arial" w:hAnsi="Arial" w:cs="Arial"/>
          <w:b w:val="0"/>
          <w:szCs w:val="24"/>
          <w:lang w:val="es-AR"/>
        </w:rPr>
        <w:t xml:space="preserve">stados </w:t>
      </w:r>
      <w:r w:rsidR="00025107" w:rsidRPr="00701F32">
        <w:rPr>
          <w:rFonts w:ascii="Arial" w:hAnsi="Arial" w:cs="Arial"/>
          <w:b w:val="0"/>
          <w:szCs w:val="24"/>
          <w:lang w:val="es-AR"/>
        </w:rPr>
        <w:t>financieros</w:t>
      </w:r>
      <w:r w:rsidR="009B7FF1" w:rsidRPr="00701F32">
        <w:rPr>
          <w:rFonts w:ascii="Arial" w:hAnsi="Arial" w:cs="Arial"/>
          <w:b w:val="0"/>
          <w:szCs w:val="24"/>
          <w:lang w:val="es-AR"/>
        </w:rPr>
        <w:t xml:space="preserve"> </w:t>
      </w:r>
      <w:r w:rsidR="00025107" w:rsidRPr="00701F32">
        <w:rPr>
          <w:rFonts w:ascii="Arial" w:hAnsi="Arial" w:cs="Arial"/>
          <w:b w:val="0"/>
          <w:szCs w:val="24"/>
          <w:lang w:val="es-AR"/>
        </w:rPr>
        <w:t xml:space="preserve">condensados </w:t>
      </w:r>
      <w:r w:rsidR="009B7FF1" w:rsidRPr="00701F32">
        <w:rPr>
          <w:rFonts w:ascii="Arial" w:hAnsi="Arial" w:cs="Arial"/>
          <w:b w:val="0"/>
          <w:szCs w:val="24"/>
          <w:lang w:val="es-AR"/>
        </w:rPr>
        <w:t>consolidados</w:t>
      </w:r>
      <w:r w:rsidR="00025107" w:rsidRPr="00701F32">
        <w:rPr>
          <w:rFonts w:ascii="Arial" w:hAnsi="Arial" w:cs="Arial"/>
          <w:b w:val="0"/>
          <w:szCs w:val="24"/>
          <w:lang w:val="es-AR"/>
        </w:rPr>
        <w:t xml:space="preserve"> intermedios</w:t>
      </w:r>
    </w:p>
    <w:p w14:paraId="3EEB1738" w14:textId="77777777" w:rsidR="0044186C" w:rsidRPr="00701F32" w:rsidRDefault="0044186C" w:rsidP="0044186C">
      <w:pPr>
        <w:pStyle w:val="Ttuloprincipal"/>
        <w:jc w:val="left"/>
        <w:rPr>
          <w:rFonts w:ascii="Arial" w:hAnsi="Arial" w:cs="Arial"/>
          <w:b w:val="0"/>
          <w:szCs w:val="24"/>
          <w:lang w:val="es-AR"/>
        </w:rPr>
      </w:pPr>
      <w:r w:rsidRPr="00701F32">
        <w:rPr>
          <w:rFonts w:ascii="Arial" w:hAnsi="Arial" w:cs="Arial"/>
          <w:b w:val="0"/>
          <w:szCs w:val="24"/>
          <w:lang w:val="es-AR"/>
        </w:rPr>
        <w:t xml:space="preserve">Anexos a los </w:t>
      </w:r>
      <w:r w:rsidR="003575F1" w:rsidRPr="00701F32">
        <w:rPr>
          <w:rFonts w:ascii="Arial" w:hAnsi="Arial" w:cs="Arial"/>
          <w:b w:val="0"/>
          <w:szCs w:val="24"/>
          <w:lang w:val="es-AR"/>
        </w:rPr>
        <w:t>e</w:t>
      </w:r>
      <w:r w:rsidRPr="00701F32">
        <w:rPr>
          <w:rFonts w:ascii="Arial" w:hAnsi="Arial" w:cs="Arial"/>
          <w:b w:val="0"/>
          <w:szCs w:val="24"/>
          <w:lang w:val="es-AR"/>
        </w:rPr>
        <w:t xml:space="preserve">stados </w:t>
      </w:r>
      <w:r w:rsidR="00B4780E" w:rsidRPr="00701F32">
        <w:rPr>
          <w:rFonts w:ascii="Arial" w:hAnsi="Arial" w:cs="Arial"/>
          <w:b w:val="0"/>
          <w:szCs w:val="24"/>
          <w:lang w:val="es-AR"/>
        </w:rPr>
        <w:t>financieros</w:t>
      </w:r>
      <w:r w:rsidR="00286343" w:rsidRPr="00701F32">
        <w:rPr>
          <w:rFonts w:ascii="Arial" w:hAnsi="Arial" w:cs="Arial"/>
          <w:b w:val="0"/>
          <w:szCs w:val="24"/>
          <w:lang w:val="es-AR"/>
        </w:rPr>
        <w:t xml:space="preserve"> </w:t>
      </w:r>
      <w:r w:rsidR="00B4780E" w:rsidRPr="00701F32">
        <w:rPr>
          <w:rFonts w:ascii="Arial" w:hAnsi="Arial" w:cs="Arial"/>
          <w:b w:val="0"/>
          <w:szCs w:val="24"/>
          <w:lang w:val="es-AR"/>
        </w:rPr>
        <w:t>condensados consolidados intermedios</w:t>
      </w:r>
    </w:p>
    <w:p w14:paraId="5BE6889F"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separado </w:t>
      </w:r>
      <w:r w:rsidRPr="00701F32">
        <w:rPr>
          <w:rFonts w:ascii="Arial" w:hAnsi="Arial" w:cs="Arial"/>
          <w:b w:val="0"/>
          <w:szCs w:val="24"/>
          <w:lang w:val="es-AR"/>
        </w:rPr>
        <w:t>de situación financiera</w:t>
      </w:r>
    </w:p>
    <w:p w14:paraId="36142E54"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Estado</w:t>
      </w:r>
      <w:r w:rsidR="00FD34B9" w:rsidRPr="00701F32">
        <w:rPr>
          <w:rFonts w:ascii="Arial" w:hAnsi="Arial" w:cs="Arial"/>
          <w:b w:val="0"/>
          <w:szCs w:val="24"/>
          <w:lang w:val="es-AR"/>
        </w:rPr>
        <w:t xml:space="preserve"> separado</w:t>
      </w:r>
      <w:r w:rsidRPr="00701F32">
        <w:rPr>
          <w:rFonts w:ascii="Arial" w:hAnsi="Arial" w:cs="Arial"/>
          <w:b w:val="0"/>
          <w:szCs w:val="24"/>
          <w:lang w:val="es-AR"/>
        </w:rPr>
        <w:t xml:space="preserve"> de resultados</w:t>
      </w:r>
    </w:p>
    <w:p w14:paraId="3F421BF1"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separado </w:t>
      </w:r>
      <w:r w:rsidRPr="00701F32">
        <w:rPr>
          <w:rFonts w:ascii="Arial" w:hAnsi="Arial" w:cs="Arial"/>
          <w:b w:val="0"/>
          <w:szCs w:val="24"/>
          <w:lang w:val="es-AR"/>
        </w:rPr>
        <w:t xml:space="preserve">de otros resultados </w:t>
      </w:r>
      <w:r w:rsidR="00025107" w:rsidRPr="00701F32">
        <w:rPr>
          <w:rFonts w:ascii="Arial" w:hAnsi="Arial" w:cs="Arial"/>
          <w:b w:val="0"/>
          <w:szCs w:val="24"/>
          <w:lang w:val="es-AR"/>
        </w:rPr>
        <w:t>i</w:t>
      </w:r>
      <w:r w:rsidRPr="00701F32">
        <w:rPr>
          <w:rFonts w:ascii="Arial" w:hAnsi="Arial" w:cs="Arial"/>
          <w:b w:val="0"/>
          <w:szCs w:val="24"/>
          <w:lang w:val="es-AR"/>
        </w:rPr>
        <w:t xml:space="preserve">ntegrales </w:t>
      </w:r>
    </w:p>
    <w:p w14:paraId="6636B4B4"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separado </w:t>
      </w:r>
      <w:r w:rsidRPr="00701F32">
        <w:rPr>
          <w:rFonts w:ascii="Arial" w:hAnsi="Arial" w:cs="Arial"/>
          <w:b w:val="0"/>
          <w:szCs w:val="24"/>
          <w:lang w:val="es-AR"/>
        </w:rPr>
        <w:t xml:space="preserve">de </w:t>
      </w:r>
      <w:r w:rsidR="00025107" w:rsidRPr="00701F32">
        <w:rPr>
          <w:rFonts w:ascii="Arial" w:hAnsi="Arial" w:cs="Arial"/>
          <w:b w:val="0"/>
          <w:szCs w:val="24"/>
          <w:lang w:val="es-AR"/>
        </w:rPr>
        <w:t>c</w:t>
      </w:r>
      <w:r w:rsidRPr="00701F32">
        <w:rPr>
          <w:rFonts w:ascii="Arial" w:hAnsi="Arial" w:cs="Arial"/>
          <w:b w:val="0"/>
          <w:szCs w:val="24"/>
          <w:lang w:val="es-AR"/>
        </w:rPr>
        <w:t>ambios en el patrimonio</w:t>
      </w:r>
    </w:p>
    <w:p w14:paraId="5BBF5A85"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 xml:space="preserve">Estado </w:t>
      </w:r>
      <w:r w:rsidR="00FD34B9" w:rsidRPr="00701F32">
        <w:rPr>
          <w:rFonts w:ascii="Arial" w:hAnsi="Arial" w:cs="Arial"/>
          <w:b w:val="0"/>
          <w:szCs w:val="24"/>
          <w:lang w:val="es-AR"/>
        </w:rPr>
        <w:t xml:space="preserve">separado </w:t>
      </w:r>
      <w:r w:rsidRPr="00701F32">
        <w:rPr>
          <w:rFonts w:ascii="Arial" w:hAnsi="Arial" w:cs="Arial"/>
          <w:b w:val="0"/>
          <w:szCs w:val="24"/>
          <w:lang w:val="es-AR"/>
        </w:rPr>
        <w:t>de flujos de efectivo</w:t>
      </w:r>
    </w:p>
    <w:p w14:paraId="57008731" w14:textId="77777777" w:rsidR="00C7146E" w:rsidRPr="00701F32" w:rsidRDefault="009979F3">
      <w:pPr>
        <w:pStyle w:val="Ttuloprincipal"/>
        <w:jc w:val="left"/>
        <w:rPr>
          <w:rFonts w:ascii="Arial" w:hAnsi="Arial" w:cs="Arial"/>
          <w:b w:val="0"/>
          <w:szCs w:val="24"/>
          <w:lang w:val="es-AR"/>
        </w:rPr>
      </w:pPr>
      <w:r w:rsidRPr="00701F32">
        <w:rPr>
          <w:rFonts w:ascii="Arial" w:hAnsi="Arial" w:cs="Arial"/>
          <w:b w:val="0"/>
          <w:szCs w:val="24"/>
          <w:lang w:val="es-AR"/>
        </w:rPr>
        <w:t>Notas a</w:t>
      </w:r>
      <w:r w:rsidR="008F437F" w:rsidRPr="00701F32">
        <w:rPr>
          <w:rFonts w:ascii="Arial" w:hAnsi="Arial" w:cs="Arial"/>
          <w:b w:val="0"/>
          <w:szCs w:val="24"/>
          <w:lang w:val="es-AR"/>
        </w:rPr>
        <w:t xml:space="preserve"> los estados </w:t>
      </w:r>
      <w:r w:rsidR="00B4780E" w:rsidRPr="00701F32">
        <w:rPr>
          <w:rFonts w:ascii="Arial" w:hAnsi="Arial" w:cs="Arial"/>
          <w:b w:val="0"/>
          <w:szCs w:val="24"/>
          <w:lang w:val="es-AR"/>
        </w:rPr>
        <w:t>financieros</w:t>
      </w:r>
      <w:r w:rsidR="008F437F" w:rsidRPr="00701F32">
        <w:rPr>
          <w:rFonts w:ascii="Arial" w:hAnsi="Arial" w:cs="Arial"/>
          <w:b w:val="0"/>
          <w:szCs w:val="24"/>
          <w:lang w:val="es-AR"/>
        </w:rPr>
        <w:t xml:space="preserve"> </w:t>
      </w:r>
      <w:r w:rsidR="00B4780E" w:rsidRPr="00701F32">
        <w:rPr>
          <w:rFonts w:ascii="Arial" w:hAnsi="Arial" w:cs="Arial"/>
          <w:b w:val="0"/>
          <w:szCs w:val="24"/>
          <w:lang w:val="es-AR"/>
        </w:rPr>
        <w:t xml:space="preserve">condensados </w:t>
      </w:r>
      <w:r w:rsidR="00286343" w:rsidRPr="00701F32">
        <w:rPr>
          <w:rFonts w:ascii="Arial" w:hAnsi="Arial" w:cs="Arial"/>
          <w:b w:val="0"/>
          <w:szCs w:val="24"/>
          <w:lang w:val="es-AR"/>
        </w:rPr>
        <w:t>separado</w:t>
      </w:r>
      <w:r w:rsidR="00B4780E" w:rsidRPr="00701F32">
        <w:rPr>
          <w:rFonts w:ascii="Arial" w:hAnsi="Arial" w:cs="Arial"/>
          <w:b w:val="0"/>
          <w:szCs w:val="24"/>
          <w:lang w:val="es-AR"/>
        </w:rPr>
        <w:t>s intermedios</w:t>
      </w:r>
    </w:p>
    <w:p w14:paraId="4A4F4BB3" w14:textId="77777777" w:rsidR="00286343" w:rsidRPr="00701F32" w:rsidRDefault="00286343" w:rsidP="00286343">
      <w:pPr>
        <w:pStyle w:val="Ttuloprincipal"/>
        <w:jc w:val="left"/>
        <w:rPr>
          <w:rFonts w:ascii="Arial" w:hAnsi="Arial" w:cs="Arial"/>
          <w:b w:val="0"/>
          <w:szCs w:val="24"/>
          <w:lang w:val="es-AR"/>
        </w:rPr>
      </w:pPr>
      <w:r w:rsidRPr="00701F32">
        <w:rPr>
          <w:rFonts w:ascii="Arial" w:hAnsi="Arial" w:cs="Arial"/>
          <w:b w:val="0"/>
          <w:szCs w:val="24"/>
          <w:lang w:val="es-AR"/>
        </w:rPr>
        <w:t xml:space="preserve">Anexos a los estados </w:t>
      </w:r>
      <w:r w:rsidR="00025107" w:rsidRPr="00701F32">
        <w:rPr>
          <w:rFonts w:ascii="Arial" w:hAnsi="Arial" w:cs="Arial"/>
          <w:b w:val="0"/>
          <w:szCs w:val="24"/>
          <w:lang w:val="es-AR"/>
        </w:rPr>
        <w:t>financieros condensados separados intermedios</w:t>
      </w:r>
    </w:p>
    <w:p w14:paraId="5F17F741" w14:textId="77777777" w:rsidR="00030E28" w:rsidRPr="00701F32" w:rsidRDefault="00030E28" w:rsidP="00AD0421">
      <w:pPr>
        <w:pStyle w:val="Ttuloprincipal"/>
        <w:jc w:val="left"/>
        <w:rPr>
          <w:rFonts w:ascii="Arial" w:hAnsi="Arial" w:cs="Arial"/>
          <w:b w:val="0"/>
          <w:szCs w:val="24"/>
          <w:lang w:val="es-AR"/>
        </w:rPr>
      </w:pPr>
      <w:r w:rsidRPr="00701F32">
        <w:rPr>
          <w:rFonts w:ascii="Arial" w:hAnsi="Arial" w:cs="Arial"/>
          <w:b w:val="0"/>
          <w:szCs w:val="24"/>
          <w:lang w:val="es-AR"/>
        </w:rPr>
        <w:t>Reseña informativa</w:t>
      </w:r>
    </w:p>
    <w:p w14:paraId="357561AA" w14:textId="77777777" w:rsidR="00FD34B9" w:rsidRPr="00701F32" w:rsidRDefault="00FD34B9" w:rsidP="00FD34B9">
      <w:pPr>
        <w:pStyle w:val="Ttuloprincipal"/>
        <w:jc w:val="left"/>
        <w:rPr>
          <w:rFonts w:ascii="Arial" w:hAnsi="Arial" w:cs="Arial"/>
          <w:b w:val="0"/>
          <w:szCs w:val="24"/>
          <w:lang w:val="es-AR"/>
        </w:rPr>
      </w:pPr>
      <w:r w:rsidRPr="00701F32">
        <w:rPr>
          <w:rFonts w:ascii="Arial" w:hAnsi="Arial" w:cs="Arial"/>
          <w:b w:val="0"/>
          <w:szCs w:val="24"/>
          <w:lang w:val="es-AR"/>
        </w:rPr>
        <w:t>Informe de revisión limitada del auditor independiente</w:t>
      </w:r>
    </w:p>
    <w:p w14:paraId="7330838E" w14:textId="77777777" w:rsidR="008E2F1B" w:rsidRPr="00701F32" w:rsidRDefault="00C07CB3">
      <w:pPr>
        <w:pStyle w:val="Ttuloprincipal"/>
        <w:jc w:val="left"/>
        <w:rPr>
          <w:rFonts w:ascii="Arial" w:hAnsi="Arial" w:cs="Arial"/>
          <w:b w:val="0"/>
          <w:noProof/>
          <w:szCs w:val="24"/>
          <w:lang w:val="es-AR" w:eastAsia="es-AR"/>
        </w:rPr>
      </w:pPr>
      <w:r w:rsidRPr="00701F32">
        <w:rPr>
          <w:rFonts w:ascii="Arial" w:hAnsi="Arial" w:cs="Arial"/>
          <w:b w:val="0"/>
          <w:noProof/>
          <w:szCs w:val="24"/>
          <w:lang w:val="es-AR" w:eastAsia="es-AR"/>
        </w:rPr>
        <w:t>Informe de la comisión fiscalizadora</w:t>
      </w:r>
    </w:p>
    <w:p w14:paraId="2733E5C2" w14:textId="77777777" w:rsidR="00C7146E" w:rsidRPr="00701F32" w:rsidRDefault="00286343">
      <w:pPr>
        <w:pStyle w:val="Ttuloprincipal"/>
        <w:tabs>
          <w:tab w:val="left" w:pos="1701"/>
          <w:tab w:val="left" w:pos="3119"/>
        </w:tabs>
        <w:ind w:left="2127" w:hanging="142"/>
        <w:rPr>
          <w:rFonts w:ascii="Arial" w:hAnsi="Arial" w:cs="Arial"/>
          <w:szCs w:val="24"/>
          <w:lang w:val="es-AR"/>
        </w:rPr>
      </w:pPr>
      <w:r w:rsidRPr="00701F32">
        <w:rPr>
          <w:rFonts w:ascii="Arial" w:hAnsi="Arial" w:cs="Arial"/>
          <w:szCs w:val="24"/>
          <w:lang w:val="es-AR"/>
        </w:rPr>
        <w:tab/>
      </w:r>
    </w:p>
    <w:p w14:paraId="0D021108" w14:textId="77777777" w:rsidR="00C7146E" w:rsidRPr="00701F32" w:rsidRDefault="00C7146E" w:rsidP="00A770AD">
      <w:pPr>
        <w:pStyle w:val="Ttuloprincipal"/>
        <w:tabs>
          <w:tab w:val="left" w:pos="1701"/>
          <w:tab w:val="left" w:pos="3119"/>
        </w:tabs>
        <w:ind w:left="1701" w:hanging="1701"/>
        <w:jc w:val="left"/>
        <w:rPr>
          <w:rFonts w:ascii="Arial" w:hAnsi="Arial" w:cs="Arial"/>
          <w:szCs w:val="24"/>
          <w:lang w:val="es-AR"/>
        </w:rPr>
      </w:pPr>
    </w:p>
    <w:p w14:paraId="2354134F" w14:textId="77777777" w:rsidR="009C772C" w:rsidRPr="00701F32" w:rsidRDefault="009C772C" w:rsidP="00333643">
      <w:pPr>
        <w:pStyle w:val="Ttuloprincipal"/>
        <w:tabs>
          <w:tab w:val="left" w:pos="1701"/>
          <w:tab w:val="left" w:pos="3119"/>
        </w:tabs>
        <w:ind w:left="2127" w:hanging="142"/>
        <w:rPr>
          <w:rFonts w:ascii="Arial" w:hAnsi="Arial" w:cs="Arial"/>
          <w:b w:val="0"/>
          <w:szCs w:val="24"/>
        </w:rPr>
      </w:pPr>
    </w:p>
    <w:p w14:paraId="6B758867" w14:textId="77777777" w:rsidR="009C772C" w:rsidRPr="00701F32" w:rsidRDefault="009C772C" w:rsidP="00F71E65">
      <w:pPr>
        <w:pStyle w:val="Texto"/>
        <w:tabs>
          <w:tab w:val="left" w:pos="6120"/>
        </w:tabs>
        <w:rPr>
          <w:rFonts w:ascii="Arial" w:hAnsi="Arial" w:cs="Arial"/>
          <w:b/>
          <w:sz w:val="24"/>
          <w:szCs w:val="24"/>
        </w:rPr>
      </w:pPr>
    </w:p>
    <w:p w14:paraId="16FEB4EE" w14:textId="77777777" w:rsidR="009C772C" w:rsidRPr="00701F32" w:rsidRDefault="009C772C" w:rsidP="009C772C">
      <w:pPr>
        <w:pStyle w:val="Ttuloprincipal"/>
        <w:ind w:left="-120"/>
        <w:jc w:val="left"/>
        <w:rPr>
          <w:rFonts w:ascii="Arial" w:hAnsi="Arial" w:cs="Arial"/>
          <w:szCs w:val="24"/>
        </w:rPr>
      </w:pPr>
    </w:p>
    <w:p w14:paraId="446FDC50" w14:textId="77777777" w:rsidR="00F23240" w:rsidRPr="00701F32" w:rsidRDefault="00F23240" w:rsidP="0065628D">
      <w:pPr>
        <w:pStyle w:val="Ttuloprincipal"/>
        <w:jc w:val="left"/>
        <w:rPr>
          <w:rFonts w:ascii="Arial" w:hAnsi="Arial" w:cs="Arial"/>
          <w:b w:val="0"/>
          <w:szCs w:val="24"/>
        </w:rPr>
      </w:pPr>
    </w:p>
    <w:p w14:paraId="1263B857" w14:textId="77777777" w:rsidR="008E2F1B" w:rsidRPr="00701F32" w:rsidRDefault="008E2F1B" w:rsidP="0065628D">
      <w:pPr>
        <w:pStyle w:val="Ttuloprincipal"/>
        <w:jc w:val="left"/>
        <w:rPr>
          <w:rFonts w:ascii="Arial" w:hAnsi="Arial" w:cs="Arial"/>
          <w:b w:val="0"/>
          <w:szCs w:val="24"/>
        </w:rPr>
      </w:pPr>
    </w:p>
    <w:p w14:paraId="16A39BD4" w14:textId="77777777" w:rsidR="008E2F1B" w:rsidRPr="00701F32" w:rsidRDefault="008E2F1B" w:rsidP="0065628D">
      <w:pPr>
        <w:pStyle w:val="Ttuloprincipal"/>
        <w:jc w:val="left"/>
        <w:rPr>
          <w:rFonts w:ascii="Arial" w:hAnsi="Arial" w:cs="Arial"/>
          <w:b w:val="0"/>
          <w:szCs w:val="24"/>
        </w:rPr>
      </w:pPr>
    </w:p>
    <w:p w14:paraId="1D9DCCAA" w14:textId="77777777" w:rsidR="008E2F1B" w:rsidRPr="00701F32" w:rsidRDefault="008E2F1B" w:rsidP="008E2F1B">
      <w:pPr>
        <w:pStyle w:val="Ttuloprincipal"/>
        <w:jc w:val="left"/>
        <w:rPr>
          <w:rFonts w:ascii="Arial" w:hAnsi="Arial" w:cs="Arial"/>
          <w:b w:val="0"/>
          <w:szCs w:val="24"/>
        </w:rPr>
      </w:pPr>
    </w:p>
    <w:p w14:paraId="49C15586" w14:textId="77777777" w:rsidR="008E2F1B" w:rsidRPr="00701F32" w:rsidRDefault="008E2F1B" w:rsidP="008E2F1B">
      <w:pPr>
        <w:pStyle w:val="Ttuloprincipal"/>
        <w:jc w:val="left"/>
        <w:rPr>
          <w:rFonts w:ascii="Arial" w:hAnsi="Arial" w:cs="Arial"/>
          <w:b w:val="0"/>
          <w:szCs w:val="24"/>
        </w:rPr>
      </w:pPr>
    </w:p>
    <w:p w14:paraId="18FABF43" w14:textId="77777777" w:rsidR="00333643" w:rsidRPr="00701F32" w:rsidRDefault="00333643" w:rsidP="00333643">
      <w:pPr>
        <w:pStyle w:val="Ttuloprincipal"/>
        <w:ind w:left="-120"/>
        <w:jc w:val="left"/>
        <w:rPr>
          <w:rFonts w:ascii="Arial" w:hAnsi="Arial" w:cs="Arial"/>
          <w:szCs w:val="24"/>
        </w:rPr>
      </w:pPr>
      <w:r w:rsidRPr="00701F32">
        <w:rPr>
          <w:rFonts w:ascii="Arial" w:hAnsi="Arial" w:cs="Arial"/>
          <w:szCs w:val="24"/>
        </w:rPr>
        <w:t>BANCO SUPERVIELLE S.A.</w:t>
      </w:r>
    </w:p>
    <w:p w14:paraId="66882F0D" w14:textId="77777777" w:rsidR="00333643" w:rsidRPr="00701F32" w:rsidRDefault="00333643" w:rsidP="00333643">
      <w:pPr>
        <w:pStyle w:val="Ttuloprincipal"/>
        <w:ind w:left="-120"/>
        <w:rPr>
          <w:rFonts w:ascii="Arial" w:hAnsi="Arial" w:cs="Arial"/>
          <w:szCs w:val="24"/>
        </w:rPr>
      </w:pPr>
    </w:p>
    <w:p w14:paraId="1181EB07" w14:textId="77777777" w:rsidR="00333643" w:rsidRPr="00701F32" w:rsidRDefault="00333643" w:rsidP="00333643">
      <w:pPr>
        <w:pStyle w:val="Ttuloprincipal"/>
        <w:ind w:left="-120"/>
        <w:jc w:val="left"/>
        <w:rPr>
          <w:rFonts w:ascii="Arial" w:hAnsi="Arial" w:cs="Arial"/>
          <w:szCs w:val="24"/>
        </w:rPr>
      </w:pPr>
    </w:p>
    <w:p w14:paraId="40223533" w14:textId="77777777" w:rsidR="00333643" w:rsidRPr="00701F32" w:rsidRDefault="00333643" w:rsidP="00333643">
      <w:pPr>
        <w:pStyle w:val="Ttuloprincipal"/>
        <w:ind w:left="-120"/>
        <w:jc w:val="left"/>
        <w:rPr>
          <w:rFonts w:ascii="Arial" w:hAnsi="Arial" w:cs="Arial"/>
          <w:szCs w:val="24"/>
        </w:rPr>
      </w:pPr>
      <w:r w:rsidRPr="00701F32">
        <w:rPr>
          <w:rFonts w:ascii="Arial" w:hAnsi="Arial" w:cs="Arial"/>
          <w:szCs w:val="24"/>
        </w:rPr>
        <w:t xml:space="preserve">Estados </w:t>
      </w:r>
      <w:r w:rsidR="00B0586C" w:rsidRPr="00701F32">
        <w:rPr>
          <w:rFonts w:ascii="Arial" w:hAnsi="Arial" w:cs="Arial"/>
          <w:szCs w:val="24"/>
        </w:rPr>
        <w:t>financieros</w:t>
      </w:r>
      <w:r w:rsidR="00DC12EA" w:rsidRPr="00701F32">
        <w:rPr>
          <w:rFonts w:ascii="Arial" w:hAnsi="Arial" w:cs="Arial"/>
          <w:szCs w:val="24"/>
        </w:rPr>
        <w:t xml:space="preserve"> condensados</w:t>
      </w:r>
      <w:r w:rsidRPr="00701F32">
        <w:rPr>
          <w:rFonts w:ascii="Arial" w:hAnsi="Arial" w:cs="Arial"/>
          <w:szCs w:val="24"/>
        </w:rPr>
        <w:t xml:space="preserve"> </w:t>
      </w:r>
      <w:r w:rsidR="00286343" w:rsidRPr="00701F32">
        <w:rPr>
          <w:rFonts w:ascii="Arial" w:hAnsi="Arial" w:cs="Arial"/>
          <w:szCs w:val="24"/>
        </w:rPr>
        <w:t>consolidados</w:t>
      </w:r>
      <w:r w:rsidR="00B17828" w:rsidRPr="00701F32">
        <w:rPr>
          <w:rFonts w:ascii="Arial" w:hAnsi="Arial" w:cs="Arial"/>
          <w:szCs w:val="24"/>
        </w:rPr>
        <w:t xml:space="preserve"> intermedios</w:t>
      </w:r>
    </w:p>
    <w:p w14:paraId="7B5FAE34" w14:textId="77777777" w:rsidR="00333643" w:rsidRPr="00701F32" w:rsidRDefault="00333643" w:rsidP="00333643">
      <w:pPr>
        <w:pStyle w:val="Ttuloprincipal"/>
        <w:ind w:left="-120"/>
        <w:jc w:val="left"/>
        <w:rPr>
          <w:rFonts w:ascii="Arial" w:hAnsi="Arial" w:cs="Arial"/>
          <w:szCs w:val="24"/>
        </w:rPr>
      </w:pPr>
    </w:p>
    <w:p w14:paraId="20AB0870" w14:textId="77777777" w:rsidR="00184D53" w:rsidRPr="00701F32" w:rsidRDefault="00184D53" w:rsidP="00184D53">
      <w:pPr>
        <w:pStyle w:val="Ttuloprincipal"/>
        <w:ind w:left="-120"/>
        <w:jc w:val="left"/>
        <w:rPr>
          <w:rFonts w:ascii="Arial" w:hAnsi="Arial" w:cs="Arial"/>
          <w:b w:val="0"/>
          <w:szCs w:val="24"/>
        </w:rPr>
      </w:pPr>
      <w:r w:rsidRPr="00701F32">
        <w:rPr>
          <w:rFonts w:ascii="Arial" w:hAnsi="Arial" w:cs="Arial"/>
          <w:b w:val="0"/>
          <w:szCs w:val="24"/>
        </w:rPr>
        <w:t>Correspondientes al período de</w:t>
      </w:r>
      <w:r w:rsidR="00202FE4" w:rsidRPr="00701F32">
        <w:rPr>
          <w:rFonts w:ascii="Arial" w:hAnsi="Arial" w:cs="Arial"/>
          <w:b w:val="0"/>
          <w:szCs w:val="24"/>
        </w:rPr>
        <w:t xml:space="preserve"> nueve</w:t>
      </w:r>
      <w:r w:rsidRPr="00701F32">
        <w:rPr>
          <w:rFonts w:ascii="Arial" w:hAnsi="Arial" w:cs="Arial"/>
          <w:b w:val="0"/>
          <w:szCs w:val="24"/>
        </w:rPr>
        <w:t xml:space="preserve"> meses finalizado el </w:t>
      </w:r>
    </w:p>
    <w:p w14:paraId="5C6F7ACA" w14:textId="77777777" w:rsidR="00333643" w:rsidRPr="00701F32" w:rsidRDefault="00184D53" w:rsidP="00184D53">
      <w:pPr>
        <w:pStyle w:val="Ttuloprincipal"/>
        <w:ind w:left="-120"/>
        <w:jc w:val="left"/>
        <w:rPr>
          <w:rFonts w:ascii="Arial" w:hAnsi="Arial" w:cs="Arial"/>
          <w:b w:val="0"/>
          <w:szCs w:val="24"/>
        </w:rPr>
      </w:pPr>
      <w:r w:rsidRPr="00701F32">
        <w:rPr>
          <w:rFonts w:ascii="Arial" w:hAnsi="Arial" w:cs="Arial"/>
          <w:b w:val="0"/>
          <w:szCs w:val="24"/>
        </w:rPr>
        <w:t>3</w:t>
      </w:r>
      <w:r w:rsidR="00056942" w:rsidRPr="00701F32">
        <w:rPr>
          <w:rFonts w:ascii="Arial" w:hAnsi="Arial" w:cs="Arial"/>
          <w:b w:val="0"/>
          <w:szCs w:val="24"/>
        </w:rPr>
        <w:t>0</w:t>
      </w:r>
      <w:r w:rsidRPr="00701F32">
        <w:rPr>
          <w:rFonts w:ascii="Arial" w:hAnsi="Arial" w:cs="Arial"/>
          <w:b w:val="0"/>
          <w:szCs w:val="24"/>
        </w:rPr>
        <w:t xml:space="preserve"> de </w:t>
      </w:r>
      <w:r w:rsidR="00202FE4" w:rsidRPr="00701F32">
        <w:rPr>
          <w:rFonts w:ascii="Arial" w:hAnsi="Arial" w:cs="Arial"/>
          <w:b w:val="0"/>
          <w:szCs w:val="24"/>
        </w:rPr>
        <w:t>septiembre</w:t>
      </w:r>
      <w:r w:rsidR="00707D83" w:rsidRPr="00701F32">
        <w:rPr>
          <w:rFonts w:ascii="Arial" w:hAnsi="Arial" w:cs="Arial"/>
          <w:b w:val="0"/>
          <w:szCs w:val="24"/>
        </w:rPr>
        <w:t xml:space="preserve"> </w:t>
      </w:r>
      <w:r w:rsidRPr="00701F32">
        <w:rPr>
          <w:rFonts w:ascii="Arial" w:hAnsi="Arial" w:cs="Arial"/>
          <w:b w:val="0"/>
          <w:szCs w:val="24"/>
        </w:rPr>
        <w:t>de 201</w:t>
      </w:r>
      <w:r w:rsidR="004E67BD" w:rsidRPr="00701F32">
        <w:rPr>
          <w:rFonts w:ascii="Arial" w:hAnsi="Arial" w:cs="Arial"/>
          <w:b w:val="0"/>
          <w:szCs w:val="24"/>
        </w:rPr>
        <w:t>8</w:t>
      </w:r>
      <w:r w:rsidRPr="00701F32">
        <w:rPr>
          <w:rFonts w:ascii="Arial" w:hAnsi="Arial" w:cs="Arial"/>
          <w:b w:val="0"/>
          <w:szCs w:val="24"/>
        </w:rPr>
        <w:t>, presentados en forma comparativa</w:t>
      </w:r>
    </w:p>
    <w:p w14:paraId="3BC689E0" w14:textId="77777777" w:rsidR="00333643" w:rsidRPr="00701F32" w:rsidRDefault="00333643" w:rsidP="00333643">
      <w:pPr>
        <w:pStyle w:val="Ttuloprincipal"/>
        <w:jc w:val="left"/>
        <w:rPr>
          <w:rFonts w:ascii="Arial" w:hAnsi="Arial" w:cs="Arial"/>
          <w:b w:val="0"/>
          <w:szCs w:val="24"/>
        </w:rPr>
      </w:pPr>
    </w:p>
    <w:p w14:paraId="4AA41ED5" w14:textId="77777777" w:rsidR="00333643" w:rsidRPr="00701F32" w:rsidRDefault="00333643" w:rsidP="00333643">
      <w:pPr>
        <w:pStyle w:val="Ttuloprincipal"/>
        <w:jc w:val="left"/>
        <w:rPr>
          <w:rFonts w:ascii="Arial" w:hAnsi="Arial" w:cs="Arial"/>
          <w:b w:val="0"/>
          <w:szCs w:val="24"/>
        </w:rPr>
      </w:pPr>
    </w:p>
    <w:p w14:paraId="153F9DA9" w14:textId="77777777" w:rsidR="008E2F1B" w:rsidRPr="00701F32" w:rsidRDefault="008E2F1B" w:rsidP="008E2F1B">
      <w:pPr>
        <w:pStyle w:val="Ttuloprincipal"/>
        <w:jc w:val="left"/>
        <w:rPr>
          <w:rFonts w:ascii="Arial" w:hAnsi="Arial" w:cs="Arial"/>
          <w:b w:val="0"/>
          <w:szCs w:val="24"/>
        </w:rPr>
      </w:pPr>
    </w:p>
    <w:p w14:paraId="44900C6C" w14:textId="77777777" w:rsidR="008E2F1B" w:rsidRPr="00701F32" w:rsidRDefault="008E2F1B" w:rsidP="008E2F1B">
      <w:pPr>
        <w:pStyle w:val="Ttuloprincipal"/>
        <w:jc w:val="left"/>
        <w:rPr>
          <w:rFonts w:ascii="Arial" w:hAnsi="Arial" w:cs="Arial"/>
          <w:b w:val="0"/>
          <w:szCs w:val="24"/>
        </w:rPr>
      </w:pPr>
    </w:p>
    <w:p w14:paraId="653975A1" w14:textId="77777777" w:rsidR="008E2F1B" w:rsidRPr="00701F32" w:rsidRDefault="008E2F1B" w:rsidP="008E2F1B">
      <w:pPr>
        <w:pStyle w:val="Ttuloprincipal"/>
        <w:jc w:val="left"/>
        <w:rPr>
          <w:rFonts w:ascii="Arial" w:hAnsi="Arial" w:cs="Arial"/>
          <w:b w:val="0"/>
          <w:szCs w:val="24"/>
        </w:rPr>
      </w:pPr>
    </w:p>
    <w:p w14:paraId="68629EFE" w14:textId="77777777" w:rsidR="008E2F1B" w:rsidRPr="00701F32" w:rsidRDefault="008E2F1B" w:rsidP="008E2F1B">
      <w:pPr>
        <w:pStyle w:val="Ttuloprincipal"/>
        <w:jc w:val="left"/>
        <w:rPr>
          <w:rFonts w:ascii="Arial" w:hAnsi="Arial" w:cs="Arial"/>
          <w:b w:val="0"/>
          <w:szCs w:val="24"/>
        </w:rPr>
      </w:pPr>
    </w:p>
    <w:p w14:paraId="2A7A59A1" w14:textId="77777777" w:rsidR="008E2F1B" w:rsidRPr="00701F32" w:rsidRDefault="008E2F1B" w:rsidP="008E2F1B">
      <w:pPr>
        <w:pStyle w:val="Ttuloprincipal"/>
        <w:jc w:val="left"/>
        <w:rPr>
          <w:rFonts w:ascii="Arial" w:hAnsi="Arial" w:cs="Arial"/>
          <w:b w:val="0"/>
          <w:szCs w:val="24"/>
        </w:rPr>
      </w:pPr>
    </w:p>
    <w:p w14:paraId="32CD49C9" w14:textId="77777777" w:rsidR="008E2F1B" w:rsidRPr="00701F32" w:rsidRDefault="008E2F1B" w:rsidP="008E2F1B">
      <w:pPr>
        <w:pStyle w:val="Ttuloprincipal"/>
        <w:jc w:val="left"/>
        <w:rPr>
          <w:rFonts w:ascii="Arial" w:hAnsi="Arial" w:cs="Arial"/>
          <w:b w:val="0"/>
          <w:szCs w:val="24"/>
        </w:rPr>
      </w:pPr>
    </w:p>
    <w:p w14:paraId="089464C3" w14:textId="77777777" w:rsidR="008E2F1B" w:rsidRPr="00701F32" w:rsidRDefault="008E2F1B" w:rsidP="008E2F1B">
      <w:pPr>
        <w:pStyle w:val="Ttuloprincipal"/>
        <w:jc w:val="left"/>
        <w:rPr>
          <w:rFonts w:ascii="Arial" w:hAnsi="Arial" w:cs="Arial"/>
          <w:b w:val="0"/>
          <w:szCs w:val="24"/>
        </w:rPr>
      </w:pPr>
    </w:p>
    <w:p w14:paraId="3FEA3DEB" w14:textId="77777777" w:rsidR="008E2F1B" w:rsidRPr="00701F32" w:rsidRDefault="008E2F1B" w:rsidP="008E2F1B">
      <w:pPr>
        <w:pStyle w:val="Ttuloprincipal"/>
        <w:jc w:val="left"/>
        <w:rPr>
          <w:rFonts w:ascii="Arial" w:hAnsi="Arial" w:cs="Arial"/>
          <w:b w:val="0"/>
          <w:szCs w:val="24"/>
        </w:rPr>
      </w:pPr>
    </w:p>
    <w:p w14:paraId="1856393D" w14:textId="77777777" w:rsidR="008E2F1B" w:rsidRPr="00701F32" w:rsidRDefault="008E2F1B" w:rsidP="008E2F1B">
      <w:pPr>
        <w:pStyle w:val="Ttuloprincipal"/>
        <w:jc w:val="left"/>
        <w:rPr>
          <w:rFonts w:ascii="Arial" w:hAnsi="Arial" w:cs="Arial"/>
          <w:b w:val="0"/>
          <w:szCs w:val="24"/>
        </w:rPr>
      </w:pPr>
    </w:p>
    <w:p w14:paraId="3EDE9CF8" w14:textId="77777777" w:rsidR="008E2F1B" w:rsidRPr="00701F32" w:rsidRDefault="008E2F1B" w:rsidP="008E2F1B">
      <w:pPr>
        <w:pStyle w:val="Ttuloprincipal"/>
        <w:jc w:val="left"/>
        <w:rPr>
          <w:rFonts w:ascii="Arial" w:hAnsi="Arial" w:cs="Arial"/>
          <w:b w:val="0"/>
          <w:szCs w:val="24"/>
        </w:rPr>
      </w:pPr>
    </w:p>
    <w:p w14:paraId="7D38BEB1" w14:textId="77777777" w:rsidR="008E2F1B" w:rsidRPr="00701F32" w:rsidRDefault="008E2F1B" w:rsidP="008E2F1B">
      <w:pPr>
        <w:pStyle w:val="Ttuloprincipal"/>
        <w:jc w:val="left"/>
        <w:rPr>
          <w:rFonts w:ascii="Arial" w:hAnsi="Arial" w:cs="Arial"/>
          <w:b w:val="0"/>
          <w:szCs w:val="24"/>
        </w:rPr>
      </w:pPr>
    </w:p>
    <w:p w14:paraId="04F87C06" w14:textId="77777777" w:rsidR="008E2F1B" w:rsidRPr="00701F32" w:rsidRDefault="008E2F1B" w:rsidP="008E2F1B">
      <w:pPr>
        <w:pStyle w:val="Ttuloprincipal"/>
        <w:jc w:val="left"/>
        <w:rPr>
          <w:rFonts w:ascii="Arial" w:hAnsi="Arial" w:cs="Arial"/>
          <w:b w:val="0"/>
          <w:szCs w:val="24"/>
        </w:rPr>
      </w:pPr>
    </w:p>
    <w:p w14:paraId="4BBA9F10" w14:textId="77777777" w:rsidR="00765726" w:rsidRPr="00701F32" w:rsidRDefault="00765726" w:rsidP="008E2F1B">
      <w:pPr>
        <w:pStyle w:val="Ttuloprincipal"/>
        <w:jc w:val="left"/>
        <w:rPr>
          <w:rFonts w:ascii="Arial" w:hAnsi="Arial" w:cs="Arial"/>
          <w:b w:val="0"/>
          <w:szCs w:val="24"/>
        </w:rPr>
      </w:pPr>
    </w:p>
    <w:p w14:paraId="5174FB15" w14:textId="77777777" w:rsidR="008E2F1B" w:rsidRPr="00701F32" w:rsidRDefault="008E2F1B" w:rsidP="008E2F1B">
      <w:pPr>
        <w:pStyle w:val="Ttuloprincipal"/>
        <w:jc w:val="left"/>
        <w:rPr>
          <w:rFonts w:ascii="Arial" w:hAnsi="Arial" w:cs="Arial"/>
          <w:b w:val="0"/>
          <w:szCs w:val="24"/>
        </w:rPr>
      </w:pPr>
    </w:p>
    <w:p w14:paraId="0FD13F68" w14:textId="77777777" w:rsidR="008E2F1B" w:rsidRPr="00701F32" w:rsidRDefault="008E2F1B" w:rsidP="008E2F1B">
      <w:pPr>
        <w:pStyle w:val="Ttuloprincipal"/>
        <w:jc w:val="left"/>
        <w:rPr>
          <w:rFonts w:ascii="Arial" w:hAnsi="Arial" w:cs="Arial"/>
          <w:b w:val="0"/>
          <w:szCs w:val="24"/>
        </w:rPr>
      </w:pPr>
    </w:p>
    <w:p w14:paraId="697A2609" w14:textId="77777777" w:rsidR="008E2F1B" w:rsidRPr="00701F32" w:rsidRDefault="008E2F1B" w:rsidP="008E2F1B">
      <w:pPr>
        <w:pStyle w:val="Ttuloprincipal"/>
        <w:jc w:val="left"/>
        <w:rPr>
          <w:rFonts w:ascii="Arial" w:hAnsi="Arial" w:cs="Arial"/>
          <w:b w:val="0"/>
          <w:szCs w:val="24"/>
        </w:rPr>
      </w:pPr>
    </w:p>
    <w:p w14:paraId="0E121C63" w14:textId="77777777" w:rsidR="008E2F1B" w:rsidRPr="00701F32" w:rsidRDefault="008E2F1B" w:rsidP="008E2F1B">
      <w:pPr>
        <w:pStyle w:val="Ttuloprincipal"/>
        <w:jc w:val="left"/>
        <w:rPr>
          <w:rFonts w:ascii="Arial" w:hAnsi="Arial" w:cs="Arial"/>
          <w:b w:val="0"/>
          <w:szCs w:val="24"/>
        </w:rPr>
      </w:pPr>
    </w:p>
    <w:p w14:paraId="67D7B1C4" w14:textId="77777777" w:rsidR="008E2F1B" w:rsidRPr="00701F32" w:rsidRDefault="008E2F1B" w:rsidP="008E2F1B">
      <w:pPr>
        <w:pStyle w:val="Ttuloprincipal"/>
        <w:jc w:val="left"/>
        <w:rPr>
          <w:rFonts w:ascii="Arial" w:hAnsi="Arial" w:cs="Arial"/>
          <w:b w:val="0"/>
          <w:szCs w:val="24"/>
        </w:rPr>
      </w:pPr>
    </w:p>
    <w:p w14:paraId="58CBA80F" w14:textId="77777777" w:rsidR="00DC12EA" w:rsidRPr="00701F32" w:rsidRDefault="00DC12EA" w:rsidP="008E2F1B">
      <w:pPr>
        <w:pStyle w:val="Ttuloprincipal"/>
        <w:jc w:val="left"/>
        <w:rPr>
          <w:rFonts w:ascii="Arial" w:hAnsi="Arial" w:cs="Arial"/>
          <w:b w:val="0"/>
          <w:szCs w:val="24"/>
        </w:rPr>
      </w:pPr>
    </w:p>
    <w:p w14:paraId="17FB2AF5" w14:textId="77777777" w:rsidR="00B73FC6" w:rsidRPr="00701F32" w:rsidRDefault="00B73FC6" w:rsidP="008E2F1B">
      <w:pPr>
        <w:pStyle w:val="Ttuloprincipal"/>
        <w:jc w:val="left"/>
        <w:rPr>
          <w:rFonts w:ascii="Arial" w:hAnsi="Arial" w:cs="Arial"/>
          <w:b w:val="0"/>
          <w:szCs w:val="24"/>
        </w:rPr>
      </w:pPr>
    </w:p>
    <w:p w14:paraId="19ABB4E0" w14:textId="77777777" w:rsidR="008E2F1B" w:rsidRPr="00701F32" w:rsidRDefault="008E2F1B" w:rsidP="008E2F1B">
      <w:pPr>
        <w:pStyle w:val="Ttuloprincipal"/>
        <w:jc w:val="left"/>
        <w:rPr>
          <w:rFonts w:ascii="Arial" w:hAnsi="Arial" w:cs="Arial"/>
          <w:b w:val="0"/>
          <w:szCs w:val="24"/>
        </w:rPr>
      </w:pPr>
    </w:p>
    <w:p w14:paraId="6B46ADDE" w14:textId="77777777" w:rsidR="008E2F1B" w:rsidRPr="00701F32" w:rsidRDefault="008E2F1B" w:rsidP="008E2F1B">
      <w:pPr>
        <w:pStyle w:val="Ttuloprincipal"/>
        <w:jc w:val="left"/>
        <w:rPr>
          <w:rFonts w:ascii="Arial" w:hAnsi="Arial" w:cs="Arial"/>
          <w:b w:val="0"/>
          <w:szCs w:val="24"/>
        </w:rPr>
      </w:pPr>
    </w:p>
    <w:p w14:paraId="11891C35" w14:textId="77777777" w:rsidR="008E2F1B" w:rsidRPr="00701F32" w:rsidRDefault="008E2F1B" w:rsidP="008E2F1B">
      <w:pPr>
        <w:pStyle w:val="Ttuloprincipal"/>
        <w:jc w:val="left"/>
        <w:rPr>
          <w:rFonts w:ascii="Arial" w:hAnsi="Arial" w:cs="Arial"/>
          <w:b w:val="0"/>
          <w:szCs w:val="24"/>
        </w:rPr>
      </w:pPr>
    </w:p>
    <w:p w14:paraId="540BC8C9" w14:textId="77777777" w:rsidR="00EF4C18" w:rsidRPr="00701F32" w:rsidRDefault="00EF4C18" w:rsidP="008E2F1B">
      <w:pPr>
        <w:pStyle w:val="Ttuloprincipal"/>
        <w:jc w:val="left"/>
        <w:rPr>
          <w:rFonts w:ascii="Arial" w:hAnsi="Arial" w:cs="Arial"/>
          <w:b w:val="0"/>
          <w:szCs w:val="24"/>
        </w:rPr>
      </w:pPr>
    </w:p>
    <w:p w14:paraId="6322B550" w14:textId="77777777" w:rsidR="00EF4C18" w:rsidRPr="00701F32" w:rsidRDefault="00EF4C18" w:rsidP="008E2F1B">
      <w:pPr>
        <w:pStyle w:val="Ttuloprincipal"/>
        <w:jc w:val="left"/>
        <w:rPr>
          <w:rFonts w:ascii="Arial" w:hAnsi="Arial" w:cs="Arial"/>
          <w:b w:val="0"/>
          <w:szCs w:val="24"/>
        </w:rPr>
      </w:pPr>
    </w:p>
    <w:p w14:paraId="4592A64A" w14:textId="77777777" w:rsidR="008E2F1B" w:rsidRPr="00701F32" w:rsidRDefault="008E2F1B" w:rsidP="008E2F1B">
      <w:pPr>
        <w:pStyle w:val="Ttuloprincipal"/>
        <w:jc w:val="left"/>
        <w:rPr>
          <w:rFonts w:ascii="Arial" w:hAnsi="Arial" w:cs="Arial"/>
          <w:b w:val="0"/>
          <w:szCs w:val="24"/>
        </w:rPr>
      </w:pPr>
    </w:p>
    <w:p w14:paraId="260231C3" w14:textId="77777777" w:rsidR="008E2F1B" w:rsidRPr="00701F32" w:rsidRDefault="008E2F1B" w:rsidP="008E2F1B">
      <w:pPr>
        <w:pStyle w:val="Ttuloprincipal"/>
        <w:jc w:val="left"/>
        <w:rPr>
          <w:rFonts w:ascii="Arial" w:hAnsi="Arial" w:cs="Arial"/>
          <w:b w:val="0"/>
          <w:szCs w:val="24"/>
        </w:rPr>
      </w:pPr>
    </w:p>
    <w:p w14:paraId="3D3BC741" w14:textId="77777777" w:rsidR="008E2F1B" w:rsidRPr="00701F32" w:rsidRDefault="008E2F1B" w:rsidP="008E2F1B">
      <w:pPr>
        <w:pStyle w:val="Ttuloprincipal"/>
        <w:jc w:val="right"/>
        <w:rPr>
          <w:rFonts w:ascii="Arial" w:hAnsi="Arial" w:cs="Arial"/>
          <w:b w:val="0"/>
          <w:szCs w:val="24"/>
        </w:rPr>
      </w:pPr>
    </w:p>
    <w:p w14:paraId="3957D20B" w14:textId="77777777" w:rsidR="00AE2D3E" w:rsidRPr="00701F32" w:rsidRDefault="00C73F2F" w:rsidP="00540B98">
      <w:pPr>
        <w:pStyle w:val="Ttuloprincipal"/>
        <w:rPr>
          <w:rFonts w:ascii="Arial" w:hAnsi="Arial" w:cs="Arial"/>
          <w:szCs w:val="24"/>
        </w:rPr>
      </w:pPr>
      <w:r w:rsidRPr="00701F32">
        <w:rPr>
          <w:rFonts w:ascii="Arial" w:hAnsi="Arial" w:cs="Arial"/>
          <w:szCs w:val="24"/>
        </w:rPr>
        <w:t>BANCO SUPERVIELLE S.A.</w:t>
      </w:r>
    </w:p>
    <w:p w14:paraId="7921CA22" w14:textId="77777777" w:rsidR="00AE2D3E" w:rsidRPr="00701F32" w:rsidRDefault="00AE2D3E" w:rsidP="0065628D">
      <w:pPr>
        <w:pStyle w:val="Ttuloprincipal"/>
        <w:jc w:val="left"/>
        <w:rPr>
          <w:rFonts w:ascii="Arial" w:hAnsi="Arial" w:cs="Arial"/>
          <w:b w:val="0"/>
          <w:szCs w:val="24"/>
        </w:rPr>
      </w:pP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09"/>
        <w:gridCol w:w="3544"/>
      </w:tblGrid>
      <w:tr w:rsidR="00F44A24" w:rsidRPr="00701F32" w14:paraId="49EF61AA" w14:textId="77777777" w:rsidTr="00F44A24">
        <w:trPr>
          <w:trHeight w:val="624"/>
        </w:trPr>
        <w:tc>
          <w:tcPr>
            <w:tcW w:w="4077" w:type="dxa"/>
            <w:vAlign w:val="center"/>
          </w:tcPr>
          <w:p w14:paraId="205467E6" w14:textId="77777777" w:rsidR="00F44A24" w:rsidRPr="00701F32" w:rsidRDefault="00F44A24" w:rsidP="005B01F3">
            <w:pPr>
              <w:rPr>
                <w:rFonts w:ascii="Arial" w:hAnsi="Arial" w:cs="Arial"/>
                <w:sz w:val="22"/>
                <w:szCs w:val="22"/>
              </w:rPr>
            </w:pPr>
            <w:r w:rsidRPr="00701F32">
              <w:rPr>
                <w:rFonts w:ascii="Arial" w:hAnsi="Arial" w:cs="Arial"/>
                <w:sz w:val="22"/>
                <w:szCs w:val="22"/>
              </w:rPr>
              <w:t>Domicilio legal:</w:t>
            </w:r>
          </w:p>
        </w:tc>
        <w:tc>
          <w:tcPr>
            <w:tcW w:w="709" w:type="dxa"/>
          </w:tcPr>
          <w:p w14:paraId="6122AB9C" w14:textId="77777777" w:rsidR="00F44A24" w:rsidRPr="00701F32" w:rsidRDefault="00F44A24" w:rsidP="005B01F3">
            <w:pPr>
              <w:ind w:left="34" w:hanging="34"/>
              <w:rPr>
                <w:rFonts w:ascii="Arial" w:hAnsi="Arial" w:cs="Arial"/>
                <w:sz w:val="22"/>
                <w:szCs w:val="22"/>
              </w:rPr>
            </w:pPr>
          </w:p>
        </w:tc>
        <w:tc>
          <w:tcPr>
            <w:tcW w:w="3544" w:type="dxa"/>
            <w:vAlign w:val="center"/>
          </w:tcPr>
          <w:p w14:paraId="0A1E5D56" w14:textId="77777777" w:rsidR="00F44A24" w:rsidRPr="00701F32" w:rsidRDefault="00F44A24" w:rsidP="005B01F3">
            <w:pPr>
              <w:rPr>
                <w:rFonts w:ascii="Arial" w:hAnsi="Arial" w:cs="Arial"/>
                <w:sz w:val="22"/>
                <w:szCs w:val="22"/>
              </w:rPr>
            </w:pPr>
            <w:r w:rsidRPr="00701F32">
              <w:rPr>
                <w:rFonts w:ascii="Arial" w:hAnsi="Arial" w:cs="Arial"/>
                <w:sz w:val="22"/>
                <w:szCs w:val="22"/>
              </w:rPr>
              <w:t>Bartolomé Mitre 434  –  Ciudad Autónoma de Buenos Aires</w:t>
            </w:r>
          </w:p>
        </w:tc>
      </w:tr>
      <w:tr w:rsidR="00F44A24" w:rsidRPr="00701F32" w14:paraId="0B9D3B62" w14:textId="77777777" w:rsidTr="00F44A24">
        <w:trPr>
          <w:trHeight w:val="567"/>
        </w:trPr>
        <w:tc>
          <w:tcPr>
            <w:tcW w:w="4077" w:type="dxa"/>
            <w:vAlign w:val="center"/>
          </w:tcPr>
          <w:p w14:paraId="7F82A426" w14:textId="77777777" w:rsidR="00F44A24" w:rsidRPr="00701F32" w:rsidRDefault="00F44A24" w:rsidP="005B01F3">
            <w:pPr>
              <w:rPr>
                <w:rFonts w:ascii="Arial" w:hAnsi="Arial" w:cs="Arial"/>
                <w:sz w:val="22"/>
                <w:szCs w:val="22"/>
              </w:rPr>
            </w:pPr>
            <w:r w:rsidRPr="00701F32">
              <w:rPr>
                <w:rFonts w:ascii="Arial" w:hAnsi="Arial" w:cs="Arial"/>
                <w:sz w:val="22"/>
                <w:szCs w:val="22"/>
              </w:rPr>
              <w:t>Actividad principal:</w:t>
            </w:r>
          </w:p>
        </w:tc>
        <w:tc>
          <w:tcPr>
            <w:tcW w:w="709" w:type="dxa"/>
          </w:tcPr>
          <w:p w14:paraId="51E04D80" w14:textId="77777777" w:rsidR="00F44A24" w:rsidRPr="00701F32" w:rsidRDefault="00F44A24" w:rsidP="005B01F3">
            <w:pPr>
              <w:ind w:left="34" w:hanging="34"/>
              <w:rPr>
                <w:rFonts w:ascii="Arial" w:hAnsi="Arial" w:cs="Arial"/>
                <w:sz w:val="22"/>
                <w:szCs w:val="22"/>
              </w:rPr>
            </w:pPr>
          </w:p>
        </w:tc>
        <w:tc>
          <w:tcPr>
            <w:tcW w:w="3544" w:type="dxa"/>
            <w:vAlign w:val="center"/>
          </w:tcPr>
          <w:p w14:paraId="2509FF8B" w14:textId="77777777" w:rsidR="00F44A24" w:rsidRPr="00701F32" w:rsidRDefault="00F44A24" w:rsidP="005B01F3">
            <w:pPr>
              <w:rPr>
                <w:rFonts w:ascii="Arial" w:hAnsi="Arial" w:cs="Arial"/>
                <w:sz w:val="22"/>
                <w:szCs w:val="22"/>
              </w:rPr>
            </w:pPr>
            <w:r w:rsidRPr="00701F32">
              <w:rPr>
                <w:rFonts w:ascii="Arial" w:hAnsi="Arial" w:cs="Arial"/>
                <w:sz w:val="22"/>
                <w:szCs w:val="22"/>
              </w:rPr>
              <w:t>Bancaria</w:t>
            </w:r>
          </w:p>
        </w:tc>
      </w:tr>
      <w:tr w:rsidR="00F44A24" w:rsidRPr="00701F32" w14:paraId="0B33EC64" w14:textId="77777777" w:rsidTr="00F44A24">
        <w:trPr>
          <w:trHeight w:val="567"/>
        </w:trPr>
        <w:tc>
          <w:tcPr>
            <w:tcW w:w="4077" w:type="dxa"/>
            <w:vAlign w:val="center"/>
          </w:tcPr>
          <w:p w14:paraId="29FBE7CF" w14:textId="77777777" w:rsidR="00F44A24" w:rsidRPr="00701F32" w:rsidRDefault="00F44A24" w:rsidP="005B01F3">
            <w:pPr>
              <w:rPr>
                <w:rFonts w:ascii="Arial" w:hAnsi="Arial" w:cs="Arial"/>
                <w:sz w:val="22"/>
                <w:szCs w:val="22"/>
              </w:rPr>
            </w:pPr>
            <w:r w:rsidRPr="00701F32">
              <w:rPr>
                <w:rFonts w:ascii="Arial" w:hAnsi="Arial" w:cs="Arial"/>
                <w:sz w:val="22"/>
                <w:szCs w:val="22"/>
              </w:rPr>
              <w:t>Clave Única de Identificación Tributaria:</w:t>
            </w:r>
          </w:p>
        </w:tc>
        <w:tc>
          <w:tcPr>
            <w:tcW w:w="709" w:type="dxa"/>
          </w:tcPr>
          <w:p w14:paraId="3FF8B56F" w14:textId="77777777" w:rsidR="00F44A24" w:rsidRPr="00701F32" w:rsidRDefault="00F44A24" w:rsidP="005B01F3">
            <w:pPr>
              <w:pStyle w:val="Ttuloprincipal"/>
              <w:ind w:left="34" w:hanging="34"/>
              <w:jc w:val="left"/>
              <w:rPr>
                <w:rFonts w:ascii="Arial" w:hAnsi="Arial" w:cs="Arial"/>
                <w:b w:val="0"/>
                <w:sz w:val="22"/>
                <w:szCs w:val="22"/>
              </w:rPr>
            </w:pPr>
          </w:p>
        </w:tc>
        <w:tc>
          <w:tcPr>
            <w:tcW w:w="3544" w:type="dxa"/>
            <w:vAlign w:val="center"/>
          </w:tcPr>
          <w:p w14:paraId="435536DF" w14:textId="77777777" w:rsidR="00F44A24" w:rsidRPr="00701F32" w:rsidRDefault="00F44A24" w:rsidP="005B01F3">
            <w:pPr>
              <w:pStyle w:val="Ttuloprincipal"/>
              <w:jc w:val="left"/>
              <w:rPr>
                <w:rFonts w:ascii="Arial" w:hAnsi="Arial" w:cs="Arial"/>
                <w:b w:val="0"/>
                <w:sz w:val="22"/>
                <w:szCs w:val="22"/>
              </w:rPr>
            </w:pPr>
          </w:p>
          <w:p w14:paraId="3726D0CB" w14:textId="77777777" w:rsidR="00F44A24" w:rsidRPr="00701F32" w:rsidRDefault="00F44A24" w:rsidP="005B01F3">
            <w:pPr>
              <w:pStyle w:val="Ttuloprincipal"/>
              <w:jc w:val="left"/>
              <w:rPr>
                <w:rFonts w:ascii="Arial" w:hAnsi="Arial" w:cs="Arial"/>
                <w:b w:val="0"/>
                <w:sz w:val="22"/>
                <w:szCs w:val="22"/>
              </w:rPr>
            </w:pPr>
            <w:r w:rsidRPr="00701F32">
              <w:rPr>
                <w:rFonts w:ascii="Arial" w:hAnsi="Arial" w:cs="Arial"/>
                <w:b w:val="0"/>
                <w:sz w:val="22"/>
                <w:szCs w:val="22"/>
              </w:rPr>
              <w:t xml:space="preserve">33-50000517-9 </w:t>
            </w:r>
          </w:p>
          <w:p w14:paraId="6724D608" w14:textId="77777777" w:rsidR="00F44A24" w:rsidRPr="00701F32" w:rsidRDefault="00F44A24" w:rsidP="005B01F3">
            <w:pPr>
              <w:rPr>
                <w:rFonts w:ascii="Arial" w:hAnsi="Arial" w:cs="Arial"/>
                <w:sz w:val="22"/>
                <w:szCs w:val="22"/>
              </w:rPr>
            </w:pPr>
          </w:p>
        </w:tc>
      </w:tr>
      <w:tr w:rsidR="00F44A24" w:rsidRPr="00701F32" w14:paraId="413D0A40" w14:textId="77777777" w:rsidTr="00F44A24">
        <w:trPr>
          <w:trHeight w:val="1077"/>
        </w:trPr>
        <w:tc>
          <w:tcPr>
            <w:tcW w:w="4077" w:type="dxa"/>
            <w:vAlign w:val="center"/>
          </w:tcPr>
          <w:p w14:paraId="620078FD" w14:textId="77777777" w:rsidR="00F44A24" w:rsidRPr="00701F32" w:rsidRDefault="00F44A24" w:rsidP="005B01F3">
            <w:pPr>
              <w:rPr>
                <w:rFonts w:ascii="Arial" w:hAnsi="Arial" w:cs="Arial"/>
                <w:sz w:val="22"/>
                <w:szCs w:val="22"/>
              </w:rPr>
            </w:pPr>
            <w:r w:rsidRPr="00701F32">
              <w:rPr>
                <w:rFonts w:ascii="Arial" w:hAnsi="Arial" w:cs="Arial"/>
                <w:sz w:val="22"/>
                <w:szCs w:val="22"/>
              </w:rPr>
              <w:t>Fecha de Inscripción en el Registro Público de  Comercio del estatuto social:</w:t>
            </w:r>
          </w:p>
        </w:tc>
        <w:tc>
          <w:tcPr>
            <w:tcW w:w="709" w:type="dxa"/>
          </w:tcPr>
          <w:p w14:paraId="472E78BF" w14:textId="77777777" w:rsidR="00F44A24" w:rsidRPr="00701F32" w:rsidRDefault="00F44A24" w:rsidP="005B01F3">
            <w:pPr>
              <w:pStyle w:val="Ttuloprincipal"/>
              <w:ind w:left="34" w:hanging="34"/>
              <w:jc w:val="left"/>
              <w:rPr>
                <w:rFonts w:ascii="Arial" w:hAnsi="Arial" w:cs="Arial"/>
                <w:b w:val="0"/>
                <w:sz w:val="22"/>
                <w:szCs w:val="22"/>
              </w:rPr>
            </w:pPr>
          </w:p>
        </w:tc>
        <w:tc>
          <w:tcPr>
            <w:tcW w:w="3544" w:type="dxa"/>
            <w:vAlign w:val="center"/>
          </w:tcPr>
          <w:p w14:paraId="5CDB145F" w14:textId="77777777" w:rsidR="00F44A24" w:rsidRPr="00701F32" w:rsidRDefault="00F44A24" w:rsidP="005B01F3">
            <w:pPr>
              <w:pStyle w:val="Ttuloprincipal"/>
              <w:jc w:val="left"/>
              <w:rPr>
                <w:rFonts w:ascii="Arial" w:hAnsi="Arial" w:cs="Arial"/>
                <w:b w:val="0"/>
                <w:sz w:val="22"/>
                <w:szCs w:val="22"/>
              </w:rPr>
            </w:pPr>
          </w:p>
          <w:p w14:paraId="5BA96A4F" w14:textId="77777777" w:rsidR="00F44A24" w:rsidRPr="00701F32" w:rsidRDefault="00F44A24" w:rsidP="005B01F3">
            <w:pPr>
              <w:pStyle w:val="Ttuloprincipal"/>
              <w:jc w:val="left"/>
              <w:rPr>
                <w:rFonts w:ascii="Arial" w:hAnsi="Arial" w:cs="Arial"/>
                <w:b w:val="0"/>
                <w:sz w:val="22"/>
                <w:szCs w:val="22"/>
              </w:rPr>
            </w:pPr>
            <w:r w:rsidRPr="00701F32">
              <w:rPr>
                <w:rFonts w:ascii="Arial" w:hAnsi="Arial" w:cs="Arial"/>
                <w:b w:val="0"/>
                <w:sz w:val="22"/>
                <w:szCs w:val="22"/>
              </w:rPr>
              <w:t>11 de febrero de 1941</w:t>
            </w:r>
          </w:p>
          <w:p w14:paraId="0D6044D3" w14:textId="77777777" w:rsidR="00F44A24" w:rsidRPr="00701F32" w:rsidRDefault="00F44A24" w:rsidP="005B01F3">
            <w:pPr>
              <w:pStyle w:val="Ttuloprincipal"/>
              <w:jc w:val="left"/>
              <w:rPr>
                <w:rFonts w:ascii="Arial" w:hAnsi="Arial" w:cs="Arial"/>
                <w:b w:val="0"/>
                <w:sz w:val="22"/>
                <w:szCs w:val="22"/>
              </w:rPr>
            </w:pPr>
          </w:p>
        </w:tc>
      </w:tr>
      <w:tr w:rsidR="00F44A24" w:rsidRPr="00701F32" w14:paraId="2CC13D69" w14:textId="77777777" w:rsidTr="00F44A24">
        <w:trPr>
          <w:trHeight w:val="340"/>
        </w:trPr>
        <w:tc>
          <w:tcPr>
            <w:tcW w:w="4077" w:type="dxa"/>
            <w:vAlign w:val="center"/>
          </w:tcPr>
          <w:p w14:paraId="5DBF0A8C" w14:textId="77777777" w:rsidR="00F44A24" w:rsidRPr="00701F32" w:rsidRDefault="00F44A24" w:rsidP="005B01F3">
            <w:pPr>
              <w:pStyle w:val="Ttuloprincipal"/>
              <w:jc w:val="left"/>
              <w:rPr>
                <w:rFonts w:ascii="Arial" w:hAnsi="Arial" w:cs="Arial"/>
                <w:b w:val="0"/>
                <w:sz w:val="22"/>
                <w:szCs w:val="22"/>
              </w:rPr>
            </w:pPr>
            <w:r w:rsidRPr="00701F32">
              <w:rPr>
                <w:rFonts w:ascii="Arial" w:hAnsi="Arial" w:cs="Arial"/>
                <w:b w:val="0"/>
                <w:sz w:val="22"/>
                <w:szCs w:val="22"/>
              </w:rPr>
              <w:t>Fecha de inscripción de la última modificación del estatuto social:</w:t>
            </w:r>
          </w:p>
          <w:p w14:paraId="050479C6" w14:textId="77777777" w:rsidR="00F44A24" w:rsidRPr="00701F32" w:rsidRDefault="00F44A24" w:rsidP="005B01F3">
            <w:pPr>
              <w:rPr>
                <w:rFonts w:ascii="Arial" w:hAnsi="Arial" w:cs="Arial"/>
                <w:sz w:val="22"/>
                <w:szCs w:val="22"/>
              </w:rPr>
            </w:pPr>
          </w:p>
        </w:tc>
        <w:tc>
          <w:tcPr>
            <w:tcW w:w="709" w:type="dxa"/>
          </w:tcPr>
          <w:p w14:paraId="17C05D66" w14:textId="77777777" w:rsidR="00F44A24" w:rsidRPr="00701F32" w:rsidRDefault="00F44A24" w:rsidP="005B01F3">
            <w:pPr>
              <w:pStyle w:val="Ttuloprincipal"/>
              <w:ind w:left="34" w:hanging="34"/>
              <w:jc w:val="left"/>
              <w:rPr>
                <w:rFonts w:ascii="Arial" w:hAnsi="Arial" w:cs="Arial"/>
                <w:b w:val="0"/>
                <w:sz w:val="22"/>
                <w:szCs w:val="22"/>
              </w:rPr>
            </w:pPr>
          </w:p>
        </w:tc>
        <w:tc>
          <w:tcPr>
            <w:tcW w:w="3544" w:type="dxa"/>
            <w:vAlign w:val="center"/>
          </w:tcPr>
          <w:p w14:paraId="49CBDBEF" w14:textId="77777777" w:rsidR="00F44A24" w:rsidRPr="00701F32" w:rsidRDefault="003C1AAB" w:rsidP="00D6035A">
            <w:pPr>
              <w:pStyle w:val="Ttuloprincipal"/>
              <w:jc w:val="left"/>
              <w:rPr>
                <w:rFonts w:ascii="Arial" w:hAnsi="Arial" w:cs="Arial"/>
                <w:b w:val="0"/>
                <w:sz w:val="22"/>
                <w:szCs w:val="22"/>
              </w:rPr>
            </w:pPr>
            <w:r w:rsidRPr="00701F32">
              <w:rPr>
                <w:rFonts w:ascii="Arial" w:hAnsi="Arial" w:cs="Arial"/>
                <w:b w:val="0"/>
                <w:sz w:val="22"/>
                <w:szCs w:val="22"/>
              </w:rPr>
              <w:t>1</w:t>
            </w:r>
            <w:r w:rsidR="00D6035A" w:rsidRPr="00701F32">
              <w:rPr>
                <w:rFonts w:ascii="Arial" w:hAnsi="Arial" w:cs="Arial"/>
                <w:b w:val="0"/>
                <w:sz w:val="22"/>
                <w:szCs w:val="22"/>
              </w:rPr>
              <w:t>7</w:t>
            </w:r>
            <w:r w:rsidRPr="00701F32">
              <w:rPr>
                <w:rFonts w:ascii="Arial" w:hAnsi="Arial" w:cs="Arial"/>
                <w:b w:val="0"/>
                <w:sz w:val="22"/>
                <w:szCs w:val="22"/>
              </w:rPr>
              <w:t xml:space="preserve"> de </w:t>
            </w:r>
            <w:r w:rsidR="00D6035A" w:rsidRPr="00701F32">
              <w:rPr>
                <w:rFonts w:ascii="Arial" w:hAnsi="Arial" w:cs="Arial"/>
                <w:b w:val="0"/>
                <w:sz w:val="22"/>
                <w:szCs w:val="22"/>
              </w:rPr>
              <w:t xml:space="preserve">enero </w:t>
            </w:r>
            <w:r w:rsidRPr="00701F32">
              <w:rPr>
                <w:rFonts w:ascii="Arial" w:hAnsi="Arial" w:cs="Arial"/>
                <w:b w:val="0"/>
                <w:sz w:val="22"/>
                <w:szCs w:val="22"/>
              </w:rPr>
              <w:t>de 201</w:t>
            </w:r>
            <w:r w:rsidR="00D6035A" w:rsidRPr="00701F32">
              <w:rPr>
                <w:rFonts w:ascii="Arial" w:hAnsi="Arial" w:cs="Arial"/>
                <w:b w:val="0"/>
                <w:sz w:val="22"/>
                <w:szCs w:val="22"/>
              </w:rPr>
              <w:t>7</w:t>
            </w:r>
          </w:p>
        </w:tc>
      </w:tr>
      <w:tr w:rsidR="00F44A24" w:rsidRPr="00701F32" w14:paraId="045DC9DF" w14:textId="77777777" w:rsidTr="00F44A24">
        <w:trPr>
          <w:trHeight w:val="397"/>
        </w:trPr>
        <w:tc>
          <w:tcPr>
            <w:tcW w:w="4077" w:type="dxa"/>
            <w:vAlign w:val="center"/>
          </w:tcPr>
          <w:p w14:paraId="0C5DB9F8" w14:textId="77777777" w:rsidR="00F44A24" w:rsidRPr="00701F32" w:rsidRDefault="00F44A24" w:rsidP="005B01F3">
            <w:pPr>
              <w:rPr>
                <w:rFonts w:ascii="Arial" w:hAnsi="Arial" w:cs="Arial"/>
                <w:sz w:val="22"/>
                <w:szCs w:val="22"/>
              </w:rPr>
            </w:pPr>
            <w:r w:rsidRPr="00701F32">
              <w:rPr>
                <w:rFonts w:ascii="Arial" w:hAnsi="Arial" w:cs="Arial"/>
                <w:sz w:val="22"/>
                <w:szCs w:val="22"/>
              </w:rPr>
              <w:t>Número de inscripción en la Inspección General de Justicia:</w:t>
            </w:r>
          </w:p>
        </w:tc>
        <w:tc>
          <w:tcPr>
            <w:tcW w:w="709" w:type="dxa"/>
          </w:tcPr>
          <w:p w14:paraId="02B403E3" w14:textId="77777777" w:rsidR="00F44A24" w:rsidRPr="00701F32" w:rsidRDefault="00F44A24" w:rsidP="005B01F3">
            <w:pPr>
              <w:pStyle w:val="Ttuloprincipal"/>
              <w:ind w:left="34" w:hanging="34"/>
              <w:jc w:val="left"/>
              <w:rPr>
                <w:rFonts w:ascii="Arial" w:hAnsi="Arial" w:cs="Arial"/>
                <w:b w:val="0"/>
                <w:sz w:val="22"/>
                <w:szCs w:val="22"/>
              </w:rPr>
            </w:pPr>
          </w:p>
        </w:tc>
        <w:tc>
          <w:tcPr>
            <w:tcW w:w="3544" w:type="dxa"/>
            <w:vAlign w:val="center"/>
          </w:tcPr>
          <w:p w14:paraId="4F05D60F" w14:textId="77777777" w:rsidR="00F44A24" w:rsidRPr="00701F32" w:rsidRDefault="00F44A24" w:rsidP="005B01F3">
            <w:pPr>
              <w:pStyle w:val="Ttuloprincipal"/>
              <w:jc w:val="left"/>
              <w:rPr>
                <w:rFonts w:ascii="Arial" w:hAnsi="Arial" w:cs="Arial"/>
                <w:b w:val="0"/>
                <w:sz w:val="22"/>
                <w:szCs w:val="22"/>
              </w:rPr>
            </w:pPr>
          </w:p>
          <w:p w14:paraId="2DF1D8F1" w14:textId="77777777" w:rsidR="00F44A24" w:rsidRPr="00701F32" w:rsidRDefault="00F44A24" w:rsidP="005B01F3">
            <w:pPr>
              <w:pStyle w:val="Ttuloprincipal"/>
              <w:jc w:val="left"/>
              <w:rPr>
                <w:rFonts w:ascii="Arial" w:hAnsi="Arial" w:cs="Arial"/>
                <w:b w:val="0"/>
                <w:sz w:val="22"/>
                <w:szCs w:val="22"/>
              </w:rPr>
            </w:pPr>
            <w:r w:rsidRPr="00701F32">
              <w:rPr>
                <w:rFonts w:ascii="Arial" w:hAnsi="Arial" w:cs="Arial"/>
                <w:b w:val="0"/>
                <w:sz w:val="22"/>
                <w:szCs w:val="22"/>
              </w:rPr>
              <w:t>167.565</w:t>
            </w:r>
          </w:p>
          <w:p w14:paraId="321C57B7" w14:textId="77777777" w:rsidR="00F44A24" w:rsidRPr="00701F32" w:rsidRDefault="00F44A24" w:rsidP="005B01F3">
            <w:pPr>
              <w:rPr>
                <w:rFonts w:ascii="Arial" w:hAnsi="Arial" w:cs="Arial"/>
                <w:sz w:val="22"/>
                <w:szCs w:val="22"/>
              </w:rPr>
            </w:pPr>
          </w:p>
        </w:tc>
      </w:tr>
      <w:tr w:rsidR="00F44A24" w:rsidRPr="00701F32" w14:paraId="399222CD" w14:textId="77777777" w:rsidTr="00F44A24">
        <w:trPr>
          <w:trHeight w:val="737"/>
        </w:trPr>
        <w:tc>
          <w:tcPr>
            <w:tcW w:w="4077" w:type="dxa"/>
            <w:vAlign w:val="center"/>
          </w:tcPr>
          <w:p w14:paraId="1D1620F1" w14:textId="77777777" w:rsidR="00F44A24" w:rsidRPr="00701F32" w:rsidRDefault="00F44A24" w:rsidP="005B01F3">
            <w:pPr>
              <w:rPr>
                <w:rFonts w:ascii="Arial" w:hAnsi="Arial" w:cs="Arial"/>
                <w:sz w:val="22"/>
                <w:szCs w:val="22"/>
              </w:rPr>
            </w:pPr>
            <w:r w:rsidRPr="00701F32">
              <w:rPr>
                <w:rFonts w:ascii="Arial" w:hAnsi="Arial" w:cs="Arial"/>
                <w:sz w:val="22"/>
                <w:szCs w:val="22"/>
              </w:rPr>
              <w:t>Fecha en la que se cumple el contrato social:</w:t>
            </w:r>
          </w:p>
        </w:tc>
        <w:tc>
          <w:tcPr>
            <w:tcW w:w="709" w:type="dxa"/>
          </w:tcPr>
          <w:p w14:paraId="74FA887A" w14:textId="77777777" w:rsidR="00F44A24" w:rsidRPr="00701F32" w:rsidRDefault="00F44A24" w:rsidP="005B01F3">
            <w:pPr>
              <w:pStyle w:val="Ttuloprincipal"/>
              <w:ind w:left="34" w:hanging="34"/>
              <w:jc w:val="left"/>
              <w:rPr>
                <w:rFonts w:ascii="Arial" w:hAnsi="Arial" w:cs="Arial"/>
                <w:b w:val="0"/>
                <w:sz w:val="22"/>
                <w:szCs w:val="22"/>
              </w:rPr>
            </w:pPr>
          </w:p>
        </w:tc>
        <w:tc>
          <w:tcPr>
            <w:tcW w:w="3544" w:type="dxa"/>
            <w:vAlign w:val="center"/>
          </w:tcPr>
          <w:p w14:paraId="4A52A2BC" w14:textId="77777777" w:rsidR="00F44A24" w:rsidRPr="00701F32" w:rsidRDefault="00F44A24" w:rsidP="005B01F3">
            <w:pPr>
              <w:pStyle w:val="Ttuloprincipal"/>
              <w:jc w:val="left"/>
              <w:rPr>
                <w:rFonts w:ascii="Arial" w:hAnsi="Arial" w:cs="Arial"/>
                <w:b w:val="0"/>
                <w:sz w:val="22"/>
                <w:szCs w:val="22"/>
              </w:rPr>
            </w:pPr>
          </w:p>
          <w:p w14:paraId="5F39EE39" w14:textId="77777777" w:rsidR="00F44A24" w:rsidRPr="00701F32" w:rsidRDefault="00F44A24" w:rsidP="005B01F3">
            <w:pPr>
              <w:pStyle w:val="Ttuloprincipal"/>
              <w:jc w:val="left"/>
              <w:rPr>
                <w:rFonts w:ascii="Arial" w:hAnsi="Arial" w:cs="Arial"/>
                <w:b w:val="0"/>
                <w:sz w:val="22"/>
                <w:szCs w:val="22"/>
              </w:rPr>
            </w:pPr>
            <w:r w:rsidRPr="00701F32">
              <w:rPr>
                <w:rFonts w:ascii="Arial" w:hAnsi="Arial" w:cs="Arial"/>
                <w:b w:val="0"/>
                <w:sz w:val="22"/>
                <w:szCs w:val="22"/>
              </w:rPr>
              <w:t>14 de enero de 2041</w:t>
            </w:r>
          </w:p>
          <w:p w14:paraId="4C74D813" w14:textId="77777777" w:rsidR="00F44A24" w:rsidRPr="00701F32" w:rsidRDefault="00F44A24" w:rsidP="005B01F3">
            <w:pPr>
              <w:rPr>
                <w:rFonts w:ascii="Arial" w:hAnsi="Arial" w:cs="Arial"/>
                <w:sz w:val="22"/>
                <w:szCs w:val="22"/>
              </w:rPr>
            </w:pPr>
          </w:p>
        </w:tc>
      </w:tr>
    </w:tbl>
    <w:p w14:paraId="364DDA68" w14:textId="77777777" w:rsidR="00876050" w:rsidRPr="00701F32" w:rsidRDefault="00876050" w:rsidP="0065628D">
      <w:pPr>
        <w:pStyle w:val="Ttuloprincipal"/>
        <w:jc w:val="left"/>
        <w:rPr>
          <w:rFonts w:ascii="Arial" w:hAnsi="Arial" w:cs="Arial"/>
          <w:b w:val="0"/>
          <w:szCs w:val="24"/>
        </w:rPr>
      </w:pPr>
    </w:p>
    <w:p w14:paraId="63C089A4" w14:textId="77777777" w:rsidR="00C73F2F" w:rsidRPr="00701F32" w:rsidRDefault="00061FA8" w:rsidP="0065628D">
      <w:pPr>
        <w:pStyle w:val="Ttuloprincipal"/>
        <w:jc w:val="left"/>
        <w:rPr>
          <w:rFonts w:ascii="Arial" w:hAnsi="Arial" w:cs="Arial"/>
          <w:sz w:val="22"/>
          <w:szCs w:val="22"/>
        </w:rPr>
      </w:pPr>
      <w:r w:rsidRPr="00701F32">
        <w:rPr>
          <w:rFonts w:ascii="Arial" w:hAnsi="Arial" w:cs="Arial"/>
          <w:sz w:val="22"/>
          <w:szCs w:val="22"/>
        </w:rPr>
        <w:t xml:space="preserve">Información </w:t>
      </w:r>
      <w:r w:rsidR="009979F3" w:rsidRPr="00701F32">
        <w:rPr>
          <w:rFonts w:ascii="Arial" w:hAnsi="Arial" w:cs="Arial"/>
          <w:sz w:val="22"/>
          <w:szCs w:val="22"/>
        </w:rPr>
        <w:t>sobre la</w:t>
      </w:r>
      <w:r w:rsidRPr="00701F32">
        <w:rPr>
          <w:rFonts w:ascii="Arial" w:hAnsi="Arial" w:cs="Arial"/>
          <w:sz w:val="22"/>
          <w:szCs w:val="22"/>
        </w:rPr>
        <w:t xml:space="preserve"> sociedad controlante</w:t>
      </w:r>
    </w:p>
    <w:p w14:paraId="6C6D4BD1" w14:textId="77777777" w:rsidR="00061FA8" w:rsidRPr="00701F32" w:rsidRDefault="00061FA8" w:rsidP="0065628D">
      <w:pPr>
        <w:pStyle w:val="Ttuloprincipal"/>
        <w:jc w:val="left"/>
        <w:rPr>
          <w:rFonts w:ascii="Arial" w:hAnsi="Arial" w:cs="Arial"/>
          <w:sz w:val="22"/>
          <w:szCs w:val="22"/>
        </w:rPr>
      </w:pPr>
    </w:p>
    <w:p w14:paraId="380278B4" w14:textId="77777777" w:rsidR="00C73F2F" w:rsidRPr="00701F32" w:rsidRDefault="009979F3" w:rsidP="0065628D">
      <w:pPr>
        <w:pStyle w:val="Ttuloprincipal"/>
        <w:jc w:val="left"/>
        <w:rPr>
          <w:rFonts w:ascii="Arial" w:hAnsi="Arial" w:cs="Arial"/>
          <w:b w:val="0"/>
          <w:sz w:val="22"/>
          <w:szCs w:val="22"/>
        </w:rPr>
      </w:pPr>
      <w:r w:rsidRPr="00701F32">
        <w:rPr>
          <w:rFonts w:ascii="Arial" w:hAnsi="Arial" w:cs="Arial"/>
          <w:b w:val="0"/>
          <w:sz w:val="22"/>
          <w:szCs w:val="22"/>
        </w:rPr>
        <w:t>Denominación: Grupo</w:t>
      </w:r>
      <w:r w:rsidR="00061FA8" w:rsidRPr="00701F32">
        <w:rPr>
          <w:rFonts w:ascii="Arial" w:hAnsi="Arial" w:cs="Arial"/>
          <w:b w:val="0"/>
          <w:sz w:val="22"/>
          <w:szCs w:val="22"/>
        </w:rPr>
        <w:t xml:space="preserve"> </w:t>
      </w:r>
      <w:r w:rsidRPr="00701F32">
        <w:rPr>
          <w:rFonts w:ascii="Arial" w:hAnsi="Arial" w:cs="Arial"/>
          <w:b w:val="0"/>
          <w:sz w:val="22"/>
          <w:szCs w:val="22"/>
        </w:rPr>
        <w:t>Supervielle S.A</w:t>
      </w:r>
      <w:r w:rsidR="00C73F2F" w:rsidRPr="00701F32">
        <w:rPr>
          <w:rFonts w:ascii="Arial" w:hAnsi="Arial" w:cs="Arial"/>
          <w:b w:val="0"/>
          <w:sz w:val="22"/>
          <w:szCs w:val="22"/>
        </w:rPr>
        <w:t>.</w:t>
      </w:r>
    </w:p>
    <w:p w14:paraId="51DD5AE5" w14:textId="77777777" w:rsidR="00C73F2F" w:rsidRPr="00701F32" w:rsidRDefault="00C73F2F" w:rsidP="0065628D">
      <w:pPr>
        <w:pStyle w:val="Ttuloprincipal"/>
        <w:jc w:val="left"/>
        <w:rPr>
          <w:rFonts w:ascii="Arial" w:hAnsi="Arial" w:cs="Arial"/>
          <w:b w:val="0"/>
          <w:sz w:val="22"/>
          <w:szCs w:val="22"/>
        </w:rPr>
      </w:pPr>
    </w:p>
    <w:p w14:paraId="33F4E44D" w14:textId="77777777" w:rsidR="00C73F2F" w:rsidRPr="00701F32" w:rsidRDefault="00F44A24" w:rsidP="0065628D">
      <w:pPr>
        <w:pStyle w:val="Ttuloprincipal"/>
        <w:jc w:val="left"/>
        <w:rPr>
          <w:rFonts w:ascii="Arial" w:hAnsi="Arial" w:cs="Arial"/>
          <w:b w:val="0"/>
          <w:sz w:val="22"/>
          <w:szCs w:val="22"/>
        </w:rPr>
      </w:pPr>
      <w:r w:rsidRPr="00701F32">
        <w:rPr>
          <w:rFonts w:ascii="Arial" w:hAnsi="Arial" w:cs="Arial"/>
          <w:b w:val="0"/>
          <w:sz w:val="22"/>
          <w:szCs w:val="22"/>
        </w:rPr>
        <w:t xml:space="preserve">Domicilio legal: Bartolomé </w:t>
      </w:r>
      <w:r w:rsidR="00440DCC" w:rsidRPr="00701F32">
        <w:rPr>
          <w:rFonts w:ascii="Arial" w:hAnsi="Arial" w:cs="Arial"/>
          <w:b w:val="0"/>
          <w:sz w:val="22"/>
          <w:szCs w:val="22"/>
        </w:rPr>
        <w:t>Mitre 434 – Ciudad Autónoma de Buenos Aires</w:t>
      </w:r>
    </w:p>
    <w:p w14:paraId="54E72108" w14:textId="77777777" w:rsidR="00440DCC" w:rsidRPr="00701F32" w:rsidRDefault="00440DCC" w:rsidP="0065628D">
      <w:pPr>
        <w:pStyle w:val="Ttuloprincipal"/>
        <w:jc w:val="left"/>
        <w:rPr>
          <w:rFonts w:ascii="Arial" w:hAnsi="Arial" w:cs="Arial"/>
          <w:b w:val="0"/>
          <w:sz w:val="22"/>
          <w:szCs w:val="22"/>
        </w:rPr>
      </w:pPr>
    </w:p>
    <w:p w14:paraId="41EB1F8D" w14:textId="77777777" w:rsidR="00440DCC" w:rsidRPr="00701F32" w:rsidRDefault="00440DCC" w:rsidP="0065628D">
      <w:pPr>
        <w:pStyle w:val="Ttuloprincipal"/>
        <w:jc w:val="left"/>
        <w:rPr>
          <w:rFonts w:ascii="Arial" w:hAnsi="Arial" w:cs="Arial"/>
          <w:b w:val="0"/>
          <w:color w:val="000000" w:themeColor="text1"/>
          <w:sz w:val="22"/>
          <w:szCs w:val="22"/>
        </w:rPr>
      </w:pPr>
      <w:r w:rsidRPr="00701F32">
        <w:rPr>
          <w:rFonts w:ascii="Arial" w:hAnsi="Arial" w:cs="Arial"/>
          <w:b w:val="0"/>
          <w:sz w:val="22"/>
          <w:szCs w:val="22"/>
        </w:rPr>
        <w:t xml:space="preserve">Actividad principal: Financiera y de </w:t>
      </w:r>
      <w:r w:rsidRPr="00701F32">
        <w:rPr>
          <w:rFonts w:ascii="Arial" w:hAnsi="Arial" w:cs="Arial"/>
          <w:b w:val="0"/>
          <w:color w:val="000000" w:themeColor="text1"/>
          <w:sz w:val="22"/>
          <w:szCs w:val="22"/>
        </w:rPr>
        <w:t xml:space="preserve">inversión </w:t>
      </w:r>
    </w:p>
    <w:p w14:paraId="7426306C" w14:textId="77777777" w:rsidR="00440DCC" w:rsidRPr="00701F32" w:rsidRDefault="00440DCC" w:rsidP="0065628D">
      <w:pPr>
        <w:pStyle w:val="Ttuloprincipal"/>
        <w:jc w:val="left"/>
        <w:rPr>
          <w:rFonts w:ascii="Arial" w:hAnsi="Arial" w:cs="Arial"/>
          <w:b w:val="0"/>
          <w:color w:val="000000" w:themeColor="text1"/>
          <w:sz w:val="22"/>
          <w:szCs w:val="22"/>
        </w:rPr>
      </w:pPr>
    </w:p>
    <w:p w14:paraId="781C9505" w14:textId="77777777" w:rsidR="00440DCC" w:rsidRPr="00701F32" w:rsidRDefault="009979F3" w:rsidP="0065628D">
      <w:pPr>
        <w:pStyle w:val="Ttuloprincipal"/>
        <w:jc w:val="left"/>
        <w:rPr>
          <w:rFonts w:ascii="Arial" w:hAnsi="Arial" w:cs="Arial"/>
          <w:b w:val="0"/>
          <w:color w:val="000000" w:themeColor="text1"/>
          <w:sz w:val="22"/>
          <w:szCs w:val="22"/>
        </w:rPr>
      </w:pPr>
      <w:r w:rsidRPr="00701F32">
        <w:rPr>
          <w:rFonts w:ascii="Arial" w:hAnsi="Arial" w:cs="Arial"/>
          <w:b w:val="0"/>
          <w:color w:val="000000" w:themeColor="text1"/>
          <w:sz w:val="22"/>
          <w:szCs w:val="22"/>
        </w:rPr>
        <w:t>Participación de la sociedad controlante sobre el patrimonio: 9</w:t>
      </w:r>
      <w:r w:rsidR="007E24C8" w:rsidRPr="00701F32">
        <w:rPr>
          <w:rFonts w:ascii="Arial" w:hAnsi="Arial" w:cs="Arial"/>
          <w:b w:val="0"/>
          <w:color w:val="000000" w:themeColor="text1"/>
          <w:sz w:val="22"/>
          <w:szCs w:val="22"/>
        </w:rPr>
        <w:t>6</w:t>
      </w:r>
      <w:r w:rsidRPr="00701F32">
        <w:rPr>
          <w:rFonts w:ascii="Arial" w:hAnsi="Arial" w:cs="Arial"/>
          <w:b w:val="0"/>
          <w:color w:val="000000" w:themeColor="text1"/>
          <w:sz w:val="22"/>
          <w:szCs w:val="22"/>
        </w:rPr>
        <w:t>,</w:t>
      </w:r>
      <w:r w:rsidR="00A22B8F" w:rsidRPr="00701F32">
        <w:rPr>
          <w:rFonts w:ascii="Arial" w:hAnsi="Arial" w:cs="Arial"/>
          <w:b w:val="0"/>
          <w:color w:val="000000" w:themeColor="text1"/>
          <w:sz w:val="22"/>
          <w:szCs w:val="22"/>
        </w:rPr>
        <w:t>89</w:t>
      </w:r>
      <w:r w:rsidRPr="00701F32">
        <w:rPr>
          <w:rFonts w:ascii="Arial" w:hAnsi="Arial" w:cs="Arial"/>
          <w:b w:val="0"/>
          <w:color w:val="000000" w:themeColor="text1"/>
          <w:sz w:val="22"/>
          <w:szCs w:val="22"/>
        </w:rPr>
        <w:t>%</w:t>
      </w:r>
    </w:p>
    <w:p w14:paraId="7B8DCF55" w14:textId="77777777" w:rsidR="00440DCC" w:rsidRPr="00701F32" w:rsidRDefault="00440DCC" w:rsidP="0065628D">
      <w:pPr>
        <w:pStyle w:val="Ttuloprincipal"/>
        <w:jc w:val="left"/>
        <w:rPr>
          <w:rFonts w:ascii="Arial" w:hAnsi="Arial" w:cs="Arial"/>
          <w:b w:val="0"/>
          <w:color w:val="000000" w:themeColor="text1"/>
          <w:sz w:val="22"/>
          <w:szCs w:val="22"/>
        </w:rPr>
      </w:pPr>
    </w:p>
    <w:p w14:paraId="0A57ED16" w14:textId="77777777" w:rsidR="00440DCC" w:rsidRPr="00701F32" w:rsidRDefault="001F0B38" w:rsidP="0065628D">
      <w:pPr>
        <w:pStyle w:val="Ttuloprincipal"/>
        <w:jc w:val="left"/>
        <w:rPr>
          <w:rFonts w:ascii="Arial" w:hAnsi="Arial" w:cs="Arial"/>
          <w:b w:val="0"/>
          <w:color w:val="000000" w:themeColor="text1"/>
          <w:sz w:val="22"/>
          <w:szCs w:val="22"/>
        </w:rPr>
      </w:pPr>
      <w:r w:rsidRPr="00701F32">
        <w:rPr>
          <w:rFonts w:ascii="Arial" w:hAnsi="Arial" w:cs="Arial"/>
          <w:b w:val="0"/>
          <w:color w:val="000000" w:themeColor="text1"/>
          <w:sz w:val="22"/>
          <w:szCs w:val="22"/>
        </w:rPr>
        <w:t>Porcentaje de votos de la sociedad controlante: 9</w:t>
      </w:r>
      <w:r w:rsidR="007E24C8" w:rsidRPr="00701F32">
        <w:rPr>
          <w:rFonts w:ascii="Arial" w:hAnsi="Arial" w:cs="Arial"/>
          <w:b w:val="0"/>
          <w:color w:val="000000" w:themeColor="text1"/>
          <w:sz w:val="22"/>
          <w:szCs w:val="22"/>
        </w:rPr>
        <w:t>6</w:t>
      </w:r>
      <w:r w:rsidRPr="00701F32">
        <w:rPr>
          <w:rFonts w:ascii="Arial" w:hAnsi="Arial" w:cs="Arial"/>
          <w:b w:val="0"/>
          <w:color w:val="000000" w:themeColor="text1"/>
          <w:sz w:val="22"/>
          <w:szCs w:val="22"/>
        </w:rPr>
        <w:t>,</w:t>
      </w:r>
      <w:r w:rsidR="00A22B8F" w:rsidRPr="00701F32">
        <w:rPr>
          <w:rFonts w:ascii="Arial" w:hAnsi="Arial" w:cs="Arial"/>
          <w:b w:val="0"/>
          <w:color w:val="000000" w:themeColor="text1"/>
          <w:sz w:val="22"/>
          <w:szCs w:val="22"/>
        </w:rPr>
        <w:t>85</w:t>
      </w:r>
      <w:r w:rsidRPr="00701F32">
        <w:rPr>
          <w:rFonts w:ascii="Arial" w:hAnsi="Arial" w:cs="Arial"/>
          <w:b w:val="0"/>
          <w:color w:val="000000" w:themeColor="text1"/>
          <w:sz w:val="22"/>
          <w:szCs w:val="22"/>
        </w:rPr>
        <w:t>%</w:t>
      </w:r>
    </w:p>
    <w:p w14:paraId="6A2F2C8C" w14:textId="77777777" w:rsidR="00440DCC" w:rsidRPr="00701F32" w:rsidRDefault="00440DCC" w:rsidP="0065628D">
      <w:pPr>
        <w:pStyle w:val="Ttuloprincipal"/>
        <w:jc w:val="left"/>
        <w:rPr>
          <w:rFonts w:ascii="Arial" w:hAnsi="Arial" w:cs="Arial"/>
          <w:color w:val="000000" w:themeColor="text1"/>
          <w:sz w:val="22"/>
          <w:szCs w:val="22"/>
        </w:rPr>
      </w:pPr>
    </w:p>
    <w:p w14:paraId="2ECCE29C" w14:textId="77777777" w:rsidR="001F0B38" w:rsidRPr="00701F32" w:rsidRDefault="001F0B38" w:rsidP="0065628D">
      <w:pPr>
        <w:pStyle w:val="Ttuloprincipal"/>
        <w:jc w:val="left"/>
        <w:rPr>
          <w:rFonts w:ascii="Arial" w:hAnsi="Arial" w:cs="Arial"/>
          <w:color w:val="000000" w:themeColor="text1"/>
          <w:sz w:val="20"/>
        </w:rPr>
      </w:pPr>
      <w:r w:rsidRPr="00701F32">
        <w:rPr>
          <w:rFonts w:ascii="Arial" w:hAnsi="Arial" w:cs="Arial"/>
          <w:b w:val="0"/>
          <w:color w:val="000000" w:themeColor="text1"/>
          <w:sz w:val="22"/>
          <w:szCs w:val="22"/>
        </w:rPr>
        <w:t xml:space="preserve">Composición del </w:t>
      </w:r>
      <w:r w:rsidR="009979F3" w:rsidRPr="00701F32">
        <w:rPr>
          <w:rFonts w:ascii="Arial" w:hAnsi="Arial" w:cs="Arial"/>
          <w:b w:val="0"/>
          <w:color w:val="000000" w:themeColor="text1"/>
          <w:sz w:val="22"/>
          <w:szCs w:val="22"/>
        </w:rPr>
        <w:t>capital</w:t>
      </w:r>
      <w:r w:rsidR="009979F3" w:rsidRPr="00701F32">
        <w:rPr>
          <w:rFonts w:ascii="Arial" w:hAnsi="Arial" w:cs="Arial"/>
          <w:b w:val="0"/>
          <w:color w:val="000000" w:themeColor="text1"/>
          <w:sz w:val="20"/>
        </w:rPr>
        <w:t xml:space="preserve"> </w:t>
      </w:r>
    </w:p>
    <w:p w14:paraId="051E35CB" w14:textId="77777777" w:rsidR="001F0B38" w:rsidRPr="00701F32" w:rsidRDefault="001F0B38" w:rsidP="0065628D">
      <w:pPr>
        <w:pStyle w:val="Ttuloprincipal"/>
        <w:jc w:val="left"/>
        <w:rPr>
          <w:rFonts w:ascii="Arial" w:hAnsi="Arial" w:cs="Arial"/>
          <w:color w:val="000000" w:themeColor="text1"/>
          <w:sz w:val="22"/>
          <w:szCs w:val="22"/>
        </w:rPr>
      </w:pPr>
    </w:p>
    <w:tbl>
      <w:tblPr>
        <w:tblStyle w:val="Tablaconcuadrcula"/>
        <w:tblW w:w="8222" w:type="dxa"/>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543"/>
        <w:gridCol w:w="1560"/>
        <w:gridCol w:w="3119"/>
      </w:tblGrid>
      <w:tr w:rsidR="007C4F07" w:rsidRPr="00701F32" w14:paraId="0F09A889" w14:textId="77777777" w:rsidTr="00394B9A">
        <w:trPr>
          <w:trHeight w:val="680"/>
        </w:trPr>
        <w:tc>
          <w:tcPr>
            <w:tcW w:w="3543" w:type="dxa"/>
            <w:tcBorders>
              <w:top w:val="single" w:sz="12" w:space="0" w:color="000000" w:themeColor="text1"/>
              <w:bottom w:val="single" w:sz="12" w:space="0" w:color="000000" w:themeColor="text1"/>
            </w:tcBorders>
            <w:vAlign w:val="center"/>
          </w:tcPr>
          <w:p w14:paraId="73026C48" w14:textId="77777777" w:rsidR="003436D1" w:rsidRPr="00701F32" w:rsidRDefault="003436D1" w:rsidP="003953EA">
            <w:pPr>
              <w:jc w:val="center"/>
              <w:rPr>
                <w:rFonts w:ascii="Arial" w:hAnsi="Arial" w:cs="Arial"/>
                <w:b/>
                <w:color w:val="000000" w:themeColor="text1"/>
                <w:sz w:val="18"/>
                <w:szCs w:val="18"/>
              </w:rPr>
            </w:pPr>
            <w:r w:rsidRPr="00701F32">
              <w:rPr>
                <w:rFonts w:ascii="Arial" w:hAnsi="Arial" w:cs="Arial"/>
                <w:b/>
                <w:color w:val="000000" w:themeColor="text1"/>
                <w:sz w:val="18"/>
                <w:szCs w:val="18"/>
              </w:rPr>
              <w:t>Tipo, valor nominal y N° de votos que otorga cada una</w:t>
            </w:r>
          </w:p>
        </w:tc>
        <w:tc>
          <w:tcPr>
            <w:tcW w:w="1560" w:type="dxa"/>
            <w:tcBorders>
              <w:top w:val="single" w:sz="12" w:space="0" w:color="000000" w:themeColor="text1"/>
              <w:bottom w:val="single" w:sz="12" w:space="0" w:color="000000" w:themeColor="text1"/>
            </w:tcBorders>
            <w:vAlign w:val="center"/>
          </w:tcPr>
          <w:p w14:paraId="3F01078F" w14:textId="77777777" w:rsidR="003436D1" w:rsidRPr="00701F32" w:rsidRDefault="003436D1" w:rsidP="008A557A">
            <w:pPr>
              <w:jc w:val="center"/>
              <w:rPr>
                <w:rFonts w:ascii="Arial" w:hAnsi="Arial" w:cs="Arial"/>
                <w:b/>
                <w:color w:val="000000" w:themeColor="text1"/>
                <w:sz w:val="18"/>
                <w:szCs w:val="18"/>
              </w:rPr>
            </w:pPr>
            <w:r w:rsidRPr="00701F32">
              <w:rPr>
                <w:rFonts w:ascii="Arial" w:hAnsi="Arial" w:cs="Arial"/>
                <w:b/>
                <w:color w:val="000000" w:themeColor="text1"/>
                <w:sz w:val="18"/>
                <w:szCs w:val="18"/>
              </w:rPr>
              <w:t>Cantidad</w:t>
            </w:r>
          </w:p>
        </w:tc>
        <w:tc>
          <w:tcPr>
            <w:tcW w:w="3119" w:type="dxa"/>
            <w:tcBorders>
              <w:top w:val="single" w:sz="12" w:space="0" w:color="000000" w:themeColor="text1"/>
              <w:bottom w:val="single" w:sz="12" w:space="0" w:color="000000" w:themeColor="text1"/>
            </w:tcBorders>
            <w:vAlign w:val="center"/>
          </w:tcPr>
          <w:p w14:paraId="258BC71A" w14:textId="77777777" w:rsidR="003436D1" w:rsidRPr="00701F32" w:rsidRDefault="003436D1" w:rsidP="003953EA">
            <w:pPr>
              <w:jc w:val="center"/>
              <w:rPr>
                <w:rFonts w:ascii="Arial" w:hAnsi="Arial" w:cs="Arial"/>
                <w:b/>
                <w:color w:val="000000" w:themeColor="text1"/>
                <w:sz w:val="18"/>
                <w:szCs w:val="18"/>
              </w:rPr>
            </w:pPr>
            <w:r w:rsidRPr="00701F32">
              <w:rPr>
                <w:rFonts w:ascii="Arial" w:hAnsi="Arial" w:cs="Arial"/>
                <w:b/>
                <w:color w:val="000000" w:themeColor="text1"/>
                <w:sz w:val="18"/>
                <w:szCs w:val="18"/>
              </w:rPr>
              <w:t>Suscripto</w:t>
            </w:r>
            <w:r w:rsidR="007E24C8" w:rsidRPr="00701F32">
              <w:rPr>
                <w:rFonts w:ascii="Arial" w:hAnsi="Arial" w:cs="Arial"/>
                <w:b/>
                <w:color w:val="000000" w:themeColor="text1"/>
                <w:sz w:val="18"/>
                <w:szCs w:val="18"/>
              </w:rPr>
              <w:t xml:space="preserve"> e</w:t>
            </w:r>
            <w:r w:rsidRPr="00701F32">
              <w:rPr>
                <w:rFonts w:ascii="Arial" w:hAnsi="Arial" w:cs="Arial"/>
                <w:b/>
                <w:color w:val="000000" w:themeColor="text1"/>
                <w:sz w:val="18"/>
                <w:szCs w:val="18"/>
              </w:rPr>
              <w:t xml:space="preserve"> integrado </w:t>
            </w:r>
          </w:p>
          <w:p w14:paraId="7E61F53A" w14:textId="77777777" w:rsidR="003436D1" w:rsidRPr="00701F32" w:rsidRDefault="003436D1" w:rsidP="003953EA">
            <w:pPr>
              <w:jc w:val="center"/>
              <w:rPr>
                <w:rFonts w:ascii="Arial" w:hAnsi="Arial" w:cs="Arial"/>
                <w:color w:val="000000" w:themeColor="text1"/>
                <w:sz w:val="18"/>
                <w:szCs w:val="18"/>
              </w:rPr>
            </w:pPr>
            <w:r w:rsidRPr="00701F32">
              <w:rPr>
                <w:rFonts w:ascii="Arial" w:hAnsi="Arial" w:cs="Arial"/>
                <w:color w:val="000000" w:themeColor="text1"/>
                <w:sz w:val="18"/>
                <w:szCs w:val="18"/>
              </w:rPr>
              <w:t>(en miles de $)</w:t>
            </w:r>
          </w:p>
        </w:tc>
      </w:tr>
      <w:tr w:rsidR="007C4F07" w:rsidRPr="00701F32" w14:paraId="6F580194" w14:textId="77777777" w:rsidTr="00394B9A">
        <w:trPr>
          <w:trHeight w:val="680"/>
        </w:trPr>
        <w:tc>
          <w:tcPr>
            <w:tcW w:w="3543" w:type="dxa"/>
            <w:tcBorders>
              <w:top w:val="single" w:sz="12" w:space="0" w:color="000000" w:themeColor="text1"/>
            </w:tcBorders>
            <w:vAlign w:val="center"/>
          </w:tcPr>
          <w:p w14:paraId="009349FE" w14:textId="77777777" w:rsidR="003436D1" w:rsidRPr="00701F32" w:rsidRDefault="003436D1" w:rsidP="003953EA">
            <w:pPr>
              <w:jc w:val="center"/>
              <w:rPr>
                <w:rFonts w:ascii="Arial" w:hAnsi="Arial" w:cs="Arial"/>
                <w:color w:val="000000" w:themeColor="text1"/>
                <w:sz w:val="18"/>
                <w:szCs w:val="18"/>
              </w:rPr>
            </w:pPr>
            <w:r w:rsidRPr="00701F32">
              <w:rPr>
                <w:rFonts w:ascii="Arial" w:hAnsi="Arial" w:cs="Arial"/>
                <w:color w:val="000000" w:themeColor="text1"/>
                <w:sz w:val="18"/>
                <w:szCs w:val="18"/>
              </w:rPr>
              <w:t>Ordinarias nominativas no endosables de VN $ 1 de voto cada una</w:t>
            </w:r>
          </w:p>
        </w:tc>
        <w:tc>
          <w:tcPr>
            <w:tcW w:w="1560" w:type="dxa"/>
            <w:tcBorders>
              <w:top w:val="single" w:sz="12" w:space="0" w:color="000000" w:themeColor="text1"/>
            </w:tcBorders>
            <w:vAlign w:val="center"/>
          </w:tcPr>
          <w:p w14:paraId="2D8A4DEC" w14:textId="77777777" w:rsidR="003436D1" w:rsidRPr="00701F32" w:rsidRDefault="003B4E68" w:rsidP="002C2FC7">
            <w:pPr>
              <w:jc w:val="right"/>
              <w:rPr>
                <w:rFonts w:ascii="Arial" w:hAnsi="Arial" w:cs="Arial"/>
                <w:color w:val="000000" w:themeColor="text1"/>
                <w:sz w:val="18"/>
                <w:szCs w:val="18"/>
              </w:rPr>
            </w:pPr>
            <w:r w:rsidRPr="00701F32">
              <w:rPr>
                <w:rFonts w:ascii="Arial" w:hAnsi="Arial" w:cs="Arial"/>
                <w:color w:val="000000" w:themeColor="text1"/>
                <w:sz w:val="18"/>
                <w:szCs w:val="18"/>
              </w:rPr>
              <w:t>771</w:t>
            </w:r>
            <w:r w:rsidR="00391E59" w:rsidRPr="00701F32">
              <w:rPr>
                <w:rFonts w:ascii="Arial" w:hAnsi="Arial" w:cs="Arial"/>
                <w:color w:val="000000" w:themeColor="text1"/>
                <w:sz w:val="18"/>
                <w:szCs w:val="18"/>
              </w:rPr>
              <w:t>.</w:t>
            </w:r>
            <w:r w:rsidRPr="00701F32">
              <w:rPr>
                <w:rFonts w:ascii="Arial" w:hAnsi="Arial" w:cs="Arial"/>
                <w:color w:val="000000" w:themeColor="text1"/>
                <w:sz w:val="18"/>
                <w:szCs w:val="18"/>
              </w:rPr>
              <w:t>034</w:t>
            </w:r>
            <w:r w:rsidR="00391E59" w:rsidRPr="00701F32">
              <w:rPr>
                <w:rFonts w:ascii="Arial" w:hAnsi="Arial" w:cs="Arial"/>
                <w:color w:val="000000" w:themeColor="text1"/>
                <w:sz w:val="18"/>
                <w:szCs w:val="18"/>
              </w:rPr>
              <w:t>.</w:t>
            </w:r>
            <w:r w:rsidRPr="00701F32">
              <w:rPr>
                <w:rFonts w:ascii="Arial" w:hAnsi="Arial" w:cs="Arial"/>
                <w:color w:val="000000" w:themeColor="text1"/>
                <w:sz w:val="18"/>
                <w:szCs w:val="18"/>
              </w:rPr>
              <w:t>455</w:t>
            </w:r>
          </w:p>
        </w:tc>
        <w:tc>
          <w:tcPr>
            <w:tcW w:w="3119" w:type="dxa"/>
            <w:tcBorders>
              <w:top w:val="single" w:sz="12" w:space="0" w:color="000000" w:themeColor="text1"/>
            </w:tcBorders>
            <w:vAlign w:val="center"/>
          </w:tcPr>
          <w:p w14:paraId="2DDC1680" w14:textId="77777777" w:rsidR="003436D1" w:rsidRPr="00701F32" w:rsidRDefault="003B4E68">
            <w:pPr>
              <w:jc w:val="right"/>
              <w:rPr>
                <w:rFonts w:ascii="Arial" w:hAnsi="Arial" w:cs="Arial"/>
                <w:color w:val="000000" w:themeColor="text1"/>
                <w:sz w:val="18"/>
                <w:szCs w:val="18"/>
                <w:lang w:val="es-ES_tradnl"/>
              </w:rPr>
            </w:pPr>
            <w:r w:rsidRPr="00701F32">
              <w:rPr>
                <w:rFonts w:ascii="Arial" w:hAnsi="Arial" w:cs="Arial"/>
                <w:color w:val="000000" w:themeColor="text1"/>
                <w:sz w:val="18"/>
                <w:szCs w:val="18"/>
              </w:rPr>
              <w:t>771</w:t>
            </w:r>
            <w:r w:rsidR="001C50DA" w:rsidRPr="00701F32">
              <w:rPr>
                <w:rFonts w:ascii="Arial" w:hAnsi="Arial" w:cs="Arial"/>
                <w:color w:val="000000" w:themeColor="text1"/>
                <w:sz w:val="18"/>
                <w:szCs w:val="18"/>
              </w:rPr>
              <w:t>.</w:t>
            </w:r>
            <w:r w:rsidRPr="00701F32">
              <w:rPr>
                <w:rFonts w:ascii="Arial" w:hAnsi="Arial" w:cs="Arial"/>
                <w:color w:val="000000" w:themeColor="text1"/>
                <w:sz w:val="18"/>
                <w:szCs w:val="18"/>
              </w:rPr>
              <w:t>035</w:t>
            </w:r>
          </w:p>
        </w:tc>
      </w:tr>
      <w:tr w:rsidR="007C4F07" w:rsidRPr="00701F32" w14:paraId="10A2AFA2" w14:textId="77777777" w:rsidTr="00394B9A">
        <w:trPr>
          <w:trHeight w:val="680"/>
        </w:trPr>
        <w:tc>
          <w:tcPr>
            <w:tcW w:w="3543" w:type="dxa"/>
            <w:tcBorders>
              <w:bottom w:val="single" w:sz="12" w:space="0" w:color="000000" w:themeColor="text1"/>
            </w:tcBorders>
            <w:vAlign w:val="center"/>
          </w:tcPr>
          <w:p w14:paraId="1E41817E" w14:textId="77777777" w:rsidR="003436D1" w:rsidRPr="00701F32" w:rsidRDefault="003436D1" w:rsidP="003953EA">
            <w:pPr>
              <w:jc w:val="center"/>
              <w:rPr>
                <w:rFonts w:ascii="Arial" w:hAnsi="Arial" w:cs="Arial"/>
                <w:color w:val="000000" w:themeColor="text1"/>
                <w:sz w:val="18"/>
                <w:szCs w:val="18"/>
              </w:rPr>
            </w:pPr>
            <w:r w:rsidRPr="00701F32">
              <w:rPr>
                <w:rFonts w:ascii="Arial" w:hAnsi="Arial" w:cs="Arial"/>
                <w:color w:val="000000" w:themeColor="text1"/>
                <w:sz w:val="18"/>
                <w:szCs w:val="18"/>
              </w:rPr>
              <w:t>Ordinarias nominativas no endosables de VN $ 1 de 5 votos cada una</w:t>
            </w:r>
          </w:p>
        </w:tc>
        <w:tc>
          <w:tcPr>
            <w:tcW w:w="1560" w:type="dxa"/>
            <w:tcBorders>
              <w:bottom w:val="single" w:sz="12" w:space="0" w:color="000000" w:themeColor="text1"/>
            </w:tcBorders>
            <w:vAlign w:val="center"/>
          </w:tcPr>
          <w:p w14:paraId="52117E3D" w14:textId="77777777" w:rsidR="003436D1" w:rsidRPr="00701F32" w:rsidRDefault="00391E59" w:rsidP="008A557A">
            <w:pPr>
              <w:jc w:val="right"/>
              <w:rPr>
                <w:rFonts w:ascii="Arial" w:hAnsi="Arial" w:cs="Arial"/>
                <w:color w:val="000000" w:themeColor="text1"/>
                <w:sz w:val="18"/>
                <w:szCs w:val="18"/>
              </w:rPr>
            </w:pPr>
            <w:r w:rsidRPr="00701F32">
              <w:rPr>
                <w:rFonts w:ascii="Arial" w:hAnsi="Arial" w:cs="Arial"/>
                <w:color w:val="000000" w:themeColor="text1"/>
                <w:sz w:val="18"/>
                <w:szCs w:val="18"/>
              </w:rPr>
              <w:t>930.371</w:t>
            </w:r>
          </w:p>
        </w:tc>
        <w:tc>
          <w:tcPr>
            <w:tcW w:w="3119" w:type="dxa"/>
            <w:tcBorders>
              <w:bottom w:val="single" w:sz="12" w:space="0" w:color="000000" w:themeColor="text1"/>
            </w:tcBorders>
            <w:vAlign w:val="center"/>
          </w:tcPr>
          <w:p w14:paraId="0424BE3C" w14:textId="77777777" w:rsidR="003436D1" w:rsidRPr="00701F32" w:rsidRDefault="002C2FC7" w:rsidP="00332A30">
            <w:pPr>
              <w:jc w:val="right"/>
              <w:rPr>
                <w:rFonts w:ascii="Arial" w:hAnsi="Arial" w:cs="Arial"/>
                <w:color w:val="000000" w:themeColor="text1"/>
                <w:sz w:val="18"/>
                <w:szCs w:val="18"/>
              </w:rPr>
            </w:pPr>
            <w:r w:rsidRPr="00701F32">
              <w:rPr>
                <w:rFonts w:ascii="Arial" w:hAnsi="Arial" w:cs="Arial"/>
                <w:color w:val="000000" w:themeColor="text1"/>
                <w:sz w:val="18"/>
                <w:szCs w:val="18"/>
              </w:rPr>
              <w:t>930</w:t>
            </w:r>
          </w:p>
        </w:tc>
      </w:tr>
      <w:tr w:rsidR="007C4F07" w:rsidRPr="00701F32" w14:paraId="24934936" w14:textId="77777777" w:rsidTr="00394B9A">
        <w:trPr>
          <w:trHeight w:val="680"/>
        </w:trPr>
        <w:tc>
          <w:tcPr>
            <w:tcW w:w="3543" w:type="dxa"/>
            <w:tcBorders>
              <w:top w:val="single" w:sz="12" w:space="0" w:color="000000" w:themeColor="text1"/>
              <w:bottom w:val="single" w:sz="12" w:space="0" w:color="000000" w:themeColor="text1"/>
            </w:tcBorders>
            <w:vAlign w:val="center"/>
          </w:tcPr>
          <w:p w14:paraId="4C38974B" w14:textId="77777777" w:rsidR="003436D1" w:rsidRPr="00701F32" w:rsidRDefault="003436D1" w:rsidP="00332A30">
            <w:pPr>
              <w:jc w:val="center"/>
              <w:rPr>
                <w:rFonts w:ascii="Arial" w:hAnsi="Arial" w:cs="Arial"/>
                <w:b/>
                <w:color w:val="000000" w:themeColor="text1"/>
                <w:sz w:val="18"/>
                <w:szCs w:val="18"/>
              </w:rPr>
            </w:pPr>
            <w:r w:rsidRPr="00701F32">
              <w:rPr>
                <w:rFonts w:ascii="Arial" w:hAnsi="Arial" w:cs="Arial"/>
                <w:b/>
                <w:color w:val="000000" w:themeColor="text1"/>
                <w:sz w:val="18"/>
                <w:szCs w:val="18"/>
              </w:rPr>
              <w:t>TOTAL</w:t>
            </w:r>
          </w:p>
        </w:tc>
        <w:tc>
          <w:tcPr>
            <w:tcW w:w="1560" w:type="dxa"/>
            <w:tcBorders>
              <w:top w:val="single" w:sz="12" w:space="0" w:color="000000" w:themeColor="text1"/>
              <w:bottom w:val="single" w:sz="12" w:space="0" w:color="000000" w:themeColor="text1"/>
            </w:tcBorders>
            <w:vAlign w:val="center"/>
          </w:tcPr>
          <w:p w14:paraId="3210EFFD" w14:textId="77777777" w:rsidR="003436D1" w:rsidRPr="00701F32" w:rsidRDefault="003B4E68" w:rsidP="008A557A">
            <w:pPr>
              <w:jc w:val="right"/>
              <w:rPr>
                <w:rFonts w:ascii="Arial" w:hAnsi="Arial" w:cs="Arial"/>
                <w:b/>
                <w:color w:val="000000" w:themeColor="text1"/>
                <w:sz w:val="18"/>
                <w:szCs w:val="18"/>
              </w:rPr>
            </w:pPr>
            <w:r w:rsidRPr="00701F32">
              <w:rPr>
                <w:rFonts w:ascii="Arial" w:hAnsi="Arial" w:cs="Arial"/>
                <w:b/>
                <w:color w:val="000000" w:themeColor="text1"/>
                <w:sz w:val="18"/>
                <w:szCs w:val="18"/>
              </w:rPr>
              <w:t>771</w:t>
            </w:r>
            <w:r w:rsidR="00391E59" w:rsidRPr="00701F32">
              <w:rPr>
                <w:rFonts w:ascii="Arial" w:hAnsi="Arial" w:cs="Arial"/>
                <w:b/>
                <w:color w:val="000000" w:themeColor="text1"/>
                <w:sz w:val="18"/>
                <w:szCs w:val="18"/>
              </w:rPr>
              <w:t>.</w:t>
            </w:r>
            <w:r w:rsidRPr="00701F32">
              <w:rPr>
                <w:rFonts w:ascii="Arial" w:hAnsi="Arial" w:cs="Arial"/>
                <w:b/>
                <w:color w:val="000000" w:themeColor="text1"/>
                <w:sz w:val="18"/>
                <w:szCs w:val="18"/>
              </w:rPr>
              <w:t>964</w:t>
            </w:r>
            <w:r w:rsidR="00391E59" w:rsidRPr="00701F32">
              <w:rPr>
                <w:rFonts w:ascii="Arial" w:hAnsi="Arial" w:cs="Arial"/>
                <w:b/>
                <w:color w:val="000000" w:themeColor="text1"/>
                <w:sz w:val="18"/>
                <w:szCs w:val="18"/>
              </w:rPr>
              <w:t>.</w:t>
            </w:r>
            <w:r w:rsidRPr="00701F32">
              <w:rPr>
                <w:rFonts w:ascii="Arial" w:hAnsi="Arial" w:cs="Arial"/>
                <w:b/>
                <w:color w:val="000000" w:themeColor="text1"/>
                <w:sz w:val="18"/>
                <w:szCs w:val="18"/>
              </w:rPr>
              <w:t>826</w:t>
            </w:r>
          </w:p>
        </w:tc>
        <w:tc>
          <w:tcPr>
            <w:tcW w:w="3119" w:type="dxa"/>
            <w:tcBorders>
              <w:top w:val="single" w:sz="12" w:space="0" w:color="000000" w:themeColor="text1"/>
              <w:bottom w:val="single" w:sz="12" w:space="0" w:color="000000" w:themeColor="text1"/>
            </w:tcBorders>
            <w:vAlign w:val="center"/>
          </w:tcPr>
          <w:p w14:paraId="4ED38B49" w14:textId="77777777" w:rsidR="003436D1" w:rsidRPr="00701F32" w:rsidRDefault="003B4E68">
            <w:pPr>
              <w:jc w:val="right"/>
              <w:rPr>
                <w:rFonts w:ascii="Arial" w:hAnsi="Arial" w:cs="Arial"/>
                <w:b/>
                <w:color w:val="000000" w:themeColor="text1"/>
                <w:sz w:val="18"/>
                <w:szCs w:val="18"/>
                <w:lang w:val="es-ES_tradnl"/>
              </w:rPr>
            </w:pPr>
            <w:r w:rsidRPr="00701F32">
              <w:rPr>
                <w:rFonts w:ascii="Arial" w:hAnsi="Arial" w:cs="Arial"/>
                <w:b/>
                <w:color w:val="000000" w:themeColor="text1"/>
                <w:sz w:val="18"/>
                <w:szCs w:val="18"/>
              </w:rPr>
              <w:t>771</w:t>
            </w:r>
            <w:r w:rsidR="001C50DA" w:rsidRPr="00701F32">
              <w:rPr>
                <w:rFonts w:ascii="Arial" w:hAnsi="Arial" w:cs="Arial"/>
                <w:b/>
                <w:color w:val="000000" w:themeColor="text1"/>
                <w:sz w:val="18"/>
                <w:szCs w:val="18"/>
              </w:rPr>
              <w:t>.</w:t>
            </w:r>
            <w:r w:rsidRPr="00701F32">
              <w:rPr>
                <w:rFonts w:ascii="Arial" w:hAnsi="Arial" w:cs="Arial"/>
                <w:b/>
                <w:color w:val="000000" w:themeColor="text1"/>
                <w:sz w:val="18"/>
                <w:szCs w:val="18"/>
              </w:rPr>
              <w:t>965</w:t>
            </w:r>
          </w:p>
        </w:tc>
      </w:tr>
    </w:tbl>
    <w:p w14:paraId="416C605A" w14:textId="77777777" w:rsidR="00540B98" w:rsidRPr="00701F32" w:rsidRDefault="00540B98" w:rsidP="0065628D">
      <w:pPr>
        <w:pStyle w:val="Ttuloprincipal"/>
        <w:jc w:val="left"/>
        <w:rPr>
          <w:rFonts w:ascii="Arial" w:hAnsi="Arial" w:cs="Arial"/>
          <w:color w:val="000000" w:themeColor="text1"/>
          <w:sz w:val="22"/>
          <w:szCs w:val="22"/>
        </w:rPr>
        <w:sectPr w:rsidR="00540B98" w:rsidRPr="00701F32" w:rsidSect="004E4C82">
          <w:headerReference w:type="default" r:id="rId8"/>
          <w:pgSz w:w="11907" w:h="16839" w:code="9"/>
          <w:pgMar w:top="1418" w:right="1701" w:bottom="1418" w:left="1701" w:header="567" w:footer="0" w:gutter="0"/>
          <w:paperSrc w:first="15" w:other="15"/>
          <w:pgNumType w:start="2"/>
          <w:cols w:space="720"/>
          <w:docGrid w:linePitch="326"/>
        </w:sectPr>
      </w:pPr>
    </w:p>
    <w:p w14:paraId="75B93E53" w14:textId="10289908" w:rsidR="00286343" w:rsidRPr="00701F32" w:rsidRDefault="00CE49BA" w:rsidP="000428A1">
      <w:pPr>
        <w:tabs>
          <w:tab w:val="left" w:pos="1320"/>
        </w:tabs>
        <w:rPr>
          <w:lang w:eastAsia="es-AR"/>
        </w:rPr>
      </w:pPr>
      <w:r w:rsidRPr="00701F32">
        <w:rPr>
          <w:lang w:eastAsia="es-AR"/>
        </w:rPr>
        <w:t xml:space="preserve"> </w:t>
      </w:r>
      <w:bookmarkStart w:id="0" w:name="_GoBack"/>
      <w:bookmarkEnd w:id="0"/>
      <w:r w:rsidR="001B426E" w:rsidRPr="00701F32">
        <w:rPr>
          <w:noProof/>
          <w:lang w:eastAsia="es-AR"/>
        </w:rPr>
        <w:drawing>
          <wp:inline distT="0" distB="0" distL="0" distR="0" wp14:anchorId="42A8941E" wp14:editId="39C93F5B">
            <wp:extent cx="5400675" cy="50444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044496"/>
                    </a:xfrm>
                    <a:prstGeom prst="rect">
                      <a:avLst/>
                    </a:prstGeom>
                    <a:noFill/>
                    <a:ln>
                      <a:noFill/>
                    </a:ln>
                  </pic:spPr>
                </pic:pic>
              </a:graphicData>
            </a:graphic>
          </wp:inline>
        </w:drawing>
      </w:r>
    </w:p>
    <w:p w14:paraId="5E98E9FD" w14:textId="77777777" w:rsidR="00286343" w:rsidRPr="00701F32" w:rsidRDefault="009A3256" w:rsidP="000428A1">
      <w:pPr>
        <w:tabs>
          <w:tab w:val="left" w:pos="1320"/>
        </w:tabs>
        <w:rPr>
          <w:lang w:eastAsia="es-AR"/>
        </w:rPr>
      </w:pPr>
      <w:r w:rsidRPr="00701F32">
        <w:rPr>
          <w:lang w:eastAsia="es-AR"/>
        </w:rPr>
        <w:t xml:space="preserve"> </w:t>
      </w:r>
      <w:r w:rsidR="00963FFC" w:rsidRPr="00701F32">
        <w:rPr>
          <w:lang w:eastAsia="es-AR"/>
        </w:rPr>
        <w:t xml:space="preserve"> </w:t>
      </w:r>
    </w:p>
    <w:p w14:paraId="2B558838" w14:textId="77777777" w:rsidR="00286343" w:rsidRPr="00701F32" w:rsidRDefault="00286343" w:rsidP="000428A1">
      <w:pPr>
        <w:tabs>
          <w:tab w:val="left" w:pos="1320"/>
        </w:tabs>
        <w:rPr>
          <w:lang w:eastAsia="es-AR"/>
        </w:rPr>
      </w:pPr>
    </w:p>
    <w:p w14:paraId="0B57A91C" w14:textId="6A62E86B" w:rsidR="009A3256" w:rsidRPr="00701F32" w:rsidRDefault="002B2055" w:rsidP="000428A1">
      <w:pPr>
        <w:tabs>
          <w:tab w:val="left" w:pos="1320"/>
        </w:tabs>
        <w:rPr>
          <w:lang w:eastAsia="es-AR"/>
        </w:rPr>
      </w:pPr>
      <w:r w:rsidRPr="00701F32">
        <w:rPr>
          <w:lang w:eastAsia="es-AR"/>
        </w:rPr>
        <w:t xml:space="preserve"> </w:t>
      </w:r>
      <w:r w:rsidR="006D48B0" w:rsidRPr="00701F32">
        <w:rPr>
          <w:noProof/>
          <w:lang w:eastAsia="es-AR"/>
        </w:rPr>
        <w:drawing>
          <wp:inline distT="0" distB="0" distL="0" distR="0" wp14:anchorId="221CA8A8" wp14:editId="65657455">
            <wp:extent cx="5400675" cy="5442823"/>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5442823"/>
                    </a:xfrm>
                    <a:prstGeom prst="rect">
                      <a:avLst/>
                    </a:prstGeom>
                    <a:noFill/>
                    <a:ln>
                      <a:noFill/>
                    </a:ln>
                  </pic:spPr>
                </pic:pic>
              </a:graphicData>
            </a:graphic>
          </wp:inline>
        </w:drawing>
      </w:r>
    </w:p>
    <w:p w14:paraId="3CFF45B4" w14:textId="77777777" w:rsidR="00286343" w:rsidRPr="00701F32" w:rsidRDefault="00286343" w:rsidP="000428A1">
      <w:pPr>
        <w:tabs>
          <w:tab w:val="left" w:pos="1320"/>
        </w:tabs>
        <w:rPr>
          <w:lang w:eastAsia="es-AR"/>
        </w:rPr>
        <w:sectPr w:rsidR="00286343" w:rsidRPr="00701F32" w:rsidSect="00050353">
          <w:headerReference w:type="default" r:id="rId11"/>
          <w:footerReference w:type="default" r:id="rId12"/>
          <w:pgSz w:w="11907" w:h="16839" w:code="9"/>
          <w:pgMar w:top="1418" w:right="1701" w:bottom="1418" w:left="1701" w:header="567" w:footer="0" w:gutter="0"/>
          <w:paperSrc w:first="15" w:other="15"/>
          <w:pgNumType w:chapStyle="1"/>
          <w:cols w:space="720"/>
          <w:docGrid w:linePitch="326"/>
        </w:sectPr>
      </w:pPr>
    </w:p>
    <w:p w14:paraId="2821DC84" w14:textId="5D600E7E" w:rsidR="007A4B5A" w:rsidRPr="00701F32" w:rsidRDefault="006D48B0">
      <w:pPr>
        <w:jc w:val="center"/>
        <w:rPr>
          <w:sz w:val="20"/>
          <w:lang w:eastAsia="es-AR"/>
        </w:rPr>
      </w:pPr>
      <w:r w:rsidRPr="00701F32">
        <w:rPr>
          <w:noProof/>
          <w:lang w:eastAsia="es-AR"/>
        </w:rPr>
        <w:drawing>
          <wp:inline distT="0" distB="0" distL="0" distR="0" wp14:anchorId="771F71D7" wp14:editId="7E2D400D">
            <wp:extent cx="5400675" cy="497761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977611"/>
                    </a:xfrm>
                    <a:prstGeom prst="rect">
                      <a:avLst/>
                    </a:prstGeom>
                    <a:noFill/>
                    <a:ln>
                      <a:noFill/>
                    </a:ln>
                  </pic:spPr>
                </pic:pic>
              </a:graphicData>
            </a:graphic>
          </wp:inline>
        </w:drawing>
      </w:r>
    </w:p>
    <w:p w14:paraId="36156A6D" w14:textId="77777777" w:rsidR="007A4B5A" w:rsidRPr="00701F32" w:rsidRDefault="007A4B5A" w:rsidP="00287667">
      <w:pPr>
        <w:rPr>
          <w:sz w:val="20"/>
          <w:lang w:eastAsia="es-AR"/>
        </w:rPr>
      </w:pPr>
    </w:p>
    <w:p w14:paraId="6EA0B375" w14:textId="77777777" w:rsidR="00BA1EB9" w:rsidRPr="00701F32" w:rsidRDefault="00BA1EB9" w:rsidP="004109EB">
      <w:pPr>
        <w:jc w:val="center"/>
        <w:rPr>
          <w:sz w:val="20"/>
          <w:lang w:eastAsia="es-AR"/>
        </w:rPr>
        <w:sectPr w:rsidR="00BA1EB9" w:rsidRPr="00701F32" w:rsidSect="00050353">
          <w:headerReference w:type="default" r:id="rId14"/>
          <w:pgSz w:w="11907" w:h="16839" w:code="9"/>
          <w:pgMar w:top="1418" w:right="1701" w:bottom="1418" w:left="1701" w:header="567" w:footer="0" w:gutter="0"/>
          <w:paperSrc w:first="15" w:other="15"/>
          <w:pgNumType w:chapStyle="1"/>
          <w:cols w:space="720"/>
          <w:docGrid w:linePitch="326"/>
        </w:sectPr>
      </w:pPr>
    </w:p>
    <w:p w14:paraId="261183DF" w14:textId="77777777" w:rsidR="00CE49BA" w:rsidRPr="00701F32" w:rsidRDefault="00CE49BA" w:rsidP="00E311C9">
      <w:pPr>
        <w:ind w:left="709" w:hanging="709"/>
        <w:jc w:val="center"/>
        <w:rPr>
          <w:sz w:val="20"/>
          <w:lang w:eastAsia="es-AR"/>
        </w:rPr>
      </w:pPr>
    </w:p>
    <w:p w14:paraId="08FCB8F0" w14:textId="77777777" w:rsidR="00287667" w:rsidRPr="00701F32" w:rsidRDefault="00287667" w:rsidP="004005DD">
      <w:pPr>
        <w:rPr>
          <w:sz w:val="20"/>
          <w:lang w:eastAsia="es-AR"/>
        </w:rPr>
      </w:pPr>
    </w:p>
    <w:p w14:paraId="624F8822" w14:textId="7C643420" w:rsidR="00093551" w:rsidRPr="00701F32" w:rsidRDefault="00691704" w:rsidP="004005DD">
      <w:pPr>
        <w:rPr>
          <w:sz w:val="20"/>
          <w:lang w:eastAsia="es-AR"/>
        </w:rPr>
      </w:pPr>
      <w:r w:rsidRPr="00701F32">
        <w:rPr>
          <w:noProof/>
          <w:lang w:eastAsia="es-AR"/>
        </w:rPr>
        <w:drawing>
          <wp:inline distT="0" distB="0" distL="0" distR="0" wp14:anchorId="1AA98378" wp14:editId="6D02D4B4">
            <wp:extent cx="5400675" cy="372948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729487"/>
                    </a:xfrm>
                    <a:prstGeom prst="rect">
                      <a:avLst/>
                    </a:prstGeom>
                    <a:noFill/>
                    <a:ln>
                      <a:noFill/>
                    </a:ln>
                  </pic:spPr>
                </pic:pic>
              </a:graphicData>
            </a:graphic>
          </wp:inline>
        </w:drawing>
      </w:r>
      <w:r w:rsidR="004005DD" w:rsidRPr="00701F32">
        <w:rPr>
          <w:sz w:val="20"/>
          <w:lang w:eastAsia="es-AR"/>
        </w:rPr>
        <w:t xml:space="preserve">                    </w:t>
      </w:r>
    </w:p>
    <w:p w14:paraId="20265BFE" w14:textId="135996C4" w:rsidR="00CB559B" w:rsidRPr="00701F32" w:rsidRDefault="00CB559B" w:rsidP="005470F1">
      <w:pPr>
        <w:rPr>
          <w:sz w:val="20"/>
          <w:lang w:eastAsia="es-AR"/>
        </w:rPr>
      </w:pPr>
    </w:p>
    <w:p w14:paraId="7AA3D85E" w14:textId="77777777" w:rsidR="00CB559B" w:rsidRPr="00701F32" w:rsidRDefault="00CB559B" w:rsidP="00DD6441">
      <w:pPr>
        <w:jc w:val="center"/>
        <w:rPr>
          <w:sz w:val="20"/>
          <w:lang w:eastAsia="es-AR"/>
        </w:rPr>
      </w:pPr>
    </w:p>
    <w:p w14:paraId="7AB077B8" w14:textId="77777777" w:rsidR="006527BF" w:rsidRPr="00701F32" w:rsidRDefault="006527BF" w:rsidP="00DD6441">
      <w:pPr>
        <w:jc w:val="center"/>
        <w:rPr>
          <w:rFonts w:ascii="Arial" w:hAnsi="Arial" w:cs="Arial"/>
          <w:sz w:val="20"/>
        </w:rPr>
      </w:pPr>
    </w:p>
    <w:p w14:paraId="5EEDCB7F" w14:textId="77777777" w:rsidR="009F3C08" w:rsidRPr="00701F32" w:rsidRDefault="009F3C08" w:rsidP="00DD6441">
      <w:pPr>
        <w:jc w:val="center"/>
        <w:rPr>
          <w:sz w:val="20"/>
          <w:lang w:eastAsia="es-AR"/>
        </w:rPr>
      </w:pPr>
    </w:p>
    <w:p w14:paraId="63A4B880" w14:textId="77777777" w:rsidR="000342AE" w:rsidRPr="00701F32" w:rsidRDefault="000342AE" w:rsidP="00DD6441">
      <w:pPr>
        <w:jc w:val="center"/>
        <w:rPr>
          <w:sz w:val="20"/>
          <w:lang w:eastAsia="es-AR"/>
        </w:rPr>
      </w:pPr>
    </w:p>
    <w:p w14:paraId="4146FFE2" w14:textId="77777777" w:rsidR="000342AE" w:rsidRPr="00701F32" w:rsidRDefault="000342AE" w:rsidP="000342AE">
      <w:pPr>
        <w:rPr>
          <w:sz w:val="20"/>
          <w:lang w:eastAsia="es-AR"/>
        </w:rPr>
      </w:pPr>
    </w:p>
    <w:p w14:paraId="5BD364D4" w14:textId="77777777" w:rsidR="00632653" w:rsidRPr="00701F32" w:rsidRDefault="00632653" w:rsidP="00DD6441">
      <w:pPr>
        <w:jc w:val="center"/>
        <w:rPr>
          <w:rFonts w:ascii="Arial" w:hAnsi="Arial" w:cs="Arial"/>
          <w:szCs w:val="24"/>
        </w:rPr>
        <w:sectPr w:rsidR="00632653" w:rsidRPr="00701F32" w:rsidSect="00050353">
          <w:headerReference w:type="default" r:id="rId16"/>
          <w:pgSz w:w="11907" w:h="16839" w:code="9"/>
          <w:pgMar w:top="1418" w:right="1701" w:bottom="1418" w:left="1701" w:header="567" w:footer="0" w:gutter="0"/>
          <w:paperSrc w:first="15" w:other="15"/>
          <w:pgNumType w:chapStyle="1"/>
          <w:cols w:space="720"/>
          <w:docGrid w:linePitch="326"/>
        </w:sectPr>
      </w:pPr>
    </w:p>
    <w:p w14:paraId="57D01027" w14:textId="782F8450" w:rsidR="00635E95" w:rsidRPr="00701F32" w:rsidRDefault="00CF1387" w:rsidP="00DD6441">
      <w:pPr>
        <w:jc w:val="center"/>
        <w:rPr>
          <w:rFonts w:ascii="Arial" w:hAnsi="Arial" w:cs="Arial"/>
          <w:szCs w:val="24"/>
        </w:rPr>
      </w:pPr>
      <w:r w:rsidRPr="00701F32">
        <w:rPr>
          <w:noProof/>
          <w:lang w:eastAsia="es-AR"/>
        </w:rPr>
        <w:drawing>
          <wp:inline distT="0" distB="0" distL="0" distR="0" wp14:anchorId="3DF375F5" wp14:editId="78717F64">
            <wp:extent cx="5400675" cy="621044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6210448"/>
                    </a:xfrm>
                    <a:prstGeom prst="rect">
                      <a:avLst/>
                    </a:prstGeom>
                    <a:noFill/>
                    <a:ln>
                      <a:noFill/>
                    </a:ln>
                  </pic:spPr>
                </pic:pic>
              </a:graphicData>
            </a:graphic>
          </wp:inline>
        </w:drawing>
      </w:r>
    </w:p>
    <w:p w14:paraId="64087AAA" w14:textId="77777777" w:rsidR="00276790" w:rsidRPr="00701F32" w:rsidRDefault="00276790" w:rsidP="000C455E">
      <w:pPr>
        <w:rPr>
          <w:rFonts w:ascii="Arial" w:hAnsi="Arial" w:cs="Arial"/>
          <w:szCs w:val="24"/>
        </w:rPr>
        <w:sectPr w:rsidR="00276790" w:rsidRPr="00701F32" w:rsidSect="00050353">
          <w:headerReference w:type="default" r:id="rId18"/>
          <w:pgSz w:w="11907" w:h="16839" w:code="9"/>
          <w:pgMar w:top="1418" w:right="1701" w:bottom="1418" w:left="1701" w:header="567" w:footer="0" w:gutter="0"/>
          <w:paperSrc w:first="15" w:other="15"/>
          <w:pgNumType w:chapStyle="1"/>
          <w:cols w:space="720"/>
          <w:docGrid w:linePitch="326"/>
        </w:sectPr>
      </w:pPr>
    </w:p>
    <w:p w14:paraId="3456A513" w14:textId="709F9BBF" w:rsidR="003C1AAB" w:rsidRPr="00701F32" w:rsidRDefault="00CF1387" w:rsidP="0086282C">
      <w:pPr>
        <w:jc w:val="center"/>
        <w:rPr>
          <w:sz w:val="20"/>
          <w:lang w:eastAsia="es-AR"/>
        </w:rPr>
      </w:pPr>
      <w:r w:rsidRPr="00701F32">
        <w:rPr>
          <w:noProof/>
          <w:lang w:eastAsia="es-AR"/>
        </w:rPr>
        <w:drawing>
          <wp:anchor distT="0" distB="0" distL="114300" distR="114300" simplePos="0" relativeHeight="251677184" behindDoc="0" locked="0" layoutInCell="1" allowOverlap="1" wp14:anchorId="31F25978" wp14:editId="714DB061">
            <wp:simplePos x="0" y="0"/>
            <wp:positionH relativeFrom="column">
              <wp:posOffset>82814</wp:posOffset>
            </wp:positionH>
            <wp:positionV relativeFrom="paragraph">
              <wp:posOffset>-161925</wp:posOffset>
            </wp:positionV>
            <wp:extent cx="8255479" cy="3590702"/>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479" cy="3590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79128" w14:textId="6A3F5FD0" w:rsidR="00657F36" w:rsidRPr="00701F32" w:rsidRDefault="00657F36" w:rsidP="0086282C">
      <w:pPr>
        <w:jc w:val="center"/>
        <w:rPr>
          <w:sz w:val="20"/>
          <w:lang w:eastAsia="es-AR"/>
        </w:rPr>
      </w:pPr>
    </w:p>
    <w:p w14:paraId="6C58A1C4" w14:textId="77777777" w:rsidR="00657F36" w:rsidRPr="00701F32" w:rsidRDefault="00657F36" w:rsidP="00831174">
      <w:pPr>
        <w:rPr>
          <w:sz w:val="20"/>
          <w:lang w:eastAsia="es-AR"/>
        </w:rPr>
      </w:pPr>
    </w:p>
    <w:p w14:paraId="33E70E82" w14:textId="77777777" w:rsidR="008518BD" w:rsidRPr="00701F32" w:rsidRDefault="008518BD" w:rsidP="00831174">
      <w:pPr>
        <w:rPr>
          <w:sz w:val="20"/>
          <w:lang w:eastAsia="es-AR"/>
        </w:rPr>
      </w:pPr>
    </w:p>
    <w:p w14:paraId="42246393" w14:textId="77777777" w:rsidR="008518BD" w:rsidRPr="00701F32" w:rsidRDefault="008518BD" w:rsidP="00831174">
      <w:pPr>
        <w:rPr>
          <w:sz w:val="20"/>
          <w:lang w:eastAsia="es-AR"/>
        </w:rPr>
      </w:pPr>
    </w:p>
    <w:p w14:paraId="090CC9C9" w14:textId="77777777" w:rsidR="008518BD" w:rsidRPr="00701F32" w:rsidRDefault="008518BD" w:rsidP="00831174">
      <w:pPr>
        <w:rPr>
          <w:sz w:val="20"/>
          <w:lang w:eastAsia="es-AR"/>
        </w:rPr>
      </w:pPr>
    </w:p>
    <w:p w14:paraId="4AA5CD28" w14:textId="77777777" w:rsidR="008518BD" w:rsidRPr="00701F32" w:rsidRDefault="008518BD" w:rsidP="00831174">
      <w:pPr>
        <w:rPr>
          <w:sz w:val="20"/>
          <w:lang w:eastAsia="es-AR"/>
        </w:rPr>
      </w:pPr>
    </w:p>
    <w:p w14:paraId="55BC46A8" w14:textId="77777777" w:rsidR="008518BD" w:rsidRPr="00701F32" w:rsidRDefault="008518BD" w:rsidP="00831174">
      <w:pPr>
        <w:rPr>
          <w:sz w:val="20"/>
          <w:lang w:eastAsia="es-AR"/>
        </w:rPr>
      </w:pPr>
    </w:p>
    <w:p w14:paraId="32EF6DAE" w14:textId="77777777" w:rsidR="008518BD" w:rsidRPr="00701F32" w:rsidRDefault="008518BD" w:rsidP="00831174">
      <w:pPr>
        <w:rPr>
          <w:sz w:val="20"/>
          <w:lang w:eastAsia="es-AR"/>
        </w:rPr>
      </w:pPr>
    </w:p>
    <w:p w14:paraId="264F6D1A" w14:textId="77777777" w:rsidR="008518BD" w:rsidRPr="00701F32" w:rsidRDefault="008518BD" w:rsidP="00831174">
      <w:pPr>
        <w:rPr>
          <w:sz w:val="20"/>
          <w:lang w:eastAsia="es-AR"/>
        </w:rPr>
      </w:pPr>
    </w:p>
    <w:p w14:paraId="50193D76" w14:textId="77777777" w:rsidR="008518BD" w:rsidRPr="00701F32" w:rsidRDefault="008518BD" w:rsidP="00831174">
      <w:pPr>
        <w:rPr>
          <w:sz w:val="20"/>
          <w:lang w:eastAsia="es-AR"/>
        </w:rPr>
      </w:pPr>
    </w:p>
    <w:p w14:paraId="7357A87D" w14:textId="77777777" w:rsidR="008518BD" w:rsidRPr="00701F32" w:rsidRDefault="008518BD" w:rsidP="00831174">
      <w:pPr>
        <w:rPr>
          <w:sz w:val="20"/>
          <w:lang w:eastAsia="es-AR"/>
        </w:rPr>
      </w:pPr>
    </w:p>
    <w:p w14:paraId="04E7AE56" w14:textId="77777777" w:rsidR="008518BD" w:rsidRPr="00701F32" w:rsidRDefault="008518BD" w:rsidP="00831174">
      <w:pPr>
        <w:rPr>
          <w:sz w:val="20"/>
          <w:lang w:eastAsia="es-AR"/>
        </w:rPr>
      </w:pPr>
    </w:p>
    <w:p w14:paraId="4717D483" w14:textId="77777777" w:rsidR="008518BD" w:rsidRPr="00701F32" w:rsidRDefault="008518BD" w:rsidP="00831174">
      <w:pPr>
        <w:rPr>
          <w:sz w:val="20"/>
          <w:lang w:eastAsia="es-AR"/>
        </w:rPr>
      </w:pPr>
    </w:p>
    <w:p w14:paraId="78407310" w14:textId="77777777" w:rsidR="008518BD" w:rsidRPr="00701F32" w:rsidRDefault="008518BD" w:rsidP="00831174">
      <w:pPr>
        <w:rPr>
          <w:sz w:val="20"/>
          <w:lang w:eastAsia="es-AR"/>
        </w:rPr>
      </w:pPr>
    </w:p>
    <w:p w14:paraId="5B8B25F8" w14:textId="77777777" w:rsidR="008518BD" w:rsidRPr="00701F32" w:rsidRDefault="008518BD" w:rsidP="00831174">
      <w:pPr>
        <w:rPr>
          <w:sz w:val="20"/>
          <w:lang w:eastAsia="es-AR"/>
        </w:rPr>
      </w:pPr>
    </w:p>
    <w:p w14:paraId="043C905C" w14:textId="77777777" w:rsidR="008518BD" w:rsidRPr="00701F32" w:rsidRDefault="008518BD" w:rsidP="00831174">
      <w:pPr>
        <w:rPr>
          <w:sz w:val="20"/>
          <w:lang w:eastAsia="es-AR"/>
        </w:rPr>
      </w:pPr>
    </w:p>
    <w:p w14:paraId="227AD72A" w14:textId="77777777" w:rsidR="008518BD" w:rsidRPr="00701F32" w:rsidRDefault="008518BD" w:rsidP="00831174">
      <w:pPr>
        <w:rPr>
          <w:sz w:val="20"/>
          <w:lang w:eastAsia="es-AR"/>
        </w:rPr>
      </w:pPr>
    </w:p>
    <w:p w14:paraId="5D9D3382" w14:textId="77777777" w:rsidR="008518BD" w:rsidRPr="00701F32" w:rsidRDefault="008518BD" w:rsidP="00831174">
      <w:pPr>
        <w:rPr>
          <w:sz w:val="20"/>
          <w:lang w:eastAsia="es-AR"/>
        </w:rPr>
      </w:pPr>
    </w:p>
    <w:p w14:paraId="72CDE67A" w14:textId="77777777" w:rsidR="008518BD" w:rsidRPr="00701F32" w:rsidRDefault="008518BD" w:rsidP="00831174">
      <w:pPr>
        <w:rPr>
          <w:sz w:val="20"/>
          <w:lang w:eastAsia="es-AR"/>
        </w:rPr>
      </w:pPr>
    </w:p>
    <w:p w14:paraId="600FD7DF" w14:textId="58E19F16" w:rsidR="008518BD" w:rsidRPr="00701F32" w:rsidRDefault="008518BD" w:rsidP="00831174">
      <w:pPr>
        <w:rPr>
          <w:sz w:val="20"/>
          <w:lang w:eastAsia="es-AR"/>
        </w:rPr>
      </w:pPr>
    </w:p>
    <w:p w14:paraId="5AD96219" w14:textId="77777777" w:rsidR="008518BD" w:rsidRPr="00701F32" w:rsidRDefault="008518BD" w:rsidP="00831174">
      <w:pPr>
        <w:rPr>
          <w:sz w:val="20"/>
          <w:lang w:eastAsia="es-AR"/>
        </w:rPr>
      </w:pPr>
    </w:p>
    <w:p w14:paraId="60953BFC" w14:textId="545BE83D" w:rsidR="008518BD" w:rsidRPr="00701F32" w:rsidRDefault="00CF1387" w:rsidP="00831174">
      <w:pPr>
        <w:rPr>
          <w:sz w:val="20"/>
          <w:lang w:eastAsia="es-AR"/>
        </w:rPr>
      </w:pPr>
      <w:r w:rsidRPr="00701F32">
        <w:rPr>
          <w:noProof/>
          <w:lang w:eastAsia="es-AR"/>
        </w:rPr>
        <w:drawing>
          <wp:anchor distT="0" distB="0" distL="114300" distR="114300" simplePos="0" relativeHeight="251675136" behindDoc="0" locked="0" layoutInCell="1" allowOverlap="1" wp14:anchorId="6B47D9E7" wp14:editId="4BE99043">
            <wp:simplePos x="0" y="0"/>
            <wp:positionH relativeFrom="column">
              <wp:posOffset>144780</wp:posOffset>
            </wp:positionH>
            <wp:positionV relativeFrom="paragraph">
              <wp:posOffset>-144409</wp:posOffset>
            </wp:positionV>
            <wp:extent cx="8269817" cy="3519578"/>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9817" cy="3519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B29C2" w14:textId="6A42B2E8" w:rsidR="008518BD" w:rsidRPr="00701F32" w:rsidRDefault="008518BD" w:rsidP="00831174">
      <w:pPr>
        <w:rPr>
          <w:sz w:val="20"/>
          <w:lang w:eastAsia="es-AR"/>
        </w:rPr>
        <w:sectPr w:rsidR="008518BD" w:rsidRPr="00701F32" w:rsidSect="00B45138">
          <w:headerReference w:type="even" r:id="rId21"/>
          <w:headerReference w:type="default" r:id="rId22"/>
          <w:headerReference w:type="first" r:id="rId23"/>
          <w:pgSz w:w="16840" w:h="11907" w:orient="landscape" w:code="9"/>
          <w:pgMar w:top="1418" w:right="1701" w:bottom="1418" w:left="1701" w:header="567" w:footer="0" w:gutter="0"/>
          <w:paperSrc w:first="15" w:other="15"/>
          <w:pgNumType w:chapStyle="1"/>
          <w:cols w:space="720"/>
          <w:docGrid w:linePitch="326"/>
        </w:sectPr>
      </w:pPr>
    </w:p>
    <w:p w14:paraId="1F42CE52" w14:textId="77777777" w:rsidR="00122BCE" w:rsidRPr="00701F32" w:rsidRDefault="00122BCE" w:rsidP="0055696C">
      <w:pPr>
        <w:ind w:left="-567" w:firstLine="567"/>
        <w:rPr>
          <w:sz w:val="20"/>
          <w:lang w:eastAsia="es-AR"/>
        </w:rPr>
      </w:pPr>
    </w:p>
    <w:p w14:paraId="60F1EBD7" w14:textId="78F5CB91" w:rsidR="008D7742" w:rsidRPr="00701F32" w:rsidRDefault="008D71A1" w:rsidP="00712ADC">
      <w:pPr>
        <w:ind w:left="-567" w:firstLine="567"/>
        <w:jc w:val="center"/>
        <w:rPr>
          <w:sz w:val="20"/>
          <w:lang w:eastAsia="es-AR"/>
        </w:rPr>
      </w:pPr>
      <w:r w:rsidRPr="00701F32">
        <w:rPr>
          <w:sz w:val="20"/>
          <w:lang w:eastAsia="es-AR"/>
        </w:rPr>
        <w:t xml:space="preserve"> </w:t>
      </w:r>
      <w:r w:rsidR="00BF7B63" w:rsidRPr="00701F32">
        <w:rPr>
          <w:noProof/>
          <w:lang w:eastAsia="es-AR"/>
        </w:rPr>
        <w:drawing>
          <wp:inline distT="0" distB="0" distL="0" distR="0" wp14:anchorId="0B637C51" wp14:editId="2C120102">
            <wp:extent cx="5400675" cy="59403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5940366"/>
                    </a:xfrm>
                    <a:prstGeom prst="rect">
                      <a:avLst/>
                    </a:prstGeom>
                    <a:noFill/>
                    <a:ln>
                      <a:noFill/>
                    </a:ln>
                  </pic:spPr>
                </pic:pic>
              </a:graphicData>
            </a:graphic>
          </wp:inline>
        </w:drawing>
      </w:r>
    </w:p>
    <w:p w14:paraId="3BF17EF5" w14:textId="77777777" w:rsidR="00CA30F3" w:rsidRPr="00701F32" w:rsidRDefault="00986CD8" w:rsidP="00F466C9">
      <w:pPr>
        <w:ind w:left="-567" w:firstLine="567"/>
        <w:jc w:val="center"/>
        <w:rPr>
          <w:sz w:val="20"/>
          <w:lang w:eastAsia="es-AR"/>
        </w:rPr>
      </w:pPr>
      <w:r w:rsidRPr="00701F32">
        <w:rPr>
          <w:sz w:val="20"/>
          <w:lang w:eastAsia="es-AR"/>
        </w:rPr>
        <w:t xml:space="preserve"> </w:t>
      </w:r>
    </w:p>
    <w:p w14:paraId="3AA04D67" w14:textId="75C99D93" w:rsidR="00CA30F3" w:rsidRPr="00701F32" w:rsidRDefault="007220BD" w:rsidP="00F466C9">
      <w:pPr>
        <w:ind w:left="-567" w:firstLine="567"/>
        <w:jc w:val="center"/>
        <w:rPr>
          <w:sz w:val="20"/>
          <w:lang w:eastAsia="es-AR"/>
        </w:rPr>
        <w:sectPr w:rsidR="00CA30F3" w:rsidRPr="00701F32" w:rsidSect="00E05C63">
          <w:headerReference w:type="default" r:id="rId25"/>
          <w:pgSz w:w="11907" w:h="16839" w:code="9"/>
          <w:pgMar w:top="1418" w:right="1701" w:bottom="1418" w:left="1701" w:header="567" w:footer="0" w:gutter="0"/>
          <w:paperSrc w:first="15" w:other="15"/>
          <w:pgNumType w:chapStyle="1"/>
          <w:cols w:space="720"/>
          <w:docGrid w:linePitch="326"/>
        </w:sectPr>
      </w:pPr>
      <w:r w:rsidRPr="00701F32">
        <w:rPr>
          <w:noProof/>
          <w:lang w:eastAsia="es-AR"/>
        </w:rPr>
        <w:drawing>
          <wp:inline distT="0" distB="0" distL="0" distR="0" wp14:anchorId="1983DD42" wp14:editId="4E6FDE0F">
            <wp:extent cx="5400675" cy="58460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5846031"/>
                    </a:xfrm>
                    <a:prstGeom prst="rect">
                      <a:avLst/>
                    </a:prstGeom>
                    <a:noFill/>
                    <a:ln>
                      <a:noFill/>
                    </a:ln>
                  </pic:spPr>
                </pic:pic>
              </a:graphicData>
            </a:graphic>
          </wp:inline>
        </w:drawing>
      </w:r>
    </w:p>
    <w:p w14:paraId="32C63E70" w14:textId="77777777" w:rsidR="002F4872" w:rsidRPr="00701F32" w:rsidRDefault="00C245AD" w:rsidP="00023941">
      <w:pPr>
        <w:tabs>
          <w:tab w:val="left" w:pos="142"/>
          <w:tab w:val="left" w:pos="851"/>
          <w:tab w:val="left" w:pos="993"/>
          <w:tab w:val="left" w:pos="9923"/>
        </w:tabs>
        <w:spacing w:after="200" w:line="276" w:lineRule="auto"/>
        <w:ind w:left="284"/>
        <w:contextualSpacing/>
        <w:jc w:val="both"/>
        <w:rPr>
          <w:rFonts w:ascii="Arial" w:hAnsi="Arial" w:cs="Arial"/>
          <w:b/>
          <w:sz w:val="20"/>
          <w:lang w:eastAsia="es-AR"/>
        </w:rPr>
      </w:pPr>
      <w:r w:rsidRPr="00701F32">
        <w:rPr>
          <w:noProof/>
          <w:lang w:eastAsia="es-AR"/>
        </w:rPr>
        <w:drawing>
          <wp:anchor distT="0" distB="0" distL="114300" distR="114300" simplePos="0" relativeHeight="251637248" behindDoc="0" locked="0" layoutInCell="1" allowOverlap="1" wp14:anchorId="65CD3B7D" wp14:editId="0D700767">
            <wp:simplePos x="0" y="0"/>
            <wp:positionH relativeFrom="column">
              <wp:posOffset>-2424430</wp:posOffset>
            </wp:positionH>
            <wp:positionV relativeFrom="paragraph">
              <wp:posOffset>-21884944</wp:posOffset>
            </wp:positionV>
            <wp:extent cx="9712325" cy="2754630"/>
            <wp:effectExtent l="0" t="0" r="3175" b="76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2325" cy="2754630"/>
                    </a:xfrm>
                    <a:prstGeom prst="rect">
                      <a:avLst/>
                    </a:prstGeom>
                    <a:noFill/>
                    <a:ln>
                      <a:noFill/>
                    </a:ln>
                  </pic:spPr>
                </pic:pic>
              </a:graphicData>
            </a:graphic>
          </wp:anchor>
        </w:drawing>
      </w:r>
    </w:p>
    <w:p w14:paraId="7A56163E" w14:textId="77777777" w:rsidR="00A06BE9" w:rsidRPr="00701F32" w:rsidRDefault="00A06BE9" w:rsidP="00A06BE9">
      <w:pPr>
        <w:spacing w:after="160" w:line="259" w:lineRule="auto"/>
        <w:jc w:val="both"/>
        <w:rPr>
          <w:rFonts w:ascii="Arial" w:eastAsia="Calibri" w:hAnsi="Arial" w:cs="Arial"/>
          <w:b/>
          <w:color w:val="C45911"/>
          <w:sz w:val="20"/>
        </w:rPr>
      </w:pPr>
      <w:r w:rsidRPr="00701F32">
        <w:rPr>
          <w:rFonts w:ascii="Arial" w:eastAsia="Calibri" w:hAnsi="Arial" w:cs="Arial"/>
          <w:b/>
          <w:sz w:val="20"/>
        </w:rPr>
        <w:t xml:space="preserve">1. </w:t>
      </w:r>
      <w:r w:rsidR="00582EAB" w:rsidRPr="00701F32">
        <w:rPr>
          <w:rFonts w:ascii="Arial" w:eastAsia="Calibri" w:hAnsi="Arial" w:cs="Arial"/>
          <w:b/>
          <w:sz w:val="20"/>
        </w:rPr>
        <w:t>NORMAS CONTABLES Y BASES DE PREPARACION</w:t>
      </w:r>
    </w:p>
    <w:p w14:paraId="53A03445"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 xml:space="preserve">Banco Supervielle S.A (en adelante, “el Banco”), es una entidad financiera comprendida dentro de la Ley N° 21.526 de Entidades Financieras sujeta a las disposiciones del Banco Central de la República Argentina (B.C.R.A.) como órgano regulador de entidades financieras. </w:t>
      </w:r>
    </w:p>
    <w:p w14:paraId="44021CB3" w14:textId="77777777" w:rsidR="00A06BE9" w:rsidRPr="00701F32" w:rsidRDefault="00A06BE9" w:rsidP="00A06BE9">
      <w:pPr>
        <w:jc w:val="both"/>
        <w:rPr>
          <w:rFonts w:ascii="Arial" w:eastAsia="Arial" w:hAnsi="Arial" w:cs="Arial"/>
          <w:sz w:val="20"/>
        </w:rPr>
      </w:pPr>
      <w:r w:rsidRPr="00701F32">
        <w:rPr>
          <w:rFonts w:ascii="Arial" w:eastAsia="Arial" w:hAnsi="Arial" w:cs="Arial"/>
          <w:sz w:val="20"/>
        </w:rPr>
        <w:t>Adicionalmente el Banco se desempeña como Agente de Liquidación y Compensación en el marco de la Comisión Nacional de Valores (C.N.V.) por lo que se encuentra regulado por las disposiciones emanadas de la Ley 26.831 de Mercado de Capitales.</w:t>
      </w:r>
    </w:p>
    <w:p w14:paraId="2013CC81" w14:textId="77777777" w:rsidR="00A06BE9" w:rsidRPr="00701F32" w:rsidRDefault="00A06BE9" w:rsidP="00A06BE9">
      <w:pPr>
        <w:jc w:val="both"/>
        <w:rPr>
          <w:rFonts w:ascii="Arial" w:eastAsia="Calibri" w:hAnsi="Arial" w:cs="Arial"/>
          <w:sz w:val="20"/>
        </w:rPr>
      </w:pPr>
    </w:p>
    <w:p w14:paraId="329943A9"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La Entidad opera como un banco universal y es una subsidiaria del Grupo Supervielle S.A. </w:t>
      </w:r>
    </w:p>
    <w:p w14:paraId="3CC57938"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Estos estados financieros condensados consolidados intermedios han sido aprobados por </w:t>
      </w:r>
      <w:r w:rsidR="00251677" w:rsidRPr="00701F32">
        <w:rPr>
          <w:rFonts w:ascii="Arial" w:eastAsia="Calibri" w:hAnsi="Arial" w:cs="Arial"/>
          <w:sz w:val="20"/>
        </w:rPr>
        <w:t xml:space="preserve">el Directorio de la Entidad en su reunión </w:t>
      </w:r>
      <w:r w:rsidRPr="00701F32">
        <w:rPr>
          <w:rFonts w:ascii="Arial" w:eastAsia="Calibri" w:hAnsi="Arial" w:cs="Arial"/>
          <w:sz w:val="20"/>
        </w:rPr>
        <w:t xml:space="preserve">de fecha </w:t>
      </w:r>
      <w:r w:rsidR="00202FE4" w:rsidRPr="00701F32">
        <w:rPr>
          <w:rFonts w:ascii="Arial" w:eastAsia="Calibri" w:hAnsi="Arial" w:cs="Arial"/>
          <w:sz w:val="20"/>
        </w:rPr>
        <w:t xml:space="preserve">15 </w:t>
      </w:r>
      <w:r w:rsidRPr="00701F32">
        <w:rPr>
          <w:rFonts w:ascii="Arial" w:eastAsia="Calibri" w:hAnsi="Arial" w:cs="Arial"/>
          <w:sz w:val="20"/>
        </w:rPr>
        <w:t xml:space="preserve">de </w:t>
      </w:r>
      <w:r w:rsidR="00202FE4" w:rsidRPr="00701F32">
        <w:rPr>
          <w:rFonts w:ascii="Arial" w:eastAsia="Calibri" w:hAnsi="Arial" w:cs="Arial"/>
          <w:sz w:val="20"/>
        </w:rPr>
        <w:t xml:space="preserve">noviembre </w:t>
      </w:r>
      <w:r w:rsidRPr="00701F32">
        <w:rPr>
          <w:rFonts w:ascii="Arial" w:eastAsia="Calibri" w:hAnsi="Arial" w:cs="Arial"/>
          <w:sz w:val="20"/>
        </w:rPr>
        <w:t xml:space="preserve">de 2018. </w:t>
      </w:r>
    </w:p>
    <w:p w14:paraId="7EC8367A" w14:textId="77777777" w:rsidR="00A06BE9" w:rsidRPr="00701F32" w:rsidRDefault="00A06BE9" w:rsidP="00A06BE9">
      <w:pPr>
        <w:spacing w:after="160" w:line="259" w:lineRule="auto"/>
        <w:jc w:val="both"/>
        <w:rPr>
          <w:rFonts w:ascii="Arial" w:eastAsia="Calibri" w:hAnsi="Arial" w:cs="Arial"/>
          <w:b/>
          <w:color w:val="C45911"/>
          <w:sz w:val="20"/>
        </w:rPr>
      </w:pPr>
      <w:r w:rsidRPr="00701F32">
        <w:rPr>
          <w:rFonts w:ascii="Arial" w:eastAsia="Calibri" w:hAnsi="Arial" w:cs="Arial"/>
          <w:b/>
          <w:sz w:val="20"/>
        </w:rPr>
        <w:t xml:space="preserve">1.1 Adopción de las NIIF </w:t>
      </w:r>
    </w:p>
    <w:p w14:paraId="61DEDE0E" w14:textId="7A838FCA"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 xml:space="preserve">El Banco Central de la República Argentina (B.C.R.A.), a través de las Comunicaciones “A” 5541 y modificatorias, estableció el plan de convergencia hacia las Normas Internacionales de Información Financiera (NIIF) emitidas por el Consejo de Normas Internacionales de Información Financiera (IASB, por sus siglas en </w:t>
      </w:r>
      <w:r w:rsidR="002731C9" w:rsidRPr="00701F32">
        <w:rPr>
          <w:rFonts w:ascii="Arial" w:eastAsia="Arial" w:hAnsi="Arial" w:cs="Arial"/>
          <w:sz w:val="20"/>
        </w:rPr>
        <w:t>inglés</w:t>
      </w:r>
      <w:r w:rsidRPr="00701F32">
        <w:rPr>
          <w:rFonts w:ascii="Arial" w:eastAsia="Arial" w:hAnsi="Arial" w:cs="Arial"/>
          <w:sz w:val="20"/>
        </w:rPr>
        <w:t xml:space="preserve">) y las interpretaciones emitidas por el Comité de Interpretaciones de Normas Internacionales de Información Financiera (CINIIF), para las entidades bajo su supervisión, </w:t>
      </w:r>
      <w:r w:rsidR="009D3943" w:rsidRPr="00701F32">
        <w:rPr>
          <w:rFonts w:ascii="Arial" w:eastAsia="Arial" w:hAnsi="Arial" w:cs="Arial"/>
          <w:sz w:val="20"/>
        </w:rPr>
        <w:t xml:space="preserve">para los ejercicios iniciados a partir del 1 de enero de 2018, </w:t>
      </w:r>
      <w:r w:rsidRPr="00701F32">
        <w:rPr>
          <w:rFonts w:ascii="Arial" w:eastAsia="Arial" w:hAnsi="Arial" w:cs="Arial"/>
          <w:sz w:val="20"/>
        </w:rPr>
        <w:t xml:space="preserve">con excepción de la aplicación del punto 5.5 </w:t>
      </w:r>
      <w:r w:rsidR="00396894" w:rsidRPr="00701F32">
        <w:rPr>
          <w:rFonts w:ascii="Arial" w:eastAsia="Arial" w:hAnsi="Arial" w:cs="Arial"/>
          <w:sz w:val="20"/>
        </w:rPr>
        <w:t>“D</w:t>
      </w:r>
      <w:r w:rsidRPr="00701F32">
        <w:rPr>
          <w:rFonts w:ascii="Arial" w:eastAsia="Arial" w:hAnsi="Arial" w:cs="Arial"/>
          <w:sz w:val="20"/>
        </w:rPr>
        <w:t>eterioro de valor</w:t>
      </w:r>
      <w:r w:rsidR="00396894" w:rsidRPr="00701F32">
        <w:rPr>
          <w:rFonts w:ascii="Arial" w:eastAsia="Arial" w:hAnsi="Arial" w:cs="Arial"/>
          <w:sz w:val="20"/>
        </w:rPr>
        <w:t>”</w:t>
      </w:r>
      <w:r w:rsidRPr="00701F32">
        <w:rPr>
          <w:rFonts w:ascii="Arial" w:eastAsia="Arial" w:hAnsi="Arial" w:cs="Arial"/>
          <w:sz w:val="20"/>
        </w:rPr>
        <w:t xml:space="preserve"> de la NIIF </w:t>
      </w:r>
      <w:r w:rsidR="005C4329" w:rsidRPr="00701F32">
        <w:rPr>
          <w:rFonts w:ascii="Arial" w:eastAsia="Arial" w:hAnsi="Arial" w:cs="Arial"/>
          <w:sz w:val="20"/>
        </w:rPr>
        <w:t>9 “Instrumentos Financieros</w:t>
      </w:r>
      <w:r w:rsidR="009D3943" w:rsidRPr="00701F32">
        <w:rPr>
          <w:rFonts w:ascii="Arial" w:eastAsia="Arial" w:hAnsi="Arial" w:cs="Arial"/>
          <w:sz w:val="20"/>
        </w:rPr>
        <w:t>”</w:t>
      </w:r>
      <w:r w:rsidR="005C4329" w:rsidRPr="00701F32">
        <w:rPr>
          <w:rFonts w:ascii="Arial" w:eastAsia="Arial" w:hAnsi="Arial" w:cs="Arial"/>
          <w:sz w:val="20"/>
        </w:rPr>
        <w:t xml:space="preserve"> y de la NIC 29</w:t>
      </w:r>
      <w:r w:rsidR="009D3943" w:rsidRPr="00701F32">
        <w:rPr>
          <w:rFonts w:ascii="Arial" w:eastAsia="Arial" w:hAnsi="Arial" w:cs="Arial"/>
          <w:sz w:val="20"/>
        </w:rPr>
        <w:t xml:space="preserve"> (que determina la obligatoriedad de reexpresión de estados financieros de acuerdo con lo detallado en nota 1.2.b) excluida por el B.C.R.A. de su marco contable.</w:t>
      </w:r>
      <w:r w:rsidRPr="00701F32">
        <w:rPr>
          <w:rFonts w:ascii="Arial" w:eastAsia="Arial" w:hAnsi="Arial" w:cs="Arial"/>
          <w:sz w:val="20"/>
        </w:rPr>
        <w:t xml:space="preserve"> Se establece asimismo que las entidades deberán preparar sus estados financieros de apertura a partir del 1 de enero de 2017, para ser tomados como base comparativa del ejercicio </w:t>
      </w:r>
      <w:r w:rsidR="009D3943" w:rsidRPr="00701F32">
        <w:rPr>
          <w:rFonts w:ascii="Arial" w:eastAsia="Arial" w:hAnsi="Arial" w:cs="Arial"/>
          <w:sz w:val="20"/>
        </w:rPr>
        <w:t>iniciado</w:t>
      </w:r>
      <w:r w:rsidRPr="00701F32">
        <w:rPr>
          <w:rFonts w:ascii="Arial" w:eastAsia="Arial" w:hAnsi="Arial" w:cs="Arial"/>
          <w:sz w:val="20"/>
        </w:rPr>
        <w:t xml:space="preserve"> el 1 de enero de 2018.</w:t>
      </w:r>
    </w:p>
    <w:p w14:paraId="3DF9A31E" w14:textId="77777777"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Por su parte, con fecha 12 de enero de 2018, el B.C.R.A. publicó la Comunicación “A” 6430 por la cual se estableció que las Entidades Financieras deberán comenzar a aplicar las disposiciones en materia de Deterioro de Activos Financiero contenidas en el punto 5.5 de la NIIF 9 a partir de los ejercicios iniciados el 1 de enero de 2020. Dicho modelo de deterioro de activos financieros establece un esquema de tres etapas que se basa en el cambio en la calidad crediticia de los activos financieros desde su reconocimiento inicial. Los activos se mueven a través de las tres etapas dependiendo de los cambios en el riesgo de crédito y las etapas dictan cómo una entidad mide las pérdidas por deterioro y aplica el método del interés efectivo.</w:t>
      </w:r>
    </w:p>
    <w:p w14:paraId="2CF37C2F" w14:textId="77777777" w:rsidR="00A06BE9" w:rsidRPr="00701F32" w:rsidRDefault="00A06BE9" w:rsidP="00A06BE9">
      <w:pPr>
        <w:numPr>
          <w:ilvl w:val="0"/>
          <w:numId w:val="49"/>
        </w:numPr>
        <w:spacing w:after="160"/>
        <w:contextualSpacing/>
        <w:jc w:val="both"/>
        <w:rPr>
          <w:rFonts w:ascii="Arial" w:eastAsia="Arial" w:hAnsi="Arial" w:cs="Arial"/>
          <w:sz w:val="20"/>
        </w:rPr>
      </w:pPr>
      <w:r w:rsidRPr="00701F32">
        <w:rPr>
          <w:rFonts w:ascii="Arial" w:eastAsia="Arial" w:hAnsi="Arial" w:cs="Arial"/>
          <w:sz w:val="20"/>
        </w:rPr>
        <w:t xml:space="preserve">La Etapa 1 incluye los instrumentos financieros que no han tenido un incremento significativo en el riesgo de crédito desde su reconocimiento inicial o que tienen un riesgo de crédito bajo a la fecha de presentación. Para estos instrumentos, se reconocen las pérdidas de crédito esperadas (PCE) por 12 meses y los ingresos por intereses se calculan sobre el importe bruto en libros del activo (es decir, sin deducción de la previsión por deterioro). Las PCE de 12 meses son las que resultan de eventos de default que son posibles dentro de los 12 meses posteriores a la fecha de presentación. </w:t>
      </w:r>
    </w:p>
    <w:p w14:paraId="13EFD917" w14:textId="77777777" w:rsidR="00A06BE9" w:rsidRPr="00701F32" w:rsidRDefault="00A06BE9" w:rsidP="00A06BE9">
      <w:pPr>
        <w:spacing w:after="160"/>
        <w:jc w:val="both"/>
        <w:rPr>
          <w:rFonts w:ascii="Arial" w:eastAsia="Arial" w:hAnsi="Arial" w:cs="Arial"/>
          <w:sz w:val="20"/>
        </w:rPr>
      </w:pPr>
    </w:p>
    <w:p w14:paraId="7367FBCD" w14:textId="77777777" w:rsidR="00A06BE9" w:rsidRPr="00701F32" w:rsidRDefault="00A06BE9" w:rsidP="00A06BE9">
      <w:pPr>
        <w:numPr>
          <w:ilvl w:val="0"/>
          <w:numId w:val="49"/>
        </w:numPr>
        <w:spacing w:after="160"/>
        <w:contextualSpacing/>
        <w:jc w:val="both"/>
        <w:rPr>
          <w:rFonts w:ascii="Arial" w:eastAsia="Arial" w:hAnsi="Arial" w:cs="Arial"/>
          <w:sz w:val="20"/>
        </w:rPr>
      </w:pPr>
      <w:r w:rsidRPr="00701F32">
        <w:rPr>
          <w:rFonts w:ascii="Arial" w:eastAsia="Arial" w:hAnsi="Arial" w:cs="Arial"/>
          <w:sz w:val="20"/>
        </w:rPr>
        <w:t>La Etapa 2 incluye los instrumentos financieros que han tenido un incremento significativo en el riesgo de crédito desde su reconocimiento inicial (a menos que tengan un riesgo de crédito bajo en la fecha de presentación) pero que no tienen evidencia objetiva de deterioro. Para estas partidas, se reconocen las PCE en toda la vida del instrumento, pero los ingresos por intereses se calculan todavía sobre el importe bruto en libros del activo. Las PCE en toda la vida del instrumento es el valor presente de las pérdidas que surgirían como resultado de un default ocurrido en cualquier momento en toda la vida del instrumento. Es el promedio ponderado de la pérdida que se tendría en caso de existir un default utilizando la probabilidad de default como ponderador.</w:t>
      </w:r>
    </w:p>
    <w:p w14:paraId="7733ED5E" w14:textId="77777777" w:rsidR="00A06BE9" w:rsidRPr="00701F32" w:rsidRDefault="00A06BE9" w:rsidP="00A06BE9">
      <w:pPr>
        <w:spacing w:after="160"/>
        <w:jc w:val="both"/>
        <w:rPr>
          <w:rFonts w:ascii="Arial" w:eastAsia="Arial" w:hAnsi="Arial" w:cs="Arial"/>
          <w:sz w:val="20"/>
        </w:rPr>
      </w:pPr>
    </w:p>
    <w:p w14:paraId="1E261FC5" w14:textId="77777777" w:rsidR="00A06BE9" w:rsidRPr="00701F32" w:rsidRDefault="00A06BE9" w:rsidP="00A06BE9">
      <w:pPr>
        <w:numPr>
          <w:ilvl w:val="0"/>
          <w:numId w:val="49"/>
        </w:numPr>
        <w:spacing w:after="160"/>
        <w:contextualSpacing/>
        <w:jc w:val="both"/>
        <w:rPr>
          <w:rFonts w:ascii="Arial" w:eastAsia="Arial" w:hAnsi="Arial" w:cs="Arial"/>
          <w:sz w:val="20"/>
        </w:rPr>
      </w:pPr>
      <w:r w:rsidRPr="00701F32">
        <w:rPr>
          <w:rFonts w:ascii="Arial" w:eastAsia="Arial" w:hAnsi="Arial" w:cs="Arial"/>
          <w:sz w:val="20"/>
        </w:rPr>
        <w:t>La Etapa 3 incluye activos financieros que tienen evidencia objetiva de deterioro a la fecha de presentación. Para estas partidas se reconocen las PCE en toda la vida del instrumento y los ingresos por intereses se calculan sobre el valor neto en libros (es decir, neto de la previsión por deterioro).</w:t>
      </w:r>
    </w:p>
    <w:p w14:paraId="379D7C58" w14:textId="77777777" w:rsidR="00076EC8" w:rsidRPr="00701F32" w:rsidRDefault="00076EC8" w:rsidP="00FF7CC8">
      <w:pPr>
        <w:rPr>
          <w:rFonts w:ascii="Arial" w:eastAsia="Arial" w:hAnsi="Arial" w:cs="Arial"/>
          <w:sz w:val="20"/>
        </w:rPr>
      </w:pPr>
    </w:p>
    <w:p w14:paraId="2FB80327" w14:textId="77777777" w:rsidR="00076EC8" w:rsidRPr="00701F32" w:rsidRDefault="00076EC8" w:rsidP="00076EC8">
      <w:pPr>
        <w:spacing w:after="160"/>
        <w:contextualSpacing/>
        <w:jc w:val="both"/>
        <w:rPr>
          <w:rFonts w:ascii="Arial" w:eastAsia="Arial" w:hAnsi="Arial" w:cs="Arial"/>
          <w:sz w:val="20"/>
        </w:rPr>
      </w:pPr>
      <w:r w:rsidRPr="00701F32">
        <w:rPr>
          <w:rFonts w:ascii="Arial" w:eastAsia="Arial" w:hAnsi="Arial" w:cs="Arial"/>
          <w:sz w:val="20"/>
        </w:rPr>
        <w:t>De acuerdo con la Comunicación "A" 6114 del B.C.R.A., la Entidad ha aplicado la normativa descripta en la nota 1.12 para el reconocimiento de pérdidas crediticias en los presentes estados financieros</w:t>
      </w:r>
    </w:p>
    <w:p w14:paraId="415DB813" w14:textId="77777777" w:rsidR="00A06BE9" w:rsidRPr="00701F32" w:rsidRDefault="00A06BE9" w:rsidP="00A06BE9">
      <w:pPr>
        <w:spacing w:after="160"/>
        <w:contextualSpacing/>
        <w:jc w:val="both"/>
        <w:rPr>
          <w:rFonts w:ascii="Arial" w:eastAsia="Arial" w:hAnsi="Arial" w:cs="Arial"/>
          <w:sz w:val="20"/>
        </w:rPr>
      </w:pPr>
    </w:p>
    <w:p w14:paraId="436B80A0" w14:textId="77777777"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 xml:space="preserve">Los presentes estados financieros condensados consolidados intermedios del Banco por el período de </w:t>
      </w:r>
      <w:r w:rsidR="00DB3B56" w:rsidRPr="00701F32">
        <w:rPr>
          <w:rFonts w:ascii="Arial" w:eastAsia="Arial" w:hAnsi="Arial" w:cs="Arial"/>
          <w:sz w:val="20"/>
        </w:rPr>
        <w:t xml:space="preserve">nueve </w:t>
      </w:r>
      <w:r w:rsidRPr="00701F32">
        <w:rPr>
          <w:rFonts w:ascii="Arial" w:eastAsia="Arial" w:hAnsi="Arial" w:cs="Arial"/>
          <w:sz w:val="20"/>
        </w:rPr>
        <w:t xml:space="preserve">meses finalizado </w:t>
      </w:r>
      <w:r w:rsidR="002731C9" w:rsidRPr="00701F32">
        <w:rPr>
          <w:rFonts w:ascii="Arial" w:eastAsia="Arial" w:hAnsi="Arial" w:cs="Arial"/>
          <w:sz w:val="20"/>
        </w:rPr>
        <w:t xml:space="preserve">el </w:t>
      </w:r>
      <w:r w:rsidR="00B225FD" w:rsidRPr="00701F32">
        <w:rPr>
          <w:rFonts w:ascii="Arial" w:eastAsia="Arial" w:hAnsi="Arial" w:cs="Arial"/>
          <w:sz w:val="20"/>
        </w:rPr>
        <w:t xml:space="preserve">30 de </w:t>
      </w:r>
      <w:r w:rsidR="00DB3B56" w:rsidRPr="00701F32">
        <w:rPr>
          <w:rFonts w:ascii="Arial" w:eastAsia="Arial" w:hAnsi="Arial" w:cs="Arial"/>
          <w:sz w:val="20"/>
        </w:rPr>
        <w:t xml:space="preserve">septiembre </w:t>
      </w:r>
      <w:r w:rsidR="00B225FD" w:rsidRPr="00701F32">
        <w:rPr>
          <w:rFonts w:ascii="Arial" w:eastAsia="Arial" w:hAnsi="Arial" w:cs="Arial"/>
          <w:sz w:val="20"/>
        </w:rPr>
        <w:t>de 2018</w:t>
      </w:r>
      <w:r w:rsidRPr="00701F32">
        <w:rPr>
          <w:rFonts w:ascii="Arial" w:eastAsia="Arial" w:hAnsi="Arial" w:cs="Arial"/>
          <w:sz w:val="20"/>
        </w:rPr>
        <w:t>, han sido preparados de conformidad con la NIC 34 “Información Financiera Intermedia” y la NIIF 1 “Aplicación por primera vez de las NIIF”. Los estados financieros condensados consolidados intermedios han sido preparados de acuerdo con las políticas que la Entidad espera adoptar en sus estados financieros consolidados anuales al 31 de diciembre de 2018.</w:t>
      </w:r>
    </w:p>
    <w:p w14:paraId="0E325E28" w14:textId="77777777"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Las cifras comparativas y las correspondientes a la fecha de transición (1° de enero de 2017) han sido modificadas para reflejar los ajustes con el marco contable anterior.</w:t>
      </w:r>
    </w:p>
    <w:p w14:paraId="3D52EAD1" w14:textId="77777777"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En Nota 2.1</w:t>
      </w:r>
      <w:r w:rsidRPr="00701F32">
        <w:rPr>
          <w:rFonts w:ascii="Arial" w:eastAsia="Arial" w:hAnsi="Arial" w:cs="Arial"/>
          <w:color w:val="FF0000"/>
          <w:sz w:val="20"/>
        </w:rPr>
        <w:t xml:space="preserve"> </w:t>
      </w:r>
      <w:r w:rsidRPr="00701F32">
        <w:rPr>
          <w:rFonts w:ascii="Arial" w:eastAsia="Arial" w:hAnsi="Arial" w:cs="Arial"/>
          <w:sz w:val="20"/>
        </w:rPr>
        <w:t xml:space="preserve">se presenta una conciliación entre las cifras del estado de situación financiera, estado de resultado integral y estado de otros resultados integrales correspondientes a los estados financieros condensados consolidados intermedios emitidos de acuerdo con el Marco Contable anterior y las cifras presentadas de acuerdo con </w:t>
      </w:r>
      <w:r w:rsidR="00547255" w:rsidRPr="00701F32">
        <w:rPr>
          <w:rFonts w:ascii="Arial" w:eastAsia="Arial" w:hAnsi="Arial" w:cs="Arial"/>
          <w:sz w:val="20"/>
        </w:rPr>
        <w:t xml:space="preserve">el </w:t>
      </w:r>
      <w:r w:rsidRPr="00701F32">
        <w:rPr>
          <w:rFonts w:ascii="Arial" w:eastAsia="Arial" w:hAnsi="Arial" w:cs="Arial"/>
          <w:sz w:val="20"/>
        </w:rPr>
        <w:t>Marco Contable establecido por el B.C.R.A. en los presentes estados financieros condensados consolidados intermedios, a la fecha de transición (1° de enero de 2017) a la fecha de adopción (31 de diciembre de 2017) y a la fecha de cierre del período comparativo (3</w:t>
      </w:r>
      <w:r w:rsidR="004D4420" w:rsidRPr="00701F32">
        <w:rPr>
          <w:rFonts w:ascii="Arial" w:eastAsia="Arial" w:hAnsi="Arial" w:cs="Arial"/>
          <w:sz w:val="20"/>
        </w:rPr>
        <w:t xml:space="preserve">0 de </w:t>
      </w:r>
      <w:r w:rsidR="00202FE4" w:rsidRPr="00701F32">
        <w:rPr>
          <w:rFonts w:ascii="Arial" w:eastAsia="Arial" w:hAnsi="Arial" w:cs="Arial"/>
          <w:sz w:val="20"/>
        </w:rPr>
        <w:t>septiembre</w:t>
      </w:r>
      <w:r w:rsidRPr="00701F32">
        <w:rPr>
          <w:rFonts w:ascii="Arial" w:eastAsia="Arial" w:hAnsi="Arial" w:cs="Arial"/>
          <w:sz w:val="20"/>
        </w:rPr>
        <w:t xml:space="preserve"> de 2017).</w:t>
      </w:r>
    </w:p>
    <w:p w14:paraId="310715F0" w14:textId="77777777" w:rsidR="00A06BE9" w:rsidRPr="00701F32" w:rsidRDefault="00A06BE9" w:rsidP="00A06BE9">
      <w:pPr>
        <w:spacing w:after="160"/>
        <w:jc w:val="both"/>
        <w:rPr>
          <w:rFonts w:ascii="Arial" w:eastAsia="Arial" w:hAnsi="Arial" w:cs="Arial"/>
          <w:sz w:val="20"/>
        </w:rPr>
      </w:pPr>
      <w:r w:rsidRPr="00701F32">
        <w:rPr>
          <w:rFonts w:ascii="Arial" w:eastAsia="Arial" w:hAnsi="Arial" w:cs="Arial"/>
          <w:sz w:val="20"/>
        </w:rPr>
        <w:t xml:space="preserve">Los presentes estados financieros condensados consolidados intermedios deben ser leídos en conjunto con los estados contables anuales del Banco al 31 de diciembre de 2017 preparados de acuerdo con el </w:t>
      </w:r>
      <w:r w:rsidR="00C778DB" w:rsidRPr="00701F32">
        <w:rPr>
          <w:rFonts w:ascii="Arial" w:eastAsia="Arial" w:hAnsi="Arial" w:cs="Arial"/>
          <w:sz w:val="20"/>
        </w:rPr>
        <w:t>m</w:t>
      </w:r>
      <w:r w:rsidRPr="00701F32">
        <w:rPr>
          <w:rFonts w:ascii="Arial" w:eastAsia="Arial" w:hAnsi="Arial" w:cs="Arial"/>
          <w:sz w:val="20"/>
        </w:rPr>
        <w:t xml:space="preserve">arco </w:t>
      </w:r>
      <w:r w:rsidR="00C778DB" w:rsidRPr="00701F32">
        <w:rPr>
          <w:rFonts w:ascii="Arial" w:eastAsia="Arial" w:hAnsi="Arial" w:cs="Arial"/>
          <w:sz w:val="20"/>
        </w:rPr>
        <w:t>c</w:t>
      </w:r>
      <w:r w:rsidRPr="00701F32">
        <w:rPr>
          <w:rFonts w:ascii="Arial" w:eastAsia="Arial" w:hAnsi="Arial" w:cs="Arial"/>
          <w:sz w:val="20"/>
        </w:rPr>
        <w:t xml:space="preserve">ontable </w:t>
      </w:r>
      <w:r w:rsidR="002731C9" w:rsidRPr="00701F32">
        <w:rPr>
          <w:rFonts w:ascii="Arial" w:eastAsia="Arial" w:hAnsi="Arial" w:cs="Arial"/>
          <w:sz w:val="20"/>
        </w:rPr>
        <w:t>anterior.</w:t>
      </w:r>
      <w:r w:rsidRPr="00701F32">
        <w:rPr>
          <w:rFonts w:ascii="Arial" w:eastAsia="Arial" w:hAnsi="Arial" w:cs="Arial"/>
          <w:sz w:val="20"/>
        </w:rPr>
        <w:t xml:space="preserve"> Adicionalmente, la Nota </w:t>
      </w:r>
      <w:r w:rsidR="002731C9" w:rsidRPr="00701F32">
        <w:rPr>
          <w:rFonts w:ascii="Arial" w:eastAsia="Arial" w:hAnsi="Arial" w:cs="Arial"/>
          <w:sz w:val="20"/>
        </w:rPr>
        <w:t>1</w:t>
      </w:r>
      <w:r w:rsidR="00C778DB" w:rsidRPr="00701F32">
        <w:rPr>
          <w:rFonts w:ascii="Arial" w:eastAsia="Arial" w:hAnsi="Arial" w:cs="Arial"/>
          <w:sz w:val="20"/>
        </w:rPr>
        <w:t>7</w:t>
      </w:r>
      <w:r w:rsidR="002731C9" w:rsidRPr="00701F32">
        <w:rPr>
          <w:rFonts w:ascii="Arial" w:eastAsia="Arial" w:hAnsi="Arial" w:cs="Arial"/>
          <w:color w:val="FF0000"/>
          <w:sz w:val="20"/>
        </w:rPr>
        <w:t xml:space="preserve"> </w:t>
      </w:r>
      <w:r w:rsidRPr="00701F32">
        <w:rPr>
          <w:rFonts w:ascii="Arial" w:eastAsia="Arial" w:hAnsi="Arial" w:cs="Arial"/>
          <w:sz w:val="20"/>
        </w:rPr>
        <w:t>incluida en los presentes estados financieros consolidados condensados intermedios presenta información bajo NIIF al 31 de diciembre de 2017 necesaria para el entendimiento de los presentes estados financieros condensados consolidados intermedios.</w:t>
      </w:r>
    </w:p>
    <w:p w14:paraId="77E172FF" w14:textId="77777777" w:rsidR="00A06BE9" w:rsidRPr="00701F32" w:rsidRDefault="00A06BE9" w:rsidP="00A06BE9">
      <w:pPr>
        <w:spacing w:after="160"/>
        <w:jc w:val="both"/>
        <w:rPr>
          <w:rFonts w:ascii="Arial" w:eastAsia="Arial" w:hAnsi="Arial" w:cs="Arial"/>
          <w:b/>
          <w:sz w:val="20"/>
        </w:rPr>
      </w:pPr>
      <w:r w:rsidRPr="00701F32">
        <w:rPr>
          <w:rFonts w:ascii="Arial" w:eastAsia="Arial" w:hAnsi="Arial" w:cs="Arial"/>
          <w:sz w:val="20"/>
        </w:rPr>
        <w:t>La gerencia del Banco ha concluido que los estados financieros condensados consolidados intermedios presentan razonablemente la posición financiera, el rendimiento financiero y los flujos de efectivo.</w:t>
      </w:r>
    </w:p>
    <w:p w14:paraId="1F05A689" w14:textId="77777777" w:rsidR="00A06BE9" w:rsidRPr="00701F32" w:rsidRDefault="00A06BE9" w:rsidP="00A06BE9">
      <w:pPr>
        <w:spacing w:after="160" w:line="259" w:lineRule="auto"/>
        <w:jc w:val="both"/>
        <w:rPr>
          <w:rFonts w:ascii="Arial" w:eastAsia="Arial" w:hAnsi="Arial" w:cs="Arial"/>
          <w:b/>
          <w:color w:val="BF8800"/>
          <w:sz w:val="20"/>
        </w:rPr>
      </w:pPr>
      <w:r w:rsidRPr="00701F32">
        <w:rPr>
          <w:rFonts w:ascii="Arial" w:eastAsia="Arial" w:hAnsi="Arial" w:cs="Arial"/>
          <w:b/>
          <w:sz w:val="20"/>
        </w:rPr>
        <w:t xml:space="preserve">1.2 Bases de preparación </w:t>
      </w:r>
    </w:p>
    <w:p w14:paraId="36D2A006"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 xml:space="preserve">Los presentes estados financieros condensados consolidados intermedios han sido preparados de acuerdo con el Marco Contable establecido por el B.C.R.A. descripto en la Nota </w:t>
      </w:r>
      <w:r w:rsidR="002731C9" w:rsidRPr="00701F32">
        <w:rPr>
          <w:rFonts w:ascii="Arial" w:eastAsia="Arial" w:hAnsi="Arial" w:cs="Arial"/>
          <w:sz w:val="20"/>
        </w:rPr>
        <w:t>1.1</w:t>
      </w:r>
      <w:r w:rsidRPr="00701F32">
        <w:rPr>
          <w:rFonts w:ascii="Arial" w:eastAsia="Arial" w:hAnsi="Arial" w:cs="Arial"/>
          <w:sz w:val="20"/>
        </w:rPr>
        <w:t>.</w:t>
      </w:r>
    </w:p>
    <w:p w14:paraId="4951E03E"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La preparación de estos estados financieros condensados consolidados intermedios, requiere que se realicen estimaciones y evaluaciones que afectan el monto de los activos y pasivos registrados, y de los activos y pasivos contingentes revelados a la fecha de emisión de los presentes estados financieros condensados consolidados intermedios, como así también los ingresos y egresos registrados.</w:t>
      </w:r>
    </w:p>
    <w:p w14:paraId="65149119"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La Entidad realiza estimaciones para calcular, entre otras, las previsiones para incobrables, las vidas útiles de los bienes de propiedad, planta y equipo, las depreciaciones y amortizaciones, el valor recuperable de los activos, el cargo por impuesto a las ganancias, algunos cargos y pasivos laborales y las previsiones por contingencias, juicios laborales, civiles y comerciales. Los resultados reales futuros pueden diferir de las estimaciones y evaluaciones realizadas a la fecha de preparación de los presentes estados financieros consolidados condensados intermedios.</w:t>
      </w:r>
    </w:p>
    <w:p w14:paraId="610F5F78"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Las áreas que involucran un mayor grado de juicio o complejidad o áreas en las que los supuestos y estimaciones son significativos para los estados financieros consolidados condensados intermedios se describen en la Nota 3.</w:t>
      </w:r>
    </w:p>
    <w:p w14:paraId="25CE744F" w14:textId="77777777" w:rsidR="00A06BE9" w:rsidRPr="00701F32" w:rsidRDefault="00A06BE9" w:rsidP="00A06BE9">
      <w:pPr>
        <w:numPr>
          <w:ilvl w:val="0"/>
          <w:numId w:val="30"/>
        </w:numPr>
        <w:spacing w:after="160" w:line="259" w:lineRule="auto"/>
        <w:jc w:val="both"/>
        <w:rPr>
          <w:rFonts w:ascii="Arial" w:eastAsia="Arial" w:hAnsi="Arial" w:cs="Arial"/>
          <w:b/>
          <w:sz w:val="20"/>
        </w:rPr>
      </w:pPr>
      <w:r w:rsidRPr="00701F32">
        <w:rPr>
          <w:rFonts w:ascii="Arial" w:eastAsia="Arial" w:hAnsi="Arial" w:cs="Arial"/>
          <w:b/>
          <w:sz w:val="20"/>
        </w:rPr>
        <w:t xml:space="preserve">Empresa en marcha </w:t>
      </w:r>
    </w:p>
    <w:p w14:paraId="7C50BBE2" w14:textId="77777777" w:rsidR="00202FE4"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A la fecha de los presentes estados financieros condensados consolidados intermedios, no existen incertidumbres respecto a sucesos o condiciones que puedan aportar dudas sobre la posibilidad de que la Entidad siga operando normalmente como empresa en marcha.</w:t>
      </w:r>
    </w:p>
    <w:p w14:paraId="4044CE5A" w14:textId="77777777" w:rsidR="00A06BE9" w:rsidRPr="00701F32" w:rsidRDefault="00202FE4" w:rsidP="00941382">
      <w:pPr>
        <w:rPr>
          <w:rFonts w:ascii="Arial" w:eastAsia="Arial" w:hAnsi="Arial" w:cs="Arial"/>
          <w:sz w:val="20"/>
        </w:rPr>
      </w:pPr>
      <w:r w:rsidRPr="00701F32">
        <w:rPr>
          <w:rFonts w:ascii="Arial" w:eastAsia="Arial" w:hAnsi="Arial" w:cs="Arial"/>
          <w:sz w:val="20"/>
        </w:rPr>
        <w:br w:type="page"/>
      </w:r>
    </w:p>
    <w:p w14:paraId="2AAD3946" w14:textId="77777777" w:rsidR="00A06BE9" w:rsidRPr="00701F32" w:rsidRDefault="00A06BE9" w:rsidP="00A06BE9">
      <w:pPr>
        <w:numPr>
          <w:ilvl w:val="0"/>
          <w:numId w:val="30"/>
        </w:numPr>
        <w:spacing w:after="160" w:line="259" w:lineRule="auto"/>
        <w:contextualSpacing/>
        <w:jc w:val="both"/>
        <w:rPr>
          <w:rFonts w:ascii="Arial" w:eastAsia="Arial" w:hAnsi="Arial" w:cs="Arial"/>
          <w:b/>
          <w:sz w:val="20"/>
        </w:rPr>
      </w:pPr>
      <w:r w:rsidRPr="00701F32">
        <w:rPr>
          <w:rFonts w:ascii="Arial" w:eastAsia="Arial" w:hAnsi="Arial" w:cs="Arial"/>
          <w:b/>
          <w:sz w:val="20"/>
        </w:rPr>
        <w:t>Unidad de medida</w:t>
      </w:r>
    </w:p>
    <w:p w14:paraId="527AFF75" w14:textId="77777777" w:rsidR="00A06BE9" w:rsidRPr="00701F32" w:rsidRDefault="00A06BE9" w:rsidP="00A06BE9">
      <w:pPr>
        <w:autoSpaceDE w:val="0"/>
        <w:autoSpaceDN w:val="0"/>
        <w:adjustRightInd w:val="0"/>
        <w:jc w:val="both"/>
        <w:rPr>
          <w:rFonts w:ascii="Arial" w:hAnsi="Arial" w:cs="Arial"/>
          <w:sz w:val="20"/>
        </w:rPr>
      </w:pPr>
    </w:p>
    <w:p w14:paraId="53A6FADA" w14:textId="77777777" w:rsidR="00A06BE9" w:rsidRPr="00701F32" w:rsidRDefault="00A06BE9" w:rsidP="00A06BE9">
      <w:pPr>
        <w:autoSpaceDE w:val="0"/>
        <w:autoSpaceDN w:val="0"/>
        <w:adjustRightInd w:val="0"/>
        <w:jc w:val="both"/>
        <w:rPr>
          <w:rFonts w:ascii="Arial" w:hAnsi="Arial" w:cs="Arial"/>
          <w:sz w:val="20"/>
        </w:rPr>
      </w:pPr>
      <w:r w:rsidRPr="00701F32">
        <w:rPr>
          <w:rFonts w:ascii="Arial" w:hAnsi="Arial" w:cs="Arial"/>
          <w:sz w:val="20"/>
        </w:rPr>
        <w:t>Los estados financieros consolidados condensados intermedios de la Entidad están expresados en pesos que es la moneda funcional del Banco y de su controlada Grupo Supervielle.</w:t>
      </w:r>
    </w:p>
    <w:p w14:paraId="47F264BF" w14:textId="77777777" w:rsidR="00A06BE9" w:rsidRPr="00701F32" w:rsidRDefault="00A06BE9" w:rsidP="00A06BE9">
      <w:pPr>
        <w:autoSpaceDE w:val="0"/>
        <w:autoSpaceDN w:val="0"/>
        <w:adjustRightInd w:val="0"/>
        <w:jc w:val="both"/>
        <w:rPr>
          <w:rFonts w:ascii="Arial" w:hAnsi="Arial" w:cs="Arial"/>
          <w:sz w:val="20"/>
        </w:rPr>
      </w:pPr>
    </w:p>
    <w:p w14:paraId="573C1928" w14:textId="77777777" w:rsidR="005367BE" w:rsidRPr="00701F32" w:rsidRDefault="005367BE" w:rsidP="005367BE">
      <w:pPr>
        <w:autoSpaceDE w:val="0"/>
        <w:autoSpaceDN w:val="0"/>
        <w:adjustRightInd w:val="0"/>
        <w:jc w:val="both"/>
        <w:rPr>
          <w:rFonts w:ascii="Arial" w:hAnsi="Arial" w:cs="Arial"/>
          <w:sz w:val="20"/>
        </w:rPr>
      </w:pPr>
    </w:p>
    <w:p w14:paraId="379E025A"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La NIC 29 “Información financiera en economías hiperinflacionarias” requiere que los estados financieros de una entidad, cuya moneda funcional sea la de una economía de alta inflación, sean expresados en términos de la unidad de medida corriente a la fecha de cierre del período sobre el que se informa, independientemente de si están basados en el método del costo histórico o en el método del costo corriente. Para ello, en términos generales, se debe computar en las partidas no monetarias la inflación producida desde la fecha de adquisición o desde la fecha de revaluación según corresponda. Dichos requerimientos también comprenden a la información comparativa de los estados financieros. </w:t>
      </w:r>
    </w:p>
    <w:p w14:paraId="43CD02F9" w14:textId="77777777" w:rsidR="005367BE" w:rsidRPr="00701F32" w:rsidRDefault="005367BE" w:rsidP="005367BE">
      <w:pPr>
        <w:autoSpaceDE w:val="0"/>
        <w:autoSpaceDN w:val="0"/>
        <w:adjustRightInd w:val="0"/>
        <w:jc w:val="both"/>
        <w:rPr>
          <w:rFonts w:ascii="Arial" w:hAnsi="Arial" w:cs="Arial"/>
          <w:sz w:val="20"/>
        </w:rPr>
      </w:pPr>
    </w:p>
    <w:p w14:paraId="2AF7E0DA"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A los efectos de concluir sobre si una economía es categorizada como de alta inflación en los términos de la NIC 29, la norma detalla una serie de factores a considerar entre los que se incluye la existencia de una tasa acumulada de inflación en tres años que se aproxime o exceda el 100%. La inflación acumulada en tres años se ubica por encima del 100%. Es por esta razón que, de acuerdo con la NIC 29, la economía argentina debe ser considerada como de alta inflación a partir del 1° de julio de 2018. A su vez, el 24 de julio de 2018, la Federación Argentina de Consejos Profesionales en Ciencias Económicas (FACPCE), emitió una comunicación confirmando lo mencionado en forma precedente. No obstante, debe tenerse en consideración que, al momento de emisión de los presentes estados financieros, se encuentra vigente el Decreto PEN 664/03 que no permite la presentación de estados financieros reexpresados ante la Comisión Nacional de Valores (CNV) y el Banco Central de la República Argentina (BCRA). Por lo tanto, dado este decreto, y el marco contable establecido por el BCRA descripto en nota 1.1 precedente, la dirección del Banco no ha aplicado la NIC 29 en la preparación de los presentes estados financieros. </w:t>
      </w:r>
    </w:p>
    <w:p w14:paraId="0279CF3C" w14:textId="77777777" w:rsidR="005367BE" w:rsidRPr="00701F32" w:rsidRDefault="005367BE" w:rsidP="005367BE">
      <w:pPr>
        <w:autoSpaceDE w:val="0"/>
        <w:autoSpaceDN w:val="0"/>
        <w:adjustRightInd w:val="0"/>
        <w:jc w:val="both"/>
        <w:rPr>
          <w:rFonts w:ascii="Arial" w:hAnsi="Arial" w:cs="Arial"/>
          <w:sz w:val="20"/>
        </w:rPr>
      </w:pPr>
    </w:p>
    <w:p w14:paraId="160FE194"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En un período inflacionario, toda entidad que mantenga un exceso de activos monetarios sobre pasivos monetarios, perderá poder adquisitivo, y toda entidad que mantenga un exceso de pasivos monetarios sobre activos monetarios, ganará poder adquisitivo, siempre que tales partidas no se encuentren sujetas a un mecanismo de ajuste. </w:t>
      </w:r>
    </w:p>
    <w:p w14:paraId="7A4DA7C2" w14:textId="77777777" w:rsidR="005367BE" w:rsidRPr="00701F32" w:rsidRDefault="005367BE" w:rsidP="005367BE">
      <w:pPr>
        <w:autoSpaceDE w:val="0"/>
        <w:autoSpaceDN w:val="0"/>
        <w:adjustRightInd w:val="0"/>
        <w:jc w:val="both"/>
        <w:rPr>
          <w:rFonts w:ascii="Arial" w:hAnsi="Arial" w:cs="Arial"/>
          <w:sz w:val="20"/>
        </w:rPr>
      </w:pPr>
    </w:p>
    <w:p w14:paraId="2761B513" w14:textId="0DB7AB5E" w:rsidR="004D4420" w:rsidRPr="00701F32" w:rsidRDefault="005367BE" w:rsidP="00A06BE9">
      <w:pPr>
        <w:autoSpaceDE w:val="0"/>
        <w:autoSpaceDN w:val="0"/>
        <w:adjustRightInd w:val="0"/>
        <w:jc w:val="both"/>
        <w:rPr>
          <w:rFonts w:ascii="Arial" w:hAnsi="Arial" w:cs="Arial"/>
          <w:sz w:val="20"/>
        </w:rPr>
      </w:pPr>
      <w:r w:rsidRPr="00701F32">
        <w:rPr>
          <w:rFonts w:ascii="Arial" w:hAnsi="Arial" w:cs="Arial"/>
          <w:sz w:val="20"/>
        </w:rPr>
        <w:t>Resumidamente, el mecanismo de reexpresión de la NIC 29 establece que los activos y pasivos monetarios no serán reexpresados dado que ya se encuentran expresados en la unidad de medida corriente al cierre del período sobre el que se informa. Los activos y pasivos sujetos a ajustes en función a acuerdos específicos, se ajustarán en función a tales acuerdos. Las partidas no monetarias medidas a sus valores corrientes al final del período sobre el que se informa, tales como el valor neto de realización u otros, no es necesario reexpresarlas. Los restantes activos y pasivos no monetarios serán reexpresados por un índice general de precios. La pérdida o ganancia por la posición monetaria neta, se incluirá en el resultado neto del período que se informa, revelando esta información en una partida separada.</w:t>
      </w:r>
    </w:p>
    <w:p w14:paraId="6A6C5E29" w14:textId="77777777" w:rsidR="00A06BE9" w:rsidRPr="00701F32" w:rsidRDefault="00A06BE9" w:rsidP="00A06BE9">
      <w:pPr>
        <w:numPr>
          <w:ilvl w:val="0"/>
          <w:numId w:val="30"/>
        </w:numPr>
        <w:spacing w:after="160" w:line="259" w:lineRule="auto"/>
        <w:jc w:val="both"/>
        <w:rPr>
          <w:rFonts w:ascii="Arial" w:eastAsia="Arial" w:hAnsi="Arial" w:cs="Arial"/>
          <w:b/>
          <w:sz w:val="20"/>
        </w:rPr>
      </w:pPr>
      <w:r w:rsidRPr="00701F32">
        <w:rPr>
          <w:rFonts w:ascii="Arial" w:eastAsia="Arial" w:hAnsi="Arial" w:cs="Arial"/>
          <w:b/>
          <w:sz w:val="20"/>
        </w:rPr>
        <w:t>Cambios en políticas contables/nuevas normas contable</w:t>
      </w:r>
      <w:r w:rsidR="007E3796" w:rsidRPr="00701F32">
        <w:rPr>
          <w:rFonts w:ascii="Arial" w:eastAsia="Arial" w:hAnsi="Arial" w:cs="Arial"/>
          <w:b/>
          <w:sz w:val="20"/>
        </w:rPr>
        <w:t>s</w:t>
      </w:r>
    </w:p>
    <w:p w14:paraId="5A6536F1"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Se detalla a continuación las nuevas normas, modificaciones e interpretaciones publicadas que todavía no han entrado en vigor para ejercicios que comiencen a partir del 1° de enero de 2018, y no han sido adoptadas anticipadamente:</w:t>
      </w:r>
    </w:p>
    <w:p w14:paraId="77F9928A"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b/>
          <w:bCs/>
          <w:sz w:val="20"/>
        </w:rPr>
        <w:t xml:space="preserve">NIIF 16 “Arrendamientos”: </w:t>
      </w:r>
      <w:r w:rsidRPr="00701F32">
        <w:rPr>
          <w:rFonts w:ascii="Arial" w:eastAsia="Arial" w:hAnsi="Arial" w:cs="Arial"/>
          <w:sz w:val="20"/>
        </w:rPr>
        <w:t>En enero de 2016 el IASB emitió la NIIF 16 “Arrendamientos” que establece el nuevo modelo de registración de operaciones de arrendamiento. Bajo la NIIF 16, un contrato es, o contiene, un arrendamiento si el contrato transmite el derecho a controlar el uso de un activo identificado por un período de tiempo a cambio de consideración. La NIIF 16 requiere que el arrendatario reconozca el pasivo de arrendamiento que refleja los pagos futuros de arrendamiento y un derecho de uso de activos, para casi todos los contratos de arrendamiento, con excepción para determinados contratos de arrendamiento a corto plazo y arrendamientos de activos de bajo valor. La contabilidad de los arrendadores se mantiene como se indica en la NIC 17; sin embargo, se espera que el nuevo modelo de contabilidad para los arrendatarios impacta las negociaciones entre arrendadores y arrendatarios. Esta norma es efectiva para los períodos anuales que inician en o después del 1 de enero de 2019. La Entidad está evaluando el impacto contable que generará la aplicación de la mencionada normativa.</w:t>
      </w:r>
    </w:p>
    <w:p w14:paraId="3C77B3EA"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b/>
          <w:bCs/>
          <w:sz w:val="20"/>
        </w:rPr>
        <w:t>NIIF 17 “Contratos de seguro”:</w:t>
      </w:r>
      <w:r w:rsidRPr="00701F32">
        <w:rPr>
          <w:rFonts w:ascii="Arial" w:eastAsia="Arial" w:hAnsi="Arial" w:cs="Arial"/>
          <w:bCs/>
          <w:sz w:val="20"/>
        </w:rPr>
        <w:t xml:space="preserve"> </w:t>
      </w:r>
      <w:r w:rsidRPr="00701F32">
        <w:rPr>
          <w:rFonts w:ascii="Arial" w:eastAsia="Arial" w:hAnsi="Arial" w:cs="Arial"/>
          <w:sz w:val="20"/>
        </w:rPr>
        <w:t>El 18 de mayo de 2017, el IASB emitió la NIIF 17 Contratos de seguro, que proporciona un marco integral basado en principios para la medición y presentación de todos los contratos de seguro. La nueva norma reemplazará a la NIIF 4 Contratos de seguro y exige que los contratos de seguro se midan utilizando los flujos de efectivo de cumplimiento actuales y que los ingresos se reconozcan a medida que se brinda el servicio durante el período de cobertura. La norma entrará en vigencia para los ejercicios que comiencen a partir del 1 de noviembre de 2021. La Entidad está evaluando el impacto de la adopción de esta nueva norma.</w:t>
      </w:r>
    </w:p>
    <w:p w14:paraId="573DF48B"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b/>
          <w:bCs/>
          <w:sz w:val="20"/>
        </w:rPr>
        <w:t>CINIIF 23 “Incertidumbre sobre el tratamiento del impuesto a las ganancias”</w:t>
      </w:r>
      <w:r w:rsidRPr="00701F32">
        <w:rPr>
          <w:rFonts w:ascii="Arial" w:eastAsia="Arial" w:hAnsi="Arial" w:cs="Arial"/>
          <w:b/>
          <w:sz w:val="20"/>
        </w:rPr>
        <w:t>:</w:t>
      </w:r>
      <w:r w:rsidRPr="00701F32">
        <w:rPr>
          <w:rFonts w:ascii="Arial" w:eastAsia="Arial" w:hAnsi="Arial" w:cs="Arial"/>
          <w:sz w:val="20"/>
        </w:rPr>
        <w:t xml:space="preserve"> Dicha interpretación clarifica como el reconocimiento y las exigencias de medición de la NIC 12 Impuesto a las ganancias, son aplicados cuando hay incertidumbre sobre el tratamiento de impuesto a las ganancias. Esta norma fue publicada en junio 2017 y entrará en vigencia para los ejercicios que comiencen a partir del 1 de enero de 2019.</w:t>
      </w:r>
    </w:p>
    <w:p w14:paraId="7EDB5ED8" w14:textId="77777777" w:rsidR="00A06BE9" w:rsidRPr="00701F32" w:rsidRDefault="00A06BE9" w:rsidP="00A06BE9">
      <w:pPr>
        <w:jc w:val="both"/>
        <w:rPr>
          <w:rFonts w:ascii="Arial" w:eastAsia="Arial" w:hAnsi="Arial" w:cs="Arial"/>
          <w:sz w:val="20"/>
        </w:rPr>
      </w:pPr>
      <w:r w:rsidRPr="00701F32">
        <w:rPr>
          <w:rFonts w:ascii="Arial" w:eastAsia="Arial" w:hAnsi="Arial" w:cs="Arial"/>
          <w:sz w:val="20"/>
        </w:rPr>
        <w:t>No hay otras NIIF o interpretaciones CINIIF que no sean efectivas todavía y que se espere que tengan un efecto significativo para la Entidad.</w:t>
      </w:r>
    </w:p>
    <w:p w14:paraId="67EAC436" w14:textId="77777777" w:rsidR="004D4420" w:rsidRPr="00701F32" w:rsidRDefault="004D4420" w:rsidP="00A06BE9">
      <w:pPr>
        <w:jc w:val="both"/>
        <w:rPr>
          <w:rFonts w:ascii="Arial" w:eastAsia="Arial" w:hAnsi="Arial" w:cs="Arial"/>
          <w:sz w:val="20"/>
        </w:rPr>
      </w:pPr>
    </w:p>
    <w:p w14:paraId="34763903" w14:textId="77777777" w:rsidR="00A06BE9" w:rsidRPr="00701F32" w:rsidRDefault="00A06BE9" w:rsidP="00A06BE9">
      <w:pPr>
        <w:spacing w:after="160" w:line="259" w:lineRule="auto"/>
        <w:jc w:val="both"/>
        <w:rPr>
          <w:rFonts w:ascii="Arial" w:eastAsia="Calibri" w:hAnsi="Arial" w:cs="Arial"/>
          <w:b/>
          <w:sz w:val="20"/>
        </w:rPr>
      </w:pPr>
      <w:r w:rsidRPr="00701F32">
        <w:rPr>
          <w:rFonts w:ascii="Arial" w:eastAsia="Calibri" w:hAnsi="Arial" w:cs="Arial"/>
          <w:b/>
          <w:sz w:val="20"/>
        </w:rPr>
        <w:t xml:space="preserve">1.3 Consolidación </w:t>
      </w:r>
    </w:p>
    <w:p w14:paraId="3676096C"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Subsidiarias son aquellas entidades (o participadas), incluidas las entidades estructuradas, en las que el Banco posee control porque (i) tiene el poder para dirigir actividades relevantes de la participada, que afectan significativamente sus rendimientos, (ii) tiene exposición, o derechos, a rendimientos variables por su participación en la participada, y (iii) tiene la capacidad de usar su poder sobre la participada para afectar el monto de los rendimientos del inversor. La existencia y el efecto de los derechos sustantivos, incluidos los derechos sustantivos de voto potencial, se tienen en cuenta al evaluar si el Banco tiene poder sobre otra entidad. Para que un derecho sea sustantivo, el titular debe tener la capacidad práctica de ejercer ese derecho cuando sea necesario tomar decisiones sobre la dirección de las actividades relevantes de la entidad. El Banco puede tener control sobre una entidad, incluso cuando tenga menos de la mayoría de los derechos de voto.</w:t>
      </w:r>
    </w:p>
    <w:p w14:paraId="69544C33"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Asimismo, los derechos protectores de otros inversores, como los que se relacionan con cambios sustantivos en las actividades de la participada o se aplican solo en circunstancias excepcionales, no impiden que el Banco tenga poder sobre una participada. Las subsidiarias se consolidan desde la fecha en que se transfiere el control al Banco, dejándose de consolidar a partir de la fecha en que cesa el control.</w:t>
      </w:r>
    </w:p>
    <w:p w14:paraId="61FC23CE"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Se detallan en el siguiente cuadro las subsidiarias objeto de consolidación:</w:t>
      </w:r>
    </w:p>
    <w:tbl>
      <w:tblPr>
        <w:tblW w:w="5148" w:type="pct"/>
        <w:tblLayout w:type="fixed"/>
        <w:tblCellMar>
          <w:left w:w="70" w:type="dxa"/>
          <w:right w:w="70" w:type="dxa"/>
        </w:tblCellMar>
        <w:tblLook w:val="04A0" w:firstRow="1" w:lastRow="0" w:firstColumn="1" w:lastColumn="0" w:noHBand="0" w:noVBand="1"/>
      </w:tblPr>
      <w:tblGrid>
        <w:gridCol w:w="1072"/>
        <w:gridCol w:w="824"/>
        <w:gridCol w:w="719"/>
        <w:gridCol w:w="898"/>
        <w:gridCol w:w="855"/>
        <w:gridCol w:w="824"/>
        <w:gridCol w:w="893"/>
        <w:gridCol w:w="728"/>
        <w:gridCol w:w="814"/>
        <w:gridCol w:w="824"/>
        <w:gridCol w:w="887"/>
      </w:tblGrid>
      <w:tr w:rsidR="00A06BE9" w:rsidRPr="00701F32" w14:paraId="4CBEDF51" w14:textId="77777777" w:rsidTr="00464C0F">
        <w:trPr>
          <w:trHeight w:val="276"/>
        </w:trPr>
        <w:tc>
          <w:tcPr>
            <w:tcW w:w="5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8987" w14:textId="77777777" w:rsidR="00A06BE9" w:rsidRPr="00701F32" w:rsidRDefault="00A06BE9" w:rsidP="00464C0F">
            <w:pPr>
              <w:jc w:val="both"/>
              <w:rPr>
                <w:rFonts w:ascii="Arial" w:hAnsi="Arial" w:cs="Arial"/>
                <w:b/>
                <w:bCs/>
                <w:color w:val="000000"/>
                <w:sz w:val="12"/>
                <w:lang w:eastAsia="es-AR"/>
              </w:rPr>
            </w:pPr>
            <w:r w:rsidRPr="00701F32">
              <w:rPr>
                <w:rFonts w:ascii="Arial" w:hAnsi="Arial" w:cs="Arial"/>
                <w:b/>
                <w:bCs/>
                <w:color w:val="000000"/>
                <w:sz w:val="12"/>
                <w:lang w:val="en-GB" w:eastAsia="es-AR"/>
              </w:rPr>
              <w:t>SOCIEDAD</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C4E7"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PAÍS</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CA8FB"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MONEDA LOCAL</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A7F0"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MONEDA FUNCIONAL</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65451"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FECHA DE CIERRE</w:t>
            </w:r>
          </w:p>
        </w:tc>
        <w:tc>
          <w:tcPr>
            <w:tcW w:w="2661" w:type="pct"/>
            <w:gridSpan w:val="6"/>
            <w:tcBorders>
              <w:top w:val="single" w:sz="4" w:space="0" w:color="auto"/>
              <w:left w:val="nil"/>
              <w:bottom w:val="single" w:sz="4" w:space="0" w:color="auto"/>
              <w:right w:val="single" w:sz="4" w:space="0" w:color="auto"/>
            </w:tcBorders>
            <w:shd w:val="clear" w:color="auto" w:fill="auto"/>
            <w:noWrap/>
            <w:vAlign w:val="center"/>
            <w:hideMark/>
          </w:tcPr>
          <w:p w14:paraId="41ED6EC2"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eastAsia="es-AR"/>
              </w:rPr>
              <w:t>PARTICIPACIÓN PORCENTUAL</w:t>
            </w:r>
          </w:p>
        </w:tc>
      </w:tr>
      <w:tr w:rsidR="00A06BE9" w:rsidRPr="00701F32" w14:paraId="6295FB49" w14:textId="77777777" w:rsidTr="00464C0F">
        <w:trPr>
          <w:trHeight w:val="276"/>
        </w:trPr>
        <w:tc>
          <w:tcPr>
            <w:tcW w:w="574" w:type="pct"/>
            <w:vMerge/>
            <w:tcBorders>
              <w:top w:val="single" w:sz="4" w:space="0" w:color="auto"/>
              <w:left w:val="single" w:sz="4" w:space="0" w:color="auto"/>
              <w:bottom w:val="single" w:sz="4" w:space="0" w:color="auto"/>
              <w:right w:val="single" w:sz="4" w:space="0" w:color="auto"/>
            </w:tcBorders>
            <w:vAlign w:val="center"/>
            <w:hideMark/>
          </w:tcPr>
          <w:p w14:paraId="518A1445" w14:textId="77777777" w:rsidR="00A06BE9" w:rsidRPr="00701F32" w:rsidRDefault="00A06BE9" w:rsidP="00464C0F">
            <w:pPr>
              <w:jc w:val="both"/>
              <w:rPr>
                <w:rFonts w:ascii="Arial" w:hAnsi="Arial" w:cs="Arial"/>
                <w:b/>
                <w:bCs/>
                <w:color w:val="000000"/>
                <w:sz w:val="12"/>
                <w:lang w:eastAsia="es-AR"/>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39387FD8" w14:textId="77777777" w:rsidR="00A06BE9" w:rsidRPr="00701F32" w:rsidRDefault="00A06BE9" w:rsidP="00712ADC">
            <w:pPr>
              <w:jc w:val="center"/>
              <w:rPr>
                <w:rFonts w:ascii="Arial" w:hAnsi="Arial" w:cs="Arial"/>
                <w:b/>
                <w:bCs/>
                <w:color w:val="000000"/>
                <w:sz w:val="12"/>
                <w:lang w:eastAsia="es-AR"/>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478D6712" w14:textId="77777777" w:rsidR="00A06BE9" w:rsidRPr="00701F32" w:rsidRDefault="00A06BE9" w:rsidP="00712ADC">
            <w:pPr>
              <w:jc w:val="center"/>
              <w:rPr>
                <w:rFonts w:ascii="Arial" w:hAnsi="Arial" w:cs="Arial"/>
                <w:b/>
                <w:bCs/>
                <w:color w:val="000000"/>
                <w:sz w:val="12"/>
                <w:lang w:eastAsia="es-AR"/>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16B80312" w14:textId="77777777" w:rsidR="00A06BE9" w:rsidRPr="00701F32" w:rsidRDefault="00A06BE9" w:rsidP="00712ADC">
            <w:pPr>
              <w:jc w:val="center"/>
              <w:rPr>
                <w:rFonts w:ascii="Arial" w:hAnsi="Arial" w:cs="Arial"/>
                <w:b/>
                <w:bCs/>
                <w:color w:val="000000"/>
                <w:sz w:val="12"/>
                <w:lang w:eastAsia="es-AR"/>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2C5A81BD" w14:textId="77777777" w:rsidR="00A06BE9" w:rsidRPr="00701F32" w:rsidRDefault="00A06BE9" w:rsidP="00712ADC">
            <w:pPr>
              <w:jc w:val="center"/>
              <w:rPr>
                <w:rFonts w:ascii="Arial" w:hAnsi="Arial" w:cs="Arial"/>
                <w:b/>
                <w:bCs/>
                <w:color w:val="000000"/>
                <w:sz w:val="12"/>
                <w:lang w:eastAsia="es-AR"/>
              </w:rPr>
            </w:pPr>
          </w:p>
        </w:tc>
        <w:tc>
          <w:tcPr>
            <w:tcW w:w="9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2FEBFB" w14:textId="77777777" w:rsidR="00A06BE9" w:rsidRPr="00701F32" w:rsidRDefault="00D576C5" w:rsidP="00712ADC">
            <w:pPr>
              <w:jc w:val="center"/>
              <w:rPr>
                <w:rFonts w:ascii="Arial" w:hAnsi="Arial" w:cs="Arial"/>
                <w:b/>
                <w:bCs/>
                <w:color w:val="000000"/>
                <w:sz w:val="12"/>
                <w:lang w:val="es-ES_tradnl" w:eastAsia="es-AR"/>
              </w:rPr>
            </w:pPr>
            <w:r w:rsidRPr="00701F32">
              <w:rPr>
                <w:rFonts w:ascii="Arial" w:hAnsi="Arial" w:cs="Arial"/>
                <w:b/>
                <w:bCs/>
                <w:color w:val="000000"/>
                <w:sz w:val="12"/>
                <w:lang w:eastAsia="es-AR"/>
              </w:rPr>
              <w:t>30/0</w:t>
            </w:r>
            <w:r w:rsidR="002226E8" w:rsidRPr="00701F32">
              <w:rPr>
                <w:rFonts w:ascii="Arial" w:hAnsi="Arial" w:cs="Arial"/>
                <w:b/>
                <w:bCs/>
                <w:color w:val="000000"/>
                <w:sz w:val="12"/>
                <w:lang w:eastAsia="es-AR"/>
              </w:rPr>
              <w:t>9</w:t>
            </w:r>
            <w:r w:rsidRPr="00701F32">
              <w:rPr>
                <w:rFonts w:ascii="Arial" w:hAnsi="Arial" w:cs="Arial"/>
                <w:b/>
                <w:bCs/>
                <w:color w:val="000000"/>
                <w:sz w:val="12"/>
                <w:lang w:eastAsia="es-AR"/>
              </w:rPr>
              <w:t>/2018</w:t>
            </w:r>
          </w:p>
        </w:tc>
        <w:tc>
          <w:tcPr>
            <w:tcW w:w="8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7CB820" w14:textId="77777777" w:rsidR="00A06BE9" w:rsidRPr="00701F32" w:rsidRDefault="00D576C5" w:rsidP="00712ADC">
            <w:pPr>
              <w:jc w:val="center"/>
              <w:rPr>
                <w:rFonts w:ascii="Arial" w:hAnsi="Arial" w:cs="Arial"/>
                <w:b/>
                <w:bCs/>
                <w:color w:val="000000"/>
                <w:sz w:val="12"/>
                <w:lang w:val="es-ES_tradnl" w:eastAsia="es-AR"/>
              </w:rPr>
            </w:pPr>
            <w:r w:rsidRPr="00701F32">
              <w:rPr>
                <w:rFonts w:ascii="Arial" w:hAnsi="Arial" w:cs="Arial"/>
                <w:b/>
                <w:bCs/>
                <w:color w:val="000000"/>
                <w:sz w:val="12"/>
                <w:lang w:eastAsia="es-AR"/>
              </w:rPr>
              <w:t>31/12/2017</w:t>
            </w:r>
          </w:p>
        </w:tc>
        <w:tc>
          <w:tcPr>
            <w:tcW w:w="9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B08973" w14:textId="77777777" w:rsidR="00A06BE9" w:rsidRPr="00701F32" w:rsidRDefault="00D576C5" w:rsidP="00712ADC">
            <w:pPr>
              <w:jc w:val="center"/>
              <w:rPr>
                <w:rFonts w:ascii="Arial" w:hAnsi="Arial" w:cs="Arial"/>
                <w:b/>
                <w:bCs/>
                <w:color w:val="000000"/>
                <w:sz w:val="12"/>
                <w:lang w:eastAsia="es-AR"/>
              </w:rPr>
            </w:pPr>
            <w:r w:rsidRPr="00701F32">
              <w:rPr>
                <w:rFonts w:ascii="Arial" w:hAnsi="Arial" w:cs="Arial"/>
                <w:b/>
                <w:bCs/>
                <w:color w:val="000000"/>
                <w:sz w:val="12"/>
                <w:lang w:eastAsia="es-AR"/>
              </w:rPr>
              <w:t xml:space="preserve">01/04/2017 </w:t>
            </w:r>
          </w:p>
        </w:tc>
      </w:tr>
      <w:tr w:rsidR="00A06BE9" w:rsidRPr="00701F32" w14:paraId="70031E59" w14:textId="77777777" w:rsidTr="00464C0F">
        <w:trPr>
          <w:trHeight w:val="276"/>
        </w:trPr>
        <w:tc>
          <w:tcPr>
            <w:tcW w:w="574" w:type="pct"/>
            <w:vMerge/>
            <w:tcBorders>
              <w:top w:val="single" w:sz="4" w:space="0" w:color="auto"/>
              <w:left w:val="single" w:sz="4" w:space="0" w:color="auto"/>
              <w:bottom w:val="single" w:sz="4" w:space="0" w:color="auto"/>
              <w:right w:val="single" w:sz="4" w:space="0" w:color="auto"/>
            </w:tcBorders>
            <w:vAlign w:val="center"/>
            <w:hideMark/>
          </w:tcPr>
          <w:p w14:paraId="2ED5F8C3" w14:textId="77777777" w:rsidR="00A06BE9" w:rsidRPr="00701F32" w:rsidRDefault="00A06BE9" w:rsidP="00464C0F">
            <w:pPr>
              <w:jc w:val="both"/>
              <w:rPr>
                <w:rFonts w:ascii="Arial" w:hAnsi="Arial" w:cs="Arial"/>
                <w:b/>
                <w:bCs/>
                <w:color w:val="000000"/>
                <w:sz w:val="12"/>
                <w:lang w:eastAsia="es-AR"/>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61B51120" w14:textId="77777777" w:rsidR="00A06BE9" w:rsidRPr="00701F32" w:rsidRDefault="00A06BE9" w:rsidP="00712ADC">
            <w:pPr>
              <w:jc w:val="center"/>
              <w:rPr>
                <w:rFonts w:ascii="Arial" w:hAnsi="Arial" w:cs="Arial"/>
                <w:b/>
                <w:bCs/>
                <w:color w:val="000000"/>
                <w:sz w:val="12"/>
                <w:lang w:eastAsia="es-AR"/>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A5EF2FB" w14:textId="77777777" w:rsidR="00A06BE9" w:rsidRPr="00701F32" w:rsidRDefault="00A06BE9" w:rsidP="00712ADC">
            <w:pPr>
              <w:jc w:val="center"/>
              <w:rPr>
                <w:rFonts w:ascii="Arial" w:hAnsi="Arial" w:cs="Arial"/>
                <w:b/>
                <w:bCs/>
                <w:color w:val="000000"/>
                <w:sz w:val="12"/>
                <w:lang w:eastAsia="es-AR"/>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279C78C7" w14:textId="77777777" w:rsidR="00A06BE9" w:rsidRPr="00701F32" w:rsidRDefault="00A06BE9" w:rsidP="00712ADC">
            <w:pPr>
              <w:jc w:val="center"/>
              <w:rPr>
                <w:rFonts w:ascii="Arial" w:hAnsi="Arial" w:cs="Arial"/>
                <w:b/>
                <w:bCs/>
                <w:color w:val="000000"/>
                <w:sz w:val="12"/>
                <w:lang w:eastAsia="es-AR"/>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38D22BDB" w14:textId="77777777" w:rsidR="00A06BE9" w:rsidRPr="00701F32" w:rsidRDefault="00A06BE9" w:rsidP="00712ADC">
            <w:pPr>
              <w:jc w:val="center"/>
              <w:rPr>
                <w:rFonts w:ascii="Arial" w:hAnsi="Arial" w:cs="Arial"/>
                <w:b/>
                <w:bCs/>
                <w:color w:val="000000"/>
                <w:sz w:val="12"/>
                <w:lang w:eastAsia="es-AR"/>
              </w:rPr>
            </w:pP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1E947EC" w14:textId="77777777" w:rsidR="00A06BE9" w:rsidRPr="00701F32" w:rsidRDefault="00A06BE9" w:rsidP="00712ADC">
            <w:pPr>
              <w:jc w:val="center"/>
              <w:rPr>
                <w:rFonts w:ascii="Arial" w:hAnsi="Arial" w:cs="Arial"/>
                <w:b/>
                <w:bCs/>
                <w:color w:val="000000"/>
                <w:sz w:val="12"/>
                <w:lang w:val="es-ES_tradnl" w:eastAsia="es-AR"/>
              </w:rPr>
            </w:pPr>
            <w:r w:rsidRPr="00701F32">
              <w:rPr>
                <w:rFonts w:ascii="Arial" w:hAnsi="Arial" w:cs="Arial"/>
                <w:b/>
                <w:bCs/>
                <w:color w:val="000000"/>
                <w:sz w:val="12"/>
                <w:lang w:val="en-GB" w:eastAsia="es-AR"/>
              </w:rPr>
              <w:t>DIRECTA</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1D7920FF" w14:textId="77777777" w:rsidR="00A06BE9" w:rsidRPr="00701F32" w:rsidRDefault="00A06BE9" w:rsidP="00712ADC">
            <w:pPr>
              <w:jc w:val="center"/>
              <w:rPr>
                <w:rFonts w:ascii="Arial" w:hAnsi="Arial" w:cs="Arial"/>
                <w:b/>
                <w:bCs/>
                <w:color w:val="000000"/>
                <w:sz w:val="12"/>
                <w:lang w:val="es-ES_tradnl" w:eastAsia="es-AR"/>
              </w:rPr>
            </w:pPr>
            <w:r w:rsidRPr="00701F32">
              <w:rPr>
                <w:rFonts w:ascii="Arial" w:hAnsi="Arial" w:cs="Arial"/>
                <w:b/>
                <w:bCs/>
                <w:color w:val="000000"/>
                <w:sz w:val="12"/>
                <w:lang w:val="en-GB" w:eastAsia="es-AR"/>
              </w:rPr>
              <w:t>DIRECTA MÁS INDIRECTA</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4AF39EA4" w14:textId="77777777" w:rsidR="00A06BE9" w:rsidRPr="00701F32" w:rsidRDefault="00A06BE9" w:rsidP="00712ADC">
            <w:pPr>
              <w:jc w:val="center"/>
              <w:rPr>
                <w:rFonts w:ascii="Arial" w:hAnsi="Arial" w:cs="Arial"/>
                <w:b/>
                <w:bCs/>
                <w:color w:val="000000"/>
                <w:sz w:val="12"/>
                <w:lang w:val="es-ES_tradnl" w:eastAsia="es-AR"/>
              </w:rPr>
            </w:pPr>
            <w:r w:rsidRPr="00701F32">
              <w:rPr>
                <w:rFonts w:ascii="Arial" w:hAnsi="Arial" w:cs="Arial"/>
                <w:b/>
                <w:bCs/>
                <w:color w:val="000000"/>
                <w:sz w:val="12"/>
                <w:lang w:val="en-GB" w:eastAsia="es-AR"/>
              </w:rPr>
              <w:t>DIRECTA</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7F19E8C5" w14:textId="77777777" w:rsidR="00A06BE9" w:rsidRPr="00701F32" w:rsidRDefault="00A06BE9" w:rsidP="00712ADC">
            <w:pPr>
              <w:jc w:val="center"/>
              <w:rPr>
                <w:rFonts w:ascii="Arial" w:hAnsi="Arial" w:cs="Arial"/>
                <w:b/>
                <w:bCs/>
                <w:color w:val="000000"/>
                <w:sz w:val="12"/>
                <w:lang w:val="es-ES_tradnl" w:eastAsia="es-AR"/>
              </w:rPr>
            </w:pPr>
            <w:r w:rsidRPr="00701F32">
              <w:rPr>
                <w:rFonts w:ascii="Arial" w:hAnsi="Arial" w:cs="Arial"/>
                <w:b/>
                <w:bCs/>
                <w:color w:val="000000"/>
                <w:sz w:val="12"/>
                <w:lang w:val="en-GB" w:eastAsia="es-AR"/>
              </w:rPr>
              <w:t>DIRECTA MÁS INDIRECTA</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003BCB0"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DIRECTA</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4A6A6DCD" w14:textId="77777777" w:rsidR="00A06BE9" w:rsidRPr="00701F32" w:rsidRDefault="00A06BE9" w:rsidP="00712ADC">
            <w:pPr>
              <w:jc w:val="center"/>
              <w:rPr>
                <w:rFonts w:ascii="Arial" w:hAnsi="Arial" w:cs="Arial"/>
                <w:b/>
                <w:bCs/>
                <w:color w:val="000000"/>
                <w:sz w:val="12"/>
                <w:lang w:eastAsia="es-AR"/>
              </w:rPr>
            </w:pPr>
            <w:r w:rsidRPr="00701F32">
              <w:rPr>
                <w:rFonts w:ascii="Arial" w:hAnsi="Arial" w:cs="Arial"/>
                <w:b/>
                <w:bCs/>
                <w:color w:val="000000"/>
                <w:sz w:val="12"/>
                <w:lang w:val="en-GB" w:eastAsia="es-AR"/>
              </w:rPr>
              <w:t>DIRECTA MÁS INDIRECTA</w:t>
            </w:r>
          </w:p>
        </w:tc>
      </w:tr>
      <w:tr w:rsidR="00A06BE9" w:rsidRPr="00701F32" w14:paraId="45FA5999" w14:textId="77777777" w:rsidTr="00464C0F">
        <w:trPr>
          <w:trHeight w:val="276"/>
        </w:trPr>
        <w:tc>
          <w:tcPr>
            <w:tcW w:w="574" w:type="pct"/>
            <w:tcBorders>
              <w:top w:val="single" w:sz="4" w:space="0" w:color="auto"/>
              <w:left w:val="single" w:sz="4" w:space="0" w:color="auto"/>
              <w:bottom w:val="single" w:sz="4" w:space="0" w:color="auto"/>
              <w:right w:val="single" w:sz="4" w:space="0" w:color="auto"/>
            </w:tcBorders>
            <w:vAlign w:val="center"/>
          </w:tcPr>
          <w:p w14:paraId="42B0241C" w14:textId="77777777" w:rsidR="00A06BE9" w:rsidRPr="00701F32" w:rsidRDefault="00A06BE9" w:rsidP="00464C0F">
            <w:pPr>
              <w:jc w:val="both"/>
              <w:rPr>
                <w:rFonts w:ascii="Arial" w:hAnsi="Arial" w:cs="Arial"/>
                <w:b/>
                <w:bCs/>
                <w:color w:val="000000"/>
                <w:sz w:val="12"/>
                <w:lang w:eastAsia="es-AR"/>
              </w:rPr>
            </w:pPr>
            <w:r w:rsidRPr="00701F32">
              <w:rPr>
                <w:rFonts w:ascii="Arial" w:hAnsi="Arial" w:cs="Arial"/>
                <w:b/>
                <w:bCs/>
                <w:color w:val="000000"/>
                <w:sz w:val="12"/>
                <w:lang w:eastAsia="es-AR"/>
              </w:rPr>
              <w:t>Cordial Compañía Financiera S.A</w:t>
            </w:r>
            <w:r w:rsidR="00547255" w:rsidRPr="00701F32">
              <w:rPr>
                <w:rFonts w:ascii="Arial" w:hAnsi="Arial" w:cs="Arial"/>
                <w:b/>
                <w:bCs/>
                <w:color w:val="000000"/>
                <w:sz w:val="12"/>
                <w:lang w:eastAsia="es-AR"/>
              </w:rPr>
              <w:t>.</w:t>
            </w:r>
          </w:p>
        </w:tc>
        <w:tc>
          <w:tcPr>
            <w:tcW w:w="441" w:type="pct"/>
            <w:tcBorders>
              <w:top w:val="single" w:sz="4" w:space="0" w:color="auto"/>
              <w:left w:val="single" w:sz="4" w:space="0" w:color="auto"/>
              <w:bottom w:val="single" w:sz="4" w:space="0" w:color="auto"/>
              <w:right w:val="single" w:sz="4" w:space="0" w:color="auto"/>
            </w:tcBorders>
            <w:vAlign w:val="center"/>
          </w:tcPr>
          <w:p w14:paraId="7A660FAC" w14:textId="77777777" w:rsidR="00A06BE9" w:rsidRPr="00701F32" w:rsidRDefault="00A06BE9" w:rsidP="00464C0F">
            <w:pPr>
              <w:jc w:val="both"/>
              <w:rPr>
                <w:rFonts w:ascii="Arial" w:hAnsi="Arial" w:cs="Arial"/>
                <w:b/>
                <w:bCs/>
                <w:color w:val="000000"/>
                <w:sz w:val="12"/>
                <w:lang w:eastAsia="es-AR"/>
              </w:rPr>
            </w:pPr>
            <w:r w:rsidRPr="00701F32">
              <w:rPr>
                <w:rFonts w:ascii="Arial" w:hAnsi="Arial" w:cs="Arial"/>
                <w:b/>
                <w:bCs/>
                <w:color w:val="000000"/>
                <w:sz w:val="12"/>
                <w:lang w:eastAsia="es-AR"/>
              </w:rPr>
              <w:t>Argentina</w:t>
            </w:r>
          </w:p>
        </w:tc>
        <w:tc>
          <w:tcPr>
            <w:tcW w:w="385" w:type="pct"/>
            <w:tcBorders>
              <w:top w:val="single" w:sz="4" w:space="0" w:color="auto"/>
              <w:left w:val="single" w:sz="4" w:space="0" w:color="auto"/>
              <w:bottom w:val="single" w:sz="4" w:space="0" w:color="auto"/>
              <w:right w:val="single" w:sz="4" w:space="0" w:color="auto"/>
            </w:tcBorders>
            <w:vAlign w:val="center"/>
          </w:tcPr>
          <w:p w14:paraId="387440F5" w14:textId="77777777" w:rsidR="00A06BE9" w:rsidRPr="00701F32" w:rsidRDefault="00A06BE9" w:rsidP="00464C0F">
            <w:pPr>
              <w:jc w:val="both"/>
              <w:rPr>
                <w:rFonts w:ascii="Arial" w:hAnsi="Arial" w:cs="Arial"/>
                <w:b/>
                <w:bCs/>
                <w:color w:val="000000"/>
                <w:sz w:val="12"/>
                <w:lang w:eastAsia="es-AR"/>
              </w:rPr>
            </w:pPr>
            <w:r w:rsidRPr="00701F32">
              <w:rPr>
                <w:rFonts w:ascii="Arial" w:hAnsi="Arial" w:cs="Arial"/>
                <w:b/>
                <w:bCs/>
                <w:color w:val="000000"/>
                <w:sz w:val="12"/>
                <w:lang w:eastAsia="es-AR"/>
              </w:rPr>
              <w:t>ARP</w:t>
            </w:r>
          </w:p>
        </w:tc>
        <w:tc>
          <w:tcPr>
            <w:tcW w:w="481" w:type="pct"/>
            <w:tcBorders>
              <w:top w:val="single" w:sz="4" w:space="0" w:color="auto"/>
              <w:left w:val="single" w:sz="4" w:space="0" w:color="auto"/>
              <w:bottom w:val="single" w:sz="4" w:space="0" w:color="auto"/>
              <w:right w:val="single" w:sz="4" w:space="0" w:color="auto"/>
            </w:tcBorders>
            <w:vAlign w:val="center"/>
          </w:tcPr>
          <w:p w14:paraId="5EECBA10" w14:textId="77777777" w:rsidR="00A06BE9" w:rsidRPr="00701F32" w:rsidRDefault="00A06BE9" w:rsidP="00464C0F">
            <w:pPr>
              <w:jc w:val="both"/>
              <w:rPr>
                <w:rFonts w:ascii="Arial" w:hAnsi="Arial" w:cs="Arial"/>
                <w:b/>
                <w:bCs/>
                <w:color w:val="000000"/>
                <w:sz w:val="12"/>
                <w:lang w:eastAsia="es-AR"/>
              </w:rPr>
            </w:pPr>
            <w:r w:rsidRPr="00701F32">
              <w:rPr>
                <w:rFonts w:ascii="Arial" w:hAnsi="Arial" w:cs="Arial"/>
                <w:b/>
                <w:bCs/>
                <w:color w:val="000000"/>
                <w:sz w:val="12"/>
                <w:lang w:eastAsia="es-AR"/>
              </w:rPr>
              <w:t>ARP</w:t>
            </w:r>
          </w:p>
        </w:tc>
        <w:tc>
          <w:tcPr>
            <w:tcW w:w="458" w:type="pct"/>
            <w:tcBorders>
              <w:top w:val="single" w:sz="4" w:space="0" w:color="auto"/>
              <w:left w:val="single" w:sz="4" w:space="0" w:color="auto"/>
              <w:bottom w:val="single" w:sz="4" w:space="0" w:color="auto"/>
              <w:right w:val="single" w:sz="4" w:space="0" w:color="auto"/>
            </w:tcBorders>
            <w:vAlign w:val="center"/>
          </w:tcPr>
          <w:p w14:paraId="3AAAE775" w14:textId="77777777" w:rsidR="00A06BE9" w:rsidRPr="00701F32" w:rsidRDefault="00A06BE9" w:rsidP="00712ADC">
            <w:pPr>
              <w:jc w:val="center"/>
              <w:rPr>
                <w:rFonts w:ascii="Arial" w:hAnsi="Arial" w:cs="Arial"/>
                <w:b/>
                <w:bCs/>
                <w:color w:val="000000"/>
                <w:sz w:val="12"/>
                <w:lang w:val="es-ES_tradnl" w:eastAsia="es-AR"/>
              </w:rPr>
            </w:pPr>
            <w:r w:rsidRPr="00701F32">
              <w:rPr>
                <w:rFonts w:ascii="Arial" w:hAnsi="Arial" w:cs="Arial"/>
                <w:b/>
                <w:bCs/>
                <w:color w:val="000000"/>
                <w:sz w:val="12"/>
                <w:lang w:eastAsia="es-AR"/>
              </w:rPr>
              <w:t>31/12/2017</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497E3FB5" w14:textId="77777777" w:rsidR="00A06BE9" w:rsidRPr="00701F32" w:rsidRDefault="00A06BE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p>
        </w:tc>
        <w:tc>
          <w:tcPr>
            <w:tcW w:w="478" w:type="pct"/>
            <w:tcBorders>
              <w:top w:val="single" w:sz="4" w:space="0" w:color="auto"/>
              <w:left w:val="nil"/>
              <w:bottom w:val="single" w:sz="4" w:space="0" w:color="auto"/>
              <w:right w:val="single" w:sz="4" w:space="0" w:color="auto"/>
            </w:tcBorders>
            <w:shd w:val="clear" w:color="auto" w:fill="auto"/>
            <w:noWrap/>
            <w:vAlign w:val="center"/>
          </w:tcPr>
          <w:p w14:paraId="0B5ED22E" w14:textId="77777777" w:rsidR="00A06BE9" w:rsidRPr="00701F32" w:rsidRDefault="002731C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4FB1F6DE" w14:textId="77777777" w:rsidR="00A06BE9" w:rsidRPr="00701F32" w:rsidRDefault="00A06BE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7958796A" w14:textId="77777777" w:rsidR="00A06BE9" w:rsidRPr="00701F32" w:rsidRDefault="002731C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5236BE62" w14:textId="77777777" w:rsidR="00A06BE9" w:rsidRPr="00701F32" w:rsidRDefault="00A06BE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19329E94" w14:textId="77777777" w:rsidR="00A06BE9" w:rsidRPr="00701F32" w:rsidRDefault="002731C9" w:rsidP="00712ADC">
            <w:pPr>
              <w:jc w:val="center"/>
              <w:rPr>
                <w:rFonts w:ascii="Arial" w:hAnsi="Arial" w:cs="Arial"/>
                <w:b/>
                <w:bCs/>
                <w:color w:val="000000"/>
                <w:sz w:val="12"/>
                <w:lang w:val="en-GB" w:eastAsia="es-AR"/>
              </w:rPr>
            </w:pPr>
            <w:r w:rsidRPr="00701F32">
              <w:rPr>
                <w:rFonts w:ascii="Arial" w:hAnsi="Arial" w:cs="Arial"/>
                <w:b/>
                <w:bCs/>
                <w:color w:val="000000"/>
                <w:sz w:val="12"/>
                <w:lang w:val="en-GB" w:eastAsia="es-AR"/>
              </w:rPr>
              <w:t>95</w:t>
            </w:r>
            <w:r w:rsidR="00547255" w:rsidRPr="00701F32">
              <w:rPr>
                <w:rFonts w:ascii="Arial" w:hAnsi="Arial" w:cs="Arial"/>
                <w:b/>
                <w:bCs/>
                <w:color w:val="000000"/>
                <w:sz w:val="12"/>
                <w:lang w:val="en-GB" w:eastAsia="es-AR"/>
              </w:rPr>
              <w:t>%</w:t>
            </w:r>
          </w:p>
        </w:tc>
      </w:tr>
    </w:tbl>
    <w:p w14:paraId="304C2783" w14:textId="77777777" w:rsidR="00A06BE9" w:rsidRPr="00701F32" w:rsidRDefault="00A06BE9" w:rsidP="00A06BE9">
      <w:pPr>
        <w:spacing w:after="160" w:line="259" w:lineRule="auto"/>
        <w:jc w:val="both"/>
        <w:rPr>
          <w:rFonts w:ascii="Arial" w:eastAsia="Calibri" w:hAnsi="Arial" w:cs="Arial"/>
          <w:sz w:val="12"/>
        </w:rPr>
      </w:pPr>
    </w:p>
    <w:p w14:paraId="749499C3" w14:textId="77777777" w:rsidR="00A06BE9" w:rsidRPr="00701F32" w:rsidRDefault="00A06BE9" w:rsidP="00A06BE9">
      <w:pPr>
        <w:spacing w:after="160" w:line="259" w:lineRule="auto"/>
        <w:jc w:val="both"/>
        <w:rPr>
          <w:rFonts w:ascii="Arial" w:eastAsia="Calibri" w:hAnsi="Arial" w:cs="Arial"/>
          <w:sz w:val="20"/>
          <w:lang w:val="es-ES_tradnl"/>
        </w:rPr>
      </w:pPr>
      <w:r w:rsidRPr="00701F32">
        <w:rPr>
          <w:rFonts w:ascii="Arial" w:eastAsia="Calibri" w:hAnsi="Arial" w:cs="Arial"/>
          <w:sz w:val="20"/>
          <w:lang w:val="es-ES_tradnl"/>
        </w:rPr>
        <w:t xml:space="preserve">A los fines de la consolidación se utilizaron estados financieros correspondientes al período de </w:t>
      </w:r>
      <w:r w:rsidR="00202FE4" w:rsidRPr="00701F32">
        <w:rPr>
          <w:rFonts w:ascii="Arial" w:eastAsia="Calibri" w:hAnsi="Arial" w:cs="Arial"/>
          <w:sz w:val="20"/>
          <w:lang w:val="es-ES_tradnl"/>
        </w:rPr>
        <w:t xml:space="preserve">nueve </w:t>
      </w:r>
      <w:r w:rsidRPr="00701F32">
        <w:rPr>
          <w:rFonts w:ascii="Arial" w:eastAsia="Calibri" w:hAnsi="Arial" w:cs="Arial"/>
          <w:sz w:val="20"/>
          <w:lang w:val="es-ES_tradnl"/>
        </w:rPr>
        <w:t>meses finalizado el 3</w:t>
      </w:r>
      <w:r w:rsidR="004D4420" w:rsidRPr="00701F32">
        <w:rPr>
          <w:rFonts w:ascii="Arial" w:eastAsia="Calibri" w:hAnsi="Arial" w:cs="Arial"/>
          <w:sz w:val="20"/>
          <w:lang w:val="es-ES_tradnl"/>
        </w:rPr>
        <w:t>0</w:t>
      </w:r>
      <w:r w:rsidRPr="00701F32">
        <w:rPr>
          <w:rFonts w:ascii="Arial" w:eastAsia="Calibri" w:hAnsi="Arial" w:cs="Arial"/>
          <w:sz w:val="20"/>
          <w:lang w:val="es-ES_tradnl"/>
        </w:rPr>
        <w:t xml:space="preserve"> de </w:t>
      </w:r>
      <w:r w:rsidR="00202FE4" w:rsidRPr="00701F32">
        <w:rPr>
          <w:rFonts w:ascii="Arial" w:eastAsia="Calibri" w:hAnsi="Arial" w:cs="Arial"/>
          <w:sz w:val="20"/>
          <w:lang w:val="es-ES_tradnl"/>
        </w:rPr>
        <w:t xml:space="preserve">septiembre </w:t>
      </w:r>
      <w:r w:rsidRPr="00701F32">
        <w:rPr>
          <w:rFonts w:ascii="Arial" w:eastAsia="Calibri" w:hAnsi="Arial" w:cs="Arial"/>
          <w:sz w:val="20"/>
          <w:lang w:val="es-ES_tradnl"/>
        </w:rPr>
        <w:t>de 2018 de Cordial Compañía Financiera S.A</w:t>
      </w:r>
      <w:r w:rsidR="00547255" w:rsidRPr="00701F32">
        <w:rPr>
          <w:rFonts w:ascii="Arial" w:eastAsia="Calibri" w:hAnsi="Arial" w:cs="Arial"/>
          <w:sz w:val="20"/>
          <w:lang w:val="es-ES_tradnl"/>
        </w:rPr>
        <w:t>.</w:t>
      </w:r>
      <w:r w:rsidRPr="00701F32">
        <w:rPr>
          <w:rFonts w:ascii="Arial" w:eastAsia="Calibri" w:hAnsi="Arial" w:cs="Arial"/>
          <w:sz w:val="20"/>
          <w:lang w:val="es-ES_tradnl"/>
        </w:rPr>
        <w:t xml:space="preserve"> que abarcan igual período de tiempo respecto de los estados contables del Banco. </w:t>
      </w:r>
    </w:p>
    <w:p w14:paraId="03DBD17E"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Se eliminaron de los estados financieros consolidados condensados intermedios los </w:t>
      </w:r>
      <w:r w:rsidR="002731C9" w:rsidRPr="00701F32">
        <w:rPr>
          <w:rFonts w:ascii="Arial" w:eastAsia="Calibri" w:hAnsi="Arial" w:cs="Arial"/>
          <w:sz w:val="20"/>
        </w:rPr>
        <w:t xml:space="preserve">activos </w:t>
      </w:r>
      <w:r w:rsidRPr="00701F32">
        <w:rPr>
          <w:rFonts w:ascii="Arial" w:eastAsia="Calibri" w:hAnsi="Arial" w:cs="Arial"/>
          <w:sz w:val="20"/>
        </w:rPr>
        <w:t xml:space="preserve">y </w:t>
      </w:r>
      <w:r w:rsidR="002731C9" w:rsidRPr="00701F32">
        <w:rPr>
          <w:rFonts w:ascii="Arial" w:eastAsia="Calibri" w:hAnsi="Arial" w:cs="Arial"/>
          <w:sz w:val="20"/>
        </w:rPr>
        <w:t xml:space="preserve">pasivos </w:t>
      </w:r>
      <w:r w:rsidRPr="00701F32">
        <w:rPr>
          <w:rFonts w:ascii="Arial" w:eastAsia="Calibri" w:hAnsi="Arial" w:cs="Arial"/>
          <w:sz w:val="20"/>
        </w:rPr>
        <w:t>y los resultados originados por operaciones entre miembros de la Entidad no trascendidos a terceros.</w:t>
      </w:r>
    </w:p>
    <w:p w14:paraId="230087CC"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La participación no controladora es aquella parte de los resultados netos y del patrimonio de una subsidiaria atribuible a intereses que no son propiedad, en forma directa o indirecta, del Banco. La participación no controladora forma un componente separado del patrimonio de la Entidad.</w:t>
      </w:r>
    </w:p>
    <w:p w14:paraId="6666595A" w14:textId="77777777" w:rsidR="00A06BE9" w:rsidRPr="00701F32" w:rsidRDefault="00A06BE9" w:rsidP="00A06BE9">
      <w:pPr>
        <w:spacing w:line="259" w:lineRule="auto"/>
        <w:jc w:val="both"/>
        <w:rPr>
          <w:rFonts w:ascii="Arial" w:eastAsia="Calibri" w:hAnsi="Arial" w:cs="Arial"/>
          <w:sz w:val="20"/>
        </w:rPr>
      </w:pPr>
      <w:r w:rsidRPr="00701F32">
        <w:rPr>
          <w:rFonts w:ascii="Arial" w:eastAsia="Calibri" w:hAnsi="Arial" w:cs="Arial"/>
          <w:sz w:val="20"/>
        </w:rPr>
        <w:t xml:space="preserve">De acuerdo con lo establecido por la NIIF 3, el método de adquisición es el utilizado para contabilizar la adquisición de subsidiarias. Los activos identificables adquiridos y los pasivos y pasivos contingentes asumidos en una combinación de negocios se miden a sus valores razonables en la fecha de adquisición. </w:t>
      </w:r>
    </w:p>
    <w:p w14:paraId="7F7EAD08" w14:textId="77777777" w:rsidR="00A06BE9" w:rsidRPr="00701F32" w:rsidRDefault="00A06BE9" w:rsidP="00A06BE9">
      <w:pPr>
        <w:spacing w:line="259" w:lineRule="auto"/>
        <w:jc w:val="both"/>
        <w:rPr>
          <w:rFonts w:ascii="Arial" w:eastAsia="Calibri" w:hAnsi="Arial" w:cs="Arial"/>
          <w:sz w:val="20"/>
        </w:rPr>
      </w:pPr>
    </w:p>
    <w:p w14:paraId="39C0F5DB" w14:textId="77777777" w:rsidR="00A06BE9" w:rsidRPr="00701F32" w:rsidRDefault="00A06BE9" w:rsidP="00A06BE9">
      <w:pPr>
        <w:spacing w:line="259" w:lineRule="auto"/>
        <w:jc w:val="both"/>
        <w:rPr>
          <w:rFonts w:ascii="Arial" w:eastAsia="Calibri" w:hAnsi="Arial" w:cs="Arial"/>
          <w:sz w:val="20"/>
        </w:rPr>
      </w:pPr>
      <w:r w:rsidRPr="00701F32">
        <w:rPr>
          <w:rFonts w:ascii="Arial" w:eastAsia="Calibri" w:hAnsi="Arial" w:cs="Arial"/>
          <w:sz w:val="20"/>
        </w:rPr>
        <w:t xml:space="preserve">La llave de negocio se mide como la diferencia entre el neto de los importes a la fecha de la adquisición de los activos identificables adquiridos, de los pasivos asumidos, la contraprestación transferida, el importe de la participación no controladora en la adquirida y el valor razonable de una participación en la adquirida con anterioridad a la fecha de adquisición. </w:t>
      </w:r>
    </w:p>
    <w:p w14:paraId="5990A112" w14:textId="77777777" w:rsidR="002731C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La contraprestación transferida en una combinación de negocios se mide al valor razonable de los activos transferidos por la adquirente, de los pasivos incurridos por ella con los anteriores propietarios de la adquirida y de las participaciones en el patrimonio emitidas por la adquirente. Los costos de transacción se reconocen como gastos en los periodos en que los costos se hayan incurrido y los servicios se hayan recibido, excepto por los costos de transacción incurridos para emitir instrumentos de patrimonio que se deducen del patrimonio y los costos de transacción incurridos para emitir deuda que se deducen de su valor en libros.</w:t>
      </w:r>
    </w:p>
    <w:p w14:paraId="1C801FB6" w14:textId="77777777" w:rsidR="00A06BE9" w:rsidRPr="00701F32" w:rsidRDefault="002731C9" w:rsidP="00A06BE9">
      <w:pPr>
        <w:spacing w:after="160" w:line="259" w:lineRule="auto"/>
        <w:jc w:val="both"/>
        <w:rPr>
          <w:rFonts w:ascii="Arial" w:eastAsia="Calibri" w:hAnsi="Arial" w:cs="Arial"/>
          <w:sz w:val="20"/>
        </w:rPr>
      </w:pPr>
      <w:r w:rsidRPr="00701F32">
        <w:rPr>
          <w:rFonts w:ascii="Arial" w:eastAsia="Calibri" w:hAnsi="Arial" w:cs="Arial"/>
          <w:sz w:val="20"/>
        </w:rPr>
        <w:t>Tal como se menciona en Nota 2.2, la Sociedad ha optado por no aplicar retroactivamente la NIIF 3 para aquellas combinaciones de negocios ocurridas con anterioridad a la fecha de transición.</w:t>
      </w:r>
    </w:p>
    <w:p w14:paraId="7A4D395E" w14:textId="77777777" w:rsidR="00A06BE9" w:rsidRPr="00701F32" w:rsidRDefault="00A06BE9" w:rsidP="00A06BE9">
      <w:pPr>
        <w:suppressAutoHyphens/>
        <w:overflowPunct w:val="0"/>
        <w:autoSpaceDE w:val="0"/>
        <w:autoSpaceDN w:val="0"/>
        <w:adjustRightInd w:val="0"/>
        <w:spacing w:after="160" w:line="259" w:lineRule="auto"/>
        <w:jc w:val="both"/>
        <w:textAlignment w:val="baseline"/>
        <w:outlineLvl w:val="0"/>
        <w:rPr>
          <w:rFonts w:ascii="Arial" w:hAnsi="Arial" w:cs="Arial"/>
          <w:b/>
          <w:sz w:val="20"/>
          <w:u w:val="single"/>
          <w:lang w:eastAsia="es-AR"/>
        </w:rPr>
      </w:pPr>
      <w:r w:rsidRPr="00701F32">
        <w:rPr>
          <w:rFonts w:ascii="Arial" w:hAnsi="Arial" w:cs="Arial"/>
          <w:b/>
          <w:sz w:val="20"/>
          <w:u w:val="single"/>
          <w:lang w:eastAsia="es-AR"/>
        </w:rPr>
        <w:t xml:space="preserve">Entidades estructuradas consolidadas </w:t>
      </w:r>
    </w:p>
    <w:p w14:paraId="7F9ECA73" w14:textId="77777777" w:rsidR="00A06BE9" w:rsidRPr="00701F32" w:rsidRDefault="00A06BE9" w:rsidP="00A06BE9">
      <w:pPr>
        <w:spacing w:line="259" w:lineRule="auto"/>
        <w:jc w:val="both"/>
        <w:rPr>
          <w:rFonts w:ascii="Arial" w:eastAsia="Calibri" w:hAnsi="Arial" w:cs="Arial"/>
          <w:sz w:val="20"/>
        </w:rPr>
      </w:pPr>
    </w:p>
    <w:p w14:paraId="09C98EFF"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La Entidad ha securitizado determinados instrumentos financieros, principalmente préstamos, originados por créditos personales a través de las transferencias de dichos instrumentos a fideicomisos financieros que emiten múltiples clases de </w:t>
      </w:r>
      <w:r w:rsidR="002731C9" w:rsidRPr="00701F32">
        <w:rPr>
          <w:rFonts w:ascii="Arial" w:eastAsia="Calibri" w:hAnsi="Arial" w:cs="Arial"/>
          <w:sz w:val="20"/>
        </w:rPr>
        <w:t xml:space="preserve">títulos de deuda </w:t>
      </w:r>
      <w:r w:rsidRPr="00701F32">
        <w:rPr>
          <w:rFonts w:ascii="Arial" w:eastAsia="Calibri" w:hAnsi="Arial" w:cs="Arial"/>
          <w:sz w:val="20"/>
        </w:rPr>
        <w:t>y certificados de participación.</w:t>
      </w:r>
    </w:p>
    <w:p w14:paraId="7D090BAF" w14:textId="1F4E2182" w:rsidR="00076EC8"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Se exponen a continuación los fideicomisos financieros en los cuales la entidad es fiduciante:</w:t>
      </w:r>
    </w:p>
    <w:tbl>
      <w:tblPr>
        <w:tblW w:w="8435" w:type="dxa"/>
        <w:tblInd w:w="55" w:type="dxa"/>
        <w:tblCellMar>
          <w:left w:w="70" w:type="dxa"/>
          <w:right w:w="70" w:type="dxa"/>
        </w:tblCellMar>
        <w:tblLook w:val="04A0" w:firstRow="1" w:lastRow="0" w:firstColumn="1" w:lastColumn="0" w:noHBand="0" w:noVBand="1"/>
      </w:tblPr>
      <w:tblGrid>
        <w:gridCol w:w="889"/>
        <w:gridCol w:w="1115"/>
        <w:gridCol w:w="1129"/>
        <w:gridCol w:w="1122"/>
        <w:gridCol w:w="1049"/>
        <w:gridCol w:w="1041"/>
        <w:gridCol w:w="1049"/>
        <w:gridCol w:w="1041"/>
      </w:tblGrid>
      <w:tr w:rsidR="00547255" w:rsidRPr="00701F32" w14:paraId="4D82E401" w14:textId="77777777" w:rsidTr="00E311C9">
        <w:trPr>
          <w:trHeight w:val="315"/>
          <w:tblHeader/>
        </w:trPr>
        <w:tc>
          <w:tcPr>
            <w:tcW w:w="889" w:type="dxa"/>
            <w:vMerge w:val="restart"/>
            <w:tcBorders>
              <w:top w:val="single" w:sz="8" w:space="0" w:color="auto"/>
              <w:left w:val="single" w:sz="8" w:space="0" w:color="auto"/>
              <w:right w:val="single" w:sz="8" w:space="0" w:color="auto"/>
            </w:tcBorders>
            <w:vAlign w:val="center"/>
          </w:tcPr>
          <w:p w14:paraId="5F122AD7" w14:textId="77777777" w:rsidR="00547255" w:rsidRPr="00701F32" w:rsidRDefault="00547255">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Emisor</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025418" w14:textId="77777777" w:rsidR="00547255" w:rsidRPr="00701F32" w:rsidRDefault="00547255"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Fideicomiso Financiero</w:t>
            </w:r>
          </w:p>
        </w:tc>
        <w:tc>
          <w:tcPr>
            <w:tcW w:w="11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60FC55" w14:textId="77777777" w:rsidR="00547255" w:rsidRPr="00701F32" w:rsidRDefault="00547255"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Fecha de Constitución</w:t>
            </w:r>
          </w:p>
        </w:tc>
        <w:tc>
          <w:tcPr>
            <w:tcW w:w="11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BCF3AA" w14:textId="77777777" w:rsidR="00547255" w:rsidRPr="00701F32" w:rsidRDefault="00547255"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Monto Securitizado</w:t>
            </w:r>
          </w:p>
        </w:tc>
        <w:tc>
          <w:tcPr>
            <w:tcW w:w="4180" w:type="dxa"/>
            <w:gridSpan w:val="4"/>
            <w:tcBorders>
              <w:top w:val="single" w:sz="8" w:space="0" w:color="auto"/>
              <w:left w:val="nil"/>
              <w:bottom w:val="single" w:sz="8" w:space="0" w:color="auto"/>
              <w:right w:val="single" w:sz="4" w:space="0" w:color="auto"/>
            </w:tcBorders>
            <w:shd w:val="clear" w:color="auto" w:fill="auto"/>
            <w:vAlign w:val="center"/>
            <w:hideMark/>
          </w:tcPr>
          <w:p w14:paraId="69DC8FBB" w14:textId="77777777" w:rsidR="00547255" w:rsidRPr="00701F32" w:rsidRDefault="00547255"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Valores emitidos</w:t>
            </w:r>
          </w:p>
        </w:tc>
      </w:tr>
      <w:tr w:rsidR="002E5672" w:rsidRPr="00701F32" w14:paraId="356D0A84" w14:textId="77777777" w:rsidTr="00E311C9">
        <w:trPr>
          <w:trHeight w:val="692"/>
          <w:tblHeader/>
        </w:trPr>
        <w:tc>
          <w:tcPr>
            <w:tcW w:w="889" w:type="dxa"/>
            <w:vMerge/>
            <w:tcBorders>
              <w:left w:val="single" w:sz="8" w:space="0" w:color="auto"/>
              <w:bottom w:val="single" w:sz="8" w:space="0" w:color="000000"/>
              <w:right w:val="single" w:sz="8" w:space="0" w:color="auto"/>
            </w:tcBorders>
          </w:tcPr>
          <w:p w14:paraId="3171E9DC" w14:textId="77777777" w:rsidR="002E5672" w:rsidRPr="00701F32" w:rsidRDefault="002E5672" w:rsidP="00464C0F">
            <w:pPr>
              <w:rPr>
                <w:rFonts w:ascii="Arial" w:hAnsi="Arial" w:cs="Arial"/>
                <w:b/>
                <w:bCs/>
                <w:color w:val="000000"/>
                <w:sz w:val="14"/>
                <w:szCs w:val="14"/>
                <w:lang w:eastAsia="es-AR"/>
              </w:rPr>
            </w:pPr>
          </w:p>
        </w:tc>
        <w:tc>
          <w:tcPr>
            <w:tcW w:w="1115" w:type="dxa"/>
            <w:vMerge/>
            <w:tcBorders>
              <w:top w:val="single" w:sz="8" w:space="0" w:color="auto"/>
              <w:left w:val="single" w:sz="8" w:space="0" w:color="auto"/>
              <w:bottom w:val="single" w:sz="8" w:space="0" w:color="000000"/>
              <w:right w:val="single" w:sz="8" w:space="0" w:color="auto"/>
            </w:tcBorders>
            <w:vAlign w:val="center"/>
            <w:hideMark/>
          </w:tcPr>
          <w:p w14:paraId="7A255B2F" w14:textId="77777777" w:rsidR="002E5672" w:rsidRPr="00701F32" w:rsidRDefault="002E5672" w:rsidP="00464C0F">
            <w:pPr>
              <w:rPr>
                <w:rFonts w:ascii="Arial" w:hAnsi="Arial" w:cs="Arial"/>
                <w:b/>
                <w:bCs/>
                <w:color w:val="000000"/>
                <w:sz w:val="14"/>
                <w:szCs w:val="14"/>
                <w:lang w:eastAsia="es-AR"/>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14:paraId="0628181C" w14:textId="77777777" w:rsidR="002E5672" w:rsidRPr="00701F32" w:rsidRDefault="002E5672" w:rsidP="00464C0F">
            <w:pPr>
              <w:rPr>
                <w:rFonts w:ascii="Arial" w:hAnsi="Arial" w:cs="Arial"/>
                <w:b/>
                <w:bCs/>
                <w:color w:val="000000"/>
                <w:sz w:val="14"/>
                <w:szCs w:val="14"/>
                <w:lang w:eastAsia="es-AR"/>
              </w:rPr>
            </w:pPr>
          </w:p>
        </w:tc>
        <w:tc>
          <w:tcPr>
            <w:tcW w:w="1122" w:type="dxa"/>
            <w:vMerge/>
            <w:tcBorders>
              <w:top w:val="single" w:sz="8" w:space="0" w:color="auto"/>
              <w:left w:val="single" w:sz="8" w:space="0" w:color="auto"/>
              <w:bottom w:val="single" w:sz="8" w:space="0" w:color="000000"/>
              <w:right w:val="single" w:sz="8" w:space="0" w:color="auto"/>
            </w:tcBorders>
            <w:vAlign w:val="center"/>
            <w:hideMark/>
          </w:tcPr>
          <w:p w14:paraId="4B318B5D" w14:textId="77777777" w:rsidR="002E5672" w:rsidRPr="00701F32" w:rsidRDefault="002E5672" w:rsidP="00464C0F">
            <w:pPr>
              <w:rPr>
                <w:rFonts w:ascii="Arial" w:hAnsi="Arial" w:cs="Arial"/>
                <w:b/>
                <w:bCs/>
                <w:color w:val="000000"/>
                <w:sz w:val="14"/>
                <w:szCs w:val="14"/>
                <w:lang w:eastAsia="es-AR"/>
              </w:rPr>
            </w:pPr>
          </w:p>
        </w:tc>
        <w:tc>
          <w:tcPr>
            <w:tcW w:w="1049" w:type="dxa"/>
            <w:tcBorders>
              <w:top w:val="single" w:sz="8" w:space="0" w:color="auto"/>
              <w:left w:val="nil"/>
              <w:bottom w:val="single" w:sz="4" w:space="0" w:color="auto"/>
              <w:right w:val="single" w:sz="8" w:space="0" w:color="auto"/>
            </w:tcBorders>
            <w:shd w:val="clear" w:color="auto" w:fill="auto"/>
            <w:vAlign w:val="center"/>
            <w:hideMark/>
          </w:tcPr>
          <w:p w14:paraId="46BC5A88" w14:textId="6CC4EADA" w:rsidR="002E5672" w:rsidRPr="00701F32" w:rsidRDefault="002E5672">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Tipo (*)</w:t>
            </w:r>
          </w:p>
        </w:tc>
        <w:tc>
          <w:tcPr>
            <w:tcW w:w="1041" w:type="dxa"/>
            <w:tcBorders>
              <w:top w:val="single" w:sz="8" w:space="0" w:color="auto"/>
              <w:left w:val="nil"/>
              <w:bottom w:val="single" w:sz="4" w:space="0" w:color="auto"/>
              <w:right w:val="single" w:sz="8" w:space="0" w:color="auto"/>
            </w:tcBorders>
            <w:shd w:val="clear" w:color="auto" w:fill="auto"/>
            <w:vAlign w:val="center"/>
            <w:hideMark/>
          </w:tcPr>
          <w:p w14:paraId="42E9F4E3" w14:textId="77777777" w:rsidR="002E5672" w:rsidRPr="00701F32" w:rsidRDefault="002E5672"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Cantidad</w:t>
            </w:r>
          </w:p>
        </w:tc>
        <w:tc>
          <w:tcPr>
            <w:tcW w:w="1049" w:type="dxa"/>
            <w:tcBorders>
              <w:top w:val="single" w:sz="8" w:space="0" w:color="auto"/>
              <w:left w:val="nil"/>
              <w:bottom w:val="single" w:sz="4" w:space="0" w:color="auto"/>
              <w:right w:val="single" w:sz="8" w:space="0" w:color="auto"/>
            </w:tcBorders>
            <w:shd w:val="clear" w:color="auto" w:fill="auto"/>
            <w:vAlign w:val="center"/>
            <w:hideMark/>
          </w:tcPr>
          <w:p w14:paraId="24648E5F" w14:textId="07471FE3" w:rsidR="002E5672" w:rsidRPr="00701F32" w:rsidRDefault="002E5672">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Tipo (*)</w:t>
            </w:r>
          </w:p>
        </w:tc>
        <w:tc>
          <w:tcPr>
            <w:tcW w:w="1041" w:type="dxa"/>
            <w:tcBorders>
              <w:top w:val="single" w:sz="8" w:space="0" w:color="auto"/>
              <w:left w:val="nil"/>
              <w:bottom w:val="single" w:sz="4" w:space="0" w:color="auto"/>
              <w:right w:val="single" w:sz="8" w:space="0" w:color="auto"/>
            </w:tcBorders>
            <w:shd w:val="clear" w:color="auto" w:fill="auto"/>
            <w:vAlign w:val="center"/>
            <w:hideMark/>
          </w:tcPr>
          <w:p w14:paraId="40B68730" w14:textId="77777777" w:rsidR="002E5672" w:rsidRPr="00701F32" w:rsidRDefault="002E5672" w:rsidP="00464C0F">
            <w:pPr>
              <w:jc w:val="center"/>
              <w:rPr>
                <w:rFonts w:ascii="Arial" w:hAnsi="Arial" w:cs="Arial"/>
                <w:b/>
                <w:bCs/>
                <w:color w:val="000000"/>
                <w:sz w:val="14"/>
                <w:szCs w:val="14"/>
                <w:lang w:eastAsia="es-AR"/>
              </w:rPr>
            </w:pPr>
            <w:r w:rsidRPr="00701F32">
              <w:rPr>
                <w:rFonts w:ascii="Arial" w:hAnsi="Arial" w:cs="Arial"/>
                <w:b/>
                <w:bCs/>
                <w:color w:val="000000"/>
                <w:sz w:val="14"/>
                <w:szCs w:val="14"/>
                <w:lang w:eastAsia="es-AR"/>
              </w:rPr>
              <w:t>Cantidad</w:t>
            </w:r>
          </w:p>
        </w:tc>
      </w:tr>
      <w:tr w:rsidR="00547255" w:rsidRPr="00701F32" w14:paraId="11C45F58" w14:textId="77777777" w:rsidTr="00E311C9">
        <w:trPr>
          <w:trHeight w:val="300"/>
        </w:trPr>
        <w:tc>
          <w:tcPr>
            <w:tcW w:w="889" w:type="dxa"/>
            <w:vMerge w:val="restart"/>
            <w:tcBorders>
              <w:top w:val="nil"/>
              <w:left w:val="single" w:sz="8" w:space="0" w:color="auto"/>
              <w:right w:val="single" w:sz="8" w:space="0" w:color="auto"/>
            </w:tcBorders>
            <w:vAlign w:val="center"/>
          </w:tcPr>
          <w:p w14:paraId="1E581D44" w14:textId="77777777" w:rsidR="00547255" w:rsidRPr="00701F32" w:rsidRDefault="00547255">
            <w:pPr>
              <w:jc w:val="center"/>
              <w:rPr>
                <w:rFonts w:ascii="Arial" w:hAnsi="Arial" w:cs="Arial"/>
                <w:color w:val="000000"/>
                <w:sz w:val="16"/>
                <w:szCs w:val="16"/>
                <w:lang w:eastAsia="es-AR"/>
              </w:rPr>
            </w:pPr>
            <w:r w:rsidRPr="00701F32">
              <w:rPr>
                <w:rFonts w:ascii="Arial" w:hAnsi="Arial" w:cs="Arial"/>
                <w:color w:val="000000"/>
                <w:sz w:val="16"/>
                <w:szCs w:val="16"/>
                <w:lang w:eastAsia="es-AR"/>
              </w:rPr>
              <w:t>Banco</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14:paraId="35677041"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Serie 95 (1), (2)</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14:paraId="5C4A3595" w14:textId="4C84768F" w:rsidR="00547255" w:rsidRPr="00701F32" w:rsidRDefault="002E5672"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30</w:t>
            </w:r>
            <w:r w:rsidR="00547255" w:rsidRPr="00701F32">
              <w:rPr>
                <w:rFonts w:ascii="Arial" w:hAnsi="Arial" w:cs="Arial"/>
                <w:color w:val="000000"/>
                <w:sz w:val="16"/>
                <w:szCs w:val="16"/>
                <w:lang w:eastAsia="es-AR"/>
              </w:rPr>
              <w:t>/06/2017</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25F66DB2" w14:textId="77B1B7C2" w:rsidR="00547255" w:rsidRPr="00701F32" w:rsidRDefault="00547255" w:rsidP="004457A8">
            <w:pPr>
              <w:jc w:val="center"/>
              <w:rPr>
                <w:rFonts w:ascii="Arial" w:hAnsi="Arial" w:cs="Arial"/>
                <w:color w:val="000000"/>
                <w:sz w:val="16"/>
                <w:szCs w:val="16"/>
                <w:lang w:eastAsia="es-AR"/>
              </w:rPr>
            </w:pPr>
            <w:r w:rsidRPr="00701F32">
              <w:rPr>
                <w:rFonts w:ascii="Arial" w:hAnsi="Arial" w:cs="Arial"/>
                <w:color w:val="000000"/>
                <w:sz w:val="16"/>
                <w:szCs w:val="16"/>
                <w:lang w:eastAsia="es-AR"/>
              </w:rPr>
              <w:t>$ 500.00</w:t>
            </w:r>
            <w:r w:rsidR="002E5672" w:rsidRPr="00701F32">
              <w:rPr>
                <w:rFonts w:ascii="Arial" w:hAnsi="Arial" w:cs="Arial"/>
                <w:color w:val="000000"/>
                <w:sz w:val="16"/>
                <w:szCs w:val="16"/>
                <w:lang w:eastAsia="es-AR"/>
              </w:rPr>
              <w:t>0</w:t>
            </w:r>
          </w:p>
        </w:tc>
        <w:tc>
          <w:tcPr>
            <w:tcW w:w="1049" w:type="dxa"/>
            <w:tcBorders>
              <w:top w:val="single" w:sz="4" w:space="0" w:color="auto"/>
              <w:left w:val="nil"/>
              <w:bottom w:val="nil"/>
              <w:right w:val="single" w:sz="8" w:space="0" w:color="auto"/>
            </w:tcBorders>
            <w:shd w:val="clear" w:color="auto" w:fill="auto"/>
            <w:vAlign w:val="center"/>
            <w:hideMark/>
          </w:tcPr>
          <w:p w14:paraId="79DB13F6"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VDF TV A</w:t>
            </w:r>
          </w:p>
        </w:tc>
        <w:tc>
          <w:tcPr>
            <w:tcW w:w="104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499BD73"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VN$ 450.000</w:t>
            </w:r>
          </w:p>
        </w:tc>
        <w:tc>
          <w:tcPr>
            <w:tcW w:w="1049" w:type="dxa"/>
            <w:tcBorders>
              <w:top w:val="single" w:sz="4" w:space="0" w:color="auto"/>
              <w:left w:val="nil"/>
              <w:bottom w:val="nil"/>
              <w:right w:val="single" w:sz="8" w:space="0" w:color="auto"/>
            </w:tcBorders>
            <w:shd w:val="clear" w:color="auto" w:fill="auto"/>
            <w:vAlign w:val="center"/>
            <w:hideMark/>
          </w:tcPr>
          <w:p w14:paraId="7905D2FE"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CP</w:t>
            </w:r>
          </w:p>
        </w:tc>
        <w:tc>
          <w:tcPr>
            <w:tcW w:w="104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F7C61E4"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VN$ 50.000</w:t>
            </w:r>
          </w:p>
        </w:tc>
      </w:tr>
      <w:tr w:rsidR="00547255" w:rsidRPr="00701F32" w14:paraId="1EA7C79B" w14:textId="77777777" w:rsidTr="00FF7CC8">
        <w:trPr>
          <w:trHeight w:val="315"/>
        </w:trPr>
        <w:tc>
          <w:tcPr>
            <w:tcW w:w="889" w:type="dxa"/>
            <w:vMerge/>
            <w:tcBorders>
              <w:left w:val="single" w:sz="8" w:space="0" w:color="auto"/>
              <w:bottom w:val="single" w:sz="8" w:space="0" w:color="000000"/>
              <w:right w:val="single" w:sz="8" w:space="0" w:color="auto"/>
            </w:tcBorders>
            <w:vAlign w:val="center"/>
          </w:tcPr>
          <w:p w14:paraId="358A5BA8" w14:textId="77777777" w:rsidR="00547255" w:rsidRPr="00701F32" w:rsidRDefault="00547255" w:rsidP="00FF7CC8">
            <w:pPr>
              <w:jc w:val="center"/>
              <w:rPr>
                <w:rFonts w:ascii="Arial" w:hAnsi="Arial" w:cs="Arial"/>
                <w:color w:val="000000"/>
                <w:sz w:val="16"/>
                <w:szCs w:val="16"/>
                <w:lang w:eastAsia="es-AR"/>
              </w:rPr>
            </w:pPr>
          </w:p>
        </w:tc>
        <w:tc>
          <w:tcPr>
            <w:tcW w:w="1115" w:type="dxa"/>
            <w:vMerge/>
            <w:tcBorders>
              <w:top w:val="nil"/>
              <w:left w:val="single" w:sz="8" w:space="0" w:color="auto"/>
              <w:bottom w:val="single" w:sz="8" w:space="0" w:color="000000"/>
              <w:right w:val="single" w:sz="8" w:space="0" w:color="auto"/>
            </w:tcBorders>
            <w:vAlign w:val="center"/>
            <w:hideMark/>
          </w:tcPr>
          <w:p w14:paraId="17EB07B6" w14:textId="77777777" w:rsidR="00547255" w:rsidRPr="00701F32" w:rsidRDefault="00547255" w:rsidP="00464C0F">
            <w:pPr>
              <w:rPr>
                <w:rFonts w:ascii="Arial" w:hAnsi="Arial" w:cs="Arial"/>
                <w:color w:val="000000"/>
                <w:sz w:val="16"/>
                <w:szCs w:val="16"/>
                <w:lang w:eastAsia="es-AR"/>
              </w:rPr>
            </w:pPr>
          </w:p>
        </w:tc>
        <w:tc>
          <w:tcPr>
            <w:tcW w:w="1129" w:type="dxa"/>
            <w:vMerge/>
            <w:tcBorders>
              <w:top w:val="nil"/>
              <w:left w:val="single" w:sz="8" w:space="0" w:color="auto"/>
              <w:bottom w:val="single" w:sz="8" w:space="0" w:color="000000"/>
              <w:right w:val="single" w:sz="8" w:space="0" w:color="auto"/>
            </w:tcBorders>
            <w:vAlign w:val="center"/>
            <w:hideMark/>
          </w:tcPr>
          <w:p w14:paraId="2E939621" w14:textId="77777777" w:rsidR="00547255" w:rsidRPr="00701F32" w:rsidRDefault="00547255" w:rsidP="00464C0F">
            <w:pPr>
              <w:rPr>
                <w:rFonts w:ascii="Arial" w:hAnsi="Arial" w:cs="Arial"/>
                <w:color w:val="000000"/>
                <w:sz w:val="16"/>
                <w:szCs w:val="16"/>
                <w:lang w:eastAsia="es-AR"/>
              </w:rPr>
            </w:pPr>
          </w:p>
        </w:tc>
        <w:tc>
          <w:tcPr>
            <w:tcW w:w="1122" w:type="dxa"/>
            <w:vMerge/>
            <w:tcBorders>
              <w:top w:val="nil"/>
              <w:left w:val="single" w:sz="8" w:space="0" w:color="auto"/>
              <w:bottom w:val="single" w:sz="8" w:space="0" w:color="000000"/>
              <w:right w:val="single" w:sz="8" w:space="0" w:color="auto"/>
            </w:tcBorders>
            <w:vAlign w:val="center"/>
            <w:hideMark/>
          </w:tcPr>
          <w:p w14:paraId="6EF32EA0"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0250AAA3"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20/03/19</w:t>
            </w:r>
          </w:p>
        </w:tc>
        <w:tc>
          <w:tcPr>
            <w:tcW w:w="1041" w:type="dxa"/>
            <w:vMerge/>
            <w:tcBorders>
              <w:top w:val="nil"/>
              <w:left w:val="single" w:sz="8" w:space="0" w:color="auto"/>
              <w:bottom w:val="single" w:sz="8" w:space="0" w:color="000000"/>
              <w:right w:val="single" w:sz="8" w:space="0" w:color="auto"/>
            </w:tcBorders>
            <w:vAlign w:val="center"/>
            <w:hideMark/>
          </w:tcPr>
          <w:p w14:paraId="6BAEE217"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2F247303"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20/01/22</w:t>
            </w:r>
          </w:p>
        </w:tc>
        <w:tc>
          <w:tcPr>
            <w:tcW w:w="1041" w:type="dxa"/>
            <w:vMerge/>
            <w:tcBorders>
              <w:top w:val="nil"/>
              <w:left w:val="single" w:sz="8" w:space="0" w:color="auto"/>
              <w:bottom w:val="single" w:sz="8" w:space="0" w:color="000000"/>
              <w:right w:val="single" w:sz="8" w:space="0" w:color="auto"/>
            </w:tcBorders>
            <w:vAlign w:val="center"/>
            <w:hideMark/>
          </w:tcPr>
          <w:p w14:paraId="245CFECD" w14:textId="77777777" w:rsidR="00547255" w:rsidRPr="00701F32" w:rsidRDefault="00547255" w:rsidP="00464C0F">
            <w:pPr>
              <w:rPr>
                <w:rFonts w:ascii="Arial" w:hAnsi="Arial" w:cs="Arial"/>
                <w:color w:val="000000"/>
                <w:sz w:val="16"/>
                <w:szCs w:val="16"/>
                <w:lang w:eastAsia="es-AR"/>
              </w:rPr>
            </w:pPr>
          </w:p>
        </w:tc>
      </w:tr>
      <w:tr w:rsidR="00547255" w:rsidRPr="00701F32" w14:paraId="697E3597" w14:textId="77777777" w:rsidTr="00FF7CC8">
        <w:trPr>
          <w:trHeight w:val="300"/>
        </w:trPr>
        <w:tc>
          <w:tcPr>
            <w:tcW w:w="889" w:type="dxa"/>
            <w:vMerge w:val="restart"/>
            <w:tcBorders>
              <w:top w:val="nil"/>
              <w:left w:val="single" w:sz="8" w:space="0" w:color="auto"/>
              <w:right w:val="single" w:sz="8" w:space="0" w:color="auto"/>
            </w:tcBorders>
            <w:vAlign w:val="center"/>
          </w:tcPr>
          <w:p w14:paraId="25A14393" w14:textId="77777777" w:rsidR="00547255" w:rsidRPr="00701F32" w:rsidRDefault="00547255">
            <w:pPr>
              <w:jc w:val="center"/>
              <w:rPr>
                <w:rFonts w:ascii="Arial" w:hAnsi="Arial" w:cs="Arial"/>
                <w:color w:val="000000"/>
                <w:sz w:val="16"/>
                <w:szCs w:val="16"/>
                <w:lang w:eastAsia="es-AR"/>
              </w:rPr>
            </w:pPr>
            <w:r w:rsidRPr="00701F32">
              <w:rPr>
                <w:rFonts w:ascii="Arial" w:hAnsi="Arial" w:cs="Arial"/>
                <w:color w:val="000000"/>
                <w:sz w:val="16"/>
                <w:szCs w:val="16"/>
                <w:lang w:eastAsia="es-AR"/>
              </w:rPr>
              <w:t>Banco</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14:paraId="36AA3612"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Serie 96 (1), (2)</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14:paraId="3AE917F2"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19/09/2017</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1B487CBA"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$ 236.867</w:t>
            </w:r>
          </w:p>
        </w:tc>
        <w:tc>
          <w:tcPr>
            <w:tcW w:w="1049" w:type="dxa"/>
            <w:tcBorders>
              <w:top w:val="nil"/>
              <w:left w:val="nil"/>
              <w:bottom w:val="nil"/>
              <w:right w:val="single" w:sz="8" w:space="0" w:color="auto"/>
            </w:tcBorders>
            <w:shd w:val="clear" w:color="auto" w:fill="auto"/>
            <w:vAlign w:val="center"/>
            <w:hideMark/>
          </w:tcPr>
          <w:p w14:paraId="46E5AEEE"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VDF TV A</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7474C59C"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VN$ 220.285</w:t>
            </w:r>
          </w:p>
        </w:tc>
        <w:tc>
          <w:tcPr>
            <w:tcW w:w="1049" w:type="dxa"/>
            <w:tcBorders>
              <w:top w:val="nil"/>
              <w:left w:val="nil"/>
              <w:bottom w:val="nil"/>
              <w:right w:val="single" w:sz="8" w:space="0" w:color="auto"/>
            </w:tcBorders>
            <w:shd w:val="clear" w:color="auto" w:fill="auto"/>
            <w:vAlign w:val="center"/>
            <w:hideMark/>
          </w:tcPr>
          <w:p w14:paraId="3ECDFA1E"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CP</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7F0121E4"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VN$ 16.581</w:t>
            </w:r>
          </w:p>
        </w:tc>
      </w:tr>
      <w:tr w:rsidR="00547255" w:rsidRPr="00701F32" w14:paraId="7C8882D5" w14:textId="77777777" w:rsidTr="00A83330">
        <w:trPr>
          <w:trHeight w:val="315"/>
        </w:trPr>
        <w:tc>
          <w:tcPr>
            <w:tcW w:w="889" w:type="dxa"/>
            <w:vMerge/>
            <w:tcBorders>
              <w:left w:val="single" w:sz="8" w:space="0" w:color="auto"/>
              <w:bottom w:val="single" w:sz="8" w:space="0" w:color="000000"/>
              <w:right w:val="single" w:sz="8" w:space="0" w:color="auto"/>
            </w:tcBorders>
          </w:tcPr>
          <w:p w14:paraId="29DAD52C" w14:textId="77777777" w:rsidR="00547255" w:rsidRPr="00701F32" w:rsidRDefault="00547255" w:rsidP="00464C0F">
            <w:pPr>
              <w:rPr>
                <w:rFonts w:ascii="Arial" w:hAnsi="Arial" w:cs="Arial"/>
                <w:color w:val="000000"/>
                <w:sz w:val="16"/>
                <w:szCs w:val="16"/>
                <w:lang w:eastAsia="es-AR"/>
              </w:rPr>
            </w:pPr>
          </w:p>
        </w:tc>
        <w:tc>
          <w:tcPr>
            <w:tcW w:w="1115" w:type="dxa"/>
            <w:vMerge/>
            <w:tcBorders>
              <w:top w:val="nil"/>
              <w:left w:val="single" w:sz="8" w:space="0" w:color="auto"/>
              <w:bottom w:val="single" w:sz="8" w:space="0" w:color="000000"/>
              <w:right w:val="single" w:sz="8" w:space="0" w:color="auto"/>
            </w:tcBorders>
            <w:vAlign w:val="center"/>
            <w:hideMark/>
          </w:tcPr>
          <w:p w14:paraId="4B30C15D" w14:textId="77777777" w:rsidR="00547255" w:rsidRPr="00701F32" w:rsidRDefault="00547255" w:rsidP="00464C0F">
            <w:pPr>
              <w:rPr>
                <w:rFonts w:ascii="Arial" w:hAnsi="Arial" w:cs="Arial"/>
                <w:color w:val="000000"/>
                <w:sz w:val="16"/>
                <w:szCs w:val="16"/>
                <w:lang w:eastAsia="es-AR"/>
              </w:rPr>
            </w:pPr>
          </w:p>
        </w:tc>
        <w:tc>
          <w:tcPr>
            <w:tcW w:w="1129" w:type="dxa"/>
            <w:vMerge/>
            <w:tcBorders>
              <w:top w:val="nil"/>
              <w:left w:val="single" w:sz="8" w:space="0" w:color="auto"/>
              <w:bottom w:val="single" w:sz="8" w:space="0" w:color="000000"/>
              <w:right w:val="single" w:sz="8" w:space="0" w:color="auto"/>
            </w:tcBorders>
            <w:vAlign w:val="center"/>
            <w:hideMark/>
          </w:tcPr>
          <w:p w14:paraId="2876F875" w14:textId="77777777" w:rsidR="00547255" w:rsidRPr="00701F32" w:rsidRDefault="00547255" w:rsidP="00464C0F">
            <w:pPr>
              <w:rPr>
                <w:rFonts w:ascii="Arial" w:hAnsi="Arial" w:cs="Arial"/>
                <w:color w:val="000000"/>
                <w:sz w:val="16"/>
                <w:szCs w:val="16"/>
                <w:lang w:eastAsia="es-AR"/>
              </w:rPr>
            </w:pPr>
          </w:p>
        </w:tc>
        <w:tc>
          <w:tcPr>
            <w:tcW w:w="1122" w:type="dxa"/>
            <w:vMerge/>
            <w:tcBorders>
              <w:top w:val="nil"/>
              <w:left w:val="single" w:sz="8" w:space="0" w:color="auto"/>
              <w:bottom w:val="single" w:sz="8" w:space="0" w:color="000000"/>
              <w:right w:val="single" w:sz="8" w:space="0" w:color="auto"/>
            </w:tcBorders>
            <w:vAlign w:val="center"/>
            <w:hideMark/>
          </w:tcPr>
          <w:p w14:paraId="77267B04"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1A4A327B"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20/06/19</w:t>
            </w:r>
          </w:p>
        </w:tc>
        <w:tc>
          <w:tcPr>
            <w:tcW w:w="1041" w:type="dxa"/>
            <w:vMerge/>
            <w:tcBorders>
              <w:top w:val="nil"/>
              <w:left w:val="single" w:sz="8" w:space="0" w:color="auto"/>
              <w:bottom w:val="single" w:sz="8" w:space="0" w:color="000000"/>
              <w:right w:val="single" w:sz="8" w:space="0" w:color="auto"/>
            </w:tcBorders>
            <w:vAlign w:val="center"/>
            <w:hideMark/>
          </w:tcPr>
          <w:p w14:paraId="2B7F4D0F"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4DBC1104"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20/04/22</w:t>
            </w:r>
          </w:p>
        </w:tc>
        <w:tc>
          <w:tcPr>
            <w:tcW w:w="1041" w:type="dxa"/>
            <w:vMerge/>
            <w:tcBorders>
              <w:top w:val="nil"/>
              <w:left w:val="single" w:sz="8" w:space="0" w:color="auto"/>
              <w:bottom w:val="single" w:sz="8" w:space="0" w:color="000000"/>
              <w:right w:val="single" w:sz="8" w:space="0" w:color="auto"/>
            </w:tcBorders>
            <w:vAlign w:val="center"/>
            <w:hideMark/>
          </w:tcPr>
          <w:p w14:paraId="42E594C1" w14:textId="77777777" w:rsidR="00547255" w:rsidRPr="00701F32" w:rsidRDefault="00547255" w:rsidP="00464C0F">
            <w:pPr>
              <w:rPr>
                <w:rFonts w:ascii="Arial" w:hAnsi="Arial" w:cs="Arial"/>
                <w:color w:val="000000"/>
                <w:sz w:val="16"/>
                <w:szCs w:val="16"/>
                <w:lang w:eastAsia="es-AR"/>
              </w:rPr>
            </w:pPr>
          </w:p>
        </w:tc>
      </w:tr>
      <w:tr w:rsidR="00547255" w:rsidRPr="00701F32" w14:paraId="43AD5C93" w14:textId="77777777" w:rsidTr="00FF7CC8">
        <w:trPr>
          <w:trHeight w:val="300"/>
        </w:trPr>
        <w:tc>
          <w:tcPr>
            <w:tcW w:w="889" w:type="dxa"/>
            <w:vMerge w:val="restart"/>
            <w:tcBorders>
              <w:top w:val="nil"/>
              <w:left w:val="single" w:sz="8" w:space="0" w:color="auto"/>
              <w:right w:val="single" w:sz="8" w:space="0" w:color="auto"/>
            </w:tcBorders>
            <w:vAlign w:val="center"/>
          </w:tcPr>
          <w:p w14:paraId="1C10139A" w14:textId="77777777" w:rsidR="00547255" w:rsidRPr="00701F32" w:rsidRDefault="00547255">
            <w:pPr>
              <w:jc w:val="center"/>
              <w:rPr>
                <w:rFonts w:ascii="Arial" w:hAnsi="Arial" w:cs="Arial"/>
                <w:color w:val="000000"/>
                <w:sz w:val="16"/>
                <w:szCs w:val="16"/>
                <w:lang w:eastAsia="es-AR"/>
              </w:rPr>
            </w:pPr>
            <w:r w:rsidRPr="00701F32">
              <w:rPr>
                <w:rFonts w:ascii="Arial" w:hAnsi="Arial" w:cs="Arial"/>
                <w:color w:val="000000"/>
                <w:sz w:val="16"/>
                <w:szCs w:val="16"/>
                <w:lang w:eastAsia="es-AR"/>
              </w:rPr>
              <w:t>Banco</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14:paraId="2FCCB5EA"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Serie 97 (1), (2)</w:t>
            </w:r>
          </w:p>
        </w:tc>
        <w:tc>
          <w:tcPr>
            <w:tcW w:w="1129" w:type="dxa"/>
            <w:vMerge w:val="restart"/>
            <w:tcBorders>
              <w:top w:val="nil"/>
              <w:left w:val="single" w:sz="8" w:space="0" w:color="auto"/>
              <w:bottom w:val="single" w:sz="8" w:space="0" w:color="000000"/>
              <w:right w:val="single" w:sz="8" w:space="0" w:color="auto"/>
            </w:tcBorders>
            <w:shd w:val="clear" w:color="auto" w:fill="auto"/>
            <w:vAlign w:val="center"/>
            <w:hideMark/>
          </w:tcPr>
          <w:p w14:paraId="5B6BA9F9" w14:textId="6C9A422B" w:rsidR="00547255" w:rsidRPr="00701F32" w:rsidRDefault="004457A8" w:rsidP="004457A8">
            <w:pPr>
              <w:jc w:val="center"/>
              <w:rPr>
                <w:rFonts w:ascii="Arial" w:hAnsi="Arial" w:cs="Arial"/>
                <w:color w:val="000000"/>
                <w:sz w:val="16"/>
                <w:szCs w:val="16"/>
                <w:lang w:eastAsia="es-AR"/>
              </w:rPr>
            </w:pPr>
            <w:r w:rsidRPr="00701F32">
              <w:rPr>
                <w:rFonts w:ascii="Arial" w:hAnsi="Arial" w:cs="Arial"/>
                <w:color w:val="000000"/>
                <w:sz w:val="16"/>
                <w:szCs w:val="16"/>
                <w:lang w:eastAsia="es-AR"/>
              </w:rPr>
              <w:t>2</w:t>
            </w:r>
            <w:r w:rsidR="002E5672" w:rsidRPr="00701F32">
              <w:rPr>
                <w:rFonts w:ascii="Arial" w:hAnsi="Arial" w:cs="Arial"/>
                <w:color w:val="000000"/>
                <w:sz w:val="16"/>
                <w:szCs w:val="16"/>
                <w:lang w:eastAsia="es-AR"/>
              </w:rPr>
              <w:t>7</w:t>
            </w:r>
            <w:r w:rsidR="00547255" w:rsidRPr="00701F32">
              <w:rPr>
                <w:rFonts w:ascii="Arial" w:hAnsi="Arial" w:cs="Arial"/>
                <w:color w:val="000000"/>
                <w:sz w:val="16"/>
                <w:szCs w:val="16"/>
                <w:lang w:eastAsia="es-AR"/>
              </w:rPr>
              <w:t>/03/2018</w:t>
            </w:r>
          </w:p>
        </w:tc>
        <w:tc>
          <w:tcPr>
            <w:tcW w:w="1122" w:type="dxa"/>
            <w:vMerge w:val="restart"/>
            <w:tcBorders>
              <w:top w:val="nil"/>
              <w:left w:val="single" w:sz="8" w:space="0" w:color="auto"/>
              <w:bottom w:val="single" w:sz="8" w:space="0" w:color="000000"/>
              <w:right w:val="single" w:sz="8" w:space="0" w:color="auto"/>
            </w:tcBorders>
            <w:shd w:val="clear" w:color="auto" w:fill="auto"/>
            <w:vAlign w:val="center"/>
            <w:hideMark/>
          </w:tcPr>
          <w:p w14:paraId="4C6498BD" w14:textId="358A8110" w:rsidR="00547255" w:rsidRPr="00701F32" w:rsidRDefault="00547255" w:rsidP="004457A8">
            <w:pPr>
              <w:jc w:val="center"/>
              <w:rPr>
                <w:rFonts w:ascii="Arial" w:hAnsi="Arial" w:cs="Arial"/>
                <w:color w:val="000000"/>
                <w:sz w:val="16"/>
                <w:szCs w:val="16"/>
                <w:lang w:eastAsia="es-AR"/>
              </w:rPr>
            </w:pPr>
            <w:r w:rsidRPr="00701F32">
              <w:rPr>
                <w:rFonts w:ascii="Arial" w:hAnsi="Arial" w:cs="Arial"/>
                <w:color w:val="000000"/>
                <w:sz w:val="16"/>
                <w:szCs w:val="16"/>
                <w:lang w:eastAsia="es-AR"/>
              </w:rPr>
              <w:t>$ 750.0</w:t>
            </w:r>
            <w:r w:rsidR="002E5672" w:rsidRPr="00701F32">
              <w:rPr>
                <w:rFonts w:ascii="Arial" w:hAnsi="Arial" w:cs="Arial"/>
                <w:color w:val="000000"/>
                <w:sz w:val="16"/>
                <w:szCs w:val="16"/>
                <w:lang w:eastAsia="es-AR"/>
              </w:rPr>
              <w:t>00</w:t>
            </w:r>
          </w:p>
        </w:tc>
        <w:tc>
          <w:tcPr>
            <w:tcW w:w="1049" w:type="dxa"/>
            <w:tcBorders>
              <w:top w:val="nil"/>
              <w:left w:val="nil"/>
              <w:bottom w:val="nil"/>
              <w:right w:val="single" w:sz="8" w:space="0" w:color="auto"/>
            </w:tcBorders>
            <w:shd w:val="clear" w:color="auto" w:fill="auto"/>
            <w:vAlign w:val="center"/>
            <w:hideMark/>
          </w:tcPr>
          <w:p w14:paraId="4A4457FC"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VDF TV A</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3AF049C5"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VN$ 712.500</w:t>
            </w:r>
          </w:p>
        </w:tc>
        <w:tc>
          <w:tcPr>
            <w:tcW w:w="1049" w:type="dxa"/>
            <w:tcBorders>
              <w:top w:val="nil"/>
              <w:left w:val="nil"/>
              <w:bottom w:val="nil"/>
              <w:right w:val="single" w:sz="8" w:space="0" w:color="auto"/>
            </w:tcBorders>
            <w:shd w:val="clear" w:color="auto" w:fill="auto"/>
            <w:vAlign w:val="center"/>
            <w:hideMark/>
          </w:tcPr>
          <w:p w14:paraId="2F4AE1A2"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CP</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66BEE03C"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VN$ 37.500</w:t>
            </w:r>
          </w:p>
        </w:tc>
      </w:tr>
      <w:tr w:rsidR="00547255" w:rsidRPr="00701F32" w14:paraId="006E8DF5" w14:textId="77777777" w:rsidTr="00A83330">
        <w:trPr>
          <w:trHeight w:val="315"/>
        </w:trPr>
        <w:tc>
          <w:tcPr>
            <w:tcW w:w="889" w:type="dxa"/>
            <w:vMerge/>
            <w:tcBorders>
              <w:left w:val="single" w:sz="8" w:space="0" w:color="auto"/>
              <w:bottom w:val="single" w:sz="8" w:space="0" w:color="000000"/>
              <w:right w:val="single" w:sz="8" w:space="0" w:color="auto"/>
            </w:tcBorders>
          </w:tcPr>
          <w:p w14:paraId="6CC55A20" w14:textId="77777777" w:rsidR="00547255" w:rsidRPr="00701F32" w:rsidRDefault="00547255" w:rsidP="00464C0F">
            <w:pPr>
              <w:rPr>
                <w:rFonts w:ascii="Arial" w:hAnsi="Arial" w:cs="Arial"/>
                <w:color w:val="000000"/>
                <w:sz w:val="16"/>
                <w:szCs w:val="16"/>
                <w:lang w:eastAsia="es-AR"/>
              </w:rPr>
            </w:pPr>
          </w:p>
        </w:tc>
        <w:tc>
          <w:tcPr>
            <w:tcW w:w="1115" w:type="dxa"/>
            <w:vMerge/>
            <w:tcBorders>
              <w:top w:val="nil"/>
              <w:left w:val="single" w:sz="8" w:space="0" w:color="auto"/>
              <w:bottom w:val="single" w:sz="8" w:space="0" w:color="000000"/>
              <w:right w:val="single" w:sz="8" w:space="0" w:color="auto"/>
            </w:tcBorders>
            <w:vAlign w:val="center"/>
            <w:hideMark/>
          </w:tcPr>
          <w:p w14:paraId="6A1F7EF3" w14:textId="77777777" w:rsidR="00547255" w:rsidRPr="00701F32" w:rsidRDefault="00547255" w:rsidP="00464C0F">
            <w:pPr>
              <w:rPr>
                <w:rFonts w:ascii="Arial" w:hAnsi="Arial" w:cs="Arial"/>
                <w:color w:val="000000"/>
                <w:sz w:val="16"/>
                <w:szCs w:val="16"/>
                <w:lang w:eastAsia="es-AR"/>
              </w:rPr>
            </w:pPr>
          </w:p>
        </w:tc>
        <w:tc>
          <w:tcPr>
            <w:tcW w:w="1129" w:type="dxa"/>
            <w:vMerge/>
            <w:tcBorders>
              <w:top w:val="nil"/>
              <w:left w:val="single" w:sz="8" w:space="0" w:color="auto"/>
              <w:bottom w:val="single" w:sz="8" w:space="0" w:color="000000"/>
              <w:right w:val="single" w:sz="8" w:space="0" w:color="auto"/>
            </w:tcBorders>
            <w:vAlign w:val="center"/>
            <w:hideMark/>
          </w:tcPr>
          <w:p w14:paraId="55561DE5" w14:textId="77777777" w:rsidR="00547255" w:rsidRPr="00701F32" w:rsidRDefault="00547255" w:rsidP="00464C0F">
            <w:pPr>
              <w:rPr>
                <w:rFonts w:ascii="Arial" w:hAnsi="Arial" w:cs="Arial"/>
                <w:color w:val="000000"/>
                <w:sz w:val="16"/>
                <w:szCs w:val="16"/>
                <w:lang w:eastAsia="es-AR"/>
              </w:rPr>
            </w:pPr>
          </w:p>
        </w:tc>
        <w:tc>
          <w:tcPr>
            <w:tcW w:w="1122" w:type="dxa"/>
            <w:vMerge/>
            <w:tcBorders>
              <w:top w:val="nil"/>
              <w:left w:val="single" w:sz="8" w:space="0" w:color="auto"/>
              <w:bottom w:val="single" w:sz="8" w:space="0" w:color="000000"/>
              <w:right w:val="single" w:sz="8" w:space="0" w:color="auto"/>
            </w:tcBorders>
            <w:vAlign w:val="center"/>
            <w:hideMark/>
          </w:tcPr>
          <w:p w14:paraId="63C5D06D"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36D9D791"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20/01/20</w:t>
            </w:r>
          </w:p>
        </w:tc>
        <w:tc>
          <w:tcPr>
            <w:tcW w:w="1041" w:type="dxa"/>
            <w:vMerge/>
            <w:tcBorders>
              <w:top w:val="nil"/>
              <w:left w:val="single" w:sz="8" w:space="0" w:color="auto"/>
              <w:bottom w:val="single" w:sz="8" w:space="0" w:color="000000"/>
              <w:right w:val="single" w:sz="8" w:space="0" w:color="auto"/>
            </w:tcBorders>
            <w:vAlign w:val="center"/>
            <w:hideMark/>
          </w:tcPr>
          <w:p w14:paraId="5E2F93B7" w14:textId="77777777" w:rsidR="00547255" w:rsidRPr="00701F32" w:rsidRDefault="00547255" w:rsidP="00464C0F">
            <w:pPr>
              <w:rPr>
                <w:rFonts w:ascii="Arial" w:hAnsi="Arial" w:cs="Arial"/>
                <w:color w:val="000000"/>
                <w:sz w:val="16"/>
                <w:szCs w:val="16"/>
                <w:lang w:eastAsia="es-AR"/>
              </w:rPr>
            </w:pPr>
          </w:p>
        </w:tc>
        <w:tc>
          <w:tcPr>
            <w:tcW w:w="1049" w:type="dxa"/>
            <w:tcBorders>
              <w:top w:val="nil"/>
              <w:left w:val="nil"/>
              <w:bottom w:val="single" w:sz="8" w:space="0" w:color="auto"/>
              <w:right w:val="single" w:sz="8" w:space="0" w:color="auto"/>
            </w:tcBorders>
            <w:shd w:val="clear" w:color="auto" w:fill="auto"/>
            <w:vAlign w:val="center"/>
            <w:hideMark/>
          </w:tcPr>
          <w:p w14:paraId="6242BC9A" w14:textId="77777777" w:rsidR="00547255" w:rsidRPr="00701F32" w:rsidRDefault="00547255" w:rsidP="00464C0F">
            <w:pPr>
              <w:jc w:val="center"/>
              <w:rPr>
                <w:rFonts w:ascii="Arial" w:hAnsi="Arial" w:cs="Arial"/>
                <w:color w:val="000000"/>
                <w:sz w:val="16"/>
                <w:szCs w:val="16"/>
                <w:lang w:eastAsia="es-AR"/>
              </w:rPr>
            </w:pPr>
            <w:r w:rsidRPr="00701F32">
              <w:rPr>
                <w:rFonts w:ascii="Arial" w:hAnsi="Arial" w:cs="Arial"/>
                <w:color w:val="000000"/>
                <w:sz w:val="16"/>
                <w:szCs w:val="16"/>
                <w:lang w:eastAsia="es-AR"/>
              </w:rPr>
              <w:t>Vto: 20/03/20</w:t>
            </w:r>
          </w:p>
        </w:tc>
        <w:tc>
          <w:tcPr>
            <w:tcW w:w="1041" w:type="dxa"/>
            <w:vMerge/>
            <w:tcBorders>
              <w:top w:val="nil"/>
              <w:left w:val="single" w:sz="8" w:space="0" w:color="auto"/>
              <w:bottom w:val="single" w:sz="8" w:space="0" w:color="000000"/>
              <w:right w:val="single" w:sz="8" w:space="0" w:color="auto"/>
            </w:tcBorders>
            <w:vAlign w:val="center"/>
            <w:hideMark/>
          </w:tcPr>
          <w:p w14:paraId="354A5A14" w14:textId="77777777" w:rsidR="00547255" w:rsidRPr="00701F32" w:rsidRDefault="00547255" w:rsidP="00464C0F">
            <w:pPr>
              <w:rPr>
                <w:rFonts w:ascii="Arial" w:hAnsi="Arial" w:cs="Arial"/>
                <w:color w:val="000000"/>
                <w:sz w:val="16"/>
                <w:szCs w:val="16"/>
                <w:lang w:eastAsia="es-AR"/>
              </w:rPr>
            </w:pPr>
          </w:p>
        </w:tc>
      </w:tr>
    </w:tbl>
    <w:p w14:paraId="2C489791" w14:textId="77777777" w:rsidR="00A06BE9" w:rsidRPr="00701F32" w:rsidRDefault="00A06BE9" w:rsidP="00A06BE9">
      <w:pPr>
        <w:spacing w:line="259" w:lineRule="auto"/>
        <w:jc w:val="both"/>
        <w:rPr>
          <w:rFonts w:ascii="Arial" w:eastAsia="Calibri" w:hAnsi="Arial" w:cs="Arial"/>
          <w:sz w:val="14"/>
        </w:rPr>
      </w:pPr>
    </w:p>
    <w:p w14:paraId="77EB6BEB" w14:textId="77777777" w:rsidR="00A06BE9" w:rsidRPr="00701F32" w:rsidRDefault="00A06BE9" w:rsidP="00A06BE9">
      <w:pPr>
        <w:tabs>
          <w:tab w:val="left" w:pos="142"/>
        </w:tabs>
        <w:spacing w:after="160" w:line="259" w:lineRule="auto"/>
        <w:jc w:val="both"/>
        <w:rPr>
          <w:rFonts w:ascii="Arial" w:eastAsia="Calibri" w:hAnsi="Arial" w:cs="Arial"/>
          <w:sz w:val="16"/>
          <w:szCs w:val="16"/>
        </w:rPr>
      </w:pPr>
      <w:r w:rsidRPr="00701F32">
        <w:rPr>
          <w:rFonts w:ascii="Arial" w:eastAsia="Calibri" w:hAnsi="Arial" w:cs="Arial"/>
          <w:sz w:val="16"/>
          <w:szCs w:val="16"/>
        </w:rPr>
        <w:t xml:space="preserve"> (1) Emitido bajo el programa Supervielle Confiance 4.</w:t>
      </w:r>
    </w:p>
    <w:p w14:paraId="0FEE53DF" w14:textId="77777777" w:rsidR="000F7B89" w:rsidRPr="00701F32" w:rsidRDefault="00A06BE9" w:rsidP="00A06BE9">
      <w:pPr>
        <w:tabs>
          <w:tab w:val="left" w:pos="142"/>
        </w:tabs>
        <w:spacing w:after="160" w:line="259" w:lineRule="auto"/>
        <w:jc w:val="both"/>
      </w:pPr>
      <w:r w:rsidRPr="00701F32">
        <w:rPr>
          <w:rFonts w:ascii="Arial" w:eastAsia="Calibri" w:hAnsi="Arial" w:cs="Arial"/>
          <w:sz w:val="16"/>
          <w:szCs w:val="16"/>
        </w:rPr>
        <w:t xml:space="preserve"> (2) Créditos Personales originados por Banco Supervielle otorgados a jubilados y pensionados de ANSES.</w:t>
      </w:r>
      <w:r w:rsidR="000F7B89" w:rsidRPr="00701F32">
        <w:t xml:space="preserve"> </w:t>
      </w:r>
    </w:p>
    <w:p w14:paraId="1D97FE56" w14:textId="5A35F06A" w:rsidR="00A06BE9" w:rsidRPr="00701F32" w:rsidRDefault="000F7B89" w:rsidP="00A06BE9">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 xml:space="preserve">Durante el </w:t>
      </w:r>
      <w:r w:rsidR="009D3943" w:rsidRPr="00701F32">
        <w:rPr>
          <w:rFonts w:ascii="Arial" w:eastAsia="Calibri" w:hAnsi="Arial" w:cs="Arial"/>
          <w:sz w:val="20"/>
        </w:rPr>
        <w:t>presente ejercicio</w:t>
      </w:r>
      <w:r w:rsidRPr="00701F32">
        <w:rPr>
          <w:rFonts w:ascii="Arial" w:eastAsia="Calibri" w:hAnsi="Arial" w:cs="Arial"/>
          <w:sz w:val="20"/>
        </w:rPr>
        <w:t xml:space="preserve"> se recompraron y liquidaron los fideicomisos financieros CCF Créditos, no exitiendo ningun fideicomiso financiero de estas series vigentes al 30 de septiembre de 2018.</w:t>
      </w:r>
    </w:p>
    <w:p w14:paraId="6B04F0F2"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El Banco controla una entidad estructurada cuando está expuesto a, o tiene derecho a, retornos variables y tiene la capacidad de afectar esos retornos a través de su poder para dirigir las actividades de la entidad. Las entidades estructuradas se consolidan a partir de la fecha en que el control es transferido al Banco, dejándose de consolidar a partir de la fecha en que cesa el control.</w:t>
      </w:r>
    </w:p>
    <w:p w14:paraId="379C6D99"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En relación a los fideicomisos financieros, la Entidad ha evaluado las siguientes consideraciones:</w:t>
      </w:r>
    </w:p>
    <w:p w14:paraId="07255FD3" w14:textId="77777777" w:rsidR="00A06BE9" w:rsidRPr="00701F32" w:rsidRDefault="00A06BE9" w:rsidP="00A06BE9">
      <w:pPr>
        <w:numPr>
          <w:ilvl w:val="0"/>
          <w:numId w:val="45"/>
        </w:numPr>
        <w:spacing w:after="160" w:line="259" w:lineRule="auto"/>
        <w:contextualSpacing/>
        <w:jc w:val="both"/>
        <w:rPr>
          <w:rFonts w:ascii="Arial" w:eastAsia="Calibri" w:hAnsi="Arial" w:cs="Arial"/>
          <w:sz w:val="20"/>
        </w:rPr>
      </w:pPr>
      <w:r w:rsidRPr="00701F32">
        <w:rPr>
          <w:rFonts w:ascii="Arial" w:eastAsia="Calibri" w:hAnsi="Arial" w:cs="Arial"/>
          <w:sz w:val="20"/>
        </w:rPr>
        <w:t>El propósito y el diseño de una participada.</w:t>
      </w:r>
    </w:p>
    <w:p w14:paraId="3FD9E1F1" w14:textId="77777777" w:rsidR="00A06BE9" w:rsidRPr="00701F32" w:rsidRDefault="00A06BE9" w:rsidP="00A06BE9">
      <w:pPr>
        <w:numPr>
          <w:ilvl w:val="0"/>
          <w:numId w:val="45"/>
        </w:numPr>
        <w:spacing w:after="160" w:line="259" w:lineRule="auto"/>
        <w:contextualSpacing/>
        <w:jc w:val="both"/>
        <w:rPr>
          <w:rFonts w:ascii="Arial" w:eastAsia="Calibri" w:hAnsi="Arial" w:cs="Arial"/>
          <w:sz w:val="20"/>
        </w:rPr>
      </w:pPr>
      <w:r w:rsidRPr="00701F32">
        <w:rPr>
          <w:rFonts w:ascii="Arial" w:eastAsia="Calibri" w:hAnsi="Arial" w:cs="Arial"/>
          <w:sz w:val="20"/>
        </w:rPr>
        <w:t>Cuáles son las actividades relevantes.</w:t>
      </w:r>
    </w:p>
    <w:p w14:paraId="24BDAE8C" w14:textId="77777777" w:rsidR="00A06BE9" w:rsidRPr="00701F32" w:rsidRDefault="00A06BE9" w:rsidP="00A06BE9">
      <w:pPr>
        <w:numPr>
          <w:ilvl w:val="0"/>
          <w:numId w:val="45"/>
        </w:numPr>
        <w:spacing w:after="160" w:line="259" w:lineRule="auto"/>
        <w:contextualSpacing/>
        <w:jc w:val="both"/>
        <w:rPr>
          <w:rFonts w:ascii="Arial" w:eastAsia="Calibri" w:hAnsi="Arial" w:cs="Arial"/>
          <w:sz w:val="20"/>
        </w:rPr>
      </w:pPr>
      <w:r w:rsidRPr="00701F32">
        <w:rPr>
          <w:rFonts w:ascii="Arial" w:eastAsia="Calibri" w:hAnsi="Arial" w:cs="Arial"/>
          <w:sz w:val="20"/>
        </w:rPr>
        <w:t>Cómo se toman las decisiones sobre esas actividades.</w:t>
      </w:r>
    </w:p>
    <w:p w14:paraId="1BDDFC17" w14:textId="77777777" w:rsidR="00A06BE9" w:rsidRPr="00701F32" w:rsidRDefault="00A06BE9" w:rsidP="00A06BE9">
      <w:pPr>
        <w:numPr>
          <w:ilvl w:val="0"/>
          <w:numId w:val="45"/>
        </w:numPr>
        <w:spacing w:after="160" w:line="259" w:lineRule="auto"/>
        <w:contextualSpacing/>
        <w:jc w:val="both"/>
        <w:rPr>
          <w:rFonts w:ascii="Arial" w:eastAsia="Calibri" w:hAnsi="Arial" w:cs="Arial"/>
          <w:sz w:val="20"/>
        </w:rPr>
      </w:pPr>
      <w:r w:rsidRPr="00701F32">
        <w:rPr>
          <w:rFonts w:ascii="Arial" w:eastAsia="Calibri" w:hAnsi="Arial" w:cs="Arial"/>
          <w:sz w:val="20"/>
        </w:rPr>
        <w:t>Si los derechos del inversor le otorgan la capacidad actual de dirigir las actividades relevantes.</w:t>
      </w:r>
    </w:p>
    <w:p w14:paraId="2E1CBFEB" w14:textId="77777777" w:rsidR="00A06BE9" w:rsidRPr="00701F32" w:rsidRDefault="00A06BE9" w:rsidP="00A06BE9">
      <w:pPr>
        <w:numPr>
          <w:ilvl w:val="0"/>
          <w:numId w:val="45"/>
        </w:numPr>
        <w:spacing w:after="160" w:line="259" w:lineRule="auto"/>
        <w:contextualSpacing/>
        <w:jc w:val="both"/>
        <w:rPr>
          <w:rFonts w:ascii="Arial" w:eastAsia="Calibri" w:hAnsi="Arial" w:cs="Arial"/>
          <w:sz w:val="20"/>
        </w:rPr>
      </w:pPr>
      <w:r w:rsidRPr="00701F32">
        <w:rPr>
          <w:rFonts w:ascii="Arial" w:eastAsia="Calibri" w:hAnsi="Arial" w:cs="Arial"/>
          <w:sz w:val="20"/>
        </w:rPr>
        <w:t>Si el inversor está expuesto, o tiene derecho, a los rendimientos variables de su participación en la participada.</w:t>
      </w:r>
    </w:p>
    <w:p w14:paraId="1FFB71BD" w14:textId="77777777" w:rsidR="00A06BE9" w:rsidRPr="00701F32" w:rsidRDefault="00A06BE9" w:rsidP="00A06BE9">
      <w:pPr>
        <w:numPr>
          <w:ilvl w:val="0"/>
          <w:numId w:val="45"/>
        </w:numPr>
        <w:tabs>
          <w:tab w:val="left" w:pos="0"/>
        </w:tabs>
        <w:spacing w:after="160" w:line="259" w:lineRule="auto"/>
        <w:contextualSpacing/>
        <w:jc w:val="both"/>
        <w:rPr>
          <w:rFonts w:ascii="Arial" w:eastAsia="Calibri" w:hAnsi="Arial" w:cs="Arial"/>
          <w:sz w:val="20"/>
        </w:rPr>
      </w:pPr>
      <w:r w:rsidRPr="00701F32">
        <w:rPr>
          <w:rFonts w:ascii="Arial" w:eastAsia="Calibri" w:hAnsi="Arial" w:cs="Arial"/>
          <w:sz w:val="20"/>
        </w:rPr>
        <w:t>Si el inversionista tiene la capacidad de usar su poder sobre la participada para afectar el monto de los rendimientos del inversor.</w:t>
      </w:r>
    </w:p>
    <w:p w14:paraId="0C47318F" w14:textId="77777777" w:rsidR="00A06BE9" w:rsidRPr="00701F32" w:rsidRDefault="00A06BE9" w:rsidP="00A06BE9">
      <w:pPr>
        <w:tabs>
          <w:tab w:val="left" w:pos="0"/>
        </w:tabs>
        <w:spacing w:after="160" w:line="259" w:lineRule="auto"/>
        <w:ind w:left="720"/>
        <w:contextualSpacing/>
        <w:jc w:val="both"/>
        <w:rPr>
          <w:rFonts w:ascii="Arial" w:eastAsia="Calibri" w:hAnsi="Arial" w:cs="Arial"/>
          <w:sz w:val="20"/>
        </w:rPr>
      </w:pPr>
    </w:p>
    <w:p w14:paraId="224502E2"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En base a lo anterior, el Banco ha concluido que tiene el control de estos fideicomisos financieros y como consecuencia, estas entidades estructuradas han sido consolidadas.</w:t>
      </w:r>
    </w:p>
    <w:p w14:paraId="3F64259B" w14:textId="1D86067A" w:rsidR="000425B0"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El siguiente cuadro presenta el valor en libros y la clasificación de los activos y pasivos de las entidades estructuradas que se han consolidado al 3</w:t>
      </w:r>
      <w:r w:rsidR="00AD081E" w:rsidRPr="00701F32">
        <w:rPr>
          <w:rFonts w:ascii="Arial" w:eastAsia="Calibri" w:hAnsi="Arial" w:cs="Arial"/>
          <w:sz w:val="20"/>
        </w:rPr>
        <w:t>0</w:t>
      </w:r>
      <w:r w:rsidRPr="00701F32">
        <w:rPr>
          <w:rFonts w:ascii="Arial" w:eastAsia="Calibri" w:hAnsi="Arial" w:cs="Arial"/>
          <w:sz w:val="20"/>
        </w:rPr>
        <w:t xml:space="preserve"> de</w:t>
      </w:r>
      <w:r w:rsidR="00A0527A" w:rsidRPr="00701F32">
        <w:rPr>
          <w:rFonts w:ascii="Arial" w:eastAsia="Calibri" w:hAnsi="Arial" w:cs="Arial"/>
          <w:sz w:val="20"/>
        </w:rPr>
        <w:t xml:space="preserve"> septiembre</w:t>
      </w:r>
      <w:r w:rsidRPr="00701F32">
        <w:rPr>
          <w:rFonts w:ascii="Arial" w:eastAsia="Calibri" w:hAnsi="Arial" w:cs="Arial"/>
          <w:sz w:val="20"/>
        </w:rPr>
        <w:t xml:space="preserve"> de 2018, 31 de diciembre de 2017 y al 1 de enero de 2017, a saber:</w:t>
      </w:r>
    </w:p>
    <w:tbl>
      <w:tblPr>
        <w:tblW w:w="8302" w:type="dxa"/>
        <w:jc w:val="center"/>
        <w:tblCellMar>
          <w:left w:w="70" w:type="dxa"/>
          <w:right w:w="70" w:type="dxa"/>
        </w:tblCellMar>
        <w:tblLook w:val="04A0" w:firstRow="1" w:lastRow="0" w:firstColumn="1" w:lastColumn="0" w:noHBand="0" w:noVBand="1"/>
      </w:tblPr>
      <w:tblGrid>
        <w:gridCol w:w="2959"/>
        <w:gridCol w:w="1781"/>
        <w:gridCol w:w="1781"/>
        <w:gridCol w:w="1781"/>
      </w:tblGrid>
      <w:tr w:rsidR="00A06BE9" w:rsidRPr="00701F32" w14:paraId="30460E9D" w14:textId="77777777" w:rsidTr="00464C0F">
        <w:trPr>
          <w:trHeight w:val="403"/>
          <w:jc w:val="center"/>
        </w:trPr>
        <w:tc>
          <w:tcPr>
            <w:tcW w:w="2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039317" w14:textId="77777777" w:rsidR="00A06BE9" w:rsidRPr="00701F32" w:rsidRDefault="00A06BE9" w:rsidP="00464C0F">
            <w:pPr>
              <w:jc w:val="both"/>
              <w:rPr>
                <w:rFonts w:ascii="Arial" w:hAnsi="Arial" w:cs="Arial"/>
                <w:color w:val="000000"/>
                <w:sz w:val="16"/>
                <w:lang w:eastAsia="es-AR"/>
              </w:rPr>
            </w:pPr>
          </w:p>
          <w:p w14:paraId="242E7C6D" w14:textId="77777777" w:rsidR="00A06BE9" w:rsidRPr="00701F32" w:rsidRDefault="00A06BE9" w:rsidP="00464C0F">
            <w:pPr>
              <w:jc w:val="both"/>
              <w:rPr>
                <w:rFonts w:ascii="Arial" w:hAnsi="Arial" w:cs="Arial"/>
                <w:color w:val="000000"/>
                <w:sz w:val="16"/>
                <w:lang w:eastAsia="es-AR"/>
              </w:rPr>
            </w:pPr>
            <w:r w:rsidRPr="00701F32">
              <w:rPr>
                <w:rFonts w:ascii="Arial" w:hAnsi="Arial" w:cs="Arial"/>
                <w:color w:val="000000"/>
                <w:sz w:val="16"/>
                <w:lang w:eastAsia="es-AR"/>
              </w:rPr>
              <w:t> </w:t>
            </w:r>
          </w:p>
        </w:tc>
        <w:tc>
          <w:tcPr>
            <w:tcW w:w="1781" w:type="dxa"/>
            <w:tcBorders>
              <w:top w:val="single" w:sz="8" w:space="0" w:color="auto"/>
              <w:left w:val="nil"/>
              <w:bottom w:val="single" w:sz="8" w:space="0" w:color="auto"/>
              <w:right w:val="single" w:sz="8" w:space="0" w:color="auto"/>
            </w:tcBorders>
            <w:shd w:val="clear" w:color="auto" w:fill="auto"/>
            <w:vAlign w:val="center"/>
            <w:hideMark/>
          </w:tcPr>
          <w:p w14:paraId="26681560" w14:textId="77777777" w:rsidR="00A06BE9" w:rsidRPr="00701F32" w:rsidRDefault="00A06BE9" w:rsidP="00A77B71">
            <w:pPr>
              <w:jc w:val="center"/>
              <w:rPr>
                <w:rFonts w:ascii="Arial" w:hAnsi="Arial" w:cs="Arial"/>
                <w:b/>
                <w:bCs/>
                <w:color w:val="000000"/>
                <w:sz w:val="16"/>
                <w:lang w:eastAsia="es-AR"/>
              </w:rPr>
            </w:pPr>
            <w:r w:rsidRPr="00701F32">
              <w:rPr>
                <w:rFonts w:ascii="Arial" w:hAnsi="Arial" w:cs="Arial"/>
                <w:b/>
                <w:bCs/>
                <w:color w:val="000000"/>
                <w:sz w:val="16"/>
                <w:lang w:eastAsia="es-AR"/>
              </w:rPr>
              <w:t>3</w:t>
            </w:r>
            <w:r w:rsidR="00A77B71" w:rsidRPr="00701F32">
              <w:rPr>
                <w:rFonts w:ascii="Arial" w:hAnsi="Arial" w:cs="Arial"/>
                <w:b/>
                <w:bCs/>
                <w:color w:val="000000"/>
                <w:sz w:val="16"/>
                <w:lang w:eastAsia="es-AR"/>
              </w:rPr>
              <w:t>0</w:t>
            </w:r>
            <w:r w:rsidRPr="00701F32">
              <w:rPr>
                <w:rFonts w:ascii="Arial" w:hAnsi="Arial" w:cs="Arial"/>
                <w:b/>
                <w:bCs/>
                <w:color w:val="000000"/>
                <w:sz w:val="16"/>
                <w:lang w:eastAsia="es-AR"/>
              </w:rPr>
              <w:t>/0</w:t>
            </w:r>
            <w:r w:rsidR="00A0527A" w:rsidRPr="00701F32">
              <w:rPr>
                <w:rFonts w:ascii="Arial" w:hAnsi="Arial" w:cs="Arial"/>
                <w:b/>
                <w:bCs/>
                <w:color w:val="000000"/>
                <w:sz w:val="16"/>
                <w:lang w:eastAsia="es-AR"/>
              </w:rPr>
              <w:t>9</w:t>
            </w:r>
            <w:r w:rsidRPr="00701F32">
              <w:rPr>
                <w:rFonts w:ascii="Arial" w:hAnsi="Arial" w:cs="Arial"/>
                <w:b/>
                <w:bCs/>
                <w:color w:val="000000"/>
                <w:sz w:val="16"/>
                <w:lang w:eastAsia="es-AR"/>
              </w:rPr>
              <w:t>/2018</w:t>
            </w:r>
          </w:p>
        </w:tc>
        <w:tc>
          <w:tcPr>
            <w:tcW w:w="1781" w:type="dxa"/>
            <w:tcBorders>
              <w:top w:val="single" w:sz="8" w:space="0" w:color="auto"/>
              <w:left w:val="nil"/>
              <w:bottom w:val="single" w:sz="8" w:space="0" w:color="auto"/>
              <w:right w:val="single" w:sz="8" w:space="0" w:color="auto"/>
            </w:tcBorders>
            <w:shd w:val="clear" w:color="auto" w:fill="auto"/>
            <w:vAlign w:val="center"/>
            <w:hideMark/>
          </w:tcPr>
          <w:p w14:paraId="0208D8E3" w14:textId="77777777" w:rsidR="00A06BE9" w:rsidRPr="00701F32" w:rsidRDefault="00A06BE9" w:rsidP="00464C0F">
            <w:pPr>
              <w:jc w:val="center"/>
              <w:rPr>
                <w:rFonts w:ascii="Arial" w:hAnsi="Arial" w:cs="Arial"/>
                <w:b/>
                <w:bCs/>
                <w:color w:val="000000"/>
                <w:sz w:val="16"/>
                <w:lang w:eastAsia="es-AR"/>
              </w:rPr>
            </w:pPr>
            <w:r w:rsidRPr="00701F32">
              <w:rPr>
                <w:rFonts w:ascii="Arial" w:hAnsi="Arial" w:cs="Arial"/>
                <w:b/>
                <w:bCs/>
                <w:color w:val="000000"/>
                <w:sz w:val="16"/>
                <w:lang w:eastAsia="es-AR"/>
              </w:rPr>
              <w:t>31/12/2017</w:t>
            </w:r>
          </w:p>
        </w:tc>
        <w:tc>
          <w:tcPr>
            <w:tcW w:w="1781" w:type="dxa"/>
            <w:tcBorders>
              <w:top w:val="single" w:sz="8" w:space="0" w:color="auto"/>
              <w:left w:val="nil"/>
              <w:bottom w:val="single" w:sz="8" w:space="0" w:color="auto"/>
              <w:right w:val="single" w:sz="8" w:space="0" w:color="auto"/>
            </w:tcBorders>
            <w:shd w:val="clear" w:color="auto" w:fill="auto"/>
            <w:vAlign w:val="center"/>
            <w:hideMark/>
          </w:tcPr>
          <w:p w14:paraId="28751F7F" w14:textId="77777777" w:rsidR="00A06BE9" w:rsidRPr="00701F32" w:rsidRDefault="00A06BE9" w:rsidP="00464C0F">
            <w:pPr>
              <w:jc w:val="center"/>
              <w:rPr>
                <w:rFonts w:ascii="Arial" w:hAnsi="Arial" w:cs="Arial"/>
                <w:b/>
                <w:bCs/>
                <w:color w:val="000000"/>
                <w:sz w:val="16"/>
                <w:lang w:eastAsia="es-AR"/>
              </w:rPr>
            </w:pPr>
            <w:r w:rsidRPr="00701F32">
              <w:rPr>
                <w:rFonts w:ascii="Arial" w:hAnsi="Arial" w:cs="Arial"/>
                <w:b/>
                <w:bCs/>
                <w:color w:val="000000"/>
                <w:sz w:val="16"/>
                <w:lang w:eastAsia="es-AR"/>
              </w:rPr>
              <w:t>01/01/2017</w:t>
            </w:r>
          </w:p>
        </w:tc>
      </w:tr>
      <w:tr w:rsidR="00A06BE9" w:rsidRPr="00701F32" w14:paraId="35095B0A" w14:textId="77777777" w:rsidTr="00464C0F">
        <w:trPr>
          <w:trHeight w:val="157"/>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0AAB6A1A" w14:textId="77777777" w:rsidR="00A06BE9" w:rsidRPr="00701F32" w:rsidRDefault="00A06BE9" w:rsidP="00464C0F">
            <w:pPr>
              <w:rPr>
                <w:rFonts w:ascii="Arial" w:hAnsi="Arial" w:cs="Arial"/>
                <w:b/>
                <w:bCs/>
                <w:color w:val="000000"/>
                <w:sz w:val="16"/>
                <w:lang w:eastAsia="es-AR"/>
              </w:rPr>
            </w:pPr>
            <w:r w:rsidRPr="00701F32">
              <w:rPr>
                <w:rFonts w:ascii="Arial" w:hAnsi="Arial" w:cs="Arial"/>
                <w:b/>
                <w:bCs/>
                <w:color w:val="000000"/>
                <w:sz w:val="16"/>
                <w:lang w:eastAsia="es-AR"/>
              </w:rPr>
              <w:t>Activos</w:t>
            </w:r>
          </w:p>
        </w:tc>
        <w:tc>
          <w:tcPr>
            <w:tcW w:w="1781" w:type="dxa"/>
            <w:tcBorders>
              <w:top w:val="nil"/>
              <w:left w:val="nil"/>
              <w:bottom w:val="single" w:sz="8" w:space="0" w:color="auto"/>
              <w:right w:val="single" w:sz="8" w:space="0" w:color="auto"/>
            </w:tcBorders>
            <w:shd w:val="clear" w:color="auto" w:fill="auto"/>
            <w:vAlign w:val="bottom"/>
            <w:hideMark/>
          </w:tcPr>
          <w:p w14:paraId="6D122718" w14:textId="77777777" w:rsidR="00A06BE9" w:rsidRPr="00701F32" w:rsidRDefault="00A06BE9" w:rsidP="00464C0F">
            <w:pPr>
              <w:jc w:val="right"/>
              <w:rPr>
                <w:rFonts w:ascii="Arial" w:hAnsi="Arial" w:cs="Arial"/>
                <w:color w:val="000000"/>
                <w:sz w:val="16"/>
                <w:lang w:eastAsia="es-AR"/>
              </w:rPr>
            </w:pPr>
          </w:p>
        </w:tc>
        <w:tc>
          <w:tcPr>
            <w:tcW w:w="1781" w:type="dxa"/>
            <w:tcBorders>
              <w:top w:val="nil"/>
              <w:left w:val="nil"/>
              <w:bottom w:val="single" w:sz="8" w:space="0" w:color="auto"/>
              <w:right w:val="single" w:sz="8" w:space="0" w:color="auto"/>
            </w:tcBorders>
            <w:shd w:val="clear" w:color="auto" w:fill="auto"/>
            <w:vAlign w:val="bottom"/>
            <w:hideMark/>
          </w:tcPr>
          <w:p w14:paraId="6C72BC63" w14:textId="77777777" w:rsidR="00A06BE9" w:rsidRPr="00701F32" w:rsidRDefault="00A06BE9" w:rsidP="00464C0F">
            <w:pPr>
              <w:jc w:val="right"/>
              <w:rPr>
                <w:rFonts w:ascii="Arial" w:hAnsi="Arial" w:cs="Arial"/>
                <w:color w:val="000000"/>
                <w:sz w:val="16"/>
                <w:lang w:eastAsia="es-AR"/>
              </w:rPr>
            </w:pPr>
          </w:p>
        </w:tc>
        <w:tc>
          <w:tcPr>
            <w:tcW w:w="1781" w:type="dxa"/>
            <w:tcBorders>
              <w:top w:val="nil"/>
              <w:left w:val="nil"/>
              <w:bottom w:val="single" w:sz="8" w:space="0" w:color="auto"/>
              <w:right w:val="single" w:sz="8" w:space="0" w:color="auto"/>
            </w:tcBorders>
            <w:shd w:val="clear" w:color="auto" w:fill="auto"/>
            <w:vAlign w:val="bottom"/>
            <w:hideMark/>
          </w:tcPr>
          <w:p w14:paraId="08B22385" w14:textId="77777777" w:rsidR="00A06BE9" w:rsidRPr="00701F32" w:rsidRDefault="00A06BE9" w:rsidP="00464C0F">
            <w:pPr>
              <w:jc w:val="right"/>
              <w:rPr>
                <w:rFonts w:ascii="Arial" w:hAnsi="Arial" w:cs="Arial"/>
                <w:color w:val="000000"/>
                <w:sz w:val="16"/>
                <w:lang w:eastAsia="es-AR"/>
              </w:rPr>
            </w:pPr>
          </w:p>
        </w:tc>
      </w:tr>
      <w:tr w:rsidR="005E4D90" w:rsidRPr="00701F32" w14:paraId="352E1422" w14:textId="77777777" w:rsidTr="00E311C9">
        <w:trPr>
          <w:trHeight w:val="232"/>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42F6718A" w14:textId="77777777" w:rsidR="005E4D90" w:rsidRPr="00701F32" w:rsidRDefault="005E4D90" w:rsidP="00464C0F">
            <w:pPr>
              <w:rPr>
                <w:rFonts w:ascii="Arial" w:hAnsi="Arial" w:cs="Arial"/>
                <w:color w:val="000000"/>
                <w:sz w:val="16"/>
                <w:lang w:eastAsia="es-AR"/>
              </w:rPr>
            </w:pPr>
            <w:r w:rsidRPr="00701F32">
              <w:rPr>
                <w:rFonts w:ascii="Arial" w:hAnsi="Arial" w:cs="Arial"/>
                <w:color w:val="000000"/>
                <w:sz w:val="16"/>
                <w:lang w:eastAsia="es-AR"/>
              </w:rPr>
              <w:t>Préstamos</w:t>
            </w:r>
          </w:p>
        </w:tc>
        <w:tc>
          <w:tcPr>
            <w:tcW w:w="1781" w:type="dxa"/>
            <w:tcBorders>
              <w:top w:val="nil"/>
              <w:left w:val="nil"/>
              <w:bottom w:val="single" w:sz="8" w:space="0" w:color="auto"/>
              <w:right w:val="single" w:sz="8" w:space="0" w:color="auto"/>
            </w:tcBorders>
            <w:shd w:val="clear" w:color="auto" w:fill="auto"/>
            <w:vAlign w:val="center"/>
          </w:tcPr>
          <w:p w14:paraId="036E8BFC" w14:textId="435AF569"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635.877</w:t>
            </w:r>
          </w:p>
        </w:tc>
        <w:tc>
          <w:tcPr>
            <w:tcW w:w="1781" w:type="dxa"/>
            <w:tcBorders>
              <w:top w:val="nil"/>
              <w:left w:val="nil"/>
              <w:bottom w:val="single" w:sz="8" w:space="0" w:color="auto"/>
              <w:right w:val="single" w:sz="8" w:space="0" w:color="auto"/>
            </w:tcBorders>
            <w:shd w:val="clear" w:color="auto" w:fill="auto"/>
            <w:vAlign w:val="bottom"/>
            <w:hideMark/>
          </w:tcPr>
          <w:p w14:paraId="42FCF5A6"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1.348.654</w:t>
            </w:r>
          </w:p>
        </w:tc>
        <w:tc>
          <w:tcPr>
            <w:tcW w:w="1781" w:type="dxa"/>
            <w:tcBorders>
              <w:top w:val="nil"/>
              <w:left w:val="nil"/>
              <w:bottom w:val="single" w:sz="8" w:space="0" w:color="auto"/>
              <w:right w:val="single" w:sz="8" w:space="0" w:color="auto"/>
            </w:tcBorders>
            <w:shd w:val="clear" w:color="auto" w:fill="auto"/>
            <w:vAlign w:val="bottom"/>
            <w:hideMark/>
          </w:tcPr>
          <w:p w14:paraId="7D68B67F"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1.447.783</w:t>
            </w:r>
          </w:p>
        </w:tc>
      </w:tr>
      <w:tr w:rsidR="005E4D90" w:rsidRPr="00701F32" w14:paraId="6A4DD548" w14:textId="77777777" w:rsidTr="00E311C9">
        <w:trPr>
          <w:trHeight w:val="135"/>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43C728B4" w14:textId="77777777" w:rsidR="005E4D90" w:rsidRPr="00701F32" w:rsidRDefault="005E4D90" w:rsidP="00464C0F">
            <w:pPr>
              <w:rPr>
                <w:rFonts w:ascii="Arial" w:hAnsi="Arial" w:cs="Arial"/>
                <w:color w:val="000000"/>
                <w:sz w:val="16"/>
                <w:lang w:eastAsia="es-AR"/>
              </w:rPr>
            </w:pPr>
            <w:r w:rsidRPr="00701F32">
              <w:rPr>
                <w:rFonts w:ascii="Arial" w:hAnsi="Arial" w:cs="Arial"/>
                <w:color w:val="000000"/>
                <w:sz w:val="16"/>
                <w:lang w:eastAsia="es-AR"/>
              </w:rPr>
              <w:t>Activos financieros</w:t>
            </w:r>
          </w:p>
        </w:tc>
        <w:tc>
          <w:tcPr>
            <w:tcW w:w="1781" w:type="dxa"/>
            <w:tcBorders>
              <w:top w:val="nil"/>
              <w:left w:val="nil"/>
              <w:bottom w:val="single" w:sz="8" w:space="0" w:color="auto"/>
              <w:right w:val="single" w:sz="8" w:space="0" w:color="auto"/>
            </w:tcBorders>
            <w:shd w:val="clear" w:color="auto" w:fill="auto"/>
            <w:vAlign w:val="center"/>
          </w:tcPr>
          <w:p w14:paraId="4A715EC0" w14:textId="138594E3"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72.744</w:t>
            </w:r>
          </w:p>
        </w:tc>
        <w:tc>
          <w:tcPr>
            <w:tcW w:w="1781" w:type="dxa"/>
            <w:tcBorders>
              <w:top w:val="nil"/>
              <w:left w:val="nil"/>
              <w:bottom w:val="single" w:sz="8" w:space="0" w:color="auto"/>
              <w:right w:val="single" w:sz="8" w:space="0" w:color="auto"/>
            </w:tcBorders>
            <w:shd w:val="clear" w:color="auto" w:fill="auto"/>
            <w:vAlign w:val="bottom"/>
            <w:hideMark/>
          </w:tcPr>
          <w:p w14:paraId="7A4CD206"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139.639</w:t>
            </w:r>
          </w:p>
        </w:tc>
        <w:tc>
          <w:tcPr>
            <w:tcW w:w="1781" w:type="dxa"/>
            <w:tcBorders>
              <w:top w:val="nil"/>
              <w:left w:val="nil"/>
              <w:bottom w:val="single" w:sz="8" w:space="0" w:color="auto"/>
              <w:right w:val="single" w:sz="8" w:space="0" w:color="auto"/>
            </w:tcBorders>
            <w:shd w:val="clear" w:color="auto" w:fill="auto"/>
            <w:vAlign w:val="bottom"/>
            <w:hideMark/>
          </w:tcPr>
          <w:p w14:paraId="70222E0E"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172.077</w:t>
            </w:r>
          </w:p>
        </w:tc>
      </w:tr>
      <w:tr w:rsidR="005E4D90" w:rsidRPr="00701F32" w14:paraId="4080F466" w14:textId="77777777" w:rsidTr="00E311C9">
        <w:trPr>
          <w:trHeight w:val="209"/>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46FC1149" w14:textId="77777777" w:rsidR="005E4D90" w:rsidRPr="00701F32" w:rsidRDefault="005E4D90" w:rsidP="00464C0F">
            <w:pPr>
              <w:rPr>
                <w:rFonts w:ascii="Arial" w:hAnsi="Arial" w:cs="Arial"/>
                <w:color w:val="000000"/>
                <w:sz w:val="16"/>
                <w:lang w:eastAsia="es-AR"/>
              </w:rPr>
            </w:pPr>
            <w:r w:rsidRPr="00701F32">
              <w:rPr>
                <w:rFonts w:ascii="Arial" w:hAnsi="Arial" w:cs="Arial"/>
                <w:color w:val="000000"/>
                <w:sz w:val="16"/>
                <w:lang w:eastAsia="es-AR"/>
              </w:rPr>
              <w:t>Otros activos</w:t>
            </w:r>
          </w:p>
        </w:tc>
        <w:tc>
          <w:tcPr>
            <w:tcW w:w="1781" w:type="dxa"/>
            <w:tcBorders>
              <w:top w:val="nil"/>
              <w:left w:val="nil"/>
              <w:bottom w:val="single" w:sz="8" w:space="0" w:color="auto"/>
              <w:right w:val="single" w:sz="8" w:space="0" w:color="auto"/>
            </w:tcBorders>
            <w:shd w:val="clear" w:color="auto" w:fill="auto"/>
            <w:vAlign w:val="center"/>
          </w:tcPr>
          <w:p w14:paraId="4F2FE719" w14:textId="06AD96D8"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17.056</w:t>
            </w:r>
          </w:p>
        </w:tc>
        <w:tc>
          <w:tcPr>
            <w:tcW w:w="1781" w:type="dxa"/>
            <w:tcBorders>
              <w:top w:val="nil"/>
              <w:left w:val="nil"/>
              <w:bottom w:val="single" w:sz="8" w:space="0" w:color="auto"/>
              <w:right w:val="single" w:sz="8" w:space="0" w:color="auto"/>
            </w:tcBorders>
            <w:shd w:val="clear" w:color="auto" w:fill="auto"/>
            <w:vAlign w:val="bottom"/>
            <w:hideMark/>
          </w:tcPr>
          <w:p w14:paraId="7BC19227"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18.895</w:t>
            </w:r>
          </w:p>
        </w:tc>
        <w:tc>
          <w:tcPr>
            <w:tcW w:w="1781" w:type="dxa"/>
            <w:tcBorders>
              <w:top w:val="nil"/>
              <w:left w:val="nil"/>
              <w:bottom w:val="single" w:sz="8" w:space="0" w:color="auto"/>
              <w:right w:val="single" w:sz="8" w:space="0" w:color="auto"/>
            </w:tcBorders>
            <w:shd w:val="clear" w:color="auto" w:fill="auto"/>
            <w:vAlign w:val="bottom"/>
            <w:hideMark/>
          </w:tcPr>
          <w:p w14:paraId="4C10EDD5"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35.404</w:t>
            </w:r>
          </w:p>
        </w:tc>
      </w:tr>
      <w:tr w:rsidR="005E4D90" w:rsidRPr="00701F32" w14:paraId="30282B28" w14:textId="77777777" w:rsidTr="00E311C9">
        <w:trPr>
          <w:trHeight w:val="113"/>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2E2CB5BD" w14:textId="77777777" w:rsidR="005E4D90" w:rsidRPr="00701F32" w:rsidRDefault="005E4D90" w:rsidP="00464C0F">
            <w:pPr>
              <w:rPr>
                <w:rFonts w:ascii="Arial" w:hAnsi="Arial" w:cs="Arial"/>
                <w:b/>
                <w:bCs/>
                <w:color w:val="000000"/>
                <w:sz w:val="16"/>
                <w:lang w:eastAsia="es-AR"/>
              </w:rPr>
            </w:pPr>
            <w:r w:rsidRPr="00701F32">
              <w:rPr>
                <w:rFonts w:ascii="Arial" w:hAnsi="Arial" w:cs="Arial"/>
                <w:b/>
                <w:bCs/>
                <w:color w:val="000000"/>
                <w:sz w:val="16"/>
                <w:lang w:eastAsia="es-AR"/>
              </w:rPr>
              <w:t>Total Activo</w:t>
            </w:r>
          </w:p>
        </w:tc>
        <w:tc>
          <w:tcPr>
            <w:tcW w:w="1781" w:type="dxa"/>
            <w:tcBorders>
              <w:top w:val="nil"/>
              <w:left w:val="nil"/>
              <w:bottom w:val="single" w:sz="8" w:space="0" w:color="auto"/>
              <w:right w:val="single" w:sz="8" w:space="0" w:color="auto"/>
            </w:tcBorders>
            <w:shd w:val="clear" w:color="auto" w:fill="auto"/>
            <w:vAlign w:val="center"/>
          </w:tcPr>
          <w:p w14:paraId="0444CE7C" w14:textId="4C808FCB" w:rsidR="005E4D90" w:rsidRPr="00701F32" w:rsidRDefault="005E4D90" w:rsidP="00464C0F">
            <w:pPr>
              <w:jc w:val="right"/>
              <w:rPr>
                <w:rFonts w:ascii="Arial" w:hAnsi="Arial" w:cs="Arial"/>
                <w:b/>
                <w:bCs/>
                <w:color w:val="000000"/>
                <w:sz w:val="16"/>
                <w:szCs w:val="16"/>
                <w:lang w:eastAsia="es-AR"/>
              </w:rPr>
            </w:pPr>
            <w:r w:rsidRPr="00701F32">
              <w:rPr>
                <w:rFonts w:ascii="Arial" w:hAnsi="Arial" w:cs="Arial"/>
                <w:b/>
                <w:bCs/>
                <w:color w:val="000000"/>
                <w:sz w:val="16"/>
                <w:szCs w:val="16"/>
              </w:rPr>
              <w:t xml:space="preserve">        725.677 </w:t>
            </w:r>
          </w:p>
        </w:tc>
        <w:tc>
          <w:tcPr>
            <w:tcW w:w="1781" w:type="dxa"/>
            <w:tcBorders>
              <w:top w:val="nil"/>
              <w:left w:val="nil"/>
              <w:bottom w:val="single" w:sz="8" w:space="0" w:color="auto"/>
              <w:right w:val="single" w:sz="8" w:space="0" w:color="auto"/>
            </w:tcBorders>
            <w:shd w:val="clear" w:color="auto" w:fill="auto"/>
            <w:vAlign w:val="bottom"/>
            <w:hideMark/>
          </w:tcPr>
          <w:p w14:paraId="5EB20EB6" w14:textId="77777777" w:rsidR="005E4D90" w:rsidRPr="00701F32" w:rsidRDefault="005E4D90" w:rsidP="00464C0F">
            <w:pPr>
              <w:jc w:val="right"/>
              <w:rPr>
                <w:rFonts w:ascii="Arial" w:hAnsi="Arial" w:cs="Arial"/>
                <w:b/>
                <w:bCs/>
                <w:color w:val="000000"/>
                <w:sz w:val="16"/>
                <w:lang w:eastAsia="es-AR"/>
              </w:rPr>
            </w:pPr>
            <w:r w:rsidRPr="00701F32">
              <w:rPr>
                <w:rFonts w:ascii="Arial" w:hAnsi="Arial" w:cs="Arial"/>
                <w:b/>
                <w:bCs/>
                <w:color w:val="000000"/>
                <w:sz w:val="16"/>
                <w:lang w:eastAsia="es-AR"/>
              </w:rPr>
              <w:t>1.507.188</w:t>
            </w:r>
          </w:p>
        </w:tc>
        <w:tc>
          <w:tcPr>
            <w:tcW w:w="1781" w:type="dxa"/>
            <w:tcBorders>
              <w:top w:val="nil"/>
              <w:left w:val="nil"/>
              <w:bottom w:val="single" w:sz="8" w:space="0" w:color="auto"/>
              <w:right w:val="single" w:sz="8" w:space="0" w:color="auto"/>
            </w:tcBorders>
            <w:shd w:val="clear" w:color="auto" w:fill="auto"/>
            <w:vAlign w:val="bottom"/>
            <w:hideMark/>
          </w:tcPr>
          <w:p w14:paraId="6FEB47A3" w14:textId="77777777" w:rsidR="005E4D90" w:rsidRPr="00701F32" w:rsidRDefault="005E4D90" w:rsidP="00464C0F">
            <w:pPr>
              <w:jc w:val="right"/>
              <w:rPr>
                <w:rFonts w:ascii="Arial" w:hAnsi="Arial" w:cs="Arial"/>
                <w:b/>
                <w:bCs/>
                <w:color w:val="000000"/>
                <w:sz w:val="16"/>
                <w:lang w:eastAsia="es-AR"/>
              </w:rPr>
            </w:pPr>
            <w:r w:rsidRPr="00701F32">
              <w:rPr>
                <w:rFonts w:ascii="Arial" w:hAnsi="Arial" w:cs="Arial"/>
                <w:b/>
                <w:bCs/>
                <w:color w:val="000000"/>
                <w:sz w:val="16"/>
                <w:lang w:eastAsia="es-AR"/>
              </w:rPr>
              <w:t>1.655.264</w:t>
            </w:r>
          </w:p>
        </w:tc>
      </w:tr>
      <w:tr w:rsidR="005E4D90" w:rsidRPr="00701F32" w14:paraId="7E4E305C" w14:textId="77777777" w:rsidTr="00E311C9">
        <w:trPr>
          <w:trHeight w:val="187"/>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100C6996" w14:textId="77777777" w:rsidR="005E4D90" w:rsidRPr="00701F32" w:rsidRDefault="005E4D90" w:rsidP="00464C0F">
            <w:pPr>
              <w:rPr>
                <w:rFonts w:ascii="Arial" w:hAnsi="Arial" w:cs="Arial"/>
                <w:b/>
                <w:bCs/>
                <w:color w:val="000000"/>
                <w:sz w:val="16"/>
                <w:lang w:eastAsia="es-AR"/>
              </w:rPr>
            </w:pPr>
            <w:r w:rsidRPr="00701F32">
              <w:rPr>
                <w:rFonts w:ascii="Arial" w:hAnsi="Arial" w:cs="Arial"/>
                <w:b/>
                <w:bCs/>
                <w:color w:val="000000"/>
                <w:sz w:val="16"/>
                <w:lang w:eastAsia="es-AR"/>
              </w:rPr>
              <w:t>Pasivos</w:t>
            </w:r>
          </w:p>
        </w:tc>
        <w:tc>
          <w:tcPr>
            <w:tcW w:w="1781" w:type="dxa"/>
            <w:tcBorders>
              <w:top w:val="nil"/>
              <w:left w:val="nil"/>
              <w:bottom w:val="single" w:sz="8" w:space="0" w:color="auto"/>
              <w:right w:val="single" w:sz="8" w:space="0" w:color="auto"/>
            </w:tcBorders>
            <w:shd w:val="clear" w:color="auto" w:fill="auto"/>
            <w:vAlign w:val="center"/>
          </w:tcPr>
          <w:p w14:paraId="473B60FB" w14:textId="7B1948D7"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 </w:t>
            </w:r>
          </w:p>
        </w:tc>
        <w:tc>
          <w:tcPr>
            <w:tcW w:w="1781" w:type="dxa"/>
            <w:tcBorders>
              <w:top w:val="nil"/>
              <w:left w:val="nil"/>
              <w:bottom w:val="single" w:sz="8" w:space="0" w:color="auto"/>
              <w:right w:val="single" w:sz="8" w:space="0" w:color="auto"/>
            </w:tcBorders>
            <w:shd w:val="clear" w:color="auto" w:fill="auto"/>
            <w:vAlign w:val="bottom"/>
            <w:hideMark/>
          </w:tcPr>
          <w:p w14:paraId="4C044D95" w14:textId="77777777" w:rsidR="005E4D90" w:rsidRPr="00701F32" w:rsidRDefault="005E4D90" w:rsidP="00464C0F">
            <w:pPr>
              <w:jc w:val="right"/>
              <w:rPr>
                <w:rFonts w:ascii="Arial" w:hAnsi="Arial" w:cs="Arial"/>
                <w:color w:val="000000"/>
                <w:sz w:val="16"/>
                <w:lang w:eastAsia="es-AR"/>
              </w:rPr>
            </w:pPr>
          </w:p>
        </w:tc>
        <w:tc>
          <w:tcPr>
            <w:tcW w:w="1781" w:type="dxa"/>
            <w:tcBorders>
              <w:top w:val="nil"/>
              <w:left w:val="nil"/>
              <w:bottom w:val="single" w:sz="8" w:space="0" w:color="auto"/>
              <w:right w:val="single" w:sz="8" w:space="0" w:color="auto"/>
            </w:tcBorders>
            <w:shd w:val="clear" w:color="auto" w:fill="auto"/>
            <w:vAlign w:val="bottom"/>
            <w:hideMark/>
          </w:tcPr>
          <w:p w14:paraId="5C212325" w14:textId="77777777" w:rsidR="005E4D90" w:rsidRPr="00701F32" w:rsidRDefault="005E4D90" w:rsidP="00464C0F">
            <w:pPr>
              <w:jc w:val="right"/>
              <w:rPr>
                <w:rFonts w:ascii="Arial" w:hAnsi="Arial" w:cs="Arial"/>
                <w:color w:val="000000"/>
                <w:sz w:val="16"/>
                <w:lang w:eastAsia="es-AR"/>
              </w:rPr>
            </w:pPr>
          </w:p>
        </w:tc>
      </w:tr>
      <w:tr w:rsidR="005E4D90" w:rsidRPr="00701F32" w14:paraId="7B07AF10" w14:textId="77777777" w:rsidTr="00E311C9">
        <w:trPr>
          <w:trHeight w:val="119"/>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18A2252C" w14:textId="77777777" w:rsidR="005E4D90" w:rsidRPr="00701F32" w:rsidRDefault="005E4D90" w:rsidP="00464C0F">
            <w:pPr>
              <w:rPr>
                <w:rFonts w:ascii="Arial" w:hAnsi="Arial" w:cs="Arial"/>
                <w:color w:val="000000"/>
                <w:sz w:val="16"/>
                <w:lang w:eastAsia="es-AR"/>
              </w:rPr>
            </w:pPr>
            <w:r w:rsidRPr="00701F32">
              <w:rPr>
                <w:rFonts w:ascii="Arial" w:hAnsi="Arial" w:cs="Arial"/>
                <w:color w:val="000000"/>
                <w:sz w:val="16"/>
                <w:lang w:eastAsia="es-AR"/>
              </w:rPr>
              <w:t>Pasivos financieros</w:t>
            </w:r>
          </w:p>
        </w:tc>
        <w:tc>
          <w:tcPr>
            <w:tcW w:w="1781" w:type="dxa"/>
            <w:tcBorders>
              <w:top w:val="nil"/>
              <w:left w:val="nil"/>
              <w:bottom w:val="single" w:sz="8" w:space="0" w:color="auto"/>
              <w:right w:val="single" w:sz="8" w:space="0" w:color="auto"/>
            </w:tcBorders>
            <w:shd w:val="clear" w:color="auto" w:fill="auto"/>
            <w:vAlign w:val="center"/>
          </w:tcPr>
          <w:p w14:paraId="1F78C441" w14:textId="140C681A"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578.283</w:t>
            </w:r>
          </w:p>
        </w:tc>
        <w:tc>
          <w:tcPr>
            <w:tcW w:w="1781" w:type="dxa"/>
            <w:tcBorders>
              <w:top w:val="nil"/>
              <w:left w:val="nil"/>
              <w:bottom w:val="single" w:sz="8" w:space="0" w:color="auto"/>
              <w:right w:val="single" w:sz="8" w:space="0" w:color="auto"/>
            </w:tcBorders>
            <w:shd w:val="clear" w:color="auto" w:fill="auto"/>
            <w:vAlign w:val="bottom"/>
            <w:hideMark/>
          </w:tcPr>
          <w:p w14:paraId="770DBF16"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810.862</w:t>
            </w:r>
          </w:p>
        </w:tc>
        <w:tc>
          <w:tcPr>
            <w:tcW w:w="1781" w:type="dxa"/>
            <w:tcBorders>
              <w:top w:val="nil"/>
              <w:left w:val="nil"/>
              <w:bottom w:val="single" w:sz="8" w:space="0" w:color="auto"/>
              <w:right w:val="single" w:sz="8" w:space="0" w:color="auto"/>
            </w:tcBorders>
            <w:shd w:val="clear" w:color="auto" w:fill="auto"/>
            <w:vAlign w:val="bottom"/>
            <w:hideMark/>
          </w:tcPr>
          <w:p w14:paraId="6568A826"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953.678</w:t>
            </w:r>
          </w:p>
        </w:tc>
      </w:tr>
      <w:tr w:rsidR="005E4D90" w:rsidRPr="00701F32" w14:paraId="036CE269" w14:textId="77777777" w:rsidTr="00E311C9">
        <w:trPr>
          <w:trHeight w:val="65"/>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70D40347" w14:textId="77777777" w:rsidR="005E4D90" w:rsidRPr="00701F32" w:rsidRDefault="005E4D90" w:rsidP="00464C0F">
            <w:pPr>
              <w:rPr>
                <w:rFonts w:ascii="Arial" w:hAnsi="Arial" w:cs="Arial"/>
                <w:color w:val="000000"/>
                <w:sz w:val="16"/>
                <w:lang w:eastAsia="es-AR"/>
              </w:rPr>
            </w:pPr>
            <w:r w:rsidRPr="00701F32">
              <w:rPr>
                <w:rFonts w:ascii="Arial" w:hAnsi="Arial" w:cs="Arial"/>
                <w:color w:val="000000"/>
                <w:sz w:val="16"/>
                <w:lang w:eastAsia="es-AR"/>
              </w:rPr>
              <w:t>Otros pasivos</w:t>
            </w:r>
          </w:p>
        </w:tc>
        <w:tc>
          <w:tcPr>
            <w:tcW w:w="1781" w:type="dxa"/>
            <w:tcBorders>
              <w:top w:val="nil"/>
              <w:left w:val="nil"/>
              <w:bottom w:val="single" w:sz="8" w:space="0" w:color="auto"/>
              <w:right w:val="single" w:sz="8" w:space="0" w:color="auto"/>
            </w:tcBorders>
            <w:shd w:val="clear" w:color="auto" w:fill="auto"/>
            <w:vAlign w:val="center"/>
          </w:tcPr>
          <w:p w14:paraId="108EAE69" w14:textId="3B027AFF" w:rsidR="005E4D90" w:rsidRPr="00701F32" w:rsidRDefault="005E4D90" w:rsidP="00464C0F">
            <w:pPr>
              <w:jc w:val="right"/>
              <w:rPr>
                <w:rFonts w:ascii="Arial" w:hAnsi="Arial" w:cs="Arial"/>
                <w:color w:val="000000"/>
                <w:sz w:val="16"/>
                <w:szCs w:val="16"/>
                <w:lang w:eastAsia="es-AR"/>
              </w:rPr>
            </w:pPr>
            <w:r w:rsidRPr="00701F32">
              <w:rPr>
                <w:rFonts w:ascii="Arial" w:hAnsi="Arial" w:cs="Arial"/>
                <w:color w:val="000000"/>
                <w:sz w:val="16"/>
                <w:szCs w:val="16"/>
              </w:rPr>
              <w:t>26.404</w:t>
            </w:r>
          </w:p>
        </w:tc>
        <w:tc>
          <w:tcPr>
            <w:tcW w:w="1781" w:type="dxa"/>
            <w:tcBorders>
              <w:top w:val="nil"/>
              <w:left w:val="nil"/>
              <w:bottom w:val="single" w:sz="8" w:space="0" w:color="auto"/>
              <w:right w:val="single" w:sz="8" w:space="0" w:color="auto"/>
            </w:tcBorders>
            <w:shd w:val="clear" w:color="auto" w:fill="auto"/>
            <w:vAlign w:val="bottom"/>
            <w:hideMark/>
          </w:tcPr>
          <w:p w14:paraId="4CC5B01C"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89.112</w:t>
            </w:r>
          </w:p>
        </w:tc>
        <w:tc>
          <w:tcPr>
            <w:tcW w:w="1781" w:type="dxa"/>
            <w:tcBorders>
              <w:top w:val="nil"/>
              <w:left w:val="nil"/>
              <w:bottom w:val="single" w:sz="8" w:space="0" w:color="auto"/>
              <w:right w:val="single" w:sz="8" w:space="0" w:color="auto"/>
            </w:tcBorders>
            <w:shd w:val="clear" w:color="auto" w:fill="auto"/>
            <w:vAlign w:val="bottom"/>
            <w:hideMark/>
          </w:tcPr>
          <w:p w14:paraId="57020454" w14:textId="77777777" w:rsidR="005E4D90" w:rsidRPr="00701F32" w:rsidRDefault="005E4D90" w:rsidP="00464C0F">
            <w:pPr>
              <w:jc w:val="right"/>
              <w:rPr>
                <w:rFonts w:ascii="Arial" w:hAnsi="Arial" w:cs="Arial"/>
                <w:color w:val="000000"/>
                <w:sz w:val="16"/>
                <w:lang w:eastAsia="es-AR"/>
              </w:rPr>
            </w:pPr>
            <w:r w:rsidRPr="00701F32">
              <w:rPr>
                <w:rFonts w:ascii="Arial" w:hAnsi="Arial" w:cs="Arial"/>
                <w:color w:val="000000"/>
                <w:sz w:val="16"/>
                <w:lang w:eastAsia="es-AR"/>
              </w:rPr>
              <w:t>84.724</w:t>
            </w:r>
          </w:p>
        </w:tc>
      </w:tr>
      <w:tr w:rsidR="005E4D90" w:rsidRPr="00701F32" w14:paraId="7AC7DDFA" w14:textId="77777777" w:rsidTr="00E311C9">
        <w:trPr>
          <w:trHeight w:val="139"/>
          <w:jc w:val="center"/>
        </w:trPr>
        <w:tc>
          <w:tcPr>
            <w:tcW w:w="2959" w:type="dxa"/>
            <w:tcBorders>
              <w:top w:val="nil"/>
              <w:left w:val="single" w:sz="8" w:space="0" w:color="auto"/>
              <w:bottom w:val="single" w:sz="8" w:space="0" w:color="auto"/>
              <w:right w:val="single" w:sz="8" w:space="0" w:color="auto"/>
            </w:tcBorders>
            <w:shd w:val="clear" w:color="auto" w:fill="auto"/>
            <w:vAlign w:val="bottom"/>
            <w:hideMark/>
          </w:tcPr>
          <w:p w14:paraId="03368C19" w14:textId="77777777" w:rsidR="005E4D90" w:rsidRPr="00701F32" w:rsidRDefault="005E4D90" w:rsidP="00464C0F">
            <w:pPr>
              <w:rPr>
                <w:rFonts w:ascii="Arial" w:hAnsi="Arial" w:cs="Arial"/>
                <w:b/>
                <w:bCs/>
                <w:color w:val="000000"/>
                <w:sz w:val="16"/>
                <w:lang w:eastAsia="es-AR"/>
              </w:rPr>
            </w:pPr>
            <w:r w:rsidRPr="00701F32">
              <w:rPr>
                <w:rFonts w:ascii="Arial" w:hAnsi="Arial" w:cs="Arial"/>
                <w:b/>
                <w:bCs/>
                <w:color w:val="000000"/>
                <w:sz w:val="16"/>
                <w:lang w:eastAsia="es-AR"/>
              </w:rPr>
              <w:t>Total Pasivo</w:t>
            </w:r>
          </w:p>
        </w:tc>
        <w:tc>
          <w:tcPr>
            <w:tcW w:w="1781" w:type="dxa"/>
            <w:tcBorders>
              <w:top w:val="nil"/>
              <w:left w:val="nil"/>
              <w:bottom w:val="single" w:sz="8" w:space="0" w:color="auto"/>
              <w:right w:val="single" w:sz="8" w:space="0" w:color="auto"/>
            </w:tcBorders>
            <w:shd w:val="clear" w:color="auto" w:fill="auto"/>
            <w:vAlign w:val="center"/>
          </w:tcPr>
          <w:p w14:paraId="5EA9462A" w14:textId="69356266" w:rsidR="005E4D90" w:rsidRPr="00701F32" w:rsidRDefault="005E4D90" w:rsidP="00464C0F">
            <w:pPr>
              <w:jc w:val="right"/>
              <w:rPr>
                <w:rFonts w:ascii="Arial" w:hAnsi="Arial" w:cs="Arial"/>
                <w:b/>
                <w:bCs/>
                <w:color w:val="000000"/>
                <w:sz w:val="16"/>
                <w:szCs w:val="16"/>
                <w:lang w:eastAsia="es-AR"/>
              </w:rPr>
            </w:pPr>
            <w:r w:rsidRPr="00701F32">
              <w:rPr>
                <w:rFonts w:ascii="Arial" w:hAnsi="Arial" w:cs="Arial"/>
                <w:b/>
                <w:bCs/>
                <w:color w:val="000000"/>
                <w:sz w:val="16"/>
                <w:szCs w:val="16"/>
              </w:rPr>
              <w:t xml:space="preserve">        604.687 </w:t>
            </w:r>
          </w:p>
        </w:tc>
        <w:tc>
          <w:tcPr>
            <w:tcW w:w="1781" w:type="dxa"/>
            <w:tcBorders>
              <w:top w:val="nil"/>
              <w:left w:val="nil"/>
              <w:bottom w:val="single" w:sz="8" w:space="0" w:color="auto"/>
              <w:right w:val="single" w:sz="8" w:space="0" w:color="auto"/>
            </w:tcBorders>
            <w:shd w:val="clear" w:color="auto" w:fill="auto"/>
            <w:vAlign w:val="bottom"/>
            <w:hideMark/>
          </w:tcPr>
          <w:p w14:paraId="1EF5A41C" w14:textId="77777777" w:rsidR="005E4D90" w:rsidRPr="00701F32" w:rsidRDefault="005E4D90" w:rsidP="00464C0F">
            <w:pPr>
              <w:jc w:val="right"/>
              <w:rPr>
                <w:rFonts w:ascii="Arial" w:hAnsi="Arial" w:cs="Arial"/>
                <w:b/>
                <w:bCs/>
                <w:color w:val="000000"/>
                <w:sz w:val="16"/>
                <w:lang w:eastAsia="es-AR"/>
              </w:rPr>
            </w:pPr>
            <w:r w:rsidRPr="00701F32">
              <w:rPr>
                <w:rFonts w:ascii="Arial" w:hAnsi="Arial" w:cs="Arial"/>
                <w:b/>
                <w:bCs/>
                <w:color w:val="000000"/>
                <w:sz w:val="16"/>
                <w:lang w:eastAsia="es-AR"/>
              </w:rPr>
              <w:t>899.974</w:t>
            </w:r>
          </w:p>
        </w:tc>
        <w:tc>
          <w:tcPr>
            <w:tcW w:w="1781" w:type="dxa"/>
            <w:tcBorders>
              <w:top w:val="nil"/>
              <w:left w:val="nil"/>
              <w:bottom w:val="single" w:sz="8" w:space="0" w:color="auto"/>
              <w:right w:val="single" w:sz="8" w:space="0" w:color="auto"/>
            </w:tcBorders>
            <w:shd w:val="clear" w:color="auto" w:fill="auto"/>
            <w:vAlign w:val="bottom"/>
            <w:hideMark/>
          </w:tcPr>
          <w:p w14:paraId="50A59166" w14:textId="77777777" w:rsidR="005E4D90" w:rsidRPr="00701F32" w:rsidRDefault="005E4D90" w:rsidP="00464C0F">
            <w:pPr>
              <w:jc w:val="right"/>
              <w:rPr>
                <w:rFonts w:ascii="Arial" w:hAnsi="Arial" w:cs="Arial"/>
                <w:b/>
                <w:bCs/>
                <w:color w:val="000000"/>
                <w:sz w:val="16"/>
                <w:lang w:eastAsia="es-AR"/>
              </w:rPr>
            </w:pPr>
            <w:r w:rsidRPr="00701F32">
              <w:rPr>
                <w:rFonts w:ascii="Arial" w:hAnsi="Arial" w:cs="Arial"/>
                <w:b/>
                <w:bCs/>
                <w:color w:val="000000"/>
                <w:sz w:val="16"/>
                <w:lang w:eastAsia="es-AR"/>
              </w:rPr>
              <w:t>1.038.402</w:t>
            </w:r>
          </w:p>
        </w:tc>
      </w:tr>
    </w:tbl>
    <w:p w14:paraId="179D4B29" w14:textId="77777777" w:rsidR="005C4329" w:rsidRPr="00701F32" w:rsidRDefault="005C4329" w:rsidP="00A06BE9">
      <w:pPr>
        <w:spacing w:after="160" w:line="259" w:lineRule="auto"/>
        <w:jc w:val="both"/>
        <w:rPr>
          <w:rFonts w:ascii="Arial" w:eastAsia="Calibri" w:hAnsi="Arial" w:cs="Arial"/>
          <w:b/>
          <w:sz w:val="20"/>
        </w:rPr>
      </w:pPr>
    </w:p>
    <w:p w14:paraId="51C39C45" w14:textId="77777777" w:rsidR="00A06BE9" w:rsidRPr="00701F32" w:rsidRDefault="00A06BE9" w:rsidP="00A06BE9">
      <w:pPr>
        <w:spacing w:after="160" w:line="259" w:lineRule="auto"/>
        <w:jc w:val="both"/>
        <w:rPr>
          <w:rFonts w:ascii="Arial" w:eastAsia="Calibri" w:hAnsi="Arial" w:cs="Arial"/>
          <w:b/>
          <w:color w:val="FF0000"/>
          <w:sz w:val="20"/>
        </w:rPr>
      </w:pPr>
      <w:r w:rsidRPr="00701F32">
        <w:rPr>
          <w:rFonts w:ascii="Arial" w:eastAsia="Calibri" w:hAnsi="Arial" w:cs="Arial"/>
          <w:b/>
          <w:sz w:val="20"/>
        </w:rPr>
        <w:t xml:space="preserve">1.4 Transacciones con el interés no controlante  </w:t>
      </w:r>
    </w:p>
    <w:p w14:paraId="584ED8EF" w14:textId="72E15720"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El </w:t>
      </w:r>
      <w:r w:rsidR="005C4329" w:rsidRPr="00701F32">
        <w:rPr>
          <w:rFonts w:ascii="Arial" w:eastAsia="Calibri" w:hAnsi="Arial" w:cs="Arial"/>
          <w:sz w:val="20"/>
        </w:rPr>
        <w:t>B</w:t>
      </w:r>
      <w:r w:rsidR="00396894" w:rsidRPr="00701F32">
        <w:rPr>
          <w:rFonts w:ascii="Arial" w:eastAsia="Calibri" w:hAnsi="Arial" w:cs="Arial"/>
          <w:sz w:val="20"/>
        </w:rPr>
        <w:t xml:space="preserve">anco </w:t>
      </w:r>
      <w:r w:rsidRPr="00701F32">
        <w:rPr>
          <w:rFonts w:ascii="Arial" w:eastAsia="Calibri" w:hAnsi="Arial" w:cs="Arial"/>
          <w:sz w:val="20"/>
        </w:rPr>
        <w:t xml:space="preserve">aplica la política de tratar las transacciones con el interés no controlante como si fueran transacciones con accionistas del </w:t>
      </w:r>
      <w:r w:rsidR="005C4329" w:rsidRPr="00701F32">
        <w:rPr>
          <w:rFonts w:ascii="Arial" w:eastAsia="Calibri" w:hAnsi="Arial" w:cs="Arial"/>
          <w:sz w:val="20"/>
        </w:rPr>
        <w:t>Banco</w:t>
      </w:r>
      <w:r w:rsidRPr="00701F32">
        <w:rPr>
          <w:rFonts w:ascii="Arial" w:eastAsia="Calibri" w:hAnsi="Arial" w:cs="Arial"/>
          <w:sz w:val="20"/>
        </w:rPr>
        <w:t>. En el caso de adquisiciones de interés no controlante, la diferencia entre cualquier retribución pagada y la correspondiente participación en el valor de libros de los activos netos adquiridos de la subsidiaria se reconoce en el patrimonio. Las ganancias y pérdidas por ventas de participación, mientras se mantenga el control, también se reconocen en el patrimonio.</w:t>
      </w:r>
    </w:p>
    <w:p w14:paraId="63E528CE" w14:textId="77777777" w:rsidR="00A06BE9" w:rsidRPr="00701F32" w:rsidRDefault="00A06BE9" w:rsidP="00A06BE9">
      <w:pPr>
        <w:spacing w:after="160" w:line="259" w:lineRule="auto"/>
        <w:jc w:val="both"/>
        <w:rPr>
          <w:rFonts w:ascii="Arial" w:eastAsia="Calibri" w:hAnsi="Arial" w:cs="Arial"/>
          <w:b/>
          <w:sz w:val="20"/>
        </w:rPr>
      </w:pPr>
      <w:r w:rsidRPr="00701F32">
        <w:rPr>
          <w:rFonts w:ascii="Arial" w:eastAsia="Calibri" w:hAnsi="Arial" w:cs="Arial"/>
          <w:b/>
          <w:sz w:val="20"/>
        </w:rPr>
        <w:t xml:space="preserve">1.5 Asociadas </w:t>
      </w:r>
    </w:p>
    <w:p w14:paraId="695B5AD3" w14:textId="77777777" w:rsidR="00A06BE9" w:rsidRPr="00701F32" w:rsidRDefault="00A06BE9" w:rsidP="00A06BE9">
      <w:pPr>
        <w:spacing w:line="259" w:lineRule="auto"/>
        <w:jc w:val="both"/>
        <w:rPr>
          <w:rFonts w:ascii="Arial" w:eastAsia="Calibri" w:hAnsi="Arial" w:cs="Arial"/>
          <w:sz w:val="20"/>
        </w:rPr>
      </w:pPr>
      <w:r w:rsidRPr="00701F32">
        <w:rPr>
          <w:rFonts w:ascii="Arial" w:eastAsia="Calibri" w:hAnsi="Arial" w:cs="Arial"/>
          <w:sz w:val="20"/>
        </w:rPr>
        <w:t>Las asociadas son entidades sobre las cuales el Banco tiene influencia significativa (directa o indirectamente), pero no control, generalmente acompañando a una participación de entre 20 y 50 por ciento de los derechos de voto. Las inversiones en asociadas se contabilizan utilizando el método de la participación, y se reconocen inicialmente al costo. El valor en libros de las asociadas incluye la llave de negocio identificada en la adquisición menos las pérdidas por deterioro acumuladas, de corresponder. Los dividendos recibidos de las entidades asociadas reducen el valor en libros de la inversión en asociadas. Otros cambios posteriores a la adquisición en la participación de la Entidad en los activos netos de una asociada se reconocen de la siguiente manera: (i) la participación de la Entidad en las ganancias o pérdidas de las entidades asociadas se registra en el estado de resultados integral como resultado por asociadas y negocios conjuntos y (ii) la participación de la Entidad en otros resultados integrales se reconoce en el estado de otros resultados integrales y se presenta por separado. Sin embargo, cuando la participación del Banco en pérdidas en una asociada iguala o excede su interés en la misma, la Entidad dejará de reconocer su participación en las pérdidas adicionales, a menos que haya incurrido en obligaciones o efectuado pagos en nombre de la asociada.</w:t>
      </w:r>
    </w:p>
    <w:p w14:paraId="70B83162" w14:textId="77777777" w:rsidR="00A06BE9" w:rsidRPr="00701F32" w:rsidRDefault="00A06BE9" w:rsidP="00A06BE9">
      <w:pPr>
        <w:spacing w:line="259" w:lineRule="auto"/>
        <w:jc w:val="both"/>
        <w:rPr>
          <w:rFonts w:ascii="Arial" w:eastAsia="Calibri" w:hAnsi="Arial" w:cs="Arial"/>
          <w:sz w:val="20"/>
        </w:rPr>
      </w:pPr>
    </w:p>
    <w:p w14:paraId="654B698C" w14:textId="77777777" w:rsidR="00A06BE9" w:rsidRPr="00701F32" w:rsidRDefault="00A06BE9" w:rsidP="00A06BE9">
      <w:pPr>
        <w:spacing w:line="259" w:lineRule="auto"/>
        <w:jc w:val="both"/>
        <w:rPr>
          <w:rFonts w:ascii="Georgia" w:eastAsia="Calibri" w:hAnsi="Georgia"/>
          <w:sz w:val="20"/>
        </w:rPr>
      </w:pPr>
      <w:r w:rsidRPr="00701F32">
        <w:rPr>
          <w:rFonts w:ascii="Arial" w:eastAsia="Calibri" w:hAnsi="Arial" w:cs="Arial"/>
          <w:sz w:val="20"/>
        </w:rPr>
        <w:t>Las ganancias no realizadas en transacciones entre la Entidad y sus asociadas se eliminan en la medida de la participación de la Entidad en las asociadas; las pérdidas no realizadas también se eliminan a menos que la transacción proporcione evidencia de un deterioro del activo transferido.</w:t>
      </w:r>
    </w:p>
    <w:p w14:paraId="191CFDE6" w14:textId="77777777" w:rsidR="00B848DD" w:rsidRPr="00701F32" w:rsidRDefault="00B848DD" w:rsidP="00A06BE9">
      <w:pPr>
        <w:spacing w:line="259" w:lineRule="auto"/>
        <w:jc w:val="both"/>
        <w:rPr>
          <w:rFonts w:ascii="Arial" w:eastAsia="Calibri" w:hAnsi="Arial" w:cs="Arial"/>
          <w:b/>
          <w:sz w:val="20"/>
        </w:rPr>
      </w:pPr>
    </w:p>
    <w:p w14:paraId="08451276" w14:textId="77777777" w:rsidR="00A06BE9" w:rsidRPr="00701F32" w:rsidRDefault="00A06BE9" w:rsidP="00A06BE9">
      <w:pPr>
        <w:spacing w:line="259" w:lineRule="auto"/>
        <w:jc w:val="both"/>
        <w:rPr>
          <w:rFonts w:ascii="Arial" w:eastAsia="Calibri" w:hAnsi="Arial" w:cs="Arial"/>
          <w:b/>
          <w:sz w:val="20"/>
        </w:rPr>
      </w:pPr>
      <w:r w:rsidRPr="00701F32">
        <w:rPr>
          <w:rFonts w:ascii="Arial" w:eastAsia="Calibri" w:hAnsi="Arial" w:cs="Arial"/>
          <w:b/>
          <w:sz w:val="20"/>
        </w:rPr>
        <w:t xml:space="preserve">1.6 Información por segmentos </w:t>
      </w:r>
    </w:p>
    <w:p w14:paraId="5CE1EB4B" w14:textId="77777777" w:rsidR="00A06BE9" w:rsidRPr="00701F32" w:rsidRDefault="00A06BE9" w:rsidP="00A06BE9">
      <w:pPr>
        <w:spacing w:line="259" w:lineRule="auto"/>
        <w:jc w:val="both"/>
        <w:rPr>
          <w:rFonts w:ascii="Arial" w:eastAsia="Calibri" w:hAnsi="Arial" w:cs="Arial"/>
          <w:sz w:val="20"/>
        </w:rPr>
      </w:pPr>
      <w:r w:rsidRPr="00701F32">
        <w:rPr>
          <w:rFonts w:ascii="Arial" w:eastAsia="Calibri" w:hAnsi="Arial" w:cs="Arial"/>
          <w:sz w:val="20"/>
        </w:rPr>
        <w:t xml:space="preserve"> </w:t>
      </w:r>
    </w:p>
    <w:p w14:paraId="620C7F73"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Un segmento operativo es un componente de una entidad que (a) desarrolla actividades de negocio de las que puede obtener ingresos e incurrir en gastos (incluyendo ingresos y gastos relacionados con transacciones con otros componentes de la misma entidad), (b) cuyo resultado operativo es regularmente revisado por la Gerencia para tomar decisiones acerca de los recursos que deben asignarse al segmento y evaluar su desempeño y (c) para los cuales se dispone de información diferenciada.</w:t>
      </w:r>
    </w:p>
    <w:p w14:paraId="14824B80"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La información por segmentos se presenta de manera consistente con los informes internos proporcionados a:</w:t>
      </w:r>
    </w:p>
    <w:p w14:paraId="6597367A" w14:textId="77777777" w:rsidR="00A06BE9" w:rsidRPr="00701F32" w:rsidRDefault="00A06BE9" w:rsidP="00A06BE9">
      <w:pPr>
        <w:numPr>
          <w:ilvl w:val="0"/>
          <w:numId w:val="44"/>
        </w:numPr>
        <w:spacing w:after="160" w:line="259" w:lineRule="auto"/>
        <w:jc w:val="both"/>
        <w:rPr>
          <w:rFonts w:ascii="Arial" w:eastAsia="Calibri" w:hAnsi="Arial" w:cs="Arial"/>
          <w:bCs/>
          <w:sz w:val="20"/>
        </w:rPr>
      </w:pPr>
      <w:r w:rsidRPr="00701F32">
        <w:rPr>
          <w:rFonts w:ascii="Arial" w:eastAsia="Calibri" w:hAnsi="Arial" w:cs="Arial"/>
          <w:bCs/>
          <w:sz w:val="20"/>
        </w:rPr>
        <w:t xml:space="preserve">Personal clave de la gerencia, quien constituye la máxima autoridad en la toma de decisiones operativas y responsable de asignar los recursos y evaluar el rendimiento de los segmentos operativos; y </w:t>
      </w:r>
    </w:p>
    <w:p w14:paraId="7511E35F" w14:textId="77777777" w:rsidR="00A06BE9" w:rsidRPr="00701F32" w:rsidRDefault="00A06BE9" w:rsidP="00A06BE9">
      <w:pPr>
        <w:numPr>
          <w:ilvl w:val="0"/>
          <w:numId w:val="44"/>
        </w:numPr>
        <w:spacing w:after="160" w:line="259" w:lineRule="auto"/>
        <w:jc w:val="both"/>
        <w:rPr>
          <w:rFonts w:ascii="Arial" w:eastAsia="Calibri" w:hAnsi="Arial" w:cs="Arial"/>
          <w:bCs/>
          <w:sz w:val="20"/>
        </w:rPr>
      </w:pPr>
      <w:r w:rsidRPr="00701F32">
        <w:rPr>
          <w:rFonts w:ascii="Arial" w:eastAsia="Calibri" w:hAnsi="Arial" w:cs="Arial"/>
          <w:bCs/>
          <w:sz w:val="20"/>
        </w:rPr>
        <w:t xml:space="preserve">El Directorio, que es quien toma las decisiones estratégicas de la Entidad. </w:t>
      </w:r>
    </w:p>
    <w:p w14:paraId="7C801AAC" w14:textId="77777777" w:rsidR="00D576C5" w:rsidRPr="00701F32" w:rsidRDefault="00D576C5" w:rsidP="00A06BE9">
      <w:pPr>
        <w:spacing w:line="259" w:lineRule="auto"/>
        <w:jc w:val="both"/>
        <w:rPr>
          <w:rFonts w:ascii="Georgia" w:eastAsia="Calibri" w:hAnsi="Georgia"/>
          <w:sz w:val="20"/>
        </w:rPr>
      </w:pPr>
    </w:p>
    <w:p w14:paraId="598C43B3"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
          <w:bCs/>
          <w:sz w:val="20"/>
        </w:rPr>
        <w:t xml:space="preserve">1.7 Conversión de moneda extranjera </w:t>
      </w:r>
    </w:p>
    <w:p w14:paraId="750E16BF" w14:textId="77777777" w:rsidR="00A06BE9" w:rsidRPr="00701F32" w:rsidRDefault="00A06BE9" w:rsidP="00A06BE9">
      <w:pPr>
        <w:numPr>
          <w:ilvl w:val="0"/>
          <w:numId w:val="36"/>
        </w:numPr>
        <w:spacing w:after="160" w:line="259" w:lineRule="auto"/>
        <w:jc w:val="both"/>
        <w:rPr>
          <w:rFonts w:ascii="Arial" w:eastAsia="Calibri" w:hAnsi="Arial" w:cs="Arial"/>
          <w:b/>
          <w:sz w:val="20"/>
        </w:rPr>
      </w:pPr>
      <w:r w:rsidRPr="00701F32">
        <w:rPr>
          <w:rFonts w:ascii="Arial" w:eastAsia="Calibri" w:hAnsi="Arial" w:cs="Arial"/>
          <w:b/>
          <w:sz w:val="20"/>
        </w:rPr>
        <w:t>Moneda funcional y moneda de presentación</w:t>
      </w:r>
    </w:p>
    <w:p w14:paraId="388B8CBB" w14:textId="77777777" w:rsidR="00A06BE9" w:rsidRPr="00701F32" w:rsidRDefault="00A06BE9" w:rsidP="00A06BE9">
      <w:pPr>
        <w:spacing w:after="160" w:line="259" w:lineRule="auto"/>
        <w:jc w:val="both"/>
        <w:rPr>
          <w:rFonts w:ascii="Georgia" w:eastAsia="Calibri" w:hAnsi="Georgia"/>
          <w:sz w:val="20"/>
        </w:rPr>
      </w:pPr>
      <w:r w:rsidRPr="00701F32">
        <w:rPr>
          <w:rFonts w:ascii="Arial" w:eastAsia="Calibri" w:hAnsi="Arial" w:cs="Arial"/>
          <w:sz w:val="20"/>
        </w:rPr>
        <w:t xml:space="preserve">Las cifras incluidas en los estados financieros consolidados condensados intermedios se expresan en su moneda funcional, es decir, en la moneda del ambiente económico principal en la que operan. Los estados financieros consolidados condensados intermedios se exponen en cifras expresadas en miles de pesos argentinos, que es la moneda funcional y la moneda de presentación del </w:t>
      </w:r>
      <w:r w:rsidR="002731C9" w:rsidRPr="00701F32">
        <w:rPr>
          <w:rFonts w:ascii="Arial" w:eastAsia="Calibri" w:hAnsi="Arial" w:cs="Arial"/>
          <w:sz w:val="20"/>
        </w:rPr>
        <w:t>Banco</w:t>
      </w:r>
      <w:r w:rsidRPr="00701F32">
        <w:rPr>
          <w:rFonts w:ascii="Georgia" w:eastAsia="Calibri" w:hAnsi="Georgia"/>
          <w:sz w:val="20"/>
        </w:rPr>
        <w:t>.</w:t>
      </w:r>
    </w:p>
    <w:p w14:paraId="5CA2B8C6" w14:textId="77777777" w:rsidR="00A06BE9" w:rsidRPr="00701F32" w:rsidRDefault="00A06BE9" w:rsidP="00A06BE9">
      <w:pPr>
        <w:numPr>
          <w:ilvl w:val="0"/>
          <w:numId w:val="36"/>
        </w:numPr>
        <w:spacing w:after="160" w:line="259" w:lineRule="auto"/>
        <w:jc w:val="both"/>
        <w:rPr>
          <w:rFonts w:ascii="Arial" w:eastAsia="Calibri" w:hAnsi="Arial" w:cs="Arial"/>
          <w:b/>
          <w:sz w:val="20"/>
        </w:rPr>
      </w:pPr>
      <w:r w:rsidRPr="00701F32">
        <w:rPr>
          <w:rFonts w:ascii="Arial" w:eastAsia="Calibri" w:hAnsi="Arial" w:cs="Arial"/>
          <w:b/>
          <w:sz w:val="20"/>
        </w:rPr>
        <w:t>Transacciones y saldos</w:t>
      </w:r>
    </w:p>
    <w:p w14:paraId="699771C6"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Calibri" w:hAnsi="Arial" w:cs="Arial"/>
          <w:sz w:val="20"/>
        </w:rPr>
        <w:t xml:space="preserve">Las transacciones en moneda extranjera se convierten a la moneda funcional a los tipos de cambio de referencia y de pase establecidos por el B.C.R.A. vigentes a las fechas de las transacciones o de la valuación cuando las partidas son medidas al cierre. Las ganancias y pérdidas en moneda extranjera que resultan de la liquidación de estas transacciones y de la conversión de los activos y pasivos monetarios denominados en moneda extranjera a los tipos de cambio de cierre, se reconocen en el estado de resultados integral, en el rubro “Diferencia de cotización de oro y moneda extranjera”. </w:t>
      </w:r>
    </w:p>
    <w:p w14:paraId="71F49DB5" w14:textId="77777777" w:rsidR="00A06BE9" w:rsidRPr="00701F32" w:rsidRDefault="00A06BE9" w:rsidP="00A06BE9">
      <w:pPr>
        <w:spacing w:after="160" w:line="259" w:lineRule="auto"/>
        <w:jc w:val="both"/>
        <w:rPr>
          <w:rFonts w:ascii="Arial" w:eastAsia="Arial" w:hAnsi="Arial" w:cs="Arial"/>
          <w:b/>
          <w:sz w:val="20"/>
        </w:rPr>
      </w:pPr>
      <w:r w:rsidRPr="00701F32">
        <w:rPr>
          <w:rFonts w:ascii="Arial" w:eastAsia="Arial" w:hAnsi="Arial" w:cs="Arial"/>
          <w:b/>
          <w:sz w:val="20"/>
        </w:rPr>
        <w:t xml:space="preserve">1.8 Efectivo y depósitos en bancos </w:t>
      </w:r>
    </w:p>
    <w:p w14:paraId="50530E5B"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 xml:space="preserve">El rubro efectivo y depósitos en bancos incluye el efectivo disponible, depósitos de libre disponibilidad en bancos locales y en bancos corresponsales del exterior. </w:t>
      </w:r>
    </w:p>
    <w:p w14:paraId="1D5A9E97"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Los activos registrados en disponibilidades se registran a su costo amortizado que se aproxima a su valor razonable.</w:t>
      </w:r>
    </w:p>
    <w:p w14:paraId="3882BF0D"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El equivalente a efectivo está constituido por títulos públicos altamente líquidos de corto plazo, con vencimientos originales de tres meses o menos, con medición a valor razonable.</w:t>
      </w:r>
    </w:p>
    <w:p w14:paraId="1BC46BD0" w14:textId="49D85BD0" w:rsidR="001B25DF"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Se detalla a continuación la composición del efectivo al 3</w:t>
      </w:r>
      <w:r w:rsidR="00E827A6" w:rsidRPr="00701F32">
        <w:rPr>
          <w:rFonts w:ascii="Arial" w:eastAsia="Arial" w:hAnsi="Arial" w:cs="Arial"/>
          <w:sz w:val="20"/>
        </w:rPr>
        <w:t>0</w:t>
      </w:r>
      <w:r w:rsidRPr="00701F32">
        <w:rPr>
          <w:rFonts w:ascii="Arial" w:eastAsia="Arial" w:hAnsi="Arial" w:cs="Arial"/>
          <w:sz w:val="20"/>
        </w:rPr>
        <w:t xml:space="preserve"> de </w:t>
      </w:r>
      <w:r w:rsidR="00B848DD" w:rsidRPr="00701F32">
        <w:rPr>
          <w:rFonts w:ascii="Arial" w:eastAsia="Arial" w:hAnsi="Arial" w:cs="Arial"/>
          <w:sz w:val="20"/>
        </w:rPr>
        <w:t>septiembre</w:t>
      </w:r>
      <w:r w:rsidRPr="00701F32">
        <w:rPr>
          <w:rFonts w:ascii="Arial" w:eastAsia="Arial" w:hAnsi="Arial" w:cs="Arial"/>
          <w:sz w:val="20"/>
        </w:rPr>
        <w:t xml:space="preserve"> de 2018 y 2017</w:t>
      </w:r>
      <w:r w:rsidR="00F17F39" w:rsidRPr="00701F32">
        <w:rPr>
          <w:rFonts w:ascii="Arial" w:eastAsia="Arial" w:hAnsi="Arial" w:cs="Arial"/>
          <w:sz w:val="20"/>
        </w:rPr>
        <w:t>:</w:t>
      </w:r>
    </w:p>
    <w:p w14:paraId="0AE83868" w14:textId="39B32A9F" w:rsidR="00A06BE9" w:rsidRPr="00701F32" w:rsidRDefault="00A06BE9" w:rsidP="00A06BE9">
      <w:pPr>
        <w:spacing w:after="160" w:line="259" w:lineRule="auto"/>
        <w:jc w:val="both"/>
        <w:rPr>
          <w:rFonts w:ascii="Arial" w:eastAsia="Arial" w:hAnsi="Arial" w:cs="Arial"/>
          <w:sz w:val="20"/>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7"/>
        <w:gridCol w:w="1460"/>
        <w:gridCol w:w="1453"/>
      </w:tblGrid>
      <w:tr w:rsidR="00EA4292" w:rsidRPr="00701F32" w14:paraId="3B2958F4" w14:textId="77777777" w:rsidTr="00002574">
        <w:trPr>
          <w:trHeight w:val="275"/>
          <w:jc w:val="center"/>
        </w:trPr>
        <w:tc>
          <w:tcPr>
            <w:tcW w:w="3360" w:type="pct"/>
            <w:shd w:val="clear" w:color="auto" w:fill="auto"/>
            <w:noWrap/>
            <w:vAlign w:val="bottom"/>
            <w:hideMark/>
          </w:tcPr>
          <w:p w14:paraId="09C8A9BA"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w:t>
            </w:r>
          </w:p>
        </w:tc>
        <w:tc>
          <w:tcPr>
            <w:tcW w:w="822" w:type="pct"/>
            <w:vAlign w:val="center"/>
          </w:tcPr>
          <w:p w14:paraId="72240408" w14:textId="77777777" w:rsidR="00EA4292" w:rsidRPr="00701F32" w:rsidRDefault="00EA4292" w:rsidP="00002574">
            <w:pPr>
              <w:spacing w:line="259" w:lineRule="auto"/>
              <w:ind w:left="233" w:hanging="233"/>
              <w:jc w:val="center"/>
              <w:rPr>
                <w:rFonts w:ascii="Arial" w:hAnsi="Arial" w:cs="Arial"/>
                <w:b/>
                <w:color w:val="000000"/>
                <w:sz w:val="18"/>
                <w:lang w:eastAsia="es-AR"/>
              </w:rPr>
            </w:pPr>
            <w:r w:rsidRPr="00701F32">
              <w:rPr>
                <w:rFonts w:ascii="Arial" w:hAnsi="Arial" w:cs="Arial"/>
                <w:b/>
                <w:color w:val="000000"/>
                <w:sz w:val="18"/>
                <w:lang w:eastAsia="es-AR"/>
              </w:rPr>
              <w:t>30/0</w:t>
            </w:r>
            <w:r w:rsidR="00B848DD" w:rsidRPr="00701F32">
              <w:rPr>
                <w:rFonts w:ascii="Arial" w:hAnsi="Arial" w:cs="Arial"/>
                <w:b/>
                <w:color w:val="000000"/>
                <w:sz w:val="18"/>
                <w:lang w:eastAsia="es-AR"/>
              </w:rPr>
              <w:t>9</w:t>
            </w:r>
            <w:r w:rsidRPr="00701F32">
              <w:rPr>
                <w:rFonts w:ascii="Arial" w:hAnsi="Arial" w:cs="Arial"/>
                <w:b/>
                <w:color w:val="000000"/>
                <w:sz w:val="18"/>
                <w:lang w:eastAsia="es-AR"/>
              </w:rPr>
              <w:t>/2018</w:t>
            </w:r>
          </w:p>
        </w:tc>
        <w:tc>
          <w:tcPr>
            <w:tcW w:w="819" w:type="pct"/>
            <w:vAlign w:val="center"/>
          </w:tcPr>
          <w:p w14:paraId="6ABBA156" w14:textId="77777777" w:rsidR="00EA4292" w:rsidRPr="00701F32" w:rsidRDefault="00EA4292" w:rsidP="00002574">
            <w:pPr>
              <w:spacing w:line="259" w:lineRule="auto"/>
              <w:jc w:val="center"/>
              <w:rPr>
                <w:rFonts w:ascii="Arial" w:hAnsi="Arial" w:cs="Arial"/>
                <w:b/>
                <w:color w:val="000000"/>
                <w:sz w:val="18"/>
                <w:lang w:eastAsia="es-AR"/>
              </w:rPr>
            </w:pPr>
            <w:r w:rsidRPr="00701F32">
              <w:rPr>
                <w:rFonts w:ascii="Arial" w:hAnsi="Arial" w:cs="Arial"/>
                <w:b/>
                <w:color w:val="000000"/>
                <w:sz w:val="18"/>
                <w:lang w:eastAsia="es-AR"/>
              </w:rPr>
              <w:t>30/0</w:t>
            </w:r>
            <w:r w:rsidR="00B848DD" w:rsidRPr="00701F32">
              <w:rPr>
                <w:rFonts w:ascii="Arial" w:hAnsi="Arial" w:cs="Arial"/>
                <w:b/>
                <w:color w:val="000000"/>
                <w:sz w:val="18"/>
                <w:lang w:eastAsia="es-AR"/>
              </w:rPr>
              <w:t>9</w:t>
            </w:r>
            <w:r w:rsidRPr="00701F32">
              <w:rPr>
                <w:rFonts w:ascii="Arial" w:hAnsi="Arial" w:cs="Arial"/>
                <w:b/>
                <w:color w:val="000000"/>
                <w:sz w:val="18"/>
                <w:lang w:eastAsia="es-AR"/>
              </w:rPr>
              <w:t>/2017</w:t>
            </w:r>
          </w:p>
        </w:tc>
      </w:tr>
      <w:tr w:rsidR="00EA4292" w:rsidRPr="00701F32" w14:paraId="7355C8DE" w14:textId="77777777" w:rsidTr="00002574">
        <w:trPr>
          <w:trHeight w:val="275"/>
          <w:jc w:val="center"/>
        </w:trPr>
        <w:tc>
          <w:tcPr>
            <w:tcW w:w="3360" w:type="pct"/>
            <w:shd w:val="clear" w:color="auto" w:fill="auto"/>
            <w:noWrap/>
            <w:vAlign w:val="bottom"/>
            <w:hideMark/>
          </w:tcPr>
          <w:p w14:paraId="3C465405"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Efectivo y depósitos en bancos</w:t>
            </w:r>
          </w:p>
        </w:tc>
        <w:tc>
          <w:tcPr>
            <w:tcW w:w="822" w:type="pct"/>
            <w:vAlign w:val="bottom"/>
          </w:tcPr>
          <w:p w14:paraId="71121350" w14:textId="609B1DE1" w:rsidR="00EA4292" w:rsidRPr="00701F32" w:rsidRDefault="001F0C23" w:rsidP="00002574">
            <w:pPr>
              <w:ind w:left="-71" w:hanging="233"/>
              <w:jc w:val="right"/>
              <w:rPr>
                <w:rFonts w:ascii="Arial" w:hAnsi="Arial" w:cs="Arial"/>
                <w:color w:val="000000"/>
                <w:sz w:val="18"/>
              </w:rPr>
            </w:pPr>
            <w:r w:rsidRPr="00701F32">
              <w:rPr>
                <w:rFonts w:ascii="Arial" w:hAnsi="Arial" w:cs="Arial"/>
                <w:color w:val="000000"/>
                <w:sz w:val="18"/>
              </w:rPr>
              <w:t>33.628.423</w:t>
            </w:r>
          </w:p>
        </w:tc>
        <w:tc>
          <w:tcPr>
            <w:tcW w:w="819" w:type="pct"/>
            <w:vAlign w:val="bottom"/>
          </w:tcPr>
          <w:p w14:paraId="5D7BD98C" w14:textId="0C4717B4" w:rsidR="00EA4292" w:rsidRPr="00701F32" w:rsidRDefault="001F0C23" w:rsidP="00002574">
            <w:pPr>
              <w:jc w:val="right"/>
              <w:rPr>
                <w:rFonts w:ascii="Arial" w:hAnsi="Arial" w:cs="Arial"/>
                <w:color w:val="000000"/>
                <w:sz w:val="18"/>
              </w:rPr>
            </w:pPr>
            <w:r w:rsidRPr="00701F32">
              <w:rPr>
                <w:rFonts w:ascii="Arial" w:hAnsi="Arial" w:cs="Arial"/>
                <w:color w:val="000000"/>
                <w:sz w:val="18"/>
              </w:rPr>
              <w:t>9.039.87</w:t>
            </w:r>
            <w:r w:rsidR="009D3943" w:rsidRPr="00701F32">
              <w:rPr>
                <w:rFonts w:ascii="Arial" w:hAnsi="Arial" w:cs="Arial"/>
                <w:color w:val="000000"/>
                <w:sz w:val="18"/>
              </w:rPr>
              <w:t>0</w:t>
            </w:r>
          </w:p>
        </w:tc>
      </w:tr>
      <w:tr w:rsidR="00EA4292" w:rsidRPr="00701F32" w14:paraId="3A55AC45" w14:textId="77777777" w:rsidTr="00002574">
        <w:trPr>
          <w:trHeight w:val="275"/>
          <w:jc w:val="center"/>
        </w:trPr>
        <w:tc>
          <w:tcPr>
            <w:tcW w:w="3360" w:type="pct"/>
            <w:shd w:val="clear" w:color="auto" w:fill="auto"/>
            <w:noWrap/>
            <w:vAlign w:val="bottom"/>
            <w:hideMark/>
          </w:tcPr>
          <w:p w14:paraId="3D07D3E6"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xml:space="preserve">Títulos de deuda a valor razonable </w:t>
            </w:r>
          </w:p>
        </w:tc>
        <w:tc>
          <w:tcPr>
            <w:tcW w:w="822" w:type="pct"/>
            <w:vAlign w:val="bottom"/>
          </w:tcPr>
          <w:p w14:paraId="70590414" w14:textId="036CD590" w:rsidR="00EA4292" w:rsidRPr="00701F32" w:rsidRDefault="001F0C23" w:rsidP="00002574">
            <w:pPr>
              <w:ind w:left="233" w:hanging="233"/>
              <w:jc w:val="right"/>
              <w:rPr>
                <w:rFonts w:ascii="Arial" w:hAnsi="Arial" w:cs="Arial"/>
                <w:color w:val="000000"/>
                <w:sz w:val="18"/>
              </w:rPr>
            </w:pPr>
            <w:r w:rsidRPr="00701F32">
              <w:rPr>
                <w:rFonts w:ascii="Arial" w:hAnsi="Arial" w:cs="Arial"/>
                <w:color w:val="000000"/>
                <w:sz w:val="18"/>
              </w:rPr>
              <w:t>11.784.705</w:t>
            </w:r>
          </w:p>
        </w:tc>
        <w:tc>
          <w:tcPr>
            <w:tcW w:w="819" w:type="pct"/>
            <w:vAlign w:val="bottom"/>
          </w:tcPr>
          <w:p w14:paraId="21FE7831" w14:textId="42335752" w:rsidR="00EA4292" w:rsidRPr="00701F32" w:rsidRDefault="001F0C23" w:rsidP="00002574">
            <w:pPr>
              <w:jc w:val="right"/>
              <w:rPr>
                <w:rFonts w:ascii="Arial" w:hAnsi="Arial" w:cs="Arial"/>
                <w:color w:val="000000"/>
                <w:sz w:val="18"/>
              </w:rPr>
            </w:pPr>
            <w:r w:rsidRPr="00701F32">
              <w:rPr>
                <w:rFonts w:ascii="Arial" w:hAnsi="Arial" w:cs="Arial"/>
                <w:color w:val="000000"/>
                <w:sz w:val="18"/>
              </w:rPr>
              <w:t>4.448.733</w:t>
            </w:r>
          </w:p>
        </w:tc>
      </w:tr>
      <w:tr w:rsidR="00EA4292" w:rsidRPr="00701F32" w14:paraId="04B520F2" w14:textId="77777777" w:rsidTr="00002574">
        <w:trPr>
          <w:trHeight w:val="275"/>
          <w:jc w:val="center"/>
        </w:trPr>
        <w:tc>
          <w:tcPr>
            <w:tcW w:w="3360" w:type="pct"/>
            <w:shd w:val="clear" w:color="auto" w:fill="auto"/>
            <w:noWrap/>
            <w:vAlign w:val="bottom"/>
            <w:hideMark/>
          </w:tcPr>
          <w:p w14:paraId="03BE9CF3" w14:textId="77777777" w:rsidR="00EA4292" w:rsidRPr="00701F32" w:rsidRDefault="00EA4292" w:rsidP="00002574">
            <w:pPr>
              <w:spacing w:line="259" w:lineRule="auto"/>
              <w:jc w:val="both"/>
              <w:rPr>
                <w:rFonts w:ascii="Arial" w:hAnsi="Arial" w:cs="Arial"/>
                <w:b/>
                <w:bCs/>
                <w:color w:val="000000"/>
                <w:sz w:val="18"/>
                <w:lang w:eastAsia="es-AR"/>
              </w:rPr>
            </w:pPr>
            <w:r w:rsidRPr="00701F32">
              <w:rPr>
                <w:rFonts w:ascii="Arial" w:hAnsi="Arial" w:cs="Arial"/>
                <w:b/>
                <w:bCs/>
                <w:color w:val="000000"/>
                <w:sz w:val="18"/>
                <w:lang w:eastAsia="es-AR"/>
              </w:rPr>
              <w:t>Total</w:t>
            </w:r>
          </w:p>
        </w:tc>
        <w:tc>
          <w:tcPr>
            <w:tcW w:w="822" w:type="pct"/>
            <w:vAlign w:val="bottom"/>
          </w:tcPr>
          <w:p w14:paraId="4297CD80" w14:textId="4AAEAA39" w:rsidR="00EA4292" w:rsidRPr="00701F32" w:rsidRDefault="001F0C23" w:rsidP="00002574">
            <w:pPr>
              <w:ind w:left="233" w:hanging="233"/>
              <w:jc w:val="right"/>
              <w:rPr>
                <w:rFonts w:ascii="Arial" w:hAnsi="Arial" w:cs="Arial"/>
                <w:b/>
                <w:bCs/>
                <w:color w:val="000000"/>
                <w:sz w:val="18"/>
              </w:rPr>
            </w:pPr>
            <w:r w:rsidRPr="00701F32">
              <w:rPr>
                <w:rFonts w:ascii="Arial" w:hAnsi="Arial" w:cs="Arial"/>
                <w:b/>
                <w:bCs/>
                <w:color w:val="000000"/>
                <w:sz w:val="18"/>
              </w:rPr>
              <w:t>45.413.128</w:t>
            </w:r>
          </w:p>
        </w:tc>
        <w:tc>
          <w:tcPr>
            <w:tcW w:w="819" w:type="pct"/>
            <w:vAlign w:val="bottom"/>
          </w:tcPr>
          <w:p w14:paraId="54B37C51" w14:textId="1E64FF67" w:rsidR="00EA4292" w:rsidRPr="00701F32" w:rsidRDefault="001F0C23">
            <w:pPr>
              <w:jc w:val="right"/>
              <w:rPr>
                <w:rFonts w:ascii="Arial" w:hAnsi="Arial" w:cs="Arial"/>
                <w:b/>
                <w:bCs/>
                <w:color w:val="000000"/>
                <w:sz w:val="18"/>
              </w:rPr>
            </w:pPr>
            <w:r w:rsidRPr="00701F32">
              <w:rPr>
                <w:rFonts w:ascii="Arial" w:hAnsi="Arial" w:cs="Arial"/>
                <w:b/>
                <w:bCs/>
                <w:color w:val="000000"/>
                <w:sz w:val="18"/>
              </w:rPr>
              <w:t>13.488.</w:t>
            </w:r>
            <w:r w:rsidR="009D3943" w:rsidRPr="00701F32">
              <w:rPr>
                <w:rFonts w:ascii="Arial" w:hAnsi="Arial" w:cs="Arial"/>
                <w:b/>
                <w:bCs/>
                <w:color w:val="000000"/>
                <w:sz w:val="18"/>
              </w:rPr>
              <w:t>603</w:t>
            </w:r>
          </w:p>
        </w:tc>
      </w:tr>
    </w:tbl>
    <w:p w14:paraId="33BD9E82" w14:textId="77777777" w:rsidR="00A06BE9" w:rsidRPr="00701F32" w:rsidRDefault="00A06BE9" w:rsidP="00A06BE9">
      <w:pPr>
        <w:spacing w:after="160" w:line="259" w:lineRule="auto"/>
        <w:jc w:val="both"/>
        <w:rPr>
          <w:rFonts w:ascii="Arial" w:eastAsia="Arial" w:hAnsi="Arial" w:cs="Arial"/>
          <w:color w:val="FF0000"/>
          <w:sz w:val="20"/>
        </w:rPr>
      </w:pPr>
    </w:p>
    <w:p w14:paraId="16618CC9" w14:textId="0D312EDB" w:rsidR="00061D27" w:rsidRPr="00701F32" w:rsidRDefault="00526097" w:rsidP="00526097">
      <w:pPr>
        <w:jc w:val="both"/>
        <w:rPr>
          <w:rFonts w:ascii="Arial" w:eastAsia="Calibri" w:hAnsi="Arial" w:cs="Arial"/>
          <w:sz w:val="20"/>
          <w:lang w:eastAsia="es-PE"/>
        </w:rPr>
      </w:pPr>
      <w:r w:rsidRPr="00701F32">
        <w:rPr>
          <w:rFonts w:ascii="Arial" w:eastAsia="Calibri" w:hAnsi="Arial" w:cs="Arial"/>
          <w:sz w:val="20"/>
          <w:lang w:eastAsia="es-PE"/>
        </w:rPr>
        <w:t>Por su parte, se exponen a continuación las conciliaciones entre los saldos de aquellas partidas consideradas equivalentes de efectivo en el Estado de Flujo de Efectivo y las reportadas en el Estado de Situación Financiera al cierre del período:</w:t>
      </w:r>
    </w:p>
    <w:p w14:paraId="42328A01" w14:textId="77777777" w:rsidR="00EA4292" w:rsidRPr="00701F32" w:rsidRDefault="00EA4292" w:rsidP="00526097">
      <w:pPr>
        <w:jc w:val="both"/>
        <w:rPr>
          <w:rFonts w:ascii="Arial" w:eastAsia="Calibri" w:hAnsi="Arial" w:cs="Arial"/>
          <w:sz w:val="20"/>
          <w:lang w:eastAsia="es-PE"/>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66"/>
        <w:gridCol w:w="1494"/>
        <w:gridCol w:w="1410"/>
      </w:tblGrid>
      <w:tr w:rsidR="00EA4292" w:rsidRPr="00701F32" w14:paraId="47FF5FAF" w14:textId="77777777" w:rsidTr="00002574">
        <w:trPr>
          <w:trHeight w:val="279"/>
          <w:jc w:val="center"/>
        </w:trPr>
        <w:tc>
          <w:tcPr>
            <w:tcW w:w="3363" w:type="pct"/>
            <w:shd w:val="clear" w:color="auto" w:fill="auto"/>
            <w:noWrap/>
            <w:vAlign w:val="bottom"/>
            <w:hideMark/>
          </w:tcPr>
          <w:p w14:paraId="27E513D1" w14:textId="77777777" w:rsidR="00EA4292" w:rsidRPr="00701F32" w:rsidRDefault="00EA4292" w:rsidP="00002574">
            <w:pPr>
              <w:spacing w:line="259" w:lineRule="auto"/>
              <w:jc w:val="both"/>
              <w:rPr>
                <w:rFonts w:ascii="Arial" w:hAnsi="Arial" w:cs="Arial"/>
                <w:color w:val="000000"/>
                <w:sz w:val="18"/>
                <w:lang w:eastAsia="es-AR"/>
              </w:rPr>
            </w:pPr>
          </w:p>
        </w:tc>
        <w:tc>
          <w:tcPr>
            <w:tcW w:w="842" w:type="pct"/>
            <w:vAlign w:val="center"/>
          </w:tcPr>
          <w:p w14:paraId="1A360F65" w14:textId="77777777" w:rsidR="00EA4292" w:rsidRPr="00701F32" w:rsidRDefault="00EA4292" w:rsidP="00002574">
            <w:pPr>
              <w:spacing w:line="259" w:lineRule="auto"/>
              <w:jc w:val="center"/>
              <w:rPr>
                <w:rFonts w:ascii="Arial" w:hAnsi="Arial" w:cs="Arial"/>
                <w:b/>
                <w:color w:val="000000"/>
                <w:sz w:val="18"/>
                <w:lang w:eastAsia="es-AR"/>
              </w:rPr>
            </w:pPr>
            <w:r w:rsidRPr="00701F32">
              <w:rPr>
                <w:rFonts w:ascii="Arial" w:hAnsi="Arial" w:cs="Arial"/>
                <w:b/>
                <w:color w:val="000000"/>
                <w:sz w:val="18"/>
                <w:lang w:eastAsia="es-AR"/>
              </w:rPr>
              <w:t>30/0</w:t>
            </w:r>
            <w:r w:rsidR="00B848DD" w:rsidRPr="00701F32">
              <w:rPr>
                <w:rFonts w:ascii="Arial" w:hAnsi="Arial" w:cs="Arial"/>
                <w:b/>
                <w:color w:val="000000"/>
                <w:sz w:val="18"/>
                <w:lang w:eastAsia="es-AR"/>
              </w:rPr>
              <w:t>9</w:t>
            </w:r>
            <w:r w:rsidRPr="00701F32">
              <w:rPr>
                <w:rFonts w:ascii="Arial" w:hAnsi="Arial" w:cs="Arial"/>
                <w:b/>
                <w:color w:val="000000"/>
                <w:sz w:val="18"/>
                <w:lang w:eastAsia="es-AR"/>
              </w:rPr>
              <w:t>/2018</w:t>
            </w:r>
          </w:p>
        </w:tc>
        <w:tc>
          <w:tcPr>
            <w:tcW w:w="795" w:type="pct"/>
            <w:vAlign w:val="center"/>
          </w:tcPr>
          <w:p w14:paraId="26F960B2" w14:textId="77777777" w:rsidR="00EA4292" w:rsidRPr="00701F32" w:rsidRDefault="00EA4292" w:rsidP="00002574">
            <w:pPr>
              <w:spacing w:line="259" w:lineRule="auto"/>
              <w:jc w:val="center"/>
              <w:rPr>
                <w:rFonts w:ascii="Arial" w:hAnsi="Arial" w:cs="Arial"/>
                <w:b/>
                <w:color w:val="000000"/>
                <w:sz w:val="18"/>
                <w:lang w:eastAsia="es-AR"/>
              </w:rPr>
            </w:pPr>
            <w:r w:rsidRPr="00701F32">
              <w:rPr>
                <w:rFonts w:ascii="Arial" w:hAnsi="Arial" w:cs="Arial"/>
                <w:b/>
                <w:color w:val="000000"/>
                <w:sz w:val="18"/>
                <w:lang w:eastAsia="es-AR"/>
              </w:rPr>
              <w:t>30/0</w:t>
            </w:r>
            <w:r w:rsidR="00B848DD" w:rsidRPr="00701F32">
              <w:rPr>
                <w:rFonts w:ascii="Arial" w:hAnsi="Arial" w:cs="Arial"/>
                <w:b/>
                <w:color w:val="000000"/>
                <w:sz w:val="18"/>
                <w:lang w:eastAsia="es-AR"/>
              </w:rPr>
              <w:t>9</w:t>
            </w:r>
            <w:r w:rsidRPr="00701F32">
              <w:rPr>
                <w:rFonts w:ascii="Arial" w:hAnsi="Arial" w:cs="Arial"/>
                <w:b/>
                <w:color w:val="000000"/>
                <w:sz w:val="18"/>
                <w:lang w:eastAsia="es-AR"/>
              </w:rPr>
              <w:t>/2017</w:t>
            </w:r>
          </w:p>
        </w:tc>
      </w:tr>
      <w:tr w:rsidR="00EA4292" w:rsidRPr="00701F32" w14:paraId="7788566F" w14:textId="77777777" w:rsidTr="00002574">
        <w:trPr>
          <w:trHeight w:val="279"/>
          <w:jc w:val="center"/>
        </w:trPr>
        <w:tc>
          <w:tcPr>
            <w:tcW w:w="3363" w:type="pct"/>
            <w:shd w:val="clear" w:color="auto" w:fill="auto"/>
            <w:noWrap/>
            <w:vAlign w:val="bottom"/>
          </w:tcPr>
          <w:p w14:paraId="2B06A04E" w14:textId="77777777" w:rsidR="00EA4292" w:rsidRPr="00701F32" w:rsidRDefault="00EA4292" w:rsidP="00002574">
            <w:pPr>
              <w:spacing w:line="259" w:lineRule="auto"/>
              <w:jc w:val="both"/>
              <w:rPr>
                <w:rFonts w:ascii="Arial" w:hAnsi="Arial" w:cs="Arial"/>
                <w:b/>
                <w:color w:val="000000"/>
                <w:sz w:val="18"/>
                <w:lang w:eastAsia="es-AR"/>
              </w:rPr>
            </w:pPr>
            <w:r w:rsidRPr="00701F32">
              <w:rPr>
                <w:rFonts w:ascii="Arial" w:hAnsi="Arial" w:cs="Arial"/>
                <w:b/>
                <w:color w:val="000000"/>
                <w:sz w:val="18"/>
                <w:lang w:eastAsia="es-AR"/>
              </w:rPr>
              <w:t>Títulos valores a valor razonable s/Estado de Sit.Financiera</w:t>
            </w:r>
          </w:p>
        </w:tc>
        <w:tc>
          <w:tcPr>
            <w:tcW w:w="842" w:type="pct"/>
            <w:vAlign w:val="bottom"/>
          </w:tcPr>
          <w:p w14:paraId="3840A11C" w14:textId="65B6F430" w:rsidR="00EA4292" w:rsidRPr="00701F32" w:rsidRDefault="001F0C23" w:rsidP="00A731C6">
            <w:pPr>
              <w:jc w:val="right"/>
              <w:rPr>
                <w:rFonts w:ascii="Arial" w:hAnsi="Arial" w:cs="Arial"/>
                <w:b/>
                <w:color w:val="000000"/>
                <w:sz w:val="18"/>
              </w:rPr>
            </w:pPr>
            <w:r w:rsidRPr="00701F32">
              <w:rPr>
                <w:rFonts w:ascii="Arial" w:hAnsi="Arial" w:cs="Arial"/>
                <w:b/>
                <w:color w:val="000000"/>
                <w:sz w:val="18"/>
              </w:rPr>
              <w:t>13.533.707</w:t>
            </w:r>
          </w:p>
        </w:tc>
        <w:tc>
          <w:tcPr>
            <w:tcW w:w="795" w:type="pct"/>
            <w:vAlign w:val="bottom"/>
          </w:tcPr>
          <w:p w14:paraId="227181AC" w14:textId="54779DDF" w:rsidR="00EA4292" w:rsidRPr="00701F32" w:rsidRDefault="001F0C23" w:rsidP="00002574">
            <w:pPr>
              <w:jc w:val="right"/>
              <w:rPr>
                <w:rFonts w:ascii="Arial" w:hAnsi="Arial" w:cs="Arial"/>
                <w:b/>
                <w:color w:val="000000"/>
                <w:sz w:val="18"/>
              </w:rPr>
            </w:pPr>
            <w:r w:rsidRPr="00701F32">
              <w:rPr>
                <w:rFonts w:ascii="Arial" w:hAnsi="Arial" w:cs="Arial"/>
                <w:b/>
                <w:color w:val="000000"/>
                <w:sz w:val="18"/>
              </w:rPr>
              <w:t>4.448.733</w:t>
            </w:r>
          </w:p>
        </w:tc>
      </w:tr>
      <w:tr w:rsidR="00EA4292" w:rsidRPr="00701F32" w14:paraId="3B40CDD8" w14:textId="77777777" w:rsidTr="00002574">
        <w:trPr>
          <w:trHeight w:val="279"/>
          <w:jc w:val="center"/>
        </w:trPr>
        <w:tc>
          <w:tcPr>
            <w:tcW w:w="3363" w:type="pct"/>
            <w:shd w:val="clear" w:color="auto" w:fill="auto"/>
            <w:noWrap/>
            <w:vAlign w:val="bottom"/>
          </w:tcPr>
          <w:p w14:paraId="4468CDF2"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del BCRA hasta 90 días</w:t>
            </w:r>
          </w:p>
        </w:tc>
        <w:tc>
          <w:tcPr>
            <w:tcW w:w="842" w:type="pct"/>
            <w:vAlign w:val="bottom"/>
          </w:tcPr>
          <w:p w14:paraId="03B18CDE" w14:textId="0004010B" w:rsidR="00EA4292" w:rsidRPr="00701F32" w:rsidRDefault="001F0C23" w:rsidP="00D576C5">
            <w:pPr>
              <w:jc w:val="right"/>
              <w:rPr>
                <w:rFonts w:ascii="Arial" w:hAnsi="Arial" w:cs="Arial"/>
                <w:color w:val="000000"/>
                <w:sz w:val="18"/>
              </w:rPr>
            </w:pPr>
            <w:r w:rsidRPr="00701F32">
              <w:rPr>
                <w:rFonts w:ascii="Arial" w:hAnsi="Arial" w:cs="Arial"/>
                <w:color w:val="000000"/>
                <w:sz w:val="18"/>
              </w:rPr>
              <w:t>286.438</w:t>
            </w:r>
          </w:p>
        </w:tc>
        <w:tc>
          <w:tcPr>
            <w:tcW w:w="795" w:type="pct"/>
            <w:vAlign w:val="bottom"/>
          </w:tcPr>
          <w:p w14:paraId="4D75CCDB" w14:textId="1ABC4257" w:rsidR="00EA4292" w:rsidRPr="00701F32" w:rsidRDefault="001F0C23" w:rsidP="00002574">
            <w:pPr>
              <w:jc w:val="right"/>
              <w:rPr>
                <w:rFonts w:ascii="Arial" w:hAnsi="Arial" w:cs="Arial"/>
                <w:color w:val="000000"/>
                <w:sz w:val="18"/>
              </w:rPr>
            </w:pPr>
            <w:r w:rsidRPr="00701F32">
              <w:rPr>
                <w:rFonts w:ascii="Arial" w:hAnsi="Arial" w:cs="Arial"/>
                <w:color w:val="000000"/>
                <w:sz w:val="18"/>
              </w:rPr>
              <w:t>4.255.255</w:t>
            </w:r>
          </w:p>
        </w:tc>
      </w:tr>
      <w:tr w:rsidR="00EA4292" w:rsidRPr="00701F32" w14:paraId="7A397CDA" w14:textId="77777777" w:rsidTr="00002574">
        <w:trPr>
          <w:trHeight w:val="279"/>
          <w:jc w:val="center"/>
        </w:trPr>
        <w:tc>
          <w:tcPr>
            <w:tcW w:w="3363" w:type="pct"/>
            <w:shd w:val="clear" w:color="auto" w:fill="auto"/>
            <w:noWrap/>
            <w:vAlign w:val="bottom"/>
          </w:tcPr>
          <w:p w14:paraId="40259A9B"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 Liquidez del BCRA hasta 90 días</w:t>
            </w:r>
          </w:p>
        </w:tc>
        <w:tc>
          <w:tcPr>
            <w:tcW w:w="842" w:type="pct"/>
            <w:vAlign w:val="bottom"/>
          </w:tcPr>
          <w:p w14:paraId="7DA8FC8E" w14:textId="192DEF32" w:rsidR="00EA4292" w:rsidRPr="00701F32" w:rsidRDefault="001F0C23" w:rsidP="00002574">
            <w:pPr>
              <w:jc w:val="right"/>
              <w:rPr>
                <w:rFonts w:ascii="Arial" w:hAnsi="Arial" w:cs="Arial"/>
                <w:color w:val="000000"/>
                <w:sz w:val="18"/>
              </w:rPr>
            </w:pPr>
            <w:r w:rsidRPr="00701F32">
              <w:rPr>
                <w:rFonts w:ascii="Arial" w:hAnsi="Arial" w:cs="Arial"/>
                <w:color w:val="000000"/>
                <w:sz w:val="18"/>
              </w:rPr>
              <w:t>11.462.811</w:t>
            </w:r>
          </w:p>
        </w:tc>
        <w:tc>
          <w:tcPr>
            <w:tcW w:w="795" w:type="pct"/>
            <w:vAlign w:val="bottom"/>
          </w:tcPr>
          <w:p w14:paraId="56EDC207" w14:textId="514F8E9F" w:rsidR="00EA4292" w:rsidRPr="00701F32" w:rsidRDefault="001F0C23" w:rsidP="00002574">
            <w:pPr>
              <w:jc w:val="right"/>
              <w:rPr>
                <w:rFonts w:ascii="Arial" w:hAnsi="Arial" w:cs="Arial"/>
                <w:color w:val="000000"/>
                <w:sz w:val="18"/>
              </w:rPr>
            </w:pPr>
            <w:r w:rsidRPr="00701F32">
              <w:rPr>
                <w:rFonts w:ascii="Arial" w:hAnsi="Arial" w:cs="Arial"/>
                <w:color w:val="000000"/>
                <w:sz w:val="18"/>
              </w:rPr>
              <w:t xml:space="preserve">-   </w:t>
            </w:r>
          </w:p>
        </w:tc>
      </w:tr>
      <w:tr w:rsidR="00EA4292" w:rsidRPr="00701F32" w14:paraId="1F7FF0B5" w14:textId="77777777" w:rsidTr="00002574">
        <w:trPr>
          <w:trHeight w:val="279"/>
          <w:jc w:val="center"/>
        </w:trPr>
        <w:tc>
          <w:tcPr>
            <w:tcW w:w="3363" w:type="pct"/>
            <w:shd w:val="clear" w:color="auto" w:fill="auto"/>
            <w:noWrap/>
            <w:vAlign w:val="bottom"/>
          </w:tcPr>
          <w:p w14:paraId="0A77B022"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del Tesoro Nacional hasta 90 días</w:t>
            </w:r>
          </w:p>
        </w:tc>
        <w:tc>
          <w:tcPr>
            <w:tcW w:w="842" w:type="pct"/>
            <w:vAlign w:val="bottom"/>
          </w:tcPr>
          <w:p w14:paraId="2CACC26C" w14:textId="67F1C9F3" w:rsidR="00EA4292" w:rsidRPr="00701F32" w:rsidRDefault="001F0C23" w:rsidP="00002574">
            <w:pPr>
              <w:jc w:val="right"/>
              <w:rPr>
                <w:rFonts w:ascii="Arial" w:hAnsi="Arial" w:cs="Arial"/>
                <w:color w:val="000000"/>
                <w:sz w:val="18"/>
              </w:rPr>
            </w:pPr>
            <w:r w:rsidRPr="00701F32">
              <w:rPr>
                <w:rFonts w:ascii="Arial" w:hAnsi="Arial" w:cs="Arial"/>
                <w:color w:val="000000"/>
                <w:sz w:val="18"/>
              </w:rPr>
              <w:t>35.456</w:t>
            </w:r>
          </w:p>
        </w:tc>
        <w:tc>
          <w:tcPr>
            <w:tcW w:w="795" w:type="pct"/>
            <w:vAlign w:val="bottom"/>
          </w:tcPr>
          <w:p w14:paraId="7AAB7A4E" w14:textId="278F0A0E" w:rsidR="00EA4292" w:rsidRPr="00701F32" w:rsidRDefault="001F0C23" w:rsidP="00002574">
            <w:pPr>
              <w:jc w:val="right"/>
              <w:rPr>
                <w:rFonts w:ascii="Arial" w:hAnsi="Arial" w:cs="Arial"/>
                <w:color w:val="000000"/>
                <w:sz w:val="18"/>
              </w:rPr>
            </w:pPr>
            <w:r w:rsidRPr="00701F32">
              <w:rPr>
                <w:rFonts w:ascii="Arial" w:hAnsi="Arial" w:cs="Arial"/>
                <w:color w:val="000000"/>
                <w:sz w:val="18"/>
              </w:rPr>
              <w:t>85.400</w:t>
            </w:r>
          </w:p>
        </w:tc>
      </w:tr>
      <w:tr w:rsidR="00EA4292" w:rsidRPr="00701F32" w14:paraId="38DFFDBF" w14:textId="77777777" w:rsidTr="00002574">
        <w:trPr>
          <w:trHeight w:val="279"/>
          <w:jc w:val="center"/>
        </w:trPr>
        <w:tc>
          <w:tcPr>
            <w:tcW w:w="3363" w:type="pct"/>
            <w:shd w:val="clear" w:color="auto" w:fill="auto"/>
            <w:noWrap/>
            <w:vAlign w:val="bottom"/>
          </w:tcPr>
          <w:p w14:paraId="0A4218AA"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Fondos Comunes de Inversión en Lebacs hasta 90 días</w:t>
            </w:r>
          </w:p>
        </w:tc>
        <w:tc>
          <w:tcPr>
            <w:tcW w:w="842" w:type="pct"/>
            <w:vAlign w:val="bottom"/>
          </w:tcPr>
          <w:p w14:paraId="24B8DB1F" w14:textId="77F3F735" w:rsidR="00EA4292" w:rsidRPr="00701F32" w:rsidRDefault="001F0C23" w:rsidP="00002574">
            <w:pPr>
              <w:jc w:val="right"/>
              <w:rPr>
                <w:rFonts w:ascii="Arial" w:hAnsi="Arial" w:cs="Arial"/>
                <w:color w:val="000000"/>
                <w:sz w:val="18"/>
              </w:rPr>
            </w:pPr>
            <w:r w:rsidRPr="00701F32">
              <w:rPr>
                <w:rFonts w:ascii="Arial" w:hAnsi="Arial" w:cs="Arial"/>
                <w:color w:val="000000"/>
                <w:sz w:val="18"/>
              </w:rPr>
              <w:t xml:space="preserve">-   </w:t>
            </w:r>
          </w:p>
        </w:tc>
        <w:tc>
          <w:tcPr>
            <w:tcW w:w="795" w:type="pct"/>
            <w:vAlign w:val="bottom"/>
          </w:tcPr>
          <w:p w14:paraId="62BAF1ED" w14:textId="5B640427" w:rsidR="00EA4292" w:rsidRPr="00701F32" w:rsidRDefault="001F0C23" w:rsidP="00002574">
            <w:pPr>
              <w:jc w:val="right"/>
              <w:rPr>
                <w:rFonts w:ascii="Arial" w:hAnsi="Arial" w:cs="Arial"/>
                <w:color w:val="000000"/>
                <w:sz w:val="18"/>
              </w:rPr>
            </w:pPr>
            <w:r w:rsidRPr="00701F32">
              <w:rPr>
                <w:rFonts w:ascii="Arial" w:hAnsi="Arial" w:cs="Arial"/>
                <w:color w:val="000000"/>
                <w:sz w:val="18"/>
              </w:rPr>
              <w:t>108.078</w:t>
            </w:r>
          </w:p>
        </w:tc>
      </w:tr>
      <w:tr w:rsidR="00EA4292" w:rsidRPr="00701F32" w14:paraId="7C5CD640" w14:textId="77777777" w:rsidTr="00002574">
        <w:trPr>
          <w:trHeight w:val="279"/>
          <w:jc w:val="center"/>
        </w:trPr>
        <w:tc>
          <w:tcPr>
            <w:tcW w:w="3363" w:type="pct"/>
            <w:shd w:val="clear" w:color="auto" w:fill="auto"/>
            <w:noWrap/>
            <w:vAlign w:val="bottom"/>
          </w:tcPr>
          <w:p w14:paraId="04164A67" w14:textId="77777777" w:rsidR="00EA4292" w:rsidRPr="00701F32" w:rsidRDefault="00EA4292" w:rsidP="00002574">
            <w:pPr>
              <w:spacing w:line="259" w:lineRule="auto"/>
              <w:jc w:val="both"/>
              <w:rPr>
                <w:rFonts w:ascii="Arial" w:hAnsi="Arial" w:cs="Arial"/>
                <w:b/>
                <w:bCs/>
                <w:color w:val="000000"/>
                <w:sz w:val="18"/>
                <w:lang w:eastAsia="es-AR"/>
              </w:rPr>
            </w:pPr>
            <w:r w:rsidRPr="00701F32">
              <w:rPr>
                <w:rFonts w:ascii="Arial" w:hAnsi="Arial" w:cs="Arial"/>
                <w:b/>
                <w:color w:val="000000"/>
                <w:sz w:val="18"/>
                <w:lang w:eastAsia="es-AR"/>
              </w:rPr>
              <w:t>Títulos de deuda a valor razonable s/Estado de Flujo de Efectivo</w:t>
            </w:r>
          </w:p>
        </w:tc>
        <w:tc>
          <w:tcPr>
            <w:tcW w:w="842" w:type="pct"/>
            <w:vAlign w:val="bottom"/>
          </w:tcPr>
          <w:p w14:paraId="663105DE" w14:textId="448D010E" w:rsidR="00EA4292" w:rsidRPr="00701F32" w:rsidRDefault="001F0C23" w:rsidP="00002574">
            <w:pPr>
              <w:jc w:val="right"/>
              <w:rPr>
                <w:rFonts w:ascii="Arial" w:hAnsi="Arial" w:cs="Arial"/>
                <w:b/>
                <w:bCs/>
                <w:color w:val="000000"/>
                <w:sz w:val="18"/>
              </w:rPr>
            </w:pPr>
            <w:r w:rsidRPr="00701F32">
              <w:rPr>
                <w:rFonts w:ascii="Arial" w:hAnsi="Arial" w:cs="Arial"/>
                <w:b/>
                <w:bCs/>
                <w:color w:val="000000"/>
                <w:sz w:val="18"/>
              </w:rPr>
              <w:t>11.784.705</w:t>
            </w:r>
          </w:p>
        </w:tc>
        <w:tc>
          <w:tcPr>
            <w:tcW w:w="795" w:type="pct"/>
            <w:vAlign w:val="bottom"/>
          </w:tcPr>
          <w:p w14:paraId="01BAF530" w14:textId="37DA2A8E" w:rsidR="00EA4292" w:rsidRPr="00701F32" w:rsidRDefault="001F0C23" w:rsidP="00002574">
            <w:pPr>
              <w:jc w:val="right"/>
              <w:rPr>
                <w:rFonts w:ascii="Arial" w:hAnsi="Arial" w:cs="Arial"/>
                <w:b/>
                <w:bCs/>
                <w:color w:val="000000"/>
                <w:sz w:val="18"/>
              </w:rPr>
            </w:pPr>
            <w:r w:rsidRPr="00701F32">
              <w:rPr>
                <w:rFonts w:ascii="Arial" w:hAnsi="Arial" w:cs="Arial"/>
                <w:b/>
                <w:bCs/>
                <w:color w:val="000000"/>
                <w:sz w:val="18"/>
              </w:rPr>
              <w:t>4.448.733</w:t>
            </w:r>
          </w:p>
        </w:tc>
      </w:tr>
      <w:tr w:rsidR="00E509B3" w:rsidRPr="00701F32" w14:paraId="000E510E" w14:textId="77777777" w:rsidTr="00002574">
        <w:trPr>
          <w:trHeight w:val="279"/>
          <w:jc w:val="center"/>
        </w:trPr>
        <w:tc>
          <w:tcPr>
            <w:tcW w:w="3363" w:type="pct"/>
            <w:shd w:val="clear" w:color="auto" w:fill="auto"/>
            <w:noWrap/>
            <w:vAlign w:val="bottom"/>
          </w:tcPr>
          <w:p w14:paraId="10944EB7" w14:textId="77777777" w:rsidR="00E509B3" w:rsidRPr="00701F32" w:rsidRDefault="00E509B3" w:rsidP="00002574">
            <w:pPr>
              <w:spacing w:line="259" w:lineRule="auto"/>
              <w:jc w:val="both"/>
              <w:rPr>
                <w:rFonts w:ascii="Arial" w:hAnsi="Arial" w:cs="Arial"/>
                <w:color w:val="000000"/>
                <w:sz w:val="18"/>
                <w:lang w:eastAsia="es-AR"/>
              </w:rPr>
            </w:pPr>
            <w:r w:rsidRPr="00701F32">
              <w:rPr>
                <w:rFonts w:ascii="Arial" w:hAnsi="Arial" w:cs="Arial"/>
                <w:b/>
                <w:color w:val="000000"/>
                <w:sz w:val="18"/>
                <w:lang w:eastAsia="es-AR"/>
              </w:rPr>
              <w:t>Titulos no considerados Equivalentes de Efectivo</w:t>
            </w:r>
          </w:p>
        </w:tc>
        <w:tc>
          <w:tcPr>
            <w:tcW w:w="842" w:type="pct"/>
            <w:vAlign w:val="bottom"/>
          </w:tcPr>
          <w:p w14:paraId="249C7775" w14:textId="488BF241" w:rsidR="00E509B3" w:rsidRPr="00701F32" w:rsidRDefault="001F0C23" w:rsidP="00A731C6">
            <w:pPr>
              <w:jc w:val="right"/>
              <w:rPr>
                <w:rFonts w:ascii="Arial" w:hAnsi="Arial" w:cs="Arial"/>
                <w:b/>
                <w:color w:val="000000"/>
                <w:sz w:val="18"/>
              </w:rPr>
            </w:pPr>
            <w:r w:rsidRPr="00701F32">
              <w:rPr>
                <w:rFonts w:ascii="Arial" w:hAnsi="Arial" w:cs="Arial"/>
                <w:b/>
                <w:color w:val="000000"/>
                <w:sz w:val="18"/>
              </w:rPr>
              <w:t>1.749.002</w:t>
            </w:r>
          </w:p>
        </w:tc>
        <w:tc>
          <w:tcPr>
            <w:tcW w:w="795" w:type="pct"/>
            <w:vAlign w:val="bottom"/>
          </w:tcPr>
          <w:p w14:paraId="219F8717" w14:textId="479F5C15" w:rsidR="00E509B3" w:rsidRPr="00701F32" w:rsidRDefault="001F0C23" w:rsidP="00002574">
            <w:pPr>
              <w:jc w:val="right"/>
              <w:rPr>
                <w:rFonts w:ascii="Arial" w:hAnsi="Arial" w:cs="Arial"/>
                <w:b/>
                <w:color w:val="000000"/>
                <w:sz w:val="18"/>
              </w:rPr>
            </w:pPr>
            <w:r w:rsidRPr="00701F32">
              <w:rPr>
                <w:rFonts w:ascii="Arial" w:hAnsi="Arial" w:cs="Arial"/>
                <w:b/>
                <w:color w:val="000000"/>
                <w:sz w:val="18"/>
              </w:rPr>
              <w:t>-</w:t>
            </w:r>
          </w:p>
        </w:tc>
      </w:tr>
    </w:tbl>
    <w:p w14:paraId="40483571" w14:textId="77777777" w:rsidR="00526097" w:rsidRPr="00701F32" w:rsidRDefault="00526097" w:rsidP="00A06BE9">
      <w:pPr>
        <w:jc w:val="both"/>
        <w:rPr>
          <w:rFonts w:ascii="Arial" w:eastAsia="SimSun" w:hAnsi="Arial" w:cs="Arial"/>
          <w:b/>
          <w:noProof/>
          <w:color w:val="000000"/>
          <w:sz w:val="20"/>
          <w:lang w:eastAsia="es-AR"/>
        </w:rPr>
      </w:pPr>
    </w:p>
    <w:p w14:paraId="32585C97" w14:textId="77777777" w:rsidR="00A06BE9" w:rsidRPr="00701F32" w:rsidRDefault="00A06BE9" w:rsidP="00A06BE9">
      <w:pPr>
        <w:jc w:val="both"/>
        <w:rPr>
          <w:rFonts w:ascii="Arial" w:eastAsia="SimSun" w:hAnsi="Arial" w:cs="Arial"/>
          <w:b/>
          <w:noProof/>
          <w:color w:val="000000"/>
          <w:sz w:val="20"/>
          <w:lang w:eastAsia="es-AR"/>
        </w:rPr>
      </w:pPr>
      <w:r w:rsidRPr="00701F32">
        <w:rPr>
          <w:rFonts w:ascii="Arial" w:eastAsia="SimSun" w:hAnsi="Arial" w:cs="Arial"/>
          <w:b/>
          <w:noProof/>
          <w:color w:val="000000"/>
          <w:sz w:val="20"/>
          <w:lang w:eastAsia="es-AR"/>
        </w:rPr>
        <w:t xml:space="preserve">1.9 Instrumentos financieros </w:t>
      </w:r>
    </w:p>
    <w:p w14:paraId="02E4C8BA" w14:textId="77777777" w:rsidR="00A06BE9" w:rsidRPr="00701F32" w:rsidRDefault="00A06BE9" w:rsidP="00A06BE9">
      <w:pPr>
        <w:jc w:val="both"/>
        <w:rPr>
          <w:rFonts w:ascii="Arial" w:eastAsia="Calibri" w:hAnsi="Arial" w:cs="Arial"/>
          <w:noProof/>
          <w:sz w:val="20"/>
        </w:rPr>
      </w:pPr>
    </w:p>
    <w:p w14:paraId="1DF54012" w14:textId="77777777" w:rsidR="00A06BE9" w:rsidRPr="00701F32" w:rsidRDefault="00A06BE9" w:rsidP="00A06BE9">
      <w:pPr>
        <w:jc w:val="both"/>
        <w:rPr>
          <w:rFonts w:ascii="Arial" w:hAnsi="Arial" w:cs="Arial"/>
          <w:noProof/>
          <w:sz w:val="20"/>
          <w:u w:val="single"/>
        </w:rPr>
      </w:pPr>
      <w:r w:rsidRPr="00701F32">
        <w:rPr>
          <w:rFonts w:ascii="Arial" w:hAnsi="Arial" w:cs="Arial"/>
          <w:noProof/>
          <w:sz w:val="20"/>
          <w:u w:val="single"/>
        </w:rPr>
        <w:t>Reconocimiento Inicial</w:t>
      </w:r>
    </w:p>
    <w:p w14:paraId="64A7A45E" w14:textId="77777777" w:rsidR="00A06BE9" w:rsidRPr="00701F32" w:rsidRDefault="00A06BE9" w:rsidP="00A06BE9">
      <w:pPr>
        <w:jc w:val="both"/>
        <w:rPr>
          <w:rFonts w:ascii="Arial" w:hAnsi="Arial" w:cs="Arial"/>
          <w:noProof/>
          <w:sz w:val="20"/>
          <w:u w:val="single"/>
        </w:rPr>
      </w:pPr>
    </w:p>
    <w:p w14:paraId="0E5992FA" w14:textId="77777777" w:rsidR="00A06BE9" w:rsidRPr="00701F32" w:rsidRDefault="00A06BE9" w:rsidP="00A06BE9">
      <w:pPr>
        <w:spacing w:after="160" w:line="259" w:lineRule="auto"/>
        <w:jc w:val="both"/>
        <w:rPr>
          <w:rFonts w:ascii="Arial" w:eastAsia="Calibri" w:hAnsi="Arial" w:cs="Arial"/>
          <w:noProof/>
          <w:sz w:val="20"/>
        </w:rPr>
      </w:pPr>
      <w:r w:rsidRPr="00701F32">
        <w:rPr>
          <w:rFonts w:ascii="Arial" w:eastAsia="Calibri" w:hAnsi="Arial" w:cs="Arial"/>
          <w:sz w:val="20"/>
        </w:rPr>
        <w:t xml:space="preserve">La Entidad reconoce un activo o pasivo financiero en sus Estados Financieros Condensado Intermedios, según corresponda, cuando se haga parte de las cláusulas contractuales del instrumento financiero en cuestión. </w:t>
      </w:r>
      <w:r w:rsidRPr="00701F32">
        <w:rPr>
          <w:rFonts w:ascii="Arial" w:eastAsia="Calibri" w:hAnsi="Arial" w:cs="Arial"/>
          <w:noProof/>
          <w:sz w:val="20"/>
        </w:rPr>
        <w:t>Las compras y ventas de instrumentos financieros que requieren la entrega de activos dentro del plazo generalmente establecido por regulaciones o condiciones de mercado,son reconocidas en la fecha de negociación de la operación</w:t>
      </w:r>
      <w:r w:rsidRPr="00701F32">
        <w:rPr>
          <w:rFonts w:ascii="Arial" w:eastAsia="Calibri" w:hAnsi="Arial" w:cs="Arial"/>
          <w:noProof/>
          <w:color w:val="00B050"/>
          <w:sz w:val="20"/>
        </w:rPr>
        <w:t xml:space="preserve"> </w:t>
      </w:r>
      <w:r w:rsidRPr="00701F32">
        <w:rPr>
          <w:rFonts w:ascii="Arial" w:eastAsia="Calibri" w:hAnsi="Arial" w:cs="Arial"/>
          <w:noProof/>
          <w:sz w:val="20"/>
        </w:rPr>
        <w:t>en que la Entidad, se compromete a la compra o venta del activo.</w:t>
      </w:r>
    </w:p>
    <w:p w14:paraId="1D6838B8"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En el reconocimiento inicial, la Entidad mide los activos o pasivos financieros a su valor razonable. Los instrumentos no reconocidos a valor razonables con cambios en resultados, son registrados al valor razonable ajustado por los costos de transacción que son directamente atribuibles a la propia adquisición o emision de los mismos, tales como honorarios y comisiones. </w:t>
      </w:r>
    </w:p>
    <w:p w14:paraId="4254B1A7" w14:textId="77777777" w:rsidR="00A06BE9" w:rsidRPr="00701F32" w:rsidRDefault="00A06BE9" w:rsidP="00A06BE9">
      <w:pPr>
        <w:jc w:val="both"/>
        <w:rPr>
          <w:rFonts w:ascii="Arial" w:eastAsia="Calibri" w:hAnsi="Arial" w:cs="Arial"/>
          <w:noProof/>
          <w:sz w:val="20"/>
        </w:rPr>
      </w:pPr>
    </w:p>
    <w:p w14:paraId="46302018"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Cuando el valor razonable difiera del valor de costo del reconocimiento inicial, La Entidad reconoce la diferencia de la siguiente manera: </w:t>
      </w:r>
    </w:p>
    <w:p w14:paraId="3F4C1D0C" w14:textId="77777777" w:rsidR="00A06BE9" w:rsidRPr="00701F32" w:rsidRDefault="00A06BE9" w:rsidP="00A06BE9">
      <w:pPr>
        <w:jc w:val="both"/>
        <w:rPr>
          <w:rFonts w:ascii="Arial" w:eastAsia="Calibri" w:hAnsi="Arial" w:cs="Arial"/>
          <w:noProof/>
          <w:sz w:val="20"/>
        </w:rPr>
      </w:pPr>
    </w:p>
    <w:p w14:paraId="66033783" w14:textId="77777777" w:rsidR="00A06BE9" w:rsidRPr="00701F32" w:rsidRDefault="00A06BE9" w:rsidP="00A06BE9">
      <w:pPr>
        <w:numPr>
          <w:ilvl w:val="0"/>
          <w:numId w:val="41"/>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Cuando el valor razonable es acorde al valor del mercado del activo o pasivo financiero o se encuentre basado en una técnica de valoración que utilice unicamente valores de mercado, la diferencia se reconoce como ganancia o pérdida según corresponda.</w:t>
      </w:r>
    </w:p>
    <w:p w14:paraId="24759AD9" w14:textId="77777777" w:rsidR="00A06BE9" w:rsidRPr="00701F32" w:rsidRDefault="00A06BE9" w:rsidP="00A06BE9">
      <w:pPr>
        <w:jc w:val="both"/>
        <w:rPr>
          <w:rFonts w:ascii="Arial" w:eastAsia="Calibri" w:hAnsi="Arial" w:cs="Arial"/>
          <w:noProof/>
          <w:sz w:val="20"/>
        </w:rPr>
      </w:pPr>
    </w:p>
    <w:p w14:paraId="4EC22CC8" w14:textId="77777777" w:rsidR="00A06BE9" w:rsidRPr="00701F32" w:rsidRDefault="00A06BE9" w:rsidP="00A06BE9">
      <w:pPr>
        <w:numPr>
          <w:ilvl w:val="0"/>
          <w:numId w:val="41"/>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En otros casos, la diferencia se ve diferida y el reconocimiento en el tiempo de la ganancia o pérdida es determinado individualmente. La misma se amortiza a lo largo de la vida del instrumento hasta que el valor razonable pueda ser medido en base a valores del mercado.</w:t>
      </w:r>
    </w:p>
    <w:p w14:paraId="24DEB9D2" w14:textId="77777777" w:rsidR="001B25DF" w:rsidRPr="00701F32" w:rsidRDefault="001B25DF" w:rsidP="00701F32">
      <w:pPr>
        <w:rPr>
          <w:rFonts w:ascii="Arial" w:hAnsi="Arial" w:cs="Arial"/>
          <w:b/>
          <w:noProof/>
          <w:sz w:val="20"/>
          <w:u w:val="single"/>
        </w:rPr>
      </w:pPr>
    </w:p>
    <w:p w14:paraId="10F91DD6" w14:textId="77777777" w:rsidR="00A06BE9" w:rsidRPr="00701F32" w:rsidRDefault="00A06BE9" w:rsidP="00701F32">
      <w:pPr>
        <w:rPr>
          <w:rFonts w:ascii="Arial" w:hAnsi="Arial" w:cs="Arial"/>
          <w:b/>
          <w:noProof/>
          <w:sz w:val="20"/>
          <w:u w:val="single"/>
        </w:rPr>
      </w:pPr>
      <w:r w:rsidRPr="00701F32">
        <w:rPr>
          <w:rFonts w:ascii="Arial" w:hAnsi="Arial" w:cs="Arial"/>
          <w:b/>
          <w:noProof/>
          <w:sz w:val="20"/>
          <w:u w:val="single"/>
        </w:rPr>
        <w:t>Activos financieros</w:t>
      </w:r>
    </w:p>
    <w:p w14:paraId="3FFA655F" w14:textId="77777777" w:rsidR="00A06BE9" w:rsidRPr="00701F32" w:rsidRDefault="00A06BE9" w:rsidP="00A06BE9">
      <w:pPr>
        <w:jc w:val="both"/>
        <w:rPr>
          <w:rFonts w:ascii="Arial" w:hAnsi="Arial" w:cs="Arial"/>
          <w:noProof/>
          <w:sz w:val="20"/>
        </w:rPr>
      </w:pPr>
    </w:p>
    <w:p w14:paraId="040FC40F" w14:textId="77777777" w:rsidR="00A06BE9" w:rsidRPr="00701F32" w:rsidRDefault="00A06BE9" w:rsidP="00A06BE9">
      <w:pPr>
        <w:jc w:val="both"/>
        <w:rPr>
          <w:rFonts w:ascii="Arial" w:hAnsi="Arial" w:cs="Arial"/>
          <w:noProof/>
          <w:sz w:val="20"/>
          <w:u w:val="single"/>
        </w:rPr>
      </w:pPr>
      <w:r w:rsidRPr="00701F32">
        <w:rPr>
          <w:rFonts w:ascii="Arial" w:hAnsi="Arial" w:cs="Arial"/>
          <w:noProof/>
          <w:sz w:val="20"/>
          <w:u w:val="single"/>
        </w:rPr>
        <w:t>a - Instrumentos de deuda</w:t>
      </w:r>
    </w:p>
    <w:p w14:paraId="6BE11F0E" w14:textId="77777777" w:rsidR="00A06BE9" w:rsidRPr="00701F32" w:rsidRDefault="00A06BE9" w:rsidP="00A06BE9">
      <w:pPr>
        <w:jc w:val="both"/>
        <w:rPr>
          <w:rFonts w:ascii="Arial" w:hAnsi="Arial" w:cs="Arial"/>
          <w:noProof/>
          <w:sz w:val="20"/>
        </w:rPr>
      </w:pPr>
    </w:p>
    <w:p w14:paraId="3671515A" w14:textId="77777777" w:rsidR="00A06BE9" w:rsidRPr="00701F32" w:rsidRDefault="00A06BE9" w:rsidP="00A06BE9">
      <w:pPr>
        <w:jc w:val="both"/>
        <w:rPr>
          <w:rFonts w:ascii="Arial" w:hAnsi="Arial" w:cs="Arial"/>
          <w:noProof/>
          <w:sz w:val="20"/>
        </w:rPr>
      </w:pPr>
      <w:r w:rsidRPr="00701F32">
        <w:rPr>
          <w:rFonts w:ascii="Arial" w:hAnsi="Arial" w:cs="Arial"/>
          <w:noProof/>
          <w:sz w:val="20"/>
        </w:rPr>
        <w:t xml:space="preserve">La Entidad considera instrumentos de deuda aquellos que se consideran pasivos financieros para el emisor, tales como préstamos, títulos públicos y privados, </w:t>
      </w:r>
      <w:r w:rsidR="00D93A75" w:rsidRPr="00701F32">
        <w:rPr>
          <w:rFonts w:ascii="Arial" w:hAnsi="Arial" w:cs="Arial"/>
          <w:noProof/>
          <w:sz w:val="20"/>
        </w:rPr>
        <w:t xml:space="preserve">títulos de deuda </w:t>
      </w:r>
      <w:r w:rsidRPr="00701F32">
        <w:rPr>
          <w:rFonts w:ascii="Arial" w:hAnsi="Arial" w:cs="Arial"/>
          <w:noProof/>
          <w:sz w:val="20"/>
        </w:rPr>
        <w:t xml:space="preserve">y cuentas por cobrar de clientes en </w:t>
      </w:r>
      <w:r w:rsidR="00D93A75" w:rsidRPr="00701F32">
        <w:rPr>
          <w:rFonts w:ascii="Arial" w:hAnsi="Arial" w:cs="Arial"/>
          <w:noProof/>
          <w:sz w:val="20"/>
        </w:rPr>
        <w:t xml:space="preserve">acuerdos </w:t>
      </w:r>
      <w:r w:rsidRPr="00701F32">
        <w:rPr>
          <w:rFonts w:ascii="Arial" w:hAnsi="Arial" w:cs="Arial"/>
          <w:noProof/>
          <w:sz w:val="20"/>
        </w:rPr>
        <w:t>sin recursos.</w:t>
      </w:r>
    </w:p>
    <w:p w14:paraId="344AA783" w14:textId="77777777" w:rsidR="00A06BE9" w:rsidRPr="00701F32" w:rsidRDefault="00A06BE9" w:rsidP="00A06BE9">
      <w:pPr>
        <w:jc w:val="both"/>
        <w:rPr>
          <w:rFonts w:ascii="Arial" w:hAnsi="Arial" w:cs="Arial"/>
          <w:noProof/>
          <w:sz w:val="20"/>
          <w:u w:val="single"/>
        </w:rPr>
      </w:pPr>
    </w:p>
    <w:p w14:paraId="2F0920D0" w14:textId="77777777" w:rsidR="00A06BE9" w:rsidRPr="00701F32" w:rsidRDefault="00A06BE9" w:rsidP="00A06BE9">
      <w:pPr>
        <w:jc w:val="both"/>
        <w:rPr>
          <w:rFonts w:ascii="Arial" w:hAnsi="Arial" w:cs="Arial"/>
          <w:noProof/>
          <w:sz w:val="20"/>
          <w:u w:val="single"/>
        </w:rPr>
      </w:pPr>
      <w:r w:rsidRPr="00701F32">
        <w:rPr>
          <w:rFonts w:ascii="Arial" w:hAnsi="Arial" w:cs="Arial"/>
          <w:noProof/>
          <w:sz w:val="20"/>
          <w:u w:val="single"/>
        </w:rPr>
        <w:t>Clasificación</w:t>
      </w:r>
    </w:p>
    <w:p w14:paraId="0C3C8556" w14:textId="77777777" w:rsidR="00A06BE9" w:rsidRPr="00701F32" w:rsidRDefault="00A06BE9" w:rsidP="00A06BE9">
      <w:pPr>
        <w:jc w:val="both"/>
        <w:rPr>
          <w:rFonts w:ascii="Arial" w:hAnsi="Arial" w:cs="Arial"/>
          <w:noProof/>
          <w:sz w:val="20"/>
        </w:rPr>
      </w:pPr>
    </w:p>
    <w:p w14:paraId="08D3E972" w14:textId="77777777" w:rsidR="00A06BE9" w:rsidRPr="00701F32" w:rsidRDefault="00A06BE9" w:rsidP="00A06BE9">
      <w:pPr>
        <w:jc w:val="both"/>
        <w:rPr>
          <w:rFonts w:ascii="Arial" w:hAnsi="Arial" w:cs="Arial"/>
          <w:noProof/>
          <w:sz w:val="20"/>
        </w:rPr>
      </w:pPr>
      <w:r w:rsidRPr="00701F32">
        <w:rPr>
          <w:rFonts w:ascii="Arial" w:hAnsi="Arial" w:cs="Arial"/>
          <w:noProof/>
          <w:sz w:val="20"/>
        </w:rPr>
        <w:t>Conforme lo establecido por la NIIF 9, la Entidad clasifica los activos financieros según se midan posteriormente a costo amortizado, a valor razonable con cambios en otro resultado integral o a valor razonable con cambios en resultados, sobre la base:</w:t>
      </w:r>
    </w:p>
    <w:p w14:paraId="44AF6C8B" w14:textId="77777777" w:rsidR="00A06BE9" w:rsidRPr="00701F32" w:rsidRDefault="00A06BE9" w:rsidP="00A06BE9">
      <w:pPr>
        <w:jc w:val="both"/>
        <w:rPr>
          <w:rFonts w:ascii="Arial" w:hAnsi="Arial" w:cs="Arial"/>
          <w:noProof/>
          <w:sz w:val="20"/>
        </w:rPr>
      </w:pPr>
    </w:p>
    <w:p w14:paraId="18E3D7D5" w14:textId="77777777" w:rsidR="00A06BE9" w:rsidRPr="00701F32" w:rsidRDefault="00A06BE9" w:rsidP="00A06BE9">
      <w:pPr>
        <w:numPr>
          <w:ilvl w:val="0"/>
          <w:numId w:val="37"/>
        </w:numPr>
        <w:spacing w:after="160" w:line="259" w:lineRule="auto"/>
        <w:ind w:right="-12"/>
        <w:jc w:val="both"/>
        <w:rPr>
          <w:rFonts w:ascii="Arial" w:hAnsi="Arial" w:cs="Arial"/>
          <w:noProof/>
          <w:color w:val="000000"/>
          <w:sz w:val="20"/>
        </w:rPr>
      </w:pPr>
      <w:r w:rsidRPr="00701F32">
        <w:rPr>
          <w:rFonts w:ascii="Arial" w:hAnsi="Arial" w:cs="Arial"/>
          <w:noProof/>
          <w:color w:val="000000"/>
          <w:sz w:val="20"/>
        </w:rPr>
        <w:t>Del modelo de negocio del Grupo para gestionar los activos financieros; y</w:t>
      </w:r>
    </w:p>
    <w:p w14:paraId="77DBB6DB" w14:textId="77777777" w:rsidR="00A06BE9" w:rsidRPr="00701F32" w:rsidRDefault="00A06BE9" w:rsidP="00A06BE9">
      <w:pPr>
        <w:ind w:left="993" w:right="-12"/>
        <w:jc w:val="both"/>
        <w:rPr>
          <w:rFonts w:ascii="Arial" w:hAnsi="Arial" w:cs="Arial"/>
          <w:noProof/>
          <w:color w:val="000000"/>
          <w:sz w:val="20"/>
        </w:rPr>
      </w:pPr>
    </w:p>
    <w:p w14:paraId="4302DD67" w14:textId="77777777" w:rsidR="00A06BE9" w:rsidRPr="00701F32" w:rsidRDefault="00A06BE9" w:rsidP="00A06BE9">
      <w:pPr>
        <w:numPr>
          <w:ilvl w:val="0"/>
          <w:numId w:val="37"/>
        </w:numPr>
        <w:spacing w:after="160" w:line="259" w:lineRule="auto"/>
        <w:ind w:right="-12"/>
        <w:jc w:val="both"/>
        <w:rPr>
          <w:rFonts w:ascii="Arial" w:eastAsia="Calibri" w:hAnsi="Arial" w:cs="Arial"/>
          <w:noProof/>
          <w:color w:val="000000"/>
          <w:sz w:val="20"/>
        </w:rPr>
      </w:pPr>
      <w:r w:rsidRPr="00701F32">
        <w:rPr>
          <w:rFonts w:ascii="Arial" w:eastAsia="Calibri" w:hAnsi="Arial" w:cs="Arial"/>
          <w:noProof/>
          <w:color w:val="000000"/>
          <w:sz w:val="20"/>
        </w:rPr>
        <w:t>De las características de los flujos de efectivo contractuales del activo financiero.</w:t>
      </w:r>
    </w:p>
    <w:p w14:paraId="5FF49D58" w14:textId="77777777" w:rsidR="00A06BE9" w:rsidRPr="00701F32" w:rsidRDefault="00A06BE9" w:rsidP="00A06BE9">
      <w:pPr>
        <w:jc w:val="both"/>
        <w:rPr>
          <w:rFonts w:ascii="Arial" w:eastAsia="Calibri" w:hAnsi="Arial" w:cs="Arial"/>
          <w:noProof/>
          <w:sz w:val="20"/>
        </w:rPr>
      </w:pPr>
    </w:p>
    <w:p w14:paraId="46452C82"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 xml:space="preserve">Modelo de Negocio </w:t>
      </w:r>
    </w:p>
    <w:p w14:paraId="66C95483" w14:textId="77777777" w:rsidR="00A06BE9" w:rsidRPr="00701F32" w:rsidRDefault="00A06BE9" w:rsidP="00A06BE9">
      <w:pPr>
        <w:jc w:val="both"/>
        <w:rPr>
          <w:rFonts w:ascii="Arial" w:eastAsia="Calibri" w:hAnsi="Arial" w:cs="Arial"/>
          <w:noProof/>
          <w:sz w:val="20"/>
        </w:rPr>
      </w:pPr>
    </w:p>
    <w:p w14:paraId="54BC04E6"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El modelo de negocio se refiere al modo en que la Entidad gestiona un conjunto de activos financieros para lograr un objetivo de negocio concreto. Representa la forma en la cual se mantienen los instrumentos para la generación de fondos. </w:t>
      </w:r>
    </w:p>
    <w:p w14:paraId="4C14C731" w14:textId="77777777" w:rsidR="00A06BE9" w:rsidRPr="00701F32" w:rsidRDefault="00A06BE9" w:rsidP="00A06BE9">
      <w:pPr>
        <w:jc w:val="both"/>
        <w:rPr>
          <w:rFonts w:ascii="Arial" w:eastAsia="Calibri" w:hAnsi="Arial" w:cs="Arial"/>
          <w:noProof/>
          <w:sz w:val="20"/>
        </w:rPr>
      </w:pPr>
    </w:p>
    <w:p w14:paraId="542A8242"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Los modelos de negocio que puede seguir la Entidad son los siguientes</w:t>
      </w:r>
      <w:r w:rsidR="00E30151" w:rsidRPr="00701F32">
        <w:rPr>
          <w:rFonts w:ascii="Arial" w:eastAsia="Calibri" w:hAnsi="Arial" w:cs="Arial"/>
          <w:noProof/>
          <w:sz w:val="20"/>
        </w:rPr>
        <w:t>;</w:t>
      </w:r>
    </w:p>
    <w:p w14:paraId="7DD4078C" w14:textId="77777777" w:rsidR="00A06BE9" w:rsidRPr="00701F32" w:rsidRDefault="00A06BE9" w:rsidP="00A06BE9">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instrumentos hasta el vencimiento;</w:t>
      </w:r>
    </w:p>
    <w:p w14:paraId="4A328370" w14:textId="77777777" w:rsidR="00A06BE9" w:rsidRPr="00701F32" w:rsidRDefault="00A06BE9" w:rsidP="00A06BE9">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intrumentos en cartera para el cobro de flujo de fondos y, a su vez, venderlos en caso de que sea conveniente; o</w:t>
      </w:r>
    </w:p>
    <w:p w14:paraId="0EE94A04" w14:textId="77777777" w:rsidR="00A06BE9" w:rsidRPr="00701F32" w:rsidRDefault="00A06BE9" w:rsidP="00A06BE9">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instrumentos para su negociación</w:t>
      </w:r>
    </w:p>
    <w:p w14:paraId="26C92544" w14:textId="77777777" w:rsidR="00A06BE9" w:rsidRPr="00701F32" w:rsidRDefault="00A06BE9" w:rsidP="00A06BE9">
      <w:pPr>
        <w:jc w:val="both"/>
        <w:rPr>
          <w:rFonts w:ascii="Arial" w:eastAsia="Calibri" w:hAnsi="Arial" w:cs="Arial"/>
          <w:noProof/>
          <w:sz w:val="20"/>
        </w:rPr>
      </w:pPr>
    </w:p>
    <w:p w14:paraId="0DA762D2" w14:textId="77777777" w:rsidR="00A06BE9" w:rsidRPr="00701F32" w:rsidRDefault="00A06BE9" w:rsidP="00A06BE9">
      <w:pPr>
        <w:spacing w:after="160" w:line="259" w:lineRule="auto"/>
        <w:contextualSpacing/>
        <w:jc w:val="both"/>
        <w:rPr>
          <w:rFonts w:ascii="Arial" w:eastAsia="Calibri" w:hAnsi="Arial" w:cs="Arial"/>
          <w:sz w:val="20"/>
        </w:rPr>
      </w:pPr>
      <w:r w:rsidRPr="00701F32">
        <w:rPr>
          <w:rFonts w:ascii="Arial" w:eastAsia="Calibri" w:hAnsi="Arial" w:cs="Arial"/>
          <w:sz w:val="20"/>
        </w:rPr>
        <w:t>La Entidad determina su modelo de negocio en el nivel que mejor refleja cómo administra los grupos de activos financieros para lograr un objetivo de negocio concreto.</w:t>
      </w:r>
    </w:p>
    <w:p w14:paraId="6986BFD8" w14:textId="77777777" w:rsidR="00A06BE9" w:rsidRPr="00701F32" w:rsidRDefault="00A06BE9" w:rsidP="00A06BE9">
      <w:pPr>
        <w:spacing w:after="160" w:line="259" w:lineRule="auto"/>
        <w:contextualSpacing/>
        <w:jc w:val="both"/>
        <w:rPr>
          <w:rFonts w:ascii="Arial" w:eastAsia="Calibri" w:hAnsi="Arial" w:cs="Arial"/>
          <w:color w:val="0000CC"/>
          <w:sz w:val="20"/>
        </w:rPr>
      </w:pPr>
    </w:p>
    <w:p w14:paraId="717AAC17"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El modelo de negocio no depende de las intenciones de la gerencia para un instrumento individual. Por consiguiente, dicho m</w:t>
      </w:r>
      <w:r w:rsidRPr="00701F32">
        <w:rPr>
          <w:rFonts w:ascii="Arial" w:eastAsia="Calibri" w:hAnsi="Arial" w:cs="Arial"/>
          <w:sz w:val="20"/>
        </w:rPr>
        <w:t>odelo de negocio no se evalúa instrumento por instrumento, sino a un nivel más alto de carteras agregadas y se basa en factores observables tales como:</w:t>
      </w:r>
    </w:p>
    <w:p w14:paraId="0A28DA68" w14:textId="77777777" w:rsidR="00A06BE9" w:rsidRPr="00701F32" w:rsidRDefault="00A06BE9" w:rsidP="00A06BE9">
      <w:pPr>
        <w:spacing w:after="160" w:line="259" w:lineRule="auto"/>
        <w:contextualSpacing/>
        <w:jc w:val="both"/>
        <w:rPr>
          <w:rFonts w:ascii="Arial" w:eastAsia="Calibri" w:hAnsi="Arial" w:cs="Arial"/>
          <w:sz w:val="20"/>
        </w:rPr>
      </w:pPr>
    </w:p>
    <w:p w14:paraId="5C4F788F" w14:textId="77777777" w:rsidR="00A06BE9" w:rsidRPr="00701F32" w:rsidRDefault="00A06BE9" w:rsidP="00A06BE9">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Cómo se evalúa el rendimiento del modelo de negocio y cómo los activos financieros que se mantienen dentro de ese modelo de negocio se evalúan y reportan al personal clave de la Entidad.</w:t>
      </w:r>
    </w:p>
    <w:p w14:paraId="6FD0E94D" w14:textId="77777777" w:rsidR="00A06BE9" w:rsidRPr="00701F32" w:rsidRDefault="00A06BE9" w:rsidP="00A06BE9">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Los riesgos que afectan el rendimiento del modelo de negocio (y los activos financieros que se mantienen dentro de ese modelo de negocio) y, en particular, la forma en que se gestionan esos riesgos.</w:t>
      </w:r>
    </w:p>
    <w:p w14:paraId="3C9329A1" w14:textId="77777777" w:rsidR="00A06BE9" w:rsidRPr="00701F32" w:rsidRDefault="00A06BE9" w:rsidP="00A06BE9">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Cómo se compensa al personal clave de la Entidad (por ejemplo, si la remuneración se basa en el valor razonable de los activos administrados o en los flujos de efectivo contractuales recaudados).</w:t>
      </w:r>
    </w:p>
    <w:p w14:paraId="74B0ECA9" w14:textId="77777777" w:rsidR="00A06BE9" w:rsidRPr="00701F32" w:rsidRDefault="00A06BE9" w:rsidP="00A06BE9">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La frecuencia esperada, el valor, el momento y las razones de las ventas también son aspectos importantes.</w:t>
      </w:r>
    </w:p>
    <w:p w14:paraId="4274142B" w14:textId="77777777" w:rsidR="00A06BE9" w:rsidRPr="00701F32" w:rsidRDefault="00A06BE9" w:rsidP="00A06BE9">
      <w:pPr>
        <w:jc w:val="both"/>
        <w:rPr>
          <w:rFonts w:ascii="Arial" w:eastAsia="Calibri" w:hAnsi="Arial" w:cs="Arial"/>
          <w:sz w:val="20"/>
        </w:rPr>
      </w:pPr>
    </w:p>
    <w:p w14:paraId="7A368A5D" w14:textId="77777777" w:rsidR="00A06BE9" w:rsidRPr="00701F32" w:rsidRDefault="00A06BE9" w:rsidP="00A06BE9">
      <w:pPr>
        <w:spacing w:after="160" w:line="259" w:lineRule="auto"/>
        <w:contextualSpacing/>
        <w:jc w:val="both"/>
        <w:rPr>
          <w:rFonts w:ascii="Arial" w:eastAsia="Calibri" w:hAnsi="Arial" w:cs="Arial"/>
          <w:sz w:val="20"/>
        </w:rPr>
      </w:pPr>
      <w:r w:rsidRPr="00701F32">
        <w:rPr>
          <w:rFonts w:ascii="Arial" w:eastAsia="Calibri" w:hAnsi="Arial" w:cs="Arial"/>
          <w:sz w:val="20"/>
        </w:rPr>
        <w:t xml:space="preserve">La evaluación del modelo de negocio se basa en escenarios razonablemente esperados, sin tener en cuenta los escenarios de “peor caso” o “caso de estrés”. Si posteriormente a su reconocimiento inicial los flujos de efectivo se realizan de una manera diferente a las expectativas originales, la Entidad no cambia la clasificación de los activos financieros restantes mantenidos en ese modelo de negocio, sino que considera dicha información para evaluar las compras u originaciones recientes. Solo se </w:t>
      </w:r>
      <w:r w:rsidRPr="00701F32">
        <w:rPr>
          <w:rFonts w:ascii="Arial" w:eastAsia="Calibri" w:hAnsi="Arial" w:cs="Arial"/>
          <w:noProof/>
          <w:sz w:val="20"/>
        </w:rPr>
        <w:t xml:space="preserve">realiza la reclasificación de un instrumento cuando, y solo cuando, el modelo de negocio para la gestión de los activos se ve modificado. </w:t>
      </w:r>
    </w:p>
    <w:p w14:paraId="1966FC56" w14:textId="77777777" w:rsidR="0032760F" w:rsidRPr="00701F32" w:rsidRDefault="0032760F" w:rsidP="00A06BE9">
      <w:pPr>
        <w:jc w:val="both"/>
        <w:rPr>
          <w:rFonts w:ascii="Arial" w:eastAsia="Calibri" w:hAnsi="Arial" w:cs="Arial"/>
          <w:noProof/>
          <w:sz w:val="20"/>
          <w:u w:val="single"/>
        </w:rPr>
      </w:pPr>
    </w:p>
    <w:p w14:paraId="1EEB2E1C"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Características del flujo de fondos</w:t>
      </w:r>
    </w:p>
    <w:p w14:paraId="3F54AADC" w14:textId="77777777" w:rsidR="00A06BE9" w:rsidRPr="00701F32" w:rsidRDefault="00A06BE9" w:rsidP="00A06BE9">
      <w:pPr>
        <w:jc w:val="both"/>
        <w:rPr>
          <w:rFonts w:ascii="Arial" w:eastAsia="Calibri" w:hAnsi="Arial" w:cs="Arial"/>
          <w:noProof/>
          <w:sz w:val="20"/>
          <w:u w:val="single"/>
        </w:rPr>
      </w:pPr>
    </w:p>
    <w:p w14:paraId="2E2B86BA"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sz w:val="20"/>
        </w:rPr>
        <w:t xml:space="preserve">Como parte del proceso de clasificación, la Entidad evalúa los términos contractuales de sus instrumentos financieros para identificar </w:t>
      </w:r>
      <w:r w:rsidRPr="00701F32">
        <w:rPr>
          <w:rFonts w:ascii="Arial" w:eastAsia="Calibri" w:hAnsi="Arial" w:cs="Arial"/>
          <w:noProof/>
          <w:sz w:val="20"/>
        </w:rPr>
        <w:t xml:space="preserve">si el rendimiento del flujo de fondos de los mismos agrupados no es significativamente diferente de la contribución que recibiría únicamente por intereses, caso contrario, deberán ser medidos a valor razonable con cambios en resultados. </w:t>
      </w:r>
    </w:p>
    <w:p w14:paraId="56DC4803" w14:textId="77777777" w:rsidR="00A06BE9" w:rsidRPr="00701F32" w:rsidRDefault="00A06BE9" w:rsidP="00A06BE9">
      <w:pPr>
        <w:spacing w:after="160" w:line="259" w:lineRule="auto"/>
        <w:contextualSpacing/>
        <w:jc w:val="both"/>
        <w:rPr>
          <w:rFonts w:ascii="Arial" w:eastAsia="Calibri" w:hAnsi="Arial" w:cs="Arial"/>
          <w:sz w:val="20"/>
        </w:rPr>
      </w:pPr>
    </w:p>
    <w:p w14:paraId="5BC38F01" w14:textId="2976E75C" w:rsidR="00A06BE9" w:rsidRPr="00701F32" w:rsidRDefault="00A06BE9" w:rsidP="00A06BE9">
      <w:pPr>
        <w:spacing w:after="160" w:line="259" w:lineRule="auto"/>
        <w:contextualSpacing/>
        <w:jc w:val="both"/>
        <w:rPr>
          <w:rFonts w:ascii="Arial" w:eastAsia="Calibri" w:hAnsi="Arial" w:cs="Arial"/>
          <w:sz w:val="20"/>
        </w:rPr>
      </w:pPr>
      <w:r w:rsidRPr="00701F32">
        <w:rPr>
          <w:rFonts w:ascii="Arial" w:eastAsia="Calibri" w:hAnsi="Arial" w:cs="Arial"/>
          <w:noProof/>
          <w:sz w:val="20"/>
        </w:rPr>
        <w:t>En base a lo anteriormente mencionado, se distinguen tres categorías de Activos Finan</w:t>
      </w:r>
      <w:r w:rsidR="00742E7A" w:rsidRPr="00701F32">
        <w:rPr>
          <w:rFonts w:ascii="Arial" w:eastAsia="Calibri" w:hAnsi="Arial" w:cs="Arial"/>
          <w:noProof/>
          <w:sz w:val="20"/>
        </w:rPr>
        <w:t>c</w:t>
      </w:r>
      <w:r w:rsidRPr="00701F32">
        <w:rPr>
          <w:rFonts w:ascii="Arial" w:eastAsia="Calibri" w:hAnsi="Arial" w:cs="Arial"/>
          <w:noProof/>
          <w:sz w:val="20"/>
        </w:rPr>
        <w:t>ieros</w:t>
      </w:r>
      <w:r w:rsidRPr="00701F32">
        <w:rPr>
          <w:rFonts w:ascii="Arial" w:eastAsia="Calibri" w:hAnsi="Arial" w:cs="Arial"/>
          <w:sz w:val="20"/>
        </w:rPr>
        <w:t>.</w:t>
      </w:r>
      <w:r w:rsidR="000E6670" w:rsidRPr="00701F32">
        <w:rPr>
          <w:rFonts w:ascii="Arial" w:eastAsia="Calibri" w:hAnsi="Arial" w:cs="Arial"/>
          <w:sz w:val="20"/>
        </w:rPr>
        <w:t xml:space="preserve"> </w:t>
      </w:r>
      <w:r w:rsidRPr="00701F32">
        <w:rPr>
          <w:rFonts w:ascii="Arial" w:eastAsia="Calibri" w:hAnsi="Arial" w:cs="Arial"/>
          <w:sz w:val="20"/>
        </w:rPr>
        <w:t xml:space="preserve">Dicha clasificación se expone en el Anexo P “Categorías de Activos y Pasivos </w:t>
      </w:r>
      <w:r w:rsidR="00D93A75" w:rsidRPr="00701F32">
        <w:rPr>
          <w:rFonts w:ascii="Arial" w:eastAsia="Calibri" w:hAnsi="Arial" w:cs="Arial"/>
          <w:sz w:val="20"/>
        </w:rPr>
        <w:t>Financieros</w:t>
      </w:r>
      <w:r w:rsidRPr="00701F32">
        <w:rPr>
          <w:rFonts w:ascii="Arial" w:eastAsia="Calibri" w:hAnsi="Arial" w:cs="Arial"/>
          <w:sz w:val="20"/>
        </w:rPr>
        <w:t>”</w:t>
      </w:r>
      <w:r w:rsidRPr="00701F32">
        <w:rPr>
          <w:rFonts w:ascii="Arial" w:eastAsia="Calibri" w:hAnsi="Arial" w:cs="Arial"/>
          <w:noProof/>
          <w:sz w:val="20"/>
        </w:rPr>
        <w:t>:</w:t>
      </w:r>
    </w:p>
    <w:p w14:paraId="7851F320" w14:textId="77777777" w:rsidR="00A06BE9" w:rsidRPr="00701F32" w:rsidRDefault="00A06BE9" w:rsidP="00A06BE9">
      <w:pPr>
        <w:pStyle w:val="Prrafodelista"/>
        <w:numPr>
          <w:ilvl w:val="0"/>
          <w:numId w:val="4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Activos financieros a costo amortizado:</w:t>
      </w:r>
    </w:p>
    <w:p w14:paraId="7AE903B0"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Los activos financieros son medidos a costo amortizado cuando:</w:t>
      </w:r>
    </w:p>
    <w:p w14:paraId="583F7AE3" w14:textId="77777777" w:rsidR="00A06BE9" w:rsidRPr="00701F32" w:rsidRDefault="00A06BE9" w:rsidP="00A06BE9">
      <w:pPr>
        <w:jc w:val="both"/>
        <w:rPr>
          <w:rFonts w:ascii="Arial" w:eastAsia="Calibri" w:hAnsi="Arial" w:cs="Arial"/>
          <w:noProof/>
          <w:sz w:val="20"/>
        </w:rPr>
      </w:pPr>
    </w:p>
    <w:p w14:paraId="165A2B5D"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(a) El activo financiero se conserva dentro de un modelo de negocio cuyo objetivo es mantener los activos financieros para obtener los flujos de efectivo contractuales y,</w:t>
      </w:r>
    </w:p>
    <w:p w14:paraId="1C3E3A8C" w14:textId="77777777" w:rsidR="00A06BE9" w:rsidRPr="00701F32" w:rsidRDefault="00A06BE9" w:rsidP="00A06BE9">
      <w:pPr>
        <w:jc w:val="both"/>
        <w:rPr>
          <w:rFonts w:ascii="Arial" w:eastAsia="Calibri" w:hAnsi="Arial" w:cs="Arial"/>
          <w:noProof/>
          <w:sz w:val="20"/>
        </w:rPr>
      </w:pPr>
    </w:p>
    <w:p w14:paraId="1A58C356"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(b) las condiciones contractuales del activo financiero dan lugar, en fechas especificadas, a flujos de efectivo que son únicamente pagos del capital e intereses sobre el importe del capital pendiente.</w:t>
      </w:r>
    </w:p>
    <w:p w14:paraId="5A4A6FBD" w14:textId="77777777" w:rsidR="00A06BE9" w:rsidRPr="00701F32" w:rsidRDefault="00A06BE9" w:rsidP="00A06BE9">
      <w:pPr>
        <w:jc w:val="both"/>
        <w:rPr>
          <w:rFonts w:ascii="Arial" w:eastAsia="Calibri" w:hAnsi="Arial" w:cs="Arial"/>
          <w:noProof/>
          <w:sz w:val="20"/>
        </w:rPr>
      </w:pPr>
    </w:p>
    <w:p w14:paraId="74AD9A05" w14:textId="77777777" w:rsidR="00A06BE9" w:rsidRPr="00701F32" w:rsidRDefault="00A06BE9" w:rsidP="00A06BE9">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Estos instrumentos financieros se reconocen inicialmente a su valor razonable más los costos de transacción incrementales y directamente atribuibles, y posteriormente se miden a costo amortizado.</w:t>
      </w:r>
    </w:p>
    <w:p w14:paraId="42FAB564" w14:textId="77777777" w:rsidR="00A06BE9" w:rsidRPr="00701F32" w:rsidRDefault="00A06BE9" w:rsidP="00A06BE9">
      <w:pPr>
        <w:autoSpaceDE w:val="0"/>
        <w:autoSpaceDN w:val="0"/>
        <w:adjustRightInd w:val="0"/>
        <w:jc w:val="both"/>
        <w:rPr>
          <w:rFonts w:ascii="Arial" w:eastAsia="Calibri" w:hAnsi="Arial" w:cs="Arial"/>
          <w:noProof/>
          <w:sz w:val="20"/>
        </w:rPr>
      </w:pPr>
    </w:p>
    <w:p w14:paraId="270D95AC" w14:textId="77777777" w:rsidR="00A06BE9" w:rsidRPr="00701F32" w:rsidRDefault="00A06BE9" w:rsidP="00A06BE9">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El costo amortizado de un activo financiero es igual a su costo de adquisición menos su amortización acumulada más los intereses devengados (calculados de acuerdo al método de la tasa efectiva), neto de cualquier pérdida por deterioro de valor.</w:t>
      </w:r>
      <w:r w:rsidRPr="00701F32">
        <w:rPr>
          <w:rFonts w:ascii="Arial" w:eastAsia="Calibri" w:hAnsi="Arial" w:cs="Arial"/>
          <w:sz w:val="20"/>
        </w:rPr>
        <w:t xml:space="preserve"> El método del interés efectivo utiliza la tasa que permite descontar los flujos de efectivo futuros que se estiman recibir o pagar en la vida del instrumento o un período menor, de ser apropiado, igualando el valor neto en libros. Al aplicar dicho método, la Entidad identifica los costos directos incrementales como parte integrante de la tasa de interés efectiva. </w:t>
      </w:r>
    </w:p>
    <w:p w14:paraId="4F33A0E1" w14:textId="77777777" w:rsidR="00A06BE9" w:rsidRPr="00701F32" w:rsidRDefault="00A06BE9" w:rsidP="00A06BE9">
      <w:pPr>
        <w:jc w:val="both"/>
        <w:rPr>
          <w:rFonts w:ascii="Arial" w:eastAsia="Calibri" w:hAnsi="Arial" w:cs="Arial"/>
          <w:noProof/>
          <w:sz w:val="20"/>
        </w:rPr>
      </w:pPr>
    </w:p>
    <w:p w14:paraId="0AAFB6D3" w14:textId="77777777" w:rsidR="00A06BE9" w:rsidRPr="00701F32" w:rsidRDefault="00A06BE9" w:rsidP="00A06BE9">
      <w:pPr>
        <w:numPr>
          <w:ilvl w:val="0"/>
          <w:numId w:val="48"/>
        </w:numPr>
        <w:spacing w:after="160" w:line="259" w:lineRule="auto"/>
        <w:jc w:val="both"/>
        <w:rPr>
          <w:rFonts w:ascii="Arial" w:eastAsia="Calibri" w:hAnsi="Arial" w:cs="Arial"/>
          <w:noProof/>
          <w:sz w:val="20"/>
        </w:rPr>
      </w:pPr>
      <w:r w:rsidRPr="00701F32">
        <w:rPr>
          <w:rFonts w:ascii="Arial" w:eastAsia="Calibri" w:hAnsi="Arial" w:cs="Arial"/>
          <w:noProof/>
          <w:sz w:val="20"/>
        </w:rPr>
        <w:t>Activos financieros a valor razonable con cambios en otro resultado integral:</w:t>
      </w:r>
    </w:p>
    <w:p w14:paraId="12058363"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Los activos financieros son medidos a valor razonable con cambios en otro resultado integral cuando:</w:t>
      </w:r>
    </w:p>
    <w:p w14:paraId="788E326C" w14:textId="77777777" w:rsidR="00A06BE9" w:rsidRPr="00701F32" w:rsidRDefault="00A06BE9" w:rsidP="00A06BE9">
      <w:pPr>
        <w:jc w:val="both"/>
        <w:rPr>
          <w:rFonts w:ascii="Arial" w:eastAsia="Calibri" w:hAnsi="Arial" w:cs="Arial"/>
          <w:noProof/>
          <w:sz w:val="20"/>
        </w:rPr>
      </w:pPr>
    </w:p>
    <w:p w14:paraId="023141B0"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(a) el activo financiero se mantiene dentro de un modelo de negocio cuyo objetivo se logra obteniendo flujos de efectivo contractuales y vendiendo activos financieros; y</w:t>
      </w:r>
    </w:p>
    <w:p w14:paraId="36B1B882" w14:textId="77777777" w:rsidR="00A06BE9" w:rsidRPr="00701F32" w:rsidRDefault="00A06BE9" w:rsidP="00A06BE9">
      <w:pPr>
        <w:jc w:val="both"/>
        <w:rPr>
          <w:rFonts w:ascii="Arial" w:eastAsia="Calibri" w:hAnsi="Arial" w:cs="Arial"/>
          <w:noProof/>
          <w:sz w:val="20"/>
        </w:rPr>
      </w:pPr>
    </w:p>
    <w:p w14:paraId="5B001637"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(b) las condiciones contractuales del activo financiero dan lugar, en fechas especificadas, a flujos de efectivo que son únicamente pagos del capital e intereses sobre el importe del principal capital pendiente.</w:t>
      </w:r>
    </w:p>
    <w:p w14:paraId="2D61154C" w14:textId="77777777" w:rsidR="00A06BE9" w:rsidRPr="00701F32" w:rsidRDefault="00A06BE9" w:rsidP="00A06BE9">
      <w:pPr>
        <w:jc w:val="both"/>
        <w:rPr>
          <w:rFonts w:ascii="Arial" w:eastAsia="Calibri" w:hAnsi="Arial" w:cs="Arial"/>
          <w:noProof/>
          <w:sz w:val="20"/>
        </w:rPr>
      </w:pPr>
    </w:p>
    <w:p w14:paraId="007ACBDF"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Estos instrumentos financieros se reconocen inicialmente a su valor razonable más los costos de transacción incrementales y directamente atribuibles, y posteriormente se miden a valor razonable con cambios en otro resultado integral. Las ganancias y pérdidas que surgen de los cambios en el valor razonable se incluyen en otro resultado integral dentro de un componente separado del patrimonio. Las pérdidas o reversiones por deterioro, los ingresos por intereses y las ganancias y pérdidas por tipo de cambio se reconocen en resultados. </w:t>
      </w:r>
    </w:p>
    <w:p w14:paraId="01EBD387" w14:textId="77777777" w:rsidR="00A06BE9" w:rsidRPr="00701F32" w:rsidRDefault="00A06BE9" w:rsidP="00A06BE9">
      <w:pPr>
        <w:jc w:val="both"/>
        <w:rPr>
          <w:rFonts w:ascii="Arial" w:eastAsia="Calibri" w:hAnsi="Arial" w:cs="Arial"/>
          <w:noProof/>
          <w:sz w:val="20"/>
        </w:rPr>
      </w:pPr>
    </w:p>
    <w:p w14:paraId="4F1E8748"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Al momento de su venta o disposición, la ganancia o pérdida acumulada previamente reconocida en otro resultado integral se reclasifica del patrimonio al estado de resultados. </w:t>
      </w:r>
    </w:p>
    <w:p w14:paraId="6138C50F" w14:textId="77777777" w:rsidR="00A06BE9" w:rsidRPr="00701F32" w:rsidRDefault="00A06BE9" w:rsidP="00A06BE9">
      <w:pPr>
        <w:jc w:val="both"/>
        <w:rPr>
          <w:rFonts w:ascii="Arial" w:eastAsia="Calibri" w:hAnsi="Arial" w:cs="Arial"/>
          <w:noProof/>
          <w:sz w:val="20"/>
        </w:rPr>
      </w:pPr>
    </w:p>
    <w:p w14:paraId="59ECB141" w14:textId="77777777" w:rsidR="00A06BE9" w:rsidRPr="00701F32" w:rsidRDefault="00A06BE9" w:rsidP="00A06BE9">
      <w:pPr>
        <w:numPr>
          <w:ilvl w:val="0"/>
          <w:numId w:val="48"/>
        </w:numPr>
        <w:spacing w:after="160" w:line="259" w:lineRule="auto"/>
        <w:jc w:val="both"/>
        <w:rPr>
          <w:rFonts w:ascii="Arial" w:eastAsia="Calibri" w:hAnsi="Arial" w:cs="Arial"/>
          <w:noProof/>
          <w:sz w:val="20"/>
        </w:rPr>
      </w:pPr>
      <w:r w:rsidRPr="00701F32">
        <w:rPr>
          <w:rFonts w:ascii="Arial" w:eastAsia="Calibri" w:hAnsi="Arial" w:cs="Arial"/>
          <w:noProof/>
          <w:sz w:val="20"/>
        </w:rPr>
        <w:t>Activos financieros a valor razonable con cambios en resultados:</w:t>
      </w:r>
    </w:p>
    <w:p w14:paraId="6858FE86"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Los activos financieros a valor razonable con cambios en resultados, comprende:</w:t>
      </w:r>
    </w:p>
    <w:p w14:paraId="028D81E8" w14:textId="77777777" w:rsidR="00A06BE9" w:rsidRPr="00701F32" w:rsidRDefault="00A06BE9" w:rsidP="00A06BE9">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mantenidos para negociar;</w:t>
      </w:r>
    </w:p>
    <w:p w14:paraId="09BD586F" w14:textId="77777777" w:rsidR="00A06BE9" w:rsidRPr="00701F32" w:rsidRDefault="00A06BE9" w:rsidP="00A06BE9">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específicamente designados a valor razonable con cambios en resultados; e</w:t>
      </w:r>
    </w:p>
    <w:p w14:paraId="3FF641D0" w14:textId="77777777" w:rsidR="00A06BE9" w:rsidRPr="00701F32" w:rsidRDefault="00A06BE9" w:rsidP="00A06BE9">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con términos contractuales que no representan flujos de efectivo que son únicamente pagos del principal e intereses sobre el importe del principal pendiente.</w:t>
      </w:r>
    </w:p>
    <w:p w14:paraId="6547AED4"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Estos instrumentos financieros se reconocen inicialmente a su valor razonable y cualquier ganancia o pérdida es reconocida en el estado de resultados a medida que se realizan.</w:t>
      </w:r>
    </w:p>
    <w:p w14:paraId="0A0AE99D" w14:textId="77777777" w:rsidR="00A06BE9" w:rsidRPr="00701F32" w:rsidRDefault="00A06BE9" w:rsidP="00A06BE9">
      <w:pPr>
        <w:jc w:val="both"/>
        <w:rPr>
          <w:rFonts w:ascii="Arial" w:eastAsia="Calibri" w:hAnsi="Arial" w:cs="Arial"/>
          <w:noProof/>
          <w:sz w:val="20"/>
        </w:rPr>
      </w:pPr>
    </w:p>
    <w:p w14:paraId="5FB0E368" w14:textId="77777777" w:rsidR="00A06BE9" w:rsidRPr="00701F32" w:rsidRDefault="00A06BE9" w:rsidP="00A06BE9">
      <w:pPr>
        <w:jc w:val="both"/>
        <w:rPr>
          <w:rFonts w:ascii="Arial" w:eastAsia="Calibri" w:hAnsi="Arial" w:cs="Arial"/>
          <w:i/>
          <w:noProof/>
          <w:sz w:val="20"/>
        </w:rPr>
      </w:pPr>
      <w:r w:rsidRPr="00701F32">
        <w:rPr>
          <w:rFonts w:ascii="Arial" w:eastAsia="Calibri" w:hAnsi="Arial" w:cs="Arial"/>
          <w:noProof/>
          <w:sz w:val="20"/>
        </w:rPr>
        <w:t xml:space="preserve">La Entidad clasifica un instrumento financiero como mantenido para negociar si se adquiere o se incurre principalmente con el propósito de vender o recomprar en el corto plazo, o si forma parte de una cartera de instrumentos financieros que se administran conjuntamente y para los cuales hay evidencia de ganancias a corto plazo, o es un derivado que no está en una relación de cobertura calificada. Los derivados y los valores para negociación se clasifican como mantenidos para negociar y se reconocen a valor razonable. </w:t>
      </w:r>
    </w:p>
    <w:p w14:paraId="2010EF8A" w14:textId="77777777" w:rsidR="00A06BE9" w:rsidRPr="00701F32" w:rsidRDefault="00A06BE9" w:rsidP="00A06BE9">
      <w:pPr>
        <w:jc w:val="both"/>
        <w:rPr>
          <w:rFonts w:ascii="Arial" w:eastAsia="Calibri" w:hAnsi="Arial" w:cs="Arial"/>
          <w:i/>
          <w:noProof/>
          <w:sz w:val="20"/>
        </w:rPr>
      </w:pPr>
    </w:p>
    <w:p w14:paraId="44C2440B" w14:textId="77777777" w:rsidR="00A06BE9" w:rsidRPr="00701F32" w:rsidRDefault="00A06BE9" w:rsidP="00A06BE9">
      <w:pPr>
        <w:spacing w:after="160" w:line="259" w:lineRule="auto"/>
        <w:contextualSpacing/>
        <w:jc w:val="both"/>
        <w:rPr>
          <w:rFonts w:ascii="Arial" w:eastAsia="Calibri" w:hAnsi="Arial" w:cs="Arial"/>
          <w:sz w:val="20"/>
        </w:rPr>
      </w:pPr>
      <w:r w:rsidRPr="00701F32">
        <w:rPr>
          <w:rFonts w:ascii="Arial" w:eastAsia="Calibri" w:hAnsi="Arial" w:cs="Arial"/>
          <w:sz w:val="20"/>
        </w:rPr>
        <w:t>El valor razonable de estos instrumentos se calculó utilizando las cotizaciones vigentes al cierre de cada ejercicio en mercados activos, de ser representativas. En caso de no contar con un mercado activo, se utilizaron técnicas de valoración que incluyeron la utilización de operaciones de mercado realizadas en condiciones de independencia mutua, entre partes interesadas y debidamente informadas, siempre que estén disponibles, así como referencias al valor razonable actual de otro instrumento que es sustancialmente similar, o bien el análisis de flujos de efectivo descontados. La estimación de los valores razonables se explica con mayor detalle en el apartado “políticas y estimaciones contables críticas”.</w:t>
      </w:r>
    </w:p>
    <w:p w14:paraId="6BB93BB3" w14:textId="77777777" w:rsidR="00A06BE9" w:rsidRPr="00701F32" w:rsidRDefault="00A06BE9" w:rsidP="00A06BE9">
      <w:pPr>
        <w:jc w:val="both"/>
        <w:rPr>
          <w:rFonts w:ascii="Arial" w:eastAsia="Calibri" w:hAnsi="Arial" w:cs="Arial"/>
          <w:noProof/>
          <w:sz w:val="20"/>
        </w:rPr>
      </w:pPr>
    </w:p>
    <w:p w14:paraId="3C343CD6"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b - Instrumentos del patrimonio</w:t>
      </w:r>
    </w:p>
    <w:p w14:paraId="3B0EAC7E" w14:textId="77777777" w:rsidR="00A06BE9" w:rsidRPr="00701F32" w:rsidRDefault="00A06BE9" w:rsidP="00A06BE9">
      <w:pPr>
        <w:jc w:val="both"/>
        <w:rPr>
          <w:rFonts w:ascii="Arial" w:eastAsia="Calibri" w:hAnsi="Arial" w:cs="Arial"/>
          <w:noProof/>
          <w:sz w:val="20"/>
        </w:rPr>
      </w:pPr>
    </w:p>
    <w:p w14:paraId="3CFC33F1"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Los instrumentos del patrimonio son aquellos considerados de dicha manera por el emisor, esto quiere decir instrumentos que no contemplen una obligación contractual de pagar y que evidencian un interés residual sobre el activo del emisor luego de deducir todo su pasivo. </w:t>
      </w:r>
    </w:p>
    <w:p w14:paraId="32617A0C" w14:textId="77777777" w:rsidR="00A06BE9" w:rsidRPr="00701F32" w:rsidRDefault="00A06BE9" w:rsidP="00A06BE9">
      <w:pPr>
        <w:jc w:val="both"/>
        <w:rPr>
          <w:rFonts w:ascii="Arial" w:eastAsia="Calibri" w:hAnsi="Arial" w:cs="Arial"/>
          <w:noProof/>
          <w:sz w:val="20"/>
        </w:rPr>
      </w:pPr>
    </w:p>
    <w:p w14:paraId="6093DB80"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rPr>
        <w:t xml:space="preserve">Dichos instrumentos son valuados a valor razonable con cambios en resultados, excepto cuando la gerencia haya hecho uso, al momento del reconocimiento inicial, de la opción irrevocable de medirlos a valor razonable con cambio en otros resultados integrales. Este método solamente es aplicable cuando los instrumentos no sean mantenidos para negociar y los resultados serán contabilizados en ORI sin posibilidad de reclasificación, aun cuando se encuentren realizados. Los dividendos a cobrar que surgen de dicho instrumento, se reconocerán como resultado únicamente cuando se tenga el derecho a recibir el pago. </w:t>
      </w:r>
    </w:p>
    <w:p w14:paraId="0B4008A9" w14:textId="77777777" w:rsidR="00F17F39" w:rsidRPr="00701F32" w:rsidRDefault="00F17F39" w:rsidP="00A06BE9">
      <w:pPr>
        <w:jc w:val="both"/>
        <w:rPr>
          <w:rFonts w:ascii="Arial" w:eastAsia="Calibri" w:hAnsi="Arial" w:cs="Arial"/>
          <w:noProof/>
          <w:sz w:val="20"/>
          <w:u w:val="single"/>
        </w:rPr>
      </w:pPr>
    </w:p>
    <w:p w14:paraId="19F4A7CC"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Baja de Activos Financieros</w:t>
      </w:r>
    </w:p>
    <w:p w14:paraId="59D5EEEF" w14:textId="77777777" w:rsidR="00A06BE9" w:rsidRPr="00701F32" w:rsidRDefault="00A06BE9" w:rsidP="00A06BE9">
      <w:pPr>
        <w:jc w:val="both"/>
        <w:rPr>
          <w:rFonts w:ascii="Arial" w:eastAsia="Calibri" w:hAnsi="Arial" w:cs="Arial"/>
          <w:noProof/>
          <w:sz w:val="20"/>
        </w:rPr>
      </w:pPr>
    </w:p>
    <w:p w14:paraId="7F3C3F01"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La Entidad reconoce la baja de los activos financieros únicamente cuando se cumple alguna de las siguientes condiciones: </w:t>
      </w:r>
    </w:p>
    <w:p w14:paraId="454A170D" w14:textId="77777777" w:rsidR="00A06BE9" w:rsidRPr="00701F32" w:rsidRDefault="00A06BE9" w:rsidP="00A06BE9">
      <w:pPr>
        <w:jc w:val="both"/>
        <w:rPr>
          <w:rFonts w:ascii="Arial" w:eastAsia="Calibri" w:hAnsi="Arial" w:cs="Arial"/>
          <w:noProof/>
          <w:sz w:val="20"/>
        </w:rPr>
      </w:pPr>
    </w:p>
    <w:p w14:paraId="46633A25" w14:textId="77777777" w:rsidR="00A06BE9" w:rsidRPr="00701F32" w:rsidRDefault="00A06BE9" w:rsidP="00A06BE9">
      <w:pPr>
        <w:numPr>
          <w:ilvl w:val="3"/>
          <w:numId w:val="37"/>
        </w:numPr>
        <w:spacing w:after="160" w:line="259" w:lineRule="auto"/>
        <w:ind w:left="567"/>
        <w:contextualSpacing/>
        <w:jc w:val="both"/>
        <w:rPr>
          <w:rFonts w:ascii="Arial" w:eastAsia="Calibri" w:hAnsi="Arial" w:cs="Arial"/>
          <w:noProof/>
          <w:sz w:val="20"/>
        </w:rPr>
      </w:pPr>
      <w:r w:rsidRPr="00701F32">
        <w:rPr>
          <w:rFonts w:ascii="Arial" w:eastAsia="Calibri" w:hAnsi="Arial" w:cs="Arial"/>
          <w:noProof/>
          <w:sz w:val="20"/>
        </w:rPr>
        <w:t xml:space="preserve">Han expirado los derechos sobre los flujos de fondos del activo financiero; o </w:t>
      </w:r>
    </w:p>
    <w:p w14:paraId="67BA70E9" w14:textId="77777777" w:rsidR="00A06BE9" w:rsidRPr="00701F32" w:rsidRDefault="00A06BE9" w:rsidP="00A06BE9">
      <w:pPr>
        <w:numPr>
          <w:ilvl w:val="3"/>
          <w:numId w:val="37"/>
        </w:numPr>
        <w:spacing w:after="160" w:line="259" w:lineRule="auto"/>
        <w:ind w:left="567"/>
        <w:contextualSpacing/>
        <w:jc w:val="both"/>
        <w:rPr>
          <w:rFonts w:ascii="Arial" w:eastAsia="Calibri" w:hAnsi="Arial" w:cs="Arial"/>
          <w:noProof/>
          <w:sz w:val="20"/>
        </w:rPr>
      </w:pPr>
      <w:r w:rsidRPr="00701F32">
        <w:rPr>
          <w:rFonts w:ascii="Arial" w:eastAsia="Calibri" w:hAnsi="Arial" w:cs="Arial"/>
          <w:noProof/>
          <w:sz w:val="20"/>
        </w:rPr>
        <w:t>Se realice la transferencia del activo financiero de acuerdo a los requerimientos del punto 3.2.4 de la NIIF 9.</w:t>
      </w:r>
    </w:p>
    <w:p w14:paraId="768A81D1" w14:textId="77777777" w:rsidR="00A06BE9" w:rsidRPr="00701F32" w:rsidRDefault="00A06BE9" w:rsidP="00A06BE9">
      <w:pPr>
        <w:jc w:val="both"/>
        <w:rPr>
          <w:rFonts w:ascii="Arial" w:eastAsia="Calibri" w:hAnsi="Arial" w:cs="Arial"/>
          <w:noProof/>
          <w:sz w:val="20"/>
        </w:rPr>
      </w:pPr>
    </w:p>
    <w:p w14:paraId="3AA333B3"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La Entidad da de baja los activos financieros que hayan sido transferidos únicamente cuando cumple con las siguientes caracteristicas:</w:t>
      </w:r>
    </w:p>
    <w:p w14:paraId="22032EC6" w14:textId="77777777" w:rsidR="00A06BE9" w:rsidRPr="00701F32" w:rsidRDefault="00A06BE9" w:rsidP="00A06BE9">
      <w:pPr>
        <w:jc w:val="both"/>
        <w:rPr>
          <w:rFonts w:ascii="Arial" w:eastAsia="Calibri" w:hAnsi="Arial" w:cs="Arial"/>
          <w:noProof/>
          <w:sz w:val="20"/>
        </w:rPr>
      </w:pPr>
    </w:p>
    <w:p w14:paraId="6F26261D" w14:textId="77777777" w:rsidR="00A06BE9" w:rsidRPr="00701F32" w:rsidRDefault="00A06BE9" w:rsidP="00A06BE9">
      <w:pPr>
        <w:numPr>
          <w:ilvl w:val="0"/>
          <w:numId w:val="4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Ha transferido los derechos contractuales de recibir flujos de fondos futuros</w:t>
      </w:r>
    </w:p>
    <w:p w14:paraId="25910B9E" w14:textId="77777777" w:rsidR="00A06BE9" w:rsidRPr="00701F32" w:rsidRDefault="00A06BE9" w:rsidP="00A06BE9">
      <w:pPr>
        <w:numPr>
          <w:ilvl w:val="0"/>
          <w:numId w:val="4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Retiene los derechos contractuales de recibir flujos de fondos pero asume una obligación de recompra cuando se cumplan los tres requisitos siguientes:</w:t>
      </w:r>
    </w:p>
    <w:p w14:paraId="48776139" w14:textId="77777777" w:rsidR="00A06BE9" w:rsidRPr="00701F32" w:rsidRDefault="00A06BE9" w:rsidP="00A06BE9">
      <w:pPr>
        <w:numPr>
          <w:ilvl w:val="1"/>
          <w:numId w:val="4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La Entidad no está obligad</w:t>
      </w:r>
      <w:r w:rsidR="002B1E8B" w:rsidRPr="00701F32">
        <w:rPr>
          <w:rFonts w:ascii="Arial" w:eastAsia="Calibri" w:hAnsi="Arial" w:cs="Arial"/>
          <w:noProof/>
          <w:sz w:val="20"/>
        </w:rPr>
        <w:t>a</w:t>
      </w:r>
      <w:r w:rsidRPr="00701F32">
        <w:rPr>
          <w:rFonts w:ascii="Arial" w:eastAsia="Calibri" w:hAnsi="Arial" w:cs="Arial"/>
          <w:noProof/>
          <w:sz w:val="20"/>
        </w:rPr>
        <w:t xml:space="preserve"> a pagar ningún importe sin recibir los flujos por la transferencia del activo;</w:t>
      </w:r>
    </w:p>
    <w:p w14:paraId="26D9A3B9" w14:textId="77777777" w:rsidR="00A06BE9" w:rsidRPr="00701F32" w:rsidRDefault="00A06BE9" w:rsidP="00A06BE9">
      <w:pPr>
        <w:numPr>
          <w:ilvl w:val="1"/>
          <w:numId w:val="4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 xml:space="preserve">La Entidad tiene prohibido la venta del activo financiero; </w:t>
      </w:r>
    </w:p>
    <w:p w14:paraId="066AA5C9" w14:textId="77777777" w:rsidR="00A06BE9" w:rsidRPr="00701F32" w:rsidRDefault="00A06BE9" w:rsidP="00A06BE9">
      <w:pPr>
        <w:numPr>
          <w:ilvl w:val="1"/>
          <w:numId w:val="4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La Entidad  tiene que remitir los flujos de fondos a los cuales se ha comprometido.</w:t>
      </w:r>
    </w:p>
    <w:p w14:paraId="4466BEA0" w14:textId="77777777" w:rsidR="00D576C5" w:rsidRPr="00701F32" w:rsidRDefault="00D576C5" w:rsidP="00A06BE9">
      <w:pPr>
        <w:jc w:val="both"/>
        <w:rPr>
          <w:rFonts w:ascii="Arial" w:eastAsia="Calibri" w:hAnsi="Arial" w:cs="Arial"/>
          <w:noProof/>
          <w:sz w:val="20"/>
          <w:u w:val="single"/>
        </w:rPr>
      </w:pPr>
    </w:p>
    <w:p w14:paraId="3FB8EBB2" w14:textId="77777777" w:rsidR="00A06BE9" w:rsidRPr="00701F32" w:rsidRDefault="00A06BE9" w:rsidP="00E311C9">
      <w:pPr>
        <w:rPr>
          <w:rFonts w:ascii="Arial" w:eastAsia="Calibri" w:hAnsi="Arial" w:cs="Arial"/>
          <w:b/>
          <w:noProof/>
          <w:sz w:val="20"/>
          <w:u w:val="single"/>
        </w:rPr>
      </w:pPr>
      <w:r w:rsidRPr="00701F32">
        <w:rPr>
          <w:rFonts w:ascii="Arial" w:eastAsia="Calibri" w:hAnsi="Arial" w:cs="Arial"/>
          <w:b/>
          <w:noProof/>
          <w:sz w:val="20"/>
          <w:u w:val="single"/>
        </w:rPr>
        <w:t>Pasivos financieros</w:t>
      </w:r>
    </w:p>
    <w:p w14:paraId="3436E7E7" w14:textId="77777777" w:rsidR="00A06BE9" w:rsidRPr="00701F32" w:rsidRDefault="00A06BE9" w:rsidP="00A06BE9">
      <w:pPr>
        <w:jc w:val="both"/>
        <w:rPr>
          <w:rFonts w:ascii="Arial" w:eastAsia="Calibri" w:hAnsi="Arial" w:cs="Arial"/>
          <w:noProof/>
          <w:sz w:val="20"/>
        </w:rPr>
      </w:pPr>
    </w:p>
    <w:p w14:paraId="396B5366"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Clasificación</w:t>
      </w:r>
    </w:p>
    <w:p w14:paraId="656B38A9" w14:textId="77777777" w:rsidR="00A06BE9" w:rsidRPr="00701F32" w:rsidRDefault="00A06BE9" w:rsidP="00A06BE9">
      <w:pPr>
        <w:jc w:val="both"/>
        <w:rPr>
          <w:rFonts w:ascii="Arial" w:eastAsia="Calibri" w:hAnsi="Arial" w:cs="Arial"/>
          <w:noProof/>
          <w:sz w:val="20"/>
        </w:rPr>
      </w:pPr>
    </w:p>
    <w:p w14:paraId="5D69859B"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La Entidad clasifica sus pasivos financieros a costo amortizado utilizando el método de la tasa efectiva excepto por:</w:t>
      </w:r>
    </w:p>
    <w:p w14:paraId="34377FD3" w14:textId="77777777" w:rsidR="00A06BE9" w:rsidRPr="00701F32" w:rsidRDefault="00A06BE9" w:rsidP="00A06BE9">
      <w:pPr>
        <w:jc w:val="both"/>
        <w:rPr>
          <w:rFonts w:ascii="Arial" w:eastAsia="Calibri" w:hAnsi="Arial" w:cs="Arial"/>
          <w:noProof/>
          <w:sz w:val="20"/>
        </w:rPr>
      </w:pPr>
    </w:p>
    <w:p w14:paraId="502F8670" w14:textId="77777777" w:rsidR="00A06BE9" w:rsidRPr="00701F32" w:rsidRDefault="00A06BE9" w:rsidP="00A06BE9">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Pasivos financieros que sean valuados al valor razonable con cambios en resultados.</w:t>
      </w:r>
    </w:p>
    <w:p w14:paraId="4A4546C9" w14:textId="77777777" w:rsidR="00A06BE9" w:rsidRPr="00701F32" w:rsidRDefault="00A06BE9" w:rsidP="00A06BE9">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Pasivos que surjan de transferencia de activos financieros.</w:t>
      </w:r>
    </w:p>
    <w:p w14:paraId="5EB96D87" w14:textId="77777777" w:rsidR="00A06BE9" w:rsidRPr="00701F32" w:rsidRDefault="00A06BE9" w:rsidP="00A06BE9">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Contratos de garantía financiera.</w:t>
      </w:r>
    </w:p>
    <w:p w14:paraId="0AABAC16" w14:textId="77777777" w:rsidR="00A06BE9" w:rsidRPr="00701F32" w:rsidRDefault="00A06BE9" w:rsidP="00A06BE9">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Compromisos de otorgamiento de préstamos a tasa inferior a la de mercado.</w:t>
      </w:r>
    </w:p>
    <w:p w14:paraId="76F58BE0" w14:textId="77777777" w:rsidR="00A06BE9" w:rsidRPr="00701F32" w:rsidRDefault="00A06BE9" w:rsidP="00A06BE9">
      <w:pPr>
        <w:jc w:val="both"/>
        <w:rPr>
          <w:rFonts w:ascii="Arial" w:eastAsia="Calibri" w:hAnsi="Arial" w:cs="Arial"/>
          <w:noProof/>
          <w:sz w:val="20"/>
          <w:u w:val="single"/>
        </w:rPr>
      </w:pPr>
    </w:p>
    <w:p w14:paraId="4503FFF1"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u w:val="single"/>
        </w:rPr>
        <w:t>Pasivos Financieros valuados a valor razonable con cambios en resultados:</w:t>
      </w:r>
      <w:r w:rsidRPr="00701F32">
        <w:rPr>
          <w:rFonts w:ascii="Arial" w:eastAsia="Calibri" w:hAnsi="Arial" w:cs="Arial"/>
          <w:noProof/>
          <w:sz w:val="20"/>
        </w:rPr>
        <w:t xml:space="preserve"> La Entidad puede optar por hacer uso, al inicio, de la opción irrevocable de designar un pasivo a valor razonable con cambios en resultados si y solo si, al hacerlo, refleja mas adecuadamente la información financiera porque:</w:t>
      </w:r>
    </w:p>
    <w:p w14:paraId="457EAC39" w14:textId="77777777" w:rsidR="00A06BE9" w:rsidRPr="00701F32" w:rsidRDefault="00A06BE9" w:rsidP="00A06BE9">
      <w:pPr>
        <w:jc w:val="both"/>
        <w:rPr>
          <w:rFonts w:ascii="Arial" w:eastAsia="Calibri" w:hAnsi="Arial" w:cs="Arial"/>
          <w:noProof/>
          <w:sz w:val="20"/>
        </w:rPr>
      </w:pPr>
    </w:p>
    <w:p w14:paraId="27A1E139" w14:textId="77777777" w:rsidR="00A06BE9" w:rsidRPr="00701F32" w:rsidRDefault="00A06BE9" w:rsidP="00A06BE9">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el Banco elimina o reduce significativamente las inconcistencias de medición o reconocimiento que en caso contrario quedaría expuesto en la valuación;</w:t>
      </w:r>
    </w:p>
    <w:p w14:paraId="084A0B5F" w14:textId="77777777" w:rsidR="00A06BE9" w:rsidRPr="00701F32" w:rsidRDefault="00A06BE9" w:rsidP="00A06BE9">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si los activos y pasivos financieros se gestionan y se evalúa su desempeño sobre una base de valor razonable de acuerdo con una estrategia de inversión o gestión de riesgos documentada; o</w:t>
      </w:r>
    </w:p>
    <w:p w14:paraId="1BA2EFD0" w14:textId="77777777" w:rsidR="00A06BE9" w:rsidRPr="00701F32" w:rsidRDefault="00A06BE9" w:rsidP="00A06BE9">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un contrato principal contiene uno o más derivados implicitos.</w:t>
      </w:r>
    </w:p>
    <w:p w14:paraId="54D6D029" w14:textId="77777777" w:rsidR="00A06BE9" w:rsidRPr="00701F32" w:rsidRDefault="00A06BE9" w:rsidP="00A06BE9">
      <w:pPr>
        <w:jc w:val="both"/>
        <w:rPr>
          <w:rFonts w:ascii="Arial" w:eastAsia="Calibri" w:hAnsi="Arial" w:cs="Arial"/>
          <w:noProof/>
          <w:sz w:val="20"/>
        </w:rPr>
      </w:pPr>
    </w:p>
    <w:p w14:paraId="4FFC8751"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u w:val="single"/>
        </w:rPr>
        <w:t>Contrato de garantía financiera:</w:t>
      </w:r>
      <w:r w:rsidRPr="00701F32">
        <w:rPr>
          <w:rFonts w:ascii="Arial" w:eastAsia="Calibri" w:hAnsi="Arial" w:cs="Arial"/>
          <w:noProof/>
          <w:sz w:val="20"/>
        </w:rPr>
        <w:t xml:space="preserve"> los contratos de garantías son aquellos que requiere que el emisor efectúe pagos específicos para reembolsar al tenedor por la pérdida en la que incurre cuando un deudor específico incumpla su obligación de pago a su vencimiento, de acuerdo con las condiciones, originales o modificadas, de un instrumento de deuda. </w:t>
      </w:r>
    </w:p>
    <w:p w14:paraId="25E000C6" w14:textId="77777777" w:rsidR="00A06BE9" w:rsidRPr="00701F32" w:rsidRDefault="00A06BE9" w:rsidP="00A06BE9">
      <w:pPr>
        <w:jc w:val="both"/>
        <w:rPr>
          <w:rFonts w:ascii="Arial" w:eastAsia="Calibri" w:hAnsi="Arial" w:cs="Arial"/>
          <w:noProof/>
          <w:sz w:val="20"/>
        </w:rPr>
      </w:pPr>
    </w:p>
    <w:p w14:paraId="1D8A774F" w14:textId="187FF39A" w:rsidR="00A06BE9" w:rsidRDefault="00A06BE9" w:rsidP="00A06BE9">
      <w:pPr>
        <w:jc w:val="both"/>
        <w:rPr>
          <w:rFonts w:ascii="Arial" w:eastAsia="Calibri" w:hAnsi="Arial" w:cs="Arial"/>
          <w:noProof/>
          <w:sz w:val="20"/>
        </w:rPr>
      </w:pPr>
      <w:r w:rsidRPr="00701F32">
        <w:rPr>
          <w:rFonts w:ascii="Arial" w:eastAsia="Calibri" w:hAnsi="Arial" w:cs="Arial"/>
          <w:noProof/>
          <w:sz w:val="20"/>
        </w:rPr>
        <w:t xml:space="preserve">Los contratos de garantía financiera y los compromisos de otorgamiento de préstamos a tasa inferior a la de mercado se valúan a valor razonable en primera instancia, para luego realizar una comparación entre el mayor valor de la comisión pendiente de devengar al cierre del ejercicio y la previsión aplicable. </w:t>
      </w:r>
    </w:p>
    <w:p w14:paraId="7FB11CA7" w14:textId="0E86E354" w:rsidR="00701F32" w:rsidRDefault="00701F32" w:rsidP="00A06BE9">
      <w:pPr>
        <w:jc w:val="both"/>
        <w:rPr>
          <w:rFonts w:ascii="Arial" w:eastAsia="Calibri" w:hAnsi="Arial" w:cs="Arial"/>
          <w:noProof/>
          <w:sz w:val="20"/>
        </w:rPr>
      </w:pPr>
    </w:p>
    <w:p w14:paraId="67CBBEBE" w14:textId="6DAD58C2" w:rsidR="00701F32" w:rsidRDefault="00701F32" w:rsidP="00A06BE9">
      <w:pPr>
        <w:jc w:val="both"/>
        <w:rPr>
          <w:rFonts w:ascii="Arial" w:eastAsia="Calibri" w:hAnsi="Arial" w:cs="Arial"/>
          <w:noProof/>
          <w:sz w:val="20"/>
        </w:rPr>
      </w:pPr>
    </w:p>
    <w:p w14:paraId="2E330ECD" w14:textId="77777777" w:rsidR="00701F32" w:rsidRPr="00701F32" w:rsidRDefault="00701F32" w:rsidP="00A06BE9">
      <w:pPr>
        <w:jc w:val="both"/>
        <w:rPr>
          <w:rFonts w:ascii="Arial" w:eastAsia="Calibri" w:hAnsi="Arial" w:cs="Arial"/>
          <w:noProof/>
          <w:sz w:val="20"/>
        </w:rPr>
      </w:pPr>
    </w:p>
    <w:p w14:paraId="25670A9A" w14:textId="77777777" w:rsidR="00AF05CB" w:rsidRPr="00701F32" w:rsidRDefault="00AF05CB" w:rsidP="00A06BE9">
      <w:pPr>
        <w:jc w:val="both"/>
        <w:rPr>
          <w:rFonts w:ascii="Arial" w:eastAsia="Calibri" w:hAnsi="Arial" w:cs="Arial"/>
          <w:noProof/>
          <w:sz w:val="20"/>
          <w:u w:val="single"/>
        </w:rPr>
      </w:pPr>
    </w:p>
    <w:p w14:paraId="503F30A7" w14:textId="77777777" w:rsidR="00A06BE9" w:rsidRPr="00701F32" w:rsidRDefault="00A06BE9" w:rsidP="00A06BE9">
      <w:pPr>
        <w:jc w:val="both"/>
        <w:rPr>
          <w:rFonts w:ascii="Arial" w:eastAsia="Calibri" w:hAnsi="Arial" w:cs="Arial"/>
          <w:noProof/>
          <w:sz w:val="20"/>
          <w:u w:val="single"/>
        </w:rPr>
      </w:pPr>
      <w:r w:rsidRPr="00701F32">
        <w:rPr>
          <w:rFonts w:ascii="Arial" w:eastAsia="Calibri" w:hAnsi="Arial" w:cs="Arial"/>
          <w:noProof/>
          <w:sz w:val="20"/>
          <w:u w:val="single"/>
        </w:rPr>
        <w:t>Baja de pasivos financieros</w:t>
      </w:r>
    </w:p>
    <w:p w14:paraId="233A4951" w14:textId="77777777" w:rsidR="00A06BE9" w:rsidRPr="00701F32" w:rsidRDefault="00A06BE9" w:rsidP="00A06BE9">
      <w:pPr>
        <w:jc w:val="both"/>
        <w:rPr>
          <w:rFonts w:ascii="Arial" w:eastAsia="Calibri" w:hAnsi="Arial" w:cs="Arial"/>
          <w:noProof/>
          <w:sz w:val="20"/>
        </w:rPr>
      </w:pPr>
    </w:p>
    <w:p w14:paraId="0E1B6951" w14:textId="77777777" w:rsidR="00A06BE9" w:rsidRPr="00701F32" w:rsidRDefault="00A06BE9" w:rsidP="00A06BE9">
      <w:pPr>
        <w:jc w:val="both"/>
        <w:rPr>
          <w:rFonts w:ascii="Arial" w:eastAsia="Calibri" w:hAnsi="Arial" w:cs="Arial"/>
          <w:noProof/>
          <w:sz w:val="20"/>
        </w:rPr>
      </w:pPr>
      <w:r w:rsidRPr="00701F32">
        <w:rPr>
          <w:rFonts w:ascii="Arial" w:eastAsia="Calibri" w:hAnsi="Arial" w:cs="Arial"/>
          <w:noProof/>
          <w:sz w:val="20"/>
        </w:rPr>
        <w:t xml:space="preserve">La Entidad únicamente da de baja los pasivos financieros cuando se hayan extinguido; esto es cuando haya sido cancelado, pagado o expirado el contrato. </w:t>
      </w:r>
    </w:p>
    <w:p w14:paraId="4BBE4AAC" w14:textId="16BFDED1" w:rsidR="00B848DD" w:rsidRPr="00701F32" w:rsidRDefault="00B848DD">
      <w:pPr>
        <w:rPr>
          <w:rFonts w:ascii="Arial" w:hAnsi="Arial" w:cs="Arial"/>
          <w:b/>
          <w:noProof/>
          <w:sz w:val="20"/>
        </w:rPr>
      </w:pPr>
    </w:p>
    <w:p w14:paraId="5E439368" w14:textId="77777777" w:rsidR="00A06BE9" w:rsidRPr="00701F32" w:rsidRDefault="00A06BE9" w:rsidP="00A06BE9">
      <w:pPr>
        <w:spacing w:after="160"/>
        <w:jc w:val="both"/>
        <w:rPr>
          <w:rFonts w:ascii="Arial" w:hAnsi="Arial" w:cs="Arial"/>
          <w:noProof/>
          <w:sz w:val="20"/>
        </w:rPr>
      </w:pPr>
      <w:r w:rsidRPr="00701F32">
        <w:rPr>
          <w:rFonts w:ascii="Arial" w:hAnsi="Arial" w:cs="Arial"/>
          <w:b/>
          <w:noProof/>
          <w:sz w:val="20"/>
        </w:rPr>
        <w:t xml:space="preserve">1.10 Instrumentos financieros derivados </w:t>
      </w:r>
    </w:p>
    <w:p w14:paraId="617ADE56"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sz w:val="20"/>
        </w:rPr>
      </w:pPr>
      <w:r w:rsidRPr="00701F32">
        <w:rPr>
          <w:rFonts w:ascii="Arial" w:hAnsi="Arial" w:cs="Arial"/>
          <w:noProof/>
          <w:sz w:val="20"/>
        </w:rPr>
        <w:t>Los instrumentos financieros derivados, incluidos los contratos de divisas, los futuros de tasas de interés, los contratos a plazo, los swaps de tasas de interés y de divisas, y las opciones sobre divisas y tasas de interés, se registran a su valor razonable.</w:t>
      </w:r>
    </w:p>
    <w:p w14:paraId="41B0761D"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sz w:val="20"/>
        </w:rPr>
      </w:pPr>
    </w:p>
    <w:p w14:paraId="29B00D74"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sz w:val="20"/>
        </w:rPr>
      </w:pPr>
      <w:r w:rsidRPr="00701F32">
        <w:rPr>
          <w:rFonts w:ascii="Arial" w:hAnsi="Arial" w:cs="Arial"/>
          <w:noProof/>
          <w:sz w:val="20"/>
        </w:rPr>
        <w:t xml:space="preserve">Todos los instrumentos derivados se contabilizan como activos cuando el valor razonable es positivo y como pasivos cuando el valor razonable es negativo, en relación al precio pactado. Los cambios en el valor razonable de los instrumentos derivados se incluyen en el resultado del ejercicio. </w:t>
      </w:r>
    </w:p>
    <w:p w14:paraId="6200E997" w14:textId="77777777" w:rsidR="00A06BE9" w:rsidRPr="00701F32" w:rsidRDefault="00A06BE9" w:rsidP="00A06BE9">
      <w:pPr>
        <w:jc w:val="both"/>
        <w:rPr>
          <w:rFonts w:ascii="Arial" w:eastAsia="Calibri" w:hAnsi="Arial" w:cs="Arial"/>
          <w:b/>
          <w:i/>
          <w:noProof/>
          <w:sz w:val="20"/>
          <w:u w:val="single"/>
        </w:rPr>
      </w:pPr>
    </w:p>
    <w:p w14:paraId="580E2683" w14:textId="77777777" w:rsidR="00A06BE9" w:rsidRPr="00701F32" w:rsidRDefault="00A06BE9" w:rsidP="00A06BE9">
      <w:pPr>
        <w:spacing w:after="160"/>
        <w:jc w:val="both"/>
        <w:rPr>
          <w:rFonts w:ascii="Arial" w:eastAsia="Calibri" w:hAnsi="Arial" w:cs="Arial"/>
          <w:b/>
          <w:color w:val="C45911"/>
          <w:sz w:val="20"/>
        </w:rPr>
      </w:pPr>
      <w:r w:rsidRPr="00701F32">
        <w:rPr>
          <w:rFonts w:ascii="Arial" w:eastAsia="Calibri" w:hAnsi="Arial" w:cs="Arial"/>
          <w:b/>
          <w:sz w:val="20"/>
        </w:rPr>
        <w:t xml:space="preserve">1.11 Operaciones de Pase </w:t>
      </w:r>
    </w:p>
    <w:p w14:paraId="31E85592"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acuerdos de venta y recompra ("operaciones de pase pasivo"), que efectivamente proporcionan el rendimiento del prestamista a la contraparte, se tratan como transacciones de financiación garantizada. Los valores vendidos bajo tales acuerdos de venta y recompra no se dan de baja en cuentas. Los valores no se reclasifican en el estado de situación financiera a menos que el cesionario tenga el derecho por contrato o costumbre de vender o reponer los valores, en cuyo caso se reclasifican como cuentas por cobrar por recompra. El pasivo correspondiente se presenta dentro del rubro Financiaciones recibidas del B.C.R.A. y otras Instituciones Financieras.</w:t>
      </w:r>
    </w:p>
    <w:p w14:paraId="39277DAF"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valores comprados en virtud de acuerdos de reventa ("operaciones de pase activo”), que efectivamente proporcionan el rendimiento del prestamista a la Entidad, se registran como deudas del rubro Financiaciones recibidas del B.C.R.A. y otras Instituciones Financieras.</w:t>
      </w:r>
    </w:p>
    <w:p w14:paraId="0D095B9A" w14:textId="59D3C34D" w:rsidR="0032760F" w:rsidRPr="00701F32" w:rsidRDefault="00A06BE9" w:rsidP="00E311C9">
      <w:pPr>
        <w:jc w:val="both"/>
        <w:rPr>
          <w:rFonts w:ascii="Arial" w:eastAsia="Arial" w:hAnsi="Arial" w:cs="Arial"/>
          <w:b/>
          <w:sz w:val="20"/>
        </w:rPr>
      </w:pPr>
      <w:r w:rsidRPr="00701F32">
        <w:rPr>
          <w:rFonts w:ascii="Arial" w:eastAsia="Calibri" w:hAnsi="Arial" w:cs="Arial"/>
          <w:sz w:val="20"/>
        </w:rPr>
        <w:t>La diferencia entre el precio de venta y el precio de recompra o el precio de compra y el precio de reventa, según corresponda, conforman la prima de la operación, la cual se trata como ingresos o egresos por intereses y se devengan durante la vigencia de los acuerdos.</w:t>
      </w:r>
    </w:p>
    <w:p w14:paraId="3B0BCD48" w14:textId="77777777" w:rsidR="00364AA1" w:rsidRPr="00701F32" w:rsidRDefault="00364AA1" w:rsidP="00A06BE9">
      <w:pPr>
        <w:rPr>
          <w:rFonts w:ascii="Arial" w:eastAsia="Arial" w:hAnsi="Arial" w:cs="Arial"/>
          <w:b/>
          <w:sz w:val="20"/>
        </w:rPr>
      </w:pPr>
    </w:p>
    <w:p w14:paraId="4ECF0EAF" w14:textId="77777777" w:rsidR="00A06BE9" w:rsidRPr="00701F32" w:rsidRDefault="00A06BE9" w:rsidP="00A06BE9">
      <w:pPr>
        <w:rPr>
          <w:rFonts w:ascii="Arial" w:eastAsia="Arial" w:hAnsi="Arial" w:cs="Arial"/>
          <w:b/>
          <w:sz w:val="20"/>
        </w:rPr>
      </w:pPr>
      <w:r w:rsidRPr="00701F32">
        <w:rPr>
          <w:rFonts w:ascii="Arial" w:eastAsia="Arial" w:hAnsi="Arial" w:cs="Arial"/>
          <w:b/>
          <w:sz w:val="20"/>
        </w:rPr>
        <w:t xml:space="preserve">1.12. Previsiones por riesgo de incobrabilidad </w:t>
      </w:r>
    </w:p>
    <w:p w14:paraId="78732D02" w14:textId="77777777" w:rsidR="00A06BE9" w:rsidRPr="00701F32" w:rsidRDefault="00A06BE9" w:rsidP="00A06BE9">
      <w:pPr>
        <w:rPr>
          <w:rFonts w:ascii="Arial" w:eastAsia="Arial" w:hAnsi="Arial" w:cs="Arial"/>
          <w:b/>
          <w:sz w:val="20"/>
        </w:rPr>
      </w:pPr>
    </w:p>
    <w:p w14:paraId="759292F8"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Respecto de las previsiones por riesgo de incobrabilidad, continúan vigentes las normas sobre “Previsiones mínimas por riesgo de incobrabilidad” de la sección 8 de la LISOL, las cuales se detallan a continuación:</w:t>
      </w:r>
    </w:p>
    <w:p w14:paraId="131D2E01"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Sobre el total de las deudas de los clientes, deberán aplicarse las siguientes pautas mínimas de previsionamiento: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47"/>
        <w:gridCol w:w="2076"/>
        <w:gridCol w:w="2076"/>
      </w:tblGrid>
      <w:tr w:rsidR="00A06BE9" w:rsidRPr="00701F32" w14:paraId="1E881298" w14:textId="77777777" w:rsidTr="00941382">
        <w:trPr>
          <w:trHeight w:val="229"/>
          <w:tblHeader/>
        </w:trPr>
        <w:tc>
          <w:tcPr>
            <w:tcW w:w="1392" w:type="pct"/>
            <w:vAlign w:val="center"/>
          </w:tcPr>
          <w:p w14:paraId="617AA438" w14:textId="77777777" w:rsidR="00A06BE9" w:rsidRPr="00701F32" w:rsidRDefault="00A06BE9" w:rsidP="00464C0F">
            <w:pPr>
              <w:spacing w:line="259" w:lineRule="auto"/>
              <w:jc w:val="center"/>
              <w:rPr>
                <w:rFonts w:ascii="Arial" w:eastAsia="Arial" w:hAnsi="Arial" w:cs="Arial"/>
                <w:b/>
                <w:sz w:val="18"/>
              </w:rPr>
            </w:pPr>
            <w:r w:rsidRPr="00701F32">
              <w:rPr>
                <w:rFonts w:ascii="Arial" w:eastAsia="Arial" w:hAnsi="Arial" w:cs="Arial"/>
                <w:b/>
                <w:sz w:val="18"/>
              </w:rPr>
              <w:t>Cartera Comercial</w:t>
            </w:r>
          </w:p>
        </w:tc>
        <w:tc>
          <w:tcPr>
            <w:tcW w:w="1338" w:type="pct"/>
            <w:vAlign w:val="center"/>
          </w:tcPr>
          <w:p w14:paraId="38FAD99A" w14:textId="77777777" w:rsidR="00A06BE9" w:rsidRPr="00701F32" w:rsidRDefault="00A06BE9" w:rsidP="00464C0F">
            <w:pPr>
              <w:spacing w:line="259" w:lineRule="auto"/>
              <w:jc w:val="center"/>
              <w:rPr>
                <w:rFonts w:ascii="Arial" w:eastAsia="Arial" w:hAnsi="Arial" w:cs="Arial"/>
                <w:b/>
                <w:sz w:val="18"/>
              </w:rPr>
            </w:pPr>
            <w:r w:rsidRPr="00701F32">
              <w:rPr>
                <w:rFonts w:ascii="Arial" w:eastAsia="Arial" w:hAnsi="Arial" w:cs="Arial"/>
                <w:b/>
                <w:sz w:val="18"/>
              </w:rPr>
              <w:t>Cartera de consumo o asimilable a consumo</w:t>
            </w:r>
          </w:p>
        </w:tc>
        <w:tc>
          <w:tcPr>
            <w:tcW w:w="1135" w:type="pct"/>
            <w:vAlign w:val="center"/>
          </w:tcPr>
          <w:p w14:paraId="0A7AB9F2" w14:textId="77777777" w:rsidR="00A06BE9" w:rsidRPr="00701F32" w:rsidRDefault="00A06BE9" w:rsidP="00464C0F">
            <w:pPr>
              <w:spacing w:line="259" w:lineRule="auto"/>
              <w:jc w:val="center"/>
              <w:rPr>
                <w:rFonts w:ascii="Arial" w:eastAsia="Arial" w:hAnsi="Arial" w:cs="Arial"/>
                <w:b/>
                <w:sz w:val="18"/>
              </w:rPr>
            </w:pPr>
            <w:r w:rsidRPr="00701F32">
              <w:rPr>
                <w:rFonts w:ascii="Arial" w:eastAsia="Arial" w:hAnsi="Arial" w:cs="Arial"/>
                <w:b/>
                <w:sz w:val="18"/>
              </w:rPr>
              <w:t>Con garantías preferidas</w:t>
            </w:r>
          </w:p>
        </w:tc>
        <w:tc>
          <w:tcPr>
            <w:tcW w:w="1135" w:type="pct"/>
            <w:vAlign w:val="center"/>
          </w:tcPr>
          <w:p w14:paraId="213C39F4" w14:textId="77777777" w:rsidR="00A06BE9" w:rsidRPr="00701F32" w:rsidRDefault="00A06BE9" w:rsidP="00464C0F">
            <w:pPr>
              <w:spacing w:line="259" w:lineRule="auto"/>
              <w:jc w:val="center"/>
              <w:rPr>
                <w:rFonts w:ascii="Arial" w:eastAsia="Arial" w:hAnsi="Arial" w:cs="Arial"/>
                <w:b/>
                <w:sz w:val="18"/>
              </w:rPr>
            </w:pPr>
            <w:r w:rsidRPr="00701F32">
              <w:rPr>
                <w:rFonts w:ascii="Arial" w:eastAsia="Arial" w:hAnsi="Arial" w:cs="Arial"/>
                <w:b/>
                <w:sz w:val="18"/>
              </w:rPr>
              <w:t>Sin garantías preferidas</w:t>
            </w:r>
          </w:p>
        </w:tc>
      </w:tr>
      <w:tr w:rsidR="00A06BE9" w:rsidRPr="00701F32" w14:paraId="146479F9" w14:textId="77777777" w:rsidTr="00464C0F">
        <w:trPr>
          <w:trHeight w:val="111"/>
        </w:trPr>
        <w:tc>
          <w:tcPr>
            <w:tcW w:w="1392" w:type="pct"/>
            <w:vAlign w:val="center"/>
          </w:tcPr>
          <w:p w14:paraId="653E1999" w14:textId="77777777" w:rsidR="00A06BE9" w:rsidRPr="00701F32" w:rsidRDefault="00A06BE9" w:rsidP="00464C0F">
            <w:pPr>
              <w:spacing w:line="259" w:lineRule="auto"/>
              <w:rPr>
                <w:rFonts w:ascii="Arial" w:eastAsia="Arial" w:hAnsi="Arial" w:cs="Arial"/>
                <w:sz w:val="18"/>
              </w:rPr>
            </w:pPr>
            <w:r w:rsidRPr="00701F32">
              <w:rPr>
                <w:rFonts w:ascii="Arial" w:eastAsia="Arial" w:hAnsi="Arial" w:cs="Arial"/>
                <w:sz w:val="18"/>
              </w:rPr>
              <w:t>Situación normal</w:t>
            </w:r>
          </w:p>
        </w:tc>
        <w:tc>
          <w:tcPr>
            <w:tcW w:w="1338" w:type="pct"/>
            <w:vAlign w:val="center"/>
          </w:tcPr>
          <w:p w14:paraId="1A68EE42"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Situación normal</w:t>
            </w:r>
          </w:p>
        </w:tc>
        <w:tc>
          <w:tcPr>
            <w:tcW w:w="1135" w:type="pct"/>
            <w:vAlign w:val="center"/>
          </w:tcPr>
          <w:p w14:paraId="46890E20"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w:t>
            </w:r>
          </w:p>
        </w:tc>
        <w:tc>
          <w:tcPr>
            <w:tcW w:w="1135" w:type="pct"/>
            <w:vAlign w:val="center"/>
          </w:tcPr>
          <w:p w14:paraId="12EFCBA7"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w:t>
            </w:r>
          </w:p>
        </w:tc>
      </w:tr>
      <w:tr w:rsidR="00A06BE9" w:rsidRPr="00701F32" w14:paraId="5FE22861" w14:textId="77777777" w:rsidTr="00464C0F">
        <w:trPr>
          <w:trHeight w:val="111"/>
        </w:trPr>
        <w:tc>
          <w:tcPr>
            <w:tcW w:w="1392" w:type="pct"/>
            <w:vAlign w:val="center"/>
          </w:tcPr>
          <w:p w14:paraId="6DA7F0B0"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En observación</w:t>
            </w:r>
          </w:p>
        </w:tc>
        <w:tc>
          <w:tcPr>
            <w:tcW w:w="1338" w:type="pct"/>
            <w:vAlign w:val="center"/>
          </w:tcPr>
          <w:p w14:paraId="5EC988B8"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Riesgo bajo</w:t>
            </w:r>
          </w:p>
        </w:tc>
        <w:tc>
          <w:tcPr>
            <w:tcW w:w="1135" w:type="pct"/>
            <w:vAlign w:val="center"/>
          </w:tcPr>
          <w:p w14:paraId="748EF38D"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3%</w:t>
            </w:r>
          </w:p>
        </w:tc>
        <w:tc>
          <w:tcPr>
            <w:tcW w:w="1135" w:type="pct"/>
            <w:vAlign w:val="center"/>
          </w:tcPr>
          <w:p w14:paraId="2B2259F7"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5%</w:t>
            </w:r>
          </w:p>
        </w:tc>
      </w:tr>
      <w:tr w:rsidR="00A06BE9" w:rsidRPr="00701F32" w14:paraId="4B457FEE" w14:textId="77777777" w:rsidTr="00464C0F">
        <w:trPr>
          <w:trHeight w:val="238"/>
        </w:trPr>
        <w:tc>
          <w:tcPr>
            <w:tcW w:w="1392" w:type="pct"/>
            <w:vAlign w:val="center"/>
          </w:tcPr>
          <w:p w14:paraId="0233EE4E"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En negociación o con acuerdos de refinanciación</w:t>
            </w:r>
          </w:p>
        </w:tc>
        <w:tc>
          <w:tcPr>
            <w:tcW w:w="1338" w:type="pct"/>
            <w:vAlign w:val="center"/>
          </w:tcPr>
          <w:p w14:paraId="1D49CA61"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N/A</w:t>
            </w:r>
          </w:p>
          <w:p w14:paraId="32E5ACE1" w14:textId="77777777" w:rsidR="00A06BE9" w:rsidRPr="00701F32" w:rsidRDefault="00A06BE9" w:rsidP="00464C0F">
            <w:pPr>
              <w:spacing w:line="259" w:lineRule="auto"/>
              <w:rPr>
                <w:rFonts w:ascii="Arial" w:eastAsia="Arial" w:hAnsi="Arial" w:cs="Arial"/>
                <w:sz w:val="18"/>
              </w:rPr>
            </w:pPr>
          </w:p>
        </w:tc>
        <w:tc>
          <w:tcPr>
            <w:tcW w:w="1135" w:type="pct"/>
            <w:vAlign w:val="center"/>
          </w:tcPr>
          <w:p w14:paraId="302602B7"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6%</w:t>
            </w:r>
          </w:p>
        </w:tc>
        <w:tc>
          <w:tcPr>
            <w:tcW w:w="1135" w:type="pct"/>
            <w:vAlign w:val="center"/>
          </w:tcPr>
          <w:p w14:paraId="3D42EB31"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12%</w:t>
            </w:r>
          </w:p>
        </w:tc>
      </w:tr>
      <w:tr w:rsidR="00A06BE9" w:rsidRPr="00701F32" w14:paraId="055F04B3" w14:textId="77777777" w:rsidTr="00464C0F">
        <w:trPr>
          <w:trHeight w:val="118"/>
        </w:trPr>
        <w:tc>
          <w:tcPr>
            <w:tcW w:w="1392" w:type="pct"/>
            <w:vAlign w:val="center"/>
          </w:tcPr>
          <w:p w14:paraId="4449B217"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 xml:space="preserve">Con problemas </w:t>
            </w:r>
          </w:p>
        </w:tc>
        <w:tc>
          <w:tcPr>
            <w:tcW w:w="1338" w:type="pct"/>
            <w:vAlign w:val="center"/>
          </w:tcPr>
          <w:p w14:paraId="5A41F405"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Riesgo medio</w:t>
            </w:r>
          </w:p>
        </w:tc>
        <w:tc>
          <w:tcPr>
            <w:tcW w:w="1135" w:type="pct"/>
            <w:vAlign w:val="center"/>
          </w:tcPr>
          <w:p w14:paraId="2F3B5196"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12%</w:t>
            </w:r>
          </w:p>
        </w:tc>
        <w:tc>
          <w:tcPr>
            <w:tcW w:w="1135" w:type="pct"/>
            <w:vAlign w:val="center"/>
          </w:tcPr>
          <w:p w14:paraId="11B5C54E"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25%</w:t>
            </w:r>
          </w:p>
        </w:tc>
      </w:tr>
      <w:tr w:rsidR="00A06BE9" w:rsidRPr="00701F32" w14:paraId="3C1CC1BC" w14:textId="77777777" w:rsidTr="00464C0F">
        <w:trPr>
          <w:trHeight w:val="222"/>
        </w:trPr>
        <w:tc>
          <w:tcPr>
            <w:tcW w:w="1392" w:type="pct"/>
            <w:vAlign w:val="center"/>
          </w:tcPr>
          <w:p w14:paraId="294405D2"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Alto riesgo de insolvencia</w:t>
            </w:r>
          </w:p>
        </w:tc>
        <w:tc>
          <w:tcPr>
            <w:tcW w:w="1338" w:type="pct"/>
            <w:vAlign w:val="center"/>
          </w:tcPr>
          <w:p w14:paraId="31A00502"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Riesgo alto</w:t>
            </w:r>
          </w:p>
        </w:tc>
        <w:tc>
          <w:tcPr>
            <w:tcW w:w="1135" w:type="pct"/>
            <w:vAlign w:val="center"/>
          </w:tcPr>
          <w:p w14:paraId="62ECEEA6"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25%</w:t>
            </w:r>
          </w:p>
        </w:tc>
        <w:tc>
          <w:tcPr>
            <w:tcW w:w="1135" w:type="pct"/>
            <w:vAlign w:val="center"/>
          </w:tcPr>
          <w:p w14:paraId="368C36BD"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50%</w:t>
            </w:r>
          </w:p>
        </w:tc>
      </w:tr>
      <w:tr w:rsidR="00A06BE9" w:rsidRPr="00701F32" w14:paraId="34FFB953" w14:textId="77777777" w:rsidTr="00464C0F">
        <w:trPr>
          <w:trHeight w:val="111"/>
        </w:trPr>
        <w:tc>
          <w:tcPr>
            <w:tcW w:w="1392" w:type="pct"/>
            <w:vAlign w:val="center"/>
          </w:tcPr>
          <w:p w14:paraId="3641114E"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Irrecuperable</w:t>
            </w:r>
          </w:p>
        </w:tc>
        <w:tc>
          <w:tcPr>
            <w:tcW w:w="1338" w:type="pct"/>
            <w:vAlign w:val="center"/>
          </w:tcPr>
          <w:p w14:paraId="7941A62A"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Irrecuperable</w:t>
            </w:r>
          </w:p>
        </w:tc>
        <w:tc>
          <w:tcPr>
            <w:tcW w:w="1135" w:type="pct"/>
            <w:vAlign w:val="center"/>
          </w:tcPr>
          <w:p w14:paraId="66908860"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50%</w:t>
            </w:r>
          </w:p>
        </w:tc>
        <w:tc>
          <w:tcPr>
            <w:tcW w:w="1135" w:type="pct"/>
            <w:vAlign w:val="center"/>
          </w:tcPr>
          <w:p w14:paraId="51CCB319"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100%</w:t>
            </w:r>
          </w:p>
        </w:tc>
      </w:tr>
      <w:tr w:rsidR="00A06BE9" w:rsidRPr="00701F32" w14:paraId="2546EBC6" w14:textId="77777777" w:rsidTr="00464C0F">
        <w:trPr>
          <w:trHeight w:val="236"/>
        </w:trPr>
        <w:tc>
          <w:tcPr>
            <w:tcW w:w="1392" w:type="pct"/>
            <w:vAlign w:val="center"/>
          </w:tcPr>
          <w:p w14:paraId="51756690"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Irrecuperable por disposición técnica</w:t>
            </w:r>
          </w:p>
        </w:tc>
        <w:tc>
          <w:tcPr>
            <w:tcW w:w="1338" w:type="pct"/>
            <w:vAlign w:val="center"/>
          </w:tcPr>
          <w:p w14:paraId="1FEC921C" w14:textId="77777777" w:rsidR="00A06BE9" w:rsidRPr="00701F32" w:rsidRDefault="00A06BE9" w:rsidP="00464C0F">
            <w:pPr>
              <w:spacing w:line="259" w:lineRule="auto"/>
              <w:jc w:val="both"/>
              <w:rPr>
                <w:rFonts w:ascii="Arial" w:eastAsia="Arial" w:hAnsi="Arial" w:cs="Arial"/>
                <w:sz w:val="18"/>
              </w:rPr>
            </w:pPr>
            <w:r w:rsidRPr="00701F32">
              <w:rPr>
                <w:rFonts w:ascii="Arial" w:eastAsia="Arial" w:hAnsi="Arial" w:cs="Arial"/>
                <w:sz w:val="18"/>
              </w:rPr>
              <w:t>Irrecuperable por disposición técnica</w:t>
            </w:r>
          </w:p>
        </w:tc>
        <w:tc>
          <w:tcPr>
            <w:tcW w:w="1135" w:type="pct"/>
            <w:vAlign w:val="center"/>
          </w:tcPr>
          <w:p w14:paraId="51ADEFF2"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100%</w:t>
            </w:r>
          </w:p>
        </w:tc>
        <w:tc>
          <w:tcPr>
            <w:tcW w:w="1135" w:type="pct"/>
            <w:vAlign w:val="center"/>
          </w:tcPr>
          <w:p w14:paraId="18DB0476" w14:textId="77777777" w:rsidR="00A06BE9" w:rsidRPr="00701F32" w:rsidRDefault="00A06BE9" w:rsidP="00464C0F">
            <w:pPr>
              <w:spacing w:line="259" w:lineRule="auto"/>
              <w:jc w:val="center"/>
              <w:rPr>
                <w:rFonts w:ascii="Arial" w:eastAsia="Arial" w:hAnsi="Arial" w:cs="Arial"/>
                <w:sz w:val="18"/>
              </w:rPr>
            </w:pPr>
            <w:r w:rsidRPr="00701F32">
              <w:rPr>
                <w:rFonts w:ascii="Arial" w:eastAsia="Arial" w:hAnsi="Arial" w:cs="Arial"/>
                <w:sz w:val="18"/>
              </w:rPr>
              <w:t>100%</w:t>
            </w:r>
          </w:p>
        </w:tc>
      </w:tr>
    </w:tbl>
    <w:p w14:paraId="2CCFDAA8" w14:textId="77777777" w:rsidR="00A06BE9" w:rsidRPr="00701F32" w:rsidRDefault="00A06BE9" w:rsidP="00A06BE9">
      <w:pPr>
        <w:spacing w:line="259" w:lineRule="auto"/>
        <w:jc w:val="both"/>
        <w:rPr>
          <w:rFonts w:ascii="Arial" w:eastAsia="Arial" w:hAnsi="Arial" w:cs="Arial"/>
          <w:sz w:val="20"/>
        </w:rPr>
      </w:pPr>
    </w:p>
    <w:p w14:paraId="3D041CB3" w14:textId="5183E288" w:rsidR="00D93A75" w:rsidRPr="00701F32" w:rsidRDefault="00D93A75" w:rsidP="00D93A75">
      <w:pPr>
        <w:pStyle w:val="Textodebloque"/>
        <w:widowControl w:val="0"/>
        <w:tabs>
          <w:tab w:val="left" w:pos="9356"/>
        </w:tabs>
        <w:spacing w:after="240"/>
        <w:ind w:left="0" w:right="4"/>
        <w:contextualSpacing/>
        <w:jc w:val="both"/>
        <w:rPr>
          <w:rFonts w:ascii="Arial" w:hAnsi="Arial" w:cs="Arial"/>
          <w:color w:val="000000"/>
          <w:sz w:val="20"/>
        </w:rPr>
      </w:pPr>
      <w:r w:rsidRPr="00701F32">
        <w:rPr>
          <w:rFonts w:ascii="Arial" w:hAnsi="Arial" w:cs="Arial"/>
          <w:color w:val="000000"/>
          <w:sz w:val="20"/>
        </w:rPr>
        <w:t xml:space="preserve">El criterio principal para evaluar un préstamo perteneciente a la cartera comercial es la capacidad de su prestatario para reembolsarlo, capacidad que se mide principalmente por el flujo de efectivo futuro de dicho prestatario. En el caso del análisis de la cartera de consumo el principal criterio en la evaluación de los préstamos es la </w:t>
      </w:r>
      <w:r w:rsidR="00061D27" w:rsidRPr="00701F32">
        <w:rPr>
          <w:rFonts w:ascii="Arial" w:hAnsi="Arial" w:cs="Arial"/>
          <w:color w:val="000000"/>
          <w:sz w:val="20"/>
        </w:rPr>
        <w:t>mora en el cumplimiento de sus obligaciones.</w:t>
      </w:r>
    </w:p>
    <w:p w14:paraId="718448F9" w14:textId="64BAFC3E" w:rsidR="00F17F3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Entre otras disposiciones particulares, la Entidad ha optado por interrumpir el devengamiento de intereses de aquellos clientes que presenten atrasos mayores a 90 días en lugar de previsionar el 100% de los mismos</w:t>
      </w:r>
    </w:p>
    <w:p w14:paraId="2E175013" w14:textId="77777777" w:rsidR="00A06BE9" w:rsidRPr="00701F32" w:rsidRDefault="00A06BE9" w:rsidP="00A06BE9">
      <w:pPr>
        <w:spacing w:after="160" w:line="259" w:lineRule="auto"/>
        <w:jc w:val="both"/>
        <w:rPr>
          <w:rFonts w:ascii="Arial" w:eastAsia="Calibri" w:hAnsi="Arial" w:cs="Arial"/>
          <w:b/>
          <w:sz w:val="20"/>
        </w:rPr>
      </w:pPr>
      <w:r w:rsidRPr="00701F32">
        <w:rPr>
          <w:rFonts w:ascii="Arial" w:eastAsia="Calibri" w:hAnsi="Arial" w:cs="Arial"/>
          <w:b/>
          <w:sz w:val="20"/>
        </w:rPr>
        <w:t xml:space="preserve">1.13 Arrendamientos / Leasing </w:t>
      </w:r>
    </w:p>
    <w:p w14:paraId="4F67C3B7" w14:textId="77777777" w:rsidR="00A06BE9" w:rsidRPr="00701F32" w:rsidRDefault="00A06BE9" w:rsidP="00A06BE9">
      <w:pPr>
        <w:spacing w:after="160" w:line="259" w:lineRule="auto"/>
        <w:jc w:val="both"/>
        <w:rPr>
          <w:rFonts w:ascii="Arial" w:eastAsia="Calibri" w:hAnsi="Arial" w:cs="Arial"/>
          <w:sz w:val="20"/>
          <w:u w:val="single"/>
        </w:rPr>
      </w:pPr>
      <w:r w:rsidRPr="00701F32">
        <w:rPr>
          <w:rFonts w:ascii="Arial" w:eastAsia="Calibri" w:hAnsi="Arial" w:cs="Arial"/>
          <w:sz w:val="20"/>
          <w:u w:val="single"/>
        </w:rPr>
        <w:t>Arrendamientos financieros</w:t>
      </w:r>
    </w:p>
    <w:p w14:paraId="5ACC2303"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Se han registrado por el valor actual de las sumas no devengadas, calculadas según las condiciones pactadas en los respectivos contratos, en función a la tasa de interés implícita en ellos.</w:t>
      </w:r>
    </w:p>
    <w:p w14:paraId="64681AA1" w14:textId="77777777" w:rsidR="00A06BE9" w:rsidRPr="00701F32" w:rsidRDefault="00A06BE9" w:rsidP="00A06BE9">
      <w:pPr>
        <w:spacing w:after="160" w:line="259" w:lineRule="auto"/>
        <w:jc w:val="both"/>
        <w:rPr>
          <w:rFonts w:ascii="Arial" w:eastAsia="Calibri" w:hAnsi="Arial" w:cs="Arial"/>
          <w:sz w:val="20"/>
          <w:u w:val="single"/>
        </w:rPr>
      </w:pPr>
      <w:r w:rsidRPr="00701F32">
        <w:rPr>
          <w:rFonts w:ascii="Arial" w:eastAsia="Calibri" w:hAnsi="Arial" w:cs="Arial"/>
          <w:sz w:val="20"/>
          <w:u w:val="single"/>
        </w:rPr>
        <w:t>Medición inicial</w:t>
      </w:r>
    </w:p>
    <w:p w14:paraId="08D28BF3"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El Banco utiliza la tasa de interés implícita en el arrendamiento para medir la inversión neta. Esta es definida de manera tal que los ingresos y costos directos iniciales se incluyen automáticamente en la inversión neta del arrendamiento.</w:t>
      </w:r>
    </w:p>
    <w:p w14:paraId="104FAD9D"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Los costos directos iniciales, distintos de los incurridos por los fabricantes o concesionarios, se incluyen en la medición inicial de la inversión neta del arrendamiento y reducen la cantidad de ingresos reconocidos durante el plazo del arrendamiento. La tasa de interés implícita en el arrendamiento se define de tal manera que los costos directos iniciales se incluyen automáticamente en la inversión neta en el arrendamiento; no hay necesidad de agregarlos por separado.</w:t>
      </w:r>
    </w:p>
    <w:p w14:paraId="5BC42CAF"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La diferencia entre el importe bruto por cobrar y el valor actual representa el ingreso financiero que se reconoce durante el plazo del arrendamiento. Los ingresos financieros de los arrendamientos se registran dentro del resultado del </w:t>
      </w:r>
      <w:r w:rsidR="00D93A75" w:rsidRPr="00701F32">
        <w:rPr>
          <w:rFonts w:ascii="Arial" w:eastAsia="Calibri" w:hAnsi="Arial" w:cs="Arial"/>
          <w:sz w:val="20"/>
        </w:rPr>
        <w:t>período</w:t>
      </w:r>
      <w:r w:rsidRPr="00701F32">
        <w:rPr>
          <w:rFonts w:ascii="Arial" w:eastAsia="Calibri" w:hAnsi="Arial" w:cs="Arial"/>
          <w:sz w:val="20"/>
        </w:rPr>
        <w:t xml:space="preserve">. Las pérdidas por deterioro se reconocen en el resultado del </w:t>
      </w:r>
      <w:r w:rsidR="00D93A75" w:rsidRPr="00701F32">
        <w:rPr>
          <w:rFonts w:ascii="Arial" w:eastAsia="Calibri" w:hAnsi="Arial" w:cs="Arial"/>
          <w:sz w:val="20"/>
        </w:rPr>
        <w:t>período</w:t>
      </w:r>
      <w:r w:rsidRPr="00701F32">
        <w:rPr>
          <w:rFonts w:ascii="Arial" w:eastAsia="Calibri" w:hAnsi="Arial" w:cs="Arial"/>
          <w:sz w:val="20"/>
        </w:rPr>
        <w:t xml:space="preserve">. </w:t>
      </w:r>
    </w:p>
    <w:p w14:paraId="0FF32ED0" w14:textId="77777777" w:rsidR="00A06BE9" w:rsidRPr="00701F32" w:rsidRDefault="00A06BE9" w:rsidP="00A06BE9">
      <w:pPr>
        <w:jc w:val="both"/>
        <w:rPr>
          <w:rFonts w:ascii="Arial" w:hAnsi="Arial" w:cs="Arial"/>
          <w:sz w:val="20"/>
        </w:rPr>
      </w:pPr>
      <w:r w:rsidRPr="00701F32">
        <w:rPr>
          <w:rFonts w:ascii="Arial" w:eastAsia="Calibri" w:hAnsi="Arial" w:cs="Arial"/>
          <w:sz w:val="20"/>
        </w:rPr>
        <w:t>El Banco utiliza los criterios detallados en Nota 1.12 para determinar si existe evidencia objetiva de que se ha producido una pérdida por deterioro, en el caso de los préstamos llevados al costo amortizado.</w:t>
      </w:r>
    </w:p>
    <w:p w14:paraId="7F5790FD" w14:textId="77777777" w:rsidR="00A06BE9" w:rsidRPr="00701F32" w:rsidRDefault="00A06BE9" w:rsidP="00A06BE9">
      <w:pPr>
        <w:jc w:val="both"/>
        <w:rPr>
          <w:rFonts w:ascii="Arial" w:hAnsi="Arial" w:cs="Arial"/>
          <w:sz w:val="20"/>
        </w:rPr>
      </w:pPr>
    </w:p>
    <w:p w14:paraId="5D623949" w14:textId="77777777" w:rsidR="00A06BE9" w:rsidRPr="00701F32" w:rsidRDefault="00A06BE9" w:rsidP="00A06BE9">
      <w:pPr>
        <w:spacing w:after="160"/>
        <w:jc w:val="both"/>
        <w:rPr>
          <w:rFonts w:ascii="Arial" w:eastAsia="Calibri" w:hAnsi="Arial" w:cs="Arial"/>
          <w:b/>
          <w:sz w:val="20"/>
        </w:rPr>
      </w:pPr>
      <w:r w:rsidRPr="00701F32">
        <w:rPr>
          <w:rFonts w:ascii="Arial" w:eastAsia="Calibri" w:hAnsi="Arial" w:cs="Arial"/>
          <w:b/>
          <w:sz w:val="20"/>
        </w:rPr>
        <w:t>1.14 Propiedad, planta y equipo (PPE)</w:t>
      </w:r>
    </w:p>
    <w:p w14:paraId="1C3C9DA2" w14:textId="77777777" w:rsidR="00A06BE9" w:rsidRPr="00701F32" w:rsidRDefault="00A06BE9" w:rsidP="00A06BE9">
      <w:pPr>
        <w:numPr>
          <w:ilvl w:val="0"/>
          <w:numId w:val="34"/>
        </w:numPr>
        <w:spacing w:after="160"/>
        <w:contextualSpacing/>
        <w:jc w:val="both"/>
        <w:rPr>
          <w:rFonts w:ascii="Arial" w:eastAsia="Calibri" w:hAnsi="Arial" w:cs="Arial"/>
          <w:sz w:val="20"/>
        </w:rPr>
      </w:pPr>
      <w:r w:rsidRPr="00701F32">
        <w:rPr>
          <w:rFonts w:ascii="Arial" w:eastAsia="Calibri" w:hAnsi="Arial" w:cs="Arial"/>
          <w:sz w:val="20"/>
        </w:rPr>
        <w:t xml:space="preserve">Bases de medición utilizadas. </w:t>
      </w:r>
    </w:p>
    <w:p w14:paraId="5C7809D8"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Terrenos y edificios se contabilizan por sus valores revaluados basados en tasaciones periódicas, utilizando para ello el servicio de tasadores independientes, neto de la consecuente depreciación para edificios. </w:t>
      </w:r>
    </w:p>
    <w:p w14:paraId="041E93F1"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Toda otra propiedad, planta y equipo se contabiliza a su costo histórico neto de depreciaciones acumuladas y/o de las pérdidas por desvalorización acumuladas, si las hubiera. El costo incluye los gastos que son directamente atribuibles a la adquisición o construcción de estas partidas.</w:t>
      </w:r>
    </w:p>
    <w:p w14:paraId="241E2A51" w14:textId="746BBD19"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Los costos subsecuentes se incluyen en el valor del activo o se reconocen como un activo separado, según corresponda, si y solo si es probable que generen beneficios económicos futuros para el </w:t>
      </w:r>
      <w:r w:rsidR="00061D27" w:rsidRPr="00701F32">
        <w:rPr>
          <w:rFonts w:ascii="Arial" w:eastAsia="Calibri" w:hAnsi="Arial" w:cs="Arial"/>
          <w:sz w:val="20"/>
        </w:rPr>
        <w:t>banco</w:t>
      </w:r>
      <w:r w:rsidRPr="00701F32">
        <w:rPr>
          <w:rFonts w:ascii="Arial" w:eastAsia="Calibri" w:hAnsi="Arial" w:cs="Arial"/>
          <w:sz w:val="20"/>
        </w:rPr>
        <w:t>, y su costo pueda ser medido razonablemente. El valor de libros del activo que se reemplaza se da de baja, amortizándose el nuevo activo por la cantidad de años de vida útil restante al momento de efectuarse la mejora.</w:t>
      </w:r>
    </w:p>
    <w:p w14:paraId="344A2DE2"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gastos de reparación y mantenimiento se reconocen en el estado de resultados consolidado del período en que se incurren.</w:t>
      </w:r>
    </w:p>
    <w:p w14:paraId="1CCF0362" w14:textId="77777777" w:rsidR="00A06BE9" w:rsidRPr="00701F32" w:rsidRDefault="00A06BE9" w:rsidP="00A06BE9">
      <w:pPr>
        <w:numPr>
          <w:ilvl w:val="0"/>
          <w:numId w:val="34"/>
        </w:numPr>
        <w:spacing w:after="160"/>
        <w:contextualSpacing/>
        <w:jc w:val="both"/>
        <w:rPr>
          <w:rFonts w:ascii="Arial" w:eastAsia="Calibri" w:hAnsi="Arial" w:cs="Arial"/>
          <w:sz w:val="20"/>
        </w:rPr>
      </w:pPr>
      <w:r w:rsidRPr="00701F32">
        <w:rPr>
          <w:rFonts w:ascii="Arial" w:eastAsia="Calibri" w:hAnsi="Arial" w:cs="Arial"/>
          <w:sz w:val="20"/>
        </w:rPr>
        <w:t xml:space="preserve">Métodos de depreciación utilizados. </w:t>
      </w:r>
    </w:p>
    <w:p w14:paraId="4CC176A1"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La depreciación es calculada utilizando el método de línea recta, aplicando tasas anuales suficientes para extinguir los valores de los bienes al final de la vida útil estimada.</w:t>
      </w:r>
    </w:p>
    <w:p w14:paraId="34F0E8E3"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A continuación, se detalla la vi</w:t>
      </w:r>
      <w:r w:rsidR="00AC4467" w:rsidRPr="00701F32">
        <w:rPr>
          <w:rFonts w:ascii="Arial" w:eastAsia="Calibri" w:hAnsi="Arial" w:cs="Arial"/>
          <w:sz w:val="20"/>
        </w:rPr>
        <w:t>da</w:t>
      </w:r>
      <w:r w:rsidRPr="00701F32">
        <w:rPr>
          <w:rFonts w:ascii="Arial" w:eastAsia="Calibri" w:hAnsi="Arial" w:cs="Arial"/>
          <w:sz w:val="20"/>
        </w:rPr>
        <w:t xml:space="preserve"> útil para cada uno de los ítems que componen el rubro propiedad, planta y equipo: </w:t>
      </w:r>
    </w:p>
    <w:tbl>
      <w:tblPr>
        <w:tblStyle w:val="Tabladecuadrcula1clara1"/>
        <w:tblW w:w="0" w:type="auto"/>
        <w:jc w:val="center"/>
        <w:tblLook w:val="04A0" w:firstRow="1" w:lastRow="0" w:firstColumn="1" w:lastColumn="0" w:noHBand="0" w:noVBand="1"/>
      </w:tblPr>
      <w:tblGrid>
        <w:gridCol w:w="2518"/>
        <w:gridCol w:w="2552"/>
      </w:tblGrid>
      <w:tr w:rsidR="00A06BE9" w:rsidRPr="00701F32" w14:paraId="1E00520E" w14:textId="77777777" w:rsidTr="008628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1923239C" w14:textId="77777777" w:rsidR="00A06BE9" w:rsidRPr="00701F32" w:rsidRDefault="00A06BE9" w:rsidP="00464C0F">
            <w:pPr>
              <w:jc w:val="both"/>
              <w:rPr>
                <w:rFonts w:ascii="Arial" w:hAnsi="Arial" w:cs="Arial"/>
                <w:sz w:val="18"/>
              </w:rPr>
            </w:pPr>
            <w:r w:rsidRPr="00701F32">
              <w:rPr>
                <w:rFonts w:ascii="Arial" w:hAnsi="Arial" w:cs="Arial"/>
                <w:sz w:val="18"/>
              </w:rPr>
              <w:t>Clase de Activo PPE</w:t>
            </w:r>
          </w:p>
        </w:tc>
        <w:tc>
          <w:tcPr>
            <w:tcW w:w="2552" w:type="dxa"/>
            <w:tcBorders>
              <w:top w:val="single" w:sz="4" w:space="0" w:color="auto"/>
              <w:left w:val="single" w:sz="4" w:space="0" w:color="auto"/>
              <w:bottom w:val="single" w:sz="4" w:space="0" w:color="auto"/>
              <w:right w:val="single" w:sz="4" w:space="0" w:color="auto"/>
            </w:tcBorders>
          </w:tcPr>
          <w:p w14:paraId="7419D4A9" w14:textId="77777777" w:rsidR="00A06BE9" w:rsidRPr="00701F32" w:rsidRDefault="00A06BE9" w:rsidP="00464C0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Vida útil estimada</w:t>
            </w:r>
          </w:p>
        </w:tc>
      </w:tr>
      <w:tr w:rsidR="00A06BE9" w:rsidRPr="00701F32" w14:paraId="09F0B47A"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0D58A3E7" w14:textId="77777777" w:rsidR="00A06BE9" w:rsidRPr="00701F32" w:rsidRDefault="00A06BE9" w:rsidP="00464C0F">
            <w:pPr>
              <w:jc w:val="both"/>
              <w:rPr>
                <w:rFonts w:ascii="Arial" w:hAnsi="Arial" w:cs="Arial"/>
                <w:b w:val="0"/>
                <w:sz w:val="18"/>
              </w:rPr>
            </w:pPr>
            <w:r w:rsidRPr="00701F32">
              <w:rPr>
                <w:rFonts w:ascii="Arial" w:hAnsi="Arial" w:cs="Arial"/>
                <w:sz w:val="18"/>
              </w:rPr>
              <w:t>Terrenos</w:t>
            </w:r>
          </w:p>
        </w:tc>
        <w:tc>
          <w:tcPr>
            <w:tcW w:w="2552" w:type="dxa"/>
            <w:tcBorders>
              <w:top w:val="single" w:sz="4" w:space="0" w:color="auto"/>
              <w:left w:val="single" w:sz="4" w:space="0" w:color="auto"/>
              <w:bottom w:val="single" w:sz="4" w:space="0" w:color="auto"/>
              <w:right w:val="single" w:sz="4" w:space="0" w:color="auto"/>
            </w:tcBorders>
          </w:tcPr>
          <w:p w14:paraId="1C948CF8"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No se amortizan</w:t>
            </w:r>
          </w:p>
        </w:tc>
      </w:tr>
      <w:tr w:rsidR="00A06BE9" w:rsidRPr="00701F32" w14:paraId="03EB9DBE"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72487081" w14:textId="77777777" w:rsidR="00A06BE9" w:rsidRPr="00701F32" w:rsidRDefault="00A06BE9" w:rsidP="00464C0F">
            <w:pPr>
              <w:jc w:val="both"/>
              <w:rPr>
                <w:rFonts w:ascii="Arial" w:hAnsi="Arial" w:cs="Arial"/>
                <w:b w:val="0"/>
                <w:sz w:val="18"/>
              </w:rPr>
            </w:pPr>
            <w:r w:rsidRPr="00701F32">
              <w:rPr>
                <w:rFonts w:ascii="Arial" w:hAnsi="Arial" w:cs="Arial"/>
                <w:sz w:val="18"/>
              </w:rPr>
              <w:t>Edificios</w:t>
            </w:r>
          </w:p>
        </w:tc>
        <w:tc>
          <w:tcPr>
            <w:tcW w:w="2552" w:type="dxa"/>
            <w:tcBorders>
              <w:top w:val="single" w:sz="4" w:space="0" w:color="auto"/>
              <w:left w:val="single" w:sz="4" w:space="0" w:color="auto"/>
              <w:bottom w:val="single" w:sz="4" w:space="0" w:color="auto"/>
              <w:right w:val="single" w:sz="4" w:space="0" w:color="auto"/>
            </w:tcBorders>
          </w:tcPr>
          <w:p w14:paraId="6010E9F1"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50 Años</w:t>
            </w:r>
          </w:p>
        </w:tc>
      </w:tr>
      <w:tr w:rsidR="00A06BE9" w:rsidRPr="00701F32" w14:paraId="4DBF0D34"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010F37AD" w14:textId="77777777" w:rsidR="00A06BE9" w:rsidRPr="00701F32" w:rsidRDefault="00A06BE9" w:rsidP="00464C0F">
            <w:pPr>
              <w:jc w:val="both"/>
              <w:rPr>
                <w:rFonts w:ascii="Arial" w:hAnsi="Arial" w:cs="Arial"/>
                <w:b w:val="0"/>
                <w:sz w:val="18"/>
              </w:rPr>
            </w:pPr>
            <w:r w:rsidRPr="00701F32">
              <w:rPr>
                <w:rFonts w:ascii="Arial" w:hAnsi="Arial" w:cs="Arial"/>
                <w:sz w:val="18"/>
              </w:rPr>
              <w:t>Mobiliario e Instalaciones</w:t>
            </w:r>
          </w:p>
        </w:tc>
        <w:tc>
          <w:tcPr>
            <w:tcW w:w="2552" w:type="dxa"/>
            <w:tcBorders>
              <w:top w:val="single" w:sz="4" w:space="0" w:color="auto"/>
              <w:left w:val="single" w:sz="4" w:space="0" w:color="auto"/>
              <w:bottom w:val="single" w:sz="4" w:space="0" w:color="auto"/>
              <w:right w:val="single" w:sz="4" w:space="0" w:color="auto"/>
            </w:tcBorders>
          </w:tcPr>
          <w:p w14:paraId="3FD79D6C"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10 años</w:t>
            </w:r>
          </w:p>
        </w:tc>
      </w:tr>
      <w:tr w:rsidR="00A06BE9" w:rsidRPr="00701F32" w14:paraId="7C655A0F"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356A6872" w14:textId="77777777" w:rsidR="00A06BE9" w:rsidRPr="00701F32" w:rsidRDefault="00A06BE9" w:rsidP="00464C0F">
            <w:pPr>
              <w:jc w:val="both"/>
              <w:rPr>
                <w:rFonts w:ascii="Arial" w:hAnsi="Arial" w:cs="Arial"/>
                <w:b w:val="0"/>
                <w:sz w:val="18"/>
              </w:rPr>
            </w:pPr>
            <w:r w:rsidRPr="00701F32">
              <w:rPr>
                <w:rFonts w:ascii="Arial" w:hAnsi="Arial" w:cs="Arial"/>
                <w:sz w:val="18"/>
              </w:rPr>
              <w:t>Máquinas y Equipos</w:t>
            </w:r>
          </w:p>
        </w:tc>
        <w:tc>
          <w:tcPr>
            <w:tcW w:w="2552" w:type="dxa"/>
            <w:tcBorders>
              <w:top w:val="single" w:sz="4" w:space="0" w:color="auto"/>
              <w:left w:val="single" w:sz="4" w:space="0" w:color="auto"/>
              <w:bottom w:val="single" w:sz="4" w:space="0" w:color="auto"/>
              <w:right w:val="single" w:sz="4" w:space="0" w:color="auto"/>
            </w:tcBorders>
          </w:tcPr>
          <w:p w14:paraId="4E35AE1C"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r>
      <w:tr w:rsidR="00A06BE9" w:rsidRPr="00701F32" w14:paraId="0EE64E9F"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573CF53F" w14:textId="77777777" w:rsidR="00A06BE9" w:rsidRPr="00701F32" w:rsidRDefault="00A06BE9" w:rsidP="00464C0F">
            <w:pPr>
              <w:jc w:val="both"/>
              <w:rPr>
                <w:rFonts w:ascii="Arial" w:hAnsi="Arial" w:cs="Arial"/>
                <w:b w:val="0"/>
                <w:sz w:val="18"/>
              </w:rPr>
            </w:pPr>
            <w:r w:rsidRPr="00701F32">
              <w:rPr>
                <w:rFonts w:ascii="Arial" w:hAnsi="Arial" w:cs="Arial"/>
                <w:sz w:val="18"/>
              </w:rPr>
              <w:t>Vehículos</w:t>
            </w:r>
          </w:p>
        </w:tc>
        <w:tc>
          <w:tcPr>
            <w:tcW w:w="2552" w:type="dxa"/>
            <w:tcBorders>
              <w:top w:val="single" w:sz="4" w:space="0" w:color="auto"/>
              <w:left w:val="single" w:sz="4" w:space="0" w:color="auto"/>
              <w:bottom w:val="single" w:sz="4" w:space="0" w:color="auto"/>
              <w:right w:val="single" w:sz="4" w:space="0" w:color="auto"/>
            </w:tcBorders>
          </w:tcPr>
          <w:p w14:paraId="58995F35"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r>
      <w:tr w:rsidR="00A06BE9" w:rsidRPr="00701F32" w14:paraId="228DB37E"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tcPr>
          <w:p w14:paraId="3462DF7D" w14:textId="77777777" w:rsidR="00A06BE9" w:rsidRPr="00701F32" w:rsidRDefault="00A06BE9" w:rsidP="00464C0F">
            <w:pPr>
              <w:jc w:val="both"/>
              <w:rPr>
                <w:rFonts w:ascii="Arial" w:hAnsi="Arial" w:cs="Arial"/>
                <w:b w:val="0"/>
                <w:sz w:val="18"/>
              </w:rPr>
            </w:pPr>
            <w:r w:rsidRPr="00701F32">
              <w:rPr>
                <w:rFonts w:ascii="Arial" w:hAnsi="Arial" w:cs="Arial"/>
                <w:sz w:val="18"/>
              </w:rPr>
              <w:t>Obras en Curso</w:t>
            </w:r>
          </w:p>
        </w:tc>
        <w:tc>
          <w:tcPr>
            <w:tcW w:w="2552" w:type="dxa"/>
            <w:tcBorders>
              <w:top w:val="single" w:sz="4" w:space="0" w:color="auto"/>
              <w:left w:val="single" w:sz="4" w:space="0" w:color="auto"/>
              <w:bottom w:val="single" w:sz="4" w:space="0" w:color="auto"/>
              <w:right w:val="single" w:sz="4" w:space="0" w:color="auto"/>
            </w:tcBorders>
          </w:tcPr>
          <w:p w14:paraId="50247AF4" w14:textId="77777777" w:rsidR="00A06BE9" w:rsidRPr="00701F32" w:rsidRDefault="00A06BE9"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 xml:space="preserve">No se amortizan </w:t>
            </w:r>
          </w:p>
        </w:tc>
      </w:tr>
    </w:tbl>
    <w:p w14:paraId="312B9BE0" w14:textId="77777777" w:rsidR="00A06BE9" w:rsidRPr="00701F32" w:rsidRDefault="00A06BE9" w:rsidP="00A06BE9">
      <w:pPr>
        <w:spacing w:after="160"/>
        <w:jc w:val="both"/>
        <w:rPr>
          <w:rFonts w:ascii="Arial" w:eastAsia="Calibri" w:hAnsi="Arial" w:cs="Arial"/>
          <w:sz w:val="20"/>
        </w:rPr>
      </w:pPr>
    </w:p>
    <w:p w14:paraId="7107B591"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valores residuales de la propiedad, planta y equipo, las vidas útiles y los métodos de depreciación se revisan y ajustan si fuera necesario, a la fecha de cierre de cada ejercicio o cuando existan indicios de desvalorización.</w:t>
      </w:r>
    </w:p>
    <w:p w14:paraId="4FCD69AB"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El valor de libros de la propiedad, planta y equipo se reduce inmediatamente a su importe recuperable cuando el importe en libros es superior al monto recuperable estimado.</w:t>
      </w:r>
    </w:p>
    <w:p w14:paraId="165BB7D7" w14:textId="77777777" w:rsidR="00A06BE9" w:rsidRPr="00701F32" w:rsidRDefault="00A06BE9" w:rsidP="00A06BE9">
      <w:pPr>
        <w:numPr>
          <w:ilvl w:val="0"/>
          <w:numId w:val="34"/>
        </w:numPr>
        <w:spacing w:after="160"/>
        <w:contextualSpacing/>
        <w:jc w:val="both"/>
        <w:rPr>
          <w:rFonts w:ascii="Arial" w:eastAsia="Calibri" w:hAnsi="Arial" w:cs="Arial"/>
          <w:sz w:val="20"/>
        </w:rPr>
      </w:pPr>
      <w:r w:rsidRPr="00701F32">
        <w:rPr>
          <w:rFonts w:ascii="Arial" w:eastAsia="Calibri" w:hAnsi="Arial" w:cs="Arial"/>
          <w:sz w:val="20"/>
        </w:rPr>
        <w:t>Resultado por venta</w:t>
      </w:r>
    </w:p>
    <w:p w14:paraId="57A86A1A"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resultados por venta de propiedad, planta y equipo se calculan comparando los ingresos obtenidos con el valor de libros del bien respectivo. Las utilidades o pérdidas resultantes son registradas en el estado de resultado integral consolidado.</w:t>
      </w:r>
    </w:p>
    <w:p w14:paraId="72FB4DB8" w14:textId="77777777" w:rsidR="00A06BE9" w:rsidRPr="00701F32" w:rsidRDefault="00A06BE9" w:rsidP="00A06BE9">
      <w:pPr>
        <w:numPr>
          <w:ilvl w:val="0"/>
          <w:numId w:val="34"/>
        </w:numPr>
        <w:spacing w:after="160"/>
        <w:contextualSpacing/>
        <w:jc w:val="both"/>
        <w:rPr>
          <w:rFonts w:ascii="Arial" w:eastAsia="Calibri" w:hAnsi="Arial" w:cs="Arial"/>
          <w:sz w:val="20"/>
        </w:rPr>
      </w:pPr>
      <w:r w:rsidRPr="00701F32">
        <w:rPr>
          <w:rFonts w:ascii="Arial" w:eastAsia="Calibri" w:hAnsi="Arial" w:cs="Arial"/>
          <w:sz w:val="20"/>
        </w:rPr>
        <w:t xml:space="preserve">Inmuebles - Revaluación y costo histórico. </w:t>
      </w:r>
    </w:p>
    <w:p w14:paraId="406D5E0A" w14:textId="71281EDD" w:rsidR="000425B0" w:rsidRPr="00701F32" w:rsidRDefault="00A06BE9" w:rsidP="00A06BE9">
      <w:pPr>
        <w:spacing w:after="160"/>
        <w:jc w:val="both"/>
        <w:rPr>
          <w:rFonts w:ascii="Arial" w:eastAsia="Calibri" w:hAnsi="Arial" w:cs="Arial"/>
          <w:sz w:val="20"/>
        </w:rPr>
      </w:pPr>
      <w:r w:rsidRPr="00701F32">
        <w:rPr>
          <w:rFonts w:ascii="Arial" w:eastAsia="Calibri" w:hAnsi="Arial" w:cs="Arial"/>
          <w:sz w:val="20"/>
        </w:rPr>
        <w:t>En el siguiente cuadro se revela la siguiente información relacionada a la clase de activos que han sido contabilizados a su valor revaluado:</w:t>
      </w:r>
    </w:p>
    <w:tbl>
      <w:tblPr>
        <w:tblpPr w:leftFromText="141" w:rightFromText="141" w:vertAnchor="text" w:horzAnchor="margin" w:tblpY="54"/>
        <w:tblW w:w="9709" w:type="dxa"/>
        <w:tblCellMar>
          <w:left w:w="70" w:type="dxa"/>
          <w:right w:w="70" w:type="dxa"/>
        </w:tblCellMar>
        <w:tblLook w:val="04A0" w:firstRow="1" w:lastRow="0" w:firstColumn="1" w:lastColumn="0" w:noHBand="0" w:noVBand="1"/>
      </w:tblPr>
      <w:tblGrid>
        <w:gridCol w:w="1063"/>
        <w:gridCol w:w="2126"/>
        <w:gridCol w:w="1134"/>
        <w:gridCol w:w="992"/>
        <w:gridCol w:w="992"/>
        <w:gridCol w:w="1276"/>
        <w:gridCol w:w="1154"/>
        <w:gridCol w:w="972"/>
      </w:tblGrid>
      <w:tr w:rsidR="00174C54" w:rsidRPr="00701F32" w14:paraId="4895F8F9" w14:textId="77777777" w:rsidTr="009A6D3D">
        <w:trPr>
          <w:trHeight w:val="274"/>
        </w:trPr>
        <w:tc>
          <w:tcPr>
            <w:tcW w:w="1063"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3EBD8BB0" w14:textId="77777777" w:rsidR="00465779" w:rsidRPr="00701F32" w:rsidRDefault="00465779" w:rsidP="005819B2">
            <w:pPr>
              <w:jc w:val="center"/>
              <w:rPr>
                <w:rFonts w:ascii="Arial" w:hAnsi="Arial" w:cs="Arial"/>
                <w:b/>
                <w:bCs/>
                <w:sz w:val="16"/>
                <w:szCs w:val="18"/>
                <w:lang w:eastAsia="es-AR"/>
              </w:rPr>
            </w:pPr>
            <w:r w:rsidRPr="00701F32">
              <w:rPr>
                <w:rFonts w:ascii="Arial" w:hAnsi="Arial" w:cs="Arial"/>
                <w:b/>
                <w:bCs/>
                <w:sz w:val="16"/>
                <w:szCs w:val="18"/>
              </w:rPr>
              <w:t>Detalle de Clases</w:t>
            </w:r>
          </w:p>
        </w:tc>
        <w:tc>
          <w:tcPr>
            <w:tcW w:w="2126" w:type="dxa"/>
            <w:vMerge w:val="restart"/>
            <w:tcBorders>
              <w:top w:val="single" w:sz="4" w:space="0" w:color="363639"/>
              <w:left w:val="single" w:sz="4" w:space="0" w:color="363639"/>
              <w:bottom w:val="nil"/>
              <w:right w:val="single" w:sz="4" w:space="0" w:color="363639"/>
            </w:tcBorders>
            <w:shd w:val="clear" w:color="auto" w:fill="auto"/>
            <w:vAlign w:val="center"/>
            <w:hideMark/>
          </w:tcPr>
          <w:p w14:paraId="08A4A18D" w14:textId="77777777" w:rsidR="00465779" w:rsidRPr="00701F32" w:rsidRDefault="00465779" w:rsidP="005819B2">
            <w:pPr>
              <w:jc w:val="center"/>
              <w:rPr>
                <w:rFonts w:ascii="Arial" w:hAnsi="Arial" w:cs="Arial"/>
                <w:b/>
                <w:bCs/>
                <w:sz w:val="16"/>
                <w:szCs w:val="18"/>
              </w:rPr>
            </w:pPr>
            <w:r w:rsidRPr="00701F32">
              <w:rPr>
                <w:rFonts w:ascii="Arial" w:hAnsi="Arial" w:cs="Arial"/>
                <w:b/>
                <w:bCs/>
                <w:sz w:val="16"/>
                <w:szCs w:val="18"/>
              </w:rPr>
              <w:t>Tasador</w:t>
            </w:r>
          </w:p>
        </w:tc>
        <w:tc>
          <w:tcPr>
            <w:tcW w:w="1134"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2ED6640F"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Fecha de Revaluación</w:t>
            </w:r>
          </w:p>
        </w:tc>
        <w:tc>
          <w:tcPr>
            <w:tcW w:w="3260" w:type="dxa"/>
            <w:gridSpan w:val="3"/>
            <w:tcBorders>
              <w:top w:val="single" w:sz="4" w:space="0" w:color="363639"/>
              <w:left w:val="nil"/>
              <w:bottom w:val="single" w:sz="4" w:space="0" w:color="363639"/>
              <w:right w:val="single" w:sz="4" w:space="0" w:color="363639"/>
            </w:tcBorders>
            <w:shd w:val="clear" w:color="auto" w:fill="auto"/>
            <w:hideMark/>
          </w:tcPr>
          <w:p w14:paraId="71C95203"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Ajuste por Revaluación - ORI acumulado</w:t>
            </w:r>
          </w:p>
        </w:tc>
        <w:tc>
          <w:tcPr>
            <w:tcW w:w="1154" w:type="dxa"/>
            <w:vMerge w:val="restart"/>
            <w:tcBorders>
              <w:top w:val="single" w:sz="4" w:space="0" w:color="363639"/>
              <w:left w:val="single" w:sz="4" w:space="0" w:color="363639"/>
              <w:right w:val="single" w:sz="4" w:space="0" w:color="363639"/>
            </w:tcBorders>
          </w:tcPr>
          <w:p w14:paraId="535C30A1" w14:textId="77777777" w:rsidR="00465779" w:rsidRPr="00701F32" w:rsidRDefault="00465779" w:rsidP="00464C0F">
            <w:pPr>
              <w:jc w:val="center"/>
              <w:rPr>
                <w:rFonts w:ascii="Arial" w:hAnsi="Arial" w:cs="Arial"/>
                <w:b/>
                <w:bCs/>
                <w:sz w:val="16"/>
                <w:szCs w:val="18"/>
              </w:rPr>
            </w:pPr>
          </w:p>
          <w:p w14:paraId="12C26DED" w14:textId="77777777" w:rsidR="00465779" w:rsidRPr="00701F32" w:rsidRDefault="00465779" w:rsidP="00465779">
            <w:pPr>
              <w:jc w:val="center"/>
              <w:rPr>
                <w:rFonts w:ascii="Arial" w:hAnsi="Arial" w:cs="Arial"/>
                <w:b/>
                <w:bCs/>
                <w:sz w:val="16"/>
                <w:szCs w:val="18"/>
              </w:rPr>
            </w:pPr>
            <w:r w:rsidRPr="00701F32">
              <w:rPr>
                <w:rFonts w:ascii="Arial" w:hAnsi="Arial" w:cs="Arial"/>
                <w:b/>
                <w:bCs/>
                <w:sz w:val="16"/>
                <w:szCs w:val="18"/>
              </w:rPr>
              <w:t>Amortización</w:t>
            </w:r>
          </w:p>
          <w:p w14:paraId="47FFE3FB"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revalúo</w:t>
            </w:r>
          </w:p>
        </w:tc>
        <w:tc>
          <w:tcPr>
            <w:tcW w:w="972" w:type="dxa"/>
            <w:vMerge w:val="restart"/>
            <w:tcBorders>
              <w:top w:val="single" w:sz="4" w:space="0" w:color="363639"/>
              <w:left w:val="single" w:sz="4" w:space="0" w:color="363639"/>
              <w:bottom w:val="single" w:sz="4" w:space="0" w:color="363639"/>
              <w:right w:val="single" w:sz="4" w:space="0" w:color="363639"/>
            </w:tcBorders>
            <w:shd w:val="clear" w:color="auto" w:fill="auto"/>
            <w:hideMark/>
          </w:tcPr>
          <w:p w14:paraId="3ED9E794"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 xml:space="preserve">Importe en libros s/ Modelo de costo </w:t>
            </w:r>
          </w:p>
        </w:tc>
      </w:tr>
      <w:tr w:rsidR="00174C54" w:rsidRPr="00701F32" w14:paraId="4FD28A8D" w14:textId="77777777" w:rsidTr="009A6D3D">
        <w:trPr>
          <w:trHeight w:val="396"/>
        </w:trPr>
        <w:tc>
          <w:tcPr>
            <w:tcW w:w="1063" w:type="dxa"/>
            <w:vMerge/>
            <w:tcBorders>
              <w:top w:val="single" w:sz="4" w:space="0" w:color="363639"/>
              <w:left w:val="single" w:sz="4" w:space="0" w:color="363639"/>
              <w:bottom w:val="single" w:sz="4" w:space="0" w:color="363639"/>
              <w:right w:val="single" w:sz="4" w:space="0" w:color="363639"/>
            </w:tcBorders>
            <w:vAlign w:val="center"/>
            <w:hideMark/>
          </w:tcPr>
          <w:p w14:paraId="3C7D4AFD" w14:textId="77777777" w:rsidR="00465779" w:rsidRPr="00701F32" w:rsidRDefault="00465779" w:rsidP="00464C0F">
            <w:pPr>
              <w:rPr>
                <w:rFonts w:ascii="Arial" w:hAnsi="Arial" w:cs="Arial"/>
                <w:b/>
                <w:bCs/>
                <w:sz w:val="16"/>
                <w:szCs w:val="18"/>
              </w:rPr>
            </w:pPr>
          </w:p>
        </w:tc>
        <w:tc>
          <w:tcPr>
            <w:tcW w:w="2126" w:type="dxa"/>
            <w:vMerge/>
            <w:tcBorders>
              <w:top w:val="single" w:sz="4" w:space="0" w:color="363639"/>
              <w:left w:val="single" w:sz="4" w:space="0" w:color="363639"/>
              <w:bottom w:val="nil"/>
              <w:right w:val="single" w:sz="4" w:space="0" w:color="363639"/>
            </w:tcBorders>
            <w:vAlign w:val="center"/>
            <w:hideMark/>
          </w:tcPr>
          <w:p w14:paraId="2DB2A048" w14:textId="77777777" w:rsidR="00465779" w:rsidRPr="00701F32" w:rsidRDefault="00465779" w:rsidP="00464C0F">
            <w:pPr>
              <w:rPr>
                <w:rFonts w:ascii="Arial" w:hAnsi="Arial" w:cs="Arial"/>
                <w:b/>
                <w:bCs/>
                <w:sz w:val="16"/>
                <w:szCs w:val="18"/>
              </w:rPr>
            </w:pPr>
          </w:p>
        </w:tc>
        <w:tc>
          <w:tcPr>
            <w:tcW w:w="1134" w:type="dxa"/>
            <w:vMerge/>
            <w:tcBorders>
              <w:top w:val="single" w:sz="4" w:space="0" w:color="363639"/>
              <w:left w:val="single" w:sz="4" w:space="0" w:color="363639"/>
              <w:bottom w:val="single" w:sz="4" w:space="0" w:color="363639"/>
              <w:right w:val="single" w:sz="4" w:space="0" w:color="363639"/>
            </w:tcBorders>
            <w:vAlign w:val="center"/>
            <w:hideMark/>
          </w:tcPr>
          <w:p w14:paraId="38BBB1DD" w14:textId="77777777" w:rsidR="00465779" w:rsidRPr="00701F32" w:rsidRDefault="00465779" w:rsidP="00464C0F">
            <w:pPr>
              <w:rPr>
                <w:rFonts w:ascii="Arial" w:hAnsi="Arial" w:cs="Arial"/>
                <w:b/>
                <w:bCs/>
                <w:sz w:val="16"/>
                <w:szCs w:val="18"/>
              </w:rPr>
            </w:pPr>
          </w:p>
        </w:tc>
        <w:tc>
          <w:tcPr>
            <w:tcW w:w="992" w:type="dxa"/>
            <w:tcBorders>
              <w:top w:val="nil"/>
              <w:left w:val="nil"/>
              <w:bottom w:val="single" w:sz="4" w:space="0" w:color="363639"/>
              <w:right w:val="single" w:sz="4" w:space="0" w:color="363639"/>
            </w:tcBorders>
            <w:shd w:val="clear" w:color="auto" w:fill="auto"/>
            <w:hideMark/>
          </w:tcPr>
          <w:p w14:paraId="13A33E9C"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Saldo al inicio del período</w:t>
            </w:r>
          </w:p>
        </w:tc>
        <w:tc>
          <w:tcPr>
            <w:tcW w:w="992" w:type="dxa"/>
            <w:tcBorders>
              <w:top w:val="nil"/>
              <w:left w:val="nil"/>
              <w:bottom w:val="single" w:sz="4" w:space="0" w:color="363639"/>
              <w:right w:val="single" w:sz="4" w:space="0" w:color="363639"/>
            </w:tcBorders>
            <w:shd w:val="clear" w:color="auto" w:fill="auto"/>
            <w:hideMark/>
          </w:tcPr>
          <w:p w14:paraId="78A5998C"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 xml:space="preserve">Cambio del período </w:t>
            </w:r>
          </w:p>
        </w:tc>
        <w:tc>
          <w:tcPr>
            <w:tcW w:w="1276" w:type="dxa"/>
            <w:tcBorders>
              <w:top w:val="nil"/>
              <w:left w:val="nil"/>
              <w:bottom w:val="single" w:sz="4" w:space="0" w:color="363639"/>
              <w:right w:val="single" w:sz="4" w:space="0" w:color="363639"/>
            </w:tcBorders>
            <w:shd w:val="clear" w:color="auto" w:fill="auto"/>
            <w:hideMark/>
          </w:tcPr>
          <w:p w14:paraId="04007684" w14:textId="77777777" w:rsidR="00465779" w:rsidRPr="00701F32" w:rsidRDefault="00465779" w:rsidP="00464C0F">
            <w:pPr>
              <w:jc w:val="center"/>
              <w:rPr>
                <w:rFonts w:ascii="Arial" w:hAnsi="Arial" w:cs="Arial"/>
                <w:b/>
                <w:bCs/>
                <w:sz w:val="16"/>
                <w:szCs w:val="18"/>
              </w:rPr>
            </w:pPr>
            <w:r w:rsidRPr="00701F32">
              <w:rPr>
                <w:rFonts w:ascii="Arial" w:hAnsi="Arial" w:cs="Arial"/>
                <w:b/>
                <w:bCs/>
                <w:sz w:val="16"/>
                <w:szCs w:val="18"/>
              </w:rPr>
              <w:t>Saldo al cierre del período</w:t>
            </w:r>
          </w:p>
        </w:tc>
        <w:tc>
          <w:tcPr>
            <w:tcW w:w="1154" w:type="dxa"/>
            <w:vMerge/>
            <w:tcBorders>
              <w:left w:val="single" w:sz="4" w:space="0" w:color="363639"/>
              <w:bottom w:val="single" w:sz="4" w:space="0" w:color="363639"/>
              <w:right w:val="single" w:sz="4" w:space="0" w:color="363639"/>
            </w:tcBorders>
          </w:tcPr>
          <w:p w14:paraId="20CF53BD" w14:textId="77777777" w:rsidR="00465779" w:rsidRPr="00701F32" w:rsidRDefault="00465779" w:rsidP="00464C0F">
            <w:pPr>
              <w:rPr>
                <w:rFonts w:ascii="Arial" w:hAnsi="Arial" w:cs="Arial"/>
                <w:b/>
                <w:bCs/>
                <w:sz w:val="16"/>
                <w:szCs w:val="18"/>
              </w:rPr>
            </w:pPr>
          </w:p>
        </w:tc>
        <w:tc>
          <w:tcPr>
            <w:tcW w:w="972" w:type="dxa"/>
            <w:vMerge/>
            <w:tcBorders>
              <w:top w:val="single" w:sz="4" w:space="0" w:color="363639"/>
              <w:left w:val="single" w:sz="4" w:space="0" w:color="363639"/>
              <w:bottom w:val="single" w:sz="4" w:space="0" w:color="363639"/>
              <w:right w:val="single" w:sz="4" w:space="0" w:color="363639"/>
            </w:tcBorders>
            <w:vAlign w:val="center"/>
            <w:hideMark/>
          </w:tcPr>
          <w:p w14:paraId="4CCC2C76" w14:textId="77777777" w:rsidR="00465779" w:rsidRPr="00701F32" w:rsidRDefault="00465779" w:rsidP="00464C0F">
            <w:pPr>
              <w:rPr>
                <w:rFonts w:ascii="Arial" w:hAnsi="Arial" w:cs="Arial"/>
                <w:b/>
                <w:bCs/>
                <w:sz w:val="16"/>
                <w:szCs w:val="18"/>
              </w:rPr>
            </w:pPr>
          </w:p>
        </w:tc>
      </w:tr>
      <w:tr w:rsidR="00174C54" w:rsidRPr="00701F32" w14:paraId="1C33E624" w14:textId="77777777" w:rsidTr="009A6D3D">
        <w:trPr>
          <w:trHeight w:val="215"/>
        </w:trPr>
        <w:tc>
          <w:tcPr>
            <w:tcW w:w="1063" w:type="dxa"/>
            <w:vMerge w:val="restart"/>
            <w:tcBorders>
              <w:top w:val="nil"/>
              <w:left w:val="single" w:sz="4" w:space="0" w:color="363639"/>
              <w:bottom w:val="single" w:sz="4" w:space="0" w:color="363639"/>
              <w:right w:val="nil"/>
            </w:tcBorders>
            <w:shd w:val="clear" w:color="auto" w:fill="auto"/>
            <w:vAlign w:val="center"/>
            <w:hideMark/>
          </w:tcPr>
          <w:p w14:paraId="5B1A1B56" w14:textId="77777777" w:rsidR="00465779" w:rsidRPr="00701F32" w:rsidRDefault="00465779" w:rsidP="00465779">
            <w:pPr>
              <w:rPr>
                <w:rFonts w:ascii="Arial" w:hAnsi="Arial" w:cs="Arial"/>
                <w:sz w:val="16"/>
                <w:szCs w:val="18"/>
              </w:rPr>
            </w:pPr>
            <w:r w:rsidRPr="00701F32">
              <w:rPr>
                <w:rFonts w:ascii="Arial" w:hAnsi="Arial" w:cs="Arial"/>
                <w:sz w:val="16"/>
                <w:szCs w:val="18"/>
              </w:rPr>
              <w:t>Inmuebles</w:t>
            </w:r>
          </w:p>
        </w:tc>
        <w:tc>
          <w:tcPr>
            <w:tcW w:w="2126" w:type="dxa"/>
            <w:tcBorders>
              <w:top w:val="single" w:sz="4" w:space="0" w:color="auto"/>
              <w:left w:val="single" w:sz="4" w:space="0" w:color="auto"/>
              <w:bottom w:val="nil"/>
              <w:right w:val="single" w:sz="4" w:space="0" w:color="auto"/>
            </w:tcBorders>
            <w:shd w:val="clear" w:color="auto" w:fill="auto"/>
            <w:hideMark/>
          </w:tcPr>
          <w:p w14:paraId="1397A376" w14:textId="77777777" w:rsidR="00465779" w:rsidRPr="00701F32" w:rsidRDefault="00465779" w:rsidP="00465779">
            <w:pPr>
              <w:jc w:val="center"/>
              <w:rPr>
                <w:rFonts w:ascii="Arial" w:hAnsi="Arial" w:cs="Arial"/>
                <w:sz w:val="16"/>
                <w:szCs w:val="18"/>
              </w:rPr>
            </w:pPr>
            <w:r w:rsidRPr="00701F32">
              <w:rPr>
                <w:rFonts w:ascii="Arial" w:hAnsi="Arial" w:cs="Arial"/>
                <w:sz w:val="16"/>
                <w:szCs w:val="18"/>
              </w:rPr>
              <w:t>Tribunal de Tasaciones de la Nación</w:t>
            </w:r>
          </w:p>
        </w:tc>
        <w:tc>
          <w:tcPr>
            <w:tcW w:w="1134" w:type="dxa"/>
            <w:vMerge w:val="restart"/>
            <w:tcBorders>
              <w:top w:val="nil"/>
              <w:left w:val="nil"/>
              <w:bottom w:val="single" w:sz="4" w:space="0" w:color="000000"/>
              <w:right w:val="single" w:sz="4" w:space="0" w:color="363639"/>
            </w:tcBorders>
            <w:shd w:val="clear" w:color="auto" w:fill="auto"/>
            <w:vAlign w:val="center"/>
            <w:hideMark/>
          </w:tcPr>
          <w:p w14:paraId="3B66AAF4" w14:textId="64425B78" w:rsidR="00465779" w:rsidRPr="00701F32" w:rsidRDefault="00465779" w:rsidP="00465779">
            <w:pPr>
              <w:jc w:val="center"/>
              <w:rPr>
                <w:rFonts w:ascii="Arial" w:hAnsi="Arial" w:cs="Arial"/>
                <w:sz w:val="16"/>
                <w:szCs w:val="18"/>
              </w:rPr>
            </w:pPr>
            <w:r w:rsidRPr="00701F32">
              <w:rPr>
                <w:rFonts w:ascii="Arial" w:hAnsi="Arial" w:cs="Arial"/>
                <w:sz w:val="16"/>
                <w:szCs w:val="18"/>
              </w:rPr>
              <w:t>30/0</w:t>
            </w:r>
            <w:r w:rsidR="009818FD" w:rsidRPr="00701F32">
              <w:rPr>
                <w:rFonts w:ascii="Arial" w:hAnsi="Arial" w:cs="Arial"/>
                <w:sz w:val="16"/>
                <w:szCs w:val="18"/>
              </w:rPr>
              <w:t>6</w:t>
            </w:r>
            <w:r w:rsidRPr="00701F32">
              <w:rPr>
                <w:rFonts w:ascii="Arial" w:hAnsi="Arial" w:cs="Arial"/>
                <w:sz w:val="16"/>
                <w:szCs w:val="18"/>
              </w:rPr>
              <w:t>/2018</w:t>
            </w:r>
          </w:p>
        </w:tc>
        <w:tc>
          <w:tcPr>
            <w:tcW w:w="992"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6CB9183F" w14:textId="77777777" w:rsidR="00465779" w:rsidRPr="00701F32" w:rsidRDefault="00465779" w:rsidP="00465779">
            <w:pPr>
              <w:jc w:val="right"/>
              <w:rPr>
                <w:rFonts w:ascii="Arial" w:hAnsi="Arial" w:cs="Arial"/>
                <w:sz w:val="16"/>
                <w:szCs w:val="18"/>
              </w:rPr>
            </w:pPr>
            <w:r w:rsidRPr="00701F32">
              <w:rPr>
                <w:rFonts w:ascii="Arial" w:hAnsi="Arial" w:cs="Arial"/>
                <w:sz w:val="16"/>
                <w:szCs w:val="18"/>
              </w:rPr>
              <w:t>181.334</w:t>
            </w:r>
          </w:p>
        </w:tc>
        <w:tc>
          <w:tcPr>
            <w:tcW w:w="992"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13E41F47" w14:textId="77777777" w:rsidR="00465779" w:rsidRPr="00701F32" w:rsidRDefault="00465779" w:rsidP="00465779">
            <w:pPr>
              <w:jc w:val="right"/>
              <w:rPr>
                <w:rFonts w:ascii="Arial" w:hAnsi="Arial" w:cs="Arial"/>
                <w:sz w:val="16"/>
                <w:szCs w:val="18"/>
              </w:rPr>
            </w:pPr>
            <w:r w:rsidRPr="00701F32">
              <w:rPr>
                <w:rFonts w:ascii="Arial" w:hAnsi="Arial" w:cs="Arial"/>
                <w:sz w:val="16"/>
                <w:szCs w:val="18"/>
              </w:rPr>
              <w:t>261.239</w:t>
            </w:r>
          </w:p>
        </w:tc>
        <w:tc>
          <w:tcPr>
            <w:tcW w:w="1276"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319099F8" w14:textId="77777777" w:rsidR="00465779" w:rsidRPr="00701F32" w:rsidRDefault="00465779" w:rsidP="00465779">
            <w:pPr>
              <w:jc w:val="right"/>
              <w:rPr>
                <w:rFonts w:ascii="Arial" w:hAnsi="Arial" w:cs="Arial"/>
                <w:sz w:val="16"/>
                <w:szCs w:val="18"/>
              </w:rPr>
            </w:pPr>
            <w:r w:rsidRPr="00701F32">
              <w:rPr>
                <w:rFonts w:ascii="Arial" w:hAnsi="Arial" w:cs="Arial"/>
                <w:sz w:val="16"/>
                <w:szCs w:val="18"/>
              </w:rPr>
              <w:t>442.573</w:t>
            </w:r>
          </w:p>
        </w:tc>
        <w:tc>
          <w:tcPr>
            <w:tcW w:w="1154" w:type="dxa"/>
            <w:vMerge w:val="restart"/>
            <w:tcBorders>
              <w:top w:val="nil"/>
              <w:left w:val="single" w:sz="4" w:space="0" w:color="363639"/>
              <w:right w:val="single" w:sz="4" w:space="0" w:color="363639"/>
            </w:tcBorders>
            <w:vAlign w:val="center"/>
          </w:tcPr>
          <w:p w14:paraId="136F9B42" w14:textId="2AE60D93" w:rsidR="00465779" w:rsidRPr="00701F32" w:rsidRDefault="00465779" w:rsidP="00465779">
            <w:pPr>
              <w:jc w:val="right"/>
              <w:rPr>
                <w:rFonts w:ascii="Arial" w:hAnsi="Arial" w:cs="Arial"/>
                <w:sz w:val="16"/>
                <w:szCs w:val="18"/>
              </w:rPr>
            </w:pPr>
            <w:r w:rsidRPr="00701F32">
              <w:rPr>
                <w:rFonts w:ascii="Arial" w:hAnsi="Arial" w:cs="Arial"/>
                <w:sz w:val="16"/>
                <w:szCs w:val="18"/>
              </w:rPr>
              <w:t>(</w:t>
            </w:r>
            <w:r w:rsidR="00EF71D1" w:rsidRPr="00701F32">
              <w:rPr>
                <w:rFonts w:ascii="Arial" w:hAnsi="Arial" w:cs="Arial"/>
                <w:sz w:val="16"/>
                <w:szCs w:val="18"/>
              </w:rPr>
              <w:t>4.027</w:t>
            </w:r>
            <w:r w:rsidRPr="00701F32">
              <w:rPr>
                <w:rFonts w:ascii="Arial" w:hAnsi="Arial" w:cs="Arial"/>
                <w:sz w:val="16"/>
                <w:szCs w:val="18"/>
              </w:rPr>
              <w:t>)</w:t>
            </w:r>
          </w:p>
        </w:tc>
        <w:tc>
          <w:tcPr>
            <w:tcW w:w="972"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3BA3F67D" w14:textId="5A675077" w:rsidR="00465779" w:rsidRPr="00701F32" w:rsidRDefault="00465779" w:rsidP="00465779">
            <w:pPr>
              <w:jc w:val="right"/>
              <w:rPr>
                <w:rFonts w:ascii="Arial" w:hAnsi="Arial" w:cs="Arial"/>
                <w:sz w:val="16"/>
                <w:szCs w:val="18"/>
              </w:rPr>
            </w:pPr>
            <w:r w:rsidRPr="00701F32">
              <w:rPr>
                <w:rFonts w:ascii="Arial" w:hAnsi="Arial" w:cs="Arial"/>
                <w:sz w:val="16"/>
                <w:szCs w:val="18"/>
              </w:rPr>
              <w:t>3</w:t>
            </w:r>
            <w:r w:rsidR="00EF71D1" w:rsidRPr="00701F32">
              <w:rPr>
                <w:rFonts w:ascii="Arial" w:hAnsi="Arial" w:cs="Arial"/>
                <w:sz w:val="16"/>
                <w:szCs w:val="18"/>
              </w:rPr>
              <w:t>39</w:t>
            </w:r>
            <w:r w:rsidRPr="00701F32">
              <w:rPr>
                <w:rFonts w:ascii="Arial" w:hAnsi="Arial" w:cs="Arial"/>
                <w:sz w:val="16"/>
                <w:szCs w:val="18"/>
              </w:rPr>
              <w:t>.</w:t>
            </w:r>
            <w:r w:rsidR="00EF71D1" w:rsidRPr="00701F32">
              <w:rPr>
                <w:rFonts w:ascii="Arial" w:hAnsi="Arial" w:cs="Arial"/>
                <w:sz w:val="16"/>
                <w:szCs w:val="18"/>
              </w:rPr>
              <w:t>003</w:t>
            </w:r>
          </w:p>
        </w:tc>
      </w:tr>
      <w:tr w:rsidR="00174C54" w:rsidRPr="00701F32" w14:paraId="6C6953BA" w14:textId="77777777" w:rsidTr="009A6D3D">
        <w:trPr>
          <w:trHeight w:val="215"/>
        </w:trPr>
        <w:tc>
          <w:tcPr>
            <w:tcW w:w="1063" w:type="dxa"/>
            <w:vMerge/>
            <w:tcBorders>
              <w:top w:val="nil"/>
              <w:left w:val="single" w:sz="4" w:space="0" w:color="363639"/>
              <w:bottom w:val="single" w:sz="4" w:space="0" w:color="363639"/>
              <w:right w:val="nil"/>
            </w:tcBorders>
            <w:vAlign w:val="center"/>
            <w:hideMark/>
          </w:tcPr>
          <w:p w14:paraId="0E10A68F" w14:textId="77777777" w:rsidR="00465779" w:rsidRPr="00701F32" w:rsidRDefault="00465779" w:rsidP="00465779">
            <w:pPr>
              <w:rPr>
                <w:rFonts w:ascii="Arial" w:hAnsi="Arial" w:cs="Arial"/>
                <w:sz w:val="16"/>
                <w:szCs w:val="18"/>
              </w:rPr>
            </w:pPr>
          </w:p>
        </w:tc>
        <w:tc>
          <w:tcPr>
            <w:tcW w:w="2126" w:type="dxa"/>
            <w:tcBorders>
              <w:top w:val="nil"/>
              <w:left w:val="single" w:sz="4" w:space="0" w:color="auto"/>
              <w:bottom w:val="nil"/>
              <w:right w:val="single" w:sz="4" w:space="0" w:color="auto"/>
            </w:tcBorders>
            <w:shd w:val="clear" w:color="auto" w:fill="auto"/>
            <w:hideMark/>
          </w:tcPr>
          <w:p w14:paraId="2FD26742" w14:textId="77777777" w:rsidR="00465779" w:rsidRPr="00701F32" w:rsidRDefault="00465779" w:rsidP="00465779">
            <w:pPr>
              <w:jc w:val="center"/>
              <w:rPr>
                <w:rFonts w:ascii="Arial" w:hAnsi="Arial" w:cs="Arial"/>
                <w:sz w:val="16"/>
                <w:szCs w:val="18"/>
              </w:rPr>
            </w:pPr>
            <w:r w:rsidRPr="00701F32">
              <w:rPr>
                <w:rFonts w:ascii="Arial" w:hAnsi="Arial" w:cs="Arial"/>
                <w:sz w:val="16"/>
                <w:szCs w:val="18"/>
              </w:rPr>
              <w:t>CM Ingeniería en Valuaciones</w:t>
            </w:r>
          </w:p>
        </w:tc>
        <w:tc>
          <w:tcPr>
            <w:tcW w:w="1134" w:type="dxa"/>
            <w:vMerge/>
            <w:tcBorders>
              <w:top w:val="nil"/>
              <w:left w:val="nil"/>
              <w:bottom w:val="single" w:sz="4" w:space="0" w:color="000000"/>
              <w:right w:val="single" w:sz="4" w:space="0" w:color="363639"/>
            </w:tcBorders>
            <w:vAlign w:val="center"/>
            <w:hideMark/>
          </w:tcPr>
          <w:p w14:paraId="35D0285E"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0DA96C61"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37AF6AA1" w14:textId="77777777" w:rsidR="00465779" w:rsidRPr="00701F32" w:rsidRDefault="00465779" w:rsidP="00465779">
            <w:pPr>
              <w:rPr>
                <w:rFonts w:ascii="Arial" w:hAnsi="Arial" w:cs="Arial"/>
                <w:sz w:val="16"/>
                <w:szCs w:val="18"/>
              </w:rPr>
            </w:pPr>
          </w:p>
        </w:tc>
        <w:tc>
          <w:tcPr>
            <w:tcW w:w="1276" w:type="dxa"/>
            <w:vMerge/>
            <w:tcBorders>
              <w:top w:val="nil"/>
              <w:left w:val="single" w:sz="4" w:space="0" w:color="363639"/>
              <w:bottom w:val="single" w:sz="4" w:space="0" w:color="000000"/>
              <w:right w:val="single" w:sz="4" w:space="0" w:color="363639"/>
            </w:tcBorders>
            <w:vAlign w:val="center"/>
            <w:hideMark/>
          </w:tcPr>
          <w:p w14:paraId="5F9A6E77" w14:textId="77777777" w:rsidR="00465779" w:rsidRPr="00701F32" w:rsidRDefault="00465779" w:rsidP="00465779">
            <w:pPr>
              <w:rPr>
                <w:rFonts w:ascii="Arial" w:hAnsi="Arial" w:cs="Arial"/>
                <w:sz w:val="16"/>
                <w:szCs w:val="18"/>
              </w:rPr>
            </w:pPr>
          </w:p>
        </w:tc>
        <w:tc>
          <w:tcPr>
            <w:tcW w:w="1154" w:type="dxa"/>
            <w:vMerge/>
            <w:tcBorders>
              <w:left w:val="single" w:sz="4" w:space="0" w:color="363639"/>
              <w:right w:val="single" w:sz="4" w:space="0" w:color="363639"/>
            </w:tcBorders>
          </w:tcPr>
          <w:p w14:paraId="428CAC1D" w14:textId="77777777" w:rsidR="00465779" w:rsidRPr="00701F32" w:rsidRDefault="00465779" w:rsidP="00465779">
            <w:pPr>
              <w:rPr>
                <w:rFonts w:ascii="Arial" w:hAnsi="Arial" w:cs="Arial"/>
                <w:sz w:val="16"/>
                <w:szCs w:val="18"/>
              </w:rPr>
            </w:pPr>
          </w:p>
        </w:tc>
        <w:tc>
          <w:tcPr>
            <w:tcW w:w="972" w:type="dxa"/>
            <w:vMerge/>
            <w:tcBorders>
              <w:top w:val="nil"/>
              <w:left w:val="single" w:sz="4" w:space="0" w:color="363639"/>
              <w:bottom w:val="single" w:sz="4" w:space="0" w:color="000000"/>
              <w:right w:val="single" w:sz="4" w:space="0" w:color="363639"/>
            </w:tcBorders>
            <w:vAlign w:val="center"/>
            <w:hideMark/>
          </w:tcPr>
          <w:p w14:paraId="29B3A90E" w14:textId="77777777" w:rsidR="00465779" w:rsidRPr="00701F32" w:rsidRDefault="00465779" w:rsidP="00465779">
            <w:pPr>
              <w:rPr>
                <w:rFonts w:ascii="Arial" w:hAnsi="Arial" w:cs="Arial"/>
                <w:sz w:val="16"/>
                <w:szCs w:val="18"/>
              </w:rPr>
            </w:pPr>
          </w:p>
        </w:tc>
      </w:tr>
      <w:tr w:rsidR="00174C54" w:rsidRPr="00701F32" w14:paraId="65BC9A9F" w14:textId="77777777" w:rsidTr="009A6D3D">
        <w:trPr>
          <w:trHeight w:val="133"/>
        </w:trPr>
        <w:tc>
          <w:tcPr>
            <w:tcW w:w="1063" w:type="dxa"/>
            <w:vMerge/>
            <w:tcBorders>
              <w:top w:val="nil"/>
              <w:left w:val="single" w:sz="4" w:space="0" w:color="363639"/>
              <w:bottom w:val="single" w:sz="4" w:space="0" w:color="363639"/>
              <w:right w:val="nil"/>
            </w:tcBorders>
            <w:vAlign w:val="center"/>
            <w:hideMark/>
          </w:tcPr>
          <w:p w14:paraId="1FBDF804" w14:textId="77777777" w:rsidR="00465779" w:rsidRPr="00701F32" w:rsidRDefault="00465779" w:rsidP="00465779">
            <w:pPr>
              <w:rPr>
                <w:rFonts w:ascii="Arial" w:hAnsi="Arial" w:cs="Arial"/>
                <w:sz w:val="16"/>
                <w:szCs w:val="18"/>
              </w:rPr>
            </w:pPr>
          </w:p>
        </w:tc>
        <w:tc>
          <w:tcPr>
            <w:tcW w:w="2126" w:type="dxa"/>
            <w:tcBorders>
              <w:top w:val="nil"/>
              <w:left w:val="single" w:sz="4" w:space="0" w:color="auto"/>
              <w:bottom w:val="nil"/>
              <w:right w:val="single" w:sz="4" w:space="0" w:color="auto"/>
            </w:tcBorders>
            <w:shd w:val="clear" w:color="auto" w:fill="auto"/>
            <w:hideMark/>
          </w:tcPr>
          <w:p w14:paraId="55E0653A" w14:textId="77777777" w:rsidR="00465779" w:rsidRPr="00701F32" w:rsidRDefault="00465779" w:rsidP="00465779">
            <w:pPr>
              <w:jc w:val="center"/>
              <w:rPr>
                <w:rFonts w:ascii="Arial" w:hAnsi="Arial" w:cs="Arial"/>
                <w:sz w:val="16"/>
                <w:szCs w:val="18"/>
              </w:rPr>
            </w:pPr>
            <w:r w:rsidRPr="00701F32">
              <w:rPr>
                <w:rFonts w:ascii="Arial" w:hAnsi="Arial" w:cs="Arial"/>
                <w:sz w:val="16"/>
                <w:szCs w:val="18"/>
              </w:rPr>
              <w:t>Serinco</w:t>
            </w:r>
          </w:p>
        </w:tc>
        <w:tc>
          <w:tcPr>
            <w:tcW w:w="1134" w:type="dxa"/>
            <w:vMerge/>
            <w:tcBorders>
              <w:top w:val="nil"/>
              <w:left w:val="nil"/>
              <w:bottom w:val="single" w:sz="4" w:space="0" w:color="000000"/>
              <w:right w:val="single" w:sz="4" w:space="0" w:color="363639"/>
            </w:tcBorders>
            <w:vAlign w:val="center"/>
            <w:hideMark/>
          </w:tcPr>
          <w:p w14:paraId="1C984F9E"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1A33294E"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37C4650F" w14:textId="77777777" w:rsidR="00465779" w:rsidRPr="00701F32" w:rsidRDefault="00465779" w:rsidP="00465779">
            <w:pPr>
              <w:rPr>
                <w:rFonts w:ascii="Arial" w:hAnsi="Arial" w:cs="Arial"/>
                <w:sz w:val="16"/>
                <w:szCs w:val="18"/>
              </w:rPr>
            </w:pPr>
          </w:p>
        </w:tc>
        <w:tc>
          <w:tcPr>
            <w:tcW w:w="1276" w:type="dxa"/>
            <w:vMerge/>
            <w:tcBorders>
              <w:top w:val="nil"/>
              <w:left w:val="single" w:sz="4" w:space="0" w:color="363639"/>
              <w:bottom w:val="single" w:sz="4" w:space="0" w:color="000000"/>
              <w:right w:val="single" w:sz="4" w:space="0" w:color="363639"/>
            </w:tcBorders>
            <w:vAlign w:val="center"/>
            <w:hideMark/>
          </w:tcPr>
          <w:p w14:paraId="0465D47C" w14:textId="77777777" w:rsidR="00465779" w:rsidRPr="00701F32" w:rsidRDefault="00465779" w:rsidP="00465779">
            <w:pPr>
              <w:rPr>
                <w:rFonts w:ascii="Arial" w:hAnsi="Arial" w:cs="Arial"/>
                <w:sz w:val="16"/>
                <w:szCs w:val="18"/>
              </w:rPr>
            </w:pPr>
          </w:p>
        </w:tc>
        <w:tc>
          <w:tcPr>
            <w:tcW w:w="1154" w:type="dxa"/>
            <w:vMerge/>
            <w:tcBorders>
              <w:left w:val="single" w:sz="4" w:space="0" w:color="363639"/>
              <w:right w:val="single" w:sz="4" w:space="0" w:color="363639"/>
            </w:tcBorders>
          </w:tcPr>
          <w:p w14:paraId="519538F7" w14:textId="77777777" w:rsidR="00465779" w:rsidRPr="00701F32" w:rsidRDefault="00465779" w:rsidP="00465779">
            <w:pPr>
              <w:rPr>
                <w:rFonts w:ascii="Arial" w:hAnsi="Arial" w:cs="Arial"/>
                <w:sz w:val="16"/>
                <w:szCs w:val="18"/>
              </w:rPr>
            </w:pPr>
          </w:p>
        </w:tc>
        <w:tc>
          <w:tcPr>
            <w:tcW w:w="972" w:type="dxa"/>
            <w:vMerge/>
            <w:tcBorders>
              <w:top w:val="nil"/>
              <w:left w:val="single" w:sz="4" w:space="0" w:color="363639"/>
              <w:bottom w:val="single" w:sz="4" w:space="0" w:color="000000"/>
              <w:right w:val="single" w:sz="4" w:space="0" w:color="363639"/>
            </w:tcBorders>
            <w:vAlign w:val="center"/>
            <w:hideMark/>
          </w:tcPr>
          <w:p w14:paraId="64B7441B" w14:textId="77777777" w:rsidR="00465779" w:rsidRPr="00701F32" w:rsidRDefault="00465779" w:rsidP="00465779">
            <w:pPr>
              <w:rPr>
                <w:rFonts w:ascii="Arial" w:hAnsi="Arial" w:cs="Arial"/>
                <w:sz w:val="16"/>
                <w:szCs w:val="18"/>
              </w:rPr>
            </w:pPr>
          </w:p>
        </w:tc>
      </w:tr>
      <w:tr w:rsidR="00174C54" w:rsidRPr="00701F32" w14:paraId="3DA18FD1" w14:textId="77777777" w:rsidTr="009A6D3D">
        <w:trPr>
          <w:trHeight w:val="133"/>
        </w:trPr>
        <w:tc>
          <w:tcPr>
            <w:tcW w:w="1063" w:type="dxa"/>
            <w:vMerge/>
            <w:tcBorders>
              <w:top w:val="nil"/>
              <w:left w:val="single" w:sz="4" w:space="0" w:color="363639"/>
              <w:bottom w:val="single" w:sz="4" w:space="0" w:color="363639"/>
              <w:right w:val="nil"/>
            </w:tcBorders>
            <w:vAlign w:val="center"/>
            <w:hideMark/>
          </w:tcPr>
          <w:p w14:paraId="0F84A54C" w14:textId="77777777" w:rsidR="00465779" w:rsidRPr="00701F32" w:rsidRDefault="00465779" w:rsidP="00465779">
            <w:pPr>
              <w:rPr>
                <w:rFonts w:ascii="Arial" w:hAnsi="Arial" w:cs="Arial"/>
                <w:sz w:val="16"/>
                <w:szCs w:val="18"/>
              </w:rPr>
            </w:pPr>
          </w:p>
        </w:tc>
        <w:tc>
          <w:tcPr>
            <w:tcW w:w="2126" w:type="dxa"/>
            <w:tcBorders>
              <w:top w:val="nil"/>
              <w:left w:val="single" w:sz="4" w:space="0" w:color="auto"/>
              <w:bottom w:val="single" w:sz="4" w:space="0" w:color="auto"/>
              <w:right w:val="single" w:sz="4" w:space="0" w:color="auto"/>
            </w:tcBorders>
            <w:shd w:val="clear" w:color="auto" w:fill="auto"/>
            <w:hideMark/>
          </w:tcPr>
          <w:p w14:paraId="6EC61EC9" w14:textId="77777777" w:rsidR="00465779" w:rsidRPr="00701F32" w:rsidRDefault="00465779" w:rsidP="00465779">
            <w:pPr>
              <w:jc w:val="center"/>
              <w:rPr>
                <w:rFonts w:ascii="Arial" w:hAnsi="Arial" w:cs="Arial"/>
                <w:sz w:val="16"/>
                <w:szCs w:val="18"/>
              </w:rPr>
            </w:pPr>
            <w:r w:rsidRPr="00701F32">
              <w:rPr>
                <w:rFonts w:ascii="Arial" w:hAnsi="Arial" w:cs="Arial"/>
                <w:sz w:val="16"/>
                <w:szCs w:val="18"/>
              </w:rPr>
              <w:t>Reporte Inmobiliario</w:t>
            </w:r>
          </w:p>
        </w:tc>
        <w:tc>
          <w:tcPr>
            <w:tcW w:w="1134" w:type="dxa"/>
            <w:vMerge/>
            <w:tcBorders>
              <w:top w:val="nil"/>
              <w:left w:val="nil"/>
              <w:bottom w:val="single" w:sz="4" w:space="0" w:color="000000"/>
              <w:right w:val="single" w:sz="4" w:space="0" w:color="363639"/>
            </w:tcBorders>
            <w:vAlign w:val="center"/>
            <w:hideMark/>
          </w:tcPr>
          <w:p w14:paraId="4197FE7B"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7F0A7917" w14:textId="77777777" w:rsidR="00465779" w:rsidRPr="00701F32" w:rsidRDefault="00465779" w:rsidP="00465779">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4FD46157" w14:textId="77777777" w:rsidR="00465779" w:rsidRPr="00701F32" w:rsidRDefault="00465779" w:rsidP="00465779">
            <w:pPr>
              <w:rPr>
                <w:rFonts w:ascii="Arial" w:hAnsi="Arial" w:cs="Arial"/>
                <w:sz w:val="16"/>
                <w:szCs w:val="18"/>
              </w:rPr>
            </w:pPr>
          </w:p>
        </w:tc>
        <w:tc>
          <w:tcPr>
            <w:tcW w:w="1276" w:type="dxa"/>
            <w:vMerge/>
            <w:tcBorders>
              <w:top w:val="nil"/>
              <w:left w:val="single" w:sz="4" w:space="0" w:color="363639"/>
              <w:bottom w:val="single" w:sz="4" w:space="0" w:color="000000"/>
              <w:right w:val="single" w:sz="4" w:space="0" w:color="363639"/>
            </w:tcBorders>
            <w:vAlign w:val="center"/>
            <w:hideMark/>
          </w:tcPr>
          <w:p w14:paraId="21A7155B" w14:textId="77777777" w:rsidR="00465779" w:rsidRPr="00701F32" w:rsidRDefault="00465779" w:rsidP="00465779">
            <w:pPr>
              <w:rPr>
                <w:rFonts w:ascii="Arial" w:hAnsi="Arial" w:cs="Arial"/>
                <w:sz w:val="16"/>
                <w:szCs w:val="18"/>
              </w:rPr>
            </w:pPr>
          </w:p>
        </w:tc>
        <w:tc>
          <w:tcPr>
            <w:tcW w:w="1154" w:type="dxa"/>
            <w:vMerge/>
            <w:tcBorders>
              <w:left w:val="single" w:sz="4" w:space="0" w:color="363639"/>
              <w:bottom w:val="single" w:sz="4" w:space="0" w:color="000000"/>
              <w:right w:val="single" w:sz="4" w:space="0" w:color="363639"/>
            </w:tcBorders>
          </w:tcPr>
          <w:p w14:paraId="21EB1A3A" w14:textId="77777777" w:rsidR="00465779" w:rsidRPr="00701F32" w:rsidRDefault="00465779" w:rsidP="00465779">
            <w:pPr>
              <w:rPr>
                <w:rFonts w:ascii="Arial" w:hAnsi="Arial" w:cs="Arial"/>
                <w:sz w:val="16"/>
                <w:szCs w:val="18"/>
              </w:rPr>
            </w:pPr>
          </w:p>
        </w:tc>
        <w:tc>
          <w:tcPr>
            <w:tcW w:w="972" w:type="dxa"/>
            <w:vMerge/>
            <w:tcBorders>
              <w:top w:val="nil"/>
              <w:left w:val="single" w:sz="4" w:space="0" w:color="363639"/>
              <w:bottom w:val="single" w:sz="4" w:space="0" w:color="000000"/>
              <w:right w:val="single" w:sz="4" w:space="0" w:color="363639"/>
            </w:tcBorders>
            <w:vAlign w:val="center"/>
            <w:hideMark/>
          </w:tcPr>
          <w:p w14:paraId="5359F890" w14:textId="77777777" w:rsidR="00465779" w:rsidRPr="00701F32" w:rsidRDefault="00465779" w:rsidP="00465779">
            <w:pPr>
              <w:rPr>
                <w:rFonts w:ascii="Arial" w:hAnsi="Arial" w:cs="Arial"/>
                <w:sz w:val="16"/>
                <w:szCs w:val="18"/>
              </w:rPr>
            </w:pPr>
          </w:p>
        </w:tc>
      </w:tr>
      <w:tr w:rsidR="00174C54" w:rsidRPr="00701F32" w14:paraId="457C8781" w14:textId="77777777" w:rsidTr="009A6D3D">
        <w:trPr>
          <w:trHeight w:val="133"/>
        </w:trPr>
        <w:tc>
          <w:tcPr>
            <w:tcW w:w="1063" w:type="dxa"/>
            <w:tcBorders>
              <w:top w:val="nil"/>
              <w:left w:val="single" w:sz="4" w:space="0" w:color="363639"/>
              <w:bottom w:val="single" w:sz="4" w:space="0" w:color="363639"/>
              <w:right w:val="single" w:sz="4" w:space="0" w:color="363639"/>
            </w:tcBorders>
            <w:shd w:val="clear" w:color="auto" w:fill="auto"/>
            <w:hideMark/>
          </w:tcPr>
          <w:p w14:paraId="7A172727" w14:textId="77777777" w:rsidR="00465779" w:rsidRPr="00701F32" w:rsidRDefault="00465779" w:rsidP="00465779">
            <w:pPr>
              <w:jc w:val="both"/>
              <w:rPr>
                <w:rFonts w:ascii="Arial" w:hAnsi="Arial" w:cs="Arial"/>
                <w:b/>
                <w:bCs/>
                <w:sz w:val="16"/>
                <w:szCs w:val="18"/>
              </w:rPr>
            </w:pPr>
            <w:r w:rsidRPr="00701F32">
              <w:rPr>
                <w:rFonts w:ascii="Arial" w:hAnsi="Arial" w:cs="Arial"/>
                <w:b/>
                <w:bCs/>
                <w:sz w:val="16"/>
                <w:szCs w:val="18"/>
              </w:rPr>
              <w:t>TOTALES</w:t>
            </w:r>
          </w:p>
        </w:tc>
        <w:tc>
          <w:tcPr>
            <w:tcW w:w="2126" w:type="dxa"/>
            <w:tcBorders>
              <w:top w:val="nil"/>
              <w:left w:val="nil"/>
              <w:bottom w:val="single" w:sz="4" w:space="0" w:color="363639"/>
              <w:right w:val="single" w:sz="4" w:space="0" w:color="363639"/>
            </w:tcBorders>
            <w:shd w:val="clear" w:color="auto" w:fill="auto"/>
            <w:hideMark/>
          </w:tcPr>
          <w:p w14:paraId="65460863" w14:textId="77777777" w:rsidR="00465779" w:rsidRPr="00701F32" w:rsidRDefault="00465779" w:rsidP="00465779">
            <w:pPr>
              <w:jc w:val="both"/>
              <w:rPr>
                <w:rFonts w:ascii="Calibri" w:hAnsi="Calibri"/>
                <w:b/>
                <w:bCs/>
                <w:sz w:val="16"/>
                <w:szCs w:val="18"/>
              </w:rPr>
            </w:pPr>
            <w:r w:rsidRPr="00701F32">
              <w:rPr>
                <w:rFonts w:ascii="Calibri" w:hAnsi="Calibri"/>
                <w:b/>
                <w:bCs/>
                <w:sz w:val="16"/>
                <w:szCs w:val="18"/>
              </w:rPr>
              <w:t> </w:t>
            </w:r>
          </w:p>
        </w:tc>
        <w:tc>
          <w:tcPr>
            <w:tcW w:w="1134" w:type="dxa"/>
            <w:tcBorders>
              <w:top w:val="single" w:sz="4" w:space="0" w:color="363639"/>
              <w:left w:val="nil"/>
              <w:bottom w:val="single" w:sz="4" w:space="0" w:color="363639"/>
              <w:right w:val="single" w:sz="4" w:space="0" w:color="363639"/>
            </w:tcBorders>
            <w:shd w:val="clear" w:color="auto" w:fill="auto"/>
            <w:hideMark/>
          </w:tcPr>
          <w:p w14:paraId="4ABCBCAB" w14:textId="77777777" w:rsidR="00465779" w:rsidRPr="00701F32" w:rsidRDefault="00465779" w:rsidP="00465779">
            <w:pPr>
              <w:jc w:val="both"/>
              <w:rPr>
                <w:rFonts w:ascii="Calibri" w:hAnsi="Calibri"/>
                <w:b/>
                <w:bCs/>
                <w:sz w:val="16"/>
                <w:szCs w:val="18"/>
              </w:rPr>
            </w:pPr>
            <w:r w:rsidRPr="00701F32">
              <w:rPr>
                <w:rFonts w:ascii="Calibri" w:hAnsi="Calibri"/>
                <w:b/>
                <w:bCs/>
                <w:sz w:val="16"/>
                <w:szCs w:val="18"/>
              </w:rPr>
              <w:t> </w:t>
            </w:r>
          </w:p>
        </w:tc>
        <w:tc>
          <w:tcPr>
            <w:tcW w:w="992" w:type="dxa"/>
            <w:tcBorders>
              <w:top w:val="nil"/>
              <w:left w:val="nil"/>
              <w:bottom w:val="single" w:sz="4" w:space="0" w:color="auto"/>
              <w:right w:val="single" w:sz="4" w:space="0" w:color="363639"/>
            </w:tcBorders>
            <w:shd w:val="clear" w:color="auto" w:fill="auto"/>
            <w:noWrap/>
            <w:vAlign w:val="bottom"/>
            <w:hideMark/>
          </w:tcPr>
          <w:p w14:paraId="459ECBE1" w14:textId="77777777" w:rsidR="00465779" w:rsidRPr="00701F32" w:rsidRDefault="00465779" w:rsidP="00465779">
            <w:pPr>
              <w:jc w:val="right"/>
              <w:rPr>
                <w:rFonts w:ascii="Arial" w:hAnsi="Arial" w:cs="Arial"/>
                <w:b/>
                <w:bCs/>
                <w:sz w:val="16"/>
                <w:szCs w:val="18"/>
              </w:rPr>
            </w:pPr>
            <w:r w:rsidRPr="00701F32">
              <w:rPr>
                <w:rFonts w:ascii="Arial" w:hAnsi="Arial" w:cs="Arial"/>
                <w:b/>
                <w:bCs/>
                <w:sz w:val="16"/>
                <w:szCs w:val="18"/>
              </w:rPr>
              <w:t>181.334</w:t>
            </w:r>
          </w:p>
        </w:tc>
        <w:tc>
          <w:tcPr>
            <w:tcW w:w="992" w:type="dxa"/>
            <w:tcBorders>
              <w:top w:val="nil"/>
              <w:left w:val="nil"/>
              <w:bottom w:val="single" w:sz="4" w:space="0" w:color="auto"/>
              <w:right w:val="single" w:sz="4" w:space="0" w:color="363639"/>
            </w:tcBorders>
            <w:shd w:val="clear" w:color="auto" w:fill="auto"/>
            <w:noWrap/>
            <w:vAlign w:val="bottom"/>
            <w:hideMark/>
          </w:tcPr>
          <w:p w14:paraId="780055D2" w14:textId="77777777" w:rsidR="00465779" w:rsidRPr="00701F32" w:rsidRDefault="00465779" w:rsidP="00465779">
            <w:pPr>
              <w:jc w:val="right"/>
              <w:rPr>
                <w:rFonts w:ascii="Arial" w:hAnsi="Arial" w:cs="Arial"/>
                <w:b/>
                <w:bCs/>
                <w:sz w:val="16"/>
                <w:szCs w:val="18"/>
              </w:rPr>
            </w:pPr>
            <w:r w:rsidRPr="00701F32">
              <w:rPr>
                <w:rFonts w:ascii="Arial" w:hAnsi="Arial" w:cs="Arial"/>
                <w:b/>
                <w:bCs/>
                <w:sz w:val="16"/>
                <w:szCs w:val="18"/>
              </w:rPr>
              <w:t>261.239</w:t>
            </w:r>
          </w:p>
        </w:tc>
        <w:tc>
          <w:tcPr>
            <w:tcW w:w="1276" w:type="dxa"/>
            <w:tcBorders>
              <w:top w:val="nil"/>
              <w:left w:val="nil"/>
              <w:bottom w:val="single" w:sz="4" w:space="0" w:color="auto"/>
              <w:right w:val="single" w:sz="4" w:space="0" w:color="363639"/>
            </w:tcBorders>
            <w:shd w:val="clear" w:color="auto" w:fill="auto"/>
            <w:noWrap/>
            <w:vAlign w:val="bottom"/>
            <w:hideMark/>
          </w:tcPr>
          <w:p w14:paraId="3FE94663" w14:textId="77777777" w:rsidR="00465779" w:rsidRPr="00701F32" w:rsidRDefault="00465779" w:rsidP="00465779">
            <w:pPr>
              <w:jc w:val="right"/>
              <w:rPr>
                <w:rFonts w:ascii="Arial" w:hAnsi="Arial" w:cs="Arial"/>
                <w:b/>
                <w:bCs/>
                <w:sz w:val="16"/>
                <w:szCs w:val="18"/>
              </w:rPr>
            </w:pPr>
            <w:r w:rsidRPr="00701F32">
              <w:rPr>
                <w:rFonts w:ascii="Arial" w:hAnsi="Arial" w:cs="Arial"/>
                <w:b/>
                <w:bCs/>
                <w:sz w:val="16"/>
                <w:szCs w:val="18"/>
              </w:rPr>
              <w:t>442.573</w:t>
            </w:r>
          </w:p>
        </w:tc>
        <w:tc>
          <w:tcPr>
            <w:tcW w:w="1154" w:type="dxa"/>
            <w:tcBorders>
              <w:top w:val="single" w:sz="4" w:space="0" w:color="000000"/>
              <w:left w:val="nil"/>
              <w:bottom w:val="single" w:sz="4" w:space="0" w:color="auto"/>
              <w:right w:val="single" w:sz="4" w:space="0" w:color="auto"/>
            </w:tcBorders>
          </w:tcPr>
          <w:p w14:paraId="733E096C" w14:textId="4886D087" w:rsidR="00465779" w:rsidRPr="00701F32" w:rsidRDefault="00465779" w:rsidP="00465779">
            <w:pPr>
              <w:jc w:val="right"/>
              <w:rPr>
                <w:rFonts w:ascii="Arial" w:hAnsi="Arial" w:cs="Arial"/>
                <w:b/>
                <w:bCs/>
                <w:sz w:val="16"/>
                <w:szCs w:val="18"/>
              </w:rPr>
            </w:pPr>
            <w:r w:rsidRPr="00701F32">
              <w:rPr>
                <w:rFonts w:ascii="Arial" w:hAnsi="Arial" w:cs="Arial"/>
                <w:b/>
                <w:bCs/>
                <w:sz w:val="16"/>
                <w:szCs w:val="18"/>
              </w:rPr>
              <w:t>(</w:t>
            </w:r>
            <w:r w:rsidR="00EF71D1" w:rsidRPr="00701F32">
              <w:rPr>
                <w:rFonts w:ascii="Arial" w:hAnsi="Arial" w:cs="Arial"/>
                <w:b/>
                <w:bCs/>
                <w:sz w:val="16"/>
                <w:szCs w:val="18"/>
              </w:rPr>
              <w:t>4.027</w:t>
            </w:r>
            <w:r w:rsidRPr="00701F32">
              <w:rPr>
                <w:rFonts w:ascii="Arial" w:hAnsi="Arial" w:cs="Arial"/>
                <w:b/>
                <w:bCs/>
                <w:sz w:val="16"/>
                <w:szCs w:val="18"/>
              </w:rPr>
              <w:t>)</w:t>
            </w:r>
          </w:p>
        </w:tc>
        <w:tc>
          <w:tcPr>
            <w:tcW w:w="972" w:type="dxa"/>
            <w:tcBorders>
              <w:top w:val="nil"/>
              <w:left w:val="single" w:sz="4" w:space="0" w:color="auto"/>
              <w:bottom w:val="single" w:sz="4" w:space="0" w:color="auto"/>
              <w:right w:val="single" w:sz="4" w:space="0" w:color="363639"/>
            </w:tcBorders>
            <w:shd w:val="clear" w:color="auto" w:fill="auto"/>
            <w:noWrap/>
            <w:vAlign w:val="bottom"/>
            <w:hideMark/>
          </w:tcPr>
          <w:p w14:paraId="2DFC5CB0" w14:textId="09353C89" w:rsidR="00465779" w:rsidRPr="00701F32" w:rsidRDefault="00465779" w:rsidP="00465779">
            <w:pPr>
              <w:jc w:val="right"/>
              <w:rPr>
                <w:rFonts w:ascii="Arial" w:hAnsi="Arial" w:cs="Arial"/>
                <w:b/>
                <w:bCs/>
                <w:sz w:val="16"/>
                <w:szCs w:val="18"/>
              </w:rPr>
            </w:pPr>
            <w:r w:rsidRPr="00701F32">
              <w:rPr>
                <w:rFonts w:ascii="Arial" w:hAnsi="Arial" w:cs="Arial"/>
                <w:b/>
                <w:bCs/>
                <w:sz w:val="16"/>
                <w:szCs w:val="18"/>
              </w:rPr>
              <w:t>3</w:t>
            </w:r>
            <w:r w:rsidR="00EF71D1" w:rsidRPr="00701F32">
              <w:rPr>
                <w:rFonts w:ascii="Arial" w:hAnsi="Arial" w:cs="Arial"/>
                <w:b/>
                <w:bCs/>
                <w:sz w:val="16"/>
                <w:szCs w:val="18"/>
              </w:rPr>
              <w:t>39</w:t>
            </w:r>
            <w:r w:rsidRPr="00701F32">
              <w:rPr>
                <w:rFonts w:ascii="Arial" w:hAnsi="Arial" w:cs="Arial"/>
                <w:b/>
                <w:bCs/>
                <w:sz w:val="16"/>
                <w:szCs w:val="18"/>
              </w:rPr>
              <w:t>.</w:t>
            </w:r>
            <w:r w:rsidR="00EF71D1" w:rsidRPr="00701F32">
              <w:rPr>
                <w:rFonts w:ascii="Arial" w:hAnsi="Arial" w:cs="Arial"/>
                <w:b/>
                <w:bCs/>
                <w:sz w:val="16"/>
                <w:szCs w:val="18"/>
              </w:rPr>
              <w:t>003</w:t>
            </w:r>
          </w:p>
        </w:tc>
      </w:tr>
    </w:tbl>
    <w:p w14:paraId="55674936" w14:textId="77777777" w:rsidR="00A06BE9" w:rsidRPr="00701F32" w:rsidRDefault="00A06BE9" w:rsidP="00A06BE9">
      <w:pPr>
        <w:spacing w:after="160"/>
        <w:jc w:val="both"/>
        <w:rPr>
          <w:rFonts w:ascii="Arial" w:eastAsia="Calibri" w:hAnsi="Arial" w:cs="Arial"/>
          <w:i/>
          <w:sz w:val="16"/>
        </w:rPr>
      </w:pPr>
    </w:p>
    <w:p w14:paraId="7670854A" w14:textId="76ECB2FF"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El revalúo de los terrenos y edificios propiedad de la en</w:t>
      </w:r>
      <w:r w:rsidR="00701F32">
        <w:rPr>
          <w:rFonts w:ascii="Arial" w:eastAsia="Calibri" w:hAnsi="Arial" w:cs="Arial"/>
          <w:sz w:val="20"/>
        </w:rPr>
        <w:t>tidad arroja un</w:t>
      </w:r>
      <w:r w:rsidR="00465779" w:rsidRPr="00701F32">
        <w:rPr>
          <w:rFonts w:ascii="Arial" w:eastAsia="Calibri" w:hAnsi="Arial" w:cs="Arial"/>
          <w:sz w:val="20"/>
        </w:rPr>
        <w:t xml:space="preserve"> superávit de 442</w:t>
      </w:r>
      <w:r w:rsidRPr="00701F32">
        <w:rPr>
          <w:rFonts w:ascii="Arial" w:eastAsia="Calibri" w:hAnsi="Arial" w:cs="Arial"/>
          <w:sz w:val="20"/>
        </w:rPr>
        <w:t>.</w:t>
      </w:r>
      <w:r w:rsidR="00465779" w:rsidRPr="00701F32">
        <w:rPr>
          <w:rFonts w:ascii="Arial" w:eastAsia="Calibri" w:hAnsi="Arial" w:cs="Arial"/>
          <w:sz w:val="20"/>
        </w:rPr>
        <w:t>573</w:t>
      </w:r>
      <w:r w:rsidRPr="00701F32">
        <w:rPr>
          <w:rFonts w:ascii="Arial" w:eastAsia="Calibri" w:hAnsi="Arial" w:cs="Arial"/>
          <w:sz w:val="20"/>
        </w:rPr>
        <w:t xml:space="preserve"> al cierre del período, que sumado a su costo histórico</w:t>
      </w:r>
      <w:r w:rsidR="00B87F2D" w:rsidRPr="00701F32">
        <w:rPr>
          <w:rFonts w:ascii="Arial" w:eastAsia="Calibri" w:hAnsi="Arial" w:cs="Arial"/>
          <w:sz w:val="20"/>
        </w:rPr>
        <w:t xml:space="preserve"> y neto de depreciaciones del revalúo</w:t>
      </w:r>
      <w:r w:rsidR="00465779" w:rsidRPr="00701F32">
        <w:rPr>
          <w:rFonts w:ascii="Arial" w:eastAsia="Calibri" w:hAnsi="Arial" w:cs="Arial"/>
          <w:sz w:val="20"/>
        </w:rPr>
        <w:t xml:space="preserve"> arroja un total de 7</w:t>
      </w:r>
      <w:r w:rsidR="00EF71D1" w:rsidRPr="00701F32">
        <w:rPr>
          <w:rFonts w:ascii="Arial" w:eastAsia="Calibri" w:hAnsi="Arial" w:cs="Arial"/>
          <w:sz w:val="20"/>
        </w:rPr>
        <w:t>77.549</w:t>
      </w:r>
      <w:r w:rsidRPr="00701F32">
        <w:rPr>
          <w:rFonts w:ascii="Arial" w:eastAsia="Calibri" w:hAnsi="Arial" w:cs="Arial"/>
          <w:sz w:val="20"/>
        </w:rPr>
        <w:t xml:space="preserve"> para esta clase activo. </w:t>
      </w:r>
    </w:p>
    <w:p w14:paraId="5056D616" w14:textId="30E04F1D" w:rsidR="00364AA1" w:rsidRPr="00701F32" w:rsidRDefault="00A06BE9" w:rsidP="00A06BE9">
      <w:pPr>
        <w:spacing w:after="160"/>
        <w:jc w:val="both"/>
        <w:rPr>
          <w:rFonts w:ascii="Arial" w:eastAsia="Calibri" w:hAnsi="Arial" w:cs="Arial"/>
          <w:sz w:val="20"/>
        </w:rPr>
      </w:pPr>
      <w:r w:rsidRPr="00701F32">
        <w:rPr>
          <w:rFonts w:ascii="Arial" w:eastAsia="Calibri" w:hAnsi="Arial" w:cs="Arial"/>
          <w:sz w:val="20"/>
        </w:rPr>
        <w:t>En el perío</w:t>
      </w:r>
      <w:r w:rsidR="00465779" w:rsidRPr="00701F32">
        <w:rPr>
          <w:rFonts w:ascii="Arial" w:eastAsia="Calibri" w:hAnsi="Arial" w:cs="Arial"/>
          <w:sz w:val="20"/>
        </w:rPr>
        <w:t>do se imputa la suma de pesos 261.239</w:t>
      </w:r>
      <w:r w:rsidRPr="00701F32">
        <w:rPr>
          <w:rFonts w:ascii="Arial" w:eastAsia="Calibri" w:hAnsi="Arial" w:cs="Arial"/>
          <w:sz w:val="20"/>
        </w:rPr>
        <w:t xml:space="preserve"> a Otros resultados Integrales (ORI).</w:t>
      </w:r>
    </w:p>
    <w:p w14:paraId="2E5FFC09" w14:textId="77777777" w:rsidR="00A06BE9" w:rsidRPr="00701F32" w:rsidRDefault="00A06BE9" w:rsidP="00A06BE9">
      <w:pPr>
        <w:spacing w:after="160"/>
        <w:jc w:val="both"/>
        <w:rPr>
          <w:rFonts w:ascii="Arial" w:eastAsia="Calibri" w:hAnsi="Arial" w:cs="Arial"/>
          <w:b/>
          <w:sz w:val="20"/>
        </w:rPr>
      </w:pPr>
      <w:r w:rsidRPr="00701F32">
        <w:rPr>
          <w:rFonts w:ascii="Arial" w:eastAsia="Calibri" w:hAnsi="Arial" w:cs="Arial"/>
          <w:b/>
          <w:sz w:val="20"/>
        </w:rPr>
        <w:t>1.15 Propiedades de inversión</w:t>
      </w:r>
    </w:p>
    <w:p w14:paraId="3354AA48" w14:textId="77777777" w:rsidR="00A06BE9" w:rsidRPr="00701F32" w:rsidRDefault="00A06BE9" w:rsidP="00A06BE9">
      <w:pPr>
        <w:numPr>
          <w:ilvl w:val="0"/>
          <w:numId w:val="35"/>
        </w:numPr>
        <w:spacing w:after="160"/>
        <w:contextualSpacing/>
        <w:jc w:val="both"/>
        <w:rPr>
          <w:rFonts w:ascii="Arial" w:eastAsia="Calibri" w:hAnsi="Arial" w:cs="Arial"/>
          <w:sz w:val="20"/>
        </w:rPr>
      </w:pPr>
      <w:r w:rsidRPr="00701F32">
        <w:rPr>
          <w:rFonts w:ascii="Arial" w:eastAsia="Calibri" w:hAnsi="Arial" w:cs="Arial"/>
          <w:sz w:val="20"/>
        </w:rPr>
        <w:t xml:space="preserve">Bases de medición utilizadas. </w:t>
      </w:r>
    </w:p>
    <w:p w14:paraId="52154ACC" w14:textId="77777777" w:rsidR="00A06BE9" w:rsidRPr="00701F32" w:rsidRDefault="00A06BE9" w:rsidP="00A06BE9">
      <w:pPr>
        <w:spacing w:after="160"/>
        <w:ind w:left="720"/>
        <w:contextualSpacing/>
        <w:jc w:val="both"/>
        <w:rPr>
          <w:rFonts w:ascii="Arial" w:eastAsia="Calibri" w:hAnsi="Arial" w:cs="Arial"/>
          <w:sz w:val="20"/>
        </w:rPr>
      </w:pPr>
    </w:p>
    <w:p w14:paraId="15E34842" w14:textId="2847C9A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Las propiedades de inversión es</w:t>
      </w:r>
      <w:r w:rsidR="00465779" w:rsidRPr="00701F32">
        <w:rPr>
          <w:rFonts w:ascii="Arial" w:eastAsia="Calibri" w:hAnsi="Arial" w:cs="Arial"/>
          <w:sz w:val="20"/>
        </w:rPr>
        <w:t xml:space="preserve">tán constituidas por inmuebles </w:t>
      </w:r>
      <w:r w:rsidRPr="00701F32">
        <w:rPr>
          <w:rFonts w:ascii="Arial" w:eastAsia="Calibri" w:hAnsi="Arial" w:cs="Arial"/>
          <w:sz w:val="20"/>
        </w:rPr>
        <w:t xml:space="preserve">(terrenos o edificios o parte de un edificio o ambos) mantenidos para obtener una renta o para apreciación de capital o ambos, no siendo ocupadas por la Entidad. </w:t>
      </w:r>
    </w:p>
    <w:p w14:paraId="4B57BEC7"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Son contabilizadas a su valor razonable, y los cambios en el mismo, se van reflejando directamente en los resultados del </w:t>
      </w:r>
      <w:r w:rsidR="00D93A75" w:rsidRPr="00701F32">
        <w:rPr>
          <w:rFonts w:ascii="Arial" w:eastAsia="Calibri" w:hAnsi="Arial" w:cs="Arial"/>
          <w:sz w:val="20"/>
        </w:rPr>
        <w:t>período</w:t>
      </w:r>
      <w:r w:rsidRPr="00701F32">
        <w:rPr>
          <w:rFonts w:ascii="Arial" w:eastAsia="Calibri" w:hAnsi="Arial" w:cs="Arial"/>
          <w:sz w:val="20"/>
        </w:rPr>
        <w:t>. Las propiedades de inversión no se deprecian. El valor razonable está basado en tasaciones realizadas por peritos independientes.</w:t>
      </w:r>
    </w:p>
    <w:p w14:paraId="003EB7FB" w14:textId="77777777" w:rsidR="0032760F" w:rsidRPr="00701F32" w:rsidRDefault="00A06BE9" w:rsidP="005819B2">
      <w:pPr>
        <w:numPr>
          <w:ilvl w:val="0"/>
          <w:numId w:val="35"/>
        </w:numPr>
        <w:spacing w:after="160"/>
        <w:contextualSpacing/>
        <w:jc w:val="both"/>
        <w:rPr>
          <w:rFonts w:ascii="Arial" w:eastAsia="Calibri" w:hAnsi="Arial" w:cs="Arial"/>
          <w:sz w:val="20"/>
        </w:rPr>
      </w:pPr>
      <w:r w:rsidRPr="00701F32">
        <w:rPr>
          <w:rFonts w:ascii="Arial" w:eastAsia="Calibri" w:hAnsi="Arial" w:cs="Arial"/>
          <w:sz w:val="20"/>
        </w:rPr>
        <w:t xml:space="preserve">Cifras incluidas en el resultado del período por Propiedades de Inversión. </w:t>
      </w:r>
    </w:p>
    <w:p w14:paraId="32DF33B1" w14:textId="77777777" w:rsidR="005C4329" w:rsidRPr="00701F32" w:rsidRDefault="005C4329" w:rsidP="00701F32">
      <w:pPr>
        <w:spacing w:after="160"/>
        <w:ind w:left="720"/>
        <w:contextualSpacing/>
        <w:jc w:val="both"/>
        <w:rPr>
          <w:rFonts w:ascii="Arial" w:eastAsia="Calibri" w:hAnsi="Arial" w:cs="Arial"/>
          <w:sz w:val="20"/>
        </w:rPr>
      </w:pPr>
    </w:p>
    <w:p w14:paraId="0124C9F1" w14:textId="77777777" w:rsidR="00A06BE9" w:rsidRPr="00701F32" w:rsidRDefault="00A06BE9">
      <w:pPr>
        <w:spacing w:after="160"/>
        <w:ind w:left="720"/>
        <w:contextualSpacing/>
        <w:jc w:val="both"/>
        <w:rPr>
          <w:rFonts w:ascii="Arial" w:eastAsia="Calibri" w:hAnsi="Arial" w:cs="Arial"/>
          <w:sz w:val="20"/>
        </w:rPr>
      </w:pPr>
    </w:p>
    <w:tbl>
      <w:tblPr>
        <w:tblStyle w:val="Tabladecuadrcula1clara1"/>
        <w:tblW w:w="0" w:type="auto"/>
        <w:jc w:val="center"/>
        <w:tblLook w:val="04A0" w:firstRow="1" w:lastRow="0" w:firstColumn="1" w:lastColumn="0" w:noHBand="0" w:noVBand="1"/>
      </w:tblPr>
      <w:tblGrid>
        <w:gridCol w:w="4361"/>
        <w:gridCol w:w="1276"/>
        <w:gridCol w:w="1275"/>
      </w:tblGrid>
      <w:tr w:rsidR="00A06BE9" w:rsidRPr="00701F32" w14:paraId="085D3E3D" w14:textId="77777777" w:rsidTr="0086282C">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tcPr>
          <w:p w14:paraId="7B63C70A" w14:textId="77777777" w:rsidR="00A06BE9" w:rsidRPr="00701F32" w:rsidRDefault="00A06BE9" w:rsidP="00464C0F">
            <w:pPr>
              <w:contextualSpacing/>
              <w:jc w:val="both"/>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DD7C474" w14:textId="77777777" w:rsidR="00A06BE9" w:rsidRPr="00701F32" w:rsidRDefault="00465779">
            <w:pPr>
              <w:contextualSpacing/>
              <w:jc w:val="right"/>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30/0</w:t>
            </w:r>
            <w:r w:rsidR="00B848DD" w:rsidRPr="00701F32">
              <w:rPr>
                <w:rFonts w:ascii="Arial" w:hAnsi="Arial" w:cs="Arial"/>
                <w:sz w:val="16"/>
              </w:rPr>
              <w:t>9</w:t>
            </w:r>
            <w:r w:rsidR="00A06BE9" w:rsidRPr="00701F32">
              <w:rPr>
                <w:rFonts w:ascii="Arial" w:hAnsi="Arial" w:cs="Arial"/>
                <w:sz w:val="16"/>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19987215" w14:textId="77777777" w:rsidR="00A06BE9" w:rsidRPr="00701F32" w:rsidRDefault="00465779">
            <w:pPr>
              <w:contextualSpacing/>
              <w:jc w:val="right"/>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30/0</w:t>
            </w:r>
            <w:r w:rsidR="00B848DD" w:rsidRPr="00701F32">
              <w:rPr>
                <w:rFonts w:ascii="Arial" w:hAnsi="Arial" w:cs="Arial"/>
                <w:sz w:val="16"/>
              </w:rPr>
              <w:t>9</w:t>
            </w:r>
            <w:r w:rsidR="00A06BE9" w:rsidRPr="00701F32">
              <w:rPr>
                <w:rFonts w:ascii="Arial" w:hAnsi="Arial" w:cs="Arial"/>
                <w:sz w:val="16"/>
              </w:rPr>
              <w:t>/2017</w:t>
            </w:r>
          </w:p>
        </w:tc>
      </w:tr>
      <w:tr w:rsidR="00A06BE9" w:rsidRPr="00701F32" w14:paraId="448145C2" w14:textId="77777777" w:rsidTr="00701F32">
        <w:trPr>
          <w:trHeight w:val="291"/>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vAlign w:val="center"/>
          </w:tcPr>
          <w:p w14:paraId="7C295CE2" w14:textId="77777777" w:rsidR="00A06BE9" w:rsidRPr="00701F32" w:rsidRDefault="00A06BE9" w:rsidP="0086282C">
            <w:pPr>
              <w:contextualSpacing/>
              <w:rPr>
                <w:rFonts w:ascii="Arial" w:hAnsi="Arial" w:cs="Arial"/>
                <w:b w:val="0"/>
                <w:bCs w:val="0"/>
                <w:sz w:val="16"/>
              </w:rPr>
            </w:pPr>
            <w:r w:rsidRPr="00701F32">
              <w:rPr>
                <w:rFonts w:ascii="Arial" w:hAnsi="Arial" w:cs="Arial"/>
                <w:sz w:val="16"/>
              </w:rPr>
              <w:t>Ingresos derivados de rentas (alquileres cobrados)</w:t>
            </w:r>
          </w:p>
        </w:tc>
        <w:tc>
          <w:tcPr>
            <w:tcW w:w="1276" w:type="dxa"/>
            <w:tcBorders>
              <w:top w:val="single" w:sz="4" w:space="0" w:color="auto"/>
              <w:left w:val="single" w:sz="4" w:space="0" w:color="auto"/>
              <w:bottom w:val="single" w:sz="4" w:space="0" w:color="auto"/>
              <w:right w:val="single" w:sz="4" w:space="0" w:color="auto"/>
            </w:tcBorders>
            <w:vAlign w:val="bottom"/>
          </w:tcPr>
          <w:p w14:paraId="59DD492E" w14:textId="77777777" w:rsidR="00A06BE9" w:rsidRPr="00701F32" w:rsidRDefault="003626E3">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3.979</w:t>
            </w:r>
          </w:p>
        </w:tc>
        <w:tc>
          <w:tcPr>
            <w:tcW w:w="1275" w:type="dxa"/>
            <w:tcBorders>
              <w:top w:val="single" w:sz="4" w:space="0" w:color="auto"/>
              <w:left w:val="single" w:sz="4" w:space="0" w:color="auto"/>
              <w:bottom w:val="single" w:sz="4" w:space="0" w:color="auto"/>
              <w:right w:val="single" w:sz="4" w:space="0" w:color="auto"/>
            </w:tcBorders>
            <w:vAlign w:val="bottom"/>
          </w:tcPr>
          <w:p w14:paraId="194D45F3" w14:textId="60BC004E" w:rsidR="00A06BE9" w:rsidRPr="00701F32" w:rsidRDefault="003626E3">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1</w:t>
            </w:r>
            <w:r w:rsidR="001B5B87" w:rsidRPr="00701F32">
              <w:rPr>
                <w:rFonts w:ascii="Arial" w:hAnsi="Arial" w:cs="Arial"/>
                <w:sz w:val="16"/>
              </w:rPr>
              <w:t>8.629</w:t>
            </w:r>
          </w:p>
        </w:tc>
      </w:tr>
      <w:tr w:rsidR="00A06BE9" w:rsidRPr="00701F32" w14:paraId="4B1D678C" w14:textId="77777777" w:rsidTr="00701F32">
        <w:trPr>
          <w:trHeight w:val="30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vAlign w:val="center"/>
          </w:tcPr>
          <w:p w14:paraId="2E5DEC15" w14:textId="77777777" w:rsidR="00A06BE9" w:rsidRPr="00701F32" w:rsidRDefault="00A06BE9" w:rsidP="0086282C">
            <w:pPr>
              <w:contextualSpacing/>
              <w:rPr>
                <w:rFonts w:ascii="Arial" w:hAnsi="Arial" w:cs="Arial"/>
                <w:b w:val="0"/>
                <w:bCs w:val="0"/>
                <w:sz w:val="16"/>
              </w:rPr>
            </w:pPr>
            <w:r w:rsidRPr="00701F32">
              <w:rPr>
                <w:rFonts w:ascii="Arial" w:hAnsi="Arial" w:cs="Arial"/>
                <w:sz w:val="16"/>
              </w:rPr>
              <w:t>Gastos directos de operación de propiedades que generaron ingresos derivados de rentas</w:t>
            </w:r>
          </w:p>
        </w:tc>
        <w:tc>
          <w:tcPr>
            <w:tcW w:w="1276" w:type="dxa"/>
            <w:tcBorders>
              <w:top w:val="single" w:sz="4" w:space="0" w:color="auto"/>
              <w:left w:val="single" w:sz="4" w:space="0" w:color="auto"/>
              <w:bottom w:val="single" w:sz="4" w:space="0" w:color="auto"/>
              <w:right w:val="single" w:sz="4" w:space="0" w:color="auto"/>
            </w:tcBorders>
            <w:vAlign w:val="bottom"/>
          </w:tcPr>
          <w:p w14:paraId="6436BBD7" w14:textId="177202A8" w:rsidR="00A06BE9" w:rsidRPr="00701F32" w:rsidRDefault="005C4329">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w:t>
            </w:r>
            <w:r w:rsidR="00A53598" w:rsidRPr="00701F32">
              <w:rPr>
                <w:rFonts w:ascii="Arial" w:hAnsi="Arial" w:cs="Arial"/>
                <w:sz w:val="16"/>
              </w:rPr>
              <w:t>2.983</w:t>
            </w:r>
            <w:r w:rsidRPr="00701F32">
              <w:rPr>
                <w:rFonts w:ascii="Arial" w:hAnsi="Arial" w:cs="Arial"/>
                <w:sz w:val="16"/>
              </w:rPr>
              <w:t>)</w:t>
            </w:r>
          </w:p>
        </w:tc>
        <w:tc>
          <w:tcPr>
            <w:tcW w:w="1275" w:type="dxa"/>
            <w:tcBorders>
              <w:top w:val="single" w:sz="4" w:space="0" w:color="auto"/>
              <w:left w:val="single" w:sz="4" w:space="0" w:color="auto"/>
              <w:bottom w:val="single" w:sz="4" w:space="0" w:color="auto"/>
              <w:right w:val="single" w:sz="4" w:space="0" w:color="auto"/>
            </w:tcBorders>
            <w:vAlign w:val="bottom"/>
          </w:tcPr>
          <w:p w14:paraId="22D11B9F" w14:textId="276497E3" w:rsidR="00A06BE9" w:rsidRPr="00701F32" w:rsidRDefault="00A06BE9" w:rsidP="00701F32">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lang w:val="es-ES_tradnl"/>
              </w:rPr>
            </w:pPr>
            <w:r w:rsidRPr="00701F32">
              <w:rPr>
                <w:rFonts w:ascii="Arial" w:hAnsi="Arial" w:cs="Arial"/>
                <w:sz w:val="16"/>
              </w:rPr>
              <w:t xml:space="preserve">             </w:t>
            </w:r>
            <w:r w:rsidR="005C4329" w:rsidRPr="00701F32">
              <w:rPr>
                <w:rFonts w:ascii="Arial" w:hAnsi="Arial" w:cs="Arial"/>
                <w:sz w:val="16"/>
              </w:rPr>
              <w:t>(</w:t>
            </w:r>
            <w:r w:rsidR="00C70173" w:rsidRPr="00701F32">
              <w:rPr>
                <w:rFonts w:ascii="Arial" w:hAnsi="Arial" w:cs="Arial"/>
                <w:sz w:val="16"/>
              </w:rPr>
              <w:t>2.</w:t>
            </w:r>
            <w:r w:rsidR="00A53598" w:rsidRPr="00701F32">
              <w:rPr>
                <w:rFonts w:ascii="Arial" w:hAnsi="Arial" w:cs="Arial"/>
                <w:sz w:val="16"/>
              </w:rPr>
              <w:t>943</w:t>
            </w:r>
            <w:r w:rsidR="005C4329" w:rsidRPr="00701F32">
              <w:rPr>
                <w:rFonts w:ascii="Arial" w:hAnsi="Arial" w:cs="Arial"/>
                <w:sz w:val="16"/>
              </w:rPr>
              <w:t>)</w:t>
            </w:r>
          </w:p>
        </w:tc>
      </w:tr>
      <w:tr w:rsidR="00A06BE9" w:rsidRPr="00701F32" w14:paraId="5A3C97BD" w14:textId="77777777" w:rsidTr="00701F32">
        <w:trPr>
          <w:trHeight w:val="291"/>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vAlign w:val="center"/>
          </w:tcPr>
          <w:p w14:paraId="421A35F5" w14:textId="77777777" w:rsidR="00A06BE9" w:rsidRPr="00701F32" w:rsidRDefault="00A06BE9" w:rsidP="0086282C">
            <w:pPr>
              <w:contextualSpacing/>
              <w:rPr>
                <w:rFonts w:ascii="Arial" w:hAnsi="Arial" w:cs="Arial"/>
                <w:b w:val="0"/>
                <w:bCs w:val="0"/>
                <w:sz w:val="16"/>
              </w:rPr>
            </w:pPr>
            <w:r w:rsidRPr="00701F32">
              <w:rPr>
                <w:rFonts w:ascii="Arial" w:hAnsi="Arial" w:cs="Arial"/>
                <w:sz w:val="16"/>
              </w:rPr>
              <w:t>Resultado por medición al valor razonable</w:t>
            </w:r>
          </w:p>
        </w:tc>
        <w:tc>
          <w:tcPr>
            <w:tcW w:w="1276" w:type="dxa"/>
            <w:tcBorders>
              <w:top w:val="single" w:sz="4" w:space="0" w:color="auto"/>
              <w:left w:val="single" w:sz="4" w:space="0" w:color="auto"/>
              <w:bottom w:val="single" w:sz="4" w:space="0" w:color="auto"/>
              <w:right w:val="single" w:sz="4" w:space="0" w:color="auto"/>
            </w:tcBorders>
            <w:vAlign w:val="bottom"/>
          </w:tcPr>
          <w:p w14:paraId="0294D884" w14:textId="77777777" w:rsidR="00A06BE9" w:rsidRPr="00701F32" w:rsidRDefault="001C701A">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 xml:space="preserve">        97.402</w:t>
            </w:r>
          </w:p>
        </w:tc>
        <w:tc>
          <w:tcPr>
            <w:tcW w:w="1275" w:type="dxa"/>
            <w:tcBorders>
              <w:top w:val="single" w:sz="4" w:space="0" w:color="auto"/>
              <w:left w:val="single" w:sz="4" w:space="0" w:color="auto"/>
              <w:bottom w:val="single" w:sz="4" w:space="0" w:color="auto"/>
              <w:right w:val="single" w:sz="4" w:space="0" w:color="auto"/>
            </w:tcBorders>
            <w:vAlign w:val="bottom"/>
          </w:tcPr>
          <w:p w14:paraId="2342F1A2" w14:textId="149BCB74" w:rsidR="00A06BE9" w:rsidRPr="00701F32" w:rsidRDefault="00A53598">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211</w:t>
            </w:r>
          </w:p>
        </w:tc>
      </w:tr>
    </w:tbl>
    <w:p w14:paraId="61960DDE" w14:textId="77777777" w:rsidR="00A06BE9" w:rsidRPr="00701F32" w:rsidRDefault="00A06BE9" w:rsidP="00A06BE9">
      <w:pPr>
        <w:spacing w:after="160"/>
        <w:jc w:val="both"/>
        <w:rPr>
          <w:rFonts w:ascii="Arial" w:eastAsia="Calibri" w:hAnsi="Arial" w:cs="Arial"/>
          <w:sz w:val="20"/>
        </w:rPr>
      </w:pPr>
    </w:p>
    <w:p w14:paraId="549EE02E" w14:textId="5923BA5A"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El resultado neto generado por las propiedades de inversión al 3</w:t>
      </w:r>
      <w:r w:rsidR="00EA41EA" w:rsidRPr="00701F32">
        <w:rPr>
          <w:rFonts w:ascii="Arial" w:eastAsia="Calibri" w:hAnsi="Arial" w:cs="Arial"/>
          <w:sz w:val="20"/>
        </w:rPr>
        <w:t>0</w:t>
      </w:r>
      <w:r w:rsidRPr="00701F32">
        <w:rPr>
          <w:rFonts w:ascii="Arial" w:eastAsia="Calibri" w:hAnsi="Arial" w:cs="Arial"/>
          <w:sz w:val="20"/>
        </w:rPr>
        <w:t xml:space="preserve"> de </w:t>
      </w:r>
      <w:r w:rsidR="00AC4467" w:rsidRPr="00701F32">
        <w:rPr>
          <w:rFonts w:ascii="Arial" w:eastAsia="Calibri" w:hAnsi="Arial" w:cs="Arial"/>
          <w:sz w:val="20"/>
        </w:rPr>
        <w:t>septiembre</w:t>
      </w:r>
      <w:r w:rsidR="00D93A75" w:rsidRPr="00701F32">
        <w:rPr>
          <w:rFonts w:ascii="Arial" w:eastAsia="Calibri" w:hAnsi="Arial" w:cs="Arial"/>
          <w:sz w:val="20"/>
        </w:rPr>
        <w:t xml:space="preserve"> </w:t>
      </w:r>
      <w:r w:rsidRPr="00701F32">
        <w:rPr>
          <w:rFonts w:ascii="Arial" w:eastAsia="Calibri" w:hAnsi="Arial" w:cs="Arial"/>
          <w:sz w:val="20"/>
        </w:rPr>
        <w:t xml:space="preserve">de 2018 y 2017 asciende a una utilidad de </w:t>
      </w:r>
      <w:r w:rsidR="003C6A8A" w:rsidRPr="00701F32">
        <w:rPr>
          <w:rFonts w:ascii="Arial" w:eastAsia="Calibri" w:hAnsi="Arial" w:cs="Arial"/>
          <w:sz w:val="20"/>
        </w:rPr>
        <w:t>9</w:t>
      </w:r>
      <w:r w:rsidR="00A53598" w:rsidRPr="00701F32">
        <w:rPr>
          <w:rFonts w:ascii="Arial" w:eastAsia="Calibri" w:hAnsi="Arial" w:cs="Arial"/>
          <w:sz w:val="20"/>
        </w:rPr>
        <w:t>8.398</w:t>
      </w:r>
      <w:r w:rsidRPr="00701F32">
        <w:rPr>
          <w:rFonts w:ascii="Arial" w:eastAsia="Calibri" w:hAnsi="Arial" w:cs="Arial"/>
          <w:sz w:val="20"/>
        </w:rPr>
        <w:t xml:space="preserve"> y </w:t>
      </w:r>
      <w:r w:rsidR="00A53598" w:rsidRPr="00701F32">
        <w:rPr>
          <w:rFonts w:ascii="Arial" w:eastAsia="Calibri" w:hAnsi="Arial" w:cs="Arial"/>
          <w:sz w:val="20"/>
        </w:rPr>
        <w:t>15.897</w:t>
      </w:r>
      <w:r w:rsidRPr="00701F32">
        <w:rPr>
          <w:rFonts w:ascii="Arial" w:eastAsia="Calibri" w:hAnsi="Arial" w:cs="Arial"/>
          <w:sz w:val="20"/>
        </w:rPr>
        <w:t xml:space="preserve"> </w:t>
      </w:r>
      <w:r w:rsidR="003626E3" w:rsidRPr="00701F32">
        <w:rPr>
          <w:rFonts w:ascii="Arial" w:eastAsia="Calibri" w:hAnsi="Arial" w:cs="Arial"/>
          <w:sz w:val="20"/>
        </w:rPr>
        <w:t>respecti</w:t>
      </w:r>
      <w:r w:rsidR="00FF003D" w:rsidRPr="00701F32">
        <w:rPr>
          <w:rFonts w:ascii="Arial" w:eastAsia="Calibri" w:hAnsi="Arial" w:cs="Arial"/>
          <w:sz w:val="20"/>
        </w:rPr>
        <w:t>v</w:t>
      </w:r>
      <w:r w:rsidR="003626E3" w:rsidRPr="00701F32">
        <w:rPr>
          <w:rFonts w:ascii="Arial" w:eastAsia="Calibri" w:hAnsi="Arial" w:cs="Arial"/>
          <w:sz w:val="20"/>
        </w:rPr>
        <w:t xml:space="preserve">amente, y </w:t>
      </w:r>
      <w:r w:rsidRPr="00701F32">
        <w:rPr>
          <w:rFonts w:ascii="Arial" w:eastAsia="Calibri" w:hAnsi="Arial" w:cs="Arial"/>
          <w:sz w:val="20"/>
        </w:rPr>
        <w:t>se reconocen en los rubros “Otros ingresos operativos”, “Gastos de administración” y “Otros gastos operativos” en el estado de resultados integral consolidado.</w:t>
      </w:r>
    </w:p>
    <w:p w14:paraId="6A3BBB8B" w14:textId="4AB0F532" w:rsidR="00F17F39" w:rsidRPr="00701F32" w:rsidRDefault="00A06BE9" w:rsidP="00A06BE9">
      <w:pPr>
        <w:spacing w:after="160"/>
        <w:jc w:val="both"/>
        <w:rPr>
          <w:rFonts w:ascii="Arial" w:eastAsia="Calibri" w:hAnsi="Arial" w:cs="Arial"/>
          <w:sz w:val="20"/>
        </w:rPr>
      </w:pPr>
      <w:r w:rsidRPr="00701F32">
        <w:rPr>
          <w:rFonts w:ascii="Arial" w:eastAsia="Calibri" w:hAnsi="Arial" w:cs="Arial"/>
          <w:sz w:val="20"/>
        </w:rPr>
        <w:t>Las ganancias y pérdidas por la venta de propiedades de inversión se incluyen en el estado de resultados integral consolidado.</w:t>
      </w:r>
    </w:p>
    <w:p w14:paraId="3ACE0256" w14:textId="77777777" w:rsidR="00A06BE9" w:rsidRPr="00701F32" w:rsidRDefault="00A06BE9" w:rsidP="00A06BE9">
      <w:pPr>
        <w:spacing w:after="160"/>
        <w:jc w:val="both"/>
        <w:rPr>
          <w:rFonts w:ascii="Arial" w:eastAsia="Calibri" w:hAnsi="Arial" w:cs="Arial"/>
          <w:b/>
          <w:sz w:val="20"/>
        </w:rPr>
      </w:pPr>
      <w:r w:rsidRPr="00701F32">
        <w:rPr>
          <w:rFonts w:ascii="Arial" w:eastAsia="Calibri" w:hAnsi="Arial" w:cs="Arial"/>
          <w:b/>
          <w:sz w:val="20"/>
        </w:rPr>
        <w:t>1.16 Activos Intangibles</w:t>
      </w:r>
    </w:p>
    <w:p w14:paraId="0C3C70A4"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(a)  Valor llave</w:t>
      </w:r>
    </w:p>
    <w:p w14:paraId="05B9FD6D"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El valor llave generado en la adquisición de subsidiarias, afiliadas o negocios conjuntos representa el exceso entre: </w:t>
      </w:r>
    </w:p>
    <w:p w14:paraId="4B3BFAC4"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(i) el costo de una adquisición, el cual se mide como la suma de la contraprestación transferida, valuada al valor razonable a la fecha de la adquisición más el importe del interés no controlante; y</w:t>
      </w:r>
    </w:p>
    <w:p w14:paraId="57100592"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(ii) el valor razonable de los activos identificables adquiridos y de los pasivos asumidos de la adquirida. </w:t>
      </w:r>
    </w:p>
    <w:p w14:paraId="1CB2A01C"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Todos los valores llave, se incluyen en el rubro activos intangibles en el estado de situación financiera consolidado. </w:t>
      </w:r>
    </w:p>
    <w:p w14:paraId="0BB5257F"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valores llaves no se amortizan. El Banco evalúa anualmente, o cuando existan indicios de desvalorización, la recuperabilidad de los valores llave sobre la base de flujos futuros de fondos descontados más otra información disponible a la fecha de preparación de los estados financieros consolidados. Las pérdidas por desvalorización una vez contabilizadas no se revierten. Las ganancias y pérdidas por la venta de una entidad incluyen el saldo de valor llave relacionado con la entidad vendida.</w:t>
      </w:r>
    </w:p>
    <w:p w14:paraId="3F6C2C03"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El valor llave se asigna a unidades generadoras de efectivo a efectos de realizar las pruebas de recuperabilidad. La asignación se efectúa entre aquellas unidades generadoras de efectivo (o grupos de unidades), identificadas de acuerdo con el criterio de segmento operativo, que se benefician de la combinación de negocios de la que surgió el valor llave.</w:t>
      </w:r>
    </w:p>
    <w:p w14:paraId="33E155BE"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Para los valores llaves resultantes de combinaciones de negocios anteriores a la fecha de transición a NIIF, el Banco ha hecho uso de la opción prevista en la NIIF 1 “Adopción por primera vez de las NIIF”, en cuanto a la no aplicación retroactiva de la NIIF 3 “Combinaciones de negocios”. </w:t>
      </w:r>
    </w:p>
    <w:p w14:paraId="66A32E04"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(b) Software</w:t>
      </w:r>
    </w:p>
    <w:p w14:paraId="1D29410C"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 xml:space="preserve">Los costos asociados con el mantenimiento de software se reconocen como gasto cuando se incurren. Los costos de desarrollo, adquisición e implementación que son directamente atribuibles al diseño y pruebas de software identificables y únicos que controla la entidad, se reconocen como activos. </w:t>
      </w:r>
    </w:p>
    <w:p w14:paraId="52B12AEC"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costos de desarrollo, adquisición o implementación reconocidos inicialmente como gastos de un período, no son reconocidos posteriormente como costo del activo intangible. Los costos incurridos en el desarrollo, adquisición o implementación de software, reconocidos como activos intangibles, se amortizan aplicando el método de la línea recta durante sus vidas útiles estimadas, en un plazo que no excede de cinco años.</w:t>
      </w:r>
    </w:p>
    <w:p w14:paraId="71C87719" w14:textId="77777777" w:rsidR="00EA41EA" w:rsidRPr="00701F32" w:rsidRDefault="00EA41EA" w:rsidP="00A06BE9">
      <w:pPr>
        <w:jc w:val="both"/>
        <w:rPr>
          <w:rFonts w:ascii="Arial" w:hAnsi="Arial" w:cs="Arial"/>
          <w:b/>
          <w:sz w:val="20"/>
        </w:rPr>
      </w:pPr>
    </w:p>
    <w:p w14:paraId="328DF258" w14:textId="77777777" w:rsidR="00A06BE9" w:rsidRPr="00701F32" w:rsidRDefault="00A06BE9" w:rsidP="00A06BE9">
      <w:pPr>
        <w:jc w:val="both"/>
        <w:rPr>
          <w:rFonts w:ascii="Arial" w:hAnsi="Arial" w:cs="Arial"/>
          <w:b/>
          <w:color w:val="FF0000"/>
          <w:sz w:val="20"/>
        </w:rPr>
      </w:pPr>
      <w:r w:rsidRPr="00701F32">
        <w:rPr>
          <w:rFonts w:ascii="Arial" w:hAnsi="Arial" w:cs="Arial"/>
          <w:b/>
          <w:sz w:val="20"/>
        </w:rPr>
        <w:t xml:space="preserve">1.17 Desvalorización de activos no financieros  </w:t>
      </w:r>
    </w:p>
    <w:p w14:paraId="0A96E1FA" w14:textId="77777777" w:rsidR="00A06BE9" w:rsidRPr="00701F32" w:rsidRDefault="00A06BE9" w:rsidP="00A06BE9">
      <w:pPr>
        <w:jc w:val="both"/>
        <w:rPr>
          <w:rFonts w:ascii="Arial" w:hAnsi="Arial" w:cs="Arial"/>
          <w:sz w:val="20"/>
        </w:rPr>
      </w:pPr>
    </w:p>
    <w:p w14:paraId="5967FCA6" w14:textId="77777777" w:rsidR="00A06BE9" w:rsidRPr="00701F32" w:rsidRDefault="00A06BE9" w:rsidP="00A06BE9">
      <w:pPr>
        <w:jc w:val="both"/>
        <w:rPr>
          <w:rFonts w:ascii="Arial" w:hAnsi="Arial" w:cs="Arial"/>
          <w:sz w:val="20"/>
        </w:rPr>
      </w:pPr>
      <w:r w:rsidRPr="00701F32">
        <w:rPr>
          <w:rFonts w:ascii="Arial" w:hAnsi="Arial" w:cs="Arial"/>
          <w:sz w:val="20"/>
        </w:rPr>
        <w:t>Los activos que tienen vida útil indefinida no están sujetos a amortización y se someten a pruebas anuales de desvalorización. A diferencia del supuesto anterior, aquellos bienes que son amortizables se someten a pruebas de desvalorización cuando se producen eventos o circunstancias que indican que podría no recuperarse su valor de libros o, mínimamente, en forma anual.</w:t>
      </w:r>
    </w:p>
    <w:p w14:paraId="05545B6D" w14:textId="77777777" w:rsidR="00A06BE9" w:rsidRPr="00701F32" w:rsidRDefault="00A06BE9" w:rsidP="00A06BE9">
      <w:pPr>
        <w:jc w:val="both"/>
        <w:rPr>
          <w:rFonts w:ascii="Arial" w:hAnsi="Arial" w:cs="Arial"/>
          <w:sz w:val="20"/>
        </w:rPr>
      </w:pPr>
    </w:p>
    <w:p w14:paraId="10442663" w14:textId="77777777" w:rsidR="00A06BE9" w:rsidRPr="00701F32" w:rsidRDefault="00A06BE9" w:rsidP="00A06BE9">
      <w:pPr>
        <w:jc w:val="both"/>
        <w:rPr>
          <w:rFonts w:ascii="Arial" w:hAnsi="Arial" w:cs="Arial"/>
          <w:sz w:val="20"/>
        </w:rPr>
      </w:pPr>
      <w:r w:rsidRPr="00701F32">
        <w:rPr>
          <w:rFonts w:ascii="Arial" w:hAnsi="Arial" w:cs="Arial"/>
          <w:sz w:val="20"/>
        </w:rPr>
        <w:t>Las pérdidas por desvalorización se reconocen cuando el valor de libros excede a su valor recuperable. El valor recuperable de los activos corresponde al mayor entre el monto neto que se obtendría de su venta o su valor en uso. Para efectos de la prueba de desvalorización, los activos se agrupan al menor nivel en que generan flujos de efectivo identificables (unidades generadoras de efectivo). El valor de libros de activos no financieros distintos del valor llave sobre los que se ha registrado una desvalorización, se revisan a cada fecha de reporte para verificar posibles reversiones de desvalorizaciones.</w:t>
      </w:r>
    </w:p>
    <w:p w14:paraId="218169E0" w14:textId="77777777" w:rsidR="00A06BE9" w:rsidRPr="00701F32" w:rsidRDefault="00A06BE9" w:rsidP="00A06BE9">
      <w:pPr>
        <w:jc w:val="both"/>
        <w:rPr>
          <w:rFonts w:ascii="Arial" w:hAnsi="Arial" w:cs="Arial"/>
          <w:sz w:val="20"/>
        </w:rPr>
      </w:pPr>
    </w:p>
    <w:p w14:paraId="0BE962B4" w14:textId="77777777" w:rsidR="00A06BE9" w:rsidRPr="00701F32" w:rsidRDefault="00A06BE9" w:rsidP="00E311C9">
      <w:pPr>
        <w:rPr>
          <w:rFonts w:ascii="Arial" w:eastAsiaTheme="minorHAnsi" w:hAnsi="Arial" w:cs="Arial"/>
          <w:b/>
          <w:sz w:val="20"/>
        </w:rPr>
      </w:pPr>
      <w:r w:rsidRPr="00701F32">
        <w:rPr>
          <w:rFonts w:ascii="Arial" w:eastAsiaTheme="minorHAnsi" w:hAnsi="Arial" w:cs="Arial"/>
          <w:b/>
          <w:sz w:val="20"/>
        </w:rPr>
        <w:t>1.18 Activos fiduciarios</w:t>
      </w:r>
    </w:p>
    <w:p w14:paraId="03E185C9" w14:textId="77777777" w:rsidR="00061D27" w:rsidRPr="00701F32" w:rsidRDefault="00061D27" w:rsidP="00E311C9">
      <w:pPr>
        <w:rPr>
          <w:rFonts w:ascii="Arial" w:eastAsiaTheme="minorHAnsi" w:hAnsi="Arial" w:cs="Arial"/>
          <w:b/>
          <w:color w:val="943634" w:themeColor="accent2" w:themeShade="BF"/>
          <w:sz w:val="20"/>
        </w:rPr>
      </w:pPr>
    </w:p>
    <w:p w14:paraId="137C4AC4" w14:textId="77777777" w:rsidR="00A06BE9" w:rsidRPr="00701F32" w:rsidRDefault="00A06BE9" w:rsidP="00A06BE9">
      <w:pPr>
        <w:jc w:val="both"/>
        <w:rPr>
          <w:rFonts w:ascii="Arial" w:hAnsi="Arial" w:cs="Arial"/>
          <w:sz w:val="20"/>
        </w:rPr>
      </w:pPr>
      <w:r w:rsidRPr="00701F32">
        <w:rPr>
          <w:rFonts w:ascii="Arial" w:eastAsiaTheme="minorHAnsi" w:hAnsi="Arial" w:cs="Arial"/>
          <w:sz w:val="20"/>
        </w:rPr>
        <w:t>Los activos mantenidos por el Banco en su rol de fiduciario, no se informan en el estado consolidado de situación financiera. Las comisiones recibidas de actividades fiduciarias se muestran en ingresos por comisiones.</w:t>
      </w:r>
    </w:p>
    <w:p w14:paraId="61A84202" w14:textId="77777777" w:rsidR="00AF05CB" w:rsidRPr="00701F32" w:rsidRDefault="00AF05CB" w:rsidP="00A06BE9">
      <w:pPr>
        <w:jc w:val="both"/>
        <w:rPr>
          <w:rFonts w:ascii="Arial" w:hAnsi="Arial" w:cs="Arial"/>
          <w:sz w:val="20"/>
        </w:rPr>
      </w:pPr>
    </w:p>
    <w:p w14:paraId="7EA9997D" w14:textId="77777777" w:rsidR="00A06BE9" w:rsidRPr="00701F32" w:rsidRDefault="00A06BE9" w:rsidP="00A06BE9">
      <w:pPr>
        <w:spacing w:after="160" w:line="259" w:lineRule="auto"/>
        <w:jc w:val="both"/>
        <w:rPr>
          <w:rFonts w:ascii="Arial" w:eastAsia="Arial" w:hAnsi="Arial" w:cs="Arial"/>
          <w:color w:val="FF0000"/>
          <w:sz w:val="20"/>
        </w:rPr>
      </w:pPr>
      <w:r w:rsidRPr="00701F32">
        <w:rPr>
          <w:rFonts w:ascii="Arial" w:eastAsia="Arial" w:hAnsi="Arial" w:cs="Arial"/>
          <w:b/>
          <w:sz w:val="20"/>
        </w:rPr>
        <w:t xml:space="preserve">1.19 Compensación  </w:t>
      </w:r>
    </w:p>
    <w:p w14:paraId="4B72587B"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Los activos y pasivos financieros se compensan informando el importe neto en el estado de situación financiera consolidado solo cuando existe un derecho exigible legalmente para compensar los importes reconocidos, y existe la intención de liquidar en términos netos o realizar el activo y liquidar la responsabilidad simultáneamente.</w:t>
      </w:r>
    </w:p>
    <w:p w14:paraId="7CB93B20" w14:textId="77777777" w:rsidR="00A06BE9" w:rsidRPr="00701F32" w:rsidRDefault="00A06BE9" w:rsidP="00A06BE9">
      <w:pPr>
        <w:spacing w:after="160" w:line="259" w:lineRule="auto"/>
        <w:jc w:val="both"/>
        <w:rPr>
          <w:rFonts w:ascii="Arial" w:eastAsia="Arial" w:hAnsi="Arial" w:cs="Arial"/>
          <w:b/>
          <w:sz w:val="20"/>
        </w:rPr>
      </w:pPr>
      <w:r w:rsidRPr="00701F32">
        <w:rPr>
          <w:rFonts w:ascii="Arial" w:eastAsia="Arial" w:hAnsi="Arial" w:cs="Arial"/>
          <w:b/>
          <w:sz w:val="20"/>
        </w:rPr>
        <w:t xml:space="preserve">1.20 Financiaciones recibidas del B.C.R.A. y otras Instituciones Financieras </w:t>
      </w:r>
    </w:p>
    <w:p w14:paraId="691E2FA9"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Los montos adeudados a otras entidades financieras son registrados en el momento en que el capital es adelantado al banco por la entidad bancaria</w:t>
      </w:r>
      <w:r w:rsidRPr="00701F32">
        <w:rPr>
          <w:rFonts w:ascii="Arial" w:eastAsia="Arial" w:hAnsi="Arial" w:cs="Arial"/>
          <w:color w:val="FF0000"/>
          <w:sz w:val="20"/>
        </w:rPr>
        <w:t xml:space="preserve">. </w:t>
      </w:r>
      <w:r w:rsidRPr="00701F32">
        <w:rPr>
          <w:rFonts w:ascii="Arial" w:eastAsia="Arial" w:hAnsi="Arial" w:cs="Arial"/>
          <w:sz w:val="20"/>
        </w:rPr>
        <w:t xml:space="preserve">El pasivo financiero no derivado es medido a costo amortizado. En el caso que el grupo recompre la deuda propia, esta es eliminada de los estados financieros consolidados condensados intermedios y la diferencia entre el valor residual del pasivo financiero y el monto pagado es reconocido como un ingreso o egreso financiero. </w:t>
      </w:r>
    </w:p>
    <w:p w14:paraId="01276CCF" w14:textId="77777777" w:rsidR="00AF05CB" w:rsidRPr="00701F32" w:rsidRDefault="00AF05CB" w:rsidP="00A06BE9">
      <w:pPr>
        <w:spacing w:line="259" w:lineRule="auto"/>
        <w:jc w:val="both"/>
        <w:rPr>
          <w:rFonts w:ascii="Arial" w:eastAsia="Arial" w:hAnsi="Arial" w:cs="Arial"/>
          <w:b/>
          <w:sz w:val="20"/>
        </w:rPr>
      </w:pPr>
    </w:p>
    <w:p w14:paraId="09355F5D" w14:textId="0934ABE4" w:rsidR="00A06BE9" w:rsidRPr="00701F32" w:rsidRDefault="00A06BE9" w:rsidP="00A06BE9">
      <w:pPr>
        <w:spacing w:line="259" w:lineRule="auto"/>
        <w:jc w:val="both"/>
        <w:rPr>
          <w:rFonts w:ascii="Arial" w:eastAsia="Arial" w:hAnsi="Arial" w:cs="Arial"/>
          <w:b/>
          <w:sz w:val="20"/>
        </w:rPr>
      </w:pPr>
      <w:r w:rsidRPr="00701F32">
        <w:rPr>
          <w:rFonts w:ascii="Arial" w:eastAsia="Arial" w:hAnsi="Arial" w:cs="Arial"/>
          <w:b/>
          <w:sz w:val="20"/>
        </w:rPr>
        <w:t xml:space="preserve">1.21 Provisiones / Contingencias </w:t>
      </w:r>
    </w:p>
    <w:p w14:paraId="5F98274F" w14:textId="77777777" w:rsidR="00A06BE9" w:rsidRPr="00701F32" w:rsidRDefault="00A06BE9" w:rsidP="00A06BE9">
      <w:pPr>
        <w:spacing w:line="259" w:lineRule="auto"/>
        <w:jc w:val="both"/>
        <w:rPr>
          <w:rFonts w:ascii="Arial" w:eastAsia="Arial" w:hAnsi="Arial" w:cs="Arial"/>
          <w:b/>
          <w:sz w:val="20"/>
        </w:rPr>
      </w:pPr>
    </w:p>
    <w:p w14:paraId="6B28E833" w14:textId="77777777" w:rsidR="00A06BE9" w:rsidRPr="00701F32" w:rsidRDefault="00A06BE9" w:rsidP="00A06BE9">
      <w:pPr>
        <w:jc w:val="both"/>
        <w:rPr>
          <w:rFonts w:ascii="Arial" w:hAnsi="Arial" w:cs="Arial"/>
          <w:sz w:val="20"/>
        </w:rPr>
      </w:pPr>
      <w:r w:rsidRPr="00701F32">
        <w:rPr>
          <w:rFonts w:ascii="Arial" w:hAnsi="Arial" w:cs="Arial"/>
          <w:sz w:val="20"/>
        </w:rPr>
        <w:t>De acuerdo a las Normas contables adoptadas por el BCRA, una Entidad tendrá una provisión si:</w:t>
      </w:r>
    </w:p>
    <w:p w14:paraId="1B60D8F3" w14:textId="77777777" w:rsidR="00A06BE9" w:rsidRPr="00701F32" w:rsidRDefault="00A06BE9" w:rsidP="00A06BE9">
      <w:pPr>
        <w:jc w:val="both"/>
        <w:rPr>
          <w:rFonts w:ascii="Arial" w:hAnsi="Arial" w:cs="Arial"/>
          <w:sz w:val="20"/>
        </w:rPr>
      </w:pPr>
    </w:p>
    <w:p w14:paraId="6D6FB5D2" w14:textId="77777777" w:rsidR="00A06BE9" w:rsidRPr="00701F32" w:rsidRDefault="00A06BE9" w:rsidP="00A06BE9">
      <w:pPr>
        <w:numPr>
          <w:ilvl w:val="0"/>
          <w:numId w:val="53"/>
        </w:numPr>
        <w:spacing w:after="160" w:line="259" w:lineRule="auto"/>
        <w:contextualSpacing/>
        <w:jc w:val="both"/>
        <w:rPr>
          <w:rFonts w:ascii="Arial" w:hAnsi="Arial" w:cs="Arial"/>
          <w:sz w:val="20"/>
        </w:rPr>
      </w:pPr>
      <w:r w:rsidRPr="00701F32">
        <w:rPr>
          <w:rFonts w:ascii="Arial" w:hAnsi="Arial" w:cs="Arial"/>
          <w:sz w:val="20"/>
        </w:rPr>
        <w:t>Posee una obligación presente (legal o implícita) como consecuencia de un suceso pasado;</w:t>
      </w:r>
    </w:p>
    <w:p w14:paraId="719F276E" w14:textId="77777777" w:rsidR="00A06BE9" w:rsidRPr="00701F32" w:rsidRDefault="00A06BE9" w:rsidP="00A06BE9">
      <w:pPr>
        <w:numPr>
          <w:ilvl w:val="0"/>
          <w:numId w:val="53"/>
        </w:numPr>
        <w:spacing w:after="160" w:line="259" w:lineRule="auto"/>
        <w:contextualSpacing/>
        <w:jc w:val="both"/>
        <w:rPr>
          <w:rFonts w:ascii="Arial" w:hAnsi="Arial" w:cs="Arial"/>
          <w:sz w:val="20"/>
        </w:rPr>
      </w:pPr>
      <w:r w:rsidRPr="00701F32">
        <w:rPr>
          <w:rFonts w:ascii="Arial" w:hAnsi="Arial" w:cs="Arial"/>
          <w:sz w:val="20"/>
        </w:rPr>
        <w:t xml:space="preserve">Es probable que la Entidad tenga que desprenderse de recursos que incorporen beneficios económicos futuros para cancelar tal obligación; y </w:t>
      </w:r>
    </w:p>
    <w:p w14:paraId="01B8A7C4" w14:textId="77777777" w:rsidR="00A06BE9" w:rsidRPr="00701F32" w:rsidRDefault="00A06BE9" w:rsidP="00A06BE9">
      <w:pPr>
        <w:numPr>
          <w:ilvl w:val="0"/>
          <w:numId w:val="53"/>
        </w:numPr>
        <w:spacing w:after="160" w:line="259" w:lineRule="auto"/>
        <w:contextualSpacing/>
        <w:jc w:val="both"/>
        <w:rPr>
          <w:rFonts w:ascii="Arial" w:hAnsi="Arial" w:cs="Arial"/>
          <w:sz w:val="20"/>
        </w:rPr>
      </w:pPr>
      <w:r w:rsidRPr="00701F32">
        <w:rPr>
          <w:rFonts w:ascii="Arial" w:hAnsi="Arial" w:cs="Arial"/>
          <w:sz w:val="20"/>
        </w:rPr>
        <w:t>Puede hacerse una estimación fiable del importe de la obligación.</w:t>
      </w:r>
    </w:p>
    <w:p w14:paraId="2408C6F9" w14:textId="77777777" w:rsidR="00A06BE9" w:rsidRPr="00701F32" w:rsidRDefault="00A06BE9" w:rsidP="00A06BE9">
      <w:pPr>
        <w:ind w:left="720"/>
        <w:contextualSpacing/>
        <w:jc w:val="both"/>
        <w:rPr>
          <w:rFonts w:ascii="Arial" w:hAnsi="Arial" w:cs="Arial"/>
          <w:sz w:val="20"/>
        </w:rPr>
      </w:pPr>
    </w:p>
    <w:p w14:paraId="7FC5FDD8" w14:textId="77777777" w:rsidR="00A06BE9" w:rsidRPr="00701F32" w:rsidRDefault="00A06BE9" w:rsidP="00A06BE9">
      <w:pPr>
        <w:spacing w:line="259" w:lineRule="auto"/>
        <w:jc w:val="both"/>
        <w:rPr>
          <w:rFonts w:ascii="Arial" w:hAnsi="Arial" w:cs="Arial"/>
          <w:sz w:val="20"/>
        </w:rPr>
      </w:pPr>
      <w:r w:rsidRPr="00701F32">
        <w:rPr>
          <w:rFonts w:ascii="Arial" w:hAnsi="Arial" w:cs="Arial"/>
          <w:sz w:val="20"/>
        </w:rPr>
        <w:t>Se entenderá que una Entidad tiene una obligación implícita si (a) como consecuencia de prácticas anteriores o políticas públicas el grupo ha asumido ciertas responsabilidades y (b) como resultado, ha creado expectativas de que va a cumplir con esas obligaciones.</w:t>
      </w:r>
    </w:p>
    <w:p w14:paraId="69A851EF" w14:textId="77777777" w:rsidR="00A06BE9" w:rsidRPr="00701F32" w:rsidRDefault="00A06BE9" w:rsidP="00A06BE9">
      <w:pPr>
        <w:spacing w:line="259" w:lineRule="auto"/>
        <w:jc w:val="both"/>
        <w:rPr>
          <w:rFonts w:ascii="Arial" w:eastAsia="Arial" w:hAnsi="Arial" w:cs="Arial"/>
          <w:sz w:val="20"/>
        </w:rPr>
      </w:pPr>
    </w:p>
    <w:p w14:paraId="795C316F" w14:textId="77777777" w:rsidR="00A06BE9" w:rsidRPr="00701F32" w:rsidRDefault="00A06BE9" w:rsidP="00A06BE9">
      <w:pPr>
        <w:spacing w:line="259" w:lineRule="auto"/>
        <w:jc w:val="both"/>
        <w:rPr>
          <w:rFonts w:ascii="Arial" w:eastAsia="Arial" w:hAnsi="Arial" w:cs="Arial"/>
          <w:sz w:val="20"/>
        </w:rPr>
      </w:pPr>
      <w:r w:rsidRPr="00701F32">
        <w:rPr>
          <w:rFonts w:ascii="Arial" w:eastAsia="Arial" w:hAnsi="Arial" w:cs="Arial"/>
          <w:sz w:val="20"/>
        </w:rPr>
        <w:t>El Banco reconoce las siguientes provisiones:</w:t>
      </w:r>
    </w:p>
    <w:p w14:paraId="60E179F1" w14:textId="77777777" w:rsidR="00A06BE9" w:rsidRPr="00701F32" w:rsidRDefault="00A06BE9" w:rsidP="00A06BE9">
      <w:pPr>
        <w:spacing w:line="259" w:lineRule="auto"/>
        <w:jc w:val="both"/>
        <w:rPr>
          <w:rFonts w:ascii="Arial" w:eastAsia="Arial" w:hAnsi="Arial" w:cs="Arial"/>
          <w:sz w:val="20"/>
        </w:rPr>
      </w:pPr>
    </w:p>
    <w:p w14:paraId="450FEDE3" w14:textId="77777777" w:rsidR="00A06BE9" w:rsidRPr="00701F32" w:rsidRDefault="00A06BE9" w:rsidP="00A06BE9">
      <w:pPr>
        <w:spacing w:line="259" w:lineRule="auto"/>
        <w:jc w:val="both"/>
        <w:rPr>
          <w:rFonts w:ascii="Arial" w:eastAsia="Arial" w:hAnsi="Arial" w:cs="Arial"/>
          <w:sz w:val="20"/>
        </w:rPr>
      </w:pPr>
      <w:r w:rsidRPr="00701F32">
        <w:rPr>
          <w:rFonts w:ascii="Arial" w:eastAsia="Arial" w:hAnsi="Arial" w:cs="Arial"/>
          <w:sz w:val="20"/>
        </w:rPr>
        <w:t>Para juicios laborales, civiles y comerciales: se determinan en base a los informes de los abogados acerca del estado de los juicios y la estimación efectuada sobre las posibilidades de quebrantos a afrontar por el banco, así como en la experiencia pasada respecto a este tipo de juicios.</w:t>
      </w:r>
    </w:p>
    <w:p w14:paraId="0F26076B" w14:textId="77777777" w:rsidR="00A06BE9" w:rsidRPr="00701F32" w:rsidRDefault="00A06BE9" w:rsidP="00A06BE9">
      <w:pPr>
        <w:spacing w:line="259" w:lineRule="auto"/>
        <w:jc w:val="both"/>
        <w:rPr>
          <w:rFonts w:ascii="Arial" w:eastAsia="Arial" w:hAnsi="Arial" w:cs="Arial"/>
          <w:sz w:val="20"/>
        </w:rPr>
      </w:pPr>
    </w:p>
    <w:p w14:paraId="40F74134" w14:textId="77777777" w:rsidR="00A06BE9" w:rsidRPr="00701F32" w:rsidRDefault="00A06BE9" w:rsidP="00A06BE9">
      <w:pPr>
        <w:spacing w:line="259" w:lineRule="auto"/>
        <w:jc w:val="both"/>
        <w:rPr>
          <w:rFonts w:ascii="Arial" w:eastAsia="Arial" w:hAnsi="Arial" w:cs="Arial"/>
          <w:sz w:val="20"/>
        </w:rPr>
      </w:pPr>
      <w:r w:rsidRPr="00701F32">
        <w:rPr>
          <w:rFonts w:ascii="Arial" w:eastAsia="Arial" w:hAnsi="Arial" w:cs="Arial"/>
          <w:sz w:val="20"/>
        </w:rPr>
        <w:t>Para riesgos diversos: se constituyen para afrontar situaciones contingentes que podrían originar obligaciones para el banco. En la estimación de los montos se considera la probabilidad de su concreción tomando en cuenta la opinión de los asesores legales y profesionales del banco.</w:t>
      </w:r>
    </w:p>
    <w:p w14:paraId="688D3D9B" w14:textId="77777777" w:rsidR="00A06BE9" w:rsidRPr="00701F32" w:rsidRDefault="00A06BE9" w:rsidP="00A06BE9">
      <w:pPr>
        <w:spacing w:line="259" w:lineRule="auto"/>
        <w:jc w:val="both"/>
        <w:rPr>
          <w:rFonts w:ascii="Arial" w:eastAsia="Arial" w:hAnsi="Arial" w:cs="Arial"/>
          <w:sz w:val="20"/>
        </w:rPr>
      </w:pPr>
    </w:p>
    <w:p w14:paraId="0D815BB9" w14:textId="77777777" w:rsidR="00A06BE9" w:rsidRPr="00701F32" w:rsidRDefault="00A06BE9" w:rsidP="00A06BE9">
      <w:pPr>
        <w:spacing w:line="259" w:lineRule="auto"/>
        <w:jc w:val="both"/>
        <w:rPr>
          <w:rFonts w:ascii="Arial" w:eastAsia="Arial" w:hAnsi="Arial" w:cs="Arial"/>
          <w:sz w:val="20"/>
        </w:rPr>
      </w:pPr>
      <w:r w:rsidRPr="00701F32">
        <w:rPr>
          <w:rFonts w:ascii="Arial" w:eastAsia="Arial" w:hAnsi="Arial" w:cs="Arial"/>
          <w:sz w:val="20"/>
        </w:rPr>
        <w:t>Para beneficios al personal: Se constituyen provisiones relacionadas con los planes de prejubilaciones y por los beneficios relacionados con premios a la trayectoria.</w:t>
      </w:r>
    </w:p>
    <w:p w14:paraId="78056119" w14:textId="77777777" w:rsidR="00A06BE9" w:rsidRPr="00701F32" w:rsidRDefault="00A06BE9" w:rsidP="00A06BE9">
      <w:pPr>
        <w:spacing w:line="259" w:lineRule="auto"/>
        <w:jc w:val="both"/>
        <w:rPr>
          <w:rFonts w:ascii="Arial" w:eastAsia="Arial" w:hAnsi="Arial" w:cs="Arial"/>
          <w:sz w:val="20"/>
        </w:rPr>
      </w:pPr>
      <w:r w:rsidRPr="00701F32">
        <w:rPr>
          <w:rFonts w:ascii="Arial" w:eastAsia="Arial" w:hAnsi="Arial" w:cs="Arial"/>
          <w:sz w:val="20"/>
        </w:rPr>
        <w:t>Las provisiones se miden al valor presente de los desembolsos que se espera se requerirán para cancelar la obligación utilizando una tasa de interés antes de impuestos que refleje las actuales condiciones del mercado sobre el valor del dinero y los riesgos específicos para dicha obligación. El incremento en la provisión por el paso del tiempo se reconoce en el rubro resultados financieros netos del estado de resultado integral consolidado.</w:t>
      </w:r>
    </w:p>
    <w:p w14:paraId="016AF013" w14:textId="77777777" w:rsidR="00A06BE9" w:rsidRPr="00701F32" w:rsidRDefault="00A06BE9" w:rsidP="00A06BE9">
      <w:pPr>
        <w:spacing w:line="259" w:lineRule="auto"/>
        <w:jc w:val="both"/>
        <w:rPr>
          <w:rFonts w:ascii="Arial" w:eastAsia="Arial" w:hAnsi="Arial" w:cs="Arial"/>
          <w:color w:val="0070C0"/>
          <w:sz w:val="20"/>
        </w:rPr>
      </w:pPr>
    </w:p>
    <w:p w14:paraId="7E88C345" w14:textId="77777777" w:rsidR="00A06BE9" w:rsidRPr="00701F32" w:rsidRDefault="00A06BE9" w:rsidP="00A06BE9">
      <w:pPr>
        <w:jc w:val="both"/>
        <w:rPr>
          <w:rFonts w:ascii="Arial" w:hAnsi="Arial" w:cs="Arial"/>
          <w:sz w:val="20"/>
        </w:rPr>
      </w:pPr>
      <w:r w:rsidRPr="00701F32">
        <w:rPr>
          <w:rFonts w:ascii="Arial" w:hAnsi="Arial" w:cs="Arial"/>
          <w:sz w:val="20"/>
        </w:rPr>
        <w:t>El Banco no contabilizará las contingencias positivas, exceptuando las derivadas de impuestos diferidos y aquellas cuya concreción sea virtualmente segura.</w:t>
      </w:r>
    </w:p>
    <w:p w14:paraId="5FB81B03" w14:textId="77777777" w:rsidR="00A06BE9" w:rsidRPr="00701F32" w:rsidRDefault="00A06BE9" w:rsidP="00A06BE9">
      <w:pPr>
        <w:spacing w:line="259" w:lineRule="auto"/>
        <w:jc w:val="both"/>
        <w:rPr>
          <w:rFonts w:ascii="Arial" w:eastAsia="Arial" w:hAnsi="Arial" w:cs="Arial"/>
          <w:sz w:val="20"/>
        </w:rPr>
      </w:pPr>
    </w:p>
    <w:p w14:paraId="34F12B84" w14:textId="77777777" w:rsidR="00A06BE9" w:rsidRPr="00701F32" w:rsidRDefault="00A06BE9" w:rsidP="00A06BE9">
      <w:pPr>
        <w:jc w:val="both"/>
        <w:rPr>
          <w:rFonts w:ascii="Arial" w:eastAsia="Arial" w:hAnsi="Arial" w:cs="Arial"/>
          <w:sz w:val="20"/>
        </w:rPr>
      </w:pPr>
      <w:r w:rsidRPr="00701F32">
        <w:rPr>
          <w:rFonts w:ascii="Arial" w:eastAsia="Arial" w:hAnsi="Arial" w:cs="Arial"/>
          <w:sz w:val="20"/>
        </w:rPr>
        <w:t xml:space="preserve">A la fecha de emisión de los presentes estados financieros consolidados condensados intermedios, la Dirección del Banco entiende que no se han presentado elementos que permitan determinar la existencia de otras contingencias que puedan materializarse y generar un impacto negativo en los presentes estados financieros consolidados condensados intermedios que las detalladas en la Nota </w:t>
      </w:r>
      <w:r w:rsidR="00A12FAC" w:rsidRPr="00701F32">
        <w:rPr>
          <w:rFonts w:ascii="Arial" w:eastAsia="Arial" w:hAnsi="Arial" w:cs="Arial"/>
          <w:sz w:val="20"/>
        </w:rPr>
        <w:t>12</w:t>
      </w:r>
      <w:r w:rsidRPr="00701F32">
        <w:rPr>
          <w:rFonts w:ascii="Arial" w:eastAsia="Arial" w:hAnsi="Arial" w:cs="Arial"/>
          <w:sz w:val="20"/>
        </w:rPr>
        <w:t>.</w:t>
      </w:r>
    </w:p>
    <w:p w14:paraId="028B1F74" w14:textId="77777777" w:rsidR="00F17F39" w:rsidRPr="00701F32" w:rsidRDefault="00F17F39" w:rsidP="00A06BE9">
      <w:pPr>
        <w:jc w:val="both"/>
        <w:rPr>
          <w:rFonts w:ascii="Arial" w:eastAsia="Arial" w:hAnsi="Arial" w:cs="Arial"/>
          <w:sz w:val="20"/>
        </w:rPr>
      </w:pPr>
    </w:p>
    <w:p w14:paraId="7E8A39FF" w14:textId="77777777" w:rsidR="00A06BE9" w:rsidRPr="00701F32" w:rsidRDefault="00A06BE9" w:rsidP="00A06BE9">
      <w:pPr>
        <w:spacing w:after="160" w:line="259" w:lineRule="auto"/>
        <w:jc w:val="both"/>
        <w:rPr>
          <w:rFonts w:ascii="Arial" w:eastAsiaTheme="minorHAnsi" w:hAnsi="Arial" w:cs="Arial"/>
          <w:sz w:val="20"/>
        </w:rPr>
      </w:pPr>
      <w:r w:rsidRPr="00701F32">
        <w:rPr>
          <w:rFonts w:ascii="Arial" w:eastAsiaTheme="minorHAnsi" w:hAnsi="Arial" w:cs="Arial"/>
          <w:b/>
          <w:sz w:val="20"/>
        </w:rPr>
        <w:t>1.22 Otros pasivos no financieros</w:t>
      </w:r>
    </w:p>
    <w:p w14:paraId="17DFE16D" w14:textId="77777777" w:rsidR="00A06BE9" w:rsidRPr="00701F32" w:rsidRDefault="00A06BE9" w:rsidP="00A06BE9">
      <w:pPr>
        <w:spacing w:after="160" w:line="259" w:lineRule="auto"/>
        <w:jc w:val="both"/>
        <w:rPr>
          <w:rFonts w:ascii="Arial" w:eastAsiaTheme="minorHAnsi" w:hAnsi="Arial" w:cs="Arial"/>
          <w:sz w:val="20"/>
        </w:rPr>
      </w:pPr>
      <w:r w:rsidRPr="00701F32">
        <w:rPr>
          <w:rFonts w:ascii="Arial" w:eastAsiaTheme="minorHAnsi" w:hAnsi="Arial" w:cs="Arial"/>
          <w:sz w:val="20"/>
        </w:rPr>
        <w:t>Las cuentas por pagar no financieras se devengan cuando la contraparte ha cumplido con sus obligaciones comprometidas en el contrato y se valúan a costo amortizado.</w:t>
      </w:r>
    </w:p>
    <w:p w14:paraId="02D7DAC2" w14:textId="77777777" w:rsidR="00A06BE9" w:rsidRPr="00701F32" w:rsidRDefault="00A06BE9" w:rsidP="00A06BE9">
      <w:pPr>
        <w:spacing w:after="160" w:line="259" w:lineRule="auto"/>
        <w:jc w:val="both"/>
        <w:rPr>
          <w:rFonts w:ascii="Arial" w:eastAsiaTheme="minorHAnsi" w:hAnsi="Arial" w:cs="Arial"/>
          <w:sz w:val="20"/>
        </w:rPr>
      </w:pPr>
      <w:r w:rsidRPr="00701F32">
        <w:rPr>
          <w:rFonts w:ascii="Arial" w:eastAsiaTheme="minorHAnsi" w:hAnsi="Arial" w:cs="Arial"/>
          <w:b/>
          <w:sz w:val="20"/>
        </w:rPr>
        <w:t xml:space="preserve">1.23 Obligaciones Negociables emitidas </w:t>
      </w:r>
    </w:p>
    <w:p w14:paraId="2DEFF4E2" w14:textId="77777777" w:rsidR="00A06BE9" w:rsidRPr="00701F32" w:rsidRDefault="00A06BE9" w:rsidP="00A06BE9">
      <w:pPr>
        <w:spacing w:after="160" w:line="259" w:lineRule="auto"/>
        <w:jc w:val="both"/>
        <w:rPr>
          <w:rFonts w:ascii="Arial" w:eastAsiaTheme="minorHAnsi" w:hAnsi="Arial" w:cs="Arial"/>
          <w:sz w:val="20"/>
        </w:rPr>
      </w:pPr>
      <w:r w:rsidRPr="00701F32">
        <w:rPr>
          <w:rFonts w:ascii="Arial" w:eastAsiaTheme="minorHAnsi" w:hAnsi="Arial" w:cs="Arial"/>
          <w:sz w:val="20"/>
        </w:rPr>
        <w:t>Las obligaciones negociables subordinadas y no subordinadas emitidas por la Entidad son medidas a costo amortizado. En el caso que el Banco compre obligaciones negociables propias, las mismas son eliminadas de los estados financieros consolidados condensados intermedios y la diferencia entre el valor residual del pasivo financiero y el pago de las mismas es incluida en el Estado de Resultados Integral como un ingreso por cancelación anticipada de deuda.</w:t>
      </w:r>
    </w:p>
    <w:p w14:paraId="6992429D" w14:textId="77777777" w:rsidR="00A06BE9" w:rsidRPr="00701F32" w:rsidRDefault="00A06BE9" w:rsidP="00A06BE9">
      <w:pPr>
        <w:spacing w:after="160" w:line="259" w:lineRule="auto"/>
        <w:jc w:val="both"/>
        <w:rPr>
          <w:rFonts w:ascii="Arial" w:eastAsia="Calibri" w:hAnsi="Arial" w:cs="Arial"/>
          <w:b/>
          <w:sz w:val="20"/>
        </w:rPr>
      </w:pPr>
      <w:r w:rsidRPr="00701F32">
        <w:rPr>
          <w:rFonts w:ascii="Arial" w:eastAsiaTheme="minorHAnsi" w:hAnsi="Arial" w:cs="Arial"/>
          <w:sz w:val="20"/>
        </w:rPr>
        <w:t>Para mayor información sobre las emisiones de deuda de la entidad ver nota 1</w:t>
      </w:r>
      <w:r w:rsidR="006E483D" w:rsidRPr="00701F32">
        <w:rPr>
          <w:rFonts w:ascii="Arial" w:eastAsiaTheme="minorHAnsi" w:hAnsi="Arial" w:cs="Arial"/>
          <w:sz w:val="20"/>
        </w:rPr>
        <w:t>5</w:t>
      </w:r>
      <w:r w:rsidRPr="00701F32">
        <w:rPr>
          <w:rFonts w:ascii="Arial" w:eastAsiaTheme="minorHAnsi" w:hAnsi="Arial" w:cs="Arial"/>
          <w:sz w:val="20"/>
        </w:rPr>
        <w:t>.8 Emisión de Obligaciones Negociables.</w:t>
      </w:r>
    </w:p>
    <w:p w14:paraId="7FE95359" w14:textId="77777777" w:rsidR="00A06BE9" w:rsidRPr="00701F32" w:rsidRDefault="00A06BE9" w:rsidP="00E311C9">
      <w:pPr>
        <w:rPr>
          <w:rFonts w:ascii="Arial" w:eastAsia="Calibri" w:hAnsi="Arial" w:cs="Arial"/>
          <w:b/>
          <w:sz w:val="20"/>
        </w:rPr>
      </w:pPr>
      <w:r w:rsidRPr="00701F32">
        <w:rPr>
          <w:rFonts w:ascii="Arial" w:eastAsia="Calibri" w:hAnsi="Arial" w:cs="Arial"/>
          <w:b/>
          <w:sz w:val="20"/>
        </w:rPr>
        <w:t xml:space="preserve">1.24 Capital social y ajustes de capital </w:t>
      </w:r>
    </w:p>
    <w:p w14:paraId="7DD61D46" w14:textId="77777777" w:rsidR="00061D27" w:rsidRPr="00701F32" w:rsidRDefault="00061D27" w:rsidP="00E311C9">
      <w:pPr>
        <w:rPr>
          <w:rFonts w:ascii="Arial" w:eastAsia="Calibri" w:hAnsi="Arial" w:cs="Arial"/>
          <w:b/>
          <w:color w:val="C45911"/>
          <w:szCs w:val="22"/>
        </w:rPr>
      </w:pPr>
    </w:p>
    <w:p w14:paraId="352F6735" w14:textId="77777777" w:rsidR="00A06BE9" w:rsidRPr="00701F32" w:rsidRDefault="00A06BE9" w:rsidP="00A06BE9">
      <w:pPr>
        <w:spacing w:line="259" w:lineRule="auto"/>
        <w:jc w:val="both"/>
        <w:rPr>
          <w:rFonts w:ascii="Arial" w:eastAsia="Calibri" w:hAnsi="Arial" w:cs="Arial"/>
          <w:sz w:val="20"/>
        </w:rPr>
      </w:pPr>
      <w:r w:rsidRPr="00701F32">
        <w:rPr>
          <w:rFonts w:ascii="Arial" w:eastAsia="Calibri" w:hAnsi="Arial" w:cs="Arial"/>
          <w:sz w:val="20"/>
        </w:rPr>
        <w:t xml:space="preserve">Las cuentas integrantes de este rubro se expresan en moneda que no ha contemplado la variación del índice de precios desde el mes de febrero de 2003, excepto el rubro "Capital Social", el cual se ha mantenido por su valor nominal. </w:t>
      </w:r>
    </w:p>
    <w:p w14:paraId="7697290D" w14:textId="77777777" w:rsidR="00A06BE9" w:rsidRPr="00701F32" w:rsidRDefault="00A06BE9" w:rsidP="00A06BE9">
      <w:pPr>
        <w:spacing w:line="259" w:lineRule="auto"/>
        <w:jc w:val="both"/>
        <w:rPr>
          <w:rFonts w:ascii="Arial" w:eastAsia="Calibri" w:hAnsi="Arial" w:cs="Arial"/>
          <w:sz w:val="20"/>
        </w:rPr>
      </w:pPr>
    </w:p>
    <w:p w14:paraId="200EDEE5" w14:textId="77777777" w:rsidR="00A06BE9" w:rsidRPr="00701F32" w:rsidRDefault="00A06BE9" w:rsidP="00A06BE9">
      <w:pPr>
        <w:spacing w:line="259" w:lineRule="auto"/>
        <w:jc w:val="both"/>
        <w:rPr>
          <w:rFonts w:ascii="Arial" w:eastAsia="Calibri" w:hAnsi="Arial" w:cs="Arial"/>
          <w:color w:val="FF0000"/>
          <w:sz w:val="20"/>
        </w:rPr>
      </w:pPr>
      <w:r w:rsidRPr="00701F32">
        <w:rPr>
          <w:rFonts w:ascii="Arial" w:eastAsia="Calibri" w:hAnsi="Arial" w:cs="Arial"/>
          <w:sz w:val="20"/>
        </w:rPr>
        <w:t xml:space="preserve">Las acciones ordinarias se clasifican en el patrimonio neto y se mantienen registradas a su valor nominal. </w:t>
      </w:r>
    </w:p>
    <w:p w14:paraId="5433B298" w14:textId="77777777" w:rsidR="00701F32" w:rsidRDefault="00701F32" w:rsidP="00A06BE9">
      <w:pPr>
        <w:spacing w:after="160" w:line="259" w:lineRule="auto"/>
        <w:jc w:val="both"/>
        <w:rPr>
          <w:rFonts w:ascii="Arial" w:eastAsia="Arial" w:hAnsi="Arial" w:cs="Arial"/>
          <w:b/>
          <w:sz w:val="20"/>
        </w:rPr>
      </w:pPr>
    </w:p>
    <w:p w14:paraId="414D86CA" w14:textId="0C4F2B10" w:rsidR="00A06BE9" w:rsidRPr="00701F32" w:rsidRDefault="00A06BE9" w:rsidP="00A06BE9">
      <w:pPr>
        <w:spacing w:after="160" w:line="259" w:lineRule="auto"/>
        <w:jc w:val="both"/>
        <w:rPr>
          <w:rFonts w:ascii="Arial" w:eastAsia="Arial" w:hAnsi="Arial" w:cs="Arial"/>
          <w:b/>
          <w:color w:val="BF8800"/>
          <w:sz w:val="20"/>
        </w:rPr>
      </w:pPr>
      <w:r w:rsidRPr="00701F32">
        <w:rPr>
          <w:rFonts w:ascii="Arial" w:eastAsia="Arial" w:hAnsi="Arial" w:cs="Arial"/>
          <w:b/>
          <w:sz w:val="20"/>
        </w:rPr>
        <w:t xml:space="preserve">1.25 Ganancias </w:t>
      </w:r>
      <w:r w:rsidR="0032760F" w:rsidRPr="00701F32">
        <w:rPr>
          <w:rFonts w:ascii="Arial" w:eastAsia="Arial" w:hAnsi="Arial" w:cs="Arial"/>
          <w:b/>
          <w:sz w:val="20"/>
        </w:rPr>
        <w:t xml:space="preserve">reservadas </w:t>
      </w:r>
      <w:r w:rsidRPr="00701F32">
        <w:rPr>
          <w:rFonts w:ascii="Arial" w:eastAsia="Arial" w:hAnsi="Arial" w:cs="Arial"/>
          <w:b/>
          <w:sz w:val="20"/>
        </w:rPr>
        <w:t>y distribución de dividendos</w:t>
      </w:r>
    </w:p>
    <w:p w14:paraId="5638BE3C" w14:textId="56C906D6" w:rsidR="00A06BE9" w:rsidRPr="00701F32" w:rsidRDefault="00A06BE9" w:rsidP="00A06BE9">
      <w:pPr>
        <w:spacing w:line="259" w:lineRule="auto"/>
        <w:jc w:val="both"/>
        <w:rPr>
          <w:rFonts w:ascii="Arial" w:eastAsia="Arial" w:hAnsi="Arial" w:cs="Arial"/>
          <w:b/>
          <w:sz w:val="20"/>
        </w:rPr>
      </w:pPr>
      <w:r w:rsidRPr="00701F32">
        <w:rPr>
          <w:rFonts w:ascii="Arial" w:eastAsia="Arial" w:hAnsi="Arial" w:cs="Arial"/>
          <w:sz w:val="20"/>
        </w:rPr>
        <w:t>Conforme a las regulaciones establecidas por el B.C.R.A., corresponde asignar a reserva legal el 20% de las utilidades del ejercicio netas de los eventuales ajustes de ejercicios anteriores, en caso de corresponder. No</w:t>
      </w:r>
      <w:r w:rsidR="00A22B8F" w:rsidRPr="00701F32">
        <w:rPr>
          <w:rFonts w:ascii="Arial" w:eastAsia="Arial" w:hAnsi="Arial" w:cs="Arial"/>
          <w:sz w:val="20"/>
        </w:rPr>
        <w:t xml:space="preserve"> </w:t>
      </w:r>
      <w:r w:rsidRPr="00701F32">
        <w:rPr>
          <w:rFonts w:ascii="Arial" w:eastAsia="Arial" w:hAnsi="Arial" w:cs="Arial"/>
          <w:sz w:val="20"/>
        </w:rPr>
        <w:t xml:space="preserve">obstante ello, para la distribución de utilidades las entidades deberán regirse por lo estipulado por el B.C.R.A. en el texto ordenado sobre distribución de resultados las Entidades Financieras según lo detallado en nota </w:t>
      </w:r>
      <w:r w:rsidR="003C3074" w:rsidRPr="00701F32">
        <w:rPr>
          <w:rFonts w:ascii="Arial" w:eastAsia="Arial" w:hAnsi="Arial" w:cs="Arial"/>
          <w:sz w:val="20"/>
        </w:rPr>
        <w:t>15</w:t>
      </w:r>
      <w:r w:rsidRPr="00701F32">
        <w:rPr>
          <w:rFonts w:ascii="Arial" w:eastAsia="Arial" w:hAnsi="Arial" w:cs="Arial"/>
          <w:sz w:val="20"/>
        </w:rPr>
        <w:t xml:space="preserve">.9 </w:t>
      </w:r>
      <w:r w:rsidRPr="00701F32">
        <w:rPr>
          <w:rFonts w:ascii="Arial" w:hAnsi="Arial" w:cs="Arial"/>
          <w:sz w:val="20"/>
        </w:rPr>
        <w:t>Restricciones para la distribución de utilidades</w:t>
      </w:r>
    </w:p>
    <w:p w14:paraId="59E6EF3E" w14:textId="77777777" w:rsidR="00A06BE9" w:rsidRPr="00701F32" w:rsidRDefault="00A06BE9" w:rsidP="00A06BE9">
      <w:pPr>
        <w:spacing w:line="259" w:lineRule="auto"/>
        <w:jc w:val="both"/>
        <w:rPr>
          <w:rFonts w:ascii="Arial" w:eastAsia="Arial" w:hAnsi="Arial" w:cs="Arial"/>
          <w:sz w:val="20"/>
        </w:rPr>
      </w:pPr>
    </w:p>
    <w:p w14:paraId="0B750980" w14:textId="77777777" w:rsidR="000425B0" w:rsidRPr="00701F32" w:rsidRDefault="00A06BE9" w:rsidP="00A06BE9">
      <w:pPr>
        <w:spacing w:after="160" w:line="259" w:lineRule="auto"/>
        <w:jc w:val="both"/>
        <w:rPr>
          <w:rFonts w:ascii="Arial" w:hAnsi="Arial" w:cs="Arial"/>
          <w:sz w:val="20"/>
        </w:rPr>
      </w:pPr>
      <w:r w:rsidRPr="00701F32">
        <w:rPr>
          <w:rFonts w:ascii="Arial" w:eastAsia="Arial" w:hAnsi="Arial" w:cs="Arial"/>
          <w:bCs/>
          <w:sz w:val="20"/>
        </w:rPr>
        <w:t>La distribución de dividendos a los accionistas del Banco y sus subsidiarias se reconoce como pasivo en los estados financieros consolidados en el ejercicio en el que los dividendos se aprueban por la Asamblea de Accionistas.</w:t>
      </w:r>
    </w:p>
    <w:p w14:paraId="4D3D876F" w14:textId="7BC386ED" w:rsidR="00A06BE9" w:rsidRPr="00701F32" w:rsidRDefault="00A06BE9" w:rsidP="00A06BE9">
      <w:pPr>
        <w:spacing w:after="160" w:line="259" w:lineRule="auto"/>
        <w:jc w:val="both"/>
        <w:rPr>
          <w:rFonts w:ascii="Arial" w:eastAsia="Calibri" w:hAnsi="Arial" w:cs="Arial"/>
          <w:b/>
          <w:sz w:val="20"/>
        </w:rPr>
      </w:pPr>
      <w:r w:rsidRPr="00701F32">
        <w:rPr>
          <w:rFonts w:ascii="Arial" w:eastAsia="Calibri" w:hAnsi="Arial" w:cs="Arial"/>
          <w:b/>
          <w:sz w:val="20"/>
        </w:rPr>
        <w:t xml:space="preserve">1.26 Reconocimiento de Ingresos </w:t>
      </w:r>
    </w:p>
    <w:p w14:paraId="4C81897C"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Los ingresos y egresos financieros son registrados para todos los instrumentos de deuda de acuerdo al método de la tasa efectiva, por el cual se difieren todos los resultados positivos o negativos que son parte integral de la tasa efectiva de la operación.</w:t>
      </w:r>
    </w:p>
    <w:p w14:paraId="208443EC"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Los resultados que se incluyen dentro de la tasa efectiva incluyen erogaciones o ingresos relacionados con la creación o adquisición de un activo o pasivo financiero, como por ejemplo costos directamente relacionados con la emisión de obligaciones negociables, compensaciones recibidas por el análisis de la condición financiera del cliente, negociación de los términos del instrumento, la preparación y procesamiento de los documentos necesario para concertar la transacción y las compensaciones recibidas por el otorgamiento de acuerdos de crédito que se espera sean utilizados por el cliente. </w:t>
      </w:r>
    </w:p>
    <w:p w14:paraId="0D2E8177"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Cabe destacar que las comisiones que la Entidad percibe por la originación de préstamos sindicados no forma parte de la tasa efectiva del producto, siendo estas reconocidas en el Estado de Resultados en el momento en que el servicio es prestado, siempre y cuando el grupo no retenga parte del mismo o esta sea mantenida en iguales condiciones que el resto de los participantes. Tampoco forman parte de la tasa efectiva las comisiones percibidas por la Entidad por las negociaciones en las transacciones de un tercero son reconocidas en el momento en que se perfeccionan la</w:t>
      </w:r>
      <w:r w:rsidR="0032760F" w:rsidRPr="00701F32">
        <w:rPr>
          <w:rFonts w:ascii="Arial" w:eastAsia="Calibri" w:hAnsi="Arial" w:cs="Arial"/>
          <w:sz w:val="20"/>
        </w:rPr>
        <w:t>s</w:t>
      </w:r>
      <w:r w:rsidRPr="00701F32">
        <w:rPr>
          <w:rFonts w:ascii="Arial" w:eastAsia="Calibri" w:hAnsi="Arial" w:cs="Arial"/>
          <w:sz w:val="20"/>
        </w:rPr>
        <w:t xml:space="preserve"> mismas.</w:t>
      </w:r>
    </w:p>
    <w:p w14:paraId="4C2965B5"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 xml:space="preserve">Los ingresos por servicios del </w:t>
      </w:r>
      <w:r w:rsidR="005F3D43" w:rsidRPr="00701F32">
        <w:rPr>
          <w:rFonts w:ascii="Arial" w:eastAsia="Calibri" w:hAnsi="Arial" w:cs="Arial"/>
          <w:sz w:val="20"/>
        </w:rPr>
        <w:t xml:space="preserve">Banco </w:t>
      </w:r>
      <w:r w:rsidRPr="00701F32">
        <w:rPr>
          <w:rFonts w:ascii="Arial" w:eastAsia="Calibri" w:hAnsi="Arial" w:cs="Arial"/>
          <w:sz w:val="20"/>
        </w:rPr>
        <w:t>son reconocidos en el estado de resultados conforme al cumplimiento de las obligaciones de desempeño, difiriendo de esta forma aquellos ingresos relacionados con los programas de fidelización de clientes, los cuales son provisionados en base el valor razonable del punto y su tasa de redención, hasta que los mismos sean canjeados por el cliente y puedan ser reconocidos en los resultados del período.</w:t>
      </w:r>
    </w:p>
    <w:p w14:paraId="1D7708FD" w14:textId="6680A222" w:rsidR="00383619"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Los ingresos por los alquileres de propiedades de inversión se reconocen en el estado de resultado integral consolidado sobre la base del método de línea recta en el plazo del arrendamiento.</w:t>
      </w:r>
    </w:p>
    <w:p w14:paraId="1F52F4F4" w14:textId="77777777" w:rsidR="00701F32" w:rsidRDefault="00701F32" w:rsidP="00A06BE9">
      <w:pPr>
        <w:spacing w:after="200"/>
        <w:jc w:val="both"/>
        <w:rPr>
          <w:rFonts w:ascii="Arial" w:eastAsiaTheme="minorHAnsi" w:hAnsi="Arial" w:cs="Arial"/>
          <w:b/>
          <w:sz w:val="20"/>
        </w:rPr>
      </w:pPr>
    </w:p>
    <w:p w14:paraId="4F87C5B3" w14:textId="77777777" w:rsidR="00701F32" w:rsidRDefault="00701F32" w:rsidP="00A06BE9">
      <w:pPr>
        <w:spacing w:after="200"/>
        <w:jc w:val="both"/>
        <w:rPr>
          <w:rFonts w:ascii="Arial" w:eastAsiaTheme="minorHAnsi" w:hAnsi="Arial" w:cs="Arial"/>
          <w:b/>
          <w:sz w:val="20"/>
        </w:rPr>
      </w:pPr>
    </w:p>
    <w:p w14:paraId="1E0593C7" w14:textId="77777777" w:rsidR="00701F32" w:rsidRDefault="00701F32" w:rsidP="00A06BE9">
      <w:pPr>
        <w:spacing w:after="200"/>
        <w:jc w:val="both"/>
        <w:rPr>
          <w:rFonts w:ascii="Arial" w:eastAsiaTheme="minorHAnsi" w:hAnsi="Arial" w:cs="Arial"/>
          <w:b/>
          <w:sz w:val="20"/>
        </w:rPr>
      </w:pPr>
    </w:p>
    <w:p w14:paraId="7AA0A035" w14:textId="4CF2E9F1" w:rsidR="00A06BE9" w:rsidRPr="00701F32" w:rsidRDefault="00A06BE9" w:rsidP="00A06BE9">
      <w:pPr>
        <w:spacing w:after="200"/>
        <w:jc w:val="both"/>
        <w:rPr>
          <w:rFonts w:ascii="Arial" w:eastAsiaTheme="minorHAnsi" w:hAnsi="Arial" w:cs="Arial"/>
          <w:b/>
          <w:color w:val="FF0000"/>
          <w:sz w:val="20"/>
        </w:rPr>
      </w:pPr>
      <w:r w:rsidRPr="00701F32">
        <w:rPr>
          <w:rFonts w:ascii="Arial" w:eastAsiaTheme="minorHAnsi" w:hAnsi="Arial" w:cs="Arial"/>
          <w:b/>
          <w:sz w:val="20"/>
        </w:rPr>
        <w:t>1.27 Impuesto a las ganancias</w:t>
      </w:r>
    </w:p>
    <w:p w14:paraId="7F2F0A56" w14:textId="77777777" w:rsidR="00A06BE9" w:rsidRPr="00701F32" w:rsidRDefault="00A06BE9" w:rsidP="00A06BE9">
      <w:pPr>
        <w:spacing w:after="200"/>
        <w:jc w:val="both"/>
        <w:rPr>
          <w:rFonts w:ascii="Arial" w:eastAsiaTheme="minorHAnsi" w:hAnsi="Arial" w:cs="Arial"/>
          <w:b/>
          <w:sz w:val="20"/>
        </w:rPr>
      </w:pPr>
      <w:r w:rsidRPr="00701F32">
        <w:rPr>
          <w:rFonts w:ascii="Arial" w:eastAsiaTheme="minorHAnsi" w:hAnsi="Arial" w:cs="Arial"/>
          <w:b/>
          <w:sz w:val="20"/>
        </w:rPr>
        <w:t>Impuesto a las ganancias</w:t>
      </w:r>
    </w:p>
    <w:p w14:paraId="4AAC7376" w14:textId="77777777" w:rsidR="00A06BE9" w:rsidRPr="00701F32" w:rsidRDefault="00A06BE9" w:rsidP="00A06BE9">
      <w:pPr>
        <w:spacing w:after="200"/>
        <w:jc w:val="both"/>
        <w:rPr>
          <w:rFonts w:ascii="Arial" w:eastAsiaTheme="minorHAnsi" w:hAnsi="Arial" w:cs="Arial"/>
          <w:sz w:val="20"/>
        </w:rPr>
      </w:pPr>
      <w:r w:rsidRPr="00701F32">
        <w:rPr>
          <w:rFonts w:ascii="Arial" w:eastAsiaTheme="minorHAnsi" w:hAnsi="Arial" w:cs="Arial"/>
          <w:sz w:val="20"/>
        </w:rPr>
        <w:t>El cargo por impuesto a las ganancias del período comprende al impuesto corriente y al diferido. El impuesto se reconoce en el estado de resultado consolidado, excepto cuando se trata de partidas que deban ser reconocidas directamente en otros resultados integrales. En este caso, el impuesto a las ganancias relacionado de tales partidas también se reconoce en dicho estado.</w:t>
      </w:r>
    </w:p>
    <w:p w14:paraId="54D65733" w14:textId="77777777" w:rsidR="00A06BE9" w:rsidRPr="00701F32" w:rsidRDefault="00A06BE9" w:rsidP="00A06BE9">
      <w:pPr>
        <w:spacing w:after="200"/>
        <w:jc w:val="both"/>
        <w:rPr>
          <w:rFonts w:ascii="Arial" w:eastAsiaTheme="minorHAnsi" w:hAnsi="Arial" w:cs="Arial"/>
          <w:sz w:val="20"/>
        </w:rPr>
      </w:pPr>
      <w:r w:rsidRPr="00701F32">
        <w:rPr>
          <w:rFonts w:ascii="Arial" w:eastAsiaTheme="minorHAnsi" w:hAnsi="Arial" w:cs="Arial"/>
          <w:sz w:val="20"/>
        </w:rPr>
        <w:t>El cargo por impuesto a las ganancias corriente se calcula sobre la base de las leyes impositivas promulgadas o sustancialmente promulgadas a la fecha del estado de situación financiera. La Entidad evalúa periódicamente la posición asumida en las declaraciones juradas de impuestos respecto de situaciones en las que las leyes tributarias son objeto de interpretación. Por su parte, cuando corresponde, constituye provisiones sobre los montos que espera deberá pagar a las autoridades tributarias.</w:t>
      </w:r>
    </w:p>
    <w:p w14:paraId="3DDC177E" w14:textId="77777777" w:rsidR="00A06BE9" w:rsidRPr="00701F32" w:rsidRDefault="00A06BE9" w:rsidP="00A06BE9">
      <w:pPr>
        <w:spacing w:after="200"/>
        <w:jc w:val="both"/>
        <w:rPr>
          <w:rFonts w:ascii="Arial" w:eastAsiaTheme="minorHAnsi" w:hAnsi="Arial" w:cs="Arial"/>
          <w:sz w:val="20"/>
        </w:rPr>
      </w:pPr>
      <w:r w:rsidRPr="00701F32">
        <w:rPr>
          <w:rFonts w:ascii="Arial" w:eastAsiaTheme="minorHAnsi" w:hAnsi="Arial" w:cs="Arial"/>
          <w:sz w:val="20"/>
        </w:rPr>
        <w:t>El impuesto a las ganancias diferido se determina en su totalidad, por el método del pasivo, sobre las diferencias temporales que surgen entre las bases tributarias de activos y pasivos y sus respectivos valores contables. Sin embargo, el impuesto diferido que surge por el reconocimiento inicial de un activo o de un pasivo en una transacción que no corresponda a una combinación de negocios, que al momento de la transacción no afecta ni la utilidad ni la pérdida contable o gravable, no se registra. El impuesto diferido se determina usando tasas tributarias (y legislación) que han sido promulgadas a la fecha del balance general y que se espera serán aplicables cuando el activo por impuesto diferido se realice o el pasivo por impuesto diferido se pague.</w:t>
      </w:r>
    </w:p>
    <w:p w14:paraId="3F7E200E" w14:textId="77777777" w:rsidR="00A06BE9" w:rsidRPr="00701F32" w:rsidRDefault="00A06BE9" w:rsidP="00A06BE9">
      <w:pPr>
        <w:spacing w:after="200"/>
        <w:jc w:val="both"/>
        <w:rPr>
          <w:rFonts w:ascii="Arial" w:eastAsiaTheme="minorHAnsi" w:hAnsi="Arial" w:cs="Arial"/>
          <w:sz w:val="20"/>
        </w:rPr>
      </w:pPr>
      <w:r w:rsidRPr="00701F32">
        <w:rPr>
          <w:rFonts w:ascii="Arial" w:eastAsiaTheme="minorHAnsi" w:hAnsi="Arial" w:cs="Arial"/>
          <w:sz w:val="20"/>
        </w:rPr>
        <w:t>Los activos por impuestos diferidos sólo se reconocen en la medida que sea probable que se produzcan beneficios impositivos futuros contra los que se puedan usar las diferencias temporarias.</w:t>
      </w:r>
    </w:p>
    <w:p w14:paraId="64A08669" w14:textId="77777777" w:rsidR="00A06BE9" w:rsidRPr="00701F32" w:rsidRDefault="00A06BE9" w:rsidP="00A06BE9">
      <w:pPr>
        <w:spacing w:after="200"/>
        <w:jc w:val="both"/>
        <w:rPr>
          <w:rFonts w:ascii="Arial" w:eastAsiaTheme="minorHAnsi" w:hAnsi="Arial" w:cs="Arial"/>
          <w:sz w:val="20"/>
        </w:rPr>
      </w:pPr>
      <w:r w:rsidRPr="00701F32">
        <w:rPr>
          <w:rFonts w:ascii="Arial" w:eastAsiaTheme="minorHAnsi" w:hAnsi="Arial" w:cs="Arial"/>
          <w:sz w:val="20"/>
        </w:rPr>
        <w:t>Los saldos de impuestos a las ganancias diferidos de activos y pasivos se compensan cuando existe el derecho legal a compensar impuestos activos corrientes con impuestos pasivos corrientes y cuando se relacionen con la misma autoridad fiscal del Banco o de las distintas subsidiarias en donde exista intención y posibilidad de liquidar los saldos impositivos sobre bases netas.</w:t>
      </w:r>
    </w:p>
    <w:p w14:paraId="7D51555D" w14:textId="77777777" w:rsidR="00A06BE9" w:rsidRPr="00701F32" w:rsidRDefault="00A06BE9" w:rsidP="00A06BE9">
      <w:pPr>
        <w:spacing w:after="200"/>
        <w:jc w:val="both"/>
        <w:rPr>
          <w:rFonts w:ascii="Arial" w:eastAsiaTheme="minorHAnsi" w:hAnsi="Arial" w:cs="Arial"/>
          <w:b/>
          <w:sz w:val="20"/>
        </w:rPr>
      </w:pPr>
      <w:r w:rsidRPr="00701F32">
        <w:rPr>
          <w:rFonts w:ascii="Arial" w:eastAsiaTheme="minorHAnsi" w:hAnsi="Arial" w:cs="Arial"/>
          <w:b/>
          <w:sz w:val="20"/>
        </w:rPr>
        <w:t>1.28 Resultado por Acción</w:t>
      </w:r>
    </w:p>
    <w:p w14:paraId="3444CE37" w14:textId="77777777" w:rsidR="00A06BE9" w:rsidRPr="00701F32" w:rsidRDefault="00A06BE9" w:rsidP="00A06BE9">
      <w:pPr>
        <w:spacing w:after="200"/>
        <w:jc w:val="both"/>
        <w:rPr>
          <w:rFonts w:ascii="Arial" w:eastAsiaTheme="minorHAnsi" w:hAnsi="Arial" w:cs="Arial"/>
          <w:bCs/>
          <w:sz w:val="20"/>
        </w:rPr>
      </w:pPr>
      <w:r w:rsidRPr="00701F32">
        <w:rPr>
          <w:rFonts w:ascii="Arial" w:eastAsiaTheme="minorHAnsi" w:hAnsi="Arial" w:cs="Arial"/>
          <w:bCs/>
          <w:sz w:val="20"/>
        </w:rPr>
        <w:t>El resultado por acción básico es determinado por el cociente entre el resultado del período atribuible a los accionistas tenedores de acciones ordinarias del Banco por el promedio de acciones ordinarias en circulación durante el presente ejercicio.</w:t>
      </w:r>
    </w:p>
    <w:p w14:paraId="4EA7F084" w14:textId="77777777" w:rsidR="00A06BE9" w:rsidRPr="00701F32" w:rsidRDefault="00A06BE9" w:rsidP="00A06BE9">
      <w:pPr>
        <w:jc w:val="both"/>
        <w:rPr>
          <w:rFonts w:ascii="Arial" w:eastAsiaTheme="minorHAnsi" w:hAnsi="Arial" w:cs="Arial"/>
          <w:sz w:val="20"/>
        </w:rPr>
      </w:pPr>
      <w:r w:rsidRPr="00701F32">
        <w:rPr>
          <w:rFonts w:ascii="Arial" w:eastAsiaTheme="minorHAnsi" w:hAnsi="Arial" w:cs="Arial"/>
          <w:sz w:val="20"/>
        </w:rPr>
        <w:t>Dado que el Banco no ha emitido instrumentos financieros que tengan un efecto dilutivo en la utilidad por acción, las ganancias básicas y diluidas por acción son iguales.</w:t>
      </w:r>
    </w:p>
    <w:p w14:paraId="64123800" w14:textId="77777777" w:rsidR="00A06BE9" w:rsidRPr="00701F32" w:rsidRDefault="00A06BE9" w:rsidP="00A06BE9">
      <w:pPr>
        <w:keepNext/>
        <w:keepLines/>
        <w:spacing w:before="40" w:line="259" w:lineRule="auto"/>
        <w:jc w:val="both"/>
        <w:outlineLvl w:val="1"/>
        <w:rPr>
          <w:rFonts w:ascii="Arial" w:hAnsi="Arial" w:cs="Arial"/>
          <w:b/>
          <w:sz w:val="20"/>
        </w:rPr>
      </w:pPr>
      <w:r w:rsidRPr="00701F32">
        <w:rPr>
          <w:rFonts w:ascii="Arial" w:hAnsi="Arial" w:cs="Arial"/>
          <w:b/>
          <w:sz w:val="20"/>
        </w:rPr>
        <w:t>2. T</w:t>
      </w:r>
      <w:r w:rsidR="00582EAB" w:rsidRPr="00701F32">
        <w:rPr>
          <w:rFonts w:ascii="Arial" w:hAnsi="Arial" w:cs="Arial"/>
          <w:b/>
          <w:sz w:val="20"/>
        </w:rPr>
        <w:t xml:space="preserve">RANSICION A LAS </w:t>
      </w:r>
      <w:r w:rsidRPr="00701F32">
        <w:rPr>
          <w:rFonts w:ascii="Arial" w:hAnsi="Arial" w:cs="Arial"/>
          <w:b/>
          <w:sz w:val="20"/>
        </w:rPr>
        <w:t xml:space="preserve">NIIF    </w:t>
      </w:r>
    </w:p>
    <w:p w14:paraId="29FB3E6E" w14:textId="77777777" w:rsidR="00A06BE9" w:rsidRPr="00701F32" w:rsidRDefault="00A06BE9" w:rsidP="00A06BE9">
      <w:pPr>
        <w:keepNext/>
        <w:keepLines/>
        <w:spacing w:before="40" w:line="259" w:lineRule="auto"/>
        <w:ind w:left="720" w:hanging="720"/>
        <w:jc w:val="both"/>
        <w:outlineLvl w:val="1"/>
        <w:rPr>
          <w:rFonts w:ascii="Arial" w:hAnsi="Arial" w:cs="Arial"/>
          <w:b/>
          <w:sz w:val="20"/>
        </w:rPr>
      </w:pPr>
    </w:p>
    <w:p w14:paraId="2696C10D"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r w:rsidRPr="00701F32">
        <w:rPr>
          <w:rFonts w:ascii="Arial" w:hAnsi="Arial" w:cs="Arial"/>
          <w:sz w:val="20"/>
        </w:rPr>
        <w:t>2.1 Requerimientos de la transición a NIIF</w:t>
      </w:r>
    </w:p>
    <w:p w14:paraId="0078E751"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p>
    <w:p w14:paraId="394ECEDD" w14:textId="77777777" w:rsidR="00A06BE9" w:rsidRPr="00701F32" w:rsidRDefault="00A06BE9" w:rsidP="00A06BE9">
      <w:pPr>
        <w:keepNext/>
        <w:keepLines/>
        <w:spacing w:before="40" w:line="259" w:lineRule="auto"/>
        <w:ind w:hanging="11"/>
        <w:jc w:val="both"/>
        <w:outlineLvl w:val="1"/>
        <w:rPr>
          <w:rFonts w:ascii="Arial" w:hAnsi="Arial" w:cs="Arial"/>
          <w:sz w:val="20"/>
        </w:rPr>
      </w:pPr>
      <w:r w:rsidRPr="00701F32">
        <w:rPr>
          <w:rFonts w:ascii="Arial" w:hAnsi="Arial" w:cs="Arial"/>
          <w:sz w:val="20"/>
        </w:rPr>
        <w:t>Acontinuación se presenta una conciliación entre las cifras de patrimonio, resultados y otros resultados integrales correspondientes a los estados financieros consolidados emitidos de acuerdo con el Marco Contable anterior a la fecha de transición (1° de enero de 2017), a la fecha de adopción (31 de diciembre de 2017) y a la fecha de cierre del período comparativo (3</w:t>
      </w:r>
      <w:r w:rsidR="003A31F2" w:rsidRPr="00701F32">
        <w:rPr>
          <w:rFonts w:ascii="Arial" w:hAnsi="Arial" w:cs="Arial"/>
          <w:sz w:val="20"/>
        </w:rPr>
        <w:t xml:space="preserve">0 de </w:t>
      </w:r>
      <w:r w:rsidR="00B848DD" w:rsidRPr="00701F32">
        <w:rPr>
          <w:rFonts w:ascii="Arial" w:hAnsi="Arial" w:cs="Arial"/>
          <w:sz w:val="20"/>
        </w:rPr>
        <w:t>septiembre</w:t>
      </w:r>
      <w:r w:rsidRPr="00701F32">
        <w:rPr>
          <w:rFonts w:ascii="Arial" w:hAnsi="Arial" w:cs="Arial"/>
          <w:sz w:val="20"/>
        </w:rPr>
        <w:t xml:space="preserve"> de 2017) y las cifras presentadas en los presentes estados financieros consolidados condensados intermedios.</w:t>
      </w:r>
    </w:p>
    <w:p w14:paraId="1F62D638"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p>
    <w:p w14:paraId="2DC0F0CC"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r w:rsidRPr="00701F32">
        <w:rPr>
          <w:rFonts w:ascii="Arial" w:hAnsi="Arial" w:cs="Arial"/>
          <w:sz w:val="20"/>
        </w:rPr>
        <w:t>2.1.1. Conciliación del patrimonio neto al 31 de diciembre</w:t>
      </w:r>
      <w:r w:rsidR="00797F61" w:rsidRPr="00701F32">
        <w:rPr>
          <w:rFonts w:ascii="Arial" w:hAnsi="Arial" w:cs="Arial"/>
          <w:sz w:val="20"/>
        </w:rPr>
        <w:t>, 3</w:t>
      </w:r>
      <w:r w:rsidR="003A31F2" w:rsidRPr="00701F32">
        <w:rPr>
          <w:rFonts w:ascii="Arial" w:hAnsi="Arial" w:cs="Arial"/>
          <w:sz w:val="20"/>
        </w:rPr>
        <w:t>0</w:t>
      </w:r>
      <w:r w:rsidR="00797F61" w:rsidRPr="00701F32">
        <w:rPr>
          <w:rFonts w:ascii="Arial" w:hAnsi="Arial" w:cs="Arial"/>
          <w:sz w:val="20"/>
        </w:rPr>
        <w:t xml:space="preserve"> de </w:t>
      </w:r>
      <w:r w:rsidR="00B848DD" w:rsidRPr="00701F32">
        <w:rPr>
          <w:rFonts w:ascii="Arial" w:hAnsi="Arial" w:cs="Arial"/>
          <w:sz w:val="20"/>
        </w:rPr>
        <w:t xml:space="preserve">septiembre </w:t>
      </w:r>
      <w:r w:rsidRPr="00701F32">
        <w:rPr>
          <w:rFonts w:ascii="Arial" w:hAnsi="Arial" w:cs="Arial"/>
          <w:sz w:val="20"/>
        </w:rPr>
        <w:t>y 1 de enero de 2017.</w:t>
      </w:r>
    </w:p>
    <w:p w14:paraId="5DE27C67"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p>
    <w:tbl>
      <w:tblPr>
        <w:tblW w:w="9830" w:type="dxa"/>
        <w:tblInd w:w="80" w:type="dxa"/>
        <w:tblCellMar>
          <w:left w:w="70" w:type="dxa"/>
          <w:right w:w="70" w:type="dxa"/>
        </w:tblCellMar>
        <w:tblLook w:val="04A0" w:firstRow="1" w:lastRow="0" w:firstColumn="1" w:lastColumn="0" w:noHBand="0" w:noVBand="1"/>
      </w:tblPr>
      <w:tblGrid>
        <w:gridCol w:w="3810"/>
        <w:gridCol w:w="1060"/>
        <w:gridCol w:w="1100"/>
        <w:gridCol w:w="1500"/>
        <w:gridCol w:w="1220"/>
        <w:gridCol w:w="1140"/>
      </w:tblGrid>
      <w:tr w:rsidR="001414E2" w:rsidRPr="00701F32" w14:paraId="6F5F94B6" w14:textId="77777777" w:rsidTr="005819B2">
        <w:trPr>
          <w:trHeight w:val="315"/>
          <w:tblHeader/>
        </w:trPr>
        <w:tc>
          <w:tcPr>
            <w:tcW w:w="38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4CB6165" w14:textId="77777777" w:rsidR="001414E2" w:rsidRPr="00701F32" w:rsidRDefault="001414E2" w:rsidP="001414E2">
            <w:pPr>
              <w:jc w:val="center"/>
              <w:rPr>
                <w:rFonts w:ascii="Arial" w:hAnsi="Arial" w:cs="Arial"/>
                <w:b/>
                <w:bCs/>
                <w:color w:val="000000"/>
                <w:sz w:val="16"/>
                <w:szCs w:val="16"/>
                <w:lang w:eastAsia="es-AR"/>
              </w:rPr>
            </w:pP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6441B3"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14:paraId="363939FC"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500" w:type="dxa"/>
            <w:tcBorders>
              <w:top w:val="single" w:sz="8" w:space="0" w:color="auto"/>
              <w:left w:val="nil"/>
              <w:bottom w:val="single" w:sz="8" w:space="0" w:color="auto"/>
              <w:right w:val="single" w:sz="4" w:space="0" w:color="auto"/>
            </w:tcBorders>
            <w:shd w:val="clear" w:color="auto" w:fill="auto"/>
            <w:noWrap/>
            <w:vAlign w:val="center"/>
            <w:hideMark/>
          </w:tcPr>
          <w:p w14:paraId="4C7236BD"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54AAC15B"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35C8B1F3"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1414E2" w:rsidRPr="00701F32" w14:paraId="7B4C48FD"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0D8F75D"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Efectivo y depósitos en bancos </w:t>
            </w:r>
          </w:p>
        </w:tc>
        <w:tc>
          <w:tcPr>
            <w:tcW w:w="1060" w:type="dxa"/>
            <w:tcBorders>
              <w:top w:val="nil"/>
              <w:left w:val="nil"/>
              <w:bottom w:val="nil"/>
              <w:right w:val="single" w:sz="4" w:space="0" w:color="auto"/>
            </w:tcBorders>
            <w:shd w:val="clear" w:color="auto" w:fill="auto"/>
            <w:noWrap/>
            <w:vAlign w:val="center"/>
            <w:hideMark/>
          </w:tcPr>
          <w:p w14:paraId="5E967E54"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00" w:type="dxa"/>
            <w:tcBorders>
              <w:top w:val="nil"/>
              <w:left w:val="nil"/>
              <w:bottom w:val="nil"/>
              <w:right w:val="single" w:sz="4" w:space="0" w:color="auto"/>
            </w:tcBorders>
            <w:shd w:val="clear" w:color="auto" w:fill="auto"/>
            <w:noWrap/>
            <w:vAlign w:val="center"/>
            <w:hideMark/>
          </w:tcPr>
          <w:p w14:paraId="4E794AA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11.075.085</w:t>
            </w:r>
          </w:p>
        </w:tc>
        <w:tc>
          <w:tcPr>
            <w:tcW w:w="1500" w:type="dxa"/>
            <w:tcBorders>
              <w:top w:val="nil"/>
              <w:left w:val="nil"/>
              <w:bottom w:val="nil"/>
              <w:right w:val="single" w:sz="4" w:space="0" w:color="auto"/>
            </w:tcBorders>
            <w:shd w:val="clear" w:color="auto" w:fill="auto"/>
            <w:noWrap/>
            <w:vAlign w:val="center"/>
            <w:hideMark/>
          </w:tcPr>
          <w:p w14:paraId="1E320FAF"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-34.718 </w:t>
            </w:r>
          </w:p>
        </w:tc>
        <w:tc>
          <w:tcPr>
            <w:tcW w:w="1220" w:type="dxa"/>
            <w:tcBorders>
              <w:top w:val="nil"/>
              <w:left w:val="nil"/>
              <w:bottom w:val="nil"/>
              <w:right w:val="single" w:sz="4" w:space="0" w:color="auto"/>
            </w:tcBorders>
            <w:shd w:val="clear" w:color="auto" w:fill="auto"/>
            <w:noWrap/>
            <w:vAlign w:val="center"/>
            <w:hideMark/>
          </w:tcPr>
          <w:p w14:paraId="019081B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6.275 </w:t>
            </w:r>
          </w:p>
        </w:tc>
        <w:tc>
          <w:tcPr>
            <w:tcW w:w="1140" w:type="dxa"/>
            <w:tcBorders>
              <w:top w:val="nil"/>
              <w:left w:val="nil"/>
              <w:bottom w:val="nil"/>
              <w:right w:val="single" w:sz="8" w:space="0" w:color="auto"/>
            </w:tcBorders>
            <w:shd w:val="clear" w:color="auto" w:fill="auto"/>
            <w:noWrap/>
            <w:vAlign w:val="center"/>
            <w:hideMark/>
          </w:tcPr>
          <w:p w14:paraId="1FCC4A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11.046.642 </w:t>
            </w:r>
          </w:p>
        </w:tc>
      </w:tr>
      <w:tr w:rsidR="001414E2" w:rsidRPr="00701F32" w14:paraId="5800308D"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898FA66"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públicos y privados </w:t>
            </w:r>
          </w:p>
        </w:tc>
        <w:tc>
          <w:tcPr>
            <w:tcW w:w="1060" w:type="dxa"/>
            <w:tcBorders>
              <w:top w:val="nil"/>
              <w:left w:val="nil"/>
              <w:bottom w:val="nil"/>
              <w:right w:val="single" w:sz="4" w:space="0" w:color="auto"/>
            </w:tcBorders>
            <w:shd w:val="clear" w:color="auto" w:fill="auto"/>
            <w:noWrap/>
            <w:vAlign w:val="center"/>
            <w:hideMark/>
          </w:tcPr>
          <w:p w14:paraId="5FCAED40"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00" w:type="dxa"/>
            <w:tcBorders>
              <w:top w:val="nil"/>
              <w:left w:val="nil"/>
              <w:bottom w:val="nil"/>
              <w:right w:val="single" w:sz="4" w:space="0" w:color="auto"/>
            </w:tcBorders>
            <w:shd w:val="clear" w:color="auto" w:fill="auto"/>
            <w:noWrap/>
            <w:vAlign w:val="center"/>
            <w:hideMark/>
          </w:tcPr>
          <w:p w14:paraId="06FC940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15.255.201</w:t>
            </w:r>
          </w:p>
        </w:tc>
        <w:tc>
          <w:tcPr>
            <w:tcW w:w="1500" w:type="dxa"/>
            <w:tcBorders>
              <w:top w:val="nil"/>
              <w:left w:val="nil"/>
              <w:bottom w:val="nil"/>
              <w:right w:val="single" w:sz="4" w:space="0" w:color="auto"/>
            </w:tcBorders>
            <w:shd w:val="clear" w:color="auto" w:fill="auto"/>
            <w:noWrap/>
            <w:vAlign w:val="center"/>
            <w:hideMark/>
          </w:tcPr>
          <w:p w14:paraId="22C8B4D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-15.255.201 </w:t>
            </w:r>
          </w:p>
        </w:tc>
        <w:tc>
          <w:tcPr>
            <w:tcW w:w="1220" w:type="dxa"/>
            <w:tcBorders>
              <w:top w:val="nil"/>
              <w:left w:val="nil"/>
              <w:bottom w:val="nil"/>
              <w:right w:val="single" w:sz="4" w:space="0" w:color="auto"/>
            </w:tcBorders>
            <w:shd w:val="clear" w:color="auto" w:fill="auto"/>
            <w:noWrap/>
            <w:vAlign w:val="center"/>
            <w:hideMark/>
          </w:tcPr>
          <w:p w14:paraId="08CDF76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6098910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64B38CDF"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1A5372DB"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Prestamos </w:t>
            </w:r>
          </w:p>
        </w:tc>
        <w:tc>
          <w:tcPr>
            <w:tcW w:w="1060" w:type="dxa"/>
            <w:tcBorders>
              <w:top w:val="nil"/>
              <w:left w:val="nil"/>
              <w:bottom w:val="nil"/>
              <w:right w:val="single" w:sz="4" w:space="0" w:color="auto"/>
            </w:tcBorders>
            <w:shd w:val="clear" w:color="auto" w:fill="auto"/>
            <w:noWrap/>
            <w:vAlign w:val="center"/>
            <w:hideMark/>
          </w:tcPr>
          <w:p w14:paraId="0E6A090A"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4E9711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54.770.929</w:t>
            </w:r>
          </w:p>
        </w:tc>
        <w:tc>
          <w:tcPr>
            <w:tcW w:w="1500" w:type="dxa"/>
            <w:tcBorders>
              <w:top w:val="nil"/>
              <w:left w:val="nil"/>
              <w:bottom w:val="nil"/>
              <w:right w:val="single" w:sz="4" w:space="0" w:color="auto"/>
            </w:tcBorders>
            <w:shd w:val="clear" w:color="auto" w:fill="auto"/>
            <w:noWrap/>
            <w:vAlign w:val="center"/>
            <w:hideMark/>
          </w:tcPr>
          <w:p w14:paraId="5AA3680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-54.770.929 </w:t>
            </w:r>
          </w:p>
        </w:tc>
        <w:tc>
          <w:tcPr>
            <w:tcW w:w="1220" w:type="dxa"/>
            <w:tcBorders>
              <w:top w:val="nil"/>
              <w:left w:val="nil"/>
              <w:bottom w:val="nil"/>
              <w:right w:val="single" w:sz="4" w:space="0" w:color="auto"/>
            </w:tcBorders>
            <w:shd w:val="clear" w:color="auto" w:fill="auto"/>
            <w:noWrap/>
            <w:vAlign w:val="center"/>
            <w:hideMark/>
          </w:tcPr>
          <w:p w14:paraId="49D9A52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3DA1011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5A56C7FB"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573025B8"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créditos por intermediación financiera </w:t>
            </w:r>
          </w:p>
        </w:tc>
        <w:tc>
          <w:tcPr>
            <w:tcW w:w="1060" w:type="dxa"/>
            <w:tcBorders>
              <w:top w:val="nil"/>
              <w:left w:val="nil"/>
              <w:bottom w:val="nil"/>
              <w:right w:val="single" w:sz="4" w:space="0" w:color="auto"/>
            </w:tcBorders>
            <w:shd w:val="clear" w:color="auto" w:fill="auto"/>
            <w:noWrap/>
            <w:vAlign w:val="center"/>
            <w:hideMark/>
          </w:tcPr>
          <w:p w14:paraId="6D23F475"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7662CE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5.854.184</w:t>
            </w:r>
          </w:p>
        </w:tc>
        <w:tc>
          <w:tcPr>
            <w:tcW w:w="1500" w:type="dxa"/>
            <w:tcBorders>
              <w:top w:val="nil"/>
              <w:left w:val="nil"/>
              <w:bottom w:val="nil"/>
              <w:right w:val="single" w:sz="4" w:space="0" w:color="auto"/>
            </w:tcBorders>
            <w:shd w:val="clear" w:color="auto" w:fill="auto"/>
            <w:noWrap/>
            <w:vAlign w:val="center"/>
            <w:hideMark/>
          </w:tcPr>
          <w:p w14:paraId="45D68D3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-5.854.184 </w:t>
            </w:r>
          </w:p>
        </w:tc>
        <w:tc>
          <w:tcPr>
            <w:tcW w:w="1220" w:type="dxa"/>
            <w:tcBorders>
              <w:top w:val="nil"/>
              <w:left w:val="nil"/>
              <w:bottom w:val="nil"/>
              <w:right w:val="single" w:sz="4" w:space="0" w:color="auto"/>
            </w:tcBorders>
            <w:shd w:val="clear" w:color="auto" w:fill="auto"/>
            <w:noWrap/>
            <w:vAlign w:val="center"/>
            <w:hideMark/>
          </w:tcPr>
          <w:p w14:paraId="52F3456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59BA478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1E318892"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E42BC07"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por arrendamientos financieros </w:t>
            </w:r>
          </w:p>
        </w:tc>
        <w:tc>
          <w:tcPr>
            <w:tcW w:w="1060" w:type="dxa"/>
            <w:tcBorders>
              <w:top w:val="nil"/>
              <w:left w:val="nil"/>
              <w:bottom w:val="nil"/>
              <w:right w:val="single" w:sz="4" w:space="0" w:color="auto"/>
            </w:tcBorders>
            <w:shd w:val="clear" w:color="auto" w:fill="auto"/>
            <w:noWrap/>
            <w:vAlign w:val="center"/>
            <w:hideMark/>
          </w:tcPr>
          <w:p w14:paraId="71343C32"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00" w:type="dxa"/>
            <w:tcBorders>
              <w:top w:val="nil"/>
              <w:left w:val="nil"/>
              <w:bottom w:val="nil"/>
              <w:right w:val="single" w:sz="4" w:space="0" w:color="auto"/>
            </w:tcBorders>
            <w:shd w:val="clear" w:color="auto" w:fill="auto"/>
            <w:noWrap/>
            <w:vAlign w:val="center"/>
            <w:hideMark/>
          </w:tcPr>
          <w:p w14:paraId="7BF63A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2.519.201</w:t>
            </w:r>
          </w:p>
        </w:tc>
        <w:tc>
          <w:tcPr>
            <w:tcW w:w="1500" w:type="dxa"/>
            <w:tcBorders>
              <w:top w:val="nil"/>
              <w:left w:val="nil"/>
              <w:bottom w:val="nil"/>
              <w:right w:val="single" w:sz="4" w:space="0" w:color="auto"/>
            </w:tcBorders>
            <w:shd w:val="clear" w:color="auto" w:fill="auto"/>
            <w:noWrap/>
            <w:vAlign w:val="center"/>
            <w:hideMark/>
          </w:tcPr>
          <w:p w14:paraId="3028A59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-2.519.201 </w:t>
            </w:r>
          </w:p>
        </w:tc>
        <w:tc>
          <w:tcPr>
            <w:tcW w:w="1220" w:type="dxa"/>
            <w:tcBorders>
              <w:top w:val="nil"/>
              <w:left w:val="nil"/>
              <w:bottom w:val="nil"/>
              <w:right w:val="single" w:sz="4" w:space="0" w:color="auto"/>
            </w:tcBorders>
            <w:shd w:val="clear" w:color="auto" w:fill="auto"/>
            <w:noWrap/>
            <w:vAlign w:val="center"/>
            <w:hideMark/>
          </w:tcPr>
          <w:p w14:paraId="2264B20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0C0E5DC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26C72FE5"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6D510F9E"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subsidiarias, asociadas y neg.conjuntos </w:t>
            </w:r>
          </w:p>
        </w:tc>
        <w:tc>
          <w:tcPr>
            <w:tcW w:w="1060" w:type="dxa"/>
            <w:tcBorders>
              <w:top w:val="nil"/>
              <w:left w:val="nil"/>
              <w:bottom w:val="nil"/>
              <w:right w:val="single" w:sz="4" w:space="0" w:color="auto"/>
            </w:tcBorders>
            <w:shd w:val="clear" w:color="auto" w:fill="auto"/>
            <w:noWrap/>
            <w:vAlign w:val="center"/>
            <w:hideMark/>
          </w:tcPr>
          <w:p w14:paraId="59D124A5"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4777BEB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22.472</w:t>
            </w:r>
          </w:p>
        </w:tc>
        <w:tc>
          <w:tcPr>
            <w:tcW w:w="1500" w:type="dxa"/>
            <w:tcBorders>
              <w:top w:val="nil"/>
              <w:left w:val="nil"/>
              <w:bottom w:val="nil"/>
              <w:right w:val="single" w:sz="4" w:space="0" w:color="auto"/>
            </w:tcBorders>
            <w:shd w:val="clear" w:color="auto" w:fill="auto"/>
            <w:noWrap/>
            <w:vAlign w:val="center"/>
            <w:hideMark/>
          </w:tcPr>
          <w:p w14:paraId="57DC0DC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-1.069 </w:t>
            </w:r>
          </w:p>
        </w:tc>
        <w:tc>
          <w:tcPr>
            <w:tcW w:w="1220" w:type="dxa"/>
            <w:tcBorders>
              <w:top w:val="nil"/>
              <w:left w:val="nil"/>
              <w:bottom w:val="nil"/>
              <w:right w:val="single" w:sz="4" w:space="0" w:color="auto"/>
            </w:tcBorders>
            <w:shd w:val="clear" w:color="auto" w:fill="auto"/>
            <w:noWrap/>
            <w:vAlign w:val="center"/>
            <w:hideMark/>
          </w:tcPr>
          <w:p w14:paraId="3008837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51A7A08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21.403 </w:t>
            </w:r>
          </w:p>
        </w:tc>
      </w:tr>
      <w:tr w:rsidR="001414E2" w:rsidRPr="00701F32" w14:paraId="14A529D8"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2852288"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diversos </w:t>
            </w:r>
          </w:p>
        </w:tc>
        <w:tc>
          <w:tcPr>
            <w:tcW w:w="1060" w:type="dxa"/>
            <w:tcBorders>
              <w:top w:val="nil"/>
              <w:left w:val="nil"/>
              <w:bottom w:val="nil"/>
              <w:right w:val="single" w:sz="4" w:space="0" w:color="auto"/>
            </w:tcBorders>
            <w:shd w:val="clear" w:color="auto" w:fill="auto"/>
            <w:noWrap/>
            <w:vAlign w:val="center"/>
            <w:hideMark/>
          </w:tcPr>
          <w:p w14:paraId="088A9A0B"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48445B4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1.367.214</w:t>
            </w:r>
          </w:p>
        </w:tc>
        <w:tc>
          <w:tcPr>
            <w:tcW w:w="1500" w:type="dxa"/>
            <w:tcBorders>
              <w:top w:val="nil"/>
              <w:left w:val="nil"/>
              <w:bottom w:val="nil"/>
              <w:right w:val="single" w:sz="4" w:space="0" w:color="auto"/>
            </w:tcBorders>
            <w:shd w:val="clear" w:color="auto" w:fill="auto"/>
            <w:noWrap/>
            <w:vAlign w:val="center"/>
            <w:hideMark/>
          </w:tcPr>
          <w:p w14:paraId="016EB75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-1.367.214 </w:t>
            </w:r>
          </w:p>
        </w:tc>
        <w:tc>
          <w:tcPr>
            <w:tcW w:w="1220" w:type="dxa"/>
            <w:tcBorders>
              <w:top w:val="nil"/>
              <w:left w:val="nil"/>
              <w:bottom w:val="nil"/>
              <w:right w:val="single" w:sz="4" w:space="0" w:color="auto"/>
            </w:tcBorders>
            <w:shd w:val="clear" w:color="auto" w:fill="auto"/>
            <w:noWrap/>
            <w:vAlign w:val="center"/>
            <w:hideMark/>
          </w:tcPr>
          <w:p w14:paraId="0F7C6AD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331A57C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7FD594C8"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1F43116F"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Bienes de uso y diversos</w:t>
            </w:r>
          </w:p>
        </w:tc>
        <w:tc>
          <w:tcPr>
            <w:tcW w:w="1060" w:type="dxa"/>
            <w:tcBorders>
              <w:top w:val="nil"/>
              <w:left w:val="nil"/>
              <w:bottom w:val="nil"/>
              <w:right w:val="single" w:sz="4" w:space="0" w:color="auto"/>
            </w:tcBorders>
            <w:shd w:val="clear" w:color="auto" w:fill="auto"/>
            <w:noWrap/>
            <w:vAlign w:val="center"/>
            <w:hideMark/>
          </w:tcPr>
          <w:p w14:paraId="6B0095DE"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082533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1.180.803</w:t>
            </w:r>
          </w:p>
        </w:tc>
        <w:tc>
          <w:tcPr>
            <w:tcW w:w="1500" w:type="dxa"/>
            <w:tcBorders>
              <w:top w:val="nil"/>
              <w:left w:val="nil"/>
              <w:bottom w:val="nil"/>
              <w:right w:val="single" w:sz="4" w:space="0" w:color="auto"/>
            </w:tcBorders>
            <w:shd w:val="clear" w:color="auto" w:fill="auto"/>
            <w:noWrap/>
            <w:vAlign w:val="center"/>
            <w:hideMark/>
          </w:tcPr>
          <w:p w14:paraId="72BFDE1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-1.180.803 </w:t>
            </w:r>
          </w:p>
        </w:tc>
        <w:tc>
          <w:tcPr>
            <w:tcW w:w="1220" w:type="dxa"/>
            <w:tcBorders>
              <w:top w:val="nil"/>
              <w:left w:val="nil"/>
              <w:bottom w:val="nil"/>
              <w:right w:val="single" w:sz="4" w:space="0" w:color="auto"/>
            </w:tcBorders>
            <w:shd w:val="clear" w:color="auto" w:fill="auto"/>
            <w:noWrap/>
            <w:vAlign w:val="center"/>
            <w:hideMark/>
          </w:tcPr>
          <w:p w14:paraId="45B8FD0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64CF4D4E"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3538D2EF"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FB9A8A1"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intangibles </w:t>
            </w:r>
          </w:p>
        </w:tc>
        <w:tc>
          <w:tcPr>
            <w:tcW w:w="1060" w:type="dxa"/>
            <w:tcBorders>
              <w:top w:val="nil"/>
              <w:left w:val="nil"/>
              <w:bottom w:val="nil"/>
              <w:right w:val="single" w:sz="4" w:space="0" w:color="auto"/>
            </w:tcBorders>
            <w:shd w:val="clear" w:color="auto" w:fill="auto"/>
            <w:noWrap/>
            <w:vAlign w:val="center"/>
            <w:hideMark/>
          </w:tcPr>
          <w:p w14:paraId="5086F896"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f, k</w:t>
            </w:r>
          </w:p>
        </w:tc>
        <w:tc>
          <w:tcPr>
            <w:tcW w:w="1100" w:type="dxa"/>
            <w:tcBorders>
              <w:top w:val="nil"/>
              <w:left w:val="nil"/>
              <w:bottom w:val="nil"/>
              <w:right w:val="single" w:sz="4" w:space="0" w:color="auto"/>
            </w:tcBorders>
            <w:shd w:val="clear" w:color="auto" w:fill="auto"/>
            <w:noWrap/>
            <w:vAlign w:val="center"/>
            <w:hideMark/>
          </w:tcPr>
          <w:p w14:paraId="64FB72F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312.589</w:t>
            </w:r>
          </w:p>
        </w:tc>
        <w:tc>
          <w:tcPr>
            <w:tcW w:w="1500" w:type="dxa"/>
            <w:tcBorders>
              <w:top w:val="nil"/>
              <w:left w:val="nil"/>
              <w:bottom w:val="nil"/>
              <w:right w:val="single" w:sz="4" w:space="0" w:color="auto"/>
            </w:tcBorders>
            <w:shd w:val="clear" w:color="auto" w:fill="auto"/>
            <w:noWrap/>
            <w:vAlign w:val="center"/>
            <w:hideMark/>
          </w:tcPr>
          <w:p w14:paraId="1D779F0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-76.378 </w:t>
            </w:r>
          </w:p>
        </w:tc>
        <w:tc>
          <w:tcPr>
            <w:tcW w:w="1220" w:type="dxa"/>
            <w:tcBorders>
              <w:top w:val="nil"/>
              <w:left w:val="nil"/>
              <w:bottom w:val="nil"/>
              <w:right w:val="single" w:sz="4" w:space="0" w:color="auto"/>
            </w:tcBorders>
            <w:shd w:val="clear" w:color="auto" w:fill="auto"/>
            <w:noWrap/>
            <w:vAlign w:val="center"/>
            <w:hideMark/>
          </w:tcPr>
          <w:p w14:paraId="111D2CE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-59.459 </w:t>
            </w:r>
          </w:p>
        </w:tc>
        <w:tc>
          <w:tcPr>
            <w:tcW w:w="1140" w:type="dxa"/>
            <w:tcBorders>
              <w:top w:val="nil"/>
              <w:left w:val="nil"/>
              <w:bottom w:val="nil"/>
              <w:right w:val="single" w:sz="8" w:space="0" w:color="auto"/>
            </w:tcBorders>
            <w:shd w:val="clear" w:color="auto" w:fill="auto"/>
            <w:noWrap/>
            <w:vAlign w:val="center"/>
            <w:hideMark/>
          </w:tcPr>
          <w:p w14:paraId="274FA34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176.752 </w:t>
            </w:r>
          </w:p>
        </w:tc>
      </w:tr>
      <w:tr w:rsidR="001414E2" w:rsidRPr="00701F32" w14:paraId="04380B61"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6000EE5E"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1060" w:type="dxa"/>
            <w:tcBorders>
              <w:top w:val="nil"/>
              <w:left w:val="nil"/>
              <w:bottom w:val="nil"/>
              <w:right w:val="single" w:sz="4" w:space="0" w:color="auto"/>
            </w:tcBorders>
            <w:shd w:val="clear" w:color="auto" w:fill="auto"/>
            <w:noWrap/>
            <w:vAlign w:val="center"/>
            <w:hideMark/>
          </w:tcPr>
          <w:p w14:paraId="1EC57A4C"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8F1698A"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40.871</w:t>
            </w:r>
          </w:p>
        </w:tc>
        <w:tc>
          <w:tcPr>
            <w:tcW w:w="1500" w:type="dxa"/>
            <w:tcBorders>
              <w:top w:val="nil"/>
              <w:left w:val="nil"/>
              <w:bottom w:val="nil"/>
              <w:right w:val="single" w:sz="4" w:space="0" w:color="auto"/>
            </w:tcBorders>
            <w:shd w:val="clear" w:color="auto" w:fill="auto"/>
            <w:noWrap/>
            <w:vAlign w:val="center"/>
            <w:hideMark/>
          </w:tcPr>
          <w:p w14:paraId="006A81E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-40.871 </w:t>
            </w:r>
          </w:p>
        </w:tc>
        <w:tc>
          <w:tcPr>
            <w:tcW w:w="1220" w:type="dxa"/>
            <w:tcBorders>
              <w:top w:val="nil"/>
              <w:left w:val="nil"/>
              <w:bottom w:val="nil"/>
              <w:right w:val="single" w:sz="4" w:space="0" w:color="auto"/>
            </w:tcBorders>
            <w:shd w:val="clear" w:color="auto" w:fill="auto"/>
            <w:noWrap/>
            <w:vAlign w:val="center"/>
            <w:hideMark/>
          </w:tcPr>
          <w:p w14:paraId="1105C87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25E95A4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197BF3F8"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751933F5"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de deuda a VR con cambios en resultados </w:t>
            </w:r>
          </w:p>
        </w:tc>
        <w:tc>
          <w:tcPr>
            <w:tcW w:w="1060" w:type="dxa"/>
            <w:tcBorders>
              <w:top w:val="nil"/>
              <w:left w:val="nil"/>
              <w:bottom w:val="nil"/>
              <w:right w:val="single" w:sz="4" w:space="0" w:color="auto"/>
            </w:tcBorders>
            <w:shd w:val="clear" w:color="auto" w:fill="auto"/>
            <w:noWrap/>
            <w:vAlign w:val="center"/>
            <w:hideMark/>
          </w:tcPr>
          <w:p w14:paraId="62EB2A89"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100" w:type="dxa"/>
            <w:tcBorders>
              <w:top w:val="nil"/>
              <w:left w:val="nil"/>
              <w:bottom w:val="nil"/>
              <w:right w:val="single" w:sz="4" w:space="0" w:color="auto"/>
            </w:tcBorders>
            <w:shd w:val="clear" w:color="auto" w:fill="auto"/>
            <w:noWrap/>
            <w:vAlign w:val="center"/>
            <w:hideMark/>
          </w:tcPr>
          <w:p w14:paraId="72CBBAF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0CD140F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11.343.588 </w:t>
            </w:r>
          </w:p>
        </w:tc>
        <w:tc>
          <w:tcPr>
            <w:tcW w:w="1220" w:type="dxa"/>
            <w:tcBorders>
              <w:top w:val="nil"/>
              <w:left w:val="nil"/>
              <w:bottom w:val="nil"/>
              <w:right w:val="single" w:sz="4" w:space="0" w:color="auto"/>
            </w:tcBorders>
            <w:shd w:val="clear" w:color="auto" w:fill="auto"/>
            <w:noWrap/>
            <w:vAlign w:val="center"/>
            <w:hideMark/>
          </w:tcPr>
          <w:p w14:paraId="52B73C6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60.698 </w:t>
            </w:r>
          </w:p>
        </w:tc>
        <w:tc>
          <w:tcPr>
            <w:tcW w:w="1140" w:type="dxa"/>
            <w:tcBorders>
              <w:top w:val="nil"/>
              <w:left w:val="nil"/>
              <w:bottom w:val="nil"/>
              <w:right w:val="single" w:sz="8" w:space="0" w:color="auto"/>
            </w:tcBorders>
            <w:shd w:val="clear" w:color="auto" w:fill="auto"/>
            <w:noWrap/>
            <w:vAlign w:val="center"/>
            <w:hideMark/>
          </w:tcPr>
          <w:p w14:paraId="5A94CCA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11.404.286 </w:t>
            </w:r>
          </w:p>
        </w:tc>
      </w:tr>
      <w:tr w:rsidR="001414E2" w:rsidRPr="00701F32" w14:paraId="48536ABA"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34B27A4"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 </w:t>
            </w:r>
          </w:p>
        </w:tc>
        <w:tc>
          <w:tcPr>
            <w:tcW w:w="1060" w:type="dxa"/>
            <w:tcBorders>
              <w:top w:val="nil"/>
              <w:left w:val="nil"/>
              <w:bottom w:val="nil"/>
              <w:right w:val="single" w:sz="4" w:space="0" w:color="auto"/>
            </w:tcBorders>
            <w:shd w:val="clear" w:color="auto" w:fill="auto"/>
            <w:noWrap/>
            <w:vAlign w:val="center"/>
            <w:hideMark/>
          </w:tcPr>
          <w:p w14:paraId="353CA169"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7209030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5EC5DAC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26.916 </w:t>
            </w:r>
          </w:p>
        </w:tc>
        <w:tc>
          <w:tcPr>
            <w:tcW w:w="1220" w:type="dxa"/>
            <w:tcBorders>
              <w:top w:val="nil"/>
              <w:left w:val="nil"/>
              <w:bottom w:val="nil"/>
              <w:right w:val="single" w:sz="4" w:space="0" w:color="auto"/>
            </w:tcBorders>
            <w:shd w:val="clear" w:color="auto" w:fill="auto"/>
            <w:noWrap/>
            <w:vAlign w:val="center"/>
            <w:hideMark/>
          </w:tcPr>
          <w:p w14:paraId="6766661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5E679F3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26.916 </w:t>
            </w:r>
          </w:p>
        </w:tc>
      </w:tr>
      <w:tr w:rsidR="001414E2" w:rsidRPr="00701F32" w14:paraId="10BD69AC"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3323D6F"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1060" w:type="dxa"/>
            <w:tcBorders>
              <w:top w:val="nil"/>
              <w:left w:val="nil"/>
              <w:bottom w:val="nil"/>
              <w:right w:val="single" w:sz="4" w:space="0" w:color="auto"/>
            </w:tcBorders>
            <w:shd w:val="clear" w:color="auto" w:fill="auto"/>
            <w:noWrap/>
            <w:vAlign w:val="center"/>
            <w:hideMark/>
          </w:tcPr>
          <w:p w14:paraId="796B9952"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00" w:type="dxa"/>
            <w:tcBorders>
              <w:top w:val="nil"/>
              <w:left w:val="nil"/>
              <w:bottom w:val="nil"/>
              <w:right w:val="single" w:sz="4" w:space="0" w:color="auto"/>
            </w:tcBorders>
            <w:shd w:val="clear" w:color="auto" w:fill="auto"/>
            <w:noWrap/>
            <w:vAlign w:val="center"/>
            <w:hideMark/>
          </w:tcPr>
          <w:p w14:paraId="2FE5E25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2129E22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3.349.822 </w:t>
            </w:r>
          </w:p>
        </w:tc>
        <w:tc>
          <w:tcPr>
            <w:tcW w:w="1220" w:type="dxa"/>
            <w:tcBorders>
              <w:top w:val="nil"/>
              <w:left w:val="nil"/>
              <w:bottom w:val="nil"/>
              <w:right w:val="single" w:sz="4" w:space="0" w:color="auto"/>
            </w:tcBorders>
            <w:shd w:val="clear" w:color="auto" w:fill="auto"/>
            <w:noWrap/>
            <w:vAlign w:val="center"/>
            <w:hideMark/>
          </w:tcPr>
          <w:p w14:paraId="5ED4C56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23A51FB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3.349.822 </w:t>
            </w:r>
          </w:p>
        </w:tc>
      </w:tr>
      <w:tr w:rsidR="001414E2" w:rsidRPr="00701F32" w14:paraId="6F508FC5"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4D8BB0F1"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financieros </w:t>
            </w:r>
          </w:p>
        </w:tc>
        <w:tc>
          <w:tcPr>
            <w:tcW w:w="1060" w:type="dxa"/>
            <w:tcBorders>
              <w:top w:val="nil"/>
              <w:left w:val="nil"/>
              <w:bottom w:val="nil"/>
              <w:right w:val="single" w:sz="4" w:space="0" w:color="auto"/>
            </w:tcBorders>
            <w:shd w:val="clear" w:color="auto" w:fill="auto"/>
            <w:noWrap/>
            <w:vAlign w:val="center"/>
            <w:hideMark/>
          </w:tcPr>
          <w:p w14:paraId="030FF601"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00" w:type="dxa"/>
            <w:tcBorders>
              <w:top w:val="nil"/>
              <w:left w:val="nil"/>
              <w:bottom w:val="nil"/>
              <w:right w:val="single" w:sz="4" w:space="0" w:color="auto"/>
            </w:tcBorders>
            <w:shd w:val="clear" w:color="auto" w:fill="auto"/>
            <w:noWrap/>
            <w:vAlign w:val="center"/>
            <w:hideMark/>
          </w:tcPr>
          <w:p w14:paraId="165D3FC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1264B71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627.583 </w:t>
            </w:r>
          </w:p>
        </w:tc>
        <w:tc>
          <w:tcPr>
            <w:tcW w:w="1220" w:type="dxa"/>
            <w:tcBorders>
              <w:top w:val="nil"/>
              <w:left w:val="nil"/>
              <w:bottom w:val="nil"/>
              <w:right w:val="single" w:sz="4" w:space="0" w:color="auto"/>
            </w:tcBorders>
            <w:shd w:val="clear" w:color="auto" w:fill="auto"/>
            <w:noWrap/>
            <w:vAlign w:val="center"/>
            <w:hideMark/>
          </w:tcPr>
          <w:p w14:paraId="3CD00F1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69.400 </w:t>
            </w:r>
          </w:p>
        </w:tc>
        <w:tc>
          <w:tcPr>
            <w:tcW w:w="1140" w:type="dxa"/>
            <w:tcBorders>
              <w:top w:val="nil"/>
              <w:left w:val="nil"/>
              <w:bottom w:val="nil"/>
              <w:right w:val="single" w:sz="8" w:space="0" w:color="auto"/>
            </w:tcBorders>
            <w:shd w:val="clear" w:color="auto" w:fill="auto"/>
            <w:noWrap/>
            <w:vAlign w:val="center"/>
            <w:hideMark/>
          </w:tcPr>
          <w:p w14:paraId="14DFF89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696.983 </w:t>
            </w:r>
          </w:p>
        </w:tc>
      </w:tr>
      <w:tr w:rsidR="001414E2" w:rsidRPr="00701F32" w14:paraId="056FFDF1"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00A86D62"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Préstamos y otras financiaciones </w:t>
            </w:r>
          </w:p>
        </w:tc>
        <w:tc>
          <w:tcPr>
            <w:tcW w:w="1060" w:type="dxa"/>
            <w:tcBorders>
              <w:top w:val="nil"/>
              <w:left w:val="nil"/>
              <w:bottom w:val="nil"/>
              <w:right w:val="single" w:sz="4" w:space="0" w:color="auto"/>
            </w:tcBorders>
            <w:shd w:val="clear" w:color="auto" w:fill="auto"/>
            <w:noWrap/>
            <w:vAlign w:val="center"/>
            <w:hideMark/>
          </w:tcPr>
          <w:p w14:paraId="587902F8"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a, b, g, m, n</w:t>
            </w:r>
          </w:p>
        </w:tc>
        <w:tc>
          <w:tcPr>
            <w:tcW w:w="1100" w:type="dxa"/>
            <w:tcBorders>
              <w:top w:val="nil"/>
              <w:left w:val="nil"/>
              <w:bottom w:val="nil"/>
              <w:right w:val="single" w:sz="4" w:space="0" w:color="auto"/>
            </w:tcBorders>
            <w:shd w:val="clear" w:color="auto" w:fill="auto"/>
            <w:noWrap/>
            <w:vAlign w:val="center"/>
            <w:hideMark/>
          </w:tcPr>
          <w:p w14:paraId="3573D10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372755F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58.803.563 </w:t>
            </w:r>
          </w:p>
        </w:tc>
        <w:tc>
          <w:tcPr>
            <w:tcW w:w="1220" w:type="dxa"/>
            <w:tcBorders>
              <w:top w:val="nil"/>
              <w:left w:val="nil"/>
              <w:bottom w:val="nil"/>
              <w:right w:val="single" w:sz="4" w:space="0" w:color="auto"/>
            </w:tcBorders>
            <w:shd w:val="clear" w:color="auto" w:fill="auto"/>
            <w:noWrap/>
            <w:vAlign w:val="center"/>
            <w:hideMark/>
          </w:tcPr>
          <w:p w14:paraId="7B1A66D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1.335.242 </w:t>
            </w:r>
          </w:p>
        </w:tc>
        <w:tc>
          <w:tcPr>
            <w:tcW w:w="1140" w:type="dxa"/>
            <w:tcBorders>
              <w:top w:val="nil"/>
              <w:left w:val="nil"/>
              <w:bottom w:val="nil"/>
              <w:right w:val="single" w:sz="8" w:space="0" w:color="auto"/>
            </w:tcBorders>
            <w:shd w:val="clear" w:color="auto" w:fill="auto"/>
            <w:noWrap/>
            <w:vAlign w:val="center"/>
            <w:hideMark/>
          </w:tcPr>
          <w:p w14:paraId="3EE8D63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60.138.805 </w:t>
            </w:r>
          </w:p>
        </w:tc>
      </w:tr>
      <w:tr w:rsidR="001414E2" w:rsidRPr="00701F32" w14:paraId="4D0105BC"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46DABDE"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títulos de deuda </w:t>
            </w:r>
          </w:p>
        </w:tc>
        <w:tc>
          <w:tcPr>
            <w:tcW w:w="1060" w:type="dxa"/>
            <w:tcBorders>
              <w:top w:val="nil"/>
              <w:left w:val="nil"/>
              <w:bottom w:val="nil"/>
              <w:right w:val="single" w:sz="4" w:space="0" w:color="auto"/>
            </w:tcBorders>
            <w:shd w:val="clear" w:color="auto" w:fill="auto"/>
            <w:noWrap/>
            <w:vAlign w:val="center"/>
            <w:hideMark/>
          </w:tcPr>
          <w:p w14:paraId="6E6728A8"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068F9A0A"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4E151F6A"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257.003 </w:t>
            </w:r>
          </w:p>
        </w:tc>
        <w:tc>
          <w:tcPr>
            <w:tcW w:w="1220" w:type="dxa"/>
            <w:tcBorders>
              <w:top w:val="nil"/>
              <w:left w:val="nil"/>
              <w:bottom w:val="nil"/>
              <w:right w:val="single" w:sz="4" w:space="0" w:color="auto"/>
            </w:tcBorders>
            <w:shd w:val="clear" w:color="auto" w:fill="auto"/>
            <w:noWrap/>
            <w:vAlign w:val="center"/>
            <w:hideMark/>
          </w:tcPr>
          <w:p w14:paraId="1B62FEA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3FD0EC2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257.003 </w:t>
            </w:r>
          </w:p>
        </w:tc>
      </w:tr>
      <w:tr w:rsidR="001414E2" w:rsidRPr="00701F32" w14:paraId="5EEAAB01"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B45EE84"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financieros entregados en garantía </w:t>
            </w:r>
          </w:p>
        </w:tc>
        <w:tc>
          <w:tcPr>
            <w:tcW w:w="1060" w:type="dxa"/>
            <w:tcBorders>
              <w:top w:val="nil"/>
              <w:left w:val="nil"/>
              <w:bottom w:val="nil"/>
              <w:right w:val="single" w:sz="4" w:space="0" w:color="auto"/>
            </w:tcBorders>
            <w:shd w:val="clear" w:color="auto" w:fill="auto"/>
            <w:noWrap/>
            <w:vAlign w:val="center"/>
            <w:hideMark/>
          </w:tcPr>
          <w:p w14:paraId="04DC030A"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076D5C3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0978868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1.299.104 </w:t>
            </w:r>
          </w:p>
        </w:tc>
        <w:tc>
          <w:tcPr>
            <w:tcW w:w="1220" w:type="dxa"/>
            <w:tcBorders>
              <w:top w:val="nil"/>
              <w:left w:val="nil"/>
              <w:bottom w:val="nil"/>
              <w:right w:val="single" w:sz="4" w:space="0" w:color="auto"/>
            </w:tcBorders>
            <w:shd w:val="clear" w:color="auto" w:fill="auto"/>
            <w:noWrap/>
            <w:vAlign w:val="center"/>
            <w:hideMark/>
          </w:tcPr>
          <w:p w14:paraId="6FCE826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606D5F3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1.299.104 </w:t>
            </w:r>
          </w:p>
        </w:tc>
      </w:tr>
      <w:tr w:rsidR="001414E2" w:rsidRPr="00701F32" w14:paraId="6FD06D64"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6BAF2006"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instrumentos de patrimonio</w:t>
            </w:r>
          </w:p>
        </w:tc>
        <w:tc>
          <w:tcPr>
            <w:tcW w:w="1060" w:type="dxa"/>
            <w:tcBorders>
              <w:top w:val="nil"/>
              <w:left w:val="nil"/>
              <w:bottom w:val="nil"/>
              <w:right w:val="single" w:sz="4" w:space="0" w:color="auto"/>
            </w:tcBorders>
            <w:shd w:val="clear" w:color="auto" w:fill="auto"/>
            <w:noWrap/>
            <w:vAlign w:val="center"/>
            <w:hideMark/>
          </w:tcPr>
          <w:p w14:paraId="386C7E24"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100" w:type="dxa"/>
            <w:tcBorders>
              <w:top w:val="nil"/>
              <w:left w:val="nil"/>
              <w:bottom w:val="nil"/>
              <w:right w:val="single" w:sz="4" w:space="0" w:color="auto"/>
            </w:tcBorders>
            <w:shd w:val="clear" w:color="auto" w:fill="auto"/>
            <w:noWrap/>
            <w:vAlign w:val="center"/>
            <w:hideMark/>
          </w:tcPr>
          <w:p w14:paraId="352FFD9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0D1FC9B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38.703 </w:t>
            </w:r>
          </w:p>
        </w:tc>
        <w:tc>
          <w:tcPr>
            <w:tcW w:w="1220" w:type="dxa"/>
            <w:tcBorders>
              <w:top w:val="nil"/>
              <w:left w:val="nil"/>
              <w:bottom w:val="nil"/>
              <w:right w:val="single" w:sz="4" w:space="0" w:color="auto"/>
            </w:tcBorders>
            <w:shd w:val="clear" w:color="auto" w:fill="auto"/>
            <w:noWrap/>
            <w:vAlign w:val="center"/>
            <w:hideMark/>
          </w:tcPr>
          <w:p w14:paraId="178A5F1A"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7.216 </w:t>
            </w:r>
          </w:p>
        </w:tc>
        <w:tc>
          <w:tcPr>
            <w:tcW w:w="1140" w:type="dxa"/>
            <w:tcBorders>
              <w:top w:val="nil"/>
              <w:left w:val="nil"/>
              <w:bottom w:val="nil"/>
              <w:right w:val="single" w:sz="8" w:space="0" w:color="auto"/>
            </w:tcBorders>
            <w:shd w:val="clear" w:color="auto" w:fill="auto"/>
            <w:noWrap/>
            <w:vAlign w:val="center"/>
            <w:hideMark/>
          </w:tcPr>
          <w:p w14:paraId="326F385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45.919 </w:t>
            </w:r>
          </w:p>
        </w:tc>
      </w:tr>
      <w:tr w:rsidR="001414E2" w:rsidRPr="00701F32" w14:paraId="400EA939"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2A0179BC"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impuestos a las ganancias corriente </w:t>
            </w:r>
          </w:p>
        </w:tc>
        <w:tc>
          <w:tcPr>
            <w:tcW w:w="1060" w:type="dxa"/>
            <w:tcBorders>
              <w:top w:val="nil"/>
              <w:left w:val="nil"/>
              <w:bottom w:val="nil"/>
              <w:right w:val="single" w:sz="4" w:space="0" w:color="auto"/>
            </w:tcBorders>
            <w:shd w:val="clear" w:color="auto" w:fill="auto"/>
            <w:noWrap/>
            <w:vAlign w:val="center"/>
            <w:hideMark/>
          </w:tcPr>
          <w:p w14:paraId="15A7E410"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64E4E73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3C872C0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29.892 </w:t>
            </w:r>
          </w:p>
        </w:tc>
        <w:tc>
          <w:tcPr>
            <w:tcW w:w="1220" w:type="dxa"/>
            <w:tcBorders>
              <w:top w:val="nil"/>
              <w:left w:val="nil"/>
              <w:bottom w:val="nil"/>
              <w:right w:val="single" w:sz="4" w:space="0" w:color="auto"/>
            </w:tcBorders>
            <w:shd w:val="clear" w:color="auto" w:fill="auto"/>
            <w:noWrap/>
            <w:vAlign w:val="center"/>
            <w:hideMark/>
          </w:tcPr>
          <w:p w14:paraId="28B0FCD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28E04DA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29.892 </w:t>
            </w:r>
          </w:p>
        </w:tc>
      </w:tr>
      <w:tr w:rsidR="001414E2" w:rsidRPr="00701F32" w14:paraId="5AB20259"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0D7ECF18"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 a las ganancias diferido </w:t>
            </w:r>
          </w:p>
        </w:tc>
        <w:tc>
          <w:tcPr>
            <w:tcW w:w="1060" w:type="dxa"/>
            <w:tcBorders>
              <w:top w:val="nil"/>
              <w:left w:val="nil"/>
              <w:bottom w:val="nil"/>
              <w:right w:val="single" w:sz="4" w:space="0" w:color="auto"/>
            </w:tcBorders>
            <w:shd w:val="clear" w:color="auto" w:fill="auto"/>
            <w:noWrap/>
            <w:vAlign w:val="center"/>
            <w:hideMark/>
          </w:tcPr>
          <w:p w14:paraId="54DB87F6"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j, n</w:t>
            </w:r>
          </w:p>
        </w:tc>
        <w:tc>
          <w:tcPr>
            <w:tcW w:w="1100" w:type="dxa"/>
            <w:tcBorders>
              <w:top w:val="nil"/>
              <w:left w:val="nil"/>
              <w:bottom w:val="nil"/>
              <w:right w:val="single" w:sz="4" w:space="0" w:color="auto"/>
            </w:tcBorders>
            <w:shd w:val="clear" w:color="auto" w:fill="auto"/>
            <w:noWrap/>
            <w:vAlign w:val="center"/>
            <w:hideMark/>
          </w:tcPr>
          <w:p w14:paraId="04FBC3B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498FBA5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29EC6F4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499.535 </w:t>
            </w:r>
          </w:p>
        </w:tc>
        <w:tc>
          <w:tcPr>
            <w:tcW w:w="1140" w:type="dxa"/>
            <w:tcBorders>
              <w:top w:val="nil"/>
              <w:left w:val="nil"/>
              <w:bottom w:val="nil"/>
              <w:right w:val="single" w:sz="8" w:space="0" w:color="auto"/>
            </w:tcBorders>
            <w:shd w:val="clear" w:color="auto" w:fill="auto"/>
            <w:noWrap/>
            <w:vAlign w:val="center"/>
            <w:hideMark/>
          </w:tcPr>
          <w:p w14:paraId="6E76B2B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499.535 </w:t>
            </w:r>
          </w:p>
        </w:tc>
      </w:tr>
      <w:tr w:rsidR="001414E2" w:rsidRPr="00701F32" w14:paraId="1EF09D74"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7A10E646"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no financieros </w:t>
            </w:r>
          </w:p>
        </w:tc>
        <w:tc>
          <w:tcPr>
            <w:tcW w:w="1060" w:type="dxa"/>
            <w:tcBorders>
              <w:top w:val="nil"/>
              <w:left w:val="nil"/>
              <w:bottom w:val="nil"/>
              <w:right w:val="single" w:sz="4" w:space="0" w:color="auto"/>
            </w:tcBorders>
            <w:shd w:val="clear" w:color="auto" w:fill="auto"/>
            <w:noWrap/>
            <w:vAlign w:val="center"/>
            <w:hideMark/>
          </w:tcPr>
          <w:p w14:paraId="755EF261"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00" w:type="dxa"/>
            <w:tcBorders>
              <w:top w:val="nil"/>
              <w:left w:val="nil"/>
              <w:bottom w:val="nil"/>
              <w:right w:val="single" w:sz="4" w:space="0" w:color="auto"/>
            </w:tcBorders>
            <w:shd w:val="clear" w:color="auto" w:fill="auto"/>
            <w:noWrap/>
            <w:vAlign w:val="center"/>
            <w:hideMark/>
          </w:tcPr>
          <w:p w14:paraId="5685634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563DA3B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562.187 </w:t>
            </w:r>
          </w:p>
        </w:tc>
        <w:tc>
          <w:tcPr>
            <w:tcW w:w="1220" w:type="dxa"/>
            <w:tcBorders>
              <w:top w:val="nil"/>
              <w:left w:val="nil"/>
              <w:bottom w:val="nil"/>
              <w:right w:val="single" w:sz="4" w:space="0" w:color="auto"/>
            </w:tcBorders>
            <w:shd w:val="clear" w:color="auto" w:fill="auto"/>
            <w:noWrap/>
            <w:vAlign w:val="center"/>
            <w:hideMark/>
          </w:tcPr>
          <w:p w14:paraId="15BF251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77.079 </w:t>
            </w:r>
          </w:p>
        </w:tc>
        <w:tc>
          <w:tcPr>
            <w:tcW w:w="1140" w:type="dxa"/>
            <w:tcBorders>
              <w:top w:val="nil"/>
              <w:left w:val="nil"/>
              <w:bottom w:val="nil"/>
              <w:right w:val="single" w:sz="8" w:space="0" w:color="auto"/>
            </w:tcBorders>
            <w:shd w:val="clear" w:color="auto" w:fill="auto"/>
            <w:noWrap/>
            <w:vAlign w:val="center"/>
            <w:hideMark/>
          </w:tcPr>
          <w:p w14:paraId="60FE82E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639.266 </w:t>
            </w:r>
          </w:p>
        </w:tc>
      </w:tr>
      <w:tr w:rsidR="001414E2" w:rsidRPr="00701F32" w14:paraId="472E602E"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0FD53433"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Propiedad, planta y equipo </w:t>
            </w:r>
          </w:p>
        </w:tc>
        <w:tc>
          <w:tcPr>
            <w:tcW w:w="1060" w:type="dxa"/>
            <w:tcBorders>
              <w:top w:val="nil"/>
              <w:left w:val="nil"/>
              <w:bottom w:val="nil"/>
              <w:right w:val="single" w:sz="4" w:space="0" w:color="auto"/>
            </w:tcBorders>
            <w:shd w:val="clear" w:color="auto" w:fill="auto"/>
            <w:noWrap/>
            <w:vAlign w:val="center"/>
            <w:hideMark/>
          </w:tcPr>
          <w:p w14:paraId="01403FD4"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00" w:type="dxa"/>
            <w:tcBorders>
              <w:top w:val="nil"/>
              <w:left w:val="nil"/>
              <w:bottom w:val="nil"/>
              <w:right w:val="single" w:sz="4" w:space="0" w:color="auto"/>
            </w:tcBorders>
            <w:shd w:val="clear" w:color="auto" w:fill="auto"/>
            <w:noWrap/>
            <w:vAlign w:val="center"/>
            <w:hideMark/>
          </w:tcPr>
          <w:p w14:paraId="18DD5D7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7F567F1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985.537 </w:t>
            </w:r>
          </w:p>
        </w:tc>
        <w:tc>
          <w:tcPr>
            <w:tcW w:w="1220" w:type="dxa"/>
            <w:tcBorders>
              <w:top w:val="nil"/>
              <w:left w:val="nil"/>
              <w:bottom w:val="nil"/>
              <w:right w:val="single" w:sz="4" w:space="0" w:color="auto"/>
            </w:tcBorders>
            <w:shd w:val="clear" w:color="auto" w:fill="auto"/>
            <w:noWrap/>
            <w:vAlign w:val="center"/>
            <w:hideMark/>
          </w:tcPr>
          <w:p w14:paraId="3456357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147.556 </w:t>
            </w:r>
          </w:p>
        </w:tc>
        <w:tc>
          <w:tcPr>
            <w:tcW w:w="1140" w:type="dxa"/>
            <w:tcBorders>
              <w:top w:val="nil"/>
              <w:left w:val="nil"/>
              <w:bottom w:val="nil"/>
              <w:right w:val="single" w:sz="8" w:space="0" w:color="auto"/>
            </w:tcBorders>
            <w:shd w:val="clear" w:color="auto" w:fill="auto"/>
            <w:noWrap/>
            <w:vAlign w:val="center"/>
            <w:hideMark/>
          </w:tcPr>
          <w:p w14:paraId="6A4DD69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1.133.093 </w:t>
            </w:r>
          </w:p>
        </w:tc>
      </w:tr>
      <w:tr w:rsidR="001414E2" w:rsidRPr="00701F32" w14:paraId="430AD95E" w14:textId="77777777" w:rsidTr="001414E2">
        <w:trPr>
          <w:trHeight w:val="315"/>
        </w:trPr>
        <w:tc>
          <w:tcPr>
            <w:tcW w:w="38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11ABD4" w14:textId="77777777" w:rsidR="001414E2" w:rsidRPr="00701F32" w:rsidRDefault="001414E2">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32760F" w:rsidRPr="00701F32">
              <w:rPr>
                <w:rFonts w:ascii="Arial" w:hAnsi="Arial" w:cs="Arial"/>
                <w:b/>
                <w:bCs/>
                <w:color w:val="000000"/>
                <w:sz w:val="16"/>
                <w:szCs w:val="16"/>
                <w:lang w:eastAsia="es-AR"/>
              </w:rPr>
              <w:t>l Activo al 31/12/2017</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9F9A222"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14:paraId="08CDBC16"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92.398.549 </w:t>
            </w:r>
          </w:p>
        </w:tc>
        <w:tc>
          <w:tcPr>
            <w:tcW w:w="1500" w:type="dxa"/>
            <w:tcBorders>
              <w:top w:val="single" w:sz="8" w:space="0" w:color="auto"/>
              <w:left w:val="nil"/>
              <w:bottom w:val="single" w:sz="8" w:space="0" w:color="auto"/>
              <w:right w:val="single" w:sz="4" w:space="0" w:color="auto"/>
            </w:tcBorders>
            <w:shd w:val="clear" w:color="auto" w:fill="auto"/>
            <w:noWrap/>
            <w:vAlign w:val="center"/>
            <w:hideMark/>
          </w:tcPr>
          <w:p w14:paraId="57B54147"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-3.776.670 </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5F961DDA"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2.143.542 </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1D0424F7"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90.765.421 </w:t>
            </w:r>
          </w:p>
        </w:tc>
      </w:tr>
      <w:tr w:rsidR="001414E2" w:rsidRPr="00701F32" w14:paraId="03A65B8A"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C342FC6"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Depósitos </w:t>
            </w:r>
          </w:p>
        </w:tc>
        <w:tc>
          <w:tcPr>
            <w:tcW w:w="1060" w:type="dxa"/>
            <w:tcBorders>
              <w:top w:val="nil"/>
              <w:left w:val="nil"/>
              <w:bottom w:val="nil"/>
              <w:right w:val="single" w:sz="4" w:space="0" w:color="auto"/>
            </w:tcBorders>
            <w:shd w:val="clear" w:color="auto" w:fill="auto"/>
            <w:noWrap/>
            <w:vAlign w:val="center"/>
            <w:hideMark/>
          </w:tcPr>
          <w:p w14:paraId="39198A3C"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23D8E8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60.757.818</w:t>
            </w:r>
          </w:p>
        </w:tc>
        <w:tc>
          <w:tcPr>
            <w:tcW w:w="1500" w:type="dxa"/>
            <w:tcBorders>
              <w:top w:val="nil"/>
              <w:left w:val="nil"/>
              <w:bottom w:val="nil"/>
              <w:right w:val="single" w:sz="4" w:space="0" w:color="auto"/>
            </w:tcBorders>
            <w:shd w:val="clear" w:color="auto" w:fill="auto"/>
            <w:noWrap/>
            <w:vAlign w:val="center"/>
            <w:hideMark/>
          </w:tcPr>
          <w:p w14:paraId="5355B1C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-4.181.640 </w:t>
            </w:r>
          </w:p>
        </w:tc>
        <w:tc>
          <w:tcPr>
            <w:tcW w:w="1220" w:type="dxa"/>
            <w:tcBorders>
              <w:top w:val="nil"/>
              <w:left w:val="nil"/>
              <w:bottom w:val="nil"/>
              <w:right w:val="single" w:sz="4" w:space="0" w:color="auto"/>
            </w:tcBorders>
            <w:shd w:val="clear" w:color="auto" w:fill="auto"/>
            <w:noWrap/>
            <w:vAlign w:val="center"/>
            <w:hideMark/>
          </w:tcPr>
          <w:p w14:paraId="1991581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77EE14F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56.576.178 </w:t>
            </w:r>
          </w:p>
        </w:tc>
      </w:tr>
      <w:tr w:rsidR="001414E2" w:rsidRPr="00701F32" w14:paraId="63BE6AB6"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20126585"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Otras obligaciones por intermediación financiera </w:t>
            </w:r>
          </w:p>
        </w:tc>
        <w:tc>
          <w:tcPr>
            <w:tcW w:w="1060" w:type="dxa"/>
            <w:tcBorders>
              <w:top w:val="nil"/>
              <w:left w:val="nil"/>
              <w:bottom w:val="nil"/>
              <w:right w:val="single" w:sz="4" w:space="0" w:color="auto"/>
            </w:tcBorders>
            <w:shd w:val="clear" w:color="auto" w:fill="auto"/>
            <w:noWrap/>
            <w:vAlign w:val="center"/>
            <w:hideMark/>
          </w:tcPr>
          <w:p w14:paraId="7CCD757B"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00" w:type="dxa"/>
            <w:tcBorders>
              <w:top w:val="nil"/>
              <w:left w:val="nil"/>
              <w:bottom w:val="nil"/>
              <w:right w:val="single" w:sz="4" w:space="0" w:color="auto"/>
            </w:tcBorders>
            <w:shd w:val="clear" w:color="auto" w:fill="auto"/>
            <w:noWrap/>
            <w:vAlign w:val="center"/>
            <w:hideMark/>
          </w:tcPr>
          <w:p w14:paraId="7120EB8A"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18.424.080</w:t>
            </w:r>
          </w:p>
        </w:tc>
        <w:tc>
          <w:tcPr>
            <w:tcW w:w="1500" w:type="dxa"/>
            <w:tcBorders>
              <w:top w:val="nil"/>
              <w:left w:val="nil"/>
              <w:bottom w:val="nil"/>
              <w:right w:val="single" w:sz="4" w:space="0" w:color="auto"/>
            </w:tcBorders>
            <w:shd w:val="clear" w:color="auto" w:fill="auto"/>
            <w:noWrap/>
            <w:vAlign w:val="center"/>
            <w:hideMark/>
          </w:tcPr>
          <w:p w14:paraId="16F8F0B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-18.424.080 </w:t>
            </w:r>
          </w:p>
        </w:tc>
        <w:tc>
          <w:tcPr>
            <w:tcW w:w="1220" w:type="dxa"/>
            <w:tcBorders>
              <w:top w:val="nil"/>
              <w:left w:val="nil"/>
              <w:bottom w:val="nil"/>
              <w:right w:val="single" w:sz="4" w:space="0" w:color="auto"/>
            </w:tcBorders>
            <w:shd w:val="clear" w:color="auto" w:fill="auto"/>
            <w:noWrap/>
            <w:vAlign w:val="center"/>
            <w:hideMark/>
          </w:tcPr>
          <w:p w14:paraId="67375F6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5253610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3ABF783D"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1B10BD28"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diversas </w:t>
            </w:r>
          </w:p>
        </w:tc>
        <w:tc>
          <w:tcPr>
            <w:tcW w:w="1060" w:type="dxa"/>
            <w:tcBorders>
              <w:top w:val="nil"/>
              <w:left w:val="nil"/>
              <w:bottom w:val="nil"/>
              <w:right w:val="single" w:sz="4" w:space="0" w:color="auto"/>
            </w:tcBorders>
            <w:shd w:val="clear" w:color="auto" w:fill="auto"/>
            <w:noWrap/>
            <w:vAlign w:val="center"/>
            <w:hideMark/>
          </w:tcPr>
          <w:p w14:paraId="6C3576BA"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5A18BD8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2.332.107</w:t>
            </w:r>
          </w:p>
        </w:tc>
        <w:tc>
          <w:tcPr>
            <w:tcW w:w="1500" w:type="dxa"/>
            <w:tcBorders>
              <w:top w:val="nil"/>
              <w:left w:val="nil"/>
              <w:bottom w:val="nil"/>
              <w:right w:val="single" w:sz="4" w:space="0" w:color="auto"/>
            </w:tcBorders>
            <w:shd w:val="clear" w:color="auto" w:fill="auto"/>
            <w:noWrap/>
            <w:vAlign w:val="center"/>
            <w:hideMark/>
          </w:tcPr>
          <w:p w14:paraId="022C86FE"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-2.332.107 </w:t>
            </w:r>
          </w:p>
        </w:tc>
        <w:tc>
          <w:tcPr>
            <w:tcW w:w="1220" w:type="dxa"/>
            <w:tcBorders>
              <w:top w:val="nil"/>
              <w:left w:val="nil"/>
              <w:bottom w:val="nil"/>
              <w:right w:val="single" w:sz="4" w:space="0" w:color="auto"/>
            </w:tcBorders>
            <w:shd w:val="clear" w:color="auto" w:fill="auto"/>
            <w:noWrap/>
            <w:vAlign w:val="center"/>
            <w:hideMark/>
          </w:tcPr>
          <w:p w14:paraId="01437DA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1538AFD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044FE8A2"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5E748366"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Provisiones </w:t>
            </w:r>
          </w:p>
        </w:tc>
        <w:tc>
          <w:tcPr>
            <w:tcW w:w="1060" w:type="dxa"/>
            <w:tcBorders>
              <w:top w:val="nil"/>
              <w:left w:val="nil"/>
              <w:bottom w:val="nil"/>
              <w:right w:val="single" w:sz="4" w:space="0" w:color="auto"/>
            </w:tcBorders>
            <w:shd w:val="clear" w:color="auto" w:fill="auto"/>
            <w:noWrap/>
            <w:vAlign w:val="center"/>
            <w:hideMark/>
          </w:tcPr>
          <w:p w14:paraId="36E1B7CC"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0C54DB7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72.617</w:t>
            </w:r>
          </w:p>
        </w:tc>
        <w:tc>
          <w:tcPr>
            <w:tcW w:w="1500" w:type="dxa"/>
            <w:tcBorders>
              <w:top w:val="nil"/>
              <w:left w:val="nil"/>
              <w:bottom w:val="nil"/>
              <w:right w:val="single" w:sz="4" w:space="0" w:color="auto"/>
            </w:tcBorders>
            <w:shd w:val="clear" w:color="auto" w:fill="auto"/>
            <w:noWrap/>
            <w:vAlign w:val="center"/>
            <w:hideMark/>
          </w:tcPr>
          <w:p w14:paraId="2E74FDB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5936FF6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2DF0A75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72.617 </w:t>
            </w:r>
          </w:p>
        </w:tc>
      </w:tr>
      <w:tr w:rsidR="001414E2" w:rsidRPr="00701F32" w14:paraId="305143F3"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089C3B4A"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subordinadas </w:t>
            </w:r>
          </w:p>
        </w:tc>
        <w:tc>
          <w:tcPr>
            <w:tcW w:w="1060" w:type="dxa"/>
            <w:tcBorders>
              <w:top w:val="nil"/>
              <w:left w:val="nil"/>
              <w:bottom w:val="nil"/>
              <w:right w:val="single" w:sz="4" w:space="0" w:color="auto"/>
            </w:tcBorders>
            <w:shd w:val="clear" w:color="auto" w:fill="auto"/>
            <w:noWrap/>
            <w:vAlign w:val="center"/>
            <w:hideMark/>
          </w:tcPr>
          <w:p w14:paraId="6C9B2E57"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84DC31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685.873</w:t>
            </w:r>
          </w:p>
        </w:tc>
        <w:tc>
          <w:tcPr>
            <w:tcW w:w="1500" w:type="dxa"/>
            <w:tcBorders>
              <w:top w:val="nil"/>
              <w:left w:val="nil"/>
              <w:bottom w:val="nil"/>
              <w:right w:val="single" w:sz="4" w:space="0" w:color="auto"/>
            </w:tcBorders>
            <w:shd w:val="clear" w:color="auto" w:fill="auto"/>
            <w:noWrap/>
            <w:vAlign w:val="center"/>
            <w:hideMark/>
          </w:tcPr>
          <w:p w14:paraId="7A42B44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6C0A0C7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588CE59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685.873 </w:t>
            </w:r>
          </w:p>
        </w:tc>
      </w:tr>
      <w:tr w:rsidR="001414E2" w:rsidRPr="00701F32" w14:paraId="5CF6C4C0"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8A8968C"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1060" w:type="dxa"/>
            <w:tcBorders>
              <w:top w:val="nil"/>
              <w:left w:val="nil"/>
              <w:bottom w:val="nil"/>
              <w:right w:val="single" w:sz="4" w:space="0" w:color="auto"/>
            </w:tcBorders>
            <w:shd w:val="clear" w:color="auto" w:fill="auto"/>
            <w:noWrap/>
            <w:vAlign w:val="center"/>
            <w:hideMark/>
          </w:tcPr>
          <w:p w14:paraId="36A44776"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5756421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52.782</w:t>
            </w:r>
          </w:p>
        </w:tc>
        <w:tc>
          <w:tcPr>
            <w:tcW w:w="1500" w:type="dxa"/>
            <w:tcBorders>
              <w:top w:val="nil"/>
              <w:left w:val="nil"/>
              <w:bottom w:val="nil"/>
              <w:right w:val="single" w:sz="4" w:space="0" w:color="auto"/>
            </w:tcBorders>
            <w:shd w:val="clear" w:color="auto" w:fill="auto"/>
            <w:noWrap/>
            <w:vAlign w:val="center"/>
            <w:hideMark/>
          </w:tcPr>
          <w:p w14:paraId="233296D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-52.782 </w:t>
            </w:r>
          </w:p>
        </w:tc>
        <w:tc>
          <w:tcPr>
            <w:tcW w:w="1220" w:type="dxa"/>
            <w:tcBorders>
              <w:top w:val="nil"/>
              <w:left w:val="nil"/>
              <w:bottom w:val="nil"/>
              <w:right w:val="single" w:sz="4" w:space="0" w:color="auto"/>
            </w:tcBorders>
            <w:shd w:val="clear" w:color="auto" w:fill="auto"/>
            <w:noWrap/>
            <w:vAlign w:val="center"/>
            <w:hideMark/>
          </w:tcPr>
          <w:p w14:paraId="66D0B2AE"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6F63A67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28E9D434"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01E6F490"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Participación de terceros</w:t>
            </w:r>
          </w:p>
        </w:tc>
        <w:tc>
          <w:tcPr>
            <w:tcW w:w="1060" w:type="dxa"/>
            <w:tcBorders>
              <w:top w:val="nil"/>
              <w:left w:val="nil"/>
              <w:bottom w:val="nil"/>
              <w:right w:val="single" w:sz="4" w:space="0" w:color="auto"/>
            </w:tcBorders>
            <w:shd w:val="clear" w:color="auto" w:fill="auto"/>
            <w:noWrap/>
            <w:vAlign w:val="center"/>
            <w:hideMark/>
          </w:tcPr>
          <w:p w14:paraId="1440E0A0"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o</w:t>
            </w:r>
          </w:p>
        </w:tc>
        <w:tc>
          <w:tcPr>
            <w:tcW w:w="1100" w:type="dxa"/>
            <w:tcBorders>
              <w:top w:val="nil"/>
              <w:left w:val="nil"/>
              <w:bottom w:val="nil"/>
              <w:right w:val="single" w:sz="4" w:space="0" w:color="auto"/>
            </w:tcBorders>
            <w:shd w:val="clear" w:color="auto" w:fill="auto"/>
            <w:noWrap/>
            <w:vAlign w:val="center"/>
            <w:hideMark/>
          </w:tcPr>
          <w:p w14:paraId="17F629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78.585</w:t>
            </w:r>
          </w:p>
        </w:tc>
        <w:tc>
          <w:tcPr>
            <w:tcW w:w="1500" w:type="dxa"/>
            <w:tcBorders>
              <w:top w:val="nil"/>
              <w:left w:val="nil"/>
              <w:bottom w:val="nil"/>
              <w:right w:val="single" w:sz="4" w:space="0" w:color="auto"/>
            </w:tcBorders>
            <w:shd w:val="clear" w:color="auto" w:fill="auto"/>
            <w:noWrap/>
            <w:vAlign w:val="center"/>
            <w:hideMark/>
          </w:tcPr>
          <w:p w14:paraId="599C45C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-74.778 </w:t>
            </w:r>
          </w:p>
        </w:tc>
        <w:tc>
          <w:tcPr>
            <w:tcW w:w="1220" w:type="dxa"/>
            <w:tcBorders>
              <w:top w:val="nil"/>
              <w:left w:val="nil"/>
              <w:bottom w:val="nil"/>
              <w:right w:val="single" w:sz="4" w:space="0" w:color="auto"/>
            </w:tcBorders>
            <w:shd w:val="clear" w:color="auto" w:fill="auto"/>
            <w:noWrap/>
            <w:vAlign w:val="center"/>
            <w:hideMark/>
          </w:tcPr>
          <w:p w14:paraId="5B2D70A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-3.807 </w:t>
            </w:r>
          </w:p>
        </w:tc>
        <w:tc>
          <w:tcPr>
            <w:tcW w:w="1140" w:type="dxa"/>
            <w:tcBorders>
              <w:top w:val="nil"/>
              <w:left w:val="nil"/>
              <w:bottom w:val="nil"/>
              <w:right w:val="single" w:sz="8" w:space="0" w:color="auto"/>
            </w:tcBorders>
            <w:shd w:val="clear" w:color="auto" w:fill="auto"/>
            <w:noWrap/>
            <w:vAlign w:val="center"/>
            <w:hideMark/>
          </w:tcPr>
          <w:p w14:paraId="7946B71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r>
      <w:tr w:rsidR="001414E2" w:rsidRPr="00701F32" w14:paraId="6763AD16"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2D7E9E3E"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Pasivos a VR con cambios en resultados</w:t>
            </w:r>
          </w:p>
        </w:tc>
        <w:tc>
          <w:tcPr>
            <w:tcW w:w="1060" w:type="dxa"/>
            <w:tcBorders>
              <w:top w:val="nil"/>
              <w:left w:val="nil"/>
              <w:bottom w:val="nil"/>
              <w:right w:val="single" w:sz="4" w:space="0" w:color="auto"/>
            </w:tcBorders>
            <w:shd w:val="clear" w:color="auto" w:fill="auto"/>
            <w:noWrap/>
            <w:vAlign w:val="center"/>
            <w:hideMark/>
          </w:tcPr>
          <w:p w14:paraId="6D8971B5"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4CDC2E0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35DDC2F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4.176.040 </w:t>
            </w:r>
          </w:p>
        </w:tc>
        <w:tc>
          <w:tcPr>
            <w:tcW w:w="1220" w:type="dxa"/>
            <w:tcBorders>
              <w:top w:val="nil"/>
              <w:left w:val="nil"/>
              <w:bottom w:val="nil"/>
              <w:right w:val="single" w:sz="4" w:space="0" w:color="auto"/>
            </w:tcBorders>
            <w:shd w:val="clear" w:color="auto" w:fill="auto"/>
            <w:noWrap/>
            <w:vAlign w:val="center"/>
            <w:hideMark/>
          </w:tcPr>
          <w:p w14:paraId="178C649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7FFB511C"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4.176.040 </w:t>
            </w:r>
          </w:p>
        </w:tc>
      </w:tr>
      <w:tr w:rsidR="001414E2" w:rsidRPr="00701F32" w14:paraId="6E949C12"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7AFFB3F0"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financieros </w:t>
            </w:r>
          </w:p>
        </w:tc>
        <w:tc>
          <w:tcPr>
            <w:tcW w:w="1060" w:type="dxa"/>
            <w:tcBorders>
              <w:top w:val="nil"/>
              <w:left w:val="nil"/>
              <w:bottom w:val="nil"/>
              <w:right w:val="single" w:sz="4" w:space="0" w:color="auto"/>
            </w:tcBorders>
            <w:shd w:val="clear" w:color="auto" w:fill="auto"/>
            <w:noWrap/>
            <w:vAlign w:val="center"/>
            <w:hideMark/>
          </w:tcPr>
          <w:p w14:paraId="3EA6FD7E"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g, m, n</w:t>
            </w:r>
          </w:p>
        </w:tc>
        <w:tc>
          <w:tcPr>
            <w:tcW w:w="1100" w:type="dxa"/>
            <w:tcBorders>
              <w:top w:val="nil"/>
              <w:left w:val="nil"/>
              <w:bottom w:val="nil"/>
              <w:right w:val="single" w:sz="4" w:space="0" w:color="auto"/>
            </w:tcBorders>
            <w:shd w:val="clear" w:color="auto" w:fill="auto"/>
            <w:noWrap/>
            <w:vAlign w:val="center"/>
            <w:hideMark/>
          </w:tcPr>
          <w:p w14:paraId="275795A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66140692"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2.016.710 </w:t>
            </w:r>
          </w:p>
        </w:tc>
        <w:tc>
          <w:tcPr>
            <w:tcW w:w="1220" w:type="dxa"/>
            <w:tcBorders>
              <w:top w:val="nil"/>
              <w:left w:val="nil"/>
              <w:bottom w:val="nil"/>
              <w:right w:val="single" w:sz="4" w:space="0" w:color="auto"/>
            </w:tcBorders>
            <w:shd w:val="clear" w:color="auto" w:fill="auto"/>
            <w:noWrap/>
            <w:vAlign w:val="center"/>
            <w:hideMark/>
          </w:tcPr>
          <w:p w14:paraId="294CFB03"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1.855.982 </w:t>
            </w:r>
          </w:p>
        </w:tc>
        <w:tc>
          <w:tcPr>
            <w:tcW w:w="1140" w:type="dxa"/>
            <w:tcBorders>
              <w:top w:val="nil"/>
              <w:left w:val="nil"/>
              <w:bottom w:val="nil"/>
              <w:right w:val="single" w:sz="8" w:space="0" w:color="auto"/>
            </w:tcBorders>
            <w:shd w:val="clear" w:color="auto" w:fill="auto"/>
            <w:noWrap/>
            <w:vAlign w:val="center"/>
            <w:hideMark/>
          </w:tcPr>
          <w:p w14:paraId="0946721E"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3.872.692 </w:t>
            </w:r>
          </w:p>
        </w:tc>
      </w:tr>
      <w:tr w:rsidR="001414E2" w:rsidRPr="00701F32" w14:paraId="2B36DD4B"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56346110"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Financ.recibidas del BCRA y otras inst. financieras </w:t>
            </w:r>
          </w:p>
        </w:tc>
        <w:tc>
          <w:tcPr>
            <w:tcW w:w="1060" w:type="dxa"/>
            <w:tcBorders>
              <w:top w:val="nil"/>
              <w:left w:val="nil"/>
              <w:bottom w:val="nil"/>
              <w:right w:val="single" w:sz="4" w:space="0" w:color="auto"/>
            </w:tcBorders>
            <w:shd w:val="clear" w:color="auto" w:fill="auto"/>
            <w:noWrap/>
            <w:vAlign w:val="center"/>
            <w:hideMark/>
          </w:tcPr>
          <w:p w14:paraId="327C8CD6"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6F33C867"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309C0F6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3.436.438 </w:t>
            </w:r>
          </w:p>
        </w:tc>
        <w:tc>
          <w:tcPr>
            <w:tcW w:w="1220" w:type="dxa"/>
            <w:tcBorders>
              <w:top w:val="nil"/>
              <w:left w:val="nil"/>
              <w:bottom w:val="nil"/>
              <w:right w:val="single" w:sz="4" w:space="0" w:color="auto"/>
            </w:tcBorders>
            <w:shd w:val="clear" w:color="auto" w:fill="auto"/>
            <w:noWrap/>
            <w:vAlign w:val="center"/>
            <w:hideMark/>
          </w:tcPr>
          <w:p w14:paraId="6E06CEB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1635DB9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3.436.438 </w:t>
            </w:r>
          </w:p>
        </w:tc>
      </w:tr>
      <w:tr w:rsidR="001414E2" w:rsidRPr="00701F32" w14:paraId="78E9644C"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72D4561E"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emitidas </w:t>
            </w:r>
          </w:p>
        </w:tc>
        <w:tc>
          <w:tcPr>
            <w:tcW w:w="1060" w:type="dxa"/>
            <w:tcBorders>
              <w:top w:val="nil"/>
              <w:left w:val="nil"/>
              <w:bottom w:val="nil"/>
              <w:right w:val="single" w:sz="4" w:space="0" w:color="auto"/>
            </w:tcBorders>
            <w:shd w:val="clear" w:color="auto" w:fill="auto"/>
            <w:noWrap/>
            <w:vAlign w:val="center"/>
            <w:hideMark/>
          </w:tcPr>
          <w:p w14:paraId="56F8AEDD"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1D5938C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02E380F0"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8.563.372 </w:t>
            </w:r>
          </w:p>
        </w:tc>
        <w:tc>
          <w:tcPr>
            <w:tcW w:w="1220" w:type="dxa"/>
            <w:tcBorders>
              <w:top w:val="nil"/>
              <w:left w:val="nil"/>
              <w:bottom w:val="nil"/>
              <w:right w:val="single" w:sz="4" w:space="0" w:color="auto"/>
            </w:tcBorders>
            <w:shd w:val="clear" w:color="auto" w:fill="auto"/>
            <w:noWrap/>
            <w:vAlign w:val="center"/>
            <w:hideMark/>
          </w:tcPr>
          <w:p w14:paraId="6CD6207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6DA89F0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8.563.372 </w:t>
            </w:r>
          </w:p>
        </w:tc>
      </w:tr>
      <w:tr w:rsidR="001414E2" w:rsidRPr="00701F32" w14:paraId="328E6F93"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2CB99D97"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 por impuestos a las ganancias corriente </w:t>
            </w:r>
          </w:p>
        </w:tc>
        <w:tc>
          <w:tcPr>
            <w:tcW w:w="1060" w:type="dxa"/>
            <w:tcBorders>
              <w:top w:val="nil"/>
              <w:left w:val="nil"/>
              <w:bottom w:val="nil"/>
              <w:right w:val="single" w:sz="4" w:space="0" w:color="auto"/>
            </w:tcBorders>
            <w:shd w:val="clear" w:color="auto" w:fill="auto"/>
            <w:noWrap/>
            <w:vAlign w:val="center"/>
            <w:hideMark/>
          </w:tcPr>
          <w:p w14:paraId="67DF6592"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004889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79C9159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641.619 </w:t>
            </w:r>
          </w:p>
        </w:tc>
        <w:tc>
          <w:tcPr>
            <w:tcW w:w="1220" w:type="dxa"/>
            <w:tcBorders>
              <w:top w:val="nil"/>
              <w:left w:val="nil"/>
              <w:bottom w:val="nil"/>
              <w:right w:val="single" w:sz="4" w:space="0" w:color="auto"/>
            </w:tcBorders>
            <w:shd w:val="clear" w:color="auto" w:fill="auto"/>
            <w:noWrap/>
            <w:vAlign w:val="center"/>
            <w:hideMark/>
          </w:tcPr>
          <w:p w14:paraId="324DEC9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72794D1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641.619 </w:t>
            </w:r>
          </w:p>
        </w:tc>
      </w:tr>
      <w:tr w:rsidR="001414E2" w:rsidRPr="00701F32" w14:paraId="499E6B2C" w14:textId="77777777" w:rsidTr="001414E2">
        <w:trPr>
          <w:trHeight w:val="315"/>
        </w:trPr>
        <w:tc>
          <w:tcPr>
            <w:tcW w:w="3810" w:type="dxa"/>
            <w:tcBorders>
              <w:top w:val="nil"/>
              <w:left w:val="single" w:sz="8" w:space="0" w:color="auto"/>
              <w:bottom w:val="nil"/>
              <w:right w:val="single" w:sz="4" w:space="0" w:color="auto"/>
            </w:tcBorders>
            <w:shd w:val="clear" w:color="auto" w:fill="auto"/>
            <w:noWrap/>
            <w:vAlign w:val="center"/>
            <w:hideMark/>
          </w:tcPr>
          <w:p w14:paraId="66564742"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no financieros </w:t>
            </w:r>
          </w:p>
        </w:tc>
        <w:tc>
          <w:tcPr>
            <w:tcW w:w="1060" w:type="dxa"/>
            <w:tcBorders>
              <w:top w:val="nil"/>
              <w:left w:val="nil"/>
              <w:bottom w:val="nil"/>
              <w:right w:val="single" w:sz="4" w:space="0" w:color="auto"/>
            </w:tcBorders>
            <w:shd w:val="clear" w:color="auto" w:fill="auto"/>
            <w:noWrap/>
            <w:vAlign w:val="center"/>
            <w:hideMark/>
          </w:tcPr>
          <w:p w14:paraId="16F89EB3"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h, l, n</w:t>
            </w:r>
          </w:p>
        </w:tc>
        <w:tc>
          <w:tcPr>
            <w:tcW w:w="1100" w:type="dxa"/>
            <w:tcBorders>
              <w:top w:val="nil"/>
              <w:left w:val="nil"/>
              <w:bottom w:val="nil"/>
              <w:right w:val="single" w:sz="4" w:space="0" w:color="auto"/>
            </w:tcBorders>
            <w:shd w:val="clear" w:color="auto" w:fill="auto"/>
            <w:noWrap/>
            <w:vAlign w:val="center"/>
            <w:hideMark/>
          </w:tcPr>
          <w:p w14:paraId="5AECE5D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4D3A0E0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2.380.095 </w:t>
            </w:r>
          </w:p>
        </w:tc>
        <w:tc>
          <w:tcPr>
            <w:tcW w:w="1220" w:type="dxa"/>
            <w:tcBorders>
              <w:top w:val="nil"/>
              <w:left w:val="nil"/>
              <w:bottom w:val="nil"/>
              <w:right w:val="single" w:sz="4" w:space="0" w:color="auto"/>
            </w:tcBorders>
            <w:shd w:val="clear" w:color="auto" w:fill="auto"/>
            <w:noWrap/>
            <w:vAlign w:val="center"/>
            <w:hideMark/>
          </w:tcPr>
          <w:p w14:paraId="4739AAE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934.240 </w:t>
            </w:r>
          </w:p>
        </w:tc>
        <w:tc>
          <w:tcPr>
            <w:tcW w:w="1140" w:type="dxa"/>
            <w:tcBorders>
              <w:top w:val="nil"/>
              <w:left w:val="nil"/>
              <w:bottom w:val="nil"/>
              <w:right w:val="single" w:sz="8" w:space="0" w:color="auto"/>
            </w:tcBorders>
            <w:shd w:val="clear" w:color="auto" w:fill="auto"/>
            <w:noWrap/>
            <w:vAlign w:val="center"/>
            <w:hideMark/>
          </w:tcPr>
          <w:p w14:paraId="0A5DC01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3.314.335 </w:t>
            </w:r>
          </w:p>
        </w:tc>
      </w:tr>
      <w:tr w:rsidR="001414E2" w:rsidRPr="00701F32" w14:paraId="7C754FF5" w14:textId="77777777" w:rsidTr="001414E2">
        <w:trPr>
          <w:trHeight w:val="315"/>
        </w:trPr>
        <w:tc>
          <w:tcPr>
            <w:tcW w:w="38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8261C1" w14:textId="77777777" w:rsidR="001414E2" w:rsidRPr="00701F32" w:rsidRDefault="001414E2">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w:t>
            </w:r>
            <w:r w:rsidR="0032760F" w:rsidRPr="00701F32">
              <w:rPr>
                <w:rFonts w:ascii="Arial" w:hAnsi="Arial" w:cs="Arial"/>
                <w:b/>
                <w:bCs/>
                <w:color w:val="000000"/>
                <w:sz w:val="16"/>
                <w:szCs w:val="16"/>
                <w:lang w:eastAsia="es-AR"/>
              </w:rPr>
              <w:t>Total del Pasivo al 31/12/2017</w:t>
            </w:r>
            <w:r w:rsidRPr="00701F32">
              <w:rPr>
                <w:rFonts w:ascii="Arial" w:hAnsi="Arial" w:cs="Arial"/>
                <w:b/>
                <w:bCs/>
                <w:color w:val="000000"/>
                <w:sz w:val="16"/>
                <w:szCs w:val="16"/>
                <w:lang w:eastAsia="es-AR"/>
              </w:rPr>
              <w:t xml:space="preserve">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6DED2318" w14:textId="77777777" w:rsidR="001414E2" w:rsidRPr="00701F32" w:rsidRDefault="001414E2" w:rsidP="001414E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14:paraId="3D6844D5"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82.403.862 </w:t>
            </w:r>
          </w:p>
        </w:tc>
        <w:tc>
          <w:tcPr>
            <w:tcW w:w="1500" w:type="dxa"/>
            <w:tcBorders>
              <w:top w:val="single" w:sz="8" w:space="0" w:color="auto"/>
              <w:left w:val="nil"/>
              <w:bottom w:val="single" w:sz="8" w:space="0" w:color="auto"/>
              <w:right w:val="single" w:sz="4" w:space="0" w:color="auto"/>
            </w:tcBorders>
            <w:shd w:val="clear" w:color="auto" w:fill="auto"/>
            <w:noWrap/>
            <w:vAlign w:val="center"/>
            <w:hideMark/>
          </w:tcPr>
          <w:p w14:paraId="6425759F"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-3.851.113 </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0C1E313A"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2.786.415 </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7D533716"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81.339.164 </w:t>
            </w:r>
          </w:p>
        </w:tc>
      </w:tr>
      <w:tr w:rsidR="001414E2" w:rsidRPr="00701F32" w14:paraId="605E274E"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3B896BB5"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Capital, aportes y reservas </w:t>
            </w:r>
          </w:p>
        </w:tc>
        <w:tc>
          <w:tcPr>
            <w:tcW w:w="1060" w:type="dxa"/>
            <w:tcBorders>
              <w:top w:val="nil"/>
              <w:left w:val="nil"/>
              <w:bottom w:val="nil"/>
              <w:right w:val="single" w:sz="4" w:space="0" w:color="auto"/>
            </w:tcBorders>
            <w:shd w:val="clear" w:color="auto" w:fill="auto"/>
            <w:noWrap/>
            <w:vAlign w:val="center"/>
            <w:hideMark/>
          </w:tcPr>
          <w:p w14:paraId="21F5C26B"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6C30372B"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8.565.959 </w:t>
            </w:r>
          </w:p>
        </w:tc>
        <w:tc>
          <w:tcPr>
            <w:tcW w:w="1500" w:type="dxa"/>
            <w:tcBorders>
              <w:top w:val="nil"/>
              <w:left w:val="nil"/>
              <w:bottom w:val="nil"/>
              <w:right w:val="single" w:sz="4" w:space="0" w:color="auto"/>
            </w:tcBorders>
            <w:shd w:val="clear" w:color="auto" w:fill="auto"/>
            <w:noWrap/>
            <w:vAlign w:val="center"/>
            <w:hideMark/>
          </w:tcPr>
          <w:p w14:paraId="10C16496"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663C7A9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40" w:type="dxa"/>
            <w:tcBorders>
              <w:top w:val="nil"/>
              <w:left w:val="nil"/>
              <w:bottom w:val="nil"/>
              <w:right w:val="single" w:sz="8" w:space="0" w:color="auto"/>
            </w:tcBorders>
            <w:shd w:val="clear" w:color="auto" w:fill="auto"/>
            <w:noWrap/>
            <w:vAlign w:val="center"/>
            <w:hideMark/>
          </w:tcPr>
          <w:p w14:paraId="3939257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8.565.959 </w:t>
            </w:r>
          </w:p>
        </w:tc>
      </w:tr>
      <w:tr w:rsidR="001414E2" w:rsidRPr="00701F32" w14:paraId="1458C42F"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1716D193"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resultados integrales acumulados </w:t>
            </w:r>
          </w:p>
        </w:tc>
        <w:tc>
          <w:tcPr>
            <w:tcW w:w="1060" w:type="dxa"/>
            <w:tcBorders>
              <w:top w:val="nil"/>
              <w:left w:val="nil"/>
              <w:bottom w:val="nil"/>
              <w:right w:val="single" w:sz="4" w:space="0" w:color="auto"/>
            </w:tcBorders>
            <w:shd w:val="clear" w:color="auto" w:fill="auto"/>
            <w:noWrap/>
            <w:vAlign w:val="center"/>
            <w:hideMark/>
          </w:tcPr>
          <w:p w14:paraId="6172C001"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d, e, j</w:t>
            </w:r>
          </w:p>
        </w:tc>
        <w:tc>
          <w:tcPr>
            <w:tcW w:w="1100" w:type="dxa"/>
            <w:tcBorders>
              <w:top w:val="nil"/>
              <w:left w:val="nil"/>
              <w:bottom w:val="nil"/>
              <w:right w:val="single" w:sz="4" w:space="0" w:color="auto"/>
            </w:tcBorders>
            <w:shd w:val="clear" w:color="auto" w:fill="auto"/>
            <w:noWrap/>
            <w:vAlign w:val="center"/>
            <w:hideMark/>
          </w:tcPr>
          <w:p w14:paraId="0A3CCAC5"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nil"/>
              <w:right w:val="single" w:sz="4" w:space="0" w:color="auto"/>
            </w:tcBorders>
            <w:shd w:val="clear" w:color="auto" w:fill="auto"/>
            <w:noWrap/>
            <w:vAlign w:val="center"/>
            <w:hideMark/>
          </w:tcPr>
          <w:p w14:paraId="593BAA54"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61022C4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147.358 </w:t>
            </w:r>
          </w:p>
        </w:tc>
        <w:tc>
          <w:tcPr>
            <w:tcW w:w="1140" w:type="dxa"/>
            <w:tcBorders>
              <w:top w:val="nil"/>
              <w:left w:val="nil"/>
              <w:bottom w:val="nil"/>
              <w:right w:val="single" w:sz="8" w:space="0" w:color="auto"/>
            </w:tcBorders>
            <w:shd w:val="clear" w:color="auto" w:fill="auto"/>
            <w:noWrap/>
            <w:vAlign w:val="center"/>
            <w:hideMark/>
          </w:tcPr>
          <w:p w14:paraId="2B69C935"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147.358 </w:t>
            </w:r>
          </w:p>
        </w:tc>
      </w:tr>
      <w:tr w:rsidR="001414E2" w:rsidRPr="00701F32" w14:paraId="32B440C1" w14:textId="77777777" w:rsidTr="001414E2">
        <w:trPr>
          <w:trHeight w:val="300"/>
        </w:trPr>
        <w:tc>
          <w:tcPr>
            <w:tcW w:w="3810" w:type="dxa"/>
            <w:tcBorders>
              <w:top w:val="nil"/>
              <w:left w:val="single" w:sz="8" w:space="0" w:color="auto"/>
              <w:bottom w:val="nil"/>
              <w:right w:val="single" w:sz="4" w:space="0" w:color="auto"/>
            </w:tcBorders>
            <w:shd w:val="clear" w:color="auto" w:fill="auto"/>
            <w:noWrap/>
            <w:vAlign w:val="center"/>
            <w:hideMark/>
          </w:tcPr>
          <w:p w14:paraId="2C6AEEF4"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Resultados no asignados </w:t>
            </w:r>
          </w:p>
        </w:tc>
        <w:tc>
          <w:tcPr>
            <w:tcW w:w="1060" w:type="dxa"/>
            <w:tcBorders>
              <w:top w:val="nil"/>
              <w:left w:val="nil"/>
              <w:bottom w:val="nil"/>
              <w:right w:val="single" w:sz="4" w:space="0" w:color="auto"/>
            </w:tcBorders>
            <w:shd w:val="clear" w:color="auto" w:fill="auto"/>
            <w:noWrap/>
            <w:vAlign w:val="center"/>
            <w:hideMark/>
          </w:tcPr>
          <w:p w14:paraId="1D5DE31B"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00" w:type="dxa"/>
            <w:tcBorders>
              <w:top w:val="nil"/>
              <w:left w:val="nil"/>
              <w:bottom w:val="nil"/>
              <w:right w:val="single" w:sz="4" w:space="0" w:color="auto"/>
            </w:tcBorders>
            <w:shd w:val="clear" w:color="auto" w:fill="auto"/>
            <w:noWrap/>
            <w:vAlign w:val="center"/>
            <w:hideMark/>
          </w:tcPr>
          <w:p w14:paraId="35DE3BD4"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1.428.728 </w:t>
            </w:r>
          </w:p>
        </w:tc>
        <w:tc>
          <w:tcPr>
            <w:tcW w:w="1500" w:type="dxa"/>
            <w:tcBorders>
              <w:top w:val="nil"/>
              <w:left w:val="nil"/>
              <w:bottom w:val="nil"/>
              <w:right w:val="single" w:sz="4" w:space="0" w:color="auto"/>
            </w:tcBorders>
            <w:shd w:val="clear" w:color="auto" w:fill="auto"/>
            <w:noWrap/>
            <w:vAlign w:val="center"/>
            <w:hideMark/>
          </w:tcPr>
          <w:p w14:paraId="29AA169F"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220" w:type="dxa"/>
            <w:tcBorders>
              <w:top w:val="nil"/>
              <w:left w:val="nil"/>
              <w:bottom w:val="nil"/>
              <w:right w:val="single" w:sz="4" w:space="0" w:color="auto"/>
            </w:tcBorders>
            <w:shd w:val="clear" w:color="auto" w:fill="auto"/>
            <w:noWrap/>
            <w:vAlign w:val="center"/>
            <w:hideMark/>
          </w:tcPr>
          <w:p w14:paraId="7D32AD19"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-930.225 </w:t>
            </w:r>
          </w:p>
        </w:tc>
        <w:tc>
          <w:tcPr>
            <w:tcW w:w="1140" w:type="dxa"/>
            <w:tcBorders>
              <w:top w:val="nil"/>
              <w:left w:val="nil"/>
              <w:bottom w:val="nil"/>
              <w:right w:val="single" w:sz="8" w:space="0" w:color="auto"/>
            </w:tcBorders>
            <w:shd w:val="clear" w:color="auto" w:fill="auto"/>
            <w:noWrap/>
            <w:vAlign w:val="center"/>
            <w:hideMark/>
          </w:tcPr>
          <w:p w14:paraId="1C278208"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498.503 </w:t>
            </w:r>
          </w:p>
        </w:tc>
      </w:tr>
      <w:tr w:rsidR="001414E2" w:rsidRPr="00701F32" w14:paraId="2628E23A" w14:textId="77777777" w:rsidTr="001414E2">
        <w:trPr>
          <w:trHeight w:val="315"/>
        </w:trPr>
        <w:tc>
          <w:tcPr>
            <w:tcW w:w="3810" w:type="dxa"/>
            <w:tcBorders>
              <w:top w:val="nil"/>
              <w:left w:val="single" w:sz="8" w:space="0" w:color="auto"/>
              <w:bottom w:val="single" w:sz="8" w:space="0" w:color="auto"/>
              <w:right w:val="single" w:sz="4" w:space="0" w:color="auto"/>
            </w:tcBorders>
            <w:shd w:val="clear" w:color="auto" w:fill="auto"/>
            <w:noWrap/>
            <w:vAlign w:val="center"/>
            <w:hideMark/>
          </w:tcPr>
          <w:p w14:paraId="4824E968"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PN atribuible a participaciones no controladoras </w:t>
            </w:r>
          </w:p>
        </w:tc>
        <w:tc>
          <w:tcPr>
            <w:tcW w:w="1060" w:type="dxa"/>
            <w:tcBorders>
              <w:top w:val="nil"/>
              <w:left w:val="nil"/>
              <w:bottom w:val="single" w:sz="8" w:space="0" w:color="auto"/>
              <w:right w:val="single" w:sz="4" w:space="0" w:color="auto"/>
            </w:tcBorders>
            <w:shd w:val="clear" w:color="auto" w:fill="auto"/>
            <w:noWrap/>
            <w:vAlign w:val="center"/>
            <w:hideMark/>
          </w:tcPr>
          <w:p w14:paraId="4B1B0496" w14:textId="77777777" w:rsidR="001414E2" w:rsidRPr="00701F32" w:rsidRDefault="001414E2" w:rsidP="001414E2">
            <w:pPr>
              <w:jc w:val="center"/>
              <w:rPr>
                <w:rFonts w:ascii="Arial" w:hAnsi="Arial" w:cs="Arial"/>
                <w:color w:val="000000"/>
                <w:sz w:val="16"/>
                <w:szCs w:val="16"/>
                <w:lang w:eastAsia="es-AR"/>
              </w:rPr>
            </w:pPr>
            <w:r w:rsidRPr="00701F32">
              <w:rPr>
                <w:rFonts w:ascii="Arial" w:hAnsi="Arial" w:cs="Arial"/>
                <w:color w:val="000000"/>
                <w:sz w:val="16"/>
                <w:szCs w:val="16"/>
                <w:lang w:eastAsia="es-AR"/>
              </w:rPr>
              <w:t>o</w:t>
            </w:r>
          </w:p>
        </w:tc>
        <w:tc>
          <w:tcPr>
            <w:tcW w:w="1100" w:type="dxa"/>
            <w:tcBorders>
              <w:top w:val="nil"/>
              <w:left w:val="nil"/>
              <w:bottom w:val="single" w:sz="8" w:space="0" w:color="auto"/>
              <w:right w:val="single" w:sz="4" w:space="0" w:color="auto"/>
            </w:tcBorders>
            <w:shd w:val="clear" w:color="auto" w:fill="auto"/>
            <w:noWrap/>
            <w:vAlign w:val="center"/>
            <w:hideMark/>
          </w:tcPr>
          <w:p w14:paraId="668BC51B" w14:textId="77777777" w:rsidR="001414E2" w:rsidRPr="00701F32" w:rsidRDefault="001414E2" w:rsidP="001414E2">
            <w:pPr>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500" w:type="dxa"/>
            <w:tcBorders>
              <w:top w:val="nil"/>
              <w:left w:val="nil"/>
              <w:bottom w:val="single" w:sz="8" w:space="0" w:color="auto"/>
              <w:right w:val="single" w:sz="4" w:space="0" w:color="auto"/>
            </w:tcBorders>
            <w:shd w:val="clear" w:color="auto" w:fill="auto"/>
            <w:noWrap/>
            <w:vAlign w:val="center"/>
            <w:hideMark/>
          </w:tcPr>
          <w:p w14:paraId="1B159C1D"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74.443 </w:t>
            </w:r>
          </w:p>
        </w:tc>
        <w:tc>
          <w:tcPr>
            <w:tcW w:w="1220" w:type="dxa"/>
            <w:tcBorders>
              <w:top w:val="nil"/>
              <w:left w:val="nil"/>
              <w:bottom w:val="single" w:sz="8" w:space="0" w:color="auto"/>
              <w:right w:val="single" w:sz="4" w:space="0" w:color="auto"/>
            </w:tcBorders>
            <w:shd w:val="clear" w:color="auto" w:fill="auto"/>
            <w:noWrap/>
            <w:vAlign w:val="center"/>
            <w:hideMark/>
          </w:tcPr>
          <w:p w14:paraId="2712CF51"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139.994 </w:t>
            </w:r>
          </w:p>
        </w:tc>
        <w:tc>
          <w:tcPr>
            <w:tcW w:w="1140" w:type="dxa"/>
            <w:tcBorders>
              <w:top w:val="nil"/>
              <w:left w:val="nil"/>
              <w:bottom w:val="nil"/>
              <w:right w:val="single" w:sz="8" w:space="0" w:color="auto"/>
            </w:tcBorders>
            <w:shd w:val="clear" w:color="auto" w:fill="auto"/>
            <w:noWrap/>
            <w:vAlign w:val="center"/>
            <w:hideMark/>
          </w:tcPr>
          <w:p w14:paraId="17A8148B" w14:textId="77777777" w:rsidR="001414E2" w:rsidRPr="00701F32" w:rsidRDefault="001414E2" w:rsidP="001414E2">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214.437 </w:t>
            </w:r>
          </w:p>
        </w:tc>
      </w:tr>
      <w:tr w:rsidR="001414E2" w:rsidRPr="00701F32" w14:paraId="04EA5E00" w14:textId="77777777" w:rsidTr="001414E2">
        <w:trPr>
          <w:trHeight w:val="315"/>
        </w:trPr>
        <w:tc>
          <w:tcPr>
            <w:tcW w:w="3810" w:type="dxa"/>
            <w:tcBorders>
              <w:top w:val="nil"/>
              <w:left w:val="single" w:sz="8" w:space="0" w:color="auto"/>
              <w:bottom w:val="single" w:sz="8" w:space="0" w:color="auto"/>
              <w:right w:val="single" w:sz="4" w:space="0" w:color="auto"/>
            </w:tcBorders>
            <w:shd w:val="clear" w:color="auto" w:fill="auto"/>
            <w:noWrap/>
            <w:vAlign w:val="center"/>
            <w:hideMark/>
          </w:tcPr>
          <w:p w14:paraId="097B9AB9" w14:textId="77777777" w:rsidR="001414E2" w:rsidRPr="00701F32" w:rsidRDefault="001414E2" w:rsidP="001414E2">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31/12/2017</w:t>
            </w:r>
          </w:p>
        </w:tc>
        <w:tc>
          <w:tcPr>
            <w:tcW w:w="1060" w:type="dxa"/>
            <w:tcBorders>
              <w:top w:val="nil"/>
              <w:left w:val="nil"/>
              <w:bottom w:val="single" w:sz="8" w:space="0" w:color="auto"/>
              <w:right w:val="single" w:sz="4" w:space="0" w:color="auto"/>
            </w:tcBorders>
            <w:shd w:val="clear" w:color="auto" w:fill="auto"/>
            <w:noWrap/>
            <w:vAlign w:val="center"/>
            <w:hideMark/>
          </w:tcPr>
          <w:p w14:paraId="65EB61E7" w14:textId="77777777" w:rsidR="001414E2" w:rsidRPr="00701F32" w:rsidRDefault="001414E2" w:rsidP="001414E2">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00" w:type="dxa"/>
            <w:tcBorders>
              <w:top w:val="nil"/>
              <w:left w:val="nil"/>
              <w:bottom w:val="single" w:sz="8" w:space="0" w:color="auto"/>
              <w:right w:val="single" w:sz="4" w:space="0" w:color="auto"/>
            </w:tcBorders>
            <w:shd w:val="clear" w:color="auto" w:fill="auto"/>
            <w:noWrap/>
            <w:vAlign w:val="center"/>
            <w:hideMark/>
          </w:tcPr>
          <w:p w14:paraId="1217CBB0" w14:textId="77777777" w:rsidR="001414E2" w:rsidRPr="00701F32" w:rsidRDefault="001414E2" w:rsidP="001414E2">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9.994.687 </w:t>
            </w:r>
          </w:p>
        </w:tc>
        <w:tc>
          <w:tcPr>
            <w:tcW w:w="1500" w:type="dxa"/>
            <w:tcBorders>
              <w:top w:val="nil"/>
              <w:left w:val="nil"/>
              <w:bottom w:val="single" w:sz="8" w:space="0" w:color="auto"/>
              <w:right w:val="single" w:sz="4" w:space="0" w:color="auto"/>
            </w:tcBorders>
            <w:shd w:val="clear" w:color="auto" w:fill="auto"/>
            <w:noWrap/>
            <w:vAlign w:val="center"/>
            <w:hideMark/>
          </w:tcPr>
          <w:p w14:paraId="35EDE093"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74.443 </w:t>
            </w:r>
          </w:p>
        </w:tc>
        <w:tc>
          <w:tcPr>
            <w:tcW w:w="1220" w:type="dxa"/>
            <w:tcBorders>
              <w:top w:val="nil"/>
              <w:left w:val="nil"/>
              <w:bottom w:val="single" w:sz="8" w:space="0" w:color="auto"/>
              <w:right w:val="single" w:sz="4" w:space="0" w:color="auto"/>
            </w:tcBorders>
            <w:shd w:val="clear" w:color="auto" w:fill="auto"/>
            <w:noWrap/>
            <w:vAlign w:val="center"/>
            <w:hideMark/>
          </w:tcPr>
          <w:p w14:paraId="01CD45BE"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-642.873 </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3AF93170" w14:textId="77777777" w:rsidR="001414E2" w:rsidRPr="00701F32" w:rsidRDefault="001414E2" w:rsidP="001414E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9.426.257 </w:t>
            </w:r>
          </w:p>
        </w:tc>
      </w:tr>
    </w:tbl>
    <w:p w14:paraId="2E24D4FB" w14:textId="77777777" w:rsidR="00606BA6" w:rsidRPr="00701F32" w:rsidRDefault="00606BA6">
      <w:r w:rsidRPr="00701F32">
        <w:br w:type="page"/>
      </w:r>
    </w:p>
    <w:tbl>
      <w:tblPr>
        <w:tblW w:w="9830" w:type="dxa"/>
        <w:tblInd w:w="80" w:type="dxa"/>
        <w:tblCellMar>
          <w:left w:w="70" w:type="dxa"/>
          <w:right w:w="70" w:type="dxa"/>
        </w:tblCellMar>
        <w:tblLook w:val="04A0" w:firstRow="1" w:lastRow="0" w:firstColumn="1" w:lastColumn="0" w:noHBand="0" w:noVBand="1"/>
      </w:tblPr>
      <w:tblGrid>
        <w:gridCol w:w="3810"/>
        <w:gridCol w:w="1060"/>
        <w:gridCol w:w="1100"/>
        <w:gridCol w:w="1500"/>
        <w:gridCol w:w="1220"/>
        <w:gridCol w:w="1140"/>
      </w:tblGrid>
      <w:tr w:rsidR="00606BA6" w:rsidRPr="00701F32" w14:paraId="316BE2D8" w14:textId="77777777" w:rsidTr="00941382">
        <w:trPr>
          <w:trHeight w:val="315"/>
          <w:tblHeader/>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B76C0" w14:textId="77777777" w:rsidR="00606BA6" w:rsidRPr="00701F32" w:rsidRDefault="00606BA6" w:rsidP="00C23045">
            <w:pPr>
              <w:jc w:val="center"/>
              <w:rPr>
                <w:rFonts w:ascii="Arial" w:hAnsi="Arial" w:cs="Arial"/>
                <w:b/>
                <w:bCs/>
                <w:color w:val="000000"/>
                <w:sz w:val="16"/>
                <w:szCs w:val="16"/>
                <w:lang w:eastAsia="es-AR"/>
              </w:rPr>
            </w:pP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0D78E3A" w14:textId="77777777" w:rsidR="00606BA6" w:rsidRPr="00701F32" w:rsidRDefault="00606BA6" w:rsidP="00C2304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877FED1" w14:textId="77777777" w:rsidR="00606BA6" w:rsidRPr="00701F32" w:rsidRDefault="00606BA6" w:rsidP="006912D8">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6E777728" w14:textId="77777777" w:rsidR="00606BA6" w:rsidRPr="00701F32" w:rsidRDefault="00606BA6" w:rsidP="006912D8">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823348F" w14:textId="77777777" w:rsidR="00606BA6" w:rsidRPr="00701F32" w:rsidRDefault="00606BA6" w:rsidP="006912D8">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9A45C0A" w14:textId="77777777" w:rsidR="00606BA6" w:rsidRPr="00701F32" w:rsidRDefault="00606BA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305A53" w:rsidRPr="00701F32" w14:paraId="324D4158" w14:textId="77777777" w:rsidTr="00305A53">
        <w:trPr>
          <w:trHeight w:val="315"/>
        </w:trPr>
        <w:tc>
          <w:tcPr>
            <w:tcW w:w="3810" w:type="dxa"/>
            <w:tcBorders>
              <w:top w:val="single" w:sz="4" w:space="0" w:color="auto"/>
              <w:left w:val="single" w:sz="4" w:space="0" w:color="auto"/>
              <w:right w:val="single" w:sz="4" w:space="0" w:color="auto"/>
            </w:tcBorders>
            <w:shd w:val="clear" w:color="auto" w:fill="auto"/>
            <w:noWrap/>
            <w:vAlign w:val="center"/>
            <w:hideMark/>
          </w:tcPr>
          <w:p w14:paraId="12EA5203" w14:textId="77777777" w:rsidR="00305A53" w:rsidRPr="00701F32" w:rsidRDefault="00305A53" w:rsidP="00305A53">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Efectivo y depósitos en bancos </w:t>
            </w:r>
          </w:p>
        </w:tc>
        <w:tc>
          <w:tcPr>
            <w:tcW w:w="1060" w:type="dxa"/>
            <w:tcBorders>
              <w:top w:val="single" w:sz="4" w:space="0" w:color="auto"/>
              <w:left w:val="single" w:sz="4" w:space="0" w:color="auto"/>
              <w:right w:val="single" w:sz="4" w:space="0" w:color="auto"/>
            </w:tcBorders>
            <w:shd w:val="clear" w:color="auto" w:fill="auto"/>
            <w:noWrap/>
            <w:vAlign w:val="center"/>
            <w:hideMark/>
          </w:tcPr>
          <w:p w14:paraId="4258F2E3"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top w:val="single" w:sz="4" w:space="0" w:color="auto"/>
              <w:left w:val="single" w:sz="4" w:space="0" w:color="auto"/>
              <w:right w:val="single" w:sz="4" w:space="0" w:color="auto"/>
            </w:tcBorders>
            <w:shd w:val="clear" w:color="auto" w:fill="auto"/>
            <w:noWrap/>
            <w:vAlign w:val="center"/>
          </w:tcPr>
          <w:p w14:paraId="696AD85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9.302.215</w:t>
            </w:r>
          </w:p>
        </w:tc>
        <w:tc>
          <w:tcPr>
            <w:tcW w:w="1500" w:type="dxa"/>
            <w:tcBorders>
              <w:top w:val="single" w:sz="4" w:space="0" w:color="auto"/>
              <w:left w:val="single" w:sz="4" w:space="0" w:color="auto"/>
              <w:right w:val="single" w:sz="4" w:space="0" w:color="auto"/>
            </w:tcBorders>
            <w:shd w:val="clear" w:color="auto" w:fill="auto"/>
            <w:noWrap/>
            <w:vAlign w:val="center"/>
          </w:tcPr>
          <w:p w14:paraId="42FA4E5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-270.345</w:t>
            </w:r>
          </w:p>
        </w:tc>
        <w:tc>
          <w:tcPr>
            <w:tcW w:w="1220" w:type="dxa"/>
            <w:tcBorders>
              <w:top w:val="single" w:sz="4" w:space="0" w:color="auto"/>
              <w:left w:val="single" w:sz="4" w:space="0" w:color="auto"/>
              <w:right w:val="single" w:sz="4" w:space="0" w:color="auto"/>
            </w:tcBorders>
            <w:shd w:val="clear" w:color="auto" w:fill="auto"/>
            <w:noWrap/>
            <w:vAlign w:val="center"/>
          </w:tcPr>
          <w:p w14:paraId="179BECB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8.001</w:t>
            </w:r>
          </w:p>
        </w:tc>
        <w:tc>
          <w:tcPr>
            <w:tcW w:w="1140" w:type="dxa"/>
            <w:tcBorders>
              <w:top w:val="single" w:sz="4" w:space="0" w:color="auto"/>
              <w:left w:val="single" w:sz="4" w:space="0" w:color="auto"/>
              <w:right w:val="single" w:sz="4" w:space="0" w:color="auto"/>
            </w:tcBorders>
            <w:shd w:val="clear" w:color="auto" w:fill="auto"/>
            <w:noWrap/>
            <w:vAlign w:val="center"/>
          </w:tcPr>
          <w:p w14:paraId="53D5208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9.039.871</w:t>
            </w:r>
          </w:p>
        </w:tc>
      </w:tr>
      <w:tr w:rsidR="00305A53" w:rsidRPr="00701F32" w14:paraId="77B62A84" w14:textId="77777777" w:rsidTr="00305A53">
        <w:trPr>
          <w:trHeight w:val="315"/>
        </w:trPr>
        <w:tc>
          <w:tcPr>
            <w:tcW w:w="3810" w:type="dxa"/>
            <w:tcBorders>
              <w:left w:val="single" w:sz="4" w:space="0" w:color="auto"/>
              <w:right w:val="single" w:sz="4" w:space="0" w:color="auto"/>
            </w:tcBorders>
            <w:shd w:val="clear" w:color="auto" w:fill="auto"/>
            <w:noWrap/>
            <w:vAlign w:val="center"/>
            <w:hideMark/>
          </w:tcPr>
          <w:p w14:paraId="58D09B31"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Títulos públicos y privados </w:t>
            </w:r>
          </w:p>
        </w:tc>
        <w:tc>
          <w:tcPr>
            <w:tcW w:w="1060" w:type="dxa"/>
            <w:tcBorders>
              <w:left w:val="single" w:sz="4" w:space="0" w:color="auto"/>
              <w:right w:val="single" w:sz="4" w:space="0" w:color="auto"/>
            </w:tcBorders>
            <w:shd w:val="clear" w:color="auto" w:fill="auto"/>
            <w:noWrap/>
            <w:vAlign w:val="center"/>
            <w:hideMark/>
          </w:tcPr>
          <w:p w14:paraId="55DE98EA"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i</w:t>
            </w:r>
          </w:p>
        </w:tc>
        <w:tc>
          <w:tcPr>
            <w:tcW w:w="1100" w:type="dxa"/>
            <w:tcBorders>
              <w:left w:val="single" w:sz="4" w:space="0" w:color="auto"/>
              <w:right w:val="single" w:sz="4" w:space="0" w:color="auto"/>
            </w:tcBorders>
            <w:shd w:val="clear" w:color="auto" w:fill="auto"/>
            <w:noWrap/>
            <w:vAlign w:val="center"/>
          </w:tcPr>
          <w:p w14:paraId="579D3B5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6.128.395</w:t>
            </w:r>
          </w:p>
        </w:tc>
        <w:tc>
          <w:tcPr>
            <w:tcW w:w="1500" w:type="dxa"/>
            <w:tcBorders>
              <w:left w:val="single" w:sz="4" w:space="0" w:color="auto"/>
              <w:right w:val="single" w:sz="4" w:space="0" w:color="auto"/>
            </w:tcBorders>
            <w:shd w:val="clear" w:color="auto" w:fill="auto"/>
            <w:noWrap/>
            <w:vAlign w:val="center"/>
          </w:tcPr>
          <w:p w14:paraId="45FAA637"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-6.128.395</w:t>
            </w:r>
          </w:p>
        </w:tc>
        <w:tc>
          <w:tcPr>
            <w:tcW w:w="1220" w:type="dxa"/>
            <w:tcBorders>
              <w:left w:val="single" w:sz="4" w:space="0" w:color="auto"/>
              <w:right w:val="single" w:sz="4" w:space="0" w:color="auto"/>
            </w:tcBorders>
            <w:shd w:val="clear" w:color="auto" w:fill="auto"/>
            <w:noWrap/>
            <w:vAlign w:val="center"/>
          </w:tcPr>
          <w:p w14:paraId="3BC76080"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6ACDE42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7D563390"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228A0A75"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Prestamos </w:t>
            </w:r>
          </w:p>
        </w:tc>
        <w:tc>
          <w:tcPr>
            <w:tcW w:w="1060" w:type="dxa"/>
            <w:tcBorders>
              <w:left w:val="single" w:sz="4" w:space="0" w:color="auto"/>
              <w:right w:val="single" w:sz="4" w:space="0" w:color="auto"/>
            </w:tcBorders>
            <w:shd w:val="clear" w:color="auto" w:fill="auto"/>
            <w:noWrap/>
            <w:vAlign w:val="bottom"/>
            <w:hideMark/>
          </w:tcPr>
          <w:p w14:paraId="24BFF1C3"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72AA95B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47.790.682</w:t>
            </w:r>
          </w:p>
        </w:tc>
        <w:tc>
          <w:tcPr>
            <w:tcW w:w="1500" w:type="dxa"/>
            <w:tcBorders>
              <w:left w:val="single" w:sz="4" w:space="0" w:color="auto"/>
              <w:right w:val="single" w:sz="4" w:space="0" w:color="auto"/>
            </w:tcBorders>
            <w:shd w:val="clear" w:color="auto" w:fill="auto"/>
            <w:noWrap/>
            <w:vAlign w:val="center"/>
          </w:tcPr>
          <w:p w14:paraId="153E591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-47.790.682</w:t>
            </w:r>
          </w:p>
        </w:tc>
        <w:tc>
          <w:tcPr>
            <w:tcW w:w="1220" w:type="dxa"/>
            <w:tcBorders>
              <w:left w:val="single" w:sz="4" w:space="0" w:color="auto"/>
              <w:right w:val="single" w:sz="4" w:space="0" w:color="auto"/>
            </w:tcBorders>
            <w:shd w:val="clear" w:color="auto" w:fill="auto"/>
            <w:noWrap/>
            <w:vAlign w:val="center"/>
          </w:tcPr>
          <w:p w14:paraId="13EC5F1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6E097EE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1BDA1936"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6F051ECF"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créditos por intermediación financiera </w:t>
            </w:r>
          </w:p>
        </w:tc>
        <w:tc>
          <w:tcPr>
            <w:tcW w:w="1060" w:type="dxa"/>
            <w:tcBorders>
              <w:left w:val="single" w:sz="4" w:space="0" w:color="auto"/>
              <w:right w:val="single" w:sz="4" w:space="0" w:color="auto"/>
            </w:tcBorders>
            <w:shd w:val="clear" w:color="auto" w:fill="auto"/>
            <w:noWrap/>
            <w:vAlign w:val="bottom"/>
            <w:hideMark/>
          </w:tcPr>
          <w:p w14:paraId="327BE303"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55C0AEA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4.397.529</w:t>
            </w:r>
          </w:p>
        </w:tc>
        <w:tc>
          <w:tcPr>
            <w:tcW w:w="1500" w:type="dxa"/>
            <w:tcBorders>
              <w:left w:val="single" w:sz="4" w:space="0" w:color="auto"/>
              <w:right w:val="single" w:sz="4" w:space="0" w:color="auto"/>
            </w:tcBorders>
            <w:shd w:val="clear" w:color="auto" w:fill="auto"/>
            <w:noWrap/>
            <w:vAlign w:val="center"/>
          </w:tcPr>
          <w:p w14:paraId="5BF8F7D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-4.397.529</w:t>
            </w:r>
          </w:p>
        </w:tc>
        <w:tc>
          <w:tcPr>
            <w:tcW w:w="1220" w:type="dxa"/>
            <w:tcBorders>
              <w:left w:val="single" w:sz="4" w:space="0" w:color="auto"/>
              <w:right w:val="single" w:sz="4" w:space="0" w:color="auto"/>
            </w:tcBorders>
            <w:shd w:val="clear" w:color="auto" w:fill="auto"/>
            <w:noWrap/>
            <w:vAlign w:val="center"/>
          </w:tcPr>
          <w:p w14:paraId="79499FC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188405A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3051B8A5"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1905E6EA"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Créditos por arrendamientos financieros </w:t>
            </w:r>
          </w:p>
        </w:tc>
        <w:tc>
          <w:tcPr>
            <w:tcW w:w="1060" w:type="dxa"/>
            <w:tcBorders>
              <w:left w:val="single" w:sz="4" w:space="0" w:color="auto"/>
              <w:right w:val="single" w:sz="4" w:space="0" w:color="auto"/>
            </w:tcBorders>
            <w:shd w:val="clear" w:color="auto" w:fill="auto"/>
            <w:noWrap/>
            <w:vAlign w:val="bottom"/>
            <w:hideMark/>
          </w:tcPr>
          <w:p w14:paraId="12785EA0"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i</w:t>
            </w:r>
          </w:p>
        </w:tc>
        <w:tc>
          <w:tcPr>
            <w:tcW w:w="1100" w:type="dxa"/>
            <w:tcBorders>
              <w:left w:val="single" w:sz="4" w:space="0" w:color="auto"/>
              <w:right w:val="single" w:sz="4" w:space="0" w:color="auto"/>
            </w:tcBorders>
            <w:shd w:val="clear" w:color="auto" w:fill="auto"/>
            <w:noWrap/>
            <w:vAlign w:val="center"/>
          </w:tcPr>
          <w:p w14:paraId="2ED2DBC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2.219.887</w:t>
            </w:r>
          </w:p>
        </w:tc>
        <w:tc>
          <w:tcPr>
            <w:tcW w:w="1500" w:type="dxa"/>
            <w:tcBorders>
              <w:left w:val="single" w:sz="4" w:space="0" w:color="auto"/>
              <w:right w:val="single" w:sz="4" w:space="0" w:color="auto"/>
            </w:tcBorders>
            <w:shd w:val="clear" w:color="auto" w:fill="auto"/>
            <w:noWrap/>
            <w:vAlign w:val="center"/>
          </w:tcPr>
          <w:p w14:paraId="6A45DE8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-2.219.887</w:t>
            </w:r>
          </w:p>
        </w:tc>
        <w:tc>
          <w:tcPr>
            <w:tcW w:w="1220" w:type="dxa"/>
            <w:tcBorders>
              <w:left w:val="single" w:sz="4" w:space="0" w:color="auto"/>
              <w:right w:val="single" w:sz="4" w:space="0" w:color="auto"/>
            </w:tcBorders>
            <w:shd w:val="clear" w:color="auto" w:fill="auto"/>
            <w:noWrap/>
            <w:vAlign w:val="center"/>
          </w:tcPr>
          <w:p w14:paraId="157678E0"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7D07D3B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43D91631"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4A256F60"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Inversión en subsidiarias, asociadas y neg.conjuntos </w:t>
            </w:r>
          </w:p>
        </w:tc>
        <w:tc>
          <w:tcPr>
            <w:tcW w:w="1060" w:type="dxa"/>
            <w:tcBorders>
              <w:left w:val="single" w:sz="4" w:space="0" w:color="auto"/>
              <w:right w:val="single" w:sz="4" w:space="0" w:color="auto"/>
            </w:tcBorders>
            <w:shd w:val="clear" w:color="auto" w:fill="auto"/>
            <w:noWrap/>
            <w:vAlign w:val="bottom"/>
            <w:hideMark/>
          </w:tcPr>
          <w:p w14:paraId="192EA320"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d</w:t>
            </w:r>
          </w:p>
        </w:tc>
        <w:tc>
          <w:tcPr>
            <w:tcW w:w="1100" w:type="dxa"/>
            <w:tcBorders>
              <w:left w:val="single" w:sz="4" w:space="0" w:color="auto"/>
              <w:right w:val="single" w:sz="4" w:space="0" w:color="auto"/>
            </w:tcBorders>
            <w:shd w:val="clear" w:color="auto" w:fill="auto"/>
            <w:noWrap/>
            <w:vAlign w:val="center"/>
          </w:tcPr>
          <w:p w14:paraId="2D34AFA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22.497</w:t>
            </w:r>
          </w:p>
        </w:tc>
        <w:tc>
          <w:tcPr>
            <w:tcW w:w="1500" w:type="dxa"/>
            <w:tcBorders>
              <w:left w:val="single" w:sz="4" w:space="0" w:color="auto"/>
              <w:right w:val="single" w:sz="4" w:space="0" w:color="auto"/>
            </w:tcBorders>
            <w:shd w:val="clear" w:color="auto" w:fill="auto"/>
            <w:noWrap/>
            <w:vAlign w:val="center"/>
          </w:tcPr>
          <w:p w14:paraId="5943A03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-687</w:t>
            </w:r>
          </w:p>
        </w:tc>
        <w:tc>
          <w:tcPr>
            <w:tcW w:w="1220" w:type="dxa"/>
            <w:tcBorders>
              <w:left w:val="single" w:sz="4" w:space="0" w:color="auto"/>
              <w:right w:val="single" w:sz="4" w:space="0" w:color="auto"/>
            </w:tcBorders>
            <w:shd w:val="clear" w:color="auto" w:fill="auto"/>
            <w:noWrap/>
            <w:vAlign w:val="center"/>
          </w:tcPr>
          <w:p w14:paraId="126726B2"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1A4428A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21.810</w:t>
            </w:r>
          </w:p>
        </w:tc>
      </w:tr>
      <w:tr w:rsidR="00305A53" w:rsidRPr="00701F32" w14:paraId="74817931"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7A35291E"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Créditos diversos </w:t>
            </w:r>
          </w:p>
        </w:tc>
        <w:tc>
          <w:tcPr>
            <w:tcW w:w="1060" w:type="dxa"/>
            <w:tcBorders>
              <w:left w:val="single" w:sz="4" w:space="0" w:color="auto"/>
              <w:right w:val="single" w:sz="4" w:space="0" w:color="auto"/>
            </w:tcBorders>
            <w:shd w:val="clear" w:color="auto" w:fill="auto"/>
            <w:noWrap/>
            <w:vAlign w:val="bottom"/>
            <w:hideMark/>
          </w:tcPr>
          <w:p w14:paraId="64776380"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53310C3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1.537.367</w:t>
            </w:r>
          </w:p>
        </w:tc>
        <w:tc>
          <w:tcPr>
            <w:tcW w:w="1500" w:type="dxa"/>
            <w:tcBorders>
              <w:left w:val="single" w:sz="4" w:space="0" w:color="auto"/>
              <w:right w:val="single" w:sz="4" w:space="0" w:color="auto"/>
            </w:tcBorders>
            <w:shd w:val="clear" w:color="auto" w:fill="auto"/>
            <w:noWrap/>
            <w:vAlign w:val="center"/>
          </w:tcPr>
          <w:p w14:paraId="1BAEE80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-1.537.367</w:t>
            </w:r>
          </w:p>
        </w:tc>
        <w:tc>
          <w:tcPr>
            <w:tcW w:w="1220" w:type="dxa"/>
            <w:tcBorders>
              <w:left w:val="single" w:sz="4" w:space="0" w:color="auto"/>
              <w:right w:val="single" w:sz="4" w:space="0" w:color="auto"/>
            </w:tcBorders>
            <w:shd w:val="clear" w:color="auto" w:fill="auto"/>
            <w:noWrap/>
            <w:vAlign w:val="center"/>
          </w:tcPr>
          <w:p w14:paraId="20086861"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7D99132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7564658E"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26133088"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Bienes de uso y diversos</w:t>
            </w:r>
          </w:p>
        </w:tc>
        <w:tc>
          <w:tcPr>
            <w:tcW w:w="1060" w:type="dxa"/>
            <w:tcBorders>
              <w:left w:val="single" w:sz="4" w:space="0" w:color="auto"/>
              <w:right w:val="single" w:sz="4" w:space="0" w:color="auto"/>
            </w:tcBorders>
            <w:shd w:val="clear" w:color="auto" w:fill="auto"/>
            <w:noWrap/>
            <w:vAlign w:val="bottom"/>
            <w:hideMark/>
          </w:tcPr>
          <w:p w14:paraId="4939A241"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4312711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907.734</w:t>
            </w:r>
          </w:p>
        </w:tc>
        <w:tc>
          <w:tcPr>
            <w:tcW w:w="1500" w:type="dxa"/>
            <w:tcBorders>
              <w:left w:val="single" w:sz="4" w:space="0" w:color="auto"/>
              <w:right w:val="single" w:sz="4" w:space="0" w:color="auto"/>
            </w:tcBorders>
            <w:shd w:val="clear" w:color="auto" w:fill="auto"/>
            <w:noWrap/>
            <w:vAlign w:val="center"/>
          </w:tcPr>
          <w:p w14:paraId="3588E176"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-907.734</w:t>
            </w:r>
          </w:p>
        </w:tc>
        <w:tc>
          <w:tcPr>
            <w:tcW w:w="1220" w:type="dxa"/>
            <w:tcBorders>
              <w:left w:val="single" w:sz="4" w:space="0" w:color="auto"/>
              <w:right w:val="single" w:sz="4" w:space="0" w:color="auto"/>
            </w:tcBorders>
            <w:shd w:val="clear" w:color="auto" w:fill="auto"/>
            <w:noWrap/>
            <w:vAlign w:val="center"/>
          </w:tcPr>
          <w:p w14:paraId="5F3E337F"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704A81D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715D81BE"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2798DF04"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Activos intangibles </w:t>
            </w:r>
          </w:p>
        </w:tc>
        <w:tc>
          <w:tcPr>
            <w:tcW w:w="1060" w:type="dxa"/>
            <w:tcBorders>
              <w:left w:val="single" w:sz="4" w:space="0" w:color="auto"/>
              <w:right w:val="single" w:sz="4" w:space="0" w:color="auto"/>
            </w:tcBorders>
            <w:shd w:val="clear" w:color="auto" w:fill="auto"/>
            <w:noWrap/>
            <w:vAlign w:val="bottom"/>
            <w:hideMark/>
          </w:tcPr>
          <w:p w14:paraId="2EB05B9E"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f, k</w:t>
            </w:r>
          </w:p>
        </w:tc>
        <w:tc>
          <w:tcPr>
            <w:tcW w:w="1100" w:type="dxa"/>
            <w:tcBorders>
              <w:left w:val="single" w:sz="4" w:space="0" w:color="auto"/>
              <w:right w:val="single" w:sz="4" w:space="0" w:color="auto"/>
            </w:tcBorders>
            <w:shd w:val="clear" w:color="auto" w:fill="auto"/>
            <w:noWrap/>
            <w:vAlign w:val="center"/>
          </w:tcPr>
          <w:p w14:paraId="3EB79AF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262.530</w:t>
            </w:r>
          </w:p>
        </w:tc>
        <w:tc>
          <w:tcPr>
            <w:tcW w:w="1500" w:type="dxa"/>
            <w:tcBorders>
              <w:left w:val="single" w:sz="4" w:space="0" w:color="auto"/>
              <w:right w:val="single" w:sz="4" w:space="0" w:color="auto"/>
            </w:tcBorders>
            <w:shd w:val="clear" w:color="auto" w:fill="auto"/>
            <w:noWrap/>
            <w:vAlign w:val="center"/>
          </w:tcPr>
          <w:p w14:paraId="24C08BB0"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-82.881</w:t>
            </w:r>
          </w:p>
        </w:tc>
        <w:tc>
          <w:tcPr>
            <w:tcW w:w="1220" w:type="dxa"/>
            <w:tcBorders>
              <w:left w:val="single" w:sz="4" w:space="0" w:color="auto"/>
              <w:right w:val="single" w:sz="4" w:space="0" w:color="auto"/>
            </w:tcBorders>
            <w:shd w:val="clear" w:color="auto" w:fill="auto"/>
            <w:noWrap/>
            <w:vAlign w:val="center"/>
          </w:tcPr>
          <w:p w14:paraId="09BB9AE2"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-46.705</w:t>
            </w:r>
          </w:p>
        </w:tc>
        <w:tc>
          <w:tcPr>
            <w:tcW w:w="1140" w:type="dxa"/>
            <w:tcBorders>
              <w:left w:val="single" w:sz="4" w:space="0" w:color="auto"/>
              <w:right w:val="single" w:sz="4" w:space="0" w:color="auto"/>
            </w:tcBorders>
            <w:shd w:val="clear" w:color="auto" w:fill="auto"/>
            <w:noWrap/>
            <w:vAlign w:val="center"/>
          </w:tcPr>
          <w:p w14:paraId="7D318F90"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132.944</w:t>
            </w:r>
          </w:p>
        </w:tc>
      </w:tr>
      <w:tr w:rsidR="00305A53" w:rsidRPr="00701F32" w14:paraId="1446C760"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2B474EBC"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Partidas pendientes de imputación </w:t>
            </w:r>
          </w:p>
        </w:tc>
        <w:tc>
          <w:tcPr>
            <w:tcW w:w="1060" w:type="dxa"/>
            <w:tcBorders>
              <w:left w:val="single" w:sz="4" w:space="0" w:color="auto"/>
              <w:right w:val="single" w:sz="4" w:space="0" w:color="auto"/>
            </w:tcBorders>
            <w:shd w:val="clear" w:color="auto" w:fill="auto"/>
            <w:noWrap/>
            <w:vAlign w:val="bottom"/>
            <w:hideMark/>
          </w:tcPr>
          <w:p w14:paraId="69A44DBF"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5F479537"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37.515</w:t>
            </w:r>
          </w:p>
        </w:tc>
        <w:tc>
          <w:tcPr>
            <w:tcW w:w="1500" w:type="dxa"/>
            <w:tcBorders>
              <w:left w:val="single" w:sz="4" w:space="0" w:color="auto"/>
              <w:right w:val="single" w:sz="4" w:space="0" w:color="auto"/>
            </w:tcBorders>
            <w:shd w:val="clear" w:color="auto" w:fill="auto"/>
            <w:noWrap/>
            <w:vAlign w:val="center"/>
          </w:tcPr>
          <w:p w14:paraId="5834505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-37.515</w:t>
            </w:r>
          </w:p>
        </w:tc>
        <w:tc>
          <w:tcPr>
            <w:tcW w:w="1220" w:type="dxa"/>
            <w:tcBorders>
              <w:left w:val="single" w:sz="4" w:space="0" w:color="auto"/>
              <w:right w:val="single" w:sz="4" w:space="0" w:color="auto"/>
            </w:tcBorders>
            <w:shd w:val="clear" w:color="auto" w:fill="auto"/>
            <w:noWrap/>
            <w:vAlign w:val="center"/>
          </w:tcPr>
          <w:p w14:paraId="69FB395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65D4156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305A53" w:rsidRPr="00701F32" w14:paraId="0BA91AE7"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7A5B5A01"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Títulos de deuda a VR con cambios en resultados </w:t>
            </w:r>
          </w:p>
        </w:tc>
        <w:tc>
          <w:tcPr>
            <w:tcW w:w="1060" w:type="dxa"/>
            <w:tcBorders>
              <w:left w:val="single" w:sz="4" w:space="0" w:color="auto"/>
              <w:right w:val="single" w:sz="4" w:space="0" w:color="auto"/>
            </w:tcBorders>
            <w:shd w:val="clear" w:color="auto" w:fill="auto"/>
            <w:noWrap/>
            <w:vAlign w:val="bottom"/>
            <w:hideMark/>
          </w:tcPr>
          <w:p w14:paraId="1D98D80B"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c</w:t>
            </w:r>
          </w:p>
        </w:tc>
        <w:tc>
          <w:tcPr>
            <w:tcW w:w="1100" w:type="dxa"/>
            <w:tcBorders>
              <w:left w:val="single" w:sz="4" w:space="0" w:color="auto"/>
              <w:right w:val="single" w:sz="4" w:space="0" w:color="auto"/>
            </w:tcBorders>
            <w:shd w:val="clear" w:color="auto" w:fill="auto"/>
            <w:noWrap/>
            <w:vAlign w:val="center"/>
          </w:tcPr>
          <w:p w14:paraId="0BA4E542"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4FFBBE7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4.338.991</w:t>
            </w:r>
          </w:p>
        </w:tc>
        <w:tc>
          <w:tcPr>
            <w:tcW w:w="1220" w:type="dxa"/>
            <w:tcBorders>
              <w:left w:val="single" w:sz="4" w:space="0" w:color="auto"/>
              <w:right w:val="single" w:sz="4" w:space="0" w:color="auto"/>
            </w:tcBorders>
            <w:shd w:val="clear" w:color="auto" w:fill="auto"/>
            <w:noWrap/>
            <w:vAlign w:val="center"/>
          </w:tcPr>
          <w:p w14:paraId="07C78D0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109.742</w:t>
            </w:r>
          </w:p>
        </w:tc>
        <w:tc>
          <w:tcPr>
            <w:tcW w:w="1140" w:type="dxa"/>
            <w:tcBorders>
              <w:left w:val="single" w:sz="4" w:space="0" w:color="auto"/>
              <w:right w:val="single" w:sz="4" w:space="0" w:color="auto"/>
            </w:tcBorders>
            <w:shd w:val="clear" w:color="auto" w:fill="auto"/>
            <w:noWrap/>
            <w:vAlign w:val="center"/>
          </w:tcPr>
          <w:p w14:paraId="0D79907F"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4.448.733</w:t>
            </w:r>
          </w:p>
        </w:tc>
      </w:tr>
      <w:tr w:rsidR="00305A53" w:rsidRPr="00701F32" w14:paraId="440517D6"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7179BD52"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Instrumentos derivados </w:t>
            </w:r>
          </w:p>
        </w:tc>
        <w:tc>
          <w:tcPr>
            <w:tcW w:w="1060" w:type="dxa"/>
            <w:tcBorders>
              <w:left w:val="single" w:sz="4" w:space="0" w:color="auto"/>
              <w:right w:val="single" w:sz="4" w:space="0" w:color="auto"/>
            </w:tcBorders>
            <w:shd w:val="clear" w:color="auto" w:fill="auto"/>
            <w:noWrap/>
            <w:vAlign w:val="bottom"/>
            <w:hideMark/>
          </w:tcPr>
          <w:p w14:paraId="6660F5D6"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30C4071B"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6B51740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37.954</w:t>
            </w:r>
          </w:p>
        </w:tc>
        <w:tc>
          <w:tcPr>
            <w:tcW w:w="1220" w:type="dxa"/>
            <w:tcBorders>
              <w:left w:val="single" w:sz="4" w:space="0" w:color="auto"/>
              <w:right w:val="single" w:sz="4" w:space="0" w:color="auto"/>
            </w:tcBorders>
            <w:shd w:val="clear" w:color="auto" w:fill="auto"/>
            <w:noWrap/>
            <w:vAlign w:val="center"/>
          </w:tcPr>
          <w:p w14:paraId="2EDCBC2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652B2A5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37.954</w:t>
            </w:r>
          </w:p>
        </w:tc>
      </w:tr>
      <w:tr w:rsidR="00305A53" w:rsidRPr="00701F32" w14:paraId="2746CE7D"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6B6D3C76"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activos financieros </w:t>
            </w:r>
          </w:p>
        </w:tc>
        <w:tc>
          <w:tcPr>
            <w:tcW w:w="1060" w:type="dxa"/>
            <w:tcBorders>
              <w:left w:val="single" w:sz="4" w:space="0" w:color="auto"/>
              <w:right w:val="single" w:sz="4" w:space="0" w:color="auto"/>
            </w:tcBorders>
            <w:shd w:val="clear" w:color="auto" w:fill="auto"/>
            <w:noWrap/>
            <w:vAlign w:val="bottom"/>
            <w:hideMark/>
          </w:tcPr>
          <w:p w14:paraId="58B57633"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n</w:t>
            </w:r>
          </w:p>
        </w:tc>
        <w:tc>
          <w:tcPr>
            <w:tcW w:w="1100" w:type="dxa"/>
            <w:tcBorders>
              <w:left w:val="single" w:sz="4" w:space="0" w:color="auto"/>
              <w:right w:val="single" w:sz="4" w:space="0" w:color="auto"/>
            </w:tcBorders>
            <w:shd w:val="clear" w:color="auto" w:fill="auto"/>
            <w:noWrap/>
            <w:vAlign w:val="center"/>
          </w:tcPr>
          <w:p w14:paraId="44845BC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24C154DB"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658.480</w:t>
            </w:r>
          </w:p>
        </w:tc>
        <w:tc>
          <w:tcPr>
            <w:tcW w:w="1220" w:type="dxa"/>
            <w:tcBorders>
              <w:left w:val="single" w:sz="4" w:space="0" w:color="auto"/>
              <w:right w:val="single" w:sz="4" w:space="0" w:color="auto"/>
            </w:tcBorders>
            <w:shd w:val="clear" w:color="auto" w:fill="auto"/>
            <w:noWrap/>
            <w:vAlign w:val="center"/>
          </w:tcPr>
          <w:p w14:paraId="27E1298E"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107.302</w:t>
            </w:r>
          </w:p>
        </w:tc>
        <w:tc>
          <w:tcPr>
            <w:tcW w:w="1140" w:type="dxa"/>
            <w:tcBorders>
              <w:left w:val="single" w:sz="4" w:space="0" w:color="auto"/>
              <w:right w:val="single" w:sz="4" w:space="0" w:color="auto"/>
            </w:tcBorders>
            <w:shd w:val="clear" w:color="auto" w:fill="auto"/>
            <w:noWrap/>
            <w:vAlign w:val="center"/>
          </w:tcPr>
          <w:p w14:paraId="0403F7D1"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765.782</w:t>
            </w:r>
          </w:p>
        </w:tc>
      </w:tr>
      <w:tr w:rsidR="00305A53" w:rsidRPr="00701F32" w14:paraId="3A267C24"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626C68C6"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Préstamos y otras financiaciones </w:t>
            </w:r>
          </w:p>
        </w:tc>
        <w:tc>
          <w:tcPr>
            <w:tcW w:w="1060" w:type="dxa"/>
            <w:tcBorders>
              <w:left w:val="single" w:sz="4" w:space="0" w:color="auto"/>
              <w:right w:val="single" w:sz="4" w:space="0" w:color="auto"/>
            </w:tcBorders>
            <w:shd w:val="clear" w:color="auto" w:fill="auto"/>
            <w:noWrap/>
            <w:vAlign w:val="bottom"/>
            <w:hideMark/>
          </w:tcPr>
          <w:p w14:paraId="73FC6C30"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a, b, g, m</w:t>
            </w:r>
          </w:p>
        </w:tc>
        <w:tc>
          <w:tcPr>
            <w:tcW w:w="1100" w:type="dxa"/>
            <w:tcBorders>
              <w:left w:val="single" w:sz="4" w:space="0" w:color="auto"/>
              <w:right w:val="single" w:sz="4" w:space="0" w:color="auto"/>
            </w:tcBorders>
            <w:shd w:val="clear" w:color="auto" w:fill="auto"/>
            <w:noWrap/>
            <w:vAlign w:val="center"/>
          </w:tcPr>
          <w:p w14:paraId="35CF5BB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6EFEFD28"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51.114.951</w:t>
            </w:r>
          </w:p>
        </w:tc>
        <w:tc>
          <w:tcPr>
            <w:tcW w:w="1220" w:type="dxa"/>
            <w:tcBorders>
              <w:left w:val="single" w:sz="4" w:space="0" w:color="auto"/>
              <w:right w:val="single" w:sz="4" w:space="0" w:color="auto"/>
            </w:tcBorders>
            <w:shd w:val="clear" w:color="auto" w:fill="auto"/>
            <w:noWrap/>
            <w:vAlign w:val="center"/>
          </w:tcPr>
          <w:p w14:paraId="4742DAC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1.794.607</w:t>
            </w:r>
          </w:p>
        </w:tc>
        <w:tc>
          <w:tcPr>
            <w:tcW w:w="1140" w:type="dxa"/>
            <w:tcBorders>
              <w:left w:val="single" w:sz="4" w:space="0" w:color="auto"/>
              <w:right w:val="single" w:sz="4" w:space="0" w:color="auto"/>
            </w:tcBorders>
            <w:shd w:val="clear" w:color="auto" w:fill="auto"/>
            <w:noWrap/>
            <w:vAlign w:val="center"/>
          </w:tcPr>
          <w:p w14:paraId="6ACF9F7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52.909.558</w:t>
            </w:r>
          </w:p>
        </w:tc>
      </w:tr>
      <w:tr w:rsidR="00305A53" w:rsidRPr="00701F32" w14:paraId="4A10E7DE"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7175431F"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títulos de deuda </w:t>
            </w:r>
          </w:p>
        </w:tc>
        <w:tc>
          <w:tcPr>
            <w:tcW w:w="1060" w:type="dxa"/>
            <w:tcBorders>
              <w:left w:val="single" w:sz="4" w:space="0" w:color="auto"/>
              <w:right w:val="single" w:sz="4" w:space="0" w:color="auto"/>
            </w:tcBorders>
            <w:shd w:val="clear" w:color="auto" w:fill="auto"/>
            <w:noWrap/>
            <w:vAlign w:val="bottom"/>
            <w:hideMark/>
          </w:tcPr>
          <w:p w14:paraId="3A9CF87E"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32F5D9E8"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1CB574D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2.377.998</w:t>
            </w:r>
          </w:p>
        </w:tc>
        <w:tc>
          <w:tcPr>
            <w:tcW w:w="1220" w:type="dxa"/>
            <w:tcBorders>
              <w:left w:val="single" w:sz="4" w:space="0" w:color="auto"/>
              <w:right w:val="single" w:sz="4" w:space="0" w:color="auto"/>
            </w:tcBorders>
            <w:shd w:val="clear" w:color="auto" w:fill="auto"/>
            <w:noWrap/>
            <w:vAlign w:val="center"/>
          </w:tcPr>
          <w:p w14:paraId="78505AF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-68.467</w:t>
            </w:r>
          </w:p>
        </w:tc>
        <w:tc>
          <w:tcPr>
            <w:tcW w:w="1140" w:type="dxa"/>
            <w:tcBorders>
              <w:left w:val="single" w:sz="4" w:space="0" w:color="auto"/>
              <w:right w:val="single" w:sz="4" w:space="0" w:color="auto"/>
            </w:tcBorders>
            <w:shd w:val="clear" w:color="auto" w:fill="auto"/>
            <w:noWrap/>
            <w:vAlign w:val="center"/>
          </w:tcPr>
          <w:p w14:paraId="3DBE56B3"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2.309.531</w:t>
            </w:r>
          </w:p>
        </w:tc>
      </w:tr>
      <w:tr w:rsidR="00305A53" w:rsidRPr="00701F32" w14:paraId="56A43874"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059C1D7F"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Activos financieros entregados en garantía </w:t>
            </w:r>
          </w:p>
        </w:tc>
        <w:tc>
          <w:tcPr>
            <w:tcW w:w="1060" w:type="dxa"/>
            <w:tcBorders>
              <w:left w:val="single" w:sz="4" w:space="0" w:color="auto"/>
              <w:right w:val="single" w:sz="4" w:space="0" w:color="auto"/>
            </w:tcBorders>
            <w:shd w:val="clear" w:color="auto" w:fill="auto"/>
            <w:noWrap/>
            <w:vAlign w:val="bottom"/>
            <w:hideMark/>
          </w:tcPr>
          <w:p w14:paraId="51244F8D"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790CB9D2"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7841B92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2.739.840</w:t>
            </w:r>
          </w:p>
        </w:tc>
        <w:tc>
          <w:tcPr>
            <w:tcW w:w="1220" w:type="dxa"/>
            <w:tcBorders>
              <w:left w:val="single" w:sz="4" w:space="0" w:color="auto"/>
              <w:right w:val="single" w:sz="4" w:space="0" w:color="auto"/>
            </w:tcBorders>
            <w:shd w:val="clear" w:color="auto" w:fill="auto"/>
            <w:noWrap/>
            <w:vAlign w:val="center"/>
          </w:tcPr>
          <w:p w14:paraId="0C69F85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586931B1"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2.739.840</w:t>
            </w:r>
          </w:p>
        </w:tc>
      </w:tr>
      <w:tr w:rsidR="00305A53" w:rsidRPr="00701F32" w14:paraId="3EE14CF3"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75169C38"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Inversión en instrumentos de patrimonio</w:t>
            </w:r>
          </w:p>
        </w:tc>
        <w:tc>
          <w:tcPr>
            <w:tcW w:w="1060" w:type="dxa"/>
            <w:tcBorders>
              <w:left w:val="single" w:sz="4" w:space="0" w:color="auto"/>
              <w:right w:val="single" w:sz="4" w:space="0" w:color="auto"/>
            </w:tcBorders>
            <w:shd w:val="clear" w:color="auto" w:fill="auto"/>
            <w:noWrap/>
            <w:vAlign w:val="bottom"/>
            <w:hideMark/>
          </w:tcPr>
          <w:p w14:paraId="7F7407A0"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d</w:t>
            </w:r>
          </w:p>
        </w:tc>
        <w:tc>
          <w:tcPr>
            <w:tcW w:w="1100" w:type="dxa"/>
            <w:tcBorders>
              <w:left w:val="single" w:sz="4" w:space="0" w:color="auto"/>
              <w:right w:val="single" w:sz="4" w:space="0" w:color="auto"/>
            </w:tcBorders>
            <w:shd w:val="clear" w:color="auto" w:fill="auto"/>
            <w:noWrap/>
            <w:vAlign w:val="center"/>
          </w:tcPr>
          <w:p w14:paraId="21558BE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69E5ADE1"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821</w:t>
            </w:r>
          </w:p>
        </w:tc>
        <w:tc>
          <w:tcPr>
            <w:tcW w:w="1220" w:type="dxa"/>
            <w:tcBorders>
              <w:left w:val="single" w:sz="4" w:space="0" w:color="auto"/>
              <w:right w:val="single" w:sz="4" w:space="0" w:color="auto"/>
            </w:tcBorders>
            <w:shd w:val="clear" w:color="auto" w:fill="auto"/>
            <w:noWrap/>
            <w:vAlign w:val="center"/>
          </w:tcPr>
          <w:p w14:paraId="2B4C861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6.132</w:t>
            </w:r>
          </w:p>
        </w:tc>
        <w:tc>
          <w:tcPr>
            <w:tcW w:w="1140" w:type="dxa"/>
            <w:tcBorders>
              <w:left w:val="single" w:sz="4" w:space="0" w:color="auto"/>
              <w:right w:val="single" w:sz="4" w:space="0" w:color="auto"/>
            </w:tcBorders>
            <w:shd w:val="clear" w:color="auto" w:fill="auto"/>
            <w:noWrap/>
            <w:vAlign w:val="center"/>
          </w:tcPr>
          <w:p w14:paraId="31C071F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6.953</w:t>
            </w:r>
          </w:p>
        </w:tc>
      </w:tr>
      <w:tr w:rsidR="00305A53" w:rsidRPr="00701F32" w14:paraId="112C616C"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6451EAE7"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Activos por impuestos a las ganancias corriente </w:t>
            </w:r>
          </w:p>
        </w:tc>
        <w:tc>
          <w:tcPr>
            <w:tcW w:w="1060" w:type="dxa"/>
            <w:tcBorders>
              <w:left w:val="single" w:sz="4" w:space="0" w:color="auto"/>
              <w:right w:val="single" w:sz="4" w:space="0" w:color="auto"/>
            </w:tcBorders>
            <w:shd w:val="clear" w:color="auto" w:fill="auto"/>
            <w:noWrap/>
            <w:vAlign w:val="bottom"/>
            <w:hideMark/>
          </w:tcPr>
          <w:p w14:paraId="35AD9DF3" w14:textId="77777777" w:rsidR="00305A53" w:rsidRPr="00701F32" w:rsidRDefault="00305A53" w:rsidP="00305A53">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tcPr>
          <w:p w14:paraId="60913AAF"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3E852963"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28.971</w:t>
            </w:r>
          </w:p>
        </w:tc>
        <w:tc>
          <w:tcPr>
            <w:tcW w:w="1220" w:type="dxa"/>
            <w:tcBorders>
              <w:left w:val="single" w:sz="4" w:space="0" w:color="auto"/>
              <w:right w:val="single" w:sz="4" w:space="0" w:color="auto"/>
            </w:tcBorders>
            <w:shd w:val="clear" w:color="auto" w:fill="auto"/>
            <w:noWrap/>
            <w:vAlign w:val="center"/>
          </w:tcPr>
          <w:p w14:paraId="15917E5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tcPr>
          <w:p w14:paraId="09A81B4F"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28.971</w:t>
            </w:r>
          </w:p>
        </w:tc>
      </w:tr>
      <w:tr w:rsidR="00305A53" w:rsidRPr="00701F32" w14:paraId="04F58603"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6EA216CB"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Activos por impuesto a las ganancias diferido </w:t>
            </w:r>
          </w:p>
        </w:tc>
        <w:tc>
          <w:tcPr>
            <w:tcW w:w="1060" w:type="dxa"/>
            <w:tcBorders>
              <w:left w:val="single" w:sz="4" w:space="0" w:color="auto"/>
              <w:right w:val="single" w:sz="4" w:space="0" w:color="auto"/>
            </w:tcBorders>
            <w:shd w:val="clear" w:color="auto" w:fill="auto"/>
            <w:noWrap/>
            <w:vAlign w:val="bottom"/>
            <w:hideMark/>
          </w:tcPr>
          <w:p w14:paraId="5B514A2D"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j</w:t>
            </w:r>
          </w:p>
        </w:tc>
        <w:tc>
          <w:tcPr>
            <w:tcW w:w="1100" w:type="dxa"/>
            <w:tcBorders>
              <w:left w:val="single" w:sz="4" w:space="0" w:color="auto"/>
              <w:right w:val="single" w:sz="4" w:space="0" w:color="auto"/>
            </w:tcBorders>
            <w:shd w:val="clear" w:color="auto" w:fill="auto"/>
            <w:noWrap/>
            <w:vAlign w:val="center"/>
          </w:tcPr>
          <w:p w14:paraId="589797DB"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4AA9A1E5"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220" w:type="dxa"/>
            <w:tcBorders>
              <w:left w:val="single" w:sz="4" w:space="0" w:color="auto"/>
              <w:right w:val="single" w:sz="4" w:space="0" w:color="auto"/>
            </w:tcBorders>
            <w:shd w:val="clear" w:color="auto" w:fill="auto"/>
            <w:noWrap/>
            <w:vAlign w:val="center"/>
          </w:tcPr>
          <w:p w14:paraId="68B4B943"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500.989</w:t>
            </w:r>
          </w:p>
        </w:tc>
        <w:tc>
          <w:tcPr>
            <w:tcW w:w="1140" w:type="dxa"/>
            <w:tcBorders>
              <w:left w:val="single" w:sz="4" w:space="0" w:color="auto"/>
              <w:right w:val="single" w:sz="4" w:space="0" w:color="auto"/>
            </w:tcBorders>
            <w:shd w:val="clear" w:color="auto" w:fill="auto"/>
            <w:noWrap/>
            <w:vAlign w:val="center"/>
          </w:tcPr>
          <w:p w14:paraId="78342ED4"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500.989</w:t>
            </w:r>
          </w:p>
        </w:tc>
      </w:tr>
      <w:tr w:rsidR="00305A53" w:rsidRPr="00701F32" w14:paraId="4B027607" w14:textId="77777777" w:rsidTr="00305A53">
        <w:trPr>
          <w:trHeight w:val="315"/>
        </w:trPr>
        <w:tc>
          <w:tcPr>
            <w:tcW w:w="3810" w:type="dxa"/>
            <w:tcBorders>
              <w:left w:val="single" w:sz="4" w:space="0" w:color="auto"/>
              <w:right w:val="single" w:sz="4" w:space="0" w:color="auto"/>
            </w:tcBorders>
            <w:shd w:val="clear" w:color="auto" w:fill="auto"/>
            <w:noWrap/>
            <w:vAlign w:val="bottom"/>
            <w:hideMark/>
          </w:tcPr>
          <w:p w14:paraId="5A22D277"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activos no financieros </w:t>
            </w:r>
          </w:p>
        </w:tc>
        <w:tc>
          <w:tcPr>
            <w:tcW w:w="1060" w:type="dxa"/>
            <w:tcBorders>
              <w:left w:val="single" w:sz="4" w:space="0" w:color="auto"/>
              <w:right w:val="single" w:sz="4" w:space="0" w:color="auto"/>
            </w:tcBorders>
            <w:shd w:val="clear" w:color="auto" w:fill="auto"/>
            <w:noWrap/>
            <w:vAlign w:val="bottom"/>
            <w:hideMark/>
          </w:tcPr>
          <w:p w14:paraId="04F113F9"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w:t>
            </w:r>
          </w:p>
        </w:tc>
        <w:tc>
          <w:tcPr>
            <w:tcW w:w="1100" w:type="dxa"/>
            <w:tcBorders>
              <w:left w:val="single" w:sz="4" w:space="0" w:color="auto"/>
              <w:right w:val="single" w:sz="4" w:space="0" w:color="auto"/>
            </w:tcBorders>
            <w:shd w:val="clear" w:color="auto" w:fill="auto"/>
            <w:noWrap/>
            <w:vAlign w:val="center"/>
          </w:tcPr>
          <w:p w14:paraId="2F97EAC9"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tcPr>
          <w:p w14:paraId="7216E4C1"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574.573</w:t>
            </w:r>
          </w:p>
        </w:tc>
        <w:tc>
          <w:tcPr>
            <w:tcW w:w="1220" w:type="dxa"/>
            <w:tcBorders>
              <w:left w:val="single" w:sz="4" w:space="0" w:color="auto"/>
              <w:right w:val="single" w:sz="4" w:space="0" w:color="auto"/>
            </w:tcBorders>
            <w:shd w:val="clear" w:color="auto" w:fill="auto"/>
            <w:noWrap/>
            <w:vAlign w:val="center"/>
          </w:tcPr>
          <w:p w14:paraId="7352A1BE"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85.803</w:t>
            </w:r>
          </w:p>
        </w:tc>
        <w:tc>
          <w:tcPr>
            <w:tcW w:w="1140" w:type="dxa"/>
            <w:tcBorders>
              <w:left w:val="single" w:sz="4" w:space="0" w:color="auto"/>
              <w:right w:val="single" w:sz="4" w:space="0" w:color="auto"/>
            </w:tcBorders>
            <w:shd w:val="clear" w:color="auto" w:fill="auto"/>
            <w:noWrap/>
            <w:vAlign w:val="center"/>
          </w:tcPr>
          <w:p w14:paraId="4413E9F0"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660.376</w:t>
            </w:r>
          </w:p>
        </w:tc>
      </w:tr>
      <w:tr w:rsidR="00305A53" w:rsidRPr="00701F32" w14:paraId="661004FA" w14:textId="77777777" w:rsidTr="00305A53">
        <w:trPr>
          <w:trHeight w:val="315"/>
        </w:trPr>
        <w:tc>
          <w:tcPr>
            <w:tcW w:w="3810" w:type="dxa"/>
            <w:tcBorders>
              <w:left w:val="single" w:sz="4" w:space="0" w:color="auto"/>
              <w:bottom w:val="single" w:sz="4" w:space="0" w:color="auto"/>
              <w:right w:val="single" w:sz="4" w:space="0" w:color="auto"/>
            </w:tcBorders>
            <w:shd w:val="clear" w:color="auto" w:fill="auto"/>
            <w:noWrap/>
            <w:vAlign w:val="bottom"/>
            <w:hideMark/>
          </w:tcPr>
          <w:p w14:paraId="3876BC37" w14:textId="77777777" w:rsidR="00305A53" w:rsidRPr="00701F32" w:rsidRDefault="00305A53" w:rsidP="00305A53">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Propiedad, planta y equipo </w:t>
            </w:r>
          </w:p>
        </w:tc>
        <w:tc>
          <w:tcPr>
            <w:tcW w:w="1060" w:type="dxa"/>
            <w:tcBorders>
              <w:left w:val="single" w:sz="4" w:space="0" w:color="auto"/>
              <w:bottom w:val="single" w:sz="4" w:space="0" w:color="auto"/>
              <w:right w:val="single" w:sz="4" w:space="0" w:color="auto"/>
            </w:tcBorders>
            <w:shd w:val="clear" w:color="auto" w:fill="auto"/>
            <w:noWrap/>
            <w:vAlign w:val="bottom"/>
            <w:hideMark/>
          </w:tcPr>
          <w:p w14:paraId="3E1F635F" w14:textId="77777777" w:rsidR="00305A53" w:rsidRPr="00701F32" w:rsidRDefault="00305A53" w:rsidP="00305A53">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w:t>
            </w:r>
          </w:p>
        </w:tc>
        <w:tc>
          <w:tcPr>
            <w:tcW w:w="1100" w:type="dxa"/>
            <w:tcBorders>
              <w:left w:val="single" w:sz="4" w:space="0" w:color="auto"/>
              <w:bottom w:val="single" w:sz="4" w:space="0" w:color="auto"/>
              <w:right w:val="single" w:sz="4" w:space="0" w:color="auto"/>
            </w:tcBorders>
            <w:shd w:val="clear" w:color="auto" w:fill="auto"/>
            <w:noWrap/>
            <w:vAlign w:val="center"/>
          </w:tcPr>
          <w:p w14:paraId="553401BC"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bottom w:val="single" w:sz="4" w:space="0" w:color="auto"/>
              <w:right w:val="single" w:sz="4" w:space="0" w:color="auto"/>
            </w:tcBorders>
            <w:shd w:val="clear" w:color="auto" w:fill="auto"/>
            <w:noWrap/>
            <w:vAlign w:val="center"/>
          </w:tcPr>
          <w:p w14:paraId="47337B6A"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705.889</w:t>
            </w:r>
          </w:p>
        </w:tc>
        <w:tc>
          <w:tcPr>
            <w:tcW w:w="1220" w:type="dxa"/>
            <w:tcBorders>
              <w:left w:val="single" w:sz="4" w:space="0" w:color="auto"/>
              <w:bottom w:val="single" w:sz="4" w:space="0" w:color="auto"/>
              <w:right w:val="single" w:sz="4" w:space="0" w:color="auto"/>
            </w:tcBorders>
            <w:shd w:val="clear" w:color="auto" w:fill="auto"/>
            <w:noWrap/>
            <w:vAlign w:val="center"/>
          </w:tcPr>
          <w:p w14:paraId="1D125D7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89.517</w:t>
            </w:r>
          </w:p>
        </w:tc>
        <w:tc>
          <w:tcPr>
            <w:tcW w:w="1140" w:type="dxa"/>
            <w:tcBorders>
              <w:left w:val="single" w:sz="4" w:space="0" w:color="auto"/>
              <w:bottom w:val="single" w:sz="4" w:space="0" w:color="auto"/>
              <w:right w:val="single" w:sz="4" w:space="0" w:color="auto"/>
            </w:tcBorders>
            <w:shd w:val="clear" w:color="auto" w:fill="auto"/>
            <w:noWrap/>
            <w:vAlign w:val="center"/>
          </w:tcPr>
          <w:p w14:paraId="64993EED" w14:textId="77777777" w:rsidR="00305A53" w:rsidRPr="00701F32" w:rsidRDefault="00305A53" w:rsidP="00305A53">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795.406</w:t>
            </w:r>
          </w:p>
        </w:tc>
      </w:tr>
      <w:tr w:rsidR="00305A53" w:rsidRPr="00701F32" w14:paraId="59E22362" w14:textId="77777777" w:rsidTr="00305A53">
        <w:trPr>
          <w:trHeight w:val="315"/>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BE6D4" w14:textId="77777777" w:rsidR="00305A53" w:rsidRPr="00701F32" w:rsidRDefault="00305A53" w:rsidP="00305A53">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del Activo al 30/09/2017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1E17" w14:textId="77777777" w:rsidR="00305A53" w:rsidRPr="00701F32" w:rsidRDefault="00305A53" w:rsidP="00305A53">
            <w:pPr>
              <w:jc w:val="center"/>
              <w:rPr>
                <w:rFonts w:ascii="Arial" w:hAnsi="Arial" w:cs="Arial"/>
                <w:b/>
                <w:bCs/>
                <w:color w:val="000000"/>
                <w:sz w:val="16"/>
                <w:szCs w:val="16"/>
                <w:lang w:eastAsia="es-AR"/>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58B6" w14:textId="77777777" w:rsidR="00305A53" w:rsidRPr="00701F32" w:rsidRDefault="00305A53" w:rsidP="00305A53">
            <w:pPr>
              <w:autoSpaceDE w:val="0"/>
              <w:autoSpaceDN w:val="0"/>
              <w:adjustRightInd w:val="0"/>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72.606.351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F770" w14:textId="77777777" w:rsidR="00305A53" w:rsidRPr="00701F32" w:rsidRDefault="00305A53" w:rsidP="00305A53">
            <w:pPr>
              <w:autoSpaceDE w:val="0"/>
              <w:autoSpaceDN w:val="0"/>
              <w:adjustRightInd w:val="0"/>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-794.554</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25BCE" w14:textId="77777777" w:rsidR="00305A53" w:rsidRPr="00701F32" w:rsidRDefault="00305A53" w:rsidP="00305A53">
            <w:pPr>
              <w:autoSpaceDE w:val="0"/>
              <w:autoSpaceDN w:val="0"/>
              <w:adjustRightInd w:val="0"/>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2.586.921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B8B1" w14:textId="77777777" w:rsidR="00305A53" w:rsidRPr="00701F32" w:rsidRDefault="00305A53" w:rsidP="00305A53">
            <w:pPr>
              <w:autoSpaceDE w:val="0"/>
              <w:autoSpaceDN w:val="0"/>
              <w:adjustRightInd w:val="0"/>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74.398.718</w:t>
            </w:r>
          </w:p>
        </w:tc>
      </w:tr>
      <w:tr w:rsidR="00B8189A" w:rsidRPr="00701F32" w14:paraId="26DBC8A9" w14:textId="77777777" w:rsidTr="00B8189A">
        <w:trPr>
          <w:trHeight w:val="315"/>
        </w:trPr>
        <w:tc>
          <w:tcPr>
            <w:tcW w:w="3810" w:type="dxa"/>
            <w:tcBorders>
              <w:top w:val="single" w:sz="4" w:space="0" w:color="auto"/>
              <w:left w:val="single" w:sz="4" w:space="0" w:color="auto"/>
              <w:right w:val="single" w:sz="4" w:space="0" w:color="auto"/>
            </w:tcBorders>
            <w:shd w:val="clear" w:color="auto" w:fill="auto"/>
            <w:noWrap/>
            <w:vAlign w:val="bottom"/>
            <w:hideMark/>
          </w:tcPr>
          <w:p w14:paraId="53745293"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Depósitos </w:t>
            </w:r>
          </w:p>
        </w:tc>
        <w:tc>
          <w:tcPr>
            <w:tcW w:w="1060" w:type="dxa"/>
            <w:tcBorders>
              <w:top w:val="single" w:sz="4" w:space="0" w:color="auto"/>
              <w:left w:val="single" w:sz="4" w:space="0" w:color="auto"/>
              <w:right w:val="single" w:sz="4" w:space="0" w:color="auto"/>
            </w:tcBorders>
            <w:shd w:val="clear" w:color="auto" w:fill="auto"/>
            <w:noWrap/>
            <w:vAlign w:val="bottom"/>
            <w:hideMark/>
          </w:tcPr>
          <w:p w14:paraId="3090A16D"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top w:val="single" w:sz="4" w:space="0" w:color="auto"/>
              <w:left w:val="single" w:sz="4" w:space="0" w:color="auto"/>
              <w:right w:val="single" w:sz="4" w:space="0" w:color="auto"/>
            </w:tcBorders>
            <w:shd w:val="clear" w:color="auto" w:fill="auto"/>
            <w:noWrap/>
            <w:vAlign w:val="center"/>
            <w:hideMark/>
          </w:tcPr>
          <w:p w14:paraId="378DAC23"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48.627.414</w:t>
            </w:r>
          </w:p>
        </w:tc>
        <w:tc>
          <w:tcPr>
            <w:tcW w:w="1500" w:type="dxa"/>
            <w:tcBorders>
              <w:top w:val="single" w:sz="4" w:space="0" w:color="auto"/>
              <w:left w:val="single" w:sz="4" w:space="0" w:color="auto"/>
              <w:right w:val="single" w:sz="4" w:space="0" w:color="auto"/>
            </w:tcBorders>
            <w:shd w:val="clear" w:color="auto" w:fill="auto"/>
            <w:noWrap/>
            <w:vAlign w:val="center"/>
            <w:hideMark/>
          </w:tcPr>
          <w:p w14:paraId="511196E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-1.436.953</w:t>
            </w:r>
          </w:p>
        </w:tc>
        <w:tc>
          <w:tcPr>
            <w:tcW w:w="1220" w:type="dxa"/>
            <w:tcBorders>
              <w:top w:val="single" w:sz="4" w:space="0" w:color="auto"/>
              <w:left w:val="single" w:sz="4" w:space="0" w:color="auto"/>
              <w:right w:val="single" w:sz="4" w:space="0" w:color="auto"/>
            </w:tcBorders>
            <w:shd w:val="clear" w:color="auto" w:fill="auto"/>
            <w:noWrap/>
            <w:vAlign w:val="center"/>
            <w:hideMark/>
          </w:tcPr>
          <w:p w14:paraId="2AD5F94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top w:val="single" w:sz="4" w:space="0" w:color="auto"/>
              <w:left w:val="single" w:sz="4" w:space="0" w:color="auto"/>
              <w:right w:val="single" w:sz="4" w:space="0" w:color="auto"/>
            </w:tcBorders>
            <w:shd w:val="clear" w:color="auto" w:fill="auto"/>
            <w:noWrap/>
            <w:vAlign w:val="center"/>
            <w:hideMark/>
          </w:tcPr>
          <w:p w14:paraId="6DC7D8F9"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47.190.461</w:t>
            </w:r>
          </w:p>
        </w:tc>
      </w:tr>
      <w:tr w:rsidR="00B8189A" w:rsidRPr="00701F32" w14:paraId="3D788A6D"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58ADCD24"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Otras obligaciones por intermediación financiera </w:t>
            </w:r>
          </w:p>
        </w:tc>
        <w:tc>
          <w:tcPr>
            <w:tcW w:w="1060" w:type="dxa"/>
            <w:tcBorders>
              <w:left w:val="single" w:sz="4" w:space="0" w:color="auto"/>
              <w:right w:val="single" w:sz="4" w:space="0" w:color="auto"/>
            </w:tcBorders>
            <w:shd w:val="clear" w:color="auto" w:fill="auto"/>
            <w:noWrap/>
            <w:vAlign w:val="bottom"/>
            <w:hideMark/>
          </w:tcPr>
          <w:p w14:paraId="1EA3BE70" w14:textId="77777777" w:rsidR="00B8189A" w:rsidRPr="00701F32" w:rsidRDefault="00B8189A" w:rsidP="00B8189A">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i</w:t>
            </w:r>
          </w:p>
        </w:tc>
        <w:tc>
          <w:tcPr>
            <w:tcW w:w="1100" w:type="dxa"/>
            <w:tcBorders>
              <w:left w:val="single" w:sz="4" w:space="0" w:color="auto"/>
              <w:right w:val="single" w:sz="4" w:space="0" w:color="auto"/>
            </w:tcBorders>
            <w:shd w:val="clear" w:color="auto" w:fill="auto"/>
            <w:noWrap/>
            <w:vAlign w:val="center"/>
            <w:hideMark/>
          </w:tcPr>
          <w:p w14:paraId="0ACD98C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12.967.029</w:t>
            </w:r>
          </w:p>
        </w:tc>
        <w:tc>
          <w:tcPr>
            <w:tcW w:w="1500" w:type="dxa"/>
            <w:tcBorders>
              <w:left w:val="single" w:sz="4" w:space="0" w:color="auto"/>
              <w:right w:val="single" w:sz="4" w:space="0" w:color="auto"/>
            </w:tcBorders>
            <w:shd w:val="clear" w:color="auto" w:fill="auto"/>
            <w:noWrap/>
            <w:vAlign w:val="center"/>
            <w:hideMark/>
          </w:tcPr>
          <w:p w14:paraId="0C6B6FE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-12.967.029</w:t>
            </w:r>
          </w:p>
        </w:tc>
        <w:tc>
          <w:tcPr>
            <w:tcW w:w="1220" w:type="dxa"/>
            <w:tcBorders>
              <w:left w:val="single" w:sz="4" w:space="0" w:color="auto"/>
              <w:right w:val="single" w:sz="4" w:space="0" w:color="auto"/>
            </w:tcBorders>
            <w:shd w:val="clear" w:color="auto" w:fill="auto"/>
            <w:noWrap/>
            <w:vAlign w:val="center"/>
            <w:hideMark/>
          </w:tcPr>
          <w:p w14:paraId="10AFACD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3E8633A8"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B8189A" w:rsidRPr="00701F32" w14:paraId="48E32FA4"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54633BA2"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Obligaciones diversas </w:t>
            </w:r>
          </w:p>
        </w:tc>
        <w:tc>
          <w:tcPr>
            <w:tcW w:w="1060" w:type="dxa"/>
            <w:tcBorders>
              <w:left w:val="single" w:sz="4" w:space="0" w:color="auto"/>
              <w:right w:val="single" w:sz="4" w:space="0" w:color="auto"/>
            </w:tcBorders>
            <w:shd w:val="clear" w:color="auto" w:fill="auto"/>
            <w:noWrap/>
            <w:vAlign w:val="bottom"/>
            <w:hideMark/>
          </w:tcPr>
          <w:p w14:paraId="7DF38CFD"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0374CFA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2.090.206</w:t>
            </w:r>
          </w:p>
        </w:tc>
        <w:tc>
          <w:tcPr>
            <w:tcW w:w="1500" w:type="dxa"/>
            <w:tcBorders>
              <w:left w:val="single" w:sz="4" w:space="0" w:color="auto"/>
              <w:right w:val="single" w:sz="4" w:space="0" w:color="auto"/>
            </w:tcBorders>
            <w:shd w:val="clear" w:color="auto" w:fill="auto"/>
            <w:noWrap/>
            <w:vAlign w:val="center"/>
            <w:hideMark/>
          </w:tcPr>
          <w:p w14:paraId="334E27E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-2.090.206</w:t>
            </w:r>
          </w:p>
        </w:tc>
        <w:tc>
          <w:tcPr>
            <w:tcW w:w="1220" w:type="dxa"/>
            <w:tcBorders>
              <w:left w:val="single" w:sz="4" w:space="0" w:color="auto"/>
              <w:right w:val="single" w:sz="4" w:space="0" w:color="auto"/>
            </w:tcBorders>
            <w:shd w:val="clear" w:color="auto" w:fill="auto"/>
            <w:noWrap/>
            <w:vAlign w:val="center"/>
            <w:hideMark/>
          </w:tcPr>
          <w:p w14:paraId="585ECA7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478B5FB3"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B8189A" w:rsidRPr="00701F32" w14:paraId="0C2995DA"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4EA789B5"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Provisiones </w:t>
            </w:r>
          </w:p>
        </w:tc>
        <w:tc>
          <w:tcPr>
            <w:tcW w:w="1060" w:type="dxa"/>
            <w:tcBorders>
              <w:left w:val="single" w:sz="4" w:space="0" w:color="auto"/>
              <w:right w:val="single" w:sz="4" w:space="0" w:color="auto"/>
            </w:tcBorders>
            <w:shd w:val="clear" w:color="auto" w:fill="auto"/>
            <w:noWrap/>
            <w:vAlign w:val="bottom"/>
            <w:hideMark/>
          </w:tcPr>
          <w:p w14:paraId="0C5ACA83"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1217AA5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67.895</w:t>
            </w:r>
          </w:p>
        </w:tc>
        <w:tc>
          <w:tcPr>
            <w:tcW w:w="1500" w:type="dxa"/>
            <w:tcBorders>
              <w:left w:val="single" w:sz="4" w:space="0" w:color="auto"/>
              <w:right w:val="single" w:sz="4" w:space="0" w:color="auto"/>
            </w:tcBorders>
            <w:shd w:val="clear" w:color="auto" w:fill="auto"/>
            <w:noWrap/>
            <w:vAlign w:val="center"/>
            <w:hideMark/>
          </w:tcPr>
          <w:p w14:paraId="30EE2ED6"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220" w:type="dxa"/>
            <w:tcBorders>
              <w:left w:val="single" w:sz="4" w:space="0" w:color="auto"/>
              <w:right w:val="single" w:sz="4" w:space="0" w:color="auto"/>
            </w:tcBorders>
            <w:shd w:val="clear" w:color="auto" w:fill="auto"/>
            <w:noWrap/>
            <w:vAlign w:val="center"/>
            <w:hideMark/>
          </w:tcPr>
          <w:p w14:paraId="3C8784C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35FED476"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67.895</w:t>
            </w:r>
          </w:p>
        </w:tc>
      </w:tr>
      <w:tr w:rsidR="00B8189A" w:rsidRPr="00701F32" w14:paraId="48BCFBDF"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32667DA6"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Obligaciones negociables subordinadas </w:t>
            </w:r>
          </w:p>
        </w:tc>
        <w:tc>
          <w:tcPr>
            <w:tcW w:w="1060" w:type="dxa"/>
            <w:tcBorders>
              <w:left w:val="single" w:sz="4" w:space="0" w:color="auto"/>
              <w:right w:val="single" w:sz="4" w:space="0" w:color="auto"/>
            </w:tcBorders>
            <w:shd w:val="clear" w:color="auto" w:fill="auto"/>
            <w:noWrap/>
            <w:vAlign w:val="bottom"/>
            <w:hideMark/>
          </w:tcPr>
          <w:p w14:paraId="20EF1EA6"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10779BE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1.533.221</w:t>
            </w:r>
          </w:p>
        </w:tc>
        <w:tc>
          <w:tcPr>
            <w:tcW w:w="1500" w:type="dxa"/>
            <w:tcBorders>
              <w:left w:val="single" w:sz="4" w:space="0" w:color="auto"/>
              <w:right w:val="single" w:sz="4" w:space="0" w:color="auto"/>
            </w:tcBorders>
            <w:shd w:val="clear" w:color="auto" w:fill="auto"/>
            <w:noWrap/>
            <w:vAlign w:val="center"/>
            <w:hideMark/>
          </w:tcPr>
          <w:p w14:paraId="57A3A47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220" w:type="dxa"/>
            <w:tcBorders>
              <w:left w:val="single" w:sz="4" w:space="0" w:color="auto"/>
              <w:right w:val="single" w:sz="4" w:space="0" w:color="auto"/>
            </w:tcBorders>
            <w:shd w:val="clear" w:color="auto" w:fill="auto"/>
            <w:noWrap/>
            <w:vAlign w:val="center"/>
            <w:hideMark/>
          </w:tcPr>
          <w:p w14:paraId="3BEA0728"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1C2168C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1.533.221</w:t>
            </w:r>
          </w:p>
        </w:tc>
      </w:tr>
      <w:tr w:rsidR="00B8189A" w:rsidRPr="00701F32" w14:paraId="320CEC90"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15177D98"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Partidas pendientes de imputación </w:t>
            </w:r>
          </w:p>
        </w:tc>
        <w:tc>
          <w:tcPr>
            <w:tcW w:w="1060" w:type="dxa"/>
            <w:tcBorders>
              <w:left w:val="single" w:sz="4" w:space="0" w:color="auto"/>
              <w:right w:val="single" w:sz="4" w:space="0" w:color="auto"/>
            </w:tcBorders>
            <w:shd w:val="clear" w:color="auto" w:fill="auto"/>
            <w:noWrap/>
            <w:vAlign w:val="bottom"/>
            <w:hideMark/>
          </w:tcPr>
          <w:p w14:paraId="4139F30E"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672E3AD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219.112</w:t>
            </w:r>
          </w:p>
        </w:tc>
        <w:tc>
          <w:tcPr>
            <w:tcW w:w="1500" w:type="dxa"/>
            <w:tcBorders>
              <w:left w:val="single" w:sz="4" w:space="0" w:color="auto"/>
              <w:right w:val="single" w:sz="4" w:space="0" w:color="auto"/>
            </w:tcBorders>
            <w:shd w:val="clear" w:color="auto" w:fill="auto"/>
            <w:noWrap/>
            <w:vAlign w:val="center"/>
            <w:hideMark/>
          </w:tcPr>
          <w:p w14:paraId="7393893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-219.112</w:t>
            </w:r>
          </w:p>
        </w:tc>
        <w:tc>
          <w:tcPr>
            <w:tcW w:w="1220" w:type="dxa"/>
            <w:tcBorders>
              <w:left w:val="single" w:sz="4" w:space="0" w:color="auto"/>
              <w:right w:val="single" w:sz="4" w:space="0" w:color="auto"/>
            </w:tcBorders>
            <w:shd w:val="clear" w:color="auto" w:fill="auto"/>
            <w:noWrap/>
            <w:vAlign w:val="center"/>
            <w:hideMark/>
          </w:tcPr>
          <w:p w14:paraId="7E03F7A4"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794047B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B8189A" w:rsidRPr="00701F32" w14:paraId="5317D661"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34DC0E21"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Participación de terceros</w:t>
            </w:r>
          </w:p>
        </w:tc>
        <w:tc>
          <w:tcPr>
            <w:tcW w:w="1060" w:type="dxa"/>
            <w:tcBorders>
              <w:left w:val="single" w:sz="4" w:space="0" w:color="auto"/>
              <w:right w:val="single" w:sz="4" w:space="0" w:color="auto"/>
            </w:tcBorders>
            <w:shd w:val="clear" w:color="auto" w:fill="auto"/>
            <w:noWrap/>
            <w:vAlign w:val="bottom"/>
            <w:hideMark/>
          </w:tcPr>
          <w:p w14:paraId="7916DC34"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7D0ABD6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47.127</w:t>
            </w:r>
          </w:p>
        </w:tc>
        <w:tc>
          <w:tcPr>
            <w:tcW w:w="1500" w:type="dxa"/>
            <w:tcBorders>
              <w:left w:val="single" w:sz="4" w:space="0" w:color="auto"/>
              <w:right w:val="single" w:sz="4" w:space="0" w:color="auto"/>
            </w:tcBorders>
            <w:shd w:val="clear" w:color="auto" w:fill="auto"/>
            <w:noWrap/>
            <w:vAlign w:val="center"/>
            <w:hideMark/>
          </w:tcPr>
          <w:p w14:paraId="20105A9B"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-47.127</w:t>
            </w:r>
          </w:p>
        </w:tc>
        <w:tc>
          <w:tcPr>
            <w:tcW w:w="1220" w:type="dxa"/>
            <w:tcBorders>
              <w:left w:val="single" w:sz="4" w:space="0" w:color="auto"/>
              <w:right w:val="single" w:sz="4" w:space="0" w:color="auto"/>
            </w:tcBorders>
            <w:shd w:val="clear" w:color="auto" w:fill="auto"/>
            <w:noWrap/>
            <w:vAlign w:val="center"/>
            <w:hideMark/>
          </w:tcPr>
          <w:p w14:paraId="2E70A57B"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328929D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r>
      <w:tr w:rsidR="00B8189A" w:rsidRPr="00701F32" w14:paraId="549F65F3"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548831EF"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Pasivos a VR con cambios en resultados</w:t>
            </w:r>
          </w:p>
        </w:tc>
        <w:tc>
          <w:tcPr>
            <w:tcW w:w="1060" w:type="dxa"/>
            <w:tcBorders>
              <w:left w:val="single" w:sz="4" w:space="0" w:color="auto"/>
              <w:right w:val="single" w:sz="4" w:space="0" w:color="auto"/>
            </w:tcBorders>
            <w:shd w:val="clear" w:color="auto" w:fill="auto"/>
            <w:noWrap/>
            <w:vAlign w:val="bottom"/>
            <w:hideMark/>
          </w:tcPr>
          <w:p w14:paraId="07F090D8"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32F15AFA"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703BFE9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1.430.626</w:t>
            </w:r>
          </w:p>
        </w:tc>
        <w:tc>
          <w:tcPr>
            <w:tcW w:w="1220" w:type="dxa"/>
            <w:tcBorders>
              <w:left w:val="single" w:sz="4" w:space="0" w:color="auto"/>
              <w:right w:val="single" w:sz="4" w:space="0" w:color="auto"/>
            </w:tcBorders>
            <w:shd w:val="clear" w:color="auto" w:fill="auto"/>
            <w:noWrap/>
            <w:vAlign w:val="center"/>
            <w:hideMark/>
          </w:tcPr>
          <w:p w14:paraId="48A3A60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49261278"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1.430.626</w:t>
            </w:r>
          </w:p>
        </w:tc>
      </w:tr>
      <w:tr w:rsidR="00B8189A" w:rsidRPr="00701F32" w14:paraId="5D149EF6"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02170BC0"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Operaciones de pase </w:t>
            </w:r>
          </w:p>
        </w:tc>
        <w:tc>
          <w:tcPr>
            <w:tcW w:w="1060" w:type="dxa"/>
            <w:tcBorders>
              <w:left w:val="single" w:sz="4" w:space="0" w:color="auto"/>
              <w:right w:val="single" w:sz="4" w:space="0" w:color="auto"/>
            </w:tcBorders>
            <w:shd w:val="clear" w:color="auto" w:fill="auto"/>
            <w:noWrap/>
            <w:vAlign w:val="bottom"/>
            <w:hideMark/>
          </w:tcPr>
          <w:p w14:paraId="492A6A83"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7B451268"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23E0296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1.266.045</w:t>
            </w:r>
          </w:p>
        </w:tc>
        <w:tc>
          <w:tcPr>
            <w:tcW w:w="1220" w:type="dxa"/>
            <w:tcBorders>
              <w:left w:val="single" w:sz="4" w:space="0" w:color="auto"/>
              <w:right w:val="single" w:sz="4" w:space="0" w:color="auto"/>
            </w:tcBorders>
            <w:shd w:val="clear" w:color="auto" w:fill="auto"/>
            <w:noWrap/>
            <w:vAlign w:val="center"/>
            <w:hideMark/>
          </w:tcPr>
          <w:p w14:paraId="69A207F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0819B3D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1.266.045</w:t>
            </w:r>
          </w:p>
        </w:tc>
      </w:tr>
      <w:tr w:rsidR="00B8189A" w:rsidRPr="00701F32" w14:paraId="694F0FF6"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7B232020"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pasivos financieros </w:t>
            </w:r>
          </w:p>
        </w:tc>
        <w:tc>
          <w:tcPr>
            <w:tcW w:w="1060" w:type="dxa"/>
            <w:tcBorders>
              <w:left w:val="single" w:sz="4" w:space="0" w:color="auto"/>
              <w:right w:val="single" w:sz="4" w:space="0" w:color="auto"/>
            </w:tcBorders>
            <w:shd w:val="clear" w:color="auto" w:fill="auto"/>
            <w:noWrap/>
            <w:vAlign w:val="bottom"/>
            <w:hideMark/>
          </w:tcPr>
          <w:p w14:paraId="0D9466E3" w14:textId="77777777" w:rsidR="00B8189A" w:rsidRPr="00701F32" w:rsidRDefault="00B8189A" w:rsidP="00B8189A">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g, m</w:t>
            </w:r>
          </w:p>
        </w:tc>
        <w:tc>
          <w:tcPr>
            <w:tcW w:w="1100" w:type="dxa"/>
            <w:tcBorders>
              <w:left w:val="single" w:sz="4" w:space="0" w:color="auto"/>
              <w:right w:val="single" w:sz="4" w:space="0" w:color="auto"/>
            </w:tcBorders>
            <w:shd w:val="clear" w:color="auto" w:fill="auto"/>
            <w:noWrap/>
            <w:vAlign w:val="center"/>
            <w:hideMark/>
          </w:tcPr>
          <w:p w14:paraId="113BBE4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3C004D6A"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1.618.787</w:t>
            </w:r>
          </w:p>
        </w:tc>
        <w:tc>
          <w:tcPr>
            <w:tcW w:w="1220" w:type="dxa"/>
            <w:tcBorders>
              <w:left w:val="single" w:sz="4" w:space="0" w:color="auto"/>
              <w:right w:val="single" w:sz="4" w:space="0" w:color="auto"/>
            </w:tcBorders>
            <w:shd w:val="clear" w:color="auto" w:fill="auto"/>
            <w:noWrap/>
            <w:vAlign w:val="center"/>
            <w:hideMark/>
          </w:tcPr>
          <w:p w14:paraId="72A6B33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2.176.438</w:t>
            </w:r>
          </w:p>
        </w:tc>
        <w:tc>
          <w:tcPr>
            <w:tcW w:w="1140" w:type="dxa"/>
            <w:tcBorders>
              <w:left w:val="single" w:sz="4" w:space="0" w:color="auto"/>
              <w:right w:val="single" w:sz="4" w:space="0" w:color="auto"/>
            </w:tcBorders>
            <w:shd w:val="clear" w:color="auto" w:fill="auto"/>
            <w:noWrap/>
            <w:vAlign w:val="center"/>
            <w:hideMark/>
          </w:tcPr>
          <w:p w14:paraId="00376CA1"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3.795.225</w:t>
            </w:r>
          </w:p>
        </w:tc>
      </w:tr>
      <w:tr w:rsidR="00B8189A" w:rsidRPr="00701F32" w14:paraId="3A8BE3C8"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19244868"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Financ.recibidas del BCRA y otras inst. financieras </w:t>
            </w:r>
          </w:p>
        </w:tc>
        <w:tc>
          <w:tcPr>
            <w:tcW w:w="1060" w:type="dxa"/>
            <w:tcBorders>
              <w:left w:val="single" w:sz="4" w:space="0" w:color="auto"/>
              <w:right w:val="single" w:sz="4" w:space="0" w:color="auto"/>
            </w:tcBorders>
            <w:shd w:val="clear" w:color="auto" w:fill="auto"/>
            <w:noWrap/>
            <w:vAlign w:val="bottom"/>
            <w:hideMark/>
          </w:tcPr>
          <w:p w14:paraId="1FFA7F32"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67EE6A9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407C235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1.509.550</w:t>
            </w:r>
          </w:p>
        </w:tc>
        <w:tc>
          <w:tcPr>
            <w:tcW w:w="1220" w:type="dxa"/>
            <w:tcBorders>
              <w:left w:val="single" w:sz="4" w:space="0" w:color="auto"/>
              <w:right w:val="single" w:sz="4" w:space="0" w:color="auto"/>
            </w:tcBorders>
            <w:shd w:val="clear" w:color="auto" w:fill="auto"/>
            <w:noWrap/>
            <w:vAlign w:val="center"/>
            <w:hideMark/>
          </w:tcPr>
          <w:p w14:paraId="7565479A"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4978CE3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1.509.550</w:t>
            </w:r>
          </w:p>
        </w:tc>
      </w:tr>
      <w:tr w:rsidR="00B8189A" w:rsidRPr="00701F32" w14:paraId="0B79043C"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23AE344B"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Obligaciones negociables emitidas </w:t>
            </w:r>
          </w:p>
        </w:tc>
        <w:tc>
          <w:tcPr>
            <w:tcW w:w="1060" w:type="dxa"/>
            <w:tcBorders>
              <w:left w:val="single" w:sz="4" w:space="0" w:color="auto"/>
              <w:right w:val="single" w:sz="4" w:space="0" w:color="auto"/>
            </w:tcBorders>
            <w:shd w:val="clear" w:color="auto" w:fill="auto"/>
            <w:noWrap/>
            <w:vAlign w:val="bottom"/>
            <w:hideMark/>
          </w:tcPr>
          <w:p w14:paraId="6D18E368"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6ED8F58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145039DA"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7.345.619</w:t>
            </w:r>
          </w:p>
        </w:tc>
        <w:tc>
          <w:tcPr>
            <w:tcW w:w="1220" w:type="dxa"/>
            <w:tcBorders>
              <w:left w:val="single" w:sz="4" w:space="0" w:color="auto"/>
              <w:right w:val="single" w:sz="4" w:space="0" w:color="auto"/>
            </w:tcBorders>
            <w:shd w:val="clear" w:color="auto" w:fill="auto"/>
            <w:noWrap/>
            <w:vAlign w:val="center"/>
            <w:hideMark/>
          </w:tcPr>
          <w:p w14:paraId="64C812C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6A8500B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7.345.619</w:t>
            </w:r>
          </w:p>
        </w:tc>
      </w:tr>
      <w:tr w:rsidR="00B8189A" w:rsidRPr="00701F32" w14:paraId="669479F4"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3CA43B87"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Pasivo por impuestos a las ganancias corriente </w:t>
            </w:r>
          </w:p>
        </w:tc>
        <w:tc>
          <w:tcPr>
            <w:tcW w:w="1060" w:type="dxa"/>
            <w:tcBorders>
              <w:left w:val="single" w:sz="4" w:space="0" w:color="auto"/>
              <w:right w:val="single" w:sz="4" w:space="0" w:color="auto"/>
            </w:tcBorders>
            <w:shd w:val="clear" w:color="auto" w:fill="auto"/>
            <w:noWrap/>
            <w:vAlign w:val="bottom"/>
            <w:hideMark/>
          </w:tcPr>
          <w:p w14:paraId="038C79B2"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3F25585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16BBB231"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587.393</w:t>
            </w:r>
          </w:p>
        </w:tc>
        <w:tc>
          <w:tcPr>
            <w:tcW w:w="1220" w:type="dxa"/>
            <w:tcBorders>
              <w:left w:val="single" w:sz="4" w:space="0" w:color="auto"/>
              <w:right w:val="single" w:sz="4" w:space="0" w:color="auto"/>
            </w:tcBorders>
            <w:shd w:val="clear" w:color="auto" w:fill="auto"/>
            <w:noWrap/>
            <w:vAlign w:val="center"/>
            <w:hideMark/>
          </w:tcPr>
          <w:p w14:paraId="39AFC37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left w:val="single" w:sz="4" w:space="0" w:color="auto"/>
              <w:right w:val="single" w:sz="4" w:space="0" w:color="auto"/>
            </w:tcBorders>
            <w:shd w:val="clear" w:color="auto" w:fill="auto"/>
            <w:noWrap/>
            <w:vAlign w:val="center"/>
            <w:hideMark/>
          </w:tcPr>
          <w:p w14:paraId="26E97E06"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587.393</w:t>
            </w:r>
          </w:p>
        </w:tc>
      </w:tr>
      <w:tr w:rsidR="00B8189A" w:rsidRPr="00701F32" w14:paraId="10ABC9FB" w14:textId="77777777" w:rsidTr="00B8189A">
        <w:trPr>
          <w:trHeight w:val="315"/>
        </w:trPr>
        <w:tc>
          <w:tcPr>
            <w:tcW w:w="3810" w:type="dxa"/>
            <w:tcBorders>
              <w:left w:val="single" w:sz="4" w:space="0" w:color="auto"/>
              <w:bottom w:val="single" w:sz="4" w:space="0" w:color="auto"/>
              <w:right w:val="single" w:sz="4" w:space="0" w:color="auto"/>
            </w:tcBorders>
            <w:shd w:val="clear" w:color="auto" w:fill="auto"/>
            <w:noWrap/>
            <w:vAlign w:val="bottom"/>
            <w:hideMark/>
          </w:tcPr>
          <w:p w14:paraId="6917744F"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pasivos no financieros</w:t>
            </w:r>
          </w:p>
        </w:tc>
        <w:tc>
          <w:tcPr>
            <w:tcW w:w="1060" w:type="dxa"/>
            <w:tcBorders>
              <w:left w:val="single" w:sz="4" w:space="0" w:color="auto"/>
              <w:bottom w:val="single" w:sz="4" w:space="0" w:color="auto"/>
              <w:right w:val="single" w:sz="4" w:space="0" w:color="auto"/>
            </w:tcBorders>
            <w:shd w:val="clear" w:color="auto" w:fill="auto"/>
            <w:noWrap/>
            <w:vAlign w:val="bottom"/>
            <w:hideMark/>
          </w:tcPr>
          <w:p w14:paraId="43D5DF67" w14:textId="77777777" w:rsidR="00B8189A" w:rsidRPr="00701F32" w:rsidRDefault="00B8189A" w:rsidP="00B8189A">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h, l</w:t>
            </w:r>
          </w:p>
        </w:tc>
        <w:tc>
          <w:tcPr>
            <w:tcW w:w="1100" w:type="dxa"/>
            <w:tcBorders>
              <w:left w:val="single" w:sz="4" w:space="0" w:color="auto"/>
              <w:bottom w:val="single" w:sz="4" w:space="0" w:color="auto"/>
              <w:right w:val="single" w:sz="4" w:space="0" w:color="auto"/>
            </w:tcBorders>
            <w:shd w:val="clear" w:color="auto" w:fill="auto"/>
            <w:noWrap/>
            <w:vAlign w:val="center"/>
            <w:hideMark/>
          </w:tcPr>
          <w:p w14:paraId="7EE8510D"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bottom w:val="single" w:sz="4" w:space="0" w:color="auto"/>
              <w:right w:val="single" w:sz="4" w:space="0" w:color="auto"/>
            </w:tcBorders>
            <w:shd w:val="clear" w:color="auto" w:fill="auto"/>
            <w:noWrap/>
            <w:vAlign w:val="center"/>
            <w:hideMark/>
          </w:tcPr>
          <w:p w14:paraId="317A495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2.160.652</w:t>
            </w:r>
          </w:p>
        </w:tc>
        <w:tc>
          <w:tcPr>
            <w:tcW w:w="1220" w:type="dxa"/>
            <w:tcBorders>
              <w:left w:val="single" w:sz="4" w:space="0" w:color="auto"/>
              <w:bottom w:val="single" w:sz="4" w:space="0" w:color="auto"/>
              <w:right w:val="single" w:sz="4" w:space="0" w:color="auto"/>
            </w:tcBorders>
            <w:shd w:val="clear" w:color="auto" w:fill="auto"/>
            <w:noWrap/>
            <w:vAlign w:val="center"/>
            <w:hideMark/>
          </w:tcPr>
          <w:p w14:paraId="3B5D9FD9"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734.274</w:t>
            </w:r>
          </w:p>
        </w:tc>
        <w:tc>
          <w:tcPr>
            <w:tcW w:w="1140" w:type="dxa"/>
            <w:tcBorders>
              <w:left w:val="single" w:sz="4" w:space="0" w:color="auto"/>
              <w:bottom w:val="single" w:sz="4" w:space="0" w:color="auto"/>
              <w:right w:val="single" w:sz="4" w:space="0" w:color="auto"/>
            </w:tcBorders>
            <w:shd w:val="clear" w:color="auto" w:fill="auto"/>
            <w:noWrap/>
            <w:vAlign w:val="center"/>
            <w:hideMark/>
          </w:tcPr>
          <w:p w14:paraId="11CA159C"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2.894.926</w:t>
            </w:r>
          </w:p>
        </w:tc>
      </w:tr>
      <w:tr w:rsidR="00B8189A" w:rsidRPr="00701F32" w14:paraId="4F38F609" w14:textId="77777777" w:rsidTr="00B8189A">
        <w:trPr>
          <w:trHeight w:val="315"/>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6087" w14:textId="77777777" w:rsidR="00B8189A" w:rsidRPr="00701F32" w:rsidRDefault="00B8189A" w:rsidP="00B8189A">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del Pasivo al 30/09/2017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3D350" w14:textId="77777777" w:rsidR="00B8189A" w:rsidRPr="00701F32" w:rsidRDefault="00B8189A" w:rsidP="00B8189A">
            <w:pPr>
              <w:jc w:val="center"/>
              <w:rPr>
                <w:rFonts w:ascii="Arial" w:hAnsi="Arial" w:cs="Arial"/>
                <w:b/>
                <w:bCs/>
                <w:color w:val="000000"/>
                <w:sz w:val="16"/>
                <w:szCs w:val="16"/>
                <w:lang w:eastAsia="es-AR"/>
              </w:rPr>
            </w:pP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E8DB5"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65.552.004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F5D4D"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-841.755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B3940"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2.910.712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023C4"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67.620.961</w:t>
            </w:r>
          </w:p>
        </w:tc>
      </w:tr>
      <w:tr w:rsidR="00B8189A" w:rsidRPr="00701F32" w14:paraId="29154D28" w14:textId="77777777" w:rsidTr="00B8189A">
        <w:trPr>
          <w:trHeight w:val="315"/>
        </w:trPr>
        <w:tc>
          <w:tcPr>
            <w:tcW w:w="3810" w:type="dxa"/>
            <w:tcBorders>
              <w:top w:val="single" w:sz="4" w:space="0" w:color="auto"/>
              <w:left w:val="single" w:sz="4" w:space="0" w:color="auto"/>
              <w:right w:val="single" w:sz="4" w:space="0" w:color="auto"/>
            </w:tcBorders>
            <w:shd w:val="clear" w:color="auto" w:fill="auto"/>
            <w:noWrap/>
            <w:vAlign w:val="bottom"/>
            <w:hideMark/>
          </w:tcPr>
          <w:p w14:paraId="57439D52"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Capital, aportes y reservas </w:t>
            </w:r>
          </w:p>
        </w:tc>
        <w:tc>
          <w:tcPr>
            <w:tcW w:w="1060" w:type="dxa"/>
            <w:tcBorders>
              <w:top w:val="single" w:sz="4" w:space="0" w:color="auto"/>
              <w:left w:val="single" w:sz="4" w:space="0" w:color="auto"/>
              <w:right w:val="single" w:sz="4" w:space="0" w:color="auto"/>
            </w:tcBorders>
            <w:shd w:val="clear" w:color="auto" w:fill="auto"/>
            <w:noWrap/>
            <w:vAlign w:val="bottom"/>
            <w:hideMark/>
          </w:tcPr>
          <w:p w14:paraId="57F73BC3"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top w:val="single" w:sz="4" w:space="0" w:color="auto"/>
              <w:left w:val="single" w:sz="4" w:space="0" w:color="auto"/>
              <w:right w:val="single" w:sz="4" w:space="0" w:color="auto"/>
            </w:tcBorders>
            <w:shd w:val="clear" w:color="auto" w:fill="auto"/>
            <w:noWrap/>
            <w:vAlign w:val="center"/>
            <w:hideMark/>
          </w:tcPr>
          <w:p w14:paraId="42BC9409"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6.377.431</w:t>
            </w:r>
          </w:p>
        </w:tc>
        <w:tc>
          <w:tcPr>
            <w:tcW w:w="1500" w:type="dxa"/>
            <w:tcBorders>
              <w:top w:val="single" w:sz="4" w:space="0" w:color="auto"/>
              <w:left w:val="single" w:sz="4" w:space="0" w:color="auto"/>
              <w:right w:val="single" w:sz="4" w:space="0" w:color="auto"/>
            </w:tcBorders>
            <w:shd w:val="clear" w:color="auto" w:fill="auto"/>
            <w:noWrap/>
            <w:vAlign w:val="center"/>
            <w:hideMark/>
          </w:tcPr>
          <w:p w14:paraId="5788023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-411.472</w:t>
            </w:r>
          </w:p>
        </w:tc>
        <w:tc>
          <w:tcPr>
            <w:tcW w:w="1220" w:type="dxa"/>
            <w:tcBorders>
              <w:top w:val="single" w:sz="4" w:space="0" w:color="auto"/>
              <w:left w:val="single" w:sz="4" w:space="0" w:color="auto"/>
              <w:right w:val="single" w:sz="4" w:space="0" w:color="auto"/>
            </w:tcBorders>
            <w:shd w:val="clear" w:color="auto" w:fill="auto"/>
            <w:noWrap/>
            <w:vAlign w:val="center"/>
            <w:hideMark/>
          </w:tcPr>
          <w:p w14:paraId="17C92BB5"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140" w:type="dxa"/>
            <w:tcBorders>
              <w:top w:val="single" w:sz="4" w:space="0" w:color="auto"/>
              <w:left w:val="single" w:sz="4" w:space="0" w:color="auto"/>
              <w:right w:val="single" w:sz="4" w:space="0" w:color="auto"/>
            </w:tcBorders>
            <w:shd w:val="clear" w:color="auto" w:fill="auto"/>
            <w:noWrap/>
            <w:vAlign w:val="center"/>
            <w:hideMark/>
          </w:tcPr>
          <w:p w14:paraId="1B9E75AE"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5.965.959</w:t>
            </w:r>
          </w:p>
        </w:tc>
      </w:tr>
      <w:tr w:rsidR="00B8189A" w:rsidRPr="00701F32" w14:paraId="39498E1A"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313DD32B"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resultados integrales acumulados </w:t>
            </w:r>
          </w:p>
        </w:tc>
        <w:tc>
          <w:tcPr>
            <w:tcW w:w="1060" w:type="dxa"/>
            <w:tcBorders>
              <w:left w:val="single" w:sz="4" w:space="0" w:color="auto"/>
              <w:right w:val="single" w:sz="4" w:space="0" w:color="auto"/>
            </w:tcBorders>
            <w:shd w:val="clear" w:color="auto" w:fill="auto"/>
            <w:noWrap/>
            <w:vAlign w:val="bottom"/>
            <w:hideMark/>
          </w:tcPr>
          <w:p w14:paraId="2BDAF815" w14:textId="77777777" w:rsidR="00B8189A" w:rsidRPr="00701F32" w:rsidRDefault="00B8189A" w:rsidP="00B8189A">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d, e, j</w:t>
            </w:r>
          </w:p>
        </w:tc>
        <w:tc>
          <w:tcPr>
            <w:tcW w:w="1100" w:type="dxa"/>
            <w:tcBorders>
              <w:left w:val="single" w:sz="4" w:space="0" w:color="auto"/>
              <w:right w:val="single" w:sz="4" w:space="0" w:color="auto"/>
            </w:tcBorders>
            <w:shd w:val="clear" w:color="auto" w:fill="auto"/>
            <w:noWrap/>
            <w:vAlign w:val="center"/>
            <w:hideMark/>
          </w:tcPr>
          <w:p w14:paraId="0A6C00D8"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right w:val="single" w:sz="4" w:space="0" w:color="auto"/>
            </w:tcBorders>
            <w:shd w:val="clear" w:color="auto" w:fill="auto"/>
            <w:noWrap/>
            <w:vAlign w:val="center"/>
            <w:hideMark/>
          </w:tcPr>
          <w:p w14:paraId="6C690F5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220" w:type="dxa"/>
            <w:tcBorders>
              <w:left w:val="single" w:sz="4" w:space="0" w:color="auto"/>
              <w:right w:val="single" w:sz="4" w:space="0" w:color="auto"/>
            </w:tcBorders>
            <w:shd w:val="clear" w:color="auto" w:fill="auto"/>
            <w:noWrap/>
            <w:vAlign w:val="center"/>
            <w:hideMark/>
          </w:tcPr>
          <w:p w14:paraId="157DA71E"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105.935</w:t>
            </w:r>
          </w:p>
        </w:tc>
        <w:tc>
          <w:tcPr>
            <w:tcW w:w="1140" w:type="dxa"/>
            <w:tcBorders>
              <w:left w:val="single" w:sz="4" w:space="0" w:color="auto"/>
              <w:right w:val="single" w:sz="4" w:space="0" w:color="auto"/>
            </w:tcBorders>
            <w:shd w:val="clear" w:color="auto" w:fill="auto"/>
            <w:noWrap/>
            <w:vAlign w:val="center"/>
            <w:hideMark/>
          </w:tcPr>
          <w:p w14:paraId="1080D3C9"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105.935</w:t>
            </w:r>
          </w:p>
        </w:tc>
      </w:tr>
      <w:tr w:rsidR="00B8189A" w:rsidRPr="00701F32" w14:paraId="4E5BCB67" w14:textId="77777777" w:rsidTr="00B8189A">
        <w:trPr>
          <w:trHeight w:val="315"/>
        </w:trPr>
        <w:tc>
          <w:tcPr>
            <w:tcW w:w="3810" w:type="dxa"/>
            <w:tcBorders>
              <w:left w:val="single" w:sz="4" w:space="0" w:color="auto"/>
              <w:right w:val="single" w:sz="4" w:space="0" w:color="auto"/>
            </w:tcBorders>
            <w:shd w:val="clear" w:color="auto" w:fill="auto"/>
            <w:noWrap/>
            <w:vAlign w:val="bottom"/>
            <w:hideMark/>
          </w:tcPr>
          <w:p w14:paraId="55DD4B3E"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Resultados no asignados </w:t>
            </w:r>
          </w:p>
        </w:tc>
        <w:tc>
          <w:tcPr>
            <w:tcW w:w="1060" w:type="dxa"/>
            <w:tcBorders>
              <w:left w:val="single" w:sz="4" w:space="0" w:color="auto"/>
              <w:right w:val="single" w:sz="4" w:space="0" w:color="auto"/>
            </w:tcBorders>
            <w:shd w:val="clear" w:color="auto" w:fill="auto"/>
            <w:noWrap/>
            <w:vAlign w:val="bottom"/>
            <w:hideMark/>
          </w:tcPr>
          <w:p w14:paraId="259C7486" w14:textId="77777777" w:rsidR="00B8189A" w:rsidRPr="00701F32" w:rsidRDefault="00B8189A" w:rsidP="00B8189A">
            <w:pPr>
              <w:jc w:val="center"/>
              <w:rPr>
                <w:rFonts w:ascii="Arial" w:hAnsi="Arial" w:cs="Arial"/>
                <w:bCs/>
                <w:color w:val="000000"/>
                <w:sz w:val="16"/>
                <w:szCs w:val="16"/>
                <w:lang w:eastAsia="es-AR"/>
              </w:rPr>
            </w:pPr>
          </w:p>
        </w:tc>
        <w:tc>
          <w:tcPr>
            <w:tcW w:w="1100" w:type="dxa"/>
            <w:tcBorders>
              <w:left w:val="single" w:sz="4" w:space="0" w:color="auto"/>
              <w:right w:val="single" w:sz="4" w:space="0" w:color="auto"/>
            </w:tcBorders>
            <w:shd w:val="clear" w:color="auto" w:fill="auto"/>
            <w:noWrap/>
            <w:vAlign w:val="center"/>
            <w:hideMark/>
          </w:tcPr>
          <w:p w14:paraId="7E2EFAD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676.916</w:t>
            </w:r>
          </w:p>
        </w:tc>
        <w:tc>
          <w:tcPr>
            <w:tcW w:w="1500" w:type="dxa"/>
            <w:tcBorders>
              <w:left w:val="single" w:sz="4" w:space="0" w:color="auto"/>
              <w:right w:val="single" w:sz="4" w:space="0" w:color="auto"/>
            </w:tcBorders>
            <w:shd w:val="clear" w:color="auto" w:fill="auto"/>
            <w:noWrap/>
            <w:vAlign w:val="center"/>
            <w:hideMark/>
          </w:tcPr>
          <w:p w14:paraId="6B59F2DA"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411.472</w:t>
            </w:r>
          </w:p>
        </w:tc>
        <w:tc>
          <w:tcPr>
            <w:tcW w:w="1220" w:type="dxa"/>
            <w:tcBorders>
              <w:left w:val="single" w:sz="4" w:space="0" w:color="auto"/>
              <w:right w:val="single" w:sz="4" w:space="0" w:color="auto"/>
            </w:tcBorders>
            <w:shd w:val="clear" w:color="auto" w:fill="auto"/>
            <w:noWrap/>
            <w:vAlign w:val="center"/>
            <w:hideMark/>
          </w:tcPr>
          <w:p w14:paraId="74C692FF"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-581.971</w:t>
            </w:r>
          </w:p>
        </w:tc>
        <w:tc>
          <w:tcPr>
            <w:tcW w:w="1140" w:type="dxa"/>
            <w:tcBorders>
              <w:left w:val="single" w:sz="4" w:space="0" w:color="auto"/>
              <w:right w:val="single" w:sz="4" w:space="0" w:color="auto"/>
            </w:tcBorders>
            <w:shd w:val="clear" w:color="auto" w:fill="auto"/>
            <w:noWrap/>
            <w:vAlign w:val="center"/>
            <w:hideMark/>
          </w:tcPr>
          <w:p w14:paraId="01023FF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506.417</w:t>
            </w:r>
          </w:p>
        </w:tc>
      </w:tr>
      <w:tr w:rsidR="00B8189A" w:rsidRPr="00701F32" w14:paraId="76BCD7AC" w14:textId="77777777" w:rsidTr="00B8189A">
        <w:trPr>
          <w:trHeight w:val="315"/>
        </w:trPr>
        <w:tc>
          <w:tcPr>
            <w:tcW w:w="3810" w:type="dxa"/>
            <w:tcBorders>
              <w:left w:val="single" w:sz="4" w:space="0" w:color="auto"/>
              <w:bottom w:val="single" w:sz="4" w:space="0" w:color="auto"/>
              <w:right w:val="single" w:sz="4" w:space="0" w:color="auto"/>
            </w:tcBorders>
            <w:shd w:val="clear" w:color="auto" w:fill="auto"/>
            <w:noWrap/>
            <w:vAlign w:val="bottom"/>
            <w:hideMark/>
          </w:tcPr>
          <w:p w14:paraId="329719DE" w14:textId="77777777" w:rsidR="00B8189A" w:rsidRPr="00701F32" w:rsidRDefault="00B8189A" w:rsidP="00B8189A">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PN atribuible a participaciones no controladoras </w:t>
            </w:r>
          </w:p>
        </w:tc>
        <w:tc>
          <w:tcPr>
            <w:tcW w:w="1060" w:type="dxa"/>
            <w:tcBorders>
              <w:left w:val="single" w:sz="4" w:space="0" w:color="auto"/>
              <w:bottom w:val="single" w:sz="4" w:space="0" w:color="auto"/>
              <w:right w:val="single" w:sz="4" w:space="0" w:color="auto"/>
            </w:tcBorders>
            <w:shd w:val="clear" w:color="auto" w:fill="auto"/>
            <w:noWrap/>
            <w:vAlign w:val="bottom"/>
            <w:hideMark/>
          </w:tcPr>
          <w:p w14:paraId="69C82AB8" w14:textId="77777777" w:rsidR="00B8189A" w:rsidRPr="00701F32" w:rsidRDefault="00B8189A" w:rsidP="00B8189A">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o</w:t>
            </w:r>
          </w:p>
        </w:tc>
        <w:tc>
          <w:tcPr>
            <w:tcW w:w="1100" w:type="dxa"/>
            <w:tcBorders>
              <w:left w:val="single" w:sz="4" w:space="0" w:color="auto"/>
              <w:bottom w:val="single" w:sz="4" w:space="0" w:color="auto"/>
              <w:right w:val="single" w:sz="4" w:space="0" w:color="auto"/>
            </w:tcBorders>
            <w:shd w:val="clear" w:color="auto" w:fill="auto"/>
            <w:noWrap/>
            <w:vAlign w:val="center"/>
            <w:hideMark/>
          </w:tcPr>
          <w:p w14:paraId="3F1BC337"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w:t>
            </w:r>
          </w:p>
        </w:tc>
        <w:tc>
          <w:tcPr>
            <w:tcW w:w="1500" w:type="dxa"/>
            <w:tcBorders>
              <w:left w:val="single" w:sz="4" w:space="0" w:color="auto"/>
              <w:bottom w:val="single" w:sz="4" w:space="0" w:color="auto"/>
              <w:right w:val="single" w:sz="4" w:space="0" w:color="auto"/>
            </w:tcBorders>
            <w:shd w:val="clear" w:color="auto" w:fill="auto"/>
            <w:noWrap/>
            <w:vAlign w:val="center"/>
            <w:hideMark/>
          </w:tcPr>
          <w:p w14:paraId="271CDDD0"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47.201</w:t>
            </w:r>
          </w:p>
        </w:tc>
        <w:tc>
          <w:tcPr>
            <w:tcW w:w="1220" w:type="dxa"/>
            <w:tcBorders>
              <w:left w:val="single" w:sz="4" w:space="0" w:color="auto"/>
              <w:bottom w:val="single" w:sz="4" w:space="0" w:color="auto"/>
              <w:right w:val="single" w:sz="4" w:space="0" w:color="auto"/>
            </w:tcBorders>
            <w:shd w:val="clear" w:color="auto" w:fill="auto"/>
            <w:noWrap/>
            <w:vAlign w:val="center"/>
            <w:hideMark/>
          </w:tcPr>
          <w:p w14:paraId="19763D52"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152.245</w:t>
            </w:r>
          </w:p>
        </w:tc>
        <w:tc>
          <w:tcPr>
            <w:tcW w:w="1140" w:type="dxa"/>
            <w:tcBorders>
              <w:left w:val="single" w:sz="4" w:space="0" w:color="auto"/>
              <w:bottom w:val="single" w:sz="4" w:space="0" w:color="auto"/>
              <w:right w:val="single" w:sz="4" w:space="0" w:color="auto"/>
            </w:tcBorders>
            <w:shd w:val="clear" w:color="auto" w:fill="auto"/>
            <w:noWrap/>
            <w:vAlign w:val="center"/>
            <w:hideMark/>
          </w:tcPr>
          <w:p w14:paraId="681B3493" w14:textId="77777777" w:rsidR="00B8189A" w:rsidRPr="00701F32" w:rsidRDefault="00B8189A" w:rsidP="00B8189A">
            <w:pPr>
              <w:jc w:val="right"/>
              <w:rPr>
                <w:rFonts w:ascii="Arial" w:hAnsi="Arial" w:cs="Arial"/>
                <w:bCs/>
                <w:color w:val="000000"/>
                <w:sz w:val="16"/>
                <w:szCs w:val="16"/>
                <w:lang w:eastAsia="es-AR"/>
              </w:rPr>
            </w:pPr>
            <w:r w:rsidRPr="00701F32">
              <w:rPr>
                <w:rFonts w:ascii="Arial" w:hAnsi="Arial" w:cs="Arial"/>
                <w:bCs/>
                <w:color w:val="000000"/>
                <w:sz w:val="16"/>
                <w:szCs w:val="16"/>
                <w:lang w:eastAsia="es-AR"/>
              </w:rPr>
              <w:t>199.446</w:t>
            </w:r>
          </w:p>
        </w:tc>
      </w:tr>
      <w:tr w:rsidR="00B8189A" w:rsidRPr="00701F32" w14:paraId="065AA894" w14:textId="77777777" w:rsidTr="00B8189A">
        <w:trPr>
          <w:trHeight w:val="315"/>
        </w:trPr>
        <w:tc>
          <w:tcPr>
            <w:tcW w:w="3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ACD62" w14:textId="77777777" w:rsidR="00B8189A" w:rsidRPr="00701F32" w:rsidRDefault="00B8189A" w:rsidP="00B8189A">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30/09/2017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495F1A8" w14:textId="77777777" w:rsidR="00B8189A" w:rsidRPr="00701F32" w:rsidRDefault="00B8189A" w:rsidP="00B8189A">
            <w:pPr>
              <w:jc w:val="center"/>
              <w:rPr>
                <w:rFonts w:ascii="Arial" w:hAnsi="Arial" w:cs="Arial"/>
                <w:b/>
                <w:bCs/>
                <w:color w:val="000000"/>
                <w:sz w:val="16"/>
                <w:szCs w:val="16"/>
                <w:lang w:eastAsia="es-AR"/>
              </w:rPr>
            </w:pP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76497B1"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7.054.347</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91C3D16"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47.201</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B606263"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-323.791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BAB514C" w14:textId="77777777" w:rsidR="00B8189A" w:rsidRPr="00701F32" w:rsidRDefault="00B8189A"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6.777.757</w:t>
            </w:r>
          </w:p>
        </w:tc>
      </w:tr>
    </w:tbl>
    <w:p w14:paraId="5F01F2AE" w14:textId="77777777" w:rsidR="00A06BE9" w:rsidRPr="00701F32" w:rsidRDefault="00A06BE9" w:rsidP="00A06BE9">
      <w:pPr>
        <w:keepNext/>
        <w:keepLines/>
        <w:spacing w:before="40" w:line="259" w:lineRule="auto"/>
        <w:ind w:left="720" w:hanging="720"/>
        <w:jc w:val="both"/>
        <w:outlineLvl w:val="1"/>
        <w:rPr>
          <w:rFonts w:ascii="Arial" w:hAnsi="Arial" w:cs="Arial"/>
          <w:sz w:val="20"/>
        </w:rPr>
      </w:pPr>
    </w:p>
    <w:tbl>
      <w:tblPr>
        <w:tblW w:w="9856" w:type="dxa"/>
        <w:tblInd w:w="85" w:type="dxa"/>
        <w:tblCellMar>
          <w:left w:w="70" w:type="dxa"/>
          <w:right w:w="70" w:type="dxa"/>
        </w:tblCellMar>
        <w:tblLook w:val="04A0" w:firstRow="1" w:lastRow="0" w:firstColumn="1" w:lastColumn="0" w:noHBand="0" w:noVBand="1"/>
      </w:tblPr>
      <w:tblGrid>
        <w:gridCol w:w="3800"/>
        <w:gridCol w:w="980"/>
        <w:gridCol w:w="1128"/>
        <w:gridCol w:w="1551"/>
        <w:gridCol w:w="1269"/>
        <w:gridCol w:w="1128"/>
      </w:tblGrid>
      <w:tr w:rsidR="00744FCC" w:rsidRPr="00701F32" w14:paraId="649E2F25" w14:textId="77777777" w:rsidTr="00E311C9">
        <w:trPr>
          <w:trHeight w:val="284"/>
          <w:tblHeader/>
        </w:trPr>
        <w:tc>
          <w:tcPr>
            <w:tcW w:w="38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7192C7" w14:textId="77777777" w:rsidR="00744FCC" w:rsidRPr="00701F32" w:rsidRDefault="00744FCC" w:rsidP="00744FCC">
            <w:pPr>
              <w:jc w:val="center"/>
              <w:rPr>
                <w:rFonts w:ascii="Arial" w:hAnsi="Arial" w:cs="Arial"/>
                <w:b/>
                <w:bCs/>
                <w:color w:val="000000"/>
                <w:sz w:val="16"/>
                <w:szCs w:val="16"/>
                <w:lang w:eastAsia="es-AR"/>
              </w:rPr>
            </w:pP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7518B35B"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28" w:type="dxa"/>
            <w:tcBorders>
              <w:top w:val="single" w:sz="8" w:space="0" w:color="auto"/>
              <w:left w:val="nil"/>
              <w:bottom w:val="single" w:sz="8" w:space="0" w:color="auto"/>
              <w:right w:val="single" w:sz="4" w:space="0" w:color="auto"/>
            </w:tcBorders>
            <w:shd w:val="clear" w:color="auto" w:fill="auto"/>
            <w:noWrap/>
            <w:vAlign w:val="center"/>
            <w:hideMark/>
          </w:tcPr>
          <w:p w14:paraId="4FA5ACCF"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551" w:type="dxa"/>
            <w:tcBorders>
              <w:top w:val="single" w:sz="8" w:space="0" w:color="auto"/>
              <w:left w:val="nil"/>
              <w:bottom w:val="single" w:sz="8" w:space="0" w:color="auto"/>
              <w:right w:val="single" w:sz="4" w:space="0" w:color="auto"/>
            </w:tcBorders>
            <w:shd w:val="clear" w:color="auto" w:fill="auto"/>
            <w:noWrap/>
            <w:vAlign w:val="center"/>
            <w:hideMark/>
          </w:tcPr>
          <w:p w14:paraId="21E359B1"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269" w:type="dxa"/>
            <w:tcBorders>
              <w:top w:val="single" w:sz="8" w:space="0" w:color="auto"/>
              <w:left w:val="nil"/>
              <w:bottom w:val="single" w:sz="8" w:space="0" w:color="auto"/>
              <w:right w:val="single" w:sz="4" w:space="0" w:color="auto"/>
            </w:tcBorders>
            <w:shd w:val="clear" w:color="auto" w:fill="auto"/>
            <w:noWrap/>
            <w:vAlign w:val="center"/>
            <w:hideMark/>
          </w:tcPr>
          <w:p w14:paraId="29F4A2A2"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128" w:type="dxa"/>
            <w:tcBorders>
              <w:top w:val="single" w:sz="8" w:space="0" w:color="auto"/>
              <w:left w:val="nil"/>
              <w:bottom w:val="single" w:sz="8" w:space="0" w:color="auto"/>
              <w:right w:val="single" w:sz="8" w:space="0" w:color="auto"/>
            </w:tcBorders>
            <w:shd w:val="clear" w:color="auto" w:fill="auto"/>
            <w:noWrap/>
            <w:vAlign w:val="center"/>
            <w:hideMark/>
          </w:tcPr>
          <w:p w14:paraId="290FF7B2"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744FCC" w:rsidRPr="00701F32" w14:paraId="04A1DDD5"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23838339"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Efectivo y depósitos en bancos </w:t>
            </w:r>
          </w:p>
        </w:tc>
        <w:tc>
          <w:tcPr>
            <w:tcW w:w="980" w:type="dxa"/>
            <w:tcBorders>
              <w:top w:val="nil"/>
              <w:left w:val="nil"/>
              <w:bottom w:val="nil"/>
              <w:right w:val="single" w:sz="4" w:space="0" w:color="auto"/>
            </w:tcBorders>
            <w:shd w:val="clear" w:color="auto" w:fill="auto"/>
            <w:noWrap/>
            <w:vAlign w:val="center"/>
            <w:hideMark/>
          </w:tcPr>
          <w:p w14:paraId="074DE0F3"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28" w:type="dxa"/>
            <w:tcBorders>
              <w:top w:val="nil"/>
              <w:left w:val="nil"/>
              <w:bottom w:val="nil"/>
              <w:right w:val="single" w:sz="4" w:space="0" w:color="auto"/>
            </w:tcBorders>
            <w:shd w:val="clear" w:color="auto" w:fill="auto"/>
            <w:noWrap/>
            <w:vAlign w:val="center"/>
            <w:hideMark/>
          </w:tcPr>
          <w:p w14:paraId="51BB897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8.120.099</w:t>
            </w:r>
          </w:p>
        </w:tc>
        <w:tc>
          <w:tcPr>
            <w:tcW w:w="1551" w:type="dxa"/>
            <w:tcBorders>
              <w:top w:val="nil"/>
              <w:left w:val="nil"/>
              <w:bottom w:val="nil"/>
              <w:right w:val="single" w:sz="4" w:space="0" w:color="auto"/>
            </w:tcBorders>
            <w:shd w:val="clear" w:color="auto" w:fill="auto"/>
            <w:noWrap/>
            <w:vAlign w:val="center"/>
            <w:hideMark/>
          </w:tcPr>
          <w:p w14:paraId="2294929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-153.258</w:t>
            </w:r>
          </w:p>
        </w:tc>
        <w:tc>
          <w:tcPr>
            <w:tcW w:w="1269" w:type="dxa"/>
            <w:tcBorders>
              <w:top w:val="nil"/>
              <w:left w:val="nil"/>
              <w:bottom w:val="nil"/>
              <w:right w:val="single" w:sz="4" w:space="0" w:color="auto"/>
            </w:tcBorders>
            <w:shd w:val="clear" w:color="auto" w:fill="auto"/>
            <w:noWrap/>
            <w:vAlign w:val="center"/>
            <w:hideMark/>
          </w:tcPr>
          <w:p w14:paraId="38C94D5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15.088</w:t>
            </w:r>
          </w:p>
        </w:tc>
        <w:tc>
          <w:tcPr>
            <w:tcW w:w="1128" w:type="dxa"/>
            <w:tcBorders>
              <w:top w:val="nil"/>
              <w:left w:val="nil"/>
              <w:bottom w:val="nil"/>
              <w:right w:val="single" w:sz="8" w:space="0" w:color="auto"/>
            </w:tcBorders>
            <w:shd w:val="clear" w:color="auto" w:fill="auto"/>
            <w:noWrap/>
            <w:vAlign w:val="center"/>
            <w:hideMark/>
          </w:tcPr>
          <w:p w14:paraId="1DA9580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7.981.929</w:t>
            </w:r>
          </w:p>
        </w:tc>
      </w:tr>
      <w:tr w:rsidR="00744FCC" w:rsidRPr="00701F32" w14:paraId="5D8D1A93"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0C7E21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públicos y privados </w:t>
            </w:r>
          </w:p>
        </w:tc>
        <w:tc>
          <w:tcPr>
            <w:tcW w:w="980" w:type="dxa"/>
            <w:tcBorders>
              <w:top w:val="nil"/>
              <w:left w:val="nil"/>
              <w:bottom w:val="nil"/>
              <w:right w:val="single" w:sz="4" w:space="0" w:color="auto"/>
            </w:tcBorders>
            <w:shd w:val="clear" w:color="auto" w:fill="auto"/>
            <w:noWrap/>
            <w:vAlign w:val="center"/>
            <w:hideMark/>
          </w:tcPr>
          <w:p w14:paraId="1F393831"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28" w:type="dxa"/>
            <w:tcBorders>
              <w:top w:val="nil"/>
              <w:left w:val="nil"/>
              <w:bottom w:val="nil"/>
              <w:right w:val="single" w:sz="4" w:space="0" w:color="auto"/>
            </w:tcBorders>
            <w:shd w:val="clear" w:color="auto" w:fill="auto"/>
            <w:noWrap/>
            <w:vAlign w:val="center"/>
            <w:hideMark/>
          </w:tcPr>
          <w:p w14:paraId="712D6D3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2.255.964</w:t>
            </w:r>
          </w:p>
        </w:tc>
        <w:tc>
          <w:tcPr>
            <w:tcW w:w="1551" w:type="dxa"/>
            <w:tcBorders>
              <w:top w:val="nil"/>
              <w:left w:val="nil"/>
              <w:bottom w:val="nil"/>
              <w:right w:val="single" w:sz="4" w:space="0" w:color="auto"/>
            </w:tcBorders>
            <w:shd w:val="clear" w:color="auto" w:fill="auto"/>
            <w:noWrap/>
            <w:vAlign w:val="center"/>
            <w:hideMark/>
          </w:tcPr>
          <w:p w14:paraId="76C4BB4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-2.255.964</w:t>
            </w:r>
          </w:p>
        </w:tc>
        <w:tc>
          <w:tcPr>
            <w:tcW w:w="1269" w:type="dxa"/>
            <w:tcBorders>
              <w:top w:val="nil"/>
              <w:left w:val="nil"/>
              <w:bottom w:val="nil"/>
              <w:right w:val="single" w:sz="4" w:space="0" w:color="auto"/>
            </w:tcBorders>
            <w:shd w:val="clear" w:color="auto" w:fill="auto"/>
            <w:noWrap/>
            <w:vAlign w:val="center"/>
            <w:hideMark/>
          </w:tcPr>
          <w:p w14:paraId="7450EE2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5FCD2EE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694029C4"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09415E42"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Prestamos </w:t>
            </w:r>
          </w:p>
        </w:tc>
        <w:tc>
          <w:tcPr>
            <w:tcW w:w="980" w:type="dxa"/>
            <w:tcBorders>
              <w:top w:val="nil"/>
              <w:left w:val="nil"/>
              <w:bottom w:val="nil"/>
              <w:right w:val="single" w:sz="4" w:space="0" w:color="auto"/>
            </w:tcBorders>
            <w:shd w:val="clear" w:color="auto" w:fill="auto"/>
            <w:noWrap/>
            <w:vAlign w:val="center"/>
            <w:hideMark/>
          </w:tcPr>
          <w:p w14:paraId="2BC9D030"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78447C7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34.742.089</w:t>
            </w:r>
          </w:p>
        </w:tc>
        <w:tc>
          <w:tcPr>
            <w:tcW w:w="1551" w:type="dxa"/>
            <w:tcBorders>
              <w:top w:val="nil"/>
              <w:left w:val="nil"/>
              <w:bottom w:val="nil"/>
              <w:right w:val="single" w:sz="4" w:space="0" w:color="auto"/>
            </w:tcBorders>
            <w:shd w:val="clear" w:color="auto" w:fill="auto"/>
            <w:noWrap/>
            <w:vAlign w:val="center"/>
            <w:hideMark/>
          </w:tcPr>
          <w:p w14:paraId="7668599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-34.742.089</w:t>
            </w:r>
          </w:p>
        </w:tc>
        <w:tc>
          <w:tcPr>
            <w:tcW w:w="1269" w:type="dxa"/>
            <w:tcBorders>
              <w:top w:val="nil"/>
              <w:left w:val="nil"/>
              <w:bottom w:val="nil"/>
              <w:right w:val="single" w:sz="4" w:space="0" w:color="auto"/>
            </w:tcBorders>
            <w:shd w:val="clear" w:color="auto" w:fill="auto"/>
            <w:noWrap/>
            <w:vAlign w:val="center"/>
            <w:hideMark/>
          </w:tcPr>
          <w:p w14:paraId="1C42E1A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4CD6D89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15157E7E"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D8F2948"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créditos por intermediación financiera </w:t>
            </w:r>
          </w:p>
        </w:tc>
        <w:tc>
          <w:tcPr>
            <w:tcW w:w="980" w:type="dxa"/>
            <w:tcBorders>
              <w:top w:val="nil"/>
              <w:left w:val="nil"/>
              <w:bottom w:val="nil"/>
              <w:right w:val="single" w:sz="4" w:space="0" w:color="auto"/>
            </w:tcBorders>
            <w:shd w:val="clear" w:color="auto" w:fill="auto"/>
            <w:noWrap/>
            <w:vAlign w:val="center"/>
            <w:hideMark/>
          </w:tcPr>
          <w:p w14:paraId="582F8A45"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32D84E1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2.559.946</w:t>
            </w:r>
          </w:p>
        </w:tc>
        <w:tc>
          <w:tcPr>
            <w:tcW w:w="1551" w:type="dxa"/>
            <w:tcBorders>
              <w:top w:val="nil"/>
              <w:left w:val="nil"/>
              <w:bottom w:val="nil"/>
              <w:right w:val="single" w:sz="4" w:space="0" w:color="auto"/>
            </w:tcBorders>
            <w:shd w:val="clear" w:color="auto" w:fill="auto"/>
            <w:noWrap/>
            <w:vAlign w:val="center"/>
            <w:hideMark/>
          </w:tcPr>
          <w:p w14:paraId="2F39683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-2.559.946</w:t>
            </w:r>
          </w:p>
        </w:tc>
        <w:tc>
          <w:tcPr>
            <w:tcW w:w="1269" w:type="dxa"/>
            <w:tcBorders>
              <w:top w:val="nil"/>
              <w:left w:val="nil"/>
              <w:bottom w:val="nil"/>
              <w:right w:val="single" w:sz="4" w:space="0" w:color="auto"/>
            </w:tcBorders>
            <w:shd w:val="clear" w:color="auto" w:fill="auto"/>
            <w:noWrap/>
            <w:vAlign w:val="center"/>
            <w:hideMark/>
          </w:tcPr>
          <w:p w14:paraId="4860740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37500D2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464409F2"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4A25BC5"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por arrendamientos financieros </w:t>
            </w:r>
          </w:p>
        </w:tc>
        <w:tc>
          <w:tcPr>
            <w:tcW w:w="980" w:type="dxa"/>
            <w:tcBorders>
              <w:top w:val="nil"/>
              <w:left w:val="nil"/>
              <w:bottom w:val="nil"/>
              <w:right w:val="single" w:sz="4" w:space="0" w:color="auto"/>
            </w:tcBorders>
            <w:shd w:val="clear" w:color="auto" w:fill="auto"/>
            <w:noWrap/>
            <w:vAlign w:val="center"/>
            <w:hideMark/>
          </w:tcPr>
          <w:p w14:paraId="13A79705"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28" w:type="dxa"/>
            <w:tcBorders>
              <w:top w:val="nil"/>
              <w:left w:val="nil"/>
              <w:bottom w:val="nil"/>
              <w:right w:val="single" w:sz="4" w:space="0" w:color="auto"/>
            </w:tcBorders>
            <w:shd w:val="clear" w:color="auto" w:fill="auto"/>
            <w:noWrap/>
            <w:vAlign w:val="center"/>
            <w:hideMark/>
          </w:tcPr>
          <w:p w14:paraId="1F59577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1.528.254</w:t>
            </w:r>
          </w:p>
        </w:tc>
        <w:tc>
          <w:tcPr>
            <w:tcW w:w="1551" w:type="dxa"/>
            <w:tcBorders>
              <w:top w:val="nil"/>
              <w:left w:val="nil"/>
              <w:bottom w:val="nil"/>
              <w:right w:val="single" w:sz="4" w:space="0" w:color="auto"/>
            </w:tcBorders>
            <w:shd w:val="clear" w:color="auto" w:fill="auto"/>
            <w:noWrap/>
            <w:vAlign w:val="center"/>
            <w:hideMark/>
          </w:tcPr>
          <w:p w14:paraId="417C152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-1.528.254</w:t>
            </w:r>
          </w:p>
        </w:tc>
        <w:tc>
          <w:tcPr>
            <w:tcW w:w="1269" w:type="dxa"/>
            <w:tcBorders>
              <w:top w:val="nil"/>
              <w:left w:val="nil"/>
              <w:bottom w:val="nil"/>
              <w:right w:val="single" w:sz="4" w:space="0" w:color="auto"/>
            </w:tcBorders>
            <w:shd w:val="clear" w:color="auto" w:fill="auto"/>
            <w:noWrap/>
            <w:vAlign w:val="center"/>
            <w:hideMark/>
          </w:tcPr>
          <w:p w14:paraId="5043DB6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564593C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270B45E6"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3B3E670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subsidiarias, asociadas y neg.conjuntos </w:t>
            </w:r>
          </w:p>
        </w:tc>
        <w:tc>
          <w:tcPr>
            <w:tcW w:w="980" w:type="dxa"/>
            <w:tcBorders>
              <w:top w:val="nil"/>
              <w:left w:val="nil"/>
              <w:bottom w:val="nil"/>
              <w:right w:val="single" w:sz="4" w:space="0" w:color="auto"/>
            </w:tcBorders>
            <w:shd w:val="clear" w:color="auto" w:fill="auto"/>
            <w:noWrap/>
            <w:vAlign w:val="center"/>
            <w:hideMark/>
          </w:tcPr>
          <w:p w14:paraId="64033069"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6965272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5.651</w:t>
            </w:r>
          </w:p>
        </w:tc>
        <w:tc>
          <w:tcPr>
            <w:tcW w:w="1551" w:type="dxa"/>
            <w:tcBorders>
              <w:top w:val="nil"/>
              <w:left w:val="nil"/>
              <w:bottom w:val="nil"/>
              <w:right w:val="single" w:sz="4" w:space="0" w:color="auto"/>
            </w:tcBorders>
            <w:shd w:val="clear" w:color="auto" w:fill="auto"/>
            <w:noWrap/>
            <w:vAlign w:val="center"/>
            <w:hideMark/>
          </w:tcPr>
          <w:p w14:paraId="689CCCE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1.751</w:t>
            </w:r>
          </w:p>
        </w:tc>
        <w:tc>
          <w:tcPr>
            <w:tcW w:w="1269" w:type="dxa"/>
            <w:tcBorders>
              <w:top w:val="nil"/>
              <w:left w:val="nil"/>
              <w:bottom w:val="nil"/>
              <w:right w:val="single" w:sz="4" w:space="0" w:color="auto"/>
            </w:tcBorders>
            <w:shd w:val="clear" w:color="auto" w:fill="auto"/>
            <w:noWrap/>
            <w:vAlign w:val="center"/>
            <w:hideMark/>
          </w:tcPr>
          <w:p w14:paraId="626E894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4596035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7.402</w:t>
            </w:r>
          </w:p>
        </w:tc>
      </w:tr>
      <w:tr w:rsidR="00744FCC" w:rsidRPr="00701F32" w14:paraId="32156C87"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68556DA"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diversos </w:t>
            </w:r>
          </w:p>
        </w:tc>
        <w:tc>
          <w:tcPr>
            <w:tcW w:w="980" w:type="dxa"/>
            <w:tcBorders>
              <w:top w:val="nil"/>
              <w:left w:val="nil"/>
              <w:bottom w:val="nil"/>
              <w:right w:val="single" w:sz="4" w:space="0" w:color="auto"/>
            </w:tcBorders>
            <w:shd w:val="clear" w:color="auto" w:fill="auto"/>
            <w:noWrap/>
            <w:vAlign w:val="center"/>
            <w:hideMark/>
          </w:tcPr>
          <w:p w14:paraId="7461E247"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6A32AC0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980.918</w:t>
            </w:r>
          </w:p>
        </w:tc>
        <w:tc>
          <w:tcPr>
            <w:tcW w:w="1551" w:type="dxa"/>
            <w:tcBorders>
              <w:top w:val="nil"/>
              <w:left w:val="nil"/>
              <w:bottom w:val="nil"/>
              <w:right w:val="single" w:sz="4" w:space="0" w:color="auto"/>
            </w:tcBorders>
            <w:shd w:val="clear" w:color="auto" w:fill="auto"/>
            <w:noWrap/>
            <w:vAlign w:val="center"/>
            <w:hideMark/>
          </w:tcPr>
          <w:p w14:paraId="34FDD06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-980.918</w:t>
            </w:r>
          </w:p>
        </w:tc>
        <w:tc>
          <w:tcPr>
            <w:tcW w:w="1269" w:type="dxa"/>
            <w:tcBorders>
              <w:top w:val="nil"/>
              <w:left w:val="nil"/>
              <w:bottom w:val="nil"/>
              <w:right w:val="single" w:sz="4" w:space="0" w:color="auto"/>
            </w:tcBorders>
            <w:shd w:val="clear" w:color="auto" w:fill="auto"/>
            <w:noWrap/>
            <w:vAlign w:val="center"/>
            <w:hideMark/>
          </w:tcPr>
          <w:p w14:paraId="0831973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718262C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4B17F1C0"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AF13BE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Bienes de uso y diversos</w:t>
            </w:r>
          </w:p>
        </w:tc>
        <w:tc>
          <w:tcPr>
            <w:tcW w:w="980" w:type="dxa"/>
            <w:tcBorders>
              <w:top w:val="nil"/>
              <w:left w:val="nil"/>
              <w:bottom w:val="nil"/>
              <w:right w:val="single" w:sz="4" w:space="0" w:color="auto"/>
            </w:tcBorders>
            <w:shd w:val="clear" w:color="auto" w:fill="auto"/>
            <w:noWrap/>
            <w:vAlign w:val="center"/>
            <w:hideMark/>
          </w:tcPr>
          <w:p w14:paraId="1393E3FD"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2B9E171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996.955</w:t>
            </w:r>
          </w:p>
        </w:tc>
        <w:tc>
          <w:tcPr>
            <w:tcW w:w="1551" w:type="dxa"/>
            <w:tcBorders>
              <w:top w:val="nil"/>
              <w:left w:val="nil"/>
              <w:bottom w:val="nil"/>
              <w:right w:val="single" w:sz="4" w:space="0" w:color="auto"/>
            </w:tcBorders>
            <w:shd w:val="clear" w:color="auto" w:fill="auto"/>
            <w:noWrap/>
            <w:vAlign w:val="center"/>
            <w:hideMark/>
          </w:tcPr>
          <w:p w14:paraId="6AE866F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-996.955</w:t>
            </w:r>
          </w:p>
        </w:tc>
        <w:tc>
          <w:tcPr>
            <w:tcW w:w="1269" w:type="dxa"/>
            <w:tcBorders>
              <w:top w:val="nil"/>
              <w:left w:val="nil"/>
              <w:bottom w:val="nil"/>
              <w:right w:val="single" w:sz="4" w:space="0" w:color="auto"/>
            </w:tcBorders>
            <w:shd w:val="clear" w:color="auto" w:fill="auto"/>
            <w:noWrap/>
            <w:vAlign w:val="center"/>
            <w:hideMark/>
          </w:tcPr>
          <w:p w14:paraId="70C389A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188540E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3F9CC82C"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0A23B0C"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intangibles </w:t>
            </w:r>
          </w:p>
        </w:tc>
        <w:tc>
          <w:tcPr>
            <w:tcW w:w="980" w:type="dxa"/>
            <w:tcBorders>
              <w:top w:val="nil"/>
              <w:left w:val="nil"/>
              <w:bottom w:val="nil"/>
              <w:right w:val="single" w:sz="4" w:space="0" w:color="auto"/>
            </w:tcBorders>
            <w:shd w:val="clear" w:color="auto" w:fill="auto"/>
            <w:noWrap/>
            <w:vAlign w:val="center"/>
            <w:hideMark/>
          </w:tcPr>
          <w:p w14:paraId="1AC03592"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f, k</w:t>
            </w:r>
          </w:p>
        </w:tc>
        <w:tc>
          <w:tcPr>
            <w:tcW w:w="1128" w:type="dxa"/>
            <w:tcBorders>
              <w:top w:val="nil"/>
              <w:left w:val="nil"/>
              <w:bottom w:val="nil"/>
              <w:right w:val="single" w:sz="4" w:space="0" w:color="auto"/>
            </w:tcBorders>
            <w:shd w:val="clear" w:color="auto" w:fill="auto"/>
            <w:noWrap/>
            <w:vAlign w:val="center"/>
            <w:hideMark/>
          </w:tcPr>
          <w:p w14:paraId="5AD3DF6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281.112</w:t>
            </w:r>
          </w:p>
        </w:tc>
        <w:tc>
          <w:tcPr>
            <w:tcW w:w="1551" w:type="dxa"/>
            <w:tcBorders>
              <w:top w:val="nil"/>
              <w:left w:val="nil"/>
              <w:bottom w:val="nil"/>
              <w:right w:val="single" w:sz="4" w:space="0" w:color="auto"/>
            </w:tcBorders>
            <w:shd w:val="clear" w:color="auto" w:fill="auto"/>
            <w:noWrap/>
            <w:vAlign w:val="center"/>
            <w:hideMark/>
          </w:tcPr>
          <w:p w14:paraId="0D2E698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-92.742</w:t>
            </w:r>
          </w:p>
        </w:tc>
        <w:tc>
          <w:tcPr>
            <w:tcW w:w="1269" w:type="dxa"/>
            <w:tcBorders>
              <w:top w:val="nil"/>
              <w:left w:val="nil"/>
              <w:bottom w:val="nil"/>
              <w:right w:val="single" w:sz="4" w:space="0" w:color="auto"/>
            </w:tcBorders>
            <w:shd w:val="clear" w:color="auto" w:fill="auto"/>
            <w:noWrap/>
            <w:vAlign w:val="center"/>
            <w:hideMark/>
          </w:tcPr>
          <w:p w14:paraId="48943F15"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-46.268</w:t>
            </w:r>
          </w:p>
        </w:tc>
        <w:tc>
          <w:tcPr>
            <w:tcW w:w="1128" w:type="dxa"/>
            <w:tcBorders>
              <w:top w:val="nil"/>
              <w:left w:val="nil"/>
              <w:bottom w:val="nil"/>
              <w:right w:val="single" w:sz="8" w:space="0" w:color="auto"/>
            </w:tcBorders>
            <w:shd w:val="clear" w:color="auto" w:fill="auto"/>
            <w:noWrap/>
            <w:vAlign w:val="center"/>
            <w:hideMark/>
          </w:tcPr>
          <w:p w14:paraId="7A44E1F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142.102</w:t>
            </w:r>
          </w:p>
        </w:tc>
      </w:tr>
      <w:tr w:rsidR="00744FCC" w:rsidRPr="00701F32" w14:paraId="13F69834"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CB80FEE"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980" w:type="dxa"/>
            <w:tcBorders>
              <w:top w:val="nil"/>
              <w:left w:val="nil"/>
              <w:bottom w:val="nil"/>
              <w:right w:val="single" w:sz="4" w:space="0" w:color="auto"/>
            </w:tcBorders>
            <w:shd w:val="clear" w:color="auto" w:fill="auto"/>
            <w:noWrap/>
            <w:vAlign w:val="center"/>
            <w:hideMark/>
          </w:tcPr>
          <w:p w14:paraId="3C481665"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3490012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30.703</w:t>
            </w:r>
          </w:p>
        </w:tc>
        <w:tc>
          <w:tcPr>
            <w:tcW w:w="1551" w:type="dxa"/>
            <w:tcBorders>
              <w:top w:val="nil"/>
              <w:left w:val="nil"/>
              <w:bottom w:val="nil"/>
              <w:right w:val="single" w:sz="4" w:space="0" w:color="auto"/>
            </w:tcBorders>
            <w:shd w:val="clear" w:color="auto" w:fill="auto"/>
            <w:noWrap/>
            <w:vAlign w:val="center"/>
            <w:hideMark/>
          </w:tcPr>
          <w:p w14:paraId="1387F9B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-30.703</w:t>
            </w:r>
          </w:p>
        </w:tc>
        <w:tc>
          <w:tcPr>
            <w:tcW w:w="1269" w:type="dxa"/>
            <w:tcBorders>
              <w:top w:val="nil"/>
              <w:left w:val="nil"/>
              <w:bottom w:val="nil"/>
              <w:right w:val="single" w:sz="4" w:space="0" w:color="auto"/>
            </w:tcBorders>
            <w:shd w:val="clear" w:color="auto" w:fill="auto"/>
            <w:noWrap/>
            <w:vAlign w:val="center"/>
            <w:hideMark/>
          </w:tcPr>
          <w:p w14:paraId="6283100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590AF21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1D946C4C"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639C4AD"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de deuda a VR con cambios en resultados </w:t>
            </w:r>
          </w:p>
        </w:tc>
        <w:tc>
          <w:tcPr>
            <w:tcW w:w="980" w:type="dxa"/>
            <w:tcBorders>
              <w:top w:val="nil"/>
              <w:left w:val="nil"/>
              <w:bottom w:val="nil"/>
              <w:right w:val="single" w:sz="4" w:space="0" w:color="auto"/>
            </w:tcBorders>
            <w:shd w:val="clear" w:color="auto" w:fill="auto"/>
            <w:noWrap/>
            <w:vAlign w:val="center"/>
            <w:hideMark/>
          </w:tcPr>
          <w:p w14:paraId="213B0D1F"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128" w:type="dxa"/>
            <w:tcBorders>
              <w:top w:val="nil"/>
              <w:left w:val="nil"/>
              <w:bottom w:val="nil"/>
              <w:right w:val="single" w:sz="4" w:space="0" w:color="auto"/>
            </w:tcBorders>
            <w:shd w:val="clear" w:color="auto" w:fill="auto"/>
            <w:noWrap/>
            <w:vAlign w:val="center"/>
            <w:hideMark/>
          </w:tcPr>
          <w:p w14:paraId="717323D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6933F20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363.954</w:t>
            </w:r>
          </w:p>
        </w:tc>
        <w:tc>
          <w:tcPr>
            <w:tcW w:w="1269" w:type="dxa"/>
            <w:tcBorders>
              <w:top w:val="nil"/>
              <w:left w:val="nil"/>
              <w:bottom w:val="nil"/>
              <w:right w:val="single" w:sz="4" w:space="0" w:color="auto"/>
            </w:tcBorders>
            <w:shd w:val="clear" w:color="auto" w:fill="auto"/>
            <w:noWrap/>
            <w:vAlign w:val="center"/>
            <w:hideMark/>
          </w:tcPr>
          <w:p w14:paraId="08D91CD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62.370</w:t>
            </w:r>
          </w:p>
        </w:tc>
        <w:tc>
          <w:tcPr>
            <w:tcW w:w="1128" w:type="dxa"/>
            <w:tcBorders>
              <w:top w:val="nil"/>
              <w:left w:val="nil"/>
              <w:bottom w:val="nil"/>
              <w:right w:val="single" w:sz="8" w:space="0" w:color="auto"/>
            </w:tcBorders>
            <w:shd w:val="clear" w:color="auto" w:fill="auto"/>
            <w:noWrap/>
            <w:vAlign w:val="center"/>
            <w:hideMark/>
          </w:tcPr>
          <w:p w14:paraId="0C330D5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426.324</w:t>
            </w:r>
          </w:p>
        </w:tc>
      </w:tr>
      <w:tr w:rsidR="00744FCC" w:rsidRPr="00701F32" w14:paraId="31CD59AB"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620B6C5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 </w:t>
            </w:r>
          </w:p>
        </w:tc>
        <w:tc>
          <w:tcPr>
            <w:tcW w:w="980" w:type="dxa"/>
            <w:tcBorders>
              <w:top w:val="nil"/>
              <w:left w:val="nil"/>
              <w:bottom w:val="nil"/>
              <w:right w:val="single" w:sz="4" w:space="0" w:color="auto"/>
            </w:tcBorders>
            <w:shd w:val="clear" w:color="auto" w:fill="auto"/>
            <w:noWrap/>
            <w:vAlign w:val="center"/>
            <w:hideMark/>
          </w:tcPr>
          <w:p w14:paraId="6B47F914"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432B6C4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73E69F8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28.304</w:t>
            </w:r>
          </w:p>
        </w:tc>
        <w:tc>
          <w:tcPr>
            <w:tcW w:w="1269" w:type="dxa"/>
            <w:tcBorders>
              <w:top w:val="nil"/>
              <w:left w:val="nil"/>
              <w:bottom w:val="nil"/>
              <w:right w:val="single" w:sz="4" w:space="0" w:color="auto"/>
            </w:tcBorders>
            <w:shd w:val="clear" w:color="auto" w:fill="auto"/>
            <w:noWrap/>
            <w:vAlign w:val="center"/>
            <w:hideMark/>
          </w:tcPr>
          <w:p w14:paraId="718240C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2CFAEFC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28.304</w:t>
            </w:r>
          </w:p>
        </w:tc>
      </w:tr>
      <w:tr w:rsidR="00744FCC" w:rsidRPr="00701F32" w14:paraId="45415336"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EED95E4"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financieros </w:t>
            </w:r>
          </w:p>
        </w:tc>
        <w:tc>
          <w:tcPr>
            <w:tcW w:w="980" w:type="dxa"/>
            <w:tcBorders>
              <w:top w:val="nil"/>
              <w:left w:val="nil"/>
              <w:bottom w:val="nil"/>
              <w:right w:val="single" w:sz="4" w:space="0" w:color="auto"/>
            </w:tcBorders>
            <w:shd w:val="clear" w:color="auto" w:fill="auto"/>
            <w:noWrap/>
            <w:vAlign w:val="center"/>
            <w:hideMark/>
          </w:tcPr>
          <w:p w14:paraId="5B9C3A92"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28" w:type="dxa"/>
            <w:tcBorders>
              <w:top w:val="nil"/>
              <w:left w:val="nil"/>
              <w:bottom w:val="nil"/>
              <w:right w:val="single" w:sz="4" w:space="0" w:color="auto"/>
            </w:tcBorders>
            <w:shd w:val="clear" w:color="auto" w:fill="auto"/>
            <w:noWrap/>
            <w:vAlign w:val="center"/>
            <w:hideMark/>
          </w:tcPr>
          <w:p w14:paraId="137FDEB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2B8FC6A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453.432</w:t>
            </w:r>
          </w:p>
        </w:tc>
        <w:tc>
          <w:tcPr>
            <w:tcW w:w="1269" w:type="dxa"/>
            <w:tcBorders>
              <w:top w:val="nil"/>
              <w:left w:val="nil"/>
              <w:bottom w:val="nil"/>
              <w:right w:val="single" w:sz="4" w:space="0" w:color="auto"/>
            </w:tcBorders>
            <w:shd w:val="clear" w:color="auto" w:fill="auto"/>
            <w:noWrap/>
            <w:vAlign w:val="center"/>
            <w:hideMark/>
          </w:tcPr>
          <w:p w14:paraId="45C3F88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101.113</w:t>
            </w:r>
          </w:p>
        </w:tc>
        <w:tc>
          <w:tcPr>
            <w:tcW w:w="1128" w:type="dxa"/>
            <w:tcBorders>
              <w:top w:val="nil"/>
              <w:left w:val="nil"/>
              <w:bottom w:val="nil"/>
              <w:right w:val="single" w:sz="8" w:space="0" w:color="auto"/>
            </w:tcBorders>
            <w:shd w:val="clear" w:color="auto" w:fill="auto"/>
            <w:noWrap/>
            <w:vAlign w:val="center"/>
            <w:hideMark/>
          </w:tcPr>
          <w:p w14:paraId="0A21944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554.545</w:t>
            </w:r>
          </w:p>
        </w:tc>
      </w:tr>
      <w:tr w:rsidR="00744FCC" w:rsidRPr="00701F32" w14:paraId="476A03C0"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6221109"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Préstamos y otras financiaciones </w:t>
            </w:r>
          </w:p>
        </w:tc>
        <w:tc>
          <w:tcPr>
            <w:tcW w:w="980" w:type="dxa"/>
            <w:tcBorders>
              <w:top w:val="nil"/>
              <w:left w:val="nil"/>
              <w:bottom w:val="nil"/>
              <w:right w:val="single" w:sz="4" w:space="0" w:color="auto"/>
            </w:tcBorders>
            <w:shd w:val="clear" w:color="auto" w:fill="auto"/>
            <w:noWrap/>
            <w:vAlign w:val="center"/>
            <w:hideMark/>
          </w:tcPr>
          <w:p w14:paraId="13F47EFB"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a, b, g, m, n</w:t>
            </w:r>
          </w:p>
        </w:tc>
        <w:tc>
          <w:tcPr>
            <w:tcW w:w="1128" w:type="dxa"/>
            <w:tcBorders>
              <w:top w:val="nil"/>
              <w:left w:val="nil"/>
              <w:bottom w:val="nil"/>
              <w:right w:val="single" w:sz="4" w:space="0" w:color="auto"/>
            </w:tcBorders>
            <w:shd w:val="clear" w:color="auto" w:fill="auto"/>
            <w:noWrap/>
            <w:vAlign w:val="center"/>
            <w:hideMark/>
          </w:tcPr>
          <w:p w14:paraId="25B82EA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25E1F9A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37.187.318</w:t>
            </w:r>
          </w:p>
        </w:tc>
        <w:tc>
          <w:tcPr>
            <w:tcW w:w="1269" w:type="dxa"/>
            <w:tcBorders>
              <w:top w:val="nil"/>
              <w:left w:val="nil"/>
              <w:bottom w:val="nil"/>
              <w:right w:val="single" w:sz="4" w:space="0" w:color="auto"/>
            </w:tcBorders>
            <w:shd w:val="clear" w:color="auto" w:fill="auto"/>
            <w:noWrap/>
            <w:vAlign w:val="center"/>
            <w:hideMark/>
          </w:tcPr>
          <w:p w14:paraId="6934799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1.332.996</w:t>
            </w:r>
          </w:p>
        </w:tc>
        <w:tc>
          <w:tcPr>
            <w:tcW w:w="1128" w:type="dxa"/>
            <w:tcBorders>
              <w:top w:val="nil"/>
              <w:left w:val="nil"/>
              <w:bottom w:val="nil"/>
              <w:right w:val="single" w:sz="8" w:space="0" w:color="auto"/>
            </w:tcBorders>
            <w:shd w:val="clear" w:color="auto" w:fill="auto"/>
            <w:noWrap/>
            <w:vAlign w:val="center"/>
            <w:hideMark/>
          </w:tcPr>
          <w:p w14:paraId="1D28F5C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38.520.314</w:t>
            </w:r>
          </w:p>
        </w:tc>
      </w:tr>
      <w:tr w:rsidR="00744FCC" w:rsidRPr="00701F32" w14:paraId="36182432"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491EAD8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títulos de deuda </w:t>
            </w:r>
          </w:p>
        </w:tc>
        <w:tc>
          <w:tcPr>
            <w:tcW w:w="980" w:type="dxa"/>
            <w:tcBorders>
              <w:top w:val="nil"/>
              <w:left w:val="nil"/>
              <w:bottom w:val="nil"/>
              <w:right w:val="single" w:sz="4" w:space="0" w:color="auto"/>
            </w:tcBorders>
            <w:shd w:val="clear" w:color="auto" w:fill="auto"/>
            <w:noWrap/>
            <w:vAlign w:val="center"/>
            <w:hideMark/>
          </w:tcPr>
          <w:p w14:paraId="38F3C02D"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7A2057A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45CFDC0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2.178.178</w:t>
            </w:r>
          </w:p>
        </w:tc>
        <w:tc>
          <w:tcPr>
            <w:tcW w:w="1269" w:type="dxa"/>
            <w:tcBorders>
              <w:top w:val="nil"/>
              <w:left w:val="nil"/>
              <w:bottom w:val="nil"/>
              <w:right w:val="single" w:sz="4" w:space="0" w:color="auto"/>
            </w:tcBorders>
            <w:shd w:val="clear" w:color="auto" w:fill="auto"/>
            <w:noWrap/>
            <w:vAlign w:val="center"/>
            <w:hideMark/>
          </w:tcPr>
          <w:p w14:paraId="5238556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-238.457</w:t>
            </w:r>
          </w:p>
        </w:tc>
        <w:tc>
          <w:tcPr>
            <w:tcW w:w="1128" w:type="dxa"/>
            <w:tcBorders>
              <w:top w:val="nil"/>
              <w:left w:val="nil"/>
              <w:bottom w:val="nil"/>
              <w:right w:val="single" w:sz="8" w:space="0" w:color="auto"/>
            </w:tcBorders>
            <w:shd w:val="clear" w:color="auto" w:fill="auto"/>
            <w:noWrap/>
            <w:vAlign w:val="center"/>
            <w:hideMark/>
          </w:tcPr>
          <w:p w14:paraId="563122F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1.939.721</w:t>
            </w:r>
          </w:p>
        </w:tc>
      </w:tr>
      <w:tr w:rsidR="00744FCC" w:rsidRPr="00701F32" w14:paraId="125CF59F"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731554C"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financieros entregados en garantía </w:t>
            </w:r>
          </w:p>
        </w:tc>
        <w:tc>
          <w:tcPr>
            <w:tcW w:w="980" w:type="dxa"/>
            <w:tcBorders>
              <w:top w:val="nil"/>
              <w:left w:val="nil"/>
              <w:bottom w:val="nil"/>
              <w:right w:val="single" w:sz="4" w:space="0" w:color="auto"/>
            </w:tcBorders>
            <w:shd w:val="clear" w:color="auto" w:fill="auto"/>
            <w:noWrap/>
            <w:vAlign w:val="center"/>
            <w:hideMark/>
          </w:tcPr>
          <w:p w14:paraId="1AA23B39"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5CC6C1C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5005322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1.462.885</w:t>
            </w:r>
          </w:p>
        </w:tc>
        <w:tc>
          <w:tcPr>
            <w:tcW w:w="1269" w:type="dxa"/>
            <w:tcBorders>
              <w:top w:val="nil"/>
              <w:left w:val="nil"/>
              <w:bottom w:val="nil"/>
              <w:right w:val="single" w:sz="4" w:space="0" w:color="auto"/>
            </w:tcBorders>
            <w:shd w:val="clear" w:color="auto" w:fill="auto"/>
            <w:noWrap/>
            <w:vAlign w:val="center"/>
            <w:hideMark/>
          </w:tcPr>
          <w:p w14:paraId="7262F9B5"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5A127D4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1.462.885</w:t>
            </w:r>
          </w:p>
        </w:tc>
      </w:tr>
      <w:tr w:rsidR="00744FCC" w:rsidRPr="00701F32" w14:paraId="6DFA464F"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13478CA9"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instrumentos de patrimonio</w:t>
            </w:r>
          </w:p>
        </w:tc>
        <w:tc>
          <w:tcPr>
            <w:tcW w:w="980" w:type="dxa"/>
            <w:tcBorders>
              <w:top w:val="nil"/>
              <w:left w:val="nil"/>
              <w:bottom w:val="nil"/>
              <w:right w:val="single" w:sz="4" w:space="0" w:color="auto"/>
            </w:tcBorders>
            <w:shd w:val="clear" w:color="auto" w:fill="auto"/>
            <w:noWrap/>
            <w:vAlign w:val="center"/>
            <w:hideMark/>
          </w:tcPr>
          <w:p w14:paraId="3AEBF634"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128" w:type="dxa"/>
            <w:tcBorders>
              <w:top w:val="nil"/>
              <w:left w:val="nil"/>
              <w:bottom w:val="nil"/>
              <w:right w:val="single" w:sz="4" w:space="0" w:color="auto"/>
            </w:tcBorders>
            <w:shd w:val="clear" w:color="auto" w:fill="auto"/>
            <w:noWrap/>
            <w:vAlign w:val="center"/>
            <w:hideMark/>
          </w:tcPr>
          <w:p w14:paraId="0950F55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01E008C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2.629</w:t>
            </w:r>
          </w:p>
        </w:tc>
        <w:tc>
          <w:tcPr>
            <w:tcW w:w="1269" w:type="dxa"/>
            <w:tcBorders>
              <w:top w:val="nil"/>
              <w:left w:val="nil"/>
              <w:bottom w:val="nil"/>
              <w:right w:val="single" w:sz="4" w:space="0" w:color="auto"/>
            </w:tcBorders>
            <w:shd w:val="clear" w:color="auto" w:fill="auto"/>
            <w:noWrap/>
            <w:vAlign w:val="center"/>
            <w:hideMark/>
          </w:tcPr>
          <w:p w14:paraId="0ABCB64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04A94CF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2.629</w:t>
            </w:r>
          </w:p>
        </w:tc>
      </w:tr>
      <w:tr w:rsidR="00744FCC" w:rsidRPr="00701F32" w14:paraId="402F42A2"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35682430"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impuestos a las ganancias corriente </w:t>
            </w:r>
          </w:p>
        </w:tc>
        <w:tc>
          <w:tcPr>
            <w:tcW w:w="980" w:type="dxa"/>
            <w:tcBorders>
              <w:top w:val="nil"/>
              <w:left w:val="nil"/>
              <w:bottom w:val="nil"/>
              <w:right w:val="single" w:sz="4" w:space="0" w:color="auto"/>
            </w:tcBorders>
            <w:shd w:val="clear" w:color="auto" w:fill="auto"/>
            <w:noWrap/>
            <w:vAlign w:val="center"/>
            <w:hideMark/>
          </w:tcPr>
          <w:p w14:paraId="77411023"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1615129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4176F8B5"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25.368</w:t>
            </w:r>
          </w:p>
        </w:tc>
        <w:tc>
          <w:tcPr>
            <w:tcW w:w="1269" w:type="dxa"/>
            <w:tcBorders>
              <w:top w:val="nil"/>
              <w:left w:val="nil"/>
              <w:bottom w:val="nil"/>
              <w:right w:val="single" w:sz="4" w:space="0" w:color="auto"/>
            </w:tcBorders>
            <w:shd w:val="clear" w:color="auto" w:fill="auto"/>
            <w:noWrap/>
            <w:vAlign w:val="center"/>
            <w:hideMark/>
          </w:tcPr>
          <w:p w14:paraId="0C30070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298A782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25.368</w:t>
            </w:r>
          </w:p>
        </w:tc>
      </w:tr>
      <w:tr w:rsidR="00744FCC" w:rsidRPr="00701F32" w14:paraId="0334380A"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01C26FA"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 a las ganancias diferido </w:t>
            </w:r>
          </w:p>
        </w:tc>
        <w:tc>
          <w:tcPr>
            <w:tcW w:w="980" w:type="dxa"/>
            <w:tcBorders>
              <w:top w:val="nil"/>
              <w:left w:val="nil"/>
              <w:bottom w:val="nil"/>
              <w:right w:val="single" w:sz="4" w:space="0" w:color="auto"/>
            </w:tcBorders>
            <w:shd w:val="clear" w:color="auto" w:fill="auto"/>
            <w:noWrap/>
            <w:vAlign w:val="center"/>
            <w:hideMark/>
          </w:tcPr>
          <w:p w14:paraId="031034C4"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j, n</w:t>
            </w:r>
          </w:p>
        </w:tc>
        <w:tc>
          <w:tcPr>
            <w:tcW w:w="1128" w:type="dxa"/>
            <w:tcBorders>
              <w:top w:val="nil"/>
              <w:left w:val="nil"/>
              <w:bottom w:val="nil"/>
              <w:right w:val="single" w:sz="4" w:space="0" w:color="auto"/>
            </w:tcBorders>
            <w:shd w:val="clear" w:color="auto" w:fill="auto"/>
            <w:noWrap/>
            <w:vAlign w:val="center"/>
            <w:hideMark/>
          </w:tcPr>
          <w:p w14:paraId="1FC5051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64602A0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583A338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340.358</w:t>
            </w:r>
          </w:p>
        </w:tc>
        <w:tc>
          <w:tcPr>
            <w:tcW w:w="1128" w:type="dxa"/>
            <w:tcBorders>
              <w:top w:val="nil"/>
              <w:left w:val="nil"/>
              <w:bottom w:val="nil"/>
              <w:right w:val="single" w:sz="8" w:space="0" w:color="auto"/>
            </w:tcBorders>
            <w:shd w:val="clear" w:color="auto" w:fill="auto"/>
            <w:noWrap/>
            <w:vAlign w:val="center"/>
            <w:hideMark/>
          </w:tcPr>
          <w:p w14:paraId="4BD69C3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340.358</w:t>
            </w:r>
          </w:p>
        </w:tc>
      </w:tr>
      <w:tr w:rsidR="00744FCC" w:rsidRPr="00701F32" w14:paraId="066744A7"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05567861"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no financieros </w:t>
            </w:r>
          </w:p>
        </w:tc>
        <w:tc>
          <w:tcPr>
            <w:tcW w:w="980" w:type="dxa"/>
            <w:tcBorders>
              <w:top w:val="nil"/>
              <w:left w:val="nil"/>
              <w:bottom w:val="nil"/>
              <w:right w:val="single" w:sz="4" w:space="0" w:color="auto"/>
            </w:tcBorders>
            <w:shd w:val="clear" w:color="auto" w:fill="auto"/>
            <w:noWrap/>
            <w:vAlign w:val="center"/>
            <w:hideMark/>
          </w:tcPr>
          <w:p w14:paraId="6154E32D"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28" w:type="dxa"/>
            <w:tcBorders>
              <w:top w:val="nil"/>
              <w:left w:val="nil"/>
              <w:bottom w:val="nil"/>
              <w:right w:val="single" w:sz="4" w:space="0" w:color="auto"/>
            </w:tcBorders>
            <w:shd w:val="clear" w:color="auto" w:fill="auto"/>
            <w:noWrap/>
            <w:vAlign w:val="center"/>
            <w:hideMark/>
          </w:tcPr>
          <w:p w14:paraId="109C203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508B9CB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730.741</w:t>
            </w:r>
          </w:p>
        </w:tc>
        <w:tc>
          <w:tcPr>
            <w:tcW w:w="1269" w:type="dxa"/>
            <w:tcBorders>
              <w:top w:val="nil"/>
              <w:left w:val="nil"/>
              <w:bottom w:val="nil"/>
              <w:right w:val="single" w:sz="4" w:space="0" w:color="auto"/>
            </w:tcBorders>
            <w:shd w:val="clear" w:color="auto" w:fill="auto"/>
            <w:noWrap/>
            <w:vAlign w:val="center"/>
            <w:hideMark/>
          </w:tcPr>
          <w:p w14:paraId="1708ED8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149.353</w:t>
            </w:r>
          </w:p>
        </w:tc>
        <w:tc>
          <w:tcPr>
            <w:tcW w:w="1128" w:type="dxa"/>
            <w:tcBorders>
              <w:top w:val="nil"/>
              <w:left w:val="nil"/>
              <w:bottom w:val="nil"/>
              <w:right w:val="single" w:sz="8" w:space="0" w:color="auto"/>
            </w:tcBorders>
            <w:shd w:val="clear" w:color="auto" w:fill="auto"/>
            <w:noWrap/>
            <w:vAlign w:val="center"/>
            <w:hideMark/>
          </w:tcPr>
          <w:p w14:paraId="4C8E33D5"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880.094</w:t>
            </w:r>
          </w:p>
        </w:tc>
      </w:tr>
      <w:tr w:rsidR="00744FCC" w:rsidRPr="00701F32" w14:paraId="37BF7CC4"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42C17F14"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Propiedad, planta y equipo </w:t>
            </w:r>
          </w:p>
        </w:tc>
        <w:tc>
          <w:tcPr>
            <w:tcW w:w="980" w:type="dxa"/>
            <w:tcBorders>
              <w:top w:val="nil"/>
              <w:left w:val="nil"/>
              <w:bottom w:val="nil"/>
              <w:right w:val="single" w:sz="4" w:space="0" w:color="auto"/>
            </w:tcBorders>
            <w:shd w:val="clear" w:color="auto" w:fill="auto"/>
            <w:noWrap/>
            <w:vAlign w:val="center"/>
            <w:hideMark/>
          </w:tcPr>
          <w:p w14:paraId="1434F5E3"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28" w:type="dxa"/>
            <w:tcBorders>
              <w:top w:val="nil"/>
              <w:left w:val="nil"/>
              <w:bottom w:val="nil"/>
              <w:right w:val="single" w:sz="4" w:space="0" w:color="auto"/>
            </w:tcBorders>
            <w:shd w:val="clear" w:color="auto" w:fill="auto"/>
            <w:noWrap/>
            <w:vAlign w:val="center"/>
            <w:hideMark/>
          </w:tcPr>
          <w:p w14:paraId="4EC9D43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2FDF182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642.396</w:t>
            </w:r>
          </w:p>
        </w:tc>
        <w:tc>
          <w:tcPr>
            <w:tcW w:w="1269" w:type="dxa"/>
            <w:tcBorders>
              <w:top w:val="nil"/>
              <w:left w:val="nil"/>
              <w:bottom w:val="nil"/>
              <w:right w:val="single" w:sz="4" w:space="0" w:color="auto"/>
            </w:tcBorders>
            <w:shd w:val="clear" w:color="auto" w:fill="auto"/>
            <w:noWrap/>
            <w:vAlign w:val="center"/>
            <w:hideMark/>
          </w:tcPr>
          <w:p w14:paraId="1CAE3F4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100.825</w:t>
            </w:r>
          </w:p>
        </w:tc>
        <w:tc>
          <w:tcPr>
            <w:tcW w:w="1128" w:type="dxa"/>
            <w:tcBorders>
              <w:top w:val="nil"/>
              <w:left w:val="nil"/>
              <w:bottom w:val="nil"/>
              <w:right w:val="single" w:sz="8" w:space="0" w:color="auto"/>
            </w:tcBorders>
            <w:shd w:val="clear" w:color="auto" w:fill="auto"/>
            <w:noWrap/>
            <w:vAlign w:val="center"/>
            <w:hideMark/>
          </w:tcPr>
          <w:p w14:paraId="63BF2A1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743.221</w:t>
            </w:r>
          </w:p>
        </w:tc>
      </w:tr>
      <w:tr w:rsidR="00744FCC" w:rsidRPr="00701F32" w14:paraId="31032A1F" w14:textId="77777777" w:rsidTr="00E311C9">
        <w:trPr>
          <w:trHeight w:val="284"/>
        </w:trPr>
        <w:tc>
          <w:tcPr>
            <w:tcW w:w="38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A87E28" w14:textId="77777777" w:rsidR="00744FCC" w:rsidRPr="00701F32" w:rsidRDefault="00744FCC" w:rsidP="00744FCC">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32760F" w:rsidRPr="00701F32">
              <w:rPr>
                <w:rFonts w:ascii="Arial" w:hAnsi="Arial" w:cs="Arial"/>
                <w:b/>
                <w:bCs/>
                <w:color w:val="000000"/>
                <w:sz w:val="16"/>
                <w:szCs w:val="16"/>
                <w:lang w:eastAsia="es-AR"/>
              </w:rPr>
              <w:t>l</w:t>
            </w:r>
            <w:r w:rsidRPr="00701F32">
              <w:rPr>
                <w:rFonts w:ascii="Arial" w:hAnsi="Arial" w:cs="Arial"/>
                <w:b/>
                <w:bCs/>
                <w:color w:val="000000"/>
                <w:sz w:val="16"/>
                <w:szCs w:val="16"/>
                <w:lang w:eastAsia="es-AR"/>
              </w:rPr>
              <w:t xml:space="preserve"> </w:t>
            </w:r>
            <w:r w:rsidR="0032760F" w:rsidRPr="00701F32">
              <w:rPr>
                <w:rFonts w:ascii="Arial" w:hAnsi="Arial" w:cs="Arial"/>
                <w:b/>
                <w:bCs/>
                <w:color w:val="000000"/>
                <w:sz w:val="16"/>
                <w:szCs w:val="16"/>
                <w:lang w:eastAsia="es-AR"/>
              </w:rPr>
              <w:t>Activo al 01/01/2017</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6BFC9CCB"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28" w:type="dxa"/>
            <w:tcBorders>
              <w:top w:val="single" w:sz="8" w:space="0" w:color="auto"/>
              <w:left w:val="nil"/>
              <w:bottom w:val="single" w:sz="8" w:space="0" w:color="auto"/>
              <w:right w:val="single" w:sz="4" w:space="0" w:color="auto"/>
            </w:tcBorders>
            <w:shd w:val="clear" w:color="auto" w:fill="auto"/>
            <w:noWrap/>
            <w:vAlign w:val="center"/>
            <w:hideMark/>
          </w:tcPr>
          <w:p w14:paraId="551816E6"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51.501.691</w:t>
            </w:r>
          </w:p>
        </w:tc>
        <w:tc>
          <w:tcPr>
            <w:tcW w:w="1551" w:type="dxa"/>
            <w:tcBorders>
              <w:top w:val="single" w:sz="8" w:space="0" w:color="auto"/>
              <w:left w:val="nil"/>
              <w:bottom w:val="single" w:sz="8" w:space="0" w:color="auto"/>
              <w:right w:val="single" w:sz="4" w:space="0" w:color="auto"/>
            </w:tcBorders>
            <w:shd w:val="clear" w:color="auto" w:fill="auto"/>
            <w:noWrap/>
            <w:vAlign w:val="center"/>
            <w:hideMark/>
          </w:tcPr>
          <w:p w14:paraId="183358D6"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-263.873</w:t>
            </w:r>
          </w:p>
        </w:tc>
        <w:tc>
          <w:tcPr>
            <w:tcW w:w="1269" w:type="dxa"/>
            <w:tcBorders>
              <w:top w:val="single" w:sz="8" w:space="0" w:color="auto"/>
              <w:left w:val="nil"/>
              <w:bottom w:val="single" w:sz="8" w:space="0" w:color="auto"/>
              <w:right w:val="single" w:sz="4" w:space="0" w:color="auto"/>
            </w:tcBorders>
            <w:shd w:val="clear" w:color="auto" w:fill="auto"/>
            <w:noWrap/>
            <w:vAlign w:val="center"/>
            <w:hideMark/>
          </w:tcPr>
          <w:p w14:paraId="04E3D712"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1.817.378</w:t>
            </w:r>
          </w:p>
        </w:tc>
        <w:tc>
          <w:tcPr>
            <w:tcW w:w="1128" w:type="dxa"/>
            <w:tcBorders>
              <w:top w:val="single" w:sz="8" w:space="0" w:color="auto"/>
              <w:left w:val="nil"/>
              <w:bottom w:val="single" w:sz="8" w:space="0" w:color="auto"/>
              <w:right w:val="single" w:sz="8" w:space="0" w:color="auto"/>
            </w:tcBorders>
            <w:shd w:val="clear" w:color="auto" w:fill="auto"/>
            <w:noWrap/>
            <w:vAlign w:val="center"/>
            <w:hideMark/>
          </w:tcPr>
          <w:p w14:paraId="33BE9266"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53.055.196</w:t>
            </w:r>
          </w:p>
        </w:tc>
      </w:tr>
      <w:tr w:rsidR="00744FCC" w:rsidRPr="00701F32" w14:paraId="204C68E9" w14:textId="77777777" w:rsidTr="00E311C9">
        <w:trPr>
          <w:trHeight w:val="284"/>
        </w:trPr>
        <w:tc>
          <w:tcPr>
            <w:tcW w:w="3800" w:type="dxa"/>
            <w:tcBorders>
              <w:top w:val="nil"/>
              <w:left w:val="single" w:sz="8" w:space="0" w:color="auto"/>
              <w:bottom w:val="single" w:sz="8" w:space="0" w:color="auto"/>
              <w:right w:val="single" w:sz="4" w:space="0" w:color="auto"/>
            </w:tcBorders>
            <w:shd w:val="clear" w:color="auto" w:fill="auto"/>
            <w:noWrap/>
            <w:vAlign w:val="center"/>
            <w:hideMark/>
          </w:tcPr>
          <w:p w14:paraId="6173C3A6" w14:textId="77777777" w:rsidR="00744FCC" w:rsidRPr="00701F32" w:rsidRDefault="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w:t>
            </w:r>
          </w:p>
        </w:tc>
        <w:tc>
          <w:tcPr>
            <w:tcW w:w="980" w:type="dxa"/>
            <w:tcBorders>
              <w:top w:val="nil"/>
              <w:left w:val="nil"/>
              <w:bottom w:val="single" w:sz="8" w:space="0" w:color="auto"/>
              <w:right w:val="single" w:sz="4" w:space="0" w:color="auto"/>
            </w:tcBorders>
            <w:shd w:val="clear" w:color="auto" w:fill="auto"/>
            <w:noWrap/>
            <w:vAlign w:val="center"/>
            <w:hideMark/>
          </w:tcPr>
          <w:p w14:paraId="31258FB9" w14:textId="77777777" w:rsidR="00744FCC" w:rsidRPr="00701F32" w:rsidRDefault="00744FCC" w:rsidP="00744FC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28" w:type="dxa"/>
            <w:tcBorders>
              <w:top w:val="nil"/>
              <w:left w:val="nil"/>
              <w:bottom w:val="single" w:sz="8" w:space="0" w:color="auto"/>
              <w:right w:val="single" w:sz="4" w:space="0" w:color="auto"/>
            </w:tcBorders>
            <w:shd w:val="clear" w:color="auto" w:fill="auto"/>
            <w:noWrap/>
            <w:vAlign w:val="center"/>
            <w:hideMark/>
          </w:tcPr>
          <w:p w14:paraId="09076C93" w14:textId="77777777" w:rsidR="00744FCC" w:rsidRPr="00701F32" w:rsidRDefault="00744FCC" w:rsidP="00744FCC">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551" w:type="dxa"/>
            <w:tcBorders>
              <w:top w:val="nil"/>
              <w:left w:val="nil"/>
              <w:bottom w:val="single" w:sz="8" w:space="0" w:color="auto"/>
              <w:right w:val="single" w:sz="4" w:space="0" w:color="auto"/>
            </w:tcBorders>
            <w:shd w:val="clear" w:color="auto" w:fill="auto"/>
            <w:noWrap/>
            <w:vAlign w:val="center"/>
            <w:hideMark/>
          </w:tcPr>
          <w:p w14:paraId="7CDCF800" w14:textId="77777777" w:rsidR="00744FCC" w:rsidRPr="00701F32" w:rsidRDefault="00744FCC" w:rsidP="00744FCC">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269" w:type="dxa"/>
            <w:tcBorders>
              <w:top w:val="nil"/>
              <w:left w:val="nil"/>
              <w:bottom w:val="single" w:sz="8" w:space="0" w:color="auto"/>
              <w:right w:val="single" w:sz="4" w:space="0" w:color="auto"/>
            </w:tcBorders>
            <w:shd w:val="clear" w:color="auto" w:fill="auto"/>
            <w:noWrap/>
            <w:vAlign w:val="center"/>
            <w:hideMark/>
          </w:tcPr>
          <w:p w14:paraId="44230578" w14:textId="77777777" w:rsidR="00744FCC" w:rsidRPr="00701F32" w:rsidRDefault="00744FCC" w:rsidP="00744FCC">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single" w:sz="8" w:space="0" w:color="auto"/>
              <w:right w:val="single" w:sz="8" w:space="0" w:color="auto"/>
            </w:tcBorders>
            <w:shd w:val="clear" w:color="auto" w:fill="auto"/>
            <w:noWrap/>
            <w:vAlign w:val="center"/>
            <w:hideMark/>
          </w:tcPr>
          <w:p w14:paraId="0E95B4F9" w14:textId="77777777" w:rsidR="00744FCC" w:rsidRPr="00701F32" w:rsidRDefault="00744FCC" w:rsidP="00744FCC">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r>
      <w:tr w:rsidR="00744FCC" w:rsidRPr="00701F32" w14:paraId="22961CE2"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2E616BD1"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Depósitos </w:t>
            </w:r>
          </w:p>
        </w:tc>
        <w:tc>
          <w:tcPr>
            <w:tcW w:w="980" w:type="dxa"/>
            <w:tcBorders>
              <w:top w:val="nil"/>
              <w:left w:val="nil"/>
              <w:bottom w:val="nil"/>
              <w:right w:val="single" w:sz="4" w:space="0" w:color="auto"/>
            </w:tcBorders>
            <w:shd w:val="clear" w:color="auto" w:fill="auto"/>
            <w:noWrap/>
            <w:vAlign w:val="center"/>
            <w:hideMark/>
          </w:tcPr>
          <w:p w14:paraId="6A71FB1A"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31BB0DE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35.930.797</w:t>
            </w:r>
          </w:p>
        </w:tc>
        <w:tc>
          <w:tcPr>
            <w:tcW w:w="1551" w:type="dxa"/>
            <w:tcBorders>
              <w:top w:val="nil"/>
              <w:left w:val="nil"/>
              <w:bottom w:val="nil"/>
              <w:right w:val="single" w:sz="4" w:space="0" w:color="auto"/>
            </w:tcBorders>
            <w:shd w:val="clear" w:color="auto" w:fill="auto"/>
            <w:noWrap/>
            <w:vAlign w:val="center"/>
            <w:hideMark/>
          </w:tcPr>
          <w:p w14:paraId="7011419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-15.088</w:t>
            </w:r>
          </w:p>
        </w:tc>
        <w:tc>
          <w:tcPr>
            <w:tcW w:w="1269" w:type="dxa"/>
            <w:tcBorders>
              <w:top w:val="nil"/>
              <w:left w:val="nil"/>
              <w:bottom w:val="nil"/>
              <w:right w:val="single" w:sz="4" w:space="0" w:color="auto"/>
            </w:tcBorders>
            <w:shd w:val="clear" w:color="auto" w:fill="auto"/>
            <w:noWrap/>
            <w:vAlign w:val="center"/>
            <w:hideMark/>
          </w:tcPr>
          <w:p w14:paraId="610F170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-1.156</w:t>
            </w:r>
          </w:p>
        </w:tc>
        <w:tc>
          <w:tcPr>
            <w:tcW w:w="1128" w:type="dxa"/>
            <w:tcBorders>
              <w:top w:val="nil"/>
              <w:left w:val="nil"/>
              <w:bottom w:val="nil"/>
              <w:right w:val="single" w:sz="8" w:space="0" w:color="auto"/>
            </w:tcBorders>
            <w:shd w:val="clear" w:color="auto" w:fill="auto"/>
            <w:noWrap/>
            <w:vAlign w:val="center"/>
            <w:hideMark/>
          </w:tcPr>
          <w:p w14:paraId="1AF420A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35.914.553</w:t>
            </w:r>
          </w:p>
        </w:tc>
      </w:tr>
      <w:tr w:rsidR="00744FCC" w:rsidRPr="00701F32" w14:paraId="52A69096"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3DEDEFE"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Otras obligaciones por intermediación financiera </w:t>
            </w:r>
          </w:p>
        </w:tc>
        <w:tc>
          <w:tcPr>
            <w:tcW w:w="980" w:type="dxa"/>
            <w:tcBorders>
              <w:top w:val="nil"/>
              <w:left w:val="nil"/>
              <w:bottom w:val="nil"/>
              <w:right w:val="single" w:sz="4" w:space="0" w:color="auto"/>
            </w:tcBorders>
            <w:shd w:val="clear" w:color="auto" w:fill="auto"/>
            <w:noWrap/>
            <w:vAlign w:val="center"/>
            <w:hideMark/>
          </w:tcPr>
          <w:p w14:paraId="481DAEC2"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28" w:type="dxa"/>
            <w:tcBorders>
              <w:top w:val="nil"/>
              <w:left w:val="nil"/>
              <w:bottom w:val="nil"/>
              <w:right w:val="single" w:sz="4" w:space="0" w:color="auto"/>
            </w:tcBorders>
            <w:shd w:val="clear" w:color="auto" w:fill="auto"/>
            <w:noWrap/>
            <w:vAlign w:val="center"/>
            <w:hideMark/>
          </w:tcPr>
          <w:p w14:paraId="35C6255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6.332.754</w:t>
            </w:r>
          </w:p>
        </w:tc>
        <w:tc>
          <w:tcPr>
            <w:tcW w:w="1551" w:type="dxa"/>
            <w:tcBorders>
              <w:top w:val="nil"/>
              <w:left w:val="nil"/>
              <w:bottom w:val="nil"/>
              <w:right w:val="single" w:sz="4" w:space="0" w:color="auto"/>
            </w:tcBorders>
            <w:shd w:val="clear" w:color="auto" w:fill="auto"/>
            <w:noWrap/>
            <w:vAlign w:val="center"/>
            <w:hideMark/>
          </w:tcPr>
          <w:p w14:paraId="0D9249E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-6.332.754</w:t>
            </w:r>
          </w:p>
        </w:tc>
        <w:tc>
          <w:tcPr>
            <w:tcW w:w="1269" w:type="dxa"/>
            <w:tcBorders>
              <w:top w:val="nil"/>
              <w:left w:val="nil"/>
              <w:bottom w:val="nil"/>
              <w:right w:val="single" w:sz="4" w:space="0" w:color="auto"/>
            </w:tcBorders>
            <w:shd w:val="clear" w:color="auto" w:fill="auto"/>
            <w:noWrap/>
            <w:vAlign w:val="center"/>
            <w:hideMark/>
          </w:tcPr>
          <w:p w14:paraId="402AD71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468AB74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3C7B3091"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B05AA40"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diversas </w:t>
            </w:r>
          </w:p>
        </w:tc>
        <w:tc>
          <w:tcPr>
            <w:tcW w:w="980" w:type="dxa"/>
            <w:tcBorders>
              <w:top w:val="nil"/>
              <w:left w:val="nil"/>
              <w:bottom w:val="nil"/>
              <w:right w:val="single" w:sz="4" w:space="0" w:color="auto"/>
            </w:tcBorders>
            <w:shd w:val="clear" w:color="auto" w:fill="auto"/>
            <w:noWrap/>
            <w:vAlign w:val="center"/>
            <w:hideMark/>
          </w:tcPr>
          <w:p w14:paraId="03613857"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43BB01F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1.763.602</w:t>
            </w:r>
          </w:p>
        </w:tc>
        <w:tc>
          <w:tcPr>
            <w:tcW w:w="1551" w:type="dxa"/>
            <w:tcBorders>
              <w:top w:val="nil"/>
              <w:left w:val="nil"/>
              <w:bottom w:val="nil"/>
              <w:right w:val="single" w:sz="4" w:space="0" w:color="auto"/>
            </w:tcBorders>
            <w:shd w:val="clear" w:color="auto" w:fill="auto"/>
            <w:noWrap/>
            <w:vAlign w:val="center"/>
            <w:hideMark/>
          </w:tcPr>
          <w:p w14:paraId="7847994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-1.763.602</w:t>
            </w:r>
          </w:p>
        </w:tc>
        <w:tc>
          <w:tcPr>
            <w:tcW w:w="1269" w:type="dxa"/>
            <w:tcBorders>
              <w:top w:val="nil"/>
              <w:left w:val="nil"/>
              <w:bottom w:val="nil"/>
              <w:right w:val="single" w:sz="4" w:space="0" w:color="auto"/>
            </w:tcBorders>
            <w:shd w:val="clear" w:color="auto" w:fill="auto"/>
            <w:noWrap/>
            <w:vAlign w:val="center"/>
            <w:hideMark/>
          </w:tcPr>
          <w:p w14:paraId="6DD0213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6498297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7C73D6FF"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5D02F3F4"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Provisiones </w:t>
            </w:r>
          </w:p>
        </w:tc>
        <w:tc>
          <w:tcPr>
            <w:tcW w:w="980" w:type="dxa"/>
            <w:tcBorders>
              <w:top w:val="nil"/>
              <w:left w:val="nil"/>
              <w:bottom w:val="nil"/>
              <w:right w:val="single" w:sz="4" w:space="0" w:color="auto"/>
            </w:tcBorders>
            <w:shd w:val="clear" w:color="auto" w:fill="auto"/>
            <w:noWrap/>
            <w:vAlign w:val="center"/>
            <w:hideMark/>
          </w:tcPr>
          <w:p w14:paraId="5555CA34"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573B22A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57.661</w:t>
            </w:r>
          </w:p>
        </w:tc>
        <w:tc>
          <w:tcPr>
            <w:tcW w:w="1551" w:type="dxa"/>
            <w:tcBorders>
              <w:top w:val="nil"/>
              <w:left w:val="nil"/>
              <w:bottom w:val="nil"/>
              <w:right w:val="single" w:sz="4" w:space="0" w:color="auto"/>
            </w:tcBorders>
            <w:shd w:val="clear" w:color="auto" w:fill="auto"/>
            <w:noWrap/>
            <w:vAlign w:val="center"/>
            <w:hideMark/>
          </w:tcPr>
          <w:p w14:paraId="12AE355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40422DE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45E850E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57.661</w:t>
            </w:r>
          </w:p>
        </w:tc>
      </w:tr>
      <w:tr w:rsidR="00744FCC" w:rsidRPr="00701F32" w14:paraId="0B288595"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030C003B"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subordinadas </w:t>
            </w:r>
          </w:p>
        </w:tc>
        <w:tc>
          <w:tcPr>
            <w:tcW w:w="980" w:type="dxa"/>
            <w:tcBorders>
              <w:top w:val="nil"/>
              <w:left w:val="nil"/>
              <w:bottom w:val="nil"/>
              <w:right w:val="single" w:sz="4" w:space="0" w:color="auto"/>
            </w:tcBorders>
            <w:shd w:val="clear" w:color="auto" w:fill="auto"/>
            <w:noWrap/>
            <w:vAlign w:val="center"/>
            <w:hideMark/>
          </w:tcPr>
          <w:p w14:paraId="7E719A31"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673543E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1.378.758</w:t>
            </w:r>
          </w:p>
        </w:tc>
        <w:tc>
          <w:tcPr>
            <w:tcW w:w="1551" w:type="dxa"/>
            <w:tcBorders>
              <w:top w:val="nil"/>
              <w:left w:val="nil"/>
              <w:bottom w:val="nil"/>
              <w:right w:val="single" w:sz="4" w:space="0" w:color="auto"/>
            </w:tcBorders>
            <w:shd w:val="clear" w:color="auto" w:fill="auto"/>
            <w:noWrap/>
            <w:vAlign w:val="center"/>
            <w:hideMark/>
          </w:tcPr>
          <w:p w14:paraId="017C1B9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113B3BB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286D7B8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1.378.758</w:t>
            </w:r>
          </w:p>
        </w:tc>
      </w:tr>
      <w:tr w:rsidR="00744FCC" w:rsidRPr="00701F32" w14:paraId="25740855"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2C99624F"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980" w:type="dxa"/>
            <w:tcBorders>
              <w:top w:val="nil"/>
              <w:left w:val="nil"/>
              <w:bottom w:val="nil"/>
              <w:right w:val="single" w:sz="4" w:space="0" w:color="auto"/>
            </w:tcBorders>
            <w:shd w:val="clear" w:color="auto" w:fill="auto"/>
            <w:noWrap/>
            <w:vAlign w:val="center"/>
            <w:hideMark/>
          </w:tcPr>
          <w:p w14:paraId="135D433C"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7BE91E6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134.334</w:t>
            </w:r>
          </w:p>
        </w:tc>
        <w:tc>
          <w:tcPr>
            <w:tcW w:w="1551" w:type="dxa"/>
            <w:tcBorders>
              <w:top w:val="nil"/>
              <w:left w:val="nil"/>
              <w:bottom w:val="nil"/>
              <w:right w:val="single" w:sz="4" w:space="0" w:color="auto"/>
            </w:tcBorders>
            <w:shd w:val="clear" w:color="auto" w:fill="auto"/>
            <w:noWrap/>
            <w:vAlign w:val="center"/>
            <w:hideMark/>
          </w:tcPr>
          <w:p w14:paraId="3940A0E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-134.334</w:t>
            </w:r>
          </w:p>
        </w:tc>
        <w:tc>
          <w:tcPr>
            <w:tcW w:w="1269" w:type="dxa"/>
            <w:tcBorders>
              <w:top w:val="nil"/>
              <w:left w:val="nil"/>
              <w:bottom w:val="nil"/>
              <w:right w:val="single" w:sz="4" w:space="0" w:color="auto"/>
            </w:tcBorders>
            <w:shd w:val="clear" w:color="auto" w:fill="auto"/>
            <w:noWrap/>
            <w:vAlign w:val="center"/>
            <w:hideMark/>
          </w:tcPr>
          <w:p w14:paraId="7F68F48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787B18D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13F369DB"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6F7068D6"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Participación de terceros</w:t>
            </w:r>
          </w:p>
        </w:tc>
        <w:tc>
          <w:tcPr>
            <w:tcW w:w="980" w:type="dxa"/>
            <w:tcBorders>
              <w:top w:val="nil"/>
              <w:left w:val="nil"/>
              <w:bottom w:val="nil"/>
              <w:right w:val="single" w:sz="4" w:space="0" w:color="auto"/>
            </w:tcBorders>
            <w:shd w:val="clear" w:color="auto" w:fill="auto"/>
            <w:noWrap/>
            <w:vAlign w:val="center"/>
            <w:hideMark/>
          </w:tcPr>
          <w:p w14:paraId="4672D047"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o</w:t>
            </w:r>
          </w:p>
        </w:tc>
        <w:tc>
          <w:tcPr>
            <w:tcW w:w="1128" w:type="dxa"/>
            <w:tcBorders>
              <w:top w:val="nil"/>
              <w:left w:val="nil"/>
              <w:bottom w:val="nil"/>
              <w:right w:val="single" w:sz="4" w:space="0" w:color="auto"/>
            </w:tcBorders>
            <w:shd w:val="clear" w:color="auto" w:fill="auto"/>
            <w:noWrap/>
            <w:vAlign w:val="center"/>
            <w:hideMark/>
          </w:tcPr>
          <w:p w14:paraId="3DAD1B6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32.826</w:t>
            </w:r>
          </w:p>
        </w:tc>
        <w:tc>
          <w:tcPr>
            <w:tcW w:w="1551" w:type="dxa"/>
            <w:tcBorders>
              <w:top w:val="nil"/>
              <w:left w:val="nil"/>
              <w:bottom w:val="nil"/>
              <w:right w:val="single" w:sz="4" w:space="0" w:color="auto"/>
            </w:tcBorders>
            <w:shd w:val="clear" w:color="auto" w:fill="auto"/>
            <w:noWrap/>
            <w:vAlign w:val="center"/>
            <w:hideMark/>
          </w:tcPr>
          <w:p w14:paraId="3501B9B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-32.826</w:t>
            </w:r>
          </w:p>
        </w:tc>
        <w:tc>
          <w:tcPr>
            <w:tcW w:w="1269" w:type="dxa"/>
            <w:tcBorders>
              <w:top w:val="nil"/>
              <w:left w:val="nil"/>
              <w:bottom w:val="nil"/>
              <w:right w:val="single" w:sz="4" w:space="0" w:color="auto"/>
            </w:tcBorders>
            <w:shd w:val="clear" w:color="auto" w:fill="auto"/>
            <w:noWrap/>
            <w:vAlign w:val="center"/>
            <w:hideMark/>
          </w:tcPr>
          <w:p w14:paraId="1E3EF6F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7094B512"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744FCC" w:rsidRPr="00701F32" w14:paraId="30DDEBEF"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3B72C76D"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980" w:type="dxa"/>
            <w:tcBorders>
              <w:top w:val="nil"/>
              <w:left w:val="nil"/>
              <w:bottom w:val="nil"/>
              <w:right w:val="single" w:sz="4" w:space="0" w:color="auto"/>
            </w:tcBorders>
            <w:shd w:val="clear" w:color="auto" w:fill="auto"/>
            <w:noWrap/>
            <w:vAlign w:val="center"/>
            <w:hideMark/>
          </w:tcPr>
          <w:p w14:paraId="3D59763E"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2C19F39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7AA334E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590.891</w:t>
            </w:r>
          </w:p>
        </w:tc>
        <w:tc>
          <w:tcPr>
            <w:tcW w:w="1269" w:type="dxa"/>
            <w:tcBorders>
              <w:top w:val="nil"/>
              <w:left w:val="nil"/>
              <w:bottom w:val="nil"/>
              <w:right w:val="single" w:sz="4" w:space="0" w:color="auto"/>
            </w:tcBorders>
            <w:shd w:val="clear" w:color="auto" w:fill="auto"/>
            <w:noWrap/>
            <w:vAlign w:val="center"/>
            <w:hideMark/>
          </w:tcPr>
          <w:p w14:paraId="6232946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4975377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590.891</w:t>
            </w:r>
          </w:p>
        </w:tc>
      </w:tr>
      <w:tr w:rsidR="00744FCC" w:rsidRPr="00701F32" w14:paraId="69704E29"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4CB0F488"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financieros </w:t>
            </w:r>
          </w:p>
        </w:tc>
        <w:tc>
          <w:tcPr>
            <w:tcW w:w="980" w:type="dxa"/>
            <w:tcBorders>
              <w:top w:val="nil"/>
              <w:left w:val="nil"/>
              <w:bottom w:val="nil"/>
              <w:right w:val="single" w:sz="4" w:space="0" w:color="auto"/>
            </w:tcBorders>
            <w:shd w:val="clear" w:color="auto" w:fill="auto"/>
            <w:noWrap/>
            <w:vAlign w:val="center"/>
            <w:hideMark/>
          </w:tcPr>
          <w:p w14:paraId="3BA1F4E6"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g, m, n</w:t>
            </w:r>
          </w:p>
        </w:tc>
        <w:tc>
          <w:tcPr>
            <w:tcW w:w="1128" w:type="dxa"/>
            <w:tcBorders>
              <w:top w:val="nil"/>
              <w:left w:val="nil"/>
              <w:bottom w:val="nil"/>
              <w:right w:val="single" w:sz="4" w:space="0" w:color="auto"/>
            </w:tcBorders>
            <w:shd w:val="clear" w:color="auto" w:fill="auto"/>
            <w:noWrap/>
            <w:vAlign w:val="center"/>
            <w:hideMark/>
          </w:tcPr>
          <w:p w14:paraId="4F3D002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723CE2B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1.578.739</w:t>
            </w:r>
          </w:p>
        </w:tc>
        <w:tc>
          <w:tcPr>
            <w:tcW w:w="1269" w:type="dxa"/>
            <w:tcBorders>
              <w:top w:val="nil"/>
              <w:left w:val="nil"/>
              <w:bottom w:val="nil"/>
              <w:right w:val="single" w:sz="4" w:space="0" w:color="auto"/>
            </w:tcBorders>
            <w:shd w:val="clear" w:color="auto" w:fill="auto"/>
            <w:noWrap/>
            <w:vAlign w:val="center"/>
            <w:hideMark/>
          </w:tcPr>
          <w:p w14:paraId="24D35A6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1.367.587</w:t>
            </w:r>
          </w:p>
        </w:tc>
        <w:tc>
          <w:tcPr>
            <w:tcW w:w="1128" w:type="dxa"/>
            <w:tcBorders>
              <w:top w:val="nil"/>
              <w:left w:val="nil"/>
              <w:bottom w:val="nil"/>
              <w:right w:val="single" w:sz="8" w:space="0" w:color="auto"/>
            </w:tcBorders>
            <w:shd w:val="clear" w:color="auto" w:fill="auto"/>
            <w:noWrap/>
            <w:vAlign w:val="center"/>
            <w:hideMark/>
          </w:tcPr>
          <w:p w14:paraId="5B410BD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2.946.326</w:t>
            </w:r>
          </w:p>
        </w:tc>
      </w:tr>
      <w:tr w:rsidR="00744FCC" w:rsidRPr="00701F32" w14:paraId="5D631D6E"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14735BEE"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Financ.recibidas del BCRA y otras inst. financieras </w:t>
            </w:r>
          </w:p>
        </w:tc>
        <w:tc>
          <w:tcPr>
            <w:tcW w:w="980" w:type="dxa"/>
            <w:tcBorders>
              <w:top w:val="nil"/>
              <w:left w:val="nil"/>
              <w:bottom w:val="nil"/>
              <w:right w:val="single" w:sz="4" w:space="0" w:color="auto"/>
            </w:tcBorders>
            <w:shd w:val="clear" w:color="auto" w:fill="auto"/>
            <w:noWrap/>
            <w:vAlign w:val="center"/>
            <w:hideMark/>
          </w:tcPr>
          <w:p w14:paraId="289A758E"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489C95F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3A32D6B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1.621.767</w:t>
            </w:r>
          </w:p>
        </w:tc>
        <w:tc>
          <w:tcPr>
            <w:tcW w:w="1269" w:type="dxa"/>
            <w:tcBorders>
              <w:top w:val="nil"/>
              <w:left w:val="nil"/>
              <w:bottom w:val="nil"/>
              <w:right w:val="single" w:sz="4" w:space="0" w:color="auto"/>
            </w:tcBorders>
            <w:shd w:val="clear" w:color="auto" w:fill="auto"/>
            <w:noWrap/>
            <w:vAlign w:val="center"/>
            <w:hideMark/>
          </w:tcPr>
          <w:p w14:paraId="4B64E39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787C8E1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1.621.767</w:t>
            </w:r>
          </w:p>
        </w:tc>
      </w:tr>
      <w:tr w:rsidR="00744FCC" w:rsidRPr="00701F32" w14:paraId="788469DE"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3E6CFD85"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emitidas </w:t>
            </w:r>
          </w:p>
        </w:tc>
        <w:tc>
          <w:tcPr>
            <w:tcW w:w="980" w:type="dxa"/>
            <w:tcBorders>
              <w:top w:val="nil"/>
              <w:left w:val="nil"/>
              <w:bottom w:val="nil"/>
              <w:right w:val="single" w:sz="4" w:space="0" w:color="auto"/>
            </w:tcBorders>
            <w:shd w:val="clear" w:color="auto" w:fill="auto"/>
            <w:noWrap/>
            <w:vAlign w:val="center"/>
            <w:hideMark/>
          </w:tcPr>
          <w:p w14:paraId="7646BB1E"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12856C0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238D30D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1.880.982</w:t>
            </w:r>
          </w:p>
        </w:tc>
        <w:tc>
          <w:tcPr>
            <w:tcW w:w="1269" w:type="dxa"/>
            <w:tcBorders>
              <w:top w:val="nil"/>
              <w:left w:val="nil"/>
              <w:bottom w:val="nil"/>
              <w:right w:val="single" w:sz="4" w:space="0" w:color="auto"/>
            </w:tcBorders>
            <w:shd w:val="clear" w:color="auto" w:fill="auto"/>
            <w:noWrap/>
            <w:vAlign w:val="center"/>
            <w:hideMark/>
          </w:tcPr>
          <w:p w14:paraId="7A967C3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7A285651"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1.880.982</w:t>
            </w:r>
          </w:p>
        </w:tc>
      </w:tr>
      <w:tr w:rsidR="00744FCC" w:rsidRPr="00701F32" w14:paraId="22EA991C"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0ADE6103"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 por impuestos a las ganancias corriente </w:t>
            </w:r>
          </w:p>
        </w:tc>
        <w:tc>
          <w:tcPr>
            <w:tcW w:w="980" w:type="dxa"/>
            <w:tcBorders>
              <w:top w:val="nil"/>
              <w:left w:val="nil"/>
              <w:bottom w:val="nil"/>
              <w:right w:val="single" w:sz="4" w:space="0" w:color="auto"/>
            </w:tcBorders>
            <w:shd w:val="clear" w:color="auto" w:fill="auto"/>
            <w:noWrap/>
            <w:vAlign w:val="center"/>
            <w:hideMark/>
          </w:tcPr>
          <w:p w14:paraId="103C7135"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79CFABCF"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2EFF0ED3"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477.526</w:t>
            </w:r>
          </w:p>
        </w:tc>
        <w:tc>
          <w:tcPr>
            <w:tcW w:w="1269" w:type="dxa"/>
            <w:tcBorders>
              <w:top w:val="nil"/>
              <w:left w:val="nil"/>
              <w:bottom w:val="nil"/>
              <w:right w:val="single" w:sz="4" w:space="0" w:color="auto"/>
            </w:tcBorders>
            <w:shd w:val="clear" w:color="auto" w:fill="auto"/>
            <w:noWrap/>
            <w:vAlign w:val="center"/>
            <w:hideMark/>
          </w:tcPr>
          <w:p w14:paraId="09E87A6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36ACEC1B"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477.526</w:t>
            </w:r>
          </w:p>
        </w:tc>
      </w:tr>
      <w:tr w:rsidR="00744FCC" w:rsidRPr="00701F32" w14:paraId="4B839028"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4F5628DF"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no financieros </w:t>
            </w:r>
          </w:p>
        </w:tc>
        <w:tc>
          <w:tcPr>
            <w:tcW w:w="980" w:type="dxa"/>
            <w:tcBorders>
              <w:top w:val="nil"/>
              <w:left w:val="nil"/>
              <w:bottom w:val="nil"/>
              <w:right w:val="single" w:sz="4" w:space="0" w:color="auto"/>
            </w:tcBorders>
            <w:shd w:val="clear" w:color="auto" w:fill="auto"/>
            <w:noWrap/>
            <w:vAlign w:val="center"/>
            <w:hideMark/>
          </w:tcPr>
          <w:p w14:paraId="376AC489"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h, l, n</w:t>
            </w:r>
          </w:p>
        </w:tc>
        <w:tc>
          <w:tcPr>
            <w:tcW w:w="1128" w:type="dxa"/>
            <w:tcBorders>
              <w:top w:val="nil"/>
              <w:left w:val="nil"/>
              <w:bottom w:val="nil"/>
              <w:right w:val="single" w:sz="4" w:space="0" w:color="auto"/>
            </w:tcBorders>
            <w:shd w:val="clear" w:color="auto" w:fill="auto"/>
            <w:noWrap/>
            <w:vAlign w:val="center"/>
            <w:hideMark/>
          </w:tcPr>
          <w:p w14:paraId="1602873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7A0A6C2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1.832.083</w:t>
            </w:r>
          </w:p>
        </w:tc>
        <w:tc>
          <w:tcPr>
            <w:tcW w:w="1269" w:type="dxa"/>
            <w:tcBorders>
              <w:top w:val="nil"/>
              <w:left w:val="nil"/>
              <w:bottom w:val="nil"/>
              <w:right w:val="single" w:sz="4" w:space="0" w:color="auto"/>
            </w:tcBorders>
            <w:shd w:val="clear" w:color="auto" w:fill="auto"/>
            <w:noWrap/>
            <w:vAlign w:val="center"/>
            <w:hideMark/>
          </w:tcPr>
          <w:p w14:paraId="7CE4C55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583.650</w:t>
            </w:r>
          </w:p>
        </w:tc>
        <w:tc>
          <w:tcPr>
            <w:tcW w:w="1128" w:type="dxa"/>
            <w:tcBorders>
              <w:top w:val="nil"/>
              <w:left w:val="nil"/>
              <w:bottom w:val="nil"/>
              <w:right w:val="single" w:sz="8" w:space="0" w:color="auto"/>
            </w:tcBorders>
            <w:shd w:val="clear" w:color="auto" w:fill="auto"/>
            <w:noWrap/>
            <w:vAlign w:val="center"/>
            <w:hideMark/>
          </w:tcPr>
          <w:p w14:paraId="6F73E0C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2.415.733</w:t>
            </w:r>
          </w:p>
        </w:tc>
      </w:tr>
      <w:tr w:rsidR="00744FCC" w:rsidRPr="00701F32" w14:paraId="1C679CDC" w14:textId="77777777" w:rsidTr="00E311C9">
        <w:trPr>
          <w:trHeight w:val="284"/>
        </w:trPr>
        <w:tc>
          <w:tcPr>
            <w:tcW w:w="38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3E223B" w14:textId="77777777" w:rsidR="00744FCC" w:rsidRPr="00701F32" w:rsidRDefault="00744FCC">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32760F" w:rsidRPr="00701F32">
              <w:rPr>
                <w:rFonts w:ascii="Arial" w:hAnsi="Arial" w:cs="Arial"/>
                <w:b/>
                <w:bCs/>
                <w:color w:val="000000"/>
                <w:sz w:val="16"/>
                <w:szCs w:val="16"/>
                <w:lang w:eastAsia="es-AR"/>
              </w:rPr>
              <w:t>l Pasivo al 01/01/2017</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17B3E0CB" w14:textId="77777777" w:rsidR="00744FCC" w:rsidRPr="00701F32" w:rsidRDefault="00744FCC" w:rsidP="00744FCC">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28" w:type="dxa"/>
            <w:tcBorders>
              <w:top w:val="single" w:sz="8" w:space="0" w:color="auto"/>
              <w:left w:val="nil"/>
              <w:bottom w:val="single" w:sz="8" w:space="0" w:color="auto"/>
              <w:right w:val="single" w:sz="4" w:space="0" w:color="auto"/>
            </w:tcBorders>
            <w:shd w:val="clear" w:color="auto" w:fill="auto"/>
            <w:noWrap/>
            <w:vAlign w:val="center"/>
            <w:hideMark/>
          </w:tcPr>
          <w:p w14:paraId="6AC3776D"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45.630.732</w:t>
            </w:r>
          </w:p>
        </w:tc>
        <w:tc>
          <w:tcPr>
            <w:tcW w:w="1551" w:type="dxa"/>
            <w:tcBorders>
              <w:top w:val="single" w:sz="8" w:space="0" w:color="auto"/>
              <w:left w:val="nil"/>
              <w:bottom w:val="single" w:sz="8" w:space="0" w:color="auto"/>
              <w:right w:val="single" w:sz="4" w:space="0" w:color="auto"/>
            </w:tcBorders>
            <w:shd w:val="clear" w:color="auto" w:fill="auto"/>
            <w:noWrap/>
            <w:vAlign w:val="center"/>
            <w:hideMark/>
          </w:tcPr>
          <w:p w14:paraId="67C98CD4"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-296.616</w:t>
            </w:r>
          </w:p>
        </w:tc>
        <w:tc>
          <w:tcPr>
            <w:tcW w:w="1269" w:type="dxa"/>
            <w:tcBorders>
              <w:top w:val="single" w:sz="8" w:space="0" w:color="auto"/>
              <w:left w:val="nil"/>
              <w:bottom w:val="single" w:sz="8" w:space="0" w:color="auto"/>
              <w:right w:val="single" w:sz="4" w:space="0" w:color="auto"/>
            </w:tcBorders>
            <w:shd w:val="clear" w:color="auto" w:fill="auto"/>
            <w:noWrap/>
            <w:vAlign w:val="center"/>
            <w:hideMark/>
          </w:tcPr>
          <w:p w14:paraId="3A2C8100"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1.950.081</w:t>
            </w:r>
          </w:p>
        </w:tc>
        <w:tc>
          <w:tcPr>
            <w:tcW w:w="1128" w:type="dxa"/>
            <w:tcBorders>
              <w:top w:val="single" w:sz="8" w:space="0" w:color="auto"/>
              <w:left w:val="nil"/>
              <w:bottom w:val="single" w:sz="8" w:space="0" w:color="auto"/>
              <w:right w:val="single" w:sz="8" w:space="0" w:color="auto"/>
            </w:tcBorders>
            <w:shd w:val="clear" w:color="auto" w:fill="auto"/>
            <w:noWrap/>
            <w:vAlign w:val="center"/>
            <w:hideMark/>
          </w:tcPr>
          <w:p w14:paraId="585DAAA0"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47.284.197</w:t>
            </w:r>
          </w:p>
        </w:tc>
      </w:tr>
      <w:tr w:rsidR="00744FCC" w:rsidRPr="00701F32" w14:paraId="29D8D898"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4DF96A81"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Capital, aportes y reservas </w:t>
            </w:r>
          </w:p>
        </w:tc>
        <w:tc>
          <w:tcPr>
            <w:tcW w:w="980" w:type="dxa"/>
            <w:tcBorders>
              <w:top w:val="nil"/>
              <w:left w:val="nil"/>
              <w:bottom w:val="nil"/>
              <w:right w:val="single" w:sz="4" w:space="0" w:color="auto"/>
            </w:tcBorders>
            <w:shd w:val="clear" w:color="auto" w:fill="auto"/>
            <w:noWrap/>
            <w:vAlign w:val="center"/>
            <w:hideMark/>
          </w:tcPr>
          <w:p w14:paraId="7477B4BF"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2F5DF415"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4.945.610</w:t>
            </w:r>
          </w:p>
        </w:tc>
        <w:tc>
          <w:tcPr>
            <w:tcW w:w="1551" w:type="dxa"/>
            <w:tcBorders>
              <w:top w:val="nil"/>
              <w:left w:val="nil"/>
              <w:bottom w:val="nil"/>
              <w:right w:val="single" w:sz="4" w:space="0" w:color="auto"/>
            </w:tcBorders>
            <w:shd w:val="clear" w:color="auto" w:fill="auto"/>
            <w:noWrap/>
            <w:vAlign w:val="center"/>
            <w:hideMark/>
          </w:tcPr>
          <w:p w14:paraId="4269844C"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65053A10"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28" w:type="dxa"/>
            <w:tcBorders>
              <w:top w:val="nil"/>
              <w:left w:val="nil"/>
              <w:bottom w:val="nil"/>
              <w:right w:val="single" w:sz="8" w:space="0" w:color="auto"/>
            </w:tcBorders>
            <w:shd w:val="clear" w:color="auto" w:fill="auto"/>
            <w:noWrap/>
            <w:vAlign w:val="center"/>
            <w:hideMark/>
          </w:tcPr>
          <w:p w14:paraId="14916B9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4.945.610</w:t>
            </w:r>
          </w:p>
        </w:tc>
      </w:tr>
      <w:tr w:rsidR="00744FCC" w:rsidRPr="00701F32" w14:paraId="11334B3E"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EFA1229"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resultados integrales acumulados </w:t>
            </w:r>
          </w:p>
        </w:tc>
        <w:tc>
          <w:tcPr>
            <w:tcW w:w="980" w:type="dxa"/>
            <w:tcBorders>
              <w:top w:val="nil"/>
              <w:left w:val="nil"/>
              <w:bottom w:val="nil"/>
              <w:right w:val="single" w:sz="4" w:space="0" w:color="auto"/>
            </w:tcBorders>
            <w:shd w:val="clear" w:color="auto" w:fill="auto"/>
            <w:noWrap/>
            <w:vAlign w:val="center"/>
            <w:hideMark/>
          </w:tcPr>
          <w:p w14:paraId="5A97B205"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d, e, j</w:t>
            </w:r>
          </w:p>
        </w:tc>
        <w:tc>
          <w:tcPr>
            <w:tcW w:w="1128" w:type="dxa"/>
            <w:tcBorders>
              <w:top w:val="nil"/>
              <w:left w:val="nil"/>
              <w:bottom w:val="nil"/>
              <w:right w:val="single" w:sz="4" w:space="0" w:color="auto"/>
            </w:tcBorders>
            <w:shd w:val="clear" w:color="auto" w:fill="auto"/>
            <w:noWrap/>
            <w:vAlign w:val="center"/>
            <w:hideMark/>
          </w:tcPr>
          <w:p w14:paraId="08953EDD"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nil"/>
              <w:right w:val="single" w:sz="4" w:space="0" w:color="auto"/>
            </w:tcBorders>
            <w:shd w:val="clear" w:color="auto" w:fill="auto"/>
            <w:noWrap/>
            <w:vAlign w:val="center"/>
            <w:hideMark/>
          </w:tcPr>
          <w:p w14:paraId="60995DF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76B73AC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77.797</w:t>
            </w:r>
          </w:p>
        </w:tc>
        <w:tc>
          <w:tcPr>
            <w:tcW w:w="1128" w:type="dxa"/>
            <w:tcBorders>
              <w:top w:val="nil"/>
              <w:left w:val="nil"/>
              <w:bottom w:val="nil"/>
              <w:right w:val="single" w:sz="8" w:space="0" w:color="auto"/>
            </w:tcBorders>
            <w:shd w:val="clear" w:color="auto" w:fill="auto"/>
            <w:noWrap/>
            <w:vAlign w:val="center"/>
            <w:hideMark/>
          </w:tcPr>
          <w:p w14:paraId="6E56C0E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77.797</w:t>
            </w:r>
          </w:p>
        </w:tc>
      </w:tr>
      <w:tr w:rsidR="00744FCC" w:rsidRPr="00701F32" w14:paraId="489AAD38" w14:textId="77777777" w:rsidTr="00E311C9">
        <w:trPr>
          <w:trHeight w:val="284"/>
        </w:trPr>
        <w:tc>
          <w:tcPr>
            <w:tcW w:w="3800" w:type="dxa"/>
            <w:tcBorders>
              <w:top w:val="nil"/>
              <w:left w:val="single" w:sz="8" w:space="0" w:color="auto"/>
              <w:bottom w:val="nil"/>
              <w:right w:val="single" w:sz="4" w:space="0" w:color="auto"/>
            </w:tcBorders>
            <w:shd w:val="clear" w:color="auto" w:fill="auto"/>
            <w:noWrap/>
            <w:vAlign w:val="center"/>
            <w:hideMark/>
          </w:tcPr>
          <w:p w14:paraId="77DA3D98"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Resultados no asignados </w:t>
            </w:r>
          </w:p>
        </w:tc>
        <w:tc>
          <w:tcPr>
            <w:tcW w:w="980" w:type="dxa"/>
            <w:tcBorders>
              <w:top w:val="nil"/>
              <w:left w:val="nil"/>
              <w:bottom w:val="nil"/>
              <w:right w:val="single" w:sz="4" w:space="0" w:color="auto"/>
            </w:tcBorders>
            <w:shd w:val="clear" w:color="auto" w:fill="auto"/>
            <w:noWrap/>
            <w:vAlign w:val="center"/>
            <w:hideMark/>
          </w:tcPr>
          <w:p w14:paraId="0A79F9A4"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28" w:type="dxa"/>
            <w:tcBorders>
              <w:top w:val="nil"/>
              <w:left w:val="nil"/>
              <w:bottom w:val="nil"/>
              <w:right w:val="single" w:sz="4" w:space="0" w:color="auto"/>
            </w:tcBorders>
            <w:shd w:val="clear" w:color="auto" w:fill="auto"/>
            <w:noWrap/>
            <w:vAlign w:val="center"/>
            <w:hideMark/>
          </w:tcPr>
          <w:p w14:paraId="046AC127"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925.349</w:t>
            </w:r>
          </w:p>
        </w:tc>
        <w:tc>
          <w:tcPr>
            <w:tcW w:w="1551" w:type="dxa"/>
            <w:tcBorders>
              <w:top w:val="nil"/>
              <w:left w:val="nil"/>
              <w:bottom w:val="nil"/>
              <w:right w:val="single" w:sz="4" w:space="0" w:color="auto"/>
            </w:tcBorders>
            <w:shd w:val="clear" w:color="auto" w:fill="auto"/>
            <w:noWrap/>
            <w:vAlign w:val="center"/>
            <w:hideMark/>
          </w:tcPr>
          <w:p w14:paraId="0E80ADF8"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69" w:type="dxa"/>
            <w:tcBorders>
              <w:top w:val="nil"/>
              <w:left w:val="nil"/>
              <w:bottom w:val="nil"/>
              <w:right w:val="single" w:sz="4" w:space="0" w:color="auto"/>
            </w:tcBorders>
            <w:shd w:val="clear" w:color="auto" w:fill="auto"/>
            <w:noWrap/>
            <w:vAlign w:val="center"/>
            <w:hideMark/>
          </w:tcPr>
          <w:p w14:paraId="799EAA6E"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-298.290</w:t>
            </w:r>
          </w:p>
        </w:tc>
        <w:tc>
          <w:tcPr>
            <w:tcW w:w="1128" w:type="dxa"/>
            <w:tcBorders>
              <w:top w:val="nil"/>
              <w:left w:val="nil"/>
              <w:bottom w:val="nil"/>
              <w:right w:val="single" w:sz="8" w:space="0" w:color="auto"/>
            </w:tcBorders>
            <w:shd w:val="clear" w:color="auto" w:fill="auto"/>
            <w:noWrap/>
            <w:vAlign w:val="center"/>
            <w:hideMark/>
          </w:tcPr>
          <w:p w14:paraId="56FD25A9"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627.059</w:t>
            </w:r>
          </w:p>
        </w:tc>
      </w:tr>
      <w:tr w:rsidR="00744FCC" w:rsidRPr="00701F32" w14:paraId="6A539C51" w14:textId="77777777" w:rsidTr="00E311C9">
        <w:trPr>
          <w:trHeight w:val="284"/>
        </w:trPr>
        <w:tc>
          <w:tcPr>
            <w:tcW w:w="3800" w:type="dxa"/>
            <w:tcBorders>
              <w:top w:val="nil"/>
              <w:left w:val="single" w:sz="8" w:space="0" w:color="auto"/>
              <w:bottom w:val="single" w:sz="8" w:space="0" w:color="auto"/>
              <w:right w:val="single" w:sz="4" w:space="0" w:color="auto"/>
            </w:tcBorders>
            <w:shd w:val="clear" w:color="auto" w:fill="auto"/>
            <w:noWrap/>
            <w:vAlign w:val="center"/>
            <w:hideMark/>
          </w:tcPr>
          <w:p w14:paraId="70F41B9A" w14:textId="77777777" w:rsidR="00744FCC" w:rsidRPr="00701F32" w:rsidRDefault="00744FCC" w:rsidP="00744FCC">
            <w:pPr>
              <w:rPr>
                <w:rFonts w:ascii="Arial" w:hAnsi="Arial" w:cs="Arial"/>
                <w:color w:val="000000"/>
                <w:sz w:val="16"/>
                <w:szCs w:val="16"/>
                <w:lang w:eastAsia="es-AR"/>
              </w:rPr>
            </w:pPr>
            <w:r w:rsidRPr="00701F32">
              <w:rPr>
                <w:rFonts w:ascii="Arial" w:hAnsi="Arial" w:cs="Arial"/>
                <w:color w:val="000000"/>
                <w:sz w:val="16"/>
                <w:szCs w:val="16"/>
                <w:lang w:eastAsia="es-AR"/>
              </w:rPr>
              <w:t xml:space="preserve">PN atribuible a participaciones no controladoras </w:t>
            </w:r>
          </w:p>
        </w:tc>
        <w:tc>
          <w:tcPr>
            <w:tcW w:w="980" w:type="dxa"/>
            <w:tcBorders>
              <w:top w:val="nil"/>
              <w:left w:val="nil"/>
              <w:bottom w:val="single" w:sz="8" w:space="0" w:color="auto"/>
              <w:right w:val="single" w:sz="4" w:space="0" w:color="auto"/>
            </w:tcBorders>
            <w:shd w:val="clear" w:color="auto" w:fill="auto"/>
            <w:noWrap/>
            <w:vAlign w:val="center"/>
            <w:hideMark/>
          </w:tcPr>
          <w:p w14:paraId="5FD3D01D" w14:textId="77777777" w:rsidR="00744FCC" w:rsidRPr="00701F32" w:rsidRDefault="00744FCC" w:rsidP="00744FCC">
            <w:pPr>
              <w:jc w:val="center"/>
              <w:rPr>
                <w:rFonts w:ascii="Arial" w:hAnsi="Arial" w:cs="Arial"/>
                <w:color w:val="000000"/>
                <w:sz w:val="16"/>
                <w:szCs w:val="16"/>
                <w:lang w:eastAsia="es-AR"/>
              </w:rPr>
            </w:pPr>
            <w:r w:rsidRPr="00701F32">
              <w:rPr>
                <w:rFonts w:ascii="Arial" w:hAnsi="Arial" w:cs="Arial"/>
                <w:color w:val="000000"/>
                <w:sz w:val="16"/>
                <w:szCs w:val="16"/>
                <w:lang w:eastAsia="es-AR"/>
              </w:rPr>
              <w:t>o</w:t>
            </w:r>
          </w:p>
        </w:tc>
        <w:tc>
          <w:tcPr>
            <w:tcW w:w="1128" w:type="dxa"/>
            <w:tcBorders>
              <w:top w:val="nil"/>
              <w:left w:val="nil"/>
              <w:bottom w:val="single" w:sz="8" w:space="0" w:color="auto"/>
              <w:right w:val="single" w:sz="4" w:space="0" w:color="auto"/>
            </w:tcBorders>
            <w:shd w:val="clear" w:color="auto" w:fill="auto"/>
            <w:noWrap/>
            <w:vAlign w:val="center"/>
            <w:hideMark/>
          </w:tcPr>
          <w:p w14:paraId="5BE3DB66"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1" w:type="dxa"/>
            <w:tcBorders>
              <w:top w:val="nil"/>
              <w:left w:val="nil"/>
              <w:bottom w:val="single" w:sz="8" w:space="0" w:color="auto"/>
              <w:right w:val="single" w:sz="4" w:space="0" w:color="auto"/>
            </w:tcBorders>
            <w:shd w:val="clear" w:color="auto" w:fill="auto"/>
            <w:noWrap/>
            <w:vAlign w:val="center"/>
            <w:hideMark/>
          </w:tcPr>
          <w:p w14:paraId="4F64C35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32.743</w:t>
            </w:r>
          </w:p>
        </w:tc>
        <w:tc>
          <w:tcPr>
            <w:tcW w:w="1269" w:type="dxa"/>
            <w:tcBorders>
              <w:top w:val="nil"/>
              <w:left w:val="nil"/>
              <w:bottom w:val="single" w:sz="8" w:space="0" w:color="auto"/>
              <w:right w:val="single" w:sz="4" w:space="0" w:color="auto"/>
            </w:tcBorders>
            <w:shd w:val="clear" w:color="auto" w:fill="auto"/>
            <w:noWrap/>
            <w:vAlign w:val="center"/>
            <w:hideMark/>
          </w:tcPr>
          <w:p w14:paraId="67A731BA"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87.790</w:t>
            </w:r>
          </w:p>
        </w:tc>
        <w:tc>
          <w:tcPr>
            <w:tcW w:w="1128" w:type="dxa"/>
            <w:tcBorders>
              <w:top w:val="nil"/>
              <w:left w:val="nil"/>
              <w:bottom w:val="nil"/>
              <w:right w:val="single" w:sz="8" w:space="0" w:color="auto"/>
            </w:tcBorders>
            <w:shd w:val="clear" w:color="auto" w:fill="auto"/>
            <w:noWrap/>
            <w:vAlign w:val="center"/>
            <w:hideMark/>
          </w:tcPr>
          <w:p w14:paraId="142BAB34" w14:textId="77777777" w:rsidR="00744FCC" w:rsidRPr="00701F32" w:rsidRDefault="00744FCC"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120.533</w:t>
            </w:r>
          </w:p>
        </w:tc>
      </w:tr>
      <w:tr w:rsidR="00744FCC" w:rsidRPr="00701F32" w14:paraId="0280A333" w14:textId="77777777" w:rsidTr="00E311C9">
        <w:trPr>
          <w:trHeight w:val="284"/>
        </w:trPr>
        <w:tc>
          <w:tcPr>
            <w:tcW w:w="3800" w:type="dxa"/>
            <w:tcBorders>
              <w:top w:val="nil"/>
              <w:left w:val="single" w:sz="8" w:space="0" w:color="auto"/>
              <w:bottom w:val="single" w:sz="8" w:space="0" w:color="auto"/>
              <w:right w:val="single" w:sz="4" w:space="0" w:color="auto"/>
            </w:tcBorders>
            <w:shd w:val="clear" w:color="auto" w:fill="auto"/>
            <w:noWrap/>
            <w:vAlign w:val="center"/>
            <w:hideMark/>
          </w:tcPr>
          <w:p w14:paraId="24A0B2A2" w14:textId="77777777" w:rsidR="00744FCC" w:rsidRPr="00701F32" w:rsidRDefault="00744FCC" w:rsidP="00744FCC">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01/01/2017</w:t>
            </w:r>
          </w:p>
        </w:tc>
        <w:tc>
          <w:tcPr>
            <w:tcW w:w="980" w:type="dxa"/>
            <w:tcBorders>
              <w:top w:val="nil"/>
              <w:left w:val="nil"/>
              <w:bottom w:val="single" w:sz="8" w:space="0" w:color="auto"/>
              <w:right w:val="single" w:sz="4" w:space="0" w:color="auto"/>
            </w:tcBorders>
            <w:shd w:val="clear" w:color="auto" w:fill="auto"/>
            <w:noWrap/>
            <w:vAlign w:val="center"/>
            <w:hideMark/>
          </w:tcPr>
          <w:p w14:paraId="43F1B736" w14:textId="77777777" w:rsidR="00744FCC" w:rsidRPr="00701F32" w:rsidRDefault="00744FCC" w:rsidP="00744FCC">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28" w:type="dxa"/>
            <w:tcBorders>
              <w:top w:val="nil"/>
              <w:left w:val="nil"/>
              <w:bottom w:val="single" w:sz="8" w:space="0" w:color="auto"/>
              <w:right w:val="single" w:sz="4" w:space="0" w:color="auto"/>
            </w:tcBorders>
            <w:shd w:val="clear" w:color="auto" w:fill="auto"/>
            <w:noWrap/>
            <w:vAlign w:val="center"/>
            <w:hideMark/>
          </w:tcPr>
          <w:p w14:paraId="2B0E5B99"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5.870.959</w:t>
            </w:r>
          </w:p>
        </w:tc>
        <w:tc>
          <w:tcPr>
            <w:tcW w:w="1551" w:type="dxa"/>
            <w:tcBorders>
              <w:top w:val="nil"/>
              <w:left w:val="nil"/>
              <w:bottom w:val="single" w:sz="8" w:space="0" w:color="auto"/>
              <w:right w:val="single" w:sz="4" w:space="0" w:color="auto"/>
            </w:tcBorders>
            <w:shd w:val="clear" w:color="auto" w:fill="auto"/>
            <w:noWrap/>
            <w:vAlign w:val="center"/>
            <w:hideMark/>
          </w:tcPr>
          <w:p w14:paraId="60DCD346"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32.743</w:t>
            </w:r>
          </w:p>
        </w:tc>
        <w:tc>
          <w:tcPr>
            <w:tcW w:w="1269" w:type="dxa"/>
            <w:tcBorders>
              <w:top w:val="nil"/>
              <w:left w:val="nil"/>
              <w:bottom w:val="single" w:sz="8" w:space="0" w:color="auto"/>
              <w:right w:val="single" w:sz="4" w:space="0" w:color="auto"/>
            </w:tcBorders>
            <w:shd w:val="clear" w:color="auto" w:fill="auto"/>
            <w:noWrap/>
            <w:vAlign w:val="center"/>
            <w:hideMark/>
          </w:tcPr>
          <w:p w14:paraId="12A20457"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-132.703</w:t>
            </w:r>
          </w:p>
        </w:tc>
        <w:tc>
          <w:tcPr>
            <w:tcW w:w="1128" w:type="dxa"/>
            <w:tcBorders>
              <w:top w:val="single" w:sz="8" w:space="0" w:color="auto"/>
              <w:left w:val="nil"/>
              <w:bottom w:val="single" w:sz="8" w:space="0" w:color="auto"/>
              <w:right w:val="single" w:sz="8" w:space="0" w:color="auto"/>
            </w:tcBorders>
            <w:shd w:val="clear" w:color="auto" w:fill="auto"/>
            <w:noWrap/>
            <w:vAlign w:val="center"/>
            <w:hideMark/>
          </w:tcPr>
          <w:p w14:paraId="6C8D4443" w14:textId="77777777" w:rsidR="00744FCC" w:rsidRPr="00701F32" w:rsidRDefault="00744FCC"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5.770.999</w:t>
            </w:r>
          </w:p>
        </w:tc>
      </w:tr>
    </w:tbl>
    <w:p w14:paraId="1C017B86" w14:textId="77777777" w:rsidR="00B848DD" w:rsidRPr="00701F32" w:rsidRDefault="00B848DD" w:rsidP="00797F61">
      <w:pPr>
        <w:keepNext/>
        <w:keepLines/>
        <w:spacing w:before="40" w:line="259" w:lineRule="auto"/>
        <w:ind w:firstLine="2"/>
        <w:jc w:val="both"/>
        <w:outlineLvl w:val="1"/>
        <w:rPr>
          <w:rFonts w:ascii="Arial" w:hAnsi="Arial" w:cs="Arial"/>
          <w:sz w:val="20"/>
        </w:rPr>
      </w:pPr>
    </w:p>
    <w:p w14:paraId="7FEC8CA9" w14:textId="77777777" w:rsidR="00A06BE9" w:rsidRPr="00701F32" w:rsidRDefault="00A06BE9" w:rsidP="00797F61">
      <w:pPr>
        <w:keepNext/>
        <w:keepLines/>
        <w:spacing w:before="40" w:line="259" w:lineRule="auto"/>
        <w:ind w:firstLine="2"/>
        <w:jc w:val="both"/>
        <w:outlineLvl w:val="1"/>
        <w:rPr>
          <w:rFonts w:ascii="Arial" w:hAnsi="Arial" w:cs="Arial"/>
          <w:sz w:val="20"/>
        </w:rPr>
      </w:pPr>
      <w:r w:rsidRPr="00701F32">
        <w:rPr>
          <w:rFonts w:ascii="Arial" w:hAnsi="Arial" w:cs="Arial"/>
          <w:sz w:val="20"/>
        </w:rPr>
        <w:t xml:space="preserve">2.1.2. Conciliación del resultado neto por el </w:t>
      </w:r>
      <w:r w:rsidR="00797F61" w:rsidRPr="00701F32">
        <w:rPr>
          <w:rFonts w:ascii="Arial" w:hAnsi="Arial" w:cs="Arial"/>
          <w:sz w:val="20"/>
        </w:rPr>
        <w:t xml:space="preserve">ejercicio finalizado el 31 de diciembre de 2017 y el </w:t>
      </w:r>
      <w:r w:rsidRPr="00701F32">
        <w:rPr>
          <w:rFonts w:ascii="Arial" w:hAnsi="Arial" w:cs="Arial"/>
          <w:sz w:val="20"/>
        </w:rPr>
        <w:t xml:space="preserve">período finalizado el </w:t>
      </w:r>
      <w:r w:rsidR="00606BA6" w:rsidRPr="00701F32">
        <w:rPr>
          <w:rFonts w:ascii="Arial" w:hAnsi="Arial" w:cs="Arial"/>
          <w:sz w:val="20"/>
        </w:rPr>
        <w:t xml:space="preserve">30 de </w:t>
      </w:r>
      <w:r w:rsidR="00B848DD" w:rsidRPr="00701F32">
        <w:rPr>
          <w:rFonts w:ascii="Arial" w:hAnsi="Arial" w:cs="Arial"/>
          <w:sz w:val="20"/>
        </w:rPr>
        <w:t>septiembre</w:t>
      </w:r>
      <w:r w:rsidR="00606BA6" w:rsidRPr="00701F32">
        <w:rPr>
          <w:rFonts w:ascii="Arial" w:hAnsi="Arial" w:cs="Arial"/>
          <w:sz w:val="20"/>
        </w:rPr>
        <w:t xml:space="preserve"> </w:t>
      </w:r>
      <w:r w:rsidRPr="00701F32">
        <w:rPr>
          <w:rFonts w:ascii="Arial" w:hAnsi="Arial" w:cs="Arial"/>
          <w:sz w:val="20"/>
        </w:rPr>
        <w:t>de 2017</w:t>
      </w:r>
      <w:r w:rsidR="00563CB7" w:rsidRPr="00701F32">
        <w:rPr>
          <w:rFonts w:ascii="Arial" w:hAnsi="Arial" w:cs="Arial"/>
          <w:sz w:val="20"/>
        </w:rPr>
        <w:t>.</w:t>
      </w:r>
    </w:p>
    <w:p w14:paraId="0CF1CF45" w14:textId="77777777" w:rsidR="00B17999" w:rsidRPr="00701F32" w:rsidRDefault="00B17999" w:rsidP="00797F61">
      <w:pPr>
        <w:keepNext/>
        <w:keepLines/>
        <w:spacing w:before="40" w:line="259" w:lineRule="auto"/>
        <w:ind w:firstLine="2"/>
        <w:jc w:val="both"/>
        <w:outlineLvl w:val="1"/>
        <w:rPr>
          <w:rFonts w:ascii="Arial" w:hAnsi="Arial" w:cs="Arial"/>
          <w:sz w:val="20"/>
        </w:rPr>
      </w:pPr>
    </w:p>
    <w:p w14:paraId="30DD1D17" w14:textId="77777777" w:rsidR="00A06BE9" w:rsidRPr="00701F32" w:rsidRDefault="00A06BE9" w:rsidP="00A06BE9">
      <w:pPr>
        <w:keepNext/>
        <w:keepLines/>
        <w:spacing w:before="40" w:line="259" w:lineRule="auto"/>
        <w:ind w:left="720" w:hanging="720"/>
        <w:jc w:val="both"/>
        <w:outlineLvl w:val="1"/>
        <w:rPr>
          <w:rFonts w:ascii="Arial" w:hAnsi="Arial" w:cs="Arial"/>
          <w:sz w:val="2"/>
          <w:szCs w:val="2"/>
        </w:rPr>
      </w:pPr>
    </w:p>
    <w:tbl>
      <w:tblPr>
        <w:tblW w:w="9979" w:type="dxa"/>
        <w:tblCellMar>
          <w:left w:w="70" w:type="dxa"/>
          <w:right w:w="70" w:type="dxa"/>
        </w:tblCellMar>
        <w:tblLook w:val="04A0" w:firstRow="1" w:lastRow="0" w:firstColumn="1" w:lastColumn="0" w:noHBand="0" w:noVBand="1"/>
      </w:tblPr>
      <w:tblGrid>
        <w:gridCol w:w="4033"/>
        <w:gridCol w:w="927"/>
        <w:gridCol w:w="1148"/>
        <w:gridCol w:w="1411"/>
        <w:gridCol w:w="1210"/>
        <w:gridCol w:w="1250"/>
      </w:tblGrid>
      <w:tr w:rsidR="00484B32" w:rsidRPr="00701F32" w14:paraId="7F2573F2" w14:textId="77777777" w:rsidTr="00E311C9">
        <w:trPr>
          <w:trHeight w:val="301"/>
          <w:tblHeader/>
        </w:trPr>
        <w:tc>
          <w:tcPr>
            <w:tcW w:w="4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B1D233"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Estado de Resultados al 31/12/2017</w:t>
            </w:r>
          </w:p>
        </w:tc>
        <w:tc>
          <w:tcPr>
            <w:tcW w:w="927" w:type="dxa"/>
            <w:tcBorders>
              <w:top w:val="single" w:sz="8" w:space="0" w:color="auto"/>
              <w:left w:val="nil"/>
              <w:bottom w:val="single" w:sz="8" w:space="0" w:color="auto"/>
              <w:right w:val="single" w:sz="8" w:space="0" w:color="auto"/>
            </w:tcBorders>
            <w:shd w:val="clear" w:color="auto" w:fill="auto"/>
            <w:noWrap/>
            <w:vAlign w:val="center"/>
            <w:hideMark/>
          </w:tcPr>
          <w:p w14:paraId="19D9B603"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48" w:type="dxa"/>
            <w:tcBorders>
              <w:top w:val="single" w:sz="8" w:space="0" w:color="auto"/>
              <w:left w:val="nil"/>
              <w:bottom w:val="single" w:sz="8" w:space="0" w:color="auto"/>
              <w:right w:val="single" w:sz="8" w:space="0" w:color="auto"/>
            </w:tcBorders>
            <w:shd w:val="clear" w:color="auto" w:fill="auto"/>
            <w:noWrap/>
            <w:vAlign w:val="center"/>
            <w:hideMark/>
          </w:tcPr>
          <w:p w14:paraId="50284F81"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BCRA </w:t>
            </w:r>
          </w:p>
        </w:tc>
        <w:tc>
          <w:tcPr>
            <w:tcW w:w="1411" w:type="dxa"/>
            <w:tcBorders>
              <w:top w:val="single" w:sz="8" w:space="0" w:color="auto"/>
              <w:left w:val="nil"/>
              <w:bottom w:val="single" w:sz="8" w:space="0" w:color="auto"/>
              <w:right w:val="single" w:sz="8" w:space="0" w:color="auto"/>
            </w:tcBorders>
            <w:shd w:val="clear" w:color="auto" w:fill="auto"/>
            <w:noWrap/>
            <w:vAlign w:val="center"/>
            <w:hideMark/>
          </w:tcPr>
          <w:p w14:paraId="357EED78"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6168D3C2"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250" w:type="dxa"/>
            <w:tcBorders>
              <w:top w:val="single" w:sz="8" w:space="0" w:color="auto"/>
              <w:left w:val="nil"/>
              <w:bottom w:val="single" w:sz="8" w:space="0" w:color="auto"/>
              <w:right w:val="single" w:sz="8" w:space="0" w:color="auto"/>
            </w:tcBorders>
            <w:shd w:val="clear" w:color="auto" w:fill="auto"/>
            <w:noWrap/>
            <w:vAlign w:val="center"/>
            <w:hideMark/>
          </w:tcPr>
          <w:p w14:paraId="0D90980A" w14:textId="77777777" w:rsidR="00484B32" w:rsidRPr="00701F32" w:rsidRDefault="00484B32" w:rsidP="00484B3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484B32" w:rsidRPr="00701F32" w14:paraId="77494FA0"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ADE1395"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financieros </w:t>
            </w:r>
          </w:p>
        </w:tc>
        <w:tc>
          <w:tcPr>
            <w:tcW w:w="927" w:type="dxa"/>
            <w:tcBorders>
              <w:top w:val="nil"/>
              <w:left w:val="single" w:sz="8" w:space="0" w:color="auto"/>
              <w:bottom w:val="nil"/>
              <w:right w:val="nil"/>
            </w:tcBorders>
            <w:shd w:val="clear" w:color="auto" w:fill="auto"/>
            <w:noWrap/>
            <w:vAlign w:val="center"/>
            <w:hideMark/>
          </w:tcPr>
          <w:p w14:paraId="14A220F6"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2AD72B1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14.695.715</w:t>
            </w:r>
          </w:p>
        </w:tc>
        <w:tc>
          <w:tcPr>
            <w:tcW w:w="1411" w:type="dxa"/>
            <w:tcBorders>
              <w:top w:val="nil"/>
              <w:left w:val="single" w:sz="8" w:space="0" w:color="auto"/>
              <w:bottom w:val="nil"/>
              <w:right w:val="single" w:sz="8" w:space="0" w:color="auto"/>
            </w:tcBorders>
            <w:shd w:val="clear" w:color="auto" w:fill="auto"/>
            <w:noWrap/>
            <w:vAlign w:val="center"/>
            <w:hideMark/>
          </w:tcPr>
          <w:p w14:paraId="1B9C4A1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-14.669.168</w:t>
            </w:r>
          </w:p>
        </w:tc>
        <w:tc>
          <w:tcPr>
            <w:tcW w:w="1210" w:type="dxa"/>
            <w:tcBorders>
              <w:top w:val="nil"/>
              <w:left w:val="nil"/>
              <w:bottom w:val="nil"/>
              <w:right w:val="single" w:sz="8" w:space="0" w:color="auto"/>
            </w:tcBorders>
            <w:shd w:val="clear" w:color="auto" w:fill="auto"/>
            <w:noWrap/>
            <w:vAlign w:val="center"/>
            <w:hideMark/>
          </w:tcPr>
          <w:p w14:paraId="55D384E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-26.547</w:t>
            </w:r>
          </w:p>
        </w:tc>
        <w:tc>
          <w:tcPr>
            <w:tcW w:w="1250" w:type="dxa"/>
            <w:tcBorders>
              <w:top w:val="nil"/>
              <w:left w:val="nil"/>
              <w:bottom w:val="nil"/>
              <w:right w:val="single" w:sz="8" w:space="0" w:color="auto"/>
            </w:tcBorders>
            <w:shd w:val="clear" w:color="auto" w:fill="auto"/>
            <w:noWrap/>
            <w:vAlign w:val="center"/>
            <w:hideMark/>
          </w:tcPr>
          <w:p w14:paraId="2E9DD03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1618F820"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280AD2D"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financieros </w:t>
            </w:r>
          </w:p>
        </w:tc>
        <w:tc>
          <w:tcPr>
            <w:tcW w:w="927" w:type="dxa"/>
            <w:tcBorders>
              <w:top w:val="nil"/>
              <w:left w:val="single" w:sz="8" w:space="0" w:color="auto"/>
              <w:bottom w:val="nil"/>
              <w:right w:val="nil"/>
            </w:tcBorders>
            <w:shd w:val="clear" w:color="auto" w:fill="auto"/>
            <w:noWrap/>
            <w:vAlign w:val="center"/>
            <w:hideMark/>
          </w:tcPr>
          <w:p w14:paraId="2D808186"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35F5B3E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6.205.760</w:t>
            </w:r>
          </w:p>
        </w:tc>
        <w:tc>
          <w:tcPr>
            <w:tcW w:w="1411" w:type="dxa"/>
            <w:tcBorders>
              <w:top w:val="nil"/>
              <w:left w:val="single" w:sz="8" w:space="0" w:color="auto"/>
              <w:bottom w:val="nil"/>
              <w:right w:val="single" w:sz="8" w:space="0" w:color="auto"/>
            </w:tcBorders>
            <w:shd w:val="clear" w:color="auto" w:fill="auto"/>
            <w:noWrap/>
            <w:vAlign w:val="center"/>
            <w:hideMark/>
          </w:tcPr>
          <w:p w14:paraId="2E0407B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-6.205.760</w:t>
            </w:r>
          </w:p>
        </w:tc>
        <w:tc>
          <w:tcPr>
            <w:tcW w:w="1210" w:type="dxa"/>
            <w:tcBorders>
              <w:top w:val="nil"/>
              <w:left w:val="nil"/>
              <w:bottom w:val="nil"/>
              <w:right w:val="single" w:sz="8" w:space="0" w:color="auto"/>
            </w:tcBorders>
            <w:shd w:val="clear" w:color="auto" w:fill="auto"/>
            <w:noWrap/>
            <w:vAlign w:val="center"/>
            <w:hideMark/>
          </w:tcPr>
          <w:p w14:paraId="6BA93DB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56B26D5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344BAA8F"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6F39779"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Cargo por incobrabilidad </w:t>
            </w:r>
          </w:p>
        </w:tc>
        <w:tc>
          <w:tcPr>
            <w:tcW w:w="927" w:type="dxa"/>
            <w:tcBorders>
              <w:top w:val="nil"/>
              <w:left w:val="single" w:sz="8" w:space="0" w:color="auto"/>
              <w:bottom w:val="nil"/>
              <w:right w:val="nil"/>
            </w:tcBorders>
            <w:shd w:val="clear" w:color="auto" w:fill="auto"/>
            <w:noWrap/>
            <w:vAlign w:val="center"/>
            <w:hideMark/>
          </w:tcPr>
          <w:p w14:paraId="5A06F178"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m, n</w:t>
            </w:r>
          </w:p>
        </w:tc>
        <w:tc>
          <w:tcPr>
            <w:tcW w:w="1148" w:type="dxa"/>
            <w:tcBorders>
              <w:top w:val="nil"/>
              <w:left w:val="single" w:sz="8" w:space="0" w:color="auto"/>
              <w:bottom w:val="nil"/>
              <w:right w:val="nil"/>
            </w:tcBorders>
            <w:shd w:val="clear" w:color="auto" w:fill="auto"/>
            <w:noWrap/>
            <w:vAlign w:val="center"/>
            <w:hideMark/>
          </w:tcPr>
          <w:p w14:paraId="576A73B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1.802.751</w:t>
            </w:r>
          </w:p>
        </w:tc>
        <w:tc>
          <w:tcPr>
            <w:tcW w:w="1411" w:type="dxa"/>
            <w:tcBorders>
              <w:top w:val="nil"/>
              <w:left w:val="single" w:sz="8" w:space="0" w:color="auto"/>
              <w:bottom w:val="nil"/>
              <w:right w:val="single" w:sz="8" w:space="0" w:color="auto"/>
            </w:tcBorders>
            <w:shd w:val="clear" w:color="auto" w:fill="auto"/>
            <w:noWrap/>
            <w:vAlign w:val="center"/>
            <w:hideMark/>
          </w:tcPr>
          <w:p w14:paraId="29E7102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4.152</w:t>
            </w:r>
          </w:p>
        </w:tc>
        <w:tc>
          <w:tcPr>
            <w:tcW w:w="1210" w:type="dxa"/>
            <w:tcBorders>
              <w:top w:val="nil"/>
              <w:left w:val="nil"/>
              <w:bottom w:val="nil"/>
              <w:right w:val="single" w:sz="8" w:space="0" w:color="auto"/>
            </w:tcBorders>
            <w:shd w:val="clear" w:color="auto" w:fill="auto"/>
            <w:noWrap/>
            <w:vAlign w:val="center"/>
            <w:hideMark/>
          </w:tcPr>
          <w:p w14:paraId="206255C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104.445</w:t>
            </w:r>
          </w:p>
        </w:tc>
        <w:tc>
          <w:tcPr>
            <w:tcW w:w="1250" w:type="dxa"/>
            <w:tcBorders>
              <w:top w:val="nil"/>
              <w:left w:val="nil"/>
              <w:bottom w:val="nil"/>
              <w:right w:val="single" w:sz="8" w:space="0" w:color="auto"/>
            </w:tcBorders>
            <w:shd w:val="clear" w:color="auto" w:fill="auto"/>
            <w:noWrap/>
            <w:vAlign w:val="center"/>
            <w:hideMark/>
          </w:tcPr>
          <w:p w14:paraId="77813E9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1.911.348</w:t>
            </w:r>
          </w:p>
        </w:tc>
      </w:tr>
      <w:tr w:rsidR="00484B32" w:rsidRPr="00701F32" w14:paraId="4E47FAFE"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5DAF94E"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servicios </w:t>
            </w:r>
          </w:p>
        </w:tc>
        <w:tc>
          <w:tcPr>
            <w:tcW w:w="927" w:type="dxa"/>
            <w:tcBorders>
              <w:top w:val="nil"/>
              <w:left w:val="single" w:sz="8" w:space="0" w:color="auto"/>
              <w:bottom w:val="nil"/>
              <w:right w:val="nil"/>
            </w:tcBorders>
            <w:shd w:val="clear" w:color="auto" w:fill="auto"/>
            <w:noWrap/>
            <w:vAlign w:val="center"/>
            <w:hideMark/>
          </w:tcPr>
          <w:p w14:paraId="4C9AF882"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703C5E8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4.522.116</w:t>
            </w:r>
          </w:p>
        </w:tc>
        <w:tc>
          <w:tcPr>
            <w:tcW w:w="1411" w:type="dxa"/>
            <w:tcBorders>
              <w:top w:val="nil"/>
              <w:left w:val="single" w:sz="8" w:space="0" w:color="auto"/>
              <w:bottom w:val="nil"/>
              <w:right w:val="single" w:sz="8" w:space="0" w:color="auto"/>
            </w:tcBorders>
            <w:shd w:val="clear" w:color="auto" w:fill="auto"/>
            <w:noWrap/>
            <w:vAlign w:val="center"/>
            <w:hideMark/>
          </w:tcPr>
          <w:p w14:paraId="57034FF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-4.522.116</w:t>
            </w:r>
          </w:p>
        </w:tc>
        <w:tc>
          <w:tcPr>
            <w:tcW w:w="1210" w:type="dxa"/>
            <w:tcBorders>
              <w:top w:val="nil"/>
              <w:left w:val="nil"/>
              <w:bottom w:val="nil"/>
              <w:right w:val="single" w:sz="8" w:space="0" w:color="auto"/>
            </w:tcBorders>
            <w:shd w:val="clear" w:color="auto" w:fill="auto"/>
            <w:noWrap/>
            <w:vAlign w:val="center"/>
            <w:hideMark/>
          </w:tcPr>
          <w:p w14:paraId="351E7D6F"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6DBEDD9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27EE86C6"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3A74B5F8"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servicios </w:t>
            </w:r>
          </w:p>
        </w:tc>
        <w:tc>
          <w:tcPr>
            <w:tcW w:w="927" w:type="dxa"/>
            <w:tcBorders>
              <w:top w:val="nil"/>
              <w:left w:val="single" w:sz="8" w:space="0" w:color="auto"/>
              <w:bottom w:val="nil"/>
              <w:right w:val="nil"/>
            </w:tcBorders>
            <w:shd w:val="clear" w:color="auto" w:fill="auto"/>
            <w:noWrap/>
            <w:vAlign w:val="center"/>
            <w:hideMark/>
          </w:tcPr>
          <w:p w14:paraId="2A75C0D0"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0272BD9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1.729.613</w:t>
            </w:r>
          </w:p>
        </w:tc>
        <w:tc>
          <w:tcPr>
            <w:tcW w:w="1411" w:type="dxa"/>
            <w:tcBorders>
              <w:top w:val="nil"/>
              <w:left w:val="single" w:sz="8" w:space="0" w:color="auto"/>
              <w:bottom w:val="nil"/>
              <w:right w:val="single" w:sz="8" w:space="0" w:color="auto"/>
            </w:tcBorders>
            <w:shd w:val="clear" w:color="auto" w:fill="auto"/>
            <w:noWrap/>
            <w:vAlign w:val="center"/>
            <w:hideMark/>
          </w:tcPr>
          <w:p w14:paraId="06E0DF8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-1.729.613</w:t>
            </w:r>
          </w:p>
        </w:tc>
        <w:tc>
          <w:tcPr>
            <w:tcW w:w="1210" w:type="dxa"/>
            <w:tcBorders>
              <w:top w:val="nil"/>
              <w:left w:val="nil"/>
              <w:bottom w:val="nil"/>
              <w:right w:val="single" w:sz="8" w:space="0" w:color="auto"/>
            </w:tcBorders>
            <w:shd w:val="clear" w:color="auto" w:fill="auto"/>
            <w:noWrap/>
            <w:vAlign w:val="center"/>
            <w:hideMark/>
          </w:tcPr>
          <w:p w14:paraId="7BEC911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3D88108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37424A87"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04B52636"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Gastos de administración </w:t>
            </w:r>
          </w:p>
        </w:tc>
        <w:tc>
          <w:tcPr>
            <w:tcW w:w="927" w:type="dxa"/>
            <w:tcBorders>
              <w:top w:val="nil"/>
              <w:left w:val="single" w:sz="8" w:space="0" w:color="auto"/>
              <w:bottom w:val="nil"/>
              <w:right w:val="nil"/>
            </w:tcBorders>
            <w:shd w:val="clear" w:color="auto" w:fill="auto"/>
            <w:noWrap/>
            <w:vAlign w:val="center"/>
            <w:hideMark/>
          </w:tcPr>
          <w:p w14:paraId="348795A6"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5084C55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7.658.869</w:t>
            </w:r>
          </w:p>
        </w:tc>
        <w:tc>
          <w:tcPr>
            <w:tcW w:w="1411" w:type="dxa"/>
            <w:tcBorders>
              <w:top w:val="nil"/>
              <w:left w:val="single" w:sz="8" w:space="0" w:color="auto"/>
              <w:bottom w:val="nil"/>
              <w:right w:val="single" w:sz="8" w:space="0" w:color="auto"/>
            </w:tcBorders>
            <w:shd w:val="clear" w:color="auto" w:fill="auto"/>
            <w:noWrap/>
            <w:vAlign w:val="center"/>
            <w:hideMark/>
          </w:tcPr>
          <w:p w14:paraId="109371C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-7.658.869</w:t>
            </w:r>
          </w:p>
        </w:tc>
        <w:tc>
          <w:tcPr>
            <w:tcW w:w="1210" w:type="dxa"/>
            <w:tcBorders>
              <w:top w:val="nil"/>
              <w:left w:val="nil"/>
              <w:bottom w:val="nil"/>
              <w:right w:val="single" w:sz="8" w:space="0" w:color="auto"/>
            </w:tcBorders>
            <w:shd w:val="clear" w:color="auto" w:fill="auto"/>
            <w:noWrap/>
            <w:vAlign w:val="center"/>
            <w:hideMark/>
          </w:tcPr>
          <w:p w14:paraId="037F8FBF"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4FBA4051"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3F1DBF60"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0531F47D"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por participaciones de terceros </w:t>
            </w:r>
          </w:p>
        </w:tc>
        <w:tc>
          <w:tcPr>
            <w:tcW w:w="927" w:type="dxa"/>
            <w:tcBorders>
              <w:top w:val="nil"/>
              <w:left w:val="single" w:sz="8" w:space="0" w:color="auto"/>
              <w:bottom w:val="nil"/>
              <w:right w:val="nil"/>
            </w:tcBorders>
            <w:shd w:val="clear" w:color="auto" w:fill="auto"/>
            <w:noWrap/>
            <w:vAlign w:val="center"/>
            <w:hideMark/>
          </w:tcPr>
          <w:p w14:paraId="687D11E9"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212501D2"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-8.255</w:t>
            </w:r>
          </w:p>
        </w:tc>
        <w:tc>
          <w:tcPr>
            <w:tcW w:w="1411" w:type="dxa"/>
            <w:tcBorders>
              <w:top w:val="nil"/>
              <w:left w:val="single" w:sz="8" w:space="0" w:color="auto"/>
              <w:bottom w:val="nil"/>
              <w:right w:val="single" w:sz="8" w:space="0" w:color="auto"/>
            </w:tcBorders>
            <w:shd w:val="clear" w:color="auto" w:fill="auto"/>
            <w:noWrap/>
            <w:vAlign w:val="center"/>
            <w:hideMark/>
          </w:tcPr>
          <w:p w14:paraId="23C3978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8.255</w:t>
            </w:r>
          </w:p>
        </w:tc>
        <w:tc>
          <w:tcPr>
            <w:tcW w:w="1210" w:type="dxa"/>
            <w:tcBorders>
              <w:top w:val="nil"/>
              <w:left w:val="nil"/>
              <w:bottom w:val="nil"/>
              <w:right w:val="single" w:sz="8" w:space="0" w:color="auto"/>
            </w:tcBorders>
            <w:shd w:val="clear" w:color="auto" w:fill="auto"/>
            <w:noWrap/>
            <w:vAlign w:val="center"/>
            <w:hideMark/>
          </w:tcPr>
          <w:p w14:paraId="2198DF6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00BF1F3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0F615073"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73438E67"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Utilidades diversas  </w:t>
            </w:r>
          </w:p>
        </w:tc>
        <w:tc>
          <w:tcPr>
            <w:tcW w:w="927" w:type="dxa"/>
            <w:tcBorders>
              <w:top w:val="nil"/>
              <w:left w:val="single" w:sz="8" w:space="0" w:color="auto"/>
              <w:bottom w:val="nil"/>
              <w:right w:val="nil"/>
            </w:tcBorders>
            <w:shd w:val="clear" w:color="auto" w:fill="auto"/>
            <w:noWrap/>
            <w:vAlign w:val="center"/>
            <w:hideMark/>
          </w:tcPr>
          <w:p w14:paraId="01BB0A7F"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7F8E4E0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510.636</w:t>
            </w:r>
          </w:p>
        </w:tc>
        <w:tc>
          <w:tcPr>
            <w:tcW w:w="1411" w:type="dxa"/>
            <w:tcBorders>
              <w:top w:val="nil"/>
              <w:left w:val="single" w:sz="8" w:space="0" w:color="auto"/>
              <w:bottom w:val="nil"/>
              <w:right w:val="single" w:sz="8" w:space="0" w:color="auto"/>
            </w:tcBorders>
            <w:shd w:val="clear" w:color="auto" w:fill="auto"/>
            <w:noWrap/>
            <w:vAlign w:val="center"/>
            <w:hideMark/>
          </w:tcPr>
          <w:p w14:paraId="11543C9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-510.636</w:t>
            </w:r>
          </w:p>
        </w:tc>
        <w:tc>
          <w:tcPr>
            <w:tcW w:w="1210" w:type="dxa"/>
            <w:tcBorders>
              <w:top w:val="nil"/>
              <w:left w:val="nil"/>
              <w:bottom w:val="nil"/>
              <w:right w:val="single" w:sz="8" w:space="0" w:color="auto"/>
            </w:tcBorders>
            <w:shd w:val="clear" w:color="auto" w:fill="auto"/>
            <w:noWrap/>
            <w:vAlign w:val="center"/>
            <w:hideMark/>
          </w:tcPr>
          <w:p w14:paraId="67A603F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66F2E5A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6FBD2279"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23580D44"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Perdidas diversas </w:t>
            </w:r>
          </w:p>
        </w:tc>
        <w:tc>
          <w:tcPr>
            <w:tcW w:w="927" w:type="dxa"/>
            <w:tcBorders>
              <w:top w:val="nil"/>
              <w:left w:val="single" w:sz="8" w:space="0" w:color="auto"/>
              <w:bottom w:val="nil"/>
              <w:right w:val="nil"/>
            </w:tcBorders>
            <w:shd w:val="clear" w:color="auto" w:fill="auto"/>
            <w:noWrap/>
            <w:vAlign w:val="center"/>
            <w:hideMark/>
          </w:tcPr>
          <w:p w14:paraId="0401BA1B"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514D4D7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356.837</w:t>
            </w:r>
          </w:p>
        </w:tc>
        <w:tc>
          <w:tcPr>
            <w:tcW w:w="1411" w:type="dxa"/>
            <w:tcBorders>
              <w:top w:val="nil"/>
              <w:left w:val="single" w:sz="8" w:space="0" w:color="auto"/>
              <w:bottom w:val="nil"/>
              <w:right w:val="single" w:sz="8" w:space="0" w:color="auto"/>
            </w:tcBorders>
            <w:shd w:val="clear" w:color="auto" w:fill="auto"/>
            <w:noWrap/>
            <w:vAlign w:val="center"/>
            <w:hideMark/>
          </w:tcPr>
          <w:p w14:paraId="1DA195C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-356.837</w:t>
            </w:r>
          </w:p>
        </w:tc>
        <w:tc>
          <w:tcPr>
            <w:tcW w:w="1210" w:type="dxa"/>
            <w:tcBorders>
              <w:top w:val="nil"/>
              <w:left w:val="nil"/>
              <w:bottom w:val="nil"/>
              <w:right w:val="single" w:sz="8" w:space="0" w:color="auto"/>
            </w:tcBorders>
            <w:shd w:val="clear" w:color="auto" w:fill="auto"/>
            <w:noWrap/>
            <w:vAlign w:val="center"/>
            <w:hideMark/>
          </w:tcPr>
          <w:p w14:paraId="5AFC2BC4"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1727DFB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484B32" w:rsidRPr="00701F32" w14:paraId="0A9FBDA1"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45E07D5C"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Impuesto a las ganancias </w:t>
            </w:r>
          </w:p>
        </w:tc>
        <w:tc>
          <w:tcPr>
            <w:tcW w:w="927" w:type="dxa"/>
            <w:tcBorders>
              <w:top w:val="nil"/>
              <w:left w:val="single" w:sz="8" w:space="0" w:color="auto"/>
              <w:bottom w:val="nil"/>
              <w:right w:val="nil"/>
            </w:tcBorders>
            <w:shd w:val="clear" w:color="auto" w:fill="auto"/>
            <w:noWrap/>
            <w:vAlign w:val="center"/>
            <w:hideMark/>
          </w:tcPr>
          <w:p w14:paraId="50360092"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j, n</w:t>
            </w:r>
          </w:p>
        </w:tc>
        <w:tc>
          <w:tcPr>
            <w:tcW w:w="1148" w:type="dxa"/>
            <w:tcBorders>
              <w:top w:val="nil"/>
              <w:left w:val="single" w:sz="8" w:space="0" w:color="auto"/>
              <w:bottom w:val="nil"/>
              <w:right w:val="nil"/>
            </w:tcBorders>
            <w:shd w:val="clear" w:color="auto" w:fill="auto"/>
            <w:noWrap/>
            <w:vAlign w:val="center"/>
            <w:hideMark/>
          </w:tcPr>
          <w:p w14:paraId="42C0CC3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537.654</w:t>
            </w:r>
          </w:p>
        </w:tc>
        <w:tc>
          <w:tcPr>
            <w:tcW w:w="1411" w:type="dxa"/>
            <w:tcBorders>
              <w:top w:val="nil"/>
              <w:left w:val="single" w:sz="8" w:space="0" w:color="auto"/>
              <w:bottom w:val="nil"/>
              <w:right w:val="single" w:sz="8" w:space="0" w:color="auto"/>
            </w:tcBorders>
            <w:shd w:val="clear" w:color="auto" w:fill="auto"/>
            <w:noWrap/>
            <w:vAlign w:val="center"/>
            <w:hideMark/>
          </w:tcPr>
          <w:p w14:paraId="79661D8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10" w:type="dxa"/>
            <w:tcBorders>
              <w:top w:val="nil"/>
              <w:left w:val="nil"/>
              <w:bottom w:val="nil"/>
              <w:right w:val="single" w:sz="8" w:space="0" w:color="auto"/>
            </w:tcBorders>
            <w:shd w:val="clear" w:color="auto" w:fill="auto"/>
            <w:noWrap/>
            <w:vAlign w:val="center"/>
            <w:hideMark/>
          </w:tcPr>
          <w:p w14:paraId="5D87F14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-107.104</w:t>
            </w:r>
          </w:p>
        </w:tc>
        <w:tc>
          <w:tcPr>
            <w:tcW w:w="1250" w:type="dxa"/>
            <w:tcBorders>
              <w:top w:val="nil"/>
              <w:left w:val="nil"/>
              <w:bottom w:val="nil"/>
              <w:right w:val="single" w:sz="8" w:space="0" w:color="auto"/>
            </w:tcBorders>
            <w:shd w:val="clear" w:color="auto" w:fill="auto"/>
            <w:noWrap/>
            <w:vAlign w:val="center"/>
            <w:hideMark/>
          </w:tcPr>
          <w:p w14:paraId="434008D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430.550</w:t>
            </w:r>
          </w:p>
        </w:tc>
      </w:tr>
      <w:tr w:rsidR="00484B32" w:rsidRPr="00701F32" w14:paraId="4D591175"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2D3A92B2"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intereses </w:t>
            </w:r>
          </w:p>
        </w:tc>
        <w:tc>
          <w:tcPr>
            <w:tcW w:w="927" w:type="dxa"/>
            <w:tcBorders>
              <w:top w:val="nil"/>
              <w:left w:val="single" w:sz="8" w:space="0" w:color="auto"/>
              <w:bottom w:val="nil"/>
              <w:right w:val="nil"/>
            </w:tcBorders>
            <w:shd w:val="clear" w:color="auto" w:fill="auto"/>
            <w:noWrap/>
            <w:vAlign w:val="center"/>
            <w:hideMark/>
          </w:tcPr>
          <w:p w14:paraId="3B1A7BE6"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a, b, l, m, n</w:t>
            </w:r>
          </w:p>
        </w:tc>
        <w:tc>
          <w:tcPr>
            <w:tcW w:w="1148" w:type="dxa"/>
            <w:tcBorders>
              <w:top w:val="nil"/>
              <w:left w:val="single" w:sz="8" w:space="0" w:color="auto"/>
              <w:bottom w:val="nil"/>
              <w:right w:val="nil"/>
            </w:tcBorders>
            <w:shd w:val="clear" w:color="auto" w:fill="auto"/>
            <w:noWrap/>
            <w:vAlign w:val="center"/>
            <w:hideMark/>
          </w:tcPr>
          <w:p w14:paraId="020FFA1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39FA7F3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12.786.520</w:t>
            </w:r>
          </w:p>
        </w:tc>
        <w:tc>
          <w:tcPr>
            <w:tcW w:w="1210" w:type="dxa"/>
            <w:tcBorders>
              <w:top w:val="nil"/>
              <w:left w:val="nil"/>
              <w:bottom w:val="nil"/>
              <w:right w:val="single" w:sz="8" w:space="0" w:color="auto"/>
            </w:tcBorders>
            <w:shd w:val="clear" w:color="auto" w:fill="auto"/>
            <w:noWrap/>
            <w:vAlign w:val="center"/>
            <w:hideMark/>
          </w:tcPr>
          <w:p w14:paraId="59EFAE5C"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1.087.599</w:t>
            </w:r>
          </w:p>
        </w:tc>
        <w:tc>
          <w:tcPr>
            <w:tcW w:w="1250" w:type="dxa"/>
            <w:tcBorders>
              <w:top w:val="nil"/>
              <w:left w:val="nil"/>
              <w:bottom w:val="nil"/>
              <w:right w:val="single" w:sz="8" w:space="0" w:color="auto"/>
            </w:tcBorders>
            <w:shd w:val="clear" w:color="auto" w:fill="auto"/>
            <w:noWrap/>
            <w:vAlign w:val="center"/>
            <w:hideMark/>
          </w:tcPr>
          <w:p w14:paraId="5B00EB8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13.874.119</w:t>
            </w:r>
          </w:p>
        </w:tc>
      </w:tr>
      <w:tr w:rsidR="00484B32" w:rsidRPr="00701F32" w14:paraId="3EBCD61A"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6CFF86CC"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intereses </w:t>
            </w:r>
          </w:p>
        </w:tc>
        <w:tc>
          <w:tcPr>
            <w:tcW w:w="927" w:type="dxa"/>
            <w:tcBorders>
              <w:top w:val="nil"/>
              <w:left w:val="single" w:sz="8" w:space="0" w:color="auto"/>
              <w:bottom w:val="nil"/>
              <w:right w:val="nil"/>
            </w:tcBorders>
            <w:shd w:val="clear" w:color="auto" w:fill="auto"/>
            <w:noWrap/>
            <w:vAlign w:val="center"/>
            <w:hideMark/>
          </w:tcPr>
          <w:p w14:paraId="21E34363"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m, n</w:t>
            </w:r>
          </w:p>
        </w:tc>
        <w:tc>
          <w:tcPr>
            <w:tcW w:w="1148" w:type="dxa"/>
            <w:tcBorders>
              <w:top w:val="nil"/>
              <w:left w:val="single" w:sz="8" w:space="0" w:color="auto"/>
              <w:bottom w:val="nil"/>
              <w:right w:val="nil"/>
            </w:tcBorders>
            <w:shd w:val="clear" w:color="auto" w:fill="auto"/>
            <w:noWrap/>
            <w:vAlign w:val="center"/>
            <w:hideMark/>
          </w:tcPr>
          <w:p w14:paraId="269CE96F"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6CB4113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5.057.264</w:t>
            </w:r>
          </w:p>
        </w:tc>
        <w:tc>
          <w:tcPr>
            <w:tcW w:w="1210" w:type="dxa"/>
            <w:tcBorders>
              <w:top w:val="nil"/>
              <w:left w:val="nil"/>
              <w:bottom w:val="nil"/>
              <w:right w:val="single" w:sz="8" w:space="0" w:color="auto"/>
            </w:tcBorders>
            <w:shd w:val="clear" w:color="auto" w:fill="auto"/>
            <w:noWrap/>
            <w:vAlign w:val="center"/>
            <w:hideMark/>
          </w:tcPr>
          <w:p w14:paraId="5304D57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344.469</w:t>
            </w:r>
          </w:p>
        </w:tc>
        <w:tc>
          <w:tcPr>
            <w:tcW w:w="1250" w:type="dxa"/>
            <w:tcBorders>
              <w:top w:val="nil"/>
              <w:left w:val="nil"/>
              <w:bottom w:val="nil"/>
              <w:right w:val="single" w:sz="8" w:space="0" w:color="auto"/>
            </w:tcBorders>
            <w:shd w:val="clear" w:color="auto" w:fill="auto"/>
            <w:noWrap/>
            <w:vAlign w:val="center"/>
            <w:hideMark/>
          </w:tcPr>
          <w:p w14:paraId="7B7E7E3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5.401.733</w:t>
            </w:r>
          </w:p>
        </w:tc>
      </w:tr>
      <w:tr w:rsidR="00484B32" w:rsidRPr="00701F32" w14:paraId="0964FD05"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6D6E8047"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comisiones </w:t>
            </w:r>
          </w:p>
        </w:tc>
        <w:tc>
          <w:tcPr>
            <w:tcW w:w="927" w:type="dxa"/>
            <w:tcBorders>
              <w:top w:val="nil"/>
              <w:left w:val="single" w:sz="8" w:space="0" w:color="auto"/>
              <w:bottom w:val="nil"/>
              <w:right w:val="nil"/>
            </w:tcBorders>
            <w:shd w:val="clear" w:color="auto" w:fill="auto"/>
            <w:noWrap/>
            <w:vAlign w:val="center"/>
            <w:hideMark/>
          </w:tcPr>
          <w:p w14:paraId="433C2605"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a, n</w:t>
            </w:r>
          </w:p>
        </w:tc>
        <w:tc>
          <w:tcPr>
            <w:tcW w:w="1148" w:type="dxa"/>
            <w:tcBorders>
              <w:top w:val="nil"/>
              <w:left w:val="single" w:sz="8" w:space="0" w:color="auto"/>
              <w:bottom w:val="nil"/>
              <w:right w:val="nil"/>
            </w:tcBorders>
            <w:shd w:val="clear" w:color="auto" w:fill="auto"/>
            <w:noWrap/>
            <w:vAlign w:val="center"/>
            <w:hideMark/>
          </w:tcPr>
          <w:p w14:paraId="758B5BF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7E53FDE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3.760.181</w:t>
            </w:r>
          </w:p>
        </w:tc>
        <w:tc>
          <w:tcPr>
            <w:tcW w:w="1210" w:type="dxa"/>
            <w:tcBorders>
              <w:top w:val="nil"/>
              <w:left w:val="nil"/>
              <w:bottom w:val="nil"/>
              <w:right w:val="single" w:sz="8" w:space="0" w:color="auto"/>
            </w:tcBorders>
            <w:shd w:val="clear" w:color="auto" w:fill="auto"/>
            <w:noWrap/>
            <w:vAlign w:val="center"/>
            <w:hideMark/>
          </w:tcPr>
          <w:p w14:paraId="773F70FC"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-372.902</w:t>
            </w:r>
          </w:p>
        </w:tc>
        <w:tc>
          <w:tcPr>
            <w:tcW w:w="1250" w:type="dxa"/>
            <w:tcBorders>
              <w:top w:val="nil"/>
              <w:left w:val="nil"/>
              <w:bottom w:val="nil"/>
              <w:right w:val="single" w:sz="8" w:space="0" w:color="auto"/>
            </w:tcBorders>
            <w:shd w:val="clear" w:color="auto" w:fill="auto"/>
            <w:noWrap/>
            <w:vAlign w:val="center"/>
            <w:hideMark/>
          </w:tcPr>
          <w:p w14:paraId="57DE6211"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3.387.279</w:t>
            </w:r>
          </w:p>
        </w:tc>
      </w:tr>
      <w:tr w:rsidR="00484B32" w:rsidRPr="00701F32" w14:paraId="2A4B9310"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024B704D"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comisiones </w:t>
            </w:r>
          </w:p>
        </w:tc>
        <w:tc>
          <w:tcPr>
            <w:tcW w:w="927" w:type="dxa"/>
            <w:tcBorders>
              <w:top w:val="nil"/>
              <w:left w:val="single" w:sz="8" w:space="0" w:color="auto"/>
              <w:bottom w:val="nil"/>
              <w:right w:val="nil"/>
            </w:tcBorders>
            <w:shd w:val="clear" w:color="auto" w:fill="auto"/>
            <w:noWrap/>
            <w:vAlign w:val="center"/>
            <w:hideMark/>
          </w:tcPr>
          <w:p w14:paraId="231FF864"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48" w:type="dxa"/>
            <w:tcBorders>
              <w:top w:val="nil"/>
              <w:left w:val="single" w:sz="8" w:space="0" w:color="auto"/>
              <w:bottom w:val="nil"/>
              <w:right w:val="nil"/>
            </w:tcBorders>
            <w:shd w:val="clear" w:color="auto" w:fill="auto"/>
            <w:noWrap/>
            <w:vAlign w:val="center"/>
            <w:hideMark/>
          </w:tcPr>
          <w:p w14:paraId="1C88D39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48295E3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1.048.250</w:t>
            </w:r>
          </w:p>
        </w:tc>
        <w:tc>
          <w:tcPr>
            <w:tcW w:w="1210" w:type="dxa"/>
            <w:tcBorders>
              <w:top w:val="nil"/>
              <w:left w:val="nil"/>
              <w:bottom w:val="nil"/>
              <w:right w:val="single" w:sz="8" w:space="0" w:color="auto"/>
            </w:tcBorders>
            <w:shd w:val="clear" w:color="auto" w:fill="auto"/>
            <w:noWrap/>
            <w:vAlign w:val="center"/>
            <w:hideMark/>
          </w:tcPr>
          <w:p w14:paraId="760FECBE"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11.432</w:t>
            </w:r>
          </w:p>
        </w:tc>
        <w:tc>
          <w:tcPr>
            <w:tcW w:w="1250" w:type="dxa"/>
            <w:tcBorders>
              <w:top w:val="nil"/>
              <w:left w:val="nil"/>
              <w:bottom w:val="nil"/>
              <w:right w:val="single" w:sz="8" w:space="0" w:color="auto"/>
            </w:tcBorders>
            <w:shd w:val="clear" w:color="auto" w:fill="auto"/>
            <w:noWrap/>
            <w:vAlign w:val="center"/>
            <w:hideMark/>
          </w:tcPr>
          <w:p w14:paraId="5BFA3EE4"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1.059.682</w:t>
            </w:r>
          </w:p>
        </w:tc>
      </w:tr>
      <w:tr w:rsidR="00484B32" w:rsidRPr="00701F32" w14:paraId="1F8F63B7"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3055854F"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 por inst.financieros a VR con cbios en result.</w:t>
            </w:r>
          </w:p>
        </w:tc>
        <w:tc>
          <w:tcPr>
            <w:tcW w:w="927" w:type="dxa"/>
            <w:tcBorders>
              <w:top w:val="nil"/>
              <w:left w:val="single" w:sz="8" w:space="0" w:color="auto"/>
              <w:bottom w:val="nil"/>
              <w:right w:val="nil"/>
            </w:tcBorders>
            <w:shd w:val="clear" w:color="auto" w:fill="auto"/>
            <w:noWrap/>
            <w:vAlign w:val="center"/>
            <w:hideMark/>
          </w:tcPr>
          <w:p w14:paraId="5BE7FFE3"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c, n</w:t>
            </w:r>
          </w:p>
        </w:tc>
        <w:tc>
          <w:tcPr>
            <w:tcW w:w="1148" w:type="dxa"/>
            <w:tcBorders>
              <w:top w:val="nil"/>
              <w:left w:val="single" w:sz="8" w:space="0" w:color="auto"/>
              <w:bottom w:val="nil"/>
              <w:right w:val="nil"/>
            </w:tcBorders>
            <w:shd w:val="clear" w:color="auto" w:fill="auto"/>
            <w:noWrap/>
            <w:vAlign w:val="center"/>
            <w:hideMark/>
          </w:tcPr>
          <w:p w14:paraId="6E509FA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26098AA2"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1.444.699</w:t>
            </w:r>
          </w:p>
        </w:tc>
        <w:tc>
          <w:tcPr>
            <w:tcW w:w="1210" w:type="dxa"/>
            <w:tcBorders>
              <w:top w:val="nil"/>
              <w:left w:val="nil"/>
              <w:bottom w:val="nil"/>
              <w:right w:val="single" w:sz="8" w:space="0" w:color="auto"/>
            </w:tcBorders>
            <w:shd w:val="clear" w:color="auto" w:fill="auto"/>
            <w:noWrap/>
            <w:vAlign w:val="center"/>
            <w:hideMark/>
          </w:tcPr>
          <w:p w14:paraId="57182EE9"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9.121</w:t>
            </w:r>
          </w:p>
        </w:tc>
        <w:tc>
          <w:tcPr>
            <w:tcW w:w="1250" w:type="dxa"/>
            <w:tcBorders>
              <w:top w:val="nil"/>
              <w:left w:val="nil"/>
              <w:bottom w:val="nil"/>
              <w:right w:val="single" w:sz="8" w:space="0" w:color="auto"/>
            </w:tcBorders>
            <w:shd w:val="clear" w:color="auto" w:fill="auto"/>
            <w:noWrap/>
            <w:vAlign w:val="center"/>
            <w:hideMark/>
          </w:tcPr>
          <w:p w14:paraId="55CC741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1.453.820</w:t>
            </w:r>
          </w:p>
        </w:tc>
      </w:tr>
      <w:tr w:rsidR="00484B32" w:rsidRPr="00701F32" w14:paraId="621F29E3"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AF11B87"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Diferencia de cotización de oro y moneda extranjera     </w:t>
            </w:r>
          </w:p>
        </w:tc>
        <w:tc>
          <w:tcPr>
            <w:tcW w:w="927" w:type="dxa"/>
            <w:tcBorders>
              <w:top w:val="nil"/>
              <w:left w:val="single" w:sz="8" w:space="0" w:color="auto"/>
              <w:bottom w:val="nil"/>
              <w:right w:val="nil"/>
            </w:tcBorders>
            <w:shd w:val="clear" w:color="auto" w:fill="auto"/>
            <w:noWrap/>
            <w:vAlign w:val="center"/>
            <w:hideMark/>
          </w:tcPr>
          <w:p w14:paraId="6EB9DEC9"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6BA4AF91"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27F032E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246.586</w:t>
            </w:r>
          </w:p>
        </w:tc>
        <w:tc>
          <w:tcPr>
            <w:tcW w:w="1210" w:type="dxa"/>
            <w:tcBorders>
              <w:top w:val="nil"/>
              <w:left w:val="nil"/>
              <w:bottom w:val="nil"/>
              <w:right w:val="single" w:sz="8" w:space="0" w:color="auto"/>
            </w:tcBorders>
            <w:shd w:val="clear" w:color="auto" w:fill="auto"/>
            <w:noWrap/>
            <w:vAlign w:val="center"/>
            <w:hideMark/>
          </w:tcPr>
          <w:p w14:paraId="44DDB10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50" w:type="dxa"/>
            <w:tcBorders>
              <w:top w:val="nil"/>
              <w:left w:val="nil"/>
              <w:bottom w:val="nil"/>
              <w:right w:val="single" w:sz="8" w:space="0" w:color="auto"/>
            </w:tcBorders>
            <w:shd w:val="clear" w:color="auto" w:fill="auto"/>
            <w:noWrap/>
            <w:vAlign w:val="center"/>
            <w:hideMark/>
          </w:tcPr>
          <w:p w14:paraId="07DDC6C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246.586</w:t>
            </w:r>
          </w:p>
        </w:tc>
      </w:tr>
      <w:tr w:rsidR="00484B32" w:rsidRPr="00701F32" w14:paraId="705E7162"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6096DDC0"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ingresos operativos </w:t>
            </w:r>
          </w:p>
        </w:tc>
        <w:tc>
          <w:tcPr>
            <w:tcW w:w="927" w:type="dxa"/>
            <w:tcBorders>
              <w:top w:val="nil"/>
              <w:left w:val="single" w:sz="8" w:space="0" w:color="auto"/>
              <w:bottom w:val="nil"/>
              <w:right w:val="nil"/>
            </w:tcBorders>
            <w:shd w:val="clear" w:color="auto" w:fill="auto"/>
            <w:noWrap/>
            <w:vAlign w:val="center"/>
            <w:hideMark/>
          </w:tcPr>
          <w:p w14:paraId="16C60B5C"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e, g, n</w:t>
            </w:r>
          </w:p>
        </w:tc>
        <w:tc>
          <w:tcPr>
            <w:tcW w:w="1148" w:type="dxa"/>
            <w:tcBorders>
              <w:top w:val="nil"/>
              <w:left w:val="single" w:sz="8" w:space="0" w:color="auto"/>
              <w:bottom w:val="nil"/>
              <w:right w:val="nil"/>
            </w:tcBorders>
            <w:shd w:val="clear" w:color="auto" w:fill="auto"/>
            <w:noWrap/>
            <w:vAlign w:val="center"/>
            <w:hideMark/>
          </w:tcPr>
          <w:p w14:paraId="46AE7E8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2F3893B4"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1.324.742</w:t>
            </w:r>
          </w:p>
        </w:tc>
        <w:tc>
          <w:tcPr>
            <w:tcW w:w="1210" w:type="dxa"/>
            <w:tcBorders>
              <w:top w:val="nil"/>
              <w:left w:val="nil"/>
              <w:bottom w:val="nil"/>
              <w:right w:val="single" w:sz="8" w:space="0" w:color="auto"/>
            </w:tcBorders>
            <w:shd w:val="clear" w:color="auto" w:fill="auto"/>
            <w:noWrap/>
            <w:vAlign w:val="center"/>
            <w:hideMark/>
          </w:tcPr>
          <w:p w14:paraId="28871CA2"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-31.973</w:t>
            </w:r>
          </w:p>
        </w:tc>
        <w:tc>
          <w:tcPr>
            <w:tcW w:w="1250" w:type="dxa"/>
            <w:tcBorders>
              <w:top w:val="nil"/>
              <w:left w:val="nil"/>
              <w:bottom w:val="nil"/>
              <w:right w:val="single" w:sz="8" w:space="0" w:color="auto"/>
            </w:tcBorders>
            <w:shd w:val="clear" w:color="auto" w:fill="auto"/>
            <w:noWrap/>
            <w:vAlign w:val="center"/>
            <w:hideMark/>
          </w:tcPr>
          <w:p w14:paraId="62624E30"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1.292.769</w:t>
            </w:r>
          </w:p>
        </w:tc>
      </w:tr>
      <w:tr w:rsidR="00484B32" w:rsidRPr="00701F32" w14:paraId="0D6465FA"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7230B6A8"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Beneficios al personal     </w:t>
            </w:r>
          </w:p>
        </w:tc>
        <w:tc>
          <w:tcPr>
            <w:tcW w:w="927" w:type="dxa"/>
            <w:tcBorders>
              <w:top w:val="nil"/>
              <w:left w:val="single" w:sz="8" w:space="0" w:color="auto"/>
              <w:bottom w:val="nil"/>
              <w:right w:val="nil"/>
            </w:tcBorders>
            <w:shd w:val="clear" w:color="auto" w:fill="auto"/>
            <w:noWrap/>
            <w:vAlign w:val="center"/>
            <w:hideMark/>
          </w:tcPr>
          <w:p w14:paraId="51DC4730"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b, h</w:t>
            </w:r>
          </w:p>
        </w:tc>
        <w:tc>
          <w:tcPr>
            <w:tcW w:w="1148" w:type="dxa"/>
            <w:tcBorders>
              <w:top w:val="nil"/>
              <w:left w:val="single" w:sz="8" w:space="0" w:color="auto"/>
              <w:bottom w:val="nil"/>
              <w:right w:val="nil"/>
            </w:tcBorders>
            <w:shd w:val="clear" w:color="auto" w:fill="auto"/>
            <w:noWrap/>
            <w:vAlign w:val="center"/>
            <w:hideMark/>
          </w:tcPr>
          <w:p w14:paraId="0AA3D58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4A4374C2"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4.494.669</w:t>
            </w:r>
          </w:p>
        </w:tc>
        <w:tc>
          <w:tcPr>
            <w:tcW w:w="1210" w:type="dxa"/>
            <w:tcBorders>
              <w:top w:val="nil"/>
              <w:left w:val="nil"/>
              <w:bottom w:val="nil"/>
              <w:right w:val="single" w:sz="8" w:space="0" w:color="auto"/>
            </w:tcBorders>
            <w:shd w:val="clear" w:color="auto" w:fill="auto"/>
            <w:noWrap/>
            <w:vAlign w:val="center"/>
            <w:hideMark/>
          </w:tcPr>
          <w:p w14:paraId="18E312B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402.361</w:t>
            </w:r>
          </w:p>
        </w:tc>
        <w:tc>
          <w:tcPr>
            <w:tcW w:w="1250" w:type="dxa"/>
            <w:tcBorders>
              <w:top w:val="nil"/>
              <w:left w:val="nil"/>
              <w:bottom w:val="nil"/>
              <w:right w:val="single" w:sz="8" w:space="0" w:color="auto"/>
            </w:tcBorders>
            <w:shd w:val="clear" w:color="auto" w:fill="auto"/>
            <w:noWrap/>
            <w:vAlign w:val="center"/>
            <w:hideMark/>
          </w:tcPr>
          <w:p w14:paraId="5A51C0F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4.897.030</w:t>
            </w:r>
          </w:p>
        </w:tc>
      </w:tr>
      <w:tr w:rsidR="00484B32" w:rsidRPr="00701F32" w14:paraId="220053AA"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FA8DBAB"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Gastos de administración</w:t>
            </w:r>
          </w:p>
        </w:tc>
        <w:tc>
          <w:tcPr>
            <w:tcW w:w="927" w:type="dxa"/>
            <w:tcBorders>
              <w:top w:val="nil"/>
              <w:left w:val="single" w:sz="8" w:space="0" w:color="auto"/>
              <w:bottom w:val="nil"/>
              <w:right w:val="nil"/>
            </w:tcBorders>
            <w:shd w:val="clear" w:color="auto" w:fill="auto"/>
            <w:noWrap/>
            <w:vAlign w:val="center"/>
            <w:hideMark/>
          </w:tcPr>
          <w:p w14:paraId="6C0023A2"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a, n</w:t>
            </w:r>
          </w:p>
        </w:tc>
        <w:tc>
          <w:tcPr>
            <w:tcW w:w="1148" w:type="dxa"/>
            <w:tcBorders>
              <w:top w:val="nil"/>
              <w:left w:val="single" w:sz="8" w:space="0" w:color="auto"/>
              <w:bottom w:val="nil"/>
              <w:right w:val="nil"/>
            </w:tcBorders>
            <w:shd w:val="clear" w:color="auto" w:fill="auto"/>
            <w:noWrap/>
            <w:vAlign w:val="center"/>
            <w:hideMark/>
          </w:tcPr>
          <w:p w14:paraId="5C63E8FF"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7FEE753F"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2.908.512</w:t>
            </w:r>
          </w:p>
        </w:tc>
        <w:tc>
          <w:tcPr>
            <w:tcW w:w="1210" w:type="dxa"/>
            <w:tcBorders>
              <w:top w:val="nil"/>
              <w:left w:val="nil"/>
              <w:bottom w:val="nil"/>
              <w:right w:val="single" w:sz="8" w:space="0" w:color="auto"/>
            </w:tcBorders>
            <w:shd w:val="clear" w:color="auto" w:fill="auto"/>
            <w:noWrap/>
            <w:vAlign w:val="center"/>
            <w:hideMark/>
          </w:tcPr>
          <w:p w14:paraId="7A14E054"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193.097</w:t>
            </w:r>
          </w:p>
        </w:tc>
        <w:tc>
          <w:tcPr>
            <w:tcW w:w="1250" w:type="dxa"/>
            <w:tcBorders>
              <w:top w:val="nil"/>
              <w:left w:val="nil"/>
              <w:bottom w:val="nil"/>
              <w:right w:val="single" w:sz="8" w:space="0" w:color="auto"/>
            </w:tcBorders>
            <w:shd w:val="clear" w:color="auto" w:fill="auto"/>
            <w:noWrap/>
            <w:vAlign w:val="center"/>
            <w:hideMark/>
          </w:tcPr>
          <w:p w14:paraId="0DEEECD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3.101.609</w:t>
            </w:r>
          </w:p>
        </w:tc>
      </w:tr>
      <w:tr w:rsidR="00484B32" w:rsidRPr="00701F32" w14:paraId="1672E862"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019661A6"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Depreciaciones y desvalorizaciones de bienes </w:t>
            </w:r>
          </w:p>
        </w:tc>
        <w:tc>
          <w:tcPr>
            <w:tcW w:w="927" w:type="dxa"/>
            <w:tcBorders>
              <w:top w:val="nil"/>
              <w:left w:val="single" w:sz="8" w:space="0" w:color="auto"/>
              <w:bottom w:val="nil"/>
              <w:right w:val="nil"/>
            </w:tcBorders>
            <w:shd w:val="clear" w:color="auto" w:fill="auto"/>
            <w:noWrap/>
            <w:vAlign w:val="center"/>
            <w:hideMark/>
          </w:tcPr>
          <w:p w14:paraId="012CDC53"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e, f</w:t>
            </w:r>
          </w:p>
        </w:tc>
        <w:tc>
          <w:tcPr>
            <w:tcW w:w="1148" w:type="dxa"/>
            <w:tcBorders>
              <w:top w:val="nil"/>
              <w:left w:val="single" w:sz="8" w:space="0" w:color="auto"/>
              <w:bottom w:val="nil"/>
              <w:right w:val="nil"/>
            </w:tcBorders>
            <w:shd w:val="clear" w:color="auto" w:fill="auto"/>
            <w:noWrap/>
            <w:vAlign w:val="center"/>
            <w:hideMark/>
          </w:tcPr>
          <w:p w14:paraId="310D066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5BBBE091"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243.665</w:t>
            </w:r>
          </w:p>
        </w:tc>
        <w:tc>
          <w:tcPr>
            <w:tcW w:w="1210" w:type="dxa"/>
            <w:tcBorders>
              <w:top w:val="nil"/>
              <w:left w:val="nil"/>
              <w:bottom w:val="nil"/>
              <w:right w:val="single" w:sz="8" w:space="0" w:color="auto"/>
            </w:tcBorders>
            <w:shd w:val="clear" w:color="auto" w:fill="auto"/>
            <w:noWrap/>
            <w:vAlign w:val="center"/>
            <w:hideMark/>
          </w:tcPr>
          <w:p w14:paraId="51A2F3E1"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50.007</w:t>
            </w:r>
          </w:p>
        </w:tc>
        <w:tc>
          <w:tcPr>
            <w:tcW w:w="1250" w:type="dxa"/>
            <w:tcBorders>
              <w:top w:val="nil"/>
              <w:left w:val="nil"/>
              <w:bottom w:val="nil"/>
              <w:right w:val="single" w:sz="8" w:space="0" w:color="auto"/>
            </w:tcBorders>
            <w:shd w:val="clear" w:color="auto" w:fill="auto"/>
            <w:noWrap/>
            <w:vAlign w:val="center"/>
            <w:hideMark/>
          </w:tcPr>
          <w:p w14:paraId="7372CEC2"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293.672</w:t>
            </w:r>
          </w:p>
        </w:tc>
      </w:tr>
      <w:tr w:rsidR="00484B32" w:rsidRPr="00701F32" w14:paraId="2B010225"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5149AD79"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gastos operativos </w:t>
            </w:r>
          </w:p>
        </w:tc>
        <w:tc>
          <w:tcPr>
            <w:tcW w:w="927" w:type="dxa"/>
            <w:tcBorders>
              <w:top w:val="nil"/>
              <w:left w:val="single" w:sz="8" w:space="0" w:color="auto"/>
              <w:bottom w:val="nil"/>
              <w:right w:val="nil"/>
            </w:tcBorders>
            <w:shd w:val="clear" w:color="auto" w:fill="auto"/>
            <w:noWrap/>
            <w:vAlign w:val="center"/>
            <w:hideMark/>
          </w:tcPr>
          <w:p w14:paraId="1290EBCD" w14:textId="77777777" w:rsidR="00484B32" w:rsidRPr="00701F32" w:rsidRDefault="00484B32" w:rsidP="00484B32">
            <w:pPr>
              <w:jc w:val="center"/>
              <w:rPr>
                <w:rFonts w:ascii="Arial" w:hAnsi="Arial" w:cs="Arial"/>
                <w:color w:val="000000"/>
                <w:sz w:val="16"/>
                <w:szCs w:val="16"/>
                <w:lang w:eastAsia="es-AR"/>
              </w:rPr>
            </w:pPr>
            <w:r w:rsidRPr="00701F32">
              <w:rPr>
                <w:rFonts w:ascii="Arial" w:hAnsi="Arial" w:cs="Arial"/>
                <w:color w:val="000000"/>
                <w:sz w:val="16"/>
                <w:szCs w:val="16"/>
                <w:lang w:eastAsia="es-AR"/>
              </w:rPr>
              <w:t>b, k</w:t>
            </w:r>
          </w:p>
        </w:tc>
        <w:tc>
          <w:tcPr>
            <w:tcW w:w="1148" w:type="dxa"/>
            <w:tcBorders>
              <w:top w:val="nil"/>
              <w:left w:val="single" w:sz="8" w:space="0" w:color="auto"/>
              <w:bottom w:val="nil"/>
              <w:right w:val="nil"/>
            </w:tcBorders>
            <w:shd w:val="clear" w:color="auto" w:fill="auto"/>
            <w:noWrap/>
            <w:vAlign w:val="center"/>
            <w:hideMark/>
          </w:tcPr>
          <w:p w14:paraId="5CB2E014"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554B397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2.058.</w:t>
            </w:r>
            <w:r w:rsidR="00E30151" w:rsidRPr="00701F32">
              <w:rPr>
                <w:rFonts w:ascii="Arial" w:hAnsi="Arial" w:cs="Arial"/>
                <w:color w:val="000000"/>
                <w:sz w:val="16"/>
                <w:szCs w:val="16"/>
                <w:lang w:eastAsia="es-AR"/>
              </w:rPr>
              <w:t>888</w:t>
            </w:r>
          </w:p>
        </w:tc>
        <w:tc>
          <w:tcPr>
            <w:tcW w:w="1210" w:type="dxa"/>
            <w:tcBorders>
              <w:top w:val="nil"/>
              <w:left w:val="nil"/>
              <w:bottom w:val="nil"/>
              <w:right w:val="single" w:sz="8" w:space="0" w:color="auto"/>
            </w:tcBorders>
            <w:shd w:val="clear" w:color="auto" w:fill="auto"/>
            <w:noWrap/>
            <w:vAlign w:val="center"/>
            <w:hideMark/>
          </w:tcPr>
          <w:p w14:paraId="41E8F1D6"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275.</w:t>
            </w:r>
            <w:r w:rsidR="00E30151" w:rsidRPr="00701F32">
              <w:rPr>
                <w:rFonts w:ascii="Arial" w:hAnsi="Arial" w:cs="Arial"/>
                <w:color w:val="000000"/>
                <w:sz w:val="16"/>
                <w:szCs w:val="16"/>
                <w:lang w:eastAsia="es-AR"/>
              </w:rPr>
              <w:t>875</w:t>
            </w:r>
          </w:p>
        </w:tc>
        <w:tc>
          <w:tcPr>
            <w:tcW w:w="1250" w:type="dxa"/>
            <w:tcBorders>
              <w:top w:val="nil"/>
              <w:left w:val="nil"/>
              <w:bottom w:val="nil"/>
              <w:right w:val="single" w:sz="8" w:space="0" w:color="auto"/>
            </w:tcBorders>
            <w:shd w:val="clear" w:color="auto" w:fill="auto"/>
            <w:noWrap/>
            <w:vAlign w:val="center"/>
            <w:hideMark/>
          </w:tcPr>
          <w:p w14:paraId="20926387"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2.334.763</w:t>
            </w:r>
          </w:p>
        </w:tc>
      </w:tr>
      <w:tr w:rsidR="00484B32" w:rsidRPr="00701F32" w14:paraId="38BB14F1" w14:textId="77777777" w:rsidTr="00E311C9">
        <w:trPr>
          <w:trHeight w:val="288"/>
        </w:trPr>
        <w:tc>
          <w:tcPr>
            <w:tcW w:w="4033" w:type="dxa"/>
            <w:tcBorders>
              <w:top w:val="nil"/>
              <w:left w:val="single" w:sz="8" w:space="0" w:color="auto"/>
              <w:bottom w:val="nil"/>
              <w:right w:val="nil"/>
            </w:tcBorders>
            <w:shd w:val="clear" w:color="auto" w:fill="auto"/>
            <w:noWrap/>
            <w:vAlign w:val="center"/>
            <w:hideMark/>
          </w:tcPr>
          <w:p w14:paraId="60BBFF96"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por asociadas y negocios conjuntos </w:t>
            </w:r>
          </w:p>
        </w:tc>
        <w:tc>
          <w:tcPr>
            <w:tcW w:w="927" w:type="dxa"/>
            <w:tcBorders>
              <w:top w:val="nil"/>
              <w:left w:val="single" w:sz="8" w:space="0" w:color="auto"/>
              <w:bottom w:val="nil"/>
              <w:right w:val="nil"/>
            </w:tcBorders>
            <w:shd w:val="clear" w:color="auto" w:fill="auto"/>
            <w:noWrap/>
            <w:vAlign w:val="center"/>
            <w:hideMark/>
          </w:tcPr>
          <w:p w14:paraId="2748F589"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35004CA8"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6789923C"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3.261</w:t>
            </w:r>
          </w:p>
        </w:tc>
        <w:tc>
          <w:tcPr>
            <w:tcW w:w="1210" w:type="dxa"/>
            <w:tcBorders>
              <w:top w:val="nil"/>
              <w:left w:val="nil"/>
              <w:bottom w:val="nil"/>
              <w:right w:val="single" w:sz="8" w:space="0" w:color="auto"/>
            </w:tcBorders>
            <w:shd w:val="clear" w:color="auto" w:fill="auto"/>
            <w:noWrap/>
            <w:vAlign w:val="center"/>
            <w:hideMark/>
          </w:tcPr>
          <w:p w14:paraId="23BBF365"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-56</w:t>
            </w:r>
          </w:p>
        </w:tc>
        <w:tc>
          <w:tcPr>
            <w:tcW w:w="1250" w:type="dxa"/>
            <w:tcBorders>
              <w:top w:val="nil"/>
              <w:left w:val="nil"/>
              <w:bottom w:val="nil"/>
              <w:right w:val="single" w:sz="8" w:space="0" w:color="auto"/>
            </w:tcBorders>
            <w:shd w:val="clear" w:color="auto" w:fill="auto"/>
            <w:noWrap/>
            <w:vAlign w:val="center"/>
            <w:hideMark/>
          </w:tcPr>
          <w:p w14:paraId="7C753D3C"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3.205</w:t>
            </w:r>
          </w:p>
        </w:tc>
      </w:tr>
      <w:tr w:rsidR="00484B32" w:rsidRPr="00701F32" w14:paraId="1BFCC4FD" w14:textId="77777777" w:rsidTr="00E311C9">
        <w:trPr>
          <w:trHeight w:val="301"/>
        </w:trPr>
        <w:tc>
          <w:tcPr>
            <w:tcW w:w="4033" w:type="dxa"/>
            <w:tcBorders>
              <w:top w:val="nil"/>
              <w:left w:val="single" w:sz="8" w:space="0" w:color="auto"/>
              <w:bottom w:val="nil"/>
              <w:right w:val="nil"/>
            </w:tcBorders>
            <w:shd w:val="clear" w:color="auto" w:fill="auto"/>
            <w:noWrap/>
            <w:vAlign w:val="center"/>
            <w:hideMark/>
          </w:tcPr>
          <w:p w14:paraId="7C1F3BFC"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Resultado atribuible a parti. no controladoras</w:t>
            </w:r>
          </w:p>
        </w:tc>
        <w:tc>
          <w:tcPr>
            <w:tcW w:w="927" w:type="dxa"/>
            <w:tcBorders>
              <w:top w:val="nil"/>
              <w:left w:val="single" w:sz="8" w:space="0" w:color="auto"/>
              <w:bottom w:val="nil"/>
              <w:right w:val="nil"/>
            </w:tcBorders>
            <w:shd w:val="clear" w:color="auto" w:fill="auto"/>
            <w:noWrap/>
            <w:vAlign w:val="center"/>
            <w:hideMark/>
          </w:tcPr>
          <w:p w14:paraId="554D3BF7" w14:textId="77777777" w:rsidR="00484B32" w:rsidRPr="00701F32" w:rsidRDefault="00484B32" w:rsidP="00484B32">
            <w:pP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48" w:type="dxa"/>
            <w:tcBorders>
              <w:top w:val="nil"/>
              <w:left w:val="single" w:sz="8" w:space="0" w:color="auto"/>
              <w:bottom w:val="nil"/>
              <w:right w:val="nil"/>
            </w:tcBorders>
            <w:shd w:val="clear" w:color="auto" w:fill="auto"/>
            <w:noWrap/>
            <w:vAlign w:val="center"/>
            <w:hideMark/>
          </w:tcPr>
          <w:p w14:paraId="0F0251AB"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11" w:type="dxa"/>
            <w:tcBorders>
              <w:top w:val="nil"/>
              <w:left w:val="single" w:sz="8" w:space="0" w:color="auto"/>
              <w:bottom w:val="nil"/>
              <w:right w:val="single" w:sz="8" w:space="0" w:color="auto"/>
            </w:tcBorders>
            <w:shd w:val="clear" w:color="auto" w:fill="auto"/>
            <w:noWrap/>
            <w:vAlign w:val="center"/>
            <w:hideMark/>
          </w:tcPr>
          <w:p w14:paraId="6703C5EA"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-8.003</w:t>
            </w:r>
          </w:p>
        </w:tc>
        <w:tc>
          <w:tcPr>
            <w:tcW w:w="1210" w:type="dxa"/>
            <w:tcBorders>
              <w:top w:val="nil"/>
              <w:left w:val="nil"/>
              <w:bottom w:val="nil"/>
              <w:right w:val="single" w:sz="8" w:space="0" w:color="auto"/>
            </w:tcBorders>
            <w:shd w:val="clear" w:color="auto" w:fill="auto"/>
            <w:noWrap/>
            <w:vAlign w:val="center"/>
            <w:hideMark/>
          </w:tcPr>
          <w:p w14:paraId="16CC9613"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-22.595</w:t>
            </w:r>
          </w:p>
        </w:tc>
        <w:tc>
          <w:tcPr>
            <w:tcW w:w="1250" w:type="dxa"/>
            <w:tcBorders>
              <w:top w:val="nil"/>
              <w:left w:val="nil"/>
              <w:bottom w:val="single" w:sz="8" w:space="0" w:color="auto"/>
              <w:right w:val="single" w:sz="8" w:space="0" w:color="auto"/>
            </w:tcBorders>
            <w:shd w:val="clear" w:color="auto" w:fill="auto"/>
            <w:noWrap/>
            <w:vAlign w:val="center"/>
            <w:hideMark/>
          </w:tcPr>
          <w:p w14:paraId="41A6183D" w14:textId="77777777" w:rsidR="00484B32" w:rsidRPr="00701F32" w:rsidRDefault="00484B32" w:rsidP="00B8189A">
            <w:pPr>
              <w:jc w:val="right"/>
              <w:rPr>
                <w:rFonts w:ascii="Arial" w:hAnsi="Arial" w:cs="Arial"/>
                <w:color w:val="000000"/>
                <w:sz w:val="16"/>
                <w:szCs w:val="16"/>
                <w:lang w:eastAsia="es-AR"/>
              </w:rPr>
            </w:pPr>
            <w:r w:rsidRPr="00701F32">
              <w:rPr>
                <w:rFonts w:ascii="Arial" w:hAnsi="Arial" w:cs="Arial"/>
                <w:color w:val="000000"/>
                <w:sz w:val="16"/>
                <w:szCs w:val="16"/>
                <w:lang w:eastAsia="es-AR"/>
              </w:rPr>
              <w:t>-30.598</w:t>
            </w:r>
          </w:p>
        </w:tc>
      </w:tr>
      <w:tr w:rsidR="00484B32" w:rsidRPr="00701F32" w14:paraId="46143407" w14:textId="77777777" w:rsidTr="00E311C9">
        <w:trPr>
          <w:trHeight w:val="301"/>
        </w:trPr>
        <w:tc>
          <w:tcPr>
            <w:tcW w:w="4033" w:type="dxa"/>
            <w:tcBorders>
              <w:top w:val="single" w:sz="8" w:space="0" w:color="auto"/>
              <w:left w:val="single" w:sz="8" w:space="0" w:color="auto"/>
              <w:bottom w:val="single" w:sz="8" w:space="0" w:color="auto"/>
              <w:right w:val="nil"/>
            </w:tcBorders>
            <w:shd w:val="clear" w:color="auto" w:fill="auto"/>
            <w:noWrap/>
            <w:vAlign w:val="center"/>
            <w:hideMark/>
          </w:tcPr>
          <w:p w14:paraId="4B1DD5CE" w14:textId="77777777" w:rsidR="00484B32" w:rsidRPr="00701F32" w:rsidRDefault="00484B32" w:rsidP="00484B32">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RESULTADO NETO DEL EJERCICIO</w:t>
            </w:r>
          </w:p>
        </w:tc>
        <w:tc>
          <w:tcPr>
            <w:tcW w:w="927" w:type="dxa"/>
            <w:tcBorders>
              <w:top w:val="single" w:sz="8" w:space="0" w:color="auto"/>
              <w:left w:val="single" w:sz="8" w:space="0" w:color="auto"/>
              <w:bottom w:val="single" w:sz="8" w:space="0" w:color="auto"/>
              <w:right w:val="nil"/>
            </w:tcBorders>
            <w:shd w:val="clear" w:color="auto" w:fill="auto"/>
            <w:noWrap/>
            <w:vAlign w:val="center"/>
            <w:hideMark/>
          </w:tcPr>
          <w:p w14:paraId="52A02D01" w14:textId="77777777" w:rsidR="00484B32" w:rsidRPr="00701F32" w:rsidRDefault="00484B32" w:rsidP="00484B32">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B7227" w14:textId="77777777" w:rsidR="00484B32" w:rsidRPr="00701F32" w:rsidRDefault="00484B32"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1.428.728</w:t>
            </w:r>
          </w:p>
        </w:tc>
        <w:tc>
          <w:tcPr>
            <w:tcW w:w="1411" w:type="dxa"/>
            <w:tcBorders>
              <w:top w:val="single" w:sz="8" w:space="0" w:color="auto"/>
              <w:left w:val="nil"/>
              <w:bottom w:val="single" w:sz="8" w:space="0" w:color="auto"/>
              <w:right w:val="single" w:sz="8" w:space="0" w:color="auto"/>
            </w:tcBorders>
            <w:shd w:val="clear" w:color="auto" w:fill="auto"/>
            <w:noWrap/>
            <w:vAlign w:val="center"/>
            <w:hideMark/>
          </w:tcPr>
          <w:p w14:paraId="14872680" w14:textId="77777777" w:rsidR="00484B32" w:rsidRPr="00701F32" w:rsidRDefault="00484B32"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1FDCB84C" w14:textId="77777777" w:rsidR="00484B32" w:rsidRPr="00701F32" w:rsidRDefault="00484B32"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-631.</w:t>
            </w:r>
            <w:r w:rsidR="00E30151" w:rsidRPr="00701F32">
              <w:rPr>
                <w:rFonts w:ascii="Arial" w:hAnsi="Arial" w:cs="Arial"/>
                <w:b/>
                <w:bCs/>
                <w:color w:val="000000"/>
                <w:sz w:val="16"/>
                <w:szCs w:val="16"/>
                <w:lang w:eastAsia="es-AR"/>
              </w:rPr>
              <w:t>935</w:t>
            </w:r>
          </w:p>
        </w:tc>
        <w:tc>
          <w:tcPr>
            <w:tcW w:w="1250" w:type="dxa"/>
            <w:tcBorders>
              <w:top w:val="nil"/>
              <w:left w:val="nil"/>
              <w:bottom w:val="single" w:sz="8" w:space="0" w:color="auto"/>
              <w:right w:val="single" w:sz="8" w:space="0" w:color="auto"/>
            </w:tcBorders>
            <w:shd w:val="clear" w:color="auto" w:fill="auto"/>
            <w:noWrap/>
            <w:vAlign w:val="center"/>
            <w:hideMark/>
          </w:tcPr>
          <w:p w14:paraId="7196ED22" w14:textId="77777777" w:rsidR="00484B32" w:rsidRPr="00701F32" w:rsidRDefault="00484B32" w:rsidP="00B8189A">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796.793</w:t>
            </w:r>
          </w:p>
        </w:tc>
      </w:tr>
    </w:tbl>
    <w:p w14:paraId="101CC1FE" w14:textId="77777777" w:rsidR="00606BA6" w:rsidRPr="00701F32" w:rsidRDefault="00606BA6"/>
    <w:tbl>
      <w:tblPr>
        <w:tblW w:w="10265" w:type="dxa"/>
        <w:tblCellMar>
          <w:left w:w="70" w:type="dxa"/>
          <w:right w:w="70" w:type="dxa"/>
        </w:tblCellMar>
        <w:tblLook w:val="04A0" w:firstRow="1" w:lastRow="0" w:firstColumn="1" w:lastColumn="0" w:noHBand="0" w:noVBand="1"/>
      </w:tblPr>
      <w:tblGrid>
        <w:gridCol w:w="4000"/>
        <w:gridCol w:w="920"/>
        <w:gridCol w:w="1140"/>
        <w:gridCol w:w="1564"/>
        <w:gridCol w:w="1077"/>
        <w:gridCol w:w="1564"/>
      </w:tblGrid>
      <w:tr w:rsidR="00606BA6" w:rsidRPr="00701F32" w14:paraId="1AE55E0F" w14:textId="77777777" w:rsidTr="00701F32">
        <w:trPr>
          <w:trHeight w:val="315"/>
          <w:tblHead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AF1C2" w14:textId="77777777" w:rsidR="00606BA6" w:rsidRPr="00701F32" w:rsidRDefault="00606BA6" w:rsidP="00606BA6">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Estado de Resultados al 30/0</w:t>
            </w:r>
            <w:r w:rsidR="002226E8" w:rsidRPr="00701F32">
              <w:rPr>
                <w:rFonts w:ascii="Arial" w:hAnsi="Arial" w:cs="Arial"/>
                <w:b/>
                <w:bCs/>
                <w:color w:val="000000"/>
                <w:sz w:val="16"/>
                <w:szCs w:val="16"/>
                <w:lang w:eastAsia="es-AR"/>
              </w:rPr>
              <w:t>9</w:t>
            </w:r>
            <w:r w:rsidRPr="00701F32">
              <w:rPr>
                <w:rFonts w:ascii="Arial" w:hAnsi="Arial" w:cs="Arial"/>
                <w:b/>
                <w:bCs/>
                <w:color w:val="000000"/>
                <w:sz w:val="16"/>
                <w:szCs w:val="16"/>
                <w:lang w:eastAsia="es-AR"/>
              </w:rPr>
              <w:t>/2017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97A10" w14:textId="77777777" w:rsidR="00606BA6" w:rsidRPr="00701F32" w:rsidRDefault="00606BA6" w:rsidP="00393CEB">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CA8CF" w14:textId="77777777" w:rsidR="00606BA6" w:rsidRPr="00701F32" w:rsidRDefault="00606BA6" w:rsidP="00393CEB">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4BD61" w14:textId="77777777" w:rsidR="00606BA6" w:rsidRPr="00701F32" w:rsidRDefault="00606BA6" w:rsidP="00393CEB">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20436" w14:textId="77777777" w:rsidR="00606BA6" w:rsidRPr="00701F32" w:rsidRDefault="00606BA6" w:rsidP="00393CEB">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85A85" w14:textId="77777777" w:rsidR="00606BA6" w:rsidRPr="00701F32" w:rsidRDefault="00606BA6" w:rsidP="00393CEB">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1041AF" w:rsidRPr="00701F32" w14:paraId="74C0EB42" w14:textId="77777777" w:rsidTr="00E311C9">
        <w:trPr>
          <w:trHeight w:val="315"/>
        </w:trPr>
        <w:tc>
          <w:tcPr>
            <w:tcW w:w="4000" w:type="dxa"/>
            <w:tcBorders>
              <w:top w:val="single" w:sz="4" w:space="0" w:color="auto"/>
              <w:left w:val="single" w:sz="4" w:space="0" w:color="auto"/>
              <w:right w:val="single" w:sz="4" w:space="0" w:color="auto"/>
            </w:tcBorders>
            <w:shd w:val="clear" w:color="auto" w:fill="auto"/>
            <w:noWrap/>
            <w:vAlign w:val="center"/>
            <w:hideMark/>
          </w:tcPr>
          <w:p w14:paraId="6C5632B3"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Ingresos financieros </w:t>
            </w:r>
          </w:p>
        </w:tc>
        <w:tc>
          <w:tcPr>
            <w:tcW w:w="920" w:type="dxa"/>
            <w:tcBorders>
              <w:top w:val="single" w:sz="4" w:space="0" w:color="auto"/>
              <w:left w:val="single" w:sz="4" w:space="0" w:color="auto"/>
              <w:right w:val="single" w:sz="4" w:space="0" w:color="auto"/>
            </w:tcBorders>
            <w:shd w:val="clear" w:color="auto" w:fill="auto"/>
            <w:noWrap/>
            <w:vAlign w:val="center"/>
            <w:hideMark/>
          </w:tcPr>
          <w:p w14:paraId="41E3E148"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top w:val="single" w:sz="4" w:space="0" w:color="auto"/>
              <w:left w:val="single" w:sz="4" w:space="0" w:color="auto"/>
              <w:right w:val="single" w:sz="4" w:space="0" w:color="auto"/>
            </w:tcBorders>
            <w:shd w:val="clear" w:color="auto" w:fill="auto"/>
            <w:noWrap/>
            <w:vAlign w:val="center"/>
            <w:hideMark/>
          </w:tcPr>
          <w:p w14:paraId="5E46627E"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10.393.499</w:t>
            </w:r>
          </w:p>
        </w:tc>
        <w:tc>
          <w:tcPr>
            <w:tcW w:w="1564" w:type="dxa"/>
            <w:tcBorders>
              <w:top w:val="single" w:sz="4" w:space="0" w:color="auto"/>
              <w:left w:val="single" w:sz="4" w:space="0" w:color="auto"/>
              <w:right w:val="single" w:sz="4" w:space="0" w:color="auto"/>
            </w:tcBorders>
            <w:shd w:val="clear" w:color="auto" w:fill="auto"/>
            <w:noWrap/>
            <w:vAlign w:val="center"/>
            <w:hideMark/>
          </w:tcPr>
          <w:p w14:paraId="4D3D65B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-10.372.955</w:t>
            </w:r>
          </w:p>
        </w:tc>
        <w:tc>
          <w:tcPr>
            <w:tcW w:w="1077" w:type="dxa"/>
            <w:tcBorders>
              <w:top w:val="single" w:sz="4" w:space="0" w:color="auto"/>
              <w:left w:val="single" w:sz="4" w:space="0" w:color="auto"/>
              <w:right w:val="single" w:sz="4" w:space="0" w:color="auto"/>
            </w:tcBorders>
            <w:shd w:val="clear" w:color="auto" w:fill="auto"/>
            <w:noWrap/>
            <w:vAlign w:val="center"/>
            <w:hideMark/>
          </w:tcPr>
          <w:p w14:paraId="47743DE7"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-20.544</w:t>
            </w:r>
          </w:p>
        </w:tc>
        <w:tc>
          <w:tcPr>
            <w:tcW w:w="1564" w:type="dxa"/>
            <w:tcBorders>
              <w:top w:val="single" w:sz="4" w:space="0" w:color="auto"/>
              <w:left w:val="single" w:sz="4" w:space="0" w:color="auto"/>
              <w:right w:val="single" w:sz="4" w:space="0" w:color="auto"/>
            </w:tcBorders>
            <w:shd w:val="clear" w:color="auto" w:fill="auto"/>
            <w:noWrap/>
            <w:vAlign w:val="center"/>
            <w:hideMark/>
          </w:tcPr>
          <w:p w14:paraId="51779CA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51EE6173"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280E3F36"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Egresos financieros </w:t>
            </w:r>
          </w:p>
        </w:tc>
        <w:tc>
          <w:tcPr>
            <w:tcW w:w="920" w:type="dxa"/>
            <w:tcBorders>
              <w:left w:val="single" w:sz="4" w:space="0" w:color="auto"/>
              <w:right w:val="single" w:sz="4" w:space="0" w:color="auto"/>
            </w:tcBorders>
            <w:shd w:val="clear" w:color="auto" w:fill="auto"/>
            <w:noWrap/>
            <w:vAlign w:val="center"/>
            <w:hideMark/>
          </w:tcPr>
          <w:p w14:paraId="459BB463"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0164158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4.292.755</w:t>
            </w:r>
          </w:p>
        </w:tc>
        <w:tc>
          <w:tcPr>
            <w:tcW w:w="1564" w:type="dxa"/>
            <w:tcBorders>
              <w:left w:val="single" w:sz="4" w:space="0" w:color="auto"/>
              <w:right w:val="single" w:sz="4" w:space="0" w:color="auto"/>
            </w:tcBorders>
            <w:shd w:val="clear" w:color="auto" w:fill="auto"/>
            <w:noWrap/>
            <w:vAlign w:val="center"/>
            <w:hideMark/>
          </w:tcPr>
          <w:p w14:paraId="779AB48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-4.292.755</w:t>
            </w:r>
          </w:p>
        </w:tc>
        <w:tc>
          <w:tcPr>
            <w:tcW w:w="1077" w:type="dxa"/>
            <w:tcBorders>
              <w:left w:val="single" w:sz="4" w:space="0" w:color="auto"/>
              <w:right w:val="single" w:sz="4" w:space="0" w:color="auto"/>
            </w:tcBorders>
            <w:shd w:val="clear" w:color="auto" w:fill="auto"/>
            <w:noWrap/>
            <w:vAlign w:val="center"/>
            <w:hideMark/>
          </w:tcPr>
          <w:p w14:paraId="050CB31B"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533FCED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3833654A"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411D48BA"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Cargo por incobrabilidad </w:t>
            </w:r>
          </w:p>
        </w:tc>
        <w:tc>
          <w:tcPr>
            <w:tcW w:w="920" w:type="dxa"/>
            <w:tcBorders>
              <w:left w:val="single" w:sz="4" w:space="0" w:color="auto"/>
              <w:right w:val="single" w:sz="4" w:space="0" w:color="auto"/>
            </w:tcBorders>
            <w:shd w:val="clear" w:color="auto" w:fill="auto"/>
            <w:noWrap/>
            <w:vAlign w:val="center"/>
            <w:hideMark/>
          </w:tcPr>
          <w:p w14:paraId="1B7BDA25"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m</w:t>
            </w:r>
          </w:p>
        </w:tc>
        <w:tc>
          <w:tcPr>
            <w:tcW w:w="1140" w:type="dxa"/>
            <w:tcBorders>
              <w:left w:val="single" w:sz="4" w:space="0" w:color="auto"/>
              <w:right w:val="single" w:sz="4" w:space="0" w:color="auto"/>
            </w:tcBorders>
            <w:shd w:val="clear" w:color="auto" w:fill="auto"/>
            <w:noWrap/>
            <w:vAlign w:val="center"/>
            <w:hideMark/>
          </w:tcPr>
          <w:p w14:paraId="796C775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1.206.017</w:t>
            </w:r>
          </w:p>
        </w:tc>
        <w:tc>
          <w:tcPr>
            <w:tcW w:w="1564" w:type="dxa"/>
            <w:tcBorders>
              <w:left w:val="single" w:sz="4" w:space="0" w:color="auto"/>
              <w:right w:val="single" w:sz="4" w:space="0" w:color="auto"/>
            </w:tcBorders>
            <w:shd w:val="clear" w:color="auto" w:fill="auto"/>
            <w:noWrap/>
            <w:vAlign w:val="center"/>
            <w:hideMark/>
          </w:tcPr>
          <w:p w14:paraId="512BEDE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2.764</w:t>
            </w:r>
          </w:p>
        </w:tc>
        <w:tc>
          <w:tcPr>
            <w:tcW w:w="1077" w:type="dxa"/>
            <w:tcBorders>
              <w:left w:val="single" w:sz="4" w:space="0" w:color="auto"/>
              <w:right w:val="single" w:sz="4" w:space="0" w:color="auto"/>
            </w:tcBorders>
            <w:shd w:val="clear" w:color="auto" w:fill="auto"/>
            <w:noWrap/>
            <w:vAlign w:val="center"/>
            <w:hideMark/>
          </w:tcPr>
          <w:p w14:paraId="1D5346F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80.606</w:t>
            </w:r>
          </w:p>
        </w:tc>
        <w:tc>
          <w:tcPr>
            <w:tcW w:w="1564" w:type="dxa"/>
            <w:tcBorders>
              <w:left w:val="single" w:sz="4" w:space="0" w:color="auto"/>
              <w:right w:val="single" w:sz="4" w:space="0" w:color="auto"/>
            </w:tcBorders>
            <w:shd w:val="clear" w:color="auto" w:fill="auto"/>
            <w:noWrap/>
            <w:vAlign w:val="center"/>
            <w:hideMark/>
          </w:tcPr>
          <w:p w14:paraId="1ED6F9A1"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1.289.387</w:t>
            </w:r>
          </w:p>
        </w:tc>
      </w:tr>
      <w:tr w:rsidR="001041AF" w:rsidRPr="00701F32" w14:paraId="294EB79A"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26C18C85"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Ingresos por servicios </w:t>
            </w:r>
          </w:p>
        </w:tc>
        <w:tc>
          <w:tcPr>
            <w:tcW w:w="920" w:type="dxa"/>
            <w:tcBorders>
              <w:left w:val="single" w:sz="4" w:space="0" w:color="auto"/>
              <w:right w:val="single" w:sz="4" w:space="0" w:color="auto"/>
            </w:tcBorders>
            <w:shd w:val="clear" w:color="auto" w:fill="auto"/>
            <w:noWrap/>
            <w:vAlign w:val="center"/>
            <w:hideMark/>
          </w:tcPr>
          <w:p w14:paraId="6A388C7A"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16720D1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3.243.178</w:t>
            </w:r>
          </w:p>
        </w:tc>
        <w:tc>
          <w:tcPr>
            <w:tcW w:w="1564" w:type="dxa"/>
            <w:tcBorders>
              <w:left w:val="single" w:sz="4" w:space="0" w:color="auto"/>
              <w:right w:val="single" w:sz="4" w:space="0" w:color="auto"/>
            </w:tcBorders>
            <w:shd w:val="clear" w:color="auto" w:fill="auto"/>
            <w:noWrap/>
            <w:vAlign w:val="center"/>
            <w:hideMark/>
          </w:tcPr>
          <w:p w14:paraId="306C42D5"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-3.243.178</w:t>
            </w:r>
          </w:p>
        </w:tc>
        <w:tc>
          <w:tcPr>
            <w:tcW w:w="1077" w:type="dxa"/>
            <w:tcBorders>
              <w:left w:val="single" w:sz="4" w:space="0" w:color="auto"/>
              <w:right w:val="single" w:sz="4" w:space="0" w:color="auto"/>
            </w:tcBorders>
            <w:shd w:val="clear" w:color="auto" w:fill="auto"/>
            <w:noWrap/>
            <w:vAlign w:val="center"/>
            <w:hideMark/>
          </w:tcPr>
          <w:p w14:paraId="444CB04F"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4D1492C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52AFE048"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4BE65F58"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Egresos por servicios </w:t>
            </w:r>
          </w:p>
        </w:tc>
        <w:tc>
          <w:tcPr>
            <w:tcW w:w="920" w:type="dxa"/>
            <w:tcBorders>
              <w:left w:val="single" w:sz="4" w:space="0" w:color="auto"/>
              <w:right w:val="single" w:sz="4" w:space="0" w:color="auto"/>
            </w:tcBorders>
            <w:shd w:val="clear" w:color="auto" w:fill="auto"/>
            <w:noWrap/>
            <w:vAlign w:val="center"/>
            <w:hideMark/>
          </w:tcPr>
          <w:p w14:paraId="5FE488FC"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5D681977"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1.224.932</w:t>
            </w:r>
          </w:p>
        </w:tc>
        <w:tc>
          <w:tcPr>
            <w:tcW w:w="1564" w:type="dxa"/>
            <w:tcBorders>
              <w:left w:val="single" w:sz="4" w:space="0" w:color="auto"/>
              <w:right w:val="single" w:sz="4" w:space="0" w:color="auto"/>
            </w:tcBorders>
            <w:shd w:val="clear" w:color="auto" w:fill="auto"/>
            <w:noWrap/>
            <w:vAlign w:val="center"/>
            <w:hideMark/>
          </w:tcPr>
          <w:p w14:paraId="7DA5D5F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-1.224.932</w:t>
            </w:r>
          </w:p>
        </w:tc>
        <w:tc>
          <w:tcPr>
            <w:tcW w:w="1077" w:type="dxa"/>
            <w:tcBorders>
              <w:left w:val="single" w:sz="4" w:space="0" w:color="auto"/>
              <w:right w:val="single" w:sz="4" w:space="0" w:color="auto"/>
            </w:tcBorders>
            <w:shd w:val="clear" w:color="auto" w:fill="auto"/>
            <w:noWrap/>
            <w:vAlign w:val="center"/>
            <w:hideMark/>
          </w:tcPr>
          <w:p w14:paraId="5E0EB94D"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75E7A4F2"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38BACA7C"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403C1A79"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Gastos de administración </w:t>
            </w:r>
          </w:p>
        </w:tc>
        <w:tc>
          <w:tcPr>
            <w:tcW w:w="920" w:type="dxa"/>
            <w:tcBorders>
              <w:left w:val="single" w:sz="4" w:space="0" w:color="auto"/>
              <w:right w:val="single" w:sz="4" w:space="0" w:color="auto"/>
            </w:tcBorders>
            <w:shd w:val="clear" w:color="auto" w:fill="auto"/>
            <w:noWrap/>
            <w:vAlign w:val="center"/>
            <w:hideMark/>
          </w:tcPr>
          <w:p w14:paraId="5CD07882"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44AC0A4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5.500.029</w:t>
            </w:r>
          </w:p>
        </w:tc>
        <w:tc>
          <w:tcPr>
            <w:tcW w:w="1564" w:type="dxa"/>
            <w:tcBorders>
              <w:left w:val="single" w:sz="4" w:space="0" w:color="auto"/>
              <w:right w:val="single" w:sz="4" w:space="0" w:color="auto"/>
            </w:tcBorders>
            <w:shd w:val="clear" w:color="auto" w:fill="auto"/>
            <w:noWrap/>
            <w:vAlign w:val="center"/>
            <w:hideMark/>
          </w:tcPr>
          <w:p w14:paraId="1713846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-5.500.029</w:t>
            </w:r>
          </w:p>
        </w:tc>
        <w:tc>
          <w:tcPr>
            <w:tcW w:w="1077" w:type="dxa"/>
            <w:tcBorders>
              <w:left w:val="single" w:sz="4" w:space="0" w:color="auto"/>
              <w:right w:val="single" w:sz="4" w:space="0" w:color="auto"/>
            </w:tcBorders>
            <w:shd w:val="clear" w:color="auto" w:fill="auto"/>
            <w:noWrap/>
            <w:vAlign w:val="center"/>
            <w:hideMark/>
          </w:tcPr>
          <w:p w14:paraId="62CB8D94"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3603540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56A6FAEA"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49C00A66"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Resultado por participaciones de terceros </w:t>
            </w:r>
          </w:p>
        </w:tc>
        <w:tc>
          <w:tcPr>
            <w:tcW w:w="920" w:type="dxa"/>
            <w:tcBorders>
              <w:left w:val="single" w:sz="4" w:space="0" w:color="auto"/>
              <w:right w:val="single" w:sz="4" w:space="0" w:color="auto"/>
            </w:tcBorders>
            <w:shd w:val="clear" w:color="auto" w:fill="auto"/>
            <w:noWrap/>
            <w:vAlign w:val="center"/>
            <w:hideMark/>
          </w:tcPr>
          <w:p w14:paraId="675BB827"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44B4ACD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-6.797</w:t>
            </w:r>
          </w:p>
        </w:tc>
        <w:tc>
          <w:tcPr>
            <w:tcW w:w="1564" w:type="dxa"/>
            <w:tcBorders>
              <w:left w:val="single" w:sz="4" w:space="0" w:color="auto"/>
              <w:right w:val="single" w:sz="4" w:space="0" w:color="auto"/>
            </w:tcBorders>
            <w:shd w:val="clear" w:color="auto" w:fill="auto"/>
            <w:noWrap/>
            <w:vAlign w:val="center"/>
            <w:hideMark/>
          </w:tcPr>
          <w:p w14:paraId="6257E44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6.797</w:t>
            </w:r>
          </w:p>
        </w:tc>
        <w:tc>
          <w:tcPr>
            <w:tcW w:w="1077" w:type="dxa"/>
            <w:tcBorders>
              <w:left w:val="single" w:sz="4" w:space="0" w:color="auto"/>
              <w:right w:val="single" w:sz="4" w:space="0" w:color="auto"/>
            </w:tcBorders>
            <w:shd w:val="clear" w:color="auto" w:fill="auto"/>
            <w:noWrap/>
            <w:vAlign w:val="center"/>
            <w:hideMark/>
          </w:tcPr>
          <w:p w14:paraId="60DCB99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0EC92BEE"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7E561072"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5EF4B859"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Utilidades diversas  </w:t>
            </w:r>
          </w:p>
        </w:tc>
        <w:tc>
          <w:tcPr>
            <w:tcW w:w="920" w:type="dxa"/>
            <w:tcBorders>
              <w:left w:val="single" w:sz="4" w:space="0" w:color="auto"/>
              <w:right w:val="single" w:sz="4" w:space="0" w:color="auto"/>
            </w:tcBorders>
            <w:shd w:val="clear" w:color="auto" w:fill="auto"/>
            <w:noWrap/>
            <w:vAlign w:val="center"/>
            <w:hideMark/>
          </w:tcPr>
          <w:p w14:paraId="6D512A43"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5DCF36D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360.648</w:t>
            </w:r>
          </w:p>
        </w:tc>
        <w:tc>
          <w:tcPr>
            <w:tcW w:w="1564" w:type="dxa"/>
            <w:tcBorders>
              <w:left w:val="single" w:sz="4" w:space="0" w:color="auto"/>
              <w:right w:val="single" w:sz="4" w:space="0" w:color="auto"/>
            </w:tcBorders>
            <w:shd w:val="clear" w:color="auto" w:fill="auto"/>
            <w:noWrap/>
            <w:vAlign w:val="center"/>
            <w:hideMark/>
          </w:tcPr>
          <w:p w14:paraId="7176A7BF"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-360.648</w:t>
            </w:r>
          </w:p>
        </w:tc>
        <w:tc>
          <w:tcPr>
            <w:tcW w:w="1077" w:type="dxa"/>
            <w:tcBorders>
              <w:left w:val="single" w:sz="4" w:space="0" w:color="auto"/>
              <w:right w:val="single" w:sz="4" w:space="0" w:color="auto"/>
            </w:tcBorders>
            <w:shd w:val="clear" w:color="auto" w:fill="auto"/>
            <w:noWrap/>
            <w:vAlign w:val="center"/>
            <w:hideMark/>
          </w:tcPr>
          <w:p w14:paraId="700E309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6B6AE167"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08053931"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46C1D223"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Perdidas diversas </w:t>
            </w:r>
          </w:p>
        </w:tc>
        <w:tc>
          <w:tcPr>
            <w:tcW w:w="920" w:type="dxa"/>
            <w:tcBorders>
              <w:left w:val="single" w:sz="4" w:space="0" w:color="auto"/>
              <w:right w:val="single" w:sz="4" w:space="0" w:color="auto"/>
            </w:tcBorders>
            <w:shd w:val="clear" w:color="auto" w:fill="auto"/>
            <w:noWrap/>
            <w:vAlign w:val="center"/>
            <w:hideMark/>
          </w:tcPr>
          <w:p w14:paraId="14A751C6"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71F8D03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237.968</w:t>
            </w:r>
          </w:p>
        </w:tc>
        <w:tc>
          <w:tcPr>
            <w:tcW w:w="1564" w:type="dxa"/>
            <w:tcBorders>
              <w:left w:val="single" w:sz="4" w:space="0" w:color="auto"/>
              <w:right w:val="single" w:sz="4" w:space="0" w:color="auto"/>
            </w:tcBorders>
            <w:shd w:val="clear" w:color="auto" w:fill="auto"/>
            <w:noWrap/>
            <w:vAlign w:val="center"/>
            <w:hideMark/>
          </w:tcPr>
          <w:p w14:paraId="71591CDB"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-237.968</w:t>
            </w:r>
          </w:p>
        </w:tc>
        <w:tc>
          <w:tcPr>
            <w:tcW w:w="1077" w:type="dxa"/>
            <w:tcBorders>
              <w:left w:val="single" w:sz="4" w:space="0" w:color="auto"/>
              <w:right w:val="single" w:sz="4" w:space="0" w:color="auto"/>
            </w:tcBorders>
            <w:shd w:val="clear" w:color="auto" w:fill="auto"/>
            <w:noWrap/>
            <w:vAlign w:val="center"/>
            <w:hideMark/>
          </w:tcPr>
          <w:p w14:paraId="02B4EB0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71A953E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1041AF" w:rsidRPr="00701F32" w14:paraId="663DEB67"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18C7AD35"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Impuesto a las ganancias </w:t>
            </w:r>
          </w:p>
        </w:tc>
        <w:tc>
          <w:tcPr>
            <w:tcW w:w="920" w:type="dxa"/>
            <w:tcBorders>
              <w:left w:val="single" w:sz="4" w:space="0" w:color="auto"/>
              <w:right w:val="single" w:sz="4" w:space="0" w:color="auto"/>
            </w:tcBorders>
            <w:shd w:val="clear" w:color="auto" w:fill="auto"/>
            <w:noWrap/>
            <w:vAlign w:val="center"/>
            <w:hideMark/>
          </w:tcPr>
          <w:p w14:paraId="3F4C94BC"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j</w:t>
            </w:r>
          </w:p>
        </w:tc>
        <w:tc>
          <w:tcPr>
            <w:tcW w:w="1140" w:type="dxa"/>
            <w:tcBorders>
              <w:left w:val="single" w:sz="4" w:space="0" w:color="auto"/>
              <w:right w:val="single" w:sz="4" w:space="0" w:color="auto"/>
            </w:tcBorders>
            <w:shd w:val="clear" w:color="auto" w:fill="auto"/>
            <w:noWrap/>
            <w:vAlign w:val="center"/>
            <w:hideMark/>
          </w:tcPr>
          <w:p w14:paraId="77F2B8E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440.439</w:t>
            </w:r>
          </w:p>
        </w:tc>
        <w:tc>
          <w:tcPr>
            <w:tcW w:w="1564" w:type="dxa"/>
            <w:tcBorders>
              <w:left w:val="single" w:sz="4" w:space="0" w:color="auto"/>
              <w:right w:val="single" w:sz="4" w:space="0" w:color="auto"/>
            </w:tcBorders>
            <w:shd w:val="clear" w:color="auto" w:fill="auto"/>
            <w:noWrap/>
            <w:vAlign w:val="center"/>
            <w:hideMark/>
          </w:tcPr>
          <w:p w14:paraId="35AC5022"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77" w:type="dxa"/>
            <w:tcBorders>
              <w:left w:val="single" w:sz="4" w:space="0" w:color="auto"/>
              <w:right w:val="single" w:sz="4" w:space="0" w:color="auto"/>
            </w:tcBorders>
            <w:shd w:val="clear" w:color="auto" w:fill="auto"/>
            <w:noWrap/>
            <w:vAlign w:val="center"/>
            <w:hideMark/>
          </w:tcPr>
          <w:p w14:paraId="2E8AF681"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-115.141</w:t>
            </w:r>
          </w:p>
        </w:tc>
        <w:tc>
          <w:tcPr>
            <w:tcW w:w="1564" w:type="dxa"/>
            <w:tcBorders>
              <w:left w:val="single" w:sz="4" w:space="0" w:color="auto"/>
              <w:right w:val="single" w:sz="4" w:space="0" w:color="auto"/>
            </w:tcBorders>
            <w:shd w:val="clear" w:color="auto" w:fill="auto"/>
            <w:noWrap/>
            <w:vAlign w:val="center"/>
            <w:hideMark/>
          </w:tcPr>
          <w:p w14:paraId="241F77A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325.298</w:t>
            </w:r>
          </w:p>
        </w:tc>
      </w:tr>
      <w:tr w:rsidR="001041AF" w:rsidRPr="00701F32" w14:paraId="47230C02"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707CAEEC"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Ingresos por intereses </w:t>
            </w:r>
          </w:p>
        </w:tc>
        <w:tc>
          <w:tcPr>
            <w:tcW w:w="920" w:type="dxa"/>
            <w:tcBorders>
              <w:left w:val="single" w:sz="4" w:space="0" w:color="auto"/>
              <w:right w:val="single" w:sz="4" w:space="0" w:color="auto"/>
            </w:tcBorders>
            <w:shd w:val="clear" w:color="auto" w:fill="auto"/>
            <w:noWrap/>
            <w:vAlign w:val="center"/>
            <w:hideMark/>
          </w:tcPr>
          <w:p w14:paraId="7A4F9223"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a, b, l, m</w:t>
            </w:r>
          </w:p>
        </w:tc>
        <w:tc>
          <w:tcPr>
            <w:tcW w:w="1140" w:type="dxa"/>
            <w:tcBorders>
              <w:left w:val="single" w:sz="4" w:space="0" w:color="auto"/>
              <w:right w:val="single" w:sz="4" w:space="0" w:color="auto"/>
            </w:tcBorders>
            <w:shd w:val="clear" w:color="auto" w:fill="auto"/>
            <w:noWrap/>
            <w:vAlign w:val="center"/>
            <w:hideMark/>
          </w:tcPr>
          <w:p w14:paraId="59A6330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5800D6E1" w14:textId="050A5571"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8.875.480</w:t>
            </w:r>
          </w:p>
        </w:tc>
        <w:tc>
          <w:tcPr>
            <w:tcW w:w="1077" w:type="dxa"/>
            <w:tcBorders>
              <w:left w:val="single" w:sz="4" w:space="0" w:color="auto"/>
              <w:right w:val="single" w:sz="4" w:space="0" w:color="auto"/>
            </w:tcBorders>
            <w:shd w:val="clear" w:color="auto" w:fill="auto"/>
            <w:noWrap/>
            <w:vAlign w:val="center"/>
            <w:hideMark/>
          </w:tcPr>
          <w:p w14:paraId="3340642F"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868.924</w:t>
            </w:r>
          </w:p>
        </w:tc>
        <w:tc>
          <w:tcPr>
            <w:tcW w:w="1564" w:type="dxa"/>
            <w:tcBorders>
              <w:left w:val="single" w:sz="4" w:space="0" w:color="auto"/>
              <w:right w:val="single" w:sz="4" w:space="0" w:color="auto"/>
            </w:tcBorders>
            <w:shd w:val="clear" w:color="auto" w:fill="auto"/>
            <w:noWrap/>
            <w:vAlign w:val="center"/>
            <w:hideMark/>
          </w:tcPr>
          <w:p w14:paraId="48502EDF" w14:textId="787C87CB"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9.744.404</w:t>
            </w:r>
          </w:p>
        </w:tc>
      </w:tr>
      <w:tr w:rsidR="001041AF" w:rsidRPr="00701F32" w14:paraId="7740968C"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26909141"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Egresos por intereses </w:t>
            </w:r>
          </w:p>
        </w:tc>
        <w:tc>
          <w:tcPr>
            <w:tcW w:w="920" w:type="dxa"/>
            <w:tcBorders>
              <w:left w:val="single" w:sz="4" w:space="0" w:color="auto"/>
              <w:right w:val="single" w:sz="4" w:space="0" w:color="auto"/>
            </w:tcBorders>
            <w:shd w:val="clear" w:color="auto" w:fill="auto"/>
            <w:noWrap/>
            <w:vAlign w:val="center"/>
            <w:hideMark/>
          </w:tcPr>
          <w:p w14:paraId="13212D01"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m</w:t>
            </w:r>
          </w:p>
        </w:tc>
        <w:tc>
          <w:tcPr>
            <w:tcW w:w="1140" w:type="dxa"/>
            <w:tcBorders>
              <w:left w:val="single" w:sz="4" w:space="0" w:color="auto"/>
              <w:right w:val="single" w:sz="4" w:space="0" w:color="auto"/>
            </w:tcBorders>
            <w:shd w:val="clear" w:color="auto" w:fill="auto"/>
            <w:noWrap/>
            <w:vAlign w:val="center"/>
            <w:hideMark/>
          </w:tcPr>
          <w:p w14:paraId="7AC8304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6CF1782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3.554.512</w:t>
            </w:r>
          </w:p>
        </w:tc>
        <w:tc>
          <w:tcPr>
            <w:tcW w:w="1077" w:type="dxa"/>
            <w:tcBorders>
              <w:left w:val="single" w:sz="4" w:space="0" w:color="auto"/>
              <w:right w:val="single" w:sz="4" w:space="0" w:color="auto"/>
            </w:tcBorders>
            <w:shd w:val="clear" w:color="auto" w:fill="auto"/>
            <w:noWrap/>
            <w:vAlign w:val="center"/>
            <w:hideMark/>
          </w:tcPr>
          <w:p w14:paraId="069C2267"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258.201</w:t>
            </w:r>
          </w:p>
        </w:tc>
        <w:tc>
          <w:tcPr>
            <w:tcW w:w="1564" w:type="dxa"/>
            <w:tcBorders>
              <w:left w:val="single" w:sz="4" w:space="0" w:color="auto"/>
              <w:right w:val="single" w:sz="4" w:space="0" w:color="auto"/>
            </w:tcBorders>
            <w:shd w:val="clear" w:color="auto" w:fill="auto"/>
            <w:noWrap/>
            <w:vAlign w:val="center"/>
            <w:hideMark/>
          </w:tcPr>
          <w:p w14:paraId="2EE08AFB"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3.812.713</w:t>
            </w:r>
          </w:p>
        </w:tc>
      </w:tr>
      <w:tr w:rsidR="001041AF" w:rsidRPr="00701F32" w14:paraId="25D68D58"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03DC7120"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Ingresos por comisiones </w:t>
            </w:r>
          </w:p>
        </w:tc>
        <w:tc>
          <w:tcPr>
            <w:tcW w:w="920" w:type="dxa"/>
            <w:tcBorders>
              <w:left w:val="single" w:sz="4" w:space="0" w:color="auto"/>
              <w:right w:val="single" w:sz="4" w:space="0" w:color="auto"/>
            </w:tcBorders>
            <w:shd w:val="clear" w:color="auto" w:fill="auto"/>
            <w:noWrap/>
            <w:vAlign w:val="center"/>
            <w:hideMark/>
          </w:tcPr>
          <w:p w14:paraId="3AEC7A45"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a</w:t>
            </w:r>
          </w:p>
        </w:tc>
        <w:tc>
          <w:tcPr>
            <w:tcW w:w="1140" w:type="dxa"/>
            <w:tcBorders>
              <w:left w:val="single" w:sz="4" w:space="0" w:color="auto"/>
              <w:right w:val="single" w:sz="4" w:space="0" w:color="auto"/>
            </w:tcBorders>
            <w:shd w:val="clear" w:color="auto" w:fill="auto"/>
            <w:noWrap/>
            <w:vAlign w:val="center"/>
            <w:hideMark/>
          </w:tcPr>
          <w:p w14:paraId="1D1B71E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40ED4D4F"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2.659.478</w:t>
            </w:r>
          </w:p>
        </w:tc>
        <w:tc>
          <w:tcPr>
            <w:tcW w:w="1077" w:type="dxa"/>
            <w:tcBorders>
              <w:left w:val="single" w:sz="4" w:space="0" w:color="auto"/>
              <w:right w:val="single" w:sz="4" w:space="0" w:color="auto"/>
            </w:tcBorders>
            <w:shd w:val="clear" w:color="auto" w:fill="auto"/>
            <w:noWrap/>
            <w:vAlign w:val="center"/>
            <w:hideMark/>
          </w:tcPr>
          <w:p w14:paraId="6ABBB7D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-273.186</w:t>
            </w:r>
          </w:p>
        </w:tc>
        <w:tc>
          <w:tcPr>
            <w:tcW w:w="1564" w:type="dxa"/>
            <w:tcBorders>
              <w:left w:val="single" w:sz="4" w:space="0" w:color="auto"/>
              <w:right w:val="single" w:sz="4" w:space="0" w:color="auto"/>
            </w:tcBorders>
            <w:shd w:val="clear" w:color="auto" w:fill="auto"/>
            <w:noWrap/>
            <w:vAlign w:val="center"/>
            <w:hideMark/>
          </w:tcPr>
          <w:p w14:paraId="3E88EC1B"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2.386.292</w:t>
            </w:r>
          </w:p>
        </w:tc>
      </w:tr>
      <w:tr w:rsidR="001041AF" w:rsidRPr="00701F32" w14:paraId="23D87BBC"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32F93206"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Egresos por comisiones </w:t>
            </w:r>
          </w:p>
        </w:tc>
        <w:tc>
          <w:tcPr>
            <w:tcW w:w="920" w:type="dxa"/>
            <w:tcBorders>
              <w:left w:val="single" w:sz="4" w:space="0" w:color="auto"/>
              <w:right w:val="single" w:sz="4" w:space="0" w:color="auto"/>
            </w:tcBorders>
            <w:shd w:val="clear" w:color="auto" w:fill="auto"/>
            <w:noWrap/>
            <w:vAlign w:val="center"/>
            <w:hideMark/>
          </w:tcPr>
          <w:p w14:paraId="1D00EDD8"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47B12CE4"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7314143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729.017</w:t>
            </w:r>
          </w:p>
        </w:tc>
        <w:tc>
          <w:tcPr>
            <w:tcW w:w="1077" w:type="dxa"/>
            <w:tcBorders>
              <w:left w:val="single" w:sz="4" w:space="0" w:color="auto"/>
              <w:right w:val="single" w:sz="4" w:space="0" w:color="auto"/>
            </w:tcBorders>
            <w:shd w:val="clear" w:color="auto" w:fill="auto"/>
            <w:noWrap/>
            <w:vAlign w:val="center"/>
            <w:hideMark/>
          </w:tcPr>
          <w:p w14:paraId="6458B009"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6.801</w:t>
            </w:r>
          </w:p>
        </w:tc>
        <w:tc>
          <w:tcPr>
            <w:tcW w:w="1564" w:type="dxa"/>
            <w:tcBorders>
              <w:left w:val="single" w:sz="4" w:space="0" w:color="auto"/>
              <w:right w:val="single" w:sz="4" w:space="0" w:color="auto"/>
            </w:tcBorders>
            <w:shd w:val="clear" w:color="auto" w:fill="auto"/>
            <w:noWrap/>
            <w:vAlign w:val="center"/>
            <w:hideMark/>
          </w:tcPr>
          <w:p w14:paraId="396647AD"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735.818</w:t>
            </w:r>
          </w:p>
        </w:tc>
      </w:tr>
      <w:tr w:rsidR="001041AF" w:rsidRPr="00701F32" w14:paraId="3EBB6652" w14:textId="77777777" w:rsidTr="00E311C9">
        <w:trPr>
          <w:trHeight w:val="315"/>
        </w:trPr>
        <w:tc>
          <w:tcPr>
            <w:tcW w:w="4000" w:type="dxa"/>
            <w:tcBorders>
              <w:left w:val="single" w:sz="4" w:space="0" w:color="auto"/>
              <w:right w:val="single" w:sz="4" w:space="0" w:color="auto"/>
            </w:tcBorders>
            <w:shd w:val="clear" w:color="auto" w:fill="auto"/>
            <w:noWrap/>
            <w:vAlign w:val="bottom"/>
            <w:hideMark/>
          </w:tcPr>
          <w:p w14:paraId="430FA481" w14:textId="77777777" w:rsidR="001041AF" w:rsidRPr="00701F32" w:rsidRDefault="001041AF" w:rsidP="001041A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Resul. por inst.financieros a VR con cbios en result.</w:t>
            </w:r>
          </w:p>
        </w:tc>
        <w:tc>
          <w:tcPr>
            <w:tcW w:w="920" w:type="dxa"/>
            <w:tcBorders>
              <w:left w:val="single" w:sz="4" w:space="0" w:color="auto"/>
              <w:right w:val="single" w:sz="4" w:space="0" w:color="auto"/>
            </w:tcBorders>
            <w:shd w:val="clear" w:color="auto" w:fill="auto"/>
            <w:noWrap/>
            <w:vAlign w:val="center"/>
            <w:hideMark/>
          </w:tcPr>
          <w:p w14:paraId="4A26AE19"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c</w:t>
            </w:r>
          </w:p>
        </w:tc>
        <w:tc>
          <w:tcPr>
            <w:tcW w:w="1140" w:type="dxa"/>
            <w:tcBorders>
              <w:left w:val="single" w:sz="4" w:space="0" w:color="auto"/>
              <w:right w:val="single" w:sz="4" w:space="0" w:color="auto"/>
            </w:tcBorders>
            <w:shd w:val="clear" w:color="auto" w:fill="auto"/>
            <w:noWrap/>
            <w:vAlign w:val="center"/>
            <w:hideMark/>
          </w:tcPr>
          <w:p w14:paraId="48F1C8A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7EAA9044" w14:textId="5C727C58"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1.289.653</w:t>
            </w:r>
          </w:p>
        </w:tc>
        <w:tc>
          <w:tcPr>
            <w:tcW w:w="1077" w:type="dxa"/>
            <w:tcBorders>
              <w:left w:val="single" w:sz="4" w:space="0" w:color="auto"/>
              <w:right w:val="single" w:sz="4" w:space="0" w:color="auto"/>
            </w:tcBorders>
            <w:shd w:val="clear" w:color="auto" w:fill="auto"/>
            <w:noWrap/>
            <w:vAlign w:val="center"/>
            <w:hideMark/>
          </w:tcPr>
          <w:p w14:paraId="706D815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-48.415</w:t>
            </w:r>
          </w:p>
        </w:tc>
        <w:tc>
          <w:tcPr>
            <w:tcW w:w="1564" w:type="dxa"/>
            <w:tcBorders>
              <w:left w:val="single" w:sz="4" w:space="0" w:color="auto"/>
              <w:right w:val="single" w:sz="4" w:space="0" w:color="auto"/>
            </w:tcBorders>
            <w:shd w:val="clear" w:color="auto" w:fill="auto"/>
            <w:noWrap/>
            <w:vAlign w:val="center"/>
            <w:hideMark/>
          </w:tcPr>
          <w:p w14:paraId="34085541" w14:textId="2F1910B7"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1.241.238</w:t>
            </w:r>
          </w:p>
        </w:tc>
      </w:tr>
      <w:tr w:rsidR="001041AF" w:rsidRPr="00701F32" w14:paraId="32AB639B"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36512B1C"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Diferencia de cotización de oro y moneda extranjera     </w:t>
            </w:r>
          </w:p>
        </w:tc>
        <w:tc>
          <w:tcPr>
            <w:tcW w:w="920" w:type="dxa"/>
            <w:tcBorders>
              <w:left w:val="single" w:sz="4" w:space="0" w:color="auto"/>
              <w:right w:val="single" w:sz="4" w:space="0" w:color="auto"/>
            </w:tcBorders>
            <w:shd w:val="clear" w:color="auto" w:fill="auto"/>
            <w:noWrap/>
            <w:vAlign w:val="center"/>
            <w:hideMark/>
          </w:tcPr>
          <w:p w14:paraId="62EFAA69"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1F6964C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294CBA1B"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132.909</w:t>
            </w:r>
          </w:p>
        </w:tc>
        <w:tc>
          <w:tcPr>
            <w:tcW w:w="1077" w:type="dxa"/>
            <w:tcBorders>
              <w:left w:val="single" w:sz="4" w:space="0" w:color="auto"/>
              <w:right w:val="single" w:sz="4" w:space="0" w:color="auto"/>
            </w:tcBorders>
            <w:shd w:val="clear" w:color="auto" w:fill="auto"/>
            <w:noWrap/>
            <w:vAlign w:val="center"/>
            <w:hideMark/>
          </w:tcPr>
          <w:p w14:paraId="7F8C690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hideMark/>
          </w:tcPr>
          <w:p w14:paraId="48A66632"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132.909</w:t>
            </w:r>
          </w:p>
        </w:tc>
      </w:tr>
      <w:tr w:rsidR="001041AF" w:rsidRPr="00701F32" w14:paraId="263AAE49"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74190A2C"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ingresos operativos </w:t>
            </w:r>
          </w:p>
        </w:tc>
        <w:tc>
          <w:tcPr>
            <w:tcW w:w="920" w:type="dxa"/>
            <w:tcBorders>
              <w:left w:val="single" w:sz="4" w:space="0" w:color="auto"/>
              <w:right w:val="single" w:sz="4" w:space="0" w:color="auto"/>
            </w:tcBorders>
            <w:shd w:val="clear" w:color="auto" w:fill="auto"/>
            <w:noWrap/>
            <w:vAlign w:val="center"/>
            <w:hideMark/>
          </w:tcPr>
          <w:p w14:paraId="7FA82427" w14:textId="77777777" w:rsidR="001041AF" w:rsidRPr="00701F32" w:rsidRDefault="001041AF" w:rsidP="001041AF">
            <w:pPr>
              <w:jc w:val="center"/>
              <w:rPr>
                <w:rFonts w:ascii="Arial" w:hAnsi="Arial" w:cs="Arial"/>
                <w:bCs/>
                <w:color w:val="000000"/>
                <w:sz w:val="16"/>
                <w:szCs w:val="16"/>
                <w:lang w:eastAsia="es-AR"/>
              </w:rPr>
            </w:pPr>
          </w:p>
        </w:tc>
        <w:tc>
          <w:tcPr>
            <w:tcW w:w="1140" w:type="dxa"/>
            <w:tcBorders>
              <w:left w:val="single" w:sz="4" w:space="0" w:color="auto"/>
              <w:right w:val="single" w:sz="4" w:space="0" w:color="auto"/>
            </w:tcBorders>
            <w:shd w:val="clear" w:color="auto" w:fill="auto"/>
            <w:noWrap/>
            <w:vAlign w:val="center"/>
            <w:hideMark/>
          </w:tcPr>
          <w:p w14:paraId="707FFB34"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78D4F0A6" w14:textId="6FA300AA"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980.937</w:t>
            </w:r>
          </w:p>
        </w:tc>
        <w:tc>
          <w:tcPr>
            <w:tcW w:w="1077" w:type="dxa"/>
            <w:tcBorders>
              <w:left w:val="single" w:sz="4" w:space="0" w:color="auto"/>
              <w:right w:val="single" w:sz="4" w:space="0" w:color="auto"/>
            </w:tcBorders>
            <w:shd w:val="clear" w:color="auto" w:fill="auto"/>
            <w:noWrap/>
            <w:vAlign w:val="center"/>
          </w:tcPr>
          <w:p w14:paraId="1C210CC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-32.183</w:t>
            </w:r>
          </w:p>
        </w:tc>
        <w:tc>
          <w:tcPr>
            <w:tcW w:w="1564" w:type="dxa"/>
            <w:tcBorders>
              <w:left w:val="single" w:sz="4" w:space="0" w:color="auto"/>
              <w:right w:val="single" w:sz="4" w:space="0" w:color="auto"/>
            </w:tcBorders>
            <w:shd w:val="clear" w:color="auto" w:fill="auto"/>
            <w:noWrap/>
            <w:vAlign w:val="center"/>
          </w:tcPr>
          <w:p w14:paraId="3AF36371" w14:textId="5B5D5ED6"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948.754</w:t>
            </w:r>
          </w:p>
        </w:tc>
      </w:tr>
      <w:tr w:rsidR="001041AF" w:rsidRPr="00701F32" w14:paraId="2C958A2E"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343CDDE5"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Beneficios al personal     </w:t>
            </w:r>
          </w:p>
        </w:tc>
        <w:tc>
          <w:tcPr>
            <w:tcW w:w="920" w:type="dxa"/>
            <w:tcBorders>
              <w:left w:val="single" w:sz="4" w:space="0" w:color="auto"/>
              <w:right w:val="single" w:sz="4" w:space="0" w:color="auto"/>
            </w:tcBorders>
            <w:shd w:val="clear" w:color="auto" w:fill="auto"/>
            <w:noWrap/>
            <w:vAlign w:val="center"/>
            <w:hideMark/>
          </w:tcPr>
          <w:p w14:paraId="1E195696"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 g</w:t>
            </w:r>
          </w:p>
        </w:tc>
        <w:tc>
          <w:tcPr>
            <w:tcW w:w="1140" w:type="dxa"/>
            <w:tcBorders>
              <w:left w:val="single" w:sz="4" w:space="0" w:color="auto"/>
              <w:right w:val="single" w:sz="4" w:space="0" w:color="auto"/>
            </w:tcBorders>
            <w:shd w:val="clear" w:color="auto" w:fill="auto"/>
            <w:noWrap/>
            <w:vAlign w:val="center"/>
            <w:hideMark/>
          </w:tcPr>
          <w:p w14:paraId="4D1B7B67"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325A002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3.256.852</w:t>
            </w:r>
          </w:p>
        </w:tc>
        <w:tc>
          <w:tcPr>
            <w:tcW w:w="1077" w:type="dxa"/>
            <w:tcBorders>
              <w:left w:val="single" w:sz="4" w:space="0" w:color="auto"/>
              <w:right w:val="single" w:sz="4" w:space="0" w:color="auto"/>
            </w:tcBorders>
            <w:shd w:val="clear" w:color="auto" w:fill="auto"/>
            <w:noWrap/>
            <w:vAlign w:val="center"/>
          </w:tcPr>
          <w:p w14:paraId="41C3A012"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166.108</w:t>
            </w:r>
          </w:p>
        </w:tc>
        <w:tc>
          <w:tcPr>
            <w:tcW w:w="1564" w:type="dxa"/>
            <w:tcBorders>
              <w:left w:val="single" w:sz="4" w:space="0" w:color="auto"/>
              <w:right w:val="single" w:sz="4" w:space="0" w:color="auto"/>
            </w:tcBorders>
            <w:shd w:val="clear" w:color="auto" w:fill="auto"/>
            <w:noWrap/>
            <w:vAlign w:val="center"/>
          </w:tcPr>
          <w:p w14:paraId="08E0A13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3.422.960</w:t>
            </w:r>
          </w:p>
        </w:tc>
      </w:tr>
      <w:tr w:rsidR="001041AF" w:rsidRPr="00701F32" w14:paraId="1A111CEC"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7FE2E052"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Gastos de administración</w:t>
            </w:r>
          </w:p>
        </w:tc>
        <w:tc>
          <w:tcPr>
            <w:tcW w:w="920" w:type="dxa"/>
            <w:tcBorders>
              <w:left w:val="single" w:sz="4" w:space="0" w:color="auto"/>
              <w:right w:val="single" w:sz="4" w:space="0" w:color="auto"/>
            </w:tcBorders>
            <w:shd w:val="clear" w:color="auto" w:fill="auto"/>
            <w:noWrap/>
            <w:vAlign w:val="center"/>
            <w:hideMark/>
          </w:tcPr>
          <w:p w14:paraId="3DC4B348"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b, h</w:t>
            </w:r>
          </w:p>
        </w:tc>
        <w:tc>
          <w:tcPr>
            <w:tcW w:w="1140" w:type="dxa"/>
            <w:tcBorders>
              <w:left w:val="single" w:sz="4" w:space="0" w:color="auto"/>
              <w:right w:val="single" w:sz="4" w:space="0" w:color="auto"/>
            </w:tcBorders>
            <w:shd w:val="clear" w:color="auto" w:fill="auto"/>
            <w:noWrap/>
            <w:vAlign w:val="center"/>
            <w:hideMark/>
          </w:tcPr>
          <w:p w14:paraId="3E1EB6FC"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3B5EB59E"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2.053.726</w:t>
            </w:r>
          </w:p>
        </w:tc>
        <w:tc>
          <w:tcPr>
            <w:tcW w:w="1077" w:type="dxa"/>
            <w:tcBorders>
              <w:left w:val="single" w:sz="4" w:space="0" w:color="auto"/>
              <w:right w:val="single" w:sz="4" w:space="0" w:color="auto"/>
            </w:tcBorders>
            <w:shd w:val="clear" w:color="auto" w:fill="auto"/>
            <w:noWrap/>
            <w:vAlign w:val="center"/>
          </w:tcPr>
          <w:p w14:paraId="3B6A4098"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158.422</w:t>
            </w:r>
          </w:p>
        </w:tc>
        <w:tc>
          <w:tcPr>
            <w:tcW w:w="1564" w:type="dxa"/>
            <w:tcBorders>
              <w:left w:val="single" w:sz="4" w:space="0" w:color="auto"/>
              <w:right w:val="single" w:sz="4" w:space="0" w:color="auto"/>
            </w:tcBorders>
            <w:shd w:val="clear" w:color="auto" w:fill="auto"/>
            <w:noWrap/>
            <w:vAlign w:val="center"/>
          </w:tcPr>
          <w:p w14:paraId="763CEB05"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2.212.148</w:t>
            </w:r>
          </w:p>
        </w:tc>
      </w:tr>
      <w:tr w:rsidR="001041AF" w:rsidRPr="00701F32" w14:paraId="5ACAF9FE"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1D8F5830"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Depreciaciones y desvalorizaciones de bienes </w:t>
            </w:r>
          </w:p>
        </w:tc>
        <w:tc>
          <w:tcPr>
            <w:tcW w:w="920" w:type="dxa"/>
            <w:tcBorders>
              <w:left w:val="single" w:sz="4" w:space="0" w:color="auto"/>
              <w:right w:val="single" w:sz="4" w:space="0" w:color="auto"/>
            </w:tcBorders>
            <w:shd w:val="clear" w:color="auto" w:fill="auto"/>
            <w:noWrap/>
            <w:vAlign w:val="center"/>
            <w:hideMark/>
          </w:tcPr>
          <w:p w14:paraId="1F36E3BC"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a</w:t>
            </w:r>
          </w:p>
        </w:tc>
        <w:tc>
          <w:tcPr>
            <w:tcW w:w="1140" w:type="dxa"/>
            <w:tcBorders>
              <w:left w:val="single" w:sz="4" w:space="0" w:color="auto"/>
              <w:right w:val="single" w:sz="4" w:space="0" w:color="auto"/>
            </w:tcBorders>
            <w:shd w:val="clear" w:color="auto" w:fill="auto"/>
            <w:noWrap/>
            <w:vAlign w:val="center"/>
            <w:hideMark/>
          </w:tcPr>
          <w:p w14:paraId="17CB62E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709E66A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178.224</w:t>
            </w:r>
          </w:p>
        </w:tc>
        <w:tc>
          <w:tcPr>
            <w:tcW w:w="1077" w:type="dxa"/>
            <w:tcBorders>
              <w:left w:val="single" w:sz="4" w:space="0" w:color="auto"/>
              <w:right w:val="single" w:sz="4" w:space="0" w:color="auto"/>
            </w:tcBorders>
            <w:shd w:val="clear" w:color="auto" w:fill="auto"/>
            <w:noWrap/>
            <w:vAlign w:val="center"/>
          </w:tcPr>
          <w:p w14:paraId="07D4DEA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24.423</w:t>
            </w:r>
          </w:p>
        </w:tc>
        <w:tc>
          <w:tcPr>
            <w:tcW w:w="1564" w:type="dxa"/>
            <w:tcBorders>
              <w:left w:val="single" w:sz="4" w:space="0" w:color="auto"/>
              <w:right w:val="single" w:sz="4" w:space="0" w:color="auto"/>
            </w:tcBorders>
            <w:shd w:val="clear" w:color="auto" w:fill="auto"/>
            <w:noWrap/>
            <w:vAlign w:val="center"/>
          </w:tcPr>
          <w:p w14:paraId="0C6D5E65"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202.647</w:t>
            </w:r>
          </w:p>
        </w:tc>
      </w:tr>
      <w:tr w:rsidR="001041AF" w:rsidRPr="00701F32" w14:paraId="6B6DDB5D"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37E5730B"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gastos operativos </w:t>
            </w:r>
          </w:p>
        </w:tc>
        <w:tc>
          <w:tcPr>
            <w:tcW w:w="920" w:type="dxa"/>
            <w:tcBorders>
              <w:left w:val="single" w:sz="4" w:space="0" w:color="auto"/>
              <w:right w:val="single" w:sz="4" w:space="0" w:color="auto"/>
            </w:tcBorders>
            <w:shd w:val="clear" w:color="auto" w:fill="auto"/>
            <w:noWrap/>
            <w:vAlign w:val="center"/>
            <w:hideMark/>
          </w:tcPr>
          <w:p w14:paraId="787B4ACE"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 f</w:t>
            </w:r>
          </w:p>
        </w:tc>
        <w:tc>
          <w:tcPr>
            <w:tcW w:w="1140" w:type="dxa"/>
            <w:tcBorders>
              <w:left w:val="single" w:sz="4" w:space="0" w:color="auto"/>
              <w:right w:val="single" w:sz="4" w:space="0" w:color="auto"/>
            </w:tcBorders>
            <w:shd w:val="clear" w:color="auto" w:fill="auto"/>
            <w:noWrap/>
            <w:vAlign w:val="center"/>
            <w:hideMark/>
          </w:tcPr>
          <w:p w14:paraId="2CF1AA90"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4E29152D" w14:textId="280C12EF"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1.445.774</w:t>
            </w:r>
          </w:p>
        </w:tc>
        <w:tc>
          <w:tcPr>
            <w:tcW w:w="1077" w:type="dxa"/>
            <w:tcBorders>
              <w:left w:val="single" w:sz="4" w:space="0" w:color="auto"/>
              <w:right w:val="single" w:sz="4" w:space="0" w:color="auto"/>
            </w:tcBorders>
            <w:shd w:val="clear" w:color="auto" w:fill="auto"/>
            <w:noWrap/>
            <w:vAlign w:val="center"/>
          </w:tcPr>
          <w:p w14:paraId="191E4866"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182.279</w:t>
            </w:r>
          </w:p>
        </w:tc>
        <w:tc>
          <w:tcPr>
            <w:tcW w:w="1564" w:type="dxa"/>
            <w:tcBorders>
              <w:left w:val="single" w:sz="4" w:space="0" w:color="auto"/>
              <w:right w:val="single" w:sz="4" w:space="0" w:color="auto"/>
            </w:tcBorders>
            <w:shd w:val="clear" w:color="auto" w:fill="auto"/>
            <w:noWrap/>
            <w:vAlign w:val="center"/>
          </w:tcPr>
          <w:p w14:paraId="39CC3DDB" w14:textId="723F1078"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1.628.053</w:t>
            </w:r>
          </w:p>
        </w:tc>
      </w:tr>
      <w:tr w:rsidR="001041AF" w:rsidRPr="00701F32" w14:paraId="2B36FFE6" w14:textId="77777777" w:rsidTr="00E311C9">
        <w:trPr>
          <w:trHeight w:val="315"/>
        </w:trPr>
        <w:tc>
          <w:tcPr>
            <w:tcW w:w="4000" w:type="dxa"/>
            <w:tcBorders>
              <w:left w:val="single" w:sz="4" w:space="0" w:color="auto"/>
              <w:right w:val="single" w:sz="4" w:space="0" w:color="auto"/>
            </w:tcBorders>
            <w:shd w:val="clear" w:color="auto" w:fill="auto"/>
            <w:noWrap/>
            <w:vAlign w:val="center"/>
            <w:hideMark/>
          </w:tcPr>
          <w:p w14:paraId="708572B2"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Resultado por asociadas y negocios conjuntos </w:t>
            </w:r>
          </w:p>
        </w:tc>
        <w:tc>
          <w:tcPr>
            <w:tcW w:w="920" w:type="dxa"/>
            <w:tcBorders>
              <w:left w:val="single" w:sz="4" w:space="0" w:color="auto"/>
              <w:right w:val="single" w:sz="4" w:space="0" w:color="auto"/>
            </w:tcBorders>
            <w:shd w:val="clear" w:color="auto" w:fill="auto"/>
            <w:noWrap/>
            <w:vAlign w:val="center"/>
            <w:hideMark/>
          </w:tcPr>
          <w:p w14:paraId="4A8E16DE"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b, k</w:t>
            </w:r>
          </w:p>
        </w:tc>
        <w:tc>
          <w:tcPr>
            <w:tcW w:w="1140" w:type="dxa"/>
            <w:tcBorders>
              <w:left w:val="single" w:sz="4" w:space="0" w:color="auto"/>
              <w:right w:val="single" w:sz="4" w:space="0" w:color="auto"/>
            </w:tcBorders>
            <w:shd w:val="clear" w:color="auto" w:fill="auto"/>
            <w:noWrap/>
            <w:vAlign w:val="center"/>
            <w:hideMark/>
          </w:tcPr>
          <w:p w14:paraId="48101465"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right w:val="single" w:sz="4" w:space="0" w:color="auto"/>
            </w:tcBorders>
            <w:shd w:val="clear" w:color="auto" w:fill="auto"/>
            <w:noWrap/>
            <w:vAlign w:val="center"/>
          </w:tcPr>
          <w:p w14:paraId="2BEB470D"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3.670</w:t>
            </w:r>
          </w:p>
        </w:tc>
        <w:tc>
          <w:tcPr>
            <w:tcW w:w="1077" w:type="dxa"/>
            <w:tcBorders>
              <w:left w:val="single" w:sz="4" w:space="0" w:color="auto"/>
              <w:right w:val="single" w:sz="4" w:space="0" w:color="auto"/>
            </w:tcBorders>
            <w:shd w:val="clear" w:color="auto" w:fill="auto"/>
            <w:noWrap/>
            <w:vAlign w:val="center"/>
          </w:tcPr>
          <w:p w14:paraId="7C1187D3"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w:t>
            </w:r>
          </w:p>
        </w:tc>
        <w:tc>
          <w:tcPr>
            <w:tcW w:w="1564" w:type="dxa"/>
            <w:tcBorders>
              <w:left w:val="single" w:sz="4" w:space="0" w:color="auto"/>
              <w:right w:val="single" w:sz="4" w:space="0" w:color="auto"/>
            </w:tcBorders>
            <w:shd w:val="clear" w:color="auto" w:fill="auto"/>
            <w:noWrap/>
            <w:vAlign w:val="center"/>
          </w:tcPr>
          <w:p w14:paraId="47949C25"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3.669</w:t>
            </w:r>
          </w:p>
        </w:tc>
      </w:tr>
      <w:tr w:rsidR="001041AF" w:rsidRPr="00701F32" w14:paraId="1035F186" w14:textId="77777777" w:rsidTr="00E311C9">
        <w:trPr>
          <w:trHeight w:val="315"/>
        </w:trPr>
        <w:tc>
          <w:tcPr>
            <w:tcW w:w="4000" w:type="dxa"/>
            <w:tcBorders>
              <w:left w:val="single" w:sz="4" w:space="0" w:color="auto"/>
              <w:bottom w:val="single" w:sz="4" w:space="0" w:color="auto"/>
              <w:right w:val="single" w:sz="4" w:space="0" w:color="auto"/>
            </w:tcBorders>
            <w:shd w:val="clear" w:color="auto" w:fill="auto"/>
            <w:noWrap/>
            <w:vAlign w:val="center"/>
            <w:hideMark/>
          </w:tcPr>
          <w:p w14:paraId="7803E6D4" w14:textId="77777777" w:rsidR="001041AF" w:rsidRPr="00701F32" w:rsidRDefault="001041AF" w:rsidP="001041AF">
            <w:pPr>
              <w:rPr>
                <w:rFonts w:ascii="Arial" w:hAnsi="Arial" w:cs="Arial"/>
                <w:bCs/>
                <w:color w:val="000000"/>
                <w:sz w:val="16"/>
                <w:szCs w:val="16"/>
                <w:lang w:eastAsia="es-AR"/>
              </w:rPr>
            </w:pPr>
            <w:r w:rsidRPr="00701F32">
              <w:rPr>
                <w:rFonts w:ascii="Arial" w:hAnsi="Arial" w:cs="Arial"/>
                <w:bCs/>
                <w:color w:val="000000"/>
                <w:sz w:val="16"/>
                <w:szCs w:val="16"/>
                <w:lang w:eastAsia="es-AR"/>
              </w:rPr>
              <w:t>Resultado atribuible a parti. no controladoras</w:t>
            </w:r>
          </w:p>
        </w:tc>
        <w:tc>
          <w:tcPr>
            <w:tcW w:w="920" w:type="dxa"/>
            <w:tcBorders>
              <w:left w:val="single" w:sz="4" w:space="0" w:color="auto"/>
              <w:bottom w:val="single" w:sz="4" w:space="0" w:color="auto"/>
              <w:right w:val="single" w:sz="4" w:space="0" w:color="auto"/>
            </w:tcBorders>
            <w:shd w:val="clear" w:color="auto" w:fill="auto"/>
            <w:noWrap/>
            <w:vAlign w:val="center"/>
            <w:hideMark/>
          </w:tcPr>
          <w:p w14:paraId="48BB4FC5" w14:textId="77777777" w:rsidR="001041AF" w:rsidRPr="00701F32" w:rsidRDefault="001041AF" w:rsidP="001041A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d</w:t>
            </w:r>
          </w:p>
        </w:tc>
        <w:tc>
          <w:tcPr>
            <w:tcW w:w="1140" w:type="dxa"/>
            <w:tcBorders>
              <w:left w:val="single" w:sz="4" w:space="0" w:color="auto"/>
              <w:bottom w:val="single" w:sz="4" w:space="0" w:color="auto"/>
              <w:right w:val="single" w:sz="4" w:space="0" w:color="auto"/>
            </w:tcBorders>
            <w:shd w:val="clear" w:color="auto" w:fill="auto"/>
            <w:noWrap/>
            <w:vAlign w:val="center"/>
            <w:hideMark/>
          </w:tcPr>
          <w:p w14:paraId="54F0230A"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64" w:type="dxa"/>
            <w:tcBorders>
              <w:left w:val="single" w:sz="4" w:space="0" w:color="auto"/>
              <w:bottom w:val="single" w:sz="4" w:space="0" w:color="auto"/>
              <w:right w:val="single" w:sz="4" w:space="0" w:color="auto"/>
            </w:tcBorders>
            <w:shd w:val="clear" w:color="auto" w:fill="auto"/>
            <w:noWrap/>
            <w:vAlign w:val="center"/>
          </w:tcPr>
          <w:p w14:paraId="1B7D14BF" w14:textId="7867CDE4"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-6.958</w:t>
            </w:r>
          </w:p>
        </w:tc>
        <w:tc>
          <w:tcPr>
            <w:tcW w:w="1077" w:type="dxa"/>
            <w:tcBorders>
              <w:left w:val="single" w:sz="4" w:space="0" w:color="auto"/>
              <w:bottom w:val="single" w:sz="4" w:space="0" w:color="auto"/>
              <w:right w:val="single" w:sz="4" w:space="0" w:color="auto"/>
            </w:tcBorders>
            <w:shd w:val="clear" w:color="auto" w:fill="auto"/>
            <w:noWrap/>
            <w:vAlign w:val="center"/>
          </w:tcPr>
          <w:p w14:paraId="28919C42" w14:textId="77777777" w:rsidR="001041AF" w:rsidRPr="00701F32" w:rsidRDefault="001041AF"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-16.577</w:t>
            </w:r>
          </w:p>
        </w:tc>
        <w:tc>
          <w:tcPr>
            <w:tcW w:w="1564" w:type="dxa"/>
            <w:tcBorders>
              <w:left w:val="single" w:sz="4" w:space="0" w:color="auto"/>
              <w:bottom w:val="single" w:sz="4" w:space="0" w:color="auto"/>
              <w:right w:val="single" w:sz="4" w:space="0" w:color="auto"/>
            </w:tcBorders>
            <w:shd w:val="clear" w:color="auto" w:fill="auto"/>
            <w:noWrap/>
            <w:vAlign w:val="center"/>
          </w:tcPr>
          <w:p w14:paraId="752464A5" w14:textId="41529F3C" w:rsidR="001041AF" w:rsidRPr="00701F32" w:rsidRDefault="00BB51D6" w:rsidP="001041AF">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-23.535 </w:t>
            </w:r>
          </w:p>
        </w:tc>
      </w:tr>
      <w:tr w:rsidR="001041AF" w:rsidRPr="00701F32" w14:paraId="590C5B26" w14:textId="77777777" w:rsidTr="00E311C9">
        <w:trPr>
          <w:trHeight w:val="315"/>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F6498" w14:textId="77777777" w:rsidR="001041AF" w:rsidRPr="00701F32" w:rsidRDefault="001041AF" w:rsidP="001041AF">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RESULTADO NETO DEL PERIODO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D690" w14:textId="77777777" w:rsidR="001041AF" w:rsidRPr="00701F32" w:rsidRDefault="001041AF" w:rsidP="001041AF">
            <w:pPr>
              <w:jc w:val="center"/>
              <w:rPr>
                <w:rFonts w:ascii="Arial" w:hAnsi="Arial" w:cs="Arial"/>
                <w:b/>
                <w:bCs/>
                <w:color w:val="000000"/>
                <w:sz w:val="16"/>
                <w:szCs w:val="16"/>
                <w:lang w:eastAsia="es-AR"/>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26C2" w14:textId="77777777" w:rsidR="001041AF" w:rsidRPr="00701F32" w:rsidRDefault="001041AF" w:rsidP="001041A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1.088.388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BAA8" w14:textId="77777777" w:rsidR="001041AF" w:rsidRPr="00701F32" w:rsidRDefault="001041AF" w:rsidP="001041A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2767B" w14:textId="77777777" w:rsidR="001041AF" w:rsidRPr="00701F32" w:rsidRDefault="001041AF" w:rsidP="001041A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-283.681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100B" w14:textId="77777777" w:rsidR="001041AF" w:rsidRPr="00701F32" w:rsidRDefault="001041AF" w:rsidP="001041A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804.707</w:t>
            </w:r>
          </w:p>
        </w:tc>
      </w:tr>
    </w:tbl>
    <w:p w14:paraId="27B6A80B" w14:textId="77777777" w:rsidR="00B17999" w:rsidRPr="00701F32" w:rsidRDefault="00B17999" w:rsidP="00393CEB">
      <w:pPr>
        <w:keepNext/>
        <w:keepLines/>
        <w:spacing w:before="40" w:line="259" w:lineRule="auto"/>
        <w:ind w:left="567" w:hanging="567"/>
        <w:jc w:val="both"/>
        <w:outlineLvl w:val="1"/>
        <w:rPr>
          <w:rFonts w:ascii="Arial" w:hAnsi="Arial" w:cs="Arial"/>
          <w:sz w:val="20"/>
        </w:rPr>
      </w:pPr>
    </w:p>
    <w:p w14:paraId="4A11A2E3" w14:textId="77777777" w:rsidR="00A06BE9" w:rsidRPr="00701F32" w:rsidRDefault="00A06BE9" w:rsidP="00393CEB">
      <w:pPr>
        <w:keepNext/>
        <w:keepLines/>
        <w:spacing w:before="40" w:line="259" w:lineRule="auto"/>
        <w:ind w:left="567" w:hanging="567"/>
        <w:jc w:val="both"/>
        <w:outlineLvl w:val="1"/>
        <w:rPr>
          <w:rFonts w:ascii="Arial" w:hAnsi="Arial" w:cs="Arial"/>
          <w:sz w:val="20"/>
        </w:rPr>
      </w:pPr>
      <w:r w:rsidRPr="00701F32">
        <w:rPr>
          <w:rFonts w:ascii="Arial" w:hAnsi="Arial" w:cs="Arial"/>
          <w:sz w:val="20"/>
        </w:rPr>
        <w:t xml:space="preserve">2.1.3. Conciliación del resultado integral por el ejercicio finalizado el 31 de </w:t>
      </w:r>
      <w:r w:rsidR="00483968" w:rsidRPr="00701F32">
        <w:rPr>
          <w:rFonts w:ascii="Arial" w:hAnsi="Arial" w:cs="Arial"/>
          <w:sz w:val="20"/>
        </w:rPr>
        <w:t>diciembre de 2017 y el período finalizado el 3</w:t>
      </w:r>
      <w:r w:rsidR="003A31F2" w:rsidRPr="00701F32">
        <w:rPr>
          <w:rFonts w:ascii="Arial" w:hAnsi="Arial" w:cs="Arial"/>
          <w:sz w:val="20"/>
        </w:rPr>
        <w:t>0</w:t>
      </w:r>
      <w:r w:rsidR="00483968" w:rsidRPr="00701F32">
        <w:rPr>
          <w:rFonts w:ascii="Arial" w:hAnsi="Arial" w:cs="Arial"/>
          <w:sz w:val="20"/>
        </w:rPr>
        <w:t xml:space="preserve"> de </w:t>
      </w:r>
      <w:r w:rsidR="00B848DD" w:rsidRPr="00701F32">
        <w:rPr>
          <w:rFonts w:ascii="Arial" w:hAnsi="Arial" w:cs="Arial"/>
          <w:sz w:val="20"/>
        </w:rPr>
        <w:t>septiembre</w:t>
      </w:r>
      <w:r w:rsidRPr="00701F32">
        <w:rPr>
          <w:rFonts w:ascii="Arial" w:hAnsi="Arial" w:cs="Arial"/>
          <w:sz w:val="20"/>
        </w:rPr>
        <w:t xml:space="preserve"> de 2017</w:t>
      </w:r>
    </w:p>
    <w:p w14:paraId="21A2AF64" w14:textId="77777777" w:rsidR="0073788F" w:rsidRPr="00701F32" w:rsidRDefault="0073788F" w:rsidP="00393CEB">
      <w:pPr>
        <w:keepNext/>
        <w:keepLines/>
        <w:spacing w:before="40" w:line="259" w:lineRule="auto"/>
        <w:jc w:val="both"/>
        <w:outlineLvl w:val="1"/>
        <w:rPr>
          <w:rFonts w:ascii="Arial" w:hAnsi="Arial" w:cs="Arial"/>
          <w:sz w:val="20"/>
        </w:rPr>
      </w:pPr>
    </w:p>
    <w:tbl>
      <w:tblPr>
        <w:tblW w:w="8629" w:type="dxa"/>
        <w:tblInd w:w="70" w:type="dxa"/>
        <w:tblLayout w:type="fixed"/>
        <w:tblCellMar>
          <w:left w:w="70" w:type="dxa"/>
          <w:right w:w="70" w:type="dxa"/>
        </w:tblCellMar>
        <w:tblLook w:val="04A0" w:firstRow="1" w:lastRow="0" w:firstColumn="1" w:lastColumn="0" w:noHBand="0" w:noVBand="1"/>
      </w:tblPr>
      <w:tblGrid>
        <w:gridCol w:w="4840"/>
        <w:gridCol w:w="972"/>
        <w:gridCol w:w="1118"/>
        <w:gridCol w:w="423"/>
        <w:gridCol w:w="1276"/>
      </w:tblGrid>
      <w:tr w:rsidR="006D4ED3" w:rsidRPr="00701F32" w14:paraId="62EFB5F6" w14:textId="77777777" w:rsidTr="00393CEB">
        <w:trPr>
          <w:trHeight w:val="315"/>
          <w:tblHeader/>
        </w:trPr>
        <w:tc>
          <w:tcPr>
            <w:tcW w:w="4840" w:type="dxa"/>
            <w:tcBorders>
              <w:top w:val="nil"/>
              <w:left w:val="nil"/>
              <w:bottom w:val="nil"/>
              <w:right w:val="nil"/>
            </w:tcBorders>
            <w:shd w:val="clear" w:color="auto" w:fill="auto"/>
            <w:vAlign w:val="center"/>
            <w:hideMark/>
          </w:tcPr>
          <w:p w14:paraId="792F4965" w14:textId="77777777" w:rsidR="006D4ED3" w:rsidRPr="00701F32" w:rsidRDefault="006D4ED3" w:rsidP="006D4ED3">
            <w:pPr>
              <w:rPr>
                <w:sz w:val="18"/>
                <w:lang w:eastAsia="es-AR"/>
              </w:rPr>
            </w:pPr>
          </w:p>
        </w:tc>
        <w:tc>
          <w:tcPr>
            <w:tcW w:w="972" w:type="dxa"/>
            <w:tcBorders>
              <w:top w:val="nil"/>
              <w:left w:val="nil"/>
              <w:bottom w:val="nil"/>
              <w:right w:val="nil"/>
            </w:tcBorders>
            <w:shd w:val="clear" w:color="auto" w:fill="auto"/>
            <w:vAlign w:val="center"/>
            <w:hideMark/>
          </w:tcPr>
          <w:p w14:paraId="261F9F21" w14:textId="77777777" w:rsidR="006D4ED3" w:rsidRPr="00701F32" w:rsidRDefault="006D4ED3" w:rsidP="006D4ED3">
            <w:pPr>
              <w:jc w:val="both"/>
              <w:rPr>
                <w:sz w:val="18"/>
              </w:rPr>
            </w:pPr>
          </w:p>
        </w:tc>
        <w:tc>
          <w:tcPr>
            <w:tcW w:w="1118" w:type="dxa"/>
            <w:tcBorders>
              <w:top w:val="nil"/>
              <w:left w:val="nil"/>
              <w:bottom w:val="single" w:sz="8" w:space="0" w:color="auto"/>
              <w:right w:val="nil"/>
            </w:tcBorders>
            <w:shd w:val="clear" w:color="auto" w:fill="auto"/>
            <w:vAlign w:val="bottom"/>
            <w:hideMark/>
          </w:tcPr>
          <w:p w14:paraId="26287D25" w14:textId="77777777" w:rsidR="006D4ED3" w:rsidRPr="00701F32" w:rsidRDefault="006D4ED3" w:rsidP="00393CEB">
            <w:pPr>
              <w:jc w:val="right"/>
              <w:rPr>
                <w:rFonts w:ascii="Arial" w:hAnsi="Arial" w:cs="Arial"/>
                <w:b/>
                <w:bCs/>
                <w:color w:val="000000"/>
                <w:sz w:val="18"/>
              </w:rPr>
            </w:pPr>
            <w:r w:rsidRPr="00701F32">
              <w:rPr>
                <w:rFonts w:ascii="Arial" w:hAnsi="Arial" w:cs="Arial"/>
                <w:b/>
                <w:bCs/>
                <w:color w:val="000000"/>
                <w:sz w:val="18"/>
              </w:rPr>
              <w:t>31/12/2017</w:t>
            </w:r>
          </w:p>
        </w:tc>
        <w:tc>
          <w:tcPr>
            <w:tcW w:w="423" w:type="dxa"/>
            <w:tcBorders>
              <w:top w:val="nil"/>
              <w:left w:val="nil"/>
              <w:right w:val="nil"/>
            </w:tcBorders>
            <w:vAlign w:val="bottom"/>
          </w:tcPr>
          <w:p w14:paraId="7A55CB35" w14:textId="77777777" w:rsidR="006D4ED3" w:rsidRPr="00701F32" w:rsidRDefault="006D4ED3" w:rsidP="00393CEB">
            <w:pPr>
              <w:jc w:val="right"/>
              <w:rPr>
                <w:rFonts w:ascii="Arial" w:hAnsi="Arial" w:cs="Arial"/>
                <w:b/>
                <w:bCs/>
                <w:color w:val="000000"/>
                <w:sz w:val="18"/>
              </w:rPr>
            </w:pPr>
          </w:p>
        </w:tc>
        <w:tc>
          <w:tcPr>
            <w:tcW w:w="1276" w:type="dxa"/>
            <w:tcBorders>
              <w:top w:val="nil"/>
              <w:left w:val="nil"/>
              <w:bottom w:val="single" w:sz="8" w:space="0" w:color="auto"/>
              <w:right w:val="nil"/>
            </w:tcBorders>
            <w:vAlign w:val="bottom"/>
          </w:tcPr>
          <w:p w14:paraId="48619721" w14:textId="77777777" w:rsidR="006D4ED3" w:rsidRPr="00701F32" w:rsidRDefault="00606BA6" w:rsidP="00393CEB">
            <w:pPr>
              <w:jc w:val="right"/>
              <w:rPr>
                <w:rFonts w:ascii="Arial" w:hAnsi="Arial" w:cs="Arial"/>
                <w:b/>
                <w:bCs/>
                <w:color w:val="000000"/>
                <w:sz w:val="18"/>
              </w:rPr>
            </w:pPr>
            <w:r w:rsidRPr="00701F32">
              <w:rPr>
                <w:rFonts w:ascii="Arial" w:hAnsi="Arial" w:cs="Arial"/>
                <w:b/>
                <w:bCs/>
                <w:color w:val="000000"/>
                <w:sz w:val="18"/>
              </w:rPr>
              <w:t>30/0</w:t>
            </w:r>
            <w:r w:rsidR="00B848DD" w:rsidRPr="00701F32">
              <w:rPr>
                <w:rFonts w:ascii="Arial" w:hAnsi="Arial" w:cs="Arial"/>
                <w:b/>
                <w:bCs/>
                <w:color w:val="000000"/>
                <w:sz w:val="18"/>
              </w:rPr>
              <w:t>9</w:t>
            </w:r>
            <w:r w:rsidRPr="00701F32">
              <w:rPr>
                <w:rFonts w:ascii="Arial" w:hAnsi="Arial" w:cs="Arial"/>
                <w:b/>
                <w:bCs/>
                <w:color w:val="000000"/>
                <w:sz w:val="18"/>
              </w:rPr>
              <w:t>/2017</w:t>
            </w:r>
          </w:p>
        </w:tc>
      </w:tr>
      <w:tr w:rsidR="006D4ED3" w:rsidRPr="00701F32" w14:paraId="474A3226" w14:textId="77777777" w:rsidTr="00941382">
        <w:trPr>
          <w:trHeight w:val="300"/>
        </w:trPr>
        <w:tc>
          <w:tcPr>
            <w:tcW w:w="4840" w:type="dxa"/>
            <w:tcBorders>
              <w:top w:val="nil"/>
              <w:left w:val="nil"/>
              <w:bottom w:val="nil"/>
              <w:right w:val="nil"/>
            </w:tcBorders>
            <w:shd w:val="clear" w:color="auto" w:fill="auto"/>
            <w:vAlign w:val="bottom"/>
            <w:hideMark/>
          </w:tcPr>
          <w:p w14:paraId="21248A91" w14:textId="77777777" w:rsidR="006D4ED3" w:rsidRPr="00701F32" w:rsidRDefault="006D4ED3" w:rsidP="00393CEB">
            <w:pPr>
              <w:rPr>
                <w:rFonts w:ascii="Arial" w:hAnsi="Arial" w:cs="Arial"/>
                <w:b/>
                <w:bCs/>
                <w:color w:val="000000"/>
                <w:sz w:val="18"/>
              </w:rPr>
            </w:pPr>
            <w:r w:rsidRPr="00701F32">
              <w:rPr>
                <w:rFonts w:ascii="Arial" w:hAnsi="Arial" w:cs="Arial"/>
                <w:b/>
                <w:bCs/>
                <w:color w:val="000000"/>
                <w:sz w:val="18"/>
              </w:rPr>
              <w:t>Otros resultados integrales atribuible a Banco Supervielle</w:t>
            </w:r>
          </w:p>
        </w:tc>
        <w:tc>
          <w:tcPr>
            <w:tcW w:w="972" w:type="dxa"/>
            <w:tcBorders>
              <w:top w:val="nil"/>
              <w:left w:val="nil"/>
              <w:bottom w:val="nil"/>
              <w:right w:val="nil"/>
            </w:tcBorders>
            <w:shd w:val="clear" w:color="auto" w:fill="auto"/>
            <w:vAlign w:val="center"/>
            <w:hideMark/>
          </w:tcPr>
          <w:p w14:paraId="11E49B3E" w14:textId="77777777" w:rsidR="006D4ED3" w:rsidRPr="00701F32" w:rsidRDefault="006D4ED3" w:rsidP="006D4ED3">
            <w:pPr>
              <w:jc w:val="both"/>
              <w:rPr>
                <w:rFonts w:ascii="Arial" w:hAnsi="Arial" w:cs="Arial"/>
                <w:b/>
                <w:bCs/>
                <w:color w:val="000000"/>
                <w:sz w:val="18"/>
              </w:rPr>
            </w:pPr>
          </w:p>
        </w:tc>
        <w:tc>
          <w:tcPr>
            <w:tcW w:w="1118" w:type="dxa"/>
            <w:tcBorders>
              <w:top w:val="nil"/>
              <w:left w:val="nil"/>
              <w:bottom w:val="nil"/>
              <w:right w:val="nil"/>
            </w:tcBorders>
            <w:shd w:val="clear" w:color="auto" w:fill="auto"/>
            <w:vAlign w:val="bottom"/>
          </w:tcPr>
          <w:p w14:paraId="0A2466B4" w14:textId="77777777" w:rsidR="006D4ED3" w:rsidRPr="00701F32" w:rsidRDefault="006D4ED3">
            <w:pPr>
              <w:jc w:val="right"/>
              <w:rPr>
                <w:rFonts w:ascii="Arial" w:hAnsi="Arial" w:cs="Arial"/>
                <w:b/>
                <w:bCs/>
                <w:color w:val="000000"/>
                <w:sz w:val="18"/>
              </w:rPr>
            </w:pPr>
          </w:p>
        </w:tc>
        <w:tc>
          <w:tcPr>
            <w:tcW w:w="423" w:type="dxa"/>
            <w:tcBorders>
              <w:top w:val="nil"/>
              <w:left w:val="nil"/>
              <w:bottom w:val="nil"/>
              <w:right w:val="nil"/>
            </w:tcBorders>
            <w:vAlign w:val="bottom"/>
          </w:tcPr>
          <w:p w14:paraId="3184BE50" w14:textId="77777777" w:rsidR="006D4ED3" w:rsidRPr="00701F32" w:rsidRDefault="006D4ED3">
            <w:pPr>
              <w:jc w:val="right"/>
              <w:rPr>
                <w:rFonts w:ascii="Arial" w:hAnsi="Arial" w:cs="Arial"/>
                <w:b/>
                <w:bCs/>
                <w:color w:val="000000"/>
                <w:sz w:val="18"/>
              </w:rPr>
            </w:pPr>
          </w:p>
        </w:tc>
        <w:tc>
          <w:tcPr>
            <w:tcW w:w="1276" w:type="dxa"/>
            <w:tcBorders>
              <w:top w:val="nil"/>
              <w:left w:val="nil"/>
              <w:bottom w:val="nil"/>
              <w:right w:val="nil"/>
            </w:tcBorders>
            <w:vAlign w:val="bottom"/>
          </w:tcPr>
          <w:p w14:paraId="4C85E25F" w14:textId="77777777" w:rsidR="006D4ED3" w:rsidRPr="00701F32" w:rsidRDefault="006D4ED3">
            <w:pPr>
              <w:jc w:val="right"/>
              <w:rPr>
                <w:rFonts w:ascii="Arial" w:hAnsi="Arial" w:cs="Arial"/>
                <w:b/>
                <w:bCs/>
                <w:color w:val="000000"/>
                <w:sz w:val="18"/>
              </w:rPr>
            </w:pPr>
          </w:p>
        </w:tc>
      </w:tr>
      <w:tr w:rsidR="006D4ED3" w:rsidRPr="00701F32" w14:paraId="4A0EE4E4" w14:textId="77777777" w:rsidTr="00393CEB">
        <w:trPr>
          <w:trHeight w:val="300"/>
        </w:trPr>
        <w:tc>
          <w:tcPr>
            <w:tcW w:w="4840" w:type="dxa"/>
            <w:tcBorders>
              <w:top w:val="nil"/>
              <w:left w:val="nil"/>
              <w:bottom w:val="nil"/>
              <w:right w:val="nil"/>
            </w:tcBorders>
            <w:shd w:val="clear" w:color="auto" w:fill="auto"/>
            <w:vAlign w:val="bottom"/>
            <w:hideMark/>
          </w:tcPr>
          <w:p w14:paraId="0472BB44" w14:textId="77777777" w:rsidR="006D4ED3" w:rsidRPr="00701F32" w:rsidRDefault="006D4ED3" w:rsidP="00393CEB">
            <w:pPr>
              <w:jc w:val="both"/>
              <w:rPr>
                <w:rFonts w:ascii="Arial" w:hAnsi="Arial" w:cs="Arial"/>
                <w:color w:val="000000"/>
                <w:sz w:val="18"/>
              </w:rPr>
            </w:pPr>
            <w:r w:rsidRPr="00701F32">
              <w:rPr>
                <w:rFonts w:ascii="Arial" w:hAnsi="Arial" w:cs="Arial"/>
                <w:color w:val="000000"/>
                <w:sz w:val="18"/>
              </w:rPr>
              <w:t>Inversiones en Títulos Públicos y Privados</w:t>
            </w:r>
          </w:p>
        </w:tc>
        <w:tc>
          <w:tcPr>
            <w:tcW w:w="972" w:type="dxa"/>
            <w:tcBorders>
              <w:top w:val="nil"/>
              <w:left w:val="nil"/>
              <w:bottom w:val="nil"/>
              <w:right w:val="nil"/>
            </w:tcBorders>
            <w:shd w:val="clear" w:color="auto" w:fill="auto"/>
            <w:vAlign w:val="bottom"/>
            <w:hideMark/>
          </w:tcPr>
          <w:p w14:paraId="4086E2EA" w14:textId="77777777" w:rsidR="006D4ED3" w:rsidRPr="00701F32" w:rsidRDefault="006D4ED3">
            <w:pPr>
              <w:jc w:val="center"/>
              <w:rPr>
                <w:rFonts w:ascii="Arial" w:hAnsi="Arial" w:cs="Arial"/>
                <w:color w:val="000000"/>
                <w:sz w:val="18"/>
              </w:rPr>
            </w:pPr>
            <w:r w:rsidRPr="00701F32">
              <w:rPr>
                <w:rFonts w:ascii="Arial" w:hAnsi="Arial" w:cs="Arial"/>
                <w:color w:val="000000"/>
                <w:sz w:val="18"/>
              </w:rPr>
              <w:t>(c)</w:t>
            </w:r>
          </w:p>
        </w:tc>
        <w:tc>
          <w:tcPr>
            <w:tcW w:w="1118" w:type="dxa"/>
            <w:tcBorders>
              <w:top w:val="nil"/>
              <w:left w:val="nil"/>
              <w:bottom w:val="nil"/>
              <w:right w:val="nil"/>
            </w:tcBorders>
            <w:shd w:val="clear" w:color="auto" w:fill="auto"/>
            <w:vAlign w:val="bottom"/>
            <w:hideMark/>
          </w:tcPr>
          <w:p w14:paraId="11BC023A" w14:textId="77777777" w:rsidR="006D4ED3" w:rsidRPr="00701F32" w:rsidRDefault="006D4ED3">
            <w:pPr>
              <w:jc w:val="right"/>
              <w:rPr>
                <w:rFonts w:ascii="Arial" w:hAnsi="Arial" w:cs="Arial"/>
                <w:color w:val="000000"/>
                <w:sz w:val="18"/>
              </w:rPr>
            </w:pPr>
            <w:r w:rsidRPr="00701F32">
              <w:rPr>
                <w:rFonts w:ascii="Arial" w:hAnsi="Arial" w:cs="Arial"/>
                <w:color w:val="000000"/>
                <w:sz w:val="18"/>
              </w:rPr>
              <w:t>417</w:t>
            </w:r>
          </w:p>
        </w:tc>
        <w:tc>
          <w:tcPr>
            <w:tcW w:w="423" w:type="dxa"/>
            <w:tcBorders>
              <w:top w:val="nil"/>
              <w:left w:val="nil"/>
              <w:bottom w:val="nil"/>
              <w:right w:val="nil"/>
            </w:tcBorders>
            <w:vAlign w:val="bottom"/>
          </w:tcPr>
          <w:p w14:paraId="74AE2F07" w14:textId="77777777" w:rsidR="006D4ED3" w:rsidRPr="00701F32" w:rsidRDefault="006D4ED3">
            <w:pPr>
              <w:jc w:val="right"/>
              <w:rPr>
                <w:rFonts w:ascii="Arial" w:hAnsi="Arial" w:cs="Arial"/>
                <w:color w:val="000000"/>
                <w:sz w:val="18"/>
              </w:rPr>
            </w:pPr>
          </w:p>
        </w:tc>
        <w:tc>
          <w:tcPr>
            <w:tcW w:w="1276" w:type="dxa"/>
            <w:tcBorders>
              <w:top w:val="nil"/>
              <w:left w:val="nil"/>
              <w:bottom w:val="nil"/>
              <w:right w:val="nil"/>
            </w:tcBorders>
            <w:vAlign w:val="bottom"/>
          </w:tcPr>
          <w:p w14:paraId="594F1614" w14:textId="14C1542D" w:rsidR="006D4ED3" w:rsidRPr="00701F32" w:rsidRDefault="00B17999">
            <w:pPr>
              <w:jc w:val="right"/>
              <w:rPr>
                <w:rFonts w:ascii="Arial" w:hAnsi="Arial" w:cs="Arial"/>
                <w:color w:val="000000"/>
                <w:sz w:val="18"/>
              </w:rPr>
            </w:pPr>
            <w:r w:rsidRPr="00701F32">
              <w:rPr>
                <w:rFonts w:ascii="Arial" w:hAnsi="Arial" w:cs="Arial"/>
                <w:color w:val="000000"/>
                <w:sz w:val="18"/>
              </w:rPr>
              <w:t>13.489</w:t>
            </w:r>
          </w:p>
        </w:tc>
      </w:tr>
      <w:tr w:rsidR="006D4ED3" w:rsidRPr="00701F32" w14:paraId="31FD164E" w14:textId="77777777" w:rsidTr="00393CEB">
        <w:trPr>
          <w:trHeight w:val="300"/>
        </w:trPr>
        <w:tc>
          <w:tcPr>
            <w:tcW w:w="4840" w:type="dxa"/>
            <w:tcBorders>
              <w:top w:val="nil"/>
              <w:left w:val="nil"/>
              <w:bottom w:val="nil"/>
              <w:right w:val="nil"/>
            </w:tcBorders>
            <w:shd w:val="clear" w:color="auto" w:fill="auto"/>
            <w:vAlign w:val="bottom"/>
            <w:hideMark/>
          </w:tcPr>
          <w:p w14:paraId="386FE0AF" w14:textId="77777777" w:rsidR="006D4ED3" w:rsidRPr="00701F32" w:rsidRDefault="006D4ED3" w:rsidP="00393CEB">
            <w:pPr>
              <w:jc w:val="both"/>
              <w:rPr>
                <w:rFonts w:ascii="Arial" w:hAnsi="Arial" w:cs="Arial"/>
                <w:color w:val="000000"/>
                <w:sz w:val="18"/>
              </w:rPr>
            </w:pPr>
            <w:r w:rsidRPr="00701F32">
              <w:rPr>
                <w:rFonts w:ascii="Arial" w:hAnsi="Arial" w:cs="Arial"/>
                <w:color w:val="000000"/>
                <w:sz w:val="18"/>
              </w:rPr>
              <w:t xml:space="preserve">Propiedad, Planta y Equipo </w:t>
            </w:r>
          </w:p>
        </w:tc>
        <w:tc>
          <w:tcPr>
            <w:tcW w:w="972" w:type="dxa"/>
            <w:tcBorders>
              <w:top w:val="nil"/>
              <w:left w:val="nil"/>
              <w:bottom w:val="nil"/>
              <w:right w:val="nil"/>
            </w:tcBorders>
            <w:shd w:val="clear" w:color="auto" w:fill="auto"/>
            <w:vAlign w:val="bottom"/>
            <w:hideMark/>
          </w:tcPr>
          <w:p w14:paraId="370B7BF5" w14:textId="77777777" w:rsidR="006D4ED3" w:rsidRPr="00701F32" w:rsidRDefault="006D4ED3">
            <w:pPr>
              <w:jc w:val="center"/>
              <w:rPr>
                <w:rFonts w:ascii="Arial" w:hAnsi="Arial" w:cs="Arial"/>
                <w:color w:val="000000"/>
                <w:sz w:val="18"/>
              </w:rPr>
            </w:pPr>
            <w:r w:rsidRPr="00701F32">
              <w:rPr>
                <w:rFonts w:ascii="Arial" w:hAnsi="Arial" w:cs="Arial"/>
                <w:color w:val="000000"/>
                <w:sz w:val="18"/>
              </w:rPr>
              <w:t>(e)</w:t>
            </w:r>
          </w:p>
        </w:tc>
        <w:tc>
          <w:tcPr>
            <w:tcW w:w="1118" w:type="dxa"/>
            <w:tcBorders>
              <w:top w:val="nil"/>
              <w:left w:val="nil"/>
              <w:bottom w:val="nil"/>
              <w:right w:val="nil"/>
            </w:tcBorders>
            <w:shd w:val="clear" w:color="auto" w:fill="auto"/>
            <w:vAlign w:val="bottom"/>
            <w:hideMark/>
          </w:tcPr>
          <w:p w14:paraId="4E9F2C70" w14:textId="77777777" w:rsidR="006D4ED3" w:rsidRPr="00701F32" w:rsidRDefault="006D4ED3">
            <w:pPr>
              <w:jc w:val="right"/>
              <w:rPr>
                <w:rFonts w:ascii="Arial" w:hAnsi="Arial" w:cs="Arial"/>
                <w:color w:val="000000"/>
                <w:sz w:val="18"/>
              </w:rPr>
            </w:pPr>
            <w:r w:rsidRPr="00701F32">
              <w:rPr>
                <w:rFonts w:ascii="Arial" w:hAnsi="Arial" w:cs="Arial"/>
                <w:color w:val="000000"/>
                <w:sz w:val="18"/>
              </w:rPr>
              <w:t>83.191</w:t>
            </w:r>
          </w:p>
        </w:tc>
        <w:tc>
          <w:tcPr>
            <w:tcW w:w="423" w:type="dxa"/>
            <w:tcBorders>
              <w:top w:val="nil"/>
              <w:left w:val="nil"/>
              <w:bottom w:val="nil"/>
              <w:right w:val="nil"/>
            </w:tcBorders>
            <w:vAlign w:val="bottom"/>
          </w:tcPr>
          <w:p w14:paraId="4B7894A3" w14:textId="77777777" w:rsidR="006D4ED3" w:rsidRPr="00701F32" w:rsidRDefault="006D4ED3">
            <w:pPr>
              <w:jc w:val="right"/>
              <w:rPr>
                <w:rFonts w:ascii="Arial" w:hAnsi="Arial" w:cs="Arial"/>
                <w:color w:val="000000"/>
                <w:sz w:val="18"/>
              </w:rPr>
            </w:pPr>
          </w:p>
        </w:tc>
        <w:tc>
          <w:tcPr>
            <w:tcW w:w="1276" w:type="dxa"/>
            <w:tcBorders>
              <w:top w:val="nil"/>
              <w:left w:val="nil"/>
              <w:bottom w:val="nil"/>
              <w:right w:val="nil"/>
            </w:tcBorders>
            <w:vAlign w:val="bottom"/>
          </w:tcPr>
          <w:p w14:paraId="6BEB03C9" w14:textId="57C710B9" w:rsidR="006D4ED3" w:rsidRPr="00701F32" w:rsidRDefault="00B17999">
            <w:pPr>
              <w:jc w:val="right"/>
              <w:rPr>
                <w:rFonts w:ascii="Arial" w:hAnsi="Arial" w:cs="Arial"/>
                <w:color w:val="000000"/>
                <w:sz w:val="18"/>
                <w:lang w:val="es-ES_tradnl"/>
              </w:rPr>
            </w:pPr>
            <w:r w:rsidRPr="00701F32">
              <w:rPr>
                <w:rFonts w:ascii="Arial" w:hAnsi="Arial" w:cs="Arial"/>
                <w:color w:val="000000"/>
                <w:sz w:val="18"/>
              </w:rPr>
              <w:t>23.668</w:t>
            </w:r>
          </w:p>
        </w:tc>
      </w:tr>
      <w:tr w:rsidR="006D4ED3" w:rsidRPr="00701F32" w14:paraId="591CE4A9" w14:textId="77777777" w:rsidTr="00393CEB">
        <w:trPr>
          <w:trHeight w:val="300"/>
        </w:trPr>
        <w:tc>
          <w:tcPr>
            <w:tcW w:w="4840" w:type="dxa"/>
            <w:tcBorders>
              <w:top w:val="nil"/>
              <w:left w:val="nil"/>
              <w:bottom w:val="nil"/>
              <w:right w:val="nil"/>
            </w:tcBorders>
            <w:shd w:val="clear" w:color="auto" w:fill="auto"/>
            <w:vAlign w:val="bottom"/>
            <w:hideMark/>
          </w:tcPr>
          <w:p w14:paraId="554D718C" w14:textId="77777777" w:rsidR="006D4ED3" w:rsidRPr="00701F32" w:rsidRDefault="006D4ED3" w:rsidP="00393CEB">
            <w:pPr>
              <w:jc w:val="both"/>
              <w:rPr>
                <w:rFonts w:ascii="Arial" w:hAnsi="Arial" w:cs="Arial"/>
                <w:color w:val="000000"/>
                <w:sz w:val="18"/>
              </w:rPr>
            </w:pPr>
            <w:r w:rsidRPr="00701F32">
              <w:rPr>
                <w:rFonts w:ascii="Arial" w:hAnsi="Arial" w:cs="Arial"/>
                <w:color w:val="000000"/>
                <w:sz w:val="18"/>
              </w:rPr>
              <w:t>Inversión en otros instrumentos de patrimonio</w:t>
            </w:r>
          </w:p>
        </w:tc>
        <w:tc>
          <w:tcPr>
            <w:tcW w:w="972" w:type="dxa"/>
            <w:tcBorders>
              <w:top w:val="nil"/>
              <w:left w:val="nil"/>
              <w:bottom w:val="nil"/>
              <w:right w:val="nil"/>
            </w:tcBorders>
            <w:shd w:val="clear" w:color="auto" w:fill="auto"/>
            <w:vAlign w:val="bottom"/>
            <w:hideMark/>
          </w:tcPr>
          <w:p w14:paraId="1709DF14" w14:textId="77777777" w:rsidR="006D4ED3" w:rsidRPr="00701F32" w:rsidRDefault="006D4ED3">
            <w:pPr>
              <w:jc w:val="center"/>
              <w:rPr>
                <w:rFonts w:ascii="Arial" w:hAnsi="Arial" w:cs="Arial"/>
                <w:color w:val="000000"/>
                <w:sz w:val="18"/>
              </w:rPr>
            </w:pPr>
            <w:r w:rsidRPr="00701F32">
              <w:rPr>
                <w:rFonts w:ascii="Arial" w:hAnsi="Arial" w:cs="Arial"/>
                <w:color w:val="000000"/>
                <w:sz w:val="18"/>
              </w:rPr>
              <w:t>(d)</w:t>
            </w:r>
          </w:p>
        </w:tc>
        <w:tc>
          <w:tcPr>
            <w:tcW w:w="1118" w:type="dxa"/>
            <w:tcBorders>
              <w:top w:val="nil"/>
              <w:left w:val="nil"/>
              <w:bottom w:val="nil"/>
              <w:right w:val="nil"/>
            </w:tcBorders>
            <w:shd w:val="clear" w:color="auto" w:fill="auto"/>
            <w:vAlign w:val="bottom"/>
            <w:hideMark/>
          </w:tcPr>
          <w:p w14:paraId="70BFC639" w14:textId="77777777" w:rsidR="006D4ED3" w:rsidRPr="00701F32" w:rsidRDefault="006D4ED3">
            <w:pPr>
              <w:jc w:val="right"/>
              <w:rPr>
                <w:rFonts w:ascii="Arial" w:hAnsi="Arial" w:cs="Arial"/>
                <w:color w:val="000000"/>
                <w:sz w:val="18"/>
              </w:rPr>
            </w:pPr>
            <w:r w:rsidRPr="00701F32">
              <w:rPr>
                <w:rFonts w:ascii="Arial" w:hAnsi="Arial" w:cs="Arial"/>
                <w:color w:val="000000"/>
                <w:sz w:val="18"/>
              </w:rPr>
              <w:t>7.216</w:t>
            </w:r>
          </w:p>
        </w:tc>
        <w:tc>
          <w:tcPr>
            <w:tcW w:w="423" w:type="dxa"/>
            <w:tcBorders>
              <w:top w:val="nil"/>
              <w:left w:val="nil"/>
              <w:bottom w:val="nil"/>
              <w:right w:val="nil"/>
            </w:tcBorders>
            <w:vAlign w:val="bottom"/>
          </w:tcPr>
          <w:p w14:paraId="08246F3F" w14:textId="77777777" w:rsidR="006D4ED3" w:rsidRPr="00701F32" w:rsidRDefault="006D4ED3">
            <w:pPr>
              <w:jc w:val="right"/>
              <w:rPr>
                <w:rFonts w:ascii="Arial" w:hAnsi="Arial" w:cs="Arial"/>
                <w:color w:val="000000"/>
                <w:sz w:val="18"/>
              </w:rPr>
            </w:pPr>
          </w:p>
        </w:tc>
        <w:tc>
          <w:tcPr>
            <w:tcW w:w="1276" w:type="dxa"/>
            <w:tcBorders>
              <w:top w:val="nil"/>
              <w:left w:val="nil"/>
              <w:bottom w:val="nil"/>
              <w:right w:val="nil"/>
            </w:tcBorders>
            <w:vAlign w:val="bottom"/>
          </w:tcPr>
          <w:p w14:paraId="78CC8525" w14:textId="77777777" w:rsidR="006D4ED3" w:rsidRPr="00701F32" w:rsidRDefault="004D6BED">
            <w:pPr>
              <w:jc w:val="right"/>
              <w:rPr>
                <w:rFonts w:ascii="Arial" w:hAnsi="Arial" w:cs="Arial"/>
                <w:color w:val="000000"/>
                <w:sz w:val="18"/>
              </w:rPr>
            </w:pPr>
            <w:r w:rsidRPr="00701F32">
              <w:rPr>
                <w:rFonts w:ascii="Arial" w:hAnsi="Arial" w:cs="Arial"/>
                <w:color w:val="000000"/>
                <w:sz w:val="18"/>
              </w:rPr>
              <w:t>6.132</w:t>
            </w:r>
          </w:p>
        </w:tc>
      </w:tr>
      <w:tr w:rsidR="006D4ED3" w:rsidRPr="00701F32" w14:paraId="731C7AB2" w14:textId="77777777" w:rsidTr="00393CEB">
        <w:trPr>
          <w:trHeight w:val="300"/>
        </w:trPr>
        <w:tc>
          <w:tcPr>
            <w:tcW w:w="4840" w:type="dxa"/>
            <w:tcBorders>
              <w:top w:val="nil"/>
              <w:left w:val="nil"/>
              <w:bottom w:val="nil"/>
              <w:right w:val="nil"/>
            </w:tcBorders>
            <w:shd w:val="clear" w:color="auto" w:fill="auto"/>
            <w:vAlign w:val="bottom"/>
            <w:hideMark/>
          </w:tcPr>
          <w:p w14:paraId="447D09ED" w14:textId="77777777" w:rsidR="006D4ED3" w:rsidRPr="00701F32" w:rsidRDefault="006D4ED3" w:rsidP="00393CEB">
            <w:pPr>
              <w:jc w:val="both"/>
              <w:rPr>
                <w:rFonts w:ascii="Arial" w:hAnsi="Arial" w:cs="Arial"/>
                <w:color w:val="000000"/>
                <w:sz w:val="18"/>
              </w:rPr>
            </w:pPr>
            <w:r w:rsidRPr="00701F32">
              <w:rPr>
                <w:rFonts w:ascii="Arial" w:hAnsi="Arial" w:cs="Arial"/>
                <w:color w:val="000000"/>
                <w:sz w:val="18"/>
              </w:rPr>
              <w:t>Impuesto a las Ganancias</w:t>
            </w:r>
          </w:p>
        </w:tc>
        <w:tc>
          <w:tcPr>
            <w:tcW w:w="972" w:type="dxa"/>
            <w:tcBorders>
              <w:top w:val="nil"/>
              <w:left w:val="nil"/>
              <w:bottom w:val="nil"/>
              <w:right w:val="nil"/>
            </w:tcBorders>
            <w:shd w:val="clear" w:color="auto" w:fill="auto"/>
            <w:vAlign w:val="bottom"/>
            <w:hideMark/>
          </w:tcPr>
          <w:p w14:paraId="0BF29D78" w14:textId="77777777" w:rsidR="006D4ED3" w:rsidRPr="00701F32" w:rsidRDefault="006D4ED3">
            <w:pPr>
              <w:jc w:val="center"/>
              <w:rPr>
                <w:rFonts w:ascii="Arial" w:hAnsi="Arial" w:cs="Arial"/>
                <w:color w:val="000000"/>
                <w:sz w:val="18"/>
              </w:rPr>
            </w:pPr>
            <w:r w:rsidRPr="00701F32">
              <w:rPr>
                <w:rFonts w:ascii="Arial" w:hAnsi="Arial" w:cs="Arial"/>
                <w:color w:val="000000"/>
                <w:sz w:val="18"/>
              </w:rPr>
              <w:t>(j)</w:t>
            </w:r>
          </w:p>
        </w:tc>
        <w:tc>
          <w:tcPr>
            <w:tcW w:w="1118" w:type="dxa"/>
            <w:tcBorders>
              <w:top w:val="nil"/>
              <w:left w:val="nil"/>
              <w:bottom w:val="nil"/>
              <w:right w:val="nil"/>
            </w:tcBorders>
            <w:shd w:val="clear" w:color="auto" w:fill="auto"/>
            <w:vAlign w:val="bottom"/>
            <w:hideMark/>
          </w:tcPr>
          <w:p w14:paraId="758FCC4C" w14:textId="77777777" w:rsidR="006D4ED3" w:rsidRPr="00701F32" w:rsidRDefault="006D4ED3">
            <w:pPr>
              <w:jc w:val="right"/>
              <w:rPr>
                <w:rFonts w:ascii="Arial" w:hAnsi="Arial" w:cs="Arial"/>
                <w:color w:val="000000"/>
                <w:sz w:val="18"/>
                <w:lang w:val="es-ES_tradnl"/>
              </w:rPr>
            </w:pPr>
            <w:r w:rsidRPr="00701F32">
              <w:rPr>
                <w:rFonts w:ascii="Arial" w:hAnsi="Arial" w:cs="Arial"/>
                <w:color w:val="000000"/>
                <w:sz w:val="18"/>
              </w:rPr>
              <w:t>(21.263)</w:t>
            </w:r>
          </w:p>
        </w:tc>
        <w:tc>
          <w:tcPr>
            <w:tcW w:w="423" w:type="dxa"/>
            <w:tcBorders>
              <w:top w:val="nil"/>
              <w:left w:val="nil"/>
              <w:bottom w:val="nil"/>
              <w:right w:val="nil"/>
            </w:tcBorders>
            <w:vAlign w:val="bottom"/>
          </w:tcPr>
          <w:p w14:paraId="289D794B" w14:textId="77777777" w:rsidR="006D4ED3" w:rsidRPr="00701F32" w:rsidRDefault="006D4ED3">
            <w:pPr>
              <w:jc w:val="right"/>
              <w:rPr>
                <w:rFonts w:ascii="Arial" w:hAnsi="Arial" w:cs="Arial"/>
                <w:color w:val="000000"/>
                <w:sz w:val="18"/>
              </w:rPr>
            </w:pPr>
          </w:p>
        </w:tc>
        <w:tc>
          <w:tcPr>
            <w:tcW w:w="1276" w:type="dxa"/>
            <w:tcBorders>
              <w:top w:val="nil"/>
              <w:left w:val="nil"/>
              <w:bottom w:val="nil"/>
              <w:right w:val="nil"/>
            </w:tcBorders>
            <w:vAlign w:val="bottom"/>
          </w:tcPr>
          <w:p w14:paraId="3C430B7C" w14:textId="77777777" w:rsidR="006D4ED3" w:rsidRPr="00701F32" w:rsidRDefault="004D6BED">
            <w:pPr>
              <w:jc w:val="right"/>
              <w:rPr>
                <w:rFonts w:ascii="Arial" w:hAnsi="Arial" w:cs="Arial"/>
                <w:color w:val="000000"/>
                <w:sz w:val="18"/>
              </w:rPr>
            </w:pPr>
            <w:r w:rsidRPr="00701F32">
              <w:rPr>
                <w:rFonts w:ascii="Arial" w:hAnsi="Arial" w:cs="Arial"/>
                <w:color w:val="000000"/>
                <w:sz w:val="18"/>
              </w:rPr>
              <w:t>(15.151)</w:t>
            </w:r>
          </w:p>
        </w:tc>
      </w:tr>
      <w:tr w:rsidR="006D4ED3" w:rsidRPr="00701F32" w14:paraId="3B4E6532" w14:textId="77777777" w:rsidTr="00393CEB">
        <w:trPr>
          <w:trHeight w:val="555"/>
        </w:trPr>
        <w:tc>
          <w:tcPr>
            <w:tcW w:w="4840" w:type="dxa"/>
            <w:tcBorders>
              <w:top w:val="nil"/>
              <w:left w:val="nil"/>
              <w:bottom w:val="nil"/>
              <w:right w:val="nil"/>
            </w:tcBorders>
            <w:shd w:val="clear" w:color="auto" w:fill="auto"/>
            <w:vAlign w:val="bottom"/>
            <w:hideMark/>
          </w:tcPr>
          <w:p w14:paraId="269BF906" w14:textId="77777777" w:rsidR="006D4ED3" w:rsidRPr="00701F32" w:rsidRDefault="006D4ED3" w:rsidP="00393CEB">
            <w:pPr>
              <w:jc w:val="both"/>
              <w:rPr>
                <w:rFonts w:ascii="Arial" w:hAnsi="Arial" w:cs="Arial"/>
                <w:b/>
                <w:bCs/>
                <w:color w:val="000000"/>
                <w:sz w:val="18"/>
              </w:rPr>
            </w:pPr>
            <w:r w:rsidRPr="00701F32">
              <w:rPr>
                <w:rFonts w:ascii="Arial" w:hAnsi="Arial" w:cs="Arial"/>
                <w:b/>
                <w:bCs/>
                <w:color w:val="000000"/>
                <w:sz w:val="18"/>
              </w:rPr>
              <w:t>Otros resultados integrales bajo NIIF atribuible a Banco Supervielle</w:t>
            </w:r>
          </w:p>
        </w:tc>
        <w:tc>
          <w:tcPr>
            <w:tcW w:w="972" w:type="dxa"/>
            <w:tcBorders>
              <w:top w:val="nil"/>
              <w:left w:val="nil"/>
              <w:bottom w:val="nil"/>
              <w:right w:val="nil"/>
            </w:tcBorders>
            <w:shd w:val="clear" w:color="auto" w:fill="auto"/>
            <w:vAlign w:val="center"/>
            <w:hideMark/>
          </w:tcPr>
          <w:p w14:paraId="48AD267B" w14:textId="77777777" w:rsidR="006D4ED3" w:rsidRPr="00701F32" w:rsidRDefault="006D4ED3" w:rsidP="006D4ED3">
            <w:pPr>
              <w:jc w:val="both"/>
              <w:rPr>
                <w:rFonts w:ascii="Arial" w:hAnsi="Arial" w:cs="Arial"/>
                <w:b/>
                <w:bCs/>
                <w:color w:val="000000"/>
                <w:sz w:val="18"/>
              </w:rPr>
            </w:pPr>
          </w:p>
        </w:tc>
        <w:tc>
          <w:tcPr>
            <w:tcW w:w="1118" w:type="dxa"/>
            <w:tcBorders>
              <w:top w:val="nil"/>
              <w:left w:val="nil"/>
              <w:bottom w:val="single" w:sz="8" w:space="0" w:color="auto"/>
              <w:right w:val="nil"/>
            </w:tcBorders>
            <w:shd w:val="clear" w:color="auto" w:fill="auto"/>
            <w:vAlign w:val="bottom"/>
            <w:hideMark/>
          </w:tcPr>
          <w:p w14:paraId="35AA2B94" w14:textId="77777777" w:rsidR="006D4ED3" w:rsidRPr="00701F32" w:rsidRDefault="006D4ED3">
            <w:pPr>
              <w:jc w:val="right"/>
              <w:rPr>
                <w:rFonts w:ascii="Arial" w:hAnsi="Arial" w:cs="Arial"/>
                <w:b/>
                <w:bCs/>
                <w:color w:val="000000"/>
                <w:sz w:val="18"/>
              </w:rPr>
            </w:pPr>
            <w:r w:rsidRPr="00701F32">
              <w:rPr>
                <w:rFonts w:ascii="Arial" w:hAnsi="Arial" w:cs="Arial"/>
                <w:b/>
                <w:bCs/>
                <w:color w:val="000000"/>
                <w:sz w:val="18"/>
              </w:rPr>
              <w:t>69.561</w:t>
            </w:r>
          </w:p>
        </w:tc>
        <w:tc>
          <w:tcPr>
            <w:tcW w:w="423" w:type="dxa"/>
            <w:tcBorders>
              <w:top w:val="nil"/>
              <w:left w:val="nil"/>
              <w:right w:val="nil"/>
            </w:tcBorders>
            <w:vAlign w:val="bottom"/>
          </w:tcPr>
          <w:p w14:paraId="5C56A002" w14:textId="77777777" w:rsidR="006D4ED3" w:rsidRPr="00701F32" w:rsidRDefault="006D4ED3">
            <w:pPr>
              <w:jc w:val="right"/>
              <w:rPr>
                <w:rFonts w:ascii="Arial" w:hAnsi="Arial" w:cs="Arial"/>
                <w:b/>
                <w:bCs/>
                <w:color w:val="000000"/>
                <w:sz w:val="18"/>
              </w:rPr>
            </w:pPr>
          </w:p>
        </w:tc>
        <w:tc>
          <w:tcPr>
            <w:tcW w:w="1276" w:type="dxa"/>
            <w:tcBorders>
              <w:top w:val="nil"/>
              <w:left w:val="nil"/>
              <w:bottom w:val="single" w:sz="8" w:space="0" w:color="auto"/>
              <w:right w:val="nil"/>
            </w:tcBorders>
            <w:vAlign w:val="bottom"/>
          </w:tcPr>
          <w:p w14:paraId="0245655D" w14:textId="77777777" w:rsidR="006D4ED3" w:rsidRPr="00701F32" w:rsidRDefault="004D6BED">
            <w:pPr>
              <w:jc w:val="right"/>
              <w:rPr>
                <w:rFonts w:ascii="Arial" w:hAnsi="Arial" w:cs="Arial"/>
                <w:b/>
                <w:bCs/>
                <w:color w:val="000000"/>
                <w:sz w:val="18"/>
              </w:rPr>
            </w:pPr>
            <w:r w:rsidRPr="00701F32">
              <w:rPr>
                <w:rFonts w:ascii="Arial" w:hAnsi="Arial" w:cs="Arial"/>
                <w:b/>
                <w:bCs/>
                <w:color w:val="000000"/>
                <w:sz w:val="18"/>
              </w:rPr>
              <w:t>28.138</w:t>
            </w:r>
          </w:p>
        </w:tc>
      </w:tr>
      <w:tr w:rsidR="006D4ED3" w:rsidRPr="00701F32" w14:paraId="60F29BFA" w14:textId="77777777" w:rsidTr="00393CEB">
        <w:trPr>
          <w:trHeight w:val="315"/>
        </w:trPr>
        <w:tc>
          <w:tcPr>
            <w:tcW w:w="4840" w:type="dxa"/>
            <w:tcBorders>
              <w:top w:val="nil"/>
              <w:left w:val="nil"/>
              <w:bottom w:val="nil"/>
              <w:right w:val="nil"/>
            </w:tcBorders>
            <w:shd w:val="clear" w:color="auto" w:fill="auto"/>
            <w:vAlign w:val="bottom"/>
            <w:hideMark/>
          </w:tcPr>
          <w:p w14:paraId="498D02C9" w14:textId="77777777" w:rsidR="006D4ED3" w:rsidRPr="00701F32" w:rsidRDefault="006D4ED3" w:rsidP="00393CEB">
            <w:pPr>
              <w:jc w:val="both"/>
              <w:rPr>
                <w:rFonts w:ascii="Arial" w:hAnsi="Arial" w:cs="Arial"/>
                <w:b/>
                <w:bCs/>
                <w:color w:val="000000"/>
                <w:sz w:val="18"/>
              </w:rPr>
            </w:pPr>
            <w:r w:rsidRPr="00701F32">
              <w:rPr>
                <w:rFonts w:ascii="Arial" w:hAnsi="Arial" w:cs="Arial"/>
                <w:b/>
                <w:bCs/>
                <w:color w:val="000000"/>
                <w:sz w:val="18"/>
              </w:rPr>
              <w:t>Total de otros resultados integrales bajo NIIF</w:t>
            </w:r>
          </w:p>
        </w:tc>
        <w:tc>
          <w:tcPr>
            <w:tcW w:w="972" w:type="dxa"/>
            <w:tcBorders>
              <w:top w:val="nil"/>
              <w:left w:val="nil"/>
              <w:bottom w:val="nil"/>
              <w:right w:val="nil"/>
            </w:tcBorders>
            <w:shd w:val="clear" w:color="auto" w:fill="auto"/>
            <w:vAlign w:val="center"/>
            <w:hideMark/>
          </w:tcPr>
          <w:p w14:paraId="41B0BEC6" w14:textId="77777777" w:rsidR="006D4ED3" w:rsidRPr="00701F32" w:rsidRDefault="006D4ED3" w:rsidP="006D4ED3">
            <w:pPr>
              <w:jc w:val="both"/>
              <w:rPr>
                <w:rFonts w:ascii="Arial" w:hAnsi="Arial" w:cs="Arial"/>
                <w:b/>
                <w:bCs/>
                <w:color w:val="000000"/>
                <w:sz w:val="18"/>
              </w:rPr>
            </w:pPr>
          </w:p>
        </w:tc>
        <w:tc>
          <w:tcPr>
            <w:tcW w:w="1118" w:type="dxa"/>
            <w:tcBorders>
              <w:top w:val="nil"/>
              <w:left w:val="nil"/>
              <w:bottom w:val="double" w:sz="6" w:space="0" w:color="auto"/>
              <w:right w:val="nil"/>
            </w:tcBorders>
            <w:shd w:val="clear" w:color="auto" w:fill="auto"/>
            <w:vAlign w:val="bottom"/>
            <w:hideMark/>
          </w:tcPr>
          <w:p w14:paraId="34937F08" w14:textId="77777777" w:rsidR="006D4ED3" w:rsidRPr="00701F32" w:rsidRDefault="006D4ED3">
            <w:pPr>
              <w:jc w:val="right"/>
              <w:rPr>
                <w:rFonts w:ascii="Arial" w:hAnsi="Arial" w:cs="Arial"/>
                <w:b/>
                <w:bCs/>
                <w:color w:val="000000"/>
                <w:sz w:val="18"/>
              </w:rPr>
            </w:pPr>
            <w:r w:rsidRPr="00701F32">
              <w:rPr>
                <w:rFonts w:ascii="Arial" w:hAnsi="Arial" w:cs="Arial"/>
                <w:b/>
                <w:bCs/>
                <w:color w:val="000000"/>
                <w:sz w:val="18"/>
              </w:rPr>
              <w:t>69.561</w:t>
            </w:r>
          </w:p>
        </w:tc>
        <w:tc>
          <w:tcPr>
            <w:tcW w:w="423" w:type="dxa"/>
            <w:tcBorders>
              <w:top w:val="nil"/>
              <w:left w:val="nil"/>
              <w:right w:val="nil"/>
            </w:tcBorders>
            <w:vAlign w:val="bottom"/>
          </w:tcPr>
          <w:p w14:paraId="197D2C3A" w14:textId="77777777" w:rsidR="006D4ED3" w:rsidRPr="00701F32" w:rsidRDefault="006D4ED3">
            <w:pPr>
              <w:jc w:val="right"/>
              <w:rPr>
                <w:rFonts w:ascii="Arial" w:hAnsi="Arial" w:cs="Arial"/>
                <w:b/>
                <w:bCs/>
                <w:color w:val="000000"/>
                <w:sz w:val="18"/>
              </w:rPr>
            </w:pPr>
          </w:p>
        </w:tc>
        <w:tc>
          <w:tcPr>
            <w:tcW w:w="1276" w:type="dxa"/>
            <w:tcBorders>
              <w:top w:val="nil"/>
              <w:left w:val="nil"/>
              <w:bottom w:val="double" w:sz="6" w:space="0" w:color="auto"/>
              <w:right w:val="nil"/>
            </w:tcBorders>
            <w:vAlign w:val="bottom"/>
          </w:tcPr>
          <w:p w14:paraId="72166A22" w14:textId="77777777" w:rsidR="006D4ED3" w:rsidRPr="00701F32" w:rsidRDefault="004D6BED">
            <w:pPr>
              <w:jc w:val="right"/>
              <w:rPr>
                <w:rFonts w:ascii="Arial" w:hAnsi="Arial" w:cs="Arial"/>
                <w:b/>
                <w:bCs/>
                <w:color w:val="000000"/>
                <w:sz w:val="18"/>
              </w:rPr>
            </w:pPr>
            <w:r w:rsidRPr="00701F32">
              <w:rPr>
                <w:rFonts w:ascii="Arial" w:hAnsi="Arial" w:cs="Arial"/>
                <w:b/>
                <w:bCs/>
                <w:color w:val="000000"/>
                <w:sz w:val="18"/>
              </w:rPr>
              <w:t>28.138</w:t>
            </w:r>
          </w:p>
        </w:tc>
      </w:tr>
    </w:tbl>
    <w:p w14:paraId="5656A8F3" w14:textId="77777777" w:rsidR="0030003C" w:rsidRPr="00701F32" w:rsidRDefault="0030003C" w:rsidP="00A06BE9">
      <w:pPr>
        <w:keepNext/>
        <w:keepLines/>
        <w:spacing w:before="40" w:line="259" w:lineRule="auto"/>
        <w:ind w:left="720" w:hanging="720"/>
        <w:jc w:val="both"/>
        <w:outlineLvl w:val="1"/>
        <w:rPr>
          <w:rFonts w:ascii="Arial" w:hAnsi="Arial" w:cs="Arial"/>
          <w:sz w:val="20"/>
        </w:rPr>
      </w:pPr>
    </w:p>
    <w:p w14:paraId="559C5807" w14:textId="77777777" w:rsidR="00A06BE9" w:rsidRPr="00701F32" w:rsidRDefault="00A06BE9" w:rsidP="00393CEB">
      <w:pPr>
        <w:keepNext/>
        <w:keepLines/>
        <w:spacing w:before="40" w:line="259" w:lineRule="auto"/>
        <w:ind w:left="709" w:hanging="709"/>
        <w:jc w:val="both"/>
        <w:outlineLvl w:val="1"/>
        <w:rPr>
          <w:rFonts w:ascii="Arial" w:hAnsi="Arial" w:cs="Arial"/>
          <w:sz w:val="20"/>
        </w:rPr>
      </w:pPr>
      <w:r w:rsidRPr="00701F32">
        <w:rPr>
          <w:rFonts w:ascii="Arial" w:hAnsi="Arial" w:cs="Arial"/>
          <w:sz w:val="20"/>
        </w:rPr>
        <w:t xml:space="preserve">2.1.4. Conciliación del resultado integral y resultado neto por el </w:t>
      </w:r>
      <w:r w:rsidR="00483968" w:rsidRPr="00701F32">
        <w:rPr>
          <w:rFonts w:ascii="Arial" w:hAnsi="Arial" w:cs="Arial"/>
          <w:sz w:val="20"/>
        </w:rPr>
        <w:t xml:space="preserve">ejercicio finalizado el 31 de diciembre de 2017 y el </w:t>
      </w:r>
      <w:r w:rsidRPr="00701F32">
        <w:rPr>
          <w:rFonts w:ascii="Arial" w:hAnsi="Arial" w:cs="Arial"/>
          <w:sz w:val="20"/>
        </w:rPr>
        <w:t>período finalizado el 3</w:t>
      </w:r>
      <w:r w:rsidR="003A31F2" w:rsidRPr="00701F32">
        <w:rPr>
          <w:rFonts w:ascii="Arial" w:hAnsi="Arial" w:cs="Arial"/>
          <w:sz w:val="20"/>
        </w:rPr>
        <w:t>0</w:t>
      </w:r>
      <w:r w:rsidRPr="00701F32">
        <w:rPr>
          <w:rFonts w:ascii="Arial" w:hAnsi="Arial" w:cs="Arial"/>
          <w:sz w:val="20"/>
        </w:rPr>
        <w:t xml:space="preserve"> de </w:t>
      </w:r>
      <w:r w:rsidR="00B848DD" w:rsidRPr="00701F32">
        <w:rPr>
          <w:rFonts w:ascii="Arial" w:hAnsi="Arial" w:cs="Arial"/>
          <w:sz w:val="20"/>
        </w:rPr>
        <w:t>septiembre</w:t>
      </w:r>
      <w:r w:rsidRPr="00701F32">
        <w:rPr>
          <w:rFonts w:ascii="Arial" w:hAnsi="Arial" w:cs="Arial"/>
          <w:sz w:val="20"/>
        </w:rPr>
        <w:t xml:space="preserve"> de 2017</w:t>
      </w:r>
    </w:p>
    <w:p w14:paraId="69E9F801" w14:textId="77777777" w:rsidR="00F720ED" w:rsidRPr="00701F32" w:rsidRDefault="00F720ED" w:rsidP="00A06BE9">
      <w:pPr>
        <w:keepNext/>
        <w:keepLines/>
        <w:spacing w:before="40" w:line="259" w:lineRule="auto"/>
        <w:ind w:left="720" w:hanging="720"/>
        <w:jc w:val="both"/>
        <w:outlineLvl w:val="1"/>
        <w:rPr>
          <w:rFonts w:ascii="Arial" w:hAnsi="Arial" w:cs="Arial"/>
          <w:sz w:val="20"/>
        </w:rPr>
      </w:pPr>
    </w:p>
    <w:tbl>
      <w:tblPr>
        <w:tblW w:w="8524" w:type="dxa"/>
        <w:tblInd w:w="70" w:type="dxa"/>
        <w:tblLayout w:type="fixed"/>
        <w:tblCellMar>
          <w:left w:w="70" w:type="dxa"/>
          <w:right w:w="70" w:type="dxa"/>
        </w:tblCellMar>
        <w:tblLook w:val="04A0" w:firstRow="1" w:lastRow="0" w:firstColumn="1" w:lastColumn="0" w:noHBand="0" w:noVBand="1"/>
      </w:tblPr>
      <w:tblGrid>
        <w:gridCol w:w="4612"/>
        <w:gridCol w:w="1200"/>
        <w:gridCol w:w="1141"/>
        <w:gridCol w:w="418"/>
        <w:gridCol w:w="1153"/>
      </w:tblGrid>
      <w:tr w:rsidR="006D4ED3" w:rsidRPr="00701F32" w14:paraId="16FC14A5" w14:textId="77777777" w:rsidTr="00393CEB">
        <w:trPr>
          <w:trHeight w:val="315"/>
        </w:trPr>
        <w:tc>
          <w:tcPr>
            <w:tcW w:w="4612" w:type="dxa"/>
            <w:tcBorders>
              <w:top w:val="nil"/>
              <w:left w:val="nil"/>
              <w:bottom w:val="nil"/>
              <w:right w:val="nil"/>
            </w:tcBorders>
            <w:shd w:val="clear" w:color="auto" w:fill="auto"/>
            <w:vAlign w:val="center"/>
            <w:hideMark/>
          </w:tcPr>
          <w:p w14:paraId="4FDC3B0B" w14:textId="77777777" w:rsidR="006D4ED3" w:rsidRPr="00701F32" w:rsidRDefault="006D4ED3" w:rsidP="006D4ED3">
            <w:pPr>
              <w:keepNext/>
              <w:keepLines/>
              <w:spacing w:before="40" w:line="259" w:lineRule="auto"/>
              <w:ind w:left="720" w:hanging="720"/>
              <w:jc w:val="both"/>
              <w:outlineLvl w:val="1"/>
              <w:rPr>
                <w:rFonts w:ascii="Arial" w:hAnsi="Arial" w:cs="Arial"/>
                <w:sz w:val="20"/>
              </w:rPr>
            </w:pPr>
          </w:p>
        </w:tc>
        <w:tc>
          <w:tcPr>
            <w:tcW w:w="1200" w:type="dxa"/>
            <w:tcBorders>
              <w:top w:val="nil"/>
              <w:left w:val="nil"/>
              <w:bottom w:val="nil"/>
              <w:right w:val="nil"/>
            </w:tcBorders>
            <w:shd w:val="clear" w:color="auto" w:fill="auto"/>
            <w:noWrap/>
            <w:vAlign w:val="bottom"/>
            <w:hideMark/>
          </w:tcPr>
          <w:p w14:paraId="4ED1F86D" w14:textId="77777777" w:rsidR="006D4ED3" w:rsidRPr="00701F32" w:rsidRDefault="006D4ED3" w:rsidP="006D4ED3">
            <w:pPr>
              <w:keepNext/>
              <w:keepLines/>
              <w:spacing w:before="40" w:line="259" w:lineRule="auto"/>
              <w:ind w:left="720" w:hanging="720"/>
              <w:jc w:val="both"/>
              <w:outlineLvl w:val="1"/>
              <w:rPr>
                <w:rFonts w:ascii="Arial" w:hAnsi="Arial" w:cs="Arial"/>
                <w:sz w:val="20"/>
              </w:rPr>
            </w:pPr>
          </w:p>
        </w:tc>
        <w:tc>
          <w:tcPr>
            <w:tcW w:w="1141" w:type="dxa"/>
            <w:tcBorders>
              <w:top w:val="nil"/>
              <w:left w:val="nil"/>
              <w:bottom w:val="single" w:sz="8" w:space="0" w:color="auto"/>
              <w:right w:val="nil"/>
            </w:tcBorders>
            <w:shd w:val="clear" w:color="auto" w:fill="auto"/>
            <w:vAlign w:val="bottom"/>
            <w:hideMark/>
          </w:tcPr>
          <w:p w14:paraId="683448DC" w14:textId="77777777" w:rsidR="006D4ED3" w:rsidRPr="00701F32" w:rsidRDefault="006D4ED3" w:rsidP="00393CEB">
            <w:pPr>
              <w:keepNext/>
              <w:keepLines/>
              <w:spacing w:before="40" w:line="259" w:lineRule="auto"/>
              <w:ind w:left="720" w:hanging="720"/>
              <w:jc w:val="right"/>
              <w:outlineLvl w:val="1"/>
              <w:rPr>
                <w:rFonts w:ascii="Arial" w:hAnsi="Arial" w:cs="Arial"/>
                <w:b/>
                <w:bCs/>
                <w:sz w:val="18"/>
                <w:szCs w:val="18"/>
              </w:rPr>
            </w:pPr>
            <w:r w:rsidRPr="00701F32">
              <w:rPr>
                <w:rFonts w:ascii="Arial" w:hAnsi="Arial" w:cs="Arial"/>
                <w:b/>
                <w:bCs/>
                <w:sz w:val="18"/>
                <w:szCs w:val="18"/>
              </w:rPr>
              <w:t>31/12/2017</w:t>
            </w:r>
          </w:p>
        </w:tc>
        <w:tc>
          <w:tcPr>
            <w:tcW w:w="418" w:type="dxa"/>
            <w:tcBorders>
              <w:top w:val="nil"/>
              <w:left w:val="nil"/>
              <w:right w:val="nil"/>
            </w:tcBorders>
            <w:vAlign w:val="bottom"/>
          </w:tcPr>
          <w:p w14:paraId="38DC02E7" w14:textId="77777777" w:rsidR="006D4ED3" w:rsidRPr="00701F32" w:rsidRDefault="006D4ED3" w:rsidP="00393CEB">
            <w:pPr>
              <w:keepNext/>
              <w:keepLines/>
              <w:spacing w:before="40" w:line="259" w:lineRule="auto"/>
              <w:ind w:left="720" w:hanging="720"/>
              <w:jc w:val="right"/>
              <w:outlineLvl w:val="1"/>
              <w:rPr>
                <w:rFonts w:ascii="Arial" w:hAnsi="Arial" w:cs="Arial"/>
                <w:b/>
                <w:bCs/>
                <w:sz w:val="18"/>
                <w:szCs w:val="18"/>
              </w:rPr>
            </w:pPr>
          </w:p>
        </w:tc>
        <w:tc>
          <w:tcPr>
            <w:tcW w:w="1153" w:type="dxa"/>
            <w:tcBorders>
              <w:top w:val="nil"/>
              <w:left w:val="nil"/>
              <w:bottom w:val="single" w:sz="8" w:space="0" w:color="auto"/>
              <w:right w:val="nil"/>
            </w:tcBorders>
            <w:vAlign w:val="bottom"/>
          </w:tcPr>
          <w:p w14:paraId="6B682FBB" w14:textId="77777777" w:rsidR="006D4ED3" w:rsidRPr="00701F32" w:rsidRDefault="00896229" w:rsidP="00393CEB">
            <w:pPr>
              <w:keepNext/>
              <w:keepLines/>
              <w:spacing w:before="40" w:line="259" w:lineRule="auto"/>
              <w:ind w:left="720" w:hanging="720"/>
              <w:jc w:val="right"/>
              <w:outlineLvl w:val="1"/>
              <w:rPr>
                <w:rFonts w:ascii="Arial" w:hAnsi="Arial" w:cs="Arial"/>
                <w:b/>
                <w:bCs/>
                <w:sz w:val="18"/>
                <w:szCs w:val="18"/>
              </w:rPr>
            </w:pPr>
            <w:r w:rsidRPr="00701F32">
              <w:rPr>
                <w:rFonts w:ascii="Arial" w:hAnsi="Arial" w:cs="Arial"/>
                <w:b/>
                <w:bCs/>
                <w:sz w:val="18"/>
                <w:szCs w:val="18"/>
              </w:rPr>
              <w:t>30/0</w:t>
            </w:r>
            <w:r w:rsidR="00B848DD" w:rsidRPr="00701F32">
              <w:rPr>
                <w:rFonts w:ascii="Arial" w:hAnsi="Arial" w:cs="Arial"/>
                <w:b/>
                <w:bCs/>
                <w:sz w:val="18"/>
                <w:szCs w:val="18"/>
              </w:rPr>
              <w:t>9</w:t>
            </w:r>
            <w:r w:rsidRPr="00701F32">
              <w:rPr>
                <w:rFonts w:ascii="Arial" w:hAnsi="Arial" w:cs="Arial"/>
                <w:b/>
                <w:bCs/>
                <w:sz w:val="18"/>
                <w:szCs w:val="18"/>
              </w:rPr>
              <w:t>/2017</w:t>
            </w:r>
          </w:p>
        </w:tc>
      </w:tr>
      <w:tr w:rsidR="006D4ED3" w:rsidRPr="00701F32" w14:paraId="2196264E" w14:textId="77777777" w:rsidTr="00393CEB">
        <w:trPr>
          <w:trHeight w:val="300"/>
        </w:trPr>
        <w:tc>
          <w:tcPr>
            <w:tcW w:w="4612" w:type="dxa"/>
            <w:tcBorders>
              <w:top w:val="nil"/>
              <w:left w:val="nil"/>
              <w:bottom w:val="nil"/>
              <w:right w:val="nil"/>
            </w:tcBorders>
            <w:shd w:val="clear" w:color="auto" w:fill="auto"/>
            <w:vAlign w:val="bottom"/>
            <w:hideMark/>
          </w:tcPr>
          <w:p w14:paraId="5FB0AD38" w14:textId="77777777" w:rsidR="006D4ED3" w:rsidRPr="00701F32" w:rsidRDefault="006D4ED3" w:rsidP="00393CEB">
            <w:pPr>
              <w:keepNext/>
              <w:keepLines/>
              <w:spacing w:before="40" w:line="259" w:lineRule="auto"/>
              <w:ind w:left="720" w:hanging="720"/>
              <w:outlineLvl w:val="1"/>
              <w:rPr>
                <w:rFonts w:ascii="Arial" w:hAnsi="Arial" w:cs="Arial"/>
                <w:sz w:val="18"/>
              </w:rPr>
            </w:pPr>
            <w:r w:rsidRPr="00701F32">
              <w:rPr>
                <w:rFonts w:ascii="Arial" w:hAnsi="Arial" w:cs="Arial"/>
                <w:sz w:val="18"/>
              </w:rPr>
              <w:t xml:space="preserve">Resultado neto bajo NIIF </w:t>
            </w:r>
          </w:p>
        </w:tc>
        <w:tc>
          <w:tcPr>
            <w:tcW w:w="1200" w:type="dxa"/>
            <w:tcBorders>
              <w:top w:val="nil"/>
              <w:left w:val="nil"/>
              <w:bottom w:val="nil"/>
              <w:right w:val="nil"/>
            </w:tcBorders>
            <w:shd w:val="clear" w:color="auto" w:fill="auto"/>
            <w:noWrap/>
            <w:vAlign w:val="center"/>
            <w:hideMark/>
          </w:tcPr>
          <w:p w14:paraId="17F22ECA" w14:textId="77777777" w:rsidR="006D4ED3" w:rsidRPr="00701F32" w:rsidRDefault="006D4ED3" w:rsidP="006D4ED3">
            <w:pPr>
              <w:keepNext/>
              <w:keepLines/>
              <w:spacing w:before="40" w:line="259" w:lineRule="auto"/>
              <w:ind w:left="720" w:hanging="720"/>
              <w:jc w:val="right"/>
              <w:outlineLvl w:val="1"/>
              <w:rPr>
                <w:rFonts w:ascii="Arial" w:hAnsi="Arial" w:cs="Arial"/>
                <w:sz w:val="18"/>
              </w:rPr>
            </w:pPr>
          </w:p>
        </w:tc>
        <w:tc>
          <w:tcPr>
            <w:tcW w:w="1141" w:type="dxa"/>
            <w:tcBorders>
              <w:top w:val="nil"/>
              <w:left w:val="nil"/>
              <w:bottom w:val="nil"/>
              <w:right w:val="nil"/>
            </w:tcBorders>
            <w:shd w:val="clear" w:color="auto" w:fill="auto"/>
            <w:vAlign w:val="bottom"/>
            <w:hideMark/>
          </w:tcPr>
          <w:p w14:paraId="40F9AF02" w14:textId="77777777" w:rsidR="006D4ED3" w:rsidRPr="00701F32" w:rsidRDefault="006D4ED3">
            <w:pPr>
              <w:keepNext/>
              <w:keepLines/>
              <w:spacing w:before="40" w:line="259" w:lineRule="auto"/>
              <w:ind w:left="720" w:hanging="720"/>
              <w:jc w:val="right"/>
              <w:outlineLvl w:val="1"/>
              <w:rPr>
                <w:rFonts w:ascii="Arial" w:hAnsi="Arial" w:cs="Arial"/>
                <w:sz w:val="18"/>
                <w:szCs w:val="18"/>
                <w:lang w:val="es-ES_tradnl"/>
              </w:rPr>
            </w:pPr>
            <w:r w:rsidRPr="00701F32">
              <w:rPr>
                <w:rFonts w:ascii="Arial" w:hAnsi="Arial" w:cs="Arial"/>
                <w:sz w:val="18"/>
                <w:szCs w:val="18"/>
              </w:rPr>
              <w:t>827.397</w:t>
            </w:r>
          </w:p>
        </w:tc>
        <w:tc>
          <w:tcPr>
            <w:tcW w:w="418" w:type="dxa"/>
            <w:tcBorders>
              <w:top w:val="nil"/>
              <w:left w:val="nil"/>
              <w:bottom w:val="nil"/>
              <w:right w:val="nil"/>
            </w:tcBorders>
            <w:vAlign w:val="bottom"/>
          </w:tcPr>
          <w:p w14:paraId="45BBBF56" w14:textId="77777777" w:rsidR="006D4ED3" w:rsidRPr="00701F32" w:rsidRDefault="006D4ED3">
            <w:pPr>
              <w:keepNext/>
              <w:keepLines/>
              <w:spacing w:before="40" w:line="259" w:lineRule="auto"/>
              <w:ind w:left="720" w:hanging="720"/>
              <w:jc w:val="right"/>
              <w:outlineLvl w:val="1"/>
              <w:rPr>
                <w:rFonts w:ascii="Arial" w:hAnsi="Arial" w:cs="Arial"/>
                <w:sz w:val="18"/>
                <w:szCs w:val="18"/>
              </w:rPr>
            </w:pPr>
          </w:p>
        </w:tc>
        <w:tc>
          <w:tcPr>
            <w:tcW w:w="1153" w:type="dxa"/>
            <w:tcBorders>
              <w:top w:val="nil"/>
              <w:left w:val="nil"/>
              <w:bottom w:val="nil"/>
              <w:right w:val="nil"/>
            </w:tcBorders>
            <w:vAlign w:val="bottom"/>
          </w:tcPr>
          <w:p w14:paraId="4EA81764" w14:textId="19B3A0EF" w:rsidR="006D4ED3" w:rsidRPr="00701F32" w:rsidRDefault="00D636AD">
            <w:pPr>
              <w:keepNext/>
              <w:keepLines/>
              <w:spacing w:before="40" w:line="259" w:lineRule="auto"/>
              <w:ind w:left="720" w:hanging="720"/>
              <w:jc w:val="right"/>
              <w:outlineLvl w:val="1"/>
              <w:rPr>
                <w:rFonts w:ascii="Arial" w:hAnsi="Arial" w:cs="Arial"/>
                <w:sz w:val="18"/>
                <w:szCs w:val="18"/>
              </w:rPr>
            </w:pPr>
            <w:r w:rsidRPr="00701F32">
              <w:rPr>
                <w:rFonts w:ascii="Arial" w:hAnsi="Arial" w:cs="Arial"/>
                <w:sz w:val="18"/>
                <w:szCs w:val="18"/>
              </w:rPr>
              <w:t>828.2</w:t>
            </w:r>
            <w:r w:rsidR="00443DE6" w:rsidRPr="00701F32">
              <w:rPr>
                <w:rFonts w:ascii="Arial" w:hAnsi="Arial" w:cs="Arial"/>
                <w:sz w:val="18"/>
                <w:szCs w:val="18"/>
              </w:rPr>
              <w:t>42</w:t>
            </w:r>
          </w:p>
        </w:tc>
      </w:tr>
      <w:tr w:rsidR="006D4ED3" w:rsidRPr="00701F32" w14:paraId="1406FAAA" w14:textId="77777777" w:rsidTr="00393CEB">
        <w:trPr>
          <w:trHeight w:val="235"/>
        </w:trPr>
        <w:tc>
          <w:tcPr>
            <w:tcW w:w="4612" w:type="dxa"/>
            <w:tcBorders>
              <w:top w:val="nil"/>
              <w:left w:val="nil"/>
              <w:bottom w:val="nil"/>
              <w:right w:val="nil"/>
            </w:tcBorders>
            <w:shd w:val="clear" w:color="auto" w:fill="auto"/>
            <w:vAlign w:val="bottom"/>
            <w:hideMark/>
          </w:tcPr>
          <w:p w14:paraId="1848430C" w14:textId="77777777" w:rsidR="006D4ED3" w:rsidRPr="00701F32" w:rsidRDefault="006D4ED3" w:rsidP="00393CEB">
            <w:pPr>
              <w:keepNext/>
              <w:keepLines/>
              <w:spacing w:before="40" w:line="259" w:lineRule="auto"/>
              <w:jc w:val="both"/>
              <w:outlineLvl w:val="1"/>
              <w:rPr>
                <w:rFonts w:ascii="Arial" w:hAnsi="Arial" w:cs="Arial"/>
                <w:sz w:val="18"/>
              </w:rPr>
            </w:pPr>
            <w:r w:rsidRPr="00701F32">
              <w:rPr>
                <w:rFonts w:ascii="Arial" w:hAnsi="Arial" w:cs="Arial"/>
                <w:sz w:val="18"/>
              </w:rPr>
              <w:t xml:space="preserve">Otros resultados integrales bajo NIIF </w:t>
            </w:r>
          </w:p>
        </w:tc>
        <w:tc>
          <w:tcPr>
            <w:tcW w:w="1200" w:type="dxa"/>
            <w:tcBorders>
              <w:top w:val="nil"/>
              <w:left w:val="nil"/>
              <w:bottom w:val="nil"/>
              <w:right w:val="nil"/>
            </w:tcBorders>
            <w:shd w:val="clear" w:color="auto" w:fill="auto"/>
            <w:noWrap/>
            <w:vAlign w:val="center"/>
            <w:hideMark/>
          </w:tcPr>
          <w:p w14:paraId="2740EC7E" w14:textId="77777777" w:rsidR="006D4ED3" w:rsidRPr="00701F32" w:rsidRDefault="006D4ED3" w:rsidP="006D4ED3">
            <w:pPr>
              <w:keepNext/>
              <w:keepLines/>
              <w:spacing w:before="40" w:line="259" w:lineRule="auto"/>
              <w:ind w:left="720" w:hanging="720"/>
              <w:jc w:val="right"/>
              <w:outlineLvl w:val="1"/>
              <w:rPr>
                <w:rFonts w:ascii="Arial" w:hAnsi="Arial" w:cs="Arial"/>
                <w:sz w:val="18"/>
              </w:rPr>
            </w:pPr>
          </w:p>
        </w:tc>
        <w:tc>
          <w:tcPr>
            <w:tcW w:w="1141" w:type="dxa"/>
            <w:tcBorders>
              <w:top w:val="nil"/>
              <w:left w:val="nil"/>
              <w:bottom w:val="single" w:sz="8" w:space="0" w:color="auto"/>
              <w:right w:val="nil"/>
            </w:tcBorders>
            <w:shd w:val="clear" w:color="auto" w:fill="auto"/>
            <w:vAlign w:val="bottom"/>
            <w:hideMark/>
          </w:tcPr>
          <w:p w14:paraId="00BD5C0B" w14:textId="77777777" w:rsidR="006D4ED3" w:rsidRPr="00701F32" w:rsidRDefault="006D4ED3">
            <w:pPr>
              <w:keepNext/>
              <w:keepLines/>
              <w:spacing w:before="40" w:line="259" w:lineRule="auto"/>
              <w:ind w:left="720" w:hanging="720"/>
              <w:jc w:val="right"/>
              <w:outlineLvl w:val="1"/>
              <w:rPr>
                <w:rFonts w:ascii="Arial" w:hAnsi="Arial" w:cs="Arial"/>
                <w:sz w:val="18"/>
                <w:szCs w:val="18"/>
                <w:lang w:val="es-ES_tradnl"/>
              </w:rPr>
            </w:pPr>
            <w:r w:rsidRPr="00701F32">
              <w:rPr>
                <w:rFonts w:ascii="Arial" w:hAnsi="Arial" w:cs="Arial"/>
                <w:sz w:val="18"/>
                <w:szCs w:val="18"/>
              </w:rPr>
              <w:t>69.561</w:t>
            </w:r>
          </w:p>
        </w:tc>
        <w:tc>
          <w:tcPr>
            <w:tcW w:w="418" w:type="dxa"/>
            <w:tcBorders>
              <w:top w:val="nil"/>
              <w:left w:val="nil"/>
              <w:right w:val="nil"/>
            </w:tcBorders>
            <w:vAlign w:val="bottom"/>
          </w:tcPr>
          <w:p w14:paraId="7B80C34C" w14:textId="77777777" w:rsidR="006D4ED3" w:rsidRPr="00701F32" w:rsidRDefault="006D4ED3">
            <w:pPr>
              <w:keepNext/>
              <w:keepLines/>
              <w:spacing w:before="40" w:line="259" w:lineRule="auto"/>
              <w:ind w:left="720" w:hanging="720"/>
              <w:jc w:val="right"/>
              <w:outlineLvl w:val="1"/>
              <w:rPr>
                <w:rFonts w:ascii="Arial" w:hAnsi="Arial" w:cs="Arial"/>
                <w:sz w:val="18"/>
                <w:szCs w:val="18"/>
              </w:rPr>
            </w:pPr>
          </w:p>
        </w:tc>
        <w:tc>
          <w:tcPr>
            <w:tcW w:w="1153" w:type="dxa"/>
            <w:tcBorders>
              <w:top w:val="nil"/>
              <w:left w:val="nil"/>
              <w:bottom w:val="single" w:sz="8" w:space="0" w:color="auto"/>
              <w:right w:val="nil"/>
            </w:tcBorders>
            <w:vAlign w:val="bottom"/>
          </w:tcPr>
          <w:p w14:paraId="15D12862" w14:textId="77777777" w:rsidR="006D4ED3" w:rsidRPr="00701F32" w:rsidRDefault="004D6BED">
            <w:pPr>
              <w:keepNext/>
              <w:keepLines/>
              <w:spacing w:before="40" w:line="259" w:lineRule="auto"/>
              <w:ind w:left="720" w:hanging="720"/>
              <w:jc w:val="right"/>
              <w:outlineLvl w:val="1"/>
              <w:rPr>
                <w:rFonts w:ascii="Arial" w:hAnsi="Arial" w:cs="Arial"/>
                <w:sz w:val="18"/>
                <w:szCs w:val="18"/>
              </w:rPr>
            </w:pPr>
            <w:r w:rsidRPr="00701F32">
              <w:rPr>
                <w:rFonts w:ascii="Arial" w:hAnsi="Arial" w:cs="Arial"/>
                <w:sz w:val="18"/>
                <w:szCs w:val="18"/>
              </w:rPr>
              <w:t>28.138</w:t>
            </w:r>
          </w:p>
        </w:tc>
      </w:tr>
      <w:tr w:rsidR="006D4ED3" w:rsidRPr="00701F32" w14:paraId="550CB924" w14:textId="77777777" w:rsidTr="00393CEB">
        <w:trPr>
          <w:trHeight w:val="233"/>
        </w:trPr>
        <w:tc>
          <w:tcPr>
            <w:tcW w:w="4612" w:type="dxa"/>
            <w:tcBorders>
              <w:top w:val="nil"/>
              <w:left w:val="nil"/>
              <w:bottom w:val="nil"/>
              <w:right w:val="nil"/>
            </w:tcBorders>
            <w:shd w:val="clear" w:color="auto" w:fill="auto"/>
            <w:vAlign w:val="bottom"/>
            <w:hideMark/>
          </w:tcPr>
          <w:p w14:paraId="6ACB1509" w14:textId="77777777" w:rsidR="006D4ED3" w:rsidRPr="00701F32" w:rsidRDefault="006D4ED3" w:rsidP="00393CEB">
            <w:pPr>
              <w:keepNext/>
              <w:keepLines/>
              <w:spacing w:before="40" w:line="259" w:lineRule="auto"/>
              <w:jc w:val="both"/>
              <w:outlineLvl w:val="1"/>
              <w:rPr>
                <w:rFonts w:ascii="Arial" w:hAnsi="Arial" w:cs="Arial"/>
                <w:b/>
                <w:bCs/>
                <w:sz w:val="18"/>
              </w:rPr>
            </w:pPr>
            <w:r w:rsidRPr="00701F32">
              <w:rPr>
                <w:rFonts w:ascii="Arial" w:hAnsi="Arial" w:cs="Arial"/>
                <w:b/>
                <w:bCs/>
                <w:sz w:val="18"/>
              </w:rPr>
              <w:t xml:space="preserve">Total del resultado neto más resultado integral </w:t>
            </w:r>
          </w:p>
        </w:tc>
        <w:tc>
          <w:tcPr>
            <w:tcW w:w="1200" w:type="dxa"/>
            <w:tcBorders>
              <w:top w:val="nil"/>
              <w:left w:val="nil"/>
              <w:bottom w:val="nil"/>
              <w:right w:val="nil"/>
            </w:tcBorders>
            <w:shd w:val="clear" w:color="auto" w:fill="auto"/>
            <w:noWrap/>
            <w:vAlign w:val="center"/>
            <w:hideMark/>
          </w:tcPr>
          <w:p w14:paraId="0BF2ECD7" w14:textId="77777777" w:rsidR="006D4ED3" w:rsidRPr="00701F32" w:rsidRDefault="006D4ED3" w:rsidP="006D4ED3">
            <w:pPr>
              <w:keepNext/>
              <w:keepLines/>
              <w:spacing w:before="40" w:line="259" w:lineRule="auto"/>
              <w:ind w:left="720" w:hanging="720"/>
              <w:jc w:val="right"/>
              <w:outlineLvl w:val="1"/>
              <w:rPr>
                <w:rFonts w:ascii="Arial" w:hAnsi="Arial" w:cs="Arial"/>
                <w:b/>
                <w:bCs/>
                <w:sz w:val="18"/>
              </w:rPr>
            </w:pPr>
          </w:p>
        </w:tc>
        <w:tc>
          <w:tcPr>
            <w:tcW w:w="1141" w:type="dxa"/>
            <w:tcBorders>
              <w:top w:val="nil"/>
              <w:left w:val="nil"/>
              <w:bottom w:val="double" w:sz="6" w:space="0" w:color="auto"/>
              <w:right w:val="nil"/>
            </w:tcBorders>
            <w:shd w:val="clear" w:color="auto" w:fill="auto"/>
            <w:vAlign w:val="bottom"/>
            <w:hideMark/>
          </w:tcPr>
          <w:p w14:paraId="01749D3F" w14:textId="77777777" w:rsidR="006D4ED3" w:rsidRPr="00701F32" w:rsidRDefault="006D4ED3">
            <w:pPr>
              <w:keepNext/>
              <w:keepLines/>
              <w:spacing w:before="40" w:line="259" w:lineRule="auto"/>
              <w:ind w:left="720" w:hanging="720"/>
              <w:jc w:val="right"/>
              <w:outlineLvl w:val="1"/>
              <w:rPr>
                <w:rFonts w:ascii="Arial" w:hAnsi="Arial" w:cs="Arial"/>
                <w:b/>
                <w:bCs/>
                <w:sz w:val="18"/>
                <w:szCs w:val="18"/>
                <w:lang w:val="es-ES_tradnl"/>
              </w:rPr>
            </w:pPr>
            <w:r w:rsidRPr="00701F32">
              <w:rPr>
                <w:rFonts w:ascii="Arial" w:hAnsi="Arial" w:cs="Arial"/>
                <w:b/>
                <w:bCs/>
                <w:sz w:val="18"/>
                <w:szCs w:val="18"/>
              </w:rPr>
              <w:t>896.958</w:t>
            </w:r>
          </w:p>
        </w:tc>
        <w:tc>
          <w:tcPr>
            <w:tcW w:w="418" w:type="dxa"/>
            <w:tcBorders>
              <w:top w:val="nil"/>
              <w:left w:val="nil"/>
              <w:right w:val="nil"/>
            </w:tcBorders>
            <w:vAlign w:val="bottom"/>
          </w:tcPr>
          <w:p w14:paraId="71C122A5" w14:textId="77777777" w:rsidR="006D4ED3" w:rsidRPr="00701F32" w:rsidRDefault="006D4ED3">
            <w:pPr>
              <w:keepNext/>
              <w:keepLines/>
              <w:spacing w:before="40" w:line="259" w:lineRule="auto"/>
              <w:ind w:left="720" w:hanging="720"/>
              <w:jc w:val="right"/>
              <w:outlineLvl w:val="1"/>
              <w:rPr>
                <w:rFonts w:ascii="Arial" w:hAnsi="Arial" w:cs="Arial"/>
                <w:b/>
                <w:bCs/>
                <w:sz w:val="18"/>
                <w:szCs w:val="18"/>
              </w:rPr>
            </w:pPr>
          </w:p>
        </w:tc>
        <w:tc>
          <w:tcPr>
            <w:tcW w:w="1153" w:type="dxa"/>
            <w:tcBorders>
              <w:top w:val="nil"/>
              <w:left w:val="nil"/>
              <w:bottom w:val="double" w:sz="6" w:space="0" w:color="auto"/>
              <w:right w:val="nil"/>
            </w:tcBorders>
            <w:vAlign w:val="bottom"/>
          </w:tcPr>
          <w:p w14:paraId="195B0CF4" w14:textId="1B31A607" w:rsidR="006D4ED3" w:rsidRPr="00701F32" w:rsidRDefault="00D636AD">
            <w:pPr>
              <w:keepNext/>
              <w:keepLines/>
              <w:spacing w:before="40" w:line="259" w:lineRule="auto"/>
              <w:ind w:left="720" w:hanging="720"/>
              <w:jc w:val="right"/>
              <w:outlineLvl w:val="1"/>
              <w:rPr>
                <w:rFonts w:ascii="Arial" w:hAnsi="Arial" w:cs="Arial"/>
                <w:b/>
                <w:bCs/>
                <w:sz w:val="18"/>
                <w:szCs w:val="18"/>
              </w:rPr>
            </w:pPr>
            <w:r w:rsidRPr="00701F32">
              <w:rPr>
                <w:rFonts w:ascii="Arial" w:hAnsi="Arial" w:cs="Arial"/>
                <w:b/>
                <w:bCs/>
                <w:sz w:val="18"/>
                <w:szCs w:val="18"/>
              </w:rPr>
              <w:t>856.3</w:t>
            </w:r>
            <w:r w:rsidR="00443DE6" w:rsidRPr="00701F32">
              <w:rPr>
                <w:rFonts w:ascii="Arial" w:hAnsi="Arial" w:cs="Arial"/>
                <w:b/>
                <w:bCs/>
                <w:sz w:val="18"/>
                <w:szCs w:val="18"/>
              </w:rPr>
              <w:t>80</w:t>
            </w:r>
          </w:p>
        </w:tc>
      </w:tr>
    </w:tbl>
    <w:p w14:paraId="64278560" w14:textId="77777777" w:rsidR="00F720ED" w:rsidRPr="00701F32" w:rsidRDefault="00F720ED" w:rsidP="00A06BE9">
      <w:pPr>
        <w:keepNext/>
        <w:keepLines/>
        <w:spacing w:before="40" w:line="259" w:lineRule="auto"/>
        <w:ind w:left="720" w:hanging="720"/>
        <w:jc w:val="both"/>
        <w:outlineLvl w:val="1"/>
        <w:rPr>
          <w:rFonts w:ascii="Arial" w:hAnsi="Arial" w:cs="Arial"/>
          <w:sz w:val="20"/>
        </w:rPr>
      </w:pPr>
    </w:p>
    <w:p w14:paraId="5B3491E9" w14:textId="77777777" w:rsidR="00A06BE9" w:rsidRPr="00701F32" w:rsidRDefault="00A06BE9" w:rsidP="00A06BE9">
      <w:pPr>
        <w:keepNext/>
        <w:keepLines/>
        <w:spacing w:before="40" w:line="259" w:lineRule="auto"/>
        <w:jc w:val="both"/>
        <w:outlineLvl w:val="1"/>
        <w:rPr>
          <w:rFonts w:ascii="Arial" w:hAnsi="Arial" w:cs="Arial"/>
          <w:sz w:val="20"/>
        </w:rPr>
      </w:pPr>
      <w:r w:rsidRPr="00701F32">
        <w:rPr>
          <w:rFonts w:ascii="Arial" w:hAnsi="Arial" w:cs="Arial"/>
          <w:sz w:val="20"/>
        </w:rPr>
        <w:t xml:space="preserve">2.1.5. Explicación de los ajustes </w:t>
      </w:r>
    </w:p>
    <w:p w14:paraId="0ACE6FEA" w14:textId="77777777" w:rsidR="0048778A" w:rsidRPr="00701F32" w:rsidRDefault="0048778A" w:rsidP="00A06BE9">
      <w:pPr>
        <w:keepNext/>
        <w:keepLines/>
        <w:spacing w:before="40" w:line="259" w:lineRule="auto"/>
        <w:jc w:val="both"/>
        <w:outlineLvl w:val="1"/>
        <w:rPr>
          <w:rFonts w:ascii="Arial" w:hAnsi="Arial" w:cs="Arial"/>
          <w:sz w:val="20"/>
        </w:rPr>
      </w:pPr>
    </w:p>
    <w:p w14:paraId="2CA81670" w14:textId="77777777" w:rsidR="00A06BE9" w:rsidRPr="00701F32" w:rsidRDefault="00A06BE9" w:rsidP="00A06BE9">
      <w:pPr>
        <w:pStyle w:val="Prrafodelista"/>
        <w:numPr>
          <w:ilvl w:val="0"/>
          <w:numId w:val="28"/>
        </w:numPr>
        <w:spacing w:before="90"/>
        <w:contextualSpacing/>
        <w:rPr>
          <w:rFonts w:ascii="Arial" w:hAnsi="Arial" w:cs="Arial"/>
          <w:sz w:val="20"/>
          <w:lang w:eastAsia="es-AR"/>
        </w:rPr>
      </w:pPr>
      <w:r w:rsidRPr="00701F32">
        <w:rPr>
          <w:rFonts w:ascii="Arial" w:hAnsi="Arial" w:cs="Arial"/>
          <w:b/>
          <w:sz w:val="20"/>
          <w:lang w:eastAsia="es-AR"/>
        </w:rPr>
        <w:t>Ajuste en el reconocimiento de ingresos por intereses a través del método de la tasa efectiva.</w:t>
      </w:r>
    </w:p>
    <w:p w14:paraId="47718387" w14:textId="77777777" w:rsidR="00A06BE9" w:rsidRPr="00701F32" w:rsidRDefault="00A06BE9" w:rsidP="00A06BE9">
      <w:pPr>
        <w:pStyle w:val="Prrafodelista"/>
        <w:spacing w:before="90"/>
        <w:ind w:left="360"/>
        <w:rPr>
          <w:rFonts w:ascii="Arial" w:hAnsi="Arial" w:cs="Arial"/>
          <w:sz w:val="20"/>
          <w:lang w:eastAsia="es-AR"/>
        </w:rPr>
      </w:pPr>
    </w:p>
    <w:p w14:paraId="68CFBEC3" w14:textId="77777777" w:rsidR="00A06BE9" w:rsidRPr="00701F32" w:rsidRDefault="00A06BE9" w:rsidP="00A06BE9">
      <w:pPr>
        <w:pStyle w:val="Prrafodelista"/>
        <w:spacing w:before="90"/>
        <w:ind w:left="0"/>
        <w:jc w:val="both"/>
        <w:rPr>
          <w:rFonts w:ascii="Arial" w:hAnsi="Arial" w:cs="Arial"/>
          <w:sz w:val="20"/>
          <w:lang w:eastAsia="es-AR"/>
        </w:rPr>
      </w:pPr>
      <w:r w:rsidRPr="00701F32">
        <w:rPr>
          <w:rFonts w:ascii="Arial" w:hAnsi="Arial" w:cs="Arial"/>
          <w:sz w:val="20"/>
          <w:lang w:eastAsia="es-AR"/>
        </w:rPr>
        <w:t>Bajo NIIF los costos e ingresos relacionados directamente con el otorgamiento de un préstamo no se imputan directamente a resultados sino que se incorporan dentro de la tasa del préstamo y se devengan a lo largo de la vida del mismo. Como consecuencia de la aplicación de este método disminuyeron los ingresos por comisiones y los gastos de administración y se incrementaron los ingresos por intereses, con contrapartida en los activos registrados en préstamos y otras financiaciones</w:t>
      </w:r>
    </w:p>
    <w:p w14:paraId="27B697C5" w14:textId="77777777" w:rsidR="00383619" w:rsidRPr="00701F32" w:rsidRDefault="00383619" w:rsidP="00A06BE9">
      <w:pPr>
        <w:pStyle w:val="Prrafodelista"/>
        <w:spacing w:before="90"/>
        <w:ind w:left="0"/>
        <w:rPr>
          <w:rFonts w:ascii="Arial" w:hAnsi="Arial" w:cs="Arial"/>
          <w:sz w:val="20"/>
          <w:lang w:eastAsia="es-AR"/>
        </w:rPr>
      </w:pPr>
    </w:p>
    <w:p w14:paraId="22E91A1D" w14:textId="77777777" w:rsidR="00A06BE9" w:rsidRPr="00701F32" w:rsidRDefault="00A06BE9" w:rsidP="00A06BE9">
      <w:pPr>
        <w:pStyle w:val="Prrafodelista"/>
        <w:numPr>
          <w:ilvl w:val="0"/>
          <w:numId w:val="28"/>
        </w:numPr>
        <w:spacing w:before="90"/>
        <w:rPr>
          <w:rFonts w:ascii="Arial" w:hAnsi="Arial" w:cs="Arial"/>
          <w:b/>
          <w:sz w:val="20"/>
          <w:lang w:eastAsia="es-AR"/>
        </w:rPr>
      </w:pPr>
      <w:r w:rsidRPr="00701F32">
        <w:rPr>
          <w:rFonts w:ascii="Arial" w:hAnsi="Arial" w:cs="Arial"/>
          <w:b/>
          <w:sz w:val="20"/>
          <w:lang w:eastAsia="es-AR"/>
        </w:rPr>
        <w:t>Ajuste en el valor inicial de financiaciones a tasas inferiores a las de mercado</w:t>
      </w:r>
    </w:p>
    <w:p w14:paraId="639B9131" w14:textId="77777777" w:rsidR="00A06BE9" w:rsidRPr="00701F32" w:rsidRDefault="00A06BE9" w:rsidP="00A06BE9">
      <w:pPr>
        <w:spacing w:before="90"/>
        <w:rPr>
          <w:rFonts w:ascii="Arial" w:hAnsi="Arial" w:cs="Arial"/>
          <w:sz w:val="20"/>
          <w:lang w:eastAsia="es-AR"/>
        </w:rPr>
      </w:pPr>
    </w:p>
    <w:p w14:paraId="621DE9A7" w14:textId="4DADAB9E" w:rsidR="00A06BE9" w:rsidRDefault="00A06BE9" w:rsidP="00A06BE9">
      <w:pPr>
        <w:spacing w:before="90"/>
        <w:jc w:val="both"/>
        <w:rPr>
          <w:rFonts w:ascii="Arial" w:hAnsi="Arial" w:cs="Arial"/>
          <w:sz w:val="20"/>
          <w:lang w:eastAsia="es-AR"/>
        </w:rPr>
      </w:pPr>
      <w:r w:rsidRPr="00701F32">
        <w:rPr>
          <w:rFonts w:ascii="Arial" w:hAnsi="Arial" w:cs="Arial"/>
          <w:sz w:val="20"/>
          <w:lang w:eastAsia="es-AR"/>
        </w:rPr>
        <w:t>Se ajustó el valor inicial de operaciones de financiación a través de tarjetas de crédito y préstamos hipotecarios a tasas inferiores a las de mercado, reconociendo una pérdida al momento inicial por aplicación de la tasa de mercado que luego se devenga como ingreso por intereses a lo largo de la vida del préstamo. La pérdida está imputada en otros gastos operativos y en beneficios al personal para los préstamos hipotecarios. La utilidad se registró dentro de los ingresos por intereses y se modificó el valor del activo registrado en préstamos y otras financiaciones</w:t>
      </w:r>
    </w:p>
    <w:p w14:paraId="1A9DB6E0" w14:textId="77777777" w:rsidR="00701F32" w:rsidRPr="00701F32" w:rsidRDefault="00701F32" w:rsidP="00A06BE9">
      <w:pPr>
        <w:spacing w:before="90"/>
        <w:jc w:val="both"/>
        <w:rPr>
          <w:rFonts w:ascii="Arial" w:hAnsi="Arial" w:cs="Arial"/>
          <w:sz w:val="20"/>
          <w:lang w:eastAsia="es-AR"/>
        </w:rPr>
      </w:pPr>
    </w:p>
    <w:p w14:paraId="0F723D92" w14:textId="77777777" w:rsidR="00A06BE9" w:rsidRPr="00701F32" w:rsidRDefault="00A06BE9" w:rsidP="005819B2">
      <w:pPr>
        <w:pStyle w:val="Prrafodelista"/>
        <w:numPr>
          <w:ilvl w:val="0"/>
          <w:numId w:val="28"/>
        </w:numPr>
        <w:spacing w:before="90"/>
        <w:jc w:val="both"/>
        <w:rPr>
          <w:rFonts w:ascii="Arial" w:hAnsi="Arial" w:cs="Arial"/>
          <w:b/>
          <w:sz w:val="20"/>
          <w:lang w:eastAsia="es-AR"/>
        </w:rPr>
      </w:pPr>
      <w:r w:rsidRPr="00701F32">
        <w:rPr>
          <w:rFonts w:ascii="Arial" w:hAnsi="Arial" w:cs="Arial"/>
          <w:b/>
          <w:sz w:val="20"/>
          <w:lang w:eastAsia="es-AR"/>
        </w:rPr>
        <w:t>Valuación de inversiones a valor razonable.</w:t>
      </w:r>
    </w:p>
    <w:p w14:paraId="2CB0C29D" w14:textId="77777777" w:rsidR="0048778A" w:rsidRPr="00701F32" w:rsidRDefault="00A06BE9" w:rsidP="00A06BE9">
      <w:pPr>
        <w:spacing w:before="90"/>
        <w:jc w:val="both"/>
        <w:rPr>
          <w:rFonts w:ascii="Arial" w:hAnsi="Arial" w:cs="Arial"/>
          <w:sz w:val="20"/>
          <w:lang w:eastAsia="es-AR"/>
        </w:rPr>
      </w:pPr>
      <w:r w:rsidRPr="00701F32">
        <w:rPr>
          <w:rFonts w:ascii="Arial" w:hAnsi="Arial" w:cs="Arial"/>
          <w:sz w:val="20"/>
          <w:lang w:eastAsia="es-AR"/>
        </w:rPr>
        <w:t>De acuerdo a lo establecido por el BCRA, la Entidad valuaba sus inversiones en títulos públicos en función del destino más probable del activo. Las especies que constaban en listados de volatilidades o de valores presentes emitidos por el BCRA se valuaban a su valor de mercado, mientras aquellas que no se encontraban en los listados mencionados se valuaban a su valor de incorporación acrecentado en forma exponencial en función a su tasa interna de retorno.</w:t>
      </w:r>
    </w:p>
    <w:p w14:paraId="1426B9D5" w14:textId="77777777" w:rsidR="00A06BE9" w:rsidRPr="00701F32" w:rsidRDefault="00A06BE9" w:rsidP="0086282C">
      <w:pPr>
        <w:spacing w:before="90"/>
        <w:jc w:val="both"/>
        <w:rPr>
          <w:rFonts w:ascii="Arial" w:hAnsi="Arial" w:cs="Arial"/>
          <w:sz w:val="20"/>
          <w:lang w:eastAsia="es-AR"/>
        </w:rPr>
      </w:pPr>
    </w:p>
    <w:p w14:paraId="2CB3EE15" w14:textId="77777777" w:rsidR="00A06BE9" w:rsidRPr="00701F32" w:rsidRDefault="00A06BE9" w:rsidP="00A06BE9">
      <w:pPr>
        <w:pStyle w:val="Prrafodelista"/>
        <w:spacing w:before="90"/>
        <w:ind w:left="0"/>
        <w:jc w:val="both"/>
        <w:rPr>
          <w:rFonts w:ascii="Arial" w:hAnsi="Arial" w:cs="Arial"/>
          <w:sz w:val="20"/>
          <w:lang w:eastAsia="es-AR"/>
        </w:rPr>
      </w:pPr>
      <w:r w:rsidRPr="00701F32">
        <w:rPr>
          <w:rFonts w:ascii="Arial" w:hAnsi="Arial" w:cs="Arial"/>
          <w:sz w:val="20"/>
          <w:lang w:eastAsia="es-AR"/>
        </w:rPr>
        <w:t>La NIIF 9 “Instrumentos Financieros” establece que una entidad debe clasificar sus activos financieros de acuerdo al modelo de negocio que utilice para gestionarlos y de las características de los flujos de efectivo contractuales. En función de lo mencionado, la Entidad ha clasificado su cartera de inversión en aquellos que mantiene para trading, los cuales fueron valuados a valor razonable con cambios en resultados y los que mantiene para investment, los cuales fueron valuados a valor razonable con cambios en otro resultado integral.</w:t>
      </w:r>
    </w:p>
    <w:p w14:paraId="4E18588E" w14:textId="77777777" w:rsidR="00076EC8" w:rsidRPr="00701F32" w:rsidRDefault="00076EC8" w:rsidP="00A06BE9">
      <w:pPr>
        <w:jc w:val="both"/>
        <w:rPr>
          <w:rFonts w:ascii="Arial" w:hAnsi="Arial" w:cs="Arial"/>
          <w:sz w:val="20"/>
          <w:lang w:eastAsia="es-AR"/>
        </w:rPr>
      </w:pPr>
    </w:p>
    <w:p w14:paraId="170A1DD9" w14:textId="77777777" w:rsidR="00A06BE9" w:rsidRPr="00701F32" w:rsidRDefault="00A06BE9" w:rsidP="00A06BE9">
      <w:pPr>
        <w:pStyle w:val="Prrafodelista"/>
        <w:numPr>
          <w:ilvl w:val="0"/>
          <w:numId w:val="28"/>
        </w:numPr>
        <w:contextualSpacing/>
        <w:jc w:val="both"/>
        <w:rPr>
          <w:rFonts w:ascii="Arial" w:hAnsi="Arial" w:cs="Arial"/>
          <w:lang w:eastAsia="es-AR"/>
        </w:rPr>
      </w:pPr>
      <w:r w:rsidRPr="00701F32">
        <w:rPr>
          <w:rFonts w:ascii="Arial" w:hAnsi="Arial" w:cs="Arial"/>
          <w:b/>
          <w:bCs/>
          <w:iCs/>
          <w:sz w:val="20"/>
          <w:lang w:eastAsia="es-AR"/>
        </w:rPr>
        <w:t>Inversiones en subsidiarias y en otros instrumentos de patrimonio</w:t>
      </w:r>
    </w:p>
    <w:p w14:paraId="7A27D4A3" w14:textId="77777777" w:rsidR="00A06BE9" w:rsidRPr="00701F32" w:rsidRDefault="00A06BE9" w:rsidP="00A06BE9">
      <w:pPr>
        <w:autoSpaceDE w:val="0"/>
        <w:autoSpaceDN w:val="0"/>
        <w:adjustRightInd w:val="0"/>
        <w:jc w:val="both"/>
        <w:rPr>
          <w:rFonts w:ascii="Arial" w:hAnsi="Arial" w:cs="Arial"/>
          <w:sz w:val="20"/>
        </w:rPr>
      </w:pPr>
    </w:p>
    <w:p w14:paraId="65156401" w14:textId="77777777" w:rsidR="00A06BE9" w:rsidRPr="00701F32" w:rsidRDefault="00A06BE9" w:rsidP="00A06BE9">
      <w:pPr>
        <w:autoSpaceDE w:val="0"/>
        <w:autoSpaceDN w:val="0"/>
        <w:adjustRightInd w:val="0"/>
        <w:jc w:val="both"/>
        <w:rPr>
          <w:rFonts w:ascii="Arial" w:hAnsi="Arial" w:cs="Arial"/>
          <w:sz w:val="20"/>
          <w:lang w:eastAsia="es-AR"/>
        </w:rPr>
      </w:pPr>
      <w:r w:rsidRPr="00701F32">
        <w:rPr>
          <w:rFonts w:ascii="Arial" w:hAnsi="Arial" w:cs="Arial"/>
          <w:sz w:val="20"/>
        </w:rPr>
        <w:t>Bajo</w:t>
      </w:r>
      <w:r w:rsidRPr="00701F32">
        <w:rPr>
          <w:rFonts w:ascii="Arial" w:hAnsi="Arial" w:cs="Arial"/>
          <w:sz w:val="20"/>
          <w:lang w:eastAsia="es-AR"/>
        </w:rPr>
        <w:t xml:space="preserve"> NIIF las inversiones en las cuales el Banco no posee control ni influencia significativa deben ser medidas a valor razonable. Bajo normas BCRA dichas inversiones se encuentran medidas a valor de costo con el límite en el valor patrimonial proporcional. El ajuste a valor razonable de las inversiones implicó un aumento con contrapartida en otros resultados integrales por aplicación de la excepción de NIIF 1.</w:t>
      </w:r>
    </w:p>
    <w:p w14:paraId="00AA5EB2" w14:textId="77777777" w:rsidR="00A06BE9" w:rsidRPr="00701F32" w:rsidRDefault="00A06BE9" w:rsidP="00A06BE9">
      <w:pPr>
        <w:pStyle w:val="Prrafodelista"/>
        <w:spacing w:before="90"/>
        <w:ind w:left="0"/>
        <w:jc w:val="both"/>
        <w:rPr>
          <w:rFonts w:ascii="Arial" w:hAnsi="Arial" w:cs="Arial"/>
          <w:sz w:val="20"/>
          <w:lang w:eastAsia="es-AR"/>
        </w:rPr>
      </w:pPr>
    </w:p>
    <w:p w14:paraId="22FF8E75" w14:textId="77777777" w:rsidR="00A06BE9" w:rsidRPr="00701F32" w:rsidRDefault="00A06BE9" w:rsidP="00A06BE9">
      <w:pPr>
        <w:pStyle w:val="Prrafodelista"/>
        <w:numPr>
          <w:ilvl w:val="0"/>
          <w:numId w:val="28"/>
        </w:numPr>
        <w:spacing w:before="90"/>
        <w:contextualSpacing/>
        <w:rPr>
          <w:rFonts w:ascii="Arial" w:hAnsi="Arial" w:cs="Arial"/>
          <w:sz w:val="20"/>
          <w:lang w:eastAsia="es-AR"/>
        </w:rPr>
      </w:pPr>
      <w:r w:rsidRPr="00701F32">
        <w:rPr>
          <w:rFonts w:ascii="Arial" w:hAnsi="Arial" w:cs="Arial"/>
          <w:b/>
          <w:sz w:val="20"/>
          <w:lang w:eastAsia="es-AR"/>
        </w:rPr>
        <w:t>Propiedad, planta y equipo y otros activos no financieros</w:t>
      </w:r>
    </w:p>
    <w:p w14:paraId="4108F665" w14:textId="77777777" w:rsidR="00A06BE9" w:rsidRPr="00701F32" w:rsidRDefault="00A06BE9" w:rsidP="00A06BE9">
      <w:pPr>
        <w:pStyle w:val="Prrafodelista"/>
        <w:ind w:left="0"/>
        <w:jc w:val="both"/>
        <w:rPr>
          <w:rFonts w:ascii="Arial" w:hAnsi="Arial" w:cs="Arial"/>
          <w:sz w:val="20"/>
          <w:lang w:eastAsia="es-AR"/>
        </w:rPr>
      </w:pPr>
    </w:p>
    <w:p w14:paraId="0FE16882" w14:textId="01BB6B97" w:rsidR="00A06BE9" w:rsidRPr="00701F32" w:rsidRDefault="00A06BE9" w:rsidP="00A06BE9">
      <w:pPr>
        <w:pStyle w:val="Prrafodelista"/>
        <w:ind w:left="0"/>
        <w:jc w:val="both"/>
        <w:rPr>
          <w:rFonts w:ascii="Arial" w:hAnsi="Arial" w:cs="Arial"/>
          <w:sz w:val="20"/>
          <w:lang w:eastAsia="es-AR"/>
        </w:rPr>
      </w:pPr>
      <w:r w:rsidRPr="00701F32">
        <w:rPr>
          <w:rFonts w:ascii="Arial" w:hAnsi="Arial" w:cs="Arial"/>
          <w:sz w:val="20"/>
          <w:lang w:eastAsia="es-AR"/>
        </w:rPr>
        <w:t>Por la aplicación de NIC 16 y NIC 40, el Banco adopt</w:t>
      </w:r>
      <w:r w:rsidR="00F121B0" w:rsidRPr="00701F32">
        <w:rPr>
          <w:rFonts w:ascii="Arial" w:hAnsi="Arial" w:cs="Arial"/>
          <w:sz w:val="20"/>
          <w:lang w:eastAsia="es-AR"/>
        </w:rPr>
        <w:t>ó</w:t>
      </w:r>
      <w:r w:rsidRPr="00701F32">
        <w:rPr>
          <w:rFonts w:ascii="Arial" w:hAnsi="Arial" w:cs="Arial"/>
          <w:sz w:val="20"/>
          <w:lang w:eastAsia="es-AR"/>
        </w:rPr>
        <w:t xml:space="preserve"> el modelo de revaluación para sus inmuebles y el modelo del valor razonable</w:t>
      </w:r>
      <w:r w:rsidRPr="00701F32">
        <w:rPr>
          <w:rFonts w:ascii="Arial" w:hAnsi="Arial" w:cs="Arial"/>
          <w:sz w:val="20"/>
        </w:rPr>
        <w:t xml:space="preserve"> para sus propiedades de inversión</w:t>
      </w:r>
      <w:r w:rsidRPr="00701F32">
        <w:rPr>
          <w:rFonts w:ascii="Arial" w:hAnsi="Arial" w:cs="Arial"/>
          <w:sz w:val="20"/>
          <w:lang w:eastAsia="es-AR"/>
        </w:rPr>
        <w:t>. Bajo normas BCRA dichos bienes eran contabilizados a su valor histórico menos amortización acumulada.</w:t>
      </w:r>
    </w:p>
    <w:p w14:paraId="5572FCEC" w14:textId="77777777" w:rsidR="00A06BE9" w:rsidRPr="00701F32" w:rsidRDefault="00A06BE9" w:rsidP="00A06BE9">
      <w:pPr>
        <w:pStyle w:val="Prrafodelista"/>
        <w:ind w:left="0"/>
        <w:jc w:val="both"/>
        <w:rPr>
          <w:rFonts w:ascii="Arial" w:hAnsi="Arial" w:cs="Arial"/>
          <w:sz w:val="20"/>
          <w:lang w:eastAsia="es-AR"/>
        </w:rPr>
      </w:pPr>
    </w:p>
    <w:p w14:paraId="375DBE54" w14:textId="77777777" w:rsidR="00A06BE9" w:rsidRPr="00701F32" w:rsidRDefault="00A06BE9" w:rsidP="00A06BE9">
      <w:pPr>
        <w:pStyle w:val="Prrafodelista"/>
        <w:ind w:left="0"/>
        <w:jc w:val="both"/>
        <w:rPr>
          <w:rFonts w:ascii="Arial" w:hAnsi="Arial" w:cs="Arial"/>
          <w:sz w:val="20"/>
          <w:lang w:eastAsia="es-AR"/>
        </w:rPr>
      </w:pPr>
      <w:r w:rsidRPr="00701F32">
        <w:rPr>
          <w:rFonts w:ascii="Arial" w:hAnsi="Arial" w:cs="Arial"/>
          <w:sz w:val="20"/>
          <w:lang w:eastAsia="es-AR"/>
        </w:rPr>
        <w:t>El revalúo de los inmuebles afectados como propiedad, planta y equipo se imputó contra otros resultados integrales e incrementó el cargo por depreciaciones. Para el caso de las propiedades de inversión, el incremento por revaluó se imputó en otros ingresos operativos dentro del estado de resultados.</w:t>
      </w:r>
    </w:p>
    <w:p w14:paraId="225B7921" w14:textId="77777777" w:rsidR="00A06BE9" w:rsidRPr="00701F32" w:rsidRDefault="00A06BE9" w:rsidP="00A06BE9">
      <w:pPr>
        <w:pStyle w:val="Prrafodelista"/>
        <w:ind w:left="0"/>
        <w:jc w:val="both"/>
        <w:rPr>
          <w:rFonts w:ascii="Arial" w:hAnsi="Arial" w:cs="Arial"/>
          <w:sz w:val="20"/>
          <w:lang w:eastAsia="es-AR"/>
        </w:rPr>
      </w:pPr>
    </w:p>
    <w:p w14:paraId="2A42ADF2" w14:textId="77777777" w:rsidR="00A06BE9" w:rsidRPr="00701F32" w:rsidRDefault="00A06BE9" w:rsidP="00A06BE9">
      <w:pPr>
        <w:pStyle w:val="Prrafodelista"/>
        <w:ind w:left="0"/>
        <w:jc w:val="both"/>
        <w:rPr>
          <w:rFonts w:ascii="Arial" w:hAnsi="Arial" w:cs="Arial"/>
          <w:sz w:val="20"/>
          <w:lang w:eastAsia="es-AR"/>
        </w:rPr>
      </w:pPr>
      <w:r w:rsidRPr="00701F32">
        <w:rPr>
          <w:rFonts w:ascii="Arial" w:hAnsi="Arial" w:cs="Arial"/>
          <w:sz w:val="20"/>
          <w:lang w:eastAsia="es-AR"/>
        </w:rPr>
        <w:t xml:space="preserve">Bajo normas BCRA se reconocieron en otros activos no financieros gastos de papelería y útiles que no cumplen con los requisitos de NIIF para ser reconocidos como activos. La baja de dichos activos originó un incremento de los gastos de administración </w:t>
      </w:r>
    </w:p>
    <w:p w14:paraId="6F2580F2" w14:textId="0CD0A46D" w:rsidR="00AF05CB" w:rsidRPr="00701F32" w:rsidRDefault="00AF05CB">
      <w:pPr>
        <w:rPr>
          <w:rFonts w:ascii="Arial" w:hAnsi="Arial" w:cs="Arial"/>
          <w:sz w:val="20"/>
          <w:lang w:eastAsia="es-AR"/>
        </w:rPr>
      </w:pPr>
      <w:r w:rsidRPr="00701F32">
        <w:rPr>
          <w:rFonts w:ascii="Arial" w:hAnsi="Arial" w:cs="Arial"/>
          <w:sz w:val="20"/>
          <w:lang w:eastAsia="es-AR"/>
        </w:rPr>
        <w:br w:type="page"/>
      </w:r>
    </w:p>
    <w:p w14:paraId="3B409B47" w14:textId="3891B6AE" w:rsidR="00AF05CB" w:rsidRPr="00701F32" w:rsidRDefault="00AF05CB" w:rsidP="00A06BE9">
      <w:pPr>
        <w:pStyle w:val="Prrafodelista"/>
        <w:ind w:left="0"/>
        <w:jc w:val="both"/>
        <w:rPr>
          <w:rFonts w:ascii="Arial" w:hAnsi="Arial" w:cs="Arial"/>
          <w:sz w:val="20"/>
          <w:lang w:eastAsia="es-AR"/>
        </w:rPr>
      </w:pPr>
    </w:p>
    <w:p w14:paraId="41763AE1" w14:textId="77777777" w:rsidR="00A06BE9" w:rsidRPr="00701F32" w:rsidRDefault="00A06BE9" w:rsidP="00A06BE9">
      <w:pPr>
        <w:pStyle w:val="Prrafodelista"/>
        <w:numPr>
          <w:ilvl w:val="0"/>
          <w:numId w:val="28"/>
        </w:numPr>
        <w:spacing w:before="90"/>
        <w:contextualSpacing/>
        <w:rPr>
          <w:rFonts w:ascii="Arial" w:hAnsi="Arial" w:cs="Arial"/>
          <w:sz w:val="20"/>
          <w:lang w:eastAsia="es-AR"/>
        </w:rPr>
      </w:pPr>
      <w:r w:rsidRPr="00701F32">
        <w:rPr>
          <w:rFonts w:ascii="Arial" w:hAnsi="Arial" w:cs="Arial"/>
          <w:b/>
          <w:sz w:val="20"/>
          <w:lang w:eastAsia="es-AR"/>
        </w:rPr>
        <w:t xml:space="preserve">Bienes intangibles </w:t>
      </w:r>
    </w:p>
    <w:p w14:paraId="6FBDACA4" w14:textId="77777777" w:rsidR="00A06BE9" w:rsidRPr="00701F32" w:rsidRDefault="00A06BE9" w:rsidP="00A06BE9">
      <w:pPr>
        <w:pStyle w:val="Prrafodelista"/>
        <w:ind w:left="0"/>
        <w:jc w:val="both"/>
        <w:rPr>
          <w:rFonts w:ascii="Arial" w:hAnsi="Arial" w:cs="Arial"/>
          <w:sz w:val="20"/>
          <w:lang w:eastAsia="es-AR"/>
        </w:rPr>
      </w:pPr>
    </w:p>
    <w:p w14:paraId="5A9506CA" w14:textId="77777777" w:rsidR="00A06BE9" w:rsidRPr="00701F32" w:rsidRDefault="00A06BE9" w:rsidP="00A06BE9">
      <w:pPr>
        <w:pStyle w:val="Prrafodelista"/>
        <w:ind w:left="0"/>
        <w:jc w:val="both"/>
        <w:rPr>
          <w:rFonts w:ascii="Arial" w:hAnsi="Arial" w:cs="Arial"/>
          <w:sz w:val="20"/>
          <w:lang w:eastAsia="es-AR"/>
        </w:rPr>
      </w:pPr>
      <w:r w:rsidRPr="00701F32">
        <w:rPr>
          <w:rFonts w:ascii="Arial" w:hAnsi="Arial" w:cs="Arial"/>
          <w:sz w:val="20"/>
          <w:lang w:eastAsia="es-AR"/>
        </w:rPr>
        <w:t xml:space="preserve">De acuerdo con NIIF, un activo intangible es un activo identificable de carácter no monetario que no posee sustancia física. A fin de poder ser reconocido, el Banco debe tener control sobre el mismo y el activo debe generar beneficios económicos futuros. </w:t>
      </w:r>
    </w:p>
    <w:p w14:paraId="22324CED" w14:textId="77777777" w:rsidR="00A06BE9" w:rsidRPr="00701F32" w:rsidRDefault="00A06BE9" w:rsidP="00A06BE9">
      <w:pPr>
        <w:pStyle w:val="Prrafodelista"/>
        <w:ind w:left="0"/>
        <w:jc w:val="both"/>
        <w:rPr>
          <w:rFonts w:ascii="Arial" w:hAnsi="Arial" w:cs="Arial"/>
          <w:sz w:val="20"/>
          <w:lang w:eastAsia="es-AR"/>
        </w:rPr>
      </w:pPr>
    </w:p>
    <w:p w14:paraId="7EBDD5E5" w14:textId="77777777" w:rsidR="00A06BE9" w:rsidRPr="00701F32" w:rsidRDefault="00A06BE9" w:rsidP="00A06BE9">
      <w:pPr>
        <w:pStyle w:val="Prrafodelista"/>
        <w:ind w:left="0"/>
        <w:jc w:val="both"/>
        <w:rPr>
          <w:rFonts w:ascii="Arial" w:hAnsi="Arial" w:cs="Arial"/>
          <w:sz w:val="20"/>
          <w:lang w:eastAsia="es-AR"/>
        </w:rPr>
      </w:pPr>
      <w:r w:rsidRPr="00701F32">
        <w:rPr>
          <w:rFonts w:ascii="Arial" w:hAnsi="Arial" w:cs="Arial"/>
          <w:sz w:val="20"/>
          <w:lang w:eastAsia="es-AR"/>
        </w:rPr>
        <w:t>Bajo normas BCRA se reconocieron activos intangibles que no cumplen con los requisitos de NIIF para ser reconocidos. El ajuste corresponde a la baja de dichos activos y la reversión de la amortización acumulada se imputó contra resultados por depreciaciones y desvalorizaciones de bienes.</w:t>
      </w:r>
    </w:p>
    <w:p w14:paraId="53C39C10" w14:textId="77777777" w:rsidR="00A06BE9" w:rsidRPr="00701F32" w:rsidRDefault="00A06BE9" w:rsidP="00A06BE9">
      <w:pPr>
        <w:pStyle w:val="Prrafodelista"/>
        <w:ind w:left="0"/>
        <w:jc w:val="both"/>
        <w:rPr>
          <w:rFonts w:ascii="Arial" w:hAnsi="Arial" w:cs="Arial"/>
          <w:sz w:val="20"/>
          <w:lang w:eastAsia="es-AR"/>
        </w:rPr>
      </w:pPr>
    </w:p>
    <w:p w14:paraId="124704FB" w14:textId="77777777" w:rsidR="00A06BE9" w:rsidRPr="00701F32" w:rsidRDefault="00A06BE9" w:rsidP="00A06BE9">
      <w:pPr>
        <w:pStyle w:val="Prrafodelista"/>
        <w:numPr>
          <w:ilvl w:val="0"/>
          <w:numId w:val="28"/>
        </w:numPr>
        <w:contextualSpacing/>
        <w:jc w:val="both"/>
        <w:rPr>
          <w:rFonts w:ascii="Arial" w:hAnsi="Arial" w:cs="Arial"/>
          <w:sz w:val="20"/>
          <w:lang w:eastAsia="es-AR"/>
        </w:rPr>
      </w:pPr>
      <w:r w:rsidRPr="00701F32">
        <w:rPr>
          <w:rFonts w:ascii="Arial" w:hAnsi="Arial" w:cs="Arial"/>
          <w:b/>
          <w:sz w:val="20"/>
          <w:lang w:eastAsia="es-AR"/>
        </w:rPr>
        <w:t>Garantías Otorgadas</w:t>
      </w:r>
    </w:p>
    <w:p w14:paraId="4996CBA1" w14:textId="77777777" w:rsidR="00A06BE9" w:rsidRPr="00701F32" w:rsidRDefault="00A06BE9" w:rsidP="00A06BE9">
      <w:pPr>
        <w:pStyle w:val="Prrafodelista"/>
        <w:ind w:left="360"/>
        <w:jc w:val="both"/>
        <w:rPr>
          <w:rFonts w:ascii="Arial" w:hAnsi="Arial" w:cs="Arial"/>
          <w:sz w:val="20"/>
          <w:lang w:eastAsia="es-AR"/>
        </w:rPr>
      </w:pPr>
    </w:p>
    <w:p w14:paraId="390EAD0A"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Bajo NIIF, las garantías financieras otorgadas deben ser reconocidas inicialmente a su valor razonable, el cual equivale a la comisión cobrada en la mayoría de los casos. Dicho monto es posteriormente amortizado en línea recta durante la vida del contrato. A cada cierre, las garantías financieras son medidas por el mayor entre: (i) el valor de la comisión pendiente de devengar al cierre del período y (ii) la mejor estimación del monto a abonar para resolver el contrato descontado a su valor presente al cierre del período.</w:t>
      </w:r>
    </w:p>
    <w:p w14:paraId="03113267" w14:textId="77777777" w:rsidR="00A06BE9" w:rsidRPr="00701F32" w:rsidRDefault="00A06BE9" w:rsidP="00A06BE9">
      <w:pPr>
        <w:jc w:val="both"/>
        <w:rPr>
          <w:rFonts w:ascii="Arial" w:hAnsi="Arial" w:cs="Arial"/>
          <w:sz w:val="20"/>
          <w:lang w:eastAsia="es-AR"/>
        </w:rPr>
      </w:pPr>
    </w:p>
    <w:p w14:paraId="45C73DC2"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 xml:space="preserve">Bajo normas BCRA las comisiones cobradas en los acuerdos de garantía financiera son imputadas a resultados en el momento en el que se cobran. </w:t>
      </w:r>
    </w:p>
    <w:p w14:paraId="079918FE" w14:textId="77777777" w:rsidR="00A06BE9" w:rsidRPr="00701F32" w:rsidRDefault="00A06BE9" w:rsidP="00A06BE9">
      <w:pPr>
        <w:jc w:val="both"/>
        <w:rPr>
          <w:rFonts w:ascii="Arial" w:hAnsi="Arial" w:cs="Arial"/>
          <w:sz w:val="20"/>
          <w:lang w:eastAsia="es-AR"/>
        </w:rPr>
      </w:pPr>
    </w:p>
    <w:p w14:paraId="176086C4" w14:textId="77777777" w:rsidR="00A06BE9" w:rsidRPr="00701F32" w:rsidRDefault="00A06BE9" w:rsidP="00A06BE9">
      <w:pPr>
        <w:jc w:val="both"/>
        <w:rPr>
          <w:rFonts w:ascii="Arial" w:hAnsi="Arial" w:cs="Arial"/>
          <w:sz w:val="20"/>
        </w:rPr>
      </w:pPr>
      <w:r w:rsidRPr="00701F32">
        <w:rPr>
          <w:rFonts w:ascii="Arial" w:hAnsi="Arial" w:cs="Arial"/>
          <w:sz w:val="20"/>
        </w:rPr>
        <w:t>Como consecuencia de la aplicación de las NIIF se reconoció un activo en préstamos y otras financiaciones y un pasivo en otros pasivos financieros. El impacto en resultados fue una disminución de los otros ingresos operativos.</w:t>
      </w:r>
    </w:p>
    <w:p w14:paraId="6D1ED369" w14:textId="77777777" w:rsidR="00A06BE9" w:rsidRPr="00701F32" w:rsidRDefault="00A06BE9" w:rsidP="00A06BE9">
      <w:pPr>
        <w:jc w:val="both"/>
        <w:rPr>
          <w:rFonts w:ascii="Arial" w:hAnsi="Arial" w:cs="Arial"/>
          <w:sz w:val="20"/>
        </w:rPr>
      </w:pPr>
    </w:p>
    <w:p w14:paraId="52A1448D" w14:textId="77777777" w:rsidR="00A06BE9" w:rsidRPr="00701F32" w:rsidRDefault="00A06BE9" w:rsidP="00A06BE9">
      <w:pPr>
        <w:pStyle w:val="Prrafodelista"/>
        <w:numPr>
          <w:ilvl w:val="0"/>
          <w:numId w:val="28"/>
        </w:numPr>
        <w:contextualSpacing/>
        <w:jc w:val="both"/>
        <w:rPr>
          <w:rFonts w:ascii="Arial" w:hAnsi="Arial" w:cs="Arial"/>
          <w:b/>
          <w:sz w:val="20"/>
          <w:lang w:eastAsia="es-AR"/>
        </w:rPr>
      </w:pPr>
      <w:r w:rsidRPr="00701F32">
        <w:rPr>
          <w:rFonts w:ascii="Arial" w:hAnsi="Arial" w:cs="Arial"/>
          <w:b/>
          <w:sz w:val="20"/>
          <w:lang w:eastAsia="es-AR"/>
        </w:rPr>
        <w:t>Beneficios a empleados</w:t>
      </w:r>
    </w:p>
    <w:p w14:paraId="0FCFB429" w14:textId="77777777" w:rsidR="00A06BE9" w:rsidRPr="00701F32" w:rsidRDefault="00A06BE9" w:rsidP="00A06BE9">
      <w:pPr>
        <w:pStyle w:val="Prrafodelista"/>
        <w:ind w:left="360"/>
        <w:jc w:val="both"/>
        <w:rPr>
          <w:rFonts w:ascii="Arial" w:hAnsi="Arial" w:cs="Arial"/>
          <w:b/>
          <w:sz w:val="20"/>
          <w:lang w:eastAsia="es-AR"/>
        </w:rPr>
      </w:pPr>
    </w:p>
    <w:p w14:paraId="2E3F41B1"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Bajo NIIF, los beneficios a empleados a corto plazo tales como vacaciones, salario y contribuciones a la seguridad social, se reconocen como un pasivo equivalente al monto sin descontar que el Banco espera abonar por dicho beneficio. Adicionalmente, los beneficios a largo plazo tales como premios a trayectoria y prejubilaciones, se reconocen como un pasivo equivalente al monto descontado del beneficio que el Banco espera abonar.</w:t>
      </w:r>
    </w:p>
    <w:p w14:paraId="4BC7F100" w14:textId="77777777" w:rsidR="00A06BE9" w:rsidRPr="00701F32" w:rsidRDefault="00A06BE9" w:rsidP="00A06BE9">
      <w:pPr>
        <w:jc w:val="both"/>
        <w:rPr>
          <w:rFonts w:ascii="Arial" w:hAnsi="Arial" w:cs="Arial"/>
          <w:sz w:val="20"/>
          <w:lang w:eastAsia="es-AR"/>
        </w:rPr>
      </w:pPr>
    </w:p>
    <w:p w14:paraId="507574B3"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El reconocimiento de estos pasivos generó un incremento en otros pasivos no financieros y un resultado negativo dentro de beneficios al personal</w:t>
      </w:r>
      <w:r w:rsidR="0073788F" w:rsidRPr="00701F32">
        <w:rPr>
          <w:rFonts w:ascii="Arial" w:hAnsi="Arial" w:cs="Arial"/>
          <w:sz w:val="20"/>
          <w:lang w:eastAsia="es-AR"/>
        </w:rPr>
        <w:t>.</w:t>
      </w:r>
    </w:p>
    <w:p w14:paraId="450ADFDA" w14:textId="77777777" w:rsidR="00A06BE9" w:rsidRPr="00701F32" w:rsidRDefault="00A06BE9" w:rsidP="00A06BE9">
      <w:pPr>
        <w:jc w:val="both"/>
        <w:rPr>
          <w:rFonts w:ascii="Arial" w:hAnsi="Arial" w:cs="Arial"/>
          <w:sz w:val="20"/>
          <w:lang w:eastAsia="es-AR"/>
        </w:rPr>
      </w:pPr>
    </w:p>
    <w:p w14:paraId="5412FF5A" w14:textId="77777777" w:rsidR="00AF05CB" w:rsidRPr="00701F32" w:rsidRDefault="00AF05CB" w:rsidP="00A06BE9">
      <w:pPr>
        <w:jc w:val="both"/>
        <w:rPr>
          <w:rFonts w:ascii="Arial" w:hAnsi="Arial" w:cs="Arial"/>
          <w:sz w:val="20"/>
          <w:lang w:eastAsia="es-AR"/>
        </w:rPr>
      </w:pPr>
    </w:p>
    <w:p w14:paraId="77DB0DD6" w14:textId="77777777" w:rsidR="00AF05CB" w:rsidRPr="00701F32" w:rsidRDefault="00AF05CB" w:rsidP="00A06BE9">
      <w:pPr>
        <w:jc w:val="both"/>
        <w:rPr>
          <w:rFonts w:ascii="Arial" w:hAnsi="Arial" w:cs="Arial"/>
          <w:sz w:val="20"/>
          <w:lang w:eastAsia="es-AR"/>
        </w:rPr>
      </w:pPr>
    </w:p>
    <w:p w14:paraId="29AECB65" w14:textId="77777777" w:rsidR="00AF05CB" w:rsidRPr="00701F32" w:rsidRDefault="00AF05CB" w:rsidP="00A06BE9">
      <w:pPr>
        <w:jc w:val="both"/>
        <w:rPr>
          <w:rFonts w:ascii="Arial" w:hAnsi="Arial" w:cs="Arial"/>
          <w:sz w:val="20"/>
          <w:lang w:eastAsia="es-AR"/>
        </w:rPr>
      </w:pPr>
    </w:p>
    <w:p w14:paraId="561DEA18" w14:textId="77777777" w:rsidR="00AF05CB" w:rsidRPr="00701F32" w:rsidRDefault="00AF05CB" w:rsidP="00A06BE9">
      <w:pPr>
        <w:jc w:val="both"/>
        <w:rPr>
          <w:rFonts w:ascii="Arial" w:hAnsi="Arial" w:cs="Arial"/>
          <w:sz w:val="20"/>
          <w:lang w:eastAsia="es-AR"/>
        </w:rPr>
      </w:pPr>
    </w:p>
    <w:p w14:paraId="4D3A8C74" w14:textId="77777777" w:rsidR="00A06BE9" w:rsidRPr="00701F32" w:rsidRDefault="00A06BE9" w:rsidP="00A06BE9">
      <w:pPr>
        <w:pStyle w:val="Prrafodelista"/>
        <w:numPr>
          <w:ilvl w:val="0"/>
          <w:numId w:val="28"/>
        </w:numPr>
        <w:contextualSpacing/>
        <w:jc w:val="both"/>
        <w:rPr>
          <w:rFonts w:ascii="Arial" w:hAnsi="Arial" w:cs="Arial"/>
          <w:b/>
          <w:sz w:val="20"/>
          <w:lang w:eastAsia="es-AR"/>
        </w:rPr>
      </w:pPr>
      <w:r w:rsidRPr="00701F32">
        <w:rPr>
          <w:rFonts w:ascii="Arial" w:hAnsi="Arial" w:cs="Arial"/>
          <w:b/>
          <w:sz w:val="20"/>
          <w:lang w:eastAsia="es-AR"/>
        </w:rPr>
        <w:t>Pases</w:t>
      </w:r>
    </w:p>
    <w:p w14:paraId="5A2B2B4F" w14:textId="77777777" w:rsidR="00A06BE9" w:rsidRPr="00701F32" w:rsidRDefault="00A06BE9" w:rsidP="00A06BE9">
      <w:pPr>
        <w:pStyle w:val="Prrafodelista"/>
        <w:ind w:left="426"/>
        <w:jc w:val="both"/>
        <w:rPr>
          <w:rFonts w:ascii="Arial" w:hAnsi="Arial" w:cs="Arial"/>
          <w:b/>
          <w:sz w:val="20"/>
          <w:lang w:eastAsia="es-AR"/>
        </w:rPr>
      </w:pPr>
    </w:p>
    <w:p w14:paraId="4529687D" w14:textId="77777777" w:rsidR="00A06BE9" w:rsidRPr="00701F32" w:rsidRDefault="00A06BE9" w:rsidP="00A06BE9">
      <w:pPr>
        <w:jc w:val="both"/>
        <w:rPr>
          <w:rFonts w:ascii="Arial" w:hAnsi="Arial" w:cs="Arial"/>
          <w:bCs/>
          <w:i/>
          <w:color w:val="000000"/>
          <w:sz w:val="20"/>
          <w:lang w:eastAsia="es-AR"/>
        </w:rPr>
      </w:pPr>
      <w:r w:rsidRPr="00701F32">
        <w:rPr>
          <w:rFonts w:ascii="Arial" w:hAnsi="Arial" w:cs="Arial"/>
          <w:bCs/>
          <w:i/>
          <w:color w:val="000000"/>
          <w:sz w:val="20"/>
          <w:lang w:eastAsia="es-AR"/>
        </w:rPr>
        <w:t>Pases activos</w:t>
      </w:r>
    </w:p>
    <w:p w14:paraId="609A67BD" w14:textId="77777777" w:rsidR="00A06BE9" w:rsidRPr="00701F32" w:rsidRDefault="00A06BE9" w:rsidP="00A06BE9">
      <w:pPr>
        <w:jc w:val="both"/>
        <w:rPr>
          <w:rFonts w:ascii="Arial" w:hAnsi="Arial" w:cs="Arial"/>
          <w:bCs/>
          <w:i/>
          <w:color w:val="000000"/>
          <w:sz w:val="20"/>
          <w:lang w:eastAsia="es-AR"/>
        </w:rPr>
      </w:pPr>
    </w:p>
    <w:p w14:paraId="1E8A9FD2" w14:textId="77777777" w:rsidR="00A06BE9" w:rsidRPr="00701F32" w:rsidRDefault="00A06BE9" w:rsidP="00A06BE9">
      <w:pPr>
        <w:jc w:val="both"/>
        <w:rPr>
          <w:rFonts w:ascii="Arial" w:hAnsi="Arial" w:cs="Arial"/>
          <w:bCs/>
          <w:color w:val="000000"/>
          <w:sz w:val="20"/>
          <w:lang w:eastAsia="es-AR"/>
        </w:rPr>
      </w:pPr>
      <w:r w:rsidRPr="00701F32">
        <w:rPr>
          <w:rFonts w:ascii="Arial" w:hAnsi="Arial" w:cs="Arial"/>
          <w:bCs/>
          <w:color w:val="000000"/>
          <w:sz w:val="20"/>
          <w:lang w:eastAsia="es-AR"/>
        </w:rPr>
        <w:t>Bajo NIIF, una operación de pase activo es reconocida como una financiación otorgada con garantía de títulos valores. Bajo normas BCRA, se registra el título recibido en garantía con contrapartida en otras obligaciones por intermediación financiera por el monto acordado de la venta a término por operación de pase.</w:t>
      </w:r>
    </w:p>
    <w:p w14:paraId="4721ECD1" w14:textId="77777777" w:rsidR="00A06BE9" w:rsidRPr="00701F32" w:rsidRDefault="00A06BE9" w:rsidP="00A06BE9">
      <w:pPr>
        <w:jc w:val="both"/>
        <w:rPr>
          <w:rFonts w:ascii="Arial" w:hAnsi="Arial" w:cs="Arial"/>
          <w:bCs/>
          <w:color w:val="000000"/>
          <w:sz w:val="20"/>
          <w:lang w:eastAsia="es-AR"/>
        </w:rPr>
      </w:pPr>
    </w:p>
    <w:p w14:paraId="7B86EA3C" w14:textId="77777777" w:rsidR="00076EC8" w:rsidRPr="00701F32" w:rsidRDefault="00A06BE9" w:rsidP="00A06BE9">
      <w:pPr>
        <w:jc w:val="both"/>
        <w:rPr>
          <w:rFonts w:ascii="Arial" w:hAnsi="Arial" w:cs="Arial"/>
          <w:bCs/>
          <w:color w:val="000000"/>
          <w:sz w:val="20"/>
          <w:lang w:eastAsia="es-AR"/>
        </w:rPr>
      </w:pPr>
      <w:r w:rsidRPr="00701F32">
        <w:rPr>
          <w:rFonts w:ascii="Arial" w:hAnsi="Arial" w:cs="Arial"/>
          <w:bCs/>
          <w:color w:val="000000"/>
          <w:sz w:val="20"/>
          <w:lang w:eastAsia="es-AR"/>
        </w:rPr>
        <w:t>Como consecuencia se reclasificó la financiación que anteriormente se registraba en otros créditos por intermediación financiera al rubro operaciones de pase y se procedió a la baja en el activo de los títulos recibidos por operaciones de pase con la consiguiente reversión de la obligación por intermediación financiera.</w:t>
      </w:r>
    </w:p>
    <w:p w14:paraId="01D4F79D" w14:textId="77777777" w:rsidR="00076EC8" w:rsidRPr="00701F32" w:rsidRDefault="00076EC8" w:rsidP="00A06BE9">
      <w:pPr>
        <w:jc w:val="both"/>
        <w:rPr>
          <w:rFonts w:ascii="Arial" w:hAnsi="Arial" w:cs="Arial"/>
          <w:bCs/>
          <w:color w:val="000000"/>
          <w:sz w:val="20"/>
          <w:lang w:eastAsia="es-AR"/>
        </w:rPr>
      </w:pPr>
    </w:p>
    <w:p w14:paraId="622BE03B" w14:textId="77777777" w:rsidR="00A06BE9" w:rsidRPr="00701F32" w:rsidRDefault="00A06BE9" w:rsidP="00A06BE9">
      <w:pPr>
        <w:pStyle w:val="Prrafodelista"/>
        <w:numPr>
          <w:ilvl w:val="0"/>
          <w:numId w:val="28"/>
        </w:numPr>
        <w:ind w:left="426" w:hanging="350"/>
        <w:contextualSpacing/>
        <w:jc w:val="both"/>
        <w:rPr>
          <w:rFonts w:ascii="Arial" w:hAnsi="Arial" w:cs="Arial"/>
          <w:b/>
          <w:i/>
          <w:sz w:val="20"/>
        </w:rPr>
      </w:pPr>
      <w:r w:rsidRPr="00701F32">
        <w:rPr>
          <w:rFonts w:ascii="Arial" w:hAnsi="Arial" w:cs="Arial"/>
          <w:b/>
          <w:bCs/>
          <w:iCs/>
          <w:sz w:val="20"/>
          <w:lang w:eastAsia="es-AR"/>
        </w:rPr>
        <w:t>Impuesto a las ganancias</w:t>
      </w:r>
    </w:p>
    <w:p w14:paraId="484618FE" w14:textId="77777777" w:rsidR="00A06BE9" w:rsidRPr="00701F32" w:rsidRDefault="00A06BE9" w:rsidP="00A06BE9">
      <w:pPr>
        <w:pStyle w:val="Prrafodelista"/>
        <w:ind w:left="426"/>
        <w:jc w:val="both"/>
        <w:rPr>
          <w:rFonts w:ascii="Arial" w:hAnsi="Arial" w:cs="Arial"/>
          <w:b/>
          <w:i/>
          <w:sz w:val="20"/>
        </w:rPr>
      </w:pPr>
    </w:p>
    <w:p w14:paraId="4439A5C9"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Bajo NIIF el cargo por impuestos del ejercicio comprende los impuestos corrientes y diferidos. El impuesto a las ganancias corriente se calcula en base a las leyes aprobadas o sustancialmente aprobadas a la fecha de balance. El impuesto diferido se reconoce de acuerdo con el método de pasivo, por las diferencias temporarias que surgen entre las bases fiscales de los activos y pasivos y sus importes en libros en los estados financieros consolidados. Bajo normas BCRA, el Banco reconoce el impuesto corriente correspondiente al ejercicio.</w:t>
      </w:r>
    </w:p>
    <w:p w14:paraId="7299DDDE" w14:textId="77777777" w:rsidR="00A06BE9" w:rsidRPr="00701F32" w:rsidRDefault="00A06BE9" w:rsidP="00A06BE9">
      <w:pPr>
        <w:jc w:val="both"/>
        <w:rPr>
          <w:rFonts w:ascii="Arial" w:hAnsi="Arial" w:cs="Arial"/>
          <w:sz w:val="20"/>
          <w:lang w:eastAsia="es-AR"/>
        </w:rPr>
      </w:pPr>
    </w:p>
    <w:p w14:paraId="13E1834A" w14:textId="77777777" w:rsidR="00A06BE9" w:rsidRPr="00701F32" w:rsidRDefault="00A06BE9" w:rsidP="00A06BE9">
      <w:pPr>
        <w:jc w:val="both"/>
        <w:rPr>
          <w:rFonts w:ascii="Arial" w:hAnsi="Arial" w:cs="Arial"/>
          <w:sz w:val="20"/>
          <w:lang w:eastAsia="es-AR"/>
        </w:rPr>
      </w:pPr>
      <w:r w:rsidRPr="00701F32">
        <w:rPr>
          <w:rFonts w:ascii="Arial" w:hAnsi="Arial" w:cs="Arial"/>
          <w:sz w:val="20"/>
          <w:lang w:eastAsia="es-AR"/>
        </w:rPr>
        <w:t>El efecto impositivo del reconocimiento del impuesto diferido representa un incremento en activos por impuesto diferido, un ajuste a resultados en impuesto a las ganancias y un ajuste en otros resultados integrales por el impuesto correspondiente a los resultados ahí registrados.</w:t>
      </w:r>
    </w:p>
    <w:p w14:paraId="4D766840" w14:textId="77777777" w:rsidR="00A06BE9" w:rsidRPr="00701F32" w:rsidRDefault="00A06BE9" w:rsidP="00A06BE9">
      <w:pPr>
        <w:jc w:val="both"/>
        <w:rPr>
          <w:rFonts w:ascii="Arial" w:hAnsi="Arial" w:cs="Arial"/>
          <w:sz w:val="20"/>
          <w:lang w:eastAsia="es-AR"/>
        </w:rPr>
      </w:pPr>
    </w:p>
    <w:p w14:paraId="528A4C32" w14:textId="77777777" w:rsidR="00A06BE9" w:rsidRPr="00701F32" w:rsidRDefault="00A06BE9" w:rsidP="00A06BE9">
      <w:pPr>
        <w:pStyle w:val="Prrafodelista"/>
        <w:numPr>
          <w:ilvl w:val="0"/>
          <w:numId w:val="28"/>
        </w:numPr>
        <w:ind w:left="426"/>
        <w:contextualSpacing/>
        <w:jc w:val="both"/>
        <w:rPr>
          <w:rFonts w:ascii="Arial" w:hAnsi="Arial" w:cs="Arial"/>
          <w:b/>
          <w:i/>
          <w:sz w:val="20"/>
        </w:rPr>
      </w:pPr>
      <w:r w:rsidRPr="00701F32">
        <w:rPr>
          <w:rFonts w:ascii="Arial" w:hAnsi="Arial" w:cs="Arial"/>
          <w:b/>
          <w:bCs/>
          <w:iCs/>
          <w:sz w:val="20"/>
          <w:lang w:eastAsia="es-AR"/>
        </w:rPr>
        <w:t>Llave de Negocio</w:t>
      </w:r>
    </w:p>
    <w:p w14:paraId="1E99F80D" w14:textId="77777777" w:rsidR="00A06BE9" w:rsidRPr="00701F32" w:rsidRDefault="00A06BE9" w:rsidP="00A06BE9">
      <w:pPr>
        <w:pStyle w:val="Prrafodelista"/>
        <w:ind w:left="0"/>
        <w:mirrorIndents/>
        <w:jc w:val="both"/>
        <w:rPr>
          <w:rFonts w:ascii="Arial" w:hAnsi="Arial" w:cs="Arial"/>
          <w:sz w:val="20"/>
          <w:lang w:eastAsia="es-AR"/>
        </w:rPr>
      </w:pPr>
    </w:p>
    <w:p w14:paraId="13CDD50E" w14:textId="77777777" w:rsidR="00A06BE9" w:rsidRPr="00701F32" w:rsidRDefault="00A06BE9" w:rsidP="00A06BE9">
      <w:pPr>
        <w:pStyle w:val="Prrafodelista"/>
        <w:ind w:left="0"/>
        <w:mirrorIndents/>
        <w:jc w:val="both"/>
        <w:rPr>
          <w:rFonts w:ascii="Arial" w:hAnsi="Arial" w:cs="Arial"/>
          <w:sz w:val="20"/>
          <w:lang w:eastAsia="es-AR"/>
        </w:rPr>
      </w:pPr>
      <w:r w:rsidRPr="00701F32">
        <w:rPr>
          <w:rFonts w:ascii="Arial" w:hAnsi="Arial" w:cs="Arial"/>
          <w:sz w:val="20"/>
          <w:lang w:eastAsia="es-AR"/>
        </w:rPr>
        <w:t>Bajo normas BCRA, la llave de negocio reconocida se amortiza en un plazo máximo de 120 meses. De acuerdo con las NIIF, la llave de negocio no es amortizada, sino que se prueba por desvalorización anualmente. Como consecuencia incrementó el valor de los activos intangibles con contrapartida en otros gastos operativos</w:t>
      </w:r>
    </w:p>
    <w:p w14:paraId="5A7334C1" w14:textId="77777777" w:rsidR="00A06BE9" w:rsidRPr="00701F32" w:rsidRDefault="00A06BE9" w:rsidP="00A06BE9">
      <w:pPr>
        <w:pStyle w:val="Prrafodelista"/>
        <w:ind w:left="142"/>
        <w:mirrorIndents/>
        <w:jc w:val="both"/>
        <w:rPr>
          <w:rFonts w:ascii="Arial" w:hAnsi="Arial" w:cs="Arial"/>
          <w:sz w:val="20"/>
          <w:lang w:eastAsia="es-AR"/>
        </w:rPr>
      </w:pPr>
    </w:p>
    <w:p w14:paraId="10BBB293" w14:textId="77777777" w:rsidR="00A06BE9" w:rsidRPr="00701F32" w:rsidRDefault="00A06BE9" w:rsidP="00A06BE9">
      <w:pPr>
        <w:pStyle w:val="Prrafodelista"/>
        <w:numPr>
          <w:ilvl w:val="0"/>
          <w:numId w:val="28"/>
        </w:numPr>
        <w:ind w:left="426"/>
        <w:contextualSpacing/>
        <w:jc w:val="both"/>
        <w:rPr>
          <w:rFonts w:ascii="Arial" w:hAnsi="Arial" w:cs="Arial"/>
          <w:b/>
          <w:i/>
          <w:sz w:val="20"/>
        </w:rPr>
      </w:pPr>
      <w:r w:rsidRPr="00701F32">
        <w:rPr>
          <w:rFonts w:ascii="Arial" w:hAnsi="Arial" w:cs="Arial"/>
          <w:b/>
          <w:bCs/>
          <w:iCs/>
          <w:sz w:val="20"/>
          <w:lang w:eastAsia="es-AR"/>
        </w:rPr>
        <w:t>Programas de fidelización</w:t>
      </w:r>
    </w:p>
    <w:p w14:paraId="0BBE5872" w14:textId="77777777" w:rsidR="00A06BE9" w:rsidRPr="00701F32" w:rsidRDefault="00A06BE9" w:rsidP="00A06BE9">
      <w:pPr>
        <w:pStyle w:val="Prrafodelista"/>
        <w:ind w:left="426"/>
        <w:jc w:val="both"/>
        <w:rPr>
          <w:rFonts w:ascii="Arial" w:hAnsi="Arial" w:cs="Arial"/>
          <w:b/>
          <w:i/>
          <w:sz w:val="20"/>
        </w:rPr>
      </w:pPr>
    </w:p>
    <w:p w14:paraId="2053B2E1" w14:textId="77777777" w:rsidR="00A06BE9" w:rsidRPr="00701F32" w:rsidRDefault="00A06BE9" w:rsidP="00A06BE9">
      <w:pPr>
        <w:jc w:val="both"/>
        <w:rPr>
          <w:rFonts w:ascii="Arial" w:hAnsi="Arial" w:cs="Arial"/>
          <w:sz w:val="20"/>
        </w:rPr>
      </w:pPr>
      <w:r w:rsidRPr="00701F32">
        <w:rPr>
          <w:rFonts w:ascii="Arial" w:hAnsi="Arial" w:cs="Arial"/>
          <w:sz w:val="20"/>
        </w:rPr>
        <w:t>Como parte de los programas de fidelización de clientes, el Banco cuenta con un programa de acumulación de puntos en base a los consumos de las tarjetas de débito y crédito que luego pueden ser canjeados por diferentes productos o servicios de turismo. Los puntos tienen un plazo de vigencia luego del cual los mismos vencen y no pueden ser canjeados.</w:t>
      </w:r>
    </w:p>
    <w:p w14:paraId="460234AF" w14:textId="77777777" w:rsidR="00A06BE9" w:rsidRPr="00701F32" w:rsidRDefault="00A06BE9" w:rsidP="00A06BE9">
      <w:pPr>
        <w:jc w:val="both"/>
        <w:rPr>
          <w:rFonts w:ascii="Arial" w:hAnsi="Arial" w:cs="Arial"/>
          <w:sz w:val="20"/>
        </w:rPr>
      </w:pPr>
    </w:p>
    <w:p w14:paraId="5DABFA55" w14:textId="77777777" w:rsidR="00A06BE9" w:rsidRPr="00701F32" w:rsidRDefault="00A06BE9" w:rsidP="00A06BE9">
      <w:pPr>
        <w:jc w:val="both"/>
        <w:rPr>
          <w:rFonts w:ascii="Arial" w:hAnsi="Arial" w:cs="Arial"/>
          <w:sz w:val="20"/>
        </w:rPr>
      </w:pPr>
      <w:r w:rsidRPr="00701F32">
        <w:rPr>
          <w:rFonts w:ascii="Arial" w:hAnsi="Arial" w:cs="Arial"/>
          <w:sz w:val="20"/>
        </w:rPr>
        <w:t>De acuerdo con la NIIF 15, el Banco establece un pasivo en base al valor razonable de los puntos ganados que se espera sean canjeados por los clientes. Los puntos a canjear son estimados en base al comportamiento de rescate pasado, tipo de producto de tarjeta, y otros rendimientos históricos de la tarjeta. El pasivo se reduce a medida que los puntos son canjeados por los clientes.</w:t>
      </w:r>
    </w:p>
    <w:p w14:paraId="29AF8A23" w14:textId="77777777" w:rsidR="00A06BE9" w:rsidRPr="00701F32" w:rsidRDefault="00A06BE9" w:rsidP="00A06BE9">
      <w:pPr>
        <w:jc w:val="both"/>
        <w:rPr>
          <w:rFonts w:ascii="Arial" w:hAnsi="Arial" w:cs="Arial"/>
          <w:sz w:val="20"/>
        </w:rPr>
      </w:pPr>
    </w:p>
    <w:p w14:paraId="4E5332D6" w14:textId="77777777" w:rsidR="00A06BE9" w:rsidRPr="00701F32" w:rsidRDefault="00A06BE9" w:rsidP="00A06BE9">
      <w:pPr>
        <w:jc w:val="both"/>
        <w:rPr>
          <w:rFonts w:ascii="Arial" w:hAnsi="Arial" w:cs="Arial"/>
          <w:sz w:val="20"/>
        </w:rPr>
      </w:pPr>
      <w:r w:rsidRPr="00701F32">
        <w:rPr>
          <w:rFonts w:ascii="Arial" w:hAnsi="Arial" w:cs="Arial"/>
          <w:sz w:val="20"/>
        </w:rPr>
        <w:t>El ajuste al pasivo incrementó los otros pasivos no financieros y generó un resultado negativo que se registró como una disminución de ingresos por intereses.</w:t>
      </w:r>
    </w:p>
    <w:p w14:paraId="68D21894" w14:textId="77777777" w:rsidR="00076EC8" w:rsidRPr="00701F32" w:rsidRDefault="00076EC8" w:rsidP="00A06BE9">
      <w:pPr>
        <w:jc w:val="both"/>
        <w:rPr>
          <w:rFonts w:ascii="Arial" w:hAnsi="Arial" w:cs="Arial"/>
          <w:sz w:val="20"/>
        </w:rPr>
      </w:pPr>
    </w:p>
    <w:p w14:paraId="5F05C1A0" w14:textId="77777777" w:rsidR="00A06BE9" w:rsidRPr="00701F32" w:rsidRDefault="00A06BE9" w:rsidP="00A06BE9">
      <w:pPr>
        <w:pStyle w:val="Prrafodelista"/>
        <w:numPr>
          <w:ilvl w:val="0"/>
          <w:numId w:val="28"/>
        </w:numPr>
        <w:spacing w:after="200"/>
        <w:contextualSpacing/>
        <w:jc w:val="both"/>
        <w:rPr>
          <w:rFonts w:ascii="Arial" w:hAnsi="Arial" w:cs="Arial"/>
          <w:b/>
          <w:sz w:val="20"/>
          <w:lang w:eastAsia="es-AR"/>
        </w:rPr>
      </w:pPr>
      <w:r w:rsidRPr="00701F32">
        <w:rPr>
          <w:rFonts w:ascii="Arial" w:hAnsi="Arial" w:cs="Arial"/>
          <w:b/>
          <w:sz w:val="20"/>
          <w:lang w:eastAsia="es-AR"/>
        </w:rPr>
        <w:t>Baja de activos financieros</w:t>
      </w:r>
    </w:p>
    <w:p w14:paraId="7AE20B7C" w14:textId="77777777" w:rsidR="00A06BE9" w:rsidRPr="00701F32" w:rsidRDefault="00A06BE9" w:rsidP="00A06BE9">
      <w:pPr>
        <w:spacing w:after="200"/>
        <w:contextualSpacing/>
        <w:jc w:val="both"/>
        <w:rPr>
          <w:rFonts w:ascii="Arial" w:hAnsi="Arial" w:cs="Arial"/>
          <w:sz w:val="20"/>
          <w:lang w:eastAsia="es-AR"/>
        </w:rPr>
      </w:pPr>
      <w:r w:rsidRPr="00701F32">
        <w:rPr>
          <w:rFonts w:ascii="Arial" w:hAnsi="Arial" w:cs="Arial"/>
          <w:sz w:val="20"/>
          <w:lang w:eastAsia="es-AR"/>
        </w:rPr>
        <w:t>De acuerdo al marco contable anterior, la Entidad reconoce como bajas en activos las cesiones de cartera para la constitución de fideicomisos financieros y las ventas de cartera con recurso para el cedente. De acuerdo a lo establecido por la NIIF 9 “Instrumentos Financieros” se debe analizar si la Entidad ha transferido sustancialmente todos los riesgos y recompensas inherentes a la propiedad del activo transferido. Del análisis efectuado surge que esto no se cumple por lo que la Entidad continuará reconociendo dicho activo transferido en su integridad, y reconocerá un pasivo financiero por la contraprestación recibida.</w:t>
      </w:r>
    </w:p>
    <w:p w14:paraId="4CDF979F" w14:textId="77777777" w:rsidR="00A06BE9" w:rsidRPr="00701F32" w:rsidRDefault="00A06BE9" w:rsidP="00A06BE9">
      <w:pPr>
        <w:spacing w:after="200"/>
        <w:contextualSpacing/>
        <w:jc w:val="both"/>
        <w:rPr>
          <w:rFonts w:ascii="Arial" w:hAnsi="Arial" w:cs="Arial"/>
          <w:sz w:val="20"/>
          <w:lang w:eastAsia="es-AR"/>
        </w:rPr>
      </w:pPr>
    </w:p>
    <w:p w14:paraId="38C8871A" w14:textId="77777777" w:rsidR="00A06BE9" w:rsidRPr="00701F32" w:rsidRDefault="00A06BE9" w:rsidP="00A06BE9">
      <w:pPr>
        <w:spacing w:after="200"/>
        <w:contextualSpacing/>
        <w:jc w:val="both"/>
        <w:rPr>
          <w:rFonts w:ascii="Arial" w:hAnsi="Arial" w:cs="Arial"/>
          <w:sz w:val="20"/>
          <w:lang w:eastAsia="es-AR"/>
        </w:rPr>
      </w:pPr>
      <w:r w:rsidRPr="00701F32">
        <w:rPr>
          <w:rFonts w:ascii="Arial" w:hAnsi="Arial" w:cs="Arial"/>
          <w:sz w:val="20"/>
          <w:lang w:eastAsia="es-AR"/>
        </w:rPr>
        <w:t>En consecuencia, la Sociedad reconoció un activo por las carteras transferidas dentro de préstamos y otras financiaciones y un pasivo por la contraprestación recibida dentro de otros pasivos financieros, y un ajuste en ingresos por intereses, egresos por intereses y cargo por incobrabilidad.</w:t>
      </w:r>
    </w:p>
    <w:p w14:paraId="7FF3D033" w14:textId="77777777" w:rsidR="0032760F" w:rsidRPr="00701F32" w:rsidRDefault="0032760F" w:rsidP="00A06BE9">
      <w:pPr>
        <w:jc w:val="both"/>
        <w:rPr>
          <w:rFonts w:ascii="Arial" w:hAnsi="Arial" w:cs="Arial"/>
          <w:sz w:val="20"/>
        </w:rPr>
      </w:pPr>
    </w:p>
    <w:p w14:paraId="478739F9" w14:textId="77777777" w:rsidR="00A06BE9" w:rsidRPr="00701F32" w:rsidRDefault="00A06BE9" w:rsidP="00A06BE9">
      <w:pPr>
        <w:pStyle w:val="Prrafodelista"/>
        <w:numPr>
          <w:ilvl w:val="0"/>
          <w:numId w:val="28"/>
        </w:numPr>
        <w:spacing w:after="200"/>
        <w:ind w:left="426"/>
        <w:contextualSpacing/>
        <w:jc w:val="both"/>
        <w:rPr>
          <w:rFonts w:ascii="Arial" w:hAnsi="Arial" w:cs="Arial"/>
          <w:b/>
          <w:sz w:val="20"/>
          <w:lang w:eastAsia="es-AR"/>
        </w:rPr>
      </w:pPr>
      <w:r w:rsidRPr="00701F32">
        <w:rPr>
          <w:rFonts w:ascii="Arial" w:hAnsi="Arial" w:cs="Arial"/>
          <w:b/>
          <w:sz w:val="20"/>
          <w:lang w:eastAsia="es-AR"/>
        </w:rPr>
        <w:t>Valores de deuda fiduciaria (VDF) y Certificados de participación (CP) de Fideicomisos financieros</w:t>
      </w:r>
    </w:p>
    <w:p w14:paraId="29C7F2A1" w14:textId="77777777" w:rsidR="00076EC8" w:rsidRPr="00701F32" w:rsidRDefault="00076EC8" w:rsidP="00FF7CC8">
      <w:pPr>
        <w:pStyle w:val="Prrafodelista"/>
        <w:spacing w:after="200"/>
        <w:ind w:left="426"/>
        <w:contextualSpacing/>
        <w:jc w:val="both"/>
        <w:rPr>
          <w:rFonts w:ascii="Arial" w:hAnsi="Arial" w:cs="Arial"/>
          <w:b/>
          <w:sz w:val="20"/>
          <w:lang w:eastAsia="es-AR"/>
        </w:rPr>
      </w:pPr>
    </w:p>
    <w:p w14:paraId="76B3D6EA" w14:textId="77777777" w:rsidR="00A06BE9" w:rsidRPr="00701F32" w:rsidRDefault="00A06BE9" w:rsidP="00A06BE9">
      <w:pPr>
        <w:pStyle w:val="Prrafodelista"/>
        <w:ind w:left="0"/>
        <w:jc w:val="both"/>
        <w:rPr>
          <w:rFonts w:ascii="Arial" w:hAnsi="Arial" w:cs="Arial"/>
          <w:sz w:val="20"/>
        </w:rPr>
      </w:pPr>
      <w:r w:rsidRPr="00701F32">
        <w:rPr>
          <w:rFonts w:ascii="Arial" w:hAnsi="Arial" w:cs="Arial"/>
          <w:sz w:val="20"/>
        </w:rPr>
        <w:t>Conforme lo establece la NIIF 10, el Banco controla un fideicomiso cuando tiene poder sobre el mismo, esté expuesto, o tenga derecho a los resultados variables provenientes de su participación en dicho fideicomiso y tenga la capacidad de afectar dichos resultados a través de su poder para dirigir las actividades relevantes del mismo Los fideicomisos han sido consolidados desde la fecha en que el Banco obtuvo el control.</w:t>
      </w:r>
    </w:p>
    <w:p w14:paraId="6C48B356" w14:textId="77777777" w:rsidR="00A06BE9" w:rsidRPr="00701F32" w:rsidRDefault="00A06BE9" w:rsidP="00A06BE9">
      <w:pPr>
        <w:pStyle w:val="Prrafodelista"/>
        <w:ind w:left="0"/>
        <w:jc w:val="both"/>
        <w:rPr>
          <w:rFonts w:ascii="Arial" w:hAnsi="Arial" w:cs="Arial"/>
          <w:sz w:val="20"/>
        </w:rPr>
      </w:pPr>
    </w:p>
    <w:p w14:paraId="3C14CC79" w14:textId="77777777" w:rsidR="00A06BE9" w:rsidRPr="00701F32" w:rsidRDefault="00A06BE9" w:rsidP="00A06BE9">
      <w:pPr>
        <w:pStyle w:val="Prrafodelista"/>
        <w:ind w:left="0"/>
        <w:jc w:val="both"/>
        <w:rPr>
          <w:rFonts w:ascii="Arial" w:hAnsi="Arial" w:cs="Arial"/>
          <w:sz w:val="20"/>
        </w:rPr>
      </w:pPr>
      <w:r w:rsidRPr="00701F32">
        <w:rPr>
          <w:rFonts w:ascii="Arial" w:hAnsi="Arial" w:cs="Arial"/>
          <w:sz w:val="20"/>
        </w:rPr>
        <w:t>El Banco ha evaluado lo siguiente:</w:t>
      </w:r>
    </w:p>
    <w:p w14:paraId="04F51CE5" w14:textId="77777777" w:rsidR="00A06BE9" w:rsidRPr="00701F32" w:rsidRDefault="00A06BE9" w:rsidP="00A06BE9">
      <w:pPr>
        <w:pStyle w:val="Prrafodelista"/>
        <w:ind w:left="426"/>
        <w:jc w:val="both"/>
        <w:rPr>
          <w:rFonts w:ascii="Arial" w:hAnsi="Arial" w:cs="Arial"/>
          <w:sz w:val="20"/>
        </w:rPr>
      </w:pPr>
    </w:p>
    <w:p w14:paraId="4A6235FD"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el propósito y diseño del fideicomiso</w:t>
      </w:r>
    </w:p>
    <w:p w14:paraId="34BDF89D"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identificación de las actividades relevantes</w:t>
      </w:r>
    </w:p>
    <w:p w14:paraId="76F7605F"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proceso decisorio sobre dichas actividades</w:t>
      </w:r>
    </w:p>
    <w:p w14:paraId="0B390557"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si los derechos que el Banco posee le permiten dirigir las actividades relevantes del fideicomiso</w:t>
      </w:r>
    </w:p>
    <w:p w14:paraId="258E9294"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si el Banco está expuesto, o tiene derecho a los resultados variables provenientes de su participación en dicho fideicomiso</w:t>
      </w:r>
    </w:p>
    <w:p w14:paraId="699A058A" w14:textId="77777777" w:rsidR="00A06BE9" w:rsidRPr="00701F32" w:rsidRDefault="00A06BE9" w:rsidP="00A06BE9">
      <w:pPr>
        <w:pStyle w:val="Prrafodelista"/>
        <w:numPr>
          <w:ilvl w:val="0"/>
          <w:numId w:val="29"/>
        </w:numPr>
        <w:spacing w:after="200"/>
        <w:ind w:left="1068"/>
        <w:contextualSpacing/>
        <w:jc w:val="both"/>
        <w:rPr>
          <w:rFonts w:ascii="Arial" w:hAnsi="Arial" w:cs="Arial"/>
          <w:sz w:val="20"/>
        </w:rPr>
      </w:pPr>
      <w:r w:rsidRPr="00701F32">
        <w:rPr>
          <w:rFonts w:ascii="Arial" w:hAnsi="Arial" w:cs="Arial"/>
          <w:sz w:val="20"/>
        </w:rPr>
        <w:t>si el Banco tiene la capacidad de afectar dichos resultados a través de su poder sobre el fideicomiso</w:t>
      </w:r>
    </w:p>
    <w:p w14:paraId="54D36DCD" w14:textId="77777777" w:rsidR="00A06BE9" w:rsidRPr="00701F32" w:rsidRDefault="00A06BE9" w:rsidP="00A06BE9">
      <w:pPr>
        <w:jc w:val="both"/>
        <w:rPr>
          <w:rFonts w:ascii="Arial" w:hAnsi="Arial" w:cs="Arial"/>
          <w:sz w:val="20"/>
        </w:rPr>
      </w:pPr>
      <w:r w:rsidRPr="00701F32">
        <w:rPr>
          <w:rFonts w:ascii="Arial" w:hAnsi="Arial" w:cs="Arial"/>
          <w:sz w:val="20"/>
        </w:rPr>
        <w:t>Basado en dicha evaluación el Banco ha concluido que mantiene el control de los fideicomisos financieros y por lo tanto los mismos han sido consolidados</w:t>
      </w:r>
    </w:p>
    <w:p w14:paraId="4E28362D" w14:textId="77777777" w:rsidR="00A06BE9" w:rsidRPr="00701F32" w:rsidRDefault="00A06BE9" w:rsidP="00A06BE9">
      <w:pPr>
        <w:jc w:val="both"/>
        <w:rPr>
          <w:rFonts w:ascii="Arial" w:hAnsi="Arial" w:cs="Arial"/>
          <w:sz w:val="20"/>
        </w:rPr>
      </w:pPr>
    </w:p>
    <w:p w14:paraId="77B33AFB" w14:textId="77777777" w:rsidR="00A06BE9" w:rsidRPr="00701F32" w:rsidRDefault="00A06BE9" w:rsidP="00A06BE9">
      <w:pPr>
        <w:pStyle w:val="Prrafodelista"/>
        <w:numPr>
          <w:ilvl w:val="0"/>
          <w:numId w:val="28"/>
        </w:numPr>
        <w:tabs>
          <w:tab w:val="left" w:pos="709"/>
          <w:tab w:val="left" w:pos="851"/>
        </w:tabs>
        <w:ind w:right="51"/>
        <w:contextualSpacing/>
        <w:jc w:val="both"/>
        <w:rPr>
          <w:rFonts w:ascii="Arial" w:hAnsi="Arial" w:cs="Arial"/>
          <w:b/>
          <w:sz w:val="20"/>
          <w:lang w:eastAsia="es-AR"/>
        </w:rPr>
      </w:pPr>
      <w:r w:rsidRPr="00701F32">
        <w:rPr>
          <w:rFonts w:ascii="Arial" w:hAnsi="Arial" w:cs="Arial"/>
          <w:b/>
          <w:sz w:val="20"/>
          <w:lang w:eastAsia="es-AR"/>
        </w:rPr>
        <w:t>Participación de terceros en entidades controladas</w:t>
      </w:r>
    </w:p>
    <w:p w14:paraId="31EA98D5" w14:textId="77777777" w:rsidR="00A06BE9" w:rsidRPr="00701F32" w:rsidRDefault="00A06BE9" w:rsidP="00A06BE9">
      <w:pPr>
        <w:tabs>
          <w:tab w:val="left" w:pos="709"/>
          <w:tab w:val="left" w:pos="851"/>
        </w:tabs>
        <w:ind w:right="51"/>
        <w:contextualSpacing/>
        <w:jc w:val="both"/>
        <w:rPr>
          <w:rFonts w:ascii="Arial" w:hAnsi="Arial" w:cs="Arial"/>
          <w:sz w:val="20"/>
        </w:rPr>
      </w:pPr>
    </w:p>
    <w:p w14:paraId="0FF601B8" w14:textId="77777777" w:rsidR="00A06BE9" w:rsidRPr="00701F32" w:rsidRDefault="00A06BE9" w:rsidP="00A06BE9">
      <w:pPr>
        <w:jc w:val="both"/>
        <w:rPr>
          <w:rFonts w:ascii="Arial" w:hAnsi="Arial" w:cs="Arial"/>
          <w:sz w:val="20"/>
        </w:rPr>
      </w:pPr>
      <w:r w:rsidRPr="00701F32">
        <w:rPr>
          <w:rFonts w:ascii="Arial" w:hAnsi="Arial" w:cs="Arial"/>
          <w:sz w:val="20"/>
        </w:rPr>
        <w:t>Según lo establecido por la NIIF 10 sobre estados financieros consolidados, las participaciones no controladoras se presentarán en el estado de situación financiera consolidado, dentro del patrimonio, de forma separada del patrimonio de los propietarios de la controladora. Bajo el marco contable anterior estas participaciones se exponen en el pasivo como participaciones de terceros.</w:t>
      </w:r>
    </w:p>
    <w:p w14:paraId="6BAC9741" w14:textId="77777777" w:rsidR="00A06BE9" w:rsidRPr="00701F32" w:rsidRDefault="00A06BE9" w:rsidP="00A06BE9">
      <w:pPr>
        <w:jc w:val="both"/>
        <w:rPr>
          <w:rFonts w:ascii="Arial" w:hAnsi="Arial" w:cs="Arial"/>
          <w:sz w:val="20"/>
        </w:rPr>
      </w:pPr>
    </w:p>
    <w:p w14:paraId="57338748" w14:textId="77777777" w:rsidR="00B30DEB" w:rsidRPr="00701F32" w:rsidRDefault="00A06BE9" w:rsidP="00B30DEB">
      <w:pPr>
        <w:jc w:val="both"/>
        <w:rPr>
          <w:rFonts w:ascii="Arial" w:hAnsi="Arial" w:cs="Arial"/>
          <w:sz w:val="20"/>
        </w:rPr>
      </w:pPr>
      <w:r w:rsidRPr="00701F32">
        <w:rPr>
          <w:rFonts w:ascii="Arial" w:hAnsi="Arial" w:cs="Arial"/>
          <w:sz w:val="20"/>
        </w:rPr>
        <w:t>En consecuencia la entidad efectuó la reclasificación correspondiente. Adicionalmente se imputó en esta línea el patrimonio de los fideicomisos financieros de los cuales el Banco no es poseedor de los certificados de participación.</w:t>
      </w:r>
    </w:p>
    <w:p w14:paraId="6ED9B9EF" w14:textId="77777777" w:rsidR="00B30DEB" w:rsidRPr="00701F32" w:rsidRDefault="00B30DEB" w:rsidP="00B30DEB">
      <w:pPr>
        <w:jc w:val="both"/>
        <w:rPr>
          <w:rFonts w:ascii="Arial" w:hAnsi="Arial" w:cs="Arial"/>
          <w:sz w:val="20"/>
        </w:rPr>
      </w:pPr>
    </w:p>
    <w:p w14:paraId="31BEEB6E" w14:textId="77777777" w:rsidR="00B30DEB" w:rsidRPr="00701F32" w:rsidRDefault="00076EC8" w:rsidP="00B30DEB">
      <w:pPr>
        <w:jc w:val="both"/>
        <w:rPr>
          <w:rFonts w:ascii="Arial" w:hAnsi="Arial" w:cs="Arial"/>
          <w:sz w:val="20"/>
        </w:rPr>
      </w:pPr>
      <w:r w:rsidRPr="00701F32">
        <w:rPr>
          <w:rFonts w:ascii="Arial" w:hAnsi="Arial" w:cs="Arial"/>
          <w:sz w:val="20"/>
        </w:rPr>
        <w:t xml:space="preserve">2.2 </w:t>
      </w:r>
      <w:r w:rsidR="00B30DEB" w:rsidRPr="00701F32">
        <w:rPr>
          <w:rFonts w:ascii="Arial" w:hAnsi="Arial" w:cs="Arial"/>
          <w:sz w:val="20"/>
        </w:rPr>
        <w:t>Exenciones optativas a las NIIF</w:t>
      </w:r>
    </w:p>
    <w:p w14:paraId="045A9A21" w14:textId="77777777" w:rsidR="00B30DEB" w:rsidRPr="00701F32" w:rsidRDefault="00B30DEB" w:rsidP="00B30DEB">
      <w:pPr>
        <w:jc w:val="both"/>
        <w:rPr>
          <w:rFonts w:ascii="Arial" w:hAnsi="Arial" w:cs="Arial"/>
          <w:sz w:val="20"/>
        </w:rPr>
      </w:pPr>
    </w:p>
    <w:p w14:paraId="22D79C30" w14:textId="77777777" w:rsidR="00B30DEB" w:rsidRPr="00701F32" w:rsidRDefault="00076EC8" w:rsidP="00B30DEB">
      <w:pPr>
        <w:jc w:val="both"/>
        <w:rPr>
          <w:rFonts w:ascii="Arial" w:hAnsi="Arial" w:cs="Arial"/>
          <w:sz w:val="20"/>
        </w:rPr>
      </w:pPr>
      <w:r w:rsidRPr="00701F32">
        <w:rPr>
          <w:rFonts w:ascii="Arial" w:hAnsi="Arial" w:cs="Arial"/>
          <w:sz w:val="20"/>
        </w:rPr>
        <w:t>La NIIF 1 permite a las entidades que adoptan por primera vez las NIIF considerar determinadas excepciones de única vez. Dichas excepciones han sido previstas por el IASB para simplificar la primera aplicación de ciertas NIIF, eliminando la obligatoriedad de su aplicación retroactiva.</w:t>
      </w:r>
    </w:p>
    <w:p w14:paraId="448F99C1" w14:textId="77777777" w:rsidR="00B30DEB" w:rsidRPr="00701F32" w:rsidRDefault="00B30DEB" w:rsidP="00B30DEB">
      <w:pPr>
        <w:jc w:val="both"/>
        <w:rPr>
          <w:rFonts w:ascii="Arial" w:hAnsi="Arial" w:cs="Arial"/>
          <w:sz w:val="20"/>
        </w:rPr>
      </w:pPr>
    </w:p>
    <w:p w14:paraId="540A636B" w14:textId="77777777" w:rsidR="00B30DEB" w:rsidRPr="00701F32" w:rsidRDefault="00076EC8" w:rsidP="00B30DEB">
      <w:pPr>
        <w:jc w:val="both"/>
        <w:rPr>
          <w:rFonts w:ascii="Arial" w:hAnsi="Arial" w:cs="Arial"/>
          <w:sz w:val="20"/>
        </w:rPr>
      </w:pPr>
      <w:r w:rsidRPr="00701F32">
        <w:rPr>
          <w:rFonts w:ascii="Arial" w:hAnsi="Arial" w:cs="Arial"/>
          <w:sz w:val="20"/>
        </w:rPr>
        <w:t>A continuación, se detallan las exenciones optativas aplicables bajo NIIF 1:</w:t>
      </w:r>
    </w:p>
    <w:p w14:paraId="2D94E5B3" w14:textId="77777777" w:rsidR="00B30DEB" w:rsidRPr="00701F32" w:rsidRDefault="00B30DEB" w:rsidP="00B30DEB">
      <w:pPr>
        <w:jc w:val="both"/>
        <w:rPr>
          <w:rFonts w:ascii="Arial" w:hAnsi="Arial" w:cs="Arial"/>
          <w:sz w:val="20"/>
        </w:rPr>
      </w:pPr>
    </w:p>
    <w:p w14:paraId="443CD819" w14:textId="77777777" w:rsidR="00B30DEB" w:rsidRPr="00701F32" w:rsidRDefault="00076EC8" w:rsidP="00B30DEB">
      <w:pPr>
        <w:jc w:val="both"/>
        <w:rPr>
          <w:rFonts w:ascii="Arial" w:hAnsi="Arial" w:cs="Arial"/>
          <w:sz w:val="20"/>
        </w:rPr>
      </w:pPr>
      <w:r w:rsidRPr="00701F32">
        <w:rPr>
          <w:rFonts w:ascii="Arial" w:hAnsi="Arial" w:cs="Arial"/>
          <w:sz w:val="20"/>
        </w:rPr>
        <w:t>Combinaciones de negocio: el Banco ha optado por no aplicar la NIIF 3 “Combinaciones de negocios” retroactivamente para las combinaciones de negocios anteriores a la fecha de transición a las NIIF.</w:t>
      </w:r>
    </w:p>
    <w:p w14:paraId="6D3B0947" w14:textId="77777777" w:rsidR="00B30DEB" w:rsidRPr="00701F32" w:rsidRDefault="00B30DEB" w:rsidP="00B30DEB">
      <w:pPr>
        <w:jc w:val="both"/>
        <w:rPr>
          <w:rFonts w:ascii="Arial" w:hAnsi="Arial" w:cs="Arial"/>
          <w:sz w:val="20"/>
        </w:rPr>
      </w:pPr>
    </w:p>
    <w:p w14:paraId="0CDFCC9A" w14:textId="77777777" w:rsidR="00B30DEB" w:rsidRPr="00701F32" w:rsidRDefault="00076EC8" w:rsidP="00B30DEB">
      <w:pPr>
        <w:jc w:val="both"/>
        <w:rPr>
          <w:rFonts w:ascii="Arial" w:hAnsi="Arial" w:cs="Arial"/>
          <w:sz w:val="20"/>
        </w:rPr>
      </w:pPr>
      <w:r w:rsidRPr="00701F32">
        <w:rPr>
          <w:rFonts w:ascii="Arial" w:hAnsi="Arial" w:cs="Arial"/>
          <w:sz w:val="20"/>
        </w:rPr>
        <w:t>Designación de instrumentos financieros reconocidos previamente: La Entidad ha optado por designar ciertas inversiones en instrumentos de patrimonio como medidos a valor razonable con cambios en otro resultado integral de acuerdo con el párrafo 5.7.5 de la NIIF 9 sobre la base de los hechos y circunstancias existentes en la fecha de transición a las NIIF.</w:t>
      </w:r>
    </w:p>
    <w:p w14:paraId="00B8E154" w14:textId="77777777" w:rsidR="00B30DEB" w:rsidRPr="00701F32" w:rsidRDefault="00B30DEB" w:rsidP="00B30DEB">
      <w:pPr>
        <w:jc w:val="both"/>
        <w:rPr>
          <w:rFonts w:ascii="Arial" w:hAnsi="Arial" w:cs="Arial"/>
          <w:sz w:val="20"/>
        </w:rPr>
      </w:pPr>
    </w:p>
    <w:p w14:paraId="1AF8D13E" w14:textId="77777777" w:rsidR="00701F32" w:rsidRDefault="00A06BE9" w:rsidP="00701F32">
      <w:pPr>
        <w:jc w:val="both"/>
        <w:rPr>
          <w:rFonts w:ascii="Arial" w:hAnsi="Arial" w:cs="Arial"/>
          <w:sz w:val="20"/>
        </w:rPr>
      </w:pPr>
      <w:r w:rsidRPr="00701F32">
        <w:rPr>
          <w:rFonts w:ascii="Arial" w:hAnsi="Arial" w:cs="Arial"/>
          <w:sz w:val="20"/>
        </w:rPr>
        <w:t>Inversiones en subsidiarias, entidades controladas de forma conjunta y asociadas: El Banco podrá optar por medir dichas inversiones al costo; de acuerdo con NIIF 9; o por el método de la valuación patrimonial proporcional descripto en la NIC 28.</w:t>
      </w:r>
    </w:p>
    <w:p w14:paraId="69D9C5D7" w14:textId="77777777" w:rsidR="00701F32" w:rsidRDefault="00701F32" w:rsidP="00701F32">
      <w:pPr>
        <w:jc w:val="both"/>
        <w:rPr>
          <w:rFonts w:ascii="Arial" w:hAnsi="Arial" w:cs="Arial"/>
          <w:sz w:val="20"/>
        </w:rPr>
      </w:pPr>
    </w:p>
    <w:p w14:paraId="1DB7EC07" w14:textId="77777777" w:rsidR="00701F32" w:rsidRDefault="00A06BE9" w:rsidP="00701F32">
      <w:pPr>
        <w:jc w:val="both"/>
        <w:rPr>
          <w:rFonts w:ascii="Arial" w:hAnsi="Arial" w:cs="Arial"/>
          <w:sz w:val="20"/>
        </w:rPr>
      </w:pPr>
      <w:r w:rsidRPr="00701F32">
        <w:rPr>
          <w:rFonts w:ascii="Arial" w:hAnsi="Arial" w:cs="Arial"/>
          <w:sz w:val="20"/>
        </w:rPr>
        <w:t xml:space="preserve">El Banco no ha hecho uso de las otras exenciones disponibles en la NIIF </w:t>
      </w:r>
    </w:p>
    <w:p w14:paraId="0DE2A615" w14:textId="77777777" w:rsidR="00701F32" w:rsidRDefault="00701F32" w:rsidP="00701F32">
      <w:pPr>
        <w:jc w:val="both"/>
        <w:rPr>
          <w:rFonts w:ascii="Arial" w:hAnsi="Arial" w:cs="Arial"/>
          <w:sz w:val="20"/>
        </w:rPr>
      </w:pPr>
    </w:p>
    <w:p w14:paraId="0B5D1D74" w14:textId="77777777" w:rsidR="00701F32" w:rsidRDefault="00A06BE9" w:rsidP="00701F32">
      <w:pPr>
        <w:jc w:val="both"/>
        <w:rPr>
          <w:rFonts w:ascii="Arial" w:hAnsi="Arial" w:cs="Arial"/>
          <w:sz w:val="20"/>
        </w:rPr>
      </w:pPr>
      <w:r w:rsidRPr="00701F32">
        <w:rPr>
          <w:rFonts w:ascii="Arial" w:hAnsi="Arial" w:cs="Arial"/>
          <w:sz w:val="20"/>
        </w:rPr>
        <w:t>1.2.3 Excepciones obligatorias a las NIIF</w:t>
      </w:r>
    </w:p>
    <w:p w14:paraId="005BABD3" w14:textId="77777777" w:rsidR="00701F32" w:rsidRDefault="00701F32" w:rsidP="00701F32">
      <w:pPr>
        <w:jc w:val="both"/>
        <w:rPr>
          <w:rFonts w:ascii="Arial" w:hAnsi="Arial" w:cs="Arial"/>
          <w:sz w:val="20"/>
        </w:rPr>
      </w:pPr>
    </w:p>
    <w:p w14:paraId="301BE87E" w14:textId="1C97A32D" w:rsidR="00A06BE9" w:rsidRPr="00701F32" w:rsidRDefault="00A06BE9" w:rsidP="00701F32">
      <w:pPr>
        <w:jc w:val="both"/>
        <w:rPr>
          <w:rFonts w:ascii="Arial" w:hAnsi="Arial" w:cs="Arial"/>
          <w:sz w:val="20"/>
        </w:rPr>
      </w:pPr>
      <w:r w:rsidRPr="00701F32">
        <w:rPr>
          <w:rFonts w:ascii="Arial" w:hAnsi="Arial" w:cs="Arial"/>
          <w:sz w:val="20"/>
        </w:rPr>
        <w:t xml:space="preserve">A continuación, se detallan las excepciones obligatorias aplicables bajo NIIF 1: </w:t>
      </w:r>
    </w:p>
    <w:p w14:paraId="39B2F6E0" w14:textId="77777777" w:rsidR="00A06BE9" w:rsidRPr="00701F32" w:rsidRDefault="00A06BE9" w:rsidP="00A06BE9">
      <w:pPr>
        <w:keepNext/>
        <w:keepLines/>
        <w:spacing w:before="40" w:line="259" w:lineRule="auto"/>
        <w:ind w:hanging="11"/>
        <w:jc w:val="both"/>
        <w:outlineLvl w:val="1"/>
        <w:rPr>
          <w:rFonts w:ascii="Arial" w:hAnsi="Arial" w:cs="Arial"/>
          <w:sz w:val="20"/>
        </w:rPr>
      </w:pPr>
    </w:p>
    <w:p w14:paraId="21B5C5B2" w14:textId="77777777" w:rsidR="00A06BE9" w:rsidRPr="00701F32" w:rsidRDefault="00A06BE9" w:rsidP="00A06BE9">
      <w:pPr>
        <w:pStyle w:val="Prrafodelista"/>
        <w:keepNext/>
        <w:keepLines/>
        <w:numPr>
          <w:ilvl w:val="0"/>
          <w:numId w:val="51"/>
        </w:numPr>
        <w:spacing w:before="40" w:line="259" w:lineRule="auto"/>
        <w:contextualSpacing/>
        <w:jc w:val="both"/>
        <w:outlineLvl w:val="1"/>
        <w:rPr>
          <w:rFonts w:ascii="Arial" w:hAnsi="Arial" w:cs="Arial"/>
          <w:sz w:val="20"/>
        </w:rPr>
      </w:pPr>
      <w:r w:rsidRPr="00701F32">
        <w:rPr>
          <w:rFonts w:ascii="Arial" w:hAnsi="Arial" w:cs="Arial"/>
          <w:sz w:val="20"/>
        </w:rPr>
        <w:t>Estimaciones: las estimaciones realizadas por el Banco según NIIF al 1 de enero de 2017 (fecha de transición a las NIIF), son consistentes con las estimaciones realizadas a la misma fecha según las normas contables del Banco Central de la República Argentina, considerando lo descripto en Nota 1 (no aplicación del capítulo de deterioro de la NIIF 9).</w:t>
      </w:r>
    </w:p>
    <w:p w14:paraId="556DFABB" w14:textId="77777777" w:rsidR="00A06BE9" w:rsidRPr="00701F32" w:rsidRDefault="00A06BE9" w:rsidP="00A06BE9">
      <w:pPr>
        <w:pStyle w:val="Prrafodelista"/>
        <w:keepNext/>
        <w:keepLines/>
        <w:spacing w:before="40" w:line="259" w:lineRule="auto"/>
        <w:jc w:val="both"/>
        <w:outlineLvl w:val="1"/>
        <w:rPr>
          <w:rFonts w:ascii="Arial" w:hAnsi="Arial" w:cs="Arial"/>
          <w:sz w:val="20"/>
        </w:rPr>
      </w:pPr>
    </w:p>
    <w:p w14:paraId="7738B331" w14:textId="77777777" w:rsidR="00A06BE9" w:rsidRPr="00701F32" w:rsidRDefault="00A06BE9" w:rsidP="00A06BE9">
      <w:pPr>
        <w:pStyle w:val="Prrafodelista"/>
        <w:keepNext/>
        <w:keepLines/>
        <w:numPr>
          <w:ilvl w:val="0"/>
          <w:numId w:val="51"/>
        </w:numPr>
        <w:spacing w:before="40" w:line="259" w:lineRule="auto"/>
        <w:contextualSpacing/>
        <w:jc w:val="both"/>
        <w:outlineLvl w:val="1"/>
        <w:rPr>
          <w:rFonts w:ascii="Arial" w:hAnsi="Arial" w:cs="Arial"/>
          <w:sz w:val="20"/>
        </w:rPr>
      </w:pPr>
      <w:r w:rsidRPr="00701F32">
        <w:rPr>
          <w:rFonts w:ascii="Arial" w:hAnsi="Arial" w:cs="Arial"/>
          <w:sz w:val="20"/>
        </w:rPr>
        <w:t>Baja contable de activos y pasivos financieros: La Entidad aplicó los criterios de baja contable de activos y pasivos financieros bajo NIIF 9 de manera prospectiva para transacciones ocurridas con posterioridad al 1 de enero de 2017.</w:t>
      </w:r>
    </w:p>
    <w:p w14:paraId="553F6825" w14:textId="77777777" w:rsidR="00652317" w:rsidRPr="00701F32" w:rsidRDefault="00652317" w:rsidP="00A06BE9">
      <w:pPr>
        <w:pStyle w:val="Prrafodelista"/>
        <w:keepNext/>
        <w:keepLines/>
        <w:spacing w:before="40" w:line="259" w:lineRule="auto"/>
        <w:jc w:val="both"/>
        <w:outlineLvl w:val="1"/>
        <w:rPr>
          <w:rFonts w:ascii="Arial" w:hAnsi="Arial" w:cs="Arial"/>
          <w:sz w:val="20"/>
        </w:rPr>
      </w:pPr>
    </w:p>
    <w:p w14:paraId="7C8B2B54" w14:textId="77777777" w:rsidR="00A06BE9" w:rsidRPr="00701F32" w:rsidRDefault="00A06BE9" w:rsidP="00A06BE9">
      <w:pPr>
        <w:pStyle w:val="Prrafodelista"/>
        <w:keepNext/>
        <w:keepLines/>
        <w:numPr>
          <w:ilvl w:val="0"/>
          <w:numId w:val="51"/>
        </w:numPr>
        <w:spacing w:before="40" w:line="259" w:lineRule="auto"/>
        <w:contextualSpacing/>
        <w:jc w:val="both"/>
        <w:outlineLvl w:val="1"/>
        <w:rPr>
          <w:rFonts w:ascii="Arial" w:hAnsi="Arial" w:cs="Arial"/>
          <w:sz w:val="20"/>
        </w:rPr>
      </w:pPr>
      <w:r w:rsidRPr="00701F32">
        <w:rPr>
          <w:rFonts w:ascii="Arial" w:hAnsi="Arial" w:cs="Arial"/>
          <w:sz w:val="20"/>
        </w:rPr>
        <w:t xml:space="preserve">Clasificación y medición de activos financieros: el </w:t>
      </w:r>
      <w:r w:rsidR="00BD0DC8" w:rsidRPr="00701F32">
        <w:rPr>
          <w:rFonts w:ascii="Arial" w:hAnsi="Arial" w:cs="Arial"/>
          <w:sz w:val="20"/>
        </w:rPr>
        <w:t xml:space="preserve">Banco </w:t>
      </w:r>
      <w:r w:rsidRPr="00701F32">
        <w:rPr>
          <w:rFonts w:ascii="Arial" w:hAnsi="Arial" w:cs="Arial"/>
          <w:sz w:val="20"/>
        </w:rPr>
        <w:t>ha tenido en cuenta los hechos y circunstancias existentes al 1 de enero de 2017 en su evaluación sobre si los activos financieros cumplen con las características para ser clasificados como activo medido a costo amortizado, a valor razonable con cambios en resultados o a valor razonable con cambios en otros resultados integrales.</w:t>
      </w:r>
    </w:p>
    <w:p w14:paraId="020A3832" w14:textId="77777777" w:rsidR="00076EC8" w:rsidRPr="00701F32" w:rsidRDefault="00076EC8" w:rsidP="00FF7CC8">
      <w:pPr>
        <w:pStyle w:val="Prrafodelista"/>
        <w:rPr>
          <w:rFonts w:ascii="Arial" w:hAnsi="Arial" w:cs="Arial"/>
          <w:sz w:val="20"/>
        </w:rPr>
      </w:pPr>
    </w:p>
    <w:p w14:paraId="5D1A813F" w14:textId="77777777" w:rsidR="00A06BE9" w:rsidRPr="00701F32" w:rsidRDefault="00A06BE9" w:rsidP="00A06BE9">
      <w:pPr>
        <w:pStyle w:val="Prrafodelista"/>
        <w:keepNext/>
        <w:keepLines/>
        <w:numPr>
          <w:ilvl w:val="0"/>
          <w:numId w:val="51"/>
        </w:numPr>
        <w:spacing w:before="40" w:line="259" w:lineRule="auto"/>
        <w:contextualSpacing/>
        <w:jc w:val="both"/>
        <w:outlineLvl w:val="1"/>
        <w:rPr>
          <w:rFonts w:ascii="Arial" w:hAnsi="Arial" w:cs="Arial"/>
          <w:sz w:val="20"/>
        </w:rPr>
      </w:pPr>
      <w:r w:rsidRPr="00701F32">
        <w:rPr>
          <w:rFonts w:ascii="Arial" w:hAnsi="Arial" w:cs="Arial"/>
          <w:sz w:val="20"/>
        </w:rPr>
        <w:t>Otras excepciones obligatorias establecidas en la NIIF 1 que no se han aplicado por no ser relevantes para la Entidad son</w:t>
      </w:r>
    </w:p>
    <w:p w14:paraId="5CDD38BC" w14:textId="77777777" w:rsidR="00A06BE9" w:rsidRPr="00701F32" w:rsidRDefault="00A06BE9" w:rsidP="00A06BE9">
      <w:pPr>
        <w:keepNext/>
        <w:keepLines/>
        <w:spacing w:before="40" w:line="259" w:lineRule="auto"/>
        <w:jc w:val="both"/>
        <w:outlineLvl w:val="1"/>
        <w:rPr>
          <w:rFonts w:ascii="Arial" w:hAnsi="Arial" w:cs="Arial"/>
          <w:sz w:val="20"/>
        </w:rPr>
      </w:pPr>
    </w:p>
    <w:p w14:paraId="2DD675E4" w14:textId="77777777" w:rsidR="00A06BE9" w:rsidRPr="00701F32" w:rsidRDefault="00A06BE9" w:rsidP="00A06BE9">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Contabilidad de coberturas.</w:t>
      </w:r>
    </w:p>
    <w:p w14:paraId="17756D65" w14:textId="77777777" w:rsidR="00A06BE9" w:rsidRPr="00701F32" w:rsidRDefault="00A06BE9" w:rsidP="00A06BE9">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Participaciones no controladoras.</w:t>
      </w:r>
    </w:p>
    <w:p w14:paraId="0EF26CB3" w14:textId="77777777" w:rsidR="00A06BE9" w:rsidRPr="00701F32" w:rsidRDefault="00A06BE9" w:rsidP="00A06BE9">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Derivados implícitos.</w:t>
      </w:r>
    </w:p>
    <w:p w14:paraId="0540BA91" w14:textId="77777777" w:rsidR="00A06BE9" w:rsidRPr="00701F32" w:rsidRDefault="00A06BE9" w:rsidP="00A06BE9">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Préstamos del gobierno.</w:t>
      </w:r>
    </w:p>
    <w:p w14:paraId="1F41EE3F" w14:textId="77777777" w:rsidR="00A06BE9" w:rsidRPr="00701F32" w:rsidRDefault="00A06BE9" w:rsidP="00A06BE9">
      <w:pPr>
        <w:keepNext/>
        <w:keepLines/>
        <w:spacing w:before="40" w:line="259" w:lineRule="auto"/>
        <w:ind w:hanging="11"/>
        <w:jc w:val="both"/>
        <w:outlineLvl w:val="1"/>
        <w:rPr>
          <w:rFonts w:ascii="Arial" w:hAnsi="Arial" w:cs="Arial"/>
          <w:sz w:val="20"/>
        </w:rPr>
      </w:pPr>
    </w:p>
    <w:p w14:paraId="3F5DA8C0" w14:textId="77777777" w:rsidR="00A06BE9" w:rsidRPr="00701F32" w:rsidRDefault="00A06BE9" w:rsidP="00A06BE9">
      <w:pPr>
        <w:keepNext/>
        <w:keepLines/>
        <w:spacing w:before="40" w:line="259" w:lineRule="auto"/>
        <w:ind w:hanging="11"/>
        <w:jc w:val="both"/>
        <w:outlineLvl w:val="1"/>
        <w:rPr>
          <w:rFonts w:ascii="Arial" w:hAnsi="Arial" w:cs="Arial"/>
          <w:sz w:val="20"/>
        </w:rPr>
      </w:pPr>
      <w:r w:rsidRPr="00701F32">
        <w:rPr>
          <w:rFonts w:ascii="Arial" w:hAnsi="Arial" w:cs="Arial"/>
          <w:sz w:val="20"/>
        </w:rPr>
        <w:t>Las otras excepciones obligatorias establecidas en la NIIF 1 no se han aplicado por no ser relevantes para el Banco</w:t>
      </w:r>
    </w:p>
    <w:p w14:paraId="071F9AA1" w14:textId="77777777" w:rsidR="00A06BE9" w:rsidRPr="00701F32" w:rsidRDefault="00A06BE9" w:rsidP="00A06BE9">
      <w:pPr>
        <w:keepNext/>
        <w:keepLines/>
        <w:spacing w:before="40" w:line="259" w:lineRule="auto"/>
        <w:ind w:left="720" w:hanging="720"/>
        <w:jc w:val="both"/>
        <w:outlineLvl w:val="1"/>
        <w:rPr>
          <w:rFonts w:ascii="Arial" w:hAnsi="Arial" w:cs="Arial"/>
          <w:b/>
          <w:sz w:val="20"/>
        </w:rPr>
      </w:pPr>
    </w:p>
    <w:p w14:paraId="627BD3E6" w14:textId="77777777" w:rsidR="00A06BE9" w:rsidRPr="00701F32" w:rsidRDefault="00A06BE9" w:rsidP="00A06BE9">
      <w:pPr>
        <w:keepNext/>
        <w:keepLines/>
        <w:spacing w:before="40" w:line="259" w:lineRule="auto"/>
        <w:ind w:left="720" w:hanging="720"/>
        <w:jc w:val="both"/>
        <w:outlineLvl w:val="1"/>
        <w:rPr>
          <w:rFonts w:ascii="Arial" w:hAnsi="Arial" w:cs="Arial"/>
          <w:b/>
          <w:sz w:val="20"/>
        </w:rPr>
      </w:pPr>
      <w:r w:rsidRPr="00701F32">
        <w:rPr>
          <w:rFonts w:ascii="Arial" w:hAnsi="Arial" w:cs="Arial"/>
          <w:b/>
          <w:sz w:val="20"/>
        </w:rPr>
        <w:t xml:space="preserve">3. POLÍTICAS Y ESTIMACIONES CONTABLES CRÍTICAS </w:t>
      </w:r>
    </w:p>
    <w:p w14:paraId="437D0E59" w14:textId="77777777" w:rsidR="00A06BE9" w:rsidRPr="00701F32" w:rsidRDefault="00A06BE9" w:rsidP="00A06BE9">
      <w:pPr>
        <w:autoSpaceDE w:val="0"/>
        <w:autoSpaceDN w:val="0"/>
        <w:adjustRightInd w:val="0"/>
        <w:jc w:val="both"/>
        <w:rPr>
          <w:rFonts w:ascii="Arial" w:eastAsia="Calibri" w:hAnsi="Arial" w:cs="Arial"/>
          <w:noProof/>
          <w:sz w:val="20"/>
        </w:rPr>
      </w:pPr>
    </w:p>
    <w:p w14:paraId="2F9C4679" w14:textId="77777777" w:rsidR="00A06BE9" w:rsidRPr="00701F32" w:rsidRDefault="00A06BE9" w:rsidP="00A06BE9">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La preparación de estados financieros consolidados condensados intermedios de conformidad con el marco contable establecido por el BCRA requiere el uso de ciertas estimaciones contables críticas. También requiere que la Gerencia ejerza su juicio en el proceso de aplicación de las normas contables establecidas por el BCRA las políticas contables de la Entidad.</w:t>
      </w:r>
    </w:p>
    <w:p w14:paraId="19485724" w14:textId="77777777" w:rsidR="00A06BE9" w:rsidRPr="00701F32" w:rsidRDefault="00A06BE9" w:rsidP="00A06BE9">
      <w:pPr>
        <w:autoSpaceDE w:val="0"/>
        <w:autoSpaceDN w:val="0"/>
        <w:adjustRightInd w:val="0"/>
        <w:jc w:val="both"/>
        <w:rPr>
          <w:rFonts w:ascii="Arial" w:eastAsia="Calibri" w:hAnsi="Arial" w:cs="Arial"/>
          <w:noProof/>
          <w:sz w:val="20"/>
        </w:rPr>
      </w:pPr>
    </w:p>
    <w:p w14:paraId="0743C8FD" w14:textId="77777777" w:rsidR="00A06BE9" w:rsidRPr="00701F32" w:rsidRDefault="00A06BE9" w:rsidP="00A06BE9">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La Entidad ha identificado las siguientes áreas que implican un mayor grado de juicio o complejidad, o áreas en las que los supuestos y estimaciones son significativos para los estados financieros consolidados condensados intermedios que son esenciales para la comprensión de los riesgos informativos contables / financieros subyacentes:</w:t>
      </w:r>
    </w:p>
    <w:p w14:paraId="4E823B45" w14:textId="77777777" w:rsidR="00A06BE9" w:rsidRPr="00701F32" w:rsidRDefault="00A06BE9" w:rsidP="00A06BE9">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 xml:space="preserve"> </w:t>
      </w:r>
    </w:p>
    <w:p w14:paraId="7528AA18" w14:textId="77777777" w:rsidR="00A06BE9" w:rsidRPr="00701F32" w:rsidRDefault="00A06BE9" w:rsidP="00A06BE9">
      <w:pPr>
        <w:numPr>
          <w:ilvl w:val="0"/>
          <w:numId w:val="47"/>
        </w:numPr>
        <w:spacing w:after="160" w:line="259" w:lineRule="auto"/>
        <w:contextualSpacing/>
        <w:jc w:val="both"/>
        <w:rPr>
          <w:rFonts w:ascii="Arial" w:eastAsia="Calibri" w:hAnsi="Arial" w:cs="Arial"/>
          <w:sz w:val="20"/>
        </w:rPr>
      </w:pPr>
      <w:r w:rsidRPr="00701F32">
        <w:rPr>
          <w:rFonts w:ascii="Arial" w:eastAsia="Calibri" w:hAnsi="Arial" w:cs="Arial"/>
          <w:sz w:val="20"/>
        </w:rPr>
        <w:t>Valor razonable de derivados y otros instrumentos</w:t>
      </w:r>
    </w:p>
    <w:p w14:paraId="3412475E"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3C48A350"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El valor razonable de los instrumentos financieros que no cotizan en los mercados activos son determinados usando técnicas de valuación. Dichas técnicas, son validadas y revisadas periódicamente por personal calificado independiente del área que las creó. Todos los modelos son evaluados y ajustados antes de ser usados, para asegurar que los resultados reflejen la información actual y precios comparativos del mercado. En lo posible, los modelos usan solamente información observable; sin embargo, factores como riesgo de crédito (propio y de la contraparte), volatilidades y correlaciones requieren de la utilización de estimados. Los cambios en los supuestos acerca de estos factores pueden afectar el valor razonable reportado de los instrumentos financieros.</w:t>
      </w:r>
    </w:p>
    <w:p w14:paraId="49ADF673"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La información referida a los instrumentos que no han sido valuados en base a información del mercado se encuentra detallada en la Nota 6 sobre valores razonables. Al respecto, la Gerencia determina si los riesgos significativos y beneficios de la propiedad de los activos financieros y leasing financieros son transferidos a la contraparte, particularmente aquellos de mayor riesgo.</w:t>
      </w:r>
    </w:p>
    <w:p w14:paraId="31D47112" w14:textId="77777777" w:rsidR="00A06BE9" w:rsidRPr="00701F32" w:rsidRDefault="00A06BE9" w:rsidP="00A06BE9">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Arial" w:hAnsi="Arial" w:cs="Arial"/>
          <w:sz w:val="20"/>
          <w:lang w:eastAsia="es-AR"/>
        </w:rPr>
      </w:pPr>
      <w:r w:rsidRPr="00701F32">
        <w:rPr>
          <w:rFonts w:ascii="Arial" w:hAnsi="Arial" w:cs="Arial"/>
          <w:sz w:val="20"/>
          <w:lang w:eastAsia="es-AR"/>
        </w:rPr>
        <w:t>Pérdidas por deterioro de préstamos y anticipos.</w:t>
      </w:r>
    </w:p>
    <w:p w14:paraId="3E028A78"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La Entidad realiza estimaciones sobre las capacidades de repago de los clientes para determinar el nivel de previsionamiento que le corresponde según la normativa BCRA.</w:t>
      </w:r>
    </w:p>
    <w:p w14:paraId="0286E9A6"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0CBE46CC"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Dichas estimaciones son efectuadas con la periodicidad correspondiente requerida por las normas mínimas de previsionamiento del B.C.R.A.</w:t>
      </w:r>
    </w:p>
    <w:p w14:paraId="7AAEAA25"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19C23A75" w14:textId="77777777" w:rsidR="00A06BE9" w:rsidRPr="00701F32" w:rsidRDefault="00A06BE9" w:rsidP="00A06BE9">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Arial" w:hAnsi="Arial" w:cs="Arial"/>
          <w:sz w:val="20"/>
          <w:lang w:eastAsia="es-AR"/>
        </w:rPr>
      </w:pPr>
      <w:r w:rsidRPr="00701F32">
        <w:rPr>
          <w:rFonts w:ascii="Arial" w:hAnsi="Arial" w:cs="Arial"/>
          <w:sz w:val="20"/>
          <w:lang w:eastAsia="es-AR"/>
        </w:rPr>
        <w:t xml:space="preserve">Deterioro de activos no financieros </w:t>
      </w:r>
    </w:p>
    <w:p w14:paraId="4B4949C9"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Los activos intangibles con vidas finitas y propiedades, planta y equipo se amortizan o deprecian a lo largo de su vida útil estimada en forma lineal. La Entidad monitorea las condiciones relacionadas con estos activos para determinar si los eventos y circunstancias justifican una revisión del período de amortización o depreciación restante y si existen factores o circunstancias que impliquen un deterioro en el valor de los activos que no pueda ser recuperado. </w:t>
      </w:r>
    </w:p>
    <w:p w14:paraId="55A06F19"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06D2EC13"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 La Entidad ha aplicado el juicio en la identificación de los indicadores de deterioro de propiedad, planta y equipo y activos intangibles. Asimismo, ha determinado que no hubo indicios de deterioro para ninguno de los períodos presentados en sus estados financieros condensados consolidados, por lo cual no se ha estimado ningún valor recuperable.</w:t>
      </w:r>
    </w:p>
    <w:p w14:paraId="64B74E25" w14:textId="77777777" w:rsidR="002D1B25" w:rsidRPr="00701F32" w:rsidRDefault="002D1B25"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673DD8F3" w14:textId="77777777" w:rsidR="002D1B25" w:rsidRPr="00701F32" w:rsidRDefault="002D1B25" w:rsidP="002D1B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El proceso de evaluación del deterioro potencial de un activo de vida útil indefinida es subjetivo y requiere un juicio significativo en muchos puntos durante el análisis, incluida la identificación de su unidad generadora de efectivo, la identificación y asignación de los activos y pasivos a la unidad generadora de efectivo y la determinación de su valor recuperable.  El valor recuperable es comparado con su valor en libros para así establecer la porción no recuperable del mismo. Al estimar el valor recuperable de la unidad generadora de efectivo a los fines de sus análisis de deterioro anual o periódico, el </w:t>
      </w:r>
      <w:r w:rsidR="00CC04E2" w:rsidRPr="00701F32">
        <w:rPr>
          <w:rFonts w:ascii="Arial" w:hAnsi="Arial" w:cs="Arial"/>
          <w:sz w:val="20"/>
          <w:lang w:eastAsia="es-AR"/>
        </w:rPr>
        <w:t>Banco</w:t>
      </w:r>
      <w:r w:rsidRPr="00701F32">
        <w:rPr>
          <w:rFonts w:ascii="Arial" w:hAnsi="Arial" w:cs="Arial"/>
          <w:sz w:val="20"/>
          <w:lang w:eastAsia="es-AR"/>
        </w:rPr>
        <w:t xml:space="preserve"> realiza estimaciones y juicios significativos sobre los flujos de efectivo futuros de esa unidad generadora de efectivo. Sus pronósticos de flujo de caja se basan en supuestos que representan el mejor y más alto uso para su unidad generadora de efectivo.</w:t>
      </w:r>
    </w:p>
    <w:p w14:paraId="4AB8D79D" w14:textId="77777777" w:rsidR="002D1B25" w:rsidRPr="00701F32" w:rsidRDefault="002D1B25" w:rsidP="002D1B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30348D1C" w14:textId="77777777" w:rsidR="002D1B25" w:rsidRPr="00701F32" w:rsidRDefault="002D1B25" w:rsidP="002D1B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Si bien el </w:t>
      </w:r>
      <w:r w:rsidR="00CC04E2" w:rsidRPr="00701F32">
        <w:rPr>
          <w:rFonts w:ascii="Arial" w:hAnsi="Arial" w:cs="Arial"/>
          <w:sz w:val="20"/>
          <w:lang w:eastAsia="es-AR"/>
        </w:rPr>
        <w:t>Banco</w:t>
      </w:r>
      <w:r w:rsidRPr="00701F32">
        <w:rPr>
          <w:rFonts w:ascii="Arial" w:hAnsi="Arial" w:cs="Arial"/>
          <w:sz w:val="20"/>
          <w:lang w:eastAsia="es-AR"/>
        </w:rPr>
        <w:t xml:space="preserve"> cree que las suposiciones y estimaciones utilizadas son apropiadas en función de la información disponible para la administración, los cambios en las suposiciones o circunstancias podrían requerir cambios en el análisis. Los cambios adversos en los supuestos utilizados dentro de su prueba de deterioro del activo intangible de duración indefinida podrían causar una reducción o eliminación del exceso del valor razonable sobre el valor en libros, lo que daría como resultado el reconocimiento potencial del deterioro.</w:t>
      </w:r>
    </w:p>
    <w:p w14:paraId="6B16344D" w14:textId="77777777" w:rsidR="002D1B25" w:rsidRPr="00701F32" w:rsidRDefault="002D1B25" w:rsidP="002D1B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4DE1529A" w14:textId="77777777" w:rsidR="002D1B25" w:rsidRPr="00701F32" w:rsidRDefault="00CC04E2" w:rsidP="002D1B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La Entidad</w:t>
      </w:r>
      <w:r w:rsidR="002D1B25" w:rsidRPr="00701F32">
        <w:rPr>
          <w:rFonts w:ascii="Arial" w:hAnsi="Arial" w:cs="Arial"/>
          <w:sz w:val="20"/>
          <w:lang w:eastAsia="es-AR"/>
        </w:rPr>
        <w:t xml:space="preserve"> concluyó que no sería necesario reconocer ninguna pérdida por deterioro en los activos intangibles de vida útil indefinida bajo estas condiciones</w:t>
      </w:r>
    </w:p>
    <w:p w14:paraId="582AB5AF" w14:textId="77777777" w:rsidR="00A06BE9" w:rsidRPr="00701F32" w:rsidRDefault="00A06BE9" w:rsidP="00A06BE9">
      <w:pPr>
        <w:shd w:val="clear" w:color="auto" w:fill="FFFFFF"/>
        <w:spacing w:line="259" w:lineRule="auto"/>
        <w:jc w:val="both"/>
        <w:rPr>
          <w:rFonts w:ascii="Arial" w:hAnsi="Arial" w:cs="Arial"/>
          <w:strike/>
          <w:sz w:val="20"/>
        </w:rPr>
      </w:pPr>
    </w:p>
    <w:p w14:paraId="7988EF4F" w14:textId="77777777" w:rsidR="00A06BE9" w:rsidRPr="00701F32" w:rsidRDefault="00A06BE9" w:rsidP="00A06BE9">
      <w:pPr>
        <w:numPr>
          <w:ilvl w:val="0"/>
          <w:numId w:val="47"/>
        </w:numPr>
        <w:shd w:val="clear" w:color="auto" w:fill="FFFFFF"/>
        <w:spacing w:after="160" w:line="259" w:lineRule="auto"/>
        <w:contextualSpacing/>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 Entidades estructuradas. </w:t>
      </w:r>
    </w:p>
    <w:p w14:paraId="1551A9C1"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hd w:val="clear" w:color="auto" w:fill="FFFFFF"/>
          <w:lang w:eastAsia="es-AR"/>
        </w:rPr>
      </w:pPr>
    </w:p>
    <w:p w14:paraId="78EA14EC" w14:textId="77777777" w:rsidR="00A06BE9" w:rsidRPr="00701F32" w:rsidRDefault="00A06BE9" w:rsidP="00A06BE9">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Las entidades estructuradas están diseñadas para que el voto o derechos similares no sean el factor dominante para decidir quién controla la entidad. También se requiere juicio para determinar si la relación entre el Banco y una entidad estructurada indica que la entidad estructurada está controlada por el Banco. La Entidad no consolida entidades estructuradas que no controla. </w:t>
      </w:r>
    </w:p>
    <w:p w14:paraId="47318A56" w14:textId="77777777" w:rsidR="00A06BE9" w:rsidRPr="00701F32" w:rsidRDefault="00A06BE9" w:rsidP="00A06BE9">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Como a veces puede ser difícil determinar si la Entidad controla una entidad estructurada, la administración evalúa su exposición a los riesgos y las recompensas, así como su capacidad para tomar decisiones operativas para la entidad estructurada en cuestión. En muchos casos, existen elementos que, considerados de forma aislada, indican el control o la falta de control sobre una entidad estructurada, pero cuando se los considera en conjunto dificultan llegar a una conclusión clara. En los casos en que existen más argumentos para la existencia de control, la entidad estructurada se consolida. La Entidad ha evaluado para determinar la existencia, o no de control lo siguiente: </w:t>
      </w:r>
    </w:p>
    <w:p w14:paraId="5294CE99"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el propósito y diseño del fideicomiso</w:t>
      </w:r>
    </w:p>
    <w:p w14:paraId="31C696C1"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identificación de las actividades relevantes</w:t>
      </w:r>
    </w:p>
    <w:p w14:paraId="2A92356B"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proceso decisorio sobre dichas actividades</w:t>
      </w:r>
    </w:p>
    <w:p w14:paraId="46181267"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los derechos que el Banco posee le permiten dirigir las actividades relevantes del fideicomiso</w:t>
      </w:r>
    </w:p>
    <w:p w14:paraId="2486CCAA"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el Banco está expuesto, o tiene derecho a los resultados variables provenientes de su participación en dicho fideicomiso</w:t>
      </w:r>
    </w:p>
    <w:p w14:paraId="62666807" w14:textId="77777777" w:rsidR="00A06BE9" w:rsidRPr="00701F32" w:rsidRDefault="00A06BE9" w:rsidP="00A06BE9">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el Banco tiene la capacidad de afectar dichos resultados a través de su poder sobre el fideicomiso</w:t>
      </w:r>
    </w:p>
    <w:p w14:paraId="0DB1BF52" w14:textId="77777777" w:rsidR="00A06BE9" w:rsidRPr="00701F32" w:rsidRDefault="00A06BE9" w:rsidP="00A06BE9">
      <w:pPr>
        <w:spacing w:after="200" w:line="259" w:lineRule="auto"/>
        <w:contextualSpacing/>
        <w:jc w:val="both"/>
        <w:rPr>
          <w:rFonts w:ascii="Arial" w:eastAsia="Calibri" w:hAnsi="Arial" w:cs="Arial"/>
          <w:sz w:val="20"/>
          <w:szCs w:val="22"/>
        </w:rPr>
      </w:pPr>
    </w:p>
    <w:p w14:paraId="77055A0B" w14:textId="0E18EA6F" w:rsidR="00A06BE9" w:rsidRPr="00701F32" w:rsidRDefault="00A06BE9" w:rsidP="00A06BE9">
      <w:pPr>
        <w:spacing w:after="200" w:line="259" w:lineRule="auto"/>
        <w:contextualSpacing/>
        <w:jc w:val="both"/>
        <w:rPr>
          <w:rFonts w:ascii="Arial" w:eastAsia="Calibri" w:hAnsi="Arial" w:cs="Arial"/>
          <w:sz w:val="20"/>
          <w:szCs w:val="22"/>
        </w:rPr>
      </w:pPr>
      <w:r w:rsidRPr="00701F32">
        <w:rPr>
          <w:rFonts w:ascii="Arial" w:eastAsia="Calibri" w:hAnsi="Arial" w:cs="Arial"/>
          <w:sz w:val="20"/>
          <w:szCs w:val="22"/>
        </w:rPr>
        <w:t xml:space="preserve">Si la Entidad no consolidara los activos, pasivos y los resultados de estas entidades estructuradas consolidadas, el efecto neto en el estado de resultados consolidado sería una pérdida de </w:t>
      </w:r>
      <w:r w:rsidR="005C0E28" w:rsidRPr="00701F32">
        <w:rPr>
          <w:rFonts w:ascii="Arial" w:eastAsia="Calibri" w:hAnsi="Arial" w:cs="Arial"/>
          <w:sz w:val="20"/>
          <w:szCs w:val="22"/>
        </w:rPr>
        <w:t>61</w:t>
      </w:r>
      <w:r w:rsidR="00D6035A" w:rsidRPr="00701F32">
        <w:rPr>
          <w:rFonts w:ascii="Arial" w:eastAsia="Calibri" w:hAnsi="Arial" w:cs="Arial"/>
          <w:sz w:val="20"/>
          <w:szCs w:val="22"/>
        </w:rPr>
        <w:t>.</w:t>
      </w:r>
      <w:r w:rsidR="005C0E28" w:rsidRPr="00701F32">
        <w:rPr>
          <w:rFonts w:ascii="Arial" w:eastAsia="Calibri" w:hAnsi="Arial" w:cs="Arial"/>
          <w:sz w:val="20"/>
          <w:szCs w:val="22"/>
        </w:rPr>
        <w:t>364</w:t>
      </w:r>
      <w:r w:rsidR="004E4E94" w:rsidRPr="00701F32">
        <w:rPr>
          <w:rFonts w:ascii="Arial" w:eastAsia="Calibri" w:hAnsi="Arial" w:cs="Arial"/>
          <w:sz w:val="20"/>
          <w:szCs w:val="22"/>
        </w:rPr>
        <w:t xml:space="preserve"> </w:t>
      </w:r>
      <w:r w:rsidRPr="00701F32">
        <w:rPr>
          <w:rFonts w:ascii="Arial" w:eastAsia="Calibri" w:hAnsi="Arial" w:cs="Arial"/>
          <w:sz w:val="20"/>
          <w:szCs w:val="22"/>
        </w:rPr>
        <w:t xml:space="preserve">y </w:t>
      </w:r>
      <w:r w:rsidR="005C0E28" w:rsidRPr="00701F32">
        <w:rPr>
          <w:rFonts w:ascii="Arial" w:eastAsia="Calibri" w:hAnsi="Arial" w:cs="Arial"/>
          <w:sz w:val="20"/>
          <w:szCs w:val="22"/>
        </w:rPr>
        <w:t>38.454</w:t>
      </w:r>
      <w:r w:rsidRPr="00701F32">
        <w:rPr>
          <w:rFonts w:ascii="Arial" w:eastAsia="Calibri" w:hAnsi="Arial" w:cs="Arial"/>
          <w:sz w:val="20"/>
          <w:szCs w:val="22"/>
        </w:rPr>
        <w:t xml:space="preserve"> al 3</w:t>
      </w:r>
      <w:r w:rsidR="00AE700E" w:rsidRPr="00701F32">
        <w:rPr>
          <w:rFonts w:ascii="Arial" w:eastAsia="Calibri" w:hAnsi="Arial" w:cs="Arial"/>
          <w:sz w:val="20"/>
          <w:szCs w:val="22"/>
        </w:rPr>
        <w:t>0</w:t>
      </w:r>
      <w:r w:rsidRPr="00701F32">
        <w:rPr>
          <w:rFonts w:ascii="Arial" w:eastAsia="Calibri" w:hAnsi="Arial" w:cs="Arial"/>
          <w:sz w:val="20"/>
          <w:szCs w:val="22"/>
        </w:rPr>
        <w:t xml:space="preserve"> de </w:t>
      </w:r>
      <w:r w:rsidR="00B848DD" w:rsidRPr="00701F32">
        <w:rPr>
          <w:rFonts w:ascii="Arial" w:eastAsia="Calibri" w:hAnsi="Arial" w:cs="Arial"/>
          <w:sz w:val="20"/>
          <w:szCs w:val="22"/>
        </w:rPr>
        <w:t>septiembre</w:t>
      </w:r>
      <w:r w:rsidRPr="00701F32">
        <w:rPr>
          <w:rFonts w:ascii="Arial" w:eastAsia="Calibri" w:hAnsi="Arial" w:cs="Arial"/>
          <w:sz w:val="20"/>
          <w:szCs w:val="22"/>
        </w:rPr>
        <w:t xml:space="preserve"> de 2018 y 2017 respectivamente.</w:t>
      </w:r>
    </w:p>
    <w:p w14:paraId="235C4D1C" w14:textId="77777777" w:rsidR="00A06BE9" w:rsidRPr="00701F32" w:rsidRDefault="00A06BE9" w:rsidP="00A06BE9">
      <w:pPr>
        <w:spacing w:after="200" w:line="259" w:lineRule="auto"/>
        <w:contextualSpacing/>
        <w:jc w:val="both"/>
        <w:rPr>
          <w:rFonts w:ascii="Arial" w:eastAsia="Calibri" w:hAnsi="Arial" w:cs="Arial"/>
          <w:sz w:val="20"/>
          <w:szCs w:val="22"/>
        </w:rPr>
      </w:pPr>
    </w:p>
    <w:p w14:paraId="2707016B" w14:textId="77777777" w:rsidR="00A06BE9" w:rsidRPr="00701F32" w:rsidRDefault="00A06BE9" w:rsidP="00A06BE9">
      <w:pPr>
        <w:numPr>
          <w:ilvl w:val="0"/>
          <w:numId w:val="47"/>
        </w:numPr>
        <w:shd w:val="clear" w:color="auto" w:fill="FFFFFF"/>
        <w:spacing w:after="160" w:line="259" w:lineRule="auto"/>
        <w:contextualSpacing/>
        <w:jc w:val="both"/>
        <w:rPr>
          <w:rFonts w:ascii="Arial" w:eastAsia="Calibri" w:hAnsi="Arial" w:cs="Arial"/>
          <w:sz w:val="20"/>
          <w:shd w:val="clear" w:color="auto" w:fill="FFFFFF"/>
        </w:rPr>
      </w:pPr>
      <w:r w:rsidRPr="00701F32">
        <w:rPr>
          <w:rFonts w:ascii="Arial" w:eastAsia="Calibri" w:hAnsi="Arial" w:cs="Arial"/>
          <w:sz w:val="20"/>
          <w:shd w:val="clear" w:color="auto" w:fill="FFFFFF"/>
        </w:rPr>
        <w:t>Impuesto a las ganancias e impuesto diferido</w:t>
      </w:r>
    </w:p>
    <w:p w14:paraId="52CE1BF8"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hd w:val="clear" w:color="auto" w:fill="FFFFFF"/>
          <w:lang w:eastAsia="es-AR"/>
        </w:rPr>
      </w:pPr>
    </w:p>
    <w:p w14:paraId="4813D87A" w14:textId="77777777" w:rsidR="00A06BE9" w:rsidRPr="00701F32" w:rsidRDefault="00A06BE9" w:rsidP="00A06BE9">
      <w:pPr>
        <w:shd w:val="clear" w:color="auto" w:fill="FFFFFF"/>
        <w:spacing w:after="160" w:line="259" w:lineRule="auto"/>
        <w:jc w:val="both"/>
        <w:rPr>
          <w:rFonts w:ascii="Arial" w:eastAsia="Calibri" w:hAnsi="Arial" w:cs="Arial"/>
          <w:sz w:val="20"/>
        </w:rPr>
      </w:pPr>
      <w:r w:rsidRPr="00701F32">
        <w:rPr>
          <w:rFonts w:ascii="Arial" w:eastAsia="Calibri" w:hAnsi="Arial" w:cs="Arial"/>
          <w:sz w:val="20"/>
        </w:rPr>
        <w:t>Se requiere un juicio significativo al determinar los pasivos y activos por impuestos corrientes y diferidos. El impuesto corriente se provisiona de acuerdo a los montos que se espera pagar y el impuesto diferido se provisiona sobre las diferencias temporarias entre las bases impositivas de los activos y pasivos y sus valores en libros, a las alícuotas que se espera estén vigentes al momento de reversión de las mismas.</w:t>
      </w:r>
    </w:p>
    <w:p w14:paraId="3C64A2ED" w14:textId="77777777" w:rsidR="00A06BE9" w:rsidRPr="00701F32" w:rsidRDefault="00A06BE9" w:rsidP="00A06BE9">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rPr>
        <w:t>Se reconoce un activo por impuesto diferido en la medida en que exista la probabilidad de que se disponga de ganancias imponibles futuras contra las cuales se puedan utilizar las diferencias temporarias, basado en los presupuestos de la gerencia con respecto a los montos y la oportunidad de las ganancias imponibles futuras. Luego se debe determinar la posibilidad de que los activos por impuesto diferido se utilicen y compensen contra ganancias imponibles futuras. Los resultados reales pueden diferir de estas estimaciones, por ejemplo, cambios en la legislación impositiva o el resultado de la revisión definitiva de las declaraciones juradas de impuestos por parte del fisco y los tribunales fiscales.</w:t>
      </w:r>
    </w:p>
    <w:p w14:paraId="3E674146" w14:textId="5E1CB88A" w:rsidR="00B30DEB" w:rsidRDefault="00A06BE9" w:rsidP="00393CEB">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Las ganancias fiscales futuras y la cantidad de beneficios fiscales que son probables en el futuro se basan en un plan de negocios a mediano plazo preparado por la administración el cual se basa en expectativas que se consideran razonables. </w:t>
      </w:r>
    </w:p>
    <w:p w14:paraId="1A3FEE47" w14:textId="77777777" w:rsidR="00A06BE9" w:rsidRPr="00701F32" w:rsidRDefault="00A06BE9" w:rsidP="00A06BE9">
      <w:pPr>
        <w:spacing w:after="160" w:line="259" w:lineRule="auto"/>
        <w:jc w:val="both"/>
        <w:rPr>
          <w:rFonts w:ascii="Arial" w:eastAsia="Calibri" w:hAnsi="Arial" w:cs="Arial"/>
          <w:b/>
          <w:bCs/>
          <w:sz w:val="20"/>
        </w:rPr>
      </w:pPr>
      <w:r w:rsidRPr="00701F32">
        <w:rPr>
          <w:rFonts w:ascii="Arial" w:eastAsia="Calibri" w:hAnsi="Arial" w:cs="Arial"/>
          <w:b/>
          <w:bCs/>
          <w:sz w:val="20"/>
        </w:rPr>
        <w:t xml:space="preserve">4. </w:t>
      </w:r>
      <w:r w:rsidR="00582EAB" w:rsidRPr="00701F32">
        <w:rPr>
          <w:rFonts w:ascii="Arial" w:eastAsia="Calibri" w:hAnsi="Arial" w:cs="Arial"/>
          <w:b/>
          <w:bCs/>
          <w:sz w:val="20"/>
        </w:rPr>
        <w:t>INFORMACION POR SEGMENTOS</w:t>
      </w:r>
    </w:p>
    <w:p w14:paraId="21A4D716" w14:textId="77777777" w:rsidR="00A06BE9" w:rsidRPr="00701F32" w:rsidRDefault="00A06BE9" w:rsidP="00A06BE9">
      <w:pPr>
        <w:spacing w:after="160" w:line="259" w:lineRule="auto"/>
        <w:jc w:val="both"/>
        <w:rPr>
          <w:rFonts w:ascii="Arial" w:eastAsia="Calibri" w:hAnsi="Arial" w:cs="Arial"/>
          <w:sz w:val="20"/>
        </w:rPr>
      </w:pPr>
      <w:r w:rsidRPr="00701F32">
        <w:rPr>
          <w:rFonts w:ascii="Arial" w:eastAsia="Calibri" w:hAnsi="Arial" w:cs="Arial"/>
          <w:sz w:val="20"/>
        </w:rPr>
        <w:t>La Entidad determina los segmentos operativos sobre la base de los informes de gestión que son revisados por el Directorio y el personal clave de la Gerencia, y los actualiza a medida que los mismos presentan cambios.</w:t>
      </w:r>
    </w:p>
    <w:p w14:paraId="4BDC30CC" w14:textId="77777777" w:rsidR="00A06BE9" w:rsidRPr="00701F32" w:rsidRDefault="00A06BE9" w:rsidP="00A06BE9">
      <w:pPr>
        <w:tabs>
          <w:tab w:val="left" w:pos="1909"/>
        </w:tabs>
        <w:spacing w:after="160" w:line="259" w:lineRule="auto"/>
        <w:jc w:val="both"/>
        <w:rPr>
          <w:rFonts w:ascii="Arial" w:eastAsia="Calibri" w:hAnsi="Arial" w:cs="Arial"/>
          <w:bCs/>
          <w:sz w:val="20"/>
        </w:rPr>
      </w:pPr>
      <w:r w:rsidRPr="00701F32">
        <w:rPr>
          <w:rFonts w:ascii="Arial" w:eastAsia="Calibri" w:hAnsi="Arial" w:cs="Arial"/>
          <w:bCs/>
          <w:sz w:val="20"/>
        </w:rPr>
        <w:t xml:space="preserve">La Entidad ha identificado los siguientes segmentos operativos </w:t>
      </w:r>
      <w:r w:rsidRPr="00701F32">
        <w:rPr>
          <w:rFonts w:ascii="Arial" w:eastAsia="Calibri" w:hAnsi="Arial" w:cs="Arial"/>
          <w:sz w:val="20"/>
        </w:rPr>
        <w:t xml:space="preserve">sobre los cuales dispone de información financiera diferenciada, teniendo en cuenta la naturaleza de sus riesgos y rendimientos así como también </w:t>
      </w:r>
      <w:r w:rsidRPr="00701F32">
        <w:rPr>
          <w:rFonts w:ascii="Arial" w:eastAsia="Calibri" w:hAnsi="Arial" w:cs="Arial"/>
          <w:bCs/>
          <w:sz w:val="20"/>
        </w:rPr>
        <w:t>los tipos de productos y servicios ofrecidos:</w:t>
      </w:r>
    </w:p>
    <w:p w14:paraId="5948D8BA" w14:textId="77777777" w:rsidR="00A06BE9" w:rsidRPr="00701F32" w:rsidRDefault="00A06BE9" w:rsidP="00A06BE9">
      <w:pPr>
        <w:numPr>
          <w:ilvl w:val="0"/>
          <w:numId w:val="43"/>
        </w:numPr>
        <w:spacing w:after="160" w:line="259" w:lineRule="auto"/>
        <w:contextualSpacing/>
        <w:jc w:val="both"/>
        <w:rPr>
          <w:rFonts w:ascii="Arial" w:eastAsia="Calibri" w:hAnsi="Arial" w:cs="Arial"/>
          <w:bCs/>
          <w:sz w:val="20"/>
        </w:rPr>
      </w:pPr>
      <w:r w:rsidRPr="00701F32">
        <w:rPr>
          <w:rFonts w:ascii="Arial" w:eastAsia="Calibri" w:hAnsi="Arial" w:cs="Arial"/>
          <w:bCs/>
          <w:sz w:val="20"/>
        </w:rPr>
        <w:t>Banca Minorista – Incluye una amplia gama de productos y servicios financieros destinados a clientes de los segmentos de pequeñas empresas, agrupadas en Emprendedores &amp; Pymes, y los clientes personas de renta alta dentro identificados con la propuesta Identité. Adicionalmente, el Banco ofrece productos y servicios destinados a atender las necesidades de jubilados y pensionados.</w:t>
      </w:r>
    </w:p>
    <w:p w14:paraId="5AAF3082" w14:textId="77777777" w:rsidR="00A06BE9" w:rsidRPr="00701F32" w:rsidRDefault="00A06BE9" w:rsidP="00A06BE9">
      <w:pPr>
        <w:spacing w:after="160" w:line="259" w:lineRule="auto"/>
        <w:ind w:left="720"/>
        <w:contextualSpacing/>
        <w:jc w:val="both"/>
        <w:rPr>
          <w:rFonts w:ascii="Arial" w:eastAsia="Calibri" w:hAnsi="Arial" w:cs="Arial"/>
          <w:bCs/>
          <w:sz w:val="20"/>
        </w:rPr>
      </w:pPr>
    </w:p>
    <w:p w14:paraId="0DE4DC5F" w14:textId="77777777" w:rsidR="00A06BE9" w:rsidRPr="00701F32" w:rsidRDefault="00A06BE9" w:rsidP="00A06BE9">
      <w:pPr>
        <w:numPr>
          <w:ilvl w:val="0"/>
          <w:numId w:val="43"/>
        </w:numPr>
        <w:spacing w:after="160" w:line="259" w:lineRule="auto"/>
        <w:contextualSpacing/>
        <w:jc w:val="both"/>
        <w:rPr>
          <w:rFonts w:ascii="Arial" w:eastAsia="Calibri" w:hAnsi="Arial" w:cs="Arial"/>
          <w:bCs/>
          <w:sz w:val="20"/>
        </w:rPr>
      </w:pPr>
      <w:r w:rsidRPr="00701F32">
        <w:rPr>
          <w:rFonts w:ascii="Arial" w:eastAsia="Calibri" w:hAnsi="Arial" w:cs="Arial"/>
          <w:bCs/>
          <w:sz w:val="20"/>
        </w:rPr>
        <w:t>Banca Empresa: Incluye los servicios de asesoramiento en materia corporativa y financiera, así como la gestión de activos y el otorgamiento de financiaciones a Pymes, empresas medianas y grandes empresas.</w:t>
      </w:r>
      <w:r w:rsidRPr="00701F32">
        <w:rPr>
          <w:rFonts w:ascii="Calibri" w:eastAsia="Calibri" w:hAnsi="Calibri"/>
          <w:sz w:val="22"/>
          <w:szCs w:val="22"/>
        </w:rPr>
        <w:t xml:space="preserve"> </w:t>
      </w:r>
    </w:p>
    <w:p w14:paraId="1FE6E6A1" w14:textId="77777777" w:rsidR="00A06BE9" w:rsidRPr="00701F32" w:rsidRDefault="00A06BE9" w:rsidP="00A06BE9">
      <w:pPr>
        <w:spacing w:after="160" w:line="259" w:lineRule="auto"/>
        <w:contextualSpacing/>
        <w:jc w:val="both"/>
        <w:rPr>
          <w:rFonts w:ascii="Arial" w:eastAsia="Calibri" w:hAnsi="Arial" w:cs="Arial"/>
          <w:bCs/>
          <w:sz w:val="20"/>
        </w:rPr>
      </w:pPr>
    </w:p>
    <w:p w14:paraId="782A7837" w14:textId="77777777" w:rsidR="00A06BE9" w:rsidRPr="00701F32" w:rsidRDefault="00A06BE9" w:rsidP="00A06BE9">
      <w:pPr>
        <w:numPr>
          <w:ilvl w:val="0"/>
          <w:numId w:val="43"/>
        </w:numPr>
        <w:spacing w:after="160" w:line="259" w:lineRule="auto"/>
        <w:contextualSpacing/>
        <w:jc w:val="both"/>
        <w:rPr>
          <w:rFonts w:ascii="Arial" w:eastAsia="Calibri" w:hAnsi="Arial" w:cs="Arial"/>
          <w:bCs/>
          <w:sz w:val="20"/>
        </w:rPr>
      </w:pPr>
      <w:r w:rsidRPr="00701F32">
        <w:rPr>
          <w:rFonts w:ascii="Arial" w:eastAsia="Calibri" w:hAnsi="Arial" w:cs="Arial"/>
          <w:bCs/>
          <w:sz w:val="20"/>
        </w:rPr>
        <w:t>Tesorería: Este segmento es el responsable de la asignación de liquidez de la Entidad según las necesidades de las bancas y sus necesidades propias.</w:t>
      </w:r>
      <w:r w:rsidRPr="00701F32">
        <w:rPr>
          <w:rFonts w:ascii="Calibri" w:eastAsia="Calibri" w:hAnsi="Calibri"/>
          <w:sz w:val="22"/>
          <w:szCs w:val="22"/>
        </w:rPr>
        <w:t xml:space="preserve"> </w:t>
      </w:r>
      <w:r w:rsidRPr="00701F32">
        <w:rPr>
          <w:rFonts w:ascii="Arial" w:eastAsia="Calibri" w:hAnsi="Arial" w:cs="Arial"/>
          <w:bCs/>
          <w:sz w:val="20"/>
        </w:rPr>
        <w:t>El segmento Tesorería implementa las políticas de gestión de riesgo financiero del Banco, gestiona las operaciones de su mesa de dinero, distribuye productos financieros, por ejemplo valores negociables, y desarrolla negocios con los clientes del sector financiero y no financiero mayorista.</w:t>
      </w:r>
    </w:p>
    <w:p w14:paraId="1052CBFF" w14:textId="77777777" w:rsidR="00A06BE9" w:rsidRPr="00701F32" w:rsidRDefault="00A06BE9" w:rsidP="00A06BE9">
      <w:pPr>
        <w:spacing w:after="160" w:line="259" w:lineRule="auto"/>
        <w:ind w:left="720"/>
        <w:contextualSpacing/>
        <w:jc w:val="both"/>
        <w:rPr>
          <w:rFonts w:ascii="Arial" w:eastAsia="Calibri" w:hAnsi="Arial" w:cs="Arial"/>
          <w:bCs/>
          <w:sz w:val="20"/>
        </w:rPr>
      </w:pPr>
    </w:p>
    <w:p w14:paraId="5368AC69" w14:textId="77777777" w:rsidR="00A06BE9" w:rsidRPr="00701F32" w:rsidRDefault="00A06BE9" w:rsidP="00A06BE9">
      <w:pPr>
        <w:numPr>
          <w:ilvl w:val="0"/>
          <w:numId w:val="43"/>
        </w:numPr>
        <w:spacing w:after="160" w:line="259" w:lineRule="auto"/>
        <w:contextualSpacing/>
        <w:jc w:val="both"/>
        <w:rPr>
          <w:rFonts w:ascii="Arial" w:eastAsia="Calibri" w:hAnsi="Arial" w:cs="Arial"/>
          <w:bCs/>
          <w:sz w:val="20"/>
        </w:rPr>
      </w:pPr>
      <w:r w:rsidRPr="00701F32">
        <w:rPr>
          <w:rFonts w:ascii="Arial" w:eastAsia="Calibri" w:hAnsi="Arial" w:cs="Arial"/>
          <w:bCs/>
          <w:sz w:val="20"/>
        </w:rPr>
        <w:t>Consumo: A través de este segmento la entidad ofrece tarjetas de crédito de marca privada, créditos para la adquisición de bienes de consumo y préstamos en efectivo a los sectores de ingresos medios y medios bajos no bancarizados.</w:t>
      </w:r>
    </w:p>
    <w:p w14:paraId="71AB0984" w14:textId="77777777" w:rsidR="00A06BE9" w:rsidRPr="00701F32" w:rsidRDefault="00A06BE9" w:rsidP="00A06BE9">
      <w:pPr>
        <w:spacing w:after="160" w:line="259" w:lineRule="auto"/>
        <w:ind w:left="720"/>
        <w:contextualSpacing/>
        <w:jc w:val="both"/>
        <w:rPr>
          <w:rFonts w:ascii="Arial" w:eastAsia="Calibri" w:hAnsi="Arial" w:cs="Arial"/>
          <w:bCs/>
          <w:color w:val="0000CC"/>
          <w:sz w:val="20"/>
        </w:rPr>
      </w:pPr>
    </w:p>
    <w:p w14:paraId="4998F0D5"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Los resultados operativos de los distintos segmentos operativos de la Entidad se monitorean por separado con el propósito de tomar decisiones sobre la asignación de recursos y la evaluación del desempeño de cada uno de los segmentos. El rendimiento de los mismos es evaluado basado en las ganancias o pérdidas operativas y es medido consistentemente con las ganancias y pérdidas operativas del estado consolidado de ganancias y pérdidas.</w:t>
      </w:r>
    </w:p>
    <w:p w14:paraId="0B5BFA2B"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Cuando ocurre alguna transacción, los precios de transferencia entre los segmentos operativos son contratados en forma independiente y equitativa de manera similar a las transacciones realizadas con terceros. Los ingresos, los gastos y los resultados producidos por las transferencias entre los segmentos operativos son luego eliminadas de la consolidación.</w:t>
      </w:r>
    </w:p>
    <w:p w14:paraId="6298EE7A" w14:textId="77777777" w:rsidR="00A06BE9" w:rsidRPr="00701F32" w:rsidRDefault="00A06BE9" w:rsidP="00A06BE9">
      <w:pPr>
        <w:autoSpaceDE w:val="0"/>
        <w:autoSpaceDN w:val="0"/>
        <w:adjustRightInd w:val="0"/>
        <w:spacing w:after="160" w:line="259" w:lineRule="auto"/>
        <w:jc w:val="both"/>
        <w:rPr>
          <w:rFonts w:ascii="Arial" w:eastAsia="Calibri" w:hAnsi="Arial" w:cs="Arial"/>
          <w:color w:val="0000CC"/>
          <w:sz w:val="20"/>
        </w:rPr>
      </w:pPr>
      <w:r w:rsidRPr="00701F32">
        <w:rPr>
          <w:rFonts w:ascii="Arial" w:eastAsia="Calibri" w:hAnsi="Arial" w:cs="Arial"/>
          <w:sz w:val="20"/>
        </w:rPr>
        <w:t>La Entidad no presenta información por segmentos geográficos porque no existen explotaciones en entornos económicos con riesgos y rendimientos que sean significativamente diferentes</w:t>
      </w:r>
      <w:r w:rsidRPr="00701F32">
        <w:rPr>
          <w:rFonts w:ascii="Arial" w:eastAsia="Calibri" w:hAnsi="Arial" w:cs="Arial"/>
          <w:color w:val="0000CC"/>
          <w:sz w:val="20"/>
        </w:rPr>
        <w:t xml:space="preserve">. </w:t>
      </w:r>
    </w:p>
    <w:p w14:paraId="2E00B8B0" w14:textId="77777777" w:rsidR="00AF05CB"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A continuación, se presenta la información por segmentos pertinente al 3</w:t>
      </w:r>
      <w:r w:rsidR="00920E6B" w:rsidRPr="00701F32">
        <w:rPr>
          <w:rFonts w:ascii="Arial" w:eastAsia="Calibri" w:hAnsi="Arial" w:cs="Arial"/>
          <w:bCs/>
          <w:sz w:val="20"/>
        </w:rPr>
        <w:t>0</w:t>
      </w:r>
      <w:r w:rsidRPr="00701F32">
        <w:rPr>
          <w:rFonts w:ascii="Arial" w:eastAsia="Calibri" w:hAnsi="Arial" w:cs="Arial"/>
          <w:bCs/>
          <w:sz w:val="20"/>
        </w:rPr>
        <w:t xml:space="preserve"> de </w:t>
      </w:r>
      <w:r w:rsidR="00B848DD" w:rsidRPr="00701F32">
        <w:rPr>
          <w:rFonts w:ascii="Arial" w:eastAsia="Calibri" w:hAnsi="Arial" w:cs="Arial"/>
          <w:bCs/>
          <w:sz w:val="20"/>
        </w:rPr>
        <w:t>septiembre</w:t>
      </w:r>
      <w:r w:rsidR="00920E6B" w:rsidRPr="00701F32">
        <w:rPr>
          <w:rFonts w:ascii="Arial" w:eastAsia="Calibri" w:hAnsi="Arial" w:cs="Arial"/>
          <w:bCs/>
          <w:sz w:val="20"/>
        </w:rPr>
        <w:t xml:space="preserve"> </w:t>
      </w:r>
      <w:r w:rsidRPr="00701F32">
        <w:rPr>
          <w:rFonts w:ascii="Arial" w:eastAsia="Calibri" w:hAnsi="Arial" w:cs="Arial"/>
          <w:bCs/>
          <w:sz w:val="20"/>
        </w:rPr>
        <w:t>de 2018 y 2017 respectivamente</w:t>
      </w:r>
    </w:p>
    <w:p w14:paraId="35663DB6" w14:textId="77777777" w:rsidR="00AF05CB" w:rsidRPr="00701F32" w:rsidRDefault="00AF05CB">
      <w:pPr>
        <w:rPr>
          <w:rFonts w:ascii="Arial" w:eastAsia="Calibri" w:hAnsi="Arial" w:cs="Arial"/>
          <w:bCs/>
          <w:sz w:val="20"/>
        </w:rPr>
      </w:pPr>
      <w:r w:rsidRPr="00701F32">
        <w:rPr>
          <w:rFonts w:ascii="Arial" w:eastAsia="Calibri" w:hAnsi="Arial" w:cs="Arial"/>
          <w:bCs/>
          <w:sz w:val="20"/>
        </w:rPr>
        <w:br w:type="page"/>
      </w:r>
    </w:p>
    <w:tbl>
      <w:tblPr>
        <w:tblW w:w="10730" w:type="dxa"/>
        <w:tblInd w:w="-356" w:type="dxa"/>
        <w:tblCellMar>
          <w:left w:w="70" w:type="dxa"/>
          <w:right w:w="70" w:type="dxa"/>
        </w:tblCellMar>
        <w:tblLook w:val="04A0" w:firstRow="1" w:lastRow="0" w:firstColumn="1" w:lastColumn="0" w:noHBand="0" w:noVBand="1"/>
      </w:tblPr>
      <w:tblGrid>
        <w:gridCol w:w="3261"/>
        <w:gridCol w:w="1361"/>
        <w:gridCol w:w="1464"/>
        <w:gridCol w:w="1318"/>
        <w:gridCol w:w="1042"/>
        <w:gridCol w:w="1105"/>
        <w:gridCol w:w="1179"/>
      </w:tblGrid>
      <w:tr w:rsidR="00FD0DB2" w:rsidRPr="00701F32" w14:paraId="74CC0368" w14:textId="77777777" w:rsidTr="00701F32">
        <w:trPr>
          <w:trHeight w:val="451"/>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tcPr>
          <w:p w14:paraId="1E888FC6" w14:textId="77777777" w:rsidR="00FD0DB2" w:rsidRPr="00701F32" w:rsidRDefault="00FD0DB2" w:rsidP="00831174">
            <w:pPr>
              <w:ind w:left="-70" w:firstLine="70"/>
              <w:jc w:val="center"/>
              <w:rPr>
                <w:rFonts w:ascii="Arial" w:hAnsi="Arial" w:cs="Arial"/>
                <w:b/>
                <w:bCs/>
                <w:sz w:val="16"/>
                <w:szCs w:val="16"/>
                <w:lang w:val="es-ES_tradnl" w:eastAsia="es-AR"/>
              </w:rPr>
            </w:pPr>
            <w:r w:rsidRPr="00701F32">
              <w:rPr>
                <w:rFonts w:ascii="Arial" w:hAnsi="Arial" w:cs="Arial"/>
                <w:b/>
                <w:bCs/>
                <w:sz w:val="16"/>
                <w:szCs w:val="16"/>
                <w:lang w:eastAsia="es-AR"/>
              </w:rPr>
              <w:t>ACTIVO al 30/0</w:t>
            </w:r>
            <w:r w:rsidR="00B848DD" w:rsidRPr="00701F32">
              <w:rPr>
                <w:rFonts w:ascii="Arial" w:hAnsi="Arial" w:cs="Arial"/>
                <w:b/>
                <w:bCs/>
                <w:sz w:val="16"/>
                <w:szCs w:val="16"/>
                <w:lang w:eastAsia="es-AR"/>
              </w:rPr>
              <w:t>9</w:t>
            </w:r>
            <w:r w:rsidRPr="00701F32">
              <w:rPr>
                <w:rFonts w:ascii="Arial" w:hAnsi="Arial" w:cs="Arial"/>
                <w:b/>
                <w:bCs/>
                <w:sz w:val="16"/>
                <w:szCs w:val="16"/>
                <w:lang w:eastAsia="es-AR"/>
              </w:rPr>
              <w:t>/2018</w:t>
            </w:r>
          </w:p>
        </w:tc>
        <w:tc>
          <w:tcPr>
            <w:tcW w:w="1361" w:type="dxa"/>
            <w:tcBorders>
              <w:top w:val="single" w:sz="4" w:space="0" w:color="auto"/>
              <w:left w:val="nil"/>
              <w:bottom w:val="single" w:sz="4" w:space="0" w:color="auto"/>
              <w:right w:val="single" w:sz="4" w:space="0" w:color="auto"/>
            </w:tcBorders>
            <w:shd w:val="clear" w:color="auto" w:fill="auto"/>
            <w:vAlign w:val="center"/>
          </w:tcPr>
          <w:p w14:paraId="780059BF"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464" w:type="dxa"/>
            <w:tcBorders>
              <w:top w:val="single" w:sz="4" w:space="0" w:color="auto"/>
              <w:left w:val="nil"/>
              <w:bottom w:val="single" w:sz="4" w:space="0" w:color="auto"/>
              <w:right w:val="single" w:sz="4" w:space="0" w:color="auto"/>
            </w:tcBorders>
            <w:shd w:val="clear" w:color="auto" w:fill="auto"/>
            <w:vAlign w:val="center"/>
          </w:tcPr>
          <w:p w14:paraId="407FE4C8"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318" w:type="dxa"/>
            <w:tcBorders>
              <w:top w:val="single" w:sz="4" w:space="0" w:color="auto"/>
              <w:left w:val="nil"/>
              <w:bottom w:val="single" w:sz="4" w:space="0" w:color="auto"/>
              <w:right w:val="single" w:sz="4" w:space="0" w:color="auto"/>
            </w:tcBorders>
            <w:shd w:val="clear" w:color="auto" w:fill="auto"/>
            <w:vAlign w:val="center"/>
          </w:tcPr>
          <w:p w14:paraId="057891D2"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042" w:type="dxa"/>
            <w:tcBorders>
              <w:top w:val="single" w:sz="4" w:space="0" w:color="auto"/>
              <w:left w:val="nil"/>
              <w:bottom w:val="single" w:sz="4" w:space="0" w:color="auto"/>
              <w:right w:val="single" w:sz="4" w:space="0" w:color="auto"/>
            </w:tcBorders>
            <w:shd w:val="clear" w:color="auto" w:fill="auto"/>
            <w:vAlign w:val="center"/>
          </w:tcPr>
          <w:p w14:paraId="7D7ECB80"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1105" w:type="dxa"/>
            <w:tcBorders>
              <w:top w:val="single" w:sz="4" w:space="0" w:color="auto"/>
              <w:left w:val="nil"/>
              <w:bottom w:val="single" w:sz="4" w:space="0" w:color="auto"/>
              <w:right w:val="single" w:sz="4" w:space="0" w:color="auto"/>
            </w:tcBorders>
            <w:shd w:val="clear" w:color="auto" w:fill="auto"/>
            <w:vAlign w:val="center"/>
          </w:tcPr>
          <w:p w14:paraId="0451DFC5"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54023C31" w14:textId="77777777" w:rsidR="00FD0DB2" w:rsidRPr="00701F32" w:rsidRDefault="00FD0DB2" w:rsidP="00831174">
            <w:pPr>
              <w:ind w:left="-70" w:firstLine="70"/>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8A4D2F" w:rsidRPr="00701F32" w14:paraId="59618727" w14:textId="77777777" w:rsidTr="00701F32">
        <w:trPr>
          <w:trHeight w:val="246"/>
        </w:trPr>
        <w:tc>
          <w:tcPr>
            <w:tcW w:w="3261" w:type="dxa"/>
            <w:tcBorders>
              <w:top w:val="nil"/>
              <w:left w:val="single" w:sz="4" w:space="0" w:color="auto"/>
              <w:bottom w:val="single" w:sz="4" w:space="0" w:color="363639"/>
              <w:right w:val="single" w:sz="4" w:space="0" w:color="363639"/>
            </w:tcBorders>
            <w:shd w:val="clear" w:color="000000" w:fill="FFFFFF"/>
          </w:tcPr>
          <w:p w14:paraId="51ABA44B"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40CAA04C" w14:textId="54E1E9D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254.566 </w:t>
            </w:r>
          </w:p>
        </w:tc>
        <w:tc>
          <w:tcPr>
            <w:tcW w:w="1464" w:type="dxa"/>
            <w:tcBorders>
              <w:top w:val="nil"/>
              <w:left w:val="nil"/>
              <w:bottom w:val="single" w:sz="4" w:space="0" w:color="auto"/>
              <w:right w:val="single" w:sz="4" w:space="0" w:color="auto"/>
            </w:tcBorders>
            <w:shd w:val="clear" w:color="000000" w:fill="FFFFFF"/>
            <w:noWrap/>
            <w:vAlign w:val="bottom"/>
          </w:tcPr>
          <w:p w14:paraId="38744F4A" w14:textId="4D89C60C"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4.524.879 </w:t>
            </w:r>
          </w:p>
        </w:tc>
        <w:tc>
          <w:tcPr>
            <w:tcW w:w="1318" w:type="dxa"/>
            <w:tcBorders>
              <w:top w:val="nil"/>
              <w:left w:val="nil"/>
              <w:bottom w:val="single" w:sz="4" w:space="0" w:color="auto"/>
              <w:right w:val="single" w:sz="4" w:space="0" w:color="auto"/>
            </w:tcBorders>
            <w:shd w:val="clear" w:color="000000" w:fill="FFFFFF"/>
            <w:noWrap/>
            <w:vAlign w:val="bottom"/>
          </w:tcPr>
          <w:p w14:paraId="61128EE4" w14:textId="700EA70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28.849.348 </w:t>
            </w:r>
          </w:p>
        </w:tc>
        <w:tc>
          <w:tcPr>
            <w:tcW w:w="1042" w:type="dxa"/>
            <w:tcBorders>
              <w:top w:val="nil"/>
              <w:left w:val="nil"/>
              <w:bottom w:val="single" w:sz="4" w:space="0" w:color="auto"/>
              <w:right w:val="single" w:sz="4" w:space="0" w:color="auto"/>
            </w:tcBorders>
            <w:shd w:val="clear" w:color="000000" w:fill="FFFFFF"/>
            <w:noWrap/>
            <w:vAlign w:val="bottom"/>
          </w:tcPr>
          <w:p w14:paraId="2000A5D5" w14:textId="7D2BC7B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14.245</w:t>
            </w:r>
          </w:p>
        </w:tc>
        <w:tc>
          <w:tcPr>
            <w:tcW w:w="1105" w:type="dxa"/>
            <w:tcBorders>
              <w:top w:val="nil"/>
              <w:left w:val="nil"/>
              <w:bottom w:val="single" w:sz="4" w:space="0" w:color="auto"/>
              <w:right w:val="single" w:sz="4" w:space="0" w:color="auto"/>
            </w:tcBorders>
            <w:shd w:val="clear" w:color="000000" w:fill="FFFFFF"/>
            <w:noWrap/>
            <w:vAlign w:val="bottom"/>
          </w:tcPr>
          <w:p w14:paraId="53E6B086" w14:textId="139A56AF"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-14.615</w:t>
            </w:r>
          </w:p>
        </w:tc>
        <w:tc>
          <w:tcPr>
            <w:tcW w:w="1179" w:type="dxa"/>
            <w:tcBorders>
              <w:top w:val="nil"/>
              <w:left w:val="nil"/>
              <w:bottom w:val="single" w:sz="4" w:space="0" w:color="auto"/>
              <w:right w:val="single" w:sz="4" w:space="0" w:color="auto"/>
            </w:tcBorders>
            <w:shd w:val="clear" w:color="000000" w:fill="FFFFFF"/>
            <w:noWrap/>
            <w:vAlign w:val="bottom"/>
          </w:tcPr>
          <w:p w14:paraId="540EDDD8" w14:textId="405F942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33.628.423 </w:t>
            </w:r>
          </w:p>
        </w:tc>
      </w:tr>
      <w:tr w:rsidR="008A4D2F" w:rsidRPr="00701F32" w14:paraId="5B3CC356"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noWrap/>
          </w:tcPr>
          <w:p w14:paraId="0D8ABB49"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Efectivo</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1E3FAA60" w14:textId="23A032C8"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253.769 </w:t>
            </w:r>
          </w:p>
        </w:tc>
        <w:tc>
          <w:tcPr>
            <w:tcW w:w="1464" w:type="dxa"/>
            <w:tcBorders>
              <w:top w:val="nil"/>
              <w:left w:val="nil"/>
              <w:bottom w:val="single" w:sz="4" w:space="0" w:color="auto"/>
              <w:right w:val="single" w:sz="4" w:space="0" w:color="auto"/>
            </w:tcBorders>
            <w:shd w:val="clear" w:color="000000" w:fill="FFFFFF"/>
            <w:noWrap/>
            <w:vAlign w:val="bottom"/>
          </w:tcPr>
          <w:p w14:paraId="0B77E9F6" w14:textId="5F663300"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4.151.016 </w:t>
            </w:r>
          </w:p>
        </w:tc>
        <w:tc>
          <w:tcPr>
            <w:tcW w:w="1318" w:type="dxa"/>
            <w:tcBorders>
              <w:top w:val="nil"/>
              <w:left w:val="nil"/>
              <w:bottom w:val="single" w:sz="4" w:space="0" w:color="auto"/>
              <w:right w:val="single" w:sz="4" w:space="0" w:color="auto"/>
            </w:tcBorders>
            <w:shd w:val="clear" w:color="000000" w:fill="FFFFFF"/>
            <w:noWrap/>
            <w:vAlign w:val="bottom"/>
          </w:tcPr>
          <w:p w14:paraId="125747FB" w14:textId="6EBF5EBD"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042" w:type="dxa"/>
            <w:tcBorders>
              <w:top w:val="nil"/>
              <w:left w:val="nil"/>
              <w:bottom w:val="single" w:sz="4" w:space="0" w:color="auto"/>
              <w:right w:val="single" w:sz="4" w:space="0" w:color="auto"/>
            </w:tcBorders>
            <w:shd w:val="clear" w:color="000000" w:fill="FFFFFF"/>
            <w:noWrap/>
            <w:vAlign w:val="bottom"/>
          </w:tcPr>
          <w:p w14:paraId="397111D8" w14:textId="3EA26D66" w:rsidR="008A4D2F" w:rsidRPr="00701F32" w:rsidRDefault="008A4D2F">
            <w:pPr>
              <w:ind w:left="-70" w:firstLine="70"/>
              <w:jc w:val="right"/>
              <w:rPr>
                <w:rFonts w:ascii="Arial" w:hAnsi="Arial" w:cs="Arial"/>
                <w:sz w:val="16"/>
                <w:szCs w:val="16"/>
              </w:rPr>
            </w:pPr>
            <w:r w:rsidRPr="00701F32">
              <w:rPr>
                <w:rFonts w:ascii="Arial" w:hAnsi="Arial" w:cs="Arial"/>
                <w:sz w:val="16"/>
                <w:szCs w:val="16"/>
              </w:rPr>
              <w:t>10</w:t>
            </w:r>
          </w:p>
        </w:tc>
        <w:tc>
          <w:tcPr>
            <w:tcW w:w="1105" w:type="dxa"/>
            <w:tcBorders>
              <w:top w:val="nil"/>
              <w:left w:val="nil"/>
              <w:bottom w:val="single" w:sz="4" w:space="0" w:color="auto"/>
              <w:right w:val="single" w:sz="4" w:space="0" w:color="auto"/>
            </w:tcBorders>
            <w:shd w:val="clear" w:color="000000" w:fill="FFFFFF"/>
            <w:noWrap/>
            <w:vAlign w:val="bottom"/>
          </w:tcPr>
          <w:p w14:paraId="41C66502" w14:textId="784BBBE4"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731DD9E3" w14:textId="5BDE24D3"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4.404.795 </w:t>
            </w:r>
          </w:p>
        </w:tc>
      </w:tr>
      <w:tr w:rsidR="008A4D2F" w:rsidRPr="00701F32" w14:paraId="659D8807"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noWrap/>
          </w:tcPr>
          <w:p w14:paraId="451EAD68"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44EF4F97" w14:textId="74378ED0"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   </w:t>
            </w:r>
          </w:p>
        </w:tc>
        <w:tc>
          <w:tcPr>
            <w:tcW w:w="1464" w:type="dxa"/>
            <w:tcBorders>
              <w:top w:val="nil"/>
              <w:left w:val="nil"/>
              <w:bottom w:val="single" w:sz="4" w:space="0" w:color="auto"/>
              <w:right w:val="single" w:sz="4" w:space="0" w:color="auto"/>
            </w:tcBorders>
            <w:shd w:val="clear" w:color="000000" w:fill="FFFFFF"/>
            <w:noWrap/>
            <w:vAlign w:val="bottom"/>
          </w:tcPr>
          <w:p w14:paraId="2BCD2168" w14:textId="126EAB70"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   </w:t>
            </w:r>
          </w:p>
        </w:tc>
        <w:tc>
          <w:tcPr>
            <w:tcW w:w="1318" w:type="dxa"/>
            <w:tcBorders>
              <w:top w:val="nil"/>
              <w:left w:val="nil"/>
              <w:bottom w:val="single" w:sz="4" w:space="0" w:color="auto"/>
              <w:right w:val="single" w:sz="4" w:space="0" w:color="auto"/>
            </w:tcBorders>
            <w:shd w:val="clear" w:color="000000" w:fill="FFFFFF"/>
            <w:noWrap/>
            <w:vAlign w:val="bottom"/>
          </w:tcPr>
          <w:p w14:paraId="77876C8B" w14:textId="3AB3B47D" w:rsidR="008A4D2F" w:rsidRPr="00701F32" w:rsidRDefault="008A4D2F">
            <w:pPr>
              <w:ind w:left="-70" w:firstLine="70"/>
              <w:jc w:val="right"/>
              <w:rPr>
                <w:rFonts w:ascii="Arial" w:hAnsi="Arial" w:cs="Arial"/>
                <w:sz w:val="16"/>
                <w:szCs w:val="16"/>
              </w:rPr>
            </w:pPr>
          </w:p>
        </w:tc>
        <w:tc>
          <w:tcPr>
            <w:tcW w:w="1042" w:type="dxa"/>
            <w:tcBorders>
              <w:top w:val="nil"/>
              <w:left w:val="nil"/>
              <w:bottom w:val="single" w:sz="4" w:space="0" w:color="auto"/>
              <w:right w:val="single" w:sz="4" w:space="0" w:color="auto"/>
            </w:tcBorders>
            <w:shd w:val="clear" w:color="000000" w:fill="FFFFFF"/>
            <w:noWrap/>
            <w:vAlign w:val="bottom"/>
          </w:tcPr>
          <w:p w14:paraId="215C0191" w14:textId="1B200038" w:rsidR="008A4D2F" w:rsidRPr="00701F32" w:rsidRDefault="008A4D2F">
            <w:pPr>
              <w:ind w:left="-70" w:firstLine="70"/>
              <w:jc w:val="right"/>
              <w:rPr>
                <w:rFonts w:ascii="Arial" w:hAnsi="Arial" w:cs="Arial"/>
                <w:sz w:val="16"/>
                <w:szCs w:val="16"/>
              </w:rPr>
            </w:pPr>
          </w:p>
        </w:tc>
        <w:tc>
          <w:tcPr>
            <w:tcW w:w="1105" w:type="dxa"/>
            <w:tcBorders>
              <w:top w:val="nil"/>
              <w:left w:val="nil"/>
              <w:bottom w:val="single" w:sz="4" w:space="0" w:color="auto"/>
              <w:right w:val="single" w:sz="4" w:space="0" w:color="auto"/>
            </w:tcBorders>
            <w:shd w:val="clear" w:color="000000" w:fill="FFFFFF"/>
            <w:noWrap/>
            <w:vAlign w:val="bottom"/>
          </w:tcPr>
          <w:p w14:paraId="61B4CEE5" w14:textId="35B531E5" w:rsidR="008A4D2F" w:rsidRPr="00701F32" w:rsidRDefault="008A4D2F">
            <w:pPr>
              <w:ind w:left="-70" w:firstLine="70"/>
              <w:jc w:val="right"/>
              <w:rPr>
                <w:rFonts w:ascii="Arial" w:hAnsi="Arial" w:cs="Arial"/>
                <w:sz w:val="16"/>
                <w:szCs w:val="16"/>
              </w:rPr>
            </w:pPr>
          </w:p>
        </w:tc>
        <w:tc>
          <w:tcPr>
            <w:tcW w:w="1179" w:type="dxa"/>
            <w:tcBorders>
              <w:top w:val="nil"/>
              <w:left w:val="nil"/>
              <w:bottom w:val="single" w:sz="4" w:space="0" w:color="auto"/>
              <w:right w:val="single" w:sz="4" w:space="0" w:color="auto"/>
            </w:tcBorders>
            <w:shd w:val="clear" w:color="000000" w:fill="FFFFFF"/>
            <w:noWrap/>
            <w:vAlign w:val="bottom"/>
          </w:tcPr>
          <w:p w14:paraId="7072225F" w14:textId="0347F7F6" w:rsidR="008A4D2F" w:rsidRPr="00701F32" w:rsidRDefault="008A4D2F">
            <w:pPr>
              <w:ind w:left="-70" w:firstLine="70"/>
              <w:jc w:val="right"/>
              <w:rPr>
                <w:rFonts w:ascii="Arial" w:hAnsi="Arial" w:cs="Arial"/>
                <w:sz w:val="16"/>
                <w:szCs w:val="16"/>
              </w:rPr>
            </w:pPr>
          </w:p>
        </w:tc>
      </w:tr>
      <w:tr w:rsidR="008A4D2F" w:rsidRPr="00701F32" w14:paraId="7FDFB20F" w14:textId="77777777" w:rsidTr="00701F32">
        <w:trPr>
          <w:trHeight w:val="245"/>
        </w:trPr>
        <w:tc>
          <w:tcPr>
            <w:tcW w:w="3261" w:type="dxa"/>
            <w:tcBorders>
              <w:top w:val="nil"/>
              <w:left w:val="single" w:sz="4" w:space="0" w:color="auto"/>
              <w:bottom w:val="single" w:sz="4" w:space="0" w:color="363639"/>
              <w:right w:val="single" w:sz="4" w:space="0" w:color="363639"/>
            </w:tcBorders>
            <w:shd w:val="clear" w:color="000000" w:fill="FFFFFF"/>
            <w:noWrap/>
          </w:tcPr>
          <w:p w14:paraId="67785593"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BCRA</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0E77CADD" w14:textId="5325C944"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   </w:t>
            </w:r>
          </w:p>
        </w:tc>
        <w:tc>
          <w:tcPr>
            <w:tcW w:w="1464" w:type="dxa"/>
            <w:tcBorders>
              <w:top w:val="nil"/>
              <w:left w:val="nil"/>
              <w:bottom w:val="single" w:sz="4" w:space="0" w:color="auto"/>
              <w:right w:val="single" w:sz="4" w:space="0" w:color="auto"/>
            </w:tcBorders>
            <w:shd w:val="clear" w:color="000000" w:fill="FFFFFF"/>
            <w:noWrap/>
            <w:vAlign w:val="bottom"/>
          </w:tcPr>
          <w:p w14:paraId="24AE2753" w14:textId="04B58608"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281.646 </w:t>
            </w:r>
          </w:p>
        </w:tc>
        <w:tc>
          <w:tcPr>
            <w:tcW w:w="1318" w:type="dxa"/>
            <w:tcBorders>
              <w:top w:val="nil"/>
              <w:left w:val="nil"/>
              <w:bottom w:val="single" w:sz="4" w:space="0" w:color="auto"/>
              <w:right w:val="single" w:sz="4" w:space="0" w:color="auto"/>
            </w:tcBorders>
            <w:shd w:val="clear" w:color="000000" w:fill="FFFFFF"/>
            <w:noWrap/>
            <w:vAlign w:val="bottom"/>
          </w:tcPr>
          <w:p w14:paraId="482766FB" w14:textId="304A3F11"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28.237.499 </w:t>
            </w:r>
          </w:p>
        </w:tc>
        <w:tc>
          <w:tcPr>
            <w:tcW w:w="1042" w:type="dxa"/>
            <w:tcBorders>
              <w:top w:val="nil"/>
              <w:left w:val="nil"/>
              <w:bottom w:val="single" w:sz="4" w:space="0" w:color="auto"/>
              <w:right w:val="single" w:sz="4" w:space="0" w:color="auto"/>
            </w:tcBorders>
            <w:shd w:val="clear" w:color="000000" w:fill="FFFFFF"/>
            <w:noWrap/>
            <w:vAlign w:val="bottom"/>
          </w:tcPr>
          <w:p w14:paraId="2AA67E21" w14:textId="2B624293" w:rsidR="008A4D2F" w:rsidRPr="00701F32" w:rsidRDefault="008A4D2F">
            <w:pPr>
              <w:ind w:left="-70" w:firstLine="70"/>
              <w:jc w:val="right"/>
              <w:rPr>
                <w:rFonts w:ascii="Arial" w:hAnsi="Arial" w:cs="Arial"/>
                <w:sz w:val="16"/>
                <w:szCs w:val="16"/>
              </w:rPr>
            </w:pPr>
            <w:r w:rsidRPr="00701F32">
              <w:rPr>
                <w:rFonts w:ascii="Arial" w:hAnsi="Arial" w:cs="Arial"/>
                <w:sz w:val="16"/>
                <w:szCs w:val="16"/>
              </w:rPr>
              <w:t>141</w:t>
            </w:r>
          </w:p>
        </w:tc>
        <w:tc>
          <w:tcPr>
            <w:tcW w:w="1105" w:type="dxa"/>
            <w:tcBorders>
              <w:top w:val="nil"/>
              <w:left w:val="nil"/>
              <w:bottom w:val="single" w:sz="4" w:space="0" w:color="auto"/>
              <w:right w:val="single" w:sz="4" w:space="0" w:color="auto"/>
            </w:tcBorders>
            <w:shd w:val="clear" w:color="000000" w:fill="FFFFFF"/>
            <w:noWrap/>
            <w:vAlign w:val="bottom"/>
          </w:tcPr>
          <w:p w14:paraId="504194C0" w14:textId="73A0BB3F"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7EF45EA4" w14:textId="3ACCD751"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28.519.286 </w:t>
            </w:r>
          </w:p>
        </w:tc>
      </w:tr>
      <w:tr w:rsidR="008A4D2F" w:rsidRPr="00701F32" w14:paraId="1ABE860F"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noWrap/>
          </w:tcPr>
          <w:p w14:paraId="43BEECA6"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0E89783F" w14:textId="759F4D83"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   </w:t>
            </w:r>
          </w:p>
        </w:tc>
        <w:tc>
          <w:tcPr>
            <w:tcW w:w="1464" w:type="dxa"/>
            <w:tcBorders>
              <w:top w:val="nil"/>
              <w:left w:val="nil"/>
              <w:bottom w:val="single" w:sz="4" w:space="0" w:color="auto"/>
              <w:right w:val="single" w:sz="4" w:space="0" w:color="auto"/>
            </w:tcBorders>
            <w:shd w:val="clear" w:color="000000" w:fill="FFFFFF"/>
            <w:noWrap/>
            <w:vAlign w:val="bottom"/>
          </w:tcPr>
          <w:p w14:paraId="4AD6B77E" w14:textId="363176FF"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13.286 </w:t>
            </w:r>
          </w:p>
        </w:tc>
        <w:tc>
          <w:tcPr>
            <w:tcW w:w="1318" w:type="dxa"/>
            <w:tcBorders>
              <w:top w:val="nil"/>
              <w:left w:val="nil"/>
              <w:bottom w:val="single" w:sz="4" w:space="0" w:color="auto"/>
              <w:right w:val="single" w:sz="4" w:space="0" w:color="auto"/>
            </w:tcBorders>
            <w:shd w:val="clear" w:color="000000" w:fill="FFFFFF"/>
            <w:noWrap/>
            <w:vAlign w:val="bottom"/>
          </w:tcPr>
          <w:p w14:paraId="2A4A35DD" w14:textId="288FF791"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649.641 </w:t>
            </w:r>
          </w:p>
        </w:tc>
        <w:tc>
          <w:tcPr>
            <w:tcW w:w="1042" w:type="dxa"/>
            <w:tcBorders>
              <w:top w:val="nil"/>
              <w:left w:val="nil"/>
              <w:bottom w:val="single" w:sz="4" w:space="0" w:color="auto"/>
              <w:right w:val="single" w:sz="4" w:space="0" w:color="auto"/>
            </w:tcBorders>
            <w:shd w:val="clear" w:color="000000" w:fill="FFFFFF"/>
            <w:noWrap/>
            <w:vAlign w:val="bottom"/>
          </w:tcPr>
          <w:p w14:paraId="7C0137FF" w14:textId="36194A1F" w:rsidR="008A4D2F" w:rsidRPr="00701F32" w:rsidRDefault="008A4D2F">
            <w:pPr>
              <w:ind w:left="-70" w:firstLine="70"/>
              <w:jc w:val="right"/>
              <w:rPr>
                <w:rFonts w:ascii="Arial" w:hAnsi="Arial" w:cs="Arial"/>
                <w:sz w:val="16"/>
                <w:szCs w:val="16"/>
              </w:rPr>
            </w:pPr>
            <w:r w:rsidRPr="00701F32">
              <w:rPr>
                <w:rFonts w:ascii="Arial" w:hAnsi="Arial" w:cs="Arial"/>
                <w:sz w:val="16"/>
                <w:szCs w:val="16"/>
              </w:rPr>
              <w:t>14.094</w:t>
            </w:r>
          </w:p>
        </w:tc>
        <w:tc>
          <w:tcPr>
            <w:tcW w:w="1105" w:type="dxa"/>
            <w:tcBorders>
              <w:top w:val="nil"/>
              <w:left w:val="nil"/>
              <w:bottom w:val="single" w:sz="4" w:space="0" w:color="auto"/>
              <w:right w:val="single" w:sz="4" w:space="0" w:color="auto"/>
            </w:tcBorders>
            <w:shd w:val="clear" w:color="000000" w:fill="FFFFFF"/>
            <w:noWrap/>
            <w:vAlign w:val="bottom"/>
          </w:tcPr>
          <w:p w14:paraId="55CE343C" w14:textId="033D55F1" w:rsidR="008A4D2F" w:rsidRPr="00701F32" w:rsidRDefault="008A4D2F">
            <w:pPr>
              <w:ind w:left="-70" w:firstLine="70"/>
              <w:jc w:val="right"/>
              <w:rPr>
                <w:rFonts w:ascii="Arial" w:hAnsi="Arial" w:cs="Arial"/>
                <w:sz w:val="16"/>
                <w:szCs w:val="16"/>
              </w:rPr>
            </w:pPr>
            <w:r w:rsidRPr="00701F32">
              <w:rPr>
                <w:rFonts w:ascii="Arial" w:hAnsi="Arial" w:cs="Arial"/>
                <w:sz w:val="16"/>
                <w:szCs w:val="16"/>
              </w:rPr>
              <w:t>-14.615</w:t>
            </w:r>
          </w:p>
        </w:tc>
        <w:tc>
          <w:tcPr>
            <w:tcW w:w="1179" w:type="dxa"/>
            <w:tcBorders>
              <w:top w:val="nil"/>
              <w:left w:val="nil"/>
              <w:bottom w:val="single" w:sz="4" w:space="0" w:color="auto"/>
              <w:right w:val="single" w:sz="4" w:space="0" w:color="auto"/>
            </w:tcBorders>
            <w:shd w:val="clear" w:color="000000" w:fill="FFFFFF"/>
            <w:noWrap/>
            <w:vAlign w:val="bottom"/>
          </w:tcPr>
          <w:p w14:paraId="62B6D2B6" w14:textId="77205A94"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662.406 </w:t>
            </w:r>
          </w:p>
        </w:tc>
      </w:tr>
      <w:tr w:rsidR="008A4D2F" w:rsidRPr="00701F32" w14:paraId="08BA2796" w14:textId="77777777" w:rsidTr="00701F32">
        <w:trPr>
          <w:trHeight w:val="199"/>
        </w:trPr>
        <w:tc>
          <w:tcPr>
            <w:tcW w:w="3261" w:type="dxa"/>
            <w:tcBorders>
              <w:top w:val="nil"/>
              <w:left w:val="single" w:sz="4" w:space="0" w:color="auto"/>
              <w:bottom w:val="single" w:sz="4" w:space="0" w:color="363639"/>
              <w:right w:val="single" w:sz="4" w:space="0" w:color="363639"/>
            </w:tcBorders>
            <w:shd w:val="clear" w:color="000000" w:fill="FFFFFF"/>
            <w:noWrap/>
          </w:tcPr>
          <w:p w14:paraId="1A299D2E"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Otros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497FBC3C" w14:textId="3F972964"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797 </w:t>
            </w:r>
          </w:p>
        </w:tc>
        <w:tc>
          <w:tcPr>
            <w:tcW w:w="1464" w:type="dxa"/>
            <w:tcBorders>
              <w:top w:val="nil"/>
              <w:left w:val="nil"/>
              <w:bottom w:val="single" w:sz="4" w:space="0" w:color="auto"/>
              <w:right w:val="single" w:sz="4" w:space="0" w:color="auto"/>
            </w:tcBorders>
            <w:shd w:val="clear" w:color="000000" w:fill="FFFFFF"/>
            <w:noWrap/>
            <w:vAlign w:val="bottom"/>
          </w:tcPr>
          <w:p w14:paraId="4465316C" w14:textId="3435CECD"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78.931 </w:t>
            </w:r>
          </w:p>
        </w:tc>
        <w:tc>
          <w:tcPr>
            <w:tcW w:w="1318" w:type="dxa"/>
            <w:tcBorders>
              <w:top w:val="nil"/>
              <w:left w:val="nil"/>
              <w:bottom w:val="single" w:sz="4" w:space="0" w:color="auto"/>
              <w:right w:val="single" w:sz="4" w:space="0" w:color="auto"/>
            </w:tcBorders>
            <w:shd w:val="clear" w:color="000000" w:fill="FFFFFF"/>
            <w:noWrap/>
            <w:vAlign w:val="bottom"/>
          </w:tcPr>
          <w:p w14:paraId="7925DE16" w14:textId="5B6EF0EA"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-37.792 </w:t>
            </w:r>
          </w:p>
        </w:tc>
        <w:tc>
          <w:tcPr>
            <w:tcW w:w="1042" w:type="dxa"/>
            <w:tcBorders>
              <w:top w:val="nil"/>
              <w:left w:val="nil"/>
              <w:bottom w:val="single" w:sz="4" w:space="0" w:color="auto"/>
              <w:right w:val="single" w:sz="4" w:space="0" w:color="auto"/>
            </w:tcBorders>
            <w:shd w:val="clear" w:color="000000" w:fill="FFFFFF"/>
            <w:noWrap/>
            <w:vAlign w:val="bottom"/>
          </w:tcPr>
          <w:p w14:paraId="3CC5FABD" w14:textId="4A1D20C4"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1230EB2C" w14:textId="5A7EDE49"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79BAA789" w14:textId="572009DB"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41.936 </w:t>
            </w:r>
          </w:p>
        </w:tc>
      </w:tr>
      <w:tr w:rsidR="008A4D2F" w:rsidRPr="00701F32" w14:paraId="27E590B8" w14:textId="77777777" w:rsidTr="00701F32">
        <w:trPr>
          <w:trHeight w:val="451"/>
        </w:trPr>
        <w:tc>
          <w:tcPr>
            <w:tcW w:w="3261" w:type="dxa"/>
            <w:tcBorders>
              <w:top w:val="nil"/>
              <w:left w:val="single" w:sz="4" w:space="0" w:color="auto"/>
              <w:bottom w:val="single" w:sz="4" w:space="0" w:color="363639"/>
              <w:right w:val="single" w:sz="4" w:space="0" w:color="363639"/>
            </w:tcBorders>
            <w:shd w:val="clear" w:color="000000" w:fill="FFFFFF"/>
          </w:tcPr>
          <w:p w14:paraId="688D5FDC"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12A367DF" w14:textId="0326FF0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softHyphen/>
              <w:t>-</w:t>
            </w:r>
          </w:p>
        </w:tc>
        <w:tc>
          <w:tcPr>
            <w:tcW w:w="1464" w:type="dxa"/>
            <w:tcBorders>
              <w:top w:val="nil"/>
              <w:left w:val="nil"/>
              <w:bottom w:val="single" w:sz="4" w:space="0" w:color="auto"/>
              <w:right w:val="single" w:sz="4" w:space="0" w:color="auto"/>
            </w:tcBorders>
            <w:shd w:val="clear" w:color="000000" w:fill="FFFFFF"/>
            <w:noWrap/>
            <w:vAlign w:val="bottom"/>
          </w:tcPr>
          <w:p w14:paraId="21D48D89" w14:textId="0A11D18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72468B18" w14:textId="40F2CC2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13.553.237 </w:t>
            </w:r>
          </w:p>
        </w:tc>
        <w:tc>
          <w:tcPr>
            <w:tcW w:w="1042" w:type="dxa"/>
            <w:tcBorders>
              <w:top w:val="nil"/>
              <w:left w:val="nil"/>
              <w:bottom w:val="single" w:sz="4" w:space="0" w:color="auto"/>
              <w:right w:val="single" w:sz="4" w:space="0" w:color="auto"/>
            </w:tcBorders>
            <w:shd w:val="clear" w:color="000000" w:fill="FFFFFF"/>
            <w:noWrap/>
            <w:vAlign w:val="bottom"/>
          </w:tcPr>
          <w:p w14:paraId="17531F1E" w14:textId="3D8DC536"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6ADD7E10" w14:textId="02D37D7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-19.530</w:t>
            </w:r>
          </w:p>
        </w:tc>
        <w:tc>
          <w:tcPr>
            <w:tcW w:w="1179" w:type="dxa"/>
            <w:tcBorders>
              <w:top w:val="nil"/>
              <w:left w:val="nil"/>
              <w:bottom w:val="single" w:sz="4" w:space="0" w:color="auto"/>
              <w:right w:val="single" w:sz="4" w:space="0" w:color="auto"/>
            </w:tcBorders>
            <w:shd w:val="clear" w:color="000000" w:fill="FFFFFF"/>
            <w:noWrap/>
            <w:vAlign w:val="bottom"/>
          </w:tcPr>
          <w:p w14:paraId="4E3A268B" w14:textId="7713A51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13.533.707 </w:t>
            </w:r>
          </w:p>
        </w:tc>
      </w:tr>
      <w:tr w:rsidR="008A4D2F" w:rsidRPr="00701F32" w14:paraId="2CE0AF85"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2CED9DBD"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32C92CA9" w14:textId="47B0494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6AC3106E" w14:textId="50F8A1E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585A3F46" w14:textId="70219B9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196.638 </w:t>
            </w:r>
          </w:p>
        </w:tc>
        <w:tc>
          <w:tcPr>
            <w:tcW w:w="1042" w:type="dxa"/>
            <w:tcBorders>
              <w:top w:val="nil"/>
              <w:left w:val="nil"/>
              <w:bottom w:val="single" w:sz="4" w:space="0" w:color="auto"/>
              <w:right w:val="single" w:sz="4" w:space="0" w:color="auto"/>
            </w:tcBorders>
            <w:shd w:val="clear" w:color="000000" w:fill="FFFFFF"/>
            <w:noWrap/>
            <w:vAlign w:val="bottom"/>
          </w:tcPr>
          <w:p w14:paraId="193A4F2D" w14:textId="545BE7E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6CFC36A7" w14:textId="64DD156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22C9A58C" w14:textId="243F6C89"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196.638 </w:t>
            </w:r>
          </w:p>
        </w:tc>
      </w:tr>
      <w:tr w:rsidR="008A4D2F" w:rsidRPr="00701F32" w14:paraId="7F8B9C16"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42BA5BFB"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02677DC9" w14:textId="30339CC9"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57513414" w14:textId="47129CC4"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6147B59D" w14:textId="2D9DBD6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111.738 </w:t>
            </w:r>
          </w:p>
        </w:tc>
        <w:tc>
          <w:tcPr>
            <w:tcW w:w="1042" w:type="dxa"/>
            <w:tcBorders>
              <w:top w:val="nil"/>
              <w:left w:val="nil"/>
              <w:bottom w:val="single" w:sz="4" w:space="0" w:color="auto"/>
              <w:right w:val="single" w:sz="4" w:space="0" w:color="auto"/>
            </w:tcBorders>
            <w:shd w:val="clear" w:color="000000" w:fill="FFFFFF"/>
            <w:noWrap/>
            <w:vAlign w:val="bottom"/>
          </w:tcPr>
          <w:p w14:paraId="170F2A6B" w14:textId="17787E0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3BDB114E" w14:textId="04868E76"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5E33AD48" w14:textId="4C22D10C"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111.738 </w:t>
            </w:r>
          </w:p>
        </w:tc>
      </w:tr>
      <w:tr w:rsidR="008A4D2F" w:rsidRPr="00701F32" w14:paraId="2592AEEC"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29EFFEA4"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77089CC9" w14:textId="6EBAA3C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2073C89A" w14:textId="09D530D5"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697.091 </w:t>
            </w:r>
          </w:p>
        </w:tc>
        <w:tc>
          <w:tcPr>
            <w:tcW w:w="1318" w:type="dxa"/>
            <w:tcBorders>
              <w:top w:val="nil"/>
              <w:left w:val="nil"/>
              <w:bottom w:val="single" w:sz="4" w:space="0" w:color="auto"/>
              <w:right w:val="single" w:sz="4" w:space="0" w:color="auto"/>
            </w:tcBorders>
            <w:shd w:val="clear" w:color="000000" w:fill="FFFFFF"/>
            <w:noWrap/>
            <w:vAlign w:val="bottom"/>
          </w:tcPr>
          <w:p w14:paraId="14E37FE9" w14:textId="06E056C7"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124.023 </w:t>
            </w:r>
          </w:p>
        </w:tc>
        <w:tc>
          <w:tcPr>
            <w:tcW w:w="1042" w:type="dxa"/>
            <w:tcBorders>
              <w:top w:val="nil"/>
              <w:left w:val="nil"/>
              <w:bottom w:val="single" w:sz="4" w:space="0" w:color="auto"/>
              <w:right w:val="single" w:sz="4" w:space="0" w:color="auto"/>
            </w:tcBorders>
            <w:shd w:val="clear" w:color="000000" w:fill="FFFFFF"/>
            <w:noWrap/>
            <w:vAlign w:val="bottom"/>
          </w:tcPr>
          <w:p w14:paraId="76AEB774" w14:textId="676DC1B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320.862</w:t>
            </w:r>
          </w:p>
        </w:tc>
        <w:tc>
          <w:tcPr>
            <w:tcW w:w="1105" w:type="dxa"/>
            <w:tcBorders>
              <w:top w:val="nil"/>
              <w:left w:val="nil"/>
              <w:bottom w:val="single" w:sz="4" w:space="0" w:color="auto"/>
              <w:right w:val="single" w:sz="4" w:space="0" w:color="auto"/>
            </w:tcBorders>
            <w:shd w:val="clear" w:color="000000" w:fill="FFFFFF"/>
            <w:noWrap/>
            <w:vAlign w:val="bottom"/>
          </w:tcPr>
          <w:p w14:paraId="27C0C49E" w14:textId="78AE91BA"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-15.124</w:t>
            </w:r>
          </w:p>
        </w:tc>
        <w:tc>
          <w:tcPr>
            <w:tcW w:w="1179" w:type="dxa"/>
            <w:tcBorders>
              <w:top w:val="nil"/>
              <w:left w:val="nil"/>
              <w:bottom w:val="single" w:sz="4" w:space="0" w:color="auto"/>
              <w:right w:val="single" w:sz="4" w:space="0" w:color="auto"/>
            </w:tcBorders>
            <w:shd w:val="clear" w:color="000000" w:fill="FFFFFF"/>
            <w:noWrap/>
            <w:vAlign w:val="bottom"/>
          </w:tcPr>
          <w:p w14:paraId="2943B565" w14:textId="5A96811F"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1.126.852 </w:t>
            </w:r>
          </w:p>
        </w:tc>
      </w:tr>
      <w:tr w:rsidR="008A4D2F" w:rsidRPr="00701F32" w14:paraId="1B0A1646"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074D554D"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3CCE1BFA" w14:textId="0868A3B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43.542.111 </w:t>
            </w:r>
          </w:p>
        </w:tc>
        <w:tc>
          <w:tcPr>
            <w:tcW w:w="1464" w:type="dxa"/>
            <w:tcBorders>
              <w:top w:val="nil"/>
              <w:left w:val="nil"/>
              <w:bottom w:val="single" w:sz="4" w:space="0" w:color="auto"/>
              <w:right w:val="single" w:sz="4" w:space="0" w:color="auto"/>
            </w:tcBorders>
            <w:shd w:val="clear" w:color="000000" w:fill="FFFFFF"/>
            <w:noWrap/>
            <w:vAlign w:val="bottom"/>
          </w:tcPr>
          <w:p w14:paraId="4A1417B7" w14:textId="4775796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30.286.850 </w:t>
            </w:r>
          </w:p>
        </w:tc>
        <w:tc>
          <w:tcPr>
            <w:tcW w:w="1318" w:type="dxa"/>
            <w:tcBorders>
              <w:top w:val="nil"/>
              <w:left w:val="nil"/>
              <w:bottom w:val="single" w:sz="4" w:space="0" w:color="auto"/>
              <w:right w:val="single" w:sz="4" w:space="0" w:color="auto"/>
            </w:tcBorders>
            <w:shd w:val="clear" w:color="000000" w:fill="FFFFFF"/>
            <w:noWrap/>
            <w:vAlign w:val="bottom"/>
          </w:tcPr>
          <w:p w14:paraId="7FDEB5C5" w14:textId="2325D35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3.989.460 </w:t>
            </w:r>
          </w:p>
        </w:tc>
        <w:tc>
          <w:tcPr>
            <w:tcW w:w="1042" w:type="dxa"/>
            <w:tcBorders>
              <w:top w:val="nil"/>
              <w:left w:val="nil"/>
              <w:bottom w:val="single" w:sz="4" w:space="0" w:color="auto"/>
              <w:right w:val="single" w:sz="4" w:space="0" w:color="auto"/>
            </w:tcBorders>
            <w:shd w:val="clear" w:color="000000" w:fill="FFFFFF"/>
            <w:noWrap/>
            <w:vAlign w:val="bottom"/>
          </w:tcPr>
          <w:p w14:paraId="1DF05528" w14:textId="7D298C5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7.495.427</w:t>
            </w:r>
          </w:p>
        </w:tc>
        <w:tc>
          <w:tcPr>
            <w:tcW w:w="1105" w:type="dxa"/>
            <w:tcBorders>
              <w:top w:val="nil"/>
              <w:left w:val="nil"/>
              <w:bottom w:val="single" w:sz="4" w:space="0" w:color="auto"/>
              <w:right w:val="single" w:sz="4" w:space="0" w:color="auto"/>
            </w:tcBorders>
            <w:shd w:val="clear" w:color="000000" w:fill="FFFFFF"/>
            <w:noWrap/>
            <w:vAlign w:val="bottom"/>
          </w:tcPr>
          <w:p w14:paraId="27FFAC7C" w14:textId="3DF8F15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-4.223.409</w:t>
            </w:r>
          </w:p>
        </w:tc>
        <w:tc>
          <w:tcPr>
            <w:tcW w:w="1179" w:type="dxa"/>
            <w:tcBorders>
              <w:top w:val="nil"/>
              <w:left w:val="nil"/>
              <w:bottom w:val="single" w:sz="4" w:space="0" w:color="auto"/>
              <w:right w:val="single" w:sz="4" w:space="0" w:color="auto"/>
            </w:tcBorders>
            <w:shd w:val="clear" w:color="000000" w:fill="FFFFFF"/>
            <w:noWrap/>
            <w:vAlign w:val="bottom"/>
          </w:tcPr>
          <w:p w14:paraId="1688D96E" w14:textId="21CCA2EC"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81.090.439 </w:t>
            </w:r>
          </w:p>
        </w:tc>
      </w:tr>
      <w:tr w:rsidR="008A4D2F" w:rsidRPr="00701F32" w14:paraId="736DACE3"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noWrap/>
          </w:tcPr>
          <w:p w14:paraId="6D052F94"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7AFF2AC9" w14:textId="1A58FCA7"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28 </w:t>
            </w:r>
          </w:p>
        </w:tc>
        <w:tc>
          <w:tcPr>
            <w:tcW w:w="1464" w:type="dxa"/>
            <w:tcBorders>
              <w:top w:val="nil"/>
              <w:left w:val="nil"/>
              <w:bottom w:val="single" w:sz="4" w:space="0" w:color="auto"/>
              <w:right w:val="single" w:sz="4" w:space="0" w:color="auto"/>
            </w:tcBorders>
            <w:shd w:val="clear" w:color="000000" w:fill="FFFFFF"/>
            <w:noWrap/>
            <w:vAlign w:val="bottom"/>
          </w:tcPr>
          <w:p w14:paraId="2A19621F" w14:textId="792435E7"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376 </w:t>
            </w:r>
          </w:p>
        </w:tc>
        <w:tc>
          <w:tcPr>
            <w:tcW w:w="1318" w:type="dxa"/>
            <w:tcBorders>
              <w:top w:val="nil"/>
              <w:left w:val="nil"/>
              <w:bottom w:val="single" w:sz="4" w:space="0" w:color="auto"/>
              <w:right w:val="single" w:sz="4" w:space="0" w:color="auto"/>
            </w:tcBorders>
            <w:shd w:val="clear" w:color="000000" w:fill="FFFFFF"/>
            <w:noWrap/>
            <w:vAlign w:val="bottom"/>
          </w:tcPr>
          <w:p w14:paraId="2AD617E7" w14:textId="6CC2E3A6"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35.171 </w:t>
            </w:r>
          </w:p>
        </w:tc>
        <w:tc>
          <w:tcPr>
            <w:tcW w:w="1042" w:type="dxa"/>
            <w:tcBorders>
              <w:top w:val="nil"/>
              <w:left w:val="nil"/>
              <w:bottom w:val="single" w:sz="4" w:space="0" w:color="auto"/>
              <w:right w:val="single" w:sz="4" w:space="0" w:color="auto"/>
            </w:tcBorders>
            <w:shd w:val="clear" w:color="000000" w:fill="FFFFFF"/>
            <w:noWrap/>
            <w:vAlign w:val="bottom"/>
          </w:tcPr>
          <w:p w14:paraId="725FCE2F" w14:textId="0BA44E5F"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6075D609" w14:textId="395F37C0"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23A105F1" w14:textId="14EAA528" w:rsidR="008A4D2F" w:rsidRPr="00701F32" w:rsidRDefault="008A4D2F">
            <w:pPr>
              <w:ind w:left="-70" w:firstLine="70"/>
              <w:jc w:val="right"/>
              <w:rPr>
                <w:rFonts w:ascii="Arial" w:hAnsi="Arial" w:cs="Arial"/>
                <w:sz w:val="16"/>
                <w:szCs w:val="16"/>
              </w:rPr>
            </w:pPr>
            <w:r w:rsidRPr="00701F32">
              <w:rPr>
                <w:rFonts w:ascii="Arial" w:hAnsi="Arial" w:cs="Arial"/>
                <w:sz w:val="16"/>
                <w:szCs w:val="16"/>
              </w:rPr>
              <w:t>35.575</w:t>
            </w:r>
          </w:p>
        </w:tc>
      </w:tr>
      <w:tr w:rsidR="008A4D2F" w:rsidRPr="00701F32" w14:paraId="61D16F83"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4E96EF52"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Otras entidades financieras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0F67F761" w14:textId="0E1B2CF7" w:rsidR="008A4D2F" w:rsidRPr="00701F32" w:rsidRDefault="005E7689" w:rsidP="005E7689">
            <w:pPr>
              <w:ind w:left="-70" w:firstLine="70"/>
              <w:jc w:val="right"/>
              <w:rPr>
                <w:rFonts w:ascii="Arial" w:hAnsi="Arial" w:cs="Arial"/>
                <w:sz w:val="16"/>
                <w:szCs w:val="16"/>
              </w:rPr>
            </w:pPr>
            <w:r w:rsidRPr="00701F32">
              <w:rPr>
                <w:rFonts w:ascii="Arial" w:hAnsi="Arial" w:cs="Arial"/>
                <w:sz w:val="16"/>
                <w:szCs w:val="16"/>
              </w:rPr>
              <w:t>365.180</w:t>
            </w:r>
            <w:r w:rsidR="008A4D2F" w:rsidRPr="00701F32">
              <w:rPr>
                <w:rFonts w:ascii="Arial" w:hAnsi="Arial" w:cs="Arial"/>
                <w:sz w:val="16"/>
                <w:szCs w:val="16"/>
              </w:rPr>
              <w:t xml:space="preserve">   </w:t>
            </w:r>
          </w:p>
        </w:tc>
        <w:tc>
          <w:tcPr>
            <w:tcW w:w="1464" w:type="dxa"/>
            <w:tcBorders>
              <w:top w:val="nil"/>
              <w:left w:val="nil"/>
              <w:bottom w:val="single" w:sz="4" w:space="0" w:color="auto"/>
              <w:right w:val="single" w:sz="4" w:space="0" w:color="auto"/>
            </w:tcBorders>
            <w:shd w:val="clear" w:color="000000" w:fill="FFFFFF"/>
            <w:noWrap/>
            <w:vAlign w:val="bottom"/>
          </w:tcPr>
          <w:p w14:paraId="228A0EDE" w14:textId="0505E415"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-24.373 </w:t>
            </w:r>
          </w:p>
        </w:tc>
        <w:tc>
          <w:tcPr>
            <w:tcW w:w="1318" w:type="dxa"/>
            <w:tcBorders>
              <w:top w:val="nil"/>
              <w:left w:val="nil"/>
              <w:bottom w:val="single" w:sz="4" w:space="0" w:color="auto"/>
              <w:right w:val="single" w:sz="4" w:space="0" w:color="auto"/>
            </w:tcBorders>
            <w:shd w:val="clear" w:color="000000" w:fill="FFFFFF"/>
            <w:noWrap/>
            <w:vAlign w:val="bottom"/>
          </w:tcPr>
          <w:p w14:paraId="25693131" w14:textId="317E10A9"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3.656.115 </w:t>
            </w:r>
          </w:p>
        </w:tc>
        <w:tc>
          <w:tcPr>
            <w:tcW w:w="1042" w:type="dxa"/>
            <w:tcBorders>
              <w:top w:val="nil"/>
              <w:left w:val="nil"/>
              <w:bottom w:val="single" w:sz="4" w:space="0" w:color="auto"/>
              <w:right w:val="single" w:sz="4" w:space="0" w:color="auto"/>
            </w:tcBorders>
            <w:shd w:val="clear" w:color="000000" w:fill="FFFFFF"/>
            <w:noWrap/>
            <w:vAlign w:val="bottom"/>
          </w:tcPr>
          <w:p w14:paraId="4F90F6C6" w14:textId="4C520327" w:rsidR="008A4D2F" w:rsidRPr="00701F32" w:rsidRDefault="008A4D2F">
            <w:pPr>
              <w:ind w:left="-70" w:firstLine="70"/>
              <w:jc w:val="right"/>
              <w:rPr>
                <w:rFonts w:ascii="Arial" w:hAnsi="Arial" w:cs="Arial"/>
                <w:sz w:val="16"/>
                <w:szCs w:val="16"/>
              </w:rPr>
            </w:pPr>
            <w:r w:rsidRPr="00701F32">
              <w:rPr>
                <w:rFonts w:ascii="Arial" w:hAnsi="Arial" w:cs="Arial"/>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0757D8D5" w14:textId="014FCE42" w:rsidR="008A4D2F" w:rsidRPr="00701F32" w:rsidRDefault="008A4D2F">
            <w:pPr>
              <w:ind w:left="-70" w:firstLine="70"/>
              <w:jc w:val="right"/>
              <w:rPr>
                <w:rFonts w:ascii="Arial" w:hAnsi="Arial" w:cs="Arial"/>
                <w:sz w:val="16"/>
                <w:szCs w:val="16"/>
              </w:rPr>
            </w:pPr>
            <w:r w:rsidRPr="00701F32">
              <w:rPr>
                <w:rFonts w:ascii="Arial" w:hAnsi="Arial" w:cs="Arial"/>
                <w:sz w:val="16"/>
                <w:szCs w:val="16"/>
              </w:rPr>
              <w:t>-3.586.350</w:t>
            </w:r>
          </w:p>
        </w:tc>
        <w:tc>
          <w:tcPr>
            <w:tcW w:w="1179" w:type="dxa"/>
            <w:tcBorders>
              <w:top w:val="nil"/>
              <w:left w:val="nil"/>
              <w:bottom w:val="single" w:sz="4" w:space="0" w:color="auto"/>
              <w:right w:val="single" w:sz="4" w:space="0" w:color="auto"/>
            </w:tcBorders>
            <w:shd w:val="clear" w:color="000000" w:fill="FFFFFF"/>
            <w:noWrap/>
            <w:vAlign w:val="bottom"/>
          </w:tcPr>
          <w:p w14:paraId="5026211F" w14:textId="6E9ECDCA"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410.572 </w:t>
            </w:r>
          </w:p>
        </w:tc>
      </w:tr>
      <w:tr w:rsidR="008A4D2F" w:rsidRPr="00701F32" w14:paraId="5E1FC685" w14:textId="77777777" w:rsidTr="00701F32">
        <w:trPr>
          <w:trHeight w:val="284"/>
        </w:trPr>
        <w:tc>
          <w:tcPr>
            <w:tcW w:w="3261" w:type="dxa"/>
            <w:tcBorders>
              <w:top w:val="nil"/>
              <w:left w:val="single" w:sz="4" w:space="0" w:color="auto"/>
              <w:bottom w:val="single" w:sz="4" w:space="0" w:color="363639"/>
              <w:right w:val="single" w:sz="4" w:space="0" w:color="363639"/>
            </w:tcBorders>
            <w:shd w:val="clear" w:color="000000" w:fill="FFFFFF"/>
          </w:tcPr>
          <w:p w14:paraId="3AAFD8D8" w14:textId="77777777" w:rsidR="008A4D2F" w:rsidRPr="00701F32" w:rsidRDefault="008A4D2F" w:rsidP="008A4D2F">
            <w:pPr>
              <w:ind w:left="-70" w:firstLine="70"/>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071EB1A9" w14:textId="4398C08C" w:rsidR="008A4D2F" w:rsidRPr="00701F32" w:rsidRDefault="005E7689">
            <w:pPr>
              <w:ind w:left="-70" w:firstLine="70"/>
              <w:jc w:val="right"/>
              <w:rPr>
                <w:rFonts w:ascii="Arial" w:hAnsi="Arial" w:cs="Arial"/>
                <w:sz w:val="16"/>
                <w:szCs w:val="16"/>
              </w:rPr>
            </w:pPr>
            <w:r w:rsidRPr="00701F32">
              <w:rPr>
                <w:rFonts w:ascii="Arial" w:hAnsi="Arial" w:cs="Arial"/>
                <w:sz w:val="16"/>
                <w:szCs w:val="16"/>
              </w:rPr>
              <w:t>43.176.903</w:t>
            </w:r>
          </w:p>
        </w:tc>
        <w:tc>
          <w:tcPr>
            <w:tcW w:w="1464" w:type="dxa"/>
            <w:tcBorders>
              <w:top w:val="nil"/>
              <w:left w:val="nil"/>
              <w:bottom w:val="single" w:sz="4" w:space="0" w:color="auto"/>
              <w:right w:val="single" w:sz="4" w:space="0" w:color="auto"/>
            </w:tcBorders>
            <w:shd w:val="clear" w:color="000000" w:fill="FFFFFF"/>
            <w:noWrap/>
            <w:vAlign w:val="bottom"/>
          </w:tcPr>
          <w:p w14:paraId="3F92560B" w14:textId="3B20CD93"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30.310.847 </w:t>
            </w:r>
          </w:p>
        </w:tc>
        <w:tc>
          <w:tcPr>
            <w:tcW w:w="1318" w:type="dxa"/>
            <w:tcBorders>
              <w:top w:val="nil"/>
              <w:left w:val="nil"/>
              <w:bottom w:val="single" w:sz="4" w:space="0" w:color="auto"/>
              <w:right w:val="single" w:sz="4" w:space="0" w:color="auto"/>
            </w:tcBorders>
            <w:shd w:val="clear" w:color="000000" w:fill="FFFFFF"/>
            <w:noWrap/>
            <w:vAlign w:val="bottom"/>
          </w:tcPr>
          <w:p w14:paraId="6BFBBFEE" w14:textId="38760E66"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298.174 </w:t>
            </w:r>
          </w:p>
        </w:tc>
        <w:tc>
          <w:tcPr>
            <w:tcW w:w="1042" w:type="dxa"/>
            <w:tcBorders>
              <w:top w:val="nil"/>
              <w:left w:val="nil"/>
              <w:bottom w:val="single" w:sz="4" w:space="0" w:color="auto"/>
              <w:right w:val="single" w:sz="4" w:space="0" w:color="auto"/>
            </w:tcBorders>
            <w:shd w:val="clear" w:color="000000" w:fill="FFFFFF"/>
            <w:noWrap/>
            <w:vAlign w:val="bottom"/>
          </w:tcPr>
          <w:p w14:paraId="33FF08CB" w14:textId="24132EDB" w:rsidR="008A4D2F" w:rsidRPr="00701F32" w:rsidRDefault="008A4D2F">
            <w:pPr>
              <w:ind w:left="-70" w:firstLine="70"/>
              <w:jc w:val="right"/>
              <w:rPr>
                <w:rFonts w:ascii="Arial" w:hAnsi="Arial" w:cs="Arial"/>
                <w:sz w:val="16"/>
                <w:szCs w:val="16"/>
              </w:rPr>
            </w:pPr>
            <w:r w:rsidRPr="00701F32">
              <w:rPr>
                <w:rFonts w:ascii="Arial" w:hAnsi="Arial" w:cs="Arial"/>
                <w:sz w:val="16"/>
                <w:szCs w:val="16"/>
              </w:rPr>
              <w:t>7.495.427</w:t>
            </w:r>
          </w:p>
        </w:tc>
        <w:tc>
          <w:tcPr>
            <w:tcW w:w="1105" w:type="dxa"/>
            <w:tcBorders>
              <w:top w:val="nil"/>
              <w:left w:val="nil"/>
              <w:bottom w:val="single" w:sz="4" w:space="0" w:color="auto"/>
              <w:right w:val="single" w:sz="4" w:space="0" w:color="auto"/>
            </w:tcBorders>
            <w:shd w:val="clear" w:color="000000" w:fill="FFFFFF"/>
            <w:noWrap/>
            <w:vAlign w:val="bottom"/>
          </w:tcPr>
          <w:p w14:paraId="5A012CFC" w14:textId="0EF94C32" w:rsidR="008A4D2F" w:rsidRPr="00701F32" w:rsidRDefault="008A4D2F">
            <w:pPr>
              <w:ind w:left="-70" w:firstLine="70"/>
              <w:jc w:val="right"/>
              <w:rPr>
                <w:rFonts w:ascii="Arial" w:hAnsi="Arial" w:cs="Arial"/>
                <w:sz w:val="16"/>
                <w:szCs w:val="16"/>
              </w:rPr>
            </w:pPr>
            <w:r w:rsidRPr="00701F32">
              <w:rPr>
                <w:rFonts w:ascii="Arial" w:hAnsi="Arial" w:cs="Arial"/>
                <w:sz w:val="16"/>
                <w:szCs w:val="16"/>
              </w:rPr>
              <w:t>-637.059</w:t>
            </w:r>
          </w:p>
        </w:tc>
        <w:tc>
          <w:tcPr>
            <w:tcW w:w="1179" w:type="dxa"/>
            <w:tcBorders>
              <w:top w:val="nil"/>
              <w:left w:val="nil"/>
              <w:bottom w:val="single" w:sz="4" w:space="0" w:color="auto"/>
              <w:right w:val="single" w:sz="4" w:space="0" w:color="auto"/>
            </w:tcBorders>
            <w:shd w:val="clear" w:color="000000" w:fill="FFFFFF"/>
            <w:noWrap/>
            <w:vAlign w:val="bottom"/>
          </w:tcPr>
          <w:p w14:paraId="7A27A632" w14:textId="75CD44E6" w:rsidR="008A4D2F" w:rsidRPr="00701F32" w:rsidRDefault="008A4D2F">
            <w:pPr>
              <w:ind w:left="-70" w:firstLine="70"/>
              <w:jc w:val="right"/>
              <w:rPr>
                <w:rFonts w:ascii="Arial" w:hAnsi="Arial" w:cs="Arial"/>
                <w:sz w:val="16"/>
                <w:szCs w:val="16"/>
              </w:rPr>
            </w:pPr>
            <w:r w:rsidRPr="00701F32">
              <w:rPr>
                <w:rFonts w:ascii="Arial" w:hAnsi="Arial" w:cs="Arial"/>
                <w:sz w:val="16"/>
                <w:szCs w:val="16"/>
              </w:rPr>
              <w:t xml:space="preserve">  80.644.292 </w:t>
            </w:r>
          </w:p>
        </w:tc>
      </w:tr>
      <w:tr w:rsidR="008A4D2F" w:rsidRPr="00701F32" w14:paraId="488A1B9A"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040FCDFD"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6D5E0513" w14:textId="561F89E8" w:rsidR="008A4D2F" w:rsidRPr="00701F32" w:rsidRDefault="005E7689">
            <w:pPr>
              <w:ind w:left="-70" w:firstLine="70"/>
              <w:jc w:val="right"/>
              <w:rPr>
                <w:rFonts w:ascii="Arial" w:hAnsi="Arial" w:cs="Arial"/>
                <w:b/>
                <w:sz w:val="16"/>
                <w:szCs w:val="16"/>
              </w:rPr>
            </w:pPr>
            <w:r w:rsidRPr="00701F32">
              <w:rPr>
                <w:rFonts w:ascii="Arial" w:hAnsi="Arial" w:cs="Arial"/>
                <w:b/>
                <w:sz w:val="16"/>
                <w:szCs w:val="16"/>
              </w:rPr>
              <w:t>39.186</w:t>
            </w:r>
            <w:r w:rsidR="008A4D2F" w:rsidRPr="00701F32">
              <w:rPr>
                <w:rFonts w:ascii="Arial" w:hAnsi="Arial" w:cs="Arial"/>
                <w:b/>
                <w:sz w:val="16"/>
                <w:szCs w:val="16"/>
              </w:rPr>
              <w:t xml:space="preserve"> </w:t>
            </w:r>
          </w:p>
        </w:tc>
        <w:tc>
          <w:tcPr>
            <w:tcW w:w="1464" w:type="dxa"/>
            <w:tcBorders>
              <w:top w:val="nil"/>
              <w:left w:val="nil"/>
              <w:bottom w:val="single" w:sz="4" w:space="0" w:color="auto"/>
              <w:right w:val="single" w:sz="4" w:space="0" w:color="auto"/>
            </w:tcBorders>
            <w:shd w:val="clear" w:color="000000" w:fill="FFFFFF"/>
            <w:noWrap/>
            <w:vAlign w:val="bottom"/>
          </w:tcPr>
          <w:p w14:paraId="4AF5A383" w14:textId="6E0CF1C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4C8EAAF0" w14:textId="1B6BCBD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4.099.898 </w:t>
            </w:r>
          </w:p>
        </w:tc>
        <w:tc>
          <w:tcPr>
            <w:tcW w:w="1042" w:type="dxa"/>
            <w:tcBorders>
              <w:top w:val="nil"/>
              <w:left w:val="nil"/>
              <w:bottom w:val="single" w:sz="4" w:space="0" w:color="auto"/>
              <w:right w:val="single" w:sz="4" w:space="0" w:color="auto"/>
            </w:tcBorders>
            <w:shd w:val="clear" w:color="000000" w:fill="FFFFFF"/>
            <w:noWrap/>
            <w:vAlign w:val="bottom"/>
          </w:tcPr>
          <w:p w14:paraId="18408491" w14:textId="1176C40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7E2A7E2C" w14:textId="144B213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3F375379" w14:textId="3A8F76D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4.139.084 </w:t>
            </w:r>
          </w:p>
        </w:tc>
      </w:tr>
      <w:tr w:rsidR="008A4D2F" w:rsidRPr="00701F32" w14:paraId="0CC2DD1D" w14:textId="77777777" w:rsidTr="00701F32">
        <w:trPr>
          <w:trHeight w:val="329"/>
        </w:trPr>
        <w:tc>
          <w:tcPr>
            <w:tcW w:w="3261" w:type="dxa"/>
            <w:tcBorders>
              <w:top w:val="nil"/>
              <w:left w:val="single" w:sz="4" w:space="0" w:color="auto"/>
              <w:bottom w:val="single" w:sz="4" w:space="0" w:color="363639"/>
              <w:right w:val="single" w:sz="4" w:space="0" w:color="363639"/>
            </w:tcBorders>
            <w:shd w:val="clear" w:color="000000" w:fill="FFFFFF"/>
          </w:tcPr>
          <w:p w14:paraId="7551CA32"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5DC6C58A" w14:textId="2CCDFA1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2D953632" w14:textId="74FF40E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231.263</w:t>
            </w:r>
          </w:p>
        </w:tc>
        <w:tc>
          <w:tcPr>
            <w:tcW w:w="1318" w:type="dxa"/>
            <w:tcBorders>
              <w:top w:val="nil"/>
              <w:left w:val="nil"/>
              <w:bottom w:val="single" w:sz="4" w:space="0" w:color="auto"/>
              <w:right w:val="single" w:sz="4" w:space="0" w:color="auto"/>
            </w:tcBorders>
            <w:shd w:val="clear" w:color="000000" w:fill="FFFFFF"/>
            <w:noWrap/>
            <w:vAlign w:val="bottom"/>
          </w:tcPr>
          <w:p w14:paraId="504CE7B1" w14:textId="4049B514"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2.310.774 </w:t>
            </w:r>
          </w:p>
        </w:tc>
        <w:tc>
          <w:tcPr>
            <w:tcW w:w="1042" w:type="dxa"/>
            <w:tcBorders>
              <w:top w:val="nil"/>
              <w:left w:val="nil"/>
              <w:bottom w:val="single" w:sz="4" w:space="0" w:color="auto"/>
              <w:right w:val="single" w:sz="4" w:space="0" w:color="auto"/>
            </w:tcBorders>
            <w:shd w:val="clear" w:color="000000" w:fill="FFFFFF"/>
            <w:noWrap/>
            <w:vAlign w:val="bottom"/>
          </w:tcPr>
          <w:p w14:paraId="31614EBD" w14:textId="66B49BC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118.674</w:t>
            </w:r>
          </w:p>
        </w:tc>
        <w:tc>
          <w:tcPr>
            <w:tcW w:w="1105" w:type="dxa"/>
            <w:tcBorders>
              <w:top w:val="nil"/>
              <w:left w:val="nil"/>
              <w:bottom w:val="single" w:sz="4" w:space="0" w:color="auto"/>
              <w:right w:val="single" w:sz="4" w:space="0" w:color="auto"/>
            </w:tcBorders>
            <w:shd w:val="clear" w:color="000000" w:fill="FFFFFF"/>
            <w:noWrap/>
            <w:vAlign w:val="bottom"/>
          </w:tcPr>
          <w:p w14:paraId="7D166F8A" w14:textId="39C80CA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60C1FAE4" w14:textId="00E93A9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2.660.711 </w:t>
            </w:r>
          </w:p>
        </w:tc>
      </w:tr>
      <w:tr w:rsidR="008A4D2F" w:rsidRPr="00701F32" w14:paraId="5F5C4094" w14:textId="77777777" w:rsidTr="00701F32">
        <w:trPr>
          <w:trHeight w:val="299"/>
        </w:trPr>
        <w:tc>
          <w:tcPr>
            <w:tcW w:w="3261" w:type="dxa"/>
            <w:tcBorders>
              <w:top w:val="nil"/>
              <w:left w:val="single" w:sz="4" w:space="0" w:color="auto"/>
              <w:bottom w:val="single" w:sz="4" w:space="0" w:color="363639"/>
              <w:right w:val="single" w:sz="4" w:space="0" w:color="363639"/>
            </w:tcBorders>
            <w:shd w:val="clear" w:color="000000" w:fill="FFFFFF"/>
          </w:tcPr>
          <w:p w14:paraId="2AA964AC"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3F87EABC" w14:textId="0E797DDD"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5C44F660" w14:textId="65DE33F1"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5CACB709" w14:textId="57E13F1D"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271.184 </w:t>
            </w:r>
          </w:p>
        </w:tc>
        <w:tc>
          <w:tcPr>
            <w:tcW w:w="1042" w:type="dxa"/>
            <w:tcBorders>
              <w:top w:val="nil"/>
              <w:left w:val="nil"/>
              <w:bottom w:val="single" w:sz="4" w:space="0" w:color="auto"/>
              <w:right w:val="single" w:sz="4" w:space="0" w:color="auto"/>
            </w:tcBorders>
            <w:shd w:val="clear" w:color="000000" w:fill="FFFFFF"/>
            <w:noWrap/>
            <w:vAlign w:val="bottom"/>
          </w:tcPr>
          <w:p w14:paraId="68F6BF44" w14:textId="773F251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26.671</w:t>
            </w:r>
          </w:p>
        </w:tc>
        <w:tc>
          <w:tcPr>
            <w:tcW w:w="1105" w:type="dxa"/>
            <w:tcBorders>
              <w:top w:val="nil"/>
              <w:left w:val="nil"/>
              <w:bottom w:val="single" w:sz="4" w:space="0" w:color="auto"/>
              <w:right w:val="single" w:sz="4" w:space="0" w:color="auto"/>
            </w:tcBorders>
            <w:shd w:val="clear" w:color="000000" w:fill="FFFFFF"/>
            <w:noWrap/>
            <w:vAlign w:val="bottom"/>
          </w:tcPr>
          <w:p w14:paraId="5D147C3A" w14:textId="4C7F7A6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75EEA5D1" w14:textId="45D5710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297.855 </w:t>
            </w:r>
          </w:p>
        </w:tc>
      </w:tr>
      <w:tr w:rsidR="008A4D2F" w:rsidRPr="00701F32" w14:paraId="23E6FBFA" w14:textId="77777777" w:rsidTr="00701F32">
        <w:trPr>
          <w:trHeight w:val="239"/>
        </w:trPr>
        <w:tc>
          <w:tcPr>
            <w:tcW w:w="3261" w:type="dxa"/>
            <w:tcBorders>
              <w:top w:val="nil"/>
              <w:left w:val="single" w:sz="4" w:space="0" w:color="auto"/>
              <w:bottom w:val="single" w:sz="4" w:space="0" w:color="363639"/>
              <w:right w:val="single" w:sz="4" w:space="0" w:color="363639"/>
            </w:tcBorders>
            <w:shd w:val="clear" w:color="000000" w:fill="FFFFFF"/>
          </w:tcPr>
          <w:p w14:paraId="71265F21"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681C6E5F" w14:textId="285F0D9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190</w:t>
            </w:r>
          </w:p>
        </w:tc>
        <w:tc>
          <w:tcPr>
            <w:tcW w:w="1464" w:type="dxa"/>
            <w:tcBorders>
              <w:top w:val="nil"/>
              <w:left w:val="nil"/>
              <w:bottom w:val="single" w:sz="4" w:space="0" w:color="auto"/>
              <w:right w:val="single" w:sz="4" w:space="0" w:color="auto"/>
            </w:tcBorders>
            <w:shd w:val="clear" w:color="000000" w:fill="FFFFFF"/>
            <w:noWrap/>
            <w:vAlign w:val="bottom"/>
          </w:tcPr>
          <w:p w14:paraId="25C3163E" w14:textId="6198213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1.426</w:t>
            </w:r>
          </w:p>
        </w:tc>
        <w:tc>
          <w:tcPr>
            <w:tcW w:w="1318" w:type="dxa"/>
            <w:tcBorders>
              <w:top w:val="nil"/>
              <w:left w:val="nil"/>
              <w:bottom w:val="single" w:sz="4" w:space="0" w:color="auto"/>
              <w:right w:val="single" w:sz="4" w:space="0" w:color="auto"/>
            </w:tcBorders>
            <w:shd w:val="clear" w:color="000000" w:fill="FFFFFF"/>
            <w:noWrap/>
            <w:vAlign w:val="bottom"/>
          </w:tcPr>
          <w:p w14:paraId="4839194C" w14:textId="3C91682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6.762 </w:t>
            </w:r>
          </w:p>
        </w:tc>
        <w:tc>
          <w:tcPr>
            <w:tcW w:w="1042" w:type="dxa"/>
            <w:tcBorders>
              <w:top w:val="nil"/>
              <w:left w:val="nil"/>
              <w:bottom w:val="single" w:sz="4" w:space="0" w:color="auto"/>
              <w:right w:val="single" w:sz="4" w:space="0" w:color="auto"/>
            </w:tcBorders>
            <w:shd w:val="clear" w:color="000000" w:fill="FFFFFF"/>
            <w:noWrap/>
            <w:vAlign w:val="bottom"/>
          </w:tcPr>
          <w:p w14:paraId="518C4B1B" w14:textId="3154B75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05" w:type="dxa"/>
            <w:tcBorders>
              <w:top w:val="nil"/>
              <w:left w:val="nil"/>
              <w:bottom w:val="single" w:sz="4" w:space="0" w:color="auto"/>
              <w:right w:val="single" w:sz="4" w:space="0" w:color="auto"/>
            </w:tcBorders>
            <w:shd w:val="clear" w:color="000000" w:fill="FFFFFF"/>
            <w:noWrap/>
            <w:vAlign w:val="bottom"/>
          </w:tcPr>
          <w:p w14:paraId="0E2A2420" w14:textId="1A0A8064"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01B8A6E3" w14:textId="435A3EDA"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8.378 </w:t>
            </w:r>
          </w:p>
        </w:tc>
      </w:tr>
      <w:tr w:rsidR="008A4D2F" w:rsidRPr="00701F32" w14:paraId="4C54D381" w14:textId="77777777" w:rsidTr="00701F32">
        <w:trPr>
          <w:trHeight w:val="293"/>
        </w:trPr>
        <w:tc>
          <w:tcPr>
            <w:tcW w:w="3261" w:type="dxa"/>
            <w:tcBorders>
              <w:top w:val="nil"/>
              <w:left w:val="single" w:sz="4" w:space="0" w:color="auto"/>
              <w:bottom w:val="single" w:sz="4" w:space="0" w:color="363639"/>
              <w:right w:val="single" w:sz="4" w:space="0" w:color="363639"/>
            </w:tcBorders>
            <w:shd w:val="clear" w:color="000000" w:fill="FFFFFF"/>
          </w:tcPr>
          <w:p w14:paraId="6F5D716C"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6ED537A4" w14:textId="782A0FAD"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04C46EB7" w14:textId="00A861ED"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7ED817C0" w14:textId="5884E759"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1.642.080 </w:t>
            </w:r>
          </w:p>
        </w:tc>
        <w:tc>
          <w:tcPr>
            <w:tcW w:w="1042" w:type="dxa"/>
            <w:tcBorders>
              <w:top w:val="nil"/>
              <w:left w:val="nil"/>
              <w:bottom w:val="single" w:sz="4" w:space="0" w:color="auto"/>
              <w:right w:val="single" w:sz="4" w:space="0" w:color="auto"/>
            </w:tcBorders>
            <w:shd w:val="clear" w:color="000000" w:fill="FFFFFF"/>
            <w:noWrap/>
            <w:vAlign w:val="bottom"/>
          </w:tcPr>
          <w:p w14:paraId="43142692" w14:textId="7DAC246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10.406</w:t>
            </w:r>
          </w:p>
        </w:tc>
        <w:tc>
          <w:tcPr>
            <w:tcW w:w="1105" w:type="dxa"/>
            <w:tcBorders>
              <w:top w:val="nil"/>
              <w:left w:val="nil"/>
              <w:bottom w:val="single" w:sz="4" w:space="0" w:color="auto"/>
              <w:right w:val="single" w:sz="4" w:space="0" w:color="auto"/>
            </w:tcBorders>
            <w:shd w:val="clear" w:color="000000" w:fill="FFFFFF"/>
            <w:noWrap/>
            <w:vAlign w:val="bottom"/>
          </w:tcPr>
          <w:p w14:paraId="771898C3" w14:textId="4FFCC8C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-1.601.283</w:t>
            </w:r>
          </w:p>
        </w:tc>
        <w:tc>
          <w:tcPr>
            <w:tcW w:w="1179" w:type="dxa"/>
            <w:tcBorders>
              <w:top w:val="nil"/>
              <w:left w:val="nil"/>
              <w:bottom w:val="single" w:sz="4" w:space="0" w:color="auto"/>
              <w:right w:val="single" w:sz="4" w:space="0" w:color="auto"/>
            </w:tcBorders>
            <w:shd w:val="clear" w:color="000000" w:fill="FFFFFF"/>
            <w:noWrap/>
            <w:vAlign w:val="bottom"/>
          </w:tcPr>
          <w:p w14:paraId="05A955FF" w14:textId="4AB58C45"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51.203 </w:t>
            </w:r>
          </w:p>
        </w:tc>
      </w:tr>
      <w:tr w:rsidR="008A4D2F" w:rsidRPr="00701F32" w14:paraId="0BDEC5EE"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6D42DAB8"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38CDC366" w14:textId="31D315E6"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48CDF1F3" w14:textId="09FBE27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1FC7E593" w14:textId="405F5477"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1.319.645 </w:t>
            </w:r>
          </w:p>
        </w:tc>
        <w:tc>
          <w:tcPr>
            <w:tcW w:w="1042" w:type="dxa"/>
            <w:tcBorders>
              <w:top w:val="nil"/>
              <w:left w:val="nil"/>
              <w:bottom w:val="single" w:sz="4" w:space="0" w:color="auto"/>
              <w:right w:val="single" w:sz="4" w:space="0" w:color="auto"/>
            </w:tcBorders>
            <w:shd w:val="clear" w:color="000000" w:fill="FFFFFF"/>
            <w:noWrap/>
            <w:vAlign w:val="bottom"/>
          </w:tcPr>
          <w:p w14:paraId="52BEFA43" w14:textId="2438246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42.648</w:t>
            </w:r>
          </w:p>
        </w:tc>
        <w:tc>
          <w:tcPr>
            <w:tcW w:w="1105" w:type="dxa"/>
            <w:tcBorders>
              <w:top w:val="nil"/>
              <w:left w:val="nil"/>
              <w:bottom w:val="single" w:sz="4" w:space="0" w:color="auto"/>
              <w:right w:val="single" w:sz="4" w:space="0" w:color="auto"/>
            </w:tcBorders>
            <w:shd w:val="clear" w:color="000000" w:fill="FFFFFF"/>
            <w:noWrap/>
            <w:vAlign w:val="bottom"/>
          </w:tcPr>
          <w:p w14:paraId="0393CF95" w14:textId="18D8A49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588F488A" w14:textId="5C94E335"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1.362.293 </w:t>
            </w:r>
          </w:p>
        </w:tc>
      </w:tr>
      <w:tr w:rsidR="008A4D2F" w:rsidRPr="00701F32" w14:paraId="17E5C7EA"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7C5BEF3C"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6DF5BE57" w14:textId="56DD5A1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0793FF07" w14:textId="04D53B0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318" w:type="dxa"/>
            <w:tcBorders>
              <w:top w:val="nil"/>
              <w:left w:val="nil"/>
              <w:bottom w:val="single" w:sz="4" w:space="0" w:color="auto"/>
              <w:right w:val="single" w:sz="4" w:space="0" w:color="auto"/>
            </w:tcBorders>
            <w:shd w:val="clear" w:color="000000" w:fill="FFFFFF"/>
            <w:noWrap/>
            <w:vAlign w:val="bottom"/>
          </w:tcPr>
          <w:p w14:paraId="53AB66EA" w14:textId="1D4E86F5"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247.304 </w:t>
            </w:r>
          </w:p>
        </w:tc>
        <w:tc>
          <w:tcPr>
            <w:tcW w:w="1042" w:type="dxa"/>
            <w:tcBorders>
              <w:top w:val="nil"/>
              <w:left w:val="nil"/>
              <w:bottom w:val="single" w:sz="4" w:space="0" w:color="auto"/>
              <w:right w:val="single" w:sz="4" w:space="0" w:color="auto"/>
            </w:tcBorders>
            <w:shd w:val="clear" w:color="000000" w:fill="FFFFFF"/>
            <w:noWrap/>
            <w:vAlign w:val="bottom"/>
          </w:tcPr>
          <w:p w14:paraId="719801C3" w14:textId="689C225F"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43.122</w:t>
            </w:r>
          </w:p>
        </w:tc>
        <w:tc>
          <w:tcPr>
            <w:tcW w:w="1105" w:type="dxa"/>
            <w:tcBorders>
              <w:top w:val="nil"/>
              <w:left w:val="nil"/>
              <w:bottom w:val="single" w:sz="4" w:space="0" w:color="auto"/>
              <w:right w:val="single" w:sz="4" w:space="0" w:color="auto"/>
            </w:tcBorders>
            <w:shd w:val="clear" w:color="000000" w:fill="FFFFFF"/>
            <w:noWrap/>
            <w:vAlign w:val="bottom"/>
          </w:tcPr>
          <w:p w14:paraId="6F887F1D" w14:textId="48DF7E4A"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62815D51" w14:textId="37852534"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290.426 </w:t>
            </w:r>
          </w:p>
        </w:tc>
      </w:tr>
      <w:tr w:rsidR="008A4D2F" w:rsidRPr="00701F32" w14:paraId="0046F723" w14:textId="77777777" w:rsidTr="00701F32">
        <w:trPr>
          <w:trHeight w:val="254"/>
        </w:trPr>
        <w:tc>
          <w:tcPr>
            <w:tcW w:w="3261" w:type="dxa"/>
            <w:tcBorders>
              <w:top w:val="nil"/>
              <w:left w:val="single" w:sz="4" w:space="0" w:color="auto"/>
              <w:bottom w:val="single" w:sz="4" w:space="0" w:color="363639"/>
              <w:right w:val="single" w:sz="4" w:space="0" w:color="363639"/>
            </w:tcBorders>
            <w:shd w:val="clear" w:color="000000" w:fill="FFFFFF"/>
          </w:tcPr>
          <w:p w14:paraId="65332D87"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776685DB" w14:textId="09F1031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464" w:type="dxa"/>
            <w:tcBorders>
              <w:top w:val="nil"/>
              <w:left w:val="nil"/>
              <w:bottom w:val="single" w:sz="4" w:space="0" w:color="auto"/>
              <w:right w:val="single" w:sz="4" w:space="0" w:color="auto"/>
            </w:tcBorders>
            <w:shd w:val="clear" w:color="000000" w:fill="FFFFFF"/>
            <w:noWrap/>
            <w:vAlign w:val="bottom"/>
          </w:tcPr>
          <w:p w14:paraId="332A1F64" w14:textId="7E0FB8CE"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3.770</w:t>
            </w:r>
          </w:p>
        </w:tc>
        <w:tc>
          <w:tcPr>
            <w:tcW w:w="1318" w:type="dxa"/>
            <w:tcBorders>
              <w:top w:val="nil"/>
              <w:left w:val="nil"/>
              <w:bottom w:val="single" w:sz="4" w:space="0" w:color="auto"/>
              <w:right w:val="single" w:sz="4" w:space="0" w:color="auto"/>
            </w:tcBorders>
            <w:shd w:val="clear" w:color="000000" w:fill="FFFFFF"/>
            <w:noWrap/>
            <w:vAlign w:val="bottom"/>
          </w:tcPr>
          <w:p w14:paraId="72030A7A" w14:textId="58C3BDC3"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43.638 </w:t>
            </w:r>
          </w:p>
        </w:tc>
        <w:tc>
          <w:tcPr>
            <w:tcW w:w="1042" w:type="dxa"/>
            <w:tcBorders>
              <w:top w:val="nil"/>
              <w:left w:val="nil"/>
              <w:bottom w:val="single" w:sz="4" w:space="0" w:color="auto"/>
              <w:right w:val="single" w:sz="4" w:space="0" w:color="auto"/>
            </w:tcBorders>
            <w:shd w:val="clear" w:color="000000" w:fill="FFFFFF"/>
            <w:noWrap/>
            <w:vAlign w:val="bottom"/>
          </w:tcPr>
          <w:p w14:paraId="79B5F1A3" w14:textId="6853CE7C"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217.282</w:t>
            </w:r>
          </w:p>
        </w:tc>
        <w:tc>
          <w:tcPr>
            <w:tcW w:w="1105" w:type="dxa"/>
            <w:tcBorders>
              <w:top w:val="nil"/>
              <w:left w:val="nil"/>
              <w:bottom w:val="single" w:sz="4" w:space="0" w:color="auto"/>
              <w:right w:val="single" w:sz="4" w:space="0" w:color="auto"/>
            </w:tcBorders>
            <w:shd w:val="clear" w:color="000000" w:fill="FFFFFF"/>
            <w:noWrap/>
            <w:vAlign w:val="bottom"/>
          </w:tcPr>
          <w:p w14:paraId="5403FC37" w14:textId="7225536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37EFA984" w14:textId="5EAC78E4"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264.690 </w:t>
            </w:r>
          </w:p>
        </w:tc>
      </w:tr>
      <w:tr w:rsidR="008A4D2F" w:rsidRPr="00701F32" w14:paraId="697FBBC0" w14:textId="77777777" w:rsidTr="00701F32">
        <w:trPr>
          <w:trHeight w:val="224"/>
        </w:trPr>
        <w:tc>
          <w:tcPr>
            <w:tcW w:w="3261" w:type="dxa"/>
            <w:tcBorders>
              <w:top w:val="nil"/>
              <w:left w:val="single" w:sz="4" w:space="0" w:color="auto"/>
              <w:bottom w:val="single" w:sz="4" w:space="0" w:color="363639"/>
              <w:right w:val="single" w:sz="4" w:space="0" w:color="363639"/>
            </w:tcBorders>
            <w:shd w:val="clear" w:color="000000" w:fill="FFFFFF"/>
          </w:tcPr>
          <w:p w14:paraId="3D83A673" w14:textId="77777777" w:rsidR="008A4D2F" w:rsidRPr="00701F32" w:rsidRDefault="008A4D2F" w:rsidP="008A4D2F">
            <w:pPr>
              <w:ind w:left="-70" w:firstLine="70"/>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361" w:type="dxa"/>
            <w:tcBorders>
              <w:top w:val="nil"/>
              <w:left w:val="single" w:sz="4" w:space="0" w:color="auto"/>
              <w:bottom w:val="single" w:sz="4" w:space="0" w:color="auto"/>
              <w:right w:val="single" w:sz="4" w:space="0" w:color="auto"/>
            </w:tcBorders>
            <w:shd w:val="clear" w:color="000000" w:fill="FFFFFF"/>
            <w:noWrap/>
            <w:vAlign w:val="bottom"/>
          </w:tcPr>
          <w:p w14:paraId="7E954E1C" w14:textId="19A6B360"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8.840</w:t>
            </w:r>
          </w:p>
        </w:tc>
        <w:tc>
          <w:tcPr>
            <w:tcW w:w="1464" w:type="dxa"/>
            <w:tcBorders>
              <w:top w:val="nil"/>
              <w:left w:val="nil"/>
              <w:bottom w:val="single" w:sz="4" w:space="0" w:color="auto"/>
              <w:right w:val="single" w:sz="4" w:space="0" w:color="auto"/>
            </w:tcBorders>
            <w:shd w:val="clear" w:color="000000" w:fill="FFFFFF"/>
            <w:noWrap/>
            <w:vAlign w:val="bottom"/>
          </w:tcPr>
          <w:p w14:paraId="40E28993" w14:textId="2B3C169C"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160.120</w:t>
            </w:r>
          </w:p>
        </w:tc>
        <w:tc>
          <w:tcPr>
            <w:tcW w:w="1318" w:type="dxa"/>
            <w:tcBorders>
              <w:top w:val="nil"/>
              <w:left w:val="nil"/>
              <w:bottom w:val="single" w:sz="4" w:space="0" w:color="auto"/>
              <w:right w:val="single" w:sz="4" w:space="0" w:color="auto"/>
            </w:tcBorders>
            <w:shd w:val="clear" w:color="000000" w:fill="FFFFFF"/>
            <w:noWrap/>
            <w:vAlign w:val="bottom"/>
          </w:tcPr>
          <w:p w14:paraId="4DC49A8D" w14:textId="0D17D06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717.088 </w:t>
            </w:r>
          </w:p>
        </w:tc>
        <w:tc>
          <w:tcPr>
            <w:tcW w:w="1042" w:type="dxa"/>
            <w:tcBorders>
              <w:top w:val="nil"/>
              <w:left w:val="nil"/>
              <w:bottom w:val="single" w:sz="4" w:space="0" w:color="auto"/>
              <w:right w:val="single" w:sz="4" w:space="0" w:color="auto"/>
            </w:tcBorders>
            <w:shd w:val="clear" w:color="000000" w:fill="FFFFFF"/>
            <w:noWrap/>
            <w:vAlign w:val="bottom"/>
          </w:tcPr>
          <w:p w14:paraId="0A69FE60" w14:textId="65A1EC1B"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31.486</w:t>
            </w:r>
          </w:p>
        </w:tc>
        <w:tc>
          <w:tcPr>
            <w:tcW w:w="1105" w:type="dxa"/>
            <w:tcBorders>
              <w:top w:val="nil"/>
              <w:left w:val="nil"/>
              <w:bottom w:val="single" w:sz="4" w:space="0" w:color="auto"/>
              <w:right w:val="single" w:sz="4" w:space="0" w:color="auto"/>
            </w:tcBorders>
            <w:shd w:val="clear" w:color="000000" w:fill="FFFFFF"/>
            <w:noWrap/>
            <w:vAlign w:val="bottom"/>
          </w:tcPr>
          <w:p w14:paraId="1F50529D" w14:textId="0FEBC3F8"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w:t>
            </w:r>
          </w:p>
        </w:tc>
        <w:tc>
          <w:tcPr>
            <w:tcW w:w="1179" w:type="dxa"/>
            <w:tcBorders>
              <w:top w:val="nil"/>
              <w:left w:val="nil"/>
              <w:bottom w:val="single" w:sz="4" w:space="0" w:color="auto"/>
              <w:right w:val="single" w:sz="4" w:space="0" w:color="auto"/>
            </w:tcBorders>
            <w:shd w:val="clear" w:color="000000" w:fill="FFFFFF"/>
            <w:noWrap/>
            <w:vAlign w:val="bottom"/>
          </w:tcPr>
          <w:p w14:paraId="677E0B2D" w14:textId="6F017822" w:rsidR="008A4D2F"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 917.534 </w:t>
            </w:r>
          </w:p>
        </w:tc>
      </w:tr>
      <w:tr w:rsidR="00C35FF3" w:rsidRPr="00701F32" w14:paraId="1601951C" w14:textId="77777777" w:rsidTr="00701F32">
        <w:trPr>
          <w:trHeight w:val="224"/>
        </w:trPr>
        <w:tc>
          <w:tcPr>
            <w:tcW w:w="3261" w:type="dxa"/>
            <w:tcBorders>
              <w:top w:val="single" w:sz="4" w:space="0" w:color="auto"/>
              <w:left w:val="single" w:sz="4" w:space="0" w:color="auto"/>
              <w:bottom w:val="single" w:sz="4" w:space="0" w:color="auto"/>
              <w:right w:val="single" w:sz="4" w:space="0" w:color="363639"/>
            </w:tcBorders>
            <w:shd w:val="clear" w:color="000000" w:fill="FFFFFF"/>
            <w:vAlign w:val="center"/>
          </w:tcPr>
          <w:p w14:paraId="613D6F1D" w14:textId="77777777" w:rsidR="00C35FF3" w:rsidRPr="00701F32" w:rsidRDefault="00C35FF3" w:rsidP="00C35FF3">
            <w:pPr>
              <w:ind w:left="-70" w:firstLine="70"/>
              <w:rPr>
                <w:rFonts w:ascii="Arial" w:hAnsi="Arial" w:cs="Arial"/>
                <w:b/>
                <w:bCs/>
                <w:sz w:val="16"/>
                <w:szCs w:val="16"/>
                <w:lang w:eastAsia="es-AR"/>
              </w:rPr>
            </w:pPr>
            <w:r w:rsidRPr="00701F32">
              <w:rPr>
                <w:rFonts w:ascii="Arial" w:hAnsi="Arial" w:cs="Arial"/>
                <w:b/>
                <w:bCs/>
                <w:sz w:val="16"/>
                <w:szCs w:val="16"/>
                <w:lang w:eastAsia="es-AR"/>
              </w:rPr>
              <w:t>TOTAL ACTIVO</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C8886" w14:textId="613E605F" w:rsidR="00C35FF3"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43.844.893 </w:t>
            </w:r>
          </w:p>
        </w:tc>
        <w:tc>
          <w:tcPr>
            <w:tcW w:w="1464" w:type="dxa"/>
            <w:tcBorders>
              <w:top w:val="single" w:sz="4" w:space="0" w:color="auto"/>
              <w:left w:val="nil"/>
              <w:bottom w:val="single" w:sz="4" w:space="0" w:color="auto"/>
              <w:right w:val="single" w:sz="4" w:space="0" w:color="auto"/>
            </w:tcBorders>
            <w:shd w:val="clear" w:color="000000" w:fill="FFFFFF"/>
            <w:noWrap/>
            <w:vAlign w:val="bottom"/>
          </w:tcPr>
          <w:p w14:paraId="036E401F" w14:textId="00174BFC" w:rsidR="00C35FF3" w:rsidRPr="00701F32" w:rsidRDefault="008A4D2F">
            <w:pPr>
              <w:ind w:left="-70" w:firstLine="70"/>
              <w:jc w:val="right"/>
              <w:rPr>
                <w:rFonts w:ascii="Arial" w:hAnsi="Arial" w:cs="Arial"/>
                <w:b/>
                <w:sz w:val="16"/>
                <w:szCs w:val="16"/>
              </w:rPr>
            </w:pPr>
            <w:r w:rsidRPr="00701F32">
              <w:rPr>
                <w:rFonts w:ascii="Arial" w:hAnsi="Arial" w:cs="Arial"/>
                <w:b/>
                <w:sz w:val="16"/>
                <w:szCs w:val="16"/>
              </w:rPr>
              <w:t xml:space="preserve">35.905.399 </w:t>
            </w:r>
          </w:p>
        </w:tc>
        <w:tc>
          <w:tcPr>
            <w:tcW w:w="1318" w:type="dxa"/>
            <w:tcBorders>
              <w:top w:val="single" w:sz="4" w:space="0" w:color="auto"/>
              <w:left w:val="nil"/>
              <w:bottom w:val="single" w:sz="4" w:space="0" w:color="auto"/>
              <w:right w:val="single" w:sz="4" w:space="0" w:color="auto"/>
            </w:tcBorders>
            <w:shd w:val="clear" w:color="000000" w:fill="FFFFFF"/>
            <w:noWrap/>
            <w:vAlign w:val="bottom"/>
          </w:tcPr>
          <w:p w14:paraId="379E84A8" w14:textId="12FA7B53" w:rsidR="00C35FF3" w:rsidRPr="00701F32" w:rsidRDefault="008A4D2F">
            <w:pPr>
              <w:ind w:left="-70" w:firstLine="70"/>
              <w:jc w:val="right"/>
              <w:rPr>
                <w:rFonts w:ascii="Arial" w:hAnsi="Arial" w:cs="Arial"/>
                <w:b/>
                <w:sz w:val="16"/>
                <w:szCs w:val="16"/>
                <w:lang w:val="es-ES_tradnl"/>
              </w:rPr>
            </w:pPr>
            <w:r w:rsidRPr="00701F32">
              <w:rPr>
                <w:rFonts w:ascii="Arial" w:hAnsi="Arial" w:cs="Arial"/>
                <w:b/>
                <w:sz w:val="16"/>
                <w:szCs w:val="16"/>
              </w:rPr>
              <w:t>57.482.</w:t>
            </w:r>
            <w:r w:rsidR="005E7689" w:rsidRPr="00701F32">
              <w:rPr>
                <w:rFonts w:ascii="Arial" w:hAnsi="Arial" w:cs="Arial"/>
                <w:b/>
                <w:sz w:val="16"/>
                <w:szCs w:val="16"/>
              </w:rPr>
              <w:t xml:space="preserve">817 </w:t>
            </w:r>
          </w:p>
        </w:tc>
        <w:tc>
          <w:tcPr>
            <w:tcW w:w="1042" w:type="dxa"/>
            <w:tcBorders>
              <w:top w:val="single" w:sz="4" w:space="0" w:color="auto"/>
              <w:left w:val="nil"/>
              <w:bottom w:val="single" w:sz="4" w:space="0" w:color="auto"/>
              <w:right w:val="single" w:sz="4" w:space="0" w:color="auto"/>
            </w:tcBorders>
            <w:shd w:val="clear" w:color="000000" w:fill="FFFFFF"/>
            <w:noWrap/>
            <w:vAlign w:val="bottom"/>
          </w:tcPr>
          <w:p w14:paraId="5753FEFD" w14:textId="38D137F0" w:rsidR="00C35FF3" w:rsidRPr="00701F32" w:rsidRDefault="00C35FF3">
            <w:pPr>
              <w:ind w:left="-70" w:firstLine="70"/>
              <w:jc w:val="right"/>
              <w:rPr>
                <w:rFonts w:ascii="Arial" w:hAnsi="Arial" w:cs="Arial"/>
                <w:b/>
                <w:sz w:val="16"/>
                <w:szCs w:val="16"/>
              </w:rPr>
            </w:pPr>
            <w:r w:rsidRPr="00701F32">
              <w:rPr>
                <w:rFonts w:ascii="Arial" w:hAnsi="Arial" w:cs="Arial"/>
                <w:b/>
                <w:sz w:val="16"/>
                <w:szCs w:val="16"/>
              </w:rPr>
              <w:t>8.320.823</w:t>
            </w:r>
          </w:p>
        </w:tc>
        <w:tc>
          <w:tcPr>
            <w:tcW w:w="1105" w:type="dxa"/>
            <w:tcBorders>
              <w:top w:val="single" w:sz="4" w:space="0" w:color="auto"/>
              <w:left w:val="nil"/>
              <w:bottom w:val="single" w:sz="4" w:space="0" w:color="auto"/>
              <w:right w:val="single" w:sz="4" w:space="0" w:color="auto"/>
            </w:tcBorders>
            <w:shd w:val="clear" w:color="000000" w:fill="FFFFFF"/>
            <w:noWrap/>
            <w:vAlign w:val="bottom"/>
          </w:tcPr>
          <w:p w14:paraId="4C6A2792" w14:textId="4D5BC775" w:rsidR="00C35FF3" w:rsidRPr="00701F32" w:rsidRDefault="00C35FF3">
            <w:pPr>
              <w:ind w:left="-70" w:firstLine="70"/>
              <w:jc w:val="right"/>
              <w:rPr>
                <w:rFonts w:ascii="Arial" w:hAnsi="Arial" w:cs="Arial"/>
                <w:b/>
                <w:sz w:val="16"/>
                <w:szCs w:val="16"/>
              </w:rPr>
            </w:pPr>
            <w:r w:rsidRPr="00701F32">
              <w:rPr>
                <w:rFonts w:ascii="Arial" w:hAnsi="Arial" w:cs="Arial"/>
                <w:b/>
                <w:sz w:val="16"/>
                <w:szCs w:val="16"/>
              </w:rPr>
              <w:t>-5.873.961</w:t>
            </w:r>
          </w:p>
        </w:tc>
        <w:tc>
          <w:tcPr>
            <w:tcW w:w="1179" w:type="dxa"/>
            <w:tcBorders>
              <w:top w:val="single" w:sz="4" w:space="0" w:color="auto"/>
              <w:left w:val="nil"/>
              <w:bottom w:val="single" w:sz="4" w:space="0" w:color="auto"/>
              <w:right w:val="single" w:sz="4" w:space="0" w:color="auto"/>
            </w:tcBorders>
            <w:shd w:val="clear" w:color="000000" w:fill="FFFFFF"/>
            <w:noWrap/>
            <w:vAlign w:val="bottom"/>
          </w:tcPr>
          <w:p w14:paraId="1F7CE8F4" w14:textId="2E59E42A" w:rsidR="00C35FF3" w:rsidRPr="00701F32" w:rsidRDefault="008A4D2F">
            <w:pPr>
              <w:ind w:left="-70" w:firstLine="70"/>
              <w:jc w:val="right"/>
              <w:rPr>
                <w:rFonts w:ascii="Arial" w:hAnsi="Arial" w:cs="Arial"/>
                <w:b/>
                <w:sz w:val="16"/>
                <w:szCs w:val="16"/>
                <w:lang w:val="es-ES_tradnl"/>
              </w:rPr>
            </w:pPr>
            <w:r w:rsidRPr="00701F32">
              <w:rPr>
                <w:rFonts w:ascii="Arial" w:hAnsi="Arial" w:cs="Arial"/>
                <w:b/>
                <w:sz w:val="16"/>
                <w:szCs w:val="16"/>
              </w:rPr>
              <w:t>139.679.</w:t>
            </w:r>
            <w:r w:rsidR="005E7689" w:rsidRPr="00701F32">
              <w:rPr>
                <w:rFonts w:ascii="Arial" w:hAnsi="Arial" w:cs="Arial"/>
                <w:b/>
                <w:sz w:val="16"/>
                <w:szCs w:val="16"/>
              </w:rPr>
              <w:t xml:space="preserve">971 </w:t>
            </w:r>
          </w:p>
        </w:tc>
      </w:tr>
    </w:tbl>
    <w:p w14:paraId="55C21D0D" w14:textId="77777777" w:rsidR="00FD0DB2" w:rsidRPr="00701F32" w:rsidRDefault="00FD0DB2" w:rsidP="00A06BE9">
      <w:pPr>
        <w:spacing w:after="160" w:line="259" w:lineRule="auto"/>
        <w:jc w:val="both"/>
        <w:rPr>
          <w:rFonts w:ascii="Arial" w:eastAsia="Calibri" w:hAnsi="Arial" w:cs="Arial"/>
          <w:bCs/>
          <w:sz w:val="20"/>
        </w:rPr>
      </w:pPr>
    </w:p>
    <w:tbl>
      <w:tblPr>
        <w:tblW w:w="10734" w:type="dxa"/>
        <w:tblInd w:w="-356" w:type="dxa"/>
        <w:tblCellMar>
          <w:left w:w="70" w:type="dxa"/>
          <w:right w:w="70" w:type="dxa"/>
        </w:tblCellMar>
        <w:tblLook w:val="04A0" w:firstRow="1" w:lastRow="0" w:firstColumn="1" w:lastColumn="0" w:noHBand="0" w:noVBand="1"/>
      </w:tblPr>
      <w:tblGrid>
        <w:gridCol w:w="3286"/>
        <w:gridCol w:w="1237"/>
        <w:gridCol w:w="1373"/>
        <w:gridCol w:w="1374"/>
        <w:gridCol w:w="1066"/>
        <w:gridCol w:w="1099"/>
        <w:gridCol w:w="1299"/>
      </w:tblGrid>
      <w:tr w:rsidR="00EA7E21" w:rsidRPr="00701F32" w14:paraId="70E3685F" w14:textId="77777777" w:rsidTr="00701F32">
        <w:trPr>
          <w:trHeight w:val="445"/>
          <w:tblHeader/>
        </w:trPr>
        <w:tc>
          <w:tcPr>
            <w:tcW w:w="32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15950" w14:textId="77777777" w:rsidR="00FD0DB2" w:rsidRPr="00701F32" w:rsidRDefault="00FD0DB2" w:rsidP="003D3166">
            <w:pPr>
              <w:jc w:val="center"/>
              <w:rPr>
                <w:rFonts w:ascii="Arial" w:hAnsi="Arial" w:cs="Arial"/>
                <w:b/>
                <w:bCs/>
                <w:sz w:val="16"/>
                <w:szCs w:val="16"/>
                <w:lang w:eastAsia="es-AR"/>
              </w:rPr>
            </w:pPr>
            <w:r w:rsidRPr="00701F32">
              <w:rPr>
                <w:rFonts w:ascii="Arial" w:hAnsi="Arial" w:cs="Arial"/>
                <w:b/>
                <w:bCs/>
                <w:sz w:val="16"/>
                <w:szCs w:val="16"/>
                <w:lang w:eastAsia="es-AR"/>
              </w:rPr>
              <w:t>PASIVO al 30/0</w:t>
            </w:r>
            <w:r w:rsidR="00B848DD" w:rsidRPr="00701F32">
              <w:rPr>
                <w:rFonts w:ascii="Arial" w:hAnsi="Arial" w:cs="Arial"/>
                <w:b/>
                <w:bCs/>
                <w:sz w:val="16"/>
                <w:szCs w:val="16"/>
                <w:lang w:eastAsia="es-AR"/>
              </w:rPr>
              <w:t>9</w:t>
            </w:r>
            <w:r w:rsidRPr="00701F32">
              <w:rPr>
                <w:rFonts w:ascii="Arial" w:hAnsi="Arial" w:cs="Arial"/>
                <w:b/>
                <w:bCs/>
                <w:sz w:val="16"/>
                <w:szCs w:val="16"/>
                <w:lang w:eastAsia="es-AR"/>
              </w:rPr>
              <w:t>/2018</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A2C0084"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351CB978"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A04118D"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792229B5"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2EA6FCA4"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5736EB08" w14:textId="77777777" w:rsidR="00FD0DB2" w:rsidRPr="00701F32" w:rsidRDefault="00FD0DB2" w:rsidP="003D316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116EF0" w:rsidRPr="00701F32" w14:paraId="19220ACD"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hideMark/>
          </w:tcPr>
          <w:p w14:paraId="5F27F5E0" w14:textId="77777777" w:rsidR="00116EF0" w:rsidRPr="00701F32" w:rsidRDefault="00116EF0" w:rsidP="00116EF0">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237" w:type="dxa"/>
            <w:tcBorders>
              <w:top w:val="nil"/>
              <w:left w:val="nil"/>
              <w:bottom w:val="single" w:sz="4" w:space="0" w:color="auto"/>
              <w:right w:val="single" w:sz="4" w:space="0" w:color="auto"/>
            </w:tcBorders>
            <w:shd w:val="clear" w:color="auto" w:fill="auto"/>
            <w:noWrap/>
            <w:vAlign w:val="bottom"/>
            <w:hideMark/>
          </w:tcPr>
          <w:p w14:paraId="1B108BD6" w14:textId="4F695FFA" w:rsidR="00116EF0" w:rsidRPr="00701F32" w:rsidRDefault="00116EF0">
            <w:pPr>
              <w:jc w:val="right"/>
              <w:rPr>
                <w:rFonts w:ascii="Arial" w:hAnsi="Arial" w:cs="Arial"/>
                <w:b/>
                <w:sz w:val="16"/>
                <w:szCs w:val="16"/>
              </w:rPr>
            </w:pPr>
            <w:r w:rsidRPr="00701F32">
              <w:rPr>
                <w:rFonts w:ascii="Arial" w:hAnsi="Arial" w:cs="Arial"/>
                <w:b/>
                <w:sz w:val="16"/>
                <w:szCs w:val="16"/>
              </w:rPr>
              <w:t xml:space="preserve"> -10.239.836 </w:t>
            </w:r>
          </w:p>
        </w:tc>
        <w:tc>
          <w:tcPr>
            <w:tcW w:w="1373" w:type="dxa"/>
            <w:tcBorders>
              <w:top w:val="nil"/>
              <w:left w:val="nil"/>
              <w:bottom w:val="single" w:sz="4" w:space="0" w:color="auto"/>
              <w:right w:val="single" w:sz="4" w:space="0" w:color="auto"/>
            </w:tcBorders>
            <w:shd w:val="clear" w:color="auto" w:fill="auto"/>
            <w:noWrap/>
            <w:vAlign w:val="bottom"/>
            <w:hideMark/>
          </w:tcPr>
          <w:p w14:paraId="64D15513" w14:textId="7D874565" w:rsidR="00116EF0" w:rsidRPr="00701F32" w:rsidRDefault="00116EF0">
            <w:pPr>
              <w:jc w:val="right"/>
              <w:rPr>
                <w:rFonts w:ascii="Arial" w:hAnsi="Arial" w:cs="Arial"/>
                <w:b/>
                <w:sz w:val="16"/>
                <w:szCs w:val="16"/>
              </w:rPr>
            </w:pPr>
            <w:r w:rsidRPr="00701F32">
              <w:rPr>
                <w:rFonts w:ascii="Arial" w:hAnsi="Arial" w:cs="Arial"/>
                <w:b/>
                <w:sz w:val="16"/>
                <w:szCs w:val="16"/>
              </w:rPr>
              <w:t xml:space="preserve"> -47.286.923 </w:t>
            </w:r>
          </w:p>
        </w:tc>
        <w:tc>
          <w:tcPr>
            <w:tcW w:w="1374" w:type="dxa"/>
            <w:tcBorders>
              <w:top w:val="nil"/>
              <w:left w:val="nil"/>
              <w:bottom w:val="single" w:sz="4" w:space="0" w:color="auto"/>
              <w:right w:val="single" w:sz="4" w:space="0" w:color="auto"/>
            </w:tcBorders>
            <w:shd w:val="clear" w:color="auto" w:fill="auto"/>
            <w:noWrap/>
            <w:vAlign w:val="bottom"/>
            <w:hideMark/>
          </w:tcPr>
          <w:p w14:paraId="4DB9ACEB" w14:textId="08D91288" w:rsidR="00116EF0" w:rsidRPr="00701F32" w:rsidRDefault="00116EF0">
            <w:pPr>
              <w:jc w:val="right"/>
              <w:rPr>
                <w:rFonts w:ascii="Arial" w:hAnsi="Arial" w:cs="Arial"/>
                <w:b/>
                <w:sz w:val="16"/>
                <w:szCs w:val="16"/>
              </w:rPr>
            </w:pPr>
            <w:r w:rsidRPr="00701F32">
              <w:rPr>
                <w:rFonts w:ascii="Arial" w:hAnsi="Arial" w:cs="Arial"/>
                <w:b/>
                <w:sz w:val="16"/>
                <w:szCs w:val="16"/>
              </w:rPr>
              <w:t xml:space="preserve"> -39.859.934 </w:t>
            </w:r>
          </w:p>
        </w:tc>
        <w:tc>
          <w:tcPr>
            <w:tcW w:w="1066" w:type="dxa"/>
            <w:tcBorders>
              <w:top w:val="nil"/>
              <w:left w:val="nil"/>
              <w:bottom w:val="single" w:sz="4" w:space="0" w:color="auto"/>
              <w:right w:val="single" w:sz="4" w:space="0" w:color="auto"/>
            </w:tcBorders>
            <w:shd w:val="clear" w:color="auto" w:fill="auto"/>
            <w:noWrap/>
            <w:vAlign w:val="bottom"/>
            <w:hideMark/>
          </w:tcPr>
          <w:p w14:paraId="672B863D" w14:textId="02F5297E" w:rsidR="00116EF0" w:rsidRPr="00701F32" w:rsidRDefault="00116EF0">
            <w:pPr>
              <w:jc w:val="right"/>
              <w:rPr>
                <w:rFonts w:ascii="Arial" w:hAnsi="Arial" w:cs="Arial"/>
                <w:b/>
                <w:sz w:val="16"/>
                <w:szCs w:val="16"/>
              </w:rPr>
            </w:pPr>
            <w:r w:rsidRPr="00701F32">
              <w:rPr>
                <w:rFonts w:ascii="Arial" w:hAnsi="Arial" w:cs="Arial"/>
                <w:b/>
                <w:sz w:val="16"/>
                <w:szCs w:val="16"/>
              </w:rPr>
              <w:t xml:space="preserve"> -367.475 </w:t>
            </w:r>
          </w:p>
        </w:tc>
        <w:tc>
          <w:tcPr>
            <w:tcW w:w="1099" w:type="dxa"/>
            <w:tcBorders>
              <w:top w:val="nil"/>
              <w:left w:val="nil"/>
              <w:bottom w:val="single" w:sz="4" w:space="0" w:color="auto"/>
              <w:right w:val="single" w:sz="4" w:space="0" w:color="auto"/>
            </w:tcBorders>
            <w:shd w:val="clear" w:color="auto" w:fill="auto"/>
            <w:noWrap/>
            <w:vAlign w:val="bottom"/>
            <w:hideMark/>
          </w:tcPr>
          <w:p w14:paraId="0BC9CE52" w14:textId="0D30A948" w:rsidR="00116EF0" w:rsidRPr="00701F32" w:rsidRDefault="00116EF0">
            <w:pPr>
              <w:jc w:val="right"/>
              <w:rPr>
                <w:rFonts w:ascii="Arial" w:hAnsi="Arial" w:cs="Arial"/>
                <w:b/>
                <w:sz w:val="16"/>
                <w:szCs w:val="16"/>
              </w:rPr>
            </w:pPr>
            <w:r w:rsidRPr="00701F32">
              <w:rPr>
                <w:rFonts w:ascii="Arial" w:hAnsi="Arial" w:cs="Arial"/>
                <w:b/>
                <w:sz w:val="16"/>
                <w:szCs w:val="16"/>
              </w:rPr>
              <w:t xml:space="preserve"> 31.117 </w:t>
            </w:r>
          </w:p>
        </w:tc>
        <w:tc>
          <w:tcPr>
            <w:tcW w:w="1299" w:type="dxa"/>
            <w:tcBorders>
              <w:top w:val="nil"/>
              <w:left w:val="nil"/>
              <w:bottom w:val="single" w:sz="4" w:space="0" w:color="auto"/>
              <w:right w:val="single" w:sz="4" w:space="0" w:color="auto"/>
            </w:tcBorders>
            <w:shd w:val="clear" w:color="auto" w:fill="auto"/>
            <w:noWrap/>
            <w:vAlign w:val="bottom"/>
            <w:hideMark/>
          </w:tcPr>
          <w:p w14:paraId="57FCD271" w14:textId="512650A4" w:rsidR="00116EF0" w:rsidRPr="00701F32" w:rsidRDefault="00116EF0">
            <w:pPr>
              <w:jc w:val="right"/>
              <w:rPr>
                <w:rFonts w:ascii="Arial" w:hAnsi="Arial" w:cs="Arial"/>
                <w:b/>
                <w:bCs/>
                <w:sz w:val="16"/>
                <w:szCs w:val="16"/>
                <w:lang w:eastAsia="es-AR"/>
              </w:rPr>
            </w:pPr>
            <w:r w:rsidRPr="00701F32">
              <w:rPr>
                <w:rFonts w:ascii="Arial" w:hAnsi="Arial" w:cs="Arial"/>
                <w:sz w:val="16"/>
                <w:szCs w:val="16"/>
              </w:rPr>
              <w:t xml:space="preserve"> -97.723.051 </w:t>
            </w:r>
          </w:p>
        </w:tc>
      </w:tr>
      <w:tr w:rsidR="00116EF0" w:rsidRPr="00701F32" w14:paraId="627C13A6" w14:textId="77777777" w:rsidTr="00701F32">
        <w:trPr>
          <w:trHeight w:val="300"/>
        </w:trPr>
        <w:tc>
          <w:tcPr>
            <w:tcW w:w="3286" w:type="dxa"/>
            <w:tcBorders>
              <w:top w:val="nil"/>
              <w:left w:val="single" w:sz="4" w:space="0" w:color="auto"/>
              <w:bottom w:val="single" w:sz="4" w:space="0" w:color="auto"/>
              <w:right w:val="single" w:sz="4" w:space="0" w:color="auto"/>
            </w:tcBorders>
            <w:shd w:val="clear" w:color="auto" w:fill="auto"/>
            <w:hideMark/>
          </w:tcPr>
          <w:p w14:paraId="4A051478" w14:textId="77777777" w:rsidR="00116EF0" w:rsidRPr="00701F32" w:rsidRDefault="00116EF0" w:rsidP="00116EF0">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público no financiero</w:t>
            </w:r>
          </w:p>
        </w:tc>
        <w:tc>
          <w:tcPr>
            <w:tcW w:w="1237" w:type="dxa"/>
            <w:tcBorders>
              <w:top w:val="nil"/>
              <w:left w:val="nil"/>
              <w:bottom w:val="single" w:sz="4" w:space="0" w:color="auto"/>
              <w:right w:val="single" w:sz="4" w:space="0" w:color="auto"/>
            </w:tcBorders>
            <w:shd w:val="clear" w:color="auto" w:fill="auto"/>
            <w:noWrap/>
            <w:vAlign w:val="bottom"/>
            <w:hideMark/>
          </w:tcPr>
          <w:p w14:paraId="3FEF09B3" w14:textId="35224DE4" w:rsidR="00116EF0" w:rsidRPr="00701F32" w:rsidRDefault="00116EF0">
            <w:pPr>
              <w:jc w:val="right"/>
              <w:rPr>
                <w:rFonts w:ascii="Arial" w:hAnsi="Arial" w:cs="Arial"/>
                <w:b/>
                <w:sz w:val="16"/>
                <w:szCs w:val="16"/>
              </w:rPr>
            </w:pPr>
            <w:r w:rsidRPr="00701F32">
              <w:rPr>
                <w:rFonts w:ascii="Arial" w:hAnsi="Arial" w:cs="Arial"/>
                <w:b/>
                <w:sz w:val="16"/>
                <w:szCs w:val="16"/>
              </w:rPr>
              <w:t xml:space="preserve"> -2.243 </w:t>
            </w:r>
          </w:p>
        </w:tc>
        <w:tc>
          <w:tcPr>
            <w:tcW w:w="1373" w:type="dxa"/>
            <w:tcBorders>
              <w:top w:val="nil"/>
              <w:left w:val="nil"/>
              <w:bottom w:val="single" w:sz="4" w:space="0" w:color="auto"/>
              <w:right w:val="single" w:sz="4" w:space="0" w:color="auto"/>
            </w:tcBorders>
            <w:shd w:val="clear" w:color="auto" w:fill="auto"/>
            <w:noWrap/>
            <w:vAlign w:val="bottom"/>
            <w:hideMark/>
          </w:tcPr>
          <w:p w14:paraId="5053E427" w14:textId="71333677" w:rsidR="00116EF0" w:rsidRPr="00701F32" w:rsidRDefault="00116EF0">
            <w:pPr>
              <w:jc w:val="right"/>
              <w:rPr>
                <w:rFonts w:ascii="Arial" w:hAnsi="Arial" w:cs="Arial"/>
                <w:b/>
                <w:sz w:val="16"/>
                <w:szCs w:val="16"/>
              </w:rPr>
            </w:pPr>
            <w:r w:rsidRPr="00701F32">
              <w:rPr>
                <w:rFonts w:ascii="Arial" w:hAnsi="Arial" w:cs="Arial"/>
                <w:b/>
                <w:sz w:val="16"/>
                <w:szCs w:val="16"/>
              </w:rPr>
              <w:t xml:space="preserve"> -1.169.956 </w:t>
            </w:r>
          </w:p>
        </w:tc>
        <w:tc>
          <w:tcPr>
            <w:tcW w:w="1374" w:type="dxa"/>
            <w:tcBorders>
              <w:top w:val="nil"/>
              <w:left w:val="nil"/>
              <w:bottom w:val="single" w:sz="4" w:space="0" w:color="auto"/>
              <w:right w:val="single" w:sz="4" w:space="0" w:color="auto"/>
            </w:tcBorders>
            <w:shd w:val="clear" w:color="auto" w:fill="auto"/>
            <w:noWrap/>
            <w:vAlign w:val="bottom"/>
            <w:hideMark/>
          </w:tcPr>
          <w:p w14:paraId="3D649AFD" w14:textId="02DFCA44" w:rsidR="00116EF0" w:rsidRPr="00701F32" w:rsidRDefault="00116EF0">
            <w:pPr>
              <w:jc w:val="right"/>
              <w:rPr>
                <w:rFonts w:ascii="Arial" w:hAnsi="Arial" w:cs="Arial"/>
                <w:b/>
                <w:sz w:val="16"/>
                <w:szCs w:val="16"/>
              </w:rPr>
            </w:pPr>
            <w:r w:rsidRPr="00701F32">
              <w:rPr>
                <w:rFonts w:ascii="Arial" w:hAnsi="Arial" w:cs="Arial"/>
                <w:b/>
                <w:sz w:val="16"/>
                <w:szCs w:val="16"/>
              </w:rPr>
              <w:t xml:space="preserve"> -10.818.762 </w:t>
            </w:r>
          </w:p>
        </w:tc>
        <w:tc>
          <w:tcPr>
            <w:tcW w:w="1066" w:type="dxa"/>
            <w:tcBorders>
              <w:top w:val="nil"/>
              <w:left w:val="nil"/>
              <w:bottom w:val="single" w:sz="4" w:space="0" w:color="auto"/>
              <w:right w:val="single" w:sz="4" w:space="0" w:color="auto"/>
            </w:tcBorders>
            <w:shd w:val="clear" w:color="auto" w:fill="auto"/>
            <w:noWrap/>
            <w:vAlign w:val="bottom"/>
            <w:hideMark/>
          </w:tcPr>
          <w:p w14:paraId="579AA830" w14:textId="054E2455" w:rsidR="00116EF0" w:rsidRPr="00701F32" w:rsidRDefault="00116EF0">
            <w:pPr>
              <w:jc w:val="right"/>
              <w:rPr>
                <w:rFonts w:ascii="Arial" w:hAnsi="Arial" w:cs="Arial"/>
                <w:b/>
                <w:sz w:val="16"/>
                <w:szCs w:val="16"/>
              </w:rPr>
            </w:pPr>
            <w:r w:rsidRPr="00701F32">
              <w:rPr>
                <w:rFonts w:ascii="Arial" w:hAnsi="Arial" w:cs="Arial"/>
                <w:b/>
                <w:sz w:val="16"/>
                <w:szCs w:val="16"/>
              </w:rPr>
              <w:t xml:space="preserve"> -   </w:t>
            </w:r>
          </w:p>
        </w:tc>
        <w:tc>
          <w:tcPr>
            <w:tcW w:w="1099" w:type="dxa"/>
            <w:tcBorders>
              <w:top w:val="nil"/>
              <w:left w:val="nil"/>
              <w:bottom w:val="single" w:sz="4" w:space="0" w:color="auto"/>
              <w:right w:val="single" w:sz="4" w:space="0" w:color="auto"/>
            </w:tcBorders>
            <w:shd w:val="clear" w:color="auto" w:fill="auto"/>
            <w:noWrap/>
            <w:vAlign w:val="bottom"/>
            <w:hideMark/>
          </w:tcPr>
          <w:p w14:paraId="63330FD4" w14:textId="7198A0B6" w:rsidR="00116EF0" w:rsidRPr="00701F32" w:rsidRDefault="00116EF0">
            <w:pPr>
              <w:jc w:val="right"/>
              <w:rPr>
                <w:rFonts w:ascii="Arial" w:hAnsi="Arial" w:cs="Arial"/>
                <w:b/>
                <w:sz w:val="16"/>
                <w:szCs w:val="16"/>
              </w:rPr>
            </w:pPr>
            <w:r w:rsidRPr="00701F32">
              <w:rPr>
                <w:rFonts w:ascii="Arial" w:hAnsi="Arial" w:cs="Arial"/>
                <w:b/>
                <w:sz w:val="16"/>
                <w:szCs w:val="16"/>
              </w:rPr>
              <w:t xml:space="preserve"> -   </w:t>
            </w:r>
          </w:p>
        </w:tc>
        <w:tc>
          <w:tcPr>
            <w:tcW w:w="1299" w:type="dxa"/>
            <w:tcBorders>
              <w:top w:val="nil"/>
              <w:left w:val="nil"/>
              <w:bottom w:val="single" w:sz="4" w:space="0" w:color="auto"/>
              <w:right w:val="single" w:sz="4" w:space="0" w:color="auto"/>
            </w:tcBorders>
            <w:shd w:val="clear" w:color="auto" w:fill="auto"/>
            <w:noWrap/>
            <w:vAlign w:val="bottom"/>
            <w:hideMark/>
          </w:tcPr>
          <w:p w14:paraId="38F3226A" w14:textId="2E375606" w:rsidR="00116EF0" w:rsidRPr="00701F32" w:rsidRDefault="00116EF0">
            <w:pPr>
              <w:jc w:val="right"/>
              <w:rPr>
                <w:rFonts w:ascii="Arial" w:hAnsi="Arial" w:cs="Arial"/>
                <w:bCs/>
                <w:sz w:val="16"/>
                <w:szCs w:val="16"/>
                <w:lang w:eastAsia="es-AR"/>
              </w:rPr>
            </w:pPr>
            <w:r w:rsidRPr="00701F32">
              <w:rPr>
                <w:rFonts w:ascii="Arial" w:hAnsi="Arial" w:cs="Arial"/>
                <w:sz w:val="16"/>
                <w:szCs w:val="16"/>
              </w:rPr>
              <w:t xml:space="preserve"> -11.990.961 </w:t>
            </w:r>
          </w:p>
        </w:tc>
      </w:tr>
      <w:tr w:rsidR="00116EF0" w:rsidRPr="00701F32" w14:paraId="2FD099AD" w14:textId="77777777" w:rsidTr="00701F32">
        <w:trPr>
          <w:trHeight w:val="71"/>
        </w:trPr>
        <w:tc>
          <w:tcPr>
            <w:tcW w:w="3286" w:type="dxa"/>
            <w:tcBorders>
              <w:top w:val="nil"/>
              <w:left w:val="single" w:sz="4" w:space="0" w:color="auto"/>
              <w:bottom w:val="single" w:sz="4" w:space="0" w:color="auto"/>
              <w:right w:val="single" w:sz="4" w:space="0" w:color="auto"/>
            </w:tcBorders>
            <w:shd w:val="clear" w:color="auto" w:fill="auto"/>
            <w:hideMark/>
          </w:tcPr>
          <w:p w14:paraId="4D0AAAA9" w14:textId="77777777" w:rsidR="00116EF0" w:rsidRPr="00701F32" w:rsidRDefault="00116EF0" w:rsidP="00116EF0">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financiero</w:t>
            </w:r>
          </w:p>
        </w:tc>
        <w:tc>
          <w:tcPr>
            <w:tcW w:w="1237" w:type="dxa"/>
            <w:tcBorders>
              <w:top w:val="nil"/>
              <w:left w:val="nil"/>
              <w:bottom w:val="single" w:sz="4" w:space="0" w:color="auto"/>
              <w:right w:val="single" w:sz="4" w:space="0" w:color="auto"/>
            </w:tcBorders>
            <w:shd w:val="clear" w:color="auto" w:fill="auto"/>
            <w:noWrap/>
            <w:vAlign w:val="bottom"/>
            <w:hideMark/>
          </w:tcPr>
          <w:p w14:paraId="2D41E9B1" w14:textId="4831EF57" w:rsidR="00116EF0" w:rsidRPr="00701F32" w:rsidRDefault="00116EF0">
            <w:pPr>
              <w:jc w:val="right"/>
              <w:rPr>
                <w:rFonts w:ascii="Arial" w:hAnsi="Arial" w:cs="Arial"/>
                <w:b/>
                <w:sz w:val="16"/>
                <w:szCs w:val="16"/>
              </w:rPr>
            </w:pPr>
            <w:r w:rsidRPr="00701F32">
              <w:rPr>
                <w:rFonts w:ascii="Arial" w:hAnsi="Arial" w:cs="Arial"/>
                <w:sz w:val="16"/>
                <w:szCs w:val="16"/>
              </w:rPr>
              <w:t xml:space="preserve"> -25.553 </w:t>
            </w:r>
          </w:p>
        </w:tc>
        <w:tc>
          <w:tcPr>
            <w:tcW w:w="1373" w:type="dxa"/>
            <w:tcBorders>
              <w:top w:val="nil"/>
              <w:left w:val="nil"/>
              <w:bottom w:val="single" w:sz="4" w:space="0" w:color="auto"/>
              <w:right w:val="single" w:sz="4" w:space="0" w:color="auto"/>
            </w:tcBorders>
            <w:shd w:val="clear" w:color="auto" w:fill="auto"/>
            <w:noWrap/>
            <w:vAlign w:val="bottom"/>
            <w:hideMark/>
          </w:tcPr>
          <w:p w14:paraId="54AEEC0A" w14:textId="2A23D679" w:rsidR="00116EF0" w:rsidRPr="00701F32" w:rsidRDefault="00116EF0">
            <w:pPr>
              <w:jc w:val="right"/>
              <w:rPr>
                <w:rFonts w:ascii="Arial" w:hAnsi="Arial" w:cs="Arial"/>
                <w:b/>
                <w:sz w:val="16"/>
                <w:szCs w:val="16"/>
              </w:rPr>
            </w:pPr>
            <w:r w:rsidRPr="00701F32">
              <w:rPr>
                <w:rFonts w:ascii="Arial" w:hAnsi="Arial" w:cs="Arial"/>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55A21313" w14:textId="42F242BD" w:rsidR="00116EF0" w:rsidRPr="00701F32" w:rsidRDefault="00116EF0">
            <w:pPr>
              <w:jc w:val="right"/>
              <w:rPr>
                <w:rFonts w:ascii="Arial" w:hAnsi="Arial" w:cs="Arial"/>
                <w:b/>
                <w:sz w:val="16"/>
                <w:szCs w:val="16"/>
              </w:rPr>
            </w:pPr>
            <w:r w:rsidRPr="00701F32">
              <w:rPr>
                <w:rFonts w:ascii="Arial" w:hAnsi="Arial" w:cs="Arial"/>
                <w:sz w:val="16"/>
                <w:szCs w:val="16"/>
              </w:rPr>
              <w:t xml:space="preserve"> -254 </w:t>
            </w:r>
          </w:p>
        </w:tc>
        <w:tc>
          <w:tcPr>
            <w:tcW w:w="1066" w:type="dxa"/>
            <w:tcBorders>
              <w:top w:val="nil"/>
              <w:left w:val="nil"/>
              <w:bottom w:val="single" w:sz="4" w:space="0" w:color="auto"/>
              <w:right w:val="single" w:sz="4" w:space="0" w:color="auto"/>
            </w:tcBorders>
            <w:shd w:val="clear" w:color="auto" w:fill="auto"/>
            <w:noWrap/>
            <w:vAlign w:val="bottom"/>
            <w:hideMark/>
          </w:tcPr>
          <w:p w14:paraId="45C298C4" w14:textId="400B1CF9" w:rsidR="00116EF0" w:rsidRPr="00701F32" w:rsidRDefault="00116EF0">
            <w:pPr>
              <w:jc w:val="right"/>
              <w:rPr>
                <w:rFonts w:ascii="Arial" w:hAnsi="Arial" w:cs="Arial"/>
                <w:b/>
                <w:sz w:val="16"/>
                <w:szCs w:val="16"/>
              </w:rPr>
            </w:pPr>
            <w:r w:rsidRPr="00701F32">
              <w:rPr>
                <w:rFonts w:ascii="Arial" w:hAnsi="Arial" w:cs="Arial"/>
                <w:sz w:val="16"/>
                <w:szCs w:val="16"/>
              </w:rPr>
              <w:t xml:space="preserve"> -   </w:t>
            </w:r>
          </w:p>
        </w:tc>
        <w:tc>
          <w:tcPr>
            <w:tcW w:w="1099" w:type="dxa"/>
            <w:tcBorders>
              <w:top w:val="nil"/>
              <w:left w:val="nil"/>
              <w:bottom w:val="single" w:sz="4" w:space="0" w:color="auto"/>
              <w:right w:val="single" w:sz="4" w:space="0" w:color="auto"/>
            </w:tcBorders>
            <w:shd w:val="clear" w:color="auto" w:fill="auto"/>
            <w:noWrap/>
            <w:vAlign w:val="bottom"/>
            <w:hideMark/>
          </w:tcPr>
          <w:p w14:paraId="556B8160" w14:textId="4D3AA711" w:rsidR="00116EF0" w:rsidRPr="00701F32" w:rsidRDefault="00116EF0">
            <w:pPr>
              <w:jc w:val="right"/>
              <w:rPr>
                <w:rFonts w:ascii="Arial" w:hAnsi="Arial" w:cs="Arial"/>
                <w:b/>
                <w:sz w:val="16"/>
                <w:szCs w:val="16"/>
              </w:rPr>
            </w:pPr>
            <w:r w:rsidRPr="00701F32">
              <w:rPr>
                <w:rFonts w:ascii="Arial" w:hAnsi="Arial" w:cs="Arial"/>
                <w:sz w:val="16"/>
                <w:szCs w:val="16"/>
              </w:rPr>
              <w:t xml:space="preserve"> 1.329 </w:t>
            </w:r>
          </w:p>
        </w:tc>
        <w:tc>
          <w:tcPr>
            <w:tcW w:w="1299" w:type="dxa"/>
            <w:tcBorders>
              <w:top w:val="nil"/>
              <w:left w:val="nil"/>
              <w:bottom w:val="single" w:sz="4" w:space="0" w:color="auto"/>
              <w:right w:val="single" w:sz="4" w:space="0" w:color="auto"/>
            </w:tcBorders>
            <w:shd w:val="clear" w:color="auto" w:fill="auto"/>
            <w:noWrap/>
            <w:vAlign w:val="bottom"/>
            <w:hideMark/>
          </w:tcPr>
          <w:p w14:paraId="184F287A" w14:textId="44915C10" w:rsidR="00116EF0" w:rsidRPr="00701F32" w:rsidRDefault="00116EF0">
            <w:pPr>
              <w:jc w:val="right"/>
              <w:rPr>
                <w:rFonts w:ascii="Arial" w:hAnsi="Arial" w:cs="Arial"/>
                <w:bCs/>
                <w:sz w:val="16"/>
                <w:szCs w:val="16"/>
                <w:lang w:eastAsia="es-AR"/>
              </w:rPr>
            </w:pPr>
            <w:r w:rsidRPr="00701F32">
              <w:rPr>
                <w:rFonts w:ascii="Arial" w:hAnsi="Arial" w:cs="Arial"/>
                <w:sz w:val="16"/>
                <w:szCs w:val="16"/>
              </w:rPr>
              <w:t xml:space="preserve"> -24.478 </w:t>
            </w:r>
          </w:p>
        </w:tc>
      </w:tr>
      <w:tr w:rsidR="00116EF0" w:rsidRPr="00701F32" w14:paraId="0E4AFEF7"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noWrap/>
            <w:hideMark/>
          </w:tcPr>
          <w:p w14:paraId="70A45504" w14:textId="77777777" w:rsidR="00116EF0" w:rsidRPr="00701F32" w:rsidRDefault="00116EF0" w:rsidP="00116EF0">
            <w:pPr>
              <w:ind w:left="72" w:hanging="72"/>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privado no financiero y residentes en el    exterior</w:t>
            </w:r>
          </w:p>
        </w:tc>
        <w:tc>
          <w:tcPr>
            <w:tcW w:w="1237" w:type="dxa"/>
            <w:tcBorders>
              <w:top w:val="nil"/>
              <w:left w:val="nil"/>
              <w:bottom w:val="single" w:sz="4" w:space="0" w:color="auto"/>
              <w:right w:val="single" w:sz="4" w:space="0" w:color="auto"/>
            </w:tcBorders>
            <w:shd w:val="clear" w:color="auto" w:fill="auto"/>
            <w:noWrap/>
            <w:vAlign w:val="bottom"/>
            <w:hideMark/>
          </w:tcPr>
          <w:p w14:paraId="6B5E6C1E" w14:textId="7C3CACAD" w:rsidR="00116EF0" w:rsidRPr="00701F32" w:rsidRDefault="00116EF0">
            <w:pPr>
              <w:jc w:val="right"/>
              <w:rPr>
                <w:rFonts w:ascii="Arial" w:hAnsi="Arial" w:cs="Arial"/>
                <w:b/>
                <w:sz w:val="16"/>
                <w:szCs w:val="16"/>
              </w:rPr>
            </w:pPr>
            <w:r w:rsidRPr="00701F32">
              <w:rPr>
                <w:rFonts w:ascii="Arial" w:hAnsi="Arial" w:cs="Arial"/>
                <w:sz w:val="16"/>
                <w:szCs w:val="16"/>
              </w:rPr>
              <w:t xml:space="preserve"> -10.212.040 </w:t>
            </w:r>
          </w:p>
        </w:tc>
        <w:tc>
          <w:tcPr>
            <w:tcW w:w="1373" w:type="dxa"/>
            <w:tcBorders>
              <w:top w:val="nil"/>
              <w:left w:val="nil"/>
              <w:bottom w:val="single" w:sz="4" w:space="0" w:color="auto"/>
              <w:right w:val="single" w:sz="4" w:space="0" w:color="auto"/>
            </w:tcBorders>
            <w:shd w:val="clear" w:color="auto" w:fill="auto"/>
            <w:noWrap/>
            <w:vAlign w:val="bottom"/>
            <w:hideMark/>
          </w:tcPr>
          <w:p w14:paraId="2066A9DF" w14:textId="68595C67" w:rsidR="00116EF0" w:rsidRPr="00701F32" w:rsidRDefault="00116EF0">
            <w:pPr>
              <w:jc w:val="right"/>
              <w:rPr>
                <w:rFonts w:ascii="Arial" w:hAnsi="Arial" w:cs="Arial"/>
                <w:b/>
                <w:sz w:val="16"/>
                <w:szCs w:val="16"/>
              </w:rPr>
            </w:pPr>
            <w:r w:rsidRPr="00701F32">
              <w:rPr>
                <w:rFonts w:ascii="Arial" w:hAnsi="Arial" w:cs="Arial"/>
                <w:sz w:val="16"/>
                <w:szCs w:val="16"/>
              </w:rPr>
              <w:t xml:space="preserve"> -46.116.967 </w:t>
            </w:r>
          </w:p>
        </w:tc>
        <w:tc>
          <w:tcPr>
            <w:tcW w:w="1374" w:type="dxa"/>
            <w:tcBorders>
              <w:top w:val="nil"/>
              <w:left w:val="nil"/>
              <w:bottom w:val="single" w:sz="4" w:space="0" w:color="auto"/>
              <w:right w:val="single" w:sz="4" w:space="0" w:color="auto"/>
            </w:tcBorders>
            <w:shd w:val="clear" w:color="auto" w:fill="auto"/>
            <w:noWrap/>
            <w:vAlign w:val="bottom"/>
            <w:hideMark/>
          </w:tcPr>
          <w:p w14:paraId="1D8F83F1" w14:textId="36C3630C" w:rsidR="00116EF0" w:rsidRPr="00701F32" w:rsidRDefault="00116EF0">
            <w:pPr>
              <w:jc w:val="right"/>
              <w:rPr>
                <w:rFonts w:ascii="Arial" w:hAnsi="Arial" w:cs="Arial"/>
                <w:b/>
                <w:sz w:val="16"/>
                <w:szCs w:val="16"/>
              </w:rPr>
            </w:pPr>
            <w:r w:rsidRPr="00701F32">
              <w:rPr>
                <w:rFonts w:ascii="Arial" w:hAnsi="Arial" w:cs="Arial"/>
                <w:sz w:val="16"/>
                <w:szCs w:val="16"/>
              </w:rPr>
              <w:t xml:space="preserve"> -29.040.918 </w:t>
            </w:r>
          </w:p>
        </w:tc>
        <w:tc>
          <w:tcPr>
            <w:tcW w:w="1066" w:type="dxa"/>
            <w:tcBorders>
              <w:top w:val="nil"/>
              <w:left w:val="nil"/>
              <w:bottom w:val="single" w:sz="4" w:space="0" w:color="auto"/>
              <w:right w:val="single" w:sz="4" w:space="0" w:color="auto"/>
            </w:tcBorders>
            <w:shd w:val="clear" w:color="auto" w:fill="auto"/>
            <w:noWrap/>
            <w:vAlign w:val="bottom"/>
            <w:hideMark/>
          </w:tcPr>
          <w:p w14:paraId="25C5634F" w14:textId="394556CB" w:rsidR="00116EF0" w:rsidRPr="00701F32" w:rsidRDefault="00116EF0">
            <w:pPr>
              <w:jc w:val="right"/>
              <w:rPr>
                <w:rFonts w:ascii="Arial" w:hAnsi="Arial" w:cs="Arial"/>
                <w:b/>
                <w:sz w:val="16"/>
                <w:szCs w:val="16"/>
              </w:rPr>
            </w:pPr>
            <w:r w:rsidRPr="00701F32">
              <w:rPr>
                <w:rFonts w:ascii="Arial" w:hAnsi="Arial" w:cs="Arial"/>
                <w:sz w:val="16"/>
                <w:szCs w:val="16"/>
              </w:rPr>
              <w:t xml:space="preserve"> -367.475 </w:t>
            </w:r>
          </w:p>
        </w:tc>
        <w:tc>
          <w:tcPr>
            <w:tcW w:w="1099" w:type="dxa"/>
            <w:tcBorders>
              <w:top w:val="nil"/>
              <w:left w:val="nil"/>
              <w:bottom w:val="single" w:sz="4" w:space="0" w:color="auto"/>
              <w:right w:val="single" w:sz="4" w:space="0" w:color="auto"/>
            </w:tcBorders>
            <w:shd w:val="clear" w:color="auto" w:fill="auto"/>
            <w:noWrap/>
            <w:vAlign w:val="bottom"/>
            <w:hideMark/>
          </w:tcPr>
          <w:p w14:paraId="207F8E5D" w14:textId="38108E3E" w:rsidR="00116EF0" w:rsidRPr="00701F32" w:rsidRDefault="00116EF0">
            <w:pPr>
              <w:jc w:val="right"/>
              <w:rPr>
                <w:rFonts w:ascii="Arial" w:hAnsi="Arial" w:cs="Arial"/>
                <w:b/>
                <w:sz w:val="16"/>
                <w:szCs w:val="16"/>
              </w:rPr>
            </w:pPr>
            <w:r w:rsidRPr="00701F32">
              <w:rPr>
                <w:rFonts w:ascii="Arial" w:hAnsi="Arial" w:cs="Arial"/>
                <w:sz w:val="16"/>
                <w:szCs w:val="16"/>
              </w:rPr>
              <w:t xml:space="preserve"> 29.788 </w:t>
            </w:r>
          </w:p>
        </w:tc>
        <w:tc>
          <w:tcPr>
            <w:tcW w:w="1299" w:type="dxa"/>
            <w:tcBorders>
              <w:top w:val="nil"/>
              <w:left w:val="nil"/>
              <w:bottom w:val="single" w:sz="4" w:space="0" w:color="auto"/>
              <w:right w:val="single" w:sz="4" w:space="0" w:color="auto"/>
            </w:tcBorders>
            <w:shd w:val="clear" w:color="auto" w:fill="auto"/>
            <w:noWrap/>
            <w:vAlign w:val="bottom"/>
            <w:hideMark/>
          </w:tcPr>
          <w:p w14:paraId="58855642" w14:textId="68343768" w:rsidR="00116EF0" w:rsidRPr="00701F32" w:rsidRDefault="00116EF0">
            <w:pPr>
              <w:jc w:val="right"/>
              <w:rPr>
                <w:rFonts w:ascii="Arial" w:hAnsi="Arial" w:cs="Arial"/>
                <w:bCs/>
                <w:sz w:val="16"/>
                <w:szCs w:val="16"/>
                <w:lang w:eastAsia="es-AR"/>
              </w:rPr>
            </w:pPr>
            <w:r w:rsidRPr="00701F32">
              <w:rPr>
                <w:rFonts w:ascii="Arial" w:hAnsi="Arial" w:cs="Arial"/>
                <w:sz w:val="16"/>
                <w:szCs w:val="16"/>
              </w:rPr>
              <w:t xml:space="preserve"> -85.707.612 </w:t>
            </w:r>
          </w:p>
        </w:tc>
      </w:tr>
      <w:tr w:rsidR="00116EF0" w:rsidRPr="00701F32" w14:paraId="589948A6"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noWrap/>
            <w:vAlign w:val="bottom"/>
            <w:hideMark/>
          </w:tcPr>
          <w:p w14:paraId="6E240D2A" w14:textId="77777777" w:rsidR="00116EF0" w:rsidRPr="00701F32" w:rsidRDefault="00116EF0" w:rsidP="00116EF0">
            <w:pPr>
              <w:rPr>
                <w:rFonts w:ascii="Arial" w:hAnsi="Arial" w:cs="Arial"/>
                <w:b/>
                <w:bCs/>
                <w:sz w:val="16"/>
                <w:szCs w:val="16"/>
                <w:lang w:eastAsia="es-AR"/>
              </w:rPr>
            </w:pPr>
            <w:r w:rsidRPr="00701F32">
              <w:rPr>
                <w:rFonts w:ascii="Arial" w:hAnsi="Arial" w:cs="Arial"/>
                <w:b/>
                <w:bCs/>
                <w:sz w:val="16"/>
                <w:szCs w:val="16"/>
                <w:lang w:eastAsia="es-AR"/>
              </w:rPr>
              <w:t>Pasivos a valor razonable con cambios en resultados</w:t>
            </w:r>
          </w:p>
        </w:tc>
        <w:tc>
          <w:tcPr>
            <w:tcW w:w="1237" w:type="dxa"/>
            <w:tcBorders>
              <w:top w:val="nil"/>
              <w:left w:val="nil"/>
              <w:bottom w:val="single" w:sz="4" w:space="0" w:color="auto"/>
              <w:right w:val="single" w:sz="4" w:space="0" w:color="auto"/>
            </w:tcBorders>
            <w:shd w:val="clear" w:color="auto" w:fill="auto"/>
            <w:noWrap/>
            <w:vAlign w:val="bottom"/>
            <w:hideMark/>
          </w:tcPr>
          <w:p w14:paraId="7819F060" w14:textId="18726F0D" w:rsidR="00116EF0" w:rsidRPr="00701F32" w:rsidRDefault="00116EF0">
            <w:pPr>
              <w:jc w:val="right"/>
              <w:rPr>
                <w:rFonts w:ascii="Arial" w:hAnsi="Arial" w:cs="Arial"/>
                <w:b/>
                <w:sz w:val="16"/>
                <w:szCs w:val="16"/>
              </w:rPr>
            </w:pPr>
            <w:r w:rsidRPr="00701F32">
              <w:rPr>
                <w:rFonts w:ascii="Arial" w:hAnsi="Arial" w:cs="Arial"/>
                <w:sz w:val="16"/>
                <w:szCs w:val="16"/>
              </w:rPr>
              <w:t xml:space="preserve"> -   </w:t>
            </w:r>
          </w:p>
        </w:tc>
        <w:tc>
          <w:tcPr>
            <w:tcW w:w="1373" w:type="dxa"/>
            <w:tcBorders>
              <w:top w:val="nil"/>
              <w:left w:val="nil"/>
              <w:bottom w:val="single" w:sz="4" w:space="0" w:color="auto"/>
              <w:right w:val="single" w:sz="4" w:space="0" w:color="auto"/>
            </w:tcBorders>
            <w:shd w:val="clear" w:color="auto" w:fill="auto"/>
            <w:noWrap/>
            <w:vAlign w:val="bottom"/>
            <w:hideMark/>
          </w:tcPr>
          <w:p w14:paraId="16279747" w14:textId="1BB7211D" w:rsidR="00116EF0" w:rsidRPr="00701F32" w:rsidRDefault="00116EF0">
            <w:pPr>
              <w:jc w:val="right"/>
              <w:rPr>
                <w:rFonts w:ascii="Arial" w:hAnsi="Arial" w:cs="Arial"/>
                <w:b/>
                <w:sz w:val="16"/>
                <w:szCs w:val="16"/>
              </w:rPr>
            </w:pPr>
            <w:r w:rsidRPr="00701F32">
              <w:rPr>
                <w:rFonts w:ascii="Arial" w:hAnsi="Arial" w:cs="Arial"/>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07E330C6" w14:textId="10AD616A" w:rsidR="00116EF0" w:rsidRPr="00701F32" w:rsidRDefault="00116EF0">
            <w:pPr>
              <w:jc w:val="right"/>
              <w:rPr>
                <w:rFonts w:ascii="Arial" w:hAnsi="Arial" w:cs="Arial"/>
                <w:b/>
                <w:sz w:val="16"/>
                <w:szCs w:val="16"/>
              </w:rPr>
            </w:pPr>
            <w:r w:rsidRPr="00701F32">
              <w:rPr>
                <w:rFonts w:ascii="Arial" w:hAnsi="Arial" w:cs="Arial"/>
                <w:sz w:val="16"/>
                <w:szCs w:val="16"/>
              </w:rPr>
              <w:t xml:space="preserve"> -   </w:t>
            </w:r>
          </w:p>
        </w:tc>
        <w:tc>
          <w:tcPr>
            <w:tcW w:w="1066" w:type="dxa"/>
            <w:tcBorders>
              <w:top w:val="nil"/>
              <w:left w:val="nil"/>
              <w:bottom w:val="single" w:sz="4" w:space="0" w:color="auto"/>
              <w:right w:val="single" w:sz="4" w:space="0" w:color="auto"/>
            </w:tcBorders>
            <w:shd w:val="clear" w:color="auto" w:fill="auto"/>
            <w:noWrap/>
            <w:vAlign w:val="bottom"/>
            <w:hideMark/>
          </w:tcPr>
          <w:p w14:paraId="31D2D553" w14:textId="2D287FEC" w:rsidR="00116EF0" w:rsidRPr="00701F32" w:rsidRDefault="00116EF0">
            <w:pPr>
              <w:jc w:val="right"/>
              <w:rPr>
                <w:rFonts w:ascii="Arial" w:hAnsi="Arial" w:cs="Arial"/>
                <w:b/>
                <w:sz w:val="16"/>
                <w:szCs w:val="16"/>
              </w:rPr>
            </w:pPr>
            <w:r w:rsidRPr="00701F32">
              <w:rPr>
                <w:rFonts w:ascii="Arial" w:hAnsi="Arial" w:cs="Arial"/>
                <w:sz w:val="16"/>
                <w:szCs w:val="16"/>
              </w:rPr>
              <w:t xml:space="preserve"> -2.208.343 </w:t>
            </w:r>
          </w:p>
        </w:tc>
        <w:tc>
          <w:tcPr>
            <w:tcW w:w="1099" w:type="dxa"/>
            <w:tcBorders>
              <w:top w:val="nil"/>
              <w:left w:val="nil"/>
              <w:bottom w:val="single" w:sz="4" w:space="0" w:color="auto"/>
              <w:right w:val="single" w:sz="4" w:space="0" w:color="auto"/>
            </w:tcBorders>
            <w:shd w:val="clear" w:color="auto" w:fill="auto"/>
            <w:noWrap/>
            <w:vAlign w:val="bottom"/>
            <w:hideMark/>
          </w:tcPr>
          <w:p w14:paraId="004EB03E" w14:textId="3F540B98" w:rsidR="00116EF0" w:rsidRPr="00701F32" w:rsidRDefault="00116EF0">
            <w:pPr>
              <w:jc w:val="right"/>
              <w:rPr>
                <w:rFonts w:ascii="Arial" w:hAnsi="Arial" w:cs="Arial"/>
                <w:b/>
                <w:sz w:val="16"/>
                <w:szCs w:val="16"/>
              </w:rPr>
            </w:pPr>
            <w:r w:rsidRPr="00701F32">
              <w:rPr>
                <w:rFonts w:ascii="Arial" w:hAnsi="Arial" w:cs="Arial"/>
                <w:sz w:val="16"/>
                <w:szCs w:val="16"/>
              </w:rPr>
              <w:t xml:space="preserve"> 1.899.050 </w:t>
            </w:r>
          </w:p>
        </w:tc>
        <w:tc>
          <w:tcPr>
            <w:tcW w:w="1299" w:type="dxa"/>
            <w:tcBorders>
              <w:top w:val="nil"/>
              <w:left w:val="nil"/>
              <w:bottom w:val="single" w:sz="4" w:space="0" w:color="auto"/>
              <w:right w:val="single" w:sz="4" w:space="0" w:color="auto"/>
            </w:tcBorders>
            <w:shd w:val="clear" w:color="auto" w:fill="auto"/>
            <w:noWrap/>
            <w:vAlign w:val="bottom"/>
            <w:hideMark/>
          </w:tcPr>
          <w:p w14:paraId="65CBDAE4" w14:textId="37A997A9" w:rsidR="00116EF0" w:rsidRPr="00701F32" w:rsidRDefault="00116EF0">
            <w:pPr>
              <w:jc w:val="right"/>
              <w:rPr>
                <w:rFonts w:ascii="Arial" w:hAnsi="Arial" w:cs="Arial"/>
                <w:b/>
                <w:bCs/>
                <w:sz w:val="16"/>
                <w:szCs w:val="16"/>
                <w:lang w:eastAsia="es-AR"/>
              </w:rPr>
            </w:pPr>
            <w:r w:rsidRPr="00701F32">
              <w:rPr>
                <w:rFonts w:ascii="Arial" w:hAnsi="Arial" w:cs="Arial"/>
                <w:sz w:val="16"/>
                <w:szCs w:val="16"/>
              </w:rPr>
              <w:t xml:space="preserve"> -309.293 </w:t>
            </w:r>
          </w:p>
        </w:tc>
      </w:tr>
      <w:tr w:rsidR="00C35FF3" w:rsidRPr="00701F32" w14:paraId="225F6277"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0B84FF25" w14:textId="77777777" w:rsidR="00C35FF3" w:rsidRPr="00701F32" w:rsidRDefault="00C35FF3" w:rsidP="00C35FF3">
            <w:pPr>
              <w:rPr>
                <w:rFonts w:ascii="Arial" w:hAnsi="Arial" w:cs="Arial"/>
                <w:b/>
                <w:bCs/>
                <w:sz w:val="16"/>
                <w:szCs w:val="16"/>
                <w:lang w:eastAsia="es-AR"/>
              </w:rPr>
            </w:pPr>
            <w:r w:rsidRPr="00701F32">
              <w:rPr>
                <w:rFonts w:ascii="Arial" w:hAnsi="Arial" w:cs="Arial"/>
                <w:b/>
                <w:bCs/>
                <w:sz w:val="16"/>
                <w:szCs w:val="16"/>
                <w:lang w:eastAsia="es-AR"/>
              </w:rPr>
              <w:t>Instrumentos derivados</w:t>
            </w:r>
          </w:p>
        </w:tc>
        <w:tc>
          <w:tcPr>
            <w:tcW w:w="1237" w:type="dxa"/>
            <w:tcBorders>
              <w:top w:val="nil"/>
              <w:left w:val="nil"/>
              <w:bottom w:val="single" w:sz="4" w:space="0" w:color="auto"/>
              <w:right w:val="single" w:sz="4" w:space="0" w:color="auto"/>
            </w:tcBorders>
            <w:shd w:val="clear" w:color="auto" w:fill="auto"/>
            <w:noWrap/>
            <w:vAlign w:val="bottom"/>
            <w:hideMark/>
          </w:tcPr>
          <w:p w14:paraId="083CE511" w14:textId="002C083D" w:rsidR="00C35FF3" w:rsidRPr="00701F32" w:rsidRDefault="00C35FF3">
            <w:pPr>
              <w:jc w:val="right"/>
              <w:rPr>
                <w:rFonts w:ascii="Arial" w:hAnsi="Arial" w:cs="Arial"/>
                <w:b/>
                <w:sz w:val="16"/>
                <w:szCs w:val="16"/>
              </w:rPr>
            </w:pPr>
            <w:r w:rsidRPr="00701F32">
              <w:rPr>
                <w:rFonts w:ascii="Arial" w:hAnsi="Arial" w:cs="Arial"/>
                <w:b/>
                <w:sz w:val="16"/>
                <w:szCs w:val="16"/>
              </w:rPr>
              <w:t xml:space="preserve"> -   </w:t>
            </w:r>
          </w:p>
        </w:tc>
        <w:tc>
          <w:tcPr>
            <w:tcW w:w="1373" w:type="dxa"/>
            <w:tcBorders>
              <w:top w:val="nil"/>
              <w:left w:val="nil"/>
              <w:bottom w:val="single" w:sz="4" w:space="0" w:color="auto"/>
              <w:right w:val="single" w:sz="4" w:space="0" w:color="auto"/>
            </w:tcBorders>
            <w:shd w:val="clear" w:color="auto" w:fill="auto"/>
            <w:noWrap/>
            <w:vAlign w:val="bottom"/>
            <w:hideMark/>
          </w:tcPr>
          <w:p w14:paraId="232C809D" w14:textId="3444B778" w:rsidR="00C35FF3" w:rsidRPr="00701F32" w:rsidRDefault="00C35FF3">
            <w:pPr>
              <w:jc w:val="right"/>
              <w:rPr>
                <w:rFonts w:ascii="Arial" w:hAnsi="Arial" w:cs="Arial"/>
                <w:b/>
                <w:sz w:val="16"/>
                <w:szCs w:val="16"/>
              </w:rPr>
            </w:pPr>
            <w:r w:rsidRPr="00701F32">
              <w:rPr>
                <w:rFonts w:ascii="Arial" w:hAnsi="Arial" w:cs="Arial"/>
                <w:b/>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7D4ECCCA" w14:textId="4B3F4FFC" w:rsidR="00C35FF3" w:rsidRPr="00701F32" w:rsidRDefault="00C35FF3">
            <w:pPr>
              <w:jc w:val="right"/>
              <w:rPr>
                <w:rFonts w:ascii="Arial" w:hAnsi="Arial" w:cs="Arial"/>
                <w:b/>
                <w:sz w:val="16"/>
                <w:szCs w:val="16"/>
              </w:rPr>
            </w:pPr>
            <w:r w:rsidRPr="00701F32">
              <w:rPr>
                <w:rFonts w:ascii="Arial" w:hAnsi="Arial" w:cs="Arial"/>
                <w:b/>
                <w:sz w:val="16"/>
                <w:szCs w:val="16"/>
              </w:rPr>
              <w:t xml:space="preserve"> -328.076 </w:t>
            </w:r>
          </w:p>
        </w:tc>
        <w:tc>
          <w:tcPr>
            <w:tcW w:w="1066" w:type="dxa"/>
            <w:tcBorders>
              <w:top w:val="nil"/>
              <w:left w:val="nil"/>
              <w:bottom w:val="single" w:sz="4" w:space="0" w:color="auto"/>
              <w:right w:val="single" w:sz="4" w:space="0" w:color="auto"/>
            </w:tcBorders>
            <w:shd w:val="clear" w:color="auto" w:fill="auto"/>
            <w:noWrap/>
            <w:vAlign w:val="bottom"/>
            <w:hideMark/>
          </w:tcPr>
          <w:p w14:paraId="531365B5" w14:textId="56EC5328" w:rsidR="00C35FF3" w:rsidRPr="00701F32" w:rsidRDefault="00C35FF3">
            <w:pPr>
              <w:jc w:val="right"/>
              <w:rPr>
                <w:rFonts w:ascii="Arial" w:hAnsi="Arial" w:cs="Arial"/>
                <w:b/>
                <w:sz w:val="16"/>
                <w:szCs w:val="16"/>
              </w:rPr>
            </w:pPr>
            <w:r w:rsidRPr="00701F32">
              <w:rPr>
                <w:rFonts w:ascii="Arial" w:hAnsi="Arial" w:cs="Arial"/>
                <w:b/>
                <w:sz w:val="16"/>
                <w:szCs w:val="16"/>
              </w:rPr>
              <w:t xml:space="preserve"> -   </w:t>
            </w:r>
          </w:p>
        </w:tc>
        <w:tc>
          <w:tcPr>
            <w:tcW w:w="1099" w:type="dxa"/>
            <w:tcBorders>
              <w:top w:val="nil"/>
              <w:left w:val="nil"/>
              <w:bottom w:val="single" w:sz="4" w:space="0" w:color="auto"/>
              <w:right w:val="single" w:sz="4" w:space="0" w:color="auto"/>
            </w:tcBorders>
            <w:shd w:val="clear" w:color="auto" w:fill="auto"/>
            <w:noWrap/>
            <w:vAlign w:val="bottom"/>
            <w:hideMark/>
          </w:tcPr>
          <w:p w14:paraId="2A31A234" w14:textId="433F12DA" w:rsidR="00C35FF3" w:rsidRPr="00701F32" w:rsidRDefault="00C35FF3">
            <w:pPr>
              <w:jc w:val="right"/>
              <w:rPr>
                <w:rFonts w:ascii="Arial" w:hAnsi="Arial" w:cs="Arial"/>
                <w:b/>
                <w:sz w:val="16"/>
                <w:szCs w:val="16"/>
              </w:rPr>
            </w:pPr>
            <w:r w:rsidRPr="00701F32">
              <w:rPr>
                <w:rFonts w:ascii="Arial" w:hAnsi="Arial" w:cs="Arial"/>
                <w:b/>
                <w:sz w:val="16"/>
                <w:szCs w:val="16"/>
              </w:rPr>
              <w:t xml:space="preserve"> -   </w:t>
            </w:r>
          </w:p>
        </w:tc>
        <w:tc>
          <w:tcPr>
            <w:tcW w:w="1299" w:type="dxa"/>
            <w:tcBorders>
              <w:top w:val="nil"/>
              <w:left w:val="nil"/>
              <w:bottom w:val="single" w:sz="4" w:space="0" w:color="auto"/>
              <w:right w:val="single" w:sz="4" w:space="0" w:color="auto"/>
            </w:tcBorders>
            <w:shd w:val="clear" w:color="auto" w:fill="auto"/>
            <w:noWrap/>
            <w:vAlign w:val="bottom"/>
            <w:hideMark/>
          </w:tcPr>
          <w:p w14:paraId="4D286960" w14:textId="65C30F8F" w:rsidR="00C35FF3" w:rsidRPr="00701F32" w:rsidRDefault="00C35FF3">
            <w:pPr>
              <w:jc w:val="right"/>
              <w:rPr>
                <w:rFonts w:ascii="Arial" w:hAnsi="Arial" w:cs="Arial"/>
                <w:b/>
                <w:bCs/>
                <w:sz w:val="16"/>
                <w:szCs w:val="16"/>
                <w:lang w:eastAsia="es-AR"/>
              </w:rPr>
            </w:pPr>
            <w:r w:rsidRPr="00701F32">
              <w:rPr>
                <w:rFonts w:ascii="Arial" w:hAnsi="Arial" w:cs="Arial"/>
                <w:b/>
                <w:sz w:val="16"/>
                <w:szCs w:val="16"/>
              </w:rPr>
              <w:t xml:space="preserve"> -328.076 </w:t>
            </w:r>
          </w:p>
        </w:tc>
      </w:tr>
      <w:tr w:rsidR="00116EF0" w:rsidRPr="00701F32" w14:paraId="22992755"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28B1F98C" w14:textId="77777777" w:rsidR="00116EF0" w:rsidRPr="00701F32" w:rsidRDefault="00116EF0" w:rsidP="006912D8">
            <w:pPr>
              <w:jc w:val="right"/>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237" w:type="dxa"/>
            <w:tcBorders>
              <w:top w:val="nil"/>
              <w:left w:val="nil"/>
              <w:bottom w:val="single" w:sz="4" w:space="0" w:color="auto"/>
              <w:right w:val="single" w:sz="4" w:space="0" w:color="auto"/>
            </w:tcBorders>
            <w:shd w:val="clear" w:color="auto" w:fill="auto"/>
            <w:noWrap/>
            <w:vAlign w:val="bottom"/>
            <w:hideMark/>
          </w:tcPr>
          <w:p w14:paraId="4EBF480D" w14:textId="26B8E52D" w:rsidR="00116EF0" w:rsidRPr="00701F32" w:rsidRDefault="00116EF0">
            <w:pPr>
              <w:jc w:val="right"/>
              <w:rPr>
                <w:rFonts w:ascii="Arial" w:hAnsi="Arial" w:cs="Arial"/>
                <w:b/>
                <w:sz w:val="16"/>
                <w:szCs w:val="16"/>
              </w:rPr>
            </w:pPr>
            <w:r w:rsidRPr="00701F32">
              <w:rPr>
                <w:rFonts w:ascii="Arial" w:hAnsi="Arial" w:cs="Arial"/>
                <w:sz w:val="16"/>
                <w:szCs w:val="16"/>
              </w:rPr>
              <w:t xml:space="preserve"> -1.234.632 </w:t>
            </w:r>
          </w:p>
        </w:tc>
        <w:tc>
          <w:tcPr>
            <w:tcW w:w="1373" w:type="dxa"/>
            <w:tcBorders>
              <w:top w:val="nil"/>
              <w:left w:val="nil"/>
              <w:bottom w:val="single" w:sz="4" w:space="0" w:color="auto"/>
              <w:right w:val="single" w:sz="4" w:space="0" w:color="auto"/>
            </w:tcBorders>
            <w:shd w:val="clear" w:color="auto" w:fill="auto"/>
            <w:noWrap/>
            <w:vAlign w:val="bottom"/>
            <w:hideMark/>
          </w:tcPr>
          <w:p w14:paraId="1B3BEC8C" w14:textId="1BA617A2" w:rsidR="00116EF0" w:rsidRPr="00701F32" w:rsidRDefault="00116EF0">
            <w:pPr>
              <w:jc w:val="right"/>
              <w:rPr>
                <w:rFonts w:ascii="Arial" w:hAnsi="Arial" w:cs="Arial"/>
                <w:b/>
                <w:sz w:val="16"/>
                <w:szCs w:val="16"/>
              </w:rPr>
            </w:pPr>
            <w:r w:rsidRPr="00701F32">
              <w:rPr>
                <w:rFonts w:ascii="Arial" w:hAnsi="Arial" w:cs="Arial"/>
                <w:sz w:val="16"/>
                <w:szCs w:val="16"/>
              </w:rPr>
              <w:t xml:space="preserve"> -2.466.589 </w:t>
            </w:r>
          </w:p>
        </w:tc>
        <w:tc>
          <w:tcPr>
            <w:tcW w:w="1374" w:type="dxa"/>
            <w:tcBorders>
              <w:top w:val="nil"/>
              <w:left w:val="nil"/>
              <w:bottom w:val="single" w:sz="4" w:space="0" w:color="auto"/>
              <w:right w:val="single" w:sz="4" w:space="0" w:color="auto"/>
            </w:tcBorders>
            <w:shd w:val="clear" w:color="auto" w:fill="auto"/>
            <w:noWrap/>
            <w:vAlign w:val="bottom"/>
            <w:hideMark/>
          </w:tcPr>
          <w:p w14:paraId="64EE77D2" w14:textId="71551134" w:rsidR="00116EF0" w:rsidRPr="00701F32" w:rsidRDefault="00116EF0">
            <w:pPr>
              <w:jc w:val="right"/>
              <w:rPr>
                <w:rFonts w:ascii="Arial" w:hAnsi="Arial" w:cs="Arial"/>
                <w:b/>
                <w:sz w:val="16"/>
                <w:szCs w:val="16"/>
              </w:rPr>
            </w:pPr>
            <w:r w:rsidRPr="00701F32">
              <w:rPr>
                <w:rFonts w:ascii="Arial" w:hAnsi="Arial" w:cs="Arial"/>
                <w:sz w:val="16"/>
                <w:szCs w:val="16"/>
              </w:rPr>
              <w:t xml:space="preserve"> -297.245 </w:t>
            </w:r>
          </w:p>
        </w:tc>
        <w:tc>
          <w:tcPr>
            <w:tcW w:w="1066" w:type="dxa"/>
            <w:tcBorders>
              <w:top w:val="nil"/>
              <w:left w:val="nil"/>
              <w:bottom w:val="single" w:sz="4" w:space="0" w:color="auto"/>
              <w:right w:val="single" w:sz="4" w:space="0" w:color="auto"/>
            </w:tcBorders>
            <w:shd w:val="clear" w:color="auto" w:fill="auto"/>
            <w:noWrap/>
            <w:vAlign w:val="bottom"/>
            <w:hideMark/>
          </w:tcPr>
          <w:p w14:paraId="2B779FA3" w14:textId="7E1219BE" w:rsidR="00116EF0" w:rsidRPr="00701F32" w:rsidRDefault="00116EF0">
            <w:pPr>
              <w:jc w:val="right"/>
              <w:rPr>
                <w:rFonts w:ascii="Arial" w:hAnsi="Arial" w:cs="Arial"/>
                <w:b/>
                <w:sz w:val="16"/>
                <w:szCs w:val="16"/>
              </w:rPr>
            </w:pPr>
            <w:r w:rsidRPr="00701F32">
              <w:rPr>
                <w:rFonts w:ascii="Arial" w:hAnsi="Arial" w:cs="Arial"/>
                <w:sz w:val="16"/>
                <w:szCs w:val="16"/>
              </w:rPr>
              <w:t xml:space="preserve"> -295.247 </w:t>
            </w:r>
          </w:p>
        </w:tc>
        <w:tc>
          <w:tcPr>
            <w:tcW w:w="1099" w:type="dxa"/>
            <w:tcBorders>
              <w:top w:val="nil"/>
              <w:left w:val="nil"/>
              <w:bottom w:val="single" w:sz="4" w:space="0" w:color="auto"/>
              <w:right w:val="single" w:sz="4" w:space="0" w:color="auto"/>
            </w:tcBorders>
            <w:shd w:val="clear" w:color="auto" w:fill="auto"/>
            <w:noWrap/>
            <w:vAlign w:val="bottom"/>
            <w:hideMark/>
          </w:tcPr>
          <w:p w14:paraId="2733FCB8" w14:textId="1DEFD99D" w:rsidR="00116EF0" w:rsidRPr="00701F32" w:rsidRDefault="00116EF0">
            <w:pPr>
              <w:jc w:val="right"/>
              <w:rPr>
                <w:rFonts w:ascii="Arial" w:hAnsi="Arial" w:cs="Arial"/>
                <w:b/>
                <w:sz w:val="16"/>
                <w:szCs w:val="16"/>
              </w:rPr>
            </w:pPr>
            <w:r w:rsidRPr="00701F32">
              <w:rPr>
                <w:rFonts w:ascii="Arial" w:hAnsi="Arial" w:cs="Arial"/>
                <w:sz w:val="16"/>
                <w:szCs w:val="16"/>
              </w:rPr>
              <w:t xml:space="preserve"> 544.892 </w:t>
            </w:r>
          </w:p>
        </w:tc>
        <w:tc>
          <w:tcPr>
            <w:tcW w:w="1299" w:type="dxa"/>
            <w:tcBorders>
              <w:top w:val="nil"/>
              <w:left w:val="nil"/>
              <w:bottom w:val="single" w:sz="4" w:space="0" w:color="auto"/>
              <w:right w:val="single" w:sz="4" w:space="0" w:color="auto"/>
            </w:tcBorders>
            <w:shd w:val="clear" w:color="auto" w:fill="auto"/>
            <w:noWrap/>
            <w:vAlign w:val="bottom"/>
            <w:hideMark/>
          </w:tcPr>
          <w:p w14:paraId="1072E3C8" w14:textId="5676E337" w:rsidR="00116EF0" w:rsidRPr="00701F32" w:rsidRDefault="00116EF0">
            <w:pPr>
              <w:jc w:val="right"/>
              <w:rPr>
                <w:rFonts w:ascii="Arial" w:hAnsi="Arial" w:cs="Arial"/>
                <w:b/>
                <w:bCs/>
                <w:sz w:val="16"/>
                <w:szCs w:val="16"/>
                <w:lang w:eastAsia="es-AR"/>
              </w:rPr>
            </w:pPr>
            <w:r w:rsidRPr="00701F32">
              <w:rPr>
                <w:rFonts w:ascii="Arial" w:hAnsi="Arial" w:cs="Arial"/>
                <w:sz w:val="16"/>
                <w:szCs w:val="16"/>
              </w:rPr>
              <w:t xml:space="preserve"> -3.748.821 </w:t>
            </w:r>
          </w:p>
        </w:tc>
      </w:tr>
      <w:tr w:rsidR="00116EF0" w:rsidRPr="00701F32" w14:paraId="126F21B1"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noWrap/>
            <w:vAlign w:val="bottom"/>
            <w:hideMark/>
          </w:tcPr>
          <w:p w14:paraId="688699C7" w14:textId="77777777" w:rsidR="00116EF0" w:rsidRPr="00701F32" w:rsidRDefault="00116EF0" w:rsidP="00116EF0">
            <w:pPr>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237" w:type="dxa"/>
            <w:tcBorders>
              <w:top w:val="nil"/>
              <w:left w:val="nil"/>
              <w:bottom w:val="single" w:sz="4" w:space="0" w:color="auto"/>
              <w:right w:val="single" w:sz="4" w:space="0" w:color="auto"/>
            </w:tcBorders>
            <w:shd w:val="clear" w:color="auto" w:fill="auto"/>
            <w:noWrap/>
            <w:vAlign w:val="bottom"/>
            <w:hideMark/>
          </w:tcPr>
          <w:p w14:paraId="0EC66673" w14:textId="1879C81C" w:rsidR="00116EF0" w:rsidRPr="00701F32" w:rsidRDefault="00116EF0">
            <w:pPr>
              <w:jc w:val="right"/>
              <w:rPr>
                <w:rFonts w:ascii="Arial" w:hAnsi="Arial" w:cs="Arial"/>
                <w:b/>
                <w:sz w:val="16"/>
                <w:szCs w:val="16"/>
              </w:rPr>
            </w:pPr>
            <w:r w:rsidRPr="00701F32">
              <w:rPr>
                <w:rFonts w:ascii="Arial" w:hAnsi="Arial" w:cs="Arial"/>
                <w:sz w:val="16"/>
                <w:szCs w:val="16"/>
              </w:rPr>
              <w:t xml:space="preserve"> -4.586.390 </w:t>
            </w:r>
          </w:p>
        </w:tc>
        <w:tc>
          <w:tcPr>
            <w:tcW w:w="1373" w:type="dxa"/>
            <w:tcBorders>
              <w:top w:val="nil"/>
              <w:left w:val="nil"/>
              <w:bottom w:val="single" w:sz="4" w:space="0" w:color="auto"/>
              <w:right w:val="single" w:sz="4" w:space="0" w:color="auto"/>
            </w:tcBorders>
            <w:shd w:val="clear" w:color="auto" w:fill="auto"/>
            <w:noWrap/>
            <w:vAlign w:val="bottom"/>
            <w:hideMark/>
          </w:tcPr>
          <w:p w14:paraId="6C55069E" w14:textId="4EE558ED" w:rsidR="00116EF0" w:rsidRPr="00701F32" w:rsidRDefault="00116EF0">
            <w:pPr>
              <w:jc w:val="right"/>
              <w:rPr>
                <w:rFonts w:ascii="Arial" w:hAnsi="Arial" w:cs="Arial"/>
                <w:b/>
                <w:sz w:val="16"/>
                <w:szCs w:val="16"/>
              </w:rPr>
            </w:pPr>
            <w:r w:rsidRPr="00701F32">
              <w:rPr>
                <w:rFonts w:ascii="Arial" w:hAnsi="Arial" w:cs="Arial"/>
                <w:sz w:val="16"/>
                <w:szCs w:val="16"/>
              </w:rPr>
              <w:t xml:space="preserve"> -8.698 </w:t>
            </w:r>
          </w:p>
        </w:tc>
        <w:tc>
          <w:tcPr>
            <w:tcW w:w="1374" w:type="dxa"/>
            <w:tcBorders>
              <w:top w:val="nil"/>
              <w:left w:val="nil"/>
              <w:bottom w:val="single" w:sz="4" w:space="0" w:color="auto"/>
              <w:right w:val="single" w:sz="4" w:space="0" w:color="auto"/>
            </w:tcBorders>
            <w:shd w:val="clear" w:color="auto" w:fill="auto"/>
            <w:noWrap/>
            <w:vAlign w:val="bottom"/>
            <w:hideMark/>
          </w:tcPr>
          <w:p w14:paraId="14EBC81F" w14:textId="17FEEE51" w:rsidR="00116EF0" w:rsidRPr="00701F32" w:rsidRDefault="00116EF0">
            <w:pPr>
              <w:jc w:val="right"/>
              <w:rPr>
                <w:rFonts w:ascii="Arial" w:hAnsi="Arial" w:cs="Arial"/>
                <w:b/>
                <w:sz w:val="16"/>
                <w:szCs w:val="16"/>
              </w:rPr>
            </w:pPr>
            <w:r w:rsidRPr="00701F32">
              <w:rPr>
                <w:rFonts w:ascii="Arial" w:hAnsi="Arial" w:cs="Arial"/>
                <w:sz w:val="16"/>
                <w:szCs w:val="16"/>
              </w:rPr>
              <w:t xml:space="preserve"> -5.857.267 </w:t>
            </w:r>
          </w:p>
        </w:tc>
        <w:tc>
          <w:tcPr>
            <w:tcW w:w="1066" w:type="dxa"/>
            <w:tcBorders>
              <w:top w:val="nil"/>
              <w:left w:val="nil"/>
              <w:bottom w:val="single" w:sz="4" w:space="0" w:color="auto"/>
              <w:right w:val="single" w:sz="4" w:space="0" w:color="auto"/>
            </w:tcBorders>
            <w:shd w:val="clear" w:color="auto" w:fill="auto"/>
            <w:noWrap/>
            <w:vAlign w:val="bottom"/>
            <w:hideMark/>
          </w:tcPr>
          <w:p w14:paraId="34691651" w14:textId="4276247A" w:rsidR="00116EF0" w:rsidRPr="00701F32" w:rsidRDefault="00116EF0">
            <w:pPr>
              <w:jc w:val="right"/>
              <w:rPr>
                <w:rFonts w:ascii="Arial" w:hAnsi="Arial" w:cs="Arial"/>
                <w:b/>
                <w:sz w:val="16"/>
                <w:szCs w:val="16"/>
              </w:rPr>
            </w:pPr>
            <w:r w:rsidRPr="00701F32">
              <w:rPr>
                <w:rFonts w:ascii="Arial" w:hAnsi="Arial" w:cs="Arial"/>
                <w:sz w:val="16"/>
                <w:szCs w:val="16"/>
              </w:rPr>
              <w:t xml:space="preserve"> -1.686.156 </w:t>
            </w:r>
          </w:p>
        </w:tc>
        <w:tc>
          <w:tcPr>
            <w:tcW w:w="1099" w:type="dxa"/>
            <w:tcBorders>
              <w:top w:val="nil"/>
              <w:left w:val="nil"/>
              <w:bottom w:val="single" w:sz="4" w:space="0" w:color="auto"/>
              <w:right w:val="single" w:sz="4" w:space="0" w:color="auto"/>
            </w:tcBorders>
            <w:shd w:val="clear" w:color="auto" w:fill="auto"/>
            <w:noWrap/>
            <w:vAlign w:val="bottom"/>
            <w:hideMark/>
          </w:tcPr>
          <w:p w14:paraId="3E89FF16" w14:textId="583A6F43" w:rsidR="00116EF0" w:rsidRPr="00701F32" w:rsidRDefault="00116EF0">
            <w:pPr>
              <w:jc w:val="right"/>
              <w:rPr>
                <w:rFonts w:ascii="Arial" w:hAnsi="Arial" w:cs="Arial"/>
                <w:b/>
                <w:sz w:val="16"/>
                <w:szCs w:val="16"/>
              </w:rPr>
            </w:pPr>
            <w:r w:rsidRPr="00701F32">
              <w:rPr>
                <w:rFonts w:ascii="Arial" w:hAnsi="Arial" w:cs="Arial"/>
                <w:sz w:val="16"/>
                <w:szCs w:val="16"/>
              </w:rPr>
              <w:t xml:space="preserve"> 1.678.344 </w:t>
            </w:r>
          </w:p>
        </w:tc>
        <w:tc>
          <w:tcPr>
            <w:tcW w:w="1299" w:type="dxa"/>
            <w:tcBorders>
              <w:top w:val="nil"/>
              <w:left w:val="nil"/>
              <w:bottom w:val="single" w:sz="4" w:space="0" w:color="auto"/>
              <w:right w:val="single" w:sz="4" w:space="0" w:color="auto"/>
            </w:tcBorders>
            <w:shd w:val="clear" w:color="auto" w:fill="auto"/>
            <w:noWrap/>
            <w:vAlign w:val="bottom"/>
            <w:hideMark/>
          </w:tcPr>
          <w:p w14:paraId="4F0BCAC7" w14:textId="166C2AB8" w:rsidR="00116EF0" w:rsidRPr="00701F32" w:rsidRDefault="00116EF0">
            <w:pPr>
              <w:jc w:val="right"/>
              <w:rPr>
                <w:rFonts w:ascii="Arial" w:hAnsi="Arial" w:cs="Arial"/>
                <w:b/>
                <w:bCs/>
                <w:sz w:val="16"/>
                <w:szCs w:val="16"/>
                <w:lang w:eastAsia="es-AR"/>
              </w:rPr>
            </w:pPr>
            <w:r w:rsidRPr="00701F32">
              <w:rPr>
                <w:rFonts w:ascii="Arial" w:hAnsi="Arial" w:cs="Arial"/>
                <w:sz w:val="16"/>
                <w:szCs w:val="16"/>
              </w:rPr>
              <w:t xml:space="preserve"> -10.460.167 </w:t>
            </w:r>
          </w:p>
        </w:tc>
      </w:tr>
      <w:tr w:rsidR="009131FC" w:rsidRPr="00701F32" w14:paraId="1EF87869" w14:textId="77777777" w:rsidTr="00701F32">
        <w:trPr>
          <w:trHeight w:val="66"/>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4C6C3E45"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237" w:type="dxa"/>
            <w:tcBorders>
              <w:top w:val="nil"/>
              <w:left w:val="nil"/>
              <w:bottom w:val="single" w:sz="4" w:space="0" w:color="auto"/>
              <w:right w:val="single" w:sz="4" w:space="0" w:color="auto"/>
            </w:tcBorders>
            <w:shd w:val="clear" w:color="auto" w:fill="auto"/>
            <w:noWrap/>
            <w:vAlign w:val="bottom"/>
            <w:hideMark/>
          </w:tcPr>
          <w:p w14:paraId="6F9DB508" w14:textId="4EAF834C"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3" w:type="dxa"/>
            <w:tcBorders>
              <w:top w:val="nil"/>
              <w:left w:val="nil"/>
              <w:bottom w:val="single" w:sz="4" w:space="0" w:color="auto"/>
              <w:right w:val="single" w:sz="4" w:space="0" w:color="auto"/>
            </w:tcBorders>
            <w:shd w:val="clear" w:color="auto" w:fill="auto"/>
            <w:noWrap/>
            <w:vAlign w:val="bottom"/>
            <w:hideMark/>
          </w:tcPr>
          <w:p w14:paraId="1036D731" w14:textId="3E4CEC20"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22EA19D7" w14:textId="280B6896" w:rsidR="009131FC" w:rsidRPr="00701F32" w:rsidRDefault="009131FC">
            <w:pPr>
              <w:jc w:val="right"/>
              <w:rPr>
                <w:rFonts w:ascii="Arial" w:hAnsi="Arial" w:cs="Arial"/>
                <w:b/>
                <w:sz w:val="16"/>
                <w:szCs w:val="16"/>
              </w:rPr>
            </w:pPr>
            <w:r w:rsidRPr="00701F32">
              <w:rPr>
                <w:rFonts w:ascii="Arial" w:hAnsi="Arial" w:cs="Arial"/>
                <w:b/>
                <w:sz w:val="16"/>
                <w:szCs w:val="16"/>
              </w:rPr>
              <w:t xml:space="preserve"> -8.542.923 </w:t>
            </w:r>
          </w:p>
        </w:tc>
        <w:tc>
          <w:tcPr>
            <w:tcW w:w="1066" w:type="dxa"/>
            <w:tcBorders>
              <w:top w:val="nil"/>
              <w:left w:val="nil"/>
              <w:bottom w:val="single" w:sz="4" w:space="0" w:color="auto"/>
              <w:right w:val="single" w:sz="4" w:space="0" w:color="auto"/>
            </w:tcBorders>
            <w:shd w:val="clear" w:color="auto" w:fill="auto"/>
            <w:noWrap/>
            <w:vAlign w:val="bottom"/>
            <w:hideMark/>
          </w:tcPr>
          <w:p w14:paraId="09EE18F0" w14:textId="58B7F79D" w:rsidR="009131FC" w:rsidRPr="00701F32" w:rsidRDefault="009131FC">
            <w:pPr>
              <w:jc w:val="right"/>
              <w:rPr>
                <w:rFonts w:ascii="Arial" w:hAnsi="Arial" w:cs="Arial"/>
                <w:b/>
                <w:sz w:val="16"/>
                <w:szCs w:val="16"/>
              </w:rPr>
            </w:pPr>
            <w:r w:rsidRPr="00701F32">
              <w:rPr>
                <w:rFonts w:ascii="Arial" w:hAnsi="Arial" w:cs="Arial"/>
                <w:b/>
                <w:sz w:val="16"/>
                <w:szCs w:val="16"/>
              </w:rPr>
              <w:t xml:space="preserve"> -1.436.805 </w:t>
            </w:r>
          </w:p>
        </w:tc>
        <w:tc>
          <w:tcPr>
            <w:tcW w:w="1099" w:type="dxa"/>
            <w:tcBorders>
              <w:top w:val="nil"/>
              <w:left w:val="nil"/>
              <w:bottom w:val="single" w:sz="4" w:space="0" w:color="auto"/>
              <w:right w:val="single" w:sz="4" w:space="0" w:color="auto"/>
            </w:tcBorders>
            <w:shd w:val="clear" w:color="auto" w:fill="auto"/>
            <w:noWrap/>
            <w:vAlign w:val="bottom"/>
            <w:hideMark/>
          </w:tcPr>
          <w:p w14:paraId="0E3F5BC6" w14:textId="24A339EC" w:rsidR="009131FC" w:rsidRPr="00701F32" w:rsidRDefault="009131FC">
            <w:pPr>
              <w:jc w:val="right"/>
              <w:rPr>
                <w:rFonts w:ascii="Arial" w:hAnsi="Arial" w:cs="Arial"/>
                <w:b/>
                <w:sz w:val="16"/>
                <w:szCs w:val="16"/>
              </w:rPr>
            </w:pPr>
            <w:r w:rsidRPr="00701F32">
              <w:rPr>
                <w:rFonts w:ascii="Arial" w:hAnsi="Arial" w:cs="Arial"/>
                <w:b/>
                <w:sz w:val="16"/>
                <w:szCs w:val="16"/>
              </w:rPr>
              <w:t xml:space="preserve"> 19.530 </w:t>
            </w:r>
          </w:p>
        </w:tc>
        <w:tc>
          <w:tcPr>
            <w:tcW w:w="1299" w:type="dxa"/>
            <w:tcBorders>
              <w:top w:val="nil"/>
              <w:left w:val="nil"/>
              <w:bottom w:val="single" w:sz="4" w:space="0" w:color="auto"/>
              <w:right w:val="single" w:sz="4" w:space="0" w:color="auto"/>
            </w:tcBorders>
            <w:shd w:val="clear" w:color="auto" w:fill="auto"/>
            <w:noWrap/>
            <w:vAlign w:val="bottom"/>
            <w:hideMark/>
          </w:tcPr>
          <w:p w14:paraId="2FB07154" w14:textId="24F1DE30" w:rsidR="009131FC" w:rsidRPr="00701F32" w:rsidRDefault="009131FC">
            <w:pPr>
              <w:jc w:val="right"/>
              <w:rPr>
                <w:rFonts w:ascii="Arial" w:hAnsi="Arial" w:cs="Arial"/>
                <w:b/>
                <w:bCs/>
                <w:sz w:val="16"/>
                <w:szCs w:val="16"/>
                <w:lang w:eastAsia="es-AR"/>
              </w:rPr>
            </w:pPr>
            <w:r w:rsidRPr="00701F32">
              <w:rPr>
                <w:rFonts w:ascii="Arial" w:hAnsi="Arial" w:cs="Arial"/>
                <w:b/>
                <w:sz w:val="16"/>
                <w:szCs w:val="16"/>
              </w:rPr>
              <w:t xml:space="preserve"> -9.960.198 </w:t>
            </w:r>
          </w:p>
        </w:tc>
      </w:tr>
      <w:tr w:rsidR="009131FC" w:rsidRPr="00701F32" w14:paraId="7107D2BC"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3D302644"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Pasivo por impuestos a las ganancias corriente</w:t>
            </w:r>
          </w:p>
        </w:tc>
        <w:tc>
          <w:tcPr>
            <w:tcW w:w="1237" w:type="dxa"/>
            <w:tcBorders>
              <w:top w:val="nil"/>
              <w:left w:val="nil"/>
              <w:bottom w:val="single" w:sz="4" w:space="0" w:color="auto"/>
              <w:right w:val="single" w:sz="4" w:space="0" w:color="auto"/>
            </w:tcBorders>
            <w:shd w:val="clear" w:color="auto" w:fill="auto"/>
            <w:noWrap/>
            <w:vAlign w:val="bottom"/>
            <w:hideMark/>
          </w:tcPr>
          <w:p w14:paraId="7B38DB89" w14:textId="6DE5ADE7"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3" w:type="dxa"/>
            <w:tcBorders>
              <w:top w:val="nil"/>
              <w:left w:val="nil"/>
              <w:bottom w:val="single" w:sz="4" w:space="0" w:color="auto"/>
              <w:right w:val="single" w:sz="4" w:space="0" w:color="auto"/>
            </w:tcBorders>
            <w:shd w:val="clear" w:color="auto" w:fill="auto"/>
            <w:noWrap/>
            <w:vAlign w:val="bottom"/>
            <w:hideMark/>
          </w:tcPr>
          <w:p w14:paraId="4F4B18FF" w14:textId="1F4D6849"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0F0ABCCA" w14:textId="77A68B9D"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066" w:type="dxa"/>
            <w:tcBorders>
              <w:top w:val="nil"/>
              <w:left w:val="nil"/>
              <w:bottom w:val="single" w:sz="4" w:space="0" w:color="auto"/>
              <w:right w:val="single" w:sz="4" w:space="0" w:color="auto"/>
            </w:tcBorders>
            <w:shd w:val="clear" w:color="auto" w:fill="auto"/>
            <w:noWrap/>
            <w:vAlign w:val="bottom"/>
            <w:hideMark/>
          </w:tcPr>
          <w:p w14:paraId="29F9562B" w14:textId="4B46F0BC" w:rsidR="009131FC" w:rsidRPr="00701F32" w:rsidRDefault="009131FC">
            <w:pPr>
              <w:jc w:val="right"/>
              <w:rPr>
                <w:rFonts w:ascii="Arial" w:hAnsi="Arial" w:cs="Arial"/>
                <w:b/>
                <w:sz w:val="16"/>
                <w:szCs w:val="16"/>
              </w:rPr>
            </w:pPr>
            <w:r w:rsidRPr="00701F32">
              <w:rPr>
                <w:rFonts w:ascii="Arial" w:hAnsi="Arial" w:cs="Arial"/>
                <w:b/>
                <w:sz w:val="16"/>
                <w:szCs w:val="16"/>
              </w:rPr>
              <w:t xml:space="preserve"> -65.204 </w:t>
            </w:r>
          </w:p>
        </w:tc>
        <w:tc>
          <w:tcPr>
            <w:tcW w:w="1099" w:type="dxa"/>
            <w:tcBorders>
              <w:top w:val="nil"/>
              <w:left w:val="nil"/>
              <w:bottom w:val="single" w:sz="4" w:space="0" w:color="auto"/>
              <w:right w:val="single" w:sz="4" w:space="0" w:color="auto"/>
            </w:tcBorders>
            <w:shd w:val="clear" w:color="auto" w:fill="auto"/>
            <w:noWrap/>
            <w:vAlign w:val="bottom"/>
            <w:hideMark/>
          </w:tcPr>
          <w:p w14:paraId="5D6B7FB8" w14:textId="7B8E28F2"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299" w:type="dxa"/>
            <w:tcBorders>
              <w:top w:val="nil"/>
              <w:left w:val="nil"/>
              <w:bottom w:val="single" w:sz="4" w:space="0" w:color="auto"/>
              <w:right w:val="single" w:sz="4" w:space="0" w:color="auto"/>
            </w:tcBorders>
            <w:shd w:val="clear" w:color="auto" w:fill="auto"/>
            <w:noWrap/>
            <w:vAlign w:val="bottom"/>
            <w:hideMark/>
          </w:tcPr>
          <w:p w14:paraId="000F965B" w14:textId="17C5C527" w:rsidR="009131FC" w:rsidRPr="00701F32" w:rsidRDefault="009131FC">
            <w:pPr>
              <w:jc w:val="right"/>
              <w:rPr>
                <w:rFonts w:ascii="Arial" w:hAnsi="Arial" w:cs="Arial"/>
                <w:b/>
                <w:bCs/>
                <w:sz w:val="16"/>
                <w:szCs w:val="16"/>
                <w:lang w:eastAsia="es-AR"/>
              </w:rPr>
            </w:pPr>
            <w:r w:rsidRPr="00701F32">
              <w:rPr>
                <w:rFonts w:ascii="Arial" w:hAnsi="Arial" w:cs="Arial"/>
                <w:b/>
                <w:sz w:val="16"/>
                <w:szCs w:val="16"/>
              </w:rPr>
              <w:t xml:space="preserve"> -65.204 </w:t>
            </w:r>
          </w:p>
        </w:tc>
      </w:tr>
      <w:tr w:rsidR="009131FC" w:rsidRPr="00701F32" w14:paraId="4B6CE80F" w14:textId="77777777" w:rsidTr="00701F32">
        <w:trPr>
          <w:trHeight w:val="208"/>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542C608C"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237" w:type="dxa"/>
            <w:tcBorders>
              <w:top w:val="nil"/>
              <w:left w:val="nil"/>
              <w:bottom w:val="single" w:sz="4" w:space="0" w:color="auto"/>
              <w:right w:val="single" w:sz="4" w:space="0" w:color="auto"/>
            </w:tcBorders>
            <w:shd w:val="clear" w:color="auto" w:fill="auto"/>
            <w:noWrap/>
            <w:vAlign w:val="bottom"/>
            <w:hideMark/>
          </w:tcPr>
          <w:p w14:paraId="4580B1DA" w14:textId="192918C0"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3" w:type="dxa"/>
            <w:tcBorders>
              <w:top w:val="nil"/>
              <w:left w:val="nil"/>
              <w:bottom w:val="single" w:sz="4" w:space="0" w:color="auto"/>
              <w:right w:val="single" w:sz="4" w:space="0" w:color="auto"/>
            </w:tcBorders>
            <w:shd w:val="clear" w:color="auto" w:fill="auto"/>
            <w:noWrap/>
            <w:vAlign w:val="bottom"/>
            <w:hideMark/>
          </w:tcPr>
          <w:p w14:paraId="7533CD9C" w14:textId="58A73E56"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374" w:type="dxa"/>
            <w:tcBorders>
              <w:top w:val="nil"/>
              <w:left w:val="nil"/>
              <w:bottom w:val="single" w:sz="4" w:space="0" w:color="auto"/>
              <w:right w:val="single" w:sz="4" w:space="0" w:color="auto"/>
            </w:tcBorders>
            <w:shd w:val="clear" w:color="auto" w:fill="auto"/>
            <w:noWrap/>
            <w:vAlign w:val="bottom"/>
            <w:hideMark/>
          </w:tcPr>
          <w:p w14:paraId="5F63DC92" w14:textId="230F591D" w:rsidR="009131FC" w:rsidRPr="00701F32" w:rsidRDefault="009131FC">
            <w:pPr>
              <w:jc w:val="right"/>
              <w:rPr>
                <w:rFonts w:ascii="Arial" w:hAnsi="Arial" w:cs="Arial"/>
                <w:b/>
                <w:sz w:val="16"/>
                <w:szCs w:val="16"/>
              </w:rPr>
            </w:pPr>
            <w:r w:rsidRPr="00701F32">
              <w:rPr>
                <w:rFonts w:ascii="Arial" w:hAnsi="Arial" w:cs="Arial"/>
                <w:b/>
                <w:sz w:val="16"/>
                <w:szCs w:val="16"/>
              </w:rPr>
              <w:t xml:space="preserve"> -1.490.246 </w:t>
            </w:r>
          </w:p>
        </w:tc>
        <w:tc>
          <w:tcPr>
            <w:tcW w:w="1066" w:type="dxa"/>
            <w:tcBorders>
              <w:top w:val="nil"/>
              <w:left w:val="nil"/>
              <w:bottom w:val="single" w:sz="4" w:space="0" w:color="auto"/>
              <w:right w:val="single" w:sz="4" w:space="0" w:color="auto"/>
            </w:tcBorders>
            <w:shd w:val="clear" w:color="auto" w:fill="auto"/>
            <w:noWrap/>
            <w:vAlign w:val="bottom"/>
            <w:hideMark/>
          </w:tcPr>
          <w:p w14:paraId="1511B378" w14:textId="1EDA6848"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099" w:type="dxa"/>
            <w:tcBorders>
              <w:top w:val="nil"/>
              <w:left w:val="nil"/>
              <w:bottom w:val="single" w:sz="4" w:space="0" w:color="auto"/>
              <w:right w:val="single" w:sz="4" w:space="0" w:color="auto"/>
            </w:tcBorders>
            <w:shd w:val="clear" w:color="auto" w:fill="auto"/>
            <w:noWrap/>
            <w:vAlign w:val="bottom"/>
            <w:hideMark/>
          </w:tcPr>
          <w:p w14:paraId="631EC1AE" w14:textId="3BDF5538"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299" w:type="dxa"/>
            <w:tcBorders>
              <w:top w:val="nil"/>
              <w:left w:val="nil"/>
              <w:bottom w:val="single" w:sz="4" w:space="0" w:color="auto"/>
              <w:right w:val="single" w:sz="4" w:space="0" w:color="auto"/>
            </w:tcBorders>
            <w:shd w:val="clear" w:color="auto" w:fill="auto"/>
            <w:noWrap/>
            <w:vAlign w:val="bottom"/>
            <w:hideMark/>
          </w:tcPr>
          <w:p w14:paraId="2DF92E2B" w14:textId="01D50EA1" w:rsidR="009131FC" w:rsidRPr="00701F32" w:rsidRDefault="009131FC">
            <w:pPr>
              <w:jc w:val="right"/>
              <w:rPr>
                <w:rFonts w:ascii="Arial" w:hAnsi="Arial" w:cs="Arial"/>
                <w:b/>
                <w:bCs/>
                <w:sz w:val="16"/>
                <w:szCs w:val="16"/>
                <w:lang w:eastAsia="es-AR"/>
              </w:rPr>
            </w:pPr>
            <w:r w:rsidRPr="00701F32">
              <w:rPr>
                <w:rFonts w:ascii="Arial" w:hAnsi="Arial" w:cs="Arial"/>
                <w:b/>
                <w:sz w:val="16"/>
                <w:szCs w:val="16"/>
              </w:rPr>
              <w:t xml:space="preserve"> -1.490.246 </w:t>
            </w:r>
          </w:p>
        </w:tc>
      </w:tr>
      <w:tr w:rsidR="009131FC" w:rsidRPr="00701F32" w14:paraId="5FD5F22B"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2C0F6962"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Provisiones</w:t>
            </w:r>
          </w:p>
        </w:tc>
        <w:tc>
          <w:tcPr>
            <w:tcW w:w="1237" w:type="dxa"/>
            <w:tcBorders>
              <w:top w:val="nil"/>
              <w:left w:val="nil"/>
              <w:bottom w:val="single" w:sz="4" w:space="0" w:color="auto"/>
              <w:right w:val="single" w:sz="4" w:space="0" w:color="auto"/>
            </w:tcBorders>
            <w:shd w:val="clear" w:color="auto" w:fill="auto"/>
            <w:noWrap/>
            <w:vAlign w:val="bottom"/>
            <w:hideMark/>
          </w:tcPr>
          <w:p w14:paraId="664A9796" w14:textId="659EDC53" w:rsidR="009131FC" w:rsidRPr="00701F32" w:rsidRDefault="009131FC">
            <w:pPr>
              <w:jc w:val="right"/>
              <w:rPr>
                <w:rFonts w:ascii="Arial" w:hAnsi="Arial" w:cs="Arial"/>
                <w:b/>
                <w:sz w:val="16"/>
                <w:szCs w:val="16"/>
              </w:rPr>
            </w:pPr>
            <w:r w:rsidRPr="00701F32">
              <w:rPr>
                <w:rFonts w:ascii="Arial" w:hAnsi="Arial" w:cs="Arial"/>
                <w:b/>
                <w:sz w:val="16"/>
                <w:szCs w:val="16"/>
              </w:rPr>
              <w:t xml:space="preserve"> -20.662 </w:t>
            </w:r>
          </w:p>
        </w:tc>
        <w:tc>
          <w:tcPr>
            <w:tcW w:w="1373" w:type="dxa"/>
            <w:tcBorders>
              <w:top w:val="nil"/>
              <w:left w:val="nil"/>
              <w:bottom w:val="single" w:sz="4" w:space="0" w:color="auto"/>
              <w:right w:val="single" w:sz="4" w:space="0" w:color="auto"/>
            </w:tcBorders>
            <w:shd w:val="clear" w:color="auto" w:fill="auto"/>
            <w:noWrap/>
            <w:vAlign w:val="bottom"/>
            <w:hideMark/>
          </w:tcPr>
          <w:p w14:paraId="56A63E2A" w14:textId="1A7751F2" w:rsidR="009131FC" w:rsidRPr="00701F32" w:rsidRDefault="009131FC">
            <w:pPr>
              <w:jc w:val="right"/>
              <w:rPr>
                <w:rFonts w:ascii="Arial" w:hAnsi="Arial" w:cs="Arial"/>
                <w:b/>
                <w:sz w:val="16"/>
                <w:szCs w:val="16"/>
              </w:rPr>
            </w:pPr>
            <w:r w:rsidRPr="00701F32">
              <w:rPr>
                <w:rFonts w:ascii="Arial" w:hAnsi="Arial" w:cs="Arial"/>
                <w:b/>
                <w:sz w:val="16"/>
                <w:szCs w:val="16"/>
              </w:rPr>
              <w:t xml:space="preserve"> -24.714 </w:t>
            </w:r>
          </w:p>
        </w:tc>
        <w:tc>
          <w:tcPr>
            <w:tcW w:w="1374" w:type="dxa"/>
            <w:tcBorders>
              <w:top w:val="nil"/>
              <w:left w:val="nil"/>
              <w:bottom w:val="single" w:sz="4" w:space="0" w:color="auto"/>
              <w:right w:val="single" w:sz="4" w:space="0" w:color="auto"/>
            </w:tcBorders>
            <w:shd w:val="clear" w:color="auto" w:fill="auto"/>
            <w:noWrap/>
            <w:vAlign w:val="bottom"/>
            <w:hideMark/>
          </w:tcPr>
          <w:p w14:paraId="42ABC7F2" w14:textId="6E8F69B5" w:rsidR="009131FC" w:rsidRPr="00701F32" w:rsidRDefault="009131FC">
            <w:pPr>
              <w:jc w:val="right"/>
              <w:rPr>
                <w:rFonts w:ascii="Arial" w:hAnsi="Arial" w:cs="Arial"/>
                <w:b/>
                <w:sz w:val="16"/>
                <w:szCs w:val="16"/>
              </w:rPr>
            </w:pPr>
            <w:r w:rsidRPr="00701F32">
              <w:rPr>
                <w:rFonts w:ascii="Arial" w:hAnsi="Arial" w:cs="Arial"/>
                <w:b/>
                <w:sz w:val="16"/>
                <w:szCs w:val="16"/>
              </w:rPr>
              <w:t xml:space="preserve"> -6.279 </w:t>
            </w:r>
          </w:p>
        </w:tc>
        <w:tc>
          <w:tcPr>
            <w:tcW w:w="1066" w:type="dxa"/>
            <w:tcBorders>
              <w:top w:val="nil"/>
              <w:left w:val="nil"/>
              <w:bottom w:val="single" w:sz="4" w:space="0" w:color="auto"/>
              <w:right w:val="single" w:sz="4" w:space="0" w:color="auto"/>
            </w:tcBorders>
            <w:shd w:val="clear" w:color="auto" w:fill="auto"/>
            <w:noWrap/>
            <w:vAlign w:val="bottom"/>
            <w:hideMark/>
          </w:tcPr>
          <w:p w14:paraId="53225DF6" w14:textId="0ED738D2" w:rsidR="009131FC" w:rsidRPr="00701F32" w:rsidRDefault="009131FC">
            <w:pPr>
              <w:jc w:val="right"/>
              <w:rPr>
                <w:rFonts w:ascii="Arial" w:hAnsi="Arial" w:cs="Arial"/>
                <w:b/>
                <w:sz w:val="16"/>
                <w:szCs w:val="16"/>
              </w:rPr>
            </w:pPr>
            <w:r w:rsidRPr="00701F32">
              <w:rPr>
                <w:rFonts w:ascii="Arial" w:hAnsi="Arial" w:cs="Arial"/>
                <w:b/>
                <w:sz w:val="16"/>
                <w:szCs w:val="16"/>
              </w:rPr>
              <w:t xml:space="preserve"> -20.953 </w:t>
            </w:r>
          </w:p>
        </w:tc>
        <w:tc>
          <w:tcPr>
            <w:tcW w:w="1099" w:type="dxa"/>
            <w:tcBorders>
              <w:top w:val="nil"/>
              <w:left w:val="nil"/>
              <w:bottom w:val="single" w:sz="4" w:space="0" w:color="auto"/>
              <w:right w:val="single" w:sz="4" w:space="0" w:color="auto"/>
            </w:tcBorders>
            <w:shd w:val="clear" w:color="auto" w:fill="auto"/>
            <w:noWrap/>
            <w:vAlign w:val="bottom"/>
            <w:hideMark/>
          </w:tcPr>
          <w:p w14:paraId="687B9868" w14:textId="71AB91B3" w:rsidR="009131FC" w:rsidRPr="00701F32" w:rsidRDefault="009131FC">
            <w:pPr>
              <w:jc w:val="right"/>
              <w:rPr>
                <w:rFonts w:ascii="Arial" w:hAnsi="Arial" w:cs="Arial"/>
                <w:b/>
                <w:sz w:val="16"/>
                <w:szCs w:val="16"/>
              </w:rPr>
            </w:pPr>
            <w:r w:rsidRPr="00701F32">
              <w:rPr>
                <w:rFonts w:ascii="Arial" w:hAnsi="Arial" w:cs="Arial"/>
                <w:b/>
                <w:sz w:val="16"/>
                <w:szCs w:val="16"/>
              </w:rPr>
              <w:t xml:space="preserve"> -   </w:t>
            </w:r>
          </w:p>
        </w:tc>
        <w:tc>
          <w:tcPr>
            <w:tcW w:w="1299" w:type="dxa"/>
            <w:tcBorders>
              <w:top w:val="nil"/>
              <w:left w:val="nil"/>
              <w:bottom w:val="single" w:sz="4" w:space="0" w:color="auto"/>
              <w:right w:val="single" w:sz="4" w:space="0" w:color="auto"/>
            </w:tcBorders>
            <w:shd w:val="clear" w:color="auto" w:fill="auto"/>
            <w:noWrap/>
            <w:vAlign w:val="bottom"/>
            <w:hideMark/>
          </w:tcPr>
          <w:p w14:paraId="6892B927" w14:textId="5E016FD2" w:rsidR="009131FC" w:rsidRPr="00701F32" w:rsidRDefault="009131FC">
            <w:pPr>
              <w:jc w:val="right"/>
              <w:rPr>
                <w:rFonts w:ascii="Arial" w:hAnsi="Arial" w:cs="Arial"/>
                <w:b/>
                <w:bCs/>
                <w:sz w:val="16"/>
                <w:szCs w:val="16"/>
                <w:lang w:eastAsia="es-AR"/>
              </w:rPr>
            </w:pPr>
            <w:r w:rsidRPr="00701F32">
              <w:rPr>
                <w:rFonts w:ascii="Arial" w:hAnsi="Arial" w:cs="Arial"/>
                <w:b/>
                <w:sz w:val="16"/>
                <w:szCs w:val="16"/>
              </w:rPr>
              <w:t xml:space="preserve"> -72.608 </w:t>
            </w:r>
          </w:p>
        </w:tc>
      </w:tr>
      <w:tr w:rsidR="008A4D2F" w:rsidRPr="00701F32" w14:paraId="71613518"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7A3D537C" w14:textId="77777777" w:rsidR="008A4D2F" w:rsidRPr="00701F32" w:rsidRDefault="008A4D2F" w:rsidP="008A4D2F">
            <w:pPr>
              <w:rPr>
                <w:rFonts w:ascii="Arial" w:hAnsi="Arial" w:cs="Arial"/>
                <w:b/>
                <w:bCs/>
                <w:sz w:val="16"/>
                <w:szCs w:val="16"/>
                <w:lang w:eastAsia="es-AR"/>
              </w:rPr>
            </w:pPr>
            <w:r w:rsidRPr="00701F32">
              <w:rPr>
                <w:rFonts w:ascii="Arial" w:hAnsi="Arial" w:cs="Arial"/>
                <w:b/>
                <w:bCs/>
                <w:sz w:val="16"/>
                <w:szCs w:val="16"/>
                <w:lang w:eastAsia="es-AR"/>
              </w:rPr>
              <w:t>Otros pasivos no financieros</w:t>
            </w:r>
          </w:p>
        </w:tc>
        <w:tc>
          <w:tcPr>
            <w:tcW w:w="1237" w:type="dxa"/>
            <w:tcBorders>
              <w:top w:val="nil"/>
              <w:left w:val="nil"/>
              <w:bottom w:val="single" w:sz="4" w:space="0" w:color="auto"/>
              <w:right w:val="single" w:sz="4" w:space="0" w:color="auto"/>
            </w:tcBorders>
            <w:shd w:val="clear" w:color="auto" w:fill="auto"/>
            <w:noWrap/>
            <w:vAlign w:val="bottom"/>
            <w:hideMark/>
          </w:tcPr>
          <w:p w14:paraId="1DB8BE93" w14:textId="3D763425" w:rsidR="008A4D2F" w:rsidRPr="00701F32" w:rsidRDefault="008A4D2F">
            <w:pPr>
              <w:jc w:val="right"/>
              <w:rPr>
                <w:rFonts w:ascii="Arial" w:hAnsi="Arial" w:cs="Arial"/>
                <w:b/>
                <w:sz w:val="16"/>
                <w:szCs w:val="16"/>
              </w:rPr>
            </w:pPr>
            <w:r w:rsidRPr="00701F32">
              <w:rPr>
                <w:rFonts w:ascii="Arial" w:hAnsi="Arial" w:cs="Arial"/>
                <w:b/>
                <w:sz w:val="16"/>
                <w:szCs w:val="16"/>
              </w:rPr>
              <w:t xml:space="preserve"> -30.766 </w:t>
            </w:r>
          </w:p>
        </w:tc>
        <w:tc>
          <w:tcPr>
            <w:tcW w:w="1373" w:type="dxa"/>
            <w:tcBorders>
              <w:top w:val="nil"/>
              <w:left w:val="nil"/>
              <w:bottom w:val="single" w:sz="4" w:space="0" w:color="auto"/>
              <w:right w:val="single" w:sz="4" w:space="0" w:color="auto"/>
            </w:tcBorders>
            <w:shd w:val="clear" w:color="auto" w:fill="auto"/>
            <w:noWrap/>
            <w:vAlign w:val="bottom"/>
            <w:hideMark/>
          </w:tcPr>
          <w:p w14:paraId="5373D110" w14:textId="7ABB387E" w:rsidR="008A4D2F" w:rsidRPr="00701F32" w:rsidRDefault="008A4D2F">
            <w:pPr>
              <w:jc w:val="right"/>
              <w:rPr>
                <w:rFonts w:ascii="Arial" w:hAnsi="Arial" w:cs="Arial"/>
                <w:b/>
                <w:sz w:val="16"/>
                <w:szCs w:val="16"/>
              </w:rPr>
            </w:pPr>
            <w:r w:rsidRPr="00701F32">
              <w:rPr>
                <w:rFonts w:ascii="Arial" w:hAnsi="Arial" w:cs="Arial"/>
                <w:b/>
                <w:sz w:val="16"/>
                <w:szCs w:val="16"/>
              </w:rPr>
              <w:t xml:space="preserve"> -1.041.409 </w:t>
            </w:r>
          </w:p>
        </w:tc>
        <w:tc>
          <w:tcPr>
            <w:tcW w:w="1374" w:type="dxa"/>
            <w:tcBorders>
              <w:top w:val="nil"/>
              <w:left w:val="nil"/>
              <w:bottom w:val="single" w:sz="4" w:space="0" w:color="auto"/>
              <w:right w:val="single" w:sz="4" w:space="0" w:color="auto"/>
            </w:tcBorders>
            <w:shd w:val="clear" w:color="auto" w:fill="auto"/>
            <w:noWrap/>
            <w:vAlign w:val="bottom"/>
            <w:hideMark/>
          </w:tcPr>
          <w:p w14:paraId="1D282D7A" w14:textId="7B733DCB" w:rsidR="008A4D2F" w:rsidRPr="00701F32" w:rsidRDefault="008A4D2F">
            <w:pPr>
              <w:jc w:val="right"/>
              <w:rPr>
                <w:rFonts w:ascii="Arial" w:hAnsi="Arial" w:cs="Arial"/>
                <w:b/>
                <w:sz w:val="16"/>
                <w:szCs w:val="16"/>
              </w:rPr>
            </w:pPr>
            <w:r w:rsidRPr="00701F32">
              <w:rPr>
                <w:rFonts w:ascii="Arial" w:hAnsi="Arial" w:cs="Arial"/>
                <w:b/>
                <w:sz w:val="16"/>
                <w:szCs w:val="16"/>
              </w:rPr>
              <w:t xml:space="preserve"> -2.405.371 </w:t>
            </w:r>
          </w:p>
        </w:tc>
        <w:tc>
          <w:tcPr>
            <w:tcW w:w="1066" w:type="dxa"/>
            <w:tcBorders>
              <w:top w:val="nil"/>
              <w:left w:val="nil"/>
              <w:bottom w:val="single" w:sz="4" w:space="0" w:color="auto"/>
              <w:right w:val="single" w:sz="4" w:space="0" w:color="auto"/>
            </w:tcBorders>
            <w:shd w:val="clear" w:color="auto" w:fill="auto"/>
            <w:noWrap/>
            <w:vAlign w:val="bottom"/>
            <w:hideMark/>
          </w:tcPr>
          <w:p w14:paraId="296572EB" w14:textId="0F16970D" w:rsidR="008A4D2F" w:rsidRPr="00701F32" w:rsidRDefault="008A4D2F">
            <w:pPr>
              <w:jc w:val="right"/>
              <w:rPr>
                <w:rFonts w:ascii="Arial" w:hAnsi="Arial" w:cs="Arial"/>
                <w:b/>
                <w:sz w:val="16"/>
                <w:szCs w:val="16"/>
              </w:rPr>
            </w:pPr>
            <w:r w:rsidRPr="00701F32">
              <w:rPr>
                <w:rFonts w:ascii="Arial" w:hAnsi="Arial" w:cs="Arial"/>
                <w:b/>
                <w:sz w:val="16"/>
                <w:szCs w:val="16"/>
              </w:rPr>
              <w:t xml:space="preserve"> -555.079 </w:t>
            </w:r>
          </w:p>
        </w:tc>
        <w:tc>
          <w:tcPr>
            <w:tcW w:w="1099" w:type="dxa"/>
            <w:tcBorders>
              <w:top w:val="nil"/>
              <w:left w:val="nil"/>
              <w:bottom w:val="single" w:sz="4" w:space="0" w:color="auto"/>
              <w:right w:val="single" w:sz="4" w:space="0" w:color="auto"/>
            </w:tcBorders>
            <w:shd w:val="clear" w:color="auto" w:fill="auto"/>
            <w:noWrap/>
            <w:vAlign w:val="bottom"/>
            <w:hideMark/>
          </w:tcPr>
          <w:p w14:paraId="33F673CB" w14:textId="70AD7C66" w:rsidR="008A4D2F" w:rsidRPr="00701F32" w:rsidRDefault="008A4D2F">
            <w:pPr>
              <w:jc w:val="right"/>
              <w:rPr>
                <w:rFonts w:ascii="Arial" w:hAnsi="Arial" w:cs="Arial"/>
                <w:b/>
                <w:sz w:val="16"/>
                <w:szCs w:val="16"/>
              </w:rPr>
            </w:pPr>
            <w:r w:rsidRPr="00701F32">
              <w:rPr>
                <w:rFonts w:ascii="Arial" w:hAnsi="Arial" w:cs="Arial"/>
                <w:b/>
                <w:sz w:val="16"/>
                <w:szCs w:val="16"/>
              </w:rPr>
              <w:t xml:space="preserve"> 1.148 </w:t>
            </w:r>
          </w:p>
        </w:tc>
        <w:tc>
          <w:tcPr>
            <w:tcW w:w="1299" w:type="dxa"/>
            <w:tcBorders>
              <w:top w:val="nil"/>
              <w:left w:val="nil"/>
              <w:bottom w:val="single" w:sz="4" w:space="0" w:color="auto"/>
              <w:right w:val="single" w:sz="4" w:space="0" w:color="auto"/>
            </w:tcBorders>
            <w:shd w:val="clear" w:color="auto" w:fill="auto"/>
            <w:noWrap/>
            <w:vAlign w:val="bottom"/>
            <w:hideMark/>
          </w:tcPr>
          <w:p w14:paraId="10C50518" w14:textId="4A8A5B7A" w:rsidR="008A4D2F" w:rsidRPr="00701F32" w:rsidRDefault="008A4D2F">
            <w:pPr>
              <w:jc w:val="right"/>
              <w:rPr>
                <w:rFonts w:ascii="Arial" w:hAnsi="Arial" w:cs="Arial"/>
                <w:b/>
                <w:bCs/>
                <w:sz w:val="16"/>
                <w:szCs w:val="16"/>
                <w:lang w:eastAsia="es-AR"/>
              </w:rPr>
            </w:pPr>
            <w:r w:rsidRPr="00701F32">
              <w:rPr>
                <w:rFonts w:ascii="Arial" w:hAnsi="Arial" w:cs="Arial"/>
                <w:b/>
                <w:sz w:val="16"/>
                <w:szCs w:val="16"/>
              </w:rPr>
              <w:t xml:space="preserve"> -4.031.477 </w:t>
            </w:r>
          </w:p>
        </w:tc>
      </w:tr>
      <w:tr w:rsidR="00116EF0" w:rsidRPr="00701F32" w14:paraId="3B45BABC" w14:textId="77777777" w:rsidTr="00701F32">
        <w:trPr>
          <w:trHeight w:val="221"/>
        </w:trPr>
        <w:tc>
          <w:tcPr>
            <w:tcW w:w="3286" w:type="dxa"/>
            <w:tcBorders>
              <w:top w:val="nil"/>
              <w:left w:val="single" w:sz="4" w:space="0" w:color="auto"/>
              <w:bottom w:val="single" w:sz="4" w:space="0" w:color="auto"/>
              <w:right w:val="single" w:sz="4" w:space="0" w:color="auto"/>
            </w:tcBorders>
            <w:shd w:val="clear" w:color="auto" w:fill="auto"/>
            <w:vAlign w:val="bottom"/>
            <w:hideMark/>
          </w:tcPr>
          <w:p w14:paraId="393ECF95" w14:textId="77777777" w:rsidR="00116EF0" w:rsidRPr="00701F32" w:rsidRDefault="00116EF0" w:rsidP="00116EF0">
            <w:pPr>
              <w:rPr>
                <w:rFonts w:ascii="Arial" w:hAnsi="Arial" w:cs="Arial"/>
                <w:b/>
                <w:bCs/>
                <w:sz w:val="16"/>
                <w:szCs w:val="16"/>
                <w:lang w:eastAsia="es-AR"/>
              </w:rPr>
            </w:pPr>
            <w:r w:rsidRPr="00701F32">
              <w:rPr>
                <w:rFonts w:ascii="Arial" w:hAnsi="Arial" w:cs="Arial"/>
                <w:b/>
                <w:bCs/>
                <w:sz w:val="16"/>
                <w:szCs w:val="16"/>
                <w:lang w:eastAsia="es-AR"/>
              </w:rPr>
              <w:t>TOTAL PASIVO</w:t>
            </w:r>
          </w:p>
        </w:tc>
        <w:tc>
          <w:tcPr>
            <w:tcW w:w="1237" w:type="dxa"/>
            <w:tcBorders>
              <w:top w:val="nil"/>
              <w:left w:val="nil"/>
              <w:bottom w:val="single" w:sz="4" w:space="0" w:color="auto"/>
              <w:right w:val="single" w:sz="4" w:space="0" w:color="auto"/>
            </w:tcBorders>
            <w:shd w:val="clear" w:color="auto" w:fill="auto"/>
            <w:noWrap/>
            <w:vAlign w:val="bottom"/>
            <w:hideMark/>
          </w:tcPr>
          <w:p w14:paraId="39AE5654" w14:textId="247B4C5D" w:rsidR="00116EF0" w:rsidRPr="00701F32" w:rsidRDefault="00116EF0">
            <w:pPr>
              <w:jc w:val="right"/>
              <w:rPr>
                <w:rFonts w:ascii="Arial" w:hAnsi="Arial" w:cs="Arial"/>
                <w:b/>
                <w:sz w:val="16"/>
                <w:szCs w:val="16"/>
              </w:rPr>
            </w:pPr>
            <w:r w:rsidRPr="00701F32">
              <w:rPr>
                <w:rFonts w:ascii="Arial" w:hAnsi="Arial" w:cs="Arial"/>
                <w:sz w:val="16"/>
                <w:szCs w:val="16"/>
              </w:rPr>
              <w:t xml:space="preserve"> -16.112.286 </w:t>
            </w:r>
          </w:p>
        </w:tc>
        <w:tc>
          <w:tcPr>
            <w:tcW w:w="1373" w:type="dxa"/>
            <w:tcBorders>
              <w:top w:val="nil"/>
              <w:left w:val="nil"/>
              <w:bottom w:val="single" w:sz="4" w:space="0" w:color="auto"/>
              <w:right w:val="single" w:sz="4" w:space="0" w:color="auto"/>
            </w:tcBorders>
            <w:shd w:val="clear" w:color="auto" w:fill="auto"/>
            <w:noWrap/>
            <w:vAlign w:val="bottom"/>
            <w:hideMark/>
          </w:tcPr>
          <w:p w14:paraId="7032AE21" w14:textId="498FEB9D" w:rsidR="00116EF0" w:rsidRPr="00701F32" w:rsidRDefault="00116EF0">
            <w:pPr>
              <w:jc w:val="right"/>
              <w:rPr>
                <w:rFonts w:ascii="Arial" w:hAnsi="Arial" w:cs="Arial"/>
                <w:b/>
                <w:sz w:val="16"/>
                <w:szCs w:val="16"/>
              </w:rPr>
            </w:pPr>
            <w:r w:rsidRPr="00701F32">
              <w:rPr>
                <w:rFonts w:ascii="Arial" w:hAnsi="Arial" w:cs="Arial"/>
                <w:sz w:val="16"/>
                <w:szCs w:val="16"/>
              </w:rPr>
              <w:t xml:space="preserve"> -50.828.333 </w:t>
            </w:r>
          </w:p>
        </w:tc>
        <w:tc>
          <w:tcPr>
            <w:tcW w:w="1374" w:type="dxa"/>
            <w:tcBorders>
              <w:top w:val="nil"/>
              <w:left w:val="nil"/>
              <w:bottom w:val="single" w:sz="4" w:space="0" w:color="auto"/>
              <w:right w:val="single" w:sz="4" w:space="0" w:color="auto"/>
            </w:tcBorders>
            <w:shd w:val="clear" w:color="auto" w:fill="auto"/>
            <w:noWrap/>
            <w:vAlign w:val="bottom"/>
            <w:hideMark/>
          </w:tcPr>
          <w:p w14:paraId="634F0B1E" w14:textId="346BCE53" w:rsidR="00116EF0" w:rsidRPr="00701F32" w:rsidRDefault="00116EF0">
            <w:pPr>
              <w:jc w:val="right"/>
              <w:rPr>
                <w:rFonts w:ascii="Arial" w:hAnsi="Arial" w:cs="Arial"/>
                <w:b/>
                <w:sz w:val="16"/>
                <w:szCs w:val="16"/>
              </w:rPr>
            </w:pPr>
            <w:r w:rsidRPr="00701F32">
              <w:rPr>
                <w:rFonts w:ascii="Arial" w:hAnsi="Arial" w:cs="Arial"/>
                <w:sz w:val="16"/>
                <w:szCs w:val="16"/>
              </w:rPr>
              <w:t xml:space="preserve"> -58.787.341 </w:t>
            </w:r>
          </w:p>
        </w:tc>
        <w:tc>
          <w:tcPr>
            <w:tcW w:w="1066" w:type="dxa"/>
            <w:tcBorders>
              <w:top w:val="nil"/>
              <w:left w:val="nil"/>
              <w:bottom w:val="single" w:sz="4" w:space="0" w:color="auto"/>
              <w:right w:val="single" w:sz="4" w:space="0" w:color="auto"/>
            </w:tcBorders>
            <w:shd w:val="clear" w:color="auto" w:fill="auto"/>
            <w:noWrap/>
            <w:vAlign w:val="bottom"/>
            <w:hideMark/>
          </w:tcPr>
          <w:p w14:paraId="6A6A63B9" w14:textId="2529EE00" w:rsidR="00116EF0" w:rsidRPr="00701F32" w:rsidRDefault="00116EF0">
            <w:pPr>
              <w:jc w:val="right"/>
              <w:rPr>
                <w:rFonts w:ascii="Arial" w:hAnsi="Arial" w:cs="Arial"/>
                <w:b/>
                <w:sz w:val="16"/>
                <w:szCs w:val="16"/>
              </w:rPr>
            </w:pPr>
            <w:r w:rsidRPr="00701F32">
              <w:rPr>
                <w:rFonts w:ascii="Arial" w:hAnsi="Arial" w:cs="Arial"/>
                <w:sz w:val="16"/>
                <w:szCs w:val="16"/>
              </w:rPr>
              <w:t xml:space="preserve"> -6.635.262 </w:t>
            </w:r>
          </w:p>
        </w:tc>
        <w:tc>
          <w:tcPr>
            <w:tcW w:w="1099" w:type="dxa"/>
            <w:tcBorders>
              <w:top w:val="nil"/>
              <w:left w:val="nil"/>
              <w:bottom w:val="single" w:sz="4" w:space="0" w:color="auto"/>
              <w:right w:val="single" w:sz="4" w:space="0" w:color="auto"/>
            </w:tcBorders>
            <w:shd w:val="clear" w:color="auto" w:fill="auto"/>
            <w:noWrap/>
            <w:vAlign w:val="bottom"/>
            <w:hideMark/>
          </w:tcPr>
          <w:p w14:paraId="0E80AAA5" w14:textId="08DB5D5F" w:rsidR="00116EF0" w:rsidRPr="00701F32" w:rsidRDefault="00116EF0">
            <w:pPr>
              <w:jc w:val="right"/>
              <w:rPr>
                <w:rFonts w:ascii="Arial" w:hAnsi="Arial" w:cs="Arial"/>
                <w:b/>
                <w:sz w:val="16"/>
                <w:szCs w:val="16"/>
              </w:rPr>
            </w:pPr>
            <w:r w:rsidRPr="00701F32">
              <w:rPr>
                <w:rFonts w:ascii="Arial" w:hAnsi="Arial" w:cs="Arial"/>
                <w:sz w:val="16"/>
                <w:szCs w:val="16"/>
              </w:rPr>
              <w:t xml:space="preserve"> 4.174.081 </w:t>
            </w:r>
          </w:p>
        </w:tc>
        <w:tc>
          <w:tcPr>
            <w:tcW w:w="1299" w:type="dxa"/>
            <w:tcBorders>
              <w:top w:val="nil"/>
              <w:left w:val="nil"/>
              <w:bottom w:val="single" w:sz="4" w:space="0" w:color="auto"/>
              <w:right w:val="single" w:sz="4" w:space="0" w:color="auto"/>
            </w:tcBorders>
            <w:shd w:val="clear" w:color="auto" w:fill="auto"/>
            <w:noWrap/>
            <w:vAlign w:val="bottom"/>
            <w:hideMark/>
          </w:tcPr>
          <w:p w14:paraId="791F27C5" w14:textId="3EB0CFB4" w:rsidR="00116EF0" w:rsidRPr="00701F32" w:rsidRDefault="00116EF0">
            <w:pPr>
              <w:jc w:val="right"/>
              <w:rPr>
                <w:rFonts w:ascii="Arial" w:hAnsi="Arial" w:cs="Arial"/>
                <w:b/>
                <w:bCs/>
                <w:sz w:val="16"/>
                <w:szCs w:val="16"/>
                <w:lang w:eastAsia="es-AR"/>
              </w:rPr>
            </w:pPr>
            <w:r w:rsidRPr="00701F32">
              <w:rPr>
                <w:rFonts w:ascii="Arial" w:hAnsi="Arial" w:cs="Arial"/>
                <w:sz w:val="16"/>
                <w:szCs w:val="16"/>
              </w:rPr>
              <w:t xml:space="preserve"> -128.189.141 </w:t>
            </w:r>
          </w:p>
        </w:tc>
      </w:tr>
    </w:tbl>
    <w:p w14:paraId="7D199609" w14:textId="77777777" w:rsidR="00FD0DB2" w:rsidRPr="00701F32" w:rsidRDefault="00FD0DB2" w:rsidP="00A06BE9">
      <w:pPr>
        <w:spacing w:after="160" w:line="259" w:lineRule="auto"/>
        <w:jc w:val="both"/>
        <w:rPr>
          <w:rFonts w:ascii="Arial" w:eastAsia="Calibri" w:hAnsi="Arial" w:cs="Arial"/>
          <w:bCs/>
          <w:sz w:val="20"/>
        </w:rPr>
      </w:pPr>
    </w:p>
    <w:tbl>
      <w:tblPr>
        <w:tblW w:w="10783" w:type="dxa"/>
        <w:tblInd w:w="-356" w:type="dxa"/>
        <w:tblCellMar>
          <w:left w:w="70" w:type="dxa"/>
          <w:right w:w="70" w:type="dxa"/>
        </w:tblCellMar>
        <w:tblLook w:val="04A0" w:firstRow="1" w:lastRow="0" w:firstColumn="1" w:lastColumn="0" w:noHBand="0" w:noVBand="1"/>
      </w:tblPr>
      <w:tblGrid>
        <w:gridCol w:w="3261"/>
        <w:gridCol w:w="1276"/>
        <w:gridCol w:w="1276"/>
        <w:gridCol w:w="1276"/>
        <w:gridCol w:w="1134"/>
        <w:gridCol w:w="1134"/>
        <w:gridCol w:w="1426"/>
      </w:tblGrid>
      <w:tr w:rsidR="001B25DF" w:rsidRPr="00701F32" w14:paraId="23F8A89C" w14:textId="77777777" w:rsidTr="00701F32">
        <w:trPr>
          <w:trHeight w:val="198"/>
          <w:tblHead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DCC02"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Resultado por Segmentos al 30/0</w:t>
            </w:r>
            <w:r w:rsidR="00B848DD" w:rsidRPr="00701F32">
              <w:rPr>
                <w:rFonts w:ascii="Arial" w:hAnsi="Arial" w:cs="Arial"/>
                <w:b/>
                <w:bCs/>
                <w:sz w:val="16"/>
                <w:szCs w:val="18"/>
                <w:lang w:eastAsia="es-AR"/>
              </w:rPr>
              <w:t>9</w:t>
            </w:r>
            <w:r w:rsidRPr="00701F32">
              <w:rPr>
                <w:rFonts w:ascii="Arial" w:hAnsi="Arial" w:cs="Arial"/>
                <w:b/>
                <w:bCs/>
                <w:sz w:val="16"/>
                <w:szCs w:val="18"/>
                <w:lang w:eastAsia="es-AR"/>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84292"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Banca Empresa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E8658"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Banca Minorista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4DDBA"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Tesorería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FAD081"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Consumo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DDDF3"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Ajustes</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7B21" w14:textId="77777777" w:rsidR="00FD0DB2" w:rsidRPr="00701F32" w:rsidRDefault="00FD0DB2" w:rsidP="003D3166">
            <w:pPr>
              <w:jc w:val="center"/>
              <w:rPr>
                <w:rFonts w:ascii="Arial" w:hAnsi="Arial" w:cs="Arial"/>
                <w:b/>
                <w:bCs/>
                <w:sz w:val="16"/>
                <w:szCs w:val="18"/>
                <w:lang w:eastAsia="es-AR"/>
              </w:rPr>
            </w:pPr>
            <w:r w:rsidRPr="00701F32">
              <w:rPr>
                <w:rFonts w:ascii="Arial" w:hAnsi="Arial" w:cs="Arial"/>
                <w:b/>
                <w:bCs/>
                <w:sz w:val="16"/>
                <w:szCs w:val="18"/>
                <w:lang w:eastAsia="es-AR"/>
              </w:rPr>
              <w:t>TOTAL</w:t>
            </w:r>
          </w:p>
        </w:tc>
      </w:tr>
      <w:tr w:rsidR="001B25DF" w:rsidRPr="00701F32" w14:paraId="302A6A09" w14:textId="77777777" w:rsidTr="00701F32">
        <w:trPr>
          <w:trHeight w:val="225"/>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156939D2" w14:textId="77777777" w:rsidR="00CB6304" w:rsidRPr="00701F32" w:rsidRDefault="00CB6304" w:rsidP="00CB6304">
            <w:pPr>
              <w:rPr>
                <w:rFonts w:ascii="Arial" w:hAnsi="Arial" w:cs="Arial"/>
                <w:sz w:val="16"/>
                <w:szCs w:val="18"/>
                <w:lang w:eastAsia="es-AR"/>
              </w:rPr>
            </w:pPr>
            <w:r w:rsidRPr="00701F32">
              <w:rPr>
                <w:rFonts w:ascii="Arial" w:hAnsi="Arial" w:cs="Arial"/>
                <w:sz w:val="16"/>
                <w:szCs w:val="18"/>
                <w:lang w:eastAsia="es-AR"/>
              </w:rPr>
              <w:t xml:space="preserve"> Ingresos por intereses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0DBFC45" w14:textId="13E5E35E" w:rsidR="00CB6304" w:rsidRPr="00701F32" w:rsidRDefault="00CB6304" w:rsidP="00CB6304">
            <w:pPr>
              <w:jc w:val="right"/>
              <w:rPr>
                <w:rFonts w:ascii="Arial" w:hAnsi="Arial" w:cs="Arial"/>
                <w:sz w:val="16"/>
                <w:szCs w:val="18"/>
              </w:rPr>
            </w:pPr>
            <w:r w:rsidRPr="00701F32">
              <w:rPr>
                <w:rFonts w:ascii="Arial" w:hAnsi="Arial" w:cs="Arial"/>
                <w:sz w:val="16"/>
                <w:szCs w:val="18"/>
              </w:rPr>
              <w:t>5.632.167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269816A" w14:textId="75503C20" w:rsidR="00CB6304" w:rsidRPr="00701F32" w:rsidRDefault="00CB6304" w:rsidP="00CB6304">
            <w:pPr>
              <w:jc w:val="right"/>
              <w:rPr>
                <w:rFonts w:ascii="Arial" w:hAnsi="Arial" w:cs="Arial"/>
                <w:sz w:val="16"/>
                <w:szCs w:val="18"/>
              </w:rPr>
            </w:pPr>
            <w:r w:rsidRPr="00701F32">
              <w:rPr>
                <w:rFonts w:ascii="Arial" w:hAnsi="Arial" w:cs="Arial"/>
                <w:sz w:val="16"/>
                <w:szCs w:val="18"/>
              </w:rPr>
              <w:t>7.588.762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49688A3" w14:textId="221F938F" w:rsidR="00CB6304" w:rsidRPr="00701F32" w:rsidRDefault="00CB6304" w:rsidP="00CB6304">
            <w:pPr>
              <w:jc w:val="right"/>
              <w:rPr>
                <w:rFonts w:ascii="Arial" w:hAnsi="Arial" w:cs="Arial"/>
                <w:sz w:val="16"/>
                <w:szCs w:val="18"/>
              </w:rPr>
            </w:pPr>
            <w:r w:rsidRPr="00701F32">
              <w:rPr>
                <w:rFonts w:ascii="Arial" w:hAnsi="Arial" w:cs="Arial"/>
                <w:sz w:val="16"/>
                <w:szCs w:val="18"/>
              </w:rPr>
              <w:t>1.185.498</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4E04C558" w14:textId="306C9936" w:rsidR="00CB6304" w:rsidRPr="00701F32" w:rsidRDefault="00CB6304" w:rsidP="00CB6304">
            <w:pPr>
              <w:jc w:val="right"/>
              <w:rPr>
                <w:rFonts w:ascii="Arial" w:hAnsi="Arial" w:cs="Arial"/>
                <w:sz w:val="16"/>
                <w:szCs w:val="18"/>
              </w:rPr>
            </w:pPr>
            <w:r w:rsidRPr="00701F32">
              <w:rPr>
                <w:rFonts w:ascii="Arial" w:hAnsi="Arial" w:cs="Arial"/>
                <w:sz w:val="16"/>
                <w:szCs w:val="18"/>
              </w:rPr>
              <w:t>2.888.933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813A766" w14:textId="513E724D" w:rsidR="00CB6304" w:rsidRPr="00701F32" w:rsidRDefault="00CB6304">
            <w:pPr>
              <w:jc w:val="right"/>
              <w:rPr>
                <w:rFonts w:ascii="Arial" w:hAnsi="Arial" w:cs="Arial"/>
                <w:sz w:val="16"/>
                <w:szCs w:val="18"/>
              </w:rPr>
            </w:pPr>
            <w:r w:rsidRPr="00701F32">
              <w:rPr>
                <w:rFonts w:ascii="Arial" w:hAnsi="Arial" w:cs="Arial"/>
                <w:sz w:val="16"/>
                <w:szCs w:val="18"/>
              </w:rPr>
              <w:t xml:space="preserve"> -707.461 </w:t>
            </w:r>
          </w:p>
        </w:tc>
        <w:tc>
          <w:tcPr>
            <w:tcW w:w="1426" w:type="dxa"/>
            <w:tcBorders>
              <w:top w:val="single" w:sz="4" w:space="0" w:color="auto"/>
              <w:left w:val="single" w:sz="4" w:space="0" w:color="auto"/>
              <w:bottom w:val="nil"/>
              <w:right w:val="single" w:sz="4" w:space="0" w:color="auto"/>
            </w:tcBorders>
            <w:shd w:val="clear" w:color="auto" w:fill="auto"/>
            <w:noWrap/>
            <w:vAlign w:val="bottom"/>
            <w:hideMark/>
          </w:tcPr>
          <w:p w14:paraId="1509B326" w14:textId="037E3B27" w:rsidR="00CB6304" w:rsidRPr="00701F32" w:rsidRDefault="00CB6304">
            <w:pPr>
              <w:jc w:val="right"/>
              <w:rPr>
                <w:rFonts w:ascii="Arial" w:hAnsi="Arial" w:cs="Arial"/>
                <w:sz w:val="16"/>
                <w:szCs w:val="18"/>
              </w:rPr>
            </w:pPr>
            <w:r w:rsidRPr="00701F32">
              <w:rPr>
                <w:rFonts w:ascii="Arial" w:hAnsi="Arial" w:cs="Arial"/>
                <w:sz w:val="16"/>
                <w:szCs w:val="18"/>
              </w:rPr>
              <w:t xml:space="preserve"> 16.587.899 </w:t>
            </w:r>
          </w:p>
        </w:tc>
      </w:tr>
      <w:tr w:rsidR="001B25DF" w:rsidRPr="00701F32" w14:paraId="063ABB47" w14:textId="77777777" w:rsidTr="00701F32">
        <w:trPr>
          <w:trHeight w:val="225"/>
        </w:trPr>
        <w:tc>
          <w:tcPr>
            <w:tcW w:w="3261" w:type="dxa"/>
            <w:tcBorders>
              <w:top w:val="nil"/>
              <w:left w:val="single" w:sz="4" w:space="0" w:color="auto"/>
              <w:bottom w:val="nil"/>
              <w:right w:val="single" w:sz="4" w:space="0" w:color="auto"/>
            </w:tcBorders>
            <w:shd w:val="clear" w:color="auto" w:fill="auto"/>
            <w:noWrap/>
            <w:vAlign w:val="bottom"/>
            <w:hideMark/>
          </w:tcPr>
          <w:p w14:paraId="66329BB5" w14:textId="77777777" w:rsidR="00CB6304" w:rsidRPr="00701F32" w:rsidRDefault="00CB6304" w:rsidP="00CB6304">
            <w:pPr>
              <w:rPr>
                <w:rFonts w:ascii="Arial" w:hAnsi="Arial" w:cs="Arial"/>
                <w:sz w:val="16"/>
                <w:szCs w:val="18"/>
                <w:lang w:eastAsia="es-AR"/>
              </w:rPr>
            </w:pPr>
            <w:r w:rsidRPr="00701F32">
              <w:rPr>
                <w:rFonts w:ascii="Arial" w:hAnsi="Arial" w:cs="Arial"/>
                <w:sz w:val="16"/>
                <w:szCs w:val="18"/>
                <w:lang w:eastAsia="es-AR"/>
              </w:rPr>
              <w:t xml:space="preserve"> Egresos por intereses </w:t>
            </w:r>
          </w:p>
        </w:tc>
        <w:tc>
          <w:tcPr>
            <w:tcW w:w="1276" w:type="dxa"/>
            <w:tcBorders>
              <w:top w:val="nil"/>
              <w:left w:val="single" w:sz="4" w:space="0" w:color="auto"/>
              <w:bottom w:val="nil"/>
              <w:right w:val="single" w:sz="4" w:space="0" w:color="auto"/>
            </w:tcBorders>
            <w:shd w:val="clear" w:color="auto" w:fill="auto"/>
            <w:noWrap/>
            <w:vAlign w:val="bottom"/>
            <w:hideMark/>
          </w:tcPr>
          <w:p w14:paraId="3E8C50B0" w14:textId="1CAFFD58"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562.355</w:t>
            </w:r>
          </w:p>
        </w:tc>
        <w:tc>
          <w:tcPr>
            <w:tcW w:w="1276" w:type="dxa"/>
            <w:tcBorders>
              <w:top w:val="nil"/>
              <w:left w:val="single" w:sz="4" w:space="0" w:color="auto"/>
              <w:bottom w:val="nil"/>
              <w:right w:val="single" w:sz="4" w:space="0" w:color="auto"/>
            </w:tcBorders>
            <w:shd w:val="clear" w:color="auto" w:fill="auto"/>
            <w:noWrap/>
            <w:vAlign w:val="bottom"/>
            <w:hideMark/>
          </w:tcPr>
          <w:p w14:paraId="280032ED" w14:textId="2696D8F6" w:rsidR="00CB6304" w:rsidRPr="00701F32" w:rsidRDefault="00CB6304" w:rsidP="00CB6304">
            <w:pPr>
              <w:jc w:val="right"/>
              <w:rPr>
                <w:rFonts w:ascii="Arial" w:hAnsi="Arial" w:cs="Arial"/>
                <w:sz w:val="16"/>
                <w:szCs w:val="18"/>
              </w:rPr>
            </w:pPr>
            <w:r w:rsidRPr="00701F32">
              <w:rPr>
                <w:rFonts w:ascii="Arial" w:hAnsi="Arial" w:cs="Arial"/>
                <w:sz w:val="16"/>
                <w:szCs w:val="18"/>
              </w:rPr>
              <w:t>2.136.760</w:t>
            </w:r>
          </w:p>
        </w:tc>
        <w:tc>
          <w:tcPr>
            <w:tcW w:w="1276" w:type="dxa"/>
            <w:tcBorders>
              <w:top w:val="nil"/>
              <w:left w:val="single" w:sz="4" w:space="0" w:color="auto"/>
              <w:bottom w:val="nil"/>
              <w:right w:val="single" w:sz="4" w:space="0" w:color="auto"/>
            </w:tcBorders>
            <w:shd w:val="clear" w:color="auto" w:fill="auto"/>
            <w:noWrap/>
            <w:vAlign w:val="bottom"/>
            <w:hideMark/>
          </w:tcPr>
          <w:p w14:paraId="2AAE7069" w14:textId="040E0D7E" w:rsidR="00CB6304" w:rsidRPr="00701F32" w:rsidRDefault="00CB6304" w:rsidP="00CB6304">
            <w:pPr>
              <w:jc w:val="right"/>
              <w:rPr>
                <w:rFonts w:ascii="Arial" w:hAnsi="Arial" w:cs="Arial"/>
                <w:sz w:val="16"/>
                <w:szCs w:val="18"/>
              </w:rPr>
            </w:pPr>
            <w:r w:rsidRPr="00701F32">
              <w:rPr>
                <w:rFonts w:ascii="Arial" w:hAnsi="Arial" w:cs="Arial"/>
                <w:sz w:val="16"/>
                <w:szCs w:val="18"/>
              </w:rPr>
              <w:t>5.359.866</w:t>
            </w:r>
          </w:p>
        </w:tc>
        <w:tc>
          <w:tcPr>
            <w:tcW w:w="1134" w:type="dxa"/>
            <w:tcBorders>
              <w:top w:val="nil"/>
              <w:left w:val="single" w:sz="4" w:space="0" w:color="auto"/>
              <w:bottom w:val="nil"/>
              <w:right w:val="single" w:sz="4" w:space="0" w:color="auto"/>
            </w:tcBorders>
            <w:shd w:val="clear" w:color="auto" w:fill="auto"/>
            <w:noWrap/>
            <w:vAlign w:val="bottom"/>
            <w:hideMark/>
          </w:tcPr>
          <w:p w14:paraId="011B3C79" w14:textId="2A285020" w:rsidR="00CB6304" w:rsidRPr="00701F32" w:rsidRDefault="00CB6304" w:rsidP="00CB6304">
            <w:pPr>
              <w:jc w:val="right"/>
              <w:rPr>
                <w:rFonts w:ascii="Arial" w:hAnsi="Arial" w:cs="Arial"/>
                <w:sz w:val="16"/>
                <w:szCs w:val="18"/>
              </w:rPr>
            </w:pPr>
            <w:r w:rsidRPr="00701F32">
              <w:rPr>
                <w:rFonts w:ascii="Arial" w:hAnsi="Arial" w:cs="Arial"/>
                <w:sz w:val="16"/>
                <w:szCs w:val="18"/>
              </w:rPr>
              <w:t>909.102</w:t>
            </w:r>
          </w:p>
        </w:tc>
        <w:tc>
          <w:tcPr>
            <w:tcW w:w="1134" w:type="dxa"/>
            <w:tcBorders>
              <w:top w:val="nil"/>
              <w:left w:val="single" w:sz="4" w:space="0" w:color="auto"/>
              <w:bottom w:val="nil"/>
              <w:right w:val="single" w:sz="4" w:space="0" w:color="auto"/>
            </w:tcBorders>
            <w:shd w:val="clear" w:color="auto" w:fill="auto"/>
            <w:noWrap/>
            <w:vAlign w:val="bottom"/>
            <w:hideMark/>
          </w:tcPr>
          <w:p w14:paraId="0CEB96A6" w14:textId="67969BB0" w:rsidR="00CB6304" w:rsidRPr="00701F32" w:rsidRDefault="00CB6304">
            <w:pPr>
              <w:jc w:val="right"/>
              <w:rPr>
                <w:rFonts w:ascii="Arial" w:hAnsi="Arial" w:cs="Arial"/>
                <w:sz w:val="16"/>
                <w:szCs w:val="18"/>
              </w:rPr>
            </w:pPr>
            <w:r w:rsidRPr="00701F32">
              <w:rPr>
                <w:rFonts w:ascii="Arial" w:hAnsi="Arial" w:cs="Arial"/>
                <w:sz w:val="16"/>
                <w:szCs w:val="18"/>
              </w:rPr>
              <w:t xml:space="preserve"> -426.518 </w:t>
            </w:r>
          </w:p>
        </w:tc>
        <w:tc>
          <w:tcPr>
            <w:tcW w:w="1426" w:type="dxa"/>
            <w:tcBorders>
              <w:top w:val="nil"/>
              <w:left w:val="single" w:sz="4" w:space="0" w:color="auto"/>
              <w:bottom w:val="nil"/>
              <w:right w:val="single" w:sz="4" w:space="0" w:color="auto"/>
            </w:tcBorders>
            <w:shd w:val="clear" w:color="auto" w:fill="auto"/>
            <w:noWrap/>
            <w:vAlign w:val="bottom"/>
            <w:hideMark/>
          </w:tcPr>
          <w:p w14:paraId="44FF039F" w14:textId="17DF9465" w:rsidR="00CB6304" w:rsidRPr="00701F32" w:rsidRDefault="00CB6304">
            <w:pPr>
              <w:jc w:val="right"/>
              <w:rPr>
                <w:rFonts w:ascii="Arial" w:hAnsi="Arial" w:cs="Arial"/>
                <w:sz w:val="16"/>
                <w:szCs w:val="18"/>
              </w:rPr>
            </w:pPr>
            <w:r w:rsidRPr="00701F32">
              <w:rPr>
                <w:rFonts w:ascii="Arial" w:hAnsi="Arial" w:cs="Arial"/>
                <w:sz w:val="16"/>
                <w:szCs w:val="18"/>
              </w:rPr>
              <w:t xml:space="preserve"> 8.541.565 </w:t>
            </w:r>
          </w:p>
        </w:tc>
      </w:tr>
      <w:tr w:rsidR="001B25DF" w:rsidRPr="00701F32" w14:paraId="7E12BE1B" w14:textId="77777777" w:rsidTr="00701F32">
        <w:trPr>
          <w:trHeight w:val="22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62F39C2" w14:textId="77777777" w:rsidR="00A75E31" w:rsidRPr="00701F32" w:rsidRDefault="00A75E31">
            <w:pPr>
              <w:rPr>
                <w:rFonts w:ascii="Arial" w:hAnsi="Arial" w:cs="Arial"/>
                <w:sz w:val="16"/>
                <w:szCs w:val="18"/>
                <w:lang w:eastAsia="es-AR"/>
              </w:rPr>
            </w:pPr>
            <w:r w:rsidRPr="00701F32">
              <w:rPr>
                <w:rFonts w:ascii="Arial" w:hAnsi="Arial" w:cs="Arial"/>
                <w:sz w:val="16"/>
                <w:szCs w:val="18"/>
                <w:lang w:eastAsia="es-AR"/>
              </w:rPr>
              <w:t xml:space="preserve"> Resultados por Interés de Transferencia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C78C56" w14:textId="774C97EB" w:rsidR="00A75E31" w:rsidRPr="00701F32" w:rsidRDefault="00963068">
            <w:pPr>
              <w:jc w:val="right"/>
              <w:rPr>
                <w:rFonts w:ascii="Arial" w:hAnsi="Arial" w:cs="Arial"/>
                <w:sz w:val="16"/>
                <w:szCs w:val="18"/>
              </w:rPr>
            </w:pPr>
            <w:r w:rsidRPr="00701F32">
              <w:rPr>
                <w:rFonts w:ascii="Arial" w:hAnsi="Arial" w:cs="Arial"/>
                <w:sz w:val="16"/>
                <w:szCs w:val="18"/>
              </w:rPr>
              <w:t>-2.680.493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5F964E" w14:textId="506CF92C" w:rsidR="00A75E31" w:rsidRPr="00701F32" w:rsidRDefault="00963068">
            <w:pPr>
              <w:jc w:val="right"/>
              <w:rPr>
                <w:rFonts w:ascii="Arial" w:hAnsi="Arial" w:cs="Arial"/>
                <w:sz w:val="16"/>
                <w:szCs w:val="18"/>
              </w:rPr>
            </w:pPr>
            <w:r w:rsidRPr="00701F32">
              <w:rPr>
                <w:rFonts w:ascii="Arial" w:hAnsi="Arial" w:cs="Arial"/>
                <w:sz w:val="16"/>
                <w:szCs w:val="18"/>
              </w:rPr>
              <w:t>479.272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163116" w14:textId="7F9FEEE9" w:rsidR="00A75E31" w:rsidRPr="00701F32" w:rsidRDefault="00963068">
            <w:pPr>
              <w:jc w:val="right"/>
              <w:rPr>
                <w:rFonts w:ascii="Arial" w:hAnsi="Arial" w:cs="Arial"/>
                <w:sz w:val="16"/>
                <w:szCs w:val="18"/>
              </w:rPr>
            </w:pPr>
            <w:r w:rsidRPr="00701F32">
              <w:rPr>
                <w:rFonts w:ascii="Arial" w:hAnsi="Arial" w:cs="Arial"/>
                <w:sz w:val="16"/>
                <w:szCs w:val="18"/>
              </w:rPr>
              <w:t>2.201.221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65F17B"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BEDE961"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14:paraId="611F0514"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r>
      <w:tr w:rsidR="001B25DF" w:rsidRPr="00701F32" w14:paraId="43A9F394" w14:textId="77777777" w:rsidTr="00701F32">
        <w:trPr>
          <w:trHeight w:val="119"/>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41CF4" w14:textId="77777777" w:rsidR="00A75E31" w:rsidRPr="00701F32" w:rsidRDefault="00A75E31">
            <w:pPr>
              <w:rPr>
                <w:rFonts w:ascii="Arial" w:hAnsi="Arial" w:cs="Arial"/>
                <w:b/>
                <w:bCs/>
                <w:sz w:val="16"/>
                <w:szCs w:val="18"/>
                <w:lang w:eastAsia="es-AR"/>
              </w:rPr>
            </w:pPr>
            <w:r w:rsidRPr="00701F32">
              <w:rPr>
                <w:rFonts w:ascii="Arial" w:hAnsi="Arial" w:cs="Arial"/>
                <w:b/>
                <w:bCs/>
                <w:sz w:val="16"/>
                <w:szCs w:val="18"/>
                <w:lang w:eastAsia="es-AR"/>
              </w:rPr>
              <w:t xml:space="preserve"> Resultado neto por intereses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7BF5" w14:textId="359D705C" w:rsidR="00A75E31" w:rsidRPr="00701F32" w:rsidRDefault="00963068">
            <w:pPr>
              <w:jc w:val="right"/>
              <w:rPr>
                <w:rFonts w:ascii="Arial" w:hAnsi="Arial" w:cs="Arial"/>
                <w:b/>
                <w:sz w:val="16"/>
                <w:szCs w:val="18"/>
              </w:rPr>
            </w:pPr>
            <w:r w:rsidRPr="00701F32">
              <w:rPr>
                <w:rFonts w:ascii="Arial" w:hAnsi="Arial" w:cs="Arial"/>
                <w:b/>
                <w:sz w:val="16"/>
                <w:szCs w:val="18"/>
              </w:rPr>
              <w:t>2.389.319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2C23" w14:textId="73EC3BE1" w:rsidR="00A75E31" w:rsidRPr="00701F32" w:rsidRDefault="00963068">
            <w:pPr>
              <w:jc w:val="right"/>
              <w:rPr>
                <w:rFonts w:ascii="Arial" w:hAnsi="Arial" w:cs="Arial"/>
                <w:b/>
                <w:sz w:val="16"/>
                <w:szCs w:val="18"/>
              </w:rPr>
            </w:pPr>
            <w:r w:rsidRPr="00701F32">
              <w:rPr>
                <w:rFonts w:ascii="Arial" w:hAnsi="Arial" w:cs="Arial"/>
                <w:b/>
                <w:sz w:val="16"/>
                <w:szCs w:val="18"/>
              </w:rPr>
              <w:t>5.931.274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91527" w14:textId="48C22B5C" w:rsidR="00A75E31" w:rsidRPr="00701F32" w:rsidRDefault="00963068">
            <w:pPr>
              <w:jc w:val="right"/>
              <w:rPr>
                <w:rFonts w:ascii="Arial" w:hAnsi="Arial" w:cs="Arial"/>
                <w:b/>
                <w:sz w:val="16"/>
                <w:szCs w:val="18"/>
              </w:rPr>
            </w:pPr>
            <w:r w:rsidRPr="00701F32">
              <w:rPr>
                <w:rFonts w:ascii="Arial" w:hAnsi="Arial" w:cs="Arial"/>
                <w:b/>
                <w:sz w:val="16"/>
                <w:szCs w:val="18"/>
              </w:rPr>
              <w:t>-1.973.147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D5C39" w14:textId="5C0655BE" w:rsidR="00A75E31" w:rsidRPr="00701F32" w:rsidRDefault="00963068">
            <w:pPr>
              <w:jc w:val="right"/>
              <w:rPr>
                <w:rFonts w:ascii="Arial" w:hAnsi="Arial" w:cs="Arial"/>
                <w:b/>
                <w:sz w:val="16"/>
                <w:szCs w:val="18"/>
              </w:rPr>
            </w:pPr>
            <w:r w:rsidRPr="00701F32">
              <w:rPr>
                <w:rFonts w:ascii="Arial" w:hAnsi="Arial" w:cs="Arial"/>
                <w:b/>
                <w:sz w:val="16"/>
                <w:szCs w:val="18"/>
              </w:rPr>
              <w:t>1.979.831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7D57D" w14:textId="742A960D" w:rsidR="00A75E31" w:rsidRPr="00701F32" w:rsidRDefault="00CB6304">
            <w:pPr>
              <w:jc w:val="right"/>
              <w:rPr>
                <w:rFonts w:ascii="Arial" w:hAnsi="Arial" w:cs="Arial"/>
                <w:b/>
                <w:sz w:val="16"/>
                <w:szCs w:val="18"/>
              </w:rPr>
            </w:pPr>
            <w:r w:rsidRPr="00701F32">
              <w:rPr>
                <w:rFonts w:ascii="Arial" w:hAnsi="Arial" w:cs="Arial"/>
                <w:b/>
                <w:sz w:val="16"/>
                <w:szCs w:val="18"/>
              </w:rPr>
              <w:t xml:space="preserve">-280.943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13FE" w14:textId="3356F848" w:rsidR="00A75E31" w:rsidRPr="00701F32" w:rsidRDefault="00CB6304">
            <w:pPr>
              <w:jc w:val="right"/>
              <w:rPr>
                <w:rFonts w:ascii="Arial" w:hAnsi="Arial" w:cs="Arial"/>
                <w:b/>
                <w:sz w:val="16"/>
                <w:szCs w:val="18"/>
              </w:rPr>
            </w:pPr>
            <w:r w:rsidRPr="00701F32">
              <w:rPr>
                <w:rFonts w:ascii="Arial" w:hAnsi="Arial" w:cs="Arial"/>
                <w:b/>
                <w:sz w:val="16"/>
                <w:szCs w:val="18"/>
              </w:rPr>
              <w:t xml:space="preserve">8.046.334 </w:t>
            </w:r>
          </w:p>
        </w:tc>
      </w:tr>
      <w:tr w:rsidR="001B25DF" w:rsidRPr="00701F32" w14:paraId="4495FADE" w14:textId="77777777" w:rsidTr="00701F32">
        <w:trPr>
          <w:trHeight w:val="225"/>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69F25BB7" w14:textId="77777777" w:rsidR="00CB6304" w:rsidRPr="00701F32" w:rsidRDefault="00CB6304" w:rsidP="00CB6304">
            <w:pPr>
              <w:rPr>
                <w:rFonts w:ascii="Arial" w:hAnsi="Arial" w:cs="Arial"/>
                <w:sz w:val="16"/>
                <w:szCs w:val="18"/>
                <w:lang w:eastAsia="es-AR"/>
              </w:rPr>
            </w:pPr>
            <w:r w:rsidRPr="00701F32">
              <w:rPr>
                <w:rFonts w:ascii="Arial" w:hAnsi="Arial" w:cs="Arial"/>
                <w:sz w:val="16"/>
                <w:szCs w:val="18"/>
                <w:lang w:eastAsia="es-AR"/>
              </w:rPr>
              <w:t xml:space="preserve"> Ingresos por comisiones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1B56B5A" w14:textId="2A7FBE78" w:rsidR="00CB6304" w:rsidRPr="00701F32" w:rsidRDefault="00CB6304" w:rsidP="00CB6304">
            <w:pPr>
              <w:jc w:val="right"/>
              <w:rPr>
                <w:rFonts w:ascii="Arial" w:hAnsi="Arial" w:cs="Arial"/>
                <w:sz w:val="16"/>
                <w:szCs w:val="18"/>
              </w:rPr>
            </w:pPr>
            <w:r w:rsidRPr="00701F32">
              <w:rPr>
                <w:rFonts w:ascii="Arial" w:hAnsi="Arial" w:cs="Arial"/>
                <w:sz w:val="16"/>
                <w:szCs w:val="18"/>
              </w:rPr>
              <w:t>337.993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7E41670" w14:textId="01BAD30C" w:rsidR="00CB6304" w:rsidRPr="00701F32" w:rsidRDefault="00CB6304" w:rsidP="00CB6304">
            <w:pPr>
              <w:jc w:val="right"/>
              <w:rPr>
                <w:rFonts w:ascii="Arial" w:hAnsi="Arial" w:cs="Arial"/>
                <w:sz w:val="16"/>
                <w:szCs w:val="18"/>
              </w:rPr>
            </w:pPr>
            <w:r w:rsidRPr="00701F32">
              <w:rPr>
                <w:rFonts w:ascii="Arial" w:hAnsi="Arial" w:cs="Arial"/>
                <w:sz w:val="16"/>
                <w:szCs w:val="18"/>
              </w:rPr>
              <w:t>2.214.057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43DB01E" w14:textId="773F117A" w:rsidR="00CB6304" w:rsidRPr="00701F32" w:rsidRDefault="00CB6304" w:rsidP="00CB6304">
            <w:pPr>
              <w:jc w:val="right"/>
              <w:rPr>
                <w:rFonts w:ascii="Arial" w:hAnsi="Arial" w:cs="Arial"/>
                <w:sz w:val="16"/>
                <w:szCs w:val="18"/>
              </w:rPr>
            </w:pPr>
            <w:r w:rsidRPr="00701F32">
              <w:rPr>
                <w:rFonts w:ascii="Arial" w:hAnsi="Arial" w:cs="Arial"/>
                <w:sz w:val="16"/>
                <w:szCs w:val="18"/>
              </w:rPr>
              <w:t>15.545</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4D9A11E4" w14:textId="498E7646" w:rsidR="00CB6304" w:rsidRPr="00701F32" w:rsidRDefault="00CB6304" w:rsidP="00CB6304">
            <w:pPr>
              <w:jc w:val="right"/>
              <w:rPr>
                <w:rFonts w:ascii="Arial" w:hAnsi="Arial" w:cs="Arial"/>
                <w:sz w:val="16"/>
                <w:szCs w:val="18"/>
              </w:rPr>
            </w:pPr>
            <w:r w:rsidRPr="00701F32">
              <w:rPr>
                <w:rFonts w:ascii="Arial" w:hAnsi="Arial" w:cs="Arial"/>
                <w:sz w:val="16"/>
                <w:szCs w:val="18"/>
              </w:rPr>
              <w:t>563.815</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AAD2B00" w14:textId="795C3D0F" w:rsidR="00CB6304" w:rsidRPr="00701F32" w:rsidRDefault="00CB6304">
            <w:pPr>
              <w:jc w:val="right"/>
              <w:rPr>
                <w:rFonts w:ascii="Arial" w:hAnsi="Arial" w:cs="Arial"/>
                <w:sz w:val="16"/>
                <w:szCs w:val="18"/>
              </w:rPr>
            </w:pPr>
            <w:r w:rsidRPr="00701F32">
              <w:rPr>
                <w:rFonts w:ascii="Arial" w:hAnsi="Arial" w:cs="Arial"/>
                <w:sz w:val="16"/>
                <w:szCs w:val="18"/>
              </w:rPr>
              <w:t xml:space="preserve"> -1.228 </w:t>
            </w:r>
          </w:p>
        </w:tc>
        <w:tc>
          <w:tcPr>
            <w:tcW w:w="1426" w:type="dxa"/>
            <w:tcBorders>
              <w:top w:val="single" w:sz="4" w:space="0" w:color="auto"/>
              <w:left w:val="single" w:sz="4" w:space="0" w:color="auto"/>
              <w:bottom w:val="nil"/>
              <w:right w:val="single" w:sz="4" w:space="0" w:color="auto"/>
            </w:tcBorders>
            <w:shd w:val="clear" w:color="auto" w:fill="auto"/>
            <w:noWrap/>
            <w:vAlign w:val="bottom"/>
            <w:hideMark/>
          </w:tcPr>
          <w:p w14:paraId="50576A4D" w14:textId="629F5C49" w:rsidR="00CB6304" w:rsidRPr="00701F32" w:rsidRDefault="00CB6304">
            <w:pPr>
              <w:jc w:val="right"/>
              <w:rPr>
                <w:rFonts w:ascii="Arial" w:hAnsi="Arial" w:cs="Arial"/>
                <w:sz w:val="16"/>
                <w:szCs w:val="18"/>
              </w:rPr>
            </w:pPr>
            <w:r w:rsidRPr="00701F32">
              <w:rPr>
                <w:rFonts w:ascii="Arial" w:hAnsi="Arial" w:cs="Arial"/>
                <w:sz w:val="16"/>
                <w:szCs w:val="18"/>
              </w:rPr>
              <w:t xml:space="preserve"> 3.130.182 </w:t>
            </w:r>
          </w:p>
        </w:tc>
      </w:tr>
      <w:tr w:rsidR="001B25DF" w:rsidRPr="00701F32" w14:paraId="6423C0AA" w14:textId="77777777" w:rsidTr="00701F32">
        <w:trPr>
          <w:trHeight w:val="22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8C5E9E5" w14:textId="77777777" w:rsidR="00CB6304" w:rsidRPr="00701F32" w:rsidRDefault="00CB6304" w:rsidP="00CB6304">
            <w:pPr>
              <w:rPr>
                <w:rFonts w:ascii="Arial" w:hAnsi="Arial" w:cs="Arial"/>
                <w:sz w:val="16"/>
                <w:szCs w:val="18"/>
                <w:lang w:eastAsia="es-AR"/>
              </w:rPr>
            </w:pPr>
            <w:r w:rsidRPr="00701F32">
              <w:rPr>
                <w:rFonts w:ascii="Arial" w:hAnsi="Arial" w:cs="Arial"/>
                <w:sz w:val="16"/>
                <w:szCs w:val="18"/>
                <w:lang w:eastAsia="es-AR"/>
              </w:rPr>
              <w:t xml:space="preserve"> Egresos por comisiones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AAC876" w14:textId="16A455D5"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34.402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D941A5" w14:textId="397D82C7" w:rsidR="00CB6304" w:rsidRPr="00701F32" w:rsidRDefault="00CB6304" w:rsidP="00CB6304">
            <w:pPr>
              <w:jc w:val="right"/>
              <w:rPr>
                <w:rFonts w:ascii="Arial" w:hAnsi="Arial" w:cs="Arial"/>
                <w:sz w:val="16"/>
                <w:szCs w:val="18"/>
              </w:rPr>
            </w:pPr>
            <w:r w:rsidRPr="00701F32">
              <w:rPr>
                <w:rFonts w:ascii="Arial" w:hAnsi="Arial" w:cs="Arial"/>
                <w:sz w:val="16"/>
                <w:szCs w:val="18"/>
              </w:rPr>
              <w:t>531.270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B80446" w14:textId="1F0EE130" w:rsidR="00CB6304" w:rsidRPr="00701F32" w:rsidRDefault="00CB6304" w:rsidP="00CB6304">
            <w:pPr>
              <w:jc w:val="right"/>
              <w:rPr>
                <w:rFonts w:ascii="Arial" w:hAnsi="Arial" w:cs="Arial"/>
                <w:sz w:val="16"/>
                <w:szCs w:val="18"/>
              </w:rPr>
            </w:pPr>
            <w:r w:rsidRPr="00701F32">
              <w:rPr>
                <w:rFonts w:ascii="Arial" w:hAnsi="Arial" w:cs="Arial"/>
                <w:sz w:val="16"/>
                <w:szCs w:val="18"/>
              </w:rPr>
              <w:t>34.613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88C725" w14:textId="18E1C090" w:rsidR="00CB6304" w:rsidRPr="00701F32" w:rsidRDefault="00CB6304" w:rsidP="00CB6304">
            <w:pPr>
              <w:jc w:val="right"/>
              <w:rPr>
                <w:rFonts w:ascii="Arial" w:hAnsi="Arial" w:cs="Arial"/>
                <w:sz w:val="16"/>
                <w:szCs w:val="18"/>
              </w:rPr>
            </w:pPr>
            <w:r w:rsidRPr="00701F32">
              <w:rPr>
                <w:rFonts w:ascii="Arial" w:hAnsi="Arial" w:cs="Arial"/>
                <w:sz w:val="16"/>
                <w:szCs w:val="18"/>
              </w:rPr>
              <w:t>458.978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64CCEDA" w14:textId="019B9CE3" w:rsidR="00CB6304" w:rsidRPr="00701F32" w:rsidRDefault="00CB6304">
            <w:pPr>
              <w:jc w:val="right"/>
              <w:rPr>
                <w:rFonts w:ascii="Arial" w:hAnsi="Arial" w:cs="Arial"/>
                <w:sz w:val="16"/>
                <w:szCs w:val="18"/>
              </w:rPr>
            </w:pPr>
            <w:r w:rsidRPr="00701F32">
              <w:rPr>
                <w:rFonts w:ascii="Arial" w:hAnsi="Arial" w:cs="Arial"/>
                <w:sz w:val="16"/>
                <w:szCs w:val="18"/>
              </w:rPr>
              <w:t xml:space="preserve"> -65.740 </w:t>
            </w: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14:paraId="5BA85723" w14:textId="49DE581A" w:rsidR="00CB6304" w:rsidRPr="00701F32" w:rsidRDefault="00CB6304">
            <w:pPr>
              <w:jc w:val="right"/>
              <w:rPr>
                <w:rFonts w:ascii="Arial" w:hAnsi="Arial" w:cs="Arial"/>
                <w:sz w:val="16"/>
                <w:szCs w:val="18"/>
              </w:rPr>
            </w:pPr>
            <w:r w:rsidRPr="00701F32">
              <w:rPr>
                <w:rFonts w:ascii="Arial" w:hAnsi="Arial" w:cs="Arial"/>
                <w:sz w:val="16"/>
                <w:szCs w:val="18"/>
              </w:rPr>
              <w:t xml:space="preserve"> 993.523 </w:t>
            </w:r>
          </w:p>
        </w:tc>
      </w:tr>
      <w:tr w:rsidR="001B25DF" w:rsidRPr="00701F32" w14:paraId="547E6EB8" w14:textId="77777777" w:rsidTr="00701F32">
        <w:trPr>
          <w:trHeight w:val="137"/>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329A0" w14:textId="77777777" w:rsidR="00CB6304" w:rsidRPr="00701F32" w:rsidRDefault="00CB6304" w:rsidP="00CB6304">
            <w:pPr>
              <w:rPr>
                <w:rFonts w:ascii="Arial" w:hAnsi="Arial" w:cs="Arial"/>
                <w:b/>
                <w:bCs/>
                <w:sz w:val="16"/>
                <w:szCs w:val="18"/>
                <w:lang w:eastAsia="es-AR"/>
              </w:rPr>
            </w:pPr>
            <w:r w:rsidRPr="00701F32">
              <w:rPr>
                <w:rFonts w:ascii="Arial" w:hAnsi="Arial" w:cs="Arial"/>
                <w:b/>
                <w:bCs/>
                <w:sz w:val="16"/>
                <w:szCs w:val="18"/>
                <w:lang w:eastAsia="es-AR"/>
              </w:rPr>
              <w:t xml:space="preserve"> Resultado neto por comisiones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0C03B" w14:textId="71E6BAA8"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303.591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B80DC" w14:textId="3B93A2D6"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1.682.787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B4147" w14:textId="29DAC37C" w:rsidR="00CB6304" w:rsidRPr="00701F32" w:rsidRDefault="00CB6304" w:rsidP="00CB6304">
            <w:pPr>
              <w:jc w:val="right"/>
              <w:rPr>
                <w:rFonts w:ascii="Arial" w:hAnsi="Arial" w:cs="Arial"/>
                <w:b/>
                <w:sz w:val="16"/>
                <w:szCs w:val="18"/>
              </w:rPr>
            </w:pPr>
            <w:r w:rsidRPr="00701F32">
              <w:rPr>
                <w:rFonts w:ascii="Arial" w:hAnsi="Arial" w:cs="Arial"/>
                <w:b/>
                <w:sz w:val="16"/>
                <w:szCs w:val="18"/>
              </w:rPr>
              <w:t>-19.068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13F6" w14:textId="488A3A6C"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104.837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EB608" w14:textId="0B45B9D6" w:rsidR="00CB6304" w:rsidRPr="00701F32" w:rsidRDefault="00CB6304">
            <w:pPr>
              <w:jc w:val="right"/>
              <w:rPr>
                <w:rFonts w:ascii="Arial" w:hAnsi="Arial" w:cs="Arial"/>
                <w:b/>
                <w:sz w:val="16"/>
                <w:szCs w:val="18"/>
              </w:rPr>
            </w:pPr>
            <w:r w:rsidRPr="00701F32">
              <w:rPr>
                <w:rFonts w:ascii="Arial" w:hAnsi="Arial" w:cs="Arial"/>
                <w:b/>
                <w:sz w:val="16"/>
                <w:szCs w:val="18"/>
              </w:rPr>
              <w:t xml:space="preserve"> 64.512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A3FCC" w14:textId="0CF70204" w:rsidR="00CB6304" w:rsidRPr="00701F32" w:rsidRDefault="00CB6304">
            <w:pPr>
              <w:jc w:val="right"/>
              <w:rPr>
                <w:rFonts w:ascii="Arial" w:hAnsi="Arial" w:cs="Arial"/>
                <w:b/>
                <w:sz w:val="16"/>
                <w:szCs w:val="18"/>
              </w:rPr>
            </w:pPr>
            <w:r w:rsidRPr="00701F32">
              <w:rPr>
                <w:rFonts w:ascii="Arial" w:hAnsi="Arial" w:cs="Arial"/>
                <w:b/>
                <w:sz w:val="16"/>
                <w:szCs w:val="18"/>
              </w:rPr>
              <w:t xml:space="preserve"> 2.136.659 </w:t>
            </w:r>
          </w:p>
        </w:tc>
      </w:tr>
      <w:tr w:rsidR="001B25DF" w:rsidRPr="00701F32" w14:paraId="287EBA74" w14:textId="77777777" w:rsidTr="00701F32">
        <w:trPr>
          <w:trHeight w:val="118"/>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5B31" w14:textId="7B14FA90" w:rsidR="00CB6304" w:rsidRPr="00701F32" w:rsidRDefault="00CB6304" w:rsidP="00CB6304">
            <w:pPr>
              <w:rPr>
                <w:rFonts w:ascii="Arial" w:hAnsi="Arial" w:cs="Arial"/>
                <w:b/>
                <w:bCs/>
                <w:sz w:val="16"/>
                <w:szCs w:val="18"/>
                <w:lang w:eastAsia="es-AR"/>
              </w:rPr>
            </w:pPr>
            <w:r w:rsidRPr="00701F32">
              <w:rPr>
                <w:rFonts w:ascii="Arial" w:hAnsi="Arial" w:cs="Arial"/>
                <w:b/>
                <w:bCs/>
                <w:sz w:val="16"/>
                <w:szCs w:val="18"/>
                <w:lang w:eastAsia="es-AR"/>
              </w:rPr>
              <w:t xml:space="preserve">Subtotal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9322E" w14:textId="6EDD5F78" w:rsidR="00CB6304" w:rsidRPr="00701F32" w:rsidRDefault="00CB6304" w:rsidP="00CB6304">
            <w:pPr>
              <w:jc w:val="right"/>
              <w:rPr>
                <w:rFonts w:ascii="Arial" w:hAnsi="Arial" w:cs="Arial"/>
                <w:b/>
                <w:sz w:val="16"/>
                <w:szCs w:val="18"/>
              </w:rPr>
            </w:pPr>
            <w:r w:rsidRPr="00701F32">
              <w:rPr>
                <w:rFonts w:ascii="Arial" w:hAnsi="Arial" w:cs="Arial"/>
                <w:b/>
                <w:sz w:val="16"/>
                <w:szCs w:val="18"/>
              </w:rPr>
              <w:t>2.692.910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6DE37" w14:textId="3DA473DB" w:rsidR="00CB6304" w:rsidRPr="00701F32" w:rsidRDefault="00CB6304" w:rsidP="00CB6304">
            <w:pPr>
              <w:jc w:val="right"/>
              <w:rPr>
                <w:rFonts w:ascii="Arial" w:hAnsi="Arial" w:cs="Arial"/>
                <w:b/>
                <w:sz w:val="16"/>
                <w:szCs w:val="18"/>
              </w:rPr>
            </w:pPr>
            <w:r w:rsidRPr="00701F32">
              <w:rPr>
                <w:rFonts w:ascii="Arial" w:hAnsi="Arial" w:cs="Arial"/>
                <w:b/>
                <w:sz w:val="16"/>
                <w:szCs w:val="18"/>
              </w:rPr>
              <w:t>7.614.061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8CBF" w14:textId="5FA732E1" w:rsidR="00CB6304" w:rsidRPr="00701F32" w:rsidRDefault="00CB6304" w:rsidP="00CB6304">
            <w:pPr>
              <w:jc w:val="right"/>
              <w:rPr>
                <w:rFonts w:ascii="Arial" w:hAnsi="Arial" w:cs="Arial"/>
                <w:b/>
                <w:sz w:val="16"/>
                <w:szCs w:val="18"/>
              </w:rPr>
            </w:pPr>
            <w:r w:rsidRPr="00701F32">
              <w:rPr>
                <w:rFonts w:ascii="Arial" w:hAnsi="Arial" w:cs="Arial"/>
                <w:b/>
                <w:sz w:val="16"/>
                <w:szCs w:val="18"/>
              </w:rPr>
              <w:t>-1.992.215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F27AC" w14:textId="2C57C1DF" w:rsidR="00CB6304" w:rsidRPr="00701F32" w:rsidRDefault="00CB6304" w:rsidP="00CB6304">
            <w:pPr>
              <w:jc w:val="right"/>
              <w:rPr>
                <w:rFonts w:ascii="Arial" w:hAnsi="Arial" w:cs="Arial"/>
                <w:b/>
                <w:sz w:val="16"/>
                <w:szCs w:val="18"/>
              </w:rPr>
            </w:pPr>
            <w:r w:rsidRPr="00701F32">
              <w:rPr>
                <w:rFonts w:ascii="Arial" w:hAnsi="Arial" w:cs="Arial"/>
                <w:b/>
                <w:sz w:val="16"/>
                <w:szCs w:val="18"/>
              </w:rPr>
              <w:t>2.084.668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B25F" w14:textId="3DB56393" w:rsidR="00CB6304" w:rsidRPr="00701F32" w:rsidRDefault="00CB6304">
            <w:pPr>
              <w:jc w:val="right"/>
              <w:rPr>
                <w:rFonts w:ascii="Arial" w:hAnsi="Arial" w:cs="Arial"/>
                <w:b/>
                <w:sz w:val="16"/>
                <w:szCs w:val="18"/>
              </w:rPr>
            </w:pPr>
            <w:r w:rsidRPr="00701F32">
              <w:rPr>
                <w:rFonts w:ascii="Arial" w:hAnsi="Arial" w:cs="Arial"/>
                <w:b/>
                <w:sz w:val="16"/>
                <w:szCs w:val="18"/>
              </w:rPr>
              <w:t xml:space="preserve">-216.431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4CBE3" w14:textId="72B9D6E4" w:rsidR="00CB6304" w:rsidRPr="00701F32" w:rsidRDefault="00CB6304">
            <w:pPr>
              <w:jc w:val="right"/>
              <w:rPr>
                <w:rFonts w:ascii="Arial" w:hAnsi="Arial" w:cs="Arial"/>
                <w:b/>
                <w:sz w:val="16"/>
                <w:szCs w:val="18"/>
              </w:rPr>
            </w:pPr>
            <w:r w:rsidRPr="00701F32">
              <w:rPr>
                <w:rFonts w:ascii="Arial" w:hAnsi="Arial" w:cs="Arial"/>
                <w:b/>
                <w:sz w:val="16"/>
                <w:szCs w:val="18"/>
              </w:rPr>
              <w:t xml:space="preserve"> 10.182.993 </w:t>
            </w:r>
          </w:p>
        </w:tc>
      </w:tr>
      <w:tr w:rsidR="001B25DF" w:rsidRPr="00701F32" w14:paraId="61ACB1D5" w14:textId="77777777" w:rsidTr="00701F32">
        <w:trPr>
          <w:trHeight w:val="225"/>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20C3B8B4" w14:textId="77777777" w:rsidR="00A75E31" w:rsidRPr="00701F32" w:rsidRDefault="00A75E31">
            <w:pPr>
              <w:jc w:val="both"/>
              <w:rPr>
                <w:rFonts w:ascii="Arial" w:hAnsi="Arial" w:cs="Arial"/>
                <w:sz w:val="16"/>
                <w:szCs w:val="18"/>
                <w:lang w:eastAsia="es-AR"/>
              </w:rPr>
            </w:pPr>
            <w:r w:rsidRPr="00701F32">
              <w:rPr>
                <w:rFonts w:ascii="Arial" w:hAnsi="Arial" w:cs="Arial"/>
                <w:sz w:val="16"/>
                <w:szCs w:val="18"/>
                <w:lang w:eastAsia="es-AR"/>
              </w:rPr>
              <w:t xml:space="preserve"> Resultado neto por medición de instrumentos financieros a valor razonable con cambios en resultados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F918C96" w14:textId="2C7B412A"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CE42C0" w:rsidRPr="00701F32">
              <w:rPr>
                <w:rFonts w:ascii="Arial" w:hAnsi="Arial" w:cs="Arial"/>
                <w:sz w:val="16"/>
                <w:szCs w:val="18"/>
              </w:rPr>
              <w:t xml:space="preserve"> -3.708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DCB1D00" w14:textId="786C0384" w:rsidR="00A75E31" w:rsidRPr="00701F32" w:rsidRDefault="00CE42C0">
            <w:pPr>
              <w:jc w:val="right"/>
              <w:rPr>
                <w:rFonts w:ascii="Arial" w:hAnsi="Arial" w:cs="Arial"/>
                <w:sz w:val="16"/>
                <w:szCs w:val="18"/>
              </w:rPr>
            </w:pPr>
            <w:r w:rsidRPr="00701F32">
              <w:rPr>
                <w:rFonts w:ascii="Arial" w:hAnsi="Arial" w:cs="Arial"/>
                <w:sz w:val="16"/>
                <w:szCs w:val="18"/>
              </w:rPr>
              <w:t>15.441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4245FEA" w14:textId="62CFE3E0" w:rsidR="00A75E31" w:rsidRPr="00701F32" w:rsidRDefault="00CE42C0">
            <w:pPr>
              <w:jc w:val="right"/>
              <w:rPr>
                <w:rFonts w:ascii="Arial" w:hAnsi="Arial" w:cs="Arial"/>
                <w:sz w:val="16"/>
                <w:szCs w:val="18"/>
              </w:rPr>
            </w:pPr>
            <w:r w:rsidRPr="00701F32">
              <w:rPr>
                <w:rFonts w:ascii="Arial" w:hAnsi="Arial" w:cs="Arial"/>
                <w:sz w:val="16"/>
                <w:szCs w:val="18"/>
              </w:rPr>
              <w:t>2.373.553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28088D3" w14:textId="5C65EB34" w:rsidR="00A75E31" w:rsidRPr="00701F32" w:rsidRDefault="00CE42C0">
            <w:pPr>
              <w:jc w:val="right"/>
              <w:rPr>
                <w:rFonts w:ascii="Arial" w:hAnsi="Arial" w:cs="Arial"/>
                <w:sz w:val="16"/>
                <w:szCs w:val="18"/>
              </w:rPr>
            </w:pPr>
            <w:r w:rsidRPr="00701F32">
              <w:rPr>
                <w:rFonts w:ascii="Arial" w:hAnsi="Arial" w:cs="Arial"/>
                <w:sz w:val="16"/>
                <w:szCs w:val="18"/>
              </w:rPr>
              <w:t>-367.298</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80DC0F2" w14:textId="4CFD1A22" w:rsidR="00A75E31" w:rsidRPr="00701F32" w:rsidRDefault="00CB6304">
            <w:pPr>
              <w:jc w:val="right"/>
              <w:rPr>
                <w:rFonts w:ascii="Arial" w:hAnsi="Arial" w:cs="Arial"/>
                <w:sz w:val="16"/>
                <w:szCs w:val="18"/>
              </w:rPr>
            </w:pPr>
            <w:r w:rsidRPr="00701F32">
              <w:rPr>
                <w:rFonts w:ascii="Arial" w:hAnsi="Arial" w:cs="Arial"/>
                <w:sz w:val="16"/>
                <w:szCs w:val="18"/>
              </w:rPr>
              <w:t xml:space="preserve">158.137 </w:t>
            </w:r>
          </w:p>
        </w:tc>
        <w:tc>
          <w:tcPr>
            <w:tcW w:w="1426" w:type="dxa"/>
            <w:tcBorders>
              <w:top w:val="single" w:sz="4" w:space="0" w:color="auto"/>
              <w:left w:val="single" w:sz="4" w:space="0" w:color="auto"/>
              <w:bottom w:val="nil"/>
              <w:right w:val="single" w:sz="4" w:space="0" w:color="auto"/>
            </w:tcBorders>
            <w:shd w:val="clear" w:color="auto" w:fill="auto"/>
            <w:noWrap/>
            <w:vAlign w:val="bottom"/>
            <w:hideMark/>
          </w:tcPr>
          <w:p w14:paraId="72AFE9E4" w14:textId="24E067F0" w:rsidR="00A75E31" w:rsidRPr="00701F32" w:rsidRDefault="00CB6304">
            <w:pPr>
              <w:jc w:val="right"/>
              <w:rPr>
                <w:rFonts w:ascii="Arial" w:hAnsi="Arial" w:cs="Arial"/>
                <w:sz w:val="16"/>
                <w:szCs w:val="18"/>
              </w:rPr>
            </w:pPr>
            <w:r w:rsidRPr="00701F32">
              <w:rPr>
                <w:rFonts w:ascii="Arial" w:hAnsi="Arial" w:cs="Arial"/>
                <w:sz w:val="16"/>
                <w:szCs w:val="18"/>
              </w:rPr>
              <w:t xml:space="preserve">2.176.125 </w:t>
            </w:r>
          </w:p>
        </w:tc>
      </w:tr>
      <w:tr w:rsidR="001B25DF" w:rsidRPr="00701F32" w14:paraId="1BCA98EF" w14:textId="77777777" w:rsidTr="00701F32">
        <w:trPr>
          <w:trHeight w:val="225"/>
        </w:trPr>
        <w:tc>
          <w:tcPr>
            <w:tcW w:w="3261" w:type="dxa"/>
            <w:tcBorders>
              <w:top w:val="nil"/>
              <w:left w:val="single" w:sz="4" w:space="0" w:color="auto"/>
              <w:bottom w:val="nil"/>
              <w:right w:val="single" w:sz="4" w:space="0" w:color="auto"/>
            </w:tcBorders>
            <w:shd w:val="clear" w:color="auto" w:fill="auto"/>
            <w:noWrap/>
            <w:vAlign w:val="bottom"/>
            <w:hideMark/>
          </w:tcPr>
          <w:p w14:paraId="392F28B2" w14:textId="77777777" w:rsidR="00CB6304" w:rsidRPr="00701F32" w:rsidRDefault="00CB6304" w:rsidP="00CB6304">
            <w:pPr>
              <w:rPr>
                <w:rFonts w:ascii="Arial" w:hAnsi="Arial" w:cs="Arial"/>
                <w:sz w:val="16"/>
                <w:szCs w:val="18"/>
                <w:lang w:eastAsia="es-AR"/>
              </w:rPr>
            </w:pPr>
            <w:r w:rsidRPr="00701F32">
              <w:rPr>
                <w:rFonts w:ascii="Arial" w:hAnsi="Arial" w:cs="Arial"/>
                <w:sz w:val="16"/>
                <w:szCs w:val="18"/>
                <w:lang w:eastAsia="es-AR"/>
              </w:rPr>
              <w:t xml:space="preserve"> Diferencia de cotización de oro y moneda extranjera </w:t>
            </w:r>
          </w:p>
        </w:tc>
        <w:tc>
          <w:tcPr>
            <w:tcW w:w="1276" w:type="dxa"/>
            <w:tcBorders>
              <w:top w:val="nil"/>
              <w:left w:val="single" w:sz="4" w:space="0" w:color="auto"/>
              <w:bottom w:val="nil"/>
              <w:right w:val="single" w:sz="4" w:space="0" w:color="auto"/>
            </w:tcBorders>
            <w:shd w:val="clear" w:color="auto" w:fill="auto"/>
            <w:noWrap/>
            <w:vAlign w:val="bottom"/>
            <w:hideMark/>
          </w:tcPr>
          <w:p w14:paraId="61391937" w14:textId="50003701" w:rsidR="00CB6304" w:rsidRPr="00701F32" w:rsidRDefault="00CB6304" w:rsidP="00CB6304">
            <w:pPr>
              <w:jc w:val="right"/>
              <w:rPr>
                <w:rFonts w:ascii="Arial" w:hAnsi="Arial" w:cs="Arial"/>
                <w:sz w:val="16"/>
                <w:szCs w:val="18"/>
                <w:lang w:val="es-ES_tradnl"/>
              </w:rPr>
            </w:pPr>
            <w:r w:rsidRPr="00701F32">
              <w:rPr>
                <w:rFonts w:ascii="Arial" w:hAnsi="Arial" w:cs="Arial"/>
                <w:sz w:val="16"/>
                <w:szCs w:val="18"/>
              </w:rPr>
              <w:t xml:space="preserve">  33.250</w:t>
            </w:r>
          </w:p>
        </w:tc>
        <w:tc>
          <w:tcPr>
            <w:tcW w:w="1276" w:type="dxa"/>
            <w:tcBorders>
              <w:top w:val="nil"/>
              <w:left w:val="single" w:sz="4" w:space="0" w:color="auto"/>
              <w:bottom w:val="nil"/>
              <w:right w:val="single" w:sz="4" w:space="0" w:color="auto"/>
            </w:tcBorders>
            <w:shd w:val="clear" w:color="auto" w:fill="auto"/>
            <w:noWrap/>
            <w:vAlign w:val="bottom"/>
            <w:hideMark/>
          </w:tcPr>
          <w:p w14:paraId="66894A0A" w14:textId="334B12E1" w:rsidR="00CB6304" w:rsidRPr="00701F32" w:rsidRDefault="00CB6304" w:rsidP="00CB6304">
            <w:pPr>
              <w:jc w:val="right"/>
              <w:rPr>
                <w:rFonts w:ascii="Arial" w:hAnsi="Arial" w:cs="Arial"/>
                <w:sz w:val="16"/>
                <w:szCs w:val="18"/>
              </w:rPr>
            </w:pPr>
            <w:r w:rsidRPr="00701F32">
              <w:rPr>
                <w:rFonts w:ascii="Arial" w:hAnsi="Arial" w:cs="Arial"/>
                <w:sz w:val="16"/>
                <w:szCs w:val="18"/>
              </w:rPr>
              <w:t>421.621</w:t>
            </w:r>
          </w:p>
        </w:tc>
        <w:tc>
          <w:tcPr>
            <w:tcW w:w="1276" w:type="dxa"/>
            <w:tcBorders>
              <w:top w:val="nil"/>
              <w:left w:val="single" w:sz="4" w:space="0" w:color="auto"/>
              <w:bottom w:val="nil"/>
              <w:right w:val="single" w:sz="4" w:space="0" w:color="auto"/>
            </w:tcBorders>
            <w:shd w:val="clear" w:color="auto" w:fill="auto"/>
            <w:noWrap/>
            <w:vAlign w:val="bottom"/>
            <w:hideMark/>
          </w:tcPr>
          <w:p w14:paraId="3BEA5386" w14:textId="622022B2" w:rsidR="00CB6304" w:rsidRPr="00701F32" w:rsidRDefault="00CB6304" w:rsidP="00CB6304">
            <w:pPr>
              <w:jc w:val="right"/>
              <w:rPr>
                <w:rFonts w:ascii="Arial" w:hAnsi="Arial" w:cs="Arial"/>
                <w:sz w:val="16"/>
                <w:szCs w:val="18"/>
                <w:lang w:val="es-ES_tradnl"/>
              </w:rPr>
            </w:pPr>
            <w:r w:rsidRPr="00701F32">
              <w:rPr>
                <w:rFonts w:ascii="Arial" w:hAnsi="Arial" w:cs="Arial"/>
                <w:sz w:val="16"/>
                <w:szCs w:val="18"/>
              </w:rPr>
              <w:t xml:space="preserve">  -161.257</w:t>
            </w:r>
          </w:p>
        </w:tc>
        <w:tc>
          <w:tcPr>
            <w:tcW w:w="1134" w:type="dxa"/>
            <w:tcBorders>
              <w:top w:val="nil"/>
              <w:left w:val="single" w:sz="4" w:space="0" w:color="auto"/>
              <w:bottom w:val="nil"/>
              <w:right w:val="single" w:sz="4" w:space="0" w:color="auto"/>
            </w:tcBorders>
            <w:shd w:val="clear" w:color="auto" w:fill="auto"/>
            <w:noWrap/>
            <w:vAlign w:val="bottom"/>
            <w:hideMark/>
          </w:tcPr>
          <w:p w14:paraId="2793191E" w14:textId="05DFE228" w:rsidR="00CB6304" w:rsidRPr="00701F32" w:rsidRDefault="00CB6304" w:rsidP="00CB6304">
            <w:pPr>
              <w:jc w:val="right"/>
              <w:rPr>
                <w:rFonts w:ascii="Arial" w:hAnsi="Arial" w:cs="Arial"/>
                <w:sz w:val="16"/>
                <w:szCs w:val="18"/>
              </w:rPr>
            </w:pPr>
            <w:r w:rsidRPr="00701F32">
              <w:rPr>
                <w:rFonts w:ascii="Arial" w:hAnsi="Arial" w:cs="Arial"/>
                <w:sz w:val="16"/>
                <w:szCs w:val="18"/>
              </w:rPr>
              <w:t>3.107</w:t>
            </w:r>
          </w:p>
        </w:tc>
        <w:tc>
          <w:tcPr>
            <w:tcW w:w="1134" w:type="dxa"/>
            <w:tcBorders>
              <w:top w:val="nil"/>
              <w:left w:val="single" w:sz="4" w:space="0" w:color="auto"/>
              <w:bottom w:val="nil"/>
              <w:right w:val="single" w:sz="4" w:space="0" w:color="auto"/>
            </w:tcBorders>
            <w:shd w:val="clear" w:color="auto" w:fill="auto"/>
            <w:noWrap/>
            <w:vAlign w:val="bottom"/>
            <w:hideMark/>
          </w:tcPr>
          <w:p w14:paraId="51375AC8" w14:textId="78F3C3B0" w:rsidR="00CB6304" w:rsidRPr="00701F32" w:rsidRDefault="00CB6304">
            <w:pPr>
              <w:jc w:val="right"/>
              <w:rPr>
                <w:rFonts w:ascii="Arial" w:hAnsi="Arial" w:cs="Arial"/>
                <w:sz w:val="16"/>
                <w:szCs w:val="18"/>
              </w:rPr>
            </w:pPr>
            <w:r w:rsidRPr="00701F32">
              <w:rPr>
                <w:rFonts w:ascii="Arial" w:hAnsi="Arial" w:cs="Arial"/>
                <w:sz w:val="16"/>
                <w:szCs w:val="18"/>
              </w:rPr>
              <w:t xml:space="preserve">-  </w:t>
            </w:r>
          </w:p>
        </w:tc>
        <w:tc>
          <w:tcPr>
            <w:tcW w:w="1426" w:type="dxa"/>
            <w:tcBorders>
              <w:top w:val="nil"/>
              <w:left w:val="single" w:sz="4" w:space="0" w:color="auto"/>
              <w:bottom w:val="nil"/>
              <w:right w:val="single" w:sz="4" w:space="0" w:color="auto"/>
            </w:tcBorders>
            <w:shd w:val="clear" w:color="auto" w:fill="auto"/>
            <w:noWrap/>
            <w:vAlign w:val="bottom"/>
            <w:hideMark/>
          </w:tcPr>
          <w:p w14:paraId="53A27E0D" w14:textId="39D34AA8" w:rsidR="00CB6304" w:rsidRPr="00701F32" w:rsidRDefault="00CB6304">
            <w:pPr>
              <w:jc w:val="right"/>
              <w:rPr>
                <w:rFonts w:ascii="Arial" w:hAnsi="Arial" w:cs="Arial"/>
                <w:sz w:val="16"/>
                <w:szCs w:val="18"/>
              </w:rPr>
            </w:pPr>
            <w:r w:rsidRPr="00701F32">
              <w:rPr>
                <w:rFonts w:ascii="Arial" w:hAnsi="Arial" w:cs="Arial"/>
                <w:sz w:val="16"/>
                <w:szCs w:val="18"/>
              </w:rPr>
              <w:t xml:space="preserve"> 296.721 </w:t>
            </w:r>
          </w:p>
        </w:tc>
      </w:tr>
      <w:tr w:rsidR="001B25DF" w:rsidRPr="00701F32" w14:paraId="55A3952C" w14:textId="77777777" w:rsidTr="00701F32">
        <w:trPr>
          <w:trHeight w:val="225"/>
        </w:trPr>
        <w:tc>
          <w:tcPr>
            <w:tcW w:w="3261" w:type="dxa"/>
            <w:tcBorders>
              <w:top w:val="nil"/>
              <w:left w:val="single" w:sz="4" w:space="0" w:color="auto"/>
              <w:bottom w:val="nil"/>
              <w:right w:val="single" w:sz="4" w:space="0" w:color="auto"/>
            </w:tcBorders>
            <w:shd w:val="clear" w:color="auto" w:fill="auto"/>
            <w:noWrap/>
            <w:vAlign w:val="bottom"/>
            <w:hideMark/>
          </w:tcPr>
          <w:p w14:paraId="4659C4FE"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Otros ingresos operativos </w:t>
            </w:r>
          </w:p>
        </w:tc>
        <w:tc>
          <w:tcPr>
            <w:tcW w:w="1276" w:type="dxa"/>
            <w:tcBorders>
              <w:top w:val="nil"/>
              <w:left w:val="single" w:sz="4" w:space="0" w:color="auto"/>
              <w:bottom w:val="nil"/>
              <w:right w:val="single" w:sz="4" w:space="0" w:color="auto"/>
            </w:tcBorders>
            <w:shd w:val="clear" w:color="auto" w:fill="auto"/>
            <w:noWrap/>
            <w:vAlign w:val="bottom"/>
            <w:hideMark/>
          </w:tcPr>
          <w:p w14:paraId="7CE718A4" w14:textId="79E3E100"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427.986</w:t>
            </w:r>
          </w:p>
        </w:tc>
        <w:tc>
          <w:tcPr>
            <w:tcW w:w="1276" w:type="dxa"/>
            <w:tcBorders>
              <w:top w:val="nil"/>
              <w:left w:val="single" w:sz="4" w:space="0" w:color="auto"/>
              <w:bottom w:val="nil"/>
              <w:right w:val="single" w:sz="4" w:space="0" w:color="auto"/>
            </w:tcBorders>
            <w:shd w:val="clear" w:color="auto" w:fill="auto"/>
            <w:noWrap/>
            <w:vAlign w:val="bottom"/>
            <w:hideMark/>
          </w:tcPr>
          <w:p w14:paraId="48A939A6" w14:textId="363BB244" w:rsidR="00CB6304" w:rsidRPr="00701F32" w:rsidRDefault="00CB6304" w:rsidP="00CB6304">
            <w:pPr>
              <w:jc w:val="right"/>
              <w:rPr>
                <w:rFonts w:ascii="Arial" w:hAnsi="Arial" w:cs="Arial"/>
                <w:sz w:val="16"/>
                <w:szCs w:val="18"/>
              </w:rPr>
            </w:pPr>
            <w:r w:rsidRPr="00701F32">
              <w:rPr>
                <w:rFonts w:ascii="Arial" w:hAnsi="Arial" w:cs="Arial"/>
                <w:sz w:val="16"/>
                <w:szCs w:val="18"/>
              </w:rPr>
              <w:t>526.936</w:t>
            </w:r>
          </w:p>
        </w:tc>
        <w:tc>
          <w:tcPr>
            <w:tcW w:w="1276" w:type="dxa"/>
            <w:tcBorders>
              <w:top w:val="nil"/>
              <w:left w:val="single" w:sz="4" w:space="0" w:color="auto"/>
              <w:bottom w:val="nil"/>
              <w:right w:val="single" w:sz="4" w:space="0" w:color="auto"/>
            </w:tcBorders>
            <w:shd w:val="clear" w:color="auto" w:fill="auto"/>
            <w:noWrap/>
            <w:vAlign w:val="bottom"/>
            <w:hideMark/>
          </w:tcPr>
          <w:p w14:paraId="1F1568B4" w14:textId="2B329885" w:rsidR="00CB6304" w:rsidRPr="00701F32" w:rsidRDefault="00CB6304" w:rsidP="00CB6304">
            <w:pPr>
              <w:jc w:val="right"/>
              <w:rPr>
                <w:rFonts w:ascii="Arial" w:hAnsi="Arial" w:cs="Arial"/>
                <w:sz w:val="16"/>
                <w:szCs w:val="18"/>
              </w:rPr>
            </w:pPr>
            <w:r w:rsidRPr="00701F32">
              <w:rPr>
                <w:rFonts w:ascii="Arial" w:hAnsi="Arial" w:cs="Arial"/>
                <w:sz w:val="16"/>
                <w:szCs w:val="18"/>
              </w:rPr>
              <w:t>40.025</w:t>
            </w:r>
          </w:p>
        </w:tc>
        <w:tc>
          <w:tcPr>
            <w:tcW w:w="1134" w:type="dxa"/>
            <w:tcBorders>
              <w:top w:val="nil"/>
              <w:left w:val="single" w:sz="4" w:space="0" w:color="auto"/>
              <w:bottom w:val="nil"/>
              <w:right w:val="single" w:sz="4" w:space="0" w:color="auto"/>
            </w:tcBorders>
            <w:shd w:val="clear" w:color="auto" w:fill="auto"/>
            <w:noWrap/>
            <w:vAlign w:val="bottom"/>
            <w:hideMark/>
          </w:tcPr>
          <w:p w14:paraId="135E7B3D" w14:textId="4F11FA89" w:rsidR="00CB6304" w:rsidRPr="00701F32" w:rsidRDefault="00CB6304" w:rsidP="00CB6304">
            <w:pPr>
              <w:jc w:val="right"/>
              <w:rPr>
                <w:rFonts w:ascii="Arial" w:hAnsi="Arial" w:cs="Arial"/>
                <w:sz w:val="16"/>
                <w:szCs w:val="18"/>
              </w:rPr>
            </w:pPr>
            <w:r w:rsidRPr="00701F32">
              <w:rPr>
                <w:rFonts w:ascii="Arial" w:hAnsi="Arial" w:cs="Arial"/>
                <w:sz w:val="16"/>
                <w:szCs w:val="18"/>
              </w:rPr>
              <w:t>263.302</w:t>
            </w:r>
          </w:p>
        </w:tc>
        <w:tc>
          <w:tcPr>
            <w:tcW w:w="1134" w:type="dxa"/>
            <w:tcBorders>
              <w:top w:val="nil"/>
              <w:left w:val="single" w:sz="4" w:space="0" w:color="auto"/>
              <w:bottom w:val="nil"/>
              <w:right w:val="single" w:sz="4" w:space="0" w:color="auto"/>
            </w:tcBorders>
            <w:shd w:val="clear" w:color="auto" w:fill="auto"/>
            <w:noWrap/>
            <w:vAlign w:val="bottom"/>
            <w:hideMark/>
          </w:tcPr>
          <w:p w14:paraId="2AAA8F54" w14:textId="7FC539E6" w:rsidR="00CB6304" w:rsidRPr="00701F32" w:rsidRDefault="00CB6304">
            <w:pPr>
              <w:jc w:val="right"/>
              <w:rPr>
                <w:rFonts w:ascii="Arial" w:hAnsi="Arial" w:cs="Arial"/>
                <w:sz w:val="16"/>
                <w:szCs w:val="18"/>
              </w:rPr>
            </w:pPr>
            <w:r w:rsidRPr="00701F32">
              <w:rPr>
                <w:rFonts w:ascii="Arial" w:hAnsi="Arial" w:cs="Arial"/>
                <w:sz w:val="16"/>
                <w:szCs w:val="18"/>
              </w:rPr>
              <w:t>-19.979</w:t>
            </w:r>
          </w:p>
        </w:tc>
        <w:tc>
          <w:tcPr>
            <w:tcW w:w="1426" w:type="dxa"/>
            <w:tcBorders>
              <w:top w:val="nil"/>
              <w:left w:val="single" w:sz="4" w:space="0" w:color="auto"/>
              <w:bottom w:val="nil"/>
              <w:right w:val="single" w:sz="4" w:space="0" w:color="auto"/>
            </w:tcBorders>
            <w:shd w:val="clear" w:color="auto" w:fill="auto"/>
            <w:noWrap/>
            <w:vAlign w:val="bottom"/>
            <w:hideMark/>
          </w:tcPr>
          <w:p w14:paraId="6C495DE2" w14:textId="4C4B2E7B" w:rsidR="00CB6304" w:rsidRPr="00701F32" w:rsidRDefault="00CB6304">
            <w:pPr>
              <w:jc w:val="right"/>
              <w:rPr>
                <w:rFonts w:ascii="Arial" w:hAnsi="Arial" w:cs="Arial"/>
                <w:sz w:val="16"/>
                <w:szCs w:val="18"/>
              </w:rPr>
            </w:pPr>
            <w:r w:rsidRPr="00701F32">
              <w:rPr>
                <w:rFonts w:ascii="Arial" w:hAnsi="Arial" w:cs="Arial"/>
                <w:sz w:val="16"/>
                <w:szCs w:val="18"/>
              </w:rPr>
              <w:t xml:space="preserve"> 1.238.270 </w:t>
            </w:r>
          </w:p>
        </w:tc>
      </w:tr>
      <w:tr w:rsidR="001B25DF" w:rsidRPr="00701F32" w14:paraId="3A8BA5A6" w14:textId="77777777" w:rsidTr="00701F32">
        <w:trPr>
          <w:trHeight w:val="22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F9E8C60"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Cargo por incobrabilidad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7C4573" w14:textId="7B42FD52" w:rsidR="00CB6304" w:rsidRPr="00701F32" w:rsidRDefault="00CB6304" w:rsidP="00CB6304">
            <w:pPr>
              <w:jc w:val="right"/>
              <w:rPr>
                <w:rFonts w:ascii="Arial" w:hAnsi="Arial" w:cs="Arial"/>
                <w:sz w:val="16"/>
                <w:szCs w:val="18"/>
              </w:rPr>
            </w:pPr>
            <w:r w:rsidRPr="00701F32">
              <w:rPr>
                <w:rFonts w:ascii="Arial" w:hAnsi="Arial" w:cs="Arial"/>
                <w:sz w:val="16"/>
                <w:szCs w:val="18"/>
              </w:rPr>
              <w:t>471.536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8108F2" w14:textId="53FD2E6B" w:rsidR="00CB6304" w:rsidRPr="00701F32" w:rsidRDefault="00CB6304" w:rsidP="00CB6304">
            <w:pPr>
              <w:jc w:val="right"/>
              <w:rPr>
                <w:rFonts w:ascii="Arial" w:hAnsi="Arial" w:cs="Arial"/>
                <w:sz w:val="16"/>
                <w:szCs w:val="18"/>
              </w:rPr>
            </w:pPr>
            <w:r w:rsidRPr="00701F32">
              <w:rPr>
                <w:rFonts w:ascii="Arial" w:hAnsi="Arial" w:cs="Arial"/>
                <w:sz w:val="16"/>
                <w:szCs w:val="18"/>
              </w:rPr>
              <w:t>975.688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41004A" w14:textId="32EAB3FC"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18.725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B4C3B0" w14:textId="7107A0B6" w:rsidR="00CB6304" w:rsidRPr="00701F32" w:rsidRDefault="00CB6304" w:rsidP="00CB6304">
            <w:pPr>
              <w:jc w:val="right"/>
              <w:rPr>
                <w:rFonts w:ascii="Arial" w:hAnsi="Arial" w:cs="Arial"/>
                <w:sz w:val="16"/>
                <w:szCs w:val="18"/>
              </w:rPr>
            </w:pPr>
            <w:r w:rsidRPr="00701F32">
              <w:rPr>
                <w:rFonts w:ascii="Arial" w:hAnsi="Arial" w:cs="Arial"/>
                <w:sz w:val="16"/>
                <w:szCs w:val="18"/>
              </w:rPr>
              <w:t>1.163.346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C4289C" w14:textId="4CAD61F9" w:rsidR="00CB6304" w:rsidRPr="00701F32" w:rsidRDefault="00CB6304">
            <w:pPr>
              <w:jc w:val="right"/>
              <w:rPr>
                <w:rFonts w:ascii="Arial" w:hAnsi="Arial" w:cs="Arial"/>
                <w:sz w:val="16"/>
                <w:szCs w:val="18"/>
              </w:rPr>
            </w:pPr>
            <w:r w:rsidRPr="00701F32">
              <w:rPr>
                <w:rFonts w:ascii="Arial" w:hAnsi="Arial" w:cs="Arial"/>
                <w:sz w:val="16"/>
                <w:szCs w:val="18"/>
              </w:rPr>
              <w:t>-17.814</w:t>
            </w: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14:paraId="7456A1D7" w14:textId="3294710A" w:rsidR="00CB6304" w:rsidRPr="00701F32" w:rsidRDefault="00CB6304">
            <w:pPr>
              <w:jc w:val="right"/>
              <w:rPr>
                <w:rFonts w:ascii="Arial" w:hAnsi="Arial" w:cs="Arial"/>
                <w:sz w:val="16"/>
                <w:szCs w:val="18"/>
              </w:rPr>
            </w:pPr>
            <w:r w:rsidRPr="00701F32">
              <w:rPr>
                <w:rFonts w:ascii="Arial" w:hAnsi="Arial" w:cs="Arial"/>
                <w:sz w:val="16"/>
                <w:szCs w:val="18"/>
              </w:rPr>
              <w:t xml:space="preserve"> 2.611.481 </w:t>
            </w:r>
          </w:p>
        </w:tc>
      </w:tr>
      <w:tr w:rsidR="001B25DF" w:rsidRPr="00701F32" w14:paraId="5AE79B19" w14:textId="77777777" w:rsidTr="00701F32">
        <w:trPr>
          <w:trHeight w:val="16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EA48D" w14:textId="77777777" w:rsidR="00CB6304" w:rsidRPr="00701F32" w:rsidRDefault="00CB6304" w:rsidP="00CB6304">
            <w:pPr>
              <w:jc w:val="both"/>
              <w:rPr>
                <w:rFonts w:ascii="Arial" w:hAnsi="Arial" w:cs="Arial"/>
                <w:b/>
                <w:bCs/>
                <w:sz w:val="16"/>
                <w:szCs w:val="18"/>
                <w:lang w:eastAsia="es-AR"/>
              </w:rPr>
            </w:pPr>
            <w:r w:rsidRPr="00701F32">
              <w:rPr>
                <w:rFonts w:ascii="Arial" w:hAnsi="Arial" w:cs="Arial"/>
                <w:b/>
                <w:bCs/>
                <w:sz w:val="16"/>
                <w:szCs w:val="18"/>
                <w:lang w:eastAsia="es-AR"/>
              </w:rPr>
              <w:t xml:space="preserve"> Ingreso operativo neto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B877F" w14:textId="03C14F79" w:rsidR="00CB6304" w:rsidRPr="00701F32" w:rsidRDefault="00CB6304" w:rsidP="00CB6304">
            <w:pPr>
              <w:jc w:val="right"/>
              <w:rPr>
                <w:rFonts w:ascii="Arial" w:hAnsi="Arial" w:cs="Arial"/>
                <w:b/>
                <w:sz w:val="16"/>
                <w:szCs w:val="18"/>
              </w:rPr>
            </w:pPr>
            <w:r w:rsidRPr="00701F32">
              <w:rPr>
                <w:rFonts w:ascii="Arial" w:hAnsi="Arial" w:cs="Arial"/>
                <w:b/>
                <w:sz w:val="16"/>
                <w:szCs w:val="18"/>
              </w:rPr>
              <w:t>2.678.902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9D78B" w14:textId="2A128955"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7.602.371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EE97A" w14:textId="242B5A72" w:rsidR="00CB6304" w:rsidRPr="00701F32" w:rsidRDefault="00CB6304" w:rsidP="00CB6304">
            <w:pPr>
              <w:jc w:val="right"/>
              <w:rPr>
                <w:rFonts w:ascii="Arial" w:hAnsi="Arial" w:cs="Arial"/>
                <w:b/>
                <w:sz w:val="16"/>
                <w:szCs w:val="18"/>
              </w:rPr>
            </w:pPr>
            <w:r w:rsidRPr="00701F32">
              <w:rPr>
                <w:rFonts w:ascii="Arial" w:hAnsi="Arial" w:cs="Arial"/>
                <w:b/>
                <w:sz w:val="16"/>
                <w:szCs w:val="18"/>
              </w:rPr>
              <w:t>241.381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FE26E" w14:textId="2E3995B7" w:rsidR="00CB6304" w:rsidRPr="00701F32" w:rsidRDefault="00CB6304" w:rsidP="00CB6304">
            <w:pPr>
              <w:jc w:val="right"/>
              <w:rPr>
                <w:rFonts w:ascii="Arial" w:hAnsi="Arial" w:cs="Arial"/>
                <w:b/>
                <w:sz w:val="16"/>
                <w:szCs w:val="18"/>
              </w:rPr>
            </w:pPr>
            <w:r w:rsidRPr="00701F32">
              <w:rPr>
                <w:rFonts w:ascii="Arial" w:hAnsi="Arial" w:cs="Arial"/>
                <w:b/>
                <w:sz w:val="16"/>
                <w:szCs w:val="18"/>
              </w:rPr>
              <w:t>820.433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9292" w14:textId="6B4472BF" w:rsidR="00CB6304" w:rsidRPr="00701F32" w:rsidRDefault="00CB6304">
            <w:pPr>
              <w:jc w:val="right"/>
              <w:rPr>
                <w:rFonts w:ascii="Arial" w:hAnsi="Arial" w:cs="Arial"/>
                <w:b/>
                <w:sz w:val="16"/>
                <w:szCs w:val="18"/>
              </w:rPr>
            </w:pPr>
            <w:r w:rsidRPr="00701F32">
              <w:rPr>
                <w:rFonts w:ascii="Arial" w:hAnsi="Arial" w:cs="Arial"/>
                <w:b/>
                <w:sz w:val="16"/>
                <w:szCs w:val="18"/>
              </w:rPr>
              <w:t xml:space="preserve">-60.459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9A123" w14:textId="3BF2EAB8" w:rsidR="00CB6304" w:rsidRPr="00701F32" w:rsidRDefault="00CB6304">
            <w:pPr>
              <w:jc w:val="right"/>
              <w:rPr>
                <w:rFonts w:ascii="Arial" w:hAnsi="Arial" w:cs="Arial"/>
                <w:b/>
                <w:sz w:val="16"/>
                <w:szCs w:val="18"/>
              </w:rPr>
            </w:pPr>
            <w:r w:rsidRPr="00701F32">
              <w:rPr>
                <w:rFonts w:ascii="Arial" w:hAnsi="Arial" w:cs="Arial"/>
                <w:b/>
                <w:sz w:val="16"/>
                <w:szCs w:val="18"/>
              </w:rPr>
              <w:t xml:space="preserve"> 11.282.628 </w:t>
            </w:r>
          </w:p>
        </w:tc>
      </w:tr>
      <w:tr w:rsidR="001B25DF" w:rsidRPr="00701F32" w14:paraId="2DFA560D" w14:textId="77777777" w:rsidTr="00701F32">
        <w:trPr>
          <w:trHeight w:val="225"/>
        </w:trPr>
        <w:tc>
          <w:tcPr>
            <w:tcW w:w="3261" w:type="dxa"/>
            <w:tcBorders>
              <w:top w:val="single" w:sz="4" w:space="0" w:color="auto"/>
              <w:left w:val="single" w:sz="4" w:space="0" w:color="auto"/>
              <w:bottom w:val="nil"/>
              <w:right w:val="single" w:sz="4" w:space="0" w:color="auto"/>
            </w:tcBorders>
            <w:shd w:val="clear" w:color="auto" w:fill="auto"/>
            <w:noWrap/>
            <w:vAlign w:val="bottom"/>
            <w:hideMark/>
          </w:tcPr>
          <w:p w14:paraId="0235F0B1"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Beneficios al personal </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A5F6B46" w14:textId="71236CE2"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565.625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9A34661" w14:textId="77150459" w:rsidR="00CB6304" w:rsidRPr="00701F32" w:rsidRDefault="00CB6304" w:rsidP="00CB6304">
            <w:pPr>
              <w:jc w:val="right"/>
              <w:rPr>
                <w:rFonts w:ascii="Arial" w:hAnsi="Arial" w:cs="Arial"/>
                <w:sz w:val="16"/>
                <w:szCs w:val="18"/>
              </w:rPr>
            </w:pPr>
            <w:r w:rsidRPr="00701F32">
              <w:rPr>
                <w:rFonts w:ascii="Arial" w:hAnsi="Arial" w:cs="Arial"/>
                <w:sz w:val="16"/>
                <w:szCs w:val="18"/>
              </w:rPr>
              <w:t>3.202.240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7CFE1F0" w14:textId="7C54BA0C" w:rsidR="00CB6304" w:rsidRPr="00701F32" w:rsidRDefault="00CB6304" w:rsidP="00CB6304">
            <w:pPr>
              <w:jc w:val="right"/>
              <w:rPr>
                <w:rFonts w:ascii="Arial" w:hAnsi="Arial" w:cs="Arial"/>
                <w:sz w:val="16"/>
                <w:szCs w:val="18"/>
              </w:rPr>
            </w:pPr>
            <w:r w:rsidRPr="00701F32">
              <w:rPr>
                <w:rFonts w:ascii="Arial" w:hAnsi="Arial" w:cs="Arial"/>
                <w:sz w:val="16"/>
                <w:szCs w:val="18"/>
              </w:rPr>
              <w:t>190.036</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3D1B80D7" w14:textId="597257F7" w:rsidR="00CB6304" w:rsidRPr="00701F32" w:rsidRDefault="00CB6304" w:rsidP="00CB6304">
            <w:pPr>
              <w:jc w:val="right"/>
              <w:rPr>
                <w:rFonts w:ascii="Arial" w:hAnsi="Arial" w:cs="Arial"/>
                <w:sz w:val="16"/>
                <w:szCs w:val="18"/>
              </w:rPr>
            </w:pPr>
            <w:r w:rsidRPr="00701F32">
              <w:rPr>
                <w:rFonts w:ascii="Arial" w:hAnsi="Arial" w:cs="Arial"/>
                <w:sz w:val="16"/>
                <w:szCs w:val="18"/>
              </w:rPr>
              <w:t>352.385</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32A8AF9" w14:textId="77777777" w:rsidR="00CB6304" w:rsidRPr="00701F32" w:rsidRDefault="00CB6304">
            <w:pPr>
              <w:jc w:val="right"/>
              <w:rPr>
                <w:rFonts w:ascii="Arial" w:hAnsi="Arial" w:cs="Arial"/>
                <w:sz w:val="16"/>
                <w:szCs w:val="18"/>
              </w:rPr>
            </w:pPr>
            <w:r w:rsidRPr="00701F32">
              <w:rPr>
                <w:rFonts w:ascii="Arial" w:hAnsi="Arial" w:cs="Arial"/>
                <w:sz w:val="16"/>
                <w:szCs w:val="18"/>
              </w:rPr>
              <w:t>-</w:t>
            </w:r>
          </w:p>
        </w:tc>
        <w:tc>
          <w:tcPr>
            <w:tcW w:w="1426" w:type="dxa"/>
            <w:tcBorders>
              <w:top w:val="single" w:sz="4" w:space="0" w:color="auto"/>
              <w:left w:val="single" w:sz="4" w:space="0" w:color="auto"/>
              <w:bottom w:val="nil"/>
              <w:right w:val="single" w:sz="4" w:space="0" w:color="auto"/>
            </w:tcBorders>
            <w:shd w:val="clear" w:color="auto" w:fill="auto"/>
            <w:noWrap/>
            <w:vAlign w:val="bottom"/>
            <w:hideMark/>
          </w:tcPr>
          <w:p w14:paraId="72226E9C" w14:textId="12A59771" w:rsidR="00CB6304" w:rsidRPr="00701F32" w:rsidRDefault="00CB6304">
            <w:pPr>
              <w:jc w:val="right"/>
              <w:rPr>
                <w:rFonts w:ascii="Arial" w:hAnsi="Arial" w:cs="Arial"/>
                <w:sz w:val="16"/>
                <w:szCs w:val="18"/>
              </w:rPr>
            </w:pPr>
            <w:r w:rsidRPr="00701F32">
              <w:rPr>
                <w:rFonts w:ascii="Arial" w:hAnsi="Arial" w:cs="Arial"/>
                <w:sz w:val="16"/>
                <w:szCs w:val="18"/>
              </w:rPr>
              <w:t xml:space="preserve"> 4.310.286 </w:t>
            </w:r>
          </w:p>
        </w:tc>
      </w:tr>
      <w:tr w:rsidR="001B25DF" w:rsidRPr="00701F32" w14:paraId="6A770D69" w14:textId="77777777" w:rsidTr="00701F32">
        <w:trPr>
          <w:trHeight w:val="225"/>
        </w:trPr>
        <w:tc>
          <w:tcPr>
            <w:tcW w:w="3261" w:type="dxa"/>
            <w:tcBorders>
              <w:top w:val="nil"/>
              <w:left w:val="single" w:sz="4" w:space="0" w:color="auto"/>
              <w:bottom w:val="nil"/>
              <w:right w:val="single" w:sz="4" w:space="0" w:color="auto"/>
            </w:tcBorders>
            <w:shd w:val="clear" w:color="auto" w:fill="auto"/>
            <w:noWrap/>
            <w:vAlign w:val="bottom"/>
            <w:hideMark/>
          </w:tcPr>
          <w:p w14:paraId="77C40277"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Gastos de administración </w:t>
            </w:r>
          </w:p>
        </w:tc>
        <w:tc>
          <w:tcPr>
            <w:tcW w:w="1276" w:type="dxa"/>
            <w:tcBorders>
              <w:top w:val="nil"/>
              <w:left w:val="single" w:sz="4" w:space="0" w:color="auto"/>
              <w:bottom w:val="nil"/>
              <w:right w:val="single" w:sz="4" w:space="0" w:color="auto"/>
            </w:tcBorders>
            <w:shd w:val="clear" w:color="auto" w:fill="auto"/>
            <w:noWrap/>
            <w:vAlign w:val="bottom"/>
            <w:hideMark/>
          </w:tcPr>
          <w:p w14:paraId="359F95F4" w14:textId="75AF956D"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263.363</w:t>
            </w:r>
          </w:p>
        </w:tc>
        <w:tc>
          <w:tcPr>
            <w:tcW w:w="1276" w:type="dxa"/>
            <w:tcBorders>
              <w:top w:val="nil"/>
              <w:left w:val="single" w:sz="4" w:space="0" w:color="auto"/>
              <w:bottom w:val="nil"/>
              <w:right w:val="single" w:sz="4" w:space="0" w:color="auto"/>
            </w:tcBorders>
            <w:shd w:val="clear" w:color="auto" w:fill="auto"/>
            <w:noWrap/>
            <w:vAlign w:val="bottom"/>
            <w:hideMark/>
          </w:tcPr>
          <w:p w14:paraId="46487BE5" w14:textId="6C046C75" w:rsidR="00CB6304" w:rsidRPr="00701F32" w:rsidRDefault="00CB6304" w:rsidP="00CB6304">
            <w:pPr>
              <w:jc w:val="right"/>
              <w:rPr>
                <w:rFonts w:ascii="Arial" w:hAnsi="Arial" w:cs="Arial"/>
                <w:sz w:val="16"/>
                <w:szCs w:val="18"/>
              </w:rPr>
            </w:pPr>
            <w:r w:rsidRPr="00701F32">
              <w:rPr>
                <w:rFonts w:ascii="Arial" w:hAnsi="Arial" w:cs="Arial"/>
                <w:sz w:val="16"/>
                <w:szCs w:val="18"/>
              </w:rPr>
              <w:t>2.170.820</w:t>
            </w:r>
          </w:p>
        </w:tc>
        <w:tc>
          <w:tcPr>
            <w:tcW w:w="1276" w:type="dxa"/>
            <w:tcBorders>
              <w:top w:val="nil"/>
              <w:left w:val="single" w:sz="4" w:space="0" w:color="auto"/>
              <w:bottom w:val="nil"/>
              <w:right w:val="single" w:sz="4" w:space="0" w:color="auto"/>
            </w:tcBorders>
            <w:shd w:val="clear" w:color="auto" w:fill="auto"/>
            <w:noWrap/>
            <w:vAlign w:val="bottom"/>
            <w:hideMark/>
          </w:tcPr>
          <w:p w14:paraId="65C5DA41" w14:textId="00C1BA12" w:rsidR="00CB6304" w:rsidRPr="00701F32" w:rsidRDefault="00CB6304" w:rsidP="00CB6304">
            <w:pPr>
              <w:jc w:val="right"/>
              <w:rPr>
                <w:rFonts w:ascii="Arial" w:hAnsi="Arial" w:cs="Arial"/>
                <w:sz w:val="16"/>
                <w:szCs w:val="18"/>
              </w:rPr>
            </w:pPr>
            <w:r w:rsidRPr="00701F32">
              <w:rPr>
                <w:rFonts w:ascii="Arial" w:hAnsi="Arial" w:cs="Arial"/>
                <w:sz w:val="16"/>
                <w:szCs w:val="18"/>
              </w:rPr>
              <w:t>102.676</w:t>
            </w:r>
          </w:p>
        </w:tc>
        <w:tc>
          <w:tcPr>
            <w:tcW w:w="1134" w:type="dxa"/>
            <w:tcBorders>
              <w:top w:val="nil"/>
              <w:left w:val="single" w:sz="4" w:space="0" w:color="auto"/>
              <w:bottom w:val="nil"/>
              <w:right w:val="single" w:sz="4" w:space="0" w:color="auto"/>
            </w:tcBorders>
            <w:shd w:val="clear" w:color="auto" w:fill="auto"/>
            <w:noWrap/>
            <w:vAlign w:val="bottom"/>
            <w:hideMark/>
          </w:tcPr>
          <w:p w14:paraId="7252D630" w14:textId="230BF7DE" w:rsidR="00CB6304" w:rsidRPr="00701F32" w:rsidRDefault="00CB6304" w:rsidP="00CB6304">
            <w:pPr>
              <w:jc w:val="right"/>
              <w:rPr>
                <w:rFonts w:ascii="Arial" w:hAnsi="Arial" w:cs="Arial"/>
                <w:sz w:val="16"/>
                <w:szCs w:val="18"/>
              </w:rPr>
            </w:pPr>
            <w:r w:rsidRPr="00701F32">
              <w:rPr>
                <w:rFonts w:ascii="Arial" w:hAnsi="Arial" w:cs="Arial"/>
                <w:sz w:val="16"/>
                <w:szCs w:val="18"/>
              </w:rPr>
              <w:t>395.314</w:t>
            </w:r>
          </w:p>
        </w:tc>
        <w:tc>
          <w:tcPr>
            <w:tcW w:w="1134" w:type="dxa"/>
            <w:tcBorders>
              <w:top w:val="nil"/>
              <w:left w:val="single" w:sz="4" w:space="0" w:color="auto"/>
              <w:bottom w:val="nil"/>
              <w:right w:val="single" w:sz="4" w:space="0" w:color="auto"/>
            </w:tcBorders>
            <w:shd w:val="clear" w:color="auto" w:fill="auto"/>
            <w:noWrap/>
            <w:vAlign w:val="bottom"/>
            <w:hideMark/>
          </w:tcPr>
          <w:p w14:paraId="6EEFE2D3" w14:textId="1D30C363" w:rsidR="00CB6304" w:rsidRPr="00701F32" w:rsidRDefault="00CB6304">
            <w:pPr>
              <w:jc w:val="right"/>
              <w:rPr>
                <w:rFonts w:ascii="Arial" w:hAnsi="Arial" w:cs="Arial"/>
                <w:sz w:val="16"/>
                <w:szCs w:val="18"/>
              </w:rPr>
            </w:pPr>
            <w:r w:rsidRPr="00701F32">
              <w:rPr>
                <w:rFonts w:ascii="Arial" w:hAnsi="Arial" w:cs="Arial"/>
                <w:sz w:val="16"/>
                <w:szCs w:val="18"/>
              </w:rPr>
              <w:t>-13.747</w:t>
            </w:r>
          </w:p>
        </w:tc>
        <w:tc>
          <w:tcPr>
            <w:tcW w:w="1426" w:type="dxa"/>
            <w:tcBorders>
              <w:top w:val="nil"/>
              <w:left w:val="single" w:sz="4" w:space="0" w:color="auto"/>
              <w:bottom w:val="nil"/>
              <w:right w:val="single" w:sz="4" w:space="0" w:color="auto"/>
            </w:tcBorders>
            <w:shd w:val="clear" w:color="auto" w:fill="auto"/>
            <w:noWrap/>
            <w:vAlign w:val="bottom"/>
            <w:hideMark/>
          </w:tcPr>
          <w:p w14:paraId="03DDAE5E" w14:textId="72C473BB" w:rsidR="00CB6304" w:rsidRPr="00701F32" w:rsidRDefault="00CB6304">
            <w:pPr>
              <w:jc w:val="right"/>
              <w:rPr>
                <w:rFonts w:ascii="Arial" w:hAnsi="Arial" w:cs="Arial"/>
                <w:sz w:val="16"/>
                <w:szCs w:val="18"/>
              </w:rPr>
            </w:pPr>
            <w:r w:rsidRPr="00701F32">
              <w:rPr>
                <w:rFonts w:ascii="Arial" w:hAnsi="Arial" w:cs="Arial"/>
                <w:sz w:val="16"/>
                <w:szCs w:val="18"/>
              </w:rPr>
              <w:t xml:space="preserve"> 2.918.426 </w:t>
            </w:r>
          </w:p>
        </w:tc>
      </w:tr>
      <w:tr w:rsidR="001B25DF" w:rsidRPr="00701F32" w14:paraId="42A25FA6" w14:textId="77777777" w:rsidTr="00701F32">
        <w:trPr>
          <w:trHeight w:val="225"/>
        </w:trPr>
        <w:tc>
          <w:tcPr>
            <w:tcW w:w="3261" w:type="dxa"/>
            <w:tcBorders>
              <w:top w:val="nil"/>
              <w:left w:val="single" w:sz="4" w:space="0" w:color="auto"/>
              <w:bottom w:val="nil"/>
              <w:right w:val="single" w:sz="4" w:space="0" w:color="auto"/>
            </w:tcBorders>
            <w:shd w:val="clear" w:color="auto" w:fill="auto"/>
            <w:noWrap/>
            <w:vAlign w:val="bottom"/>
            <w:hideMark/>
          </w:tcPr>
          <w:p w14:paraId="744A56FF" w14:textId="7598CF6B"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Depreciaciones</w:t>
            </w:r>
            <w:r w:rsidR="00F17F39" w:rsidRPr="00701F32">
              <w:rPr>
                <w:rFonts w:ascii="Arial" w:hAnsi="Arial" w:cs="Arial"/>
                <w:sz w:val="16"/>
                <w:szCs w:val="18"/>
                <w:lang w:eastAsia="es-AR"/>
              </w:rPr>
              <w:t xml:space="preserve"> </w:t>
            </w:r>
            <w:r w:rsidRPr="00701F32">
              <w:rPr>
                <w:rFonts w:ascii="Arial" w:hAnsi="Arial" w:cs="Arial"/>
                <w:sz w:val="16"/>
                <w:szCs w:val="18"/>
                <w:lang w:eastAsia="es-AR"/>
              </w:rPr>
              <w:t xml:space="preserve">y desvalorizaciones de bienes </w:t>
            </w:r>
          </w:p>
        </w:tc>
        <w:tc>
          <w:tcPr>
            <w:tcW w:w="1276" w:type="dxa"/>
            <w:tcBorders>
              <w:top w:val="nil"/>
              <w:left w:val="single" w:sz="4" w:space="0" w:color="auto"/>
              <w:bottom w:val="nil"/>
              <w:right w:val="single" w:sz="4" w:space="0" w:color="auto"/>
            </w:tcBorders>
            <w:shd w:val="clear" w:color="auto" w:fill="auto"/>
            <w:noWrap/>
            <w:vAlign w:val="bottom"/>
            <w:hideMark/>
          </w:tcPr>
          <w:p w14:paraId="62F87D61" w14:textId="025A357C" w:rsidR="00CB6304" w:rsidRPr="00701F32" w:rsidRDefault="00CB6304" w:rsidP="00CB6304">
            <w:pPr>
              <w:jc w:val="right"/>
              <w:rPr>
                <w:rFonts w:ascii="Arial" w:hAnsi="Arial" w:cs="Arial"/>
                <w:sz w:val="16"/>
                <w:szCs w:val="18"/>
              </w:rPr>
            </w:pPr>
            <w:r w:rsidRPr="00701F32">
              <w:rPr>
                <w:rFonts w:ascii="Arial" w:hAnsi="Arial" w:cs="Arial"/>
                <w:sz w:val="16"/>
                <w:szCs w:val="18"/>
              </w:rPr>
              <w:t>44.606</w:t>
            </w:r>
          </w:p>
        </w:tc>
        <w:tc>
          <w:tcPr>
            <w:tcW w:w="1276" w:type="dxa"/>
            <w:tcBorders>
              <w:top w:val="nil"/>
              <w:left w:val="single" w:sz="4" w:space="0" w:color="auto"/>
              <w:bottom w:val="nil"/>
              <w:right w:val="single" w:sz="4" w:space="0" w:color="auto"/>
            </w:tcBorders>
            <w:shd w:val="clear" w:color="auto" w:fill="auto"/>
            <w:noWrap/>
            <w:vAlign w:val="bottom"/>
            <w:hideMark/>
          </w:tcPr>
          <w:p w14:paraId="71EEDF1B" w14:textId="59C28207" w:rsidR="00CB6304" w:rsidRPr="00701F32" w:rsidRDefault="00CB6304" w:rsidP="00CB6304">
            <w:pPr>
              <w:jc w:val="right"/>
              <w:rPr>
                <w:rFonts w:ascii="Arial" w:hAnsi="Arial" w:cs="Arial"/>
                <w:sz w:val="16"/>
                <w:szCs w:val="18"/>
              </w:rPr>
            </w:pPr>
            <w:r w:rsidRPr="00701F32">
              <w:rPr>
                <w:rFonts w:ascii="Arial" w:hAnsi="Arial" w:cs="Arial"/>
                <w:sz w:val="16"/>
                <w:szCs w:val="18"/>
              </w:rPr>
              <w:t>148.575</w:t>
            </w:r>
          </w:p>
        </w:tc>
        <w:tc>
          <w:tcPr>
            <w:tcW w:w="1276" w:type="dxa"/>
            <w:tcBorders>
              <w:top w:val="nil"/>
              <w:left w:val="single" w:sz="4" w:space="0" w:color="auto"/>
              <w:bottom w:val="nil"/>
              <w:right w:val="single" w:sz="4" w:space="0" w:color="auto"/>
            </w:tcBorders>
            <w:shd w:val="clear" w:color="auto" w:fill="auto"/>
            <w:noWrap/>
            <w:vAlign w:val="bottom"/>
            <w:hideMark/>
          </w:tcPr>
          <w:p w14:paraId="73F20C16" w14:textId="1603384A" w:rsidR="00CB6304" w:rsidRPr="00701F32" w:rsidRDefault="00CB6304" w:rsidP="00CB6304">
            <w:pPr>
              <w:jc w:val="right"/>
              <w:rPr>
                <w:rFonts w:ascii="Arial" w:hAnsi="Arial" w:cs="Arial"/>
                <w:sz w:val="16"/>
                <w:szCs w:val="18"/>
              </w:rPr>
            </w:pPr>
            <w:r w:rsidRPr="00701F32">
              <w:rPr>
                <w:rFonts w:ascii="Arial" w:hAnsi="Arial" w:cs="Arial"/>
                <w:sz w:val="16"/>
                <w:szCs w:val="18"/>
              </w:rPr>
              <w:t>10.903</w:t>
            </w:r>
          </w:p>
        </w:tc>
        <w:tc>
          <w:tcPr>
            <w:tcW w:w="1134" w:type="dxa"/>
            <w:tcBorders>
              <w:top w:val="nil"/>
              <w:left w:val="single" w:sz="4" w:space="0" w:color="auto"/>
              <w:bottom w:val="nil"/>
              <w:right w:val="single" w:sz="4" w:space="0" w:color="auto"/>
            </w:tcBorders>
            <w:shd w:val="clear" w:color="auto" w:fill="auto"/>
            <w:noWrap/>
            <w:vAlign w:val="bottom"/>
            <w:hideMark/>
          </w:tcPr>
          <w:p w14:paraId="27C69CCF" w14:textId="14932F06" w:rsidR="00CB6304" w:rsidRPr="00701F32" w:rsidRDefault="00CB6304" w:rsidP="00CB6304">
            <w:pPr>
              <w:jc w:val="right"/>
              <w:rPr>
                <w:rFonts w:ascii="Arial" w:hAnsi="Arial" w:cs="Arial"/>
                <w:sz w:val="16"/>
                <w:szCs w:val="18"/>
              </w:rPr>
            </w:pPr>
            <w:r w:rsidRPr="00701F32">
              <w:rPr>
                <w:rFonts w:ascii="Arial" w:hAnsi="Arial" w:cs="Arial"/>
                <w:sz w:val="16"/>
                <w:szCs w:val="18"/>
              </w:rPr>
              <w:t>18.452</w:t>
            </w:r>
          </w:p>
        </w:tc>
        <w:tc>
          <w:tcPr>
            <w:tcW w:w="1134" w:type="dxa"/>
            <w:tcBorders>
              <w:top w:val="nil"/>
              <w:left w:val="single" w:sz="4" w:space="0" w:color="auto"/>
              <w:bottom w:val="nil"/>
              <w:right w:val="single" w:sz="4" w:space="0" w:color="auto"/>
            </w:tcBorders>
            <w:shd w:val="clear" w:color="auto" w:fill="auto"/>
            <w:noWrap/>
            <w:vAlign w:val="bottom"/>
            <w:hideMark/>
          </w:tcPr>
          <w:p w14:paraId="097A6B92" w14:textId="77777777" w:rsidR="00CB6304" w:rsidRPr="00701F32" w:rsidRDefault="00CB6304">
            <w:pPr>
              <w:jc w:val="right"/>
              <w:rPr>
                <w:rFonts w:ascii="Arial" w:hAnsi="Arial" w:cs="Arial"/>
                <w:sz w:val="16"/>
                <w:szCs w:val="18"/>
              </w:rPr>
            </w:pPr>
            <w:r w:rsidRPr="00701F32">
              <w:rPr>
                <w:rFonts w:ascii="Arial" w:hAnsi="Arial" w:cs="Arial"/>
                <w:sz w:val="16"/>
                <w:szCs w:val="18"/>
              </w:rPr>
              <w:t>-</w:t>
            </w:r>
          </w:p>
        </w:tc>
        <w:tc>
          <w:tcPr>
            <w:tcW w:w="1426" w:type="dxa"/>
            <w:tcBorders>
              <w:top w:val="nil"/>
              <w:left w:val="single" w:sz="4" w:space="0" w:color="auto"/>
              <w:bottom w:val="nil"/>
              <w:right w:val="single" w:sz="4" w:space="0" w:color="auto"/>
            </w:tcBorders>
            <w:shd w:val="clear" w:color="auto" w:fill="auto"/>
            <w:noWrap/>
            <w:vAlign w:val="bottom"/>
            <w:hideMark/>
          </w:tcPr>
          <w:p w14:paraId="387D869F" w14:textId="6D7FBF3C" w:rsidR="00CB6304" w:rsidRPr="00701F32" w:rsidRDefault="00CB6304">
            <w:pPr>
              <w:jc w:val="right"/>
              <w:rPr>
                <w:rFonts w:ascii="Arial" w:hAnsi="Arial" w:cs="Arial"/>
                <w:sz w:val="16"/>
                <w:szCs w:val="18"/>
              </w:rPr>
            </w:pPr>
            <w:r w:rsidRPr="00701F32">
              <w:rPr>
                <w:rFonts w:ascii="Arial" w:hAnsi="Arial" w:cs="Arial"/>
                <w:sz w:val="16"/>
                <w:szCs w:val="18"/>
              </w:rPr>
              <w:t xml:space="preserve"> 222.536 </w:t>
            </w:r>
          </w:p>
        </w:tc>
      </w:tr>
      <w:tr w:rsidR="001B25DF" w:rsidRPr="00701F32" w14:paraId="7595A93A" w14:textId="77777777" w:rsidTr="00701F32">
        <w:trPr>
          <w:trHeight w:val="22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A3C2DA2"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Otros gastos operativos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1AF80E3" w14:textId="58D85AA1" w:rsidR="00CB6304" w:rsidRPr="00701F32" w:rsidRDefault="00CB6304" w:rsidP="00CB6304">
            <w:pPr>
              <w:jc w:val="right"/>
              <w:rPr>
                <w:rFonts w:ascii="Arial" w:hAnsi="Arial" w:cs="Arial"/>
                <w:sz w:val="16"/>
                <w:szCs w:val="18"/>
              </w:rPr>
            </w:pPr>
            <w:r w:rsidRPr="00701F32">
              <w:rPr>
                <w:rFonts w:ascii="Arial" w:hAnsi="Arial" w:cs="Arial"/>
                <w:sz w:val="16"/>
                <w:szCs w:val="18"/>
              </w:rPr>
              <w:t>506.507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F0408E" w14:textId="7F19B9D0" w:rsidR="00CB6304" w:rsidRPr="00701F32" w:rsidRDefault="00CB6304" w:rsidP="00CB6304">
            <w:pPr>
              <w:jc w:val="right"/>
              <w:rPr>
                <w:rFonts w:ascii="Arial" w:hAnsi="Arial" w:cs="Arial"/>
                <w:sz w:val="16"/>
                <w:szCs w:val="18"/>
              </w:rPr>
            </w:pPr>
            <w:r w:rsidRPr="00701F32">
              <w:rPr>
                <w:rFonts w:ascii="Arial" w:hAnsi="Arial" w:cs="Arial"/>
                <w:sz w:val="16"/>
                <w:szCs w:val="18"/>
              </w:rPr>
              <w:t>1.444.798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E97B59" w14:textId="18FA4CE9" w:rsidR="00CB6304" w:rsidRPr="00701F32" w:rsidRDefault="00CB6304" w:rsidP="00CB6304">
            <w:pPr>
              <w:jc w:val="right"/>
              <w:rPr>
                <w:rFonts w:ascii="Arial" w:hAnsi="Arial" w:cs="Arial"/>
                <w:sz w:val="16"/>
                <w:szCs w:val="18"/>
              </w:rPr>
            </w:pPr>
            <w:r w:rsidRPr="00701F32">
              <w:rPr>
                <w:rFonts w:ascii="Arial" w:hAnsi="Arial" w:cs="Arial"/>
                <w:sz w:val="16"/>
                <w:szCs w:val="18"/>
              </w:rPr>
              <w:t>135.012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2DF785" w14:textId="5565534C" w:rsidR="00CB6304" w:rsidRPr="00701F32" w:rsidRDefault="00CB6304" w:rsidP="00CB6304">
            <w:pPr>
              <w:jc w:val="right"/>
              <w:rPr>
                <w:rFonts w:ascii="Arial" w:hAnsi="Arial" w:cs="Arial"/>
                <w:sz w:val="16"/>
                <w:szCs w:val="18"/>
              </w:rPr>
            </w:pPr>
            <w:r w:rsidRPr="00701F32">
              <w:rPr>
                <w:rFonts w:ascii="Arial" w:hAnsi="Arial" w:cs="Arial"/>
                <w:sz w:val="16"/>
                <w:szCs w:val="18"/>
              </w:rPr>
              <w:t>331.917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7DA2A0" w14:textId="77777777" w:rsidR="00CB6304" w:rsidRPr="00701F32" w:rsidRDefault="00CB6304">
            <w:pPr>
              <w:jc w:val="right"/>
              <w:rPr>
                <w:rFonts w:ascii="Arial" w:hAnsi="Arial" w:cs="Arial"/>
                <w:sz w:val="16"/>
                <w:szCs w:val="18"/>
              </w:rPr>
            </w:pPr>
            <w:r w:rsidRPr="00701F32">
              <w:rPr>
                <w:rFonts w:ascii="Arial" w:hAnsi="Arial" w:cs="Arial"/>
                <w:sz w:val="16"/>
                <w:szCs w:val="18"/>
              </w:rPr>
              <w:t>-</w:t>
            </w: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14:paraId="37D4B0F6" w14:textId="2B395D7B" w:rsidR="00CB6304" w:rsidRPr="00701F32" w:rsidRDefault="00CB6304">
            <w:pPr>
              <w:jc w:val="right"/>
              <w:rPr>
                <w:rFonts w:ascii="Arial" w:hAnsi="Arial" w:cs="Arial"/>
                <w:sz w:val="16"/>
                <w:szCs w:val="18"/>
              </w:rPr>
            </w:pPr>
            <w:r w:rsidRPr="00701F32">
              <w:rPr>
                <w:rFonts w:ascii="Arial" w:hAnsi="Arial" w:cs="Arial"/>
                <w:sz w:val="16"/>
                <w:szCs w:val="18"/>
              </w:rPr>
              <w:t xml:space="preserve"> 2.418.234 </w:t>
            </w:r>
          </w:p>
        </w:tc>
      </w:tr>
      <w:tr w:rsidR="001B25DF" w:rsidRPr="00701F32" w14:paraId="1C18753C" w14:textId="77777777" w:rsidTr="00701F32">
        <w:trPr>
          <w:trHeight w:val="203"/>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0A70" w14:textId="77777777" w:rsidR="00CB6304" w:rsidRPr="00701F32" w:rsidRDefault="00CB6304" w:rsidP="00CB6304">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operativo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219D" w14:textId="52C40D7A" w:rsidR="00CB6304" w:rsidRPr="00701F32" w:rsidRDefault="00CB6304" w:rsidP="00CB6304">
            <w:pPr>
              <w:jc w:val="right"/>
              <w:rPr>
                <w:rFonts w:ascii="Arial" w:hAnsi="Arial" w:cs="Arial"/>
                <w:b/>
                <w:sz w:val="16"/>
                <w:szCs w:val="18"/>
              </w:rPr>
            </w:pPr>
            <w:r w:rsidRPr="00701F32">
              <w:rPr>
                <w:rFonts w:ascii="Arial" w:hAnsi="Arial" w:cs="Arial"/>
                <w:b/>
                <w:sz w:val="16"/>
                <w:szCs w:val="18"/>
              </w:rPr>
              <w:t>1.298.801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93CFB" w14:textId="4645DA56" w:rsidR="00CB6304" w:rsidRPr="00701F32" w:rsidRDefault="00CB6304" w:rsidP="00CB6304">
            <w:pPr>
              <w:jc w:val="right"/>
              <w:rPr>
                <w:rFonts w:ascii="Arial" w:hAnsi="Arial" w:cs="Arial"/>
                <w:b/>
                <w:sz w:val="16"/>
                <w:szCs w:val="18"/>
              </w:rPr>
            </w:pPr>
            <w:r w:rsidRPr="00701F32">
              <w:rPr>
                <w:rFonts w:ascii="Arial" w:hAnsi="Arial" w:cs="Arial"/>
                <w:b/>
                <w:sz w:val="16"/>
                <w:szCs w:val="18"/>
              </w:rPr>
              <w:t>635.938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544D1" w14:textId="00D5E6FE" w:rsidR="00CB6304" w:rsidRPr="00701F32" w:rsidRDefault="00CB6304" w:rsidP="00CB6304">
            <w:pPr>
              <w:jc w:val="right"/>
              <w:rPr>
                <w:rFonts w:ascii="Arial" w:hAnsi="Arial" w:cs="Arial"/>
                <w:b/>
                <w:sz w:val="16"/>
                <w:szCs w:val="18"/>
              </w:rPr>
            </w:pPr>
            <w:r w:rsidRPr="00701F32">
              <w:rPr>
                <w:rFonts w:ascii="Arial" w:hAnsi="Arial" w:cs="Arial"/>
                <w:b/>
                <w:sz w:val="16"/>
                <w:szCs w:val="18"/>
              </w:rPr>
              <w:t>-197.246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E0BBF" w14:textId="290B5845" w:rsidR="00CB6304" w:rsidRPr="00701F32" w:rsidRDefault="00CB6304" w:rsidP="00CB6304">
            <w:pPr>
              <w:jc w:val="right"/>
              <w:rPr>
                <w:rFonts w:ascii="Arial" w:hAnsi="Arial" w:cs="Arial"/>
                <w:b/>
                <w:sz w:val="16"/>
                <w:szCs w:val="18"/>
              </w:rPr>
            </w:pPr>
            <w:r w:rsidRPr="00701F32">
              <w:rPr>
                <w:rFonts w:ascii="Arial" w:hAnsi="Arial" w:cs="Arial"/>
                <w:b/>
                <w:sz w:val="16"/>
                <w:szCs w:val="18"/>
              </w:rPr>
              <w:t>-277.635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881C" w14:textId="3346192C" w:rsidR="00CB6304" w:rsidRPr="00701F32" w:rsidRDefault="00CB6304">
            <w:pPr>
              <w:jc w:val="right"/>
              <w:rPr>
                <w:rFonts w:ascii="Arial" w:hAnsi="Arial" w:cs="Arial"/>
                <w:b/>
                <w:sz w:val="16"/>
                <w:szCs w:val="18"/>
              </w:rPr>
            </w:pPr>
            <w:r w:rsidRPr="00701F32">
              <w:rPr>
                <w:rFonts w:ascii="Arial" w:hAnsi="Arial" w:cs="Arial"/>
                <w:b/>
                <w:sz w:val="16"/>
                <w:szCs w:val="18"/>
              </w:rPr>
              <w:t>-46.712</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7F52" w14:textId="7D2C5223" w:rsidR="00CB6304" w:rsidRPr="00701F32" w:rsidRDefault="00CB6304">
            <w:pPr>
              <w:jc w:val="right"/>
              <w:rPr>
                <w:rFonts w:ascii="Arial" w:hAnsi="Arial" w:cs="Arial"/>
                <w:b/>
                <w:sz w:val="16"/>
                <w:szCs w:val="18"/>
              </w:rPr>
            </w:pPr>
            <w:r w:rsidRPr="00701F32">
              <w:rPr>
                <w:rFonts w:ascii="Arial" w:hAnsi="Arial" w:cs="Arial"/>
                <w:b/>
                <w:sz w:val="16"/>
                <w:szCs w:val="18"/>
              </w:rPr>
              <w:t xml:space="preserve"> 1.413.146 </w:t>
            </w:r>
          </w:p>
        </w:tc>
      </w:tr>
      <w:tr w:rsidR="001B25DF" w:rsidRPr="00701F32" w14:paraId="1EA60AEE"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64FCB"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Resultado por asociadas y negocios conjuntos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0626" w14:textId="77777777"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8ACC2" w14:textId="77777777" w:rsidR="00CB6304" w:rsidRPr="00701F32" w:rsidRDefault="00CB6304" w:rsidP="00CB6304">
            <w:pPr>
              <w:jc w:val="right"/>
              <w:rPr>
                <w:rFonts w:ascii="Arial" w:hAnsi="Arial" w:cs="Arial"/>
                <w:sz w:val="16"/>
                <w:szCs w:val="18"/>
              </w:rPr>
            </w:pPr>
            <w:r w:rsidRPr="00701F32">
              <w:rPr>
                <w:rFonts w:ascii="Arial" w:hAnsi="Arial" w:cs="Arial"/>
                <w:sz w:val="16"/>
                <w:szCs w:val="18"/>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56DC" w14:textId="77777777" w:rsidR="00CB6304" w:rsidRPr="00701F32" w:rsidRDefault="00CB6304" w:rsidP="00CB6304">
            <w:pPr>
              <w:jc w:val="right"/>
              <w:rPr>
                <w:rFonts w:ascii="Arial" w:hAnsi="Arial" w:cs="Arial"/>
                <w:sz w:val="16"/>
                <w:szCs w:val="18"/>
                <w:lang w:val="es-ES_tradnl"/>
              </w:rPr>
            </w:pPr>
            <w:r w:rsidRPr="00701F32">
              <w:rPr>
                <w:rFonts w:ascii="Arial" w:hAnsi="Arial" w:cs="Arial"/>
                <w:sz w:val="16"/>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8FB3C" w14:textId="2857FBC5" w:rsidR="00CB6304" w:rsidRPr="00701F32" w:rsidRDefault="00CB6304" w:rsidP="00CB6304">
            <w:pPr>
              <w:jc w:val="right"/>
              <w:rPr>
                <w:rFonts w:ascii="Arial" w:hAnsi="Arial" w:cs="Arial"/>
                <w:sz w:val="16"/>
                <w:szCs w:val="18"/>
              </w:rPr>
            </w:pPr>
            <w:r w:rsidRPr="00701F32">
              <w:rPr>
                <w:rFonts w:ascii="Arial" w:hAnsi="Arial" w:cs="Arial"/>
                <w:sz w:val="16"/>
                <w:szCs w:val="18"/>
              </w:rPr>
              <w:t>-1.440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E0F2" w14:textId="526277C7" w:rsidR="00CB6304" w:rsidRPr="00701F32" w:rsidRDefault="00CB6304">
            <w:pPr>
              <w:jc w:val="right"/>
              <w:rPr>
                <w:rFonts w:ascii="Arial" w:hAnsi="Arial" w:cs="Arial"/>
                <w:sz w:val="16"/>
                <w:szCs w:val="18"/>
              </w:rPr>
            </w:pPr>
            <w:r w:rsidRPr="00701F32">
              <w:rPr>
                <w:rFonts w:ascii="Arial" w:hAnsi="Arial" w:cs="Arial"/>
                <w:sz w:val="16"/>
                <w:szCs w:val="18"/>
              </w:rPr>
              <w:t>-6.598</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48DF1" w14:textId="2699E483" w:rsidR="00CB6304" w:rsidRPr="00701F32" w:rsidRDefault="00CB6304">
            <w:pPr>
              <w:jc w:val="right"/>
              <w:rPr>
                <w:rFonts w:ascii="Arial" w:hAnsi="Arial" w:cs="Arial"/>
                <w:sz w:val="16"/>
                <w:szCs w:val="18"/>
              </w:rPr>
            </w:pPr>
            <w:r w:rsidRPr="00701F32">
              <w:rPr>
                <w:rFonts w:ascii="Arial" w:hAnsi="Arial" w:cs="Arial"/>
                <w:sz w:val="16"/>
                <w:szCs w:val="18"/>
              </w:rPr>
              <w:t xml:space="preserve"> -8.038 </w:t>
            </w:r>
          </w:p>
        </w:tc>
      </w:tr>
      <w:tr w:rsidR="001B25DF" w:rsidRPr="00701F32" w14:paraId="46B6C067"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FEA9" w14:textId="77777777" w:rsidR="00CB6304" w:rsidRPr="00701F32" w:rsidRDefault="00CB6304" w:rsidP="00CB6304">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antes de impuesto de las actividades que continúan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8E0F" w14:textId="78E0398C" w:rsidR="00CB6304" w:rsidRPr="00701F32" w:rsidRDefault="00CB6304" w:rsidP="00CB6304">
            <w:pPr>
              <w:jc w:val="right"/>
              <w:rPr>
                <w:rFonts w:ascii="Arial" w:hAnsi="Arial" w:cs="Arial"/>
                <w:b/>
                <w:sz w:val="16"/>
                <w:szCs w:val="18"/>
              </w:rPr>
            </w:pPr>
            <w:r w:rsidRPr="00701F32">
              <w:rPr>
                <w:rFonts w:ascii="Arial" w:hAnsi="Arial" w:cs="Arial"/>
                <w:b/>
                <w:sz w:val="16"/>
                <w:szCs w:val="18"/>
              </w:rPr>
              <w:t>1.298.801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9A82B" w14:textId="4D0CA665" w:rsidR="00CB6304" w:rsidRPr="00701F32" w:rsidRDefault="00CB6304" w:rsidP="00CB6304">
            <w:pPr>
              <w:jc w:val="right"/>
              <w:rPr>
                <w:rFonts w:ascii="Arial" w:hAnsi="Arial" w:cs="Arial"/>
                <w:b/>
                <w:sz w:val="16"/>
                <w:szCs w:val="18"/>
              </w:rPr>
            </w:pPr>
            <w:r w:rsidRPr="00701F32">
              <w:rPr>
                <w:rFonts w:ascii="Arial" w:hAnsi="Arial" w:cs="Arial"/>
                <w:b/>
                <w:sz w:val="16"/>
                <w:szCs w:val="18"/>
              </w:rPr>
              <w:t>635.938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567D8" w14:textId="79585850" w:rsidR="00CB6304" w:rsidRPr="00701F32" w:rsidRDefault="00CB6304" w:rsidP="00CB6304">
            <w:pPr>
              <w:jc w:val="right"/>
              <w:rPr>
                <w:rFonts w:ascii="Arial" w:hAnsi="Arial" w:cs="Arial"/>
                <w:b/>
                <w:sz w:val="16"/>
                <w:szCs w:val="18"/>
              </w:rPr>
            </w:pPr>
            <w:r w:rsidRPr="00701F32">
              <w:rPr>
                <w:rFonts w:ascii="Arial" w:hAnsi="Arial" w:cs="Arial"/>
                <w:b/>
                <w:sz w:val="16"/>
                <w:szCs w:val="18"/>
              </w:rPr>
              <w:t>-197.246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845D" w14:textId="4D40FD48" w:rsidR="00CB6304" w:rsidRPr="00701F32" w:rsidRDefault="00CB6304" w:rsidP="00CB6304">
            <w:pPr>
              <w:jc w:val="right"/>
              <w:rPr>
                <w:rFonts w:ascii="Arial" w:hAnsi="Arial" w:cs="Arial"/>
                <w:b/>
                <w:sz w:val="16"/>
                <w:szCs w:val="18"/>
              </w:rPr>
            </w:pPr>
            <w:r w:rsidRPr="00701F32">
              <w:rPr>
                <w:rFonts w:ascii="Arial" w:hAnsi="Arial" w:cs="Arial"/>
                <w:b/>
                <w:sz w:val="16"/>
                <w:szCs w:val="18"/>
              </w:rPr>
              <w:t>-279.075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BB4C9" w14:textId="514195B0" w:rsidR="00CB6304" w:rsidRPr="00701F32" w:rsidRDefault="00CB6304">
            <w:pPr>
              <w:jc w:val="right"/>
              <w:rPr>
                <w:rFonts w:ascii="Arial" w:hAnsi="Arial" w:cs="Arial"/>
                <w:b/>
                <w:sz w:val="16"/>
                <w:szCs w:val="18"/>
              </w:rPr>
            </w:pPr>
            <w:r w:rsidRPr="00701F32">
              <w:rPr>
                <w:rFonts w:ascii="Arial" w:hAnsi="Arial" w:cs="Arial"/>
                <w:b/>
                <w:sz w:val="16"/>
                <w:szCs w:val="18"/>
              </w:rPr>
              <w:t xml:space="preserve">-53.310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3440F" w14:textId="5C18554E" w:rsidR="00CB6304" w:rsidRPr="00701F32" w:rsidRDefault="00CB6304">
            <w:pPr>
              <w:jc w:val="right"/>
              <w:rPr>
                <w:rFonts w:ascii="Arial" w:hAnsi="Arial" w:cs="Arial"/>
                <w:b/>
                <w:sz w:val="16"/>
                <w:szCs w:val="18"/>
              </w:rPr>
            </w:pPr>
            <w:r w:rsidRPr="00701F32">
              <w:rPr>
                <w:rFonts w:ascii="Arial" w:hAnsi="Arial" w:cs="Arial"/>
                <w:b/>
                <w:sz w:val="16"/>
                <w:szCs w:val="18"/>
              </w:rPr>
              <w:t xml:space="preserve"> 1.405.108 </w:t>
            </w:r>
          </w:p>
        </w:tc>
      </w:tr>
      <w:tr w:rsidR="001B25DF" w:rsidRPr="00701F32" w14:paraId="62EE2DA4"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FF7CC" w14:textId="77777777" w:rsidR="00CB6304" w:rsidRPr="00701F32" w:rsidRDefault="00CB6304" w:rsidP="00CB6304">
            <w:pPr>
              <w:jc w:val="both"/>
              <w:rPr>
                <w:rFonts w:ascii="Arial" w:hAnsi="Arial" w:cs="Arial"/>
                <w:sz w:val="16"/>
                <w:szCs w:val="18"/>
                <w:lang w:eastAsia="es-AR"/>
              </w:rPr>
            </w:pPr>
            <w:r w:rsidRPr="00701F32">
              <w:rPr>
                <w:rFonts w:ascii="Arial" w:hAnsi="Arial" w:cs="Arial"/>
                <w:sz w:val="16"/>
                <w:szCs w:val="18"/>
                <w:lang w:eastAsia="es-AR"/>
              </w:rPr>
              <w:t xml:space="preserve"> Impuesto a las ganancias de las actividades que continúan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38C8" w14:textId="2C8D7F68" w:rsidR="00CB6304" w:rsidRPr="00701F32" w:rsidRDefault="00CB6304" w:rsidP="00CB6304">
            <w:pPr>
              <w:jc w:val="right"/>
              <w:rPr>
                <w:rFonts w:ascii="Arial" w:hAnsi="Arial" w:cs="Arial"/>
                <w:sz w:val="16"/>
                <w:szCs w:val="18"/>
              </w:rPr>
            </w:pPr>
            <w:r w:rsidRPr="00701F32">
              <w:rPr>
                <w:rFonts w:ascii="Arial" w:hAnsi="Arial" w:cs="Arial"/>
                <w:sz w:val="16"/>
                <w:szCs w:val="18"/>
              </w:rPr>
              <w:t>264.924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92B3E" w14:textId="4B5D8C1A" w:rsidR="00CB6304" w:rsidRPr="00701F32" w:rsidRDefault="00CB6304" w:rsidP="00CB6304">
            <w:pPr>
              <w:jc w:val="right"/>
              <w:rPr>
                <w:rFonts w:ascii="Arial" w:hAnsi="Arial" w:cs="Arial"/>
                <w:sz w:val="16"/>
                <w:szCs w:val="18"/>
              </w:rPr>
            </w:pPr>
            <w:r w:rsidRPr="00701F32">
              <w:rPr>
                <w:rFonts w:ascii="Arial" w:hAnsi="Arial" w:cs="Arial"/>
                <w:sz w:val="16"/>
                <w:szCs w:val="18"/>
              </w:rPr>
              <w:t>148.086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CDA84" w14:textId="5ED49AAF" w:rsidR="00CB6304" w:rsidRPr="00701F32" w:rsidRDefault="00CB6304" w:rsidP="00CB6304">
            <w:pPr>
              <w:jc w:val="right"/>
              <w:rPr>
                <w:rFonts w:ascii="Arial" w:hAnsi="Arial" w:cs="Arial"/>
                <w:sz w:val="16"/>
                <w:szCs w:val="18"/>
              </w:rPr>
            </w:pPr>
            <w:r w:rsidRPr="00701F32">
              <w:rPr>
                <w:rFonts w:ascii="Arial" w:hAnsi="Arial" w:cs="Arial"/>
                <w:sz w:val="16"/>
                <w:szCs w:val="18"/>
              </w:rPr>
              <w:t>-57.269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D07F" w14:textId="1D3F123A" w:rsidR="00CB6304" w:rsidRPr="00701F32" w:rsidRDefault="00CB6304" w:rsidP="00CB6304">
            <w:pPr>
              <w:jc w:val="right"/>
              <w:rPr>
                <w:rFonts w:ascii="Arial" w:hAnsi="Arial" w:cs="Arial"/>
                <w:sz w:val="16"/>
                <w:szCs w:val="18"/>
              </w:rPr>
            </w:pPr>
            <w:r w:rsidRPr="00701F32">
              <w:rPr>
                <w:rFonts w:ascii="Arial" w:hAnsi="Arial" w:cs="Arial"/>
                <w:sz w:val="16"/>
                <w:szCs w:val="18"/>
              </w:rPr>
              <w:t>-89.142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6A1D" w14:textId="17AB0F11" w:rsidR="00CB6304" w:rsidRPr="00701F32" w:rsidRDefault="00CB6304">
            <w:pPr>
              <w:jc w:val="right"/>
              <w:rPr>
                <w:rFonts w:ascii="Arial" w:hAnsi="Arial" w:cs="Arial"/>
                <w:sz w:val="16"/>
                <w:szCs w:val="18"/>
              </w:rPr>
            </w:pP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18313" w14:textId="186DCA68" w:rsidR="00CB6304" w:rsidRPr="00701F32" w:rsidRDefault="00CB6304">
            <w:pPr>
              <w:jc w:val="right"/>
              <w:rPr>
                <w:rFonts w:ascii="Arial" w:hAnsi="Arial" w:cs="Arial"/>
                <w:sz w:val="16"/>
                <w:szCs w:val="18"/>
              </w:rPr>
            </w:pPr>
            <w:r w:rsidRPr="00701F32">
              <w:rPr>
                <w:rFonts w:ascii="Arial" w:hAnsi="Arial" w:cs="Arial"/>
                <w:sz w:val="16"/>
                <w:szCs w:val="18"/>
              </w:rPr>
              <w:t xml:space="preserve"> 266.599 </w:t>
            </w:r>
          </w:p>
        </w:tc>
      </w:tr>
      <w:tr w:rsidR="001B25DF" w:rsidRPr="00701F32" w14:paraId="175F40A0"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E031" w14:textId="77777777" w:rsidR="00CB6304" w:rsidRPr="00701F32" w:rsidRDefault="00CB6304" w:rsidP="00CB6304">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neto de las actividades que continúan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9C0F" w14:textId="46FAB958" w:rsidR="00CB6304" w:rsidRPr="00701F32" w:rsidRDefault="00CB6304" w:rsidP="00CB6304">
            <w:pPr>
              <w:jc w:val="right"/>
              <w:rPr>
                <w:rFonts w:ascii="Arial" w:hAnsi="Arial" w:cs="Arial"/>
                <w:b/>
                <w:sz w:val="16"/>
                <w:szCs w:val="18"/>
              </w:rPr>
            </w:pPr>
            <w:r w:rsidRPr="00701F32">
              <w:rPr>
                <w:rFonts w:ascii="Arial" w:hAnsi="Arial" w:cs="Arial"/>
                <w:b/>
                <w:sz w:val="16"/>
                <w:szCs w:val="18"/>
              </w:rPr>
              <w:t>1.033.877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1A046" w14:textId="1BA53C56"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487.852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E7970" w14:textId="2D088124"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-139.977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5BFFD" w14:textId="3A4F0A03" w:rsidR="00CB6304" w:rsidRPr="00701F32" w:rsidRDefault="00CB6304" w:rsidP="00CB6304">
            <w:pPr>
              <w:jc w:val="right"/>
              <w:rPr>
                <w:rFonts w:ascii="Arial" w:hAnsi="Arial" w:cs="Arial"/>
                <w:b/>
                <w:sz w:val="16"/>
                <w:szCs w:val="18"/>
              </w:rPr>
            </w:pPr>
            <w:r w:rsidRPr="00701F32">
              <w:rPr>
                <w:rFonts w:ascii="Arial" w:hAnsi="Arial" w:cs="Arial"/>
                <w:b/>
                <w:sz w:val="16"/>
                <w:szCs w:val="18"/>
              </w:rPr>
              <w:t>-189.933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21F4" w14:textId="053FD6F5" w:rsidR="00CB6304" w:rsidRPr="00701F32" w:rsidRDefault="00CB6304">
            <w:pPr>
              <w:jc w:val="right"/>
              <w:rPr>
                <w:rFonts w:ascii="Arial" w:hAnsi="Arial" w:cs="Arial"/>
                <w:b/>
                <w:sz w:val="16"/>
                <w:szCs w:val="18"/>
              </w:rPr>
            </w:pPr>
            <w:r w:rsidRPr="00701F32">
              <w:rPr>
                <w:rFonts w:ascii="Arial" w:hAnsi="Arial" w:cs="Arial"/>
                <w:b/>
                <w:sz w:val="16"/>
                <w:szCs w:val="18"/>
              </w:rPr>
              <w:t xml:space="preserve">   -53.310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A6DB3" w14:textId="7D261B83" w:rsidR="00CB6304" w:rsidRPr="00701F32" w:rsidRDefault="00CB6304">
            <w:pPr>
              <w:jc w:val="right"/>
              <w:rPr>
                <w:rFonts w:ascii="Arial" w:hAnsi="Arial" w:cs="Arial"/>
                <w:b/>
                <w:sz w:val="16"/>
                <w:szCs w:val="18"/>
              </w:rPr>
            </w:pPr>
            <w:r w:rsidRPr="00701F32">
              <w:rPr>
                <w:rFonts w:ascii="Arial" w:hAnsi="Arial" w:cs="Arial"/>
                <w:b/>
                <w:sz w:val="16"/>
                <w:szCs w:val="18"/>
              </w:rPr>
              <w:t xml:space="preserve"> 1.138.509 </w:t>
            </w:r>
          </w:p>
        </w:tc>
      </w:tr>
      <w:tr w:rsidR="001B25DF" w:rsidRPr="00701F32" w14:paraId="06B02F33"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EF060" w14:textId="77777777" w:rsidR="00CB6304" w:rsidRPr="00701F32" w:rsidRDefault="00CB6304" w:rsidP="00CB6304">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neto del periodo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859D5" w14:textId="39FA7EBB" w:rsidR="00CB6304" w:rsidRPr="00701F32" w:rsidRDefault="00CB6304" w:rsidP="00CB6304">
            <w:pPr>
              <w:jc w:val="right"/>
              <w:rPr>
                <w:rFonts w:ascii="Arial" w:hAnsi="Arial" w:cs="Arial"/>
                <w:b/>
                <w:sz w:val="16"/>
                <w:szCs w:val="18"/>
              </w:rPr>
            </w:pPr>
            <w:r w:rsidRPr="00701F32">
              <w:rPr>
                <w:rFonts w:ascii="Arial" w:hAnsi="Arial" w:cs="Arial"/>
                <w:b/>
                <w:sz w:val="16"/>
                <w:szCs w:val="18"/>
              </w:rPr>
              <w:t>1.033.877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B1ABE" w14:textId="59DC9570" w:rsidR="00CB6304" w:rsidRPr="00701F32" w:rsidRDefault="00CB6304" w:rsidP="00CB6304">
            <w:pPr>
              <w:jc w:val="right"/>
              <w:rPr>
                <w:rFonts w:ascii="Arial" w:hAnsi="Arial" w:cs="Arial"/>
                <w:b/>
                <w:sz w:val="16"/>
                <w:szCs w:val="18"/>
              </w:rPr>
            </w:pPr>
            <w:r w:rsidRPr="00701F32">
              <w:rPr>
                <w:rFonts w:ascii="Arial" w:hAnsi="Arial" w:cs="Arial"/>
                <w:b/>
                <w:sz w:val="16"/>
                <w:szCs w:val="18"/>
              </w:rPr>
              <w:t>487.852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DC71C" w14:textId="7E5DCACB"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 -139.977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C6015" w14:textId="6F39B72B" w:rsidR="00CB6304" w:rsidRPr="00701F32" w:rsidRDefault="00CB6304" w:rsidP="00CB6304">
            <w:pPr>
              <w:jc w:val="right"/>
              <w:rPr>
                <w:rFonts w:ascii="Arial" w:hAnsi="Arial" w:cs="Arial"/>
                <w:b/>
                <w:sz w:val="16"/>
                <w:szCs w:val="18"/>
              </w:rPr>
            </w:pPr>
            <w:r w:rsidRPr="00701F32">
              <w:rPr>
                <w:rFonts w:ascii="Arial" w:hAnsi="Arial" w:cs="Arial"/>
                <w:b/>
                <w:sz w:val="16"/>
                <w:szCs w:val="18"/>
              </w:rPr>
              <w:t xml:space="preserve">-189.933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B01C" w14:textId="4AF5C8DA" w:rsidR="00CB6304" w:rsidRPr="00701F32" w:rsidRDefault="00CB6304">
            <w:pPr>
              <w:jc w:val="right"/>
              <w:rPr>
                <w:rFonts w:ascii="Arial" w:hAnsi="Arial" w:cs="Arial"/>
                <w:b/>
                <w:sz w:val="16"/>
                <w:szCs w:val="18"/>
              </w:rPr>
            </w:pPr>
            <w:r w:rsidRPr="00701F32">
              <w:rPr>
                <w:rFonts w:ascii="Arial" w:hAnsi="Arial" w:cs="Arial"/>
                <w:b/>
                <w:sz w:val="16"/>
                <w:szCs w:val="18"/>
              </w:rPr>
              <w:t xml:space="preserve">  -53.310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2200" w14:textId="52272577" w:rsidR="00CB6304" w:rsidRPr="00701F32" w:rsidRDefault="00CB6304">
            <w:pPr>
              <w:jc w:val="right"/>
              <w:rPr>
                <w:rFonts w:ascii="Arial" w:hAnsi="Arial" w:cs="Arial"/>
                <w:b/>
                <w:sz w:val="16"/>
                <w:szCs w:val="18"/>
              </w:rPr>
            </w:pPr>
            <w:r w:rsidRPr="00701F32">
              <w:rPr>
                <w:rFonts w:ascii="Arial" w:hAnsi="Arial" w:cs="Arial"/>
                <w:b/>
                <w:sz w:val="16"/>
                <w:szCs w:val="18"/>
              </w:rPr>
              <w:t xml:space="preserve"> 1.138.509 </w:t>
            </w:r>
          </w:p>
        </w:tc>
      </w:tr>
      <w:tr w:rsidR="001B25DF" w:rsidRPr="00701F32" w14:paraId="76D81F52" w14:textId="77777777" w:rsidTr="00701F32">
        <w:trPr>
          <w:trHeight w:val="169"/>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F58CC" w14:textId="77777777" w:rsidR="00A75E31" w:rsidRPr="00701F32" w:rsidRDefault="00A75E31">
            <w:pPr>
              <w:jc w:val="both"/>
              <w:rPr>
                <w:rFonts w:ascii="Arial" w:hAnsi="Arial" w:cs="Arial"/>
                <w:bCs/>
                <w:sz w:val="16"/>
                <w:szCs w:val="18"/>
                <w:lang w:eastAsia="es-AR"/>
              </w:rPr>
            </w:pPr>
            <w:r w:rsidRPr="00701F32">
              <w:rPr>
                <w:rFonts w:ascii="Arial" w:hAnsi="Arial" w:cs="Arial"/>
                <w:bCs/>
                <w:sz w:val="16"/>
                <w:szCs w:val="18"/>
                <w:lang w:eastAsia="es-AR"/>
              </w:rPr>
              <w:t>Otros Resultados Integrales (ORI)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E5676" w14:textId="42D53101"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30.959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7CA3B" w14:textId="07C5C6FD"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23.189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5F958" w14:textId="496F804C"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2.989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BA2D9"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33EAA" w14:textId="77777777" w:rsidR="00A75E31" w:rsidRPr="00701F32" w:rsidRDefault="00A75E31">
            <w:pPr>
              <w:jc w:val="right"/>
              <w:rPr>
                <w:rFonts w:ascii="Arial" w:hAnsi="Arial" w:cs="Arial"/>
                <w:sz w:val="16"/>
                <w:szCs w:val="18"/>
              </w:rPr>
            </w:pPr>
            <w:r w:rsidRPr="00701F32">
              <w:rPr>
                <w:rFonts w:ascii="Arial" w:hAnsi="Arial" w:cs="Arial"/>
                <w:sz w:val="16"/>
                <w:szCs w:val="18"/>
              </w:rPr>
              <w:t>-</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7E5CF" w14:textId="5599B9C7"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57.137</w:t>
            </w:r>
          </w:p>
        </w:tc>
      </w:tr>
      <w:tr w:rsidR="001B25DF" w:rsidRPr="00701F32" w14:paraId="731AD68C"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686FF" w14:textId="77777777" w:rsidR="00A75E31" w:rsidRPr="00701F32" w:rsidRDefault="00A75E31">
            <w:pPr>
              <w:rPr>
                <w:rFonts w:ascii="Arial" w:hAnsi="Arial" w:cs="Arial"/>
                <w:sz w:val="16"/>
                <w:szCs w:val="18"/>
                <w:lang w:eastAsia="es-AR"/>
              </w:rPr>
            </w:pPr>
            <w:r w:rsidRPr="00701F32">
              <w:rPr>
                <w:rFonts w:ascii="Arial" w:hAnsi="Arial" w:cs="Arial"/>
                <w:bCs/>
                <w:sz w:val="16"/>
                <w:szCs w:val="18"/>
                <w:lang w:eastAsia="es-AR"/>
              </w:rPr>
              <w:t>Impuesto a las Ganancias ORI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5C85E" w14:textId="0578DCCA"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127.396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48EEC" w14:textId="4992DDE6" w:rsidR="00A75E31" w:rsidRPr="00701F32" w:rsidRDefault="00411CB4">
            <w:pPr>
              <w:jc w:val="right"/>
              <w:rPr>
                <w:rFonts w:ascii="Arial" w:hAnsi="Arial" w:cs="Arial"/>
                <w:sz w:val="16"/>
                <w:szCs w:val="18"/>
              </w:rPr>
            </w:pPr>
            <w:r w:rsidRPr="00701F32">
              <w:rPr>
                <w:rFonts w:ascii="Arial" w:hAnsi="Arial" w:cs="Arial"/>
                <w:sz w:val="16"/>
                <w:szCs w:val="18"/>
              </w:rPr>
              <w:t>45.545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BC63B" w14:textId="065D6CEA" w:rsidR="00A75E31" w:rsidRPr="00701F32" w:rsidRDefault="00A75E31">
            <w:pPr>
              <w:jc w:val="right"/>
              <w:rPr>
                <w:rFonts w:ascii="Arial" w:hAnsi="Arial" w:cs="Arial"/>
                <w:sz w:val="16"/>
                <w:szCs w:val="18"/>
              </w:rPr>
            </w:pPr>
            <w:r w:rsidRPr="00701F32">
              <w:rPr>
                <w:rFonts w:ascii="Arial" w:hAnsi="Arial" w:cs="Arial"/>
                <w:sz w:val="16"/>
                <w:szCs w:val="18"/>
              </w:rPr>
              <w:t xml:space="preserve"> </w:t>
            </w:r>
            <w:r w:rsidR="003434EC" w:rsidRPr="00701F32">
              <w:rPr>
                <w:rFonts w:ascii="Arial" w:hAnsi="Arial" w:cs="Arial"/>
                <w:sz w:val="16"/>
                <w:szCs w:val="18"/>
              </w:rPr>
              <w:t xml:space="preserve"> 95.425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9EC0"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6F303" w14:textId="77777777" w:rsidR="00A75E31" w:rsidRPr="00701F32" w:rsidRDefault="00A75E31">
            <w:pPr>
              <w:jc w:val="right"/>
              <w:rPr>
                <w:rFonts w:ascii="Arial" w:hAnsi="Arial" w:cs="Arial"/>
                <w:sz w:val="16"/>
                <w:szCs w:val="18"/>
              </w:rPr>
            </w:pPr>
            <w:r w:rsidRPr="00701F32">
              <w:rPr>
                <w:rFonts w:ascii="Arial" w:hAnsi="Arial" w:cs="Arial"/>
                <w:sz w:val="16"/>
                <w:szCs w:val="18"/>
              </w:rPr>
              <w:t xml:space="preserve"> -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56399" w14:textId="225794B4" w:rsidR="00A75E31" w:rsidRPr="00701F32" w:rsidRDefault="00411CB4">
            <w:pPr>
              <w:jc w:val="right"/>
              <w:rPr>
                <w:rFonts w:ascii="Arial" w:hAnsi="Arial" w:cs="Arial"/>
                <w:sz w:val="16"/>
                <w:szCs w:val="18"/>
              </w:rPr>
            </w:pPr>
            <w:r w:rsidRPr="00701F32">
              <w:rPr>
                <w:rFonts w:ascii="Arial" w:hAnsi="Arial" w:cs="Arial"/>
                <w:sz w:val="16"/>
                <w:szCs w:val="18"/>
              </w:rPr>
              <w:t>268.366</w:t>
            </w:r>
          </w:p>
        </w:tc>
      </w:tr>
      <w:tr w:rsidR="001B25DF" w:rsidRPr="00701F32" w14:paraId="15111E54" w14:textId="77777777" w:rsidTr="00701F32">
        <w:trPr>
          <w:trHeight w:val="22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59D56" w14:textId="77777777" w:rsidR="00A75E31" w:rsidRPr="00701F32" w:rsidRDefault="00A75E31">
            <w:pPr>
              <w:rPr>
                <w:rFonts w:ascii="Arial" w:hAnsi="Arial" w:cs="Arial"/>
                <w:b/>
                <w:bCs/>
                <w:sz w:val="16"/>
                <w:szCs w:val="18"/>
                <w:lang w:eastAsia="es-AR"/>
              </w:rPr>
            </w:pPr>
            <w:r w:rsidRPr="00701F32">
              <w:rPr>
                <w:rFonts w:ascii="Arial" w:hAnsi="Arial" w:cs="Arial"/>
                <w:b/>
                <w:bCs/>
                <w:sz w:val="16"/>
                <w:szCs w:val="18"/>
                <w:lang w:eastAsia="es-AR"/>
              </w:rPr>
              <w:t xml:space="preserve"> Resultado Integral del periodo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1DC69" w14:textId="738A30E8" w:rsidR="00A75E31" w:rsidRPr="00701F32" w:rsidRDefault="003434EC">
            <w:pPr>
              <w:jc w:val="right"/>
              <w:rPr>
                <w:rFonts w:ascii="Arial" w:hAnsi="Arial" w:cs="Arial"/>
                <w:b/>
                <w:sz w:val="16"/>
                <w:szCs w:val="18"/>
              </w:rPr>
            </w:pPr>
            <w:r w:rsidRPr="00701F32">
              <w:rPr>
                <w:rFonts w:ascii="Arial" w:hAnsi="Arial" w:cs="Arial"/>
                <w:b/>
                <w:sz w:val="16"/>
                <w:szCs w:val="18"/>
              </w:rPr>
              <w:t>1.130.314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7EC4" w14:textId="3ACDDA68" w:rsidR="00A75E31" w:rsidRPr="00701F32" w:rsidRDefault="003434EC">
            <w:pPr>
              <w:jc w:val="right"/>
              <w:rPr>
                <w:rFonts w:ascii="Arial" w:hAnsi="Arial" w:cs="Arial"/>
                <w:b/>
                <w:sz w:val="16"/>
                <w:szCs w:val="18"/>
              </w:rPr>
            </w:pPr>
            <w:r w:rsidRPr="00701F32">
              <w:rPr>
                <w:rFonts w:ascii="Arial" w:hAnsi="Arial" w:cs="Arial"/>
                <w:b/>
                <w:sz w:val="16"/>
                <w:szCs w:val="18"/>
              </w:rPr>
              <w:t>476.965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D7C8" w14:textId="06408899" w:rsidR="00A75E31" w:rsidRPr="00701F32" w:rsidRDefault="003434EC">
            <w:pPr>
              <w:jc w:val="right"/>
              <w:rPr>
                <w:rFonts w:ascii="Arial" w:hAnsi="Arial" w:cs="Arial"/>
                <w:b/>
                <w:sz w:val="16"/>
                <w:szCs w:val="18"/>
              </w:rPr>
            </w:pPr>
            <w:r w:rsidRPr="00701F32">
              <w:rPr>
                <w:rFonts w:ascii="Arial" w:hAnsi="Arial" w:cs="Arial"/>
                <w:b/>
                <w:sz w:val="16"/>
                <w:szCs w:val="18"/>
              </w:rPr>
              <w:t>-47.541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ADE70" w14:textId="74C50DA0" w:rsidR="00A75E31" w:rsidRPr="00701F32" w:rsidRDefault="003434EC">
            <w:pPr>
              <w:jc w:val="right"/>
              <w:rPr>
                <w:rFonts w:ascii="Arial" w:hAnsi="Arial" w:cs="Arial"/>
                <w:b/>
                <w:sz w:val="16"/>
                <w:szCs w:val="18"/>
              </w:rPr>
            </w:pPr>
            <w:r w:rsidRPr="00701F32">
              <w:rPr>
                <w:rFonts w:ascii="Arial" w:hAnsi="Arial" w:cs="Arial"/>
                <w:b/>
                <w:sz w:val="16"/>
                <w:szCs w:val="18"/>
              </w:rPr>
              <w:t xml:space="preserve">-189.933 </w:t>
            </w:r>
            <w:r w:rsidR="00A75E31" w:rsidRPr="00701F32">
              <w:rPr>
                <w:rFonts w:ascii="Arial" w:hAnsi="Arial" w:cs="Arial"/>
                <w:b/>
                <w:sz w:val="16"/>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2CCE" w14:textId="46A8AE3B" w:rsidR="00A75E31" w:rsidRPr="00701F32" w:rsidRDefault="00CB6304">
            <w:pPr>
              <w:jc w:val="right"/>
              <w:rPr>
                <w:rFonts w:ascii="Arial" w:hAnsi="Arial" w:cs="Arial"/>
                <w:b/>
                <w:sz w:val="16"/>
                <w:szCs w:val="18"/>
              </w:rPr>
            </w:pPr>
            <w:r w:rsidRPr="00701F32">
              <w:rPr>
                <w:rFonts w:ascii="Arial" w:hAnsi="Arial" w:cs="Arial"/>
                <w:b/>
                <w:sz w:val="16"/>
                <w:szCs w:val="18"/>
              </w:rPr>
              <w:t xml:space="preserve">-53.310 </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7A491" w14:textId="14F07032" w:rsidR="00A75E31" w:rsidRPr="00701F32" w:rsidRDefault="00411CB4">
            <w:pPr>
              <w:jc w:val="right"/>
              <w:rPr>
                <w:rFonts w:ascii="Arial" w:hAnsi="Arial" w:cs="Arial"/>
                <w:b/>
                <w:sz w:val="16"/>
                <w:szCs w:val="18"/>
              </w:rPr>
            </w:pPr>
            <w:r w:rsidRPr="00701F32">
              <w:rPr>
                <w:rFonts w:ascii="Arial" w:hAnsi="Arial" w:cs="Arial"/>
                <w:b/>
                <w:sz w:val="16"/>
                <w:szCs w:val="18"/>
              </w:rPr>
              <w:t>1.349.738</w:t>
            </w:r>
          </w:p>
        </w:tc>
      </w:tr>
    </w:tbl>
    <w:p w14:paraId="4B5952A4" w14:textId="77777777" w:rsidR="00CB6304" w:rsidRPr="00701F32" w:rsidRDefault="00CB6304" w:rsidP="00FD0DB2"/>
    <w:tbl>
      <w:tblPr>
        <w:tblW w:w="10873" w:type="dxa"/>
        <w:tblInd w:w="-356" w:type="dxa"/>
        <w:tblCellMar>
          <w:left w:w="70" w:type="dxa"/>
          <w:right w:w="70" w:type="dxa"/>
        </w:tblCellMar>
        <w:tblLook w:val="04A0" w:firstRow="1" w:lastRow="0" w:firstColumn="1" w:lastColumn="0" w:noHBand="0" w:noVBand="1"/>
      </w:tblPr>
      <w:tblGrid>
        <w:gridCol w:w="2901"/>
        <w:gridCol w:w="360"/>
        <w:gridCol w:w="953"/>
        <w:gridCol w:w="323"/>
        <w:gridCol w:w="1104"/>
        <w:gridCol w:w="172"/>
        <w:gridCol w:w="1256"/>
        <w:gridCol w:w="1284"/>
        <w:gridCol w:w="1142"/>
        <w:gridCol w:w="1142"/>
        <w:gridCol w:w="236"/>
      </w:tblGrid>
      <w:tr w:rsidR="0020305D" w:rsidRPr="00701F32" w14:paraId="2615B3D8" w14:textId="77777777" w:rsidTr="00701F32">
        <w:trPr>
          <w:trHeight w:val="370"/>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4A8F62" w14:textId="77777777" w:rsidR="0020305D" w:rsidRPr="00701F32" w:rsidRDefault="0020305D" w:rsidP="00AE0B3F">
            <w:pPr>
              <w:jc w:val="center"/>
              <w:rPr>
                <w:rFonts w:ascii="Arial" w:hAnsi="Arial" w:cs="Arial"/>
                <w:b/>
                <w:bCs/>
                <w:sz w:val="16"/>
                <w:szCs w:val="16"/>
                <w:lang w:val="es-ES_tradnl" w:eastAsia="es-AR"/>
              </w:rPr>
            </w:pPr>
            <w:r w:rsidRPr="00701F32">
              <w:rPr>
                <w:rFonts w:ascii="Arial" w:hAnsi="Arial" w:cs="Arial"/>
                <w:b/>
                <w:bCs/>
                <w:sz w:val="16"/>
                <w:szCs w:val="16"/>
                <w:lang w:eastAsia="es-AR"/>
              </w:rPr>
              <w:t>ACTIVO al 30/09/2017</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B6B8A99"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67B11447"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F63DC03"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04FC0801"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53CBC895"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DADB23"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20305D" w:rsidRPr="00701F32" w14:paraId="34EA2B93" w14:textId="77777777" w:rsidTr="00701F32">
        <w:trPr>
          <w:trHeight w:val="201"/>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29A12F0D"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796C77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194.198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E6DD2A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2.182.129</w:t>
            </w:r>
          </w:p>
        </w:tc>
        <w:tc>
          <w:tcPr>
            <w:tcW w:w="1256" w:type="dxa"/>
            <w:tcBorders>
              <w:top w:val="nil"/>
              <w:left w:val="nil"/>
              <w:bottom w:val="single" w:sz="4" w:space="0" w:color="auto"/>
              <w:right w:val="single" w:sz="4" w:space="0" w:color="auto"/>
            </w:tcBorders>
            <w:shd w:val="clear" w:color="000000" w:fill="FFFFFF"/>
            <w:noWrap/>
            <w:vAlign w:val="bottom"/>
            <w:hideMark/>
          </w:tcPr>
          <w:p w14:paraId="3636342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6.567.717</w:t>
            </w:r>
          </w:p>
        </w:tc>
        <w:tc>
          <w:tcPr>
            <w:tcW w:w="1284" w:type="dxa"/>
            <w:tcBorders>
              <w:top w:val="nil"/>
              <w:left w:val="nil"/>
              <w:bottom w:val="single" w:sz="4" w:space="0" w:color="auto"/>
              <w:right w:val="single" w:sz="4" w:space="0" w:color="auto"/>
            </w:tcBorders>
            <w:shd w:val="clear" w:color="000000" w:fill="FFFFFF"/>
            <w:noWrap/>
            <w:vAlign w:val="bottom"/>
            <w:hideMark/>
          </w:tcPr>
          <w:p w14:paraId="587B381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104.197</w:t>
            </w:r>
          </w:p>
        </w:tc>
        <w:tc>
          <w:tcPr>
            <w:tcW w:w="1142" w:type="dxa"/>
            <w:tcBorders>
              <w:top w:val="nil"/>
              <w:left w:val="nil"/>
              <w:bottom w:val="single" w:sz="4" w:space="0" w:color="auto"/>
              <w:right w:val="single" w:sz="4" w:space="0" w:color="auto"/>
            </w:tcBorders>
            <w:shd w:val="clear" w:color="000000" w:fill="FFFFFF"/>
            <w:noWrap/>
            <w:vAlign w:val="bottom"/>
            <w:hideMark/>
          </w:tcPr>
          <w:p w14:paraId="0A24DE7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-8.370</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4376857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9.039.871</w:t>
            </w:r>
          </w:p>
        </w:tc>
      </w:tr>
      <w:tr w:rsidR="0020305D" w:rsidRPr="00701F32" w14:paraId="4D05537D"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169672FB"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Efectivo</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C5D317"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193.760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43FCCE8"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2.131.241</w:t>
            </w:r>
          </w:p>
        </w:tc>
        <w:tc>
          <w:tcPr>
            <w:tcW w:w="1256" w:type="dxa"/>
            <w:tcBorders>
              <w:top w:val="nil"/>
              <w:left w:val="nil"/>
              <w:bottom w:val="single" w:sz="4" w:space="0" w:color="auto"/>
              <w:right w:val="single" w:sz="4" w:space="0" w:color="auto"/>
            </w:tcBorders>
            <w:shd w:val="clear" w:color="000000" w:fill="FFFFFF"/>
            <w:noWrap/>
            <w:vAlign w:val="bottom"/>
            <w:hideMark/>
          </w:tcPr>
          <w:p w14:paraId="2EA4B8E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84" w:type="dxa"/>
            <w:tcBorders>
              <w:top w:val="nil"/>
              <w:left w:val="nil"/>
              <w:bottom w:val="single" w:sz="4" w:space="0" w:color="auto"/>
              <w:right w:val="single" w:sz="4" w:space="0" w:color="auto"/>
            </w:tcBorders>
            <w:shd w:val="clear" w:color="000000" w:fill="FFFFFF"/>
            <w:noWrap/>
            <w:vAlign w:val="bottom"/>
            <w:hideMark/>
          </w:tcPr>
          <w:p w14:paraId="00570B02"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264DF3F7"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179512F7" w14:textId="77777777" w:rsidR="0020305D" w:rsidRPr="00701F32" w:rsidRDefault="0020305D" w:rsidP="00AE0B3F">
            <w:pPr>
              <w:jc w:val="right"/>
              <w:rPr>
                <w:rFonts w:ascii="Arial" w:hAnsi="Arial" w:cs="Arial"/>
                <w:bCs/>
                <w:sz w:val="16"/>
                <w:szCs w:val="16"/>
                <w:lang w:val="es-ES_tradnl" w:eastAsia="es-AR"/>
              </w:rPr>
            </w:pPr>
            <w:r w:rsidRPr="00701F32">
              <w:rPr>
                <w:rFonts w:ascii="Arial" w:hAnsi="Arial" w:cs="Arial"/>
                <w:bCs/>
                <w:sz w:val="16"/>
                <w:szCs w:val="16"/>
                <w:lang w:eastAsia="es-AR"/>
              </w:rPr>
              <w:t>2.325.001</w:t>
            </w:r>
          </w:p>
        </w:tc>
      </w:tr>
      <w:tr w:rsidR="0020305D" w:rsidRPr="00701F32" w14:paraId="1C55856E"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6060C05E"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AC0CDC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1A45B1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29482401"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84" w:type="dxa"/>
            <w:tcBorders>
              <w:top w:val="nil"/>
              <w:left w:val="nil"/>
              <w:bottom w:val="single" w:sz="4" w:space="0" w:color="auto"/>
              <w:right w:val="single" w:sz="4" w:space="0" w:color="auto"/>
            </w:tcBorders>
            <w:shd w:val="clear" w:color="000000" w:fill="FFFFFF"/>
            <w:noWrap/>
            <w:vAlign w:val="bottom"/>
            <w:hideMark/>
          </w:tcPr>
          <w:p w14:paraId="4F9A043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62A19C1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6CEEB2F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r>
      <w:tr w:rsidR="0020305D" w:rsidRPr="00701F32" w14:paraId="0820891B" w14:textId="77777777" w:rsidTr="00701F32">
        <w:trPr>
          <w:trHeight w:val="200"/>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17EC87A2"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BCRA</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81C0DF1"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174FCA51"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6B115140" w14:textId="77777777" w:rsidR="0020305D" w:rsidRPr="00701F32" w:rsidRDefault="0020305D" w:rsidP="00AE0B3F">
            <w:pPr>
              <w:jc w:val="right"/>
              <w:rPr>
                <w:rFonts w:ascii="Arial" w:hAnsi="Arial" w:cs="Arial"/>
                <w:bCs/>
                <w:sz w:val="16"/>
                <w:szCs w:val="16"/>
                <w:lang w:val="es-ES_tradnl" w:eastAsia="es-AR"/>
              </w:rPr>
            </w:pPr>
            <w:r w:rsidRPr="00701F32">
              <w:rPr>
                <w:rFonts w:ascii="Arial" w:hAnsi="Arial" w:cs="Arial"/>
                <w:bCs/>
                <w:sz w:val="16"/>
                <w:szCs w:val="16"/>
                <w:lang w:eastAsia="es-AR"/>
              </w:rPr>
              <w:t>6.507.584</w:t>
            </w:r>
          </w:p>
        </w:tc>
        <w:tc>
          <w:tcPr>
            <w:tcW w:w="1284" w:type="dxa"/>
            <w:tcBorders>
              <w:top w:val="nil"/>
              <w:left w:val="nil"/>
              <w:bottom w:val="single" w:sz="4" w:space="0" w:color="auto"/>
              <w:right w:val="single" w:sz="4" w:space="0" w:color="auto"/>
            </w:tcBorders>
            <w:shd w:val="clear" w:color="000000" w:fill="FFFFFF"/>
            <w:noWrap/>
            <w:vAlign w:val="bottom"/>
            <w:hideMark/>
          </w:tcPr>
          <w:p w14:paraId="1266FD90"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1.658</w:t>
            </w:r>
          </w:p>
        </w:tc>
        <w:tc>
          <w:tcPr>
            <w:tcW w:w="1142" w:type="dxa"/>
            <w:tcBorders>
              <w:top w:val="nil"/>
              <w:left w:val="nil"/>
              <w:bottom w:val="single" w:sz="4" w:space="0" w:color="auto"/>
              <w:right w:val="single" w:sz="4" w:space="0" w:color="auto"/>
            </w:tcBorders>
            <w:shd w:val="clear" w:color="000000" w:fill="FFFFFF"/>
            <w:noWrap/>
            <w:vAlign w:val="bottom"/>
            <w:hideMark/>
          </w:tcPr>
          <w:p w14:paraId="141A33CA"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4C4181E2" w14:textId="77777777" w:rsidR="0020305D" w:rsidRPr="00701F32" w:rsidRDefault="0020305D" w:rsidP="00AE0B3F">
            <w:pPr>
              <w:jc w:val="right"/>
              <w:rPr>
                <w:rFonts w:ascii="Arial" w:hAnsi="Arial" w:cs="Arial"/>
                <w:bCs/>
                <w:sz w:val="16"/>
                <w:szCs w:val="16"/>
                <w:lang w:val="es-ES_tradnl" w:eastAsia="es-AR"/>
              </w:rPr>
            </w:pPr>
            <w:r w:rsidRPr="00701F32">
              <w:rPr>
                <w:rFonts w:ascii="Arial" w:hAnsi="Arial" w:cs="Arial"/>
                <w:bCs/>
                <w:sz w:val="16"/>
                <w:szCs w:val="16"/>
                <w:lang w:eastAsia="es-AR"/>
              </w:rPr>
              <w:t>6.509.242</w:t>
            </w:r>
          </w:p>
        </w:tc>
      </w:tr>
      <w:tr w:rsidR="0020305D" w:rsidRPr="00701F32" w14:paraId="6739AE06"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633887A7"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AB91060"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78B5EC44"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7.555</w:t>
            </w:r>
          </w:p>
        </w:tc>
        <w:tc>
          <w:tcPr>
            <w:tcW w:w="1256" w:type="dxa"/>
            <w:tcBorders>
              <w:top w:val="nil"/>
              <w:left w:val="nil"/>
              <w:bottom w:val="single" w:sz="4" w:space="0" w:color="auto"/>
              <w:right w:val="single" w:sz="4" w:space="0" w:color="auto"/>
            </w:tcBorders>
            <w:shd w:val="clear" w:color="000000" w:fill="FFFFFF"/>
            <w:noWrap/>
            <w:vAlign w:val="bottom"/>
            <w:hideMark/>
          </w:tcPr>
          <w:p w14:paraId="7635F226"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60.133</w:t>
            </w:r>
          </w:p>
        </w:tc>
        <w:tc>
          <w:tcPr>
            <w:tcW w:w="1284" w:type="dxa"/>
            <w:tcBorders>
              <w:top w:val="nil"/>
              <w:left w:val="nil"/>
              <w:bottom w:val="single" w:sz="4" w:space="0" w:color="auto"/>
              <w:right w:val="single" w:sz="4" w:space="0" w:color="auto"/>
            </w:tcBorders>
            <w:shd w:val="clear" w:color="000000" w:fill="FFFFFF"/>
            <w:noWrap/>
            <w:vAlign w:val="bottom"/>
            <w:hideMark/>
          </w:tcPr>
          <w:p w14:paraId="0E9788F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102.539</w:t>
            </w:r>
          </w:p>
        </w:tc>
        <w:tc>
          <w:tcPr>
            <w:tcW w:w="1142" w:type="dxa"/>
            <w:tcBorders>
              <w:top w:val="nil"/>
              <w:left w:val="nil"/>
              <w:bottom w:val="single" w:sz="4" w:space="0" w:color="auto"/>
              <w:right w:val="single" w:sz="4" w:space="0" w:color="auto"/>
            </w:tcBorders>
            <w:shd w:val="clear" w:color="000000" w:fill="FFFFFF"/>
            <w:noWrap/>
            <w:vAlign w:val="bottom"/>
            <w:hideMark/>
          </w:tcPr>
          <w:p w14:paraId="666EAB52"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-8.370</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3EAF5416"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161.857</w:t>
            </w:r>
          </w:p>
        </w:tc>
      </w:tr>
      <w:tr w:rsidR="0020305D" w:rsidRPr="00701F32" w14:paraId="2AF99010" w14:textId="77777777" w:rsidTr="00701F32">
        <w:trPr>
          <w:trHeight w:val="163"/>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2AD61ACF"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Otros</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2CF4FF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438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163C801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43.333</w:t>
            </w:r>
          </w:p>
        </w:tc>
        <w:tc>
          <w:tcPr>
            <w:tcW w:w="1256" w:type="dxa"/>
            <w:tcBorders>
              <w:top w:val="nil"/>
              <w:left w:val="nil"/>
              <w:bottom w:val="single" w:sz="4" w:space="0" w:color="auto"/>
              <w:right w:val="single" w:sz="4" w:space="0" w:color="auto"/>
            </w:tcBorders>
            <w:shd w:val="clear" w:color="000000" w:fill="FFFFFF"/>
            <w:noWrap/>
            <w:vAlign w:val="bottom"/>
            <w:hideMark/>
          </w:tcPr>
          <w:p w14:paraId="2A0BC542"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84" w:type="dxa"/>
            <w:tcBorders>
              <w:top w:val="nil"/>
              <w:left w:val="nil"/>
              <w:bottom w:val="single" w:sz="4" w:space="0" w:color="auto"/>
              <w:right w:val="single" w:sz="4" w:space="0" w:color="auto"/>
            </w:tcBorders>
            <w:shd w:val="clear" w:color="000000" w:fill="FFFFFF"/>
            <w:noWrap/>
            <w:vAlign w:val="bottom"/>
            <w:hideMark/>
          </w:tcPr>
          <w:p w14:paraId="209B3DF5"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7EA4B6B1"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1001AA93"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43.771</w:t>
            </w:r>
          </w:p>
        </w:tc>
      </w:tr>
      <w:tr w:rsidR="0020305D" w:rsidRPr="00701F32" w14:paraId="7C6EF22B" w14:textId="77777777" w:rsidTr="00701F32">
        <w:trPr>
          <w:trHeight w:val="370"/>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4318744E"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C329A8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C5FA7E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5CB927D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4.340.655</w:t>
            </w:r>
          </w:p>
        </w:tc>
        <w:tc>
          <w:tcPr>
            <w:tcW w:w="1284" w:type="dxa"/>
            <w:tcBorders>
              <w:top w:val="nil"/>
              <w:left w:val="nil"/>
              <w:bottom w:val="single" w:sz="4" w:space="0" w:color="auto"/>
              <w:right w:val="single" w:sz="4" w:space="0" w:color="auto"/>
            </w:tcBorders>
            <w:shd w:val="clear" w:color="000000" w:fill="FFFFFF"/>
            <w:noWrap/>
            <w:vAlign w:val="bottom"/>
            <w:hideMark/>
          </w:tcPr>
          <w:p w14:paraId="463AB55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108.078</w:t>
            </w:r>
          </w:p>
        </w:tc>
        <w:tc>
          <w:tcPr>
            <w:tcW w:w="1142" w:type="dxa"/>
            <w:tcBorders>
              <w:top w:val="nil"/>
              <w:left w:val="nil"/>
              <w:bottom w:val="single" w:sz="4" w:space="0" w:color="auto"/>
              <w:right w:val="single" w:sz="4" w:space="0" w:color="auto"/>
            </w:tcBorders>
            <w:shd w:val="clear" w:color="000000" w:fill="FFFFFF"/>
            <w:noWrap/>
            <w:vAlign w:val="bottom"/>
            <w:hideMark/>
          </w:tcPr>
          <w:p w14:paraId="554C31C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671DC72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4.448.733</w:t>
            </w:r>
          </w:p>
        </w:tc>
      </w:tr>
      <w:tr w:rsidR="0020305D" w:rsidRPr="00701F32" w14:paraId="1A732C6E"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474D603E"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E7217D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7A0993D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5C792E9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37.954</w:t>
            </w:r>
          </w:p>
        </w:tc>
        <w:tc>
          <w:tcPr>
            <w:tcW w:w="1284" w:type="dxa"/>
            <w:tcBorders>
              <w:top w:val="nil"/>
              <w:left w:val="nil"/>
              <w:bottom w:val="single" w:sz="4" w:space="0" w:color="auto"/>
              <w:right w:val="single" w:sz="4" w:space="0" w:color="auto"/>
            </w:tcBorders>
            <w:shd w:val="clear" w:color="000000" w:fill="FFFFFF"/>
            <w:noWrap/>
            <w:vAlign w:val="bottom"/>
            <w:hideMark/>
          </w:tcPr>
          <w:p w14:paraId="2FFE2DF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4535B93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390F491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37.954</w:t>
            </w:r>
          </w:p>
        </w:tc>
      </w:tr>
      <w:tr w:rsidR="0020305D" w:rsidRPr="00701F32" w14:paraId="526C6ED0"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4F7C3939"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BAC219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459073B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51B33A2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84" w:type="dxa"/>
            <w:tcBorders>
              <w:top w:val="nil"/>
              <w:left w:val="nil"/>
              <w:bottom w:val="single" w:sz="4" w:space="0" w:color="auto"/>
              <w:right w:val="single" w:sz="4" w:space="0" w:color="auto"/>
            </w:tcBorders>
            <w:shd w:val="clear" w:color="000000" w:fill="FFFFFF"/>
            <w:noWrap/>
            <w:vAlign w:val="bottom"/>
            <w:hideMark/>
          </w:tcPr>
          <w:p w14:paraId="63CB80E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111CEC5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1DA4B2C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r>
      <w:tr w:rsidR="0020305D" w:rsidRPr="00701F32" w14:paraId="63653679"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24E40392"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A69C1F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264411D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275.479</w:t>
            </w:r>
          </w:p>
        </w:tc>
        <w:tc>
          <w:tcPr>
            <w:tcW w:w="1256" w:type="dxa"/>
            <w:tcBorders>
              <w:top w:val="nil"/>
              <w:left w:val="nil"/>
              <w:bottom w:val="single" w:sz="4" w:space="0" w:color="auto"/>
              <w:right w:val="single" w:sz="4" w:space="0" w:color="auto"/>
            </w:tcBorders>
            <w:shd w:val="clear" w:color="000000" w:fill="FFFFFF"/>
            <w:noWrap/>
            <w:vAlign w:val="bottom"/>
            <w:hideMark/>
          </w:tcPr>
          <w:p w14:paraId="1C6CC2B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280.367</w:t>
            </w:r>
          </w:p>
        </w:tc>
        <w:tc>
          <w:tcPr>
            <w:tcW w:w="1284" w:type="dxa"/>
            <w:tcBorders>
              <w:top w:val="nil"/>
              <w:left w:val="nil"/>
              <w:bottom w:val="single" w:sz="4" w:space="0" w:color="auto"/>
              <w:right w:val="single" w:sz="4" w:space="0" w:color="auto"/>
            </w:tcBorders>
            <w:shd w:val="clear" w:color="000000" w:fill="FFFFFF"/>
            <w:noWrap/>
            <w:vAlign w:val="bottom"/>
            <w:hideMark/>
          </w:tcPr>
          <w:p w14:paraId="1376B20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365.634</w:t>
            </w:r>
          </w:p>
        </w:tc>
        <w:tc>
          <w:tcPr>
            <w:tcW w:w="1142" w:type="dxa"/>
            <w:tcBorders>
              <w:top w:val="nil"/>
              <w:left w:val="nil"/>
              <w:bottom w:val="single" w:sz="4" w:space="0" w:color="auto"/>
              <w:right w:val="single" w:sz="4" w:space="0" w:color="auto"/>
            </w:tcBorders>
            <w:shd w:val="clear" w:color="000000" w:fill="FFFFFF"/>
            <w:noWrap/>
            <w:vAlign w:val="bottom"/>
            <w:hideMark/>
          </w:tcPr>
          <w:p w14:paraId="4B97D42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-155.698</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1AB3162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765.782</w:t>
            </w:r>
          </w:p>
        </w:tc>
      </w:tr>
      <w:tr w:rsidR="0020305D" w:rsidRPr="00701F32" w14:paraId="52E679CE" w14:textId="77777777" w:rsidTr="00701F32">
        <w:trPr>
          <w:trHeight w:val="199"/>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3CE7A02A"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CF84DC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26.117.504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7CCD12C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19.889.069</w:t>
            </w:r>
          </w:p>
        </w:tc>
        <w:tc>
          <w:tcPr>
            <w:tcW w:w="1256" w:type="dxa"/>
            <w:tcBorders>
              <w:top w:val="nil"/>
              <w:left w:val="nil"/>
              <w:bottom w:val="single" w:sz="4" w:space="0" w:color="auto"/>
              <w:right w:val="single" w:sz="4" w:space="0" w:color="auto"/>
            </w:tcBorders>
            <w:shd w:val="clear" w:color="000000" w:fill="FFFFFF"/>
            <w:noWrap/>
            <w:vAlign w:val="bottom"/>
            <w:hideMark/>
          </w:tcPr>
          <w:p w14:paraId="62553DD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3.059.649</w:t>
            </w:r>
          </w:p>
        </w:tc>
        <w:tc>
          <w:tcPr>
            <w:tcW w:w="1284" w:type="dxa"/>
            <w:tcBorders>
              <w:top w:val="nil"/>
              <w:left w:val="nil"/>
              <w:bottom w:val="single" w:sz="4" w:space="0" w:color="auto"/>
              <w:right w:val="single" w:sz="4" w:space="0" w:color="auto"/>
            </w:tcBorders>
            <w:shd w:val="clear" w:color="000000" w:fill="FFFFFF"/>
            <w:noWrap/>
            <w:vAlign w:val="bottom"/>
            <w:hideMark/>
          </w:tcPr>
          <w:p w14:paraId="7B3174A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6.468.358</w:t>
            </w:r>
          </w:p>
        </w:tc>
        <w:tc>
          <w:tcPr>
            <w:tcW w:w="1142" w:type="dxa"/>
            <w:tcBorders>
              <w:top w:val="nil"/>
              <w:left w:val="nil"/>
              <w:bottom w:val="single" w:sz="4" w:space="0" w:color="auto"/>
              <w:right w:val="single" w:sz="4" w:space="0" w:color="auto"/>
            </w:tcBorders>
            <w:shd w:val="clear" w:color="000000" w:fill="FFFFFF"/>
            <w:noWrap/>
            <w:vAlign w:val="bottom"/>
            <w:hideMark/>
          </w:tcPr>
          <w:p w14:paraId="33563DC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-2.625.022</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0E8D043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52.909.558</w:t>
            </w:r>
          </w:p>
        </w:tc>
      </w:tr>
      <w:tr w:rsidR="0020305D" w:rsidRPr="00701F32" w14:paraId="79370833"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noWrap/>
            <w:hideMark/>
          </w:tcPr>
          <w:p w14:paraId="6EDBC1E7"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FAAB499"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2DF512F"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32.296</w:t>
            </w:r>
          </w:p>
        </w:tc>
        <w:tc>
          <w:tcPr>
            <w:tcW w:w="1256" w:type="dxa"/>
            <w:tcBorders>
              <w:top w:val="nil"/>
              <w:left w:val="nil"/>
              <w:bottom w:val="single" w:sz="4" w:space="0" w:color="auto"/>
              <w:right w:val="single" w:sz="4" w:space="0" w:color="auto"/>
            </w:tcBorders>
            <w:shd w:val="clear" w:color="000000" w:fill="FFFFFF"/>
            <w:noWrap/>
            <w:vAlign w:val="bottom"/>
            <w:hideMark/>
          </w:tcPr>
          <w:p w14:paraId="5C3A5EC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30.214</w:t>
            </w:r>
          </w:p>
        </w:tc>
        <w:tc>
          <w:tcPr>
            <w:tcW w:w="1284" w:type="dxa"/>
            <w:tcBorders>
              <w:top w:val="nil"/>
              <w:left w:val="nil"/>
              <w:bottom w:val="single" w:sz="4" w:space="0" w:color="auto"/>
              <w:right w:val="single" w:sz="4" w:space="0" w:color="auto"/>
            </w:tcBorders>
            <w:shd w:val="clear" w:color="000000" w:fill="FFFFFF"/>
            <w:noWrap/>
            <w:hideMark/>
          </w:tcPr>
          <w:p w14:paraId="4653B96F"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hideMark/>
          </w:tcPr>
          <w:p w14:paraId="14FDC4C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6673880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62.510</w:t>
            </w:r>
          </w:p>
        </w:tc>
      </w:tr>
      <w:tr w:rsidR="0020305D" w:rsidRPr="00701F32" w14:paraId="13826AFC"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4F42968B"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BCRA</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89642D0"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478E0A1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2F26F199"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84" w:type="dxa"/>
            <w:tcBorders>
              <w:top w:val="nil"/>
              <w:left w:val="nil"/>
              <w:bottom w:val="single" w:sz="4" w:space="0" w:color="auto"/>
              <w:right w:val="single" w:sz="4" w:space="0" w:color="auto"/>
            </w:tcBorders>
            <w:shd w:val="clear" w:color="000000" w:fill="FFFFFF"/>
            <w:noWrap/>
            <w:hideMark/>
          </w:tcPr>
          <w:p w14:paraId="040F461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hideMark/>
          </w:tcPr>
          <w:p w14:paraId="59017D9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293C908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r>
      <w:tr w:rsidR="0020305D" w:rsidRPr="00701F32" w14:paraId="3577DF5D"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0D4EFF65"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Otras entidades financieras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AA881D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145.228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1D8AA94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6B8D69F3" w14:textId="77777777" w:rsidR="0020305D" w:rsidRPr="00701F32" w:rsidRDefault="0020305D" w:rsidP="00AE0B3F">
            <w:pPr>
              <w:jc w:val="right"/>
              <w:rPr>
                <w:rFonts w:ascii="Arial" w:hAnsi="Arial" w:cs="Arial"/>
                <w:bCs/>
                <w:sz w:val="16"/>
                <w:szCs w:val="16"/>
                <w:lang w:val="es-ES_tradnl" w:eastAsia="es-AR"/>
              </w:rPr>
            </w:pPr>
            <w:r w:rsidRPr="00701F32">
              <w:rPr>
                <w:rFonts w:ascii="Arial" w:hAnsi="Arial" w:cs="Arial"/>
                <w:bCs/>
                <w:sz w:val="16"/>
                <w:szCs w:val="16"/>
                <w:lang w:eastAsia="es-AR"/>
              </w:rPr>
              <w:t>2.222.712</w:t>
            </w:r>
          </w:p>
        </w:tc>
        <w:tc>
          <w:tcPr>
            <w:tcW w:w="1284" w:type="dxa"/>
            <w:tcBorders>
              <w:top w:val="nil"/>
              <w:left w:val="nil"/>
              <w:bottom w:val="single" w:sz="4" w:space="0" w:color="auto"/>
              <w:right w:val="single" w:sz="4" w:space="0" w:color="auto"/>
            </w:tcBorders>
            <w:shd w:val="clear" w:color="000000" w:fill="FFFFFF"/>
            <w:noWrap/>
            <w:hideMark/>
          </w:tcPr>
          <w:p w14:paraId="2B2688F6"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00611E9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-2.021.135</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28E006F6"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346.805</w:t>
            </w:r>
          </w:p>
        </w:tc>
      </w:tr>
      <w:tr w:rsidR="0020305D" w:rsidRPr="00701F32" w14:paraId="31B74FEA" w14:textId="77777777" w:rsidTr="00701F32">
        <w:trPr>
          <w:trHeight w:val="23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52C0CC66" w14:textId="77777777" w:rsidR="0020305D" w:rsidRPr="00701F32" w:rsidRDefault="0020305D" w:rsidP="00AE0B3F">
            <w:pPr>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6E482F"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25.972.276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26D418D4"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19.856.773</w:t>
            </w:r>
          </w:p>
        </w:tc>
        <w:tc>
          <w:tcPr>
            <w:tcW w:w="1256" w:type="dxa"/>
            <w:tcBorders>
              <w:top w:val="nil"/>
              <w:left w:val="nil"/>
              <w:bottom w:val="single" w:sz="4" w:space="0" w:color="auto"/>
              <w:right w:val="single" w:sz="4" w:space="0" w:color="auto"/>
            </w:tcBorders>
            <w:shd w:val="clear" w:color="000000" w:fill="FFFFFF"/>
            <w:noWrap/>
            <w:vAlign w:val="bottom"/>
            <w:hideMark/>
          </w:tcPr>
          <w:p w14:paraId="31C94A1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806.723</w:t>
            </w:r>
          </w:p>
        </w:tc>
        <w:tc>
          <w:tcPr>
            <w:tcW w:w="1284" w:type="dxa"/>
            <w:tcBorders>
              <w:top w:val="nil"/>
              <w:left w:val="nil"/>
              <w:bottom w:val="single" w:sz="4" w:space="0" w:color="auto"/>
              <w:right w:val="single" w:sz="4" w:space="0" w:color="auto"/>
            </w:tcBorders>
            <w:shd w:val="clear" w:color="000000" w:fill="FFFFFF"/>
            <w:noWrap/>
            <w:vAlign w:val="bottom"/>
            <w:hideMark/>
          </w:tcPr>
          <w:p w14:paraId="122D3738"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6.468.358</w:t>
            </w:r>
          </w:p>
        </w:tc>
        <w:tc>
          <w:tcPr>
            <w:tcW w:w="1142" w:type="dxa"/>
            <w:tcBorders>
              <w:top w:val="nil"/>
              <w:left w:val="nil"/>
              <w:bottom w:val="single" w:sz="4" w:space="0" w:color="auto"/>
              <w:right w:val="single" w:sz="4" w:space="0" w:color="auto"/>
            </w:tcBorders>
            <w:shd w:val="clear" w:color="000000" w:fill="FFFFFF"/>
            <w:noWrap/>
            <w:vAlign w:val="bottom"/>
            <w:hideMark/>
          </w:tcPr>
          <w:p w14:paraId="6BAC1C68"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-603.887</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44CAC368"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52.500.243</w:t>
            </w:r>
          </w:p>
        </w:tc>
      </w:tr>
      <w:tr w:rsidR="0020305D" w:rsidRPr="00701F32" w14:paraId="712D854B"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60818365"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9AAD2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3FF1ADD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35A7414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2.313.336</w:t>
            </w:r>
          </w:p>
        </w:tc>
        <w:tc>
          <w:tcPr>
            <w:tcW w:w="1284" w:type="dxa"/>
            <w:tcBorders>
              <w:top w:val="nil"/>
              <w:left w:val="nil"/>
              <w:bottom w:val="single" w:sz="4" w:space="0" w:color="auto"/>
              <w:right w:val="single" w:sz="4" w:space="0" w:color="auto"/>
            </w:tcBorders>
            <w:shd w:val="clear" w:color="000000" w:fill="FFFFFF"/>
            <w:noWrap/>
            <w:vAlign w:val="bottom"/>
            <w:hideMark/>
          </w:tcPr>
          <w:p w14:paraId="6C7F829A" w14:textId="2450994C" w:rsidR="0020305D" w:rsidRPr="00701F32" w:rsidRDefault="001F15E3"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vAlign w:val="bottom"/>
            <w:hideMark/>
          </w:tcPr>
          <w:p w14:paraId="72C230E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-3.805</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1EDBCBF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2.309.531</w:t>
            </w:r>
          </w:p>
        </w:tc>
      </w:tr>
      <w:tr w:rsidR="0020305D" w:rsidRPr="00701F32" w14:paraId="29BF3119" w14:textId="77777777" w:rsidTr="00701F32">
        <w:trPr>
          <w:trHeight w:val="270"/>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7A5F8D06"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EB205E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21.201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4E99705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137.363</w:t>
            </w:r>
          </w:p>
        </w:tc>
        <w:tc>
          <w:tcPr>
            <w:tcW w:w="1256" w:type="dxa"/>
            <w:tcBorders>
              <w:top w:val="nil"/>
              <w:left w:val="nil"/>
              <w:bottom w:val="single" w:sz="4" w:space="0" w:color="auto"/>
              <w:right w:val="single" w:sz="4" w:space="0" w:color="auto"/>
            </w:tcBorders>
            <w:shd w:val="clear" w:color="000000" w:fill="FFFFFF"/>
            <w:noWrap/>
            <w:vAlign w:val="bottom"/>
            <w:hideMark/>
          </w:tcPr>
          <w:p w14:paraId="6F76C7DD" w14:textId="77777777" w:rsidR="0020305D" w:rsidRPr="00701F32" w:rsidRDefault="0020305D" w:rsidP="00AE0B3F">
            <w:pPr>
              <w:jc w:val="right"/>
              <w:rPr>
                <w:rFonts w:ascii="Arial" w:hAnsi="Arial" w:cs="Arial"/>
                <w:b/>
                <w:bCs/>
                <w:sz w:val="16"/>
                <w:szCs w:val="16"/>
                <w:lang w:val="es-ES_tradnl" w:eastAsia="es-AR"/>
              </w:rPr>
            </w:pPr>
            <w:r w:rsidRPr="00701F32">
              <w:rPr>
                <w:rFonts w:ascii="Arial" w:hAnsi="Arial" w:cs="Arial"/>
                <w:b/>
                <w:bCs/>
                <w:sz w:val="16"/>
                <w:szCs w:val="16"/>
                <w:lang w:eastAsia="es-AR"/>
              </w:rPr>
              <w:t>2.461.568</w:t>
            </w:r>
          </w:p>
        </w:tc>
        <w:tc>
          <w:tcPr>
            <w:tcW w:w="1284" w:type="dxa"/>
            <w:tcBorders>
              <w:top w:val="nil"/>
              <w:left w:val="nil"/>
              <w:bottom w:val="single" w:sz="4" w:space="0" w:color="auto"/>
              <w:right w:val="single" w:sz="4" w:space="0" w:color="auto"/>
            </w:tcBorders>
            <w:shd w:val="clear" w:color="000000" w:fill="FFFFFF"/>
            <w:noWrap/>
            <w:vAlign w:val="bottom"/>
            <w:hideMark/>
          </w:tcPr>
          <w:p w14:paraId="3ADE4D7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119.708</w:t>
            </w:r>
          </w:p>
        </w:tc>
        <w:tc>
          <w:tcPr>
            <w:tcW w:w="1142" w:type="dxa"/>
            <w:tcBorders>
              <w:top w:val="nil"/>
              <w:left w:val="nil"/>
              <w:bottom w:val="single" w:sz="4" w:space="0" w:color="auto"/>
              <w:right w:val="single" w:sz="4" w:space="0" w:color="auto"/>
            </w:tcBorders>
            <w:shd w:val="clear" w:color="000000" w:fill="FFFFFF"/>
            <w:noWrap/>
            <w:hideMark/>
          </w:tcPr>
          <w:p w14:paraId="7D4EA28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4CBDD5C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2.739.840</w:t>
            </w:r>
          </w:p>
        </w:tc>
      </w:tr>
      <w:tr w:rsidR="0020305D" w:rsidRPr="00701F32" w14:paraId="7DB89232" w14:textId="77777777" w:rsidTr="00701F32">
        <w:trPr>
          <w:trHeight w:val="246"/>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26CB64F3"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63EC821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03476E9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666A869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3.729</w:t>
            </w:r>
          </w:p>
        </w:tc>
        <w:tc>
          <w:tcPr>
            <w:tcW w:w="1284" w:type="dxa"/>
            <w:tcBorders>
              <w:top w:val="nil"/>
              <w:left w:val="nil"/>
              <w:bottom w:val="single" w:sz="4" w:space="0" w:color="auto"/>
              <w:right w:val="single" w:sz="4" w:space="0" w:color="auto"/>
            </w:tcBorders>
            <w:shd w:val="clear" w:color="000000" w:fill="FFFFFF"/>
            <w:noWrap/>
            <w:vAlign w:val="bottom"/>
            <w:hideMark/>
          </w:tcPr>
          <w:p w14:paraId="1FB9889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25.242</w:t>
            </w:r>
          </w:p>
        </w:tc>
        <w:tc>
          <w:tcPr>
            <w:tcW w:w="1142" w:type="dxa"/>
            <w:tcBorders>
              <w:top w:val="nil"/>
              <w:left w:val="nil"/>
              <w:bottom w:val="single" w:sz="4" w:space="0" w:color="auto"/>
              <w:right w:val="single" w:sz="4" w:space="0" w:color="auto"/>
            </w:tcBorders>
            <w:shd w:val="clear" w:color="000000" w:fill="FFFFFF"/>
            <w:noWrap/>
            <w:hideMark/>
          </w:tcPr>
          <w:p w14:paraId="2BB951B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7F80729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28.971</w:t>
            </w:r>
          </w:p>
        </w:tc>
      </w:tr>
      <w:tr w:rsidR="0020305D" w:rsidRPr="00701F32" w14:paraId="59D692F6" w14:textId="77777777" w:rsidTr="00701F32">
        <w:trPr>
          <w:trHeight w:val="196"/>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2CCD80E0"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62D5DCD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4185877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3AAB6B0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6.953</w:t>
            </w:r>
          </w:p>
        </w:tc>
        <w:tc>
          <w:tcPr>
            <w:tcW w:w="1284" w:type="dxa"/>
            <w:tcBorders>
              <w:top w:val="nil"/>
              <w:left w:val="nil"/>
              <w:bottom w:val="single" w:sz="4" w:space="0" w:color="auto"/>
              <w:right w:val="single" w:sz="4" w:space="0" w:color="auto"/>
            </w:tcBorders>
            <w:shd w:val="clear" w:color="000000" w:fill="FFFFFF"/>
            <w:noWrap/>
            <w:vAlign w:val="bottom"/>
            <w:hideMark/>
          </w:tcPr>
          <w:p w14:paraId="5D36A4B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000000" w:fill="FFFFFF"/>
            <w:noWrap/>
            <w:hideMark/>
          </w:tcPr>
          <w:p w14:paraId="145AF0C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7FD2ECE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6.953</w:t>
            </w:r>
          </w:p>
        </w:tc>
      </w:tr>
      <w:tr w:rsidR="0020305D" w:rsidRPr="00701F32" w14:paraId="0ED15438" w14:textId="77777777" w:rsidTr="00701F32">
        <w:trPr>
          <w:trHeight w:val="240"/>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17D0C0C2"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3E7FA0B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4144E52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0B17886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870.031</w:t>
            </w:r>
          </w:p>
        </w:tc>
        <w:tc>
          <w:tcPr>
            <w:tcW w:w="1284" w:type="dxa"/>
            <w:tcBorders>
              <w:top w:val="nil"/>
              <w:left w:val="nil"/>
              <w:bottom w:val="single" w:sz="4" w:space="0" w:color="auto"/>
              <w:right w:val="single" w:sz="4" w:space="0" w:color="auto"/>
            </w:tcBorders>
            <w:shd w:val="clear" w:color="000000" w:fill="FFFFFF"/>
            <w:noWrap/>
            <w:vAlign w:val="bottom"/>
            <w:hideMark/>
          </w:tcPr>
          <w:p w14:paraId="20D951C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4.352</w:t>
            </w:r>
          </w:p>
        </w:tc>
        <w:tc>
          <w:tcPr>
            <w:tcW w:w="1142" w:type="dxa"/>
            <w:tcBorders>
              <w:top w:val="nil"/>
              <w:left w:val="nil"/>
              <w:bottom w:val="single" w:sz="4" w:space="0" w:color="auto"/>
              <w:right w:val="single" w:sz="4" w:space="0" w:color="auto"/>
            </w:tcBorders>
            <w:shd w:val="clear" w:color="000000" w:fill="FFFFFF"/>
            <w:noWrap/>
            <w:vAlign w:val="bottom"/>
            <w:hideMark/>
          </w:tcPr>
          <w:p w14:paraId="4C222DA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-852.573</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563D757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21.810</w:t>
            </w:r>
          </w:p>
        </w:tc>
      </w:tr>
      <w:tr w:rsidR="0020305D" w:rsidRPr="00701F32" w14:paraId="6497450C"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0F989BF9"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6CA458B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hideMark/>
          </w:tcPr>
          <w:p w14:paraId="77EBC28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2A92F72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768.029</w:t>
            </w:r>
          </w:p>
        </w:tc>
        <w:tc>
          <w:tcPr>
            <w:tcW w:w="1284" w:type="dxa"/>
            <w:tcBorders>
              <w:top w:val="nil"/>
              <w:left w:val="nil"/>
              <w:bottom w:val="single" w:sz="4" w:space="0" w:color="auto"/>
              <w:right w:val="single" w:sz="4" w:space="0" w:color="auto"/>
            </w:tcBorders>
            <w:shd w:val="clear" w:color="000000" w:fill="FFFFFF"/>
            <w:noWrap/>
            <w:vAlign w:val="bottom"/>
            <w:hideMark/>
          </w:tcPr>
          <w:p w14:paraId="632191D3" w14:textId="77777777" w:rsidR="0020305D" w:rsidRPr="00701F32" w:rsidRDefault="0020305D" w:rsidP="00AE0B3F">
            <w:pPr>
              <w:jc w:val="right"/>
              <w:rPr>
                <w:rFonts w:ascii="Arial" w:hAnsi="Arial" w:cs="Arial"/>
                <w:b/>
                <w:bCs/>
                <w:sz w:val="16"/>
                <w:szCs w:val="16"/>
                <w:lang w:val="es-ES_tradnl" w:eastAsia="es-AR"/>
              </w:rPr>
            </w:pPr>
            <w:r w:rsidRPr="00701F32">
              <w:rPr>
                <w:rFonts w:ascii="Arial" w:hAnsi="Arial" w:cs="Arial"/>
                <w:b/>
                <w:bCs/>
                <w:sz w:val="16"/>
                <w:szCs w:val="16"/>
                <w:lang w:eastAsia="es-AR"/>
              </w:rPr>
              <w:t>27.377</w:t>
            </w:r>
          </w:p>
        </w:tc>
        <w:tc>
          <w:tcPr>
            <w:tcW w:w="1142" w:type="dxa"/>
            <w:tcBorders>
              <w:top w:val="nil"/>
              <w:left w:val="nil"/>
              <w:bottom w:val="single" w:sz="4" w:space="0" w:color="auto"/>
              <w:right w:val="single" w:sz="4" w:space="0" w:color="auto"/>
            </w:tcBorders>
            <w:shd w:val="clear" w:color="000000" w:fill="FFFFFF"/>
            <w:noWrap/>
            <w:hideMark/>
          </w:tcPr>
          <w:p w14:paraId="19E43DF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642B1A27" w14:textId="77777777" w:rsidR="0020305D" w:rsidRPr="00701F32" w:rsidRDefault="0020305D" w:rsidP="00AE0B3F">
            <w:pPr>
              <w:jc w:val="right"/>
              <w:rPr>
                <w:rFonts w:ascii="Arial" w:hAnsi="Arial" w:cs="Arial"/>
                <w:b/>
                <w:bCs/>
                <w:sz w:val="16"/>
                <w:szCs w:val="16"/>
                <w:lang w:val="es-ES_tradnl" w:eastAsia="es-AR"/>
              </w:rPr>
            </w:pPr>
            <w:r w:rsidRPr="00701F32">
              <w:rPr>
                <w:rFonts w:ascii="Arial" w:hAnsi="Arial" w:cs="Arial"/>
                <w:b/>
                <w:bCs/>
                <w:sz w:val="16"/>
                <w:szCs w:val="16"/>
                <w:lang w:eastAsia="es-AR"/>
              </w:rPr>
              <w:t>795.406</w:t>
            </w:r>
          </w:p>
        </w:tc>
      </w:tr>
      <w:tr w:rsidR="0020305D" w:rsidRPr="00701F32" w14:paraId="7233F686"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1A40D95E"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44DFB63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hideMark/>
          </w:tcPr>
          <w:p w14:paraId="555EA90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56" w:type="dxa"/>
            <w:tcBorders>
              <w:top w:val="nil"/>
              <w:left w:val="nil"/>
              <w:bottom w:val="single" w:sz="4" w:space="0" w:color="auto"/>
              <w:right w:val="single" w:sz="4" w:space="0" w:color="auto"/>
            </w:tcBorders>
            <w:shd w:val="clear" w:color="000000" w:fill="FFFFFF"/>
            <w:noWrap/>
            <w:vAlign w:val="bottom"/>
            <w:hideMark/>
          </w:tcPr>
          <w:p w14:paraId="2B88840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108.621</w:t>
            </w:r>
          </w:p>
        </w:tc>
        <w:tc>
          <w:tcPr>
            <w:tcW w:w="1284" w:type="dxa"/>
            <w:tcBorders>
              <w:top w:val="nil"/>
              <w:left w:val="nil"/>
              <w:bottom w:val="single" w:sz="4" w:space="0" w:color="auto"/>
              <w:right w:val="single" w:sz="4" w:space="0" w:color="auto"/>
            </w:tcBorders>
            <w:shd w:val="clear" w:color="000000" w:fill="FFFFFF"/>
            <w:noWrap/>
            <w:vAlign w:val="bottom"/>
            <w:hideMark/>
          </w:tcPr>
          <w:p w14:paraId="2F3F049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24.323</w:t>
            </w:r>
          </w:p>
        </w:tc>
        <w:tc>
          <w:tcPr>
            <w:tcW w:w="1142" w:type="dxa"/>
            <w:tcBorders>
              <w:top w:val="nil"/>
              <w:left w:val="nil"/>
              <w:bottom w:val="single" w:sz="4" w:space="0" w:color="auto"/>
              <w:right w:val="single" w:sz="4" w:space="0" w:color="auto"/>
            </w:tcBorders>
            <w:shd w:val="clear" w:color="000000" w:fill="FFFFFF"/>
            <w:noWrap/>
            <w:hideMark/>
          </w:tcPr>
          <w:p w14:paraId="1FA0308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5F73A2A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132.944</w:t>
            </w:r>
          </w:p>
        </w:tc>
      </w:tr>
      <w:tr w:rsidR="0020305D" w:rsidRPr="00701F32" w14:paraId="3E243323" w14:textId="77777777" w:rsidTr="00701F32">
        <w:trPr>
          <w:trHeight w:val="208"/>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4E85574F"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276" w:type="dxa"/>
            <w:gridSpan w:val="2"/>
            <w:tcBorders>
              <w:top w:val="nil"/>
              <w:left w:val="single" w:sz="4" w:space="0" w:color="auto"/>
              <w:bottom w:val="single" w:sz="4" w:space="0" w:color="auto"/>
              <w:right w:val="single" w:sz="4" w:space="0" w:color="auto"/>
            </w:tcBorders>
            <w:shd w:val="clear" w:color="000000" w:fill="FFFFFF"/>
            <w:noWrap/>
            <w:hideMark/>
          </w:tcPr>
          <w:p w14:paraId="6C73497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1DD5426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9.643</w:t>
            </w:r>
          </w:p>
        </w:tc>
        <w:tc>
          <w:tcPr>
            <w:tcW w:w="1256" w:type="dxa"/>
            <w:tcBorders>
              <w:top w:val="nil"/>
              <w:left w:val="nil"/>
              <w:bottom w:val="single" w:sz="4" w:space="0" w:color="auto"/>
              <w:right w:val="single" w:sz="4" w:space="0" w:color="auto"/>
            </w:tcBorders>
            <w:shd w:val="clear" w:color="000000" w:fill="FFFFFF"/>
            <w:noWrap/>
            <w:vAlign w:val="bottom"/>
            <w:hideMark/>
          </w:tcPr>
          <w:p w14:paraId="1962297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417.777</w:t>
            </w:r>
          </w:p>
        </w:tc>
        <w:tc>
          <w:tcPr>
            <w:tcW w:w="1284" w:type="dxa"/>
            <w:tcBorders>
              <w:top w:val="nil"/>
              <w:left w:val="nil"/>
              <w:bottom w:val="single" w:sz="4" w:space="0" w:color="auto"/>
              <w:right w:val="single" w:sz="4" w:space="0" w:color="auto"/>
            </w:tcBorders>
            <w:shd w:val="clear" w:color="000000" w:fill="FFFFFF"/>
            <w:noWrap/>
            <w:vAlign w:val="bottom"/>
            <w:hideMark/>
          </w:tcPr>
          <w:p w14:paraId="65DC7F5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73.569</w:t>
            </w:r>
          </w:p>
        </w:tc>
        <w:tc>
          <w:tcPr>
            <w:tcW w:w="1142" w:type="dxa"/>
            <w:tcBorders>
              <w:top w:val="nil"/>
              <w:left w:val="nil"/>
              <w:bottom w:val="single" w:sz="4" w:space="0" w:color="auto"/>
              <w:right w:val="single" w:sz="4" w:space="0" w:color="auto"/>
            </w:tcBorders>
            <w:shd w:val="clear" w:color="000000" w:fill="FFFFFF"/>
            <w:noWrap/>
            <w:hideMark/>
          </w:tcPr>
          <w:p w14:paraId="570EC5CF"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6CC78AC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500.989</w:t>
            </w:r>
          </w:p>
        </w:tc>
      </w:tr>
      <w:tr w:rsidR="0020305D" w:rsidRPr="00701F32" w14:paraId="1487CC35" w14:textId="77777777" w:rsidTr="00701F32">
        <w:trPr>
          <w:trHeight w:val="183"/>
        </w:trPr>
        <w:tc>
          <w:tcPr>
            <w:tcW w:w="3261" w:type="dxa"/>
            <w:gridSpan w:val="2"/>
            <w:tcBorders>
              <w:top w:val="nil"/>
              <w:left w:val="single" w:sz="4" w:space="0" w:color="auto"/>
              <w:bottom w:val="single" w:sz="4" w:space="0" w:color="363639"/>
              <w:right w:val="single" w:sz="4" w:space="0" w:color="363639"/>
            </w:tcBorders>
            <w:shd w:val="clear" w:color="000000" w:fill="FFFFFF"/>
            <w:hideMark/>
          </w:tcPr>
          <w:p w14:paraId="0DCA91C5"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27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F46F40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8.716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14:paraId="500D8D7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16.302</w:t>
            </w:r>
          </w:p>
        </w:tc>
        <w:tc>
          <w:tcPr>
            <w:tcW w:w="1256" w:type="dxa"/>
            <w:tcBorders>
              <w:top w:val="nil"/>
              <w:left w:val="nil"/>
              <w:bottom w:val="single" w:sz="4" w:space="0" w:color="auto"/>
              <w:right w:val="single" w:sz="4" w:space="0" w:color="auto"/>
            </w:tcBorders>
            <w:shd w:val="clear" w:color="000000" w:fill="FFFFFF"/>
            <w:noWrap/>
            <w:vAlign w:val="bottom"/>
            <w:hideMark/>
          </w:tcPr>
          <w:p w14:paraId="32F9A41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614.611</w:t>
            </w:r>
          </w:p>
        </w:tc>
        <w:tc>
          <w:tcPr>
            <w:tcW w:w="1284" w:type="dxa"/>
            <w:tcBorders>
              <w:top w:val="nil"/>
              <w:left w:val="nil"/>
              <w:bottom w:val="single" w:sz="4" w:space="0" w:color="auto"/>
              <w:right w:val="single" w:sz="4" w:space="0" w:color="auto"/>
            </w:tcBorders>
            <w:shd w:val="clear" w:color="000000" w:fill="FFFFFF"/>
            <w:noWrap/>
            <w:vAlign w:val="bottom"/>
            <w:hideMark/>
          </w:tcPr>
          <w:p w14:paraId="2E17E7B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20.747</w:t>
            </w:r>
          </w:p>
        </w:tc>
        <w:tc>
          <w:tcPr>
            <w:tcW w:w="1142" w:type="dxa"/>
            <w:tcBorders>
              <w:top w:val="nil"/>
              <w:left w:val="nil"/>
              <w:bottom w:val="single" w:sz="4" w:space="0" w:color="auto"/>
              <w:right w:val="single" w:sz="4" w:space="0" w:color="auto"/>
            </w:tcBorders>
            <w:shd w:val="clear" w:color="000000" w:fill="FFFFFF"/>
            <w:noWrap/>
            <w:hideMark/>
          </w:tcPr>
          <w:p w14:paraId="6621DCA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single" w:sz="4" w:space="0" w:color="auto"/>
              <w:right w:val="single" w:sz="4" w:space="0" w:color="auto"/>
            </w:tcBorders>
            <w:shd w:val="clear" w:color="000000" w:fill="FFFFFF"/>
            <w:noWrap/>
            <w:vAlign w:val="bottom"/>
            <w:hideMark/>
          </w:tcPr>
          <w:p w14:paraId="3C1BE0B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660.376</w:t>
            </w:r>
          </w:p>
        </w:tc>
      </w:tr>
      <w:tr w:rsidR="0020305D" w:rsidRPr="00701F32" w14:paraId="5C798084" w14:textId="77777777" w:rsidTr="00701F32">
        <w:trPr>
          <w:trHeight w:val="221"/>
        </w:trPr>
        <w:tc>
          <w:tcPr>
            <w:tcW w:w="3261" w:type="dxa"/>
            <w:gridSpan w:val="2"/>
            <w:tcBorders>
              <w:top w:val="nil"/>
              <w:left w:val="single" w:sz="4" w:space="0" w:color="auto"/>
              <w:bottom w:val="nil"/>
              <w:right w:val="single" w:sz="4" w:space="0" w:color="363639"/>
            </w:tcBorders>
            <w:shd w:val="clear" w:color="000000" w:fill="FFFFFF"/>
            <w:hideMark/>
          </w:tcPr>
          <w:p w14:paraId="38B1C1EE"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Activos no corrientes mantenidos para la venta</w:t>
            </w:r>
          </w:p>
        </w:tc>
        <w:tc>
          <w:tcPr>
            <w:tcW w:w="1276" w:type="dxa"/>
            <w:gridSpan w:val="2"/>
            <w:tcBorders>
              <w:top w:val="nil"/>
              <w:left w:val="single" w:sz="4" w:space="0" w:color="auto"/>
              <w:bottom w:val="nil"/>
              <w:right w:val="single" w:sz="4" w:space="0" w:color="auto"/>
            </w:tcBorders>
            <w:shd w:val="clear" w:color="000000" w:fill="FFFFFF"/>
            <w:noWrap/>
            <w:vAlign w:val="bottom"/>
            <w:hideMark/>
          </w:tcPr>
          <w:p w14:paraId="1669958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76" w:type="dxa"/>
            <w:gridSpan w:val="2"/>
            <w:tcBorders>
              <w:top w:val="nil"/>
              <w:left w:val="nil"/>
              <w:bottom w:val="nil"/>
              <w:right w:val="single" w:sz="4" w:space="0" w:color="auto"/>
            </w:tcBorders>
            <w:shd w:val="clear" w:color="000000" w:fill="FFFFFF"/>
            <w:noWrap/>
            <w:hideMark/>
          </w:tcPr>
          <w:p w14:paraId="6B9A8CF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56" w:type="dxa"/>
            <w:tcBorders>
              <w:top w:val="nil"/>
              <w:left w:val="nil"/>
              <w:bottom w:val="nil"/>
              <w:right w:val="single" w:sz="4" w:space="0" w:color="auto"/>
            </w:tcBorders>
            <w:shd w:val="clear" w:color="000000" w:fill="FFFFFF"/>
            <w:noWrap/>
            <w:hideMark/>
          </w:tcPr>
          <w:p w14:paraId="231E1A8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84" w:type="dxa"/>
            <w:tcBorders>
              <w:top w:val="nil"/>
              <w:left w:val="nil"/>
              <w:bottom w:val="nil"/>
              <w:right w:val="single" w:sz="4" w:space="0" w:color="auto"/>
            </w:tcBorders>
            <w:shd w:val="clear" w:color="000000" w:fill="FFFFFF"/>
            <w:noWrap/>
            <w:hideMark/>
          </w:tcPr>
          <w:p w14:paraId="54EB5A4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142" w:type="dxa"/>
            <w:tcBorders>
              <w:top w:val="nil"/>
              <w:left w:val="nil"/>
              <w:bottom w:val="nil"/>
              <w:right w:val="single" w:sz="4" w:space="0" w:color="auto"/>
            </w:tcBorders>
            <w:shd w:val="clear" w:color="000000" w:fill="FFFFFF"/>
            <w:noWrap/>
            <w:hideMark/>
          </w:tcPr>
          <w:p w14:paraId="63F2E4A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279" w:type="dxa"/>
            <w:gridSpan w:val="2"/>
            <w:tcBorders>
              <w:top w:val="nil"/>
              <w:left w:val="nil"/>
              <w:bottom w:val="nil"/>
              <w:right w:val="single" w:sz="4" w:space="0" w:color="auto"/>
            </w:tcBorders>
            <w:shd w:val="clear" w:color="000000" w:fill="FFFFFF"/>
            <w:noWrap/>
            <w:hideMark/>
          </w:tcPr>
          <w:p w14:paraId="7839CCF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Cs/>
                <w:sz w:val="16"/>
                <w:szCs w:val="16"/>
                <w:lang w:eastAsia="es-AR"/>
              </w:rPr>
              <w:t>-</w:t>
            </w:r>
          </w:p>
        </w:tc>
      </w:tr>
      <w:tr w:rsidR="0020305D" w:rsidRPr="00701F32" w14:paraId="00019323" w14:textId="77777777" w:rsidTr="00701F32">
        <w:trPr>
          <w:trHeight w:val="183"/>
        </w:trPr>
        <w:tc>
          <w:tcPr>
            <w:tcW w:w="3261" w:type="dxa"/>
            <w:gridSpan w:val="2"/>
            <w:tcBorders>
              <w:top w:val="single" w:sz="4" w:space="0" w:color="auto"/>
              <w:left w:val="single" w:sz="4" w:space="0" w:color="auto"/>
              <w:bottom w:val="single" w:sz="4" w:space="0" w:color="auto"/>
              <w:right w:val="single" w:sz="4" w:space="0" w:color="363639"/>
            </w:tcBorders>
            <w:shd w:val="clear" w:color="000000" w:fill="FFFFFF"/>
            <w:vAlign w:val="center"/>
            <w:hideMark/>
          </w:tcPr>
          <w:p w14:paraId="3C441ECC"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TOTAL ACTIVO</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E3F9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26.341.619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6BA68A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22.509.985</w:t>
            </w:r>
          </w:p>
        </w:tc>
        <w:tc>
          <w:tcPr>
            <w:tcW w:w="1256" w:type="dxa"/>
            <w:tcBorders>
              <w:top w:val="single" w:sz="4" w:space="0" w:color="auto"/>
              <w:left w:val="nil"/>
              <w:bottom w:val="single" w:sz="4" w:space="0" w:color="auto"/>
              <w:right w:val="single" w:sz="4" w:space="0" w:color="auto"/>
            </w:tcBorders>
            <w:shd w:val="clear" w:color="000000" w:fill="FFFFFF"/>
            <w:noWrap/>
            <w:vAlign w:val="bottom"/>
            <w:hideMark/>
          </w:tcPr>
          <w:p w14:paraId="184CF47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21.850.997</w:t>
            </w:r>
          </w:p>
        </w:tc>
        <w:tc>
          <w:tcPr>
            <w:tcW w:w="1284" w:type="dxa"/>
            <w:tcBorders>
              <w:top w:val="single" w:sz="4" w:space="0" w:color="auto"/>
              <w:left w:val="nil"/>
              <w:bottom w:val="single" w:sz="4" w:space="0" w:color="auto"/>
              <w:right w:val="single" w:sz="4" w:space="0" w:color="auto"/>
            </w:tcBorders>
            <w:shd w:val="clear" w:color="000000" w:fill="FFFFFF"/>
            <w:noWrap/>
            <w:vAlign w:val="bottom"/>
            <w:hideMark/>
          </w:tcPr>
          <w:p w14:paraId="5B4AEBA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7.341.585</w:t>
            </w:r>
          </w:p>
        </w:tc>
        <w:tc>
          <w:tcPr>
            <w:tcW w:w="1142" w:type="dxa"/>
            <w:tcBorders>
              <w:top w:val="single" w:sz="4" w:space="0" w:color="auto"/>
              <w:left w:val="nil"/>
              <w:bottom w:val="single" w:sz="4" w:space="0" w:color="auto"/>
              <w:right w:val="single" w:sz="4" w:space="0" w:color="auto"/>
            </w:tcBorders>
            <w:shd w:val="clear" w:color="000000" w:fill="FFFFFF"/>
            <w:noWrap/>
            <w:vAlign w:val="bottom"/>
            <w:hideMark/>
          </w:tcPr>
          <w:p w14:paraId="643FDDA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-3.645.468</w:t>
            </w:r>
          </w:p>
        </w:tc>
        <w:tc>
          <w:tcPr>
            <w:tcW w:w="127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1283EE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74.398.718</w:t>
            </w:r>
          </w:p>
        </w:tc>
      </w:tr>
      <w:tr w:rsidR="0020305D" w:rsidRPr="00701F32" w14:paraId="7C60F3EB" w14:textId="77777777" w:rsidTr="00701F32">
        <w:trPr>
          <w:gridAfter w:val="9"/>
          <w:wAfter w:w="7612" w:type="dxa"/>
          <w:trHeight w:val="183"/>
        </w:trPr>
        <w:tc>
          <w:tcPr>
            <w:tcW w:w="3261" w:type="dxa"/>
            <w:gridSpan w:val="2"/>
            <w:tcBorders>
              <w:top w:val="nil"/>
              <w:left w:val="nil"/>
              <w:bottom w:val="nil"/>
              <w:right w:val="nil"/>
            </w:tcBorders>
            <w:shd w:val="clear" w:color="000000" w:fill="FFFFFF"/>
            <w:vAlign w:val="center"/>
            <w:hideMark/>
          </w:tcPr>
          <w:p w14:paraId="5776652E" w14:textId="77777777" w:rsidR="0020305D" w:rsidRPr="00701F32" w:rsidRDefault="0020305D" w:rsidP="00AE0B3F">
            <w:pPr>
              <w:rPr>
                <w:rFonts w:ascii="Arial" w:hAnsi="Arial" w:cs="Arial"/>
                <w:b/>
                <w:bCs/>
                <w:sz w:val="16"/>
                <w:szCs w:val="16"/>
                <w:lang w:eastAsia="es-AR"/>
              </w:rPr>
            </w:pPr>
          </w:p>
          <w:p w14:paraId="41D4CF3D" w14:textId="77777777" w:rsidR="005E7689" w:rsidRDefault="005E7689" w:rsidP="00AE0B3F">
            <w:pPr>
              <w:rPr>
                <w:rFonts w:ascii="Arial" w:hAnsi="Arial" w:cs="Arial"/>
                <w:b/>
                <w:bCs/>
                <w:sz w:val="16"/>
                <w:szCs w:val="16"/>
                <w:lang w:eastAsia="es-AR"/>
              </w:rPr>
            </w:pPr>
          </w:p>
          <w:p w14:paraId="5FF456FC" w14:textId="77777777" w:rsidR="004437AA" w:rsidRDefault="004437AA" w:rsidP="00AE0B3F">
            <w:pPr>
              <w:rPr>
                <w:rFonts w:ascii="Arial" w:hAnsi="Arial" w:cs="Arial"/>
                <w:b/>
                <w:bCs/>
                <w:sz w:val="16"/>
                <w:szCs w:val="16"/>
                <w:lang w:eastAsia="es-AR"/>
              </w:rPr>
            </w:pPr>
          </w:p>
          <w:p w14:paraId="058BCFE2" w14:textId="77777777" w:rsidR="004437AA" w:rsidRDefault="004437AA" w:rsidP="00AE0B3F">
            <w:pPr>
              <w:rPr>
                <w:rFonts w:ascii="Arial" w:hAnsi="Arial" w:cs="Arial"/>
                <w:b/>
                <w:bCs/>
                <w:sz w:val="16"/>
                <w:szCs w:val="16"/>
                <w:lang w:eastAsia="es-AR"/>
              </w:rPr>
            </w:pPr>
          </w:p>
          <w:p w14:paraId="560B6A9D" w14:textId="77777777" w:rsidR="004437AA" w:rsidRDefault="004437AA" w:rsidP="00AE0B3F">
            <w:pPr>
              <w:rPr>
                <w:rFonts w:ascii="Arial" w:hAnsi="Arial" w:cs="Arial"/>
                <w:b/>
                <w:bCs/>
                <w:sz w:val="16"/>
                <w:szCs w:val="16"/>
                <w:lang w:eastAsia="es-AR"/>
              </w:rPr>
            </w:pPr>
          </w:p>
          <w:p w14:paraId="370E4DBC" w14:textId="77777777" w:rsidR="004437AA" w:rsidRDefault="004437AA" w:rsidP="00AE0B3F">
            <w:pPr>
              <w:rPr>
                <w:rFonts w:ascii="Arial" w:hAnsi="Arial" w:cs="Arial"/>
                <w:b/>
                <w:bCs/>
                <w:sz w:val="16"/>
                <w:szCs w:val="16"/>
                <w:lang w:eastAsia="es-AR"/>
              </w:rPr>
            </w:pPr>
          </w:p>
          <w:p w14:paraId="59DFD3CF" w14:textId="77777777" w:rsidR="004437AA" w:rsidRDefault="004437AA" w:rsidP="00AE0B3F">
            <w:pPr>
              <w:rPr>
                <w:rFonts w:ascii="Arial" w:hAnsi="Arial" w:cs="Arial"/>
                <w:b/>
                <w:bCs/>
                <w:sz w:val="16"/>
                <w:szCs w:val="16"/>
                <w:lang w:eastAsia="es-AR"/>
              </w:rPr>
            </w:pPr>
          </w:p>
          <w:p w14:paraId="4FE4175C" w14:textId="325DF72A" w:rsidR="004437AA" w:rsidRPr="00701F32" w:rsidRDefault="004437AA" w:rsidP="00AE0B3F">
            <w:pPr>
              <w:rPr>
                <w:rFonts w:ascii="Arial" w:hAnsi="Arial" w:cs="Arial"/>
                <w:b/>
                <w:bCs/>
                <w:sz w:val="16"/>
                <w:szCs w:val="16"/>
                <w:lang w:eastAsia="es-AR"/>
              </w:rPr>
            </w:pPr>
          </w:p>
        </w:tc>
      </w:tr>
      <w:tr w:rsidR="0020305D" w:rsidRPr="00701F32" w14:paraId="3CB7E127" w14:textId="77777777" w:rsidTr="00701F32">
        <w:trPr>
          <w:gridAfter w:val="1"/>
          <w:wAfter w:w="236" w:type="dxa"/>
          <w:trHeight w:val="487"/>
        </w:trPr>
        <w:tc>
          <w:tcPr>
            <w:tcW w:w="2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BB9192" w14:textId="77777777" w:rsidR="0020305D" w:rsidRPr="00701F32" w:rsidRDefault="0020305D" w:rsidP="00AE0B3F">
            <w:pPr>
              <w:jc w:val="center"/>
              <w:rPr>
                <w:rFonts w:ascii="Arial" w:hAnsi="Arial" w:cs="Arial"/>
                <w:b/>
                <w:bCs/>
                <w:sz w:val="16"/>
                <w:szCs w:val="16"/>
                <w:lang w:eastAsia="es-AR"/>
              </w:rPr>
            </w:pPr>
            <w:r w:rsidRPr="00701F32">
              <w:rPr>
                <w:rFonts w:ascii="Arial" w:hAnsi="Arial" w:cs="Arial"/>
                <w:b/>
                <w:bCs/>
                <w:sz w:val="16"/>
                <w:szCs w:val="16"/>
                <w:lang w:eastAsia="es-AR"/>
              </w:rPr>
              <w:t>PASIVO al 30/09/2017</w:t>
            </w:r>
          </w:p>
        </w:tc>
        <w:tc>
          <w:tcPr>
            <w:tcW w:w="1313" w:type="dxa"/>
            <w:gridSpan w:val="2"/>
            <w:tcBorders>
              <w:top w:val="single" w:sz="4" w:space="0" w:color="auto"/>
              <w:left w:val="nil"/>
              <w:bottom w:val="single" w:sz="4" w:space="0" w:color="auto"/>
              <w:right w:val="single" w:sz="4" w:space="0" w:color="auto"/>
            </w:tcBorders>
            <w:shd w:val="clear" w:color="auto" w:fill="auto"/>
            <w:vAlign w:val="center"/>
            <w:hideMark/>
          </w:tcPr>
          <w:p w14:paraId="78CC4EEC"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427" w:type="dxa"/>
            <w:gridSpan w:val="2"/>
            <w:tcBorders>
              <w:top w:val="single" w:sz="4" w:space="0" w:color="auto"/>
              <w:left w:val="nil"/>
              <w:bottom w:val="single" w:sz="4" w:space="0" w:color="auto"/>
              <w:right w:val="single" w:sz="4" w:space="0" w:color="auto"/>
            </w:tcBorders>
            <w:shd w:val="clear" w:color="auto" w:fill="auto"/>
            <w:vAlign w:val="center"/>
            <w:hideMark/>
          </w:tcPr>
          <w:p w14:paraId="50FCBF7A"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428" w:type="dxa"/>
            <w:gridSpan w:val="2"/>
            <w:tcBorders>
              <w:top w:val="single" w:sz="4" w:space="0" w:color="auto"/>
              <w:left w:val="nil"/>
              <w:bottom w:val="single" w:sz="4" w:space="0" w:color="auto"/>
              <w:right w:val="single" w:sz="4" w:space="0" w:color="auto"/>
            </w:tcBorders>
            <w:shd w:val="clear" w:color="auto" w:fill="auto"/>
            <w:vAlign w:val="center"/>
            <w:hideMark/>
          </w:tcPr>
          <w:p w14:paraId="0B4A7C06"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14:paraId="43849758"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50AEE867"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6116A4A9" w14:textId="77777777" w:rsidR="0020305D" w:rsidRPr="00701F32" w:rsidRDefault="0020305D" w:rsidP="00AE0B3F">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20305D" w:rsidRPr="00701F32" w14:paraId="6D7E9F8D"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7545755F"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04B4C66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-3.459.501</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262C583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-31.340.908</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0E4177C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-11.705.456</w:t>
            </w:r>
          </w:p>
        </w:tc>
        <w:tc>
          <w:tcPr>
            <w:tcW w:w="1284" w:type="dxa"/>
            <w:tcBorders>
              <w:top w:val="nil"/>
              <w:left w:val="nil"/>
              <w:bottom w:val="single" w:sz="4" w:space="0" w:color="auto"/>
              <w:right w:val="single" w:sz="4" w:space="0" w:color="auto"/>
            </w:tcBorders>
            <w:shd w:val="clear" w:color="auto" w:fill="auto"/>
            <w:noWrap/>
            <w:vAlign w:val="bottom"/>
            <w:hideMark/>
          </w:tcPr>
          <w:p w14:paraId="009BA99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-692.966</w:t>
            </w:r>
          </w:p>
        </w:tc>
        <w:tc>
          <w:tcPr>
            <w:tcW w:w="1142" w:type="dxa"/>
            <w:tcBorders>
              <w:top w:val="nil"/>
              <w:left w:val="nil"/>
              <w:bottom w:val="single" w:sz="4" w:space="0" w:color="auto"/>
              <w:right w:val="single" w:sz="4" w:space="0" w:color="auto"/>
            </w:tcBorders>
            <w:shd w:val="clear" w:color="auto" w:fill="auto"/>
            <w:noWrap/>
            <w:vAlign w:val="bottom"/>
            <w:hideMark/>
          </w:tcPr>
          <w:p w14:paraId="6EC5B91B" w14:textId="3EA86CCE" w:rsidR="0020305D" w:rsidRPr="00701F32" w:rsidRDefault="001F15E3" w:rsidP="00AE0B3F">
            <w:pPr>
              <w:jc w:val="right"/>
              <w:rPr>
                <w:rFonts w:ascii="Arial" w:hAnsi="Arial" w:cs="Arial"/>
                <w:b/>
                <w:bCs/>
                <w:sz w:val="16"/>
                <w:szCs w:val="16"/>
                <w:lang w:eastAsia="es-AR"/>
              </w:rPr>
            </w:pPr>
            <w:r w:rsidRPr="00701F32">
              <w:rPr>
                <w:rFonts w:ascii="Arial" w:hAnsi="Arial" w:cs="Arial"/>
                <w:b/>
                <w:bCs/>
                <w:sz w:val="16"/>
                <w:szCs w:val="16"/>
                <w:lang w:eastAsia="es-AR"/>
              </w:rPr>
              <w:t>8.370</w:t>
            </w:r>
          </w:p>
        </w:tc>
        <w:tc>
          <w:tcPr>
            <w:tcW w:w="1142" w:type="dxa"/>
            <w:tcBorders>
              <w:top w:val="nil"/>
              <w:left w:val="nil"/>
              <w:bottom w:val="single" w:sz="4" w:space="0" w:color="auto"/>
              <w:right w:val="single" w:sz="4" w:space="0" w:color="auto"/>
            </w:tcBorders>
            <w:shd w:val="clear" w:color="auto" w:fill="auto"/>
            <w:noWrap/>
            <w:vAlign w:val="bottom"/>
            <w:hideMark/>
          </w:tcPr>
          <w:p w14:paraId="325B23F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-47.190.461</w:t>
            </w:r>
          </w:p>
        </w:tc>
      </w:tr>
      <w:tr w:rsidR="0020305D" w:rsidRPr="00701F32" w14:paraId="12C51559" w14:textId="77777777" w:rsidTr="00701F32">
        <w:trPr>
          <w:gridAfter w:val="1"/>
          <w:wAfter w:w="236" w:type="dxa"/>
          <w:trHeight w:val="329"/>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2DBBDD9C" w14:textId="77777777" w:rsidR="0020305D" w:rsidRPr="00701F32" w:rsidRDefault="0020305D" w:rsidP="00AE0B3F">
            <w:pPr>
              <w:rPr>
                <w:rFonts w:ascii="Arial" w:hAnsi="Arial" w:cs="Arial"/>
                <w:color w:val="000000"/>
                <w:sz w:val="16"/>
                <w:szCs w:val="16"/>
                <w:lang w:eastAsia="es-AR"/>
              </w:rPr>
            </w:pPr>
            <w:r w:rsidRPr="00701F32">
              <w:rPr>
                <w:rFonts w:ascii="Arial" w:hAnsi="Arial" w:cs="Arial"/>
                <w:color w:val="000000"/>
                <w:sz w:val="16"/>
                <w:szCs w:val="16"/>
                <w:lang w:eastAsia="es-AR"/>
              </w:rPr>
              <w:t>Sector público no financiero</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1B31670A"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-670</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514ABB68"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-1.102.642</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3B045747"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-5.870.127</w:t>
            </w:r>
          </w:p>
        </w:tc>
        <w:tc>
          <w:tcPr>
            <w:tcW w:w="1284" w:type="dxa"/>
            <w:tcBorders>
              <w:top w:val="nil"/>
              <w:left w:val="nil"/>
              <w:bottom w:val="single" w:sz="4" w:space="0" w:color="auto"/>
              <w:right w:val="single" w:sz="4" w:space="0" w:color="auto"/>
            </w:tcBorders>
            <w:shd w:val="clear" w:color="auto" w:fill="auto"/>
            <w:noWrap/>
            <w:vAlign w:val="bottom"/>
            <w:hideMark/>
          </w:tcPr>
          <w:p w14:paraId="3095181C"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62CAB16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150598D6"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-6.973.439</w:t>
            </w:r>
          </w:p>
        </w:tc>
      </w:tr>
      <w:tr w:rsidR="0020305D" w:rsidRPr="00701F32" w14:paraId="66E64F8B"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2DD0B560" w14:textId="77777777" w:rsidR="0020305D" w:rsidRPr="00701F32" w:rsidRDefault="0020305D" w:rsidP="00AE0B3F">
            <w:pPr>
              <w:rPr>
                <w:rFonts w:ascii="Arial" w:hAnsi="Arial" w:cs="Arial"/>
                <w:color w:val="000000"/>
                <w:sz w:val="16"/>
                <w:szCs w:val="16"/>
                <w:lang w:eastAsia="es-AR"/>
              </w:rPr>
            </w:pPr>
            <w:r w:rsidRPr="00701F32">
              <w:rPr>
                <w:rFonts w:ascii="Arial" w:hAnsi="Arial" w:cs="Arial"/>
                <w:color w:val="000000"/>
                <w:sz w:val="16"/>
                <w:szCs w:val="16"/>
                <w:lang w:eastAsia="es-AR"/>
              </w:rPr>
              <w:t>Sector financiero</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3ACAE6A3"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-8.836</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4FECEF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0E57763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-5</w:t>
            </w:r>
          </w:p>
        </w:tc>
        <w:tc>
          <w:tcPr>
            <w:tcW w:w="1284" w:type="dxa"/>
            <w:tcBorders>
              <w:top w:val="nil"/>
              <w:left w:val="nil"/>
              <w:bottom w:val="single" w:sz="4" w:space="0" w:color="auto"/>
              <w:right w:val="single" w:sz="4" w:space="0" w:color="auto"/>
            </w:tcBorders>
            <w:shd w:val="clear" w:color="auto" w:fill="auto"/>
            <w:noWrap/>
            <w:vAlign w:val="bottom"/>
            <w:hideMark/>
          </w:tcPr>
          <w:p w14:paraId="4C5FA9B9"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0CFEF474"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815</w:t>
            </w:r>
          </w:p>
        </w:tc>
        <w:tc>
          <w:tcPr>
            <w:tcW w:w="1142" w:type="dxa"/>
            <w:tcBorders>
              <w:top w:val="nil"/>
              <w:left w:val="nil"/>
              <w:bottom w:val="single" w:sz="4" w:space="0" w:color="auto"/>
              <w:right w:val="single" w:sz="4" w:space="0" w:color="auto"/>
            </w:tcBorders>
            <w:shd w:val="clear" w:color="auto" w:fill="auto"/>
            <w:noWrap/>
            <w:vAlign w:val="bottom"/>
            <w:hideMark/>
          </w:tcPr>
          <w:p w14:paraId="2BF4BC3E"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-8.026</w:t>
            </w:r>
          </w:p>
        </w:tc>
      </w:tr>
      <w:tr w:rsidR="0020305D" w:rsidRPr="00701F32" w14:paraId="382C9B56"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866A1A" w14:textId="77777777" w:rsidR="0020305D" w:rsidRPr="00701F32" w:rsidRDefault="0020305D" w:rsidP="00AE0B3F">
            <w:pPr>
              <w:rPr>
                <w:rFonts w:ascii="Arial" w:hAnsi="Arial" w:cs="Arial"/>
                <w:color w:val="000000"/>
                <w:sz w:val="16"/>
                <w:szCs w:val="16"/>
                <w:lang w:eastAsia="es-AR"/>
              </w:rPr>
            </w:pPr>
            <w:r w:rsidRPr="00701F32">
              <w:rPr>
                <w:rFonts w:ascii="Arial" w:hAnsi="Arial" w:cs="Arial"/>
                <w:color w:val="000000"/>
                <w:sz w:val="16"/>
                <w:szCs w:val="16"/>
                <w:lang w:eastAsia="es-AR"/>
              </w:rPr>
              <w:t>Sector privado no financiero y residentes en el exterior</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3BA142C9"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-3.449.995</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348BDC9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-30.238.266</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749AFA00"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-5.835.324</w:t>
            </w:r>
          </w:p>
        </w:tc>
        <w:tc>
          <w:tcPr>
            <w:tcW w:w="1284" w:type="dxa"/>
            <w:tcBorders>
              <w:top w:val="nil"/>
              <w:left w:val="nil"/>
              <w:bottom w:val="single" w:sz="4" w:space="0" w:color="auto"/>
              <w:right w:val="single" w:sz="4" w:space="0" w:color="auto"/>
            </w:tcBorders>
            <w:shd w:val="clear" w:color="auto" w:fill="auto"/>
            <w:noWrap/>
            <w:vAlign w:val="bottom"/>
            <w:hideMark/>
          </w:tcPr>
          <w:p w14:paraId="7875CE14"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-692.966</w:t>
            </w:r>
          </w:p>
        </w:tc>
        <w:tc>
          <w:tcPr>
            <w:tcW w:w="1142" w:type="dxa"/>
            <w:tcBorders>
              <w:top w:val="nil"/>
              <w:left w:val="nil"/>
              <w:bottom w:val="single" w:sz="4" w:space="0" w:color="auto"/>
              <w:right w:val="single" w:sz="4" w:space="0" w:color="auto"/>
            </w:tcBorders>
            <w:shd w:val="clear" w:color="auto" w:fill="auto"/>
            <w:noWrap/>
            <w:vAlign w:val="bottom"/>
            <w:hideMark/>
          </w:tcPr>
          <w:p w14:paraId="5A6FCDAD"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7.555</w:t>
            </w:r>
          </w:p>
        </w:tc>
        <w:tc>
          <w:tcPr>
            <w:tcW w:w="1142" w:type="dxa"/>
            <w:tcBorders>
              <w:top w:val="nil"/>
              <w:left w:val="nil"/>
              <w:bottom w:val="single" w:sz="4" w:space="0" w:color="auto"/>
              <w:right w:val="single" w:sz="4" w:space="0" w:color="auto"/>
            </w:tcBorders>
            <w:shd w:val="clear" w:color="auto" w:fill="auto"/>
            <w:noWrap/>
            <w:vAlign w:val="bottom"/>
            <w:hideMark/>
          </w:tcPr>
          <w:p w14:paraId="0E323BCB" w14:textId="77777777" w:rsidR="0020305D" w:rsidRPr="00701F32" w:rsidRDefault="0020305D" w:rsidP="00AE0B3F">
            <w:pPr>
              <w:jc w:val="right"/>
              <w:rPr>
                <w:rFonts w:ascii="Arial" w:hAnsi="Arial" w:cs="Arial"/>
                <w:bCs/>
                <w:sz w:val="16"/>
                <w:szCs w:val="16"/>
                <w:lang w:eastAsia="es-AR"/>
              </w:rPr>
            </w:pPr>
            <w:r w:rsidRPr="00701F32">
              <w:rPr>
                <w:rFonts w:ascii="Arial" w:hAnsi="Arial" w:cs="Arial"/>
                <w:bCs/>
                <w:sz w:val="16"/>
                <w:szCs w:val="16"/>
                <w:lang w:eastAsia="es-AR"/>
              </w:rPr>
              <w:t>-40.208.996</w:t>
            </w:r>
          </w:p>
        </w:tc>
      </w:tr>
      <w:tr w:rsidR="0020305D" w:rsidRPr="00701F32" w14:paraId="61033C42"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4FFBC0"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Pasivos a valor razonable con cambios en resultados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7179AF7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644E5E3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2D8093E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-1.430.626</w:t>
            </w:r>
          </w:p>
        </w:tc>
        <w:tc>
          <w:tcPr>
            <w:tcW w:w="1284" w:type="dxa"/>
            <w:tcBorders>
              <w:top w:val="nil"/>
              <w:left w:val="nil"/>
              <w:bottom w:val="single" w:sz="4" w:space="0" w:color="auto"/>
              <w:right w:val="single" w:sz="4" w:space="0" w:color="auto"/>
            </w:tcBorders>
            <w:shd w:val="clear" w:color="auto" w:fill="auto"/>
            <w:noWrap/>
            <w:vAlign w:val="bottom"/>
            <w:hideMark/>
          </w:tcPr>
          <w:p w14:paraId="38B6184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-1.827.966</w:t>
            </w:r>
          </w:p>
        </w:tc>
        <w:tc>
          <w:tcPr>
            <w:tcW w:w="1142" w:type="dxa"/>
            <w:tcBorders>
              <w:top w:val="nil"/>
              <w:left w:val="nil"/>
              <w:bottom w:val="single" w:sz="4" w:space="0" w:color="auto"/>
              <w:right w:val="single" w:sz="4" w:space="0" w:color="auto"/>
            </w:tcBorders>
            <w:shd w:val="clear" w:color="auto" w:fill="auto"/>
            <w:noWrap/>
            <w:vAlign w:val="bottom"/>
            <w:hideMark/>
          </w:tcPr>
          <w:p w14:paraId="3CCE00B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1.827.966</w:t>
            </w:r>
          </w:p>
        </w:tc>
        <w:tc>
          <w:tcPr>
            <w:tcW w:w="1142" w:type="dxa"/>
            <w:tcBorders>
              <w:top w:val="nil"/>
              <w:left w:val="nil"/>
              <w:bottom w:val="single" w:sz="4" w:space="0" w:color="auto"/>
              <w:right w:val="single" w:sz="4" w:space="0" w:color="auto"/>
            </w:tcBorders>
            <w:shd w:val="clear" w:color="auto" w:fill="auto"/>
            <w:noWrap/>
            <w:vAlign w:val="bottom"/>
            <w:hideMark/>
          </w:tcPr>
          <w:p w14:paraId="45FEF4D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-1.430.626</w:t>
            </w:r>
          </w:p>
        </w:tc>
      </w:tr>
      <w:tr w:rsidR="0020305D" w:rsidRPr="00701F32" w14:paraId="14B499F3"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542BA89C"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Instrumentos derivados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29F0537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03BE100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2D79F80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84" w:type="dxa"/>
            <w:tcBorders>
              <w:top w:val="nil"/>
              <w:left w:val="nil"/>
              <w:bottom w:val="single" w:sz="4" w:space="0" w:color="auto"/>
              <w:right w:val="single" w:sz="4" w:space="0" w:color="auto"/>
            </w:tcBorders>
            <w:shd w:val="clear" w:color="auto" w:fill="auto"/>
            <w:noWrap/>
            <w:vAlign w:val="bottom"/>
            <w:hideMark/>
          </w:tcPr>
          <w:p w14:paraId="3B2CADF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3C1B720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03F2CD2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r>
      <w:tr w:rsidR="0020305D" w:rsidRPr="00701F32" w14:paraId="0BD2EAFF"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6F82B7C5"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Operaciones de pase</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04D0FF2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60D81A2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5D705ED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-1.266.045</w:t>
            </w:r>
          </w:p>
        </w:tc>
        <w:tc>
          <w:tcPr>
            <w:tcW w:w="1284" w:type="dxa"/>
            <w:tcBorders>
              <w:top w:val="nil"/>
              <w:left w:val="nil"/>
              <w:bottom w:val="single" w:sz="4" w:space="0" w:color="auto"/>
              <w:right w:val="single" w:sz="4" w:space="0" w:color="auto"/>
            </w:tcBorders>
            <w:shd w:val="clear" w:color="auto" w:fill="auto"/>
            <w:noWrap/>
            <w:vAlign w:val="bottom"/>
            <w:hideMark/>
          </w:tcPr>
          <w:p w14:paraId="3AF2ACE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0ADF009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28276ED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-1.266.045</w:t>
            </w:r>
          </w:p>
        </w:tc>
      </w:tr>
      <w:tr w:rsidR="0020305D" w:rsidRPr="00701F32" w14:paraId="6A30327A"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358DEC6A"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20B365B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-258.836</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D51003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-2.642.009</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4781C0F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-549.073</w:t>
            </w:r>
          </w:p>
        </w:tc>
        <w:tc>
          <w:tcPr>
            <w:tcW w:w="1284" w:type="dxa"/>
            <w:tcBorders>
              <w:top w:val="nil"/>
              <w:left w:val="nil"/>
              <w:bottom w:val="single" w:sz="4" w:space="0" w:color="auto"/>
              <w:right w:val="single" w:sz="4" w:space="0" w:color="auto"/>
            </w:tcBorders>
            <w:shd w:val="clear" w:color="auto" w:fill="auto"/>
            <w:noWrap/>
            <w:vAlign w:val="bottom"/>
            <w:hideMark/>
          </w:tcPr>
          <w:p w14:paraId="57D51AD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-951.217</w:t>
            </w:r>
          </w:p>
        </w:tc>
        <w:tc>
          <w:tcPr>
            <w:tcW w:w="1142" w:type="dxa"/>
            <w:tcBorders>
              <w:top w:val="nil"/>
              <w:left w:val="nil"/>
              <w:bottom w:val="single" w:sz="4" w:space="0" w:color="auto"/>
              <w:right w:val="single" w:sz="4" w:space="0" w:color="auto"/>
            </w:tcBorders>
            <w:shd w:val="clear" w:color="auto" w:fill="auto"/>
            <w:noWrap/>
            <w:vAlign w:val="bottom"/>
            <w:hideMark/>
          </w:tcPr>
          <w:p w14:paraId="2573E37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605.910</w:t>
            </w:r>
          </w:p>
        </w:tc>
        <w:tc>
          <w:tcPr>
            <w:tcW w:w="1142" w:type="dxa"/>
            <w:tcBorders>
              <w:top w:val="nil"/>
              <w:left w:val="nil"/>
              <w:bottom w:val="single" w:sz="4" w:space="0" w:color="auto"/>
              <w:right w:val="single" w:sz="4" w:space="0" w:color="auto"/>
            </w:tcBorders>
            <w:shd w:val="clear" w:color="auto" w:fill="auto"/>
            <w:noWrap/>
            <w:vAlign w:val="bottom"/>
            <w:hideMark/>
          </w:tcPr>
          <w:p w14:paraId="69EAA7B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-3.795.225</w:t>
            </w:r>
          </w:p>
        </w:tc>
      </w:tr>
      <w:tr w:rsidR="0020305D" w:rsidRPr="00701F32" w14:paraId="71AF69FF"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0D51DA"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580A08B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-822.627</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3FE0DC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-5.436</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14628FD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-278.595</w:t>
            </w:r>
          </w:p>
        </w:tc>
        <w:tc>
          <w:tcPr>
            <w:tcW w:w="1284" w:type="dxa"/>
            <w:tcBorders>
              <w:top w:val="nil"/>
              <w:left w:val="nil"/>
              <w:bottom w:val="single" w:sz="4" w:space="0" w:color="auto"/>
              <w:right w:val="single" w:sz="4" w:space="0" w:color="auto"/>
            </w:tcBorders>
            <w:shd w:val="clear" w:color="auto" w:fill="auto"/>
            <w:noWrap/>
            <w:vAlign w:val="bottom"/>
            <w:hideMark/>
          </w:tcPr>
          <w:p w14:paraId="2433EB3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-595.783</w:t>
            </w:r>
          </w:p>
        </w:tc>
        <w:tc>
          <w:tcPr>
            <w:tcW w:w="1142" w:type="dxa"/>
            <w:tcBorders>
              <w:top w:val="nil"/>
              <w:left w:val="nil"/>
              <w:bottom w:val="single" w:sz="4" w:space="0" w:color="auto"/>
              <w:right w:val="single" w:sz="4" w:space="0" w:color="auto"/>
            </w:tcBorders>
            <w:shd w:val="clear" w:color="auto" w:fill="auto"/>
            <w:noWrap/>
            <w:vAlign w:val="bottom"/>
            <w:hideMark/>
          </w:tcPr>
          <w:p w14:paraId="76D36FD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192.891</w:t>
            </w:r>
          </w:p>
        </w:tc>
        <w:tc>
          <w:tcPr>
            <w:tcW w:w="1142" w:type="dxa"/>
            <w:tcBorders>
              <w:top w:val="nil"/>
              <w:left w:val="nil"/>
              <w:bottom w:val="single" w:sz="4" w:space="0" w:color="auto"/>
              <w:right w:val="single" w:sz="4" w:space="0" w:color="auto"/>
            </w:tcBorders>
            <w:shd w:val="clear" w:color="auto" w:fill="auto"/>
            <w:noWrap/>
            <w:vAlign w:val="bottom"/>
            <w:hideMark/>
          </w:tcPr>
          <w:p w14:paraId="2876D3F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-1.509.550</w:t>
            </w:r>
          </w:p>
        </w:tc>
      </w:tr>
      <w:tr w:rsidR="0020305D" w:rsidRPr="00701F32" w14:paraId="15D33A8D"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71825AB6"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30DEFAB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75452F6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7A382BA0"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-5.629.729</w:t>
            </w:r>
          </w:p>
        </w:tc>
        <w:tc>
          <w:tcPr>
            <w:tcW w:w="1284" w:type="dxa"/>
            <w:tcBorders>
              <w:top w:val="nil"/>
              <w:left w:val="nil"/>
              <w:bottom w:val="single" w:sz="4" w:space="0" w:color="auto"/>
              <w:right w:val="single" w:sz="4" w:space="0" w:color="auto"/>
            </w:tcBorders>
            <w:shd w:val="clear" w:color="auto" w:fill="auto"/>
            <w:noWrap/>
            <w:vAlign w:val="bottom"/>
            <w:hideMark/>
          </w:tcPr>
          <w:p w14:paraId="57EE95B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-1.717.951</w:t>
            </w:r>
          </w:p>
        </w:tc>
        <w:tc>
          <w:tcPr>
            <w:tcW w:w="1142" w:type="dxa"/>
            <w:tcBorders>
              <w:top w:val="nil"/>
              <w:left w:val="nil"/>
              <w:bottom w:val="single" w:sz="4" w:space="0" w:color="auto"/>
              <w:right w:val="single" w:sz="4" w:space="0" w:color="auto"/>
            </w:tcBorders>
            <w:shd w:val="clear" w:color="auto" w:fill="auto"/>
            <w:noWrap/>
            <w:vAlign w:val="bottom"/>
            <w:hideMark/>
          </w:tcPr>
          <w:p w14:paraId="76F3037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2.061</w:t>
            </w:r>
          </w:p>
        </w:tc>
        <w:tc>
          <w:tcPr>
            <w:tcW w:w="1142" w:type="dxa"/>
            <w:tcBorders>
              <w:top w:val="nil"/>
              <w:left w:val="nil"/>
              <w:bottom w:val="single" w:sz="4" w:space="0" w:color="auto"/>
              <w:right w:val="single" w:sz="4" w:space="0" w:color="auto"/>
            </w:tcBorders>
            <w:shd w:val="clear" w:color="auto" w:fill="auto"/>
            <w:noWrap/>
            <w:vAlign w:val="bottom"/>
            <w:hideMark/>
          </w:tcPr>
          <w:p w14:paraId="63D8F8F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-7.345.619</w:t>
            </w:r>
          </w:p>
        </w:tc>
      </w:tr>
      <w:tr w:rsidR="0020305D" w:rsidRPr="00701F32" w14:paraId="06D92E12"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6379F682"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Pasivo por impuestos a las ganancias corriente</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58F2B76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72731D58"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4539AFE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-481.157</w:t>
            </w:r>
          </w:p>
        </w:tc>
        <w:tc>
          <w:tcPr>
            <w:tcW w:w="1284" w:type="dxa"/>
            <w:tcBorders>
              <w:top w:val="nil"/>
              <w:left w:val="nil"/>
              <w:bottom w:val="single" w:sz="4" w:space="0" w:color="auto"/>
              <w:right w:val="single" w:sz="4" w:space="0" w:color="auto"/>
            </w:tcBorders>
            <w:shd w:val="clear" w:color="auto" w:fill="auto"/>
            <w:noWrap/>
            <w:vAlign w:val="bottom"/>
            <w:hideMark/>
          </w:tcPr>
          <w:p w14:paraId="511D2EC4"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-106.236</w:t>
            </w:r>
          </w:p>
        </w:tc>
        <w:tc>
          <w:tcPr>
            <w:tcW w:w="1142" w:type="dxa"/>
            <w:tcBorders>
              <w:top w:val="nil"/>
              <w:left w:val="nil"/>
              <w:bottom w:val="single" w:sz="4" w:space="0" w:color="auto"/>
              <w:right w:val="single" w:sz="4" w:space="0" w:color="auto"/>
            </w:tcBorders>
            <w:shd w:val="clear" w:color="auto" w:fill="auto"/>
            <w:noWrap/>
            <w:vAlign w:val="bottom"/>
            <w:hideMark/>
          </w:tcPr>
          <w:p w14:paraId="679801D9"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4D8BCA3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-587.393</w:t>
            </w:r>
          </w:p>
        </w:tc>
      </w:tr>
      <w:tr w:rsidR="0020305D" w:rsidRPr="00701F32" w14:paraId="4CBC0BE4" w14:textId="77777777" w:rsidTr="00701F32">
        <w:trPr>
          <w:gridAfter w:val="1"/>
          <w:wAfter w:w="236" w:type="dxa"/>
          <w:trHeight w:val="229"/>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54C921B5"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431F0D4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94DEFB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5DF1B71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-1.533.221</w:t>
            </w:r>
          </w:p>
        </w:tc>
        <w:tc>
          <w:tcPr>
            <w:tcW w:w="1284" w:type="dxa"/>
            <w:tcBorders>
              <w:top w:val="nil"/>
              <w:left w:val="nil"/>
              <w:bottom w:val="single" w:sz="4" w:space="0" w:color="auto"/>
              <w:right w:val="single" w:sz="4" w:space="0" w:color="auto"/>
            </w:tcBorders>
            <w:shd w:val="clear" w:color="auto" w:fill="auto"/>
            <w:noWrap/>
            <w:vAlign w:val="bottom"/>
            <w:hideMark/>
          </w:tcPr>
          <w:p w14:paraId="1D09BA0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1931B19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22771061"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-1.533.221</w:t>
            </w:r>
          </w:p>
        </w:tc>
      </w:tr>
      <w:tr w:rsidR="0020305D" w:rsidRPr="00701F32" w14:paraId="63B00B7A"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6520FB93"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Provisiones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3D6016C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-19.210</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2A5600F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-23.519</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406F100B"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-5.297</w:t>
            </w:r>
          </w:p>
        </w:tc>
        <w:tc>
          <w:tcPr>
            <w:tcW w:w="1284" w:type="dxa"/>
            <w:tcBorders>
              <w:top w:val="nil"/>
              <w:left w:val="nil"/>
              <w:bottom w:val="single" w:sz="4" w:space="0" w:color="auto"/>
              <w:right w:val="single" w:sz="4" w:space="0" w:color="auto"/>
            </w:tcBorders>
            <w:shd w:val="clear" w:color="auto" w:fill="auto"/>
            <w:noWrap/>
            <w:vAlign w:val="bottom"/>
            <w:hideMark/>
          </w:tcPr>
          <w:p w14:paraId="7FC73E73"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-19.869</w:t>
            </w:r>
          </w:p>
        </w:tc>
        <w:tc>
          <w:tcPr>
            <w:tcW w:w="1142" w:type="dxa"/>
            <w:tcBorders>
              <w:top w:val="nil"/>
              <w:left w:val="nil"/>
              <w:bottom w:val="single" w:sz="4" w:space="0" w:color="auto"/>
              <w:right w:val="single" w:sz="4" w:space="0" w:color="auto"/>
            </w:tcBorders>
            <w:shd w:val="clear" w:color="auto" w:fill="auto"/>
            <w:noWrap/>
            <w:vAlign w:val="bottom"/>
            <w:hideMark/>
          </w:tcPr>
          <w:p w14:paraId="19B3B46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1E1D436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-67.895</w:t>
            </w:r>
          </w:p>
        </w:tc>
      </w:tr>
      <w:tr w:rsidR="0020305D" w:rsidRPr="00701F32" w14:paraId="32F0DDA1"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3B53C95"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Pasivo por impuestos a las ganancias diferido</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0AE2043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BC93F0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1284939E"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284" w:type="dxa"/>
            <w:tcBorders>
              <w:top w:val="nil"/>
              <w:left w:val="nil"/>
              <w:bottom w:val="single" w:sz="4" w:space="0" w:color="auto"/>
              <w:right w:val="single" w:sz="4" w:space="0" w:color="auto"/>
            </w:tcBorders>
            <w:shd w:val="clear" w:color="auto" w:fill="auto"/>
            <w:noWrap/>
            <w:vAlign w:val="bottom"/>
            <w:hideMark/>
          </w:tcPr>
          <w:p w14:paraId="031FC93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75776BB7"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142" w:type="dxa"/>
            <w:tcBorders>
              <w:top w:val="nil"/>
              <w:left w:val="nil"/>
              <w:bottom w:val="single" w:sz="4" w:space="0" w:color="auto"/>
              <w:right w:val="single" w:sz="4" w:space="0" w:color="auto"/>
            </w:tcBorders>
            <w:shd w:val="clear" w:color="auto" w:fill="auto"/>
            <w:noWrap/>
            <w:vAlign w:val="bottom"/>
            <w:hideMark/>
          </w:tcPr>
          <w:p w14:paraId="016C4DC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w:t>
            </w:r>
          </w:p>
        </w:tc>
      </w:tr>
      <w:tr w:rsidR="0020305D" w:rsidRPr="00701F32" w14:paraId="3C4A7B88"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5D733983"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Otros pasivos no financieros</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28723BA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-97.937</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41667A5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-1.503.392</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13700FD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-848.675</w:t>
            </w:r>
          </w:p>
        </w:tc>
        <w:tc>
          <w:tcPr>
            <w:tcW w:w="1284" w:type="dxa"/>
            <w:tcBorders>
              <w:top w:val="nil"/>
              <w:left w:val="nil"/>
              <w:bottom w:val="single" w:sz="4" w:space="0" w:color="auto"/>
              <w:right w:val="single" w:sz="4" w:space="0" w:color="auto"/>
            </w:tcBorders>
            <w:shd w:val="clear" w:color="auto" w:fill="auto"/>
            <w:noWrap/>
            <w:vAlign w:val="bottom"/>
            <w:hideMark/>
          </w:tcPr>
          <w:p w14:paraId="4D1C290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-532.152</w:t>
            </w:r>
          </w:p>
        </w:tc>
        <w:tc>
          <w:tcPr>
            <w:tcW w:w="1142" w:type="dxa"/>
            <w:tcBorders>
              <w:top w:val="nil"/>
              <w:left w:val="nil"/>
              <w:bottom w:val="single" w:sz="4" w:space="0" w:color="auto"/>
              <w:right w:val="single" w:sz="4" w:space="0" w:color="auto"/>
            </w:tcBorders>
            <w:shd w:val="clear" w:color="auto" w:fill="auto"/>
            <w:noWrap/>
            <w:vAlign w:val="bottom"/>
            <w:hideMark/>
          </w:tcPr>
          <w:p w14:paraId="4C5E084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87.230</w:t>
            </w:r>
          </w:p>
        </w:tc>
        <w:tc>
          <w:tcPr>
            <w:tcW w:w="1142" w:type="dxa"/>
            <w:tcBorders>
              <w:top w:val="nil"/>
              <w:left w:val="nil"/>
              <w:bottom w:val="single" w:sz="4" w:space="0" w:color="auto"/>
              <w:right w:val="single" w:sz="4" w:space="0" w:color="auto"/>
            </w:tcBorders>
            <w:shd w:val="clear" w:color="auto" w:fill="auto"/>
            <w:noWrap/>
            <w:vAlign w:val="bottom"/>
            <w:hideMark/>
          </w:tcPr>
          <w:p w14:paraId="4E70110A"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-2.894.926</w:t>
            </w:r>
          </w:p>
        </w:tc>
      </w:tr>
      <w:tr w:rsidR="0020305D" w:rsidRPr="00701F32" w14:paraId="2643E28F" w14:textId="77777777" w:rsidTr="00701F32">
        <w:trPr>
          <w:gridAfter w:val="1"/>
          <w:wAfter w:w="236" w:type="dxa"/>
          <w:trHeight w:val="242"/>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1071F484" w14:textId="77777777" w:rsidR="0020305D" w:rsidRPr="00701F32" w:rsidRDefault="0020305D" w:rsidP="00AE0B3F">
            <w:pPr>
              <w:rPr>
                <w:rFonts w:ascii="Arial" w:hAnsi="Arial" w:cs="Arial"/>
                <w:b/>
                <w:bCs/>
                <w:sz w:val="16"/>
                <w:szCs w:val="16"/>
                <w:lang w:eastAsia="es-AR"/>
              </w:rPr>
            </w:pPr>
            <w:r w:rsidRPr="00701F32">
              <w:rPr>
                <w:rFonts w:ascii="Arial" w:hAnsi="Arial" w:cs="Arial"/>
                <w:b/>
                <w:bCs/>
                <w:sz w:val="16"/>
                <w:szCs w:val="16"/>
                <w:lang w:eastAsia="es-AR"/>
              </w:rPr>
              <w:t>TOTAL PASIVO</w:t>
            </w:r>
          </w:p>
        </w:tc>
        <w:tc>
          <w:tcPr>
            <w:tcW w:w="1313" w:type="dxa"/>
            <w:gridSpan w:val="2"/>
            <w:tcBorders>
              <w:top w:val="nil"/>
              <w:left w:val="nil"/>
              <w:bottom w:val="single" w:sz="4" w:space="0" w:color="auto"/>
              <w:right w:val="single" w:sz="4" w:space="0" w:color="auto"/>
            </w:tcBorders>
            <w:shd w:val="clear" w:color="auto" w:fill="auto"/>
            <w:noWrap/>
            <w:vAlign w:val="bottom"/>
            <w:hideMark/>
          </w:tcPr>
          <w:p w14:paraId="7EBE12D6"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-4.658.111</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5CE5A65C"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-35.515.264</w:t>
            </w:r>
          </w:p>
        </w:tc>
        <w:tc>
          <w:tcPr>
            <w:tcW w:w="1428" w:type="dxa"/>
            <w:gridSpan w:val="2"/>
            <w:tcBorders>
              <w:top w:val="nil"/>
              <w:left w:val="nil"/>
              <w:bottom w:val="single" w:sz="4" w:space="0" w:color="auto"/>
              <w:right w:val="single" w:sz="4" w:space="0" w:color="auto"/>
            </w:tcBorders>
            <w:shd w:val="clear" w:color="auto" w:fill="auto"/>
            <w:noWrap/>
            <w:vAlign w:val="bottom"/>
            <w:hideMark/>
          </w:tcPr>
          <w:p w14:paraId="712BF2C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-23.727.874</w:t>
            </w:r>
          </w:p>
        </w:tc>
        <w:tc>
          <w:tcPr>
            <w:tcW w:w="1284" w:type="dxa"/>
            <w:tcBorders>
              <w:top w:val="nil"/>
              <w:left w:val="nil"/>
              <w:bottom w:val="single" w:sz="4" w:space="0" w:color="auto"/>
              <w:right w:val="single" w:sz="4" w:space="0" w:color="auto"/>
            </w:tcBorders>
            <w:shd w:val="clear" w:color="auto" w:fill="auto"/>
            <w:noWrap/>
            <w:vAlign w:val="bottom"/>
            <w:hideMark/>
          </w:tcPr>
          <w:p w14:paraId="3E0CE66D"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-6.444.140</w:t>
            </w:r>
          </w:p>
        </w:tc>
        <w:tc>
          <w:tcPr>
            <w:tcW w:w="1142" w:type="dxa"/>
            <w:tcBorders>
              <w:top w:val="nil"/>
              <w:left w:val="nil"/>
              <w:bottom w:val="single" w:sz="4" w:space="0" w:color="auto"/>
              <w:right w:val="single" w:sz="4" w:space="0" w:color="auto"/>
            </w:tcBorders>
            <w:shd w:val="clear" w:color="auto" w:fill="auto"/>
            <w:noWrap/>
            <w:vAlign w:val="bottom"/>
            <w:hideMark/>
          </w:tcPr>
          <w:p w14:paraId="0FF0B772"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2.724.428</w:t>
            </w:r>
          </w:p>
        </w:tc>
        <w:tc>
          <w:tcPr>
            <w:tcW w:w="1142" w:type="dxa"/>
            <w:tcBorders>
              <w:top w:val="nil"/>
              <w:left w:val="nil"/>
              <w:bottom w:val="single" w:sz="4" w:space="0" w:color="auto"/>
              <w:right w:val="single" w:sz="4" w:space="0" w:color="auto"/>
            </w:tcBorders>
            <w:shd w:val="clear" w:color="auto" w:fill="auto"/>
            <w:noWrap/>
            <w:vAlign w:val="bottom"/>
            <w:hideMark/>
          </w:tcPr>
          <w:p w14:paraId="20BA4DB5" w14:textId="77777777" w:rsidR="0020305D" w:rsidRPr="00701F32" w:rsidRDefault="0020305D" w:rsidP="00AE0B3F">
            <w:pPr>
              <w:jc w:val="right"/>
              <w:rPr>
                <w:rFonts w:ascii="Arial" w:hAnsi="Arial" w:cs="Arial"/>
                <w:b/>
                <w:bCs/>
                <w:sz w:val="16"/>
                <w:szCs w:val="16"/>
                <w:lang w:eastAsia="es-AR"/>
              </w:rPr>
            </w:pPr>
            <w:r w:rsidRPr="00701F32">
              <w:rPr>
                <w:rFonts w:ascii="Arial" w:hAnsi="Arial" w:cs="Arial"/>
                <w:b/>
                <w:bCs/>
                <w:sz w:val="16"/>
                <w:szCs w:val="16"/>
                <w:lang w:eastAsia="es-AR"/>
              </w:rPr>
              <w:t>-67.620.961</w:t>
            </w:r>
          </w:p>
        </w:tc>
      </w:tr>
    </w:tbl>
    <w:tbl>
      <w:tblPr>
        <w:tblpPr w:leftFromText="141" w:rightFromText="141" w:vertAnchor="text" w:horzAnchor="margin" w:tblpXSpec="center" w:tblpY="-184"/>
        <w:tblW w:w="10519" w:type="dxa"/>
        <w:tblCellMar>
          <w:left w:w="70" w:type="dxa"/>
          <w:right w:w="70" w:type="dxa"/>
        </w:tblCellMar>
        <w:tblLook w:val="04A0" w:firstRow="1" w:lastRow="0" w:firstColumn="1" w:lastColumn="0" w:noHBand="0" w:noVBand="1"/>
      </w:tblPr>
      <w:tblGrid>
        <w:gridCol w:w="2307"/>
        <w:gridCol w:w="1228"/>
        <w:gridCol w:w="1482"/>
        <w:gridCol w:w="1355"/>
        <w:gridCol w:w="1564"/>
        <w:gridCol w:w="1206"/>
        <w:gridCol w:w="1377"/>
      </w:tblGrid>
      <w:tr w:rsidR="001B25DF" w:rsidRPr="00701F32" w14:paraId="6D8972BD"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AF723"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Resultado por Segmentos al 30/09/2017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7A5C5"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Banca Empresa</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F6F47"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Banca Minorista</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CC22C"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Tesorería</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1E17C"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Consumo</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4212D"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Ajustes</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967A2" w14:textId="77777777" w:rsidR="001B25DF" w:rsidRPr="00701F32" w:rsidRDefault="001B25DF" w:rsidP="001B25DF">
            <w:pPr>
              <w:jc w:val="center"/>
              <w:rPr>
                <w:rFonts w:ascii="Arial" w:hAnsi="Arial" w:cs="Arial"/>
                <w:b/>
                <w:sz w:val="16"/>
                <w:szCs w:val="18"/>
              </w:rPr>
            </w:pPr>
            <w:r w:rsidRPr="00701F32">
              <w:rPr>
                <w:rFonts w:ascii="Arial" w:hAnsi="Arial" w:cs="Arial"/>
                <w:b/>
                <w:sz w:val="16"/>
                <w:szCs w:val="18"/>
              </w:rPr>
              <w:t>TOTAL</w:t>
            </w:r>
          </w:p>
        </w:tc>
      </w:tr>
      <w:tr w:rsidR="001B25DF" w:rsidRPr="00701F32" w14:paraId="292FE339"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3A20A"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Ingresos por intereses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C2A55"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2.434.974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0CA69"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4.485.212</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1D53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629.710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D8C3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2.309.607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9607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-115.099</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6957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9.744.404</w:t>
            </w:r>
          </w:p>
        </w:tc>
      </w:tr>
      <w:tr w:rsidR="001B25DF" w:rsidRPr="00701F32" w14:paraId="367D58CF"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CCD03"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Egresos por intereses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1B49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104.568</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B0B0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1.103.242</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21DF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1.934.975</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5AA6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772.646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751C5"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-102.718</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89AF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3.812.713</w:t>
            </w:r>
          </w:p>
        </w:tc>
      </w:tr>
      <w:tr w:rsidR="001B25DF" w:rsidRPr="00701F32" w14:paraId="4DC6FFF8"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4D2B2"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Resultados por Interes de Transferencia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3B3C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-1.450.435</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5C81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780.231</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92A0A"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670.204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E90C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4352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6CD8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r>
      <w:tr w:rsidR="001B25DF" w:rsidRPr="00701F32" w14:paraId="2A878A79"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69DB7"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neto por intereses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D6068"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879.971</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830F9"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4.162.201</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BAD5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-635.061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5466F"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1.536.961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BDEC7"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-12.381</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E3297"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5.931.691</w:t>
            </w:r>
          </w:p>
        </w:tc>
      </w:tr>
      <w:tr w:rsidR="001B25DF" w:rsidRPr="00701F32" w14:paraId="0AFDE927"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7FF9A"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Ingresos por comisiones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580E6"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299.384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EDC1C"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1.709.473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EEF0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12.841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46C49"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365.975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ADB8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-1.381</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3931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2.386.292</w:t>
            </w:r>
          </w:p>
        </w:tc>
      </w:tr>
      <w:tr w:rsidR="001B25DF" w:rsidRPr="00701F32" w14:paraId="2BE2A869"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643AD"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Egresos por comisiones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F1AC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12.146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29FA7"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363.633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3AA5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12.278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A182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361.889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C8BF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-14.128</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37F97"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735.818</w:t>
            </w:r>
          </w:p>
        </w:tc>
      </w:tr>
      <w:tr w:rsidR="001B25DF" w:rsidRPr="00701F32" w14:paraId="39647E76"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394D8"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neto por comisiones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1EDFF"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287.238</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42D1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1.345.840</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1F8CA"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563</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20A6A"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4.086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664B8"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12.747</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2A303"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1.650.474</w:t>
            </w:r>
          </w:p>
        </w:tc>
      </w:tr>
      <w:tr w:rsidR="001B25DF" w:rsidRPr="00701F32" w14:paraId="196BA645"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43C92"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Subtotal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4A6B9"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1.167.209</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CE07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5.508.041</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B5C11"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-634.498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7CC5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1.541.047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63EF5"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366</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9F65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7.582.165</w:t>
            </w:r>
          </w:p>
        </w:tc>
      </w:tr>
      <w:tr w:rsidR="001B25DF" w:rsidRPr="00701F32" w14:paraId="77E4123F"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66FEB"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Resultado neto por medición de instrumentos financieros a valor razonable con cambios en resultados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075D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-11.318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4BEE7"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203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C4D9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1.455.516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9004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-176.233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DA38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-26.930</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6464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1.245.016</w:t>
            </w:r>
          </w:p>
        </w:tc>
      </w:tr>
      <w:tr w:rsidR="001B25DF" w:rsidRPr="00701F32" w14:paraId="6E796CC5"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CFB05"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Diferencia de cotización de oro y moneda extranjera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6934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-24.449</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E02C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111.821</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D9EA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42.630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B5696"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2.907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5991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E4CE9"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132.909</w:t>
            </w:r>
          </w:p>
        </w:tc>
      </w:tr>
      <w:tr w:rsidR="001B25DF" w:rsidRPr="00701F32" w14:paraId="7291C9B5"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EB182"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Otros ingresos operativos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CB07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148.934</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A1F0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506.316</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4C43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38.792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8D4D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435.733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AFC6C"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-181.021</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A8C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948.754</w:t>
            </w:r>
          </w:p>
        </w:tc>
      </w:tr>
      <w:tr w:rsidR="001B25DF" w:rsidRPr="00701F32" w14:paraId="156C5281"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428C7"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Cargo por incobrabilidad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D363A"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95.536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64A67"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581.384</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12AA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6.649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E55A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625.051  </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9EE9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-19.233</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2225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1.289.387</w:t>
            </w:r>
          </w:p>
        </w:tc>
      </w:tr>
      <w:tr w:rsidR="001B25DF" w:rsidRPr="00701F32" w14:paraId="3AF4FC87"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5CBBE"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Ingreso operativo neto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630A9"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1.184.840</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587F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5.544.997</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D7D33"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895.791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8D42F"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1.178.403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F3EE"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-188.352</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AB7AB"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8.615.679</w:t>
            </w:r>
          </w:p>
        </w:tc>
      </w:tr>
      <w:tr w:rsidR="001B25DF" w:rsidRPr="00701F32" w14:paraId="40F50CB7"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8A5FA"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Beneficios al personal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446FC"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457.002</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3D8E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2.469.464</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43DC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166.406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CA4C"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330.088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A3D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F68D2"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3.422.960</w:t>
            </w:r>
          </w:p>
        </w:tc>
      </w:tr>
      <w:tr w:rsidR="001B25DF" w:rsidRPr="00701F32" w14:paraId="21C05D72"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5ACD0"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Gastos de administración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3635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184.351</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771F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1.540.636</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B539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97.475</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2994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403.778  </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009D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-14.092</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597E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2.212.148</w:t>
            </w:r>
          </w:p>
        </w:tc>
      </w:tr>
      <w:tr w:rsidR="001B25DF" w:rsidRPr="00701F32" w14:paraId="3E38DD3F"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D958F"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Depreciaciones y desvalorizaciones de bienes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F832A"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25.181</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7B19C"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151.200</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56ED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12.326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AC8D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13.940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693B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D267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202.647</w:t>
            </w:r>
          </w:p>
        </w:tc>
      </w:tr>
      <w:tr w:rsidR="001B25DF" w:rsidRPr="00701F32" w14:paraId="4395C558"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CA111"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Otros gastos operativos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BC13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264.570</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07C73"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1.164.534</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33267"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104.723</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15F1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247.943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A3F7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-153.717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0811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1.628.053</w:t>
            </w:r>
          </w:p>
        </w:tc>
      </w:tr>
      <w:tr w:rsidR="001B25DF" w:rsidRPr="00701F32" w14:paraId="7E3C8F8B"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0A752"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operativo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FD345"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253.736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9002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219.163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74B8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514.861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8795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182.654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2F005"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-20.543</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EB04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1.149.871</w:t>
            </w:r>
          </w:p>
        </w:tc>
      </w:tr>
      <w:tr w:rsidR="001B25DF" w:rsidRPr="00701F32" w14:paraId="141B6121"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BB0D8"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Resultado por asociadas y negocios conjuntos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C374A"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21696"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91FF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CAF75"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294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3FC16"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3.375</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AB700"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3.669</w:t>
            </w:r>
          </w:p>
        </w:tc>
      </w:tr>
      <w:tr w:rsidR="001B25DF" w:rsidRPr="00701F32" w14:paraId="051C9C60"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9F8A4"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antes de impuesto de las actividades que continúan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49A9F"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253.736</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CA719"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219.163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31BC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514.861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CCBBA"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182.948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067ED"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-17.168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FC24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1.153.540</w:t>
            </w:r>
          </w:p>
        </w:tc>
      </w:tr>
      <w:tr w:rsidR="001B25DF" w:rsidRPr="00701F32" w14:paraId="0D5DAB75"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7B11E"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w:t>
            </w:r>
          </w:p>
          <w:p w14:paraId="7D42A61C"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Impuesto a las ganancias de las actividades que continúan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B74B1"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65.109</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848CB"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48.314</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D912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141.431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75334"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70.444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F9BE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DA91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325.298</w:t>
            </w:r>
          </w:p>
        </w:tc>
      </w:tr>
      <w:tr w:rsidR="001B25DF" w:rsidRPr="00701F32" w14:paraId="128CD9D3"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76CE3"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neto de las actividades que continúan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921F3"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188.627</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826D0"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170.849</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FAF7"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373.430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9A3E2"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112.504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0D9E4"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-17.168</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3A990"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828.242</w:t>
            </w:r>
          </w:p>
        </w:tc>
      </w:tr>
      <w:tr w:rsidR="001B25DF" w:rsidRPr="00701F32" w14:paraId="79238A34"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D2555" w14:textId="77777777" w:rsidR="001B25DF" w:rsidRPr="00701F32" w:rsidRDefault="001B25DF" w:rsidP="001B25DF">
            <w:pPr>
              <w:rPr>
                <w:rFonts w:ascii="Arial" w:hAnsi="Arial" w:cs="Arial"/>
                <w:b/>
                <w:bCs/>
                <w:sz w:val="16"/>
                <w:szCs w:val="18"/>
                <w:lang w:eastAsia="es-AR"/>
              </w:rPr>
            </w:pPr>
            <w:r w:rsidRPr="00701F32">
              <w:rPr>
                <w:rFonts w:ascii="Arial" w:hAnsi="Arial" w:cs="Arial"/>
                <w:b/>
                <w:bCs/>
                <w:sz w:val="16"/>
                <w:szCs w:val="18"/>
                <w:lang w:eastAsia="es-AR"/>
              </w:rPr>
              <w:t xml:space="preserve"> Resultado neto del periodo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DF1C5"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188.627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0B569"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170.849</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C4261"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373.430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B6DCA"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112.504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F9D18"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-17.168</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AA331"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828.242</w:t>
            </w:r>
          </w:p>
        </w:tc>
      </w:tr>
      <w:tr w:rsidR="001B25DF" w:rsidRPr="00701F32" w14:paraId="428D0449"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9F363" w14:textId="77777777" w:rsidR="001B25DF" w:rsidRPr="00701F32" w:rsidRDefault="001B25DF" w:rsidP="001B25DF">
            <w:pPr>
              <w:rPr>
                <w:rFonts w:ascii="Arial" w:hAnsi="Arial" w:cs="Arial"/>
                <w:bCs/>
                <w:sz w:val="16"/>
                <w:szCs w:val="18"/>
                <w:lang w:eastAsia="es-AR"/>
              </w:rPr>
            </w:pPr>
            <w:r w:rsidRPr="00701F32">
              <w:rPr>
                <w:rFonts w:ascii="Arial" w:hAnsi="Arial" w:cs="Arial"/>
                <w:bCs/>
                <w:sz w:val="16"/>
                <w:szCs w:val="18"/>
                <w:lang w:eastAsia="es-AR"/>
              </w:rPr>
              <w:t xml:space="preserve"> ORI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AF89A"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4.130</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00B68"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3.881</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257F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20.127</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6827F"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8EB3D"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 xml:space="preserve"> - </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53B9E" w14:textId="77777777" w:rsidR="001B25DF" w:rsidRPr="00701F32" w:rsidRDefault="001B25DF" w:rsidP="001B25DF">
            <w:pPr>
              <w:jc w:val="right"/>
              <w:rPr>
                <w:rFonts w:ascii="Arial" w:hAnsi="Arial" w:cs="Arial"/>
                <w:sz w:val="16"/>
                <w:szCs w:val="18"/>
              </w:rPr>
            </w:pPr>
            <w:r w:rsidRPr="00701F32">
              <w:rPr>
                <w:rFonts w:ascii="Arial" w:hAnsi="Arial" w:cs="Arial"/>
                <w:sz w:val="16"/>
                <w:szCs w:val="18"/>
              </w:rPr>
              <w:t>28.138</w:t>
            </w:r>
          </w:p>
        </w:tc>
      </w:tr>
      <w:tr w:rsidR="001B25DF" w:rsidRPr="00701F32" w14:paraId="3F4BEB44" w14:textId="77777777" w:rsidTr="00701F32">
        <w:trPr>
          <w:trHeight w:val="279"/>
        </w:trPr>
        <w:tc>
          <w:tcPr>
            <w:tcW w:w="2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A4BB2" w14:textId="77777777" w:rsidR="001B25DF" w:rsidRPr="00701F32" w:rsidRDefault="001B25DF" w:rsidP="001B25DF">
            <w:pPr>
              <w:rPr>
                <w:rFonts w:ascii="Arial" w:hAnsi="Arial" w:cs="Arial"/>
                <w:b/>
                <w:bCs/>
                <w:sz w:val="16"/>
                <w:szCs w:val="18"/>
                <w:lang w:eastAsia="es-AR"/>
              </w:rPr>
            </w:pPr>
            <w:r w:rsidRPr="00701F32">
              <w:rPr>
                <w:rFonts w:ascii="Arial" w:hAnsi="Arial" w:cs="Arial"/>
                <w:bCs/>
                <w:sz w:val="16"/>
                <w:szCs w:val="18"/>
                <w:lang w:eastAsia="es-AR"/>
              </w:rPr>
              <w:t xml:space="preserve"> </w:t>
            </w:r>
            <w:r w:rsidRPr="00701F32">
              <w:rPr>
                <w:rFonts w:ascii="Arial" w:hAnsi="Arial" w:cs="Arial"/>
                <w:b/>
                <w:bCs/>
                <w:sz w:val="16"/>
                <w:szCs w:val="18"/>
                <w:lang w:eastAsia="es-AR"/>
              </w:rPr>
              <w:t xml:space="preserve">Resultado Integral del periodo </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6CA13"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192.757</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30FA5"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174.730</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C177D"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393.557</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DFB7C"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112.504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5C586"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 xml:space="preserve">  -17.168</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77ABA" w14:textId="77777777" w:rsidR="001B25DF" w:rsidRPr="00701F32" w:rsidRDefault="001B25DF" w:rsidP="001B25DF">
            <w:pPr>
              <w:jc w:val="right"/>
              <w:rPr>
                <w:rFonts w:ascii="Arial" w:hAnsi="Arial" w:cs="Arial"/>
                <w:b/>
                <w:sz w:val="16"/>
                <w:szCs w:val="18"/>
              </w:rPr>
            </w:pPr>
            <w:r w:rsidRPr="00701F32">
              <w:rPr>
                <w:rFonts w:ascii="Arial" w:hAnsi="Arial" w:cs="Arial"/>
                <w:b/>
                <w:sz w:val="16"/>
                <w:szCs w:val="18"/>
              </w:rPr>
              <w:t>856.380</w:t>
            </w:r>
          </w:p>
        </w:tc>
      </w:tr>
    </w:tbl>
    <w:p w14:paraId="15575E92" w14:textId="77777777" w:rsidR="0020305D" w:rsidRPr="00701F32" w:rsidRDefault="0020305D" w:rsidP="0020305D"/>
    <w:p w14:paraId="5B23DFF5" w14:textId="77777777" w:rsidR="00CA4949" w:rsidRPr="00701F32" w:rsidRDefault="00CA4949" w:rsidP="00A06BE9">
      <w:pPr>
        <w:jc w:val="both"/>
        <w:rPr>
          <w:rFonts w:ascii="Arial" w:hAnsi="Arial" w:cs="Arial"/>
          <w:sz w:val="20"/>
        </w:rPr>
      </w:pPr>
    </w:p>
    <w:p w14:paraId="380471FF" w14:textId="77777777" w:rsidR="004437AA" w:rsidRDefault="004437AA" w:rsidP="00A06BE9">
      <w:pPr>
        <w:jc w:val="both"/>
        <w:rPr>
          <w:rFonts w:ascii="Arial" w:eastAsia="Calibri" w:hAnsi="Arial" w:cs="Arial"/>
          <w:b/>
          <w:noProof/>
          <w:sz w:val="20"/>
        </w:rPr>
      </w:pPr>
    </w:p>
    <w:p w14:paraId="3ADA1CDF" w14:textId="24ADBBA5" w:rsidR="00A06BE9" w:rsidRPr="00701F32" w:rsidRDefault="00A06BE9" w:rsidP="00A06BE9">
      <w:pPr>
        <w:jc w:val="both"/>
        <w:rPr>
          <w:rFonts w:ascii="Arial" w:eastAsia="Calibri" w:hAnsi="Arial" w:cs="Arial"/>
          <w:b/>
          <w:color w:val="C45911"/>
          <w:sz w:val="20"/>
        </w:rPr>
      </w:pPr>
      <w:r w:rsidRPr="00701F32">
        <w:rPr>
          <w:rFonts w:ascii="Arial" w:eastAsia="Calibri" w:hAnsi="Arial" w:cs="Arial"/>
          <w:b/>
          <w:noProof/>
          <w:sz w:val="20"/>
        </w:rPr>
        <w:t xml:space="preserve">5. IMPUESTO A LAS GANANCIAS </w:t>
      </w:r>
    </w:p>
    <w:p w14:paraId="5C927665" w14:textId="77777777" w:rsidR="00A06BE9" w:rsidRPr="00701F32" w:rsidRDefault="00A06BE9" w:rsidP="00A06BE9">
      <w:pPr>
        <w:jc w:val="both"/>
        <w:rPr>
          <w:rFonts w:ascii="Arial" w:eastAsia="Calibri" w:hAnsi="Arial" w:cs="Arial"/>
          <w:noProof/>
          <w:sz w:val="20"/>
        </w:rPr>
      </w:pPr>
    </w:p>
    <w:p w14:paraId="79D4E34B" w14:textId="77777777" w:rsidR="00A06BE9" w:rsidRPr="00701F32" w:rsidRDefault="00A06BE9" w:rsidP="00A06BE9">
      <w:pPr>
        <w:spacing w:after="160" w:line="276" w:lineRule="auto"/>
        <w:jc w:val="both"/>
        <w:rPr>
          <w:rFonts w:ascii="Arial" w:eastAsia="Calibri" w:hAnsi="Arial" w:cs="Arial"/>
          <w:sz w:val="20"/>
        </w:rPr>
      </w:pPr>
      <w:r w:rsidRPr="00701F32">
        <w:rPr>
          <w:rFonts w:ascii="Arial" w:eastAsia="Calibri" w:hAnsi="Arial" w:cs="Arial"/>
          <w:sz w:val="20"/>
        </w:rPr>
        <w:t>El 29 de diciembre de 2017 el Poder Ejecutivo Nacional promulgó la Ley 27430 – Impuesto a las Ganancias. Esta ley ha introducido varios cambios en el tratamiento del impuesto a las ganancias cuyos componentes clave son los siguientes:</w:t>
      </w:r>
    </w:p>
    <w:p w14:paraId="7720B5F2" w14:textId="77777777" w:rsidR="00A06BE9" w:rsidRPr="00701F32" w:rsidRDefault="00A06BE9" w:rsidP="00A06BE9">
      <w:pPr>
        <w:spacing w:after="160" w:line="276" w:lineRule="auto"/>
        <w:jc w:val="both"/>
        <w:rPr>
          <w:rFonts w:ascii="Arial" w:eastAsia="Calibri" w:hAnsi="Arial" w:cs="Arial"/>
          <w:sz w:val="20"/>
        </w:rPr>
      </w:pPr>
      <w:r w:rsidRPr="00701F32">
        <w:rPr>
          <w:rFonts w:ascii="Arial" w:eastAsia="Calibri" w:hAnsi="Arial" w:cs="Arial"/>
          <w:sz w:val="20"/>
          <w:u w:val="single"/>
        </w:rPr>
        <w:t>Alícuota de impuesto a las ganancias</w:t>
      </w:r>
      <w:r w:rsidRPr="00701F32">
        <w:rPr>
          <w:rFonts w:ascii="Arial" w:eastAsia="Calibri" w:hAnsi="Arial" w:cs="Arial"/>
          <w:sz w:val="20"/>
        </w:rPr>
        <w:t>: La alícuota del impuesto a las ganancias para las sociedades argentinas se reducirá gradualmente desde el 35% al 30% para los ejercicios fiscales que comiencen a partir del 1 de enero de 2018 hasta el 31 de diciembre de 2019 y al 25% para los ejercicios fiscales que comiencen a partir del 1 de enero de 2020, inclusive.</w:t>
      </w:r>
    </w:p>
    <w:p w14:paraId="3CF0EEF0" w14:textId="77777777" w:rsidR="00A06BE9" w:rsidRPr="00701F32" w:rsidRDefault="00A06BE9" w:rsidP="00A06BE9">
      <w:pPr>
        <w:spacing w:after="160" w:line="276" w:lineRule="auto"/>
        <w:jc w:val="both"/>
        <w:rPr>
          <w:rFonts w:ascii="Arial" w:eastAsia="Calibri" w:hAnsi="Arial" w:cs="Arial"/>
          <w:sz w:val="20"/>
        </w:rPr>
      </w:pPr>
      <w:r w:rsidRPr="00701F32">
        <w:rPr>
          <w:rFonts w:ascii="Arial" w:eastAsia="Calibri" w:hAnsi="Arial" w:cs="Arial"/>
          <w:sz w:val="20"/>
          <w:u w:val="single"/>
        </w:rPr>
        <w:t>Impuesto a los dividendos:</w:t>
      </w:r>
      <w:r w:rsidRPr="00701F32">
        <w:rPr>
          <w:rFonts w:ascii="Arial" w:eastAsia="Calibri" w:hAnsi="Arial" w:cs="Arial"/>
          <w:sz w:val="20"/>
        </w:rPr>
        <w:t xml:space="preserve"> Se introduce un impuesto sobre los dividendos o utilidades distribuidas, entre otros, por sociedades argentinas o establecimientos  permanentes a: personas humanas, sucesiones indivisas o beneficiarios del exterior, con las siguientes consideraciones: (i) los dividendos derivados de las utilidades generadas durante los ejercicios fiscales que se inicien a partir del 1 de enero 2018 y hasta el 31 de diciembre de 2019 estarán sujetos a una retención del 7%; y (ii) los dividendos originados por las ganancias obtenidas por ejercicios iniciados a partir del 1 de enero de 2020 en adelante estarán sujetos a retención del 13%. </w:t>
      </w:r>
    </w:p>
    <w:p w14:paraId="020B47EE" w14:textId="77777777" w:rsidR="00A06BE9" w:rsidRPr="00701F32" w:rsidRDefault="00A06BE9" w:rsidP="00A06BE9">
      <w:pPr>
        <w:spacing w:after="160" w:line="276" w:lineRule="auto"/>
        <w:jc w:val="both"/>
        <w:rPr>
          <w:rFonts w:ascii="Arial" w:eastAsia="Calibri" w:hAnsi="Arial" w:cs="Arial"/>
          <w:sz w:val="20"/>
        </w:rPr>
      </w:pPr>
      <w:r w:rsidRPr="00701F32">
        <w:rPr>
          <w:rFonts w:ascii="Arial" w:eastAsia="Calibri" w:hAnsi="Arial" w:cs="Arial"/>
          <w:sz w:val="20"/>
        </w:rPr>
        <w:t>Los dividendos originados por beneficios obtenidos hasta el ejercicio anterior al iniciado a partir del 1 de enero de 2018 seguirán sujetos, para todos los beneficiarios de los mismos, a la retención del 35% sobre el monto que exceda las ganancias acumuladas distribuibles libres de impuestos (período de transición del impuesto de igualación)</w:t>
      </w:r>
    </w:p>
    <w:p w14:paraId="05D327AB" w14:textId="77777777" w:rsidR="00A06BE9" w:rsidRPr="00701F32" w:rsidRDefault="00A06BE9" w:rsidP="00A06BE9">
      <w:pPr>
        <w:spacing w:after="160" w:line="276" w:lineRule="auto"/>
        <w:jc w:val="both"/>
        <w:rPr>
          <w:rFonts w:ascii="Arial" w:eastAsia="Calibri" w:hAnsi="Arial" w:cs="Arial"/>
          <w:sz w:val="20"/>
        </w:rPr>
      </w:pPr>
      <w:r w:rsidRPr="00701F32">
        <w:rPr>
          <w:rFonts w:ascii="Arial" w:eastAsia="Calibri" w:hAnsi="Arial" w:cs="Arial"/>
          <w:sz w:val="20"/>
          <w:u w:val="single"/>
        </w:rPr>
        <w:t>Actualizaciones de deducciones</w:t>
      </w:r>
      <w:r w:rsidRPr="00701F32">
        <w:rPr>
          <w:rFonts w:ascii="Arial" w:eastAsia="Calibri" w:hAnsi="Arial" w:cs="Arial"/>
          <w:sz w:val="20"/>
        </w:rPr>
        <w:t>: Las adquisiciones o inversiones efectuadas en los ejercicios fiscales que se inicien a partir del 1 de enero de 2018, se actualizarán sobre la base de las variaciones porcentuales del Índice de Precios Internos al por Mayor (IPIM) que suministre el Instituto Nacional de Estadística y Censos, situación que incrementará la amortización deducible y su costo computable en caso de venta.</w:t>
      </w:r>
    </w:p>
    <w:p w14:paraId="363BF02A" w14:textId="01A91D23" w:rsidR="00FD0DB2" w:rsidRPr="00701F32" w:rsidRDefault="00A06BE9" w:rsidP="00A06BE9">
      <w:pPr>
        <w:spacing w:after="120"/>
        <w:jc w:val="both"/>
        <w:rPr>
          <w:rFonts w:ascii="Arial" w:eastAsia="SimSun" w:hAnsi="Arial" w:cs="Arial"/>
          <w:sz w:val="20"/>
          <w:lang w:eastAsia="zh-CN"/>
        </w:rPr>
      </w:pPr>
      <w:r w:rsidRPr="00701F32">
        <w:rPr>
          <w:rFonts w:ascii="Arial" w:eastAsia="SimSun" w:hAnsi="Arial" w:cs="Arial"/>
          <w:sz w:val="20"/>
          <w:lang w:eastAsia="zh-CN"/>
        </w:rPr>
        <w:t>La evolución de los conceptos por impuesto a las ganancias para los períodos finalizados el 3</w:t>
      </w:r>
      <w:r w:rsidR="00DC5D9C" w:rsidRPr="00701F32">
        <w:rPr>
          <w:rFonts w:ascii="Arial" w:eastAsia="SimSun" w:hAnsi="Arial" w:cs="Arial"/>
          <w:sz w:val="20"/>
          <w:lang w:eastAsia="zh-CN"/>
        </w:rPr>
        <w:t>0</w:t>
      </w:r>
      <w:r w:rsidRPr="00701F32">
        <w:rPr>
          <w:rFonts w:ascii="Arial" w:eastAsia="SimSun" w:hAnsi="Arial" w:cs="Arial"/>
          <w:sz w:val="20"/>
          <w:lang w:eastAsia="zh-CN"/>
        </w:rPr>
        <w:t xml:space="preserve"> de </w:t>
      </w:r>
      <w:r w:rsidR="00B848DD" w:rsidRPr="00701F32">
        <w:rPr>
          <w:rFonts w:ascii="Arial" w:eastAsia="SimSun" w:hAnsi="Arial" w:cs="Arial"/>
          <w:sz w:val="20"/>
          <w:lang w:eastAsia="zh-CN"/>
        </w:rPr>
        <w:t xml:space="preserve">septiembre </w:t>
      </w:r>
      <w:r w:rsidRPr="00701F32">
        <w:rPr>
          <w:rFonts w:ascii="Arial" w:eastAsia="SimSun" w:hAnsi="Arial" w:cs="Arial"/>
          <w:sz w:val="20"/>
          <w:lang w:eastAsia="zh-CN"/>
        </w:rPr>
        <w:t>de 2018 y 2017 se detalla en el siguiente cuadro:</w:t>
      </w:r>
    </w:p>
    <w:tbl>
      <w:tblPr>
        <w:tblW w:w="8827" w:type="dxa"/>
        <w:tblInd w:w="115" w:type="dxa"/>
        <w:tblCellMar>
          <w:left w:w="70" w:type="dxa"/>
          <w:right w:w="70" w:type="dxa"/>
        </w:tblCellMar>
        <w:tblLook w:val="04A0" w:firstRow="1" w:lastRow="0" w:firstColumn="1" w:lastColumn="0" w:noHBand="0" w:noVBand="1"/>
      </w:tblPr>
      <w:tblGrid>
        <w:gridCol w:w="5127"/>
        <w:gridCol w:w="1868"/>
        <w:gridCol w:w="1832"/>
      </w:tblGrid>
      <w:tr w:rsidR="00FC1B57" w:rsidRPr="00701F32" w14:paraId="409F2F64" w14:textId="77777777" w:rsidTr="00393CEB">
        <w:trPr>
          <w:trHeight w:val="260"/>
          <w:tblHeader/>
        </w:trPr>
        <w:tc>
          <w:tcPr>
            <w:tcW w:w="5127" w:type="dxa"/>
            <w:tcBorders>
              <w:top w:val="single" w:sz="4" w:space="0" w:color="auto"/>
              <w:left w:val="single" w:sz="4" w:space="0" w:color="auto"/>
              <w:bottom w:val="single" w:sz="4" w:space="0" w:color="auto"/>
              <w:right w:val="nil"/>
            </w:tcBorders>
            <w:shd w:val="clear" w:color="auto" w:fill="auto"/>
            <w:noWrap/>
            <w:vAlign w:val="bottom"/>
            <w:hideMark/>
          </w:tcPr>
          <w:p w14:paraId="3479512A" w14:textId="77777777" w:rsidR="00FC1B57" w:rsidRPr="00701F32" w:rsidRDefault="00FC1B57" w:rsidP="00AD40A3">
            <w:pPr>
              <w:jc w:val="both"/>
              <w:rPr>
                <w:sz w:val="18"/>
                <w:lang w:eastAsia="es-AR"/>
              </w:rPr>
            </w:pP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8895" w14:textId="77777777" w:rsidR="00FC1B57" w:rsidRPr="00701F32" w:rsidRDefault="00B225FD" w:rsidP="00AD40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bCs/>
                <w:color w:val="000000"/>
                <w:sz w:val="18"/>
                <w:lang w:eastAsia="es-AR"/>
              </w:rPr>
            </w:pPr>
            <w:r w:rsidRPr="00701F32">
              <w:rPr>
                <w:rFonts w:ascii="Arial" w:hAnsi="Arial" w:cs="Arial"/>
                <w:b/>
                <w:bCs/>
                <w:color w:val="000000"/>
                <w:sz w:val="18"/>
                <w:lang w:eastAsia="es-AR"/>
              </w:rPr>
              <w:t>30/0</w:t>
            </w:r>
            <w:r w:rsidR="00B848DD" w:rsidRPr="00701F32">
              <w:rPr>
                <w:rFonts w:ascii="Arial" w:hAnsi="Arial" w:cs="Arial"/>
                <w:b/>
                <w:bCs/>
                <w:color w:val="000000"/>
                <w:sz w:val="18"/>
                <w:lang w:eastAsia="es-AR"/>
              </w:rPr>
              <w:t>9</w:t>
            </w:r>
            <w:r w:rsidRPr="00701F32">
              <w:rPr>
                <w:rFonts w:ascii="Arial" w:hAnsi="Arial" w:cs="Arial"/>
                <w:b/>
                <w:bCs/>
                <w:color w:val="000000"/>
                <w:sz w:val="18"/>
                <w:lang w:eastAsia="es-AR"/>
              </w:rPr>
              <w:t>/2018</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14:paraId="7A238B2D" w14:textId="77777777" w:rsidR="00FC1B57" w:rsidRPr="00701F32" w:rsidRDefault="00B225FD" w:rsidP="00AD40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bCs/>
                <w:color w:val="000000"/>
                <w:sz w:val="18"/>
                <w:lang w:eastAsia="es-AR"/>
              </w:rPr>
            </w:pPr>
            <w:r w:rsidRPr="00701F32">
              <w:rPr>
                <w:rFonts w:ascii="Arial" w:hAnsi="Arial" w:cs="Arial"/>
                <w:b/>
                <w:bCs/>
                <w:color w:val="000000"/>
                <w:sz w:val="18"/>
                <w:lang w:eastAsia="es-AR"/>
              </w:rPr>
              <w:t>30/0</w:t>
            </w:r>
            <w:r w:rsidR="00B848DD" w:rsidRPr="00701F32">
              <w:rPr>
                <w:rFonts w:ascii="Arial" w:hAnsi="Arial" w:cs="Arial"/>
                <w:b/>
                <w:bCs/>
                <w:color w:val="000000"/>
                <w:sz w:val="18"/>
                <w:lang w:eastAsia="es-AR"/>
              </w:rPr>
              <w:t>9</w:t>
            </w:r>
            <w:r w:rsidRPr="00701F32">
              <w:rPr>
                <w:rFonts w:ascii="Arial" w:hAnsi="Arial" w:cs="Arial"/>
                <w:b/>
                <w:bCs/>
                <w:color w:val="000000"/>
                <w:sz w:val="18"/>
                <w:lang w:eastAsia="es-AR"/>
              </w:rPr>
              <w:t>/2017</w:t>
            </w:r>
          </w:p>
        </w:tc>
      </w:tr>
      <w:tr w:rsidR="00FC1B57" w:rsidRPr="00701F32" w14:paraId="4612E97A" w14:textId="77777777" w:rsidTr="00941382">
        <w:trPr>
          <w:trHeight w:val="260"/>
        </w:trPr>
        <w:tc>
          <w:tcPr>
            <w:tcW w:w="5127" w:type="dxa"/>
            <w:tcBorders>
              <w:top w:val="single" w:sz="4" w:space="0" w:color="auto"/>
              <w:left w:val="single" w:sz="4" w:space="0" w:color="auto"/>
              <w:bottom w:val="nil"/>
              <w:right w:val="nil"/>
            </w:tcBorders>
            <w:shd w:val="clear" w:color="auto" w:fill="auto"/>
            <w:noWrap/>
            <w:vAlign w:val="bottom"/>
            <w:hideMark/>
          </w:tcPr>
          <w:p w14:paraId="35E9D47D" w14:textId="77777777" w:rsidR="00FC1B57" w:rsidRPr="00701F32" w:rsidRDefault="00FC1B57" w:rsidP="00393CEB">
            <w:pPr>
              <w:rPr>
                <w:rFonts w:ascii="Arial" w:hAnsi="Arial" w:cs="Arial"/>
                <w:color w:val="000000"/>
                <w:sz w:val="18"/>
                <w:lang w:eastAsia="es-AR"/>
              </w:rPr>
            </w:pPr>
            <w:r w:rsidRPr="00701F32">
              <w:rPr>
                <w:rFonts w:ascii="Arial" w:hAnsi="Arial" w:cs="Arial"/>
                <w:color w:val="000000"/>
                <w:sz w:val="18"/>
                <w:lang w:eastAsia="es-AR"/>
              </w:rPr>
              <w:t>Quebranto / Impuesto ganancias corriente</w:t>
            </w:r>
          </w:p>
        </w:tc>
        <w:tc>
          <w:tcPr>
            <w:tcW w:w="1868" w:type="dxa"/>
            <w:tcBorders>
              <w:top w:val="single" w:sz="4" w:space="0" w:color="auto"/>
              <w:left w:val="single" w:sz="4" w:space="0" w:color="auto"/>
              <w:bottom w:val="nil"/>
              <w:right w:val="single" w:sz="4" w:space="0" w:color="auto"/>
            </w:tcBorders>
            <w:shd w:val="clear" w:color="auto" w:fill="auto"/>
            <w:noWrap/>
            <w:vAlign w:val="bottom"/>
          </w:tcPr>
          <w:p w14:paraId="66898BFC" w14:textId="49B92FD6" w:rsidR="00FC1B57" w:rsidRPr="00701F32" w:rsidRDefault="001B0EAA">
            <w:pPr>
              <w:jc w:val="right"/>
              <w:rPr>
                <w:rFonts w:ascii="Arial" w:hAnsi="Arial" w:cs="Arial"/>
                <w:color w:val="000000"/>
                <w:sz w:val="18"/>
                <w:lang w:val="es-ES_tradnl" w:eastAsia="es-AR"/>
              </w:rPr>
            </w:pPr>
            <w:r w:rsidRPr="00701F32">
              <w:rPr>
                <w:rFonts w:ascii="Arial" w:hAnsi="Arial" w:cs="Arial"/>
                <w:color w:val="000000"/>
                <w:sz w:val="18"/>
                <w:lang w:eastAsia="es-AR"/>
              </w:rPr>
              <w:t>-139.895</w:t>
            </w:r>
          </w:p>
        </w:tc>
        <w:tc>
          <w:tcPr>
            <w:tcW w:w="1832" w:type="dxa"/>
            <w:tcBorders>
              <w:top w:val="single" w:sz="4" w:space="0" w:color="auto"/>
              <w:left w:val="nil"/>
              <w:bottom w:val="nil"/>
              <w:right w:val="single" w:sz="4" w:space="0" w:color="auto"/>
            </w:tcBorders>
            <w:shd w:val="clear" w:color="auto" w:fill="auto"/>
            <w:noWrap/>
            <w:vAlign w:val="bottom"/>
          </w:tcPr>
          <w:p w14:paraId="45CC34D0" w14:textId="3179A7E3" w:rsidR="00FC1B57" w:rsidRPr="00701F32" w:rsidRDefault="001B0EAA">
            <w:pPr>
              <w:jc w:val="right"/>
              <w:rPr>
                <w:rFonts w:ascii="Arial" w:hAnsi="Arial" w:cs="Arial"/>
                <w:color w:val="000000"/>
                <w:sz w:val="18"/>
                <w:lang w:eastAsia="es-AR"/>
              </w:rPr>
            </w:pPr>
            <w:r w:rsidRPr="00701F32">
              <w:rPr>
                <w:rFonts w:ascii="Arial" w:hAnsi="Arial" w:cs="Arial"/>
                <w:color w:val="000000"/>
                <w:sz w:val="18"/>
                <w:lang w:eastAsia="es-AR"/>
              </w:rPr>
              <w:t>470.839</w:t>
            </w:r>
          </w:p>
        </w:tc>
      </w:tr>
      <w:tr w:rsidR="00FC1B57" w:rsidRPr="00701F32" w14:paraId="00AE2429" w14:textId="77777777" w:rsidTr="00941382">
        <w:trPr>
          <w:trHeight w:val="260"/>
        </w:trPr>
        <w:tc>
          <w:tcPr>
            <w:tcW w:w="5127" w:type="dxa"/>
            <w:tcBorders>
              <w:top w:val="nil"/>
              <w:left w:val="single" w:sz="4" w:space="0" w:color="auto"/>
              <w:bottom w:val="single" w:sz="4" w:space="0" w:color="auto"/>
              <w:right w:val="nil"/>
            </w:tcBorders>
            <w:shd w:val="clear" w:color="auto" w:fill="auto"/>
            <w:noWrap/>
            <w:vAlign w:val="bottom"/>
            <w:hideMark/>
          </w:tcPr>
          <w:p w14:paraId="5E93C5F5" w14:textId="77777777" w:rsidR="00FC1B57" w:rsidRPr="00701F32" w:rsidRDefault="00FC1B57" w:rsidP="00393CEB">
            <w:pPr>
              <w:rPr>
                <w:rFonts w:ascii="Arial" w:hAnsi="Arial" w:cs="Arial"/>
                <w:color w:val="000000"/>
                <w:sz w:val="18"/>
                <w:lang w:eastAsia="es-AR"/>
              </w:rPr>
            </w:pPr>
            <w:r w:rsidRPr="00701F32">
              <w:rPr>
                <w:rFonts w:ascii="Arial" w:hAnsi="Arial" w:cs="Arial"/>
                <w:color w:val="000000"/>
                <w:sz w:val="18"/>
                <w:lang w:eastAsia="es-AR"/>
              </w:rPr>
              <w:t>Impuesto - método diferido</w:t>
            </w:r>
          </w:p>
        </w:tc>
        <w:tc>
          <w:tcPr>
            <w:tcW w:w="1868" w:type="dxa"/>
            <w:tcBorders>
              <w:top w:val="nil"/>
              <w:left w:val="single" w:sz="4" w:space="0" w:color="auto"/>
              <w:bottom w:val="single" w:sz="4" w:space="0" w:color="auto"/>
              <w:right w:val="single" w:sz="4" w:space="0" w:color="auto"/>
            </w:tcBorders>
            <w:shd w:val="clear" w:color="auto" w:fill="auto"/>
            <w:noWrap/>
            <w:vAlign w:val="bottom"/>
          </w:tcPr>
          <w:p w14:paraId="661E43A2" w14:textId="2AE440FE" w:rsidR="00FC1B57" w:rsidRPr="00701F32" w:rsidRDefault="001B0EAA">
            <w:pPr>
              <w:jc w:val="right"/>
              <w:rPr>
                <w:rFonts w:ascii="Arial" w:hAnsi="Arial" w:cs="Arial"/>
                <w:color w:val="000000"/>
                <w:sz w:val="18"/>
                <w:lang w:eastAsia="es-AR"/>
              </w:rPr>
            </w:pPr>
            <w:r w:rsidRPr="00701F32">
              <w:rPr>
                <w:rFonts w:ascii="Arial" w:hAnsi="Arial" w:cs="Arial"/>
                <w:color w:val="000000"/>
                <w:sz w:val="18"/>
                <w:lang w:eastAsia="es-AR"/>
              </w:rPr>
              <w:t>406.494</w:t>
            </w:r>
          </w:p>
        </w:tc>
        <w:tc>
          <w:tcPr>
            <w:tcW w:w="1832" w:type="dxa"/>
            <w:tcBorders>
              <w:top w:val="nil"/>
              <w:left w:val="nil"/>
              <w:bottom w:val="single" w:sz="4" w:space="0" w:color="auto"/>
              <w:right w:val="single" w:sz="4" w:space="0" w:color="auto"/>
            </w:tcBorders>
            <w:shd w:val="clear" w:color="auto" w:fill="auto"/>
            <w:noWrap/>
            <w:vAlign w:val="bottom"/>
          </w:tcPr>
          <w:p w14:paraId="321592D1" w14:textId="363FEAF4" w:rsidR="00FC1B57" w:rsidRPr="00701F32" w:rsidRDefault="001B0EAA">
            <w:pPr>
              <w:jc w:val="right"/>
              <w:rPr>
                <w:rFonts w:ascii="Arial" w:hAnsi="Arial" w:cs="Arial"/>
                <w:color w:val="000000"/>
                <w:sz w:val="18"/>
                <w:lang w:eastAsia="es-AR"/>
              </w:rPr>
            </w:pPr>
            <w:r w:rsidRPr="00701F32">
              <w:rPr>
                <w:rFonts w:ascii="Arial" w:hAnsi="Arial" w:cs="Arial"/>
                <w:color w:val="000000"/>
                <w:sz w:val="18"/>
                <w:lang w:eastAsia="es-AR"/>
              </w:rPr>
              <w:t>-145.541</w:t>
            </w:r>
          </w:p>
        </w:tc>
      </w:tr>
      <w:tr w:rsidR="00FC1B57" w:rsidRPr="00701F32" w14:paraId="2CC39826" w14:textId="77777777" w:rsidTr="00941382">
        <w:trPr>
          <w:trHeight w:val="260"/>
        </w:trPr>
        <w:tc>
          <w:tcPr>
            <w:tcW w:w="5127" w:type="dxa"/>
            <w:tcBorders>
              <w:top w:val="single" w:sz="4" w:space="0" w:color="auto"/>
              <w:left w:val="single" w:sz="4" w:space="0" w:color="auto"/>
              <w:bottom w:val="single" w:sz="4" w:space="0" w:color="auto"/>
              <w:right w:val="nil"/>
            </w:tcBorders>
            <w:shd w:val="clear" w:color="auto" w:fill="auto"/>
            <w:noWrap/>
            <w:vAlign w:val="bottom"/>
            <w:hideMark/>
          </w:tcPr>
          <w:p w14:paraId="33ADF045" w14:textId="77777777" w:rsidR="00FC1B57" w:rsidRPr="00701F32" w:rsidRDefault="00FC1B57" w:rsidP="00393CEB">
            <w:pPr>
              <w:rPr>
                <w:rFonts w:ascii="Arial" w:hAnsi="Arial" w:cs="Arial"/>
                <w:b/>
                <w:bCs/>
                <w:color w:val="000000"/>
                <w:sz w:val="18"/>
                <w:lang w:eastAsia="es-AR"/>
              </w:rPr>
            </w:pPr>
            <w:r w:rsidRPr="00701F32">
              <w:rPr>
                <w:rFonts w:ascii="Arial" w:hAnsi="Arial" w:cs="Arial"/>
                <w:b/>
                <w:bCs/>
                <w:color w:val="000000"/>
                <w:sz w:val="18"/>
                <w:lang w:eastAsia="es-AR"/>
              </w:rPr>
              <w:t>Impuesto a las  Ganancias</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74376" w14:textId="6891729E" w:rsidR="00FC1B57" w:rsidRPr="00701F32" w:rsidRDefault="001B0EAA">
            <w:pPr>
              <w:jc w:val="right"/>
              <w:rPr>
                <w:rFonts w:ascii="Arial" w:hAnsi="Arial" w:cs="Arial"/>
                <w:b/>
                <w:bCs/>
                <w:color w:val="000000"/>
                <w:sz w:val="18"/>
                <w:lang w:eastAsia="es-AR"/>
              </w:rPr>
            </w:pPr>
            <w:r w:rsidRPr="00701F32">
              <w:rPr>
                <w:rFonts w:ascii="Arial" w:hAnsi="Arial" w:cs="Arial"/>
                <w:b/>
                <w:bCs/>
                <w:color w:val="000000"/>
                <w:sz w:val="18"/>
                <w:lang w:eastAsia="es-AR"/>
              </w:rPr>
              <w:t>266.599</w:t>
            </w:r>
          </w:p>
        </w:tc>
        <w:tc>
          <w:tcPr>
            <w:tcW w:w="1832" w:type="dxa"/>
            <w:tcBorders>
              <w:top w:val="single" w:sz="4" w:space="0" w:color="auto"/>
              <w:left w:val="nil"/>
              <w:bottom w:val="single" w:sz="4" w:space="0" w:color="auto"/>
              <w:right w:val="single" w:sz="4" w:space="0" w:color="auto"/>
            </w:tcBorders>
            <w:shd w:val="clear" w:color="auto" w:fill="auto"/>
            <w:noWrap/>
            <w:vAlign w:val="bottom"/>
          </w:tcPr>
          <w:p w14:paraId="6D13D447" w14:textId="7A51738E" w:rsidR="00FC1B57" w:rsidRPr="00701F32" w:rsidRDefault="001B0EAA">
            <w:pPr>
              <w:jc w:val="right"/>
              <w:rPr>
                <w:rFonts w:ascii="Arial" w:hAnsi="Arial" w:cs="Arial"/>
                <w:b/>
                <w:bCs/>
                <w:color w:val="000000"/>
                <w:sz w:val="18"/>
                <w:lang w:eastAsia="es-AR"/>
              </w:rPr>
            </w:pPr>
            <w:r w:rsidRPr="00701F32">
              <w:rPr>
                <w:rFonts w:ascii="Arial" w:hAnsi="Arial" w:cs="Arial"/>
                <w:b/>
                <w:bCs/>
                <w:color w:val="000000"/>
                <w:sz w:val="18"/>
                <w:lang w:eastAsia="es-AR"/>
              </w:rPr>
              <w:t>325.298</w:t>
            </w:r>
          </w:p>
        </w:tc>
      </w:tr>
      <w:tr w:rsidR="00FC1B57" w:rsidRPr="00701F32" w14:paraId="13CC4871" w14:textId="77777777" w:rsidTr="00941382">
        <w:trPr>
          <w:trHeight w:val="260"/>
        </w:trPr>
        <w:tc>
          <w:tcPr>
            <w:tcW w:w="5127" w:type="dxa"/>
            <w:tcBorders>
              <w:top w:val="single" w:sz="4" w:space="0" w:color="auto"/>
              <w:left w:val="single" w:sz="4" w:space="0" w:color="auto"/>
              <w:bottom w:val="single" w:sz="4" w:space="0" w:color="auto"/>
              <w:right w:val="nil"/>
            </w:tcBorders>
            <w:shd w:val="clear" w:color="auto" w:fill="auto"/>
            <w:noWrap/>
            <w:vAlign w:val="bottom"/>
            <w:hideMark/>
          </w:tcPr>
          <w:p w14:paraId="66B0BEB2" w14:textId="77777777" w:rsidR="00FC1B57" w:rsidRPr="00701F32" w:rsidRDefault="000336ED" w:rsidP="00393CEB">
            <w:pPr>
              <w:rPr>
                <w:rFonts w:ascii="Arial" w:hAnsi="Arial" w:cs="Arial"/>
                <w:b/>
                <w:bCs/>
                <w:color w:val="000000"/>
                <w:sz w:val="18"/>
                <w:lang w:eastAsia="es-AR"/>
              </w:rPr>
            </w:pPr>
            <w:r w:rsidRPr="00701F32">
              <w:rPr>
                <w:rFonts w:ascii="Arial" w:hAnsi="Arial" w:cs="Arial"/>
                <w:b/>
                <w:color w:val="000000"/>
                <w:sz w:val="18"/>
                <w:lang w:eastAsia="es-AR"/>
              </w:rPr>
              <w:t>Cargo por impuesto diferido reconocido en el resultado del período</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AB27" w14:textId="33109EDE" w:rsidR="00FC1B57" w:rsidRPr="00701F32" w:rsidRDefault="001B0EAA">
            <w:pPr>
              <w:jc w:val="right"/>
              <w:rPr>
                <w:rFonts w:ascii="Arial" w:hAnsi="Arial" w:cs="Arial"/>
                <w:b/>
                <w:bCs/>
                <w:color w:val="000000"/>
                <w:sz w:val="18"/>
                <w:lang w:eastAsia="es-AR"/>
              </w:rPr>
            </w:pPr>
            <w:r w:rsidRPr="00701F32">
              <w:rPr>
                <w:rFonts w:ascii="Arial" w:hAnsi="Arial" w:cs="Arial"/>
                <w:b/>
                <w:bCs/>
                <w:color w:val="000000"/>
                <w:sz w:val="18"/>
                <w:lang w:eastAsia="es-AR"/>
              </w:rPr>
              <w:t>266.599</w:t>
            </w:r>
          </w:p>
        </w:tc>
        <w:tc>
          <w:tcPr>
            <w:tcW w:w="1832" w:type="dxa"/>
            <w:tcBorders>
              <w:top w:val="single" w:sz="4" w:space="0" w:color="auto"/>
              <w:left w:val="nil"/>
              <w:bottom w:val="single" w:sz="4" w:space="0" w:color="auto"/>
              <w:right w:val="single" w:sz="4" w:space="0" w:color="auto"/>
            </w:tcBorders>
            <w:shd w:val="clear" w:color="auto" w:fill="auto"/>
            <w:noWrap/>
            <w:vAlign w:val="bottom"/>
          </w:tcPr>
          <w:p w14:paraId="3A02ADA4" w14:textId="060EBD6D" w:rsidR="00FC1B57" w:rsidRPr="00701F32" w:rsidRDefault="001B0EAA">
            <w:pPr>
              <w:jc w:val="right"/>
              <w:rPr>
                <w:rFonts w:ascii="Arial" w:hAnsi="Arial" w:cs="Arial"/>
                <w:b/>
                <w:bCs/>
                <w:color w:val="000000"/>
                <w:sz w:val="18"/>
                <w:lang w:eastAsia="es-AR"/>
              </w:rPr>
            </w:pPr>
            <w:r w:rsidRPr="00701F32">
              <w:rPr>
                <w:rFonts w:ascii="Arial" w:hAnsi="Arial" w:cs="Arial"/>
                <w:b/>
                <w:bCs/>
                <w:color w:val="000000"/>
                <w:sz w:val="18"/>
                <w:lang w:eastAsia="es-AR"/>
              </w:rPr>
              <w:t>325.298</w:t>
            </w:r>
          </w:p>
        </w:tc>
      </w:tr>
      <w:tr w:rsidR="00FC1B57" w:rsidRPr="00701F32" w14:paraId="38459018" w14:textId="77777777" w:rsidTr="00941382">
        <w:trPr>
          <w:trHeight w:val="260"/>
        </w:trPr>
        <w:tc>
          <w:tcPr>
            <w:tcW w:w="5127" w:type="dxa"/>
            <w:tcBorders>
              <w:top w:val="nil"/>
              <w:left w:val="single" w:sz="4" w:space="0" w:color="auto"/>
              <w:bottom w:val="nil"/>
              <w:right w:val="nil"/>
            </w:tcBorders>
            <w:shd w:val="clear" w:color="auto" w:fill="auto"/>
            <w:noWrap/>
            <w:vAlign w:val="bottom"/>
            <w:hideMark/>
          </w:tcPr>
          <w:p w14:paraId="1F03E50E" w14:textId="77777777" w:rsidR="00FC1B57" w:rsidRPr="00701F32" w:rsidRDefault="00FC1B57" w:rsidP="00393CEB">
            <w:pPr>
              <w:rPr>
                <w:rFonts w:ascii="Arial" w:hAnsi="Arial" w:cs="Arial"/>
                <w:color w:val="000000"/>
                <w:sz w:val="18"/>
                <w:lang w:eastAsia="es-AR"/>
              </w:rPr>
            </w:pPr>
            <w:r w:rsidRPr="00701F32">
              <w:rPr>
                <w:rFonts w:ascii="Arial" w:hAnsi="Arial" w:cs="Arial"/>
                <w:color w:val="000000"/>
                <w:sz w:val="18"/>
                <w:lang w:eastAsia="es-AR"/>
              </w:rPr>
              <w:t>Cargo por impuesto diferido reconocido en el ORI</w:t>
            </w:r>
          </w:p>
        </w:tc>
        <w:tc>
          <w:tcPr>
            <w:tcW w:w="1868" w:type="dxa"/>
            <w:tcBorders>
              <w:top w:val="nil"/>
              <w:left w:val="single" w:sz="4" w:space="0" w:color="auto"/>
              <w:bottom w:val="nil"/>
              <w:right w:val="single" w:sz="4" w:space="0" w:color="auto"/>
            </w:tcBorders>
            <w:shd w:val="clear" w:color="auto" w:fill="auto"/>
            <w:noWrap/>
            <w:vAlign w:val="bottom"/>
          </w:tcPr>
          <w:p w14:paraId="737700EE" w14:textId="0A4ECF2A" w:rsidR="00FC1B57" w:rsidRPr="00701F32" w:rsidRDefault="001B0EAA">
            <w:pPr>
              <w:jc w:val="right"/>
              <w:rPr>
                <w:rFonts w:ascii="Arial" w:hAnsi="Arial" w:cs="Arial"/>
                <w:color w:val="000000"/>
                <w:sz w:val="18"/>
                <w:lang w:eastAsia="es-AR"/>
              </w:rPr>
            </w:pPr>
            <w:r w:rsidRPr="00701F32">
              <w:rPr>
                <w:rFonts w:ascii="Arial" w:hAnsi="Arial" w:cs="Arial"/>
                <w:color w:val="000000"/>
                <w:sz w:val="18"/>
                <w:lang w:eastAsia="es-AR"/>
              </w:rPr>
              <w:t>57.137</w:t>
            </w:r>
          </w:p>
        </w:tc>
        <w:tc>
          <w:tcPr>
            <w:tcW w:w="1832" w:type="dxa"/>
            <w:tcBorders>
              <w:top w:val="nil"/>
              <w:left w:val="nil"/>
              <w:bottom w:val="nil"/>
              <w:right w:val="single" w:sz="4" w:space="0" w:color="auto"/>
            </w:tcBorders>
            <w:shd w:val="clear" w:color="auto" w:fill="auto"/>
            <w:noWrap/>
            <w:vAlign w:val="bottom"/>
          </w:tcPr>
          <w:p w14:paraId="376BA92A" w14:textId="3D7F3115" w:rsidR="00FC1B57" w:rsidRPr="00701F32" w:rsidRDefault="001A7A99">
            <w:pPr>
              <w:jc w:val="right"/>
              <w:rPr>
                <w:rFonts w:ascii="Arial" w:hAnsi="Arial" w:cs="Arial"/>
                <w:color w:val="000000"/>
                <w:sz w:val="18"/>
                <w:lang w:eastAsia="es-AR"/>
              </w:rPr>
            </w:pPr>
            <w:r w:rsidRPr="00701F32">
              <w:rPr>
                <w:rFonts w:ascii="Arial" w:hAnsi="Arial" w:cs="Arial"/>
                <w:color w:val="000000"/>
                <w:sz w:val="18"/>
                <w:lang w:eastAsia="es-AR"/>
              </w:rPr>
              <w:t>15.151</w:t>
            </w:r>
          </w:p>
        </w:tc>
      </w:tr>
      <w:tr w:rsidR="00FC1B57" w:rsidRPr="00701F32" w14:paraId="458D69A1" w14:textId="77777777" w:rsidTr="00941382">
        <w:trPr>
          <w:trHeight w:val="68"/>
        </w:trPr>
        <w:tc>
          <w:tcPr>
            <w:tcW w:w="5127" w:type="dxa"/>
            <w:tcBorders>
              <w:top w:val="single" w:sz="4" w:space="0" w:color="auto"/>
              <w:left w:val="single" w:sz="4" w:space="0" w:color="auto"/>
              <w:bottom w:val="single" w:sz="4" w:space="0" w:color="auto"/>
              <w:right w:val="nil"/>
            </w:tcBorders>
            <w:shd w:val="clear" w:color="auto" w:fill="auto"/>
            <w:noWrap/>
            <w:vAlign w:val="bottom"/>
            <w:hideMark/>
          </w:tcPr>
          <w:p w14:paraId="5FB5A868" w14:textId="77777777" w:rsidR="00FC1B57" w:rsidRPr="00701F32" w:rsidRDefault="00FC1B57">
            <w:pPr>
              <w:rPr>
                <w:rFonts w:ascii="Arial" w:hAnsi="Arial" w:cs="Arial"/>
                <w:b/>
                <w:bCs/>
                <w:color w:val="000000"/>
                <w:sz w:val="18"/>
                <w:lang w:eastAsia="es-AR"/>
              </w:rPr>
            </w:pPr>
            <w:r w:rsidRPr="00701F32">
              <w:rPr>
                <w:rFonts w:ascii="Arial" w:hAnsi="Arial" w:cs="Arial"/>
                <w:b/>
                <w:bCs/>
                <w:color w:val="000000"/>
                <w:sz w:val="18"/>
                <w:lang w:eastAsia="es-AR"/>
              </w:rPr>
              <w:t>Total cargo Impuesto a las ganancias</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A86C1" w14:textId="54C1B9FB" w:rsidR="00FD6B54" w:rsidRPr="00701F32" w:rsidRDefault="001B0EAA">
            <w:pPr>
              <w:jc w:val="right"/>
              <w:rPr>
                <w:rFonts w:ascii="Arial" w:hAnsi="Arial" w:cs="Arial"/>
                <w:b/>
                <w:bCs/>
                <w:color w:val="000000"/>
                <w:sz w:val="18"/>
                <w:lang w:val="es-ES_tradnl" w:eastAsia="es-AR"/>
              </w:rPr>
            </w:pPr>
            <w:r w:rsidRPr="00701F32">
              <w:rPr>
                <w:rFonts w:ascii="Arial" w:hAnsi="Arial" w:cs="Arial"/>
                <w:b/>
                <w:bCs/>
                <w:color w:val="000000"/>
                <w:sz w:val="18"/>
                <w:lang w:val="es-ES_tradnl" w:eastAsia="es-AR"/>
              </w:rPr>
              <w:t>323.736</w:t>
            </w:r>
          </w:p>
        </w:tc>
        <w:tc>
          <w:tcPr>
            <w:tcW w:w="1832" w:type="dxa"/>
            <w:tcBorders>
              <w:top w:val="single" w:sz="4" w:space="0" w:color="auto"/>
              <w:left w:val="nil"/>
              <w:bottom w:val="single" w:sz="4" w:space="0" w:color="auto"/>
              <w:right w:val="single" w:sz="4" w:space="0" w:color="auto"/>
            </w:tcBorders>
            <w:shd w:val="clear" w:color="auto" w:fill="auto"/>
            <w:noWrap/>
            <w:vAlign w:val="bottom"/>
          </w:tcPr>
          <w:p w14:paraId="49E0864F" w14:textId="632B1749" w:rsidR="00FC1B57" w:rsidRPr="00701F32" w:rsidRDefault="001A7A99">
            <w:pPr>
              <w:jc w:val="right"/>
              <w:rPr>
                <w:rFonts w:ascii="Arial" w:hAnsi="Arial" w:cs="Arial"/>
                <w:b/>
                <w:color w:val="000000"/>
                <w:sz w:val="18"/>
                <w:lang w:eastAsia="es-AR"/>
              </w:rPr>
            </w:pPr>
            <w:r w:rsidRPr="00701F32">
              <w:rPr>
                <w:rFonts w:ascii="Arial" w:hAnsi="Arial" w:cs="Arial"/>
                <w:b/>
                <w:color w:val="000000"/>
                <w:sz w:val="18"/>
                <w:lang w:eastAsia="es-AR"/>
              </w:rPr>
              <w:t>340.449</w:t>
            </w:r>
          </w:p>
        </w:tc>
      </w:tr>
    </w:tbl>
    <w:p w14:paraId="4C4AE10B" w14:textId="77777777" w:rsidR="00B848DD" w:rsidRPr="00701F32" w:rsidRDefault="00FC1B57" w:rsidP="00FC1B57">
      <w:pPr>
        <w:spacing w:after="120"/>
        <w:jc w:val="both"/>
        <w:rPr>
          <w:rFonts w:ascii="Arial" w:eastAsia="SimSun" w:hAnsi="Arial" w:cs="Arial"/>
          <w:sz w:val="20"/>
          <w:lang w:eastAsia="zh-CN"/>
        </w:rPr>
      </w:pPr>
      <w:r w:rsidRPr="00701F32">
        <w:rPr>
          <w:rFonts w:ascii="Arial" w:eastAsia="SimSun" w:hAnsi="Arial" w:cs="Arial"/>
          <w:sz w:val="20"/>
          <w:lang w:eastAsia="zh-CN"/>
        </w:rPr>
        <w:t>A continuación, se presenta una conciliación entre el impuesto a las ganancias cargado a resultados al 3</w:t>
      </w:r>
      <w:r w:rsidR="00920E6B" w:rsidRPr="00701F32">
        <w:rPr>
          <w:rFonts w:ascii="Arial" w:eastAsia="SimSun" w:hAnsi="Arial" w:cs="Arial"/>
          <w:sz w:val="20"/>
          <w:lang w:eastAsia="zh-CN"/>
        </w:rPr>
        <w:t>0</w:t>
      </w:r>
      <w:r w:rsidRPr="00701F32">
        <w:rPr>
          <w:rFonts w:ascii="Arial" w:eastAsia="SimSun" w:hAnsi="Arial" w:cs="Arial"/>
          <w:sz w:val="20"/>
          <w:lang w:eastAsia="zh-CN"/>
        </w:rPr>
        <w:t xml:space="preserve"> de </w:t>
      </w:r>
      <w:r w:rsidR="00B848DD" w:rsidRPr="00701F32">
        <w:rPr>
          <w:rFonts w:ascii="Arial" w:eastAsia="SimSun" w:hAnsi="Arial" w:cs="Arial"/>
          <w:sz w:val="20"/>
          <w:lang w:eastAsia="zh-CN"/>
        </w:rPr>
        <w:t>esptiembre</w:t>
      </w:r>
      <w:r w:rsidR="00920E6B" w:rsidRPr="00701F32">
        <w:rPr>
          <w:rFonts w:ascii="Arial" w:eastAsia="SimSun" w:hAnsi="Arial" w:cs="Arial"/>
          <w:sz w:val="20"/>
          <w:lang w:eastAsia="zh-CN"/>
        </w:rPr>
        <w:t xml:space="preserve"> </w:t>
      </w:r>
      <w:r w:rsidRPr="00701F32">
        <w:rPr>
          <w:rFonts w:ascii="Arial" w:eastAsia="SimSun" w:hAnsi="Arial" w:cs="Arial"/>
          <w:sz w:val="20"/>
          <w:lang w:eastAsia="zh-CN"/>
        </w:rPr>
        <w:t>de 2018 y 2017 y el que resultaría de aplicar la tasa del impuesto vigente sobre la utilidad contable:</w:t>
      </w:r>
    </w:p>
    <w:tbl>
      <w:tblPr>
        <w:tblW w:w="8843" w:type="dxa"/>
        <w:tblInd w:w="70" w:type="dxa"/>
        <w:tblCellMar>
          <w:left w:w="70" w:type="dxa"/>
          <w:right w:w="70" w:type="dxa"/>
        </w:tblCellMar>
        <w:tblLook w:val="04A0" w:firstRow="1" w:lastRow="0" w:firstColumn="1" w:lastColumn="0" w:noHBand="0" w:noVBand="1"/>
      </w:tblPr>
      <w:tblGrid>
        <w:gridCol w:w="5065"/>
        <w:gridCol w:w="1889"/>
        <w:gridCol w:w="1889"/>
      </w:tblGrid>
      <w:tr w:rsidR="00FC1B57" w:rsidRPr="00701F32" w14:paraId="20B2D37F" w14:textId="77777777" w:rsidTr="00393CEB">
        <w:trPr>
          <w:trHeight w:val="422"/>
          <w:tblHeader/>
        </w:trPr>
        <w:tc>
          <w:tcPr>
            <w:tcW w:w="5065" w:type="dxa"/>
            <w:tcBorders>
              <w:top w:val="single" w:sz="4" w:space="0" w:color="auto"/>
              <w:left w:val="single" w:sz="4" w:space="0" w:color="auto"/>
              <w:bottom w:val="single" w:sz="4" w:space="0" w:color="auto"/>
              <w:right w:val="nil"/>
            </w:tcBorders>
            <w:shd w:val="clear" w:color="auto" w:fill="auto"/>
            <w:vAlign w:val="center"/>
            <w:hideMark/>
          </w:tcPr>
          <w:p w14:paraId="399480FE" w14:textId="77777777" w:rsidR="00FC1B57" w:rsidRPr="00701F32" w:rsidRDefault="00B225FD" w:rsidP="00AD40A3">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55A75" w14:textId="77777777" w:rsidR="00FC1B57" w:rsidRPr="00701F32" w:rsidRDefault="00B225FD" w:rsidP="00AD40A3">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30/0</w:t>
            </w:r>
            <w:r w:rsidR="00B848DD" w:rsidRPr="00701F32">
              <w:rPr>
                <w:rFonts w:ascii="Arial" w:hAnsi="Arial" w:cs="Arial"/>
                <w:b/>
                <w:bCs/>
                <w:color w:val="000000"/>
                <w:sz w:val="18"/>
                <w:szCs w:val="18"/>
                <w:lang w:eastAsia="es-AR"/>
              </w:rPr>
              <w:t>9</w:t>
            </w:r>
            <w:r w:rsidRPr="00701F32">
              <w:rPr>
                <w:rFonts w:ascii="Arial" w:hAnsi="Arial" w:cs="Arial"/>
                <w:b/>
                <w:bCs/>
                <w:color w:val="000000"/>
                <w:sz w:val="18"/>
                <w:szCs w:val="18"/>
                <w:lang w:eastAsia="es-AR"/>
              </w:rPr>
              <w:t>/2018</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14:paraId="610BE73C" w14:textId="77777777" w:rsidR="00FC1B57" w:rsidRPr="00701F32" w:rsidRDefault="00B225FD" w:rsidP="00AD40A3">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30/0</w:t>
            </w:r>
            <w:r w:rsidR="00B848DD" w:rsidRPr="00701F32">
              <w:rPr>
                <w:rFonts w:ascii="Arial" w:hAnsi="Arial" w:cs="Arial"/>
                <w:b/>
                <w:bCs/>
                <w:color w:val="000000"/>
                <w:sz w:val="18"/>
                <w:szCs w:val="18"/>
                <w:lang w:eastAsia="es-AR"/>
              </w:rPr>
              <w:t>9</w:t>
            </w:r>
            <w:r w:rsidRPr="00701F32">
              <w:rPr>
                <w:rFonts w:ascii="Arial" w:hAnsi="Arial" w:cs="Arial"/>
                <w:b/>
                <w:bCs/>
                <w:color w:val="000000"/>
                <w:sz w:val="18"/>
                <w:szCs w:val="18"/>
                <w:lang w:eastAsia="es-AR"/>
              </w:rPr>
              <w:t>/2017</w:t>
            </w:r>
          </w:p>
        </w:tc>
      </w:tr>
      <w:tr w:rsidR="00FC1B57" w:rsidRPr="00701F32" w14:paraId="7FD214CB" w14:textId="77777777" w:rsidTr="00941382">
        <w:trPr>
          <w:trHeight w:val="281"/>
        </w:trPr>
        <w:tc>
          <w:tcPr>
            <w:tcW w:w="5065" w:type="dxa"/>
            <w:tcBorders>
              <w:top w:val="nil"/>
              <w:left w:val="single" w:sz="4" w:space="0" w:color="auto"/>
              <w:bottom w:val="nil"/>
              <w:right w:val="nil"/>
            </w:tcBorders>
            <w:shd w:val="clear" w:color="auto" w:fill="auto"/>
            <w:vAlign w:val="center"/>
            <w:hideMark/>
          </w:tcPr>
          <w:p w14:paraId="07687BCB" w14:textId="77777777" w:rsidR="00FC1B57" w:rsidRPr="00701F32" w:rsidRDefault="00FC1B57" w:rsidP="00AD40A3">
            <w:pPr>
              <w:jc w:val="both"/>
              <w:rPr>
                <w:rFonts w:ascii="Arial" w:hAnsi="Arial" w:cs="Arial"/>
                <w:color w:val="000000"/>
                <w:sz w:val="18"/>
                <w:szCs w:val="18"/>
                <w:lang w:eastAsia="es-AR"/>
              </w:rPr>
            </w:pPr>
            <w:r w:rsidRPr="00701F32">
              <w:rPr>
                <w:rFonts w:ascii="Arial" w:hAnsi="Arial" w:cs="Arial"/>
                <w:color w:val="000000"/>
                <w:sz w:val="18"/>
                <w:szCs w:val="18"/>
                <w:lang w:eastAsia="es-AR"/>
              </w:rPr>
              <w:t>Resultado del ejercicio antes de impuesto a las ganancias</w:t>
            </w:r>
          </w:p>
        </w:tc>
        <w:tc>
          <w:tcPr>
            <w:tcW w:w="1889" w:type="dxa"/>
            <w:tcBorders>
              <w:top w:val="nil"/>
              <w:left w:val="single" w:sz="4" w:space="0" w:color="auto"/>
              <w:bottom w:val="nil"/>
              <w:right w:val="single" w:sz="4" w:space="0" w:color="auto"/>
            </w:tcBorders>
            <w:shd w:val="clear" w:color="auto" w:fill="auto"/>
            <w:vAlign w:val="bottom"/>
          </w:tcPr>
          <w:p w14:paraId="4E61C741" w14:textId="406F6393" w:rsidR="00FC1B57" w:rsidRPr="00701F32" w:rsidRDefault="001B0EAA" w:rsidP="00AD40A3">
            <w:pPr>
              <w:jc w:val="right"/>
              <w:rPr>
                <w:rFonts w:ascii="Arial" w:hAnsi="Arial" w:cs="Arial"/>
                <w:bCs/>
                <w:color w:val="000000"/>
                <w:sz w:val="18"/>
                <w:szCs w:val="18"/>
                <w:lang w:eastAsia="es-AR"/>
              </w:rPr>
            </w:pPr>
            <w:r w:rsidRPr="00701F32">
              <w:rPr>
                <w:rFonts w:ascii="Arial" w:hAnsi="Arial" w:cs="Arial"/>
                <w:bCs/>
                <w:color w:val="000000"/>
                <w:sz w:val="18"/>
                <w:szCs w:val="18"/>
                <w:lang w:eastAsia="es-AR"/>
              </w:rPr>
              <w:t>1.405.108</w:t>
            </w:r>
          </w:p>
        </w:tc>
        <w:tc>
          <w:tcPr>
            <w:tcW w:w="1889" w:type="dxa"/>
            <w:tcBorders>
              <w:top w:val="nil"/>
              <w:left w:val="nil"/>
              <w:bottom w:val="nil"/>
              <w:right w:val="single" w:sz="4" w:space="0" w:color="auto"/>
            </w:tcBorders>
            <w:shd w:val="clear" w:color="auto" w:fill="auto"/>
            <w:vAlign w:val="bottom"/>
          </w:tcPr>
          <w:p w14:paraId="1825DE69" w14:textId="487CE8D6" w:rsidR="00FC1B57" w:rsidRPr="00701F32" w:rsidRDefault="001B0EAA">
            <w:pPr>
              <w:jc w:val="right"/>
              <w:rPr>
                <w:rFonts w:ascii="Arial" w:hAnsi="Arial" w:cs="Arial"/>
                <w:bCs/>
                <w:color w:val="000000"/>
                <w:sz w:val="18"/>
                <w:szCs w:val="18"/>
                <w:lang w:eastAsia="es-AR"/>
              </w:rPr>
            </w:pPr>
            <w:r w:rsidRPr="00701F32">
              <w:rPr>
                <w:rFonts w:ascii="Arial" w:hAnsi="Arial" w:cs="Arial"/>
                <w:bCs/>
                <w:color w:val="000000"/>
                <w:sz w:val="18"/>
                <w:szCs w:val="18"/>
                <w:lang w:eastAsia="es-AR"/>
              </w:rPr>
              <w:t>1.153.</w:t>
            </w:r>
            <w:r w:rsidR="002A5EEA" w:rsidRPr="00701F32">
              <w:rPr>
                <w:rFonts w:ascii="Arial" w:hAnsi="Arial" w:cs="Arial"/>
                <w:bCs/>
                <w:color w:val="000000"/>
                <w:sz w:val="18"/>
                <w:szCs w:val="18"/>
                <w:lang w:eastAsia="es-AR"/>
              </w:rPr>
              <w:t>540</w:t>
            </w:r>
          </w:p>
        </w:tc>
      </w:tr>
      <w:tr w:rsidR="00FC1B57" w:rsidRPr="00701F32" w14:paraId="12481757" w14:textId="77777777" w:rsidTr="00941382">
        <w:trPr>
          <w:trHeight w:val="380"/>
        </w:trPr>
        <w:tc>
          <w:tcPr>
            <w:tcW w:w="5065" w:type="dxa"/>
            <w:tcBorders>
              <w:top w:val="nil"/>
              <w:left w:val="single" w:sz="4" w:space="0" w:color="auto"/>
              <w:bottom w:val="nil"/>
              <w:right w:val="nil"/>
            </w:tcBorders>
            <w:shd w:val="clear" w:color="auto" w:fill="auto"/>
            <w:vAlign w:val="center"/>
            <w:hideMark/>
          </w:tcPr>
          <w:p w14:paraId="3974A7DB" w14:textId="77777777" w:rsidR="00FC1B57" w:rsidRPr="00701F32" w:rsidRDefault="00FC1B57" w:rsidP="00AD40A3">
            <w:pPr>
              <w:jc w:val="both"/>
              <w:rPr>
                <w:rFonts w:ascii="Arial" w:hAnsi="Arial" w:cs="Arial"/>
                <w:color w:val="000000"/>
                <w:sz w:val="18"/>
                <w:szCs w:val="18"/>
                <w:lang w:eastAsia="es-AR"/>
              </w:rPr>
            </w:pPr>
            <w:r w:rsidRPr="00701F32">
              <w:rPr>
                <w:rFonts w:ascii="Arial" w:hAnsi="Arial" w:cs="Arial"/>
                <w:color w:val="000000"/>
                <w:sz w:val="18"/>
                <w:szCs w:val="18"/>
                <w:lang w:eastAsia="es-AR"/>
              </w:rPr>
              <w:t>Tasa del impuesto vigente</w:t>
            </w:r>
          </w:p>
        </w:tc>
        <w:tc>
          <w:tcPr>
            <w:tcW w:w="1889" w:type="dxa"/>
            <w:tcBorders>
              <w:top w:val="nil"/>
              <w:left w:val="single" w:sz="4" w:space="0" w:color="auto"/>
              <w:bottom w:val="nil"/>
              <w:right w:val="single" w:sz="4" w:space="0" w:color="auto"/>
            </w:tcBorders>
            <w:shd w:val="clear" w:color="auto" w:fill="auto"/>
            <w:vAlign w:val="bottom"/>
          </w:tcPr>
          <w:p w14:paraId="4B585CFE" w14:textId="3F942101" w:rsidR="00FC1B57" w:rsidRPr="00701F32" w:rsidRDefault="00274DF6"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30%</w:t>
            </w:r>
          </w:p>
        </w:tc>
        <w:tc>
          <w:tcPr>
            <w:tcW w:w="1889" w:type="dxa"/>
            <w:tcBorders>
              <w:top w:val="nil"/>
              <w:left w:val="nil"/>
              <w:bottom w:val="nil"/>
              <w:right w:val="single" w:sz="4" w:space="0" w:color="auto"/>
            </w:tcBorders>
            <w:shd w:val="clear" w:color="auto" w:fill="auto"/>
            <w:vAlign w:val="bottom"/>
          </w:tcPr>
          <w:p w14:paraId="17F44D59" w14:textId="2AFDC09E" w:rsidR="00FC1B57" w:rsidRPr="00701F32" w:rsidRDefault="001B0EAA"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35%</w:t>
            </w:r>
          </w:p>
        </w:tc>
      </w:tr>
      <w:tr w:rsidR="00FC1B57" w:rsidRPr="00701F32" w14:paraId="47C945AB" w14:textId="77777777" w:rsidTr="00E311C9">
        <w:trPr>
          <w:trHeight w:val="310"/>
        </w:trPr>
        <w:tc>
          <w:tcPr>
            <w:tcW w:w="5065" w:type="dxa"/>
            <w:tcBorders>
              <w:top w:val="single" w:sz="4" w:space="0" w:color="auto"/>
              <w:left w:val="single" w:sz="4" w:space="0" w:color="auto"/>
              <w:bottom w:val="single" w:sz="4" w:space="0" w:color="auto"/>
              <w:right w:val="nil"/>
            </w:tcBorders>
            <w:shd w:val="clear" w:color="auto" w:fill="auto"/>
            <w:vAlign w:val="center"/>
            <w:hideMark/>
          </w:tcPr>
          <w:p w14:paraId="72B42D6F" w14:textId="77777777" w:rsidR="00FC1B57" w:rsidRPr="00701F32" w:rsidRDefault="00FC1B57" w:rsidP="00AD40A3">
            <w:pPr>
              <w:jc w:val="both"/>
              <w:rPr>
                <w:rFonts w:ascii="Arial" w:hAnsi="Arial" w:cs="Arial"/>
                <w:color w:val="000000"/>
                <w:sz w:val="18"/>
                <w:szCs w:val="18"/>
                <w:lang w:eastAsia="es-AR"/>
              </w:rPr>
            </w:pPr>
            <w:r w:rsidRPr="00701F32">
              <w:rPr>
                <w:rFonts w:ascii="Arial" w:hAnsi="Arial" w:cs="Arial"/>
                <w:color w:val="000000"/>
                <w:sz w:val="18"/>
                <w:szCs w:val="18"/>
                <w:lang w:eastAsia="es-AR"/>
              </w:rPr>
              <w:t>Resultado del ejercicio a la tasa del impuesto</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FEA72" w14:textId="6B790299" w:rsidR="00FC1B57" w:rsidRPr="00701F32" w:rsidRDefault="00274DF6"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421.532</w:t>
            </w:r>
          </w:p>
        </w:tc>
        <w:tc>
          <w:tcPr>
            <w:tcW w:w="1889" w:type="dxa"/>
            <w:tcBorders>
              <w:top w:val="single" w:sz="4" w:space="0" w:color="auto"/>
              <w:left w:val="nil"/>
              <w:bottom w:val="single" w:sz="4" w:space="0" w:color="auto"/>
              <w:right w:val="single" w:sz="4" w:space="0" w:color="auto"/>
            </w:tcBorders>
            <w:shd w:val="clear" w:color="auto" w:fill="auto"/>
            <w:vAlign w:val="bottom"/>
          </w:tcPr>
          <w:p w14:paraId="0011D948" w14:textId="7AFD311B" w:rsidR="00FC1B57" w:rsidRPr="00701F32" w:rsidRDefault="001B0EAA">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403.</w:t>
            </w:r>
            <w:r w:rsidR="002A5EEA" w:rsidRPr="00701F32">
              <w:rPr>
                <w:rFonts w:ascii="Arial" w:hAnsi="Arial" w:cs="Arial"/>
                <w:b/>
                <w:bCs/>
                <w:color w:val="000000"/>
                <w:sz w:val="18"/>
                <w:szCs w:val="18"/>
                <w:lang w:eastAsia="es-AR"/>
              </w:rPr>
              <w:t>739</w:t>
            </w:r>
          </w:p>
        </w:tc>
      </w:tr>
      <w:tr w:rsidR="00FC1B57" w:rsidRPr="00701F32" w14:paraId="7C8DB037" w14:textId="77777777" w:rsidTr="00E311C9">
        <w:trPr>
          <w:trHeight w:val="281"/>
        </w:trPr>
        <w:tc>
          <w:tcPr>
            <w:tcW w:w="5065" w:type="dxa"/>
            <w:tcBorders>
              <w:top w:val="single" w:sz="4" w:space="0" w:color="auto"/>
              <w:left w:val="single" w:sz="4" w:space="0" w:color="auto"/>
              <w:bottom w:val="single" w:sz="4" w:space="0" w:color="auto"/>
              <w:right w:val="nil"/>
            </w:tcBorders>
            <w:shd w:val="clear" w:color="auto" w:fill="auto"/>
            <w:vAlign w:val="center"/>
            <w:hideMark/>
          </w:tcPr>
          <w:p w14:paraId="0F8298E7" w14:textId="77777777" w:rsidR="00FC1B57" w:rsidRPr="00701F32" w:rsidRDefault="00FC1B57" w:rsidP="00AD40A3">
            <w:pPr>
              <w:jc w:val="both"/>
              <w:rPr>
                <w:rFonts w:ascii="Arial" w:hAnsi="Arial" w:cs="Arial"/>
                <w:bCs/>
                <w:color w:val="000000"/>
                <w:sz w:val="18"/>
                <w:szCs w:val="18"/>
                <w:lang w:eastAsia="es-AR"/>
              </w:rPr>
            </w:pPr>
            <w:r w:rsidRPr="00701F32">
              <w:rPr>
                <w:rFonts w:ascii="Arial" w:hAnsi="Arial" w:cs="Arial"/>
                <w:bCs/>
                <w:color w:val="000000"/>
                <w:sz w:val="18"/>
                <w:szCs w:val="18"/>
                <w:lang w:eastAsia="es-AR"/>
              </w:rPr>
              <w:t>Diferencias permanentes a la tasa del impuesto</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14:paraId="203086A0" w14:textId="4A996C2E" w:rsidR="00FC1B57" w:rsidRPr="00701F32" w:rsidRDefault="00274DF6"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-169.906</w:t>
            </w:r>
          </w:p>
        </w:tc>
        <w:tc>
          <w:tcPr>
            <w:tcW w:w="1889" w:type="dxa"/>
            <w:tcBorders>
              <w:top w:val="single" w:sz="4" w:space="0" w:color="auto"/>
              <w:left w:val="nil"/>
              <w:bottom w:val="single" w:sz="4" w:space="0" w:color="auto"/>
              <w:right w:val="single" w:sz="4" w:space="0" w:color="auto"/>
            </w:tcBorders>
            <w:shd w:val="clear" w:color="auto" w:fill="auto"/>
            <w:vAlign w:val="bottom"/>
          </w:tcPr>
          <w:p w14:paraId="00A95E27" w14:textId="280BD8A8" w:rsidR="00FC1B57" w:rsidRPr="00701F32" w:rsidRDefault="001B0EAA"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-58.009</w:t>
            </w:r>
          </w:p>
        </w:tc>
      </w:tr>
      <w:tr w:rsidR="00274DF6" w:rsidRPr="00701F32" w14:paraId="3DFC240A" w14:textId="77777777" w:rsidTr="00E311C9">
        <w:trPr>
          <w:trHeight w:val="281"/>
        </w:trPr>
        <w:tc>
          <w:tcPr>
            <w:tcW w:w="5065" w:type="dxa"/>
            <w:tcBorders>
              <w:top w:val="single" w:sz="4" w:space="0" w:color="auto"/>
              <w:left w:val="single" w:sz="4" w:space="0" w:color="auto"/>
              <w:bottom w:val="nil"/>
              <w:right w:val="nil"/>
            </w:tcBorders>
            <w:shd w:val="clear" w:color="auto" w:fill="auto"/>
            <w:vAlign w:val="center"/>
          </w:tcPr>
          <w:p w14:paraId="2B3DFE63" w14:textId="63A878A6" w:rsidR="00274DF6" w:rsidRPr="00701F32" w:rsidRDefault="00274DF6">
            <w:pPr>
              <w:jc w:val="both"/>
              <w:rPr>
                <w:rFonts w:ascii="Arial" w:hAnsi="Arial" w:cs="Arial"/>
                <w:bCs/>
                <w:color w:val="000000"/>
                <w:sz w:val="18"/>
                <w:szCs w:val="18"/>
                <w:lang w:eastAsia="es-AR"/>
              </w:rPr>
            </w:pPr>
            <w:r w:rsidRPr="00701F32">
              <w:rPr>
                <w:rFonts w:ascii="Arial" w:hAnsi="Arial" w:cs="Arial"/>
                <w:bCs/>
                <w:color w:val="000000"/>
                <w:sz w:val="18"/>
                <w:szCs w:val="18"/>
                <w:lang w:eastAsia="es-AR"/>
              </w:rPr>
              <w:t xml:space="preserve">Diferencia entre DDJJ y provisión del impuesto a las ganancias </w:t>
            </w:r>
          </w:p>
        </w:tc>
        <w:tc>
          <w:tcPr>
            <w:tcW w:w="1889" w:type="dxa"/>
            <w:tcBorders>
              <w:top w:val="single" w:sz="4" w:space="0" w:color="auto"/>
              <w:left w:val="single" w:sz="4" w:space="0" w:color="auto"/>
              <w:bottom w:val="nil"/>
              <w:right w:val="single" w:sz="4" w:space="0" w:color="auto"/>
            </w:tcBorders>
            <w:shd w:val="clear" w:color="auto" w:fill="auto"/>
            <w:vAlign w:val="bottom"/>
          </w:tcPr>
          <w:p w14:paraId="0454D8BC" w14:textId="183F7E1D" w:rsidR="00274DF6" w:rsidRPr="00701F32" w:rsidRDefault="00274DF6" w:rsidP="00AD40A3">
            <w:pPr>
              <w:jc w:val="right"/>
              <w:rPr>
                <w:rFonts w:ascii="Arial" w:hAnsi="Arial" w:cs="Arial"/>
                <w:bCs/>
                <w:color w:val="000000"/>
                <w:sz w:val="18"/>
                <w:szCs w:val="18"/>
                <w:lang w:eastAsia="es-AR"/>
              </w:rPr>
            </w:pPr>
            <w:r w:rsidRPr="00701F32">
              <w:rPr>
                <w:rFonts w:ascii="Arial" w:hAnsi="Arial" w:cs="Arial"/>
                <w:bCs/>
                <w:color w:val="000000"/>
                <w:sz w:val="18"/>
                <w:szCs w:val="18"/>
                <w:lang w:eastAsia="es-AR"/>
              </w:rPr>
              <w:t>14.973</w:t>
            </w:r>
          </w:p>
        </w:tc>
        <w:tc>
          <w:tcPr>
            <w:tcW w:w="1889" w:type="dxa"/>
            <w:tcBorders>
              <w:top w:val="single" w:sz="4" w:space="0" w:color="auto"/>
              <w:left w:val="nil"/>
              <w:bottom w:val="nil"/>
              <w:right w:val="single" w:sz="4" w:space="0" w:color="auto"/>
            </w:tcBorders>
            <w:shd w:val="clear" w:color="auto" w:fill="auto"/>
            <w:vAlign w:val="bottom"/>
          </w:tcPr>
          <w:p w14:paraId="460B63B0" w14:textId="5E51D111" w:rsidR="00274DF6" w:rsidRPr="00701F32" w:rsidRDefault="001B0EAA">
            <w:pPr>
              <w:jc w:val="right"/>
              <w:rPr>
                <w:rFonts w:ascii="Arial" w:hAnsi="Arial" w:cs="Arial"/>
                <w:bCs/>
                <w:color w:val="000000"/>
                <w:sz w:val="18"/>
                <w:szCs w:val="18"/>
                <w:lang w:eastAsia="es-AR"/>
              </w:rPr>
            </w:pPr>
            <w:r w:rsidRPr="00701F32">
              <w:rPr>
                <w:rFonts w:ascii="Arial" w:hAnsi="Arial" w:cs="Arial"/>
                <w:bCs/>
                <w:color w:val="000000"/>
                <w:sz w:val="18"/>
                <w:szCs w:val="18"/>
                <w:lang w:eastAsia="es-AR"/>
              </w:rPr>
              <w:t>-20.</w:t>
            </w:r>
            <w:r w:rsidR="002A5EEA" w:rsidRPr="00701F32">
              <w:rPr>
                <w:rFonts w:ascii="Arial" w:hAnsi="Arial" w:cs="Arial"/>
                <w:bCs/>
                <w:color w:val="000000"/>
                <w:sz w:val="18"/>
                <w:szCs w:val="18"/>
                <w:lang w:eastAsia="es-AR"/>
              </w:rPr>
              <w:t>432</w:t>
            </w:r>
          </w:p>
        </w:tc>
      </w:tr>
      <w:tr w:rsidR="00FC1B57" w:rsidRPr="00701F32" w14:paraId="184DDA73" w14:textId="77777777" w:rsidTr="00941382">
        <w:trPr>
          <w:trHeight w:val="281"/>
        </w:trPr>
        <w:tc>
          <w:tcPr>
            <w:tcW w:w="5065" w:type="dxa"/>
            <w:tcBorders>
              <w:top w:val="single" w:sz="4" w:space="0" w:color="auto"/>
              <w:left w:val="single" w:sz="4" w:space="0" w:color="auto"/>
              <w:bottom w:val="single" w:sz="4" w:space="0" w:color="auto"/>
              <w:right w:val="nil"/>
            </w:tcBorders>
            <w:shd w:val="clear" w:color="auto" w:fill="auto"/>
            <w:vAlign w:val="center"/>
            <w:hideMark/>
          </w:tcPr>
          <w:p w14:paraId="62AE3B12" w14:textId="77777777" w:rsidR="00FC1B57" w:rsidRPr="00701F32" w:rsidRDefault="00FC1B57">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Total cargo por impuesto a las ganancias del </w:t>
            </w:r>
            <w:r w:rsidR="00DC5D9C" w:rsidRPr="00701F32">
              <w:rPr>
                <w:rFonts w:ascii="Arial" w:hAnsi="Arial" w:cs="Arial"/>
                <w:b/>
                <w:bCs/>
                <w:color w:val="000000"/>
                <w:sz w:val="18"/>
                <w:szCs w:val="18"/>
                <w:lang w:eastAsia="es-AR"/>
              </w:rPr>
              <w:t>período</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14:paraId="511D081D" w14:textId="074056B6" w:rsidR="00FC1B57" w:rsidRPr="00701F32" w:rsidRDefault="00274DF6"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266.599</w:t>
            </w:r>
          </w:p>
        </w:tc>
        <w:tc>
          <w:tcPr>
            <w:tcW w:w="1889" w:type="dxa"/>
            <w:tcBorders>
              <w:top w:val="single" w:sz="4" w:space="0" w:color="auto"/>
              <w:left w:val="nil"/>
              <w:bottom w:val="single" w:sz="4" w:space="0" w:color="auto"/>
              <w:right w:val="single" w:sz="4" w:space="0" w:color="auto"/>
            </w:tcBorders>
            <w:shd w:val="clear" w:color="auto" w:fill="auto"/>
            <w:vAlign w:val="bottom"/>
          </w:tcPr>
          <w:p w14:paraId="61CD33EC" w14:textId="4F5CA743" w:rsidR="00FC1B57" w:rsidRPr="00701F32" w:rsidRDefault="001B0EAA"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325.298</w:t>
            </w:r>
          </w:p>
        </w:tc>
      </w:tr>
      <w:tr w:rsidR="00FC1B57" w:rsidRPr="00701F32" w14:paraId="4515DED9" w14:textId="77777777" w:rsidTr="00941382">
        <w:trPr>
          <w:trHeight w:val="281"/>
        </w:trPr>
        <w:tc>
          <w:tcPr>
            <w:tcW w:w="5065" w:type="dxa"/>
            <w:tcBorders>
              <w:top w:val="nil"/>
              <w:left w:val="single" w:sz="4" w:space="0" w:color="auto"/>
              <w:bottom w:val="nil"/>
              <w:right w:val="nil"/>
            </w:tcBorders>
            <w:shd w:val="clear" w:color="auto" w:fill="auto"/>
            <w:vAlign w:val="center"/>
            <w:hideMark/>
          </w:tcPr>
          <w:p w14:paraId="7DC22EF6" w14:textId="77777777" w:rsidR="00FC1B57" w:rsidRPr="00701F32" w:rsidRDefault="00FC1B57" w:rsidP="00AD40A3">
            <w:pPr>
              <w:jc w:val="both"/>
              <w:rPr>
                <w:rFonts w:ascii="Arial" w:hAnsi="Arial" w:cs="Arial"/>
                <w:bCs/>
                <w:color w:val="000000"/>
                <w:sz w:val="18"/>
                <w:szCs w:val="18"/>
                <w:lang w:eastAsia="es-AR"/>
              </w:rPr>
            </w:pPr>
            <w:r w:rsidRPr="00701F32">
              <w:rPr>
                <w:rFonts w:ascii="Arial" w:hAnsi="Arial" w:cs="Arial"/>
                <w:bCs/>
                <w:color w:val="000000"/>
                <w:sz w:val="18"/>
                <w:szCs w:val="18"/>
                <w:lang w:eastAsia="es-AR"/>
              </w:rPr>
              <w:t>-Diferencias temporarias a la tasa del impuesto</w:t>
            </w:r>
          </w:p>
        </w:tc>
        <w:tc>
          <w:tcPr>
            <w:tcW w:w="1889" w:type="dxa"/>
            <w:tcBorders>
              <w:top w:val="nil"/>
              <w:left w:val="single" w:sz="4" w:space="0" w:color="auto"/>
              <w:bottom w:val="nil"/>
              <w:right w:val="single" w:sz="4" w:space="0" w:color="auto"/>
            </w:tcBorders>
            <w:shd w:val="clear" w:color="auto" w:fill="auto"/>
            <w:vAlign w:val="bottom"/>
          </w:tcPr>
          <w:p w14:paraId="1D90949F" w14:textId="2F2D8C30" w:rsidR="00FC1B57" w:rsidRPr="00701F32" w:rsidRDefault="00274DF6"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-351.310</w:t>
            </w:r>
          </w:p>
        </w:tc>
        <w:tc>
          <w:tcPr>
            <w:tcW w:w="1889" w:type="dxa"/>
            <w:tcBorders>
              <w:top w:val="nil"/>
              <w:left w:val="nil"/>
              <w:bottom w:val="nil"/>
              <w:right w:val="single" w:sz="4" w:space="0" w:color="auto"/>
            </w:tcBorders>
            <w:shd w:val="clear" w:color="auto" w:fill="auto"/>
            <w:vAlign w:val="bottom"/>
          </w:tcPr>
          <w:p w14:paraId="4EA257FA" w14:textId="39C4B3B1" w:rsidR="00FC1B57" w:rsidRPr="00701F32" w:rsidRDefault="001B0EAA"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145.541</w:t>
            </w:r>
          </w:p>
        </w:tc>
      </w:tr>
      <w:tr w:rsidR="00920E6B" w:rsidRPr="00701F32" w14:paraId="0D409651" w14:textId="77777777" w:rsidTr="00393CEB">
        <w:trPr>
          <w:trHeight w:val="281"/>
        </w:trPr>
        <w:tc>
          <w:tcPr>
            <w:tcW w:w="5065" w:type="dxa"/>
            <w:tcBorders>
              <w:top w:val="nil"/>
              <w:left w:val="single" w:sz="4" w:space="0" w:color="auto"/>
              <w:bottom w:val="nil"/>
              <w:right w:val="nil"/>
            </w:tcBorders>
            <w:shd w:val="clear" w:color="auto" w:fill="auto"/>
            <w:vAlign w:val="center"/>
          </w:tcPr>
          <w:p w14:paraId="7312FA2E" w14:textId="77777777" w:rsidR="00920E6B" w:rsidRPr="00701F32" w:rsidRDefault="00920E6B" w:rsidP="00920E6B">
            <w:pPr>
              <w:ind w:left="5" w:hanging="5"/>
              <w:jc w:val="both"/>
              <w:rPr>
                <w:rFonts w:ascii="Arial" w:hAnsi="Arial" w:cs="Arial"/>
                <w:bCs/>
                <w:color w:val="000000"/>
                <w:sz w:val="18"/>
                <w:szCs w:val="18"/>
                <w:lang w:eastAsia="es-AR"/>
              </w:rPr>
            </w:pPr>
            <w:r w:rsidRPr="00701F32">
              <w:rPr>
                <w:rFonts w:ascii="Arial" w:hAnsi="Arial" w:cs="Arial"/>
                <w:bCs/>
                <w:color w:val="000000"/>
                <w:sz w:val="18"/>
                <w:szCs w:val="18"/>
                <w:lang w:eastAsia="es-AR"/>
              </w:rPr>
              <w:t>-Diferencia entre DDJJ y provisión del impuesto a las ganancias</w:t>
            </w:r>
          </w:p>
        </w:tc>
        <w:tc>
          <w:tcPr>
            <w:tcW w:w="1889" w:type="dxa"/>
            <w:tcBorders>
              <w:top w:val="nil"/>
              <w:left w:val="single" w:sz="4" w:space="0" w:color="auto"/>
              <w:bottom w:val="nil"/>
              <w:right w:val="single" w:sz="4" w:space="0" w:color="auto"/>
            </w:tcBorders>
            <w:shd w:val="clear" w:color="auto" w:fill="auto"/>
            <w:vAlign w:val="bottom"/>
          </w:tcPr>
          <w:p w14:paraId="3A149E43" w14:textId="0702EC77" w:rsidR="00920E6B" w:rsidRPr="00701F32" w:rsidRDefault="00274DF6"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-55.184</w:t>
            </w:r>
          </w:p>
        </w:tc>
        <w:tc>
          <w:tcPr>
            <w:tcW w:w="1889" w:type="dxa"/>
            <w:tcBorders>
              <w:top w:val="nil"/>
              <w:left w:val="nil"/>
              <w:bottom w:val="nil"/>
              <w:right w:val="single" w:sz="4" w:space="0" w:color="auto"/>
            </w:tcBorders>
            <w:shd w:val="clear" w:color="auto" w:fill="auto"/>
            <w:vAlign w:val="bottom"/>
          </w:tcPr>
          <w:p w14:paraId="44084B61" w14:textId="670CE77B" w:rsidR="00920E6B" w:rsidRPr="00701F32" w:rsidRDefault="001F1DF6" w:rsidP="00AD40A3">
            <w:pPr>
              <w:jc w:val="right"/>
              <w:rPr>
                <w:rFonts w:ascii="Arial" w:hAnsi="Arial" w:cs="Arial"/>
                <w:color w:val="000000"/>
                <w:sz w:val="18"/>
                <w:szCs w:val="18"/>
                <w:lang w:eastAsia="es-AR"/>
              </w:rPr>
            </w:pPr>
            <w:r w:rsidRPr="00701F32">
              <w:rPr>
                <w:rFonts w:ascii="Arial" w:hAnsi="Arial" w:cs="Arial"/>
                <w:color w:val="000000"/>
                <w:sz w:val="18"/>
                <w:szCs w:val="18"/>
                <w:lang w:eastAsia="es-AR"/>
              </w:rPr>
              <w:t>-</w:t>
            </w:r>
          </w:p>
        </w:tc>
      </w:tr>
      <w:tr w:rsidR="00FC1B57" w:rsidRPr="00701F32" w14:paraId="0F2AAF1A" w14:textId="77777777" w:rsidTr="00941382">
        <w:trPr>
          <w:trHeight w:val="281"/>
        </w:trPr>
        <w:tc>
          <w:tcPr>
            <w:tcW w:w="5065" w:type="dxa"/>
            <w:tcBorders>
              <w:top w:val="single" w:sz="4" w:space="0" w:color="auto"/>
              <w:left w:val="single" w:sz="4" w:space="0" w:color="auto"/>
              <w:bottom w:val="single" w:sz="4" w:space="0" w:color="auto"/>
              <w:right w:val="nil"/>
            </w:tcBorders>
            <w:shd w:val="clear" w:color="auto" w:fill="auto"/>
            <w:vAlign w:val="center"/>
            <w:hideMark/>
          </w:tcPr>
          <w:p w14:paraId="01D35F3F" w14:textId="77777777" w:rsidR="00FC1B57" w:rsidRPr="00701F32" w:rsidRDefault="00FC1B57" w:rsidP="00AD40A3">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Impuesto a las ganancias a pagar/ Quebranto</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14:paraId="24F9A1BF" w14:textId="7983E74E" w:rsidR="00FC1B57" w:rsidRPr="00701F32" w:rsidRDefault="00274DF6"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-139.895</w:t>
            </w:r>
          </w:p>
        </w:tc>
        <w:tc>
          <w:tcPr>
            <w:tcW w:w="1889" w:type="dxa"/>
            <w:tcBorders>
              <w:top w:val="single" w:sz="4" w:space="0" w:color="auto"/>
              <w:left w:val="nil"/>
              <w:bottom w:val="single" w:sz="4" w:space="0" w:color="auto"/>
              <w:right w:val="single" w:sz="4" w:space="0" w:color="auto"/>
            </w:tcBorders>
            <w:shd w:val="clear" w:color="auto" w:fill="auto"/>
            <w:vAlign w:val="bottom"/>
          </w:tcPr>
          <w:p w14:paraId="17BED629" w14:textId="6F99D1B7" w:rsidR="00FC1B57" w:rsidRPr="00701F32" w:rsidRDefault="001B0EAA">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470.839</w:t>
            </w:r>
          </w:p>
        </w:tc>
      </w:tr>
    </w:tbl>
    <w:p w14:paraId="7515D7BE" w14:textId="77777777" w:rsidR="001F1DF6" w:rsidRPr="00701F32" w:rsidRDefault="001F1DF6" w:rsidP="00A06BE9">
      <w:pPr>
        <w:spacing w:after="160" w:line="259" w:lineRule="auto"/>
        <w:jc w:val="both"/>
        <w:rPr>
          <w:rFonts w:ascii="Arial" w:eastAsia="Calibri" w:hAnsi="Arial" w:cs="Arial"/>
          <w:b/>
          <w:bCs/>
          <w:sz w:val="20"/>
        </w:rPr>
      </w:pPr>
    </w:p>
    <w:p w14:paraId="0C28C672" w14:textId="77777777" w:rsidR="00A06BE9" w:rsidRPr="00701F32" w:rsidRDefault="00A06BE9" w:rsidP="00A06BE9">
      <w:pPr>
        <w:spacing w:after="160" w:line="259" w:lineRule="auto"/>
        <w:jc w:val="both"/>
        <w:rPr>
          <w:rFonts w:ascii="Arial" w:eastAsia="Calibri" w:hAnsi="Arial" w:cs="Arial"/>
          <w:b/>
          <w:color w:val="943634"/>
          <w:sz w:val="20"/>
        </w:rPr>
      </w:pPr>
      <w:r w:rsidRPr="00701F32">
        <w:rPr>
          <w:rFonts w:ascii="Arial" w:eastAsia="Calibri" w:hAnsi="Arial" w:cs="Arial"/>
          <w:b/>
          <w:bCs/>
          <w:sz w:val="20"/>
        </w:rPr>
        <w:t xml:space="preserve">6. </w:t>
      </w:r>
      <w:r w:rsidR="00582EAB" w:rsidRPr="00701F32">
        <w:rPr>
          <w:rFonts w:ascii="Arial" w:eastAsia="Calibri" w:hAnsi="Arial" w:cs="Arial"/>
          <w:b/>
          <w:bCs/>
          <w:sz w:val="20"/>
        </w:rPr>
        <w:t>VALORES RAZONABLES</w:t>
      </w:r>
    </w:p>
    <w:p w14:paraId="1351CAE6"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El valor razonable es definido como el importe por el cual un activo podría ser intercambiado o un pasivo liquidado, en condiciones de independencia mutua entre participantes del mercado principal (o más ventajoso) correctamente informados y dispuestos a ello en una transacción ordenada y corriente,  a la fecha de medición en las condiciones actuales del mercado independientemente de si ese precio es directamente observable o estimado utilizando una técnica de valoración bajo el supuesto que la Entidad es una empresa en marcha .</w:t>
      </w:r>
    </w:p>
    <w:p w14:paraId="43E197F8" w14:textId="77777777" w:rsidR="00A06BE9" w:rsidRPr="00701F32" w:rsidRDefault="00A06BE9" w:rsidP="00A06B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408FEAB2" w14:textId="77777777" w:rsidR="00A06BE9" w:rsidRPr="00701F32" w:rsidRDefault="00A06BE9" w:rsidP="00A06BE9">
      <w:pPr>
        <w:spacing w:after="160" w:line="259" w:lineRule="auto"/>
        <w:jc w:val="both"/>
        <w:rPr>
          <w:rFonts w:ascii="Arial" w:hAnsi="Arial" w:cs="Arial"/>
          <w:sz w:val="20"/>
          <w:lang w:eastAsia="es-AR"/>
        </w:rPr>
      </w:pPr>
      <w:r w:rsidRPr="00701F32">
        <w:rPr>
          <w:rFonts w:ascii="Arial" w:hAnsi="Arial" w:cs="Arial"/>
          <w:sz w:val="20"/>
          <w:lang w:eastAsia="es-AR"/>
        </w:rPr>
        <w:t xml:space="preserve">Cuando un instrumento financiero es comercializado en un mercado líquido y activo, su precio negociado en el mercado en una transacción real brinda la mejor evidencia de su valor razonable. Cuando no se cuenta con el precio estipulado en el mercado o éste no puede ser un indicativo del valor razonable del instrumento, para determinar dicho valor razonable se puede utilizar el valor de mercado de otro instrumento de similares características, el análisis de flujos descontados u otras técnicas aplicables; las cuales se ven afectadas de manera significativa por los supuestos utilizados.   </w:t>
      </w:r>
    </w:p>
    <w:p w14:paraId="6C2B9431"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 xml:space="preserve">La Entidad clasifica los valores razonables de los instrumentos financieros en tres niveles, de acuerdo a la calidad de los datos utilizados para su determinación. </w:t>
      </w:r>
    </w:p>
    <w:p w14:paraId="5EE0FA5C" w14:textId="77777777" w:rsidR="00A06BE9" w:rsidRPr="00701F32" w:rsidRDefault="00A06BE9" w:rsidP="00A06BE9">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Valor Razonable Nivel 1: El</w:t>
      </w:r>
      <w:r w:rsidRPr="00701F32">
        <w:rPr>
          <w:rFonts w:ascii="Arial" w:eastAsia="Calibri" w:hAnsi="Arial" w:cs="Arial"/>
          <w:color w:val="000000"/>
          <w:sz w:val="20"/>
        </w:rPr>
        <w:t xml:space="preserve"> valor razonable de los instrumentos financieros negociados en mercados activos (como derivados negociados públicamente, inversiones negociables o disponibles para la venta) se basa en los precios de cotización de los mercados (sin ajustar) a la fecha del periodo de reporte. El precio de mercado utilizado en los activos financieros mantenidos por la Entidad es el precio de compra actual. Estos instrumentos se incluyen en el nivel 1. </w:t>
      </w:r>
    </w:p>
    <w:p w14:paraId="77F17E40" w14:textId="77777777" w:rsidR="00A06BE9" w:rsidRPr="00701F32" w:rsidRDefault="00A06BE9" w:rsidP="00A06BE9">
      <w:pPr>
        <w:autoSpaceDE w:val="0"/>
        <w:autoSpaceDN w:val="0"/>
        <w:adjustRightInd w:val="0"/>
        <w:jc w:val="both"/>
        <w:rPr>
          <w:rFonts w:ascii="Arial" w:eastAsia="Calibri" w:hAnsi="Arial" w:cs="Arial"/>
          <w:bCs/>
          <w:color w:val="000000"/>
          <w:sz w:val="20"/>
        </w:rPr>
      </w:pPr>
    </w:p>
    <w:p w14:paraId="06854D7F" w14:textId="77777777" w:rsidR="00A06BE9" w:rsidRPr="00701F32" w:rsidRDefault="00A06BE9" w:rsidP="00A06BE9">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2: </w:t>
      </w:r>
      <w:r w:rsidRPr="00701F32">
        <w:rPr>
          <w:rFonts w:ascii="Arial" w:eastAsia="Calibri" w:hAnsi="Arial" w:cs="Arial"/>
          <w:color w:val="000000"/>
          <w:sz w:val="20"/>
        </w:rPr>
        <w:t xml:space="preserve">El valor razonable de instrumentos financieros que no se negocian en mercados activos, por ejemplo, los derivados disponibles fuera de bolsa (over-the-counter), se determina utilizando técnicas de valuación que maximizan el uso de información observable y deposita la menor confianza posible en estimados específicos de la gerencia. Si todas las variables relevantes para establecer el valor razonable de un instrumento financiero son observables, el instrumento se incluye en el nivel 2. </w:t>
      </w:r>
    </w:p>
    <w:p w14:paraId="42FAB882" w14:textId="77777777" w:rsidR="00A06BE9" w:rsidRPr="00701F32" w:rsidRDefault="00A06BE9" w:rsidP="00A06BE9">
      <w:pPr>
        <w:autoSpaceDE w:val="0"/>
        <w:autoSpaceDN w:val="0"/>
        <w:adjustRightInd w:val="0"/>
        <w:jc w:val="both"/>
        <w:rPr>
          <w:rFonts w:ascii="Arial" w:eastAsia="Calibri" w:hAnsi="Arial" w:cs="Arial"/>
          <w:bCs/>
          <w:color w:val="000000"/>
          <w:sz w:val="20"/>
        </w:rPr>
      </w:pPr>
    </w:p>
    <w:p w14:paraId="278535FC" w14:textId="77777777" w:rsidR="00A06BE9" w:rsidRPr="00701F32" w:rsidRDefault="00A06BE9" w:rsidP="00A06BE9">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3: </w:t>
      </w:r>
      <w:r w:rsidRPr="00701F32">
        <w:rPr>
          <w:rFonts w:ascii="Arial" w:eastAsia="Calibri" w:hAnsi="Arial" w:cs="Arial"/>
          <w:color w:val="000000"/>
          <w:sz w:val="20"/>
        </w:rPr>
        <w:t xml:space="preserve">Si una o más variables relevantes no se basan en información observable de mercado, el instrumento se incluye en el nivel 3. </w:t>
      </w:r>
    </w:p>
    <w:p w14:paraId="0000546A" w14:textId="77777777" w:rsidR="00AF05CB" w:rsidRPr="00701F32" w:rsidRDefault="00AF05CB" w:rsidP="00A06BE9">
      <w:pPr>
        <w:autoSpaceDE w:val="0"/>
        <w:autoSpaceDN w:val="0"/>
        <w:adjustRightInd w:val="0"/>
        <w:jc w:val="both"/>
        <w:rPr>
          <w:rFonts w:ascii="Arial" w:eastAsia="Calibri" w:hAnsi="Arial" w:cs="Arial"/>
          <w:color w:val="000000"/>
          <w:sz w:val="20"/>
        </w:rPr>
      </w:pPr>
    </w:p>
    <w:p w14:paraId="6714B535" w14:textId="77777777" w:rsidR="00FD0DB2"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A continuación</w:t>
      </w:r>
      <w:r w:rsidR="00B30DEB" w:rsidRPr="00701F32">
        <w:rPr>
          <w:rFonts w:ascii="Arial" w:eastAsia="Calibri" w:hAnsi="Arial" w:cs="Arial"/>
          <w:bCs/>
          <w:sz w:val="20"/>
        </w:rPr>
        <w:t>,</w:t>
      </w:r>
      <w:r w:rsidRPr="00701F32">
        <w:rPr>
          <w:rFonts w:ascii="Arial" w:eastAsia="Calibri" w:hAnsi="Arial" w:cs="Arial"/>
          <w:bCs/>
          <w:sz w:val="20"/>
        </w:rPr>
        <w:t xml:space="preserve"> se detallan los instrumentos financieros registrados a valor razonable al cierre del período:</w:t>
      </w:r>
    </w:p>
    <w:tbl>
      <w:tblPr>
        <w:tblW w:w="4976" w:type="pct"/>
        <w:tblLayout w:type="fixed"/>
        <w:tblCellMar>
          <w:left w:w="70" w:type="dxa"/>
          <w:right w:w="70" w:type="dxa"/>
        </w:tblCellMar>
        <w:tblLook w:val="04A0" w:firstRow="1" w:lastRow="0" w:firstColumn="1" w:lastColumn="0" w:noHBand="0" w:noVBand="1"/>
      </w:tblPr>
      <w:tblGrid>
        <w:gridCol w:w="4353"/>
        <w:gridCol w:w="1201"/>
        <w:gridCol w:w="1202"/>
        <w:gridCol w:w="1070"/>
        <w:gridCol w:w="1200"/>
      </w:tblGrid>
      <w:tr w:rsidR="000336ED" w:rsidRPr="00701F32" w14:paraId="33EA460F" w14:textId="77777777" w:rsidTr="004437AA">
        <w:trPr>
          <w:trHeight w:val="240"/>
          <w:tblHeader/>
        </w:trPr>
        <w:tc>
          <w:tcPr>
            <w:tcW w:w="2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AD10" w14:textId="77777777" w:rsidR="00FD6B54" w:rsidRPr="00701F32" w:rsidRDefault="00FD0DB2">
            <w:pPr>
              <w:jc w:val="both"/>
              <w:rPr>
                <w:rFonts w:ascii="Arial" w:hAnsi="Arial" w:cs="Arial"/>
                <w:b/>
                <w:sz w:val="18"/>
                <w:lang w:eastAsia="es-AR"/>
              </w:rPr>
            </w:pPr>
            <w:r w:rsidRPr="00701F32">
              <w:rPr>
                <w:rFonts w:ascii="Arial" w:eastAsia="Calibri" w:hAnsi="Arial" w:cs="Arial"/>
                <w:bCs/>
                <w:sz w:val="20"/>
              </w:rPr>
              <w:br w:type="page"/>
            </w:r>
            <w:r w:rsidR="00B225FD" w:rsidRPr="00701F32">
              <w:rPr>
                <w:rFonts w:ascii="Arial" w:hAnsi="Arial" w:cs="Arial"/>
                <w:b/>
                <w:sz w:val="18"/>
                <w:lang w:eastAsia="es-AR"/>
              </w:rPr>
              <w:t>Cartera de instrumentos al 30/0</w:t>
            </w:r>
            <w:r w:rsidR="00B848DD" w:rsidRPr="00701F32">
              <w:rPr>
                <w:rFonts w:ascii="Arial" w:hAnsi="Arial" w:cs="Arial"/>
                <w:b/>
                <w:sz w:val="18"/>
                <w:lang w:eastAsia="es-AR"/>
              </w:rPr>
              <w:t>9</w:t>
            </w:r>
            <w:r w:rsidR="00B225FD" w:rsidRPr="00701F32">
              <w:rPr>
                <w:rFonts w:ascii="Arial" w:hAnsi="Arial" w:cs="Arial"/>
                <w:b/>
                <w:sz w:val="18"/>
                <w:lang w:eastAsia="es-AR"/>
              </w:rPr>
              <w:t>/2018</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14:paraId="50940D7D" w14:textId="77777777" w:rsidR="00FC1B57" w:rsidRPr="00701F32" w:rsidRDefault="00B225FD" w:rsidP="00712ADC">
            <w:pPr>
              <w:jc w:val="center"/>
              <w:rPr>
                <w:rFonts w:ascii="Arial" w:hAnsi="Arial" w:cs="Arial"/>
                <w:b/>
                <w:sz w:val="18"/>
                <w:lang w:eastAsia="es-AR"/>
              </w:rPr>
            </w:pPr>
            <w:r w:rsidRPr="00701F32">
              <w:rPr>
                <w:rFonts w:ascii="Arial" w:hAnsi="Arial" w:cs="Arial"/>
                <w:b/>
                <w:sz w:val="18"/>
                <w:lang w:eastAsia="es-AR"/>
              </w:rPr>
              <w:t>VR nivel 1</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5AD6439C" w14:textId="77777777" w:rsidR="00FC1B57" w:rsidRPr="00701F32" w:rsidRDefault="00B225FD" w:rsidP="00712ADC">
            <w:pPr>
              <w:jc w:val="center"/>
              <w:rPr>
                <w:rFonts w:ascii="Arial" w:hAnsi="Arial" w:cs="Arial"/>
                <w:b/>
                <w:sz w:val="18"/>
                <w:lang w:eastAsia="es-AR"/>
              </w:rPr>
            </w:pPr>
            <w:r w:rsidRPr="00701F32">
              <w:rPr>
                <w:rFonts w:ascii="Arial" w:hAnsi="Arial" w:cs="Arial"/>
                <w:b/>
                <w:sz w:val="18"/>
                <w:lang w:eastAsia="es-AR"/>
              </w:rPr>
              <w:t>VR nivel 2</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14:paraId="68EC9149" w14:textId="77777777" w:rsidR="00FC1B57" w:rsidRPr="00701F32" w:rsidRDefault="00B225FD" w:rsidP="00712ADC">
            <w:pPr>
              <w:jc w:val="center"/>
              <w:rPr>
                <w:rFonts w:ascii="Arial" w:hAnsi="Arial" w:cs="Arial"/>
                <w:b/>
                <w:sz w:val="18"/>
                <w:lang w:eastAsia="es-AR"/>
              </w:rPr>
            </w:pPr>
            <w:r w:rsidRPr="00701F32">
              <w:rPr>
                <w:rFonts w:ascii="Arial" w:hAnsi="Arial" w:cs="Arial"/>
                <w:b/>
                <w:sz w:val="18"/>
                <w:lang w:eastAsia="es-AR"/>
              </w:rPr>
              <w:t>VR nivel 3</w:t>
            </w:r>
          </w:p>
        </w:tc>
        <w:tc>
          <w:tcPr>
            <w:tcW w:w="665" w:type="pct"/>
            <w:tcBorders>
              <w:top w:val="single" w:sz="4" w:space="0" w:color="auto"/>
              <w:left w:val="nil"/>
              <w:bottom w:val="single" w:sz="4" w:space="0" w:color="auto"/>
              <w:right w:val="single" w:sz="4" w:space="0" w:color="auto"/>
            </w:tcBorders>
            <w:vAlign w:val="center"/>
          </w:tcPr>
          <w:p w14:paraId="568E80A6" w14:textId="77777777" w:rsidR="00FC1B57" w:rsidRPr="00701F32" w:rsidRDefault="00B225FD">
            <w:pPr>
              <w:jc w:val="center"/>
              <w:rPr>
                <w:rFonts w:ascii="Arial" w:hAnsi="Arial" w:cs="Arial"/>
                <w:b/>
                <w:sz w:val="18"/>
                <w:lang w:eastAsia="es-AR"/>
              </w:rPr>
            </w:pPr>
            <w:r w:rsidRPr="00701F32">
              <w:rPr>
                <w:rFonts w:ascii="Arial" w:hAnsi="Arial" w:cs="Arial"/>
                <w:b/>
                <w:sz w:val="18"/>
                <w:lang w:eastAsia="es-AR"/>
              </w:rPr>
              <w:t>Total</w:t>
            </w:r>
          </w:p>
        </w:tc>
      </w:tr>
      <w:tr w:rsidR="000336ED" w:rsidRPr="00701F32" w14:paraId="300D1E6B"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3D8E7A8D" w14:textId="77777777" w:rsidR="00FC1B57" w:rsidRPr="00701F32" w:rsidRDefault="00FC1B57" w:rsidP="00464C0F">
            <w:pPr>
              <w:jc w:val="both"/>
              <w:rPr>
                <w:rFonts w:ascii="Arial" w:hAnsi="Arial" w:cs="Arial"/>
                <w:b/>
                <w:bCs/>
                <w:sz w:val="18"/>
                <w:lang w:eastAsia="es-AR"/>
              </w:rPr>
            </w:pPr>
            <w:r w:rsidRPr="00701F32">
              <w:rPr>
                <w:rFonts w:ascii="Arial" w:hAnsi="Arial" w:cs="Arial"/>
                <w:b/>
                <w:bCs/>
                <w:sz w:val="18"/>
                <w:lang w:eastAsia="es-AR"/>
              </w:rPr>
              <w:t>Activos</w:t>
            </w:r>
          </w:p>
        </w:tc>
        <w:tc>
          <w:tcPr>
            <w:tcW w:w="665" w:type="pct"/>
            <w:tcBorders>
              <w:top w:val="nil"/>
              <w:left w:val="nil"/>
              <w:bottom w:val="single" w:sz="4" w:space="0" w:color="auto"/>
              <w:right w:val="single" w:sz="4" w:space="0" w:color="auto"/>
            </w:tcBorders>
            <w:shd w:val="clear" w:color="auto" w:fill="auto"/>
            <w:noWrap/>
            <w:vAlign w:val="bottom"/>
            <w:hideMark/>
          </w:tcPr>
          <w:p w14:paraId="1E00498B" w14:textId="77777777" w:rsidR="00FC1B57" w:rsidRPr="00701F32" w:rsidRDefault="00FC1B57" w:rsidP="0086282C">
            <w:pPr>
              <w:jc w:val="right"/>
              <w:rPr>
                <w:rFonts w:ascii="Arial" w:hAnsi="Arial" w:cs="Arial"/>
                <w:b/>
                <w:bCs/>
                <w:sz w:val="18"/>
                <w:lang w:val="es-ES_tradnl" w:eastAsia="es-AR"/>
              </w:rPr>
            </w:pPr>
            <w:r w:rsidRPr="00701F32">
              <w:rPr>
                <w:rFonts w:ascii="Arial" w:hAnsi="Arial" w:cs="Arial"/>
                <w:b/>
                <w:bCs/>
                <w:sz w:val="18"/>
                <w:lang w:eastAsia="es-AR"/>
              </w:rPr>
              <w:t> </w:t>
            </w:r>
          </w:p>
        </w:tc>
        <w:tc>
          <w:tcPr>
            <w:tcW w:w="666" w:type="pct"/>
            <w:tcBorders>
              <w:top w:val="nil"/>
              <w:left w:val="nil"/>
              <w:bottom w:val="single" w:sz="4" w:space="0" w:color="auto"/>
              <w:right w:val="single" w:sz="4" w:space="0" w:color="auto"/>
            </w:tcBorders>
            <w:shd w:val="clear" w:color="auto" w:fill="auto"/>
            <w:noWrap/>
            <w:vAlign w:val="bottom"/>
            <w:hideMark/>
          </w:tcPr>
          <w:p w14:paraId="0C121691" w14:textId="77777777" w:rsidR="00FC1B57" w:rsidRPr="00701F32" w:rsidRDefault="00FC1B57" w:rsidP="0086282C">
            <w:pPr>
              <w:jc w:val="right"/>
              <w:rPr>
                <w:rFonts w:ascii="Arial" w:hAnsi="Arial" w:cs="Arial"/>
                <w:b/>
                <w:bCs/>
                <w:sz w:val="18"/>
                <w:lang w:val="es-ES_tradnl" w:eastAsia="es-AR"/>
              </w:rPr>
            </w:pPr>
            <w:r w:rsidRPr="00701F32">
              <w:rPr>
                <w:rFonts w:ascii="Arial" w:hAnsi="Arial" w:cs="Arial"/>
                <w:b/>
                <w:bCs/>
                <w:sz w:val="18"/>
                <w:lang w:eastAsia="es-AR"/>
              </w:rPr>
              <w:t> </w:t>
            </w:r>
          </w:p>
        </w:tc>
        <w:tc>
          <w:tcPr>
            <w:tcW w:w="593" w:type="pct"/>
            <w:tcBorders>
              <w:top w:val="nil"/>
              <w:left w:val="nil"/>
              <w:bottom w:val="single" w:sz="4" w:space="0" w:color="auto"/>
              <w:right w:val="single" w:sz="4" w:space="0" w:color="auto"/>
            </w:tcBorders>
            <w:shd w:val="clear" w:color="auto" w:fill="auto"/>
            <w:noWrap/>
            <w:vAlign w:val="bottom"/>
            <w:hideMark/>
          </w:tcPr>
          <w:p w14:paraId="2CF86D94" w14:textId="77777777" w:rsidR="00FC1B57" w:rsidRPr="00701F32" w:rsidRDefault="00FC1B57" w:rsidP="0086282C">
            <w:pPr>
              <w:jc w:val="right"/>
              <w:rPr>
                <w:rFonts w:ascii="Arial" w:hAnsi="Arial" w:cs="Arial"/>
                <w:b/>
                <w:bCs/>
                <w:sz w:val="18"/>
                <w:lang w:val="es-ES_tradnl" w:eastAsia="es-AR"/>
              </w:rPr>
            </w:pPr>
            <w:r w:rsidRPr="00701F32">
              <w:rPr>
                <w:rFonts w:ascii="Arial" w:hAnsi="Arial" w:cs="Arial"/>
                <w:b/>
                <w:bCs/>
                <w:sz w:val="18"/>
                <w:lang w:eastAsia="es-AR"/>
              </w:rPr>
              <w:t> </w:t>
            </w:r>
          </w:p>
        </w:tc>
        <w:tc>
          <w:tcPr>
            <w:tcW w:w="665" w:type="pct"/>
            <w:tcBorders>
              <w:top w:val="nil"/>
              <w:left w:val="nil"/>
              <w:bottom w:val="single" w:sz="4" w:space="0" w:color="auto"/>
              <w:right w:val="single" w:sz="4" w:space="0" w:color="auto"/>
            </w:tcBorders>
            <w:vAlign w:val="bottom"/>
          </w:tcPr>
          <w:p w14:paraId="51908362" w14:textId="77777777" w:rsidR="00FC1B57" w:rsidRPr="00701F32" w:rsidRDefault="00FC1B57" w:rsidP="0086282C">
            <w:pPr>
              <w:jc w:val="right"/>
              <w:rPr>
                <w:rFonts w:ascii="Arial" w:hAnsi="Arial" w:cs="Arial"/>
                <w:b/>
                <w:bCs/>
                <w:sz w:val="18"/>
                <w:lang w:eastAsia="es-AR"/>
              </w:rPr>
            </w:pPr>
          </w:p>
        </w:tc>
      </w:tr>
      <w:tr w:rsidR="000336ED" w:rsidRPr="00701F32" w14:paraId="23A2DA5C"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0254C438"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Títulos de Deuda a Valor Razonable con Cambio en Resultados</w:t>
            </w:r>
          </w:p>
        </w:tc>
        <w:tc>
          <w:tcPr>
            <w:tcW w:w="665" w:type="pct"/>
            <w:tcBorders>
              <w:top w:val="nil"/>
              <w:left w:val="nil"/>
              <w:bottom w:val="single" w:sz="4" w:space="0" w:color="auto"/>
              <w:right w:val="single" w:sz="4" w:space="0" w:color="auto"/>
            </w:tcBorders>
            <w:shd w:val="clear" w:color="auto" w:fill="auto"/>
            <w:noWrap/>
            <w:vAlign w:val="center"/>
            <w:hideMark/>
          </w:tcPr>
          <w:p w14:paraId="08F8478D" w14:textId="2DCAC6F7" w:rsidR="00FD6B54" w:rsidRPr="00701F32" w:rsidRDefault="00CD4C53">
            <w:pPr>
              <w:jc w:val="right"/>
              <w:rPr>
                <w:rFonts w:ascii="Arial" w:hAnsi="Arial" w:cs="Arial"/>
                <w:sz w:val="18"/>
                <w:lang w:eastAsia="es-AR"/>
              </w:rPr>
            </w:pPr>
            <w:r w:rsidRPr="00701F32">
              <w:rPr>
                <w:rFonts w:ascii="Arial" w:eastAsia="Calibri" w:hAnsi="Arial" w:cs="Arial"/>
                <w:color w:val="000000"/>
                <w:sz w:val="18"/>
              </w:rPr>
              <w:t>1.102.454</w:t>
            </w:r>
          </w:p>
        </w:tc>
        <w:tc>
          <w:tcPr>
            <w:tcW w:w="666" w:type="pct"/>
            <w:tcBorders>
              <w:top w:val="nil"/>
              <w:left w:val="nil"/>
              <w:bottom w:val="single" w:sz="4" w:space="0" w:color="auto"/>
              <w:right w:val="single" w:sz="4" w:space="0" w:color="auto"/>
            </w:tcBorders>
            <w:shd w:val="clear" w:color="auto" w:fill="auto"/>
            <w:noWrap/>
            <w:vAlign w:val="center"/>
            <w:hideMark/>
          </w:tcPr>
          <w:p w14:paraId="37DDB056" w14:textId="461DE9F4"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12.431.253</w:t>
            </w:r>
          </w:p>
        </w:tc>
        <w:tc>
          <w:tcPr>
            <w:tcW w:w="593" w:type="pct"/>
            <w:tcBorders>
              <w:top w:val="nil"/>
              <w:left w:val="nil"/>
              <w:bottom w:val="single" w:sz="4" w:space="0" w:color="auto"/>
              <w:right w:val="single" w:sz="4" w:space="0" w:color="auto"/>
            </w:tcBorders>
            <w:shd w:val="clear" w:color="auto" w:fill="auto"/>
            <w:noWrap/>
            <w:vAlign w:val="center"/>
            <w:hideMark/>
          </w:tcPr>
          <w:p w14:paraId="4EC2A1FB"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1BCD076E" w14:textId="48AF119E"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13.533.707</w:t>
            </w:r>
          </w:p>
        </w:tc>
      </w:tr>
      <w:tr w:rsidR="000336ED" w:rsidRPr="00701F32" w14:paraId="4AE9FEFB"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399FB544"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Instrumentos Derivados</w:t>
            </w:r>
          </w:p>
        </w:tc>
        <w:tc>
          <w:tcPr>
            <w:tcW w:w="665" w:type="pct"/>
            <w:tcBorders>
              <w:top w:val="nil"/>
              <w:left w:val="nil"/>
              <w:bottom w:val="single" w:sz="4" w:space="0" w:color="auto"/>
              <w:right w:val="single" w:sz="4" w:space="0" w:color="auto"/>
            </w:tcBorders>
            <w:shd w:val="clear" w:color="auto" w:fill="auto"/>
            <w:noWrap/>
            <w:vAlign w:val="center"/>
            <w:hideMark/>
          </w:tcPr>
          <w:p w14:paraId="3EF9D43C" w14:textId="7F43B908"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196.638</w:t>
            </w:r>
          </w:p>
        </w:tc>
        <w:tc>
          <w:tcPr>
            <w:tcW w:w="666" w:type="pct"/>
            <w:tcBorders>
              <w:top w:val="nil"/>
              <w:left w:val="nil"/>
              <w:bottom w:val="single" w:sz="4" w:space="0" w:color="auto"/>
              <w:right w:val="single" w:sz="4" w:space="0" w:color="auto"/>
            </w:tcBorders>
            <w:shd w:val="clear" w:color="auto" w:fill="auto"/>
            <w:noWrap/>
            <w:vAlign w:val="center"/>
            <w:hideMark/>
          </w:tcPr>
          <w:p w14:paraId="114FD62B"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center"/>
            <w:hideMark/>
          </w:tcPr>
          <w:p w14:paraId="3ED7F754"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7E3824D5" w14:textId="641E518E"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196.638</w:t>
            </w:r>
          </w:p>
        </w:tc>
      </w:tr>
      <w:tr w:rsidR="000336ED" w:rsidRPr="00701F32" w14:paraId="107F4F8C"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0DE7C9EA"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Otros Activos Financieros</w:t>
            </w:r>
          </w:p>
        </w:tc>
        <w:tc>
          <w:tcPr>
            <w:tcW w:w="665" w:type="pct"/>
            <w:tcBorders>
              <w:top w:val="nil"/>
              <w:left w:val="nil"/>
              <w:bottom w:val="single" w:sz="4" w:space="0" w:color="auto"/>
              <w:right w:val="single" w:sz="4" w:space="0" w:color="auto"/>
            </w:tcBorders>
            <w:shd w:val="clear" w:color="auto" w:fill="auto"/>
            <w:noWrap/>
            <w:vAlign w:val="center"/>
            <w:hideMark/>
          </w:tcPr>
          <w:p w14:paraId="1039CA9C" w14:textId="7A2B92EB"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w:t>
            </w:r>
            <w:r w:rsidR="005F4FB8" w:rsidRPr="00701F32">
              <w:rPr>
                <w:rFonts w:ascii="Arial" w:eastAsia="Calibri" w:hAnsi="Arial" w:cs="Arial"/>
                <w:color w:val="000000"/>
                <w:sz w:val="18"/>
              </w:rPr>
              <w:t xml:space="preserve"> </w:t>
            </w:r>
            <w:r w:rsidR="00CD4C53" w:rsidRPr="00701F32">
              <w:rPr>
                <w:rFonts w:ascii="Arial" w:eastAsia="Calibri" w:hAnsi="Arial" w:cs="Arial"/>
                <w:color w:val="000000"/>
                <w:sz w:val="18"/>
              </w:rPr>
              <w:t xml:space="preserve"> 56.907</w:t>
            </w:r>
          </w:p>
        </w:tc>
        <w:tc>
          <w:tcPr>
            <w:tcW w:w="666" w:type="pct"/>
            <w:tcBorders>
              <w:top w:val="nil"/>
              <w:left w:val="nil"/>
              <w:bottom w:val="single" w:sz="4" w:space="0" w:color="auto"/>
              <w:right w:val="single" w:sz="4" w:space="0" w:color="auto"/>
            </w:tcBorders>
            <w:shd w:val="clear" w:color="auto" w:fill="auto"/>
            <w:noWrap/>
            <w:vAlign w:val="center"/>
            <w:hideMark/>
          </w:tcPr>
          <w:p w14:paraId="141E89C8"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center"/>
            <w:hideMark/>
          </w:tcPr>
          <w:p w14:paraId="72987F97"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5F63BE10" w14:textId="74B03582"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56.907</w:t>
            </w:r>
          </w:p>
        </w:tc>
      </w:tr>
      <w:tr w:rsidR="000336ED" w:rsidRPr="00701F32" w14:paraId="6E9AEA25"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F1B5844"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Otros Títulos de Deuda</w:t>
            </w:r>
          </w:p>
        </w:tc>
        <w:tc>
          <w:tcPr>
            <w:tcW w:w="665" w:type="pct"/>
            <w:tcBorders>
              <w:top w:val="nil"/>
              <w:left w:val="nil"/>
              <w:bottom w:val="single" w:sz="4" w:space="0" w:color="auto"/>
              <w:right w:val="single" w:sz="4" w:space="0" w:color="auto"/>
            </w:tcBorders>
            <w:shd w:val="clear" w:color="auto" w:fill="auto"/>
            <w:noWrap/>
            <w:vAlign w:val="center"/>
            <w:hideMark/>
          </w:tcPr>
          <w:p w14:paraId="57162190"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32 </w:t>
            </w:r>
          </w:p>
        </w:tc>
        <w:tc>
          <w:tcPr>
            <w:tcW w:w="666" w:type="pct"/>
            <w:tcBorders>
              <w:top w:val="nil"/>
              <w:left w:val="nil"/>
              <w:bottom w:val="single" w:sz="4" w:space="0" w:color="auto"/>
              <w:right w:val="single" w:sz="4" w:space="0" w:color="auto"/>
            </w:tcBorders>
            <w:shd w:val="clear" w:color="auto" w:fill="auto"/>
            <w:noWrap/>
            <w:vAlign w:val="center"/>
            <w:hideMark/>
          </w:tcPr>
          <w:p w14:paraId="07126AB5"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center"/>
            <w:hideMark/>
          </w:tcPr>
          <w:p w14:paraId="6894499D"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1BD8FE27" w14:textId="77777777" w:rsidR="00FC1B57" w:rsidRPr="00701F32" w:rsidRDefault="00FC1B57">
            <w:pPr>
              <w:jc w:val="right"/>
              <w:rPr>
                <w:rFonts w:ascii="Arial" w:eastAsia="Calibri" w:hAnsi="Arial" w:cs="Arial"/>
                <w:color w:val="000000"/>
                <w:sz w:val="18"/>
              </w:rPr>
            </w:pPr>
            <w:r w:rsidRPr="00701F32">
              <w:rPr>
                <w:rFonts w:ascii="Arial" w:eastAsia="Calibri" w:hAnsi="Arial" w:cs="Arial"/>
                <w:color w:val="000000"/>
                <w:sz w:val="18"/>
              </w:rPr>
              <w:t>32</w:t>
            </w:r>
          </w:p>
        </w:tc>
      </w:tr>
      <w:tr w:rsidR="000336ED" w:rsidRPr="00701F32" w14:paraId="6822DB3C"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48156E53"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Activos Financieros entregados en Garantía</w:t>
            </w:r>
          </w:p>
        </w:tc>
        <w:tc>
          <w:tcPr>
            <w:tcW w:w="665" w:type="pct"/>
            <w:tcBorders>
              <w:top w:val="nil"/>
              <w:left w:val="nil"/>
              <w:bottom w:val="single" w:sz="4" w:space="0" w:color="auto"/>
              <w:right w:val="single" w:sz="4" w:space="0" w:color="auto"/>
            </w:tcBorders>
            <w:shd w:val="clear" w:color="auto" w:fill="auto"/>
            <w:noWrap/>
            <w:vAlign w:val="center"/>
            <w:hideMark/>
          </w:tcPr>
          <w:p w14:paraId="79363ABE" w14:textId="060BB7B7"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2.542.037</w:t>
            </w:r>
          </w:p>
        </w:tc>
        <w:tc>
          <w:tcPr>
            <w:tcW w:w="666" w:type="pct"/>
            <w:tcBorders>
              <w:top w:val="nil"/>
              <w:left w:val="nil"/>
              <w:bottom w:val="single" w:sz="4" w:space="0" w:color="auto"/>
              <w:right w:val="single" w:sz="4" w:space="0" w:color="auto"/>
            </w:tcBorders>
            <w:shd w:val="clear" w:color="auto" w:fill="auto"/>
            <w:noWrap/>
            <w:vAlign w:val="center"/>
            <w:hideMark/>
          </w:tcPr>
          <w:p w14:paraId="30788E00"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center"/>
            <w:hideMark/>
          </w:tcPr>
          <w:p w14:paraId="1BEC5CF6"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55B6FD5E" w14:textId="0A939E7B"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2.542.037</w:t>
            </w:r>
          </w:p>
        </w:tc>
      </w:tr>
      <w:tr w:rsidR="000336ED" w:rsidRPr="00701F32" w14:paraId="6B674D95"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1C416FB4"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 Inversiones en instrumentos de patrimonio</w:t>
            </w:r>
          </w:p>
        </w:tc>
        <w:tc>
          <w:tcPr>
            <w:tcW w:w="665" w:type="pct"/>
            <w:tcBorders>
              <w:top w:val="nil"/>
              <w:left w:val="nil"/>
              <w:bottom w:val="single" w:sz="4" w:space="0" w:color="auto"/>
              <w:right w:val="single" w:sz="4" w:space="0" w:color="auto"/>
            </w:tcBorders>
            <w:shd w:val="clear" w:color="auto" w:fill="auto"/>
            <w:noWrap/>
            <w:vAlign w:val="center"/>
            <w:hideMark/>
          </w:tcPr>
          <w:p w14:paraId="15671D3E" w14:textId="5C339499"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79</w:t>
            </w:r>
          </w:p>
        </w:tc>
        <w:tc>
          <w:tcPr>
            <w:tcW w:w="666" w:type="pct"/>
            <w:tcBorders>
              <w:top w:val="nil"/>
              <w:left w:val="nil"/>
              <w:bottom w:val="single" w:sz="4" w:space="0" w:color="auto"/>
              <w:right w:val="single" w:sz="4" w:space="0" w:color="auto"/>
            </w:tcBorders>
            <w:shd w:val="clear" w:color="auto" w:fill="auto"/>
            <w:noWrap/>
            <w:vAlign w:val="center"/>
            <w:hideMark/>
          </w:tcPr>
          <w:p w14:paraId="2FD986A0"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w:t>
            </w:r>
            <w:r w:rsidR="007215C9" w:rsidRPr="00701F32">
              <w:rPr>
                <w:rFonts w:ascii="Arial" w:eastAsia="Calibri" w:hAnsi="Arial" w:cs="Arial"/>
                <w:color w:val="000000"/>
                <w:sz w:val="18"/>
              </w:rPr>
              <w:t xml:space="preserve">8.299   </w:t>
            </w:r>
          </w:p>
        </w:tc>
        <w:tc>
          <w:tcPr>
            <w:tcW w:w="593" w:type="pct"/>
            <w:tcBorders>
              <w:top w:val="nil"/>
              <w:left w:val="nil"/>
              <w:bottom w:val="single" w:sz="4" w:space="0" w:color="auto"/>
              <w:right w:val="single" w:sz="4" w:space="0" w:color="auto"/>
            </w:tcBorders>
            <w:shd w:val="clear" w:color="auto" w:fill="auto"/>
            <w:noWrap/>
            <w:vAlign w:val="center"/>
            <w:hideMark/>
          </w:tcPr>
          <w:p w14:paraId="470E7D52"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center"/>
          </w:tcPr>
          <w:p w14:paraId="11EA7A6C" w14:textId="41D88919"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8.378</w:t>
            </w:r>
          </w:p>
        </w:tc>
      </w:tr>
      <w:tr w:rsidR="000336ED" w:rsidRPr="00701F32" w14:paraId="1DC0403E"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tcPr>
          <w:p w14:paraId="751850DA" w14:textId="77777777" w:rsidR="00FC1B57" w:rsidRPr="00701F32" w:rsidRDefault="00FC1B57" w:rsidP="001C1703">
            <w:pPr>
              <w:jc w:val="both"/>
              <w:rPr>
                <w:rFonts w:ascii="Arial" w:hAnsi="Arial" w:cs="Arial"/>
                <w:b/>
                <w:bCs/>
                <w:sz w:val="18"/>
                <w:lang w:eastAsia="es-AR"/>
              </w:rPr>
            </w:pPr>
            <w:r w:rsidRPr="00701F32">
              <w:rPr>
                <w:rFonts w:ascii="Arial" w:hAnsi="Arial" w:cs="Arial"/>
                <w:b/>
                <w:bCs/>
                <w:sz w:val="18"/>
                <w:lang w:eastAsia="es-AR"/>
              </w:rPr>
              <w:t>Total Activos</w:t>
            </w:r>
          </w:p>
        </w:tc>
        <w:tc>
          <w:tcPr>
            <w:tcW w:w="665" w:type="pct"/>
            <w:tcBorders>
              <w:top w:val="nil"/>
              <w:left w:val="nil"/>
              <w:bottom w:val="single" w:sz="4" w:space="0" w:color="auto"/>
              <w:right w:val="single" w:sz="4" w:space="0" w:color="auto"/>
            </w:tcBorders>
            <w:shd w:val="clear" w:color="auto" w:fill="auto"/>
            <w:noWrap/>
            <w:vAlign w:val="center"/>
          </w:tcPr>
          <w:p w14:paraId="40E2A19F" w14:textId="2ED5EE10" w:rsidR="00FC1B57" w:rsidRPr="00701F32" w:rsidRDefault="00CD4C53">
            <w:pPr>
              <w:jc w:val="right"/>
              <w:rPr>
                <w:rFonts w:ascii="Arial" w:eastAsia="Calibri" w:hAnsi="Arial" w:cs="Arial"/>
                <w:b/>
                <w:color w:val="000000"/>
                <w:sz w:val="18"/>
              </w:rPr>
            </w:pPr>
            <w:r w:rsidRPr="00701F32">
              <w:rPr>
                <w:rFonts w:ascii="Arial" w:eastAsia="Calibri" w:hAnsi="Arial" w:cs="Arial"/>
                <w:b/>
                <w:color w:val="000000"/>
                <w:sz w:val="18"/>
              </w:rPr>
              <w:t>3.898.147</w:t>
            </w:r>
          </w:p>
        </w:tc>
        <w:tc>
          <w:tcPr>
            <w:tcW w:w="666" w:type="pct"/>
            <w:tcBorders>
              <w:top w:val="nil"/>
              <w:left w:val="nil"/>
              <w:bottom w:val="single" w:sz="4" w:space="0" w:color="auto"/>
              <w:right w:val="single" w:sz="4" w:space="0" w:color="auto"/>
            </w:tcBorders>
            <w:shd w:val="clear" w:color="auto" w:fill="auto"/>
            <w:noWrap/>
            <w:vAlign w:val="center"/>
          </w:tcPr>
          <w:p w14:paraId="515F364A" w14:textId="601A9E6C" w:rsidR="00FC1B57" w:rsidRPr="00701F32" w:rsidRDefault="00CD4C53">
            <w:pPr>
              <w:jc w:val="right"/>
              <w:rPr>
                <w:rFonts w:ascii="Arial" w:eastAsia="Calibri" w:hAnsi="Arial" w:cs="Arial"/>
                <w:b/>
                <w:color w:val="000000"/>
                <w:sz w:val="18"/>
              </w:rPr>
            </w:pPr>
            <w:r w:rsidRPr="00701F32">
              <w:rPr>
                <w:rFonts w:ascii="Arial" w:eastAsia="Calibri" w:hAnsi="Arial" w:cs="Arial"/>
                <w:b/>
                <w:color w:val="000000"/>
                <w:sz w:val="18"/>
              </w:rPr>
              <w:t>12.439.552</w:t>
            </w:r>
          </w:p>
        </w:tc>
        <w:tc>
          <w:tcPr>
            <w:tcW w:w="593" w:type="pct"/>
            <w:tcBorders>
              <w:top w:val="nil"/>
              <w:left w:val="nil"/>
              <w:bottom w:val="single" w:sz="4" w:space="0" w:color="auto"/>
              <w:right w:val="single" w:sz="4" w:space="0" w:color="auto"/>
            </w:tcBorders>
            <w:shd w:val="clear" w:color="auto" w:fill="auto"/>
            <w:noWrap/>
            <w:vAlign w:val="center"/>
          </w:tcPr>
          <w:p w14:paraId="4CB29371" w14:textId="77777777" w:rsidR="00FC1B57" w:rsidRPr="00701F32" w:rsidRDefault="00FC1B57">
            <w:pPr>
              <w:jc w:val="right"/>
              <w:rPr>
                <w:rFonts w:ascii="Arial" w:eastAsia="Calibri" w:hAnsi="Arial" w:cs="Arial"/>
                <w:b/>
                <w:color w:val="000000"/>
                <w:sz w:val="18"/>
              </w:rPr>
            </w:pPr>
            <w:r w:rsidRPr="00701F32">
              <w:rPr>
                <w:rFonts w:ascii="Arial" w:eastAsia="Calibri" w:hAnsi="Arial" w:cs="Arial"/>
                <w:b/>
                <w:color w:val="000000"/>
                <w:sz w:val="18"/>
              </w:rPr>
              <w:t xml:space="preserve">- </w:t>
            </w:r>
          </w:p>
        </w:tc>
        <w:tc>
          <w:tcPr>
            <w:tcW w:w="665" w:type="pct"/>
            <w:tcBorders>
              <w:top w:val="nil"/>
              <w:left w:val="nil"/>
              <w:bottom w:val="single" w:sz="4" w:space="0" w:color="auto"/>
              <w:right w:val="single" w:sz="4" w:space="0" w:color="auto"/>
            </w:tcBorders>
            <w:vAlign w:val="center"/>
          </w:tcPr>
          <w:p w14:paraId="79CF38BA" w14:textId="443E3DE4" w:rsidR="00FC1B57" w:rsidRPr="00701F32" w:rsidRDefault="00CD4C53">
            <w:pPr>
              <w:jc w:val="right"/>
              <w:rPr>
                <w:rFonts w:ascii="Arial" w:eastAsia="Calibri" w:hAnsi="Arial" w:cs="Arial"/>
                <w:b/>
                <w:color w:val="000000"/>
                <w:sz w:val="18"/>
              </w:rPr>
            </w:pPr>
            <w:r w:rsidRPr="00701F32">
              <w:rPr>
                <w:rFonts w:ascii="Arial" w:eastAsia="Calibri" w:hAnsi="Arial" w:cs="Arial"/>
                <w:b/>
                <w:color w:val="000000"/>
                <w:sz w:val="18"/>
              </w:rPr>
              <w:t>16.337.699</w:t>
            </w:r>
          </w:p>
        </w:tc>
      </w:tr>
      <w:tr w:rsidR="000336ED" w:rsidRPr="00701F32" w14:paraId="5D88CC70"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36D49FC" w14:textId="77777777" w:rsidR="00FC1B57" w:rsidRPr="00701F32" w:rsidRDefault="00FC1B57" w:rsidP="00464C0F">
            <w:pPr>
              <w:jc w:val="both"/>
              <w:rPr>
                <w:rFonts w:ascii="Arial" w:hAnsi="Arial" w:cs="Arial"/>
                <w:b/>
                <w:bCs/>
                <w:sz w:val="18"/>
                <w:lang w:eastAsia="es-AR"/>
              </w:rPr>
            </w:pPr>
            <w:r w:rsidRPr="00701F32">
              <w:rPr>
                <w:rFonts w:ascii="Arial" w:hAnsi="Arial" w:cs="Arial"/>
                <w:b/>
                <w:bCs/>
                <w:sz w:val="18"/>
                <w:lang w:eastAsia="es-AR"/>
              </w:rPr>
              <w:t>Pasivos</w:t>
            </w:r>
          </w:p>
        </w:tc>
        <w:tc>
          <w:tcPr>
            <w:tcW w:w="665" w:type="pct"/>
            <w:tcBorders>
              <w:top w:val="nil"/>
              <w:left w:val="nil"/>
              <w:bottom w:val="single" w:sz="4" w:space="0" w:color="auto"/>
              <w:right w:val="single" w:sz="4" w:space="0" w:color="auto"/>
            </w:tcBorders>
            <w:shd w:val="clear" w:color="auto" w:fill="auto"/>
            <w:noWrap/>
            <w:vAlign w:val="bottom"/>
            <w:hideMark/>
          </w:tcPr>
          <w:p w14:paraId="42BC42FB" w14:textId="77777777" w:rsidR="00FC1B57" w:rsidRPr="00701F32" w:rsidRDefault="00FC1B57">
            <w:pPr>
              <w:jc w:val="right"/>
              <w:rPr>
                <w:rFonts w:ascii="Arial" w:hAnsi="Arial" w:cs="Arial"/>
                <w:b/>
                <w:bCs/>
                <w:sz w:val="18"/>
                <w:lang w:eastAsia="es-AR"/>
              </w:rPr>
            </w:pPr>
          </w:p>
        </w:tc>
        <w:tc>
          <w:tcPr>
            <w:tcW w:w="666" w:type="pct"/>
            <w:tcBorders>
              <w:top w:val="nil"/>
              <w:left w:val="nil"/>
              <w:bottom w:val="single" w:sz="4" w:space="0" w:color="auto"/>
              <w:right w:val="single" w:sz="4" w:space="0" w:color="auto"/>
            </w:tcBorders>
            <w:shd w:val="clear" w:color="auto" w:fill="auto"/>
            <w:noWrap/>
            <w:vAlign w:val="bottom"/>
            <w:hideMark/>
          </w:tcPr>
          <w:p w14:paraId="4B626988" w14:textId="77777777" w:rsidR="00FC1B57" w:rsidRPr="00701F32" w:rsidRDefault="00FC1B57">
            <w:pPr>
              <w:jc w:val="right"/>
              <w:rPr>
                <w:rFonts w:ascii="Arial" w:hAnsi="Arial" w:cs="Arial"/>
                <w:b/>
                <w:bCs/>
                <w:sz w:val="18"/>
                <w:lang w:eastAsia="es-AR"/>
              </w:rPr>
            </w:pPr>
          </w:p>
        </w:tc>
        <w:tc>
          <w:tcPr>
            <w:tcW w:w="593" w:type="pct"/>
            <w:tcBorders>
              <w:top w:val="nil"/>
              <w:left w:val="nil"/>
              <w:bottom w:val="single" w:sz="4" w:space="0" w:color="auto"/>
              <w:right w:val="single" w:sz="4" w:space="0" w:color="auto"/>
            </w:tcBorders>
            <w:shd w:val="clear" w:color="auto" w:fill="auto"/>
            <w:noWrap/>
            <w:vAlign w:val="bottom"/>
            <w:hideMark/>
          </w:tcPr>
          <w:p w14:paraId="197751C9" w14:textId="77777777" w:rsidR="00FC1B57" w:rsidRPr="00701F32" w:rsidRDefault="00FC1B57">
            <w:pPr>
              <w:jc w:val="right"/>
              <w:rPr>
                <w:rFonts w:ascii="Arial" w:hAnsi="Arial" w:cs="Arial"/>
                <w:b/>
                <w:bCs/>
                <w:sz w:val="18"/>
                <w:lang w:eastAsia="es-AR"/>
              </w:rPr>
            </w:pPr>
          </w:p>
        </w:tc>
        <w:tc>
          <w:tcPr>
            <w:tcW w:w="665" w:type="pct"/>
            <w:tcBorders>
              <w:top w:val="nil"/>
              <w:left w:val="nil"/>
              <w:bottom w:val="single" w:sz="4" w:space="0" w:color="auto"/>
              <w:right w:val="single" w:sz="4" w:space="0" w:color="auto"/>
            </w:tcBorders>
            <w:vAlign w:val="bottom"/>
          </w:tcPr>
          <w:p w14:paraId="11895B86" w14:textId="77777777" w:rsidR="00FC1B57" w:rsidRPr="00701F32" w:rsidRDefault="00FC1B57">
            <w:pPr>
              <w:jc w:val="right"/>
              <w:rPr>
                <w:rFonts w:ascii="Arial" w:hAnsi="Arial" w:cs="Arial"/>
                <w:b/>
                <w:bCs/>
                <w:sz w:val="18"/>
                <w:lang w:eastAsia="es-AR"/>
              </w:rPr>
            </w:pPr>
          </w:p>
        </w:tc>
      </w:tr>
      <w:tr w:rsidR="00CD4C53" w:rsidRPr="00701F32" w14:paraId="67A68D3B"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tcPr>
          <w:p w14:paraId="6417DDB2" w14:textId="77777777" w:rsidR="00CD4C53" w:rsidRPr="00701F32" w:rsidRDefault="00CD4C53" w:rsidP="00464C0F">
            <w:pPr>
              <w:jc w:val="both"/>
              <w:rPr>
                <w:rFonts w:ascii="Arial" w:hAnsi="Arial" w:cs="Arial"/>
                <w:bCs/>
                <w:sz w:val="18"/>
                <w:lang w:eastAsia="es-AR"/>
              </w:rPr>
            </w:pPr>
            <w:r w:rsidRPr="00701F32">
              <w:rPr>
                <w:rFonts w:ascii="Arial" w:hAnsi="Arial" w:cs="Arial"/>
                <w:bCs/>
                <w:sz w:val="18"/>
                <w:lang w:eastAsia="es-AR"/>
              </w:rPr>
              <w:t>- Pasivos a valor razonable con cambios en resultados</w:t>
            </w:r>
          </w:p>
        </w:tc>
        <w:tc>
          <w:tcPr>
            <w:tcW w:w="665" w:type="pct"/>
            <w:tcBorders>
              <w:top w:val="nil"/>
              <w:left w:val="nil"/>
              <w:bottom w:val="single" w:sz="4" w:space="0" w:color="auto"/>
              <w:right w:val="single" w:sz="4" w:space="0" w:color="auto"/>
            </w:tcBorders>
            <w:shd w:val="clear" w:color="auto" w:fill="auto"/>
            <w:noWrap/>
            <w:vAlign w:val="bottom"/>
          </w:tcPr>
          <w:p w14:paraId="02A0DCEB" w14:textId="77777777" w:rsidR="00CD4C53" w:rsidRPr="00701F32" w:rsidRDefault="00CD4C53">
            <w:pPr>
              <w:jc w:val="right"/>
              <w:rPr>
                <w:rFonts w:ascii="Arial" w:hAnsi="Arial" w:cs="Arial"/>
                <w:bCs/>
                <w:sz w:val="18"/>
                <w:lang w:eastAsia="es-AR"/>
              </w:rPr>
            </w:pPr>
            <w:r w:rsidRPr="00701F32">
              <w:rPr>
                <w:rFonts w:ascii="Arial" w:hAnsi="Arial" w:cs="Arial"/>
                <w:bCs/>
                <w:sz w:val="18"/>
                <w:lang w:eastAsia="es-AR"/>
              </w:rPr>
              <w:t>309.293</w:t>
            </w:r>
          </w:p>
        </w:tc>
        <w:tc>
          <w:tcPr>
            <w:tcW w:w="666" w:type="pct"/>
            <w:tcBorders>
              <w:top w:val="nil"/>
              <w:left w:val="nil"/>
              <w:bottom w:val="single" w:sz="4" w:space="0" w:color="auto"/>
              <w:right w:val="single" w:sz="4" w:space="0" w:color="auto"/>
            </w:tcBorders>
            <w:shd w:val="clear" w:color="auto" w:fill="auto"/>
            <w:noWrap/>
            <w:vAlign w:val="bottom"/>
          </w:tcPr>
          <w:p w14:paraId="7047E262" w14:textId="77777777" w:rsidR="00CD4C53" w:rsidRPr="00701F32" w:rsidRDefault="00CD4C53">
            <w:pPr>
              <w:jc w:val="right"/>
              <w:rPr>
                <w:rFonts w:ascii="Arial" w:hAnsi="Arial" w:cs="Arial"/>
                <w:b/>
                <w:bCs/>
                <w:sz w:val="18"/>
                <w:lang w:eastAsia="es-AR"/>
              </w:rPr>
            </w:pPr>
          </w:p>
        </w:tc>
        <w:tc>
          <w:tcPr>
            <w:tcW w:w="593" w:type="pct"/>
            <w:tcBorders>
              <w:top w:val="nil"/>
              <w:left w:val="nil"/>
              <w:bottom w:val="single" w:sz="4" w:space="0" w:color="auto"/>
              <w:right w:val="single" w:sz="4" w:space="0" w:color="auto"/>
            </w:tcBorders>
            <w:shd w:val="clear" w:color="auto" w:fill="auto"/>
            <w:noWrap/>
            <w:vAlign w:val="bottom"/>
          </w:tcPr>
          <w:p w14:paraId="10C4C098" w14:textId="77777777" w:rsidR="00CD4C53" w:rsidRPr="00701F32" w:rsidRDefault="00CD4C53">
            <w:pPr>
              <w:jc w:val="right"/>
              <w:rPr>
                <w:rFonts w:ascii="Arial" w:hAnsi="Arial" w:cs="Arial"/>
                <w:b/>
                <w:bCs/>
                <w:sz w:val="18"/>
                <w:lang w:eastAsia="es-AR"/>
              </w:rPr>
            </w:pPr>
          </w:p>
        </w:tc>
        <w:tc>
          <w:tcPr>
            <w:tcW w:w="665" w:type="pct"/>
            <w:tcBorders>
              <w:top w:val="nil"/>
              <w:left w:val="nil"/>
              <w:bottom w:val="single" w:sz="4" w:space="0" w:color="auto"/>
              <w:right w:val="single" w:sz="4" w:space="0" w:color="auto"/>
            </w:tcBorders>
            <w:vAlign w:val="bottom"/>
          </w:tcPr>
          <w:p w14:paraId="671D3C7E" w14:textId="77777777" w:rsidR="00CD4C53" w:rsidRPr="00701F32" w:rsidRDefault="00CD4C53">
            <w:pPr>
              <w:jc w:val="right"/>
              <w:rPr>
                <w:rFonts w:ascii="Arial" w:hAnsi="Arial" w:cs="Arial"/>
                <w:bCs/>
                <w:sz w:val="18"/>
                <w:lang w:eastAsia="es-AR"/>
              </w:rPr>
            </w:pPr>
            <w:r w:rsidRPr="00701F32">
              <w:rPr>
                <w:rFonts w:ascii="Arial" w:hAnsi="Arial" w:cs="Arial"/>
                <w:bCs/>
                <w:sz w:val="18"/>
                <w:lang w:eastAsia="es-AR"/>
              </w:rPr>
              <w:t>309.293</w:t>
            </w:r>
          </w:p>
        </w:tc>
      </w:tr>
      <w:tr w:rsidR="000336ED" w:rsidRPr="00701F32" w14:paraId="38EB222A"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B84FA01" w14:textId="77777777" w:rsidR="00FD6B54" w:rsidRPr="00701F32" w:rsidRDefault="00FC1B57">
            <w:pPr>
              <w:jc w:val="both"/>
              <w:rPr>
                <w:rFonts w:ascii="Arial" w:hAnsi="Arial" w:cs="Arial"/>
                <w:sz w:val="18"/>
                <w:lang w:eastAsia="es-AR"/>
              </w:rPr>
            </w:pPr>
            <w:r w:rsidRPr="00701F32">
              <w:rPr>
                <w:rFonts w:ascii="Arial" w:hAnsi="Arial" w:cs="Arial"/>
                <w:sz w:val="18"/>
                <w:lang w:eastAsia="es-AR"/>
              </w:rPr>
              <w:t xml:space="preserve">- </w:t>
            </w:r>
            <w:r w:rsidR="005F4FB8" w:rsidRPr="00701F32">
              <w:rPr>
                <w:rFonts w:ascii="Arial" w:hAnsi="Arial" w:cs="Arial"/>
                <w:sz w:val="18"/>
                <w:lang w:eastAsia="es-AR"/>
              </w:rPr>
              <w:t>Instrumentos derivados</w:t>
            </w:r>
          </w:p>
        </w:tc>
        <w:tc>
          <w:tcPr>
            <w:tcW w:w="665" w:type="pct"/>
            <w:tcBorders>
              <w:top w:val="nil"/>
              <w:left w:val="nil"/>
              <w:bottom w:val="single" w:sz="4" w:space="0" w:color="auto"/>
              <w:right w:val="single" w:sz="4" w:space="0" w:color="auto"/>
            </w:tcBorders>
            <w:shd w:val="clear" w:color="auto" w:fill="auto"/>
            <w:noWrap/>
            <w:vAlign w:val="bottom"/>
            <w:hideMark/>
          </w:tcPr>
          <w:p w14:paraId="3777F5F2" w14:textId="77777777" w:rsidR="00FC1B57" w:rsidRPr="00701F32" w:rsidRDefault="005F4FB8">
            <w:pPr>
              <w:jc w:val="right"/>
              <w:rPr>
                <w:rFonts w:ascii="Arial" w:hAnsi="Arial" w:cs="Arial"/>
                <w:sz w:val="18"/>
                <w:lang w:eastAsia="es-AR"/>
              </w:rPr>
            </w:pPr>
            <w:r w:rsidRPr="00701F32">
              <w:rPr>
                <w:rFonts w:ascii="Arial" w:eastAsia="Calibri" w:hAnsi="Arial" w:cs="Arial"/>
                <w:color w:val="000000"/>
                <w:sz w:val="18"/>
              </w:rPr>
              <w:t>-</w:t>
            </w:r>
            <w:r w:rsidR="00FC1B57" w:rsidRPr="00701F32">
              <w:rPr>
                <w:rFonts w:ascii="Arial" w:eastAsia="Calibri" w:hAnsi="Arial" w:cs="Arial"/>
                <w:color w:val="000000"/>
                <w:sz w:val="18"/>
              </w:rPr>
              <w:t xml:space="preserve"> </w:t>
            </w:r>
          </w:p>
        </w:tc>
        <w:tc>
          <w:tcPr>
            <w:tcW w:w="666" w:type="pct"/>
            <w:tcBorders>
              <w:top w:val="nil"/>
              <w:left w:val="nil"/>
              <w:bottom w:val="single" w:sz="4" w:space="0" w:color="auto"/>
              <w:right w:val="single" w:sz="4" w:space="0" w:color="auto"/>
            </w:tcBorders>
            <w:shd w:val="clear" w:color="auto" w:fill="auto"/>
            <w:noWrap/>
            <w:vAlign w:val="bottom"/>
            <w:hideMark/>
          </w:tcPr>
          <w:p w14:paraId="102308E1" w14:textId="7ED6E084"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328.076</w:t>
            </w:r>
          </w:p>
        </w:tc>
        <w:tc>
          <w:tcPr>
            <w:tcW w:w="593" w:type="pct"/>
            <w:tcBorders>
              <w:top w:val="nil"/>
              <w:left w:val="nil"/>
              <w:bottom w:val="single" w:sz="4" w:space="0" w:color="auto"/>
              <w:right w:val="single" w:sz="4" w:space="0" w:color="auto"/>
            </w:tcBorders>
            <w:shd w:val="clear" w:color="auto" w:fill="auto"/>
            <w:noWrap/>
            <w:vAlign w:val="bottom"/>
            <w:hideMark/>
          </w:tcPr>
          <w:p w14:paraId="2B18498D"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bottom"/>
          </w:tcPr>
          <w:p w14:paraId="5DCA6755" w14:textId="14702982"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328.076</w:t>
            </w:r>
          </w:p>
        </w:tc>
      </w:tr>
      <w:tr w:rsidR="000336ED" w:rsidRPr="00701F32" w14:paraId="4D231FFC"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tcPr>
          <w:p w14:paraId="2F8A6985" w14:textId="77777777" w:rsidR="00FC1B57" w:rsidRPr="00701F32" w:rsidRDefault="00FC1B57" w:rsidP="00A06BE9">
            <w:pPr>
              <w:numPr>
                <w:ilvl w:val="0"/>
                <w:numId w:val="46"/>
              </w:numPr>
              <w:spacing w:after="160" w:line="259" w:lineRule="auto"/>
              <w:ind w:left="66" w:hanging="77"/>
              <w:contextualSpacing/>
              <w:jc w:val="both"/>
              <w:rPr>
                <w:rFonts w:ascii="Arial" w:hAnsi="Arial" w:cs="Arial"/>
                <w:sz w:val="18"/>
                <w:lang w:eastAsia="es-AR"/>
              </w:rPr>
            </w:pPr>
            <w:r w:rsidRPr="00701F32">
              <w:rPr>
                <w:rFonts w:ascii="Arial" w:hAnsi="Arial" w:cs="Arial"/>
                <w:sz w:val="18"/>
                <w:lang w:eastAsia="es-AR"/>
              </w:rPr>
              <w:t xml:space="preserve"> Otros Pasivos Financieros</w:t>
            </w:r>
          </w:p>
        </w:tc>
        <w:tc>
          <w:tcPr>
            <w:tcW w:w="665" w:type="pct"/>
            <w:tcBorders>
              <w:top w:val="nil"/>
              <w:left w:val="nil"/>
              <w:bottom w:val="single" w:sz="4" w:space="0" w:color="auto"/>
              <w:right w:val="single" w:sz="4" w:space="0" w:color="auto"/>
            </w:tcBorders>
            <w:shd w:val="clear" w:color="auto" w:fill="auto"/>
            <w:noWrap/>
            <w:vAlign w:val="bottom"/>
          </w:tcPr>
          <w:p w14:paraId="6BFED8FF" w14:textId="2DF515F4"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3.381.085</w:t>
            </w:r>
          </w:p>
        </w:tc>
        <w:tc>
          <w:tcPr>
            <w:tcW w:w="666" w:type="pct"/>
            <w:tcBorders>
              <w:top w:val="nil"/>
              <w:left w:val="nil"/>
              <w:bottom w:val="single" w:sz="4" w:space="0" w:color="auto"/>
              <w:right w:val="single" w:sz="4" w:space="0" w:color="auto"/>
            </w:tcBorders>
            <w:shd w:val="clear" w:color="auto" w:fill="auto"/>
            <w:noWrap/>
            <w:vAlign w:val="bottom"/>
          </w:tcPr>
          <w:p w14:paraId="2AD7ABFE"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bottom"/>
          </w:tcPr>
          <w:p w14:paraId="2EEE04C5"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bottom"/>
          </w:tcPr>
          <w:p w14:paraId="7C39B6B4" w14:textId="2E57EE2F"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3.381.085</w:t>
            </w:r>
          </w:p>
        </w:tc>
      </w:tr>
      <w:tr w:rsidR="000336ED" w:rsidRPr="00701F32" w14:paraId="3ADE2A4C"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tcPr>
          <w:p w14:paraId="578EE57B" w14:textId="77777777" w:rsidR="00FC1B57" w:rsidRPr="00701F32" w:rsidRDefault="00FC1B57" w:rsidP="00464C0F">
            <w:pPr>
              <w:jc w:val="both"/>
              <w:rPr>
                <w:rFonts w:ascii="Arial" w:hAnsi="Arial" w:cs="Arial"/>
                <w:sz w:val="18"/>
                <w:lang w:eastAsia="es-AR"/>
              </w:rPr>
            </w:pPr>
            <w:r w:rsidRPr="00701F32">
              <w:rPr>
                <w:rFonts w:ascii="Arial" w:hAnsi="Arial" w:cs="Arial"/>
                <w:sz w:val="18"/>
                <w:lang w:eastAsia="es-AR"/>
              </w:rPr>
              <w:t>-Financiaciones recibidas del BCRA y otras instituciones financieras</w:t>
            </w:r>
          </w:p>
        </w:tc>
        <w:tc>
          <w:tcPr>
            <w:tcW w:w="665" w:type="pct"/>
            <w:tcBorders>
              <w:top w:val="nil"/>
              <w:left w:val="nil"/>
              <w:bottom w:val="single" w:sz="4" w:space="0" w:color="auto"/>
              <w:right w:val="single" w:sz="4" w:space="0" w:color="auto"/>
            </w:tcBorders>
            <w:shd w:val="clear" w:color="auto" w:fill="auto"/>
            <w:noWrap/>
            <w:vAlign w:val="bottom"/>
          </w:tcPr>
          <w:p w14:paraId="20067ED8" w14:textId="43A8A433" w:rsidR="00FC1B57" w:rsidRPr="00701F32" w:rsidRDefault="00CD4C53">
            <w:pPr>
              <w:jc w:val="right"/>
              <w:rPr>
                <w:rFonts w:ascii="Arial" w:hAnsi="Arial" w:cs="Arial"/>
                <w:sz w:val="18"/>
                <w:lang w:eastAsia="es-AR"/>
              </w:rPr>
            </w:pPr>
            <w:r w:rsidRPr="00701F32">
              <w:rPr>
                <w:rFonts w:ascii="Arial" w:eastAsia="Calibri" w:hAnsi="Arial" w:cs="Arial"/>
                <w:color w:val="000000"/>
                <w:sz w:val="18"/>
              </w:rPr>
              <w:t>10.309</w:t>
            </w:r>
          </w:p>
        </w:tc>
        <w:tc>
          <w:tcPr>
            <w:tcW w:w="666" w:type="pct"/>
            <w:tcBorders>
              <w:top w:val="nil"/>
              <w:left w:val="nil"/>
              <w:bottom w:val="single" w:sz="4" w:space="0" w:color="auto"/>
              <w:right w:val="single" w:sz="4" w:space="0" w:color="auto"/>
            </w:tcBorders>
            <w:shd w:val="clear" w:color="auto" w:fill="auto"/>
            <w:noWrap/>
            <w:vAlign w:val="bottom"/>
          </w:tcPr>
          <w:p w14:paraId="343CF22C"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593" w:type="pct"/>
            <w:tcBorders>
              <w:top w:val="nil"/>
              <w:left w:val="nil"/>
              <w:bottom w:val="single" w:sz="4" w:space="0" w:color="auto"/>
              <w:right w:val="single" w:sz="4" w:space="0" w:color="auto"/>
            </w:tcBorders>
            <w:shd w:val="clear" w:color="auto" w:fill="auto"/>
            <w:noWrap/>
            <w:vAlign w:val="bottom"/>
          </w:tcPr>
          <w:p w14:paraId="21234353" w14:textId="77777777" w:rsidR="00FC1B57" w:rsidRPr="00701F32" w:rsidRDefault="00FC1B57">
            <w:pPr>
              <w:jc w:val="right"/>
              <w:rPr>
                <w:rFonts w:ascii="Arial" w:hAnsi="Arial" w:cs="Arial"/>
                <w:sz w:val="18"/>
                <w:lang w:eastAsia="es-AR"/>
              </w:rPr>
            </w:pPr>
            <w:r w:rsidRPr="00701F32">
              <w:rPr>
                <w:rFonts w:ascii="Arial" w:eastAsia="Calibri" w:hAnsi="Arial" w:cs="Arial"/>
                <w:color w:val="000000"/>
                <w:sz w:val="18"/>
              </w:rPr>
              <w:t xml:space="preserve">              -   </w:t>
            </w:r>
          </w:p>
        </w:tc>
        <w:tc>
          <w:tcPr>
            <w:tcW w:w="665" w:type="pct"/>
            <w:tcBorders>
              <w:top w:val="nil"/>
              <w:left w:val="nil"/>
              <w:bottom w:val="single" w:sz="4" w:space="0" w:color="auto"/>
              <w:right w:val="single" w:sz="4" w:space="0" w:color="auto"/>
            </w:tcBorders>
            <w:vAlign w:val="bottom"/>
          </w:tcPr>
          <w:p w14:paraId="60DA899D" w14:textId="37B00DDF" w:rsidR="00FC1B57" w:rsidRPr="00701F32" w:rsidRDefault="00CD4C53">
            <w:pPr>
              <w:jc w:val="right"/>
              <w:rPr>
                <w:rFonts w:ascii="Arial" w:eastAsia="Calibri" w:hAnsi="Arial" w:cs="Arial"/>
                <w:color w:val="000000"/>
                <w:sz w:val="18"/>
              </w:rPr>
            </w:pPr>
            <w:r w:rsidRPr="00701F32">
              <w:rPr>
                <w:rFonts w:ascii="Arial" w:eastAsia="Calibri" w:hAnsi="Arial" w:cs="Arial"/>
                <w:color w:val="000000"/>
                <w:sz w:val="18"/>
              </w:rPr>
              <w:t>10.309</w:t>
            </w:r>
          </w:p>
        </w:tc>
      </w:tr>
      <w:tr w:rsidR="000336ED" w:rsidRPr="00701F32" w14:paraId="7573043B" w14:textId="77777777" w:rsidTr="004437AA">
        <w:trPr>
          <w:trHeight w:val="2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8096C6A" w14:textId="77777777" w:rsidR="00FC1B57" w:rsidRPr="00701F32" w:rsidRDefault="00FC1B57">
            <w:pPr>
              <w:jc w:val="both"/>
              <w:rPr>
                <w:rFonts w:ascii="Arial" w:hAnsi="Arial" w:cs="Arial"/>
                <w:b/>
                <w:bCs/>
                <w:sz w:val="18"/>
                <w:lang w:eastAsia="es-AR"/>
              </w:rPr>
            </w:pPr>
            <w:r w:rsidRPr="00701F32">
              <w:rPr>
                <w:rFonts w:ascii="Arial" w:hAnsi="Arial" w:cs="Arial"/>
                <w:b/>
                <w:bCs/>
                <w:sz w:val="18"/>
                <w:lang w:eastAsia="es-AR"/>
              </w:rPr>
              <w:t>Total Pasivos</w:t>
            </w:r>
          </w:p>
        </w:tc>
        <w:tc>
          <w:tcPr>
            <w:tcW w:w="665" w:type="pct"/>
            <w:tcBorders>
              <w:top w:val="nil"/>
              <w:left w:val="nil"/>
              <w:bottom w:val="single" w:sz="4" w:space="0" w:color="auto"/>
              <w:right w:val="single" w:sz="4" w:space="0" w:color="auto"/>
            </w:tcBorders>
            <w:shd w:val="clear" w:color="auto" w:fill="auto"/>
            <w:noWrap/>
            <w:vAlign w:val="bottom"/>
            <w:hideMark/>
          </w:tcPr>
          <w:p w14:paraId="1C91114D" w14:textId="7810F994" w:rsidR="00FC1B57" w:rsidRPr="00701F32" w:rsidRDefault="00CD4C53">
            <w:pPr>
              <w:jc w:val="right"/>
              <w:rPr>
                <w:rFonts w:ascii="Arial" w:hAnsi="Arial" w:cs="Arial"/>
                <w:b/>
                <w:bCs/>
                <w:sz w:val="18"/>
                <w:lang w:eastAsia="es-AR"/>
              </w:rPr>
            </w:pPr>
            <w:r w:rsidRPr="00701F32">
              <w:rPr>
                <w:rFonts w:ascii="Arial" w:hAnsi="Arial" w:cs="Arial"/>
                <w:b/>
                <w:bCs/>
                <w:sz w:val="18"/>
                <w:lang w:eastAsia="es-AR"/>
              </w:rPr>
              <w:t>3.700.687</w:t>
            </w:r>
          </w:p>
        </w:tc>
        <w:tc>
          <w:tcPr>
            <w:tcW w:w="666" w:type="pct"/>
            <w:tcBorders>
              <w:top w:val="nil"/>
              <w:left w:val="nil"/>
              <w:bottom w:val="single" w:sz="4" w:space="0" w:color="auto"/>
              <w:right w:val="single" w:sz="4" w:space="0" w:color="auto"/>
            </w:tcBorders>
            <w:shd w:val="clear" w:color="auto" w:fill="auto"/>
            <w:noWrap/>
            <w:vAlign w:val="bottom"/>
            <w:hideMark/>
          </w:tcPr>
          <w:p w14:paraId="045174F1" w14:textId="3E438D3D" w:rsidR="00FC1B57" w:rsidRPr="00701F32" w:rsidRDefault="00CD4C53">
            <w:pPr>
              <w:jc w:val="right"/>
              <w:rPr>
                <w:rFonts w:ascii="Arial" w:eastAsia="Calibri" w:hAnsi="Arial" w:cs="Arial"/>
                <w:b/>
                <w:bCs/>
                <w:color w:val="000000"/>
                <w:sz w:val="18"/>
              </w:rPr>
            </w:pPr>
            <w:r w:rsidRPr="00701F32">
              <w:rPr>
                <w:rFonts w:ascii="Arial" w:eastAsia="Calibri" w:hAnsi="Arial" w:cs="Arial"/>
                <w:b/>
                <w:bCs/>
                <w:color w:val="000000"/>
                <w:sz w:val="18"/>
              </w:rPr>
              <w:t>328.076</w:t>
            </w:r>
          </w:p>
        </w:tc>
        <w:tc>
          <w:tcPr>
            <w:tcW w:w="593" w:type="pct"/>
            <w:tcBorders>
              <w:top w:val="nil"/>
              <w:left w:val="nil"/>
              <w:bottom w:val="single" w:sz="4" w:space="0" w:color="auto"/>
              <w:right w:val="single" w:sz="4" w:space="0" w:color="auto"/>
            </w:tcBorders>
            <w:shd w:val="clear" w:color="auto" w:fill="auto"/>
            <w:noWrap/>
            <w:vAlign w:val="bottom"/>
            <w:hideMark/>
          </w:tcPr>
          <w:p w14:paraId="43FFFD58" w14:textId="77777777" w:rsidR="00FC1B57" w:rsidRPr="00701F32" w:rsidRDefault="00FC1B57">
            <w:pPr>
              <w:jc w:val="right"/>
              <w:rPr>
                <w:rFonts w:ascii="Arial" w:hAnsi="Arial" w:cs="Arial"/>
                <w:b/>
                <w:bCs/>
                <w:sz w:val="18"/>
                <w:lang w:eastAsia="es-AR"/>
              </w:rPr>
            </w:pPr>
            <w:r w:rsidRPr="00701F32">
              <w:rPr>
                <w:rFonts w:ascii="Arial" w:hAnsi="Arial" w:cs="Arial"/>
                <w:b/>
                <w:bCs/>
                <w:sz w:val="18"/>
                <w:lang w:eastAsia="es-AR"/>
              </w:rPr>
              <w:t>-</w:t>
            </w:r>
          </w:p>
        </w:tc>
        <w:tc>
          <w:tcPr>
            <w:tcW w:w="665" w:type="pct"/>
            <w:tcBorders>
              <w:top w:val="nil"/>
              <w:left w:val="nil"/>
              <w:bottom w:val="single" w:sz="4" w:space="0" w:color="auto"/>
              <w:right w:val="single" w:sz="4" w:space="0" w:color="auto"/>
            </w:tcBorders>
            <w:vAlign w:val="bottom"/>
          </w:tcPr>
          <w:p w14:paraId="4EA6F0DC" w14:textId="408E3B58" w:rsidR="00FC1B57" w:rsidRPr="00701F32" w:rsidRDefault="00CD4C53">
            <w:pPr>
              <w:jc w:val="right"/>
              <w:rPr>
                <w:rFonts w:ascii="Arial" w:hAnsi="Arial" w:cs="Arial"/>
                <w:b/>
                <w:bCs/>
                <w:sz w:val="18"/>
                <w:lang w:eastAsia="es-AR"/>
              </w:rPr>
            </w:pPr>
            <w:r w:rsidRPr="00701F32">
              <w:rPr>
                <w:rFonts w:ascii="Arial" w:hAnsi="Arial" w:cs="Arial"/>
                <w:b/>
                <w:bCs/>
                <w:sz w:val="18"/>
                <w:lang w:eastAsia="es-AR"/>
              </w:rPr>
              <w:t>4.028.763</w:t>
            </w:r>
          </w:p>
        </w:tc>
      </w:tr>
    </w:tbl>
    <w:p w14:paraId="12EB820C" w14:textId="77777777" w:rsidR="004437AA" w:rsidRDefault="004437AA" w:rsidP="00A06BE9">
      <w:pPr>
        <w:spacing w:after="160" w:line="259" w:lineRule="auto"/>
        <w:jc w:val="both"/>
        <w:rPr>
          <w:rFonts w:ascii="Arial" w:eastAsia="Calibri" w:hAnsi="Arial" w:cs="Arial"/>
          <w:b/>
          <w:bCs/>
          <w:sz w:val="20"/>
        </w:rPr>
      </w:pPr>
    </w:p>
    <w:p w14:paraId="4BFE8C72" w14:textId="3FA4089F" w:rsidR="00A06BE9" w:rsidRPr="00701F32" w:rsidRDefault="00A06BE9" w:rsidP="00A06BE9">
      <w:pPr>
        <w:spacing w:after="160" w:line="259" w:lineRule="auto"/>
        <w:jc w:val="both"/>
        <w:rPr>
          <w:rFonts w:ascii="Arial" w:eastAsia="Calibri" w:hAnsi="Arial" w:cs="Arial"/>
          <w:b/>
          <w:bCs/>
          <w:sz w:val="20"/>
        </w:rPr>
      </w:pPr>
      <w:r w:rsidRPr="00701F32">
        <w:rPr>
          <w:rFonts w:ascii="Arial" w:eastAsia="Calibri" w:hAnsi="Arial" w:cs="Arial"/>
          <w:b/>
          <w:bCs/>
          <w:sz w:val="20"/>
        </w:rPr>
        <w:t>Técnicas de Valuación</w:t>
      </w:r>
    </w:p>
    <w:p w14:paraId="7F5ED2F8"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Las técnicas de valuación para la determinación de los Valores Razonables incluyen:</w:t>
      </w:r>
    </w:p>
    <w:p w14:paraId="73D060F6" w14:textId="77777777" w:rsidR="00A06BE9" w:rsidRPr="00701F32" w:rsidRDefault="00A06BE9" w:rsidP="00A06BE9">
      <w:pPr>
        <w:numPr>
          <w:ilvl w:val="0"/>
          <w:numId w:val="46"/>
        </w:numPr>
        <w:spacing w:after="160" w:line="259" w:lineRule="auto"/>
        <w:contextualSpacing/>
        <w:jc w:val="both"/>
        <w:rPr>
          <w:rFonts w:ascii="Arial" w:eastAsia="Calibri" w:hAnsi="Arial" w:cs="Arial"/>
          <w:bCs/>
          <w:sz w:val="20"/>
        </w:rPr>
      </w:pPr>
      <w:r w:rsidRPr="00701F32">
        <w:rPr>
          <w:rFonts w:ascii="Arial" w:eastAsia="Calibri" w:hAnsi="Arial" w:cs="Arial"/>
          <w:bCs/>
          <w:sz w:val="20"/>
        </w:rPr>
        <w:t>Precios de mercado o cotizaciones de instrumentos similares.</w:t>
      </w:r>
    </w:p>
    <w:p w14:paraId="1C24BABA" w14:textId="77777777" w:rsidR="00A06BE9" w:rsidRPr="00701F32" w:rsidRDefault="00A06BE9" w:rsidP="00A06BE9">
      <w:pPr>
        <w:numPr>
          <w:ilvl w:val="0"/>
          <w:numId w:val="46"/>
        </w:numPr>
        <w:spacing w:after="160" w:line="259" w:lineRule="auto"/>
        <w:contextualSpacing/>
        <w:jc w:val="both"/>
        <w:rPr>
          <w:rFonts w:ascii="Arial" w:eastAsia="Calibri" w:hAnsi="Arial" w:cs="Arial"/>
          <w:bCs/>
          <w:sz w:val="20"/>
        </w:rPr>
      </w:pPr>
      <w:r w:rsidRPr="00701F32">
        <w:rPr>
          <w:rFonts w:ascii="Arial" w:eastAsia="Calibri" w:hAnsi="Arial" w:cs="Arial"/>
          <w:bCs/>
          <w:sz w:val="20"/>
        </w:rPr>
        <w:t>Determinación de valor actual estimado de los instrumentos.</w:t>
      </w:r>
    </w:p>
    <w:p w14:paraId="7A1F5687" w14:textId="77777777" w:rsidR="00A06BE9" w:rsidRPr="00701F32"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 xml:space="preserve">Todas las estimaciones del valor razonable se incluyen en el nivel 2. Para ello, la Entidad utiliza técnicas de valorización por medio de curvas de tasa spot que estiman curvas de rendimiento en base a precios de mercado. </w:t>
      </w:r>
      <w:r w:rsidR="00730264" w:rsidRPr="00701F32">
        <w:rPr>
          <w:rFonts w:ascii="Arial" w:eastAsia="Calibri" w:hAnsi="Arial" w:cs="Arial"/>
          <w:bCs/>
          <w:sz w:val="20"/>
        </w:rPr>
        <w:t>Las mismas se detallan a continuación:</w:t>
      </w:r>
    </w:p>
    <w:p w14:paraId="1F4781A4" w14:textId="090CB989" w:rsidR="00730264" w:rsidRPr="00701F32" w:rsidRDefault="00730264" w:rsidP="00730264">
      <w:pPr>
        <w:pStyle w:val="Prrafodelista"/>
        <w:numPr>
          <w:ilvl w:val="0"/>
          <w:numId w:val="110"/>
        </w:numPr>
        <w:spacing w:after="160" w:line="252" w:lineRule="auto"/>
        <w:contextualSpacing/>
        <w:jc w:val="both"/>
        <w:rPr>
          <w:rFonts w:ascii="Arial" w:eastAsia="Calibri" w:hAnsi="Arial" w:cs="Arial"/>
          <w:bCs/>
          <w:sz w:val="20"/>
        </w:rPr>
      </w:pPr>
      <w:r w:rsidRPr="00701F32">
        <w:rPr>
          <w:rFonts w:ascii="Arial" w:eastAsia="Calibri" w:hAnsi="Arial" w:cs="Arial"/>
          <w:bCs/>
          <w:sz w:val="20"/>
        </w:rPr>
        <w:t xml:space="preserve">Modelo de interpolación: Consiste en la determinación del valor de instrumentos financieros que no poseen precio de mercado a la fecha de cierre, a partir de las cotizaciones de especies asimilables (tanto en condiciones de emisión, moneda, y duración) en mercado activo (MAE, Bolsar o secundarios) por medio de la interpolación lineal de las mismas. Esta técnica ha sido utilizada por la Entidad para determinar el valor razonable de los instrumentos emitidos por el BCRA </w:t>
      </w:r>
      <w:r w:rsidR="00284EEC" w:rsidRPr="00701F32">
        <w:rPr>
          <w:rFonts w:ascii="Arial" w:eastAsia="Calibri" w:hAnsi="Arial" w:cs="Arial"/>
          <w:bCs/>
          <w:sz w:val="20"/>
        </w:rPr>
        <w:t xml:space="preserve">y </w:t>
      </w:r>
      <w:r w:rsidR="00284EEC" w:rsidRPr="00701F32">
        <w:rPr>
          <w:rFonts w:ascii="Arial" w:eastAsia="Calibri" w:hAnsi="Arial" w:cs="Arial"/>
          <w:bCs/>
          <w:smallCaps/>
          <w:sz w:val="20"/>
        </w:rPr>
        <w:t>L</w:t>
      </w:r>
      <w:r w:rsidR="00284EEC" w:rsidRPr="00701F32">
        <w:rPr>
          <w:rFonts w:ascii="Arial" w:eastAsia="Calibri" w:hAnsi="Arial" w:cs="Arial"/>
          <w:bCs/>
          <w:sz w:val="20"/>
        </w:rPr>
        <w:t xml:space="preserve">etras del Tesoro </w:t>
      </w:r>
      <w:r w:rsidRPr="00701F32">
        <w:rPr>
          <w:rFonts w:ascii="Arial" w:eastAsia="Calibri" w:hAnsi="Arial" w:cs="Arial"/>
          <w:bCs/>
          <w:sz w:val="20"/>
        </w:rPr>
        <w:t>sin cotización al cierre del presente periodo.</w:t>
      </w:r>
    </w:p>
    <w:p w14:paraId="15452927" w14:textId="77777777" w:rsidR="00730264" w:rsidRPr="00701F32" w:rsidRDefault="00730264" w:rsidP="00730264">
      <w:pPr>
        <w:pStyle w:val="Prrafodelista"/>
        <w:jc w:val="both"/>
        <w:rPr>
          <w:rFonts w:ascii="Arial" w:eastAsia="Calibri" w:hAnsi="Arial" w:cs="Arial"/>
          <w:bCs/>
          <w:sz w:val="20"/>
        </w:rPr>
      </w:pPr>
    </w:p>
    <w:p w14:paraId="194875F7" w14:textId="77777777" w:rsidR="00730264" w:rsidRPr="00701F32" w:rsidRDefault="00730264" w:rsidP="00730264">
      <w:pPr>
        <w:pStyle w:val="Prrafodelista"/>
        <w:numPr>
          <w:ilvl w:val="0"/>
          <w:numId w:val="110"/>
        </w:numPr>
        <w:spacing w:after="160" w:line="252" w:lineRule="auto"/>
        <w:contextualSpacing/>
        <w:jc w:val="both"/>
        <w:rPr>
          <w:rFonts w:ascii="Arial" w:eastAsia="Calibri" w:hAnsi="Arial" w:cs="Arial"/>
          <w:bCs/>
          <w:sz w:val="20"/>
        </w:rPr>
      </w:pPr>
      <w:r w:rsidRPr="00701F32">
        <w:rPr>
          <w:rFonts w:ascii="Arial" w:eastAsia="Calibri" w:hAnsi="Arial" w:cs="Arial"/>
          <w:bCs/>
          <w:sz w:val="20"/>
        </w:rPr>
        <w:t>Modelo de Curvas de rendimiento bajo Nelson Siegel: Este modelo propone una función continua para modelar la trayectoria de la tasa de interés forward instantánea considerando como dominio el plazo comprendido hasta el próximo pago de interés y/o capital. Consiste en la determinación del precio de una especie por medio de un modelo de valor de riesgo a precio teórico, estimándose para ello la volatilidad a través de curvas de mercado. La Entidad ha utilizado este modelo para estimar precios en obligaciones negociables o especies ajustables por tasa BADLAR o por inflación.</w:t>
      </w:r>
    </w:p>
    <w:p w14:paraId="0BE2526F" w14:textId="77777777" w:rsidR="00A06BE9" w:rsidRPr="00701F32" w:rsidRDefault="00A06BE9" w:rsidP="00A06BE9">
      <w:pPr>
        <w:spacing w:after="160" w:line="259" w:lineRule="auto"/>
        <w:jc w:val="both"/>
        <w:rPr>
          <w:rFonts w:ascii="Arial" w:eastAsia="Calibri" w:hAnsi="Arial" w:cs="Arial"/>
          <w:bCs/>
          <w:color w:val="0000CC"/>
          <w:sz w:val="20"/>
        </w:rPr>
      </w:pPr>
      <w:r w:rsidRPr="00701F32">
        <w:rPr>
          <w:rFonts w:ascii="Arial" w:eastAsia="Calibri" w:hAnsi="Arial" w:cs="Arial"/>
          <w:bCs/>
          <w:sz w:val="20"/>
        </w:rPr>
        <w:t>La entidad evalúa periódicamente la performance de los modelos en función de indicadores los cuales poseen definidos umbrales de tolerancia</w:t>
      </w:r>
      <w:r w:rsidRPr="00701F32">
        <w:rPr>
          <w:rFonts w:ascii="Arial" w:eastAsia="Calibri" w:hAnsi="Arial" w:cs="Arial"/>
          <w:bCs/>
          <w:color w:val="0000CC"/>
          <w:sz w:val="20"/>
        </w:rPr>
        <w:t xml:space="preserve">. </w:t>
      </w:r>
    </w:p>
    <w:p w14:paraId="32ED17B2" w14:textId="48785EBF" w:rsidR="002D4E77" w:rsidRDefault="00A06BE9" w:rsidP="00A06BE9">
      <w:pPr>
        <w:spacing w:after="160" w:line="259" w:lineRule="auto"/>
        <w:jc w:val="both"/>
        <w:rPr>
          <w:rFonts w:ascii="Arial" w:eastAsia="Calibri" w:hAnsi="Arial" w:cs="Arial"/>
          <w:bCs/>
          <w:sz w:val="20"/>
        </w:rPr>
      </w:pPr>
      <w:r w:rsidRPr="00701F32">
        <w:rPr>
          <w:rFonts w:ascii="Arial" w:eastAsia="Calibri" w:hAnsi="Arial" w:cs="Arial"/>
          <w:bCs/>
          <w:sz w:val="20"/>
        </w:rPr>
        <w:t>De acuerdo a las NIIF, el valor residual estimado de un instrumento al inicio es, generalmente, el precio de la transacción. En el caso que el precio de transacción difiera del valor razonable determinado, la diferencia será reconocida en el estado de resultados en forma proporcional durante la duración del instrumento. Al 3</w:t>
      </w:r>
      <w:r w:rsidR="00C82C98" w:rsidRPr="00701F32">
        <w:rPr>
          <w:rFonts w:ascii="Arial" w:eastAsia="Calibri" w:hAnsi="Arial" w:cs="Arial"/>
          <w:bCs/>
          <w:sz w:val="20"/>
        </w:rPr>
        <w:t>0</w:t>
      </w:r>
      <w:r w:rsidRPr="00701F32">
        <w:rPr>
          <w:rFonts w:ascii="Arial" w:eastAsia="Calibri" w:hAnsi="Arial" w:cs="Arial"/>
          <w:bCs/>
          <w:sz w:val="20"/>
        </w:rPr>
        <w:t xml:space="preserve"> de </w:t>
      </w:r>
      <w:r w:rsidR="00AC4467" w:rsidRPr="00701F32">
        <w:rPr>
          <w:rFonts w:ascii="Arial" w:eastAsia="Calibri" w:hAnsi="Arial" w:cs="Arial"/>
          <w:bCs/>
          <w:sz w:val="20"/>
        </w:rPr>
        <w:t>septiembre</w:t>
      </w:r>
      <w:r w:rsidRPr="00701F32">
        <w:rPr>
          <w:rFonts w:ascii="Arial" w:eastAsia="Calibri" w:hAnsi="Arial" w:cs="Arial"/>
          <w:bCs/>
          <w:sz w:val="20"/>
        </w:rPr>
        <w:t xml:space="preserve"> de 2018 no se han registrado diferencias respecto del ejercicio precedente.</w:t>
      </w:r>
    </w:p>
    <w:p w14:paraId="4CD798A2" w14:textId="77777777" w:rsidR="004437AA" w:rsidRDefault="004437AA" w:rsidP="00A06BE9">
      <w:pPr>
        <w:spacing w:after="160" w:line="259" w:lineRule="auto"/>
        <w:jc w:val="both"/>
        <w:rPr>
          <w:rFonts w:ascii="Arial" w:eastAsia="Calibri" w:hAnsi="Arial" w:cs="Arial"/>
          <w:bCs/>
          <w:sz w:val="20"/>
        </w:rPr>
      </w:pPr>
    </w:p>
    <w:p w14:paraId="1F86639B" w14:textId="77777777" w:rsidR="00BA3C16" w:rsidRPr="00701F32" w:rsidRDefault="00BA3C16" w:rsidP="00A06BE9">
      <w:pPr>
        <w:spacing w:after="160" w:line="259" w:lineRule="auto"/>
        <w:jc w:val="both"/>
        <w:rPr>
          <w:rFonts w:ascii="Arial" w:eastAsia="Calibri" w:hAnsi="Arial" w:cs="Arial"/>
          <w:b/>
          <w:sz w:val="20"/>
        </w:rPr>
      </w:pPr>
      <w:r w:rsidRPr="00701F32">
        <w:rPr>
          <w:rFonts w:ascii="Arial" w:eastAsia="Calibri" w:hAnsi="Arial" w:cs="Arial"/>
          <w:b/>
          <w:sz w:val="20"/>
        </w:rPr>
        <w:t>7. DETALLE DE PRINCIPALES RUBROS</w:t>
      </w:r>
    </w:p>
    <w:p w14:paraId="01A7F81F" w14:textId="77777777" w:rsidR="00BA3C16" w:rsidRPr="00701F32" w:rsidRDefault="00BA3C16" w:rsidP="00A06BE9">
      <w:pPr>
        <w:spacing w:after="160" w:line="259" w:lineRule="auto"/>
        <w:jc w:val="both"/>
        <w:rPr>
          <w:rFonts w:ascii="Arial" w:eastAsia="Calibri" w:hAnsi="Arial" w:cs="Arial"/>
          <w:sz w:val="20"/>
        </w:rPr>
      </w:pPr>
      <w:r w:rsidRPr="00701F32">
        <w:rPr>
          <w:rFonts w:ascii="Arial" w:eastAsia="Calibri" w:hAnsi="Arial" w:cs="Arial"/>
          <w:sz w:val="20"/>
        </w:rPr>
        <w:t>Se expone a continuación el detalle de los principales rubros de activo y pasivo</w:t>
      </w:r>
      <w:r w:rsidR="00AF3A00" w:rsidRPr="00701F32">
        <w:rPr>
          <w:rFonts w:ascii="Arial" w:eastAsia="Calibri" w:hAnsi="Arial" w:cs="Arial"/>
          <w:sz w:val="20"/>
        </w:rPr>
        <w:t>:</w:t>
      </w:r>
    </w:p>
    <w:p w14:paraId="587D4B7B"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7.1 Títulos de deuda</w:t>
      </w:r>
      <w:r w:rsidR="00614C70" w:rsidRPr="00701F32">
        <w:rPr>
          <w:rFonts w:ascii="Arial" w:hAnsi="Arial" w:cs="Arial"/>
          <w:bCs/>
          <w:color w:val="000000"/>
          <w:sz w:val="20"/>
          <w:lang w:eastAsia="es-AR"/>
        </w:rPr>
        <w:t xml:space="preserve"> a valor razonable con cambios en resultados</w:t>
      </w:r>
    </w:p>
    <w:p w14:paraId="33F67D04" w14:textId="77777777" w:rsidR="004437AA" w:rsidRDefault="004437AA" w:rsidP="00AF3A00">
      <w:pPr>
        <w:spacing w:after="160" w:line="259" w:lineRule="auto"/>
        <w:rPr>
          <w:rFonts w:ascii="Arial" w:eastAsiaTheme="minorHAnsi" w:hAnsi="Arial" w:cs="Arial"/>
          <w:sz w:val="20"/>
        </w:rPr>
      </w:pPr>
    </w:p>
    <w:p w14:paraId="51B2DB3B" w14:textId="03E5C206" w:rsidR="00B30DEB" w:rsidRDefault="00AF3A00" w:rsidP="00AF3A00">
      <w:pPr>
        <w:spacing w:after="160" w:line="259" w:lineRule="auto"/>
        <w:rPr>
          <w:rFonts w:ascii="Arial" w:eastAsiaTheme="minorHAnsi" w:hAnsi="Arial" w:cs="Arial"/>
          <w:sz w:val="20"/>
        </w:rPr>
      </w:pPr>
      <w:r w:rsidRPr="00701F32">
        <w:rPr>
          <w:rFonts w:ascii="Arial" w:eastAsiaTheme="minorHAnsi" w:hAnsi="Arial" w:cs="Arial"/>
          <w:sz w:val="20"/>
        </w:rPr>
        <w:t>Los principales componentes del rubro títulos de deuda al 3</w:t>
      </w:r>
      <w:r w:rsidR="00972C0E" w:rsidRPr="00701F32">
        <w:rPr>
          <w:rFonts w:ascii="Arial" w:eastAsiaTheme="minorHAnsi" w:hAnsi="Arial" w:cs="Arial"/>
          <w:sz w:val="20"/>
        </w:rPr>
        <w:t>0</w:t>
      </w:r>
      <w:r w:rsidRPr="00701F32">
        <w:rPr>
          <w:rFonts w:ascii="Arial" w:eastAsiaTheme="minorHAnsi" w:hAnsi="Arial" w:cs="Arial"/>
          <w:sz w:val="20"/>
        </w:rPr>
        <w:t xml:space="preserve"> de </w:t>
      </w:r>
      <w:r w:rsidR="00B848DD" w:rsidRPr="00701F32">
        <w:rPr>
          <w:rFonts w:ascii="Arial" w:eastAsiaTheme="minorHAnsi" w:hAnsi="Arial" w:cs="Arial"/>
          <w:sz w:val="20"/>
        </w:rPr>
        <w:t>septiembre</w:t>
      </w:r>
      <w:r w:rsidR="005B1C87" w:rsidRPr="00701F32">
        <w:rPr>
          <w:rFonts w:ascii="Arial" w:eastAsiaTheme="minorHAnsi" w:hAnsi="Arial" w:cs="Arial"/>
          <w:sz w:val="20"/>
        </w:rPr>
        <w:t xml:space="preserve"> de</w:t>
      </w:r>
      <w:r w:rsidRPr="00701F32">
        <w:rPr>
          <w:rFonts w:ascii="Arial" w:eastAsiaTheme="minorHAnsi" w:hAnsi="Arial" w:cs="Arial"/>
          <w:sz w:val="20"/>
        </w:rPr>
        <w:t xml:space="preserve"> 2018, 31 de diciembre y 1 de enero de 2017 son los siguientes:</w:t>
      </w:r>
    </w:p>
    <w:p w14:paraId="20510E1D" w14:textId="77777777" w:rsidR="004437AA" w:rsidRPr="00701F32" w:rsidRDefault="004437AA" w:rsidP="00AF3A00">
      <w:pPr>
        <w:spacing w:after="160" w:line="259" w:lineRule="auto"/>
        <w:rPr>
          <w:rFonts w:ascii="Arial" w:eastAsiaTheme="minorHAnsi" w:hAnsi="Arial" w:cs="Arial"/>
          <w:sz w:val="20"/>
        </w:rPr>
      </w:pPr>
    </w:p>
    <w:tbl>
      <w:tblPr>
        <w:tblW w:w="6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4"/>
        <w:gridCol w:w="1569"/>
        <w:gridCol w:w="1308"/>
        <w:gridCol w:w="1376"/>
      </w:tblGrid>
      <w:tr w:rsidR="00AF3A00" w:rsidRPr="00701F32" w14:paraId="751E6F8E" w14:textId="77777777" w:rsidTr="00E311C9">
        <w:trPr>
          <w:trHeight w:val="255"/>
          <w:jc w:val="center"/>
        </w:trPr>
        <w:tc>
          <w:tcPr>
            <w:tcW w:w="1914" w:type="dxa"/>
            <w:shd w:val="clear" w:color="auto" w:fill="auto"/>
            <w:noWrap/>
            <w:vAlign w:val="bottom"/>
            <w:hideMark/>
          </w:tcPr>
          <w:p w14:paraId="559139E7" w14:textId="77777777" w:rsidR="00AF3A00" w:rsidRPr="00701F32" w:rsidRDefault="00AF3A00" w:rsidP="00E311C9">
            <w:pPr>
              <w:ind w:left="-458" w:firstLine="566"/>
              <w:rPr>
                <w:rFonts w:ascii="Arial" w:hAnsi="Arial" w:cs="Arial"/>
                <w:b/>
                <w:bCs/>
                <w:color w:val="000000"/>
                <w:sz w:val="18"/>
                <w:u w:val="single"/>
                <w:lang w:eastAsia="es-AR"/>
              </w:rPr>
            </w:pPr>
          </w:p>
        </w:tc>
        <w:tc>
          <w:tcPr>
            <w:tcW w:w="1569" w:type="dxa"/>
            <w:shd w:val="clear" w:color="auto" w:fill="auto"/>
            <w:noWrap/>
            <w:vAlign w:val="bottom"/>
            <w:hideMark/>
          </w:tcPr>
          <w:p w14:paraId="3F673A18" w14:textId="77777777" w:rsidR="00AF3A00" w:rsidRPr="00701F32" w:rsidRDefault="00AF3A0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3</w:t>
            </w:r>
            <w:r w:rsidR="00972C0E" w:rsidRPr="00701F32">
              <w:rPr>
                <w:rFonts w:ascii="Arial" w:hAnsi="Arial" w:cs="Arial"/>
                <w:b/>
                <w:color w:val="000000"/>
                <w:sz w:val="18"/>
                <w:lang w:eastAsia="es-AR"/>
              </w:rPr>
              <w:t>0</w:t>
            </w:r>
            <w:r w:rsidRPr="00701F32">
              <w:rPr>
                <w:rFonts w:ascii="Arial" w:hAnsi="Arial" w:cs="Arial"/>
                <w:b/>
                <w:color w:val="000000"/>
                <w:sz w:val="18"/>
                <w:lang w:eastAsia="es-AR"/>
              </w:rPr>
              <w:t>/0</w:t>
            </w:r>
            <w:r w:rsidR="00B848DD" w:rsidRPr="00701F32">
              <w:rPr>
                <w:rFonts w:ascii="Arial" w:hAnsi="Arial" w:cs="Arial"/>
                <w:b/>
                <w:color w:val="000000"/>
                <w:sz w:val="18"/>
                <w:lang w:eastAsia="es-AR"/>
              </w:rPr>
              <w:t>9</w:t>
            </w:r>
            <w:r w:rsidRPr="00701F32">
              <w:rPr>
                <w:rFonts w:ascii="Arial" w:hAnsi="Arial" w:cs="Arial"/>
                <w:b/>
                <w:color w:val="000000"/>
                <w:sz w:val="18"/>
                <w:lang w:eastAsia="es-AR"/>
              </w:rPr>
              <w:t>/2018</w:t>
            </w:r>
          </w:p>
        </w:tc>
        <w:tc>
          <w:tcPr>
            <w:tcW w:w="1308" w:type="dxa"/>
            <w:shd w:val="clear" w:color="auto" w:fill="auto"/>
            <w:noWrap/>
            <w:vAlign w:val="bottom"/>
            <w:hideMark/>
          </w:tcPr>
          <w:p w14:paraId="762C8920" w14:textId="77777777" w:rsidR="00AF3A00" w:rsidRPr="00701F32" w:rsidRDefault="00AF3A0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31/12/2017</w:t>
            </w:r>
          </w:p>
        </w:tc>
        <w:tc>
          <w:tcPr>
            <w:tcW w:w="1376" w:type="dxa"/>
            <w:shd w:val="clear" w:color="auto" w:fill="auto"/>
            <w:noWrap/>
            <w:vAlign w:val="bottom"/>
            <w:hideMark/>
          </w:tcPr>
          <w:p w14:paraId="25958BBC" w14:textId="77777777" w:rsidR="00AF3A00" w:rsidRPr="00701F32" w:rsidRDefault="00AF3A0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01/01/2017</w:t>
            </w:r>
          </w:p>
        </w:tc>
      </w:tr>
      <w:tr w:rsidR="003402A0" w:rsidRPr="00701F32" w14:paraId="0745C906" w14:textId="77777777" w:rsidTr="00E311C9">
        <w:trPr>
          <w:trHeight w:val="255"/>
          <w:jc w:val="center"/>
        </w:trPr>
        <w:tc>
          <w:tcPr>
            <w:tcW w:w="1914" w:type="dxa"/>
            <w:shd w:val="clear" w:color="auto" w:fill="auto"/>
            <w:noWrap/>
            <w:vAlign w:val="bottom"/>
            <w:hideMark/>
          </w:tcPr>
          <w:p w14:paraId="0D12FAEC" w14:textId="77777777" w:rsidR="003402A0" w:rsidRPr="00701F32" w:rsidRDefault="003402A0" w:rsidP="00E311C9">
            <w:pPr>
              <w:ind w:left="-458" w:firstLine="566"/>
              <w:rPr>
                <w:rFonts w:ascii="Arial" w:hAnsi="Arial" w:cs="Arial"/>
                <w:color w:val="000000"/>
                <w:sz w:val="18"/>
                <w:lang w:eastAsia="es-AR"/>
              </w:rPr>
            </w:pPr>
            <w:r w:rsidRPr="00701F32">
              <w:rPr>
                <w:rFonts w:ascii="Arial" w:hAnsi="Arial" w:cs="Arial"/>
                <w:color w:val="000000"/>
                <w:sz w:val="18"/>
                <w:lang w:eastAsia="es-AR"/>
              </w:rPr>
              <w:t>Títulos públicos</w:t>
            </w:r>
          </w:p>
        </w:tc>
        <w:tc>
          <w:tcPr>
            <w:tcW w:w="1569" w:type="dxa"/>
            <w:shd w:val="clear" w:color="auto" w:fill="auto"/>
            <w:noWrap/>
          </w:tcPr>
          <w:p w14:paraId="2C30E23D" w14:textId="0723E33F"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sz w:val="18"/>
              </w:rPr>
              <w:t xml:space="preserve">1.263.897 </w:t>
            </w:r>
          </w:p>
        </w:tc>
        <w:tc>
          <w:tcPr>
            <w:tcW w:w="1308" w:type="dxa"/>
            <w:shd w:val="clear" w:color="auto" w:fill="auto"/>
            <w:noWrap/>
            <w:vAlign w:val="bottom"/>
            <w:hideMark/>
          </w:tcPr>
          <w:p w14:paraId="6A6401F8"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1.555.767 </w:t>
            </w:r>
          </w:p>
        </w:tc>
        <w:tc>
          <w:tcPr>
            <w:tcW w:w="1376" w:type="dxa"/>
            <w:shd w:val="clear" w:color="auto" w:fill="auto"/>
            <w:noWrap/>
            <w:vAlign w:val="bottom"/>
            <w:hideMark/>
          </w:tcPr>
          <w:p w14:paraId="19AC6FB2"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193.619 </w:t>
            </w:r>
          </w:p>
        </w:tc>
      </w:tr>
      <w:tr w:rsidR="003402A0" w:rsidRPr="00701F32" w14:paraId="438D8E03" w14:textId="77777777" w:rsidTr="00E311C9">
        <w:trPr>
          <w:trHeight w:val="255"/>
          <w:jc w:val="center"/>
        </w:trPr>
        <w:tc>
          <w:tcPr>
            <w:tcW w:w="1914" w:type="dxa"/>
            <w:shd w:val="clear" w:color="auto" w:fill="auto"/>
            <w:noWrap/>
            <w:vAlign w:val="bottom"/>
            <w:hideMark/>
          </w:tcPr>
          <w:p w14:paraId="1B3D97FD" w14:textId="77777777" w:rsidR="003402A0" w:rsidRPr="00701F32" w:rsidRDefault="003402A0" w:rsidP="00E311C9">
            <w:pPr>
              <w:ind w:left="-458" w:firstLine="566"/>
              <w:rPr>
                <w:rFonts w:ascii="Arial" w:hAnsi="Arial" w:cs="Arial"/>
                <w:color w:val="000000"/>
                <w:sz w:val="18"/>
                <w:lang w:eastAsia="es-AR"/>
              </w:rPr>
            </w:pPr>
            <w:r w:rsidRPr="00701F32">
              <w:rPr>
                <w:rFonts w:ascii="Arial" w:hAnsi="Arial" w:cs="Arial"/>
                <w:color w:val="000000"/>
                <w:sz w:val="18"/>
                <w:lang w:eastAsia="es-AR"/>
              </w:rPr>
              <w:t>Títulos privados</w:t>
            </w:r>
          </w:p>
        </w:tc>
        <w:tc>
          <w:tcPr>
            <w:tcW w:w="1569" w:type="dxa"/>
            <w:shd w:val="clear" w:color="auto" w:fill="auto"/>
            <w:noWrap/>
          </w:tcPr>
          <w:p w14:paraId="24FC9037" w14:textId="06D19B4B"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sz w:val="18"/>
              </w:rPr>
              <w:t xml:space="preserve">60.765 </w:t>
            </w:r>
          </w:p>
        </w:tc>
        <w:tc>
          <w:tcPr>
            <w:tcW w:w="1308" w:type="dxa"/>
            <w:shd w:val="clear" w:color="auto" w:fill="auto"/>
            <w:noWrap/>
            <w:vAlign w:val="bottom"/>
            <w:hideMark/>
          </w:tcPr>
          <w:p w14:paraId="08355684"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52.727 </w:t>
            </w:r>
          </w:p>
        </w:tc>
        <w:tc>
          <w:tcPr>
            <w:tcW w:w="1376" w:type="dxa"/>
            <w:shd w:val="clear" w:color="auto" w:fill="auto"/>
            <w:noWrap/>
            <w:vAlign w:val="bottom"/>
            <w:hideMark/>
          </w:tcPr>
          <w:p w14:paraId="0144B2D7"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 </w:t>
            </w:r>
          </w:p>
        </w:tc>
      </w:tr>
      <w:tr w:rsidR="003402A0" w:rsidRPr="00701F32" w14:paraId="49D2656B" w14:textId="77777777" w:rsidTr="00E311C9">
        <w:trPr>
          <w:trHeight w:val="255"/>
          <w:jc w:val="center"/>
        </w:trPr>
        <w:tc>
          <w:tcPr>
            <w:tcW w:w="1914" w:type="dxa"/>
            <w:shd w:val="clear" w:color="auto" w:fill="auto"/>
            <w:noWrap/>
            <w:vAlign w:val="bottom"/>
            <w:hideMark/>
          </w:tcPr>
          <w:p w14:paraId="288DF3DE" w14:textId="77777777" w:rsidR="003402A0" w:rsidRPr="00701F32" w:rsidRDefault="003402A0" w:rsidP="00E311C9">
            <w:pPr>
              <w:ind w:left="-458" w:firstLine="566"/>
              <w:rPr>
                <w:rFonts w:ascii="Arial" w:hAnsi="Arial" w:cs="Arial"/>
                <w:color w:val="000000"/>
                <w:sz w:val="18"/>
                <w:lang w:eastAsia="es-AR"/>
              </w:rPr>
            </w:pPr>
            <w:r w:rsidRPr="00701F32">
              <w:rPr>
                <w:rFonts w:ascii="Arial" w:hAnsi="Arial" w:cs="Arial"/>
                <w:color w:val="000000"/>
                <w:sz w:val="18"/>
                <w:lang w:eastAsia="es-AR"/>
              </w:rPr>
              <w:t>Letras del BCRA</w:t>
            </w:r>
          </w:p>
        </w:tc>
        <w:tc>
          <w:tcPr>
            <w:tcW w:w="1569" w:type="dxa"/>
            <w:shd w:val="clear" w:color="auto" w:fill="auto"/>
            <w:noWrap/>
          </w:tcPr>
          <w:p w14:paraId="68D1445E" w14:textId="323F3096"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sz w:val="18"/>
              </w:rPr>
              <w:t xml:space="preserve">12.209.045 </w:t>
            </w:r>
          </w:p>
        </w:tc>
        <w:tc>
          <w:tcPr>
            <w:tcW w:w="1308" w:type="dxa"/>
            <w:shd w:val="clear" w:color="auto" w:fill="auto"/>
            <w:noWrap/>
            <w:vAlign w:val="bottom"/>
            <w:hideMark/>
          </w:tcPr>
          <w:p w14:paraId="3F38B73F"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9.795.792 </w:t>
            </w:r>
          </w:p>
        </w:tc>
        <w:tc>
          <w:tcPr>
            <w:tcW w:w="1376" w:type="dxa"/>
            <w:shd w:val="clear" w:color="auto" w:fill="auto"/>
            <w:noWrap/>
            <w:vAlign w:val="bottom"/>
            <w:hideMark/>
          </w:tcPr>
          <w:p w14:paraId="7DDAB158" w14:textId="77777777" w:rsidR="003402A0" w:rsidRPr="00701F32" w:rsidRDefault="003402A0" w:rsidP="00E311C9">
            <w:pPr>
              <w:ind w:left="-458" w:firstLine="566"/>
              <w:jc w:val="right"/>
              <w:rPr>
                <w:rFonts w:ascii="Arial" w:hAnsi="Arial" w:cs="Arial"/>
                <w:color w:val="000000"/>
                <w:sz w:val="18"/>
                <w:lang w:eastAsia="es-AR"/>
              </w:rPr>
            </w:pPr>
            <w:r w:rsidRPr="00701F32">
              <w:rPr>
                <w:rFonts w:ascii="Arial" w:hAnsi="Arial" w:cs="Arial"/>
                <w:color w:val="000000"/>
                <w:sz w:val="18"/>
                <w:lang w:eastAsia="es-AR"/>
              </w:rPr>
              <w:t xml:space="preserve">232.705 </w:t>
            </w:r>
          </w:p>
        </w:tc>
      </w:tr>
      <w:tr w:rsidR="00AF3A00" w:rsidRPr="00701F32" w14:paraId="6FAEFC22" w14:textId="77777777" w:rsidTr="00E311C9">
        <w:trPr>
          <w:trHeight w:val="270"/>
          <w:jc w:val="center"/>
        </w:trPr>
        <w:tc>
          <w:tcPr>
            <w:tcW w:w="1914" w:type="dxa"/>
            <w:shd w:val="clear" w:color="auto" w:fill="auto"/>
            <w:noWrap/>
            <w:vAlign w:val="bottom"/>
            <w:hideMark/>
          </w:tcPr>
          <w:p w14:paraId="27899BCE" w14:textId="77777777" w:rsidR="00AF3A00" w:rsidRPr="00701F32" w:rsidRDefault="00AF3A00" w:rsidP="00E311C9">
            <w:pPr>
              <w:ind w:left="-458" w:firstLine="566"/>
              <w:rPr>
                <w:rFonts w:ascii="Arial" w:hAnsi="Arial" w:cs="Arial"/>
                <w:color w:val="000000"/>
                <w:sz w:val="18"/>
                <w:lang w:eastAsia="es-AR"/>
              </w:rPr>
            </w:pPr>
            <w:r w:rsidRPr="00701F32">
              <w:rPr>
                <w:rFonts w:ascii="Arial" w:hAnsi="Arial" w:cs="Arial"/>
                <w:color w:val="000000"/>
                <w:sz w:val="18"/>
                <w:lang w:eastAsia="es-AR"/>
              </w:rPr>
              <w:t>Total</w:t>
            </w:r>
          </w:p>
        </w:tc>
        <w:tc>
          <w:tcPr>
            <w:tcW w:w="1569" w:type="dxa"/>
            <w:shd w:val="clear" w:color="auto" w:fill="auto"/>
            <w:noWrap/>
            <w:vAlign w:val="bottom"/>
          </w:tcPr>
          <w:p w14:paraId="652AF0D2" w14:textId="20605BDE" w:rsidR="00AF3A00" w:rsidRPr="00701F32" w:rsidRDefault="003402A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13.533.707</w:t>
            </w:r>
          </w:p>
        </w:tc>
        <w:tc>
          <w:tcPr>
            <w:tcW w:w="1308" w:type="dxa"/>
            <w:shd w:val="clear" w:color="auto" w:fill="auto"/>
            <w:noWrap/>
            <w:vAlign w:val="bottom"/>
            <w:hideMark/>
          </w:tcPr>
          <w:p w14:paraId="3B6590F7" w14:textId="77777777" w:rsidR="00AF3A00" w:rsidRPr="00701F32" w:rsidRDefault="00AF3A0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 xml:space="preserve">11.404.286 </w:t>
            </w:r>
          </w:p>
        </w:tc>
        <w:tc>
          <w:tcPr>
            <w:tcW w:w="1376" w:type="dxa"/>
            <w:shd w:val="clear" w:color="auto" w:fill="auto"/>
            <w:noWrap/>
            <w:vAlign w:val="bottom"/>
            <w:hideMark/>
          </w:tcPr>
          <w:p w14:paraId="4277240E" w14:textId="77777777" w:rsidR="00AF3A00" w:rsidRPr="00701F32" w:rsidRDefault="00AF3A00" w:rsidP="00E311C9">
            <w:pPr>
              <w:ind w:left="-458" w:firstLine="566"/>
              <w:jc w:val="right"/>
              <w:rPr>
                <w:rFonts w:ascii="Arial" w:hAnsi="Arial" w:cs="Arial"/>
                <w:b/>
                <w:color w:val="000000"/>
                <w:sz w:val="18"/>
                <w:lang w:eastAsia="es-AR"/>
              </w:rPr>
            </w:pPr>
            <w:r w:rsidRPr="00701F32">
              <w:rPr>
                <w:rFonts w:ascii="Arial" w:hAnsi="Arial" w:cs="Arial"/>
                <w:b/>
                <w:color w:val="000000"/>
                <w:sz w:val="18"/>
                <w:lang w:eastAsia="es-AR"/>
              </w:rPr>
              <w:t xml:space="preserve">426.324 </w:t>
            </w:r>
          </w:p>
        </w:tc>
      </w:tr>
    </w:tbl>
    <w:p w14:paraId="270B9665" w14:textId="77777777" w:rsidR="00B50339" w:rsidRPr="00701F32" w:rsidRDefault="00B50339" w:rsidP="00AF3A00">
      <w:pPr>
        <w:spacing w:after="160" w:line="259" w:lineRule="auto"/>
        <w:rPr>
          <w:rFonts w:ascii="Arial" w:eastAsiaTheme="minorHAnsi" w:hAnsi="Arial" w:cs="Arial"/>
          <w:sz w:val="22"/>
          <w:szCs w:val="22"/>
        </w:rPr>
      </w:pPr>
    </w:p>
    <w:p w14:paraId="029565DB" w14:textId="77777777" w:rsidR="00B50339" w:rsidRPr="00701F32" w:rsidRDefault="00B50339" w:rsidP="0086282C">
      <w:pPr>
        <w:tabs>
          <w:tab w:val="left" w:pos="142"/>
          <w:tab w:val="left" w:pos="851"/>
        </w:tabs>
        <w:spacing w:after="200" w:line="276" w:lineRule="auto"/>
        <w:contextualSpacing/>
        <w:jc w:val="both"/>
        <w:rPr>
          <w:rFonts w:ascii="Arial" w:hAnsi="Arial" w:cs="Arial"/>
          <w:sz w:val="20"/>
          <w:lang w:eastAsia="es-AR"/>
        </w:rPr>
      </w:pPr>
      <w:r w:rsidRPr="00701F32">
        <w:rPr>
          <w:rFonts w:ascii="Arial" w:hAnsi="Arial" w:cs="Arial"/>
          <w:bCs/>
          <w:color w:val="000000"/>
          <w:sz w:val="20"/>
          <w:lang w:eastAsia="es-AR"/>
        </w:rPr>
        <w:t>7.2</w:t>
      </w:r>
      <w:r w:rsidRPr="00701F32">
        <w:rPr>
          <w:rFonts w:ascii="Arial" w:hAnsi="Arial" w:cs="Arial"/>
          <w:sz w:val="20"/>
          <w:lang w:eastAsia="es-AR"/>
        </w:rPr>
        <w:t xml:space="preserve"> Operaciones de Pases Activos y Pasivos:</w:t>
      </w:r>
    </w:p>
    <w:p w14:paraId="387128C6" w14:textId="77777777" w:rsidR="00B50339" w:rsidRPr="00701F32" w:rsidRDefault="00B50339" w:rsidP="00B50339">
      <w:pPr>
        <w:tabs>
          <w:tab w:val="left" w:pos="142"/>
          <w:tab w:val="left" w:pos="2694"/>
        </w:tabs>
        <w:jc w:val="both"/>
        <w:rPr>
          <w:rFonts w:ascii="Arial" w:hAnsi="Arial" w:cs="Arial"/>
          <w:b/>
          <w:sz w:val="20"/>
        </w:rPr>
      </w:pPr>
    </w:p>
    <w:p w14:paraId="6835FFD5" w14:textId="77777777" w:rsidR="00B50339" w:rsidRPr="00701F32" w:rsidRDefault="00B50339" w:rsidP="00B50339">
      <w:pPr>
        <w:jc w:val="both"/>
        <w:rPr>
          <w:rFonts w:ascii="Arial" w:hAnsi="Arial" w:cs="Arial"/>
          <w:sz w:val="20"/>
          <w:szCs w:val="22"/>
        </w:rPr>
      </w:pPr>
      <w:r w:rsidRPr="00701F32">
        <w:rPr>
          <w:rFonts w:ascii="Arial" w:hAnsi="Arial" w:cs="Arial"/>
          <w:sz w:val="20"/>
          <w:szCs w:val="22"/>
        </w:rPr>
        <w:t>La Entidad mantiene operaciones de pase, por las cuales realiza operaciones de compra y venta al contado de un título valor con la correspondiente concertación de la operación a término del mismo, reteniendo de esta manera sustancialmente todos los riesgos y beneficios asociados a los instrumentos.</w:t>
      </w:r>
    </w:p>
    <w:p w14:paraId="7AA47F4B" w14:textId="77777777" w:rsidR="00B50339" w:rsidRPr="00701F32" w:rsidRDefault="00B50339" w:rsidP="00B50339">
      <w:pPr>
        <w:jc w:val="both"/>
        <w:rPr>
          <w:rFonts w:ascii="Arial" w:hAnsi="Arial" w:cs="Arial"/>
          <w:sz w:val="20"/>
          <w:szCs w:val="22"/>
        </w:rPr>
      </w:pPr>
      <w:r w:rsidRPr="00701F32">
        <w:rPr>
          <w:rFonts w:ascii="Arial" w:hAnsi="Arial" w:cs="Arial"/>
          <w:sz w:val="20"/>
          <w:szCs w:val="22"/>
        </w:rPr>
        <w:t>Los precios de las operaciones a término son valuados de acuerdo a la cotización de los títulos valores a la fecha de cierre, correspondiendo la diferencia entre el precio de concertación y el de cierre a la prima devengada, a favor o en contra según corresponda.</w:t>
      </w:r>
    </w:p>
    <w:p w14:paraId="085B1F52" w14:textId="77777777" w:rsidR="00B50339" w:rsidRPr="00701F32" w:rsidRDefault="00B50339" w:rsidP="00B50339">
      <w:pPr>
        <w:jc w:val="both"/>
        <w:rPr>
          <w:rFonts w:ascii="Arial" w:hAnsi="Arial" w:cs="Arial"/>
          <w:sz w:val="20"/>
          <w:szCs w:val="22"/>
        </w:rPr>
      </w:pPr>
    </w:p>
    <w:p w14:paraId="2ACD42E4" w14:textId="77777777" w:rsidR="00B50339" w:rsidRPr="00701F32" w:rsidRDefault="00B50339" w:rsidP="00B50339">
      <w:pPr>
        <w:jc w:val="both"/>
        <w:rPr>
          <w:rFonts w:ascii="Arial" w:hAnsi="Arial" w:cs="Arial"/>
          <w:sz w:val="20"/>
        </w:rPr>
      </w:pPr>
      <w:r w:rsidRPr="00701F32">
        <w:rPr>
          <w:rFonts w:ascii="Arial" w:hAnsi="Arial" w:cs="Arial"/>
          <w:sz w:val="20"/>
          <w:szCs w:val="22"/>
        </w:rPr>
        <w:t>Al 3</w:t>
      </w:r>
      <w:r w:rsidR="00FD44A1" w:rsidRPr="00701F32">
        <w:rPr>
          <w:rFonts w:ascii="Arial" w:hAnsi="Arial" w:cs="Arial"/>
          <w:sz w:val="20"/>
          <w:szCs w:val="22"/>
        </w:rPr>
        <w:t>0</w:t>
      </w:r>
      <w:r w:rsidRPr="00701F32">
        <w:rPr>
          <w:rFonts w:ascii="Arial" w:hAnsi="Arial" w:cs="Arial"/>
          <w:sz w:val="20"/>
          <w:szCs w:val="22"/>
        </w:rPr>
        <w:t xml:space="preserve"> de </w:t>
      </w:r>
      <w:r w:rsidR="00285339" w:rsidRPr="00701F32">
        <w:rPr>
          <w:rFonts w:ascii="Arial" w:hAnsi="Arial" w:cs="Arial"/>
          <w:sz w:val="20"/>
          <w:szCs w:val="22"/>
        </w:rPr>
        <w:t>septiembre</w:t>
      </w:r>
      <w:r w:rsidRPr="00701F32">
        <w:rPr>
          <w:rFonts w:ascii="Arial" w:hAnsi="Arial" w:cs="Arial"/>
          <w:sz w:val="20"/>
          <w:szCs w:val="22"/>
        </w:rPr>
        <w:t xml:space="preserve"> de 2018, 31 de diciembre y 1 de enero de 2017 se encontraban registrados los siguientes saldos por operaciones de pases</w:t>
      </w:r>
      <w:r w:rsidRPr="00701F32">
        <w:rPr>
          <w:rFonts w:ascii="Arial" w:hAnsi="Arial" w:cs="Arial"/>
          <w:sz w:val="22"/>
          <w:szCs w:val="22"/>
        </w:rPr>
        <w:t>:</w:t>
      </w:r>
    </w:p>
    <w:p w14:paraId="1F8BDDDA" w14:textId="77777777" w:rsidR="00FD0DB2" w:rsidRPr="00701F32" w:rsidRDefault="00FD0DB2" w:rsidP="00B50339">
      <w:pPr>
        <w:jc w:val="both"/>
        <w:rPr>
          <w:rFonts w:ascii="Arial" w:hAnsi="Arial" w:cs="Arial"/>
          <w:sz w:val="20"/>
        </w:rPr>
      </w:pPr>
    </w:p>
    <w:p w14:paraId="53CAB070" w14:textId="77777777" w:rsidR="00B50339" w:rsidRPr="00701F32" w:rsidRDefault="00913516" w:rsidP="00B50339">
      <w:pPr>
        <w:tabs>
          <w:tab w:val="left" w:pos="142"/>
        </w:tabs>
        <w:jc w:val="both"/>
        <w:rPr>
          <w:rFonts w:ascii="Arial" w:hAnsi="Arial" w:cs="Arial"/>
          <w:b/>
          <w:sz w:val="20"/>
        </w:rPr>
      </w:pPr>
      <w:r w:rsidRPr="00701F32">
        <w:rPr>
          <w:rFonts w:ascii="Arial" w:hAnsi="Arial" w:cs="Arial"/>
          <w:b/>
          <w:sz w:val="20"/>
        </w:rPr>
        <w:t>O</w:t>
      </w:r>
      <w:r w:rsidR="00B50339" w:rsidRPr="00701F32">
        <w:rPr>
          <w:rFonts w:ascii="Arial" w:hAnsi="Arial" w:cs="Arial"/>
          <w:b/>
          <w:sz w:val="20"/>
        </w:rPr>
        <w:t>peraciones de pases activos:</w:t>
      </w:r>
    </w:p>
    <w:p w14:paraId="21DF9407" w14:textId="77777777" w:rsidR="00FD44A1" w:rsidRPr="00701F32" w:rsidRDefault="00FD44A1" w:rsidP="00B50339">
      <w:pPr>
        <w:tabs>
          <w:tab w:val="left" w:pos="142"/>
        </w:tabs>
        <w:jc w:val="both"/>
        <w:rPr>
          <w:rFonts w:ascii="Arial" w:hAnsi="Arial" w:cs="Arial"/>
          <w:sz w:val="18"/>
          <w:szCs w:val="18"/>
        </w:rPr>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94"/>
        <w:gridCol w:w="1417"/>
        <w:gridCol w:w="992"/>
        <w:gridCol w:w="1701"/>
        <w:gridCol w:w="1560"/>
      </w:tblGrid>
      <w:tr w:rsidR="00667591" w:rsidRPr="00701F32" w14:paraId="1A9788BE" w14:textId="77777777" w:rsidTr="00E311C9">
        <w:trPr>
          <w:trHeight w:val="498"/>
          <w:tblHeader/>
        </w:trPr>
        <w:tc>
          <w:tcPr>
            <w:tcW w:w="2694" w:type="dxa"/>
            <w:tcBorders>
              <w:top w:val="single" w:sz="4" w:space="0" w:color="auto"/>
              <w:left w:val="single" w:sz="4" w:space="0" w:color="auto"/>
              <w:bottom w:val="single" w:sz="4" w:space="0" w:color="auto"/>
              <w:right w:val="single" w:sz="4" w:space="0" w:color="auto"/>
            </w:tcBorders>
            <w:vAlign w:val="center"/>
          </w:tcPr>
          <w:p w14:paraId="03B7272D" w14:textId="77777777" w:rsidR="00667591" w:rsidRPr="00701F32" w:rsidRDefault="00667591" w:rsidP="00E311C9">
            <w:pPr>
              <w:tabs>
                <w:tab w:val="left" w:pos="142"/>
              </w:tabs>
              <w:jc w:val="center"/>
              <w:rPr>
                <w:rFonts w:ascii="Arial" w:hAnsi="Arial" w:cs="Arial"/>
                <w:b/>
                <w:bCs/>
                <w:sz w:val="18"/>
                <w:szCs w:val="18"/>
              </w:rPr>
            </w:pPr>
            <w:r w:rsidRPr="00701F32">
              <w:rPr>
                <w:rFonts w:ascii="Arial" w:hAnsi="Arial" w:cs="Arial"/>
                <w:b/>
                <w:bCs/>
                <w:sz w:val="18"/>
                <w:szCs w:val="18"/>
              </w:rPr>
              <w:t>Especie</w:t>
            </w:r>
          </w:p>
        </w:tc>
        <w:tc>
          <w:tcPr>
            <w:tcW w:w="1417" w:type="dxa"/>
            <w:tcBorders>
              <w:top w:val="single" w:sz="4" w:space="0" w:color="auto"/>
              <w:left w:val="single" w:sz="4" w:space="0" w:color="auto"/>
              <w:bottom w:val="single" w:sz="4" w:space="0" w:color="auto"/>
              <w:right w:val="single" w:sz="4" w:space="0" w:color="auto"/>
            </w:tcBorders>
            <w:vAlign w:val="center"/>
          </w:tcPr>
          <w:p w14:paraId="246694A9" w14:textId="77777777" w:rsidR="00667591" w:rsidRPr="00701F32" w:rsidRDefault="00667591" w:rsidP="00E311C9">
            <w:pPr>
              <w:tabs>
                <w:tab w:val="left" w:pos="142"/>
              </w:tabs>
              <w:jc w:val="center"/>
              <w:rPr>
                <w:rFonts w:ascii="Arial" w:hAnsi="Arial" w:cs="Arial"/>
                <w:b/>
                <w:bCs/>
                <w:sz w:val="18"/>
                <w:szCs w:val="18"/>
              </w:rPr>
            </w:pPr>
            <w:r w:rsidRPr="00701F32">
              <w:rPr>
                <w:rFonts w:ascii="Arial" w:hAnsi="Arial" w:cs="Arial"/>
                <w:b/>
                <w:bCs/>
                <w:sz w:val="18"/>
                <w:szCs w:val="18"/>
              </w:rPr>
              <w:t>Fecha de Vencimiento</w:t>
            </w:r>
          </w:p>
        </w:tc>
        <w:tc>
          <w:tcPr>
            <w:tcW w:w="992" w:type="dxa"/>
            <w:tcBorders>
              <w:top w:val="single" w:sz="4" w:space="0" w:color="auto"/>
              <w:left w:val="single" w:sz="4" w:space="0" w:color="auto"/>
              <w:bottom w:val="single" w:sz="4" w:space="0" w:color="auto"/>
              <w:right w:val="single" w:sz="4" w:space="0" w:color="auto"/>
            </w:tcBorders>
            <w:vAlign w:val="center"/>
          </w:tcPr>
          <w:p w14:paraId="0E61CA6D" w14:textId="77777777" w:rsidR="00667591" w:rsidRPr="00701F32" w:rsidRDefault="00667591" w:rsidP="00E311C9">
            <w:pPr>
              <w:tabs>
                <w:tab w:val="left" w:pos="142"/>
              </w:tabs>
              <w:jc w:val="center"/>
              <w:rPr>
                <w:rFonts w:ascii="Arial" w:hAnsi="Arial" w:cs="Arial"/>
                <w:b/>
                <w:bCs/>
                <w:sz w:val="18"/>
                <w:szCs w:val="18"/>
              </w:rPr>
            </w:pPr>
            <w:r w:rsidRPr="00701F32">
              <w:rPr>
                <w:rFonts w:ascii="Arial" w:hAnsi="Arial" w:cs="Arial"/>
                <w:b/>
                <w:bCs/>
                <w:sz w:val="18"/>
                <w:szCs w:val="18"/>
              </w:rPr>
              <w:t>Plazo</w:t>
            </w:r>
          </w:p>
        </w:tc>
        <w:tc>
          <w:tcPr>
            <w:tcW w:w="1701" w:type="dxa"/>
            <w:tcBorders>
              <w:top w:val="single" w:sz="4" w:space="0" w:color="auto"/>
              <w:left w:val="single" w:sz="4" w:space="0" w:color="auto"/>
              <w:bottom w:val="single" w:sz="4" w:space="0" w:color="auto"/>
              <w:right w:val="single" w:sz="4" w:space="0" w:color="auto"/>
            </w:tcBorders>
            <w:vAlign w:val="center"/>
          </w:tcPr>
          <w:p w14:paraId="589F5F75" w14:textId="77777777" w:rsidR="00667591" w:rsidRPr="00701F32" w:rsidRDefault="00667591" w:rsidP="00E311C9">
            <w:pPr>
              <w:tabs>
                <w:tab w:val="left" w:pos="142"/>
              </w:tabs>
              <w:jc w:val="center"/>
              <w:rPr>
                <w:rFonts w:ascii="Arial" w:hAnsi="Arial" w:cs="Arial"/>
                <w:b/>
                <w:bCs/>
                <w:sz w:val="18"/>
                <w:szCs w:val="18"/>
              </w:rPr>
            </w:pPr>
            <w:r w:rsidRPr="00701F32">
              <w:rPr>
                <w:rFonts w:ascii="Arial" w:hAnsi="Arial" w:cs="Arial"/>
                <w:b/>
                <w:bCs/>
                <w:sz w:val="18"/>
                <w:szCs w:val="18"/>
              </w:rPr>
              <w:t>Valor Nominal</w:t>
            </w:r>
          </w:p>
        </w:tc>
        <w:tc>
          <w:tcPr>
            <w:tcW w:w="1560" w:type="dxa"/>
            <w:tcBorders>
              <w:top w:val="single" w:sz="4" w:space="0" w:color="auto"/>
              <w:left w:val="single" w:sz="4" w:space="0" w:color="auto"/>
              <w:bottom w:val="single" w:sz="4" w:space="0" w:color="auto"/>
              <w:right w:val="single" w:sz="4" w:space="0" w:color="auto"/>
            </w:tcBorders>
            <w:vAlign w:val="center"/>
          </w:tcPr>
          <w:p w14:paraId="751DFD9E" w14:textId="77777777" w:rsidR="00667591" w:rsidRPr="00701F32" w:rsidRDefault="00667591" w:rsidP="00E311C9">
            <w:pPr>
              <w:tabs>
                <w:tab w:val="left" w:pos="142"/>
              </w:tabs>
              <w:jc w:val="center"/>
              <w:rPr>
                <w:rFonts w:ascii="Arial" w:hAnsi="Arial" w:cs="Arial"/>
                <w:b/>
                <w:bCs/>
                <w:sz w:val="18"/>
                <w:szCs w:val="18"/>
              </w:rPr>
            </w:pPr>
            <w:r w:rsidRPr="00701F32">
              <w:rPr>
                <w:rFonts w:ascii="Arial" w:hAnsi="Arial" w:cs="Arial"/>
                <w:b/>
                <w:bCs/>
                <w:sz w:val="18"/>
                <w:szCs w:val="18"/>
              </w:rPr>
              <w:t>Valor al Cierre</w:t>
            </w:r>
          </w:p>
        </w:tc>
      </w:tr>
      <w:tr w:rsidR="00667591" w:rsidRPr="00701F32" w14:paraId="03CD8687" w14:textId="77777777" w:rsidTr="00E311C9">
        <w:trPr>
          <w:trHeight w:val="498"/>
          <w:tblHeader/>
        </w:trPr>
        <w:tc>
          <w:tcPr>
            <w:tcW w:w="2694" w:type="dxa"/>
            <w:tcBorders>
              <w:top w:val="single" w:sz="4" w:space="0" w:color="auto"/>
              <w:left w:val="single" w:sz="4" w:space="0" w:color="auto"/>
              <w:bottom w:val="single" w:sz="4" w:space="0" w:color="auto"/>
              <w:right w:val="single" w:sz="4" w:space="0" w:color="auto"/>
            </w:tcBorders>
            <w:vAlign w:val="center"/>
          </w:tcPr>
          <w:p w14:paraId="42659BB1"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DICY-BONO C/DT</w:t>
            </w:r>
          </w:p>
        </w:tc>
        <w:tc>
          <w:tcPr>
            <w:tcW w:w="1417" w:type="dxa"/>
            <w:tcBorders>
              <w:top w:val="single" w:sz="4" w:space="0" w:color="auto"/>
              <w:left w:val="single" w:sz="4" w:space="0" w:color="auto"/>
              <w:bottom w:val="single" w:sz="4" w:space="0" w:color="auto"/>
              <w:right w:val="single" w:sz="4" w:space="0" w:color="auto"/>
            </w:tcBorders>
            <w:vAlign w:val="center"/>
          </w:tcPr>
          <w:p w14:paraId="4F12B7C2"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01/10/2018</w:t>
            </w:r>
          </w:p>
        </w:tc>
        <w:tc>
          <w:tcPr>
            <w:tcW w:w="992" w:type="dxa"/>
            <w:tcBorders>
              <w:top w:val="single" w:sz="4" w:space="0" w:color="auto"/>
              <w:left w:val="single" w:sz="4" w:space="0" w:color="auto"/>
              <w:bottom w:val="single" w:sz="4" w:space="0" w:color="auto"/>
              <w:right w:val="single" w:sz="4" w:space="0" w:color="auto"/>
            </w:tcBorders>
            <w:vAlign w:val="center"/>
          </w:tcPr>
          <w:p w14:paraId="1C205AE1"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204B3591" w14:textId="6109D2BB" w:rsidR="00667591" w:rsidRPr="00701F32" w:rsidRDefault="00667591" w:rsidP="00E311C9">
            <w:pPr>
              <w:tabs>
                <w:tab w:val="left" w:pos="142"/>
              </w:tabs>
              <w:jc w:val="right"/>
              <w:rPr>
                <w:rFonts w:ascii="Arial" w:hAnsi="Arial" w:cs="Arial"/>
                <w:bCs/>
                <w:sz w:val="18"/>
                <w:szCs w:val="18"/>
              </w:rPr>
            </w:pPr>
            <w:r w:rsidRPr="00701F32">
              <w:rPr>
                <w:rFonts w:ascii="Arial" w:hAnsi="Arial" w:cs="Arial"/>
                <w:bCs/>
                <w:sz w:val="18"/>
                <w:szCs w:val="18"/>
              </w:rPr>
              <w:t>1.000.000</w:t>
            </w:r>
          </w:p>
        </w:tc>
        <w:tc>
          <w:tcPr>
            <w:tcW w:w="1560" w:type="dxa"/>
            <w:tcBorders>
              <w:top w:val="single" w:sz="4" w:space="0" w:color="auto"/>
              <w:left w:val="single" w:sz="4" w:space="0" w:color="auto"/>
              <w:bottom w:val="single" w:sz="4" w:space="0" w:color="auto"/>
              <w:right w:val="single" w:sz="4" w:space="0" w:color="auto"/>
            </w:tcBorders>
            <w:vAlign w:val="center"/>
          </w:tcPr>
          <w:p w14:paraId="0052CEA0" w14:textId="6D010119" w:rsidR="00667591" w:rsidRPr="00701F32" w:rsidRDefault="008D246D" w:rsidP="00E311C9">
            <w:pPr>
              <w:tabs>
                <w:tab w:val="left" w:pos="142"/>
              </w:tabs>
              <w:jc w:val="right"/>
              <w:rPr>
                <w:rFonts w:ascii="Arial" w:hAnsi="Arial" w:cs="Arial"/>
                <w:bCs/>
                <w:sz w:val="18"/>
                <w:szCs w:val="18"/>
              </w:rPr>
            </w:pPr>
            <w:r w:rsidRPr="00701F32">
              <w:rPr>
                <w:rFonts w:ascii="Arial" w:hAnsi="Arial" w:cs="Arial"/>
                <w:bCs/>
                <w:sz w:val="18"/>
                <w:szCs w:val="18"/>
              </w:rPr>
              <w:t>44.323</w:t>
            </w:r>
          </w:p>
        </w:tc>
      </w:tr>
      <w:tr w:rsidR="00667591" w:rsidRPr="00701F32" w14:paraId="211E5A11" w14:textId="77777777" w:rsidTr="00E311C9">
        <w:trPr>
          <w:trHeight w:val="498"/>
          <w:tblHeader/>
        </w:trPr>
        <w:tc>
          <w:tcPr>
            <w:tcW w:w="2694" w:type="dxa"/>
            <w:tcBorders>
              <w:top w:val="single" w:sz="4" w:space="0" w:color="auto"/>
              <w:left w:val="single" w:sz="4" w:space="0" w:color="auto"/>
              <w:bottom w:val="single" w:sz="4" w:space="0" w:color="auto"/>
              <w:right w:val="single" w:sz="4" w:space="0" w:color="auto"/>
            </w:tcBorders>
            <w:vAlign w:val="center"/>
          </w:tcPr>
          <w:p w14:paraId="7EAE9792"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DICA-BONO RA C</w:t>
            </w:r>
          </w:p>
        </w:tc>
        <w:tc>
          <w:tcPr>
            <w:tcW w:w="1417" w:type="dxa"/>
            <w:tcBorders>
              <w:top w:val="single" w:sz="4" w:space="0" w:color="auto"/>
              <w:left w:val="single" w:sz="4" w:space="0" w:color="auto"/>
              <w:bottom w:val="single" w:sz="4" w:space="0" w:color="auto"/>
              <w:right w:val="single" w:sz="4" w:space="0" w:color="auto"/>
            </w:tcBorders>
            <w:vAlign w:val="center"/>
          </w:tcPr>
          <w:p w14:paraId="0AF9C2E6"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01/10/2018</w:t>
            </w:r>
          </w:p>
        </w:tc>
        <w:tc>
          <w:tcPr>
            <w:tcW w:w="992" w:type="dxa"/>
            <w:tcBorders>
              <w:top w:val="single" w:sz="4" w:space="0" w:color="auto"/>
              <w:left w:val="single" w:sz="4" w:space="0" w:color="auto"/>
              <w:bottom w:val="single" w:sz="4" w:space="0" w:color="auto"/>
              <w:right w:val="single" w:sz="4" w:space="0" w:color="auto"/>
            </w:tcBorders>
            <w:vAlign w:val="center"/>
          </w:tcPr>
          <w:p w14:paraId="2AB6B2D2" w14:textId="77777777" w:rsidR="00667591" w:rsidRPr="00701F32" w:rsidRDefault="00667591" w:rsidP="00E311C9">
            <w:pPr>
              <w:tabs>
                <w:tab w:val="left" w:pos="142"/>
              </w:tabs>
              <w:jc w:val="center"/>
              <w:rPr>
                <w:rFonts w:ascii="Arial" w:hAnsi="Arial" w:cs="Arial"/>
                <w:bCs/>
                <w:sz w:val="18"/>
                <w:szCs w:val="18"/>
              </w:rPr>
            </w:pPr>
            <w:r w:rsidRPr="00701F32">
              <w:rPr>
                <w:rFonts w:ascii="Arial" w:hAnsi="Arial" w:cs="Arial"/>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DF6DDC8" w14:textId="77777777" w:rsidR="00667591" w:rsidRPr="00701F32" w:rsidRDefault="00667591" w:rsidP="00E311C9">
            <w:pPr>
              <w:tabs>
                <w:tab w:val="left" w:pos="142"/>
              </w:tabs>
              <w:jc w:val="right"/>
              <w:rPr>
                <w:rFonts w:ascii="Arial" w:hAnsi="Arial" w:cs="Arial"/>
                <w:bCs/>
                <w:sz w:val="18"/>
                <w:szCs w:val="18"/>
              </w:rPr>
            </w:pPr>
            <w:r w:rsidRPr="00701F32">
              <w:rPr>
                <w:rFonts w:ascii="Arial" w:hAnsi="Arial" w:cs="Arial"/>
                <w:bCs/>
                <w:sz w:val="18"/>
                <w:szCs w:val="18"/>
              </w:rPr>
              <w:t>1.500.000</w:t>
            </w:r>
          </w:p>
        </w:tc>
        <w:tc>
          <w:tcPr>
            <w:tcW w:w="1560" w:type="dxa"/>
            <w:tcBorders>
              <w:top w:val="single" w:sz="4" w:space="0" w:color="auto"/>
              <w:left w:val="single" w:sz="4" w:space="0" w:color="auto"/>
              <w:bottom w:val="single" w:sz="4" w:space="0" w:color="auto"/>
              <w:right w:val="single" w:sz="4" w:space="0" w:color="auto"/>
            </w:tcBorders>
            <w:vAlign w:val="center"/>
          </w:tcPr>
          <w:p w14:paraId="42A7240A" w14:textId="5A940894" w:rsidR="00667591" w:rsidRPr="00701F32" w:rsidRDefault="008D246D" w:rsidP="00E311C9">
            <w:pPr>
              <w:tabs>
                <w:tab w:val="left" w:pos="142"/>
              </w:tabs>
              <w:jc w:val="right"/>
              <w:rPr>
                <w:rFonts w:ascii="Arial" w:hAnsi="Arial" w:cs="Arial"/>
                <w:bCs/>
                <w:sz w:val="18"/>
                <w:szCs w:val="18"/>
              </w:rPr>
            </w:pPr>
            <w:r w:rsidRPr="00701F32">
              <w:rPr>
                <w:rFonts w:ascii="Arial" w:hAnsi="Arial" w:cs="Arial"/>
                <w:bCs/>
                <w:sz w:val="18"/>
                <w:szCs w:val="18"/>
              </w:rPr>
              <w:t>67.415</w:t>
            </w:r>
          </w:p>
        </w:tc>
      </w:tr>
      <w:tr w:rsidR="00667591" w:rsidRPr="00701F32" w14:paraId="771D78E9" w14:textId="77777777" w:rsidTr="00E311C9">
        <w:trPr>
          <w:trHeight w:val="498"/>
        </w:trPr>
        <w:tc>
          <w:tcPr>
            <w:tcW w:w="5103" w:type="dxa"/>
            <w:gridSpan w:val="3"/>
            <w:tcBorders>
              <w:top w:val="single" w:sz="4" w:space="0" w:color="auto"/>
              <w:left w:val="single" w:sz="4" w:space="0" w:color="auto"/>
              <w:bottom w:val="single" w:sz="4" w:space="0" w:color="auto"/>
              <w:right w:val="single" w:sz="4" w:space="0" w:color="auto"/>
            </w:tcBorders>
            <w:vAlign w:val="center"/>
          </w:tcPr>
          <w:p w14:paraId="24720E20" w14:textId="77777777" w:rsidR="00667591" w:rsidRPr="00701F32" w:rsidRDefault="00667591" w:rsidP="007A3D85">
            <w:pPr>
              <w:jc w:val="center"/>
              <w:rPr>
                <w:rFonts w:ascii="Arial" w:hAnsi="Arial" w:cs="Arial"/>
                <w:sz w:val="18"/>
                <w:szCs w:val="18"/>
                <w:lang w:val="es-ES_tradnl"/>
              </w:rPr>
            </w:pPr>
            <w:r w:rsidRPr="00701F32">
              <w:rPr>
                <w:rFonts w:ascii="Arial" w:hAnsi="Arial" w:cs="Arial"/>
                <w:b/>
                <w:sz w:val="18"/>
                <w:szCs w:val="18"/>
              </w:rPr>
              <w:t>Total al 30 de septiembre de 2018</w:t>
            </w:r>
          </w:p>
        </w:tc>
        <w:tc>
          <w:tcPr>
            <w:tcW w:w="1701" w:type="dxa"/>
            <w:tcBorders>
              <w:top w:val="single" w:sz="4" w:space="0" w:color="auto"/>
              <w:left w:val="single" w:sz="4" w:space="0" w:color="auto"/>
              <w:bottom w:val="single" w:sz="4" w:space="0" w:color="auto"/>
              <w:right w:val="single" w:sz="4" w:space="0" w:color="auto"/>
            </w:tcBorders>
            <w:vAlign w:val="center"/>
          </w:tcPr>
          <w:p w14:paraId="4694B432" w14:textId="77777777" w:rsidR="00667591" w:rsidRPr="00701F32" w:rsidRDefault="00667591" w:rsidP="007A3D85">
            <w:pPr>
              <w:tabs>
                <w:tab w:val="left" w:pos="142"/>
              </w:tabs>
              <w:jc w:val="right"/>
              <w:rPr>
                <w:rFonts w:ascii="Arial" w:hAnsi="Arial" w:cs="Arial"/>
                <w:b/>
                <w:sz w:val="18"/>
                <w:szCs w:val="18"/>
                <w:lang w:val="es-ES_tradnl"/>
              </w:rPr>
            </w:pPr>
            <w:r w:rsidRPr="00701F32">
              <w:rPr>
                <w:rFonts w:ascii="Arial" w:hAnsi="Arial" w:cs="Arial"/>
                <w:b/>
                <w:sz w:val="18"/>
                <w:szCs w:val="18"/>
              </w:rPr>
              <w:t>2.500.000</w:t>
            </w:r>
          </w:p>
        </w:tc>
        <w:tc>
          <w:tcPr>
            <w:tcW w:w="1560" w:type="dxa"/>
            <w:tcBorders>
              <w:top w:val="single" w:sz="4" w:space="0" w:color="auto"/>
              <w:left w:val="single" w:sz="4" w:space="0" w:color="auto"/>
              <w:bottom w:val="single" w:sz="4" w:space="0" w:color="auto"/>
              <w:right w:val="single" w:sz="4" w:space="0" w:color="auto"/>
            </w:tcBorders>
            <w:vAlign w:val="center"/>
          </w:tcPr>
          <w:p w14:paraId="51D1C272" w14:textId="7C19F033" w:rsidR="00667591" w:rsidRPr="00701F32" w:rsidRDefault="008D246D" w:rsidP="007A3D85">
            <w:pPr>
              <w:tabs>
                <w:tab w:val="left" w:pos="142"/>
              </w:tabs>
              <w:jc w:val="right"/>
              <w:rPr>
                <w:rFonts w:ascii="Arial" w:hAnsi="Arial" w:cs="Arial"/>
                <w:b/>
                <w:bCs/>
                <w:sz w:val="18"/>
                <w:szCs w:val="18"/>
                <w:lang w:val="es-ES_tradnl"/>
              </w:rPr>
            </w:pPr>
            <w:r w:rsidRPr="00701F32">
              <w:rPr>
                <w:rFonts w:ascii="Arial" w:hAnsi="Arial" w:cs="Arial"/>
                <w:b/>
                <w:bCs/>
                <w:sz w:val="18"/>
                <w:szCs w:val="18"/>
              </w:rPr>
              <w:t>111.738</w:t>
            </w:r>
          </w:p>
        </w:tc>
      </w:tr>
    </w:tbl>
    <w:p w14:paraId="3797835C" w14:textId="77777777" w:rsidR="00B50339" w:rsidRPr="00701F32" w:rsidRDefault="00B50339" w:rsidP="00B50339">
      <w:pPr>
        <w:tabs>
          <w:tab w:val="left" w:pos="142"/>
        </w:tabs>
        <w:jc w:val="both"/>
        <w:rPr>
          <w:rFonts w:ascii="Arial" w:hAnsi="Arial" w:cs="Arial"/>
          <w:sz w:val="20"/>
        </w:rPr>
      </w:pPr>
    </w:p>
    <w:tbl>
      <w:tblPr>
        <w:tblW w:w="835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39"/>
        <w:gridCol w:w="1432"/>
        <w:gridCol w:w="859"/>
        <w:gridCol w:w="1842"/>
        <w:gridCol w:w="1480"/>
      </w:tblGrid>
      <w:tr w:rsidR="00B50339" w:rsidRPr="00701F32" w14:paraId="4D8DF38A" w14:textId="77777777" w:rsidTr="00E311C9">
        <w:trPr>
          <w:trHeight w:val="454"/>
          <w:tblHeader/>
        </w:trPr>
        <w:tc>
          <w:tcPr>
            <w:tcW w:w="2739" w:type="dxa"/>
            <w:tcBorders>
              <w:top w:val="single" w:sz="4" w:space="0" w:color="auto"/>
              <w:left w:val="single" w:sz="4" w:space="0" w:color="auto"/>
              <w:bottom w:val="single" w:sz="4" w:space="0" w:color="auto"/>
              <w:right w:val="single" w:sz="4" w:space="0" w:color="auto"/>
            </w:tcBorders>
            <w:vAlign w:val="center"/>
          </w:tcPr>
          <w:p w14:paraId="4A97310B" w14:textId="77777777" w:rsidR="00B50339" w:rsidRPr="00701F32" w:rsidRDefault="00B50339" w:rsidP="00B50339">
            <w:pPr>
              <w:jc w:val="center"/>
              <w:rPr>
                <w:rFonts w:ascii="Arial" w:hAnsi="Arial" w:cs="Arial"/>
                <w:b/>
                <w:bCs/>
                <w:sz w:val="18"/>
              </w:rPr>
            </w:pPr>
            <w:r w:rsidRPr="00701F32">
              <w:rPr>
                <w:rFonts w:ascii="Arial" w:hAnsi="Arial" w:cs="Arial"/>
                <w:b/>
                <w:bCs/>
                <w:sz w:val="18"/>
              </w:rPr>
              <w:t>Especie</w:t>
            </w:r>
          </w:p>
        </w:tc>
        <w:tc>
          <w:tcPr>
            <w:tcW w:w="1432" w:type="dxa"/>
            <w:tcBorders>
              <w:top w:val="single" w:sz="4" w:space="0" w:color="auto"/>
              <w:left w:val="single" w:sz="4" w:space="0" w:color="auto"/>
              <w:bottom w:val="single" w:sz="4" w:space="0" w:color="auto"/>
              <w:right w:val="single" w:sz="4" w:space="0" w:color="auto"/>
            </w:tcBorders>
            <w:vAlign w:val="center"/>
          </w:tcPr>
          <w:p w14:paraId="25415DEC"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Fecha de Vencimiento</w:t>
            </w:r>
          </w:p>
        </w:tc>
        <w:tc>
          <w:tcPr>
            <w:tcW w:w="858" w:type="dxa"/>
            <w:tcBorders>
              <w:top w:val="single" w:sz="4" w:space="0" w:color="auto"/>
              <w:left w:val="single" w:sz="4" w:space="0" w:color="auto"/>
              <w:bottom w:val="single" w:sz="4" w:space="0" w:color="auto"/>
              <w:right w:val="single" w:sz="4" w:space="0" w:color="auto"/>
            </w:tcBorders>
            <w:vAlign w:val="center"/>
          </w:tcPr>
          <w:p w14:paraId="57BCE1ED"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Plazo</w:t>
            </w:r>
          </w:p>
        </w:tc>
        <w:tc>
          <w:tcPr>
            <w:tcW w:w="1842" w:type="dxa"/>
            <w:tcBorders>
              <w:top w:val="single" w:sz="4" w:space="0" w:color="auto"/>
              <w:left w:val="single" w:sz="4" w:space="0" w:color="auto"/>
              <w:bottom w:val="single" w:sz="4" w:space="0" w:color="auto"/>
              <w:right w:val="single" w:sz="4" w:space="0" w:color="auto"/>
            </w:tcBorders>
            <w:vAlign w:val="center"/>
          </w:tcPr>
          <w:p w14:paraId="04342DF9"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Valor Nominal</w:t>
            </w:r>
          </w:p>
        </w:tc>
        <w:tc>
          <w:tcPr>
            <w:tcW w:w="1480" w:type="dxa"/>
            <w:tcBorders>
              <w:top w:val="single" w:sz="4" w:space="0" w:color="auto"/>
              <w:left w:val="single" w:sz="4" w:space="0" w:color="auto"/>
              <w:bottom w:val="single" w:sz="4" w:space="0" w:color="auto"/>
              <w:right w:val="single" w:sz="4" w:space="0" w:color="auto"/>
            </w:tcBorders>
            <w:vAlign w:val="center"/>
          </w:tcPr>
          <w:p w14:paraId="60D45A02"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Valor al Cierre</w:t>
            </w:r>
          </w:p>
        </w:tc>
      </w:tr>
      <w:tr w:rsidR="00B50339" w:rsidRPr="00701F32" w14:paraId="23263603" w14:textId="77777777" w:rsidTr="00E311C9">
        <w:trPr>
          <w:trHeight w:val="454"/>
          <w:tblHeader/>
        </w:trPr>
        <w:tc>
          <w:tcPr>
            <w:tcW w:w="2739" w:type="dxa"/>
            <w:tcBorders>
              <w:top w:val="single" w:sz="4" w:space="0" w:color="auto"/>
              <w:left w:val="single" w:sz="4" w:space="0" w:color="auto"/>
              <w:bottom w:val="single" w:sz="4" w:space="0" w:color="auto"/>
              <w:right w:val="single" w:sz="4" w:space="0" w:color="auto"/>
            </w:tcBorders>
            <w:vAlign w:val="center"/>
          </w:tcPr>
          <w:p w14:paraId="59C4D5CA" w14:textId="77777777" w:rsidR="00B50339" w:rsidRPr="00701F32" w:rsidRDefault="00B50339" w:rsidP="00B50339">
            <w:pPr>
              <w:jc w:val="center"/>
              <w:rPr>
                <w:rFonts w:ascii="Arial" w:hAnsi="Arial" w:cs="Arial"/>
                <w:bCs/>
                <w:sz w:val="18"/>
              </w:rPr>
            </w:pPr>
            <w:r w:rsidRPr="00701F32">
              <w:rPr>
                <w:rFonts w:ascii="Arial" w:hAnsi="Arial" w:cs="Arial"/>
                <w:bCs/>
                <w:sz w:val="18"/>
              </w:rPr>
              <w:t>I16Y8 LEBAC</w:t>
            </w:r>
          </w:p>
        </w:tc>
        <w:tc>
          <w:tcPr>
            <w:tcW w:w="1432" w:type="dxa"/>
            <w:tcBorders>
              <w:top w:val="single" w:sz="4" w:space="0" w:color="auto"/>
              <w:left w:val="single" w:sz="4" w:space="0" w:color="auto"/>
              <w:bottom w:val="single" w:sz="4" w:space="0" w:color="auto"/>
              <w:right w:val="single" w:sz="4" w:space="0" w:color="auto"/>
            </w:tcBorders>
            <w:vAlign w:val="center"/>
          </w:tcPr>
          <w:p w14:paraId="6F4A8C5C"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02/01/2018</w:t>
            </w:r>
          </w:p>
        </w:tc>
        <w:tc>
          <w:tcPr>
            <w:tcW w:w="858" w:type="dxa"/>
            <w:tcBorders>
              <w:top w:val="single" w:sz="4" w:space="0" w:color="auto"/>
              <w:left w:val="single" w:sz="4" w:space="0" w:color="auto"/>
              <w:bottom w:val="single" w:sz="4" w:space="0" w:color="auto"/>
              <w:right w:val="single" w:sz="4" w:space="0" w:color="auto"/>
            </w:tcBorders>
            <w:vAlign w:val="center"/>
          </w:tcPr>
          <w:p w14:paraId="19F7876E"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4</w:t>
            </w:r>
          </w:p>
        </w:tc>
        <w:tc>
          <w:tcPr>
            <w:tcW w:w="1842" w:type="dxa"/>
            <w:tcBorders>
              <w:top w:val="single" w:sz="4" w:space="0" w:color="auto"/>
              <w:left w:val="single" w:sz="4" w:space="0" w:color="auto"/>
              <w:bottom w:val="single" w:sz="4" w:space="0" w:color="auto"/>
              <w:right w:val="single" w:sz="4" w:space="0" w:color="auto"/>
            </w:tcBorders>
            <w:vAlign w:val="center"/>
          </w:tcPr>
          <w:p w14:paraId="481350EA"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4.100.000.000</w:t>
            </w:r>
          </w:p>
        </w:tc>
        <w:tc>
          <w:tcPr>
            <w:tcW w:w="1480" w:type="dxa"/>
            <w:tcBorders>
              <w:top w:val="single" w:sz="4" w:space="0" w:color="auto"/>
              <w:left w:val="single" w:sz="4" w:space="0" w:color="auto"/>
              <w:bottom w:val="single" w:sz="4" w:space="0" w:color="auto"/>
              <w:right w:val="single" w:sz="4" w:space="0" w:color="auto"/>
            </w:tcBorders>
            <w:vAlign w:val="center"/>
          </w:tcPr>
          <w:p w14:paraId="28140590"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3.349.822</w:t>
            </w:r>
          </w:p>
        </w:tc>
      </w:tr>
      <w:tr w:rsidR="00AB23CA" w:rsidRPr="00701F32" w14:paraId="2DAFEBAC" w14:textId="77777777" w:rsidTr="00E311C9">
        <w:trPr>
          <w:trHeight w:val="454"/>
        </w:trPr>
        <w:tc>
          <w:tcPr>
            <w:tcW w:w="5030" w:type="dxa"/>
            <w:gridSpan w:val="3"/>
            <w:tcBorders>
              <w:top w:val="single" w:sz="4" w:space="0" w:color="auto"/>
              <w:left w:val="single" w:sz="4" w:space="0" w:color="auto"/>
              <w:bottom w:val="single" w:sz="4" w:space="0" w:color="auto"/>
              <w:right w:val="single" w:sz="4" w:space="0" w:color="auto"/>
            </w:tcBorders>
            <w:vAlign w:val="center"/>
          </w:tcPr>
          <w:p w14:paraId="0BF2DC9F" w14:textId="610942FD" w:rsidR="00AB23CA" w:rsidRPr="00701F32" w:rsidRDefault="00AB23CA">
            <w:pPr>
              <w:jc w:val="center"/>
              <w:rPr>
                <w:rFonts w:ascii="Arial" w:hAnsi="Arial" w:cs="Arial"/>
                <w:sz w:val="18"/>
              </w:rPr>
            </w:pPr>
            <w:r w:rsidRPr="00701F32">
              <w:rPr>
                <w:rFonts w:ascii="Arial" w:hAnsi="Arial" w:cs="Arial"/>
                <w:b/>
                <w:sz w:val="18"/>
              </w:rPr>
              <w:t xml:space="preserve">Total al </w:t>
            </w:r>
            <w:r w:rsidR="002D4E77" w:rsidRPr="00701F32">
              <w:rPr>
                <w:rFonts w:ascii="Arial" w:hAnsi="Arial" w:cs="Arial"/>
                <w:b/>
                <w:sz w:val="18"/>
              </w:rPr>
              <w:t>31</w:t>
            </w:r>
            <w:r w:rsidR="00667591" w:rsidRPr="00701F32">
              <w:rPr>
                <w:rFonts w:ascii="Arial" w:hAnsi="Arial" w:cs="Arial"/>
                <w:b/>
                <w:sz w:val="18"/>
              </w:rPr>
              <w:t xml:space="preserve"> de diciembre de </w:t>
            </w:r>
            <w:r w:rsidR="002D4E77" w:rsidRPr="00701F32">
              <w:rPr>
                <w:rFonts w:ascii="Arial" w:hAnsi="Arial" w:cs="Arial"/>
                <w:b/>
                <w:sz w:val="18"/>
              </w:rPr>
              <w:t>2017</w:t>
            </w:r>
          </w:p>
        </w:tc>
        <w:tc>
          <w:tcPr>
            <w:tcW w:w="1842" w:type="dxa"/>
            <w:tcBorders>
              <w:top w:val="single" w:sz="4" w:space="0" w:color="auto"/>
              <w:left w:val="single" w:sz="4" w:space="0" w:color="auto"/>
              <w:bottom w:val="single" w:sz="4" w:space="0" w:color="auto"/>
              <w:right w:val="single" w:sz="4" w:space="0" w:color="auto"/>
            </w:tcBorders>
            <w:vAlign w:val="center"/>
          </w:tcPr>
          <w:p w14:paraId="7F0676D5" w14:textId="77777777" w:rsidR="00AB23CA" w:rsidRPr="00701F32" w:rsidRDefault="00AB23CA" w:rsidP="00B50339">
            <w:pPr>
              <w:tabs>
                <w:tab w:val="left" w:pos="142"/>
              </w:tabs>
              <w:jc w:val="right"/>
              <w:rPr>
                <w:rFonts w:ascii="Arial" w:hAnsi="Arial" w:cs="Arial"/>
                <w:b/>
                <w:sz w:val="18"/>
              </w:rPr>
            </w:pPr>
            <w:r w:rsidRPr="00701F32">
              <w:rPr>
                <w:rFonts w:ascii="Arial" w:hAnsi="Arial" w:cs="Arial"/>
                <w:b/>
                <w:sz w:val="18"/>
              </w:rPr>
              <w:t>4.100.000.000</w:t>
            </w:r>
          </w:p>
        </w:tc>
        <w:tc>
          <w:tcPr>
            <w:tcW w:w="1480" w:type="dxa"/>
            <w:tcBorders>
              <w:top w:val="single" w:sz="4" w:space="0" w:color="auto"/>
              <w:left w:val="single" w:sz="4" w:space="0" w:color="auto"/>
              <w:bottom w:val="single" w:sz="4" w:space="0" w:color="auto"/>
              <w:right w:val="single" w:sz="4" w:space="0" w:color="auto"/>
            </w:tcBorders>
            <w:vAlign w:val="center"/>
          </w:tcPr>
          <w:p w14:paraId="3609B6A0" w14:textId="77777777" w:rsidR="00AB23CA" w:rsidRPr="00701F32" w:rsidRDefault="00AB23CA" w:rsidP="00B50339">
            <w:pPr>
              <w:tabs>
                <w:tab w:val="left" w:pos="142"/>
              </w:tabs>
              <w:jc w:val="right"/>
              <w:rPr>
                <w:rFonts w:ascii="Arial" w:hAnsi="Arial" w:cs="Arial"/>
                <w:b/>
                <w:bCs/>
                <w:sz w:val="18"/>
              </w:rPr>
            </w:pPr>
            <w:r w:rsidRPr="00701F32">
              <w:rPr>
                <w:rFonts w:ascii="Arial" w:hAnsi="Arial" w:cs="Arial"/>
                <w:b/>
                <w:bCs/>
                <w:sz w:val="18"/>
              </w:rPr>
              <w:t>3.349.822</w:t>
            </w:r>
          </w:p>
        </w:tc>
      </w:tr>
    </w:tbl>
    <w:p w14:paraId="50F0ED44" w14:textId="4CE60C58" w:rsidR="00334A55" w:rsidRDefault="00334A55" w:rsidP="00B50339">
      <w:pPr>
        <w:tabs>
          <w:tab w:val="left" w:pos="142"/>
        </w:tabs>
        <w:jc w:val="both"/>
        <w:rPr>
          <w:rFonts w:ascii="Arial" w:hAnsi="Arial" w:cs="Arial"/>
          <w:sz w:val="20"/>
        </w:rPr>
      </w:pPr>
    </w:p>
    <w:p w14:paraId="30746D4D" w14:textId="0F5AFB65" w:rsidR="004437AA" w:rsidRDefault="004437AA" w:rsidP="00B50339">
      <w:pPr>
        <w:tabs>
          <w:tab w:val="left" w:pos="142"/>
        </w:tabs>
        <w:jc w:val="both"/>
        <w:rPr>
          <w:rFonts w:ascii="Arial" w:hAnsi="Arial" w:cs="Arial"/>
          <w:sz w:val="20"/>
        </w:rPr>
      </w:pPr>
    </w:p>
    <w:p w14:paraId="306B1A26" w14:textId="54A40B6F" w:rsidR="004437AA" w:rsidRDefault="004437AA" w:rsidP="00B50339">
      <w:pPr>
        <w:tabs>
          <w:tab w:val="left" w:pos="142"/>
        </w:tabs>
        <w:jc w:val="both"/>
        <w:rPr>
          <w:rFonts w:ascii="Arial" w:hAnsi="Arial" w:cs="Arial"/>
          <w:sz w:val="20"/>
        </w:rPr>
      </w:pPr>
    </w:p>
    <w:p w14:paraId="34578C19" w14:textId="77777777" w:rsidR="004437AA" w:rsidRPr="00701F32" w:rsidRDefault="004437AA" w:rsidP="00B50339">
      <w:pPr>
        <w:tabs>
          <w:tab w:val="left" w:pos="142"/>
        </w:tabs>
        <w:jc w:val="both"/>
        <w:rPr>
          <w:rFonts w:ascii="Arial" w:hAnsi="Arial" w:cs="Arial"/>
          <w:sz w:val="20"/>
        </w:rPr>
      </w:pPr>
    </w:p>
    <w:p w14:paraId="1D309C65" w14:textId="3B5BD7FA" w:rsidR="00FD44A1" w:rsidRPr="00701F32" w:rsidRDefault="00913516" w:rsidP="00E311C9">
      <w:pPr>
        <w:jc w:val="both"/>
        <w:rPr>
          <w:rFonts w:ascii="Arial" w:hAnsi="Arial" w:cs="Arial"/>
          <w:sz w:val="20"/>
        </w:rPr>
      </w:pPr>
      <w:r w:rsidRPr="00701F32">
        <w:rPr>
          <w:rFonts w:ascii="Arial" w:hAnsi="Arial" w:cs="Arial"/>
          <w:b/>
          <w:sz w:val="20"/>
        </w:rPr>
        <w:t>O</w:t>
      </w:r>
      <w:r w:rsidR="00B50339" w:rsidRPr="00701F32">
        <w:rPr>
          <w:rFonts w:ascii="Arial" w:hAnsi="Arial" w:cs="Arial"/>
          <w:b/>
          <w:sz w:val="20"/>
        </w:rPr>
        <w:t>peraciones de pases pasivos:</w:t>
      </w:r>
    </w:p>
    <w:p w14:paraId="29DF43A0" w14:textId="77777777" w:rsidR="00B50339" w:rsidRPr="00701F32" w:rsidRDefault="00B50339" w:rsidP="00B50339">
      <w:pPr>
        <w:tabs>
          <w:tab w:val="left" w:pos="142"/>
        </w:tabs>
        <w:jc w:val="both"/>
        <w:rPr>
          <w:rFonts w:ascii="Arial" w:hAnsi="Arial" w:cs="Arial"/>
          <w:sz w:val="20"/>
        </w:rPr>
      </w:pPr>
    </w:p>
    <w:tbl>
      <w:tblPr>
        <w:tblW w:w="82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12"/>
        <w:gridCol w:w="1418"/>
        <w:gridCol w:w="850"/>
        <w:gridCol w:w="1824"/>
        <w:gridCol w:w="1466"/>
      </w:tblGrid>
      <w:tr w:rsidR="00B50339" w:rsidRPr="00701F32" w14:paraId="6AB1BA41" w14:textId="77777777" w:rsidTr="00393CEB">
        <w:trPr>
          <w:trHeight w:val="498"/>
          <w:tblHeader/>
        </w:trPr>
        <w:tc>
          <w:tcPr>
            <w:tcW w:w="2712" w:type="dxa"/>
            <w:tcBorders>
              <w:top w:val="single" w:sz="4" w:space="0" w:color="auto"/>
              <w:left w:val="single" w:sz="4" w:space="0" w:color="auto"/>
              <w:bottom w:val="single" w:sz="4" w:space="0" w:color="auto"/>
              <w:right w:val="single" w:sz="4" w:space="0" w:color="auto"/>
            </w:tcBorders>
            <w:vAlign w:val="center"/>
          </w:tcPr>
          <w:p w14:paraId="753225DE" w14:textId="77777777" w:rsidR="00B50339" w:rsidRPr="00701F32" w:rsidRDefault="00B50339" w:rsidP="00B50339">
            <w:pPr>
              <w:jc w:val="center"/>
              <w:rPr>
                <w:rFonts w:ascii="Arial" w:hAnsi="Arial" w:cs="Arial"/>
                <w:b/>
                <w:bCs/>
                <w:sz w:val="18"/>
              </w:rPr>
            </w:pPr>
            <w:r w:rsidRPr="00701F32">
              <w:rPr>
                <w:rFonts w:ascii="Arial" w:hAnsi="Arial" w:cs="Arial"/>
                <w:b/>
                <w:bCs/>
                <w:sz w:val="18"/>
              </w:rPr>
              <w:t>Especie</w:t>
            </w:r>
          </w:p>
        </w:tc>
        <w:tc>
          <w:tcPr>
            <w:tcW w:w="1418" w:type="dxa"/>
            <w:tcBorders>
              <w:top w:val="single" w:sz="4" w:space="0" w:color="auto"/>
              <w:left w:val="single" w:sz="4" w:space="0" w:color="auto"/>
              <w:bottom w:val="single" w:sz="4" w:space="0" w:color="auto"/>
              <w:right w:val="single" w:sz="4" w:space="0" w:color="auto"/>
            </w:tcBorders>
            <w:vAlign w:val="center"/>
          </w:tcPr>
          <w:p w14:paraId="1FE3A033"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Fecha de Vencimiento</w:t>
            </w:r>
          </w:p>
        </w:tc>
        <w:tc>
          <w:tcPr>
            <w:tcW w:w="850" w:type="dxa"/>
            <w:tcBorders>
              <w:top w:val="single" w:sz="4" w:space="0" w:color="auto"/>
              <w:left w:val="single" w:sz="4" w:space="0" w:color="auto"/>
              <w:bottom w:val="single" w:sz="4" w:space="0" w:color="auto"/>
              <w:right w:val="single" w:sz="4" w:space="0" w:color="auto"/>
            </w:tcBorders>
            <w:vAlign w:val="center"/>
          </w:tcPr>
          <w:p w14:paraId="7A858364"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Plazo</w:t>
            </w:r>
          </w:p>
        </w:tc>
        <w:tc>
          <w:tcPr>
            <w:tcW w:w="1824" w:type="dxa"/>
            <w:tcBorders>
              <w:top w:val="single" w:sz="4" w:space="0" w:color="auto"/>
              <w:left w:val="single" w:sz="4" w:space="0" w:color="auto"/>
              <w:bottom w:val="single" w:sz="4" w:space="0" w:color="auto"/>
              <w:right w:val="single" w:sz="4" w:space="0" w:color="auto"/>
            </w:tcBorders>
            <w:vAlign w:val="center"/>
          </w:tcPr>
          <w:p w14:paraId="6F0E7C60"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Valor Nominal</w:t>
            </w:r>
          </w:p>
        </w:tc>
        <w:tc>
          <w:tcPr>
            <w:tcW w:w="1466" w:type="dxa"/>
            <w:tcBorders>
              <w:top w:val="single" w:sz="4" w:space="0" w:color="auto"/>
              <w:left w:val="single" w:sz="4" w:space="0" w:color="auto"/>
              <w:bottom w:val="single" w:sz="4" w:space="0" w:color="auto"/>
              <w:right w:val="single" w:sz="4" w:space="0" w:color="auto"/>
            </w:tcBorders>
            <w:vAlign w:val="center"/>
          </w:tcPr>
          <w:p w14:paraId="19C66231" w14:textId="77777777" w:rsidR="00B50339" w:rsidRPr="00701F32" w:rsidRDefault="00B50339" w:rsidP="00B50339">
            <w:pPr>
              <w:tabs>
                <w:tab w:val="left" w:pos="142"/>
              </w:tabs>
              <w:jc w:val="center"/>
              <w:rPr>
                <w:rFonts w:ascii="Arial" w:hAnsi="Arial" w:cs="Arial"/>
                <w:b/>
                <w:bCs/>
                <w:sz w:val="18"/>
              </w:rPr>
            </w:pPr>
            <w:r w:rsidRPr="00701F32">
              <w:rPr>
                <w:rFonts w:ascii="Arial" w:hAnsi="Arial" w:cs="Arial"/>
                <w:b/>
                <w:bCs/>
                <w:sz w:val="18"/>
              </w:rPr>
              <w:t>Valor al Cierre</w:t>
            </w:r>
          </w:p>
        </w:tc>
      </w:tr>
      <w:tr w:rsidR="00B50339" w:rsidRPr="00701F32" w14:paraId="7E0B076C" w14:textId="77777777" w:rsidTr="00393CEB">
        <w:trPr>
          <w:trHeight w:val="498"/>
          <w:tblHeader/>
        </w:trPr>
        <w:tc>
          <w:tcPr>
            <w:tcW w:w="2712" w:type="dxa"/>
            <w:tcBorders>
              <w:top w:val="single" w:sz="4" w:space="0" w:color="auto"/>
              <w:left w:val="single" w:sz="4" w:space="0" w:color="auto"/>
              <w:bottom w:val="single" w:sz="4" w:space="0" w:color="auto"/>
              <w:right w:val="single" w:sz="4" w:space="0" w:color="auto"/>
            </w:tcBorders>
            <w:vAlign w:val="center"/>
          </w:tcPr>
          <w:p w14:paraId="3F434241" w14:textId="77777777" w:rsidR="00B50339" w:rsidRPr="00701F32" w:rsidRDefault="00B50339" w:rsidP="00B50339">
            <w:pPr>
              <w:jc w:val="center"/>
              <w:rPr>
                <w:rFonts w:ascii="Arial" w:hAnsi="Arial" w:cs="Arial"/>
                <w:bCs/>
                <w:sz w:val="18"/>
              </w:rPr>
            </w:pPr>
            <w:r w:rsidRPr="00701F32">
              <w:rPr>
                <w:rFonts w:ascii="Arial" w:hAnsi="Arial" w:cs="Arial"/>
                <w:bCs/>
                <w:sz w:val="18"/>
              </w:rPr>
              <w:t>I04E7 LEBAC INT</w:t>
            </w:r>
          </w:p>
        </w:tc>
        <w:tc>
          <w:tcPr>
            <w:tcW w:w="1418" w:type="dxa"/>
            <w:tcBorders>
              <w:top w:val="single" w:sz="4" w:space="0" w:color="auto"/>
              <w:left w:val="single" w:sz="4" w:space="0" w:color="auto"/>
              <w:bottom w:val="single" w:sz="4" w:space="0" w:color="auto"/>
              <w:right w:val="single" w:sz="4" w:space="0" w:color="auto"/>
            </w:tcBorders>
            <w:vAlign w:val="center"/>
          </w:tcPr>
          <w:p w14:paraId="12518E02"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02/01/2017</w:t>
            </w:r>
          </w:p>
        </w:tc>
        <w:tc>
          <w:tcPr>
            <w:tcW w:w="850" w:type="dxa"/>
            <w:tcBorders>
              <w:top w:val="single" w:sz="4" w:space="0" w:color="auto"/>
              <w:left w:val="single" w:sz="4" w:space="0" w:color="auto"/>
              <w:bottom w:val="single" w:sz="4" w:space="0" w:color="auto"/>
              <w:right w:val="single" w:sz="4" w:space="0" w:color="auto"/>
            </w:tcBorders>
            <w:vAlign w:val="center"/>
          </w:tcPr>
          <w:p w14:paraId="5DC1A6C3"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3</w:t>
            </w:r>
          </w:p>
        </w:tc>
        <w:tc>
          <w:tcPr>
            <w:tcW w:w="1824" w:type="dxa"/>
            <w:tcBorders>
              <w:top w:val="single" w:sz="4" w:space="0" w:color="auto"/>
              <w:left w:val="single" w:sz="4" w:space="0" w:color="auto"/>
              <w:bottom w:val="single" w:sz="4" w:space="0" w:color="auto"/>
              <w:right w:val="single" w:sz="4" w:space="0" w:color="auto"/>
            </w:tcBorders>
            <w:vAlign w:val="center"/>
          </w:tcPr>
          <w:p w14:paraId="69275DFB"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300.000.000</w:t>
            </w:r>
          </w:p>
        </w:tc>
        <w:tc>
          <w:tcPr>
            <w:tcW w:w="1466" w:type="dxa"/>
            <w:tcBorders>
              <w:top w:val="single" w:sz="4" w:space="0" w:color="auto"/>
              <w:left w:val="single" w:sz="4" w:space="0" w:color="auto"/>
              <w:bottom w:val="single" w:sz="4" w:space="0" w:color="auto"/>
              <w:right w:val="single" w:sz="4" w:space="0" w:color="auto"/>
            </w:tcBorders>
            <w:vAlign w:val="center"/>
          </w:tcPr>
          <w:p w14:paraId="264D498A"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299.184</w:t>
            </w:r>
          </w:p>
        </w:tc>
      </w:tr>
      <w:tr w:rsidR="00B50339" w:rsidRPr="00701F32" w14:paraId="0ACF1123" w14:textId="77777777" w:rsidTr="00393CEB">
        <w:trPr>
          <w:trHeight w:val="498"/>
          <w:tblHeader/>
        </w:trPr>
        <w:tc>
          <w:tcPr>
            <w:tcW w:w="2712" w:type="dxa"/>
            <w:tcBorders>
              <w:top w:val="single" w:sz="4" w:space="0" w:color="auto"/>
              <w:left w:val="single" w:sz="4" w:space="0" w:color="auto"/>
              <w:bottom w:val="single" w:sz="4" w:space="0" w:color="auto"/>
              <w:right w:val="single" w:sz="4" w:space="0" w:color="auto"/>
            </w:tcBorders>
            <w:vAlign w:val="center"/>
          </w:tcPr>
          <w:p w14:paraId="0828C7B4" w14:textId="77777777" w:rsidR="00B50339" w:rsidRPr="00701F32" w:rsidRDefault="00B50339" w:rsidP="00B50339">
            <w:pPr>
              <w:jc w:val="center"/>
              <w:rPr>
                <w:rFonts w:ascii="Arial" w:hAnsi="Arial" w:cs="Arial"/>
                <w:bCs/>
                <w:sz w:val="18"/>
              </w:rPr>
            </w:pPr>
            <w:r w:rsidRPr="00701F32">
              <w:rPr>
                <w:rFonts w:ascii="Arial" w:hAnsi="Arial" w:cs="Arial"/>
                <w:bCs/>
                <w:sz w:val="18"/>
              </w:rPr>
              <w:t>I15F7 LEBAC INT</w:t>
            </w:r>
          </w:p>
        </w:tc>
        <w:tc>
          <w:tcPr>
            <w:tcW w:w="1418" w:type="dxa"/>
            <w:tcBorders>
              <w:top w:val="single" w:sz="4" w:space="0" w:color="auto"/>
              <w:left w:val="single" w:sz="4" w:space="0" w:color="auto"/>
              <w:bottom w:val="single" w:sz="4" w:space="0" w:color="auto"/>
              <w:right w:val="single" w:sz="4" w:space="0" w:color="auto"/>
            </w:tcBorders>
            <w:vAlign w:val="center"/>
          </w:tcPr>
          <w:p w14:paraId="1F81F579"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02/01/2017</w:t>
            </w:r>
          </w:p>
        </w:tc>
        <w:tc>
          <w:tcPr>
            <w:tcW w:w="850" w:type="dxa"/>
            <w:tcBorders>
              <w:top w:val="single" w:sz="4" w:space="0" w:color="auto"/>
              <w:left w:val="single" w:sz="4" w:space="0" w:color="auto"/>
              <w:bottom w:val="single" w:sz="4" w:space="0" w:color="auto"/>
              <w:right w:val="single" w:sz="4" w:space="0" w:color="auto"/>
            </w:tcBorders>
            <w:vAlign w:val="center"/>
          </w:tcPr>
          <w:p w14:paraId="57B2D575" w14:textId="77777777" w:rsidR="00B50339" w:rsidRPr="00701F32" w:rsidRDefault="00B50339" w:rsidP="00B50339">
            <w:pPr>
              <w:tabs>
                <w:tab w:val="left" w:pos="142"/>
              </w:tabs>
              <w:jc w:val="center"/>
              <w:rPr>
                <w:rFonts w:ascii="Arial" w:hAnsi="Arial" w:cs="Arial"/>
                <w:bCs/>
                <w:sz w:val="18"/>
              </w:rPr>
            </w:pPr>
            <w:r w:rsidRPr="00701F32">
              <w:rPr>
                <w:rFonts w:ascii="Arial" w:hAnsi="Arial" w:cs="Arial"/>
                <w:bCs/>
                <w:sz w:val="18"/>
              </w:rPr>
              <w:t>3</w:t>
            </w:r>
          </w:p>
        </w:tc>
        <w:tc>
          <w:tcPr>
            <w:tcW w:w="1824" w:type="dxa"/>
            <w:tcBorders>
              <w:top w:val="single" w:sz="4" w:space="0" w:color="auto"/>
              <w:left w:val="single" w:sz="4" w:space="0" w:color="auto"/>
              <w:bottom w:val="single" w:sz="4" w:space="0" w:color="auto"/>
              <w:right w:val="single" w:sz="4" w:space="0" w:color="auto"/>
            </w:tcBorders>
            <w:vAlign w:val="center"/>
          </w:tcPr>
          <w:p w14:paraId="02B3D3AE"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300.000.000</w:t>
            </w:r>
          </w:p>
        </w:tc>
        <w:tc>
          <w:tcPr>
            <w:tcW w:w="1466" w:type="dxa"/>
            <w:tcBorders>
              <w:top w:val="single" w:sz="4" w:space="0" w:color="auto"/>
              <w:left w:val="single" w:sz="4" w:space="0" w:color="auto"/>
              <w:bottom w:val="single" w:sz="4" w:space="0" w:color="auto"/>
              <w:right w:val="single" w:sz="4" w:space="0" w:color="auto"/>
            </w:tcBorders>
            <w:vAlign w:val="center"/>
          </w:tcPr>
          <w:p w14:paraId="47CC7C73" w14:textId="77777777" w:rsidR="00B50339" w:rsidRPr="00701F32" w:rsidRDefault="00B50339" w:rsidP="00B50339">
            <w:pPr>
              <w:tabs>
                <w:tab w:val="left" w:pos="142"/>
              </w:tabs>
              <w:jc w:val="right"/>
              <w:rPr>
                <w:rFonts w:ascii="Arial" w:hAnsi="Arial" w:cs="Arial"/>
                <w:bCs/>
                <w:sz w:val="18"/>
              </w:rPr>
            </w:pPr>
            <w:r w:rsidRPr="00701F32">
              <w:rPr>
                <w:rFonts w:ascii="Arial" w:hAnsi="Arial" w:cs="Arial"/>
                <w:bCs/>
                <w:sz w:val="18"/>
              </w:rPr>
              <w:t>291.707</w:t>
            </w:r>
          </w:p>
        </w:tc>
      </w:tr>
      <w:tr w:rsidR="00AB23CA" w:rsidRPr="00701F32" w14:paraId="5F006BC2" w14:textId="77777777" w:rsidTr="00393CEB">
        <w:trPr>
          <w:trHeight w:val="498"/>
        </w:trPr>
        <w:tc>
          <w:tcPr>
            <w:tcW w:w="4980" w:type="dxa"/>
            <w:gridSpan w:val="3"/>
            <w:tcBorders>
              <w:top w:val="single" w:sz="4" w:space="0" w:color="auto"/>
              <w:left w:val="single" w:sz="4" w:space="0" w:color="auto"/>
              <w:bottom w:val="single" w:sz="4" w:space="0" w:color="auto"/>
              <w:right w:val="single" w:sz="4" w:space="0" w:color="auto"/>
            </w:tcBorders>
            <w:vAlign w:val="center"/>
          </w:tcPr>
          <w:p w14:paraId="44D12F86" w14:textId="2778EB99" w:rsidR="00AB23CA" w:rsidRPr="00701F32" w:rsidRDefault="00AB23CA">
            <w:pPr>
              <w:jc w:val="center"/>
              <w:rPr>
                <w:rFonts w:ascii="Arial" w:hAnsi="Arial" w:cs="Arial"/>
                <w:sz w:val="18"/>
              </w:rPr>
            </w:pPr>
            <w:r w:rsidRPr="00701F32">
              <w:rPr>
                <w:rFonts w:ascii="Arial" w:hAnsi="Arial" w:cs="Arial"/>
                <w:b/>
                <w:sz w:val="18"/>
              </w:rPr>
              <w:t xml:space="preserve">Total al </w:t>
            </w:r>
            <w:r w:rsidR="002D4E77" w:rsidRPr="00701F32">
              <w:rPr>
                <w:rFonts w:ascii="Arial" w:hAnsi="Arial" w:cs="Arial"/>
                <w:b/>
                <w:sz w:val="18"/>
              </w:rPr>
              <w:t>1</w:t>
            </w:r>
            <w:r w:rsidR="00667591" w:rsidRPr="00701F32">
              <w:rPr>
                <w:rFonts w:ascii="Arial" w:hAnsi="Arial" w:cs="Arial"/>
                <w:b/>
                <w:sz w:val="18"/>
              </w:rPr>
              <w:t xml:space="preserve"> de </w:t>
            </w:r>
            <w:r w:rsidR="003A5C70" w:rsidRPr="00701F32">
              <w:rPr>
                <w:rFonts w:ascii="Arial" w:hAnsi="Arial" w:cs="Arial"/>
                <w:b/>
                <w:sz w:val="18"/>
              </w:rPr>
              <w:t>enero</w:t>
            </w:r>
            <w:r w:rsidR="00667591" w:rsidRPr="00701F32">
              <w:rPr>
                <w:rFonts w:ascii="Arial" w:hAnsi="Arial" w:cs="Arial"/>
                <w:b/>
                <w:sz w:val="18"/>
              </w:rPr>
              <w:t xml:space="preserve"> de </w:t>
            </w:r>
            <w:r w:rsidR="002D4E77" w:rsidRPr="00701F32">
              <w:rPr>
                <w:rFonts w:ascii="Arial" w:hAnsi="Arial" w:cs="Arial"/>
                <w:b/>
                <w:sz w:val="18"/>
              </w:rPr>
              <w:t>2017</w:t>
            </w:r>
          </w:p>
        </w:tc>
        <w:tc>
          <w:tcPr>
            <w:tcW w:w="1824" w:type="dxa"/>
            <w:tcBorders>
              <w:top w:val="single" w:sz="4" w:space="0" w:color="auto"/>
              <w:left w:val="single" w:sz="4" w:space="0" w:color="auto"/>
              <w:bottom w:val="single" w:sz="4" w:space="0" w:color="auto"/>
              <w:right w:val="single" w:sz="4" w:space="0" w:color="auto"/>
            </w:tcBorders>
            <w:vAlign w:val="center"/>
          </w:tcPr>
          <w:p w14:paraId="28191048" w14:textId="77777777" w:rsidR="00AB23CA" w:rsidRPr="00701F32" w:rsidRDefault="00AB23CA" w:rsidP="00B50339">
            <w:pPr>
              <w:tabs>
                <w:tab w:val="left" w:pos="142"/>
              </w:tabs>
              <w:jc w:val="right"/>
              <w:rPr>
                <w:rFonts w:ascii="Arial" w:hAnsi="Arial" w:cs="Arial"/>
                <w:b/>
                <w:sz w:val="18"/>
              </w:rPr>
            </w:pPr>
            <w:r w:rsidRPr="00701F32">
              <w:rPr>
                <w:rFonts w:ascii="Arial" w:hAnsi="Arial" w:cs="Arial"/>
                <w:b/>
                <w:sz w:val="18"/>
              </w:rPr>
              <w:t>600.000.000</w:t>
            </w:r>
          </w:p>
        </w:tc>
        <w:tc>
          <w:tcPr>
            <w:tcW w:w="1466" w:type="dxa"/>
            <w:tcBorders>
              <w:top w:val="single" w:sz="4" w:space="0" w:color="auto"/>
              <w:left w:val="single" w:sz="4" w:space="0" w:color="auto"/>
              <w:bottom w:val="single" w:sz="4" w:space="0" w:color="auto"/>
              <w:right w:val="single" w:sz="4" w:space="0" w:color="auto"/>
            </w:tcBorders>
            <w:vAlign w:val="center"/>
          </w:tcPr>
          <w:p w14:paraId="64926382" w14:textId="77777777" w:rsidR="00AB23CA" w:rsidRPr="00701F32" w:rsidRDefault="00AB23CA" w:rsidP="00B50339">
            <w:pPr>
              <w:tabs>
                <w:tab w:val="left" w:pos="142"/>
              </w:tabs>
              <w:jc w:val="right"/>
              <w:rPr>
                <w:rFonts w:ascii="Arial" w:hAnsi="Arial" w:cs="Arial"/>
                <w:b/>
                <w:bCs/>
                <w:sz w:val="18"/>
              </w:rPr>
            </w:pPr>
            <w:r w:rsidRPr="00701F32">
              <w:rPr>
                <w:rFonts w:ascii="Arial" w:hAnsi="Arial" w:cs="Arial"/>
                <w:b/>
                <w:bCs/>
                <w:sz w:val="18"/>
              </w:rPr>
              <w:t>590.891</w:t>
            </w:r>
          </w:p>
        </w:tc>
      </w:tr>
    </w:tbl>
    <w:p w14:paraId="46CF0077" w14:textId="77777777" w:rsidR="008D246D" w:rsidRPr="00701F32" w:rsidRDefault="008D246D" w:rsidP="00AF3A00">
      <w:pPr>
        <w:rPr>
          <w:rFonts w:ascii="Arial" w:hAnsi="Arial" w:cs="Arial"/>
          <w:bCs/>
          <w:color w:val="000000"/>
          <w:sz w:val="20"/>
          <w:lang w:eastAsia="es-AR"/>
        </w:rPr>
      </w:pPr>
    </w:p>
    <w:p w14:paraId="7140CAF8"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0336ED" w:rsidRPr="00701F32">
        <w:rPr>
          <w:rFonts w:ascii="Arial" w:hAnsi="Arial" w:cs="Arial"/>
          <w:bCs/>
          <w:color w:val="000000"/>
          <w:sz w:val="20"/>
          <w:lang w:eastAsia="es-AR"/>
        </w:rPr>
        <w:t>3</w:t>
      </w:r>
      <w:r w:rsidRPr="00701F32">
        <w:rPr>
          <w:rFonts w:ascii="Arial" w:hAnsi="Arial" w:cs="Arial"/>
          <w:bCs/>
          <w:color w:val="000000"/>
          <w:sz w:val="20"/>
          <w:lang w:eastAsia="es-AR"/>
        </w:rPr>
        <w:t xml:space="preserve"> Otros activos financieros</w:t>
      </w:r>
    </w:p>
    <w:p w14:paraId="67E7C17F" w14:textId="77777777" w:rsidR="00E9276E" w:rsidRPr="00701F32" w:rsidRDefault="00E9276E" w:rsidP="00AF3A00">
      <w:pPr>
        <w:rPr>
          <w:rFonts w:ascii="Arial" w:hAnsi="Arial" w:cs="Arial"/>
          <w:bCs/>
          <w:color w:val="000000"/>
          <w:sz w:val="20"/>
          <w:lang w:eastAsia="es-AR"/>
        </w:rPr>
      </w:pPr>
    </w:p>
    <w:p w14:paraId="64911CBC" w14:textId="77777777" w:rsidR="00AF3A00"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otros activos financieros al 3</w:t>
      </w:r>
      <w:r w:rsidR="007D59A1"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1276"/>
        <w:gridCol w:w="1276"/>
        <w:gridCol w:w="1270"/>
      </w:tblGrid>
      <w:tr w:rsidR="00AF3A00" w:rsidRPr="00701F32" w14:paraId="617DB0FB" w14:textId="77777777" w:rsidTr="00FF7CC8">
        <w:trPr>
          <w:trHeight w:val="255"/>
        </w:trPr>
        <w:tc>
          <w:tcPr>
            <w:tcW w:w="4603" w:type="dxa"/>
            <w:shd w:val="clear" w:color="auto" w:fill="auto"/>
            <w:noWrap/>
            <w:vAlign w:val="bottom"/>
            <w:hideMark/>
          </w:tcPr>
          <w:p w14:paraId="2E084A0A" w14:textId="77777777" w:rsidR="00AF3A00" w:rsidRPr="00701F32" w:rsidRDefault="00AF3A00" w:rsidP="00AF3A00">
            <w:pPr>
              <w:rPr>
                <w:rFonts w:ascii="Arial" w:hAnsi="Arial" w:cs="Arial"/>
                <w:b/>
                <w:bCs/>
                <w:color w:val="000000"/>
                <w:sz w:val="20"/>
                <w:u w:val="single"/>
                <w:lang w:eastAsia="es-AR"/>
              </w:rPr>
            </w:pPr>
          </w:p>
        </w:tc>
        <w:tc>
          <w:tcPr>
            <w:tcW w:w="1276" w:type="dxa"/>
            <w:shd w:val="clear" w:color="auto" w:fill="auto"/>
            <w:noWrap/>
            <w:vAlign w:val="bottom"/>
            <w:hideMark/>
          </w:tcPr>
          <w:p w14:paraId="0F0D3123" w14:textId="77777777" w:rsidR="00AF3A00" w:rsidRPr="00701F32" w:rsidRDefault="00AF3A00" w:rsidP="007D59A1">
            <w:pPr>
              <w:jc w:val="center"/>
              <w:rPr>
                <w:rFonts w:ascii="Arial" w:hAnsi="Arial" w:cs="Arial"/>
                <w:b/>
                <w:color w:val="000000"/>
                <w:sz w:val="20"/>
                <w:lang w:eastAsia="es-AR"/>
              </w:rPr>
            </w:pPr>
            <w:r w:rsidRPr="00701F32">
              <w:rPr>
                <w:rFonts w:ascii="Arial" w:hAnsi="Arial" w:cs="Arial"/>
                <w:b/>
                <w:color w:val="000000"/>
                <w:sz w:val="20"/>
                <w:lang w:eastAsia="es-AR"/>
              </w:rPr>
              <w:t>3</w:t>
            </w:r>
            <w:r w:rsidR="007D59A1"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276" w:type="dxa"/>
            <w:shd w:val="clear" w:color="auto" w:fill="auto"/>
            <w:noWrap/>
            <w:vAlign w:val="bottom"/>
            <w:hideMark/>
          </w:tcPr>
          <w:p w14:paraId="0822B47B"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31/12/2017</w:t>
            </w:r>
          </w:p>
        </w:tc>
        <w:tc>
          <w:tcPr>
            <w:tcW w:w="1270" w:type="dxa"/>
            <w:shd w:val="clear" w:color="auto" w:fill="auto"/>
            <w:noWrap/>
            <w:vAlign w:val="bottom"/>
            <w:hideMark/>
          </w:tcPr>
          <w:p w14:paraId="36727EF8"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010633D3" w14:textId="77777777" w:rsidTr="00E311C9">
        <w:trPr>
          <w:trHeight w:val="255"/>
        </w:trPr>
        <w:tc>
          <w:tcPr>
            <w:tcW w:w="4603" w:type="dxa"/>
            <w:shd w:val="clear" w:color="auto" w:fill="auto"/>
            <w:noWrap/>
            <w:vAlign w:val="bottom"/>
            <w:hideMark/>
          </w:tcPr>
          <w:p w14:paraId="285AFD27"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Certificados Participacion Fideicomisos Financieros</w:t>
            </w:r>
          </w:p>
        </w:tc>
        <w:tc>
          <w:tcPr>
            <w:tcW w:w="1276" w:type="dxa"/>
            <w:shd w:val="clear" w:color="auto" w:fill="auto"/>
            <w:noWrap/>
            <w:vAlign w:val="bottom"/>
          </w:tcPr>
          <w:p w14:paraId="45AE8F9E" w14:textId="035EB05C"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66.769 </w:t>
            </w:r>
          </w:p>
        </w:tc>
        <w:tc>
          <w:tcPr>
            <w:tcW w:w="1276" w:type="dxa"/>
            <w:shd w:val="clear" w:color="auto" w:fill="auto"/>
            <w:noWrap/>
            <w:vAlign w:val="bottom"/>
            <w:hideMark/>
          </w:tcPr>
          <w:p w14:paraId="54C8810E"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54.461 </w:t>
            </w:r>
          </w:p>
        </w:tc>
        <w:tc>
          <w:tcPr>
            <w:tcW w:w="1270" w:type="dxa"/>
            <w:shd w:val="clear" w:color="auto" w:fill="auto"/>
            <w:noWrap/>
            <w:vAlign w:val="bottom"/>
            <w:hideMark/>
          </w:tcPr>
          <w:p w14:paraId="2B0BDC1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193.691 </w:t>
            </w:r>
          </w:p>
        </w:tc>
      </w:tr>
      <w:tr w:rsidR="003402A0" w:rsidRPr="00701F32" w14:paraId="2648886D" w14:textId="77777777" w:rsidTr="00E311C9">
        <w:trPr>
          <w:trHeight w:val="255"/>
        </w:trPr>
        <w:tc>
          <w:tcPr>
            <w:tcW w:w="4603" w:type="dxa"/>
            <w:shd w:val="clear" w:color="auto" w:fill="auto"/>
            <w:noWrap/>
            <w:vAlign w:val="bottom"/>
            <w:hideMark/>
          </w:tcPr>
          <w:p w14:paraId="65FEC93E"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Deudores por operaciones contado a liquidar</w:t>
            </w:r>
          </w:p>
        </w:tc>
        <w:tc>
          <w:tcPr>
            <w:tcW w:w="1276" w:type="dxa"/>
            <w:shd w:val="clear" w:color="auto" w:fill="auto"/>
            <w:noWrap/>
            <w:vAlign w:val="bottom"/>
          </w:tcPr>
          <w:p w14:paraId="7A7B3413" w14:textId="62A07776"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45.066 </w:t>
            </w:r>
          </w:p>
        </w:tc>
        <w:tc>
          <w:tcPr>
            <w:tcW w:w="1276" w:type="dxa"/>
            <w:shd w:val="clear" w:color="auto" w:fill="auto"/>
            <w:noWrap/>
            <w:vAlign w:val="bottom"/>
            <w:hideMark/>
          </w:tcPr>
          <w:p w14:paraId="6389BF6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22.669 </w:t>
            </w:r>
          </w:p>
        </w:tc>
        <w:tc>
          <w:tcPr>
            <w:tcW w:w="1270" w:type="dxa"/>
            <w:shd w:val="clear" w:color="auto" w:fill="auto"/>
            <w:noWrap/>
            <w:vAlign w:val="bottom"/>
            <w:hideMark/>
          </w:tcPr>
          <w:p w14:paraId="3681A29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4.745 </w:t>
            </w:r>
          </w:p>
        </w:tc>
      </w:tr>
      <w:tr w:rsidR="003402A0" w:rsidRPr="00701F32" w14:paraId="7327768B" w14:textId="77777777" w:rsidTr="00E311C9">
        <w:trPr>
          <w:trHeight w:val="255"/>
        </w:trPr>
        <w:tc>
          <w:tcPr>
            <w:tcW w:w="4603" w:type="dxa"/>
            <w:shd w:val="clear" w:color="auto" w:fill="auto"/>
            <w:noWrap/>
            <w:vAlign w:val="bottom"/>
            <w:hideMark/>
          </w:tcPr>
          <w:p w14:paraId="47A68F32"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Deudores Varios</w:t>
            </w:r>
          </w:p>
        </w:tc>
        <w:tc>
          <w:tcPr>
            <w:tcW w:w="1276" w:type="dxa"/>
            <w:shd w:val="clear" w:color="auto" w:fill="auto"/>
            <w:noWrap/>
            <w:vAlign w:val="bottom"/>
          </w:tcPr>
          <w:p w14:paraId="5BD04395" w14:textId="4113D2FE"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635.439 </w:t>
            </w:r>
          </w:p>
        </w:tc>
        <w:tc>
          <w:tcPr>
            <w:tcW w:w="1276" w:type="dxa"/>
            <w:shd w:val="clear" w:color="auto" w:fill="auto"/>
            <w:noWrap/>
            <w:vAlign w:val="bottom"/>
            <w:hideMark/>
          </w:tcPr>
          <w:p w14:paraId="5FBDA3D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295.761 </w:t>
            </w:r>
          </w:p>
        </w:tc>
        <w:tc>
          <w:tcPr>
            <w:tcW w:w="1270" w:type="dxa"/>
            <w:shd w:val="clear" w:color="auto" w:fill="auto"/>
            <w:noWrap/>
            <w:vAlign w:val="bottom"/>
            <w:hideMark/>
          </w:tcPr>
          <w:p w14:paraId="09433A7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233.462 </w:t>
            </w:r>
          </w:p>
        </w:tc>
      </w:tr>
      <w:tr w:rsidR="003402A0" w:rsidRPr="00701F32" w14:paraId="31BEEA12" w14:textId="77777777" w:rsidTr="00E311C9">
        <w:trPr>
          <w:trHeight w:val="255"/>
        </w:trPr>
        <w:tc>
          <w:tcPr>
            <w:tcW w:w="4603" w:type="dxa"/>
            <w:shd w:val="clear" w:color="auto" w:fill="auto"/>
            <w:noWrap/>
            <w:vAlign w:val="bottom"/>
            <w:hideMark/>
          </w:tcPr>
          <w:p w14:paraId="4BFBA7FC"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Deudores Varios por operaciones de Tarjeta de Crédito</w:t>
            </w:r>
          </w:p>
        </w:tc>
        <w:tc>
          <w:tcPr>
            <w:tcW w:w="1276" w:type="dxa"/>
            <w:shd w:val="clear" w:color="auto" w:fill="auto"/>
            <w:noWrap/>
            <w:vAlign w:val="bottom"/>
          </w:tcPr>
          <w:p w14:paraId="10684132" w14:textId="30922E0B"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356.071 </w:t>
            </w:r>
          </w:p>
        </w:tc>
        <w:tc>
          <w:tcPr>
            <w:tcW w:w="1276" w:type="dxa"/>
            <w:shd w:val="clear" w:color="auto" w:fill="auto"/>
            <w:noWrap/>
            <w:vAlign w:val="bottom"/>
            <w:hideMark/>
          </w:tcPr>
          <w:p w14:paraId="0A99DC0E"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318.256 </w:t>
            </w:r>
          </w:p>
        </w:tc>
        <w:tc>
          <w:tcPr>
            <w:tcW w:w="1270" w:type="dxa"/>
            <w:shd w:val="clear" w:color="auto" w:fill="auto"/>
            <w:noWrap/>
            <w:vAlign w:val="bottom"/>
            <w:hideMark/>
          </w:tcPr>
          <w:p w14:paraId="4B9BC41A"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116.811 </w:t>
            </w:r>
          </w:p>
        </w:tc>
      </w:tr>
      <w:tr w:rsidR="003402A0" w:rsidRPr="00701F32" w14:paraId="4148A618" w14:textId="77777777" w:rsidTr="00E311C9">
        <w:trPr>
          <w:trHeight w:val="255"/>
        </w:trPr>
        <w:tc>
          <w:tcPr>
            <w:tcW w:w="4603" w:type="dxa"/>
            <w:shd w:val="clear" w:color="auto" w:fill="auto"/>
            <w:noWrap/>
            <w:vAlign w:val="bottom"/>
            <w:hideMark/>
          </w:tcPr>
          <w:p w14:paraId="0426791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Deudores Varios por recaudaciones</w:t>
            </w:r>
          </w:p>
        </w:tc>
        <w:tc>
          <w:tcPr>
            <w:tcW w:w="1276" w:type="dxa"/>
            <w:shd w:val="clear" w:color="auto" w:fill="auto"/>
            <w:noWrap/>
          </w:tcPr>
          <w:p w14:paraId="530095A3" w14:textId="72FD38AE"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23.507 </w:t>
            </w:r>
          </w:p>
        </w:tc>
        <w:tc>
          <w:tcPr>
            <w:tcW w:w="1276" w:type="dxa"/>
            <w:shd w:val="clear" w:color="auto" w:fill="auto"/>
            <w:noWrap/>
            <w:vAlign w:val="bottom"/>
            <w:hideMark/>
          </w:tcPr>
          <w:p w14:paraId="58797B16"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5.836 </w:t>
            </w:r>
          </w:p>
        </w:tc>
        <w:tc>
          <w:tcPr>
            <w:tcW w:w="1270" w:type="dxa"/>
            <w:shd w:val="clear" w:color="auto" w:fill="auto"/>
            <w:noWrap/>
            <w:vAlign w:val="bottom"/>
            <w:hideMark/>
          </w:tcPr>
          <w:p w14:paraId="4773D1E9"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5.836 </w:t>
            </w:r>
          </w:p>
        </w:tc>
      </w:tr>
      <w:tr w:rsidR="00AF3A00" w:rsidRPr="00701F32" w14:paraId="518F9B06" w14:textId="77777777" w:rsidTr="00941382">
        <w:trPr>
          <w:trHeight w:val="270"/>
        </w:trPr>
        <w:tc>
          <w:tcPr>
            <w:tcW w:w="4603" w:type="dxa"/>
            <w:shd w:val="clear" w:color="auto" w:fill="auto"/>
            <w:noWrap/>
            <w:vAlign w:val="bottom"/>
            <w:hideMark/>
          </w:tcPr>
          <w:p w14:paraId="1B18C761"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276" w:type="dxa"/>
            <w:shd w:val="clear" w:color="auto" w:fill="auto"/>
            <w:noWrap/>
            <w:vAlign w:val="bottom"/>
          </w:tcPr>
          <w:p w14:paraId="20A593DB" w14:textId="48346CBC" w:rsidR="00AF3A00" w:rsidRPr="00701F32" w:rsidRDefault="003402A0">
            <w:pPr>
              <w:jc w:val="right"/>
              <w:rPr>
                <w:rFonts w:ascii="Arial" w:hAnsi="Arial" w:cs="Arial"/>
                <w:b/>
                <w:color w:val="000000"/>
                <w:sz w:val="20"/>
                <w:lang w:eastAsia="es-AR"/>
              </w:rPr>
            </w:pPr>
            <w:r w:rsidRPr="00701F32">
              <w:rPr>
                <w:rFonts w:ascii="Arial" w:hAnsi="Arial" w:cs="Arial"/>
                <w:b/>
                <w:color w:val="000000"/>
                <w:sz w:val="20"/>
                <w:lang w:eastAsia="es-AR"/>
              </w:rPr>
              <w:t>1.126.852</w:t>
            </w:r>
          </w:p>
        </w:tc>
        <w:tc>
          <w:tcPr>
            <w:tcW w:w="1276" w:type="dxa"/>
            <w:shd w:val="clear" w:color="auto" w:fill="auto"/>
            <w:noWrap/>
            <w:vAlign w:val="bottom"/>
            <w:hideMark/>
          </w:tcPr>
          <w:p w14:paraId="0B25F434"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 xml:space="preserve">696.983 </w:t>
            </w:r>
          </w:p>
        </w:tc>
        <w:tc>
          <w:tcPr>
            <w:tcW w:w="1270" w:type="dxa"/>
            <w:shd w:val="clear" w:color="auto" w:fill="auto"/>
            <w:noWrap/>
            <w:vAlign w:val="bottom"/>
            <w:hideMark/>
          </w:tcPr>
          <w:p w14:paraId="4A1638D8"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 xml:space="preserve">554.545 </w:t>
            </w:r>
          </w:p>
        </w:tc>
      </w:tr>
    </w:tbl>
    <w:p w14:paraId="0D3B05E2" w14:textId="77777777" w:rsidR="00AF3A00" w:rsidRPr="00701F32" w:rsidRDefault="00AF3A00" w:rsidP="00AF3A00">
      <w:pPr>
        <w:spacing w:after="160" w:line="259" w:lineRule="auto"/>
        <w:rPr>
          <w:rFonts w:ascii="Arial" w:eastAsiaTheme="minorHAnsi" w:hAnsi="Arial" w:cs="Arial"/>
          <w:sz w:val="22"/>
          <w:szCs w:val="22"/>
        </w:rPr>
      </w:pPr>
    </w:p>
    <w:p w14:paraId="2C5D5444"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0336ED" w:rsidRPr="00701F32">
        <w:rPr>
          <w:rFonts w:ascii="Arial" w:hAnsi="Arial" w:cs="Arial"/>
          <w:bCs/>
          <w:color w:val="000000"/>
          <w:sz w:val="20"/>
          <w:lang w:eastAsia="es-AR"/>
        </w:rPr>
        <w:t>4</w:t>
      </w:r>
      <w:r w:rsidRPr="00701F32">
        <w:rPr>
          <w:rFonts w:ascii="Arial" w:hAnsi="Arial" w:cs="Arial"/>
          <w:bCs/>
          <w:color w:val="000000"/>
          <w:sz w:val="20"/>
          <w:lang w:eastAsia="es-AR"/>
        </w:rPr>
        <w:t xml:space="preserve"> Préstamos y otras financiaciones</w:t>
      </w:r>
    </w:p>
    <w:p w14:paraId="13769224" w14:textId="77777777" w:rsidR="00D52541" w:rsidRPr="00701F32" w:rsidRDefault="00D52541" w:rsidP="00AF3A00">
      <w:pPr>
        <w:rPr>
          <w:rFonts w:ascii="Arial" w:hAnsi="Arial" w:cs="Arial"/>
          <w:bCs/>
          <w:color w:val="000000"/>
          <w:sz w:val="20"/>
          <w:lang w:eastAsia="es-AR"/>
        </w:rPr>
      </w:pPr>
    </w:p>
    <w:p w14:paraId="46D135F6" w14:textId="77777777" w:rsidR="00AF3A00"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préstamos y otras financiaciones al 3</w:t>
      </w:r>
      <w:r w:rsidR="007D59A1"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w:t>
      </w:r>
      <w:r w:rsidR="00D93294" w:rsidRPr="00701F32">
        <w:rPr>
          <w:rFonts w:ascii="Arial" w:eastAsiaTheme="minorHAnsi" w:hAnsi="Arial" w:cs="Arial"/>
          <w:sz w:val="20"/>
          <w:szCs w:val="22"/>
        </w:rPr>
        <w:t xml:space="preserve"> </w:t>
      </w:r>
      <w:r w:rsidRPr="00701F32">
        <w:rPr>
          <w:rFonts w:ascii="Arial" w:eastAsiaTheme="minorHAnsi" w:hAnsi="Arial" w:cs="Arial"/>
          <w:sz w:val="20"/>
          <w:szCs w:val="22"/>
        </w:rPr>
        <w:t>y 1 de enero de 2017 son los siguientes:</w:t>
      </w:r>
    </w:p>
    <w:tbl>
      <w:tblPr>
        <w:tblW w:w="82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6"/>
        <w:gridCol w:w="1376"/>
        <w:gridCol w:w="1376"/>
        <w:gridCol w:w="1376"/>
      </w:tblGrid>
      <w:tr w:rsidR="00AF3A00" w:rsidRPr="00701F32" w14:paraId="4C55CB1B" w14:textId="77777777" w:rsidTr="005819B2">
        <w:trPr>
          <w:trHeight w:val="255"/>
          <w:tblHeader/>
        </w:trPr>
        <w:tc>
          <w:tcPr>
            <w:tcW w:w="4076" w:type="dxa"/>
            <w:shd w:val="clear" w:color="auto" w:fill="auto"/>
            <w:noWrap/>
            <w:vAlign w:val="bottom"/>
            <w:hideMark/>
          </w:tcPr>
          <w:p w14:paraId="630FF1C3" w14:textId="77777777" w:rsidR="00AF3A00" w:rsidRPr="00701F32" w:rsidRDefault="00AF3A00" w:rsidP="00AF3A00">
            <w:pPr>
              <w:rPr>
                <w:rFonts w:ascii="Arial" w:hAnsi="Arial" w:cs="Arial"/>
                <w:b/>
                <w:bCs/>
                <w:color w:val="000000"/>
                <w:sz w:val="20"/>
                <w:u w:val="single"/>
                <w:lang w:eastAsia="es-AR"/>
              </w:rPr>
            </w:pPr>
          </w:p>
        </w:tc>
        <w:tc>
          <w:tcPr>
            <w:tcW w:w="1376" w:type="dxa"/>
            <w:shd w:val="clear" w:color="auto" w:fill="auto"/>
            <w:noWrap/>
            <w:vAlign w:val="bottom"/>
            <w:hideMark/>
          </w:tcPr>
          <w:p w14:paraId="75BAA60B" w14:textId="77777777" w:rsidR="00AF3A00" w:rsidRPr="00701F32" w:rsidRDefault="00AF3A00" w:rsidP="007D59A1">
            <w:pPr>
              <w:jc w:val="center"/>
              <w:rPr>
                <w:rFonts w:ascii="Arial" w:hAnsi="Arial" w:cs="Arial"/>
                <w:b/>
                <w:color w:val="000000"/>
                <w:sz w:val="20"/>
                <w:lang w:eastAsia="es-AR"/>
              </w:rPr>
            </w:pPr>
            <w:r w:rsidRPr="00701F32">
              <w:rPr>
                <w:rFonts w:ascii="Arial" w:hAnsi="Arial" w:cs="Arial"/>
                <w:b/>
                <w:color w:val="000000"/>
                <w:sz w:val="20"/>
                <w:lang w:eastAsia="es-AR"/>
              </w:rPr>
              <w:t>3</w:t>
            </w:r>
            <w:r w:rsidR="007D59A1"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1480FCE5"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33728B46"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55D50C78" w14:textId="77777777" w:rsidTr="00E311C9">
        <w:trPr>
          <w:trHeight w:val="255"/>
        </w:trPr>
        <w:tc>
          <w:tcPr>
            <w:tcW w:w="4076" w:type="dxa"/>
            <w:shd w:val="clear" w:color="auto" w:fill="auto"/>
            <w:noWrap/>
            <w:vAlign w:val="bottom"/>
            <w:hideMark/>
          </w:tcPr>
          <w:p w14:paraId="09122DF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Sector público</w:t>
            </w:r>
          </w:p>
        </w:tc>
        <w:tc>
          <w:tcPr>
            <w:tcW w:w="1376" w:type="dxa"/>
            <w:shd w:val="clear" w:color="auto" w:fill="auto"/>
            <w:noWrap/>
          </w:tcPr>
          <w:p w14:paraId="197A7D87" w14:textId="0FE2C927"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35.575 </w:t>
            </w:r>
          </w:p>
        </w:tc>
        <w:tc>
          <w:tcPr>
            <w:tcW w:w="1376" w:type="dxa"/>
            <w:shd w:val="clear" w:color="auto" w:fill="auto"/>
            <w:noWrap/>
            <w:vAlign w:val="bottom"/>
            <w:hideMark/>
          </w:tcPr>
          <w:p w14:paraId="0B2E763E"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32.607 </w:t>
            </w:r>
          </w:p>
        </w:tc>
        <w:tc>
          <w:tcPr>
            <w:tcW w:w="1376" w:type="dxa"/>
            <w:shd w:val="clear" w:color="auto" w:fill="auto"/>
            <w:noWrap/>
            <w:vAlign w:val="bottom"/>
            <w:hideMark/>
          </w:tcPr>
          <w:p w14:paraId="107AE5F8"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4.306 </w:t>
            </w:r>
          </w:p>
        </w:tc>
      </w:tr>
      <w:tr w:rsidR="003402A0" w:rsidRPr="00701F32" w14:paraId="585A58DD" w14:textId="77777777" w:rsidTr="00E311C9">
        <w:trPr>
          <w:trHeight w:val="255"/>
        </w:trPr>
        <w:tc>
          <w:tcPr>
            <w:tcW w:w="4076" w:type="dxa"/>
            <w:shd w:val="clear" w:color="auto" w:fill="auto"/>
            <w:noWrap/>
            <w:vAlign w:val="bottom"/>
            <w:hideMark/>
          </w:tcPr>
          <w:p w14:paraId="694C4C54"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Sector financiero</w:t>
            </w:r>
          </w:p>
        </w:tc>
        <w:tc>
          <w:tcPr>
            <w:tcW w:w="1376" w:type="dxa"/>
            <w:shd w:val="clear" w:color="auto" w:fill="auto"/>
            <w:noWrap/>
          </w:tcPr>
          <w:p w14:paraId="2F193292" w14:textId="0A4BA57A"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410.572 </w:t>
            </w:r>
          </w:p>
        </w:tc>
        <w:tc>
          <w:tcPr>
            <w:tcW w:w="1376" w:type="dxa"/>
            <w:shd w:val="clear" w:color="auto" w:fill="auto"/>
            <w:noWrap/>
            <w:vAlign w:val="bottom"/>
            <w:hideMark/>
          </w:tcPr>
          <w:p w14:paraId="74B5CEC5"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397.139 </w:t>
            </w:r>
          </w:p>
        </w:tc>
        <w:tc>
          <w:tcPr>
            <w:tcW w:w="1376" w:type="dxa"/>
            <w:shd w:val="clear" w:color="auto" w:fill="auto"/>
            <w:noWrap/>
            <w:vAlign w:val="bottom"/>
            <w:hideMark/>
          </w:tcPr>
          <w:p w14:paraId="7DCA638F"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453.982 </w:t>
            </w:r>
          </w:p>
        </w:tc>
      </w:tr>
      <w:tr w:rsidR="003402A0" w:rsidRPr="00701F32" w14:paraId="57F438D2" w14:textId="77777777" w:rsidTr="00E311C9">
        <w:trPr>
          <w:trHeight w:val="255"/>
        </w:trPr>
        <w:tc>
          <w:tcPr>
            <w:tcW w:w="4076" w:type="dxa"/>
            <w:shd w:val="clear" w:color="auto" w:fill="auto"/>
            <w:noWrap/>
            <w:vAlign w:val="bottom"/>
            <w:hideMark/>
          </w:tcPr>
          <w:p w14:paraId="1D0FF020"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Adelantos</w:t>
            </w:r>
          </w:p>
        </w:tc>
        <w:tc>
          <w:tcPr>
            <w:tcW w:w="1376" w:type="dxa"/>
            <w:shd w:val="clear" w:color="auto" w:fill="auto"/>
            <w:noWrap/>
          </w:tcPr>
          <w:p w14:paraId="077BCD4D" w14:textId="1317F7AA"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5.511.256 </w:t>
            </w:r>
          </w:p>
        </w:tc>
        <w:tc>
          <w:tcPr>
            <w:tcW w:w="1376" w:type="dxa"/>
            <w:shd w:val="clear" w:color="auto" w:fill="auto"/>
            <w:noWrap/>
            <w:vAlign w:val="bottom"/>
            <w:hideMark/>
          </w:tcPr>
          <w:p w14:paraId="337FB600"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3.771.379 </w:t>
            </w:r>
          </w:p>
        </w:tc>
        <w:tc>
          <w:tcPr>
            <w:tcW w:w="1376" w:type="dxa"/>
            <w:shd w:val="clear" w:color="auto" w:fill="auto"/>
            <w:noWrap/>
            <w:vAlign w:val="bottom"/>
            <w:hideMark/>
          </w:tcPr>
          <w:p w14:paraId="4575EC3A"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3.219.731 </w:t>
            </w:r>
          </w:p>
        </w:tc>
      </w:tr>
      <w:tr w:rsidR="003402A0" w:rsidRPr="00701F32" w14:paraId="5ED9944D" w14:textId="77777777" w:rsidTr="00E311C9">
        <w:trPr>
          <w:trHeight w:val="255"/>
        </w:trPr>
        <w:tc>
          <w:tcPr>
            <w:tcW w:w="4076" w:type="dxa"/>
            <w:shd w:val="clear" w:color="auto" w:fill="auto"/>
            <w:noWrap/>
            <w:vAlign w:val="bottom"/>
            <w:hideMark/>
          </w:tcPr>
          <w:p w14:paraId="4F34C2A1"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Documentos</w:t>
            </w:r>
          </w:p>
        </w:tc>
        <w:tc>
          <w:tcPr>
            <w:tcW w:w="1376" w:type="dxa"/>
            <w:shd w:val="clear" w:color="auto" w:fill="auto"/>
            <w:noWrap/>
          </w:tcPr>
          <w:p w14:paraId="361B7B5F" w14:textId="1984ED08"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14.799.511 </w:t>
            </w:r>
          </w:p>
        </w:tc>
        <w:tc>
          <w:tcPr>
            <w:tcW w:w="1376" w:type="dxa"/>
            <w:shd w:val="clear" w:color="auto" w:fill="auto"/>
            <w:noWrap/>
            <w:vAlign w:val="bottom"/>
            <w:hideMark/>
          </w:tcPr>
          <w:p w14:paraId="5758C008"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14.665.561 </w:t>
            </w:r>
          </w:p>
        </w:tc>
        <w:tc>
          <w:tcPr>
            <w:tcW w:w="1376" w:type="dxa"/>
            <w:shd w:val="clear" w:color="auto" w:fill="auto"/>
            <w:noWrap/>
            <w:vAlign w:val="bottom"/>
            <w:hideMark/>
          </w:tcPr>
          <w:p w14:paraId="02CBC88E"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9.125.835 </w:t>
            </w:r>
          </w:p>
        </w:tc>
      </w:tr>
      <w:tr w:rsidR="003402A0" w:rsidRPr="00701F32" w14:paraId="234A5C80" w14:textId="77777777" w:rsidTr="00E311C9">
        <w:trPr>
          <w:trHeight w:val="255"/>
        </w:trPr>
        <w:tc>
          <w:tcPr>
            <w:tcW w:w="4076" w:type="dxa"/>
            <w:shd w:val="clear" w:color="auto" w:fill="auto"/>
            <w:noWrap/>
            <w:vAlign w:val="bottom"/>
            <w:hideMark/>
          </w:tcPr>
          <w:p w14:paraId="5C1B27F6"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Hipotecarios</w:t>
            </w:r>
          </w:p>
        </w:tc>
        <w:tc>
          <w:tcPr>
            <w:tcW w:w="1376" w:type="dxa"/>
            <w:shd w:val="clear" w:color="auto" w:fill="auto"/>
            <w:noWrap/>
          </w:tcPr>
          <w:p w14:paraId="18D8FEFB" w14:textId="1B860F32"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4.580.329 </w:t>
            </w:r>
          </w:p>
        </w:tc>
        <w:tc>
          <w:tcPr>
            <w:tcW w:w="1376" w:type="dxa"/>
            <w:shd w:val="clear" w:color="auto" w:fill="auto"/>
            <w:noWrap/>
            <w:vAlign w:val="bottom"/>
            <w:hideMark/>
          </w:tcPr>
          <w:p w14:paraId="57BAAB43"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1.637.631 </w:t>
            </w:r>
          </w:p>
        </w:tc>
        <w:tc>
          <w:tcPr>
            <w:tcW w:w="1376" w:type="dxa"/>
            <w:shd w:val="clear" w:color="auto" w:fill="auto"/>
            <w:noWrap/>
            <w:vAlign w:val="bottom"/>
            <w:hideMark/>
          </w:tcPr>
          <w:p w14:paraId="2F491F81"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79.746 </w:t>
            </w:r>
          </w:p>
        </w:tc>
      </w:tr>
      <w:tr w:rsidR="003402A0" w:rsidRPr="00701F32" w14:paraId="04A325C7" w14:textId="77777777" w:rsidTr="00E311C9">
        <w:trPr>
          <w:trHeight w:val="255"/>
        </w:trPr>
        <w:tc>
          <w:tcPr>
            <w:tcW w:w="4076" w:type="dxa"/>
            <w:shd w:val="clear" w:color="auto" w:fill="auto"/>
            <w:noWrap/>
            <w:vAlign w:val="bottom"/>
            <w:hideMark/>
          </w:tcPr>
          <w:p w14:paraId="76CB5CA9"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Prendarios</w:t>
            </w:r>
          </w:p>
        </w:tc>
        <w:tc>
          <w:tcPr>
            <w:tcW w:w="1376" w:type="dxa"/>
            <w:shd w:val="clear" w:color="auto" w:fill="auto"/>
            <w:noWrap/>
          </w:tcPr>
          <w:p w14:paraId="72AEA824" w14:textId="0101A8FD"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755.256 </w:t>
            </w:r>
          </w:p>
        </w:tc>
        <w:tc>
          <w:tcPr>
            <w:tcW w:w="1376" w:type="dxa"/>
            <w:shd w:val="clear" w:color="auto" w:fill="auto"/>
            <w:noWrap/>
            <w:vAlign w:val="bottom"/>
            <w:hideMark/>
          </w:tcPr>
          <w:p w14:paraId="31756AE2"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317.836 </w:t>
            </w:r>
          </w:p>
        </w:tc>
        <w:tc>
          <w:tcPr>
            <w:tcW w:w="1376" w:type="dxa"/>
            <w:shd w:val="clear" w:color="auto" w:fill="auto"/>
            <w:noWrap/>
            <w:vAlign w:val="bottom"/>
            <w:hideMark/>
          </w:tcPr>
          <w:p w14:paraId="0092390C"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66.040 </w:t>
            </w:r>
          </w:p>
        </w:tc>
      </w:tr>
      <w:tr w:rsidR="003402A0" w:rsidRPr="00701F32" w14:paraId="3FED5746" w14:textId="77777777" w:rsidTr="00E311C9">
        <w:trPr>
          <w:trHeight w:val="255"/>
        </w:trPr>
        <w:tc>
          <w:tcPr>
            <w:tcW w:w="4076" w:type="dxa"/>
            <w:shd w:val="clear" w:color="auto" w:fill="auto"/>
            <w:noWrap/>
            <w:vAlign w:val="bottom"/>
            <w:hideMark/>
          </w:tcPr>
          <w:p w14:paraId="01ED016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Personales</w:t>
            </w:r>
          </w:p>
        </w:tc>
        <w:tc>
          <w:tcPr>
            <w:tcW w:w="1376" w:type="dxa"/>
            <w:shd w:val="clear" w:color="auto" w:fill="auto"/>
            <w:noWrap/>
          </w:tcPr>
          <w:p w14:paraId="7C5BEE5E" w14:textId="37BCB1C0"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18.833.858 </w:t>
            </w:r>
          </w:p>
        </w:tc>
        <w:tc>
          <w:tcPr>
            <w:tcW w:w="1376" w:type="dxa"/>
            <w:shd w:val="clear" w:color="auto" w:fill="auto"/>
            <w:noWrap/>
            <w:vAlign w:val="bottom"/>
            <w:hideMark/>
          </w:tcPr>
          <w:p w14:paraId="6DD4892E"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16.424.713 </w:t>
            </w:r>
          </w:p>
        </w:tc>
        <w:tc>
          <w:tcPr>
            <w:tcW w:w="1376" w:type="dxa"/>
            <w:shd w:val="clear" w:color="auto" w:fill="auto"/>
            <w:noWrap/>
            <w:vAlign w:val="bottom"/>
            <w:hideMark/>
          </w:tcPr>
          <w:p w14:paraId="0D9FA0ED"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12.948.662 </w:t>
            </w:r>
          </w:p>
        </w:tc>
      </w:tr>
      <w:tr w:rsidR="003402A0" w:rsidRPr="00701F32" w14:paraId="0FB6F079" w14:textId="77777777" w:rsidTr="00E311C9">
        <w:trPr>
          <w:trHeight w:val="255"/>
        </w:trPr>
        <w:tc>
          <w:tcPr>
            <w:tcW w:w="4076" w:type="dxa"/>
            <w:shd w:val="clear" w:color="auto" w:fill="auto"/>
            <w:noWrap/>
            <w:vAlign w:val="bottom"/>
            <w:hideMark/>
          </w:tcPr>
          <w:p w14:paraId="0F39F498"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Tarjetas de Crédito</w:t>
            </w:r>
          </w:p>
        </w:tc>
        <w:tc>
          <w:tcPr>
            <w:tcW w:w="1376" w:type="dxa"/>
            <w:shd w:val="clear" w:color="auto" w:fill="auto"/>
            <w:noWrap/>
          </w:tcPr>
          <w:p w14:paraId="3D692EBB" w14:textId="5CFBE34C"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8.687.932 </w:t>
            </w:r>
          </w:p>
        </w:tc>
        <w:tc>
          <w:tcPr>
            <w:tcW w:w="1376" w:type="dxa"/>
            <w:shd w:val="clear" w:color="auto" w:fill="auto"/>
            <w:noWrap/>
            <w:vAlign w:val="bottom"/>
            <w:hideMark/>
          </w:tcPr>
          <w:p w14:paraId="073288AA"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7.895.912 </w:t>
            </w:r>
          </w:p>
        </w:tc>
        <w:tc>
          <w:tcPr>
            <w:tcW w:w="1376" w:type="dxa"/>
            <w:shd w:val="clear" w:color="auto" w:fill="auto"/>
            <w:noWrap/>
            <w:vAlign w:val="bottom"/>
            <w:hideMark/>
          </w:tcPr>
          <w:p w14:paraId="38B1953C"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5.082.803 </w:t>
            </w:r>
          </w:p>
        </w:tc>
      </w:tr>
      <w:tr w:rsidR="003402A0" w:rsidRPr="00701F32" w14:paraId="569A3AF9" w14:textId="77777777" w:rsidTr="00E311C9">
        <w:trPr>
          <w:trHeight w:val="255"/>
        </w:trPr>
        <w:tc>
          <w:tcPr>
            <w:tcW w:w="4076" w:type="dxa"/>
            <w:shd w:val="clear" w:color="auto" w:fill="auto"/>
            <w:noWrap/>
            <w:vAlign w:val="bottom"/>
            <w:hideMark/>
          </w:tcPr>
          <w:p w14:paraId="783404FB"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Préstamos Comex</w:t>
            </w:r>
          </w:p>
        </w:tc>
        <w:tc>
          <w:tcPr>
            <w:tcW w:w="1376" w:type="dxa"/>
            <w:shd w:val="clear" w:color="auto" w:fill="auto"/>
            <w:noWrap/>
          </w:tcPr>
          <w:p w14:paraId="7EB005C5" w14:textId="464BCA07"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14.916.111 </w:t>
            </w:r>
          </w:p>
        </w:tc>
        <w:tc>
          <w:tcPr>
            <w:tcW w:w="1376" w:type="dxa"/>
            <w:shd w:val="clear" w:color="auto" w:fill="auto"/>
            <w:noWrap/>
            <w:vAlign w:val="bottom"/>
            <w:hideMark/>
          </w:tcPr>
          <w:p w14:paraId="41DA48AF"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8.117.012 </w:t>
            </w:r>
          </w:p>
        </w:tc>
        <w:tc>
          <w:tcPr>
            <w:tcW w:w="1376" w:type="dxa"/>
            <w:shd w:val="clear" w:color="auto" w:fill="auto"/>
            <w:noWrap/>
            <w:vAlign w:val="bottom"/>
            <w:hideMark/>
          </w:tcPr>
          <w:p w14:paraId="6E232DA0"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3.322.524 </w:t>
            </w:r>
          </w:p>
        </w:tc>
      </w:tr>
      <w:tr w:rsidR="003402A0" w:rsidRPr="00701F32" w14:paraId="56805BB2" w14:textId="77777777" w:rsidTr="00E311C9">
        <w:trPr>
          <w:trHeight w:val="255"/>
        </w:trPr>
        <w:tc>
          <w:tcPr>
            <w:tcW w:w="4076" w:type="dxa"/>
            <w:shd w:val="clear" w:color="auto" w:fill="auto"/>
            <w:noWrap/>
            <w:vAlign w:val="bottom"/>
            <w:hideMark/>
          </w:tcPr>
          <w:p w14:paraId="75D5595E"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Arrendamientos Financieros</w:t>
            </w:r>
          </w:p>
        </w:tc>
        <w:tc>
          <w:tcPr>
            <w:tcW w:w="1376" w:type="dxa"/>
            <w:shd w:val="clear" w:color="auto" w:fill="auto"/>
            <w:noWrap/>
          </w:tcPr>
          <w:p w14:paraId="14D24F1B" w14:textId="64924C34"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3.603.755 </w:t>
            </w:r>
          </w:p>
        </w:tc>
        <w:tc>
          <w:tcPr>
            <w:tcW w:w="1376" w:type="dxa"/>
            <w:shd w:val="clear" w:color="auto" w:fill="auto"/>
            <w:noWrap/>
            <w:vAlign w:val="bottom"/>
            <w:hideMark/>
          </w:tcPr>
          <w:p w14:paraId="63317E45"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2.472.287 </w:t>
            </w:r>
          </w:p>
        </w:tc>
        <w:tc>
          <w:tcPr>
            <w:tcW w:w="1376" w:type="dxa"/>
            <w:shd w:val="clear" w:color="auto" w:fill="auto"/>
            <w:noWrap/>
            <w:vAlign w:val="bottom"/>
            <w:hideMark/>
          </w:tcPr>
          <w:p w14:paraId="7CC6177F"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1.528.254 </w:t>
            </w:r>
          </w:p>
        </w:tc>
      </w:tr>
      <w:tr w:rsidR="003402A0" w:rsidRPr="00701F32" w14:paraId="0532DF56" w14:textId="77777777" w:rsidTr="00E311C9">
        <w:trPr>
          <w:trHeight w:val="255"/>
        </w:trPr>
        <w:tc>
          <w:tcPr>
            <w:tcW w:w="4076" w:type="dxa"/>
            <w:shd w:val="clear" w:color="auto" w:fill="auto"/>
            <w:noWrap/>
            <w:vAlign w:val="bottom"/>
            <w:hideMark/>
          </w:tcPr>
          <w:p w14:paraId="154A9F8C"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Otros</w:t>
            </w:r>
          </w:p>
        </w:tc>
        <w:tc>
          <w:tcPr>
            <w:tcW w:w="1376" w:type="dxa"/>
            <w:shd w:val="clear" w:color="auto" w:fill="auto"/>
            <w:noWrap/>
          </w:tcPr>
          <w:p w14:paraId="6AD77634" w14:textId="5B8242AD" w:rsidR="003402A0" w:rsidRPr="00701F32" w:rsidRDefault="003402A0" w:rsidP="00AF3A00">
            <w:pPr>
              <w:jc w:val="right"/>
              <w:rPr>
                <w:rFonts w:ascii="Arial" w:hAnsi="Arial" w:cs="Arial"/>
                <w:color w:val="000000"/>
                <w:sz w:val="20"/>
                <w:lang w:eastAsia="es-AR"/>
              </w:rPr>
            </w:pPr>
            <w:r w:rsidRPr="00701F32">
              <w:rPr>
                <w:rFonts w:ascii="Arial" w:hAnsi="Arial" w:cs="Arial"/>
                <w:sz w:val="20"/>
              </w:rPr>
              <w:t xml:space="preserve">8.956.284 </w:t>
            </w:r>
          </w:p>
        </w:tc>
        <w:tc>
          <w:tcPr>
            <w:tcW w:w="1376" w:type="dxa"/>
            <w:shd w:val="clear" w:color="auto" w:fill="auto"/>
            <w:noWrap/>
            <w:vAlign w:val="bottom"/>
            <w:hideMark/>
          </w:tcPr>
          <w:p w14:paraId="66DE9981"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4.406.728 </w:t>
            </w:r>
          </w:p>
        </w:tc>
        <w:tc>
          <w:tcPr>
            <w:tcW w:w="1376" w:type="dxa"/>
            <w:shd w:val="clear" w:color="auto" w:fill="auto"/>
            <w:noWrap/>
            <w:vAlign w:val="bottom"/>
            <w:hideMark/>
          </w:tcPr>
          <w:p w14:paraId="04B3EA5F" w14:textId="77777777" w:rsidR="003402A0" w:rsidRPr="00701F32" w:rsidRDefault="003402A0" w:rsidP="00AF3A00">
            <w:pPr>
              <w:jc w:val="right"/>
              <w:rPr>
                <w:rFonts w:ascii="Arial" w:hAnsi="Arial" w:cs="Arial"/>
                <w:color w:val="000000"/>
                <w:sz w:val="20"/>
                <w:lang w:eastAsia="es-AR"/>
              </w:rPr>
            </w:pPr>
            <w:r w:rsidRPr="00701F32">
              <w:rPr>
                <w:rFonts w:ascii="Arial" w:hAnsi="Arial" w:cs="Arial"/>
                <w:color w:val="000000"/>
                <w:sz w:val="20"/>
                <w:lang w:eastAsia="es-AR"/>
              </w:rPr>
              <w:t xml:space="preserve">2.688.431 </w:t>
            </w:r>
          </w:p>
        </w:tc>
      </w:tr>
      <w:tr w:rsidR="00AF3A00" w:rsidRPr="00701F32" w14:paraId="62BAB486" w14:textId="77777777" w:rsidTr="00941382">
        <w:trPr>
          <w:trHeight w:val="270"/>
        </w:trPr>
        <w:tc>
          <w:tcPr>
            <w:tcW w:w="4076" w:type="dxa"/>
            <w:shd w:val="clear" w:color="auto" w:fill="auto"/>
            <w:noWrap/>
            <w:vAlign w:val="bottom"/>
            <w:hideMark/>
          </w:tcPr>
          <w:p w14:paraId="0BAE88CA"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41C256BE" w14:textId="2D29C99A" w:rsidR="00AF3A00" w:rsidRPr="00701F32" w:rsidRDefault="003402A0">
            <w:pPr>
              <w:jc w:val="right"/>
              <w:rPr>
                <w:rFonts w:ascii="Arial" w:hAnsi="Arial" w:cs="Arial"/>
                <w:b/>
                <w:color w:val="000000"/>
                <w:sz w:val="20"/>
                <w:lang w:eastAsia="es-AR"/>
              </w:rPr>
            </w:pPr>
            <w:r w:rsidRPr="00701F32">
              <w:rPr>
                <w:rFonts w:ascii="Arial" w:hAnsi="Arial" w:cs="Arial"/>
                <w:b/>
                <w:color w:val="000000"/>
                <w:sz w:val="20"/>
                <w:lang w:eastAsia="es-AR"/>
              </w:rPr>
              <w:t>81.090.439</w:t>
            </w:r>
          </w:p>
        </w:tc>
        <w:tc>
          <w:tcPr>
            <w:tcW w:w="1376" w:type="dxa"/>
            <w:shd w:val="clear" w:color="auto" w:fill="auto"/>
            <w:noWrap/>
            <w:vAlign w:val="bottom"/>
            <w:hideMark/>
          </w:tcPr>
          <w:p w14:paraId="57869B0D"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 xml:space="preserve">60.138.805 </w:t>
            </w:r>
          </w:p>
        </w:tc>
        <w:tc>
          <w:tcPr>
            <w:tcW w:w="1376" w:type="dxa"/>
            <w:shd w:val="clear" w:color="auto" w:fill="auto"/>
            <w:noWrap/>
            <w:vAlign w:val="bottom"/>
            <w:hideMark/>
          </w:tcPr>
          <w:p w14:paraId="61F72E5E"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 xml:space="preserve">38.520.314 </w:t>
            </w:r>
          </w:p>
        </w:tc>
      </w:tr>
    </w:tbl>
    <w:p w14:paraId="010BE850" w14:textId="77777777" w:rsidR="00076EC8" w:rsidRPr="00701F32" w:rsidRDefault="00076EC8" w:rsidP="00AF3A00">
      <w:pPr>
        <w:rPr>
          <w:rFonts w:ascii="Arial" w:hAnsi="Arial" w:cs="Arial"/>
          <w:bCs/>
          <w:color w:val="000000"/>
          <w:sz w:val="20"/>
          <w:lang w:eastAsia="es-AR"/>
        </w:rPr>
      </w:pPr>
    </w:p>
    <w:p w14:paraId="4F81D2D6"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D93294" w:rsidRPr="00701F32">
        <w:rPr>
          <w:rFonts w:ascii="Arial" w:hAnsi="Arial" w:cs="Arial"/>
          <w:bCs/>
          <w:color w:val="000000"/>
          <w:sz w:val="20"/>
          <w:lang w:eastAsia="es-AR"/>
        </w:rPr>
        <w:t>5</w:t>
      </w:r>
      <w:r w:rsidRPr="00701F32">
        <w:rPr>
          <w:rFonts w:ascii="Arial" w:hAnsi="Arial" w:cs="Arial"/>
          <w:bCs/>
          <w:color w:val="000000"/>
          <w:sz w:val="20"/>
          <w:lang w:eastAsia="es-AR"/>
        </w:rPr>
        <w:t xml:space="preserve"> Otros títulos de deuda</w:t>
      </w:r>
    </w:p>
    <w:p w14:paraId="42822B8A" w14:textId="77777777" w:rsidR="00D93294" w:rsidRPr="00701F32" w:rsidRDefault="00D93294" w:rsidP="00AF3A00">
      <w:pPr>
        <w:rPr>
          <w:rFonts w:ascii="Arial" w:hAnsi="Arial" w:cs="Arial"/>
          <w:bCs/>
          <w:color w:val="000000"/>
          <w:sz w:val="20"/>
          <w:lang w:eastAsia="es-AR"/>
        </w:rPr>
      </w:pPr>
    </w:p>
    <w:p w14:paraId="0D34FA37" w14:textId="68580E1C" w:rsidR="00AF05CB"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otros títulos de deuda</w:t>
      </w:r>
      <w:r w:rsidR="002309A7" w:rsidRPr="00701F32">
        <w:rPr>
          <w:rFonts w:ascii="Arial" w:eastAsiaTheme="minorHAnsi" w:hAnsi="Arial" w:cs="Arial"/>
          <w:sz w:val="20"/>
          <w:szCs w:val="22"/>
        </w:rPr>
        <w:t xml:space="preserve"> </w:t>
      </w:r>
      <w:r w:rsidRPr="00701F32">
        <w:rPr>
          <w:rFonts w:ascii="Arial" w:eastAsiaTheme="minorHAnsi" w:hAnsi="Arial" w:cs="Arial"/>
          <w:sz w:val="20"/>
          <w:szCs w:val="22"/>
        </w:rPr>
        <w:t>al 3</w:t>
      </w:r>
      <w:r w:rsidR="007D59A1"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2017 y 1 de enero de 2017 son los siguientes:</w:t>
      </w:r>
    </w:p>
    <w:tbl>
      <w:tblPr>
        <w:tblW w:w="82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6"/>
        <w:gridCol w:w="1376"/>
        <w:gridCol w:w="1376"/>
        <w:gridCol w:w="1376"/>
      </w:tblGrid>
      <w:tr w:rsidR="00AF3A00" w:rsidRPr="00701F32" w14:paraId="1B9FBF1A" w14:textId="77777777" w:rsidTr="00AF3A00">
        <w:trPr>
          <w:trHeight w:val="255"/>
        </w:trPr>
        <w:tc>
          <w:tcPr>
            <w:tcW w:w="4076" w:type="dxa"/>
            <w:shd w:val="clear" w:color="auto" w:fill="auto"/>
            <w:noWrap/>
            <w:vAlign w:val="bottom"/>
            <w:hideMark/>
          </w:tcPr>
          <w:p w14:paraId="59EF3283" w14:textId="77777777" w:rsidR="00AF3A00" w:rsidRPr="00701F32" w:rsidRDefault="00AF3A00" w:rsidP="00AF3A00">
            <w:pPr>
              <w:rPr>
                <w:rFonts w:ascii="Arial" w:hAnsi="Arial" w:cs="Arial"/>
                <w:b/>
                <w:bCs/>
                <w:color w:val="000000"/>
                <w:sz w:val="20"/>
                <w:u w:val="single"/>
                <w:lang w:eastAsia="es-AR"/>
              </w:rPr>
            </w:pPr>
          </w:p>
        </w:tc>
        <w:tc>
          <w:tcPr>
            <w:tcW w:w="1376" w:type="dxa"/>
            <w:shd w:val="clear" w:color="auto" w:fill="auto"/>
            <w:noWrap/>
            <w:vAlign w:val="bottom"/>
            <w:hideMark/>
          </w:tcPr>
          <w:p w14:paraId="4871B457" w14:textId="77777777" w:rsidR="00AF3A00" w:rsidRPr="00701F32" w:rsidRDefault="00AF3A00" w:rsidP="007D59A1">
            <w:pPr>
              <w:jc w:val="center"/>
              <w:rPr>
                <w:rFonts w:ascii="Arial" w:hAnsi="Arial" w:cs="Arial"/>
                <w:b/>
                <w:color w:val="000000"/>
                <w:sz w:val="20"/>
                <w:lang w:eastAsia="es-AR"/>
              </w:rPr>
            </w:pPr>
            <w:r w:rsidRPr="00701F32">
              <w:rPr>
                <w:rFonts w:ascii="Arial" w:hAnsi="Arial" w:cs="Arial"/>
                <w:b/>
                <w:color w:val="000000"/>
                <w:sz w:val="20"/>
                <w:lang w:eastAsia="es-AR"/>
              </w:rPr>
              <w:t>3</w:t>
            </w:r>
            <w:r w:rsidR="007D59A1"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4D2044E5"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69FFF67B" w14:textId="77777777" w:rsidR="00AF3A00" w:rsidRPr="00701F32" w:rsidRDefault="00AF3A00" w:rsidP="00FF7CC8">
            <w:pPr>
              <w:jc w:val="center"/>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1F89D3D0" w14:textId="77777777" w:rsidTr="00E311C9">
        <w:trPr>
          <w:trHeight w:val="255"/>
        </w:trPr>
        <w:tc>
          <w:tcPr>
            <w:tcW w:w="4076" w:type="dxa"/>
            <w:shd w:val="clear" w:color="auto" w:fill="auto"/>
            <w:noWrap/>
            <w:vAlign w:val="bottom"/>
            <w:hideMark/>
          </w:tcPr>
          <w:p w14:paraId="13EB5DFF"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Obligaciones negociables</w:t>
            </w:r>
          </w:p>
        </w:tc>
        <w:tc>
          <w:tcPr>
            <w:tcW w:w="1376" w:type="dxa"/>
            <w:shd w:val="clear" w:color="auto" w:fill="auto"/>
            <w:noWrap/>
            <w:vAlign w:val="bottom"/>
          </w:tcPr>
          <w:p w14:paraId="4781BF2D" w14:textId="5D13460E"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2.587 </w:t>
            </w:r>
          </w:p>
        </w:tc>
        <w:tc>
          <w:tcPr>
            <w:tcW w:w="1376" w:type="dxa"/>
            <w:shd w:val="clear" w:color="auto" w:fill="auto"/>
            <w:noWrap/>
            <w:vAlign w:val="bottom"/>
            <w:hideMark/>
          </w:tcPr>
          <w:p w14:paraId="578FFC62"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3.636 </w:t>
            </w:r>
          </w:p>
        </w:tc>
        <w:tc>
          <w:tcPr>
            <w:tcW w:w="1376" w:type="dxa"/>
            <w:shd w:val="clear" w:color="auto" w:fill="auto"/>
            <w:noWrap/>
            <w:vAlign w:val="bottom"/>
            <w:hideMark/>
          </w:tcPr>
          <w:p w14:paraId="49D2300A"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16.456 </w:t>
            </w:r>
          </w:p>
        </w:tc>
      </w:tr>
      <w:tr w:rsidR="003402A0" w:rsidRPr="00701F32" w14:paraId="704426DA" w14:textId="77777777" w:rsidTr="00E311C9">
        <w:trPr>
          <w:trHeight w:val="255"/>
        </w:trPr>
        <w:tc>
          <w:tcPr>
            <w:tcW w:w="4076" w:type="dxa"/>
            <w:shd w:val="clear" w:color="auto" w:fill="auto"/>
            <w:noWrap/>
            <w:vAlign w:val="bottom"/>
            <w:hideMark/>
          </w:tcPr>
          <w:p w14:paraId="058FA6C9"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Títulos de deuda de fideicomisos financieros</w:t>
            </w:r>
          </w:p>
        </w:tc>
        <w:tc>
          <w:tcPr>
            <w:tcW w:w="1376" w:type="dxa"/>
            <w:shd w:val="clear" w:color="auto" w:fill="auto"/>
            <w:noWrap/>
            <w:vAlign w:val="bottom"/>
          </w:tcPr>
          <w:p w14:paraId="72FE26C9" w14:textId="4773693E"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44.050 </w:t>
            </w:r>
          </w:p>
        </w:tc>
        <w:tc>
          <w:tcPr>
            <w:tcW w:w="1376" w:type="dxa"/>
            <w:shd w:val="clear" w:color="auto" w:fill="auto"/>
            <w:noWrap/>
            <w:vAlign w:val="bottom"/>
            <w:hideMark/>
          </w:tcPr>
          <w:p w14:paraId="1B22EEF3"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58.796 </w:t>
            </w:r>
          </w:p>
        </w:tc>
        <w:tc>
          <w:tcPr>
            <w:tcW w:w="1376" w:type="dxa"/>
            <w:shd w:val="clear" w:color="auto" w:fill="auto"/>
            <w:noWrap/>
            <w:vAlign w:val="bottom"/>
            <w:hideMark/>
          </w:tcPr>
          <w:p w14:paraId="2635928E"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35.605 </w:t>
            </w:r>
          </w:p>
        </w:tc>
      </w:tr>
      <w:tr w:rsidR="003402A0" w:rsidRPr="00701F32" w14:paraId="5219D003" w14:textId="77777777" w:rsidTr="00E311C9">
        <w:trPr>
          <w:trHeight w:val="255"/>
        </w:trPr>
        <w:tc>
          <w:tcPr>
            <w:tcW w:w="4076" w:type="dxa"/>
            <w:shd w:val="clear" w:color="auto" w:fill="auto"/>
            <w:noWrap/>
            <w:vAlign w:val="bottom"/>
            <w:hideMark/>
          </w:tcPr>
          <w:p w14:paraId="01936E2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Títulos públicos</w:t>
            </w:r>
          </w:p>
        </w:tc>
        <w:tc>
          <w:tcPr>
            <w:tcW w:w="1376" w:type="dxa"/>
            <w:shd w:val="clear" w:color="auto" w:fill="auto"/>
            <w:noWrap/>
            <w:vAlign w:val="bottom"/>
          </w:tcPr>
          <w:p w14:paraId="0FF5E334" w14:textId="3199476A"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4.092.415 </w:t>
            </w:r>
          </w:p>
        </w:tc>
        <w:tc>
          <w:tcPr>
            <w:tcW w:w="1376" w:type="dxa"/>
            <w:shd w:val="clear" w:color="auto" w:fill="auto"/>
            <w:noWrap/>
            <w:vAlign w:val="bottom"/>
            <w:hideMark/>
          </w:tcPr>
          <w:p w14:paraId="671A003B"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194.539 </w:t>
            </w:r>
          </w:p>
        </w:tc>
        <w:tc>
          <w:tcPr>
            <w:tcW w:w="1376" w:type="dxa"/>
            <w:shd w:val="clear" w:color="auto" w:fill="auto"/>
            <w:noWrap/>
            <w:vAlign w:val="bottom"/>
            <w:hideMark/>
          </w:tcPr>
          <w:p w14:paraId="6B87C19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1.887.660 </w:t>
            </w:r>
          </w:p>
        </w:tc>
      </w:tr>
      <w:tr w:rsidR="003402A0" w:rsidRPr="00701F32" w14:paraId="111049DF" w14:textId="77777777" w:rsidTr="00E311C9">
        <w:trPr>
          <w:trHeight w:val="255"/>
        </w:trPr>
        <w:tc>
          <w:tcPr>
            <w:tcW w:w="4076" w:type="dxa"/>
            <w:shd w:val="clear" w:color="auto" w:fill="auto"/>
            <w:noWrap/>
            <w:vAlign w:val="bottom"/>
            <w:hideMark/>
          </w:tcPr>
          <w:p w14:paraId="434DD224"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Otros</w:t>
            </w:r>
          </w:p>
        </w:tc>
        <w:tc>
          <w:tcPr>
            <w:tcW w:w="1376" w:type="dxa"/>
            <w:shd w:val="clear" w:color="auto" w:fill="auto"/>
            <w:noWrap/>
            <w:vAlign w:val="bottom"/>
          </w:tcPr>
          <w:p w14:paraId="1B837AC2" w14:textId="605589D1"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32 </w:t>
            </w:r>
          </w:p>
        </w:tc>
        <w:tc>
          <w:tcPr>
            <w:tcW w:w="1376" w:type="dxa"/>
            <w:shd w:val="clear" w:color="auto" w:fill="auto"/>
            <w:noWrap/>
            <w:vAlign w:val="bottom"/>
            <w:hideMark/>
          </w:tcPr>
          <w:p w14:paraId="1E09297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32 </w:t>
            </w:r>
          </w:p>
        </w:tc>
        <w:tc>
          <w:tcPr>
            <w:tcW w:w="1376" w:type="dxa"/>
            <w:shd w:val="clear" w:color="auto" w:fill="auto"/>
            <w:noWrap/>
            <w:vAlign w:val="bottom"/>
            <w:hideMark/>
          </w:tcPr>
          <w:p w14:paraId="60895F0C"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 </w:t>
            </w:r>
          </w:p>
        </w:tc>
      </w:tr>
      <w:tr w:rsidR="00AF3A00" w:rsidRPr="00701F32" w14:paraId="4967806D" w14:textId="77777777" w:rsidTr="00E311C9">
        <w:trPr>
          <w:trHeight w:val="56"/>
        </w:trPr>
        <w:tc>
          <w:tcPr>
            <w:tcW w:w="4076" w:type="dxa"/>
            <w:shd w:val="clear" w:color="auto" w:fill="auto"/>
            <w:noWrap/>
            <w:vAlign w:val="bottom"/>
            <w:hideMark/>
          </w:tcPr>
          <w:p w14:paraId="38EEA2D0"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hideMark/>
          </w:tcPr>
          <w:p w14:paraId="35E8E53F" w14:textId="4C950EBC" w:rsidR="00AF3A00"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rPr>
              <w:t xml:space="preserve">4.139.084 </w:t>
            </w:r>
          </w:p>
        </w:tc>
        <w:tc>
          <w:tcPr>
            <w:tcW w:w="1376" w:type="dxa"/>
            <w:shd w:val="clear" w:color="auto" w:fill="auto"/>
            <w:noWrap/>
            <w:vAlign w:val="bottom"/>
            <w:hideMark/>
          </w:tcPr>
          <w:p w14:paraId="42AF7A01"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257.003 </w:t>
            </w:r>
          </w:p>
        </w:tc>
        <w:tc>
          <w:tcPr>
            <w:tcW w:w="1376" w:type="dxa"/>
            <w:shd w:val="clear" w:color="auto" w:fill="auto"/>
            <w:noWrap/>
            <w:vAlign w:val="bottom"/>
            <w:hideMark/>
          </w:tcPr>
          <w:p w14:paraId="60E84337"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1.939.721 </w:t>
            </w:r>
          </w:p>
        </w:tc>
      </w:tr>
    </w:tbl>
    <w:p w14:paraId="51BDFC02" w14:textId="77777777" w:rsidR="00F17F39" w:rsidRPr="00701F32" w:rsidRDefault="00F17F39" w:rsidP="00AF3A00">
      <w:pPr>
        <w:spacing w:after="160" w:line="259" w:lineRule="auto"/>
        <w:rPr>
          <w:rFonts w:ascii="Arial" w:eastAsiaTheme="minorHAnsi" w:hAnsi="Arial" w:cs="Arial"/>
          <w:sz w:val="22"/>
          <w:szCs w:val="22"/>
        </w:rPr>
      </w:pPr>
    </w:p>
    <w:p w14:paraId="582CCE10"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D93294" w:rsidRPr="00701F32">
        <w:rPr>
          <w:rFonts w:ascii="Arial" w:hAnsi="Arial" w:cs="Arial"/>
          <w:bCs/>
          <w:color w:val="000000"/>
          <w:sz w:val="20"/>
          <w:lang w:eastAsia="es-AR"/>
        </w:rPr>
        <w:t>6</w:t>
      </w:r>
      <w:r w:rsidRPr="00701F32">
        <w:rPr>
          <w:rFonts w:ascii="Arial" w:hAnsi="Arial" w:cs="Arial"/>
          <w:bCs/>
          <w:color w:val="000000"/>
          <w:sz w:val="20"/>
          <w:lang w:eastAsia="es-AR"/>
        </w:rPr>
        <w:t xml:space="preserve"> Activos financieros entregados en </w:t>
      </w:r>
      <w:r w:rsidR="00076EC8" w:rsidRPr="00701F32">
        <w:rPr>
          <w:rFonts w:ascii="Arial" w:hAnsi="Arial" w:cs="Arial"/>
          <w:bCs/>
          <w:color w:val="000000"/>
          <w:sz w:val="20"/>
          <w:lang w:eastAsia="es-AR"/>
        </w:rPr>
        <w:t>garantía</w:t>
      </w:r>
    </w:p>
    <w:p w14:paraId="49EA155A" w14:textId="77777777" w:rsidR="00076EC8" w:rsidRPr="00701F32" w:rsidRDefault="00076EC8" w:rsidP="00AF3A00">
      <w:pPr>
        <w:rPr>
          <w:rFonts w:ascii="Arial" w:hAnsi="Arial" w:cs="Arial"/>
          <w:bCs/>
          <w:color w:val="000000"/>
          <w:sz w:val="20"/>
          <w:lang w:eastAsia="es-AR"/>
        </w:rPr>
      </w:pPr>
    </w:p>
    <w:p w14:paraId="3441F9DC" w14:textId="77777777" w:rsidR="00AF3A00"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activos financieros entregados en garantía al 3</w:t>
      </w:r>
      <w:r w:rsidR="0050613D"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50613D" w:rsidRPr="00701F32">
        <w:rPr>
          <w:rFonts w:ascii="Arial" w:eastAsiaTheme="minorHAnsi" w:hAnsi="Arial" w:cs="Arial"/>
          <w:sz w:val="20"/>
          <w:szCs w:val="22"/>
        </w:rPr>
        <w:t xml:space="preserve"> </w:t>
      </w:r>
      <w:r w:rsidR="004A25F6" w:rsidRPr="00701F32">
        <w:rPr>
          <w:rFonts w:ascii="Arial" w:eastAsiaTheme="minorHAnsi" w:hAnsi="Arial" w:cs="Arial"/>
          <w:sz w:val="20"/>
          <w:szCs w:val="22"/>
        </w:rPr>
        <w:t xml:space="preserve">de </w:t>
      </w:r>
      <w:r w:rsidRPr="00701F32">
        <w:rPr>
          <w:rFonts w:ascii="Arial" w:eastAsiaTheme="minorHAnsi" w:hAnsi="Arial" w:cs="Arial"/>
          <w:sz w:val="20"/>
          <w:szCs w:val="22"/>
        </w:rPr>
        <w:t>2018, 31 de diciembre y 1 de enero de 2017 son los siguientes:</w:t>
      </w:r>
    </w:p>
    <w:tbl>
      <w:tblPr>
        <w:tblW w:w="88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6"/>
        <w:gridCol w:w="1376"/>
        <w:gridCol w:w="1376"/>
        <w:gridCol w:w="1376"/>
      </w:tblGrid>
      <w:tr w:rsidR="00AF3A00" w:rsidRPr="00701F32" w14:paraId="7CB6D4EF" w14:textId="77777777" w:rsidTr="005819B2">
        <w:trPr>
          <w:trHeight w:val="255"/>
          <w:tblHeader/>
        </w:trPr>
        <w:tc>
          <w:tcPr>
            <w:tcW w:w="4696" w:type="dxa"/>
            <w:shd w:val="clear" w:color="auto" w:fill="auto"/>
            <w:noWrap/>
            <w:vAlign w:val="bottom"/>
            <w:hideMark/>
          </w:tcPr>
          <w:p w14:paraId="621B306E" w14:textId="77777777" w:rsidR="00AF3A00" w:rsidRPr="00701F32" w:rsidRDefault="00AF3A00" w:rsidP="00AF3A00">
            <w:pPr>
              <w:rPr>
                <w:rFonts w:ascii="Arial" w:hAnsi="Arial" w:cs="Arial"/>
                <w:b/>
                <w:bCs/>
                <w:color w:val="000000"/>
                <w:sz w:val="20"/>
                <w:u w:val="single"/>
                <w:lang w:eastAsia="es-AR"/>
              </w:rPr>
            </w:pPr>
          </w:p>
        </w:tc>
        <w:tc>
          <w:tcPr>
            <w:tcW w:w="1376" w:type="dxa"/>
            <w:shd w:val="clear" w:color="auto" w:fill="auto"/>
            <w:noWrap/>
            <w:vAlign w:val="bottom"/>
            <w:hideMark/>
          </w:tcPr>
          <w:p w14:paraId="481DDF0D" w14:textId="77777777" w:rsidR="00AF3A00" w:rsidRPr="00701F32" w:rsidRDefault="00AF3A00" w:rsidP="0050613D">
            <w:pPr>
              <w:jc w:val="right"/>
              <w:rPr>
                <w:rFonts w:ascii="Arial" w:hAnsi="Arial" w:cs="Arial"/>
                <w:b/>
                <w:color w:val="000000"/>
                <w:sz w:val="20"/>
                <w:lang w:eastAsia="es-AR"/>
              </w:rPr>
            </w:pPr>
            <w:r w:rsidRPr="00701F32">
              <w:rPr>
                <w:rFonts w:ascii="Arial" w:hAnsi="Arial" w:cs="Arial"/>
                <w:b/>
                <w:color w:val="000000"/>
                <w:sz w:val="20"/>
                <w:lang w:eastAsia="es-AR"/>
              </w:rPr>
              <w:t>3</w:t>
            </w:r>
            <w:r w:rsidR="0050613D"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3D02CF90"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2FE198FC"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1CC1B368" w14:textId="77777777" w:rsidTr="00E311C9">
        <w:trPr>
          <w:trHeight w:val="255"/>
        </w:trPr>
        <w:tc>
          <w:tcPr>
            <w:tcW w:w="4696" w:type="dxa"/>
            <w:shd w:val="clear" w:color="auto" w:fill="auto"/>
            <w:noWrap/>
            <w:vAlign w:val="bottom"/>
            <w:hideMark/>
          </w:tcPr>
          <w:p w14:paraId="4500CDFD"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Títulos en garantia por operaciones de pase</w:t>
            </w:r>
          </w:p>
        </w:tc>
        <w:tc>
          <w:tcPr>
            <w:tcW w:w="1376" w:type="dxa"/>
            <w:shd w:val="clear" w:color="auto" w:fill="auto"/>
            <w:noWrap/>
            <w:vAlign w:val="bottom"/>
          </w:tcPr>
          <w:p w14:paraId="4AEB2DFD" w14:textId="28DAE51B"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 </w:t>
            </w:r>
          </w:p>
        </w:tc>
        <w:tc>
          <w:tcPr>
            <w:tcW w:w="1376" w:type="dxa"/>
            <w:shd w:val="clear" w:color="auto" w:fill="auto"/>
            <w:noWrap/>
            <w:vAlign w:val="bottom"/>
            <w:hideMark/>
          </w:tcPr>
          <w:p w14:paraId="3B501CE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 </w:t>
            </w:r>
          </w:p>
        </w:tc>
        <w:tc>
          <w:tcPr>
            <w:tcW w:w="1376" w:type="dxa"/>
            <w:shd w:val="clear" w:color="auto" w:fill="auto"/>
            <w:noWrap/>
            <w:vAlign w:val="bottom"/>
            <w:hideMark/>
          </w:tcPr>
          <w:p w14:paraId="0B71832B"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590.266 </w:t>
            </w:r>
          </w:p>
        </w:tc>
      </w:tr>
      <w:tr w:rsidR="003402A0" w:rsidRPr="00701F32" w14:paraId="26812314" w14:textId="77777777" w:rsidTr="00E311C9">
        <w:trPr>
          <w:trHeight w:val="255"/>
        </w:trPr>
        <w:tc>
          <w:tcPr>
            <w:tcW w:w="4696" w:type="dxa"/>
            <w:shd w:val="clear" w:color="auto" w:fill="auto"/>
            <w:noWrap/>
            <w:vAlign w:val="bottom"/>
            <w:hideMark/>
          </w:tcPr>
          <w:p w14:paraId="4E0C6BC1"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BCRA Cuentas especiales de garantías.</w:t>
            </w:r>
          </w:p>
        </w:tc>
        <w:tc>
          <w:tcPr>
            <w:tcW w:w="1376" w:type="dxa"/>
            <w:shd w:val="clear" w:color="auto" w:fill="auto"/>
            <w:noWrap/>
            <w:vAlign w:val="bottom"/>
          </w:tcPr>
          <w:p w14:paraId="4D8EB62F" w14:textId="2319ADBC"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1.234.160 </w:t>
            </w:r>
          </w:p>
        </w:tc>
        <w:tc>
          <w:tcPr>
            <w:tcW w:w="1376" w:type="dxa"/>
            <w:shd w:val="clear" w:color="auto" w:fill="auto"/>
            <w:noWrap/>
            <w:vAlign w:val="bottom"/>
            <w:hideMark/>
          </w:tcPr>
          <w:p w14:paraId="76F0189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855.261 </w:t>
            </w:r>
          </w:p>
        </w:tc>
        <w:tc>
          <w:tcPr>
            <w:tcW w:w="1376" w:type="dxa"/>
            <w:shd w:val="clear" w:color="auto" w:fill="auto"/>
            <w:noWrap/>
            <w:vAlign w:val="bottom"/>
            <w:hideMark/>
          </w:tcPr>
          <w:p w14:paraId="73EB574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535.352 </w:t>
            </w:r>
          </w:p>
        </w:tc>
      </w:tr>
      <w:tr w:rsidR="003402A0" w:rsidRPr="00701F32" w14:paraId="2742D187" w14:textId="77777777" w:rsidTr="00E311C9">
        <w:trPr>
          <w:trHeight w:val="255"/>
        </w:trPr>
        <w:tc>
          <w:tcPr>
            <w:tcW w:w="4696" w:type="dxa"/>
            <w:shd w:val="clear" w:color="auto" w:fill="auto"/>
            <w:noWrap/>
            <w:vAlign w:val="bottom"/>
            <w:hideMark/>
          </w:tcPr>
          <w:p w14:paraId="432B84B7"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Depósitos en garantía</w:t>
            </w:r>
          </w:p>
        </w:tc>
        <w:tc>
          <w:tcPr>
            <w:tcW w:w="1376" w:type="dxa"/>
            <w:shd w:val="clear" w:color="auto" w:fill="auto"/>
            <w:noWrap/>
            <w:vAlign w:val="bottom"/>
          </w:tcPr>
          <w:p w14:paraId="778F4123" w14:textId="2B2ABB79"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1.426.551 </w:t>
            </w:r>
          </w:p>
        </w:tc>
        <w:tc>
          <w:tcPr>
            <w:tcW w:w="1376" w:type="dxa"/>
            <w:shd w:val="clear" w:color="auto" w:fill="auto"/>
            <w:noWrap/>
            <w:vAlign w:val="bottom"/>
            <w:hideMark/>
          </w:tcPr>
          <w:p w14:paraId="4DC2C1B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443.843 </w:t>
            </w:r>
          </w:p>
        </w:tc>
        <w:tc>
          <w:tcPr>
            <w:tcW w:w="1376" w:type="dxa"/>
            <w:shd w:val="clear" w:color="auto" w:fill="auto"/>
            <w:noWrap/>
            <w:vAlign w:val="bottom"/>
            <w:hideMark/>
          </w:tcPr>
          <w:p w14:paraId="438D8562"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337.267 </w:t>
            </w:r>
          </w:p>
        </w:tc>
      </w:tr>
      <w:tr w:rsidR="00AF3A00" w:rsidRPr="00701F32" w14:paraId="50F2F19F" w14:textId="77777777" w:rsidTr="00E311C9">
        <w:trPr>
          <w:trHeight w:val="270"/>
        </w:trPr>
        <w:tc>
          <w:tcPr>
            <w:tcW w:w="4696" w:type="dxa"/>
            <w:shd w:val="clear" w:color="auto" w:fill="auto"/>
            <w:noWrap/>
            <w:vAlign w:val="bottom"/>
            <w:hideMark/>
          </w:tcPr>
          <w:p w14:paraId="496CE21D"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712B439B" w14:textId="4529A63F" w:rsidR="00AF3A00"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2.660.711</w:t>
            </w:r>
          </w:p>
        </w:tc>
        <w:tc>
          <w:tcPr>
            <w:tcW w:w="1376" w:type="dxa"/>
            <w:shd w:val="clear" w:color="auto" w:fill="auto"/>
            <w:noWrap/>
            <w:vAlign w:val="bottom"/>
            <w:hideMark/>
          </w:tcPr>
          <w:p w14:paraId="23CD7FAE"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1.299.104 </w:t>
            </w:r>
          </w:p>
        </w:tc>
        <w:tc>
          <w:tcPr>
            <w:tcW w:w="1376" w:type="dxa"/>
            <w:shd w:val="clear" w:color="auto" w:fill="auto"/>
            <w:noWrap/>
            <w:vAlign w:val="bottom"/>
            <w:hideMark/>
          </w:tcPr>
          <w:p w14:paraId="1DA7FF1E"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1.462.885 </w:t>
            </w:r>
          </w:p>
        </w:tc>
      </w:tr>
    </w:tbl>
    <w:p w14:paraId="132C44CB" w14:textId="77777777" w:rsidR="00AF3A00" w:rsidRPr="00701F32" w:rsidRDefault="00AF3A00" w:rsidP="00AF3A00">
      <w:pPr>
        <w:spacing w:after="160" w:line="259" w:lineRule="auto"/>
        <w:rPr>
          <w:rFonts w:ascii="Arial" w:eastAsiaTheme="minorHAnsi" w:hAnsi="Arial" w:cs="Arial"/>
          <w:sz w:val="22"/>
          <w:szCs w:val="22"/>
        </w:rPr>
      </w:pPr>
    </w:p>
    <w:p w14:paraId="2457E608" w14:textId="77777777" w:rsidR="00B75780" w:rsidRPr="00701F32" w:rsidRDefault="00B75780" w:rsidP="00B75780">
      <w:pPr>
        <w:rPr>
          <w:rFonts w:ascii="Arial" w:hAnsi="Arial" w:cs="Arial"/>
          <w:bCs/>
          <w:color w:val="000000"/>
          <w:sz w:val="20"/>
          <w:lang w:eastAsia="es-AR"/>
        </w:rPr>
      </w:pPr>
      <w:r w:rsidRPr="00701F32">
        <w:rPr>
          <w:rFonts w:ascii="Arial" w:hAnsi="Arial" w:cs="Arial"/>
          <w:bCs/>
          <w:color w:val="000000"/>
          <w:sz w:val="20"/>
          <w:lang w:eastAsia="es-AR"/>
        </w:rPr>
        <w:t>7.7 Otros activos no financieros</w:t>
      </w:r>
    </w:p>
    <w:p w14:paraId="5B2082EB" w14:textId="77777777" w:rsidR="00B75780" w:rsidRPr="00701F32" w:rsidRDefault="00B75780" w:rsidP="00B75780">
      <w:pPr>
        <w:rPr>
          <w:rFonts w:ascii="Arial" w:hAnsi="Arial" w:cs="Arial"/>
          <w:bCs/>
          <w:color w:val="000000"/>
          <w:sz w:val="12"/>
          <w:szCs w:val="12"/>
          <w:lang w:eastAsia="es-AR"/>
        </w:rPr>
      </w:pPr>
    </w:p>
    <w:p w14:paraId="7F786701" w14:textId="152233B2" w:rsidR="001B25DF" w:rsidRPr="00701F32" w:rsidRDefault="00B75780" w:rsidP="00B75780">
      <w:pPr>
        <w:rPr>
          <w:rFonts w:ascii="Arial" w:hAnsi="Arial" w:cs="Arial"/>
          <w:bCs/>
          <w:color w:val="000000"/>
          <w:sz w:val="20"/>
          <w:lang w:eastAsia="es-AR"/>
        </w:rPr>
      </w:pPr>
      <w:r w:rsidRPr="00701F32">
        <w:rPr>
          <w:rFonts w:ascii="Arial" w:eastAsiaTheme="minorHAnsi" w:hAnsi="Arial" w:cs="Arial"/>
          <w:sz w:val="20"/>
          <w:szCs w:val="22"/>
        </w:rPr>
        <w:t>Los principales componentes del rubro otros activos no financieros al 3</w:t>
      </w:r>
      <w:r w:rsidR="0050613D"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p>
    <w:p w14:paraId="28B6869C" w14:textId="77777777" w:rsidR="00B75780" w:rsidRPr="00701F32" w:rsidRDefault="00B75780" w:rsidP="00B75780">
      <w:pPr>
        <w:rPr>
          <w:rFonts w:ascii="Arial" w:hAnsi="Arial" w:cs="Arial"/>
          <w:bCs/>
          <w:color w:val="000000"/>
          <w:sz w:val="12"/>
          <w:szCs w:val="12"/>
          <w:lang w:eastAsia="es-AR"/>
        </w:rPr>
      </w:pPr>
    </w:p>
    <w:tbl>
      <w:tblPr>
        <w:tblW w:w="88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6"/>
        <w:gridCol w:w="1376"/>
        <w:gridCol w:w="1376"/>
        <w:gridCol w:w="1376"/>
      </w:tblGrid>
      <w:tr w:rsidR="00D52541" w:rsidRPr="00701F32" w14:paraId="0AAB6C6C" w14:textId="77777777" w:rsidTr="00FF7CC8">
        <w:trPr>
          <w:trHeight w:val="255"/>
          <w:tblHeader/>
        </w:trPr>
        <w:tc>
          <w:tcPr>
            <w:tcW w:w="4696" w:type="dxa"/>
            <w:shd w:val="clear" w:color="auto" w:fill="auto"/>
            <w:noWrap/>
            <w:vAlign w:val="bottom"/>
            <w:hideMark/>
          </w:tcPr>
          <w:p w14:paraId="7D56D8D9" w14:textId="77777777" w:rsidR="00D52541" w:rsidRPr="00701F32" w:rsidRDefault="00D52541" w:rsidP="0030003C">
            <w:pPr>
              <w:rPr>
                <w:rFonts w:ascii="Arial" w:hAnsi="Arial" w:cs="Arial"/>
                <w:b/>
                <w:bCs/>
                <w:color w:val="000000"/>
                <w:sz w:val="20"/>
                <w:u w:val="single"/>
                <w:lang w:eastAsia="es-AR"/>
              </w:rPr>
            </w:pPr>
          </w:p>
        </w:tc>
        <w:tc>
          <w:tcPr>
            <w:tcW w:w="1376" w:type="dxa"/>
            <w:shd w:val="clear" w:color="auto" w:fill="auto"/>
            <w:noWrap/>
            <w:vAlign w:val="bottom"/>
            <w:hideMark/>
          </w:tcPr>
          <w:p w14:paraId="07C9F64B" w14:textId="77777777" w:rsidR="00D52541" w:rsidRPr="00701F32" w:rsidRDefault="00D52541" w:rsidP="0050613D">
            <w:pPr>
              <w:jc w:val="right"/>
              <w:rPr>
                <w:rFonts w:ascii="Arial" w:hAnsi="Arial" w:cs="Arial"/>
                <w:b/>
                <w:color w:val="000000"/>
                <w:sz w:val="20"/>
                <w:lang w:eastAsia="es-AR"/>
              </w:rPr>
            </w:pPr>
            <w:r w:rsidRPr="00701F32">
              <w:rPr>
                <w:rFonts w:ascii="Arial" w:hAnsi="Arial" w:cs="Arial"/>
                <w:b/>
                <w:color w:val="000000"/>
                <w:sz w:val="20"/>
                <w:lang w:eastAsia="es-AR"/>
              </w:rPr>
              <w:t>3</w:t>
            </w:r>
            <w:r w:rsidR="0050613D"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69FA5FA7" w14:textId="77777777" w:rsidR="00D52541" w:rsidRPr="00701F32" w:rsidRDefault="00D52541" w:rsidP="0030003C">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453483A7" w14:textId="77777777" w:rsidR="00D52541" w:rsidRPr="00701F32" w:rsidRDefault="00D52541" w:rsidP="0030003C">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0A908D95"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28D4A" w14:textId="77777777" w:rsidR="003402A0" w:rsidRPr="00701F32" w:rsidRDefault="003402A0" w:rsidP="00D52541">
            <w:pPr>
              <w:rPr>
                <w:rFonts w:ascii="Arial" w:hAnsi="Arial" w:cs="Arial"/>
                <w:color w:val="000000"/>
                <w:sz w:val="20"/>
                <w:lang w:eastAsia="es-AR"/>
              </w:rPr>
            </w:pPr>
            <w:r w:rsidRPr="00701F32">
              <w:rPr>
                <w:rFonts w:ascii="Arial" w:hAnsi="Arial" w:cs="Arial"/>
                <w:color w:val="000000"/>
                <w:sz w:val="20"/>
                <w:lang w:eastAsia="es-AR"/>
              </w:rPr>
              <w:t>Otros Bienes Diversos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2F7F8" w14:textId="04E8D792"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438.159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FC5C0"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276.873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23CBB"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213.870 </w:t>
            </w:r>
          </w:p>
        </w:tc>
      </w:tr>
      <w:tr w:rsidR="003402A0" w:rsidRPr="00701F32" w14:paraId="71091003"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430B8" w14:textId="77777777" w:rsidR="003402A0" w:rsidRPr="00701F32" w:rsidRDefault="003402A0" w:rsidP="00D52541">
            <w:pPr>
              <w:rPr>
                <w:rFonts w:ascii="Arial" w:hAnsi="Arial" w:cs="Arial"/>
                <w:color w:val="000000"/>
                <w:sz w:val="20"/>
                <w:lang w:eastAsia="es-AR"/>
              </w:rPr>
            </w:pPr>
            <w:r w:rsidRPr="00701F32">
              <w:rPr>
                <w:rFonts w:ascii="Arial" w:hAnsi="Arial" w:cs="Arial"/>
                <w:color w:val="000000"/>
                <w:sz w:val="20"/>
                <w:lang w:eastAsia="es-AR"/>
              </w:rPr>
              <w:t>Anticipos al personal</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DE765" w14:textId="73A2A2C6"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152.190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304C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159.813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A2BA3"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181.079 </w:t>
            </w:r>
          </w:p>
        </w:tc>
      </w:tr>
      <w:tr w:rsidR="003402A0" w:rsidRPr="00701F32" w14:paraId="60AEBB24"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8306A" w14:textId="77777777" w:rsidR="003402A0" w:rsidRPr="00701F32" w:rsidRDefault="003402A0" w:rsidP="00D52541">
            <w:pPr>
              <w:rPr>
                <w:rFonts w:ascii="Arial" w:hAnsi="Arial" w:cs="Arial"/>
                <w:color w:val="000000"/>
                <w:sz w:val="20"/>
                <w:lang w:eastAsia="es-AR"/>
              </w:rPr>
            </w:pPr>
            <w:r w:rsidRPr="00701F32">
              <w:rPr>
                <w:rFonts w:ascii="Arial" w:hAnsi="Arial" w:cs="Arial"/>
                <w:color w:val="000000"/>
                <w:sz w:val="20"/>
                <w:lang w:eastAsia="es-AR"/>
              </w:rPr>
              <w:t xml:space="preserve">Propiedades de inversión - Bienes alquilados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60695" w14:textId="414B829C"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295.719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7652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198.371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19AD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481.529 </w:t>
            </w:r>
          </w:p>
        </w:tc>
      </w:tr>
      <w:tr w:rsidR="003402A0" w:rsidRPr="00701F32" w14:paraId="4284564B"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E5063" w14:textId="77777777" w:rsidR="003402A0" w:rsidRPr="00701F32" w:rsidRDefault="003402A0" w:rsidP="00D52541">
            <w:pPr>
              <w:rPr>
                <w:rFonts w:ascii="Arial" w:hAnsi="Arial" w:cs="Arial"/>
                <w:color w:val="000000"/>
                <w:sz w:val="20"/>
                <w:lang w:eastAsia="es-AR"/>
              </w:rPr>
            </w:pPr>
            <w:r w:rsidRPr="00701F32">
              <w:rPr>
                <w:rFonts w:ascii="Arial" w:hAnsi="Arial" w:cs="Arial"/>
                <w:color w:val="000000"/>
                <w:sz w:val="20"/>
                <w:lang w:eastAsia="es-AR"/>
              </w:rPr>
              <w:t>Pagos efectuados por adelantado</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EA68E" w14:textId="08DE7E1B"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27.525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85F17"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470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4D677"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161 </w:t>
            </w:r>
          </w:p>
        </w:tc>
      </w:tr>
      <w:tr w:rsidR="003402A0" w:rsidRPr="00701F32" w14:paraId="6CDAB32F"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F4486" w14:textId="77777777" w:rsidR="003402A0" w:rsidRPr="00701F32" w:rsidRDefault="003402A0" w:rsidP="00D52541">
            <w:pPr>
              <w:rPr>
                <w:rFonts w:ascii="Arial" w:hAnsi="Arial" w:cs="Arial"/>
                <w:color w:val="000000"/>
                <w:sz w:val="20"/>
                <w:lang w:eastAsia="es-AR"/>
              </w:rPr>
            </w:pPr>
            <w:r w:rsidRPr="00701F32">
              <w:rPr>
                <w:rFonts w:ascii="Arial" w:hAnsi="Arial" w:cs="Arial"/>
                <w:color w:val="000000"/>
                <w:sz w:val="20"/>
                <w:lang w:eastAsia="es-AR"/>
              </w:rPr>
              <w:t>Obras de arte y piezas de colección</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4BB3F" w14:textId="5A9886B5"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3.941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02F4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3.739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3D838"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3.455 </w:t>
            </w:r>
          </w:p>
        </w:tc>
      </w:tr>
      <w:tr w:rsidR="00D52541" w:rsidRPr="00701F32" w14:paraId="3B314EAA" w14:textId="77777777" w:rsidTr="00E311C9">
        <w:trPr>
          <w:trHeight w:val="270"/>
        </w:trPr>
        <w:tc>
          <w:tcPr>
            <w:tcW w:w="4696" w:type="dxa"/>
            <w:shd w:val="clear" w:color="auto" w:fill="auto"/>
            <w:noWrap/>
            <w:vAlign w:val="bottom"/>
            <w:hideMark/>
          </w:tcPr>
          <w:p w14:paraId="1D18FFEC" w14:textId="77777777" w:rsidR="00D52541" w:rsidRPr="00701F32" w:rsidRDefault="00D52541" w:rsidP="0030003C">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631EBF4C" w14:textId="4410A256" w:rsidR="00D52541"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917.534</w:t>
            </w:r>
          </w:p>
        </w:tc>
        <w:tc>
          <w:tcPr>
            <w:tcW w:w="1376" w:type="dxa"/>
            <w:shd w:val="clear" w:color="auto" w:fill="auto"/>
            <w:noWrap/>
            <w:vAlign w:val="bottom"/>
            <w:hideMark/>
          </w:tcPr>
          <w:p w14:paraId="2D9DBA26" w14:textId="77777777" w:rsidR="00D52541" w:rsidRPr="00701F32" w:rsidRDefault="00D52541">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639.266 </w:t>
            </w:r>
          </w:p>
        </w:tc>
        <w:tc>
          <w:tcPr>
            <w:tcW w:w="1376" w:type="dxa"/>
            <w:shd w:val="clear" w:color="auto" w:fill="auto"/>
            <w:noWrap/>
            <w:vAlign w:val="bottom"/>
            <w:hideMark/>
          </w:tcPr>
          <w:p w14:paraId="16FB2118" w14:textId="77777777" w:rsidR="00D52541" w:rsidRPr="00701F32" w:rsidRDefault="00D52541">
            <w:pPr>
              <w:jc w:val="right"/>
              <w:rPr>
                <w:rFonts w:ascii="Arial" w:hAnsi="Arial" w:cs="Arial"/>
                <w:b/>
                <w:color w:val="000000"/>
                <w:sz w:val="20"/>
                <w:lang w:val="es-ES_tradnl" w:eastAsia="es-AR"/>
              </w:rPr>
            </w:pPr>
            <w:r w:rsidRPr="00701F32">
              <w:rPr>
                <w:rFonts w:ascii="Arial" w:hAnsi="Arial" w:cs="Arial"/>
                <w:b/>
                <w:color w:val="000000"/>
                <w:sz w:val="20"/>
                <w:lang w:eastAsia="es-AR"/>
              </w:rPr>
              <w:t>880.094</w:t>
            </w:r>
          </w:p>
        </w:tc>
      </w:tr>
    </w:tbl>
    <w:p w14:paraId="6DA3AB65" w14:textId="77777777" w:rsidR="00B75780" w:rsidRPr="00701F32" w:rsidRDefault="00B75780" w:rsidP="00B75780">
      <w:pPr>
        <w:rPr>
          <w:rFonts w:ascii="Arial" w:hAnsi="Arial" w:cs="Arial"/>
          <w:bCs/>
          <w:color w:val="000000"/>
          <w:sz w:val="16"/>
          <w:szCs w:val="16"/>
          <w:lang w:eastAsia="es-AR"/>
        </w:rPr>
      </w:pPr>
    </w:p>
    <w:p w14:paraId="3AF32127"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B75780" w:rsidRPr="00701F32">
        <w:rPr>
          <w:rFonts w:ascii="Arial" w:hAnsi="Arial" w:cs="Arial"/>
          <w:bCs/>
          <w:color w:val="000000"/>
          <w:sz w:val="20"/>
          <w:lang w:eastAsia="es-AR"/>
        </w:rPr>
        <w:t>8</w:t>
      </w:r>
      <w:r w:rsidRPr="00701F32">
        <w:rPr>
          <w:rFonts w:ascii="Arial" w:hAnsi="Arial" w:cs="Arial"/>
          <w:bCs/>
          <w:color w:val="000000"/>
          <w:sz w:val="20"/>
          <w:lang w:eastAsia="es-AR"/>
        </w:rPr>
        <w:t xml:space="preserve"> Depósitos</w:t>
      </w:r>
    </w:p>
    <w:p w14:paraId="1C4B9888" w14:textId="77777777" w:rsidR="00D93294" w:rsidRPr="00701F32" w:rsidRDefault="00D93294" w:rsidP="00AF3A00">
      <w:pPr>
        <w:rPr>
          <w:rFonts w:ascii="Arial" w:hAnsi="Arial" w:cs="Arial"/>
          <w:bCs/>
          <w:color w:val="000000"/>
          <w:sz w:val="16"/>
          <w:szCs w:val="16"/>
          <w:lang w:eastAsia="es-AR"/>
        </w:rPr>
      </w:pPr>
    </w:p>
    <w:p w14:paraId="1B275833" w14:textId="77777777" w:rsidR="00AF3A00"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depósitos al 3</w:t>
      </w:r>
      <w:r w:rsidR="0050613D"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p>
    <w:tbl>
      <w:tblPr>
        <w:tblW w:w="88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6"/>
        <w:gridCol w:w="1376"/>
        <w:gridCol w:w="1376"/>
        <w:gridCol w:w="1376"/>
      </w:tblGrid>
      <w:tr w:rsidR="00AF3A00" w:rsidRPr="00701F32" w14:paraId="3524710D" w14:textId="77777777" w:rsidTr="00AF3A00">
        <w:trPr>
          <w:trHeight w:val="255"/>
        </w:trPr>
        <w:tc>
          <w:tcPr>
            <w:tcW w:w="4696" w:type="dxa"/>
            <w:shd w:val="clear" w:color="auto" w:fill="auto"/>
            <w:noWrap/>
            <w:vAlign w:val="bottom"/>
            <w:hideMark/>
          </w:tcPr>
          <w:p w14:paraId="4F6F583F" w14:textId="77777777" w:rsidR="00AF3A00" w:rsidRPr="00701F32" w:rsidRDefault="00AF3A00" w:rsidP="00AF3A00">
            <w:pPr>
              <w:rPr>
                <w:rFonts w:ascii="Arial" w:hAnsi="Arial" w:cs="Arial"/>
                <w:b/>
                <w:bCs/>
                <w:color w:val="000000"/>
                <w:sz w:val="20"/>
                <w:u w:val="single"/>
                <w:lang w:eastAsia="es-AR"/>
              </w:rPr>
            </w:pPr>
          </w:p>
        </w:tc>
        <w:tc>
          <w:tcPr>
            <w:tcW w:w="1376" w:type="dxa"/>
            <w:shd w:val="clear" w:color="auto" w:fill="auto"/>
            <w:noWrap/>
            <w:vAlign w:val="bottom"/>
            <w:hideMark/>
          </w:tcPr>
          <w:p w14:paraId="7D9939CE" w14:textId="77777777" w:rsidR="00AF3A00" w:rsidRPr="00701F32" w:rsidRDefault="00AF3A00" w:rsidP="0050613D">
            <w:pPr>
              <w:jc w:val="right"/>
              <w:rPr>
                <w:rFonts w:ascii="Arial" w:hAnsi="Arial" w:cs="Arial"/>
                <w:b/>
                <w:color w:val="000000"/>
                <w:sz w:val="20"/>
                <w:lang w:eastAsia="es-AR"/>
              </w:rPr>
            </w:pPr>
            <w:r w:rsidRPr="00701F32">
              <w:rPr>
                <w:rFonts w:ascii="Arial" w:hAnsi="Arial" w:cs="Arial"/>
                <w:b/>
                <w:color w:val="000000"/>
                <w:sz w:val="20"/>
                <w:lang w:eastAsia="es-AR"/>
              </w:rPr>
              <w:t>3</w:t>
            </w:r>
            <w:r w:rsidR="0050613D"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7A4B9AA1"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41780A00"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75ED1A22" w14:textId="77777777" w:rsidTr="00E311C9">
        <w:trPr>
          <w:trHeight w:val="255"/>
        </w:trPr>
        <w:tc>
          <w:tcPr>
            <w:tcW w:w="4696" w:type="dxa"/>
            <w:shd w:val="clear" w:color="auto" w:fill="auto"/>
            <w:noWrap/>
            <w:vAlign w:val="bottom"/>
            <w:hideMark/>
          </w:tcPr>
          <w:p w14:paraId="7008B9FF"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Sector público</w:t>
            </w:r>
          </w:p>
        </w:tc>
        <w:tc>
          <w:tcPr>
            <w:tcW w:w="1376" w:type="dxa"/>
            <w:shd w:val="clear" w:color="auto" w:fill="auto"/>
            <w:noWrap/>
            <w:vAlign w:val="bottom"/>
          </w:tcPr>
          <w:p w14:paraId="19D46A1E" w14:textId="430FFA81"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11.990.961 </w:t>
            </w:r>
          </w:p>
        </w:tc>
        <w:tc>
          <w:tcPr>
            <w:tcW w:w="1376" w:type="dxa"/>
            <w:shd w:val="clear" w:color="auto" w:fill="auto"/>
            <w:noWrap/>
            <w:vAlign w:val="bottom"/>
            <w:hideMark/>
          </w:tcPr>
          <w:p w14:paraId="04F7CBC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6.171.661 </w:t>
            </w:r>
          </w:p>
        </w:tc>
        <w:tc>
          <w:tcPr>
            <w:tcW w:w="1376" w:type="dxa"/>
            <w:shd w:val="clear" w:color="auto" w:fill="auto"/>
            <w:noWrap/>
            <w:vAlign w:val="bottom"/>
            <w:hideMark/>
          </w:tcPr>
          <w:p w14:paraId="31507033"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2.587.253 </w:t>
            </w:r>
          </w:p>
        </w:tc>
      </w:tr>
      <w:tr w:rsidR="003402A0" w:rsidRPr="00701F32" w14:paraId="3E06594A" w14:textId="77777777" w:rsidTr="00E311C9">
        <w:trPr>
          <w:trHeight w:val="255"/>
        </w:trPr>
        <w:tc>
          <w:tcPr>
            <w:tcW w:w="4696" w:type="dxa"/>
            <w:shd w:val="clear" w:color="auto" w:fill="auto"/>
            <w:noWrap/>
            <w:vAlign w:val="bottom"/>
            <w:hideMark/>
          </w:tcPr>
          <w:p w14:paraId="241080BE"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Sector financiero</w:t>
            </w:r>
          </w:p>
        </w:tc>
        <w:tc>
          <w:tcPr>
            <w:tcW w:w="1376" w:type="dxa"/>
            <w:shd w:val="clear" w:color="auto" w:fill="auto"/>
            <w:noWrap/>
            <w:vAlign w:val="bottom"/>
          </w:tcPr>
          <w:p w14:paraId="2827AC34" w14:textId="570A0C9D"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24.478 </w:t>
            </w:r>
          </w:p>
        </w:tc>
        <w:tc>
          <w:tcPr>
            <w:tcW w:w="1376" w:type="dxa"/>
            <w:shd w:val="clear" w:color="auto" w:fill="auto"/>
            <w:noWrap/>
            <w:vAlign w:val="bottom"/>
            <w:hideMark/>
          </w:tcPr>
          <w:p w14:paraId="1505FCB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15.702 </w:t>
            </w:r>
          </w:p>
        </w:tc>
        <w:tc>
          <w:tcPr>
            <w:tcW w:w="1376" w:type="dxa"/>
            <w:shd w:val="clear" w:color="auto" w:fill="auto"/>
            <w:noWrap/>
            <w:vAlign w:val="bottom"/>
            <w:hideMark/>
          </w:tcPr>
          <w:p w14:paraId="21BBD5D0"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9.326 </w:t>
            </w:r>
          </w:p>
        </w:tc>
      </w:tr>
      <w:tr w:rsidR="003402A0" w:rsidRPr="00701F32" w14:paraId="3F96A9BC" w14:textId="77777777" w:rsidTr="00E311C9">
        <w:trPr>
          <w:trHeight w:val="255"/>
        </w:trPr>
        <w:tc>
          <w:tcPr>
            <w:tcW w:w="4696" w:type="dxa"/>
            <w:shd w:val="clear" w:color="auto" w:fill="auto"/>
            <w:noWrap/>
            <w:vAlign w:val="bottom"/>
            <w:hideMark/>
          </w:tcPr>
          <w:p w14:paraId="149C45B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Cuentas corrientes</w:t>
            </w:r>
          </w:p>
        </w:tc>
        <w:tc>
          <w:tcPr>
            <w:tcW w:w="1376" w:type="dxa"/>
            <w:shd w:val="clear" w:color="auto" w:fill="auto"/>
            <w:noWrap/>
            <w:vAlign w:val="bottom"/>
          </w:tcPr>
          <w:p w14:paraId="4A2B9BE1" w14:textId="3792D680"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6.674.388 </w:t>
            </w:r>
          </w:p>
        </w:tc>
        <w:tc>
          <w:tcPr>
            <w:tcW w:w="1376" w:type="dxa"/>
            <w:shd w:val="clear" w:color="auto" w:fill="auto"/>
            <w:noWrap/>
            <w:vAlign w:val="bottom"/>
            <w:hideMark/>
          </w:tcPr>
          <w:p w14:paraId="0607E022"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5.694.497 </w:t>
            </w:r>
          </w:p>
        </w:tc>
        <w:tc>
          <w:tcPr>
            <w:tcW w:w="1376" w:type="dxa"/>
            <w:shd w:val="clear" w:color="auto" w:fill="auto"/>
            <w:noWrap/>
            <w:vAlign w:val="bottom"/>
            <w:hideMark/>
          </w:tcPr>
          <w:p w14:paraId="772E203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4.355.508 </w:t>
            </w:r>
          </w:p>
        </w:tc>
      </w:tr>
      <w:tr w:rsidR="003402A0" w:rsidRPr="00701F32" w14:paraId="09260F61" w14:textId="77777777" w:rsidTr="00E311C9">
        <w:trPr>
          <w:trHeight w:val="255"/>
        </w:trPr>
        <w:tc>
          <w:tcPr>
            <w:tcW w:w="4696" w:type="dxa"/>
            <w:shd w:val="clear" w:color="auto" w:fill="auto"/>
            <w:noWrap/>
            <w:vAlign w:val="bottom"/>
            <w:hideMark/>
          </w:tcPr>
          <w:p w14:paraId="11FA5D5A"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Caja de ahorros</w:t>
            </w:r>
          </w:p>
        </w:tc>
        <w:tc>
          <w:tcPr>
            <w:tcW w:w="1376" w:type="dxa"/>
            <w:shd w:val="clear" w:color="auto" w:fill="auto"/>
            <w:noWrap/>
            <w:vAlign w:val="bottom"/>
          </w:tcPr>
          <w:p w14:paraId="4CDC072F" w14:textId="173BC2D2"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53.773.742 </w:t>
            </w:r>
          </w:p>
        </w:tc>
        <w:tc>
          <w:tcPr>
            <w:tcW w:w="1376" w:type="dxa"/>
            <w:shd w:val="clear" w:color="auto" w:fill="auto"/>
            <w:noWrap/>
            <w:vAlign w:val="bottom"/>
            <w:hideMark/>
          </w:tcPr>
          <w:p w14:paraId="300C6679"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29.579.007 </w:t>
            </w:r>
          </w:p>
        </w:tc>
        <w:tc>
          <w:tcPr>
            <w:tcW w:w="1376" w:type="dxa"/>
            <w:shd w:val="clear" w:color="auto" w:fill="auto"/>
            <w:noWrap/>
            <w:vAlign w:val="bottom"/>
            <w:hideMark/>
          </w:tcPr>
          <w:p w14:paraId="66C405F9"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15.728.183 </w:t>
            </w:r>
          </w:p>
        </w:tc>
      </w:tr>
      <w:tr w:rsidR="003402A0" w:rsidRPr="00701F32" w14:paraId="1EC7754B" w14:textId="77777777" w:rsidTr="00E311C9">
        <w:trPr>
          <w:trHeight w:val="255"/>
        </w:trPr>
        <w:tc>
          <w:tcPr>
            <w:tcW w:w="4696" w:type="dxa"/>
            <w:shd w:val="clear" w:color="auto" w:fill="auto"/>
            <w:noWrap/>
            <w:vAlign w:val="bottom"/>
            <w:hideMark/>
          </w:tcPr>
          <w:p w14:paraId="1428C1A0"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Plazo fijo e inversiones a plazo</w:t>
            </w:r>
          </w:p>
        </w:tc>
        <w:tc>
          <w:tcPr>
            <w:tcW w:w="1376" w:type="dxa"/>
            <w:shd w:val="clear" w:color="auto" w:fill="auto"/>
            <w:noWrap/>
            <w:vAlign w:val="bottom"/>
          </w:tcPr>
          <w:p w14:paraId="7A98D23D" w14:textId="6AADAF5A"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23.488.148 </w:t>
            </w:r>
          </w:p>
        </w:tc>
        <w:tc>
          <w:tcPr>
            <w:tcW w:w="1376" w:type="dxa"/>
            <w:shd w:val="clear" w:color="auto" w:fill="auto"/>
            <w:noWrap/>
            <w:vAlign w:val="bottom"/>
            <w:hideMark/>
          </w:tcPr>
          <w:p w14:paraId="53C67A6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13.786.474 </w:t>
            </w:r>
          </w:p>
        </w:tc>
        <w:tc>
          <w:tcPr>
            <w:tcW w:w="1376" w:type="dxa"/>
            <w:shd w:val="clear" w:color="auto" w:fill="auto"/>
            <w:noWrap/>
            <w:vAlign w:val="bottom"/>
            <w:hideMark/>
          </w:tcPr>
          <w:p w14:paraId="005382A4"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12.245.818 </w:t>
            </w:r>
          </w:p>
        </w:tc>
      </w:tr>
      <w:tr w:rsidR="003402A0" w:rsidRPr="00701F32" w14:paraId="36DDD596" w14:textId="77777777" w:rsidTr="00E311C9">
        <w:trPr>
          <w:trHeight w:val="255"/>
        </w:trPr>
        <w:tc>
          <w:tcPr>
            <w:tcW w:w="4696" w:type="dxa"/>
            <w:shd w:val="clear" w:color="auto" w:fill="auto"/>
            <w:noWrap/>
            <w:vAlign w:val="bottom"/>
            <w:hideMark/>
          </w:tcPr>
          <w:p w14:paraId="64EB7C10"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Otros</w:t>
            </w:r>
          </w:p>
        </w:tc>
        <w:tc>
          <w:tcPr>
            <w:tcW w:w="1376" w:type="dxa"/>
            <w:shd w:val="clear" w:color="auto" w:fill="auto"/>
            <w:noWrap/>
            <w:vAlign w:val="bottom"/>
          </w:tcPr>
          <w:p w14:paraId="3903546B" w14:textId="242D1153"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1.771.334 </w:t>
            </w:r>
          </w:p>
        </w:tc>
        <w:tc>
          <w:tcPr>
            <w:tcW w:w="1376" w:type="dxa"/>
            <w:shd w:val="clear" w:color="auto" w:fill="auto"/>
            <w:noWrap/>
            <w:vAlign w:val="bottom"/>
            <w:hideMark/>
          </w:tcPr>
          <w:p w14:paraId="4FCA683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1.328.837 </w:t>
            </w:r>
          </w:p>
        </w:tc>
        <w:tc>
          <w:tcPr>
            <w:tcW w:w="1376" w:type="dxa"/>
            <w:shd w:val="clear" w:color="auto" w:fill="auto"/>
            <w:noWrap/>
            <w:vAlign w:val="bottom"/>
            <w:hideMark/>
          </w:tcPr>
          <w:p w14:paraId="230CA334"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988.465 </w:t>
            </w:r>
          </w:p>
        </w:tc>
      </w:tr>
      <w:tr w:rsidR="00AF3A00" w:rsidRPr="00701F32" w14:paraId="27BF9090" w14:textId="77777777" w:rsidTr="00E311C9">
        <w:trPr>
          <w:trHeight w:val="270"/>
        </w:trPr>
        <w:tc>
          <w:tcPr>
            <w:tcW w:w="4696" w:type="dxa"/>
            <w:shd w:val="clear" w:color="auto" w:fill="auto"/>
            <w:noWrap/>
            <w:vAlign w:val="bottom"/>
            <w:hideMark/>
          </w:tcPr>
          <w:p w14:paraId="7757B135"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7A3636A9" w14:textId="05EBAD43" w:rsidR="00AF3A00"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97.723.051</w:t>
            </w:r>
          </w:p>
        </w:tc>
        <w:tc>
          <w:tcPr>
            <w:tcW w:w="1376" w:type="dxa"/>
            <w:shd w:val="clear" w:color="auto" w:fill="auto"/>
            <w:noWrap/>
            <w:vAlign w:val="bottom"/>
            <w:hideMark/>
          </w:tcPr>
          <w:p w14:paraId="0CDBEDB4"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56.576.178 </w:t>
            </w:r>
          </w:p>
        </w:tc>
        <w:tc>
          <w:tcPr>
            <w:tcW w:w="1376" w:type="dxa"/>
            <w:shd w:val="clear" w:color="auto" w:fill="auto"/>
            <w:noWrap/>
            <w:vAlign w:val="bottom"/>
            <w:hideMark/>
          </w:tcPr>
          <w:p w14:paraId="6C3AD30D"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35.914.553 </w:t>
            </w:r>
          </w:p>
        </w:tc>
      </w:tr>
    </w:tbl>
    <w:p w14:paraId="7B199B15" w14:textId="77777777" w:rsidR="00AF3A00" w:rsidRPr="00701F32" w:rsidRDefault="00AF3A00" w:rsidP="00AF3A00">
      <w:pPr>
        <w:spacing w:after="160" w:line="259" w:lineRule="auto"/>
        <w:rPr>
          <w:rFonts w:ascii="Arial" w:eastAsiaTheme="minorHAnsi" w:hAnsi="Arial" w:cs="Arial"/>
          <w:sz w:val="12"/>
          <w:szCs w:val="12"/>
        </w:rPr>
      </w:pPr>
    </w:p>
    <w:p w14:paraId="205F6C5E" w14:textId="7777777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B75780" w:rsidRPr="00701F32">
        <w:rPr>
          <w:rFonts w:ascii="Arial" w:hAnsi="Arial" w:cs="Arial"/>
          <w:bCs/>
          <w:color w:val="000000"/>
          <w:sz w:val="20"/>
          <w:lang w:eastAsia="es-AR"/>
        </w:rPr>
        <w:t>9</w:t>
      </w:r>
      <w:r w:rsidRPr="00701F32">
        <w:rPr>
          <w:rFonts w:ascii="Arial" w:hAnsi="Arial" w:cs="Arial"/>
          <w:bCs/>
          <w:color w:val="000000"/>
          <w:sz w:val="20"/>
          <w:lang w:eastAsia="es-AR"/>
        </w:rPr>
        <w:t xml:space="preserve"> Otros pasivos financieros</w:t>
      </w:r>
    </w:p>
    <w:p w14:paraId="07CD0FD1" w14:textId="77777777" w:rsidR="00D93294" w:rsidRPr="00701F32" w:rsidRDefault="00D93294" w:rsidP="00AF3A00">
      <w:pPr>
        <w:rPr>
          <w:rFonts w:ascii="Arial" w:hAnsi="Arial" w:cs="Arial"/>
          <w:bCs/>
          <w:color w:val="000000"/>
          <w:sz w:val="12"/>
          <w:szCs w:val="12"/>
          <w:lang w:eastAsia="es-AR"/>
        </w:rPr>
      </w:pPr>
    </w:p>
    <w:p w14:paraId="60E48B35" w14:textId="77777777" w:rsidR="00AF3A00" w:rsidRPr="00701F32" w:rsidRDefault="00AF3A00" w:rsidP="00AF3A00">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otros pasivos financieros al 3</w:t>
      </w:r>
      <w:r w:rsidR="0050613D"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285339" w:rsidRPr="00701F32">
        <w:rPr>
          <w:rFonts w:ascii="Arial" w:eastAsiaTheme="minorHAnsi" w:hAnsi="Arial" w:cs="Arial"/>
          <w:sz w:val="20"/>
          <w:szCs w:val="22"/>
        </w:rPr>
        <w:t>septiembre</w:t>
      </w:r>
      <w:r w:rsidR="004A25F6"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p>
    <w:tbl>
      <w:tblPr>
        <w:tblW w:w="91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5"/>
        <w:gridCol w:w="1364"/>
        <w:gridCol w:w="1141"/>
        <w:gridCol w:w="1141"/>
      </w:tblGrid>
      <w:tr w:rsidR="00AF3A00" w:rsidRPr="00701F32" w14:paraId="5290A9E0" w14:textId="77777777" w:rsidTr="0050613D">
        <w:trPr>
          <w:trHeight w:val="255"/>
        </w:trPr>
        <w:tc>
          <w:tcPr>
            <w:tcW w:w="5505" w:type="dxa"/>
            <w:shd w:val="clear" w:color="auto" w:fill="auto"/>
            <w:noWrap/>
            <w:vAlign w:val="bottom"/>
            <w:hideMark/>
          </w:tcPr>
          <w:p w14:paraId="3ABD58A1" w14:textId="77777777" w:rsidR="00AF3A00" w:rsidRPr="00701F32" w:rsidRDefault="00AF3A00" w:rsidP="00AF3A00">
            <w:pPr>
              <w:rPr>
                <w:rFonts w:ascii="Arial" w:hAnsi="Arial" w:cs="Arial"/>
                <w:b/>
                <w:bCs/>
                <w:color w:val="000000"/>
                <w:sz w:val="20"/>
                <w:u w:val="single"/>
                <w:lang w:eastAsia="es-AR"/>
              </w:rPr>
            </w:pPr>
          </w:p>
        </w:tc>
        <w:tc>
          <w:tcPr>
            <w:tcW w:w="1364" w:type="dxa"/>
            <w:shd w:val="clear" w:color="auto" w:fill="auto"/>
            <w:noWrap/>
            <w:vAlign w:val="bottom"/>
            <w:hideMark/>
          </w:tcPr>
          <w:p w14:paraId="0CFDF34E" w14:textId="77777777" w:rsidR="00AF3A00" w:rsidRPr="00701F32" w:rsidRDefault="00AF3A00" w:rsidP="0050613D">
            <w:pPr>
              <w:jc w:val="right"/>
              <w:rPr>
                <w:rFonts w:ascii="Arial" w:hAnsi="Arial" w:cs="Arial"/>
                <w:b/>
                <w:color w:val="000000"/>
                <w:sz w:val="20"/>
                <w:lang w:eastAsia="es-AR"/>
              </w:rPr>
            </w:pPr>
            <w:r w:rsidRPr="00701F32">
              <w:rPr>
                <w:rFonts w:ascii="Arial" w:hAnsi="Arial" w:cs="Arial"/>
                <w:b/>
                <w:color w:val="000000"/>
                <w:sz w:val="20"/>
                <w:lang w:eastAsia="es-AR"/>
              </w:rPr>
              <w:t>3</w:t>
            </w:r>
            <w:r w:rsidR="0050613D"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141" w:type="dxa"/>
            <w:shd w:val="clear" w:color="auto" w:fill="auto"/>
            <w:noWrap/>
            <w:vAlign w:val="bottom"/>
            <w:hideMark/>
          </w:tcPr>
          <w:p w14:paraId="056BB083"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141" w:type="dxa"/>
            <w:shd w:val="clear" w:color="auto" w:fill="auto"/>
            <w:noWrap/>
            <w:vAlign w:val="bottom"/>
            <w:hideMark/>
          </w:tcPr>
          <w:p w14:paraId="0F5F3569"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2D8A3248" w14:textId="77777777" w:rsidTr="00E311C9">
        <w:trPr>
          <w:trHeight w:val="255"/>
        </w:trPr>
        <w:tc>
          <w:tcPr>
            <w:tcW w:w="5505" w:type="dxa"/>
            <w:shd w:val="clear" w:color="auto" w:fill="auto"/>
            <w:noWrap/>
            <w:vAlign w:val="bottom"/>
            <w:hideMark/>
          </w:tcPr>
          <w:p w14:paraId="7CC4E9DE"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Acreedores por operaciones contado a liquidar</w:t>
            </w:r>
          </w:p>
        </w:tc>
        <w:tc>
          <w:tcPr>
            <w:tcW w:w="1364" w:type="dxa"/>
            <w:shd w:val="clear" w:color="auto" w:fill="auto"/>
            <w:noWrap/>
            <w:vAlign w:val="bottom"/>
          </w:tcPr>
          <w:p w14:paraId="294CF05F" w14:textId="05A4D22A"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185.159 </w:t>
            </w:r>
          </w:p>
        </w:tc>
        <w:tc>
          <w:tcPr>
            <w:tcW w:w="1141" w:type="dxa"/>
            <w:shd w:val="clear" w:color="auto" w:fill="auto"/>
            <w:noWrap/>
            <w:vAlign w:val="bottom"/>
            <w:hideMark/>
          </w:tcPr>
          <w:p w14:paraId="07AE36C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25.275 </w:t>
            </w:r>
          </w:p>
        </w:tc>
        <w:tc>
          <w:tcPr>
            <w:tcW w:w="1141" w:type="dxa"/>
            <w:shd w:val="clear" w:color="auto" w:fill="auto"/>
            <w:noWrap/>
            <w:vAlign w:val="bottom"/>
            <w:hideMark/>
          </w:tcPr>
          <w:p w14:paraId="4177D744"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1.122 </w:t>
            </w:r>
          </w:p>
        </w:tc>
      </w:tr>
      <w:tr w:rsidR="003402A0" w:rsidRPr="00701F32" w14:paraId="5D3538C8" w14:textId="77777777" w:rsidTr="00E311C9">
        <w:trPr>
          <w:trHeight w:val="255"/>
        </w:trPr>
        <w:tc>
          <w:tcPr>
            <w:tcW w:w="5505" w:type="dxa"/>
            <w:shd w:val="clear" w:color="auto" w:fill="auto"/>
            <w:noWrap/>
            <w:vAlign w:val="bottom"/>
            <w:hideMark/>
          </w:tcPr>
          <w:p w14:paraId="29B7C12F"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Cobranzas por cuenta de terceros</w:t>
            </w:r>
          </w:p>
        </w:tc>
        <w:tc>
          <w:tcPr>
            <w:tcW w:w="1364" w:type="dxa"/>
            <w:shd w:val="clear" w:color="auto" w:fill="auto"/>
            <w:noWrap/>
            <w:vAlign w:val="bottom"/>
          </w:tcPr>
          <w:p w14:paraId="097AF76D" w14:textId="1F1F5031"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3.354.507 </w:t>
            </w:r>
          </w:p>
        </w:tc>
        <w:tc>
          <w:tcPr>
            <w:tcW w:w="1141" w:type="dxa"/>
            <w:shd w:val="clear" w:color="auto" w:fill="auto"/>
            <w:noWrap/>
            <w:vAlign w:val="bottom"/>
            <w:hideMark/>
          </w:tcPr>
          <w:p w14:paraId="4D72D1C9"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2.458.176 </w:t>
            </w:r>
          </w:p>
        </w:tc>
        <w:tc>
          <w:tcPr>
            <w:tcW w:w="1141" w:type="dxa"/>
            <w:shd w:val="clear" w:color="auto" w:fill="auto"/>
            <w:noWrap/>
            <w:vAlign w:val="bottom"/>
            <w:hideMark/>
          </w:tcPr>
          <w:p w14:paraId="48E6E6E8"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2.205.987 </w:t>
            </w:r>
          </w:p>
        </w:tc>
      </w:tr>
      <w:tr w:rsidR="003402A0" w:rsidRPr="00701F32" w14:paraId="5B90BCE4" w14:textId="77777777" w:rsidTr="00E311C9">
        <w:trPr>
          <w:trHeight w:val="255"/>
        </w:trPr>
        <w:tc>
          <w:tcPr>
            <w:tcW w:w="5505" w:type="dxa"/>
            <w:shd w:val="clear" w:color="auto" w:fill="auto"/>
            <w:noWrap/>
            <w:vAlign w:val="bottom"/>
            <w:hideMark/>
          </w:tcPr>
          <w:p w14:paraId="5DD03D13"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Comisiones devengadas a pagar</w:t>
            </w:r>
          </w:p>
        </w:tc>
        <w:tc>
          <w:tcPr>
            <w:tcW w:w="1364" w:type="dxa"/>
            <w:shd w:val="clear" w:color="auto" w:fill="auto"/>
            <w:noWrap/>
            <w:vAlign w:val="bottom"/>
          </w:tcPr>
          <w:p w14:paraId="18C3FBBD" w14:textId="0F54291B"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549 </w:t>
            </w:r>
          </w:p>
        </w:tc>
        <w:tc>
          <w:tcPr>
            <w:tcW w:w="1141" w:type="dxa"/>
            <w:shd w:val="clear" w:color="auto" w:fill="auto"/>
            <w:noWrap/>
            <w:vAlign w:val="bottom"/>
            <w:hideMark/>
          </w:tcPr>
          <w:p w14:paraId="319D4279"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8.505 </w:t>
            </w:r>
          </w:p>
        </w:tc>
        <w:tc>
          <w:tcPr>
            <w:tcW w:w="1141" w:type="dxa"/>
            <w:shd w:val="clear" w:color="auto" w:fill="auto"/>
            <w:noWrap/>
            <w:vAlign w:val="bottom"/>
            <w:hideMark/>
          </w:tcPr>
          <w:p w14:paraId="790BFA5D"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16.455 </w:t>
            </w:r>
          </w:p>
        </w:tc>
      </w:tr>
      <w:tr w:rsidR="003402A0" w:rsidRPr="00701F32" w14:paraId="534549D4" w14:textId="77777777" w:rsidTr="00E311C9">
        <w:trPr>
          <w:trHeight w:val="255"/>
        </w:trPr>
        <w:tc>
          <w:tcPr>
            <w:tcW w:w="5505" w:type="dxa"/>
            <w:shd w:val="clear" w:color="auto" w:fill="auto"/>
            <w:noWrap/>
            <w:vAlign w:val="bottom"/>
            <w:hideMark/>
          </w:tcPr>
          <w:p w14:paraId="5AAB6173"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Contratos de garantía financiera</w:t>
            </w:r>
          </w:p>
        </w:tc>
        <w:tc>
          <w:tcPr>
            <w:tcW w:w="1364" w:type="dxa"/>
            <w:shd w:val="clear" w:color="auto" w:fill="auto"/>
            <w:noWrap/>
            <w:vAlign w:val="bottom"/>
          </w:tcPr>
          <w:p w14:paraId="7BC664D2" w14:textId="2AB99C9B"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41.832 </w:t>
            </w:r>
          </w:p>
        </w:tc>
        <w:tc>
          <w:tcPr>
            <w:tcW w:w="1141" w:type="dxa"/>
            <w:shd w:val="clear" w:color="auto" w:fill="auto"/>
            <w:noWrap/>
            <w:vAlign w:val="bottom"/>
            <w:hideMark/>
          </w:tcPr>
          <w:p w14:paraId="0516C9A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339.253 </w:t>
            </w:r>
          </w:p>
        </w:tc>
        <w:tc>
          <w:tcPr>
            <w:tcW w:w="1141" w:type="dxa"/>
            <w:shd w:val="clear" w:color="auto" w:fill="auto"/>
            <w:noWrap/>
            <w:vAlign w:val="bottom"/>
            <w:hideMark/>
          </w:tcPr>
          <w:p w14:paraId="5642946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231.129 </w:t>
            </w:r>
          </w:p>
        </w:tc>
      </w:tr>
      <w:tr w:rsidR="003402A0" w:rsidRPr="00701F32" w14:paraId="11AAEAD2" w14:textId="77777777" w:rsidTr="00E311C9">
        <w:trPr>
          <w:trHeight w:val="255"/>
        </w:trPr>
        <w:tc>
          <w:tcPr>
            <w:tcW w:w="5505" w:type="dxa"/>
            <w:shd w:val="clear" w:color="auto" w:fill="auto"/>
            <w:noWrap/>
            <w:vAlign w:val="bottom"/>
            <w:hideMark/>
          </w:tcPr>
          <w:p w14:paraId="242E2C40"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Pasivos asociados a la transferencia de activos financieros no dados de baja</w:t>
            </w:r>
          </w:p>
        </w:tc>
        <w:tc>
          <w:tcPr>
            <w:tcW w:w="1364" w:type="dxa"/>
            <w:shd w:val="clear" w:color="auto" w:fill="auto"/>
            <w:noWrap/>
            <w:vAlign w:val="bottom"/>
          </w:tcPr>
          <w:p w14:paraId="1A644BC0" w14:textId="2DB9B373"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138.574 </w:t>
            </w:r>
          </w:p>
        </w:tc>
        <w:tc>
          <w:tcPr>
            <w:tcW w:w="1141" w:type="dxa"/>
            <w:shd w:val="clear" w:color="auto" w:fill="auto"/>
            <w:noWrap/>
            <w:vAlign w:val="bottom"/>
            <w:hideMark/>
          </w:tcPr>
          <w:p w14:paraId="14BAB69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1.041.483 </w:t>
            </w:r>
          </w:p>
        </w:tc>
        <w:tc>
          <w:tcPr>
            <w:tcW w:w="1141" w:type="dxa"/>
            <w:shd w:val="clear" w:color="auto" w:fill="auto"/>
            <w:noWrap/>
            <w:vAlign w:val="bottom"/>
            <w:hideMark/>
          </w:tcPr>
          <w:p w14:paraId="59FB1D9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491.633 </w:t>
            </w:r>
          </w:p>
        </w:tc>
      </w:tr>
      <w:tr w:rsidR="003402A0" w:rsidRPr="00701F32" w14:paraId="1161A53A" w14:textId="77777777" w:rsidTr="00E311C9">
        <w:trPr>
          <w:trHeight w:val="255"/>
        </w:trPr>
        <w:tc>
          <w:tcPr>
            <w:tcW w:w="5505" w:type="dxa"/>
            <w:shd w:val="clear" w:color="auto" w:fill="auto"/>
            <w:noWrap/>
            <w:vAlign w:val="bottom"/>
          </w:tcPr>
          <w:p w14:paraId="7FDCBDE4" w14:textId="52789262" w:rsidR="003402A0" w:rsidRPr="00701F32" w:rsidRDefault="003402A0" w:rsidP="00AF3A00">
            <w:pPr>
              <w:rPr>
                <w:rFonts w:ascii="Arial" w:hAnsi="Arial" w:cs="Arial"/>
                <w:color w:val="000000"/>
                <w:sz w:val="20"/>
              </w:rPr>
            </w:pPr>
            <w:r w:rsidRPr="00701F32">
              <w:rPr>
                <w:rFonts w:ascii="Arial" w:hAnsi="Arial" w:cs="Arial"/>
                <w:color w:val="000000"/>
                <w:sz w:val="20"/>
              </w:rPr>
              <w:t>Préstamo BID</w:t>
            </w:r>
          </w:p>
        </w:tc>
        <w:tc>
          <w:tcPr>
            <w:tcW w:w="1364" w:type="dxa"/>
            <w:shd w:val="clear" w:color="auto" w:fill="auto"/>
            <w:noWrap/>
            <w:vAlign w:val="bottom"/>
          </w:tcPr>
          <w:p w14:paraId="526DDE38" w14:textId="48260966" w:rsidR="003402A0" w:rsidRPr="00701F32" w:rsidRDefault="003402A0">
            <w:pPr>
              <w:jc w:val="right"/>
              <w:rPr>
                <w:rFonts w:ascii="Arial" w:hAnsi="Arial" w:cs="Arial"/>
                <w:color w:val="000000"/>
                <w:sz w:val="20"/>
                <w:lang w:val="es-ES_tradnl" w:eastAsia="es-AR"/>
              </w:rPr>
            </w:pPr>
            <w:r w:rsidRPr="00701F32">
              <w:rPr>
                <w:rFonts w:ascii="Arial" w:hAnsi="Arial" w:cs="Arial"/>
                <w:sz w:val="20"/>
              </w:rPr>
              <w:t xml:space="preserve">28.200 </w:t>
            </w:r>
          </w:p>
        </w:tc>
        <w:tc>
          <w:tcPr>
            <w:tcW w:w="1141" w:type="dxa"/>
            <w:shd w:val="clear" w:color="auto" w:fill="auto"/>
            <w:noWrap/>
            <w:vAlign w:val="bottom"/>
          </w:tcPr>
          <w:p w14:paraId="5BF2F710" w14:textId="352C4D37" w:rsidR="003402A0" w:rsidRPr="00701F32" w:rsidRDefault="00AE1E9D">
            <w:pPr>
              <w:jc w:val="right"/>
              <w:rPr>
                <w:rFonts w:ascii="Arial" w:hAnsi="Arial" w:cs="Arial"/>
                <w:color w:val="000000"/>
                <w:sz w:val="20"/>
                <w:lang w:eastAsia="es-AR"/>
              </w:rPr>
            </w:pPr>
            <w:r w:rsidRPr="00701F32">
              <w:rPr>
                <w:rFonts w:ascii="Arial" w:hAnsi="Arial" w:cs="Arial"/>
                <w:color w:val="000000"/>
                <w:sz w:val="20"/>
                <w:lang w:eastAsia="es-AR"/>
              </w:rPr>
              <w:t>-</w:t>
            </w:r>
          </w:p>
        </w:tc>
        <w:tc>
          <w:tcPr>
            <w:tcW w:w="1141" w:type="dxa"/>
            <w:shd w:val="clear" w:color="auto" w:fill="auto"/>
            <w:noWrap/>
            <w:vAlign w:val="bottom"/>
          </w:tcPr>
          <w:p w14:paraId="12FD1029" w14:textId="7F9B0786" w:rsidR="003402A0" w:rsidRPr="00701F32" w:rsidRDefault="00AE1E9D">
            <w:pPr>
              <w:jc w:val="right"/>
              <w:rPr>
                <w:rFonts w:ascii="Arial" w:hAnsi="Arial" w:cs="Arial"/>
                <w:color w:val="000000"/>
                <w:sz w:val="20"/>
                <w:lang w:eastAsia="es-AR"/>
              </w:rPr>
            </w:pPr>
            <w:r w:rsidRPr="00701F32">
              <w:rPr>
                <w:rFonts w:ascii="Arial" w:hAnsi="Arial" w:cs="Arial"/>
                <w:color w:val="000000"/>
                <w:sz w:val="20"/>
                <w:lang w:eastAsia="es-AR"/>
              </w:rPr>
              <w:t>-</w:t>
            </w:r>
          </w:p>
        </w:tc>
      </w:tr>
      <w:tr w:rsidR="00AF3A00" w:rsidRPr="00701F32" w14:paraId="1FC253DC" w14:textId="77777777" w:rsidTr="00E311C9">
        <w:trPr>
          <w:trHeight w:val="270"/>
        </w:trPr>
        <w:tc>
          <w:tcPr>
            <w:tcW w:w="5505" w:type="dxa"/>
            <w:shd w:val="clear" w:color="auto" w:fill="auto"/>
            <w:noWrap/>
            <w:vAlign w:val="bottom"/>
            <w:hideMark/>
          </w:tcPr>
          <w:p w14:paraId="64FF4045" w14:textId="77777777" w:rsidR="00AF3A00" w:rsidRPr="00701F32" w:rsidRDefault="00AF3A00" w:rsidP="00AF3A00">
            <w:pPr>
              <w:rPr>
                <w:rFonts w:ascii="Arial" w:hAnsi="Arial" w:cs="Arial"/>
                <w:b/>
                <w:color w:val="000000"/>
                <w:sz w:val="20"/>
                <w:lang w:eastAsia="es-AR"/>
              </w:rPr>
            </w:pPr>
            <w:r w:rsidRPr="00701F32">
              <w:rPr>
                <w:rFonts w:ascii="Arial" w:hAnsi="Arial" w:cs="Arial"/>
                <w:b/>
                <w:color w:val="000000"/>
                <w:sz w:val="20"/>
                <w:lang w:eastAsia="es-AR"/>
              </w:rPr>
              <w:t>Total</w:t>
            </w:r>
          </w:p>
        </w:tc>
        <w:tc>
          <w:tcPr>
            <w:tcW w:w="1364" w:type="dxa"/>
            <w:shd w:val="clear" w:color="auto" w:fill="auto"/>
            <w:noWrap/>
            <w:vAlign w:val="bottom"/>
          </w:tcPr>
          <w:p w14:paraId="2F5189EF" w14:textId="1B9F88AC" w:rsidR="00AF3A00"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3.748.821</w:t>
            </w:r>
          </w:p>
        </w:tc>
        <w:tc>
          <w:tcPr>
            <w:tcW w:w="1141" w:type="dxa"/>
            <w:shd w:val="clear" w:color="auto" w:fill="auto"/>
            <w:noWrap/>
            <w:vAlign w:val="bottom"/>
            <w:hideMark/>
          </w:tcPr>
          <w:p w14:paraId="66255AC2"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3.872.692 </w:t>
            </w:r>
          </w:p>
        </w:tc>
        <w:tc>
          <w:tcPr>
            <w:tcW w:w="1141" w:type="dxa"/>
            <w:shd w:val="clear" w:color="auto" w:fill="auto"/>
            <w:noWrap/>
            <w:vAlign w:val="bottom"/>
            <w:hideMark/>
          </w:tcPr>
          <w:p w14:paraId="4217A283"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2.946.326 </w:t>
            </w:r>
          </w:p>
        </w:tc>
      </w:tr>
    </w:tbl>
    <w:p w14:paraId="63683165" w14:textId="77777777" w:rsidR="004437AA" w:rsidRDefault="004437AA" w:rsidP="00AF3A00">
      <w:pPr>
        <w:rPr>
          <w:rFonts w:ascii="Arial" w:hAnsi="Arial" w:cs="Arial"/>
          <w:bCs/>
          <w:color w:val="000000"/>
          <w:sz w:val="20"/>
          <w:lang w:eastAsia="es-AR"/>
        </w:rPr>
      </w:pPr>
    </w:p>
    <w:p w14:paraId="141E427E" w14:textId="258B1317" w:rsidR="00AF3A00" w:rsidRPr="00701F32" w:rsidRDefault="00AF3A00" w:rsidP="00AF3A00">
      <w:pPr>
        <w:rPr>
          <w:rFonts w:ascii="Arial" w:hAnsi="Arial" w:cs="Arial"/>
          <w:bCs/>
          <w:color w:val="000000"/>
          <w:sz w:val="20"/>
          <w:lang w:eastAsia="es-AR"/>
        </w:rPr>
      </w:pPr>
      <w:r w:rsidRPr="00701F32">
        <w:rPr>
          <w:rFonts w:ascii="Arial" w:hAnsi="Arial" w:cs="Arial"/>
          <w:bCs/>
          <w:color w:val="000000"/>
          <w:sz w:val="20"/>
          <w:lang w:eastAsia="es-AR"/>
        </w:rPr>
        <w:t>7.</w:t>
      </w:r>
      <w:r w:rsidR="00B75780" w:rsidRPr="00701F32">
        <w:rPr>
          <w:rFonts w:ascii="Arial" w:hAnsi="Arial" w:cs="Arial"/>
          <w:bCs/>
          <w:color w:val="000000"/>
          <w:sz w:val="20"/>
          <w:lang w:eastAsia="es-AR"/>
        </w:rPr>
        <w:t>10</w:t>
      </w:r>
      <w:r w:rsidRPr="00701F32">
        <w:rPr>
          <w:rFonts w:ascii="Arial" w:hAnsi="Arial" w:cs="Arial"/>
          <w:bCs/>
          <w:color w:val="000000"/>
          <w:sz w:val="20"/>
          <w:lang w:eastAsia="es-AR"/>
        </w:rPr>
        <w:t xml:space="preserve"> Financiaciones recibidas del BCRA y otras instituciones financieras</w:t>
      </w:r>
    </w:p>
    <w:p w14:paraId="67E9A4C0" w14:textId="77777777" w:rsidR="002309A7" w:rsidRPr="00701F32" w:rsidRDefault="002309A7" w:rsidP="00AF3A00">
      <w:pPr>
        <w:rPr>
          <w:rFonts w:ascii="Arial" w:hAnsi="Arial" w:cs="Arial"/>
          <w:bCs/>
          <w:color w:val="000000"/>
          <w:sz w:val="20"/>
          <w:lang w:eastAsia="es-AR"/>
        </w:rPr>
      </w:pPr>
    </w:p>
    <w:p w14:paraId="096256CF" w14:textId="77777777" w:rsidR="00AF3A00" w:rsidRPr="00701F32" w:rsidRDefault="00AF3A00" w:rsidP="00AF3A00">
      <w:pPr>
        <w:rPr>
          <w:rFonts w:ascii="Arial" w:eastAsiaTheme="minorHAnsi" w:hAnsi="Arial" w:cs="Arial"/>
          <w:sz w:val="20"/>
        </w:rPr>
      </w:pPr>
      <w:r w:rsidRPr="00701F32">
        <w:rPr>
          <w:rFonts w:ascii="Arial" w:eastAsiaTheme="minorHAnsi" w:hAnsi="Arial" w:cs="Arial"/>
          <w:sz w:val="20"/>
        </w:rPr>
        <w:t xml:space="preserve">Los principales componentes del rubro </w:t>
      </w:r>
      <w:r w:rsidRPr="00701F32">
        <w:rPr>
          <w:rFonts w:ascii="Arial" w:hAnsi="Arial" w:cs="Arial"/>
          <w:bCs/>
          <w:color w:val="000000"/>
          <w:sz w:val="20"/>
          <w:lang w:eastAsia="es-AR"/>
        </w:rPr>
        <w:t xml:space="preserve">Financiaciones recibidas del BCRA y otras instituciones financieras </w:t>
      </w:r>
      <w:r w:rsidRPr="00701F32">
        <w:rPr>
          <w:rFonts w:ascii="Arial" w:eastAsiaTheme="minorHAnsi" w:hAnsi="Arial" w:cs="Arial"/>
          <w:sz w:val="20"/>
        </w:rPr>
        <w:t>al 3</w:t>
      </w:r>
      <w:r w:rsidR="00650739" w:rsidRPr="00701F32">
        <w:rPr>
          <w:rFonts w:ascii="Arial" w:eastAsiaTheme="minorHAnsi" w:hAnsi="Arial" w:cs="Arial"/>
          <w:sz w:val="20"/>
        </w:rPr>
        <w:t xml:space="preserve">0 </w:t>
      </w:r>
      <w:r w:rsidRPr="00701F32">
        <w:rPr>
          <w:rFonts w:ascii="Arial" w:eastAsiaTheme="minorHAnsi" w:hAnsi="Arial" w:cs="Arial"/>
          <w:sz w:val="20"/>
        </w:rPr>
        <w:t xml:space="preserve">de </w:t>
      </w:r>
      <w:r w:rsidR="00285339" w:rsidRPr="00701F32">
        <w:rPr>
          <w:rFonts w:ascii="Arial" w:eastAsiaTheme="minorHAnsi" w:hAnsi="Arial" w:cs="Arial"/>
          <w:sz w:val="20"/>
        </w:rPr>
        <w:t>septiembre</w:t>
      </w:r>
      <w:r w:rsidR="004A25F6" w:rsidRPr="00701F32">
        <w:rPr>
          <w:rFonts w:ascii="Arial" w:eastAsiaTheme="minorHAnsi" w:hAnsi="Arial" w:cs="Arial"/>
          <w:sz w:val="20"/>
        </w:rPr>
        <w:t xml:space="preserve"> de</w:t>
      </w:r>
      <w:r w:rsidRPr="00701F32">
        <w:rPr>
          <w:rFonts w:ascii="Arial" w:eastAsiaTheme="minorHAnsi" w:hAnsi="Arial" w:cs="Arial"/>
          <w:sz w:val="20"/>
        </w:rPr>
        <w:t xml:space="preserve"> 2018, 31 de diciembre y 1 de enero de 2017 son los siguientes:</w:t>
      </w:r>
    </w:p>
    <w:p w14:paraId="1CA8FCBF" w14:textId="77777777" w:rsidR="00B30DEB" w:rsidRPr="00701F32" w:rsidRDefault="00B30DEB" w:rsidP="00AF3A00">
      <w:pPr>
        <w:rPr>
          <w:rFonts w:ascii="Arial" w:eastAsiaTheme="minorHAnsi" w:hAnsi="Arial" w:cs="Arial"/>
          <w:sz w:val="22"/>
          <w:szCs w:val="22"/>
        </w:rPr>
      </w:pPr>
    </w:p>
    <w:tbl>
      <w:tblPr>
        <w:tblW w:w="93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1"/>
        <w:gridCol w:w="1428"/>
        <w:gridCol w:w="1381"/>
        <w:gridCol w:w="1381"/>
      </w:tblGrid>
      <w:tr w:rsidR="00AF3A00" w:rsidRPr="00701F32" w14:paraId="79E08A95" w14:textId="77777777" w:rsidTr="00701F32">
        <w:trPr>
          <w:trHeight w:val="229"/>
        </w:trPr>
        <w:tc>
          <w:tcPr>
            <w:tcW w:w="5111" w:type="dxa"/>
            <w:shd w:val="clear" w:color="auto" w:fill="auto"/>
            <w:noWrap/>
            <w:vAlign w:val="bottom"/>
            <w:hideMark/>
          </w:tcPr>
          <w:p w14:paraId="19F4F20C" w14:textId="77777777" w:rsidR="00AF3A00" w:rsidRPr="00701F32" w:rsidRDefault="00AF3A00" w:rsidP="00AF3A00">
            <w:pPr>
              <w:rPr>
                <w:rFonts w:ascii="Arial" w:hAnsi="Arial" w:cs="Arial"/>
                <w:b/>
                <w:bCs/>
                <w:color w:val="000000"/>
                <w:sz w:val="20"/>
                <w:u w:val="single"/>
                <w:lang w:eastAsia="es-AR"/>
              </w:rPr>
            </w:pPr>
          </w:p>
        </w:tc>
        <w:tc>
          <w:tcPr>
            <w:tcW w:w="1428" w:type="dxa"/>
            <w:shd w:val="clear" w:color="auto" w:fill="auto"/>
            <w:noWrap/>
            <w:vAlign w:val="bottom"/>
            <w:hideMark/>
          </w:tcPr>
          <w:p w14:paraId="64F674D9" w14:textId="77777777" w:rsidR="00AF3A00" w:rsidRPr="00701F32" w:rsidRDefault="00AF3A00" w:rsidP="00650739">
            <w:pPr>
              <w:jc w:val="right"/>
              <w:rPr>
                <w:rFonts w:ascii="Arial" w:hAnsi="Arial" w:cs="Arial"/>
                <w:b/>
                <w:color w:val="000000"/>
                <w:sz w:val="20"/>
                <w:lang w:eastAsia="es-AR"/>
              </w:rPr>
            </w:pPr>
            <w:r w:rsidRPr="00701F32">
              <w:rPr>
                <w:rFonts w:ascii="Arial" w:hAnsi="Arial" w:cs="Arial"/>
                <w:b/>
                <w:color w:val="000000"/>
                <w:sz w:val="20"/>
                <w:lang w:eastAsia="es-AR"/>
              </w:rPr>
              <w:t>3</w:t>
            </w:r>
            <w:r w:rsidR="00650739"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81" w:type="dxa"/>
            <w:shd w:val="clear" w:color="auto" w:fill="auto"/>
            <w:noWrap/>
            <w:vAlign w:val="bottom"/>
            <w:hideMark/>
          </w:tcPr>
          <w:p w14:paraId="5DED9567"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81" w:type="dxa"/>
            <w:shd w:val="clear" w:color="auto" w:fill="auto"/>
            <w:noWrap/>
            <w:vAlign w:val="bottom"/>
            <w:hideMark/>
          </w:tcPr>
          <w:p w14:paraId="7E8971D2" w14:textId="77777777" w:rsidR="00AF3A00" w:rsidRPr="00701F32" w:rsidRDefault="00AF3A00" w:rsidP="00AF3A00">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731CFC34" w14:textId="77777777" w:rsidTr="00701F32">
        <w:trPr>
          <w:trHeight w:val="229"/>
        </w:trPr>
        <w:tc>
          <w:tcPr>
            <w:tcW w:w="5111" w:type="dxa"/>
            <w:shd w:val="clear" w:color="auto" w:fill="auto"/>
            <w:noWrap/>
            <w:vAlign w:val="bottom"/>
            <w:hideMark/>
          </w:tcPr>
          <w:p w14:paraId="42369654"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Otras financiaciones de entidades financieras</w:t>
            </w:r>
          </w:p>
        </w:tc>
        <w:tc>
          <w:tcPr>
            <w:tcW w:w="1428" w:type="dxa"/>
            <w:shd w:val="clear" w:color="auto" w:fill="auto"/>
            <w:noWrap/>
            <w:vAlign w:val="bottom"/>
          </w:tcPr>
          <w:p w14:paraId="4331F493" w14:textId="722657E4"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1.283.577 </w:t>
            </w:r>
          </w:p>
        </w:tc>
        <w:tc>
          <w:tcPr>
            <w:tcW w:w="1381" w:type="dxa"/>
            <w:shd w:val="clear" w:color="auto" w:fill="auto"/>
            <w:noWrap/>
            <w:vAlign w:val="bottom"/>
            <w:hideMark/>
          </w:tcPr>
          <w:p w14:paraId="6E807FFE"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602.986 </w:t>
            </w:r>
          </w:p>
        </w:tc>
        <w:tc>
          <w:tcPr>
            <w:tcW w:w="1381" w:type="dxa"/>
            <w:shd w:val="clear" w:color="auto" w:fill="auto"/>
            <w:noWrap/>
            <w:vAlign w:val="bottom"/>
            <w:hideMark/>
          </w:tcPr>
          <w:p w14:paraId="52BB363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796.242 </w:t>
            </w:r>
          </w:p>
        </w:tc>
      </w:tr>
      <w:tr w:rsidR="003402A0" w:rsidRPr="00701F32" w14:paraId="20E89548" w14:textId="77777777" w:rsidTr="00701F32">
        <w:trPr>
          <w:trHeight w:val="229"/>
        </w:trPr>
        <w:tc>
          <w:tcPr>
            <w:tcW w:w="5111" w:type="dxa"/>
            <w:shd w:val="clear" w:color="auto" w:fill="auto"/>
            <w:noWrap/>
            <w:vAlign w:val="bottom"/>
            <w:hideMark/>
          </w:tcPr>
          <w:p w14:paraId="3A04579E"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Financiaciones recibidas de entidades financieras locales</w:t>
            </w:r>
          </w:p>
        </w:tc>
        <w:tc>
          <w:tcPr>
            <w:tcW w:w="1428" w:type="dxa"/>
            <w:shd w:val="clear" w:color="auto" w:fill="auto"/>
            <w:noWrap/>
            <w:vAlign w:val="bottom"/>
          </w:tcPr>
          <w:p w14:paraId="53A224A2" w14:textId="4406B938"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15.719 </w:t>
            </w:r>
          </w:p>
        </w:tc>
        <w:tc>
          <w:tcPr>
            <w:tcW w:w="1381" w:type="dxa"/>
            <w:shd w:val="clear" w:color="auto" w:fill="auto"/>
            <w:noWrap/>
            <w:vAlign w:val="bottom"/>
            <w:hideMark/>
          </w:tcPr>
          <w:p w14:paraId="0E644BB2"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50.182 </w:t>
            </w:r>
          </w:p>
        </w:tc>
        <w:tc>
          <w:tcPr>
            <w:tcW w:w="1381" w:type="dxa"/>
            <w:shd w:val="clear" w:color="auto" w:fill="auto"/>
            <w:noWrap/>
            <w:vAlign w:val="bottom"/>
            <w:hideMark/>
          </w:tcPr>
          <w:p w14:paraId="38B8B44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154.965 </w:t>
            </w:r>
          </w:p>
        </w:tc>
      </w:tr>
      <w:tr w:rsidR="003402A0" w:rsidRPr="00701F32" w14:paraId="29B77E52" w14:textId="77777777" w:rsidTr="00701F32">
        <w:trPr>
          <w:trHeight w:val="229"/>
        </w:trPr>
        <w:tc>
          <w:tcPr>
            <w:tcW w:w="5111" w:type="dxa"/>
            <w:shd w:val="clear" w:color="auto" w:fill="auto"/>
            <w:noWrap/>
            <w:vAlign w:val="bottom"/>
            <w:hideMark/>
          </w:tcPr>
          <w:p w14:paraId="15B3B94F"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Otras financiaciones de organismos internacionales</w:t>
            </w:r>
          </w:p>
        </w:tc>
        <w:tc>
          <w:tcPr>
            <w:tcW w:w="1428" w:type="dxa"/>
            <w:shd w:val="clear" w:color="auto" w:fill="auto"/>
            <w:noWrap/>
            <w:vAlign w:val="bottom"/>
          </w:tcPr>
          <w:p w14:paraId="2AD8D07C" w14:textId="50FC68B1"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5.728.672 </w:t>
            </w:r>
          </w:p>
        </w:tc>
        <w:tc>
          <w:tcPr>
            <w:tcW w:w="1381" w:type="dxa"/>
            <w:shd w:val="clear" w:color="auto" w:fill="auto"/>
            <w:noWrap/>
            <w:vAlign w:val="bottom"/>
            <w:hideMark/>
          </w:tcPr>
          <w:p w14:paraId="5AC2F52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150.194 </w:t>
            </w:r>
          </w:p>
        </w:tc>
        <w:tc>
          <w:tcPr>
            <w:tcW w:w="1381" w:type="dxa"/>
            <w:shd w:val="clear" w:color="auto" w:fill="auto"/>
            <w:noWrap/>
            <w:vAlign w:val="bottom"/>
            <w:hideMark/>
          </w:tcPr>
          <w:p w14:paraId="04436CF4"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 </w:t>
            </w:r>
          </w:p>
        </w:tc>
      </w:tr>
      <w:tr w:rsidR="003402A0" w:rsidRPr="00701F32" w14:paraId="1567BCEB" w14:textId="77777777" w:rsidTr="00701F32">
        <w:trPr>
          <w:trHeight w:val="229"/>
        </w:trPr>
        <w:tc>
          <w:tcPr>
            <w:tcW w:w="5111" w:type="dxa"/>
            <w:shd w:val="clear" w:color="auto" w:fill="auto"/>
            <w:noWrap/>
            <w:vAlign w:val="bottom"/>
            <w:hideMark/>
          </w:tcPr>
          <w:p w14:paraId="7F75D3AC" w14:textId="77777777" w:rsidR="003402A0" w:rsidRPr="00701F32" w:rsidRDefault="003402A0" w:rsidP="00AF3A00">
            <w:pPr>
              <w:rPr>
                <w:rFonts w:ascii="Arial" w:hAnsi="Arial" w:cs="Arial"/>
                <w:color w:val="000000"/>
                <w:sz w:val="20"/>
                <w:lang w:eastAsia="es-AR"/>
              </w:rPr>
            </w:pPr>
            <w:r w:rsidRPr="00701F32">
              <w:rPr>
                <w:rFonts w:ascii="Arial" w:hAnsi="Arial" w:cs="Arial"/>
                <w:color w:val="000000"/>
                <w:sz w:val="20"/>
                <w:lang w:eastAsia="es-AR"/>
              </w:rPr>
              <w:t>Líneas del exterior</w:t>
            </w:r>
          </w:p>
        </w:tc>
        <w:tc>
          <w:tcPr>
            <w:tcW w:w="1428" w:type="dxa"/>
            <w:shd w:val="clear" w:color="auto" w:fill="auto"/>
            <w:noWrap/>
            <w:vAlign w:val="bottom"/>
          </w:tcPr>
          <w:p w14:paraId="66465D0D" w14:textId="7E4935D9"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3.432.199 </w:t>
            </w:r>
          </w:p>
        </w:tc>
        <w:tc>
          <w:tcPr>
            <w:tcW w:w="1381" w:type="dxa"/>
            <w:shd w:val="clear" w:color="auto" w:fill="auto"/>
            <w:noWrap/>
            <w:vAlign w:val="bottom"/>
            <w:hideMark/>
          </w:tcPr>
          <w:p w14:paraId="346CA765"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2.633.076 </w:t>
            </w:r>
          </w:p>
        </w:tc>
        <w:tc>
          <w:tcPr>
            <w:tcW w:w="1381" w:type="dxa"/>
            <w:shd w:val="clear" w:color="auto" w:fill="auto"/>
            <w:noWrap/>
            <w:vAlign w:val="bottom"/>
            <w:hideMark/>
          </w:tcPr>
          <w:p w14:paraId="475EA834"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670.560 </w:t>
            </w:r>
          </w:p>
        </w:tc>
      </w:tr>
      <w:tr w:rsidR="00AF3A00" w:rsidRPr="00701F32" w14:paraId="4992A5EB" w14:textId="77777777" w:rsidTr="00701F32">
        <w:trPr>
          <w:trHeight w:val="242"/>
        </w:trPr>
        <w:tc>
          <w:tcPr>
            <w:tcW w:w="5111" w:type="dxa"/>
            <w:shd w:val="clear" w:color="auto" w:fill="auto"/>
            <w:noWrap/>
            <w:vAlign w:val="bottom"/>
            <w:hideMark/>
          </w:tcPr>
          <w:p w14:paraId="47C737AC" w14:textId="77777777" w:rsidR="00AF3A00" w:rsidRPr="00701F32" w:rsidRDefault="00AF3A00" w:rsidP="00AF3A00">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428" w:type="dxa"/>
            <w:shd w:val="clear" w:color="auto" w:fill="auto"/>
            <w:noWrap/>
            <w:vAlign w:val="bottom"/>
          </w:tcPr>
          <w:p w14:paraId="40AF9315" w14:textId="502AF124" w:rsidR="00AF3A00"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10.460.167</w:t>
            </w:r>
          </w:p>
        </w:tc>
        <w:tc>
          <w:tcPr>
            <w:tcW w:w="1381" w:type="dxa"/>
            <w:shd w:val="clear" w:color="auto" w:fill="auto"/>
            <w:noWrap/>
            <w:vAlign w:val="bottom"/>
            <w:hideMark/>
          </w:tcPr>
          <w:p w14:paraId="2AAA5F0D"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 xml:space="preserve">3.436.438 </w:t>
            </w:r>
          </w:p>
        </w:tc>
        <w:tc>
          <w:tcPr>
            <w:tcW w:w="1381" w:type="dxa"/>
            <w:shd w:val="clear" w:color="auto" w:fill="auto"/>
            <w:noWrap/>
            <w:vAlign w:val="bottom"/>
            <w:hideMark/>
          </w:tcPr>
          <w:p w14:paraId="650D4811" w14:textId="77777777" w:rsidR="00AF3A00" w:rsidRPr="00701F32" w:rsidRDefault="00AF3A00">
            <w:pPr>
              <w:jc w:val="right"/>
              <w:rPr>
                <w:rFonts w:ascii="Arial" w:hAnsi="Arial" w:cs="Arial"/>
                <w:b/>
                <w:color w:val="000000"/>
                <w:sz w:val="20"/>
                <w:lang w:val="es-ES_tradnl" w:eastAsia="es-AR"/>
              </w:rPr>
            </w:pPr>
            <w:r w:rsidRPr="00701F32">
              <w:rPr>
                <w:rFonts w:ascii="Arial" w:hAnsi="Arial" w:cs="Arial"/>
                <w:b/>
                <w:color w:val="000000"/>
                <w:sz w:val="20"/>
                <w:lang w:eastAsia="es-AR"/>
              </w:rPr>
              <w:t>1.621.</w:t>
            </w:r>
            <w:r w:rsidR="002F0893" w:rsidRPr="00701F32">
              <w:rPr>
                <w:rFonts w:ascii="Arial" w:hAnsi="Arial" w:cs="Arial"/>
                <w:b/>
                <w:color w:val="000000"/>
                <w:sz w:val="20"/>
                <w:lang w:eastAsia="es-AR"/>
              </w:rPr>
              <w:t xml:space="preserve">767 </w:t>
            </w:r>
          </w:p>
        </w:tc>
      </w:tr>
    </w:tbl>
    <w:p w14:paraId="19F3F7DF" w14:textId="77777777" w:rsidR="00AF3A00" w:rsidRPr="00701F32" w:rsidRDefault="00AF3A00" w:rsidP="00A06BE9">
      <w:pPr>
        <w:spacing w:after="160" w:line="259" w:lineRule="auto"/>
        <w:jc w:val="both"/>
        <w:rPr>
          <w:rFonts w:ascii="Arial" w:eastAsia="Calibri" w:hAnsi="Arial" w:cs="Arial"/>
          <w:sz w:val="20"/>
        </w:rPr>
      </w:pPr>
    </w:p>
    <w:p w14:paraId="3F78F523" w14:textId="77777777" w:rsidR="00B75780" w:rsidRPr="00701F32" w:rsidRDefault="00B75780" w:rsidP="00B75780">
      <w:pPr>
        <w:rPr>
          <w:rFonts w:ascii="Arial" w:hAnsi="Arial" w:cs="Arial"/>
          <w:bCs/>
          <w:color w:val="000000"/>
          <w:sz w:val="20"/>
          <w:lang w:eastAsia="es-AR"/>
        </w:rPr>
      </w:pPr>
      <w:r w:rsidRPr="00701F32">
        <w:rPr>
          <w:rFonts w:ascii="Arial" w:hAnsi="Arial" w:cs="Arial"/>
          <w:bCs/>
          <w:color w:val="000000"/>
          <w:sz w:val="20"/>
          <w:lang w:eastAsia="es-AR"/>
        </w:rPr>
        <w:t>7.11 Otros pasivos no financieros.</w:t>
      </w:r>
    </w:p>
    <w:p w14:paraId="1E61125D" w14:textId="77777777" w:rsidR="00B75780" w:rsidRPr="00701F32" w:rsidRDefault="00B75780" w:rsidP="00B75780">
      <w:pPr>
        <w:rPr>
          <w:rFonts w:ascii="Arial" w:hAnsi="Arial" w:cs="Arial"/>
          <w:bCs/>
          <w:color w:val="000000"/>
          <w:sz w:val="20"/>
          <w:lang w:eastAsia="es-AR"/>
        </w:rPr>
      </w:pPr>
    </w:p>
    <w:p w14:paraId="0D0A3AAD" w14:textId="77777777" w:rsidR="00B75780" w:rsidRPr="00701F32" w:rsidRDefault="00B75780" w:rsidP="00B75780">
      <w:pPr>
        <w:rPr>
          <w:rFonts w:ascii="Arial" w:eastAsiaTheme="minorHAnsi" w:hAnsi="Arial" w:cs="Arial"/>
          <w:sz w:val="20"/>
        </w:rPr>
      </w:pPr>
      <w:r w:rsidRPr="00701F32">
        <w:rPr>
          <w:rFonts w:ascii="Arial" w:eastAsiaTheme="minorHAnsi" w:hAnsi="Arial" w:cs="Arial"/>
          <w:sz w:val="20"/>
        </w:rPr>
        <w:t xml:space="preserve">Los principales componentes del rubro </w:t>
      </w:r>
      <w:r w:rsidRPr="00701F32">
        <w:rPr>
          <w:rFonts w:ascii="Arial" w:hAnsi="Arial" w:cs="Arial"/>
          <w:bCs/>
          <w:color w:val="000000"/>
          <w:sz w:val="20"/>
          <w:lang w:eastAsia="es-AR"/>
        </w:rPr>
        <w:t xml:space="preserve">otros pasivos no financieros </w:t>
      </w:r>
      <w:r w:rsidRPr="00701F32">
        <w:rPr>
          <w:rFonts w:ascii="Arial" w:eastAsiaTheme="minorHAnsi" w:hAnsi="Arial" w:cs="Arial"/>
          <w:sz w:val="20"/>
        </w:rPr>
        <w:t>al 3</w:t>
      </w:r>
      <w:r w:rsidR="00E442E5" w:rsidRPr="00701F32">
        <w:rPr>
          <w:rFonts w:ascii="Arial" w:eastAsiaTheme="minorHAnsi" w:hAnsi="Arial" w:cs="Arial"/>
          <w:sz w:val="20"/>
        </w:rPr>
        <w:t>0</w:t>
      </w:r>
      <w:r w:rsidRPr="00701F32">
        <w:rPr>
          <w:rFonts w:ascii="Arial" w:eastAsiaTheme="minorHAnsi" w:hAnsi="Arial" w:cs="Arial"/>
          <w:sz w:val="20"/>
        </w:rPr>
        <w:t xml:space="preserve"> de </w:t>
      </w:r>
      <w:r w:rsidR="00285339" w:rsidRPr="00701F32">
        <w:rPr>
          <w:rFonts w:ascii="Arial" w:eastAsiaTheme="minorHAnsi" w:hAnsi="Arial" w:cs="Arial"/>
          <w:sz w:val="20"/>
        </w:rPr>
        <w:t>septiembre</w:t>
      </w:r>
      <w:r w:rsidR="004A25F6" w:rsidRPr="00701F32">
        <w:rPr>
          <w:rFonts w:ascii="Arial" w:eastAsiaTheme="minorHAnsi" w:hAnsi="Arial" w:cs="Arial"/>
          <w:sz w:val="20"/>
        </w:rPr>
        <w:t xml:space="preserve"> de </w:t>
      </w:r>
      <w:r w:rsidRPr="00701F32">
        <w:rPr>
          <w:rFonts w:ascii="Arial" w:eastAsiaTheme="minorHAnsi" w:hAnsi="Arial" w:cs="Arial"/>
          <w:sz w:val="20"/>
        </w:rPr>
        <w:t>2018, 31 de diciembre y 1 de enero de 2017 son los siguientes:</w:t>
      </w:r>
    </w:p>
    <w:p w14:paraId="57067EE2" w14:textId="77777777" w:rsidR="00F17F39" w:rsidRPr="00701F32" w:rsidRDefault="00F17F39" w:rsidP="00A06BE9">
      <w:pPr>
        <w:spacing w:after="160" w:line="259" w:lineRule="auto"/>
        <w:jc w:val="both"/>
        <w:rPr>
          <w:rFonts w:ascii="Arial" w:eastAsia="Calibri" w:hAnsi="Arial" w:cs="Arial"/>
          <w:sz w:val="20"/>
        </w:rPr>
      </w:pPr>
    </w:p>
    <w:tbl>
      <w:tblPr>
        <w:tblW w:w="888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1"/>
        <w:gridCol w:w="1364"/>
        <w:gridCol w:w="1319"/>
        <w:gridCol w:w="1319"/>
      </w:tblGrid>
      <w:tr w:rsidR="00C32D44" w:rsidRPr="00701F32" w14:paraId="2DE93F70" w14:textId="77777777" w:rsidTr="00E442E5">
        <w:trPr>
          <w:trHeight w:val="255"/>
        </w:trPr>
        <w:tc>
          <w:tcPr>
            <w:tcW w:w="4881" w:type="dxa"/>
            <w:shd w:val="clear" w:color="auto" w:fill="auto"/>
            <w:noWrap/>
            <w:vAlign w:val="bottom"/>
            <w:hideMark/>
          </w:tcPr>
          <w:p w14:paraId="457597E8" w14:textId="77777777" w:rsidR="00C32D44" w:rsidRPr="00701F32" w:rsidRDefault="00C32D44" w:rsidP="0030003C">
            <w:pPr>
              <w:rPr>
                <w:rFonts w:ascii="Arial" w:hAnsi="Arial" w:cs="Arial"/>
                <w:b/>
                <w:bCs/>
                <w:color w:val="000000"/>
                <w:sz w:val="20"/>
                <w:u w:val="single"/>
                <w:lang w:eastAsia="es-AR"/>
              </w:rPr>
            </w:pPr>
          </w:p>
        </w:tc>
        <w:tc>
          <w:tcPr>
            <w:tcW w:w="1364" w:type="dxa"/>
            <w:shd w:val="clear" w:color="auto" w:fill="auto"/>
            <w:noWrap/>
            <w:vAlign w:val="bottom"/>
            <w:hideMark/>
          </w:tcPr>
          <w:p w14:paraId="4B518A34" w14:textId="77777777" w:rsidR="00C32D44" w:rsidRPr="00701F32" w:rsidRDefault="00C32D44" w:rsidP="00E442E5">
            <w:pPr>
              <w:jc w:val="right"/>
              <w:rPr>
                <w:rFonts w:ascii="Arial" w:hAnsi="Arial" w:cs="Arial"/>
                <w:b/>
                <w:color w:val="000000"/>
                <w:sz w:val="20"/>
                <w:lang w:eastAsia="es-AR"/>
              </w:rPr>
            </w:pPr>
            <w:r w:rsidRPr="00701F32">
              <w:rPr>
                <w:rFonts w:ascii="Arial" w:hAnsi="Arial" w:cs="Arial"/>
                <w:b/>
                <w:color w:val="000000"/>
                <w:sz w:val="20"/>
                <w:lang w:eastAsia="es-AR"/>
              </w:rPr>
              <w:t>3</w:t>
            </w:r>
            <w:r w:rsidR="00E442E5"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19" w:type="dxa"/>
            <w:shd w:val="clear" w:color="auto" w:fill="auto"/>
            <w:noWrap/>
            <w:vAlign w:val="bottom"/>
            <w:hideMark/>
          </w:tcPr>
          <w:p w14:paraId="122FCE73" w14:textId="77777777" w:rsidR="00C32D44" w:rsidRPr="00701F32" w:rsidRDefault="00C32D44" w:rsidP="0030003C">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19" w:type="dxa"/>
            <w:shd w:val="clear" w:color="auto" w:fill="auto"/>
            <w:noWrap/>
            <w:vAlign w:val="bottom"/>
            <w:hideMark/>
          </w:tcPr>
          <w:p w14:paraId="4F0FD849" w14:textId="77777777" w:rsidR="00C32D44" w:rsidRPr="00701F32" w:rsidRDefault="00C32D44" w:rsidP="0030003C">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3402A0" w:rsidRPr="00701F32" w14:paraId="4D1A4755" w14:textId="77777777" w:rsidTr="00E311C9">
        <w:trPr>
          <w:trHeight w:val="25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7FD35" w14:textId="77777777" w:rsidR="003402A0" w:rsidRPr="00701F32" w:rsidRDefault="003402A0" w:rsidP="00C32D44">
            <w:pPr>
              <w:rPr>
                <w:rFonts w:ascii="Arial" w:hAnsi="Arial" w:cs="Arial"/>
                <w:color w:val="000000"/>
                <w:sz w:val="20"/>
                <w:lang w:eastAsia="es-AR"/>
              </w:rPr>
            </w:pPr>
            <w:r w:rsidRPr="00701F32">
              <w:rPr>
                <w:rFonts w:ascii="Arial" w:hAnsi="Arial" w:cs="Arial"/>
                <w:color w:val="000000"/>
                <w:sz w:val="20"/>
                <w:lang w:eastAsia="es-AR"/>
              </w:rPr>
              <w:t>Remuneraciones y cargas sociales a pagar</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9AAF4" w14:textId="28CAA4A1"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1.618.359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1E2C"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1.578.778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2350F"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1.025.034 </w:t>
            </w:r>
          </w:p>
        </w:tc>
      </w:tr>
      <w:tr w:rsidR="003402A0" w:rsidRPr="00701F32" w14:paraId="344BC42F" w14:textId="77777777" w:rsidTr="00E311C9">
        <w:trPr>
          <w:trHeight w:val="25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F5B47" w14:textId="77777777" w:rsidR="003402A0" w:rsidRPr="00701F32" w:rsidRDefault="003402A0" w:rsidP="00C32D44">
            <w:pPr>
              <w:rPr>
                <w:rFonts w:ascii="Arial" w:hAnsi="Arial" w:cs="Arial"/>
                <w:color w:val="000000"/>
                <w:sz w:val="20"/>
                <w:lang w:eastAsia="es-AR"/>
              </w:rPr>
            </w:pPr>
            <w:r w:rsidRPr="00701F32">
              <w:rPr>
                <w:rFonts w:ascii="Arial" w:hAnsi="Arial" w:cs="Arial"/>
                <w:color w:val="000000"/>
                <w:sz w:val="20"/>
                <w:lang w:eastAsia="es-AR"/>
              </w:rPr>
              <w:t>Acreedores varios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D6CA4" w14:textId="011A736F"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1.200.862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D8BC0"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1.035.770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6F2C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792.534 </w:t>
            </w:r>
          </w:p>
        </w:tc>
      </w:tr>
      <w:tr w:rsidR="003402A0" w:rsidRPr="00701F32" w14:paraId="4AF87201" w14:textId="77777777" w:rsidTr="00E311C9">
        <w:trPr>
          <w:trHeight w:val="25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21278" w14:textId="77777777" w:rsidR="003402A0" w:rsidRPr="00701F32" w:rsidRDefault="003402A0" w:rsidP="00C32D44">
            <w:pPr>
              <w:rPr>
                <w:rFonts w:ascii="Arial" w:hAnsi="Arial" w:cs="Arial"/>
                <w:color w:val="000000"/>
                <w:sz w:val="20"/>
                <w:lang w:eastAsia="es-AR"/>
              </w:rPr>
            </w:pPr>
            <w:r w:rsidRPr="00701F32">
              <w:rPr>
                <w:rFonts w:ascii="Arial" w:hAnsi="Arial" w:cs="Arial"/>
                <w:color w:val="000000"/>
                <w:sz w:val="20"/>
                <w:lang w:eastAsia="es-AR"/>
              </w:rPr>
              <w:t>Impuestos a pagar</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B65CE" w14:textId="6ECB0C9D"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925.168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D4C01"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568.598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996BC"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510.596 </w:t>
            </w:r>
          </w:p>
        </w:tc>
      </w:tr>
      <w:tr w:rsidR="003402A0" w:rsidRPr="00701F32" w14:paraId="0896BE0D" w14:textId="77777777" w:rsidTr="00E311C9">
        <w:trPr>
          <w:trHeight w:val="25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A63AF" w14:textId="77777777" w:rsidR="003402A0" w:rsidRPr="00701F32" w:rsidRDefault="003402A0" w:rsidP="00C32D44">
            <w:pPr>
              <w:rPr>
                <w:rFonts w:ascii="Arial" w:hAnsi="Arial" w:cs="Arial"/>
                <w:color w:val="000000"/>
                <w:sz w:val="20"/>
                <w:lang w:eastAsia="es-AR"/>
              </w:rPr>
            </w:pPr>
            <w:r w:rsidRPr="00701F32">
              <w:rPr>
                <w:rFonts w:ascii="Arial" w:hAnsi="Arial" w:cs="Arial"/>
                <w:color w:val="000000"/>
                <w:sz w:val="20"/>
                <w:lang w:eastAsia="es-AR"/>
              </w:rPr>
              <w:t>Ordenes de pago previsionales pendientes de liquidación</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F09D1" w14:textId="7EAFD214"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275.962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85736"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123.538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6ACF9"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82.761 </w:t>
            </w:r>
          </w:p>
        </w:tc>
      </w:tr>
      <w:tr w:rsidR="003402A0" w:rsidRPr="00701F32" w14:paraId="6D3C92B4" w14:textId="77777777" w:rsidTr="00E311C9">
        <w:trPr>
          <w:trHeight w:val="25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5BA4A" w14:textId="77777777" w:rsidR="003402A0" w:rsidRPr="00701F32" w:rsidRDefault="003402A0" w:rsidP="00C32D44">
            <w:pPr>
              <w:rPr>
                <w:rFonts w:ascii="Arial" w:hAnsi="Arial" w:cs="Arial"/>
                <w:color w:val="000000"/>
                <w:sz w:val="20"/>
                <w:lang w:eastAsia="es-AR"/>
              </w:rPr>
            </w:pPr>
            <w:r w:rsidRPr="00701F32">
              <w:rPr>
                <w:rFonts w:ascii="Arial" w:hAnsi="Arial" w:cs="Arial"/>
                <w:color w:val="000000"/>
                <w:sz w:val="20"/>
                <w:lang w:eastAsia="es-AR"/>
              </w:rPr>
              <w:t>Aporte al fondo de garantia de los depositos a pagar</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859E2" w14:textId="3A1B35FD"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rPr>
              <w:t xml:space="preserve">11.126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D2B5C"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7.651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556B8" w14:textId="77777777" w:rsidR="003402A0" w:rsidRPr="00701F32" w:rsidRDefault="003402A0">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4.808 </w:t>
            </w:r>
          </w:p>
        </w:tc>
      </w:tr>
      <w:tr w:rsidR="00C32D44" w:rsidRPr="00701F32" w14:paraId="04957B5D" w14:textId="77777777" w:rsidTr="00E311C9">
        <w:trPr>
          <w:trHeight w:val="270"/>
        </w:trPr>
        <w:tc>
          <w:tcPr>
            <w:tcW w:w="4881" w:type="dxa"/>
            <w:shd w:val="clear" w:color="auto" w:fill="auto"/>
            <w:noWrap/>
            <w:vAlign w:val="bottom"/>
            <w:hideMark/>
          </w:tcPr>
          <w:p w14:paraId="47D4F6A1" w14:textId="77777777" w:rsidR="00C32D44" w:rsidRPr="00701F32" w:rsidRDefault="00C32D44" w:rsidP="0030003C">
            <w:pPr>
              <w:rPr>
                <w:rFonts w:ascii="Arial" w:hAnsi="Arial" w:cs="Arial"/>
                <w:b/>
                <w:color w:val="000000"/>
                <w:sz w:val="20"/>
                <w:lang w:eastAsia="es-AR"/>
              </w:rPr>
            </w:pPr>
            <w:r w:rsidRPr="00701F32">
              <w:rPr>
                <w:rFonts w:ascii="Arial" w:hAnsi="Arial" w:cs="Arial"/>
                <w:b/>
                <w:color w:val="000000"/>
                <w:sz w:val="20"/>
                <w:lang w:eastAsia="es-AR"/>
              </w:rPr>
              <w:t>Total</w:t>
            </w:r>
          </w:p>
        </w:tc>
        <w:tc>
          <w:tcPr>
            <w:tcW w:w="1364" w:type="dxa"/>
            <w:shd w:val="clear" w:color="auto" w:fill="auto"/>
            <w:noWrap/>
            <w:vAlign w:val="bottom"/>
          </w:tcPr>
          <w:p w14:paraId="5006666A" w14:textId="2FC79321" w:rsidR="00C32D44" w:rsidRPr="00701F32" w:rsidRDefault="003402A0">
            <w:pPr>
              <w:jc w:val="right"/>
              <w:rPr>
                <w:rFonts w:ascii="Arial" w:hAnsi="Arial" w:cs="Arial"/>
                <w:b/>
                <w:color w:val="000000"/>
                <w:sz w:val="20"/>
                <w:lang w:val="es-ES_tradnl" w:eastAsia="es-AR"/>
              </w:rPr>
            </w:pPr>
            <w:r w:rsidRPr="00701F32">
              <w:rPr>
                <w:rFonts w:ascii="Arial" w:hAnsi="Arial" w:cs="Arial"/>
                <w:b/>
                <w:color w:val="000000"/>
                <w:sz w:val="20"/>
                <w:lang w:eastAsia="es-AR"/>
              </w:rPr>
              <w:t>4.031.477</w:t>
            </w:r>
          </w:p>
        </w:tc>
        <w:tc>
          <w:tcPr>
            <w:tcW w:w="1319" w:type="dxa"/>
            <w:shd w:val="clear" w:color="auto" w:fill="auto"/>
            <w:noWrap/>
            <w:vAlign w:val="bottom"/>
            <w:hideMark/>
          </w:tcPr>
          <w:p w14:paraId="2093C7E0" w14:textId="77777777" w:rsidR="00C32D44" w:rsidRPr="00701F32" w:rsidRDefault="00C32D44">
            <w:pPr>
              <w:jc w:val="right"/>
              <w:rPr>
                <w:rFonts w:ascii="Arial" w:hAnsi="Arial" w:cs="Arial"/>
                <w:b/>
                <w:color w:val="000000"/>
                <w:sz w:val="20"/>
                <w:lang w:val="es-ES_tradnl" w:eastAsia="es-AR"/>
              </w:rPr>
            </w:pPr>
            <w:r w:rsidRPr="00701F32">
              <w:rPr>
                <w:rFonts w:ascii="Arial" w:hAnsi="Arial" w:cs="Arial"/>
                <w:b/>
                <w:color w:val="000000"/>
                <w:sz w:val="20"/>
                <w:lang w:eastAsia="es-AR"/>
              </w:rPr>
              <w:t>3.314.3</w:t>
            </w:r>
            <w:r w:rsidR="00CC3D1B" w:rsidRPr="00701F32">
              <w:rPr>
                <w:rFonts w:ascii="Arial" w:hAnsi="Arial" w:cs="Arial"/>
                <w:b/>
                <w:color w:val="000000"/>
                <w:sz w:val="20"/>
                <w:lang w:eastAsia="es-AR"/>
              </w:rPr>
              <w:t>35</w:t>
            </w:r>
          </w:p>
        </w:tc>
        <w:tc>
          <w:tcPr>
            <w:tcW w:w="1319" w:type="dxa"/>
            <w:shd w:val="clear" w:color="auto" w:fill="auto"/>
            <w:noWrap/>
            <w:vAlign w:val="bottom"/>
            <w:hideMark/>
          </w:tcPr>
          <w:p w14:paraId="6067AE45" w14:textId="77777777" w:rsidR="00C32D44" w:rsidRPr="00701F32" w:rsidRDefault="00C32D44">
            <w:pPr>
              <w:jc w:val="right"/>
              <w:rPr>
                <w:rFonts w:ascii="Arial" w:hAnsi="Arial" w:cs="Arial"/>
                <w:b/>
                <w:color w:val="000000"/>
                <w:sz w:val="20"/>
                <w:lang w:val="es-ES_tradnl" w:eastAsia="es-AR"/>
              </w:rPr>
            </w:pPr>
            <w:r w:rsidRPr="00701F32">
              <w:rPr>
                <w:rFonts w:ascii="Arial" w:hAnsi="Arial" w:cs="Arial"/>
                <w:b/>
                <w:color w:val="000000"/>
                <w:sz w:val="20"/>
                <w:lang w:eastAsia="es-AR"/>
              </w:rPr>
              <w:t>2.415.733</w:t>
            </w:r>
          </w:p>
        </w:tc>
      </w:tr>
    </w:tbl>
    <w:p w14:paraId="75AA60A5" w14:textId="77777777" w:rsidR="00076EC8" w:rsidRPr="00701F32" w:rsidRDefault="00076EC8" w:rsidP="00A06BE9">
      <w:pPr>
        <w:spacing w:after="160" w:line="259" w:lineRule="auto"/>
        <w:jc w:val="both"/>
        <w:rPr>
          <w:rFonts w:ascii="Arial" w:eastAsia="Calibri" w:hAnsi="Arial" w:cs="Arial"/>
          <w:sz w:val="20"/>
        </w:rPr>
      </w:pPr>
    </w:p>
    <w:p w14:paraId="244A8D2F" w14:textId="77777777" w:rsidR="001F4215" w:rsidRPr="00701F32" w:rsidRDefault="001F4215" w:rsidP="001F4215">
      <w:pPr>
        <w:rPr>
          <w:rFonts w:ascii="Arial" w:hAnsi="Arial" w:cs="Arial"/>
          <w:bCs/>
          <w:color w:val="000000"/>
          <w:sz w:val="20"/>
          <w:lang w:eastAsia="es-AR"/>
        </w:rPr>
      </w:pPr>
      <w:r w:rsidRPr="00701F32">
        <w:rPr>
          <w:rFonts w:ascii="Arial" w:hAnsi="Arial" w:cs="Arial"/>
          <w:bCs/>
          <w:color w:val="000000"/>
          <w:sz w:val="20"/>
          <w:lang w:eastAsia="es-AR"/>
        </w:rPr>
        <w:t>7.12 Otros ingresos</w:t>
      </w:r>
      <w:r w:rsidR="00D34D9F" w:rsidRPr="00701F32">
        <w:rPr>
          <w:rFonts w:ascii="Arial" w:hAnsi="Arial" w:cs="Arial"/>
          <w:bCs/>
          <w:color w:val="000000"/>
          <w:sz w:val="20"/>
          <w:lang w:eastAsia="es-AR"/>
        </w:rPr>
        <w:t xml:space="preserve"> </w:t>
      </w:r>
      <w:r w:rsidR="00ED231D" w:rsidRPr="00701F32">
        <w:rPr>
          <w:rFonts w:ascii="Arial" w:hAnsi="Arial" w:cs="Arial"/>
          <w:bCs/>
          <w:color w:val="000000"/>
          <w:sz w:val="20"/>
          <w:lang w:eastAsia="es-AR"/>
        </w:rPr>
        <w:t>operativos</w:t>
      </w:r>
      <w:r w:rsidRPr="00701F32">
        <w:rPr>
          <w:rFonts w:ascii="Arial" w:hAnsi="Arial" w:cs="Arial"/>
          <w:bCs/>
          <w:color w:val="000000"/>
          <w:sz w:val="20"/>
          <w:lang w:eastAsia="es-AR"/>
        </w:rPr>
        <w:t>.</w:t>
      </w:r>
    </w:p>
    <w:p w14:paraId="5B1705A3" w14:textId="77777777" w:rsidR="001F4215" w:rsidRPr="00701F32" w:rsidRDefault="001F4215" w:rsidP="001F4215">
      <w:pPr>
        <w:rPr>
          <w:rFonts w:ascii="Arial" w:hAnsi="Arial" w:cs="Arial"/>
          <w:bCs/>
          <w:color w:val="000000"/>
          <w:sz w:val="20"/>
          <w:lang w:eastAsia="es-AR"/>
        </w:rPr>
      </w:pPr>
    </w:p>
    <w:p w14:paraId="1D401595" w14:textId="77777777" w:rsidR="00285339" w:rsidRPr="00701F32" w:rsidRDefault="0048778A" w:rsidP="0086282C">
      <w:pPr>
        <w:jc w:val="both"/>
        <w:rPr>
          <w:rFonts w:ascii="Arial" w:hAnsi="Arial" w:cs="Arial"/>
          <w:bCs/>
          <w:color w:val="000000"/>
          <w:sz w:val="20"/>
          <w:lang w:eastAsia="es-AR"/>
        </w:rPr>
      </w:pPr>
      <w:r w:rsidRPr="00701F32">
        <w:rPr>
          <w:rFonts w:ascii="Arial" w:eastAsiaTheme="minorHAnsi" w:hAnsi="Arial" w:cs="Arial"/>
          <w:sz w:val="20"/>
        </w:rPr>
        <w:t>Se detallan a continuación los principales componentes de los otros ingresos operativos por los períodos finalizados el 3</w:t>
      </w:r>
      <w:r w:rsidR="00940698" w:rsidRPr="00701F32">
        <w:rPr>
          <w:rFonts w:ascii="Arial" w:eastAsiaTheme="minorHAnsi" w:hAnsi="Arial" w:cs="Arial"/>
          <w:sz w:val="20"/>
        </w:rPr>
        <w:t>0</w:t>
      </w:r>
      <w:r w:rsidRPr="00701F32">
        <w:rPr>
          <w:rFonts w:ascii="Arial" w:eastAsiaTheme="minorHAnsi" w:hAnsi="Arial" w:cs="Arial"/>
          <w:sz w:val="20"/>
        </w:rPr>
        <w:t xml:space="preserve"> de </w:t>
      </w:r>
      <w:r w:rsidR="00285339" w:rsidRPr="00701F32">
        <w:rPr>
          <w:rFonts w:ascii="Arial" w:eastAsiaTheme="minorHAnsi" w:hAnsi="Arial" w:cs="Arial"/>
          <w:sz w:val="20"/>
        </w:rPr>
        <w:t>septiembre</w:t>
      </w:r>
      <w:r w:rsidR="00940698" w:rsidRPr="00701F32">
        <w:rPr>
          <w:rFonts w:ascii="Arial" w:eastAsiaTheme="minorHAnsi" w:hAnsi="Arial" w:cs="Arial"/>
          <w:sz w:val="20"/>
        </w:rPr>
        <w:t xml:space="preserve"> </w:t>
      </w:r>
      <w:r w:rsidRPr="00701F32">
        <w:rPr>
          <w:rFonts w:ascii="Arial" w:eastAsiaTheme="minorHAnsi" w:hAnsi="Arial" w:cs="Arial"/>
          <w:sz w:val="20"/>
        </w:rPr>
        <w:t>de 2018 y 2017:</w:t>
      </w:r>
    </w:p>
    <w:p w14:paraId="4959D0F3" w14:textId="77777777" w:rsidR="0048778A" w:rsidRPr="00701F32" w:rsidRDefault="0048778A" w:rsidP="00941382">
      <w:pPr>
        <w:jc w:val="both"/>
        <w:rPr>
          <w:rFonts w:ascii="Arial" w:hAnsi="Arial" w:cs="Arial"/>
          <w:bCs/>
          <w:color w:val="000000"/>
          <w:sz w:val="20"/>
          <w:lang w:eastAsia="es-AR"/>
        </w:rPr>
      </w:pPr>
    </w:p>
    <w:tbl>
      <w:tblPr>
        <w:tblW w:w="89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1414"/>
        <w:gridCol w:w="1425"/>
      </w:tblGrid>
      <w:tr w:rsidR="00AD3FAB" w:rsidRPr="00701F32" w14:paraId="528A15E6" w14:textId="77777777" w:rsidTr="00C23045">
        <w:trPr>
          <w:trHeight w:val="255"/>
        </w:trPr>
        <w:tc>
          <w:tcPr>
            <w:tcW w:w="6096" w:type="dxa"/>
            <w:shd w:val="clear" w:color="auto" w:fill="auto"/>
            <w:noWrap/>
            <w:vAlign w:val="center"/>
            <w:hideMark/>
          </w:tcPr>
          <w:p w14:paraId="15B1E20E" w14:textId="77777777" w:rsidR="00AD3FAB" w:rsidRPr="00701F32" w:rsidRDefault="00AD3FAB">
            <w:pPr>
              <w:rPr>
                <w:rFonts w:ascii="Arial" w:hAnsi="Arial" w:cs="Arial"/>
                <w:b/>
                <w:bCs/>
                <w:color w:val="000000"/>
                <w:sz w:val="20"/>
                <w:lang w:eastAsia="es-AR"/>
              </w:rPr>
            </w:pPr>
          </w:p>
        </w:tc>
        <w:tc>
          <w:tcPr>
            <w:tcW w:w="1414" w:type="dxa"/>
            <w:shd w:val="clear" w:color="auto" w:fill="auto"/>
            <w:noWrap/>
            <w:vAlign w:val="center"/>
            <w:hideMark/>
          </w:tcPr>
          <w:p w14:paraId="6439FC84" w14:textId="77777777" w:rsidR="00AD3FAB" w:rsidRPr="00701F32" w:rsidRDefault="00AD3FAB" w:rsidP="001C4D52">
            <w:pPr>
              <w:jc w:val="right"/>
              <w:rPr>
                <w:rFonts w:ascii="Arial" w:hAnsi="Arial" w:cs="Arial"/>
                <w:b/>
                <w:color w:val="000000"/>
                <w:sz w:val="20"/>
                <w:lang w:eastAsia="es-AR"/>
              </w:rPr>
            </w:pPr>
            <w:r w:rsidRPr="00701F32">
              <w:rPr>
                <w:rFonts w:ascii="Arial" w:hAnsi="Arial" w:cs="Arial"/>
                <w:b/>
                <w:color w:val="000000"/>
                <w:sz w:val="20"/>
                <w:lang w:eastAsia="es-AR"/>
              </w:rPr>
              <w:t>3</w:t>
            </w:r>
            <w:r w:rsidR="001C4D52"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425" w:type="dxa"/>
            <w:vAlign w:val="center"/>
          </w:tcPr>
          <w:p w14:paraId="1F992E18" w14:textId="77777777" w:rsidR="00AD3FAB" w:rsidRPr="00701F32" w:rsidRDefault="00AD3FAB" w:rsidP="008A4811">
            <w:pPr>
              <w:jc w:val="right"/>
              <w:rPr>
                <w:rFonts w:ascii="Arial" w:hAnsi="Arial" w:cs="Arial"/>
                <w:b/>
                <w:color w:val="000000"/>
                <w:sz w:val="20"/>
                <w:lang w:eastAsia="es-AR"/>
              </w:rPr>
            </w:pPr>
            <w:r w:rsidRPr="00701F32">
              <w:rPr>
                <w:rFonts w:ascii="Arial" w:hAnsi="Arial" w:cs="Arial"/>
                <w:b/>
                <w:color w:val="000000"/>
                <w:sz w:val="20"/>
                <w:lang w:eastAsia="es-AR"/>
              </w:rPr>
              <w:t>3</w:t>
            </w:r>
            <w:r w:rsidR="008A4811"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48778A" w:rsidRPr="00701F32" w14:paraId="28234212" w14:textId="77777777" w:rsidTr="00E311C9">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A518F"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Alquiler de cajas de seguridad</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7B1A4" w14:textId="77777777" w:rsidR="0048778A" w:rsidRPr="00701F32" w:rsidRDefault="00DC564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117.521</w:t>
            </w:r>
          </w:p>
        </w:tc>
        <w:tc>
          <w:tcPr>
            <w:tcW w:w="1425" w:type="dxa"/>
            <w:tcBorders>
              <w:top w:val="single" w:sz="4" w:space="0" w:color="auto"/>
              <w:left w:val="single" w:sz="4" w:space="0" w:color="auto"/>
              <w:bottom w:val="single" w:sz="4" w:space="0" w:color="auto"/>
              <w:right w:val="single" w:sz="4" w:space="0" w:color="auto"/>
            </w:tcBorders>
            <w:vAlign w:val="bottom"/>
          </w:tcPr>
          <w:p w14:paraId="7156C07C" w14:textId="77777777" w:rsidR="0048778A"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eastAsia="es-AR"/>
              </w:rPr>
              <w:t>93.470</w:t>
            </w:r>
          </w:p>
        </w:tc>
      </w:tr>
      <w:tr w:rsidR="0048778A" w:rsidRPr="00701F32" w14:paraId="46F4596E" w14:textId="77777777" w:rsidTr="00E311C9">
        <w:trPr>
          <w:trHeight w:val="255"/>
        </w:trPr>
        <w:tc>
          <w:tcPr>
            <w:tcW w:w="6096" w:type="dxa"/>
            <w:shd w:val="clear" w:color="auto" w:fill="auto"/>
            <w:noWrap/>
            <w:vAlign w:val="center"/>
          </w:tcPr>
          <w:p w14:paraId="6BAA6B1A"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Previsiones desafectadas y créditos recuperados</w:t>
            </w:r>
          </w:p>
        </w:tc>
        <w:tc>
          <w:tcPr>
            <w:tcW w:w="1414" w:type="dxa"/>
            <w:shd w:val="clear" w:color="auto" w:fill="auto"/>
            <w:noWrap/>
            <w:vAlign w:val="bottom"/>
          </w:tcPr>
          <w:p w14:paraId="03DBB7FD" w14:textId="6732F3CA" w:rsidR="0048778A" w:rsidRPr="00701F32" w:rsidRDefault="00DC5640">
            <w:pPr>
              <w:jc w:val="right"/>
              <w:rPr>
                <w:rFonts w:ascii="Arial" w:hAnsi="Arial" w:cs="Arial"/>
                <w:color w:val="000000"/>
                <w:sz w:val="20"/>
                <w:lang w:val="es-ES_tradnl" w:eastAsia="es-AR"/>
              </w:rPr>
            </w:pPr>
            <w:r w:rsidRPr="00701F32">
              <w:rPr>
                <w:rFonts w:ascii="Arial" w:hAnsi="Arial" w:cs="Arial"/>
                <w:color w:val="000000"/>
                <w:sz w:val="20"/>
                <w:lang w:eastAsia="es-AR"/>
              </w:rPr>
              <w:t>1</w:t>
            </w:r>
            <w:r w:rsidR="00F014A8" w:rsidRPr="00701F32">
              <w:rPr>
                <w:rFonts w:ascii="Arial" w:hAnsi="Arial" w:cs="Arial"/>
                <w:color w:val="000000"/>
                <w:sz w:val="20"/>
                <w:lang w:eastAsia="es-AR"/>
              </w:rPr>
              <w:t>25</w:t>
            </w:r>
            <w:r w:rsidRPr="00701F32">
              <w:rPr>
                <w:rFonts w:ascii="Arial" w:hAnsi="Arial" w:cs="Arial"/>
                <w:color w:val="000000"/>
                <w:sz w:val="20"/>
                <w:lang w:eastAsia="es-AR"/>
              </w:rPr>
              <w:t>.4</w:t>
            </w:r>
            <w:r w:rsidR="00F014A8" w:rsidRPr="00701F32">
              <w:rPr>
                <w:rFonts w:ascii="Arial" w:hAnsi="Arial" w:cs="Arial"/>
                <w:color w:val="000000"/>
                <w:sz w:val="20"/>
                <w:lang w:eastAsia="es-AR"/>
              </w:rPr>
              <w:t>90</w:t>
            </w:r>
          </w:p>
        </w:tc>
        <w:tc>
          <w:tcPr>
            <w:tcW w:w="1425" w:type="dxa"/>
            <w:vAlign w:val="bottom"/>
          </w:tcPr>
          <w:p w14:paraId="1F2E1BFC" w14:textId="05A6C319" w:rsidR="0048778A"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eastAsia="es-AR"/>
              </w:rPr>
              <w:t>11</w:t>
            </w:r>
            <w:r w:rsidR="000A7489" w:rsidRPr="00701F32">
              <w:rPr>
                <w:rFonts w:ascii="Arial" w:hAnsi="Arial" w:cs="Arial"/>
                <w:color w:val="000000"/>
                <w:sz w:val="20"/>
                <w:lang w:eastAsia="es-AR"/>
              </w:rPr>
              <w:t>8</w:t>
            </w:r>
            <w:r w:rsidRPr="00701F32">
              <w:rPr>
                <w:rFonts w:ascii="Arial" w:hAnsi="Arial" w:cs="Arial"/>
                <w:color w:val="000000"/>
                <w:sz w:val="20"/>
                <w:lang w:eastAsia="es-AR"/>
              </w:rPr>
              <w:t>.5</w:t>
            </w:r>
            <w:r w:rsidR="000A7489" w:rsidRPr="00701F32">
              <w:rPr>
                <w:rFonts w:ascii="Arial" w:hAnsi="Arial" w:cs="Arial"/>
                <w:color w:val="000000"/>
                <w:sz w:val="20"/>
                <w:lang w:eastAsia="es-AR"/>
              </w:rPr>
              <w:t>16</w:t>
            </w:r>
          </w:p>
        </w:tc>
      </w:tr>
      <w:tr w:rsidR="0048778A" w:rsidRPr="00701F32" w14:paraId="5E67C82A" w14:textId="77777777" w:rsidTr="00E311C9">
        <w:trPr>
          <w:trHeight w:val="255"/>
        </w:trPr>
        <w:tc>
          <w:tcPr>
            <w:tcW w:w="6096" w:type="dxa"/>
            <w:shd w:val="clear" w:color="auto" w:fill="auto"/>
            <w:noWrap/>
            <w:vAlign w:val="center"/>
          </w:tcPr>
          <w:p w14:paraId="2717A45C"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Intereses punitorios cobrados</w:t>
            </w:r>
          </w:p>
        </w:tc>
        <w:tc>
          <w:tcPr>
            <w:tcW w:w="1414" w:type="dxa"/>
            <w:shd w:val="clear" w:color="auto" w:fill="auto"/>
            <w:noWrap/>
            <w:vAlign w:val="bottom"/>
          </w:tcPr>
          <w:p w14:paraId="51091744" w14:textId="59D38E44" w:rsidR="0048778A" w:rsidRPr="00701F32" w:rsidRDefault="00F014A8">
            <w:pPr>
              <w:jc w:val="right"/>
              <w:rPr>
                <w:rFonts w:ascii="Arial" w:hAnsi="Arial" w:cs="Arial"/>
                <w:color w:val="000000"/>
                <w:sz w:val="20"/>
                <w:lang w:val="es-ES_tradnl" w:eastAsia="es-AR"/>
              </w:rPr>
            </w:pPr>
            <w:r w:rsidRPr="00701F32">
              <w:rPr>
                <w:rFonts w:ascii="Arial" w:hAnsi="Arial" w:cs="Arial"/>
                <w:color w:val="000000"/>
                <w:sz w:val="20"/>
                <w:lang w:eastAsia="es-AR"/>
              </w:rPr>
              <w:t>105</w:t>
            </w:r>
            <w:r w:rsidR="00DC5640" w:rsidRPr="00701F32">
              <w:rPr>
                <w:rFonts w:ascii="Arial" w:hAnsi="Arial" w:cs="Arial"/>
                <w:color w:val="000000"/>
                <w:sz w:val="20"/>
                <w:lang w:eastAsia="es-AR"/>
              </w:rPr>
              <w:t>.</w:t>
            </w:r>
            <w:r w:rsidRPr="00701F32">
              <w:rPr>
                <w:rFonts w:ascii="Arial" w:hAnsi="Arial" w:cs="Arial"/>
                <w:color w:val="000000"/>
                <w:sz w:val="20"/>
                <w:lang w:eastAsia="es-AR"/>
              </w:rPr>
              <w:t>194</w:t>
            </w:r>
          </w:p>
        </w:tc>
        <w:tc>
          <w:tcPr>
            <w:tcW w:w="1425" w:type="dxa"/>
            <w:vAlign w:val="bottom"/>
          </w:tcPr>
          <w:p w14:paraId="64CE6E3B" w14:textId="03451BEB" w:rsidR="0048778A" w:rsidRPr="00701F32" w:rsidRDefault="000A7489">
            <w:pPr>
              <w:jc w:val="right"/>
              <w:rPr>
                <w:rFonts w:ascii="Arial" w:hAnsi="Arial" w:cs="Arial"/>
                <w:color w:val="000000"/>
                <w:sz w:val="20"/>
                <w:lang w:val="es-ES_tradnl" w:eastAsia="es-AR"/>
              </w:rPr>
            </w:pPr>
            <w:r w:rsidRPr="00701F32">
              <w:rPr>
                <w:rFonts w:ascii="Arial" w:hAnsi="Arial" w:cs="Arial"/>
                <w:color w:val="000000"/>
                <w:sz w:val="20"/>
                <w:lang w:eastAsia="es-AR"/>
              </w:rPr>
              <w:t>66</w:t>
            </w:r>
            <w:r w:rsidR="00984C50" w:rsidRPr="00701F32">
              <w:rPr>
                <w:rFonts w:ascii="Arial" w:hAnsi="Arial" w:cs="Arial"/>
                <w:color w:val="000000"/>
                <w:sz w:val="20"/>
                <w:lang w:eastAsia="es-AR"/>
              </w:rPr>
              <w:t>.</w:t>
            </w:r>
            <w:r w:rsidRPr="00701F32">
              <w:rPr>
                <w:rFonts w:ascii="Arial" w:hAnsi="Arial" w:cs="Arial"/>
                <w:color w:val="000000"/>
                <w:sz w:val="20"/>
                <w:lang w:eastAsia="es-AR"/>
              </w:rPr>
              <w:t>033</w:t>
            </w:r>
          </w:p>
        </w:tc>
      </w:tr>
      <w:tr w:rsidR="0048778A" w:rsidRPr="00701F32" w14:paraId="60D25BD5" w14:textId="77777777" w:rsidTr="00E311C9">
        <w:trPr>
          <w:trHeight w:val="255"/>
        </w:trPr>
        <w:tc>
          <w:tcPr>
            <w:tcW w:w="6096" w:type="dxa"/>
            <w:shd w:val="clear" w:color="auto" w:fill="auto"/>
            <w:noWrap/>
            <w:vAlign w:val="center"/>
          </w:tcPr>
          <w:p w14:paraId="4E76E154"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Rendimiento fondo de riesgo S.G.R</w:t>
            </w:r>
          </w:p>
        </w:tc>
        <w:tc>
          <w:tcPr>
            <w:tcW w:w="1414" w:type="dxa"/>
            <w:shd w:val="clear" w:color="auto" w:fill="auto"/>
            <w:noWrap/>
            <w:vAlign w:val="bottom"/>
          </w:tcPr>
          <w:p w14:paraId="41AF26D6" w14:textId="77777777" w:rsidR="0048778A" w:rsidRPr="00701F32" w:rsidRDefault="00DC5640">
            <w:pPr>
              <w:jc w:val="right"/>
              <w:rPr>
                <w:rFonts w:ascii="Arial" w:hAnsi="Arial" w:cs="Arial"/>
                <w:color w:val="000000"/>
                <w:sz w:val="20"/>
                <w:lang w:val="es-ES_tradnl" w:eastAsia="es-AR"/>
              </w:rPr>
            </w:pPr>
            <w:r w:rsidRPr="00701F32">
              <w:rPr>
                <w:rFonts w:ascii="Arial" w:hAnsi="Arial" w:cs="Arial"/>
                <w:color w:val="000000"/>
                <w:sz w:val="20"/>
                <w:lang w:eastAsia="es-AR"/>
              </w:rPr>
              <w:t>113.954</w:t>
            </w:r>
          </w:p>
        </w:tc>
        <w:tc>
          <w:tcPr>
            <w:tcW w:w="1425" w:type="dxa"/>
            <w:vAlign w:val="bottom"/>
          </w:tcPr>
          <w:p w14:paraId="7771B8FB" w14:textId="77777777" w:rsidR="0048778A"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eastAsia="es-AR"/>
              </w:rPr>
              <w:t>46.821</w:t>
            </w:r>
          </w:p>
        </w:tc>
      </w:tr>
      <w:tr w:rsidR="00AD3FAB" w:rsidRPr="00701F32" w14:paraId="319AC491" w14:textId="77777777" w:rsidTr="00E311C9">
        <w:trPr>
          <w:trHeight w:val="255"/>
        </w:trPr>
        <w:tc>
          <w:tcPr>
            <w:tcW w:w="6096" w:type="dxa"/>
            <w:shd w:val="clear" w:color="auto" w:fill="auto"/>
            <w:noWrap/>
            <w:vAlign w:val="center"/>
            <w:hideMark/>
          </w:tcPr>
          <w:p w14:paraId="0119F4E4" w14:textId="77777777" w:rsidR="00AD3FAB" w:rsidRPr="00701F32" w:rsidRDefault="00AD3FAB">
            <w:pPr>
              <w:rPr>
                <w:rFonts w:ascii="Arial" w:hAnsi="Arial" w:cs="Arial"/>
                <w:color w:val="000000"/>
                <w:sz w:val="20"/>
                <w:lang w:eastAsia="es-AR"/>
              </w:rPr>
            </w:pPr>
            <w:r w:rsidRPr="00701F32">
              <w:rPr>
                <w:rFonts w:ascii="Arial" w:hAnsi="Arial" w:cs="Arial"/>
                <w:color w:val="000000"/>
                <w:sz w:val="20"/>
                <w:lang w:eastAsia="es-AR"/>
              </w:rPr>
              <w:t>Alquileres</w:t>
            </w:r>
            <w:r w:rsidR="0048778A" w:rsidRPr="00701F32">
              <w:rPr>
                <w:rFonts w:ascii="Arial" w:hAnsi="Arial" w:cs="Arial"/>
                <w:color w:val="000000"/>
                <w:sz w:val="20"/>
                <w:lang w:eastAsia="es-AR"/>
              </w:rPr>
              <w:t xml:space="preserve"> ganados</w:t>
            </w:r>
          </w:p>
        </w:tc>
        <w:tc>
          <w:tcPr>
            <w:tcW w:w="1414" w:type="dxa"/>
            <w:shd w:val="clear" w:color="auto" w:fill="auto"/>
            <w:noWrap/>
            <w:vAlign w:val="bottom"/>
          </w:tcPr>
          <w:p w14:paraId="5BD481A1" w14:textId="77777777" w:rsidR="00AD3FAB" w:rsidRPr="00701F32" w:rsidRDefault="00DC564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6.469</w:t>
            </w:r>
          </w:p>
        </w:tc>
        <w:tc>
          <w:tcPr>
            <w:tcW w:w="1425" w:type="dxa"/>
            <w:vAlign w:val="bottom"/>
          </w:tcPr>
          <w:p w14:paraId="027DDD2D" w14:textId="77777777" w:rsidR="00AD3FAB"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22.128</w:t>
            </w:r>
          </w:p>
        </w:tc>
      </w:tr>
      <w:tr w:rsidR="00AD3FAB" w:rsidRPr="00701F32" w14:paraId="27666C43" w14:textId="77777777" w:rsidTr="00E311C9">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A066F" w14:textId="77777777" w:rsidR="00AD3FAB" w:rsidRPr="00701F32" w:rsidRDefault="00AD3FAB">
            <w:pPr>
              <w:rPr>
                <w:rFonts w:ascii="Arial" w:hAnsi="Arial" w:cs="Arial"/>
                <w:color w:val="000000"/>
                <w:sz w:val="20"/>
                <w:lang w:eastAsia="es-AR"/>
              </w:rPr>
            </w:pPr>
            <w:r w:rsidRPr="00701F32">
              <w:rPr>
                <w:rFonts w:ascii="Arial" w:hAnsi="Arial" w:cs="Arial"/>
                <w:color w:val="000000"/>
                <w:sz w:val="20"/>
                <w:lang w:eastAsia="es-AR"/>
              </w:rPr>
              <w:t>Ajustes e intereses de créditos diversos</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59136" w14:textId="64A2751B" w:rsidR="00AD3FAB" w:rsidRPr="00701F32" w:rsidRDefault="00F014A8">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73</w:t>
            </w:r>
            <w:r w:rsidR="00DC564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714</w:t>
            </w:r>
          </w:p>
        </w:tc>
        <w:tc>
          <w:tcPr>
            <w:tcW w:w="1425" w:type="dxa"/>
            <w:tcBorders>
              <w:top w:val="single" w:sz="4" w:space="0" w:color="auto"/>
              <w:left w:val="single" w:sz="4" w:space="0" w:color="auto"/>
              <w:bottom w:val="single" w:sz="4" w:space="0" w:color="auto"/>
              <w:right w:val="single" w:sz="4" w:space="0" w:color="auto"/>
            </w:tcBorders>
            <w:vAlign w:val="bottom"/>
          </w:tcPr>
          <w:p w14:paraId="5060A9FF" w14:textId="7D7641F8" w:rsidR="00AD3FAB"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19.</w:t>
            </w:r>
            <w:r w:rsidR="000A7489" w:rsidRPr="00701F32">
              <w:rPr>
                <w:rFonts w:ascii="Arial" w:hAnsi="Arial" w:cs="Arial"/>
                <w:color w:val="000000"/>
                <w:sz w:val="20"/>
                <w:lang w:val="es-ES_tradnl" w:eastAsia="es-AR"/>
              </w:rPr>
              <w:t>572</w:t>
            </w:r>
          </w:p>
        </w:tc>
      </w:tr>
      <w:tr w:rsidR="00AD3FAB" w:rsidRPr="00701F32" w14:paraId="3136D2FD" w14:textId="77777777" w:rsidTr="00E311C9">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40AE7" w14:textId="77777777" w:rsidR="00AD3FAB" w:rsidRPr="00701F32" w:rsidRDefault="00AD3FAB">
            <w:pPr>
              <w:rPr>
                <w:rFonts w:ascii="Arial" w:hAnsi="Arial" w:cs="Arial"/>
                <w:color w:val="000000"/>
                <w:sz w:val="20"/>
                <w:lang w:eastAsia="es-AR"/>
              </w:rPr>
            </w:pPr>
            <w:r w:rsidRPr="00701F32">
              <w:rPr>
                <w:rFonts w:ascii="Arial" w:hAnsi="Arial" w:cs="Arial"/>
                <w:color w:val="000000"/>
                <w:sz w:val="20"/>
                <w:lang w:eastAsia="es-AR"/>
              </w:rPr>
              <w:t>Otros</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2FB1C" w14:textId="251431CD" w:rsidR="00AD3FAB" w:rsidRPr="00701F32" w:rsidRDefault="00F014A8">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580</w:t>
            </w:r>
            <w:r w:rsidR="00DC5640" w:rsidRPr="00701F32">
              <w:rPr>
                <w:rFonts w:ascii="Arial" w:hAnsi="Arial" w:cs="Arial"/>
                <w:color w:val="000000"/>
                <w:sz w:val="20"/>
                <w:lang w:val="es-ES_tradnl" w:eastAsia="es-AR"/>
              </w:rPr>
              <w:t>.7</w:t>
            </w:r>
            <w:r w:rsidRPr="00701F32">
              <w:rPr>
                <w:rFonts w:ascii="Arial" w:hAnsi="Arial" w:cs="Arial"/>
                <w:color w:val="000000"/>
                <w:sz w:val="20"/>
                <w:lang w:val="es-ES_tradnl" w:eastAsia="es-AR"/>
              </w:rPr>
              <w:t>69</w:t>
            </w:r>
          </w:p>
        </w:tc>
        <w:tc>
          <w:tcPr>
            <w:tcW w:w="1425" w:type="dxa"/>
            <w:tcBorders>
              <w:top w:val="single" w:sz="4" w:space="0" w:color="auto"/>
              <w:left w:val="single" w:sz="4" w:space="0" w:color="auto"/>
              <w:bottom w:val="single" w:sz="4" w:space="0" w:color="auto"/>
              <w:right w:val="single" w:sz="4" w:space="0" w:color="auto"/>
            </w:tcBorders>
            <w:vAlign w:val="bottom"/>
          </w:tcPr>
          <w:p w14:paraId="1CD84E0C" w14:textId="3177050F" w:rsidR="00AD3FAB" w:rsidRPr="00701F32" w:rsidRDefault="000A748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58</w:t>
            </w:r>
            <w:r w:rsidR="00270E02" w:rsidRPr="00701F32">
              <w:rPr>
                <w:rFonts w:ascii="Arial" w:hAnsi="Arial" w:cs="Arial"/>
                <w:color w:val="000000"/>
                <w:sz w:val="20"/>
                <w:lang w:val="es-ES_tradnl" w:eastAsia="es-AR"/>
              </w:rPr>
              <w:t>2</w:t>
            </w:r>
            <w:r w:rsidR="00984C50" w:rsidRPr="00701F32">
              <w:rPr>
                <w:rFonts w:ascii="Arial" w:hAnsi="Arial" w:cs="Arial"/>
                <w:color w:val="000000"/>
                <w:sz w:val="20"/>
                <w:lang w:val="es-ES_tradnl" w:eastAsia="es-AR"/>
              </w:rPr>
              <w:t>.</w:t>
            </w:r>
            <w:r w:rsidR="00270E02" w:rsidRPr="00701F32">
              <w:rPr>
                <w:rFonts w:ascii="Arial" w:hAnsi="Arial" w:cs="Arial"/>
                <w:color w:val="000000"/>
                <w:sz w:val="20"/>
                <w:lang w:val="es-ES_tradnl" w:eastAsia="es-AR"/>
              </w:rPr>
              <w:t>214</w:t>
            </w:r>
          </w:p>
        </w:tc>
      </w:tr>
      <w:tr w:rsidR="00AD3FAB" w:rsidRPr="00701F32" w14:paraId="18020464" w14:textId="77777777" w:rsidTr="00E311C9">
        <w:trPr>
          <w:trHeight w:val="270"/>
        </w:trPr>
        <w:tc>
          <w:tcPr>
            <w:tcW w:w="6096" w:type="dxa"/>
            <w:shd w:val="clear" w:color="auto" w:fill="auto"/>
            <w:noWrap/>
            <w:vAlign w:val="center"/>
            <w:hideMark/>
          </w:tcPr>
          <w:p w14:paraId="1F490955" w14:textId="77777777" w:rsidR="00AD3FAB" w:rsidRPr="00701F32" w:rsidRDefault="00AD3FAB">
            <w:pPr>
              <w:rPr>
                <w:rFonts w:ascii="Arial" w:hAnsi="Arial" w:cs="Arial"/>
                <w:b/>
                <w:color w:val="000000"/>
                <w:sz w:val="20"/>
                <w:lang w:eastAsia="es-AR"/>
              </w:rPr>
            </w:pPr>
            <w:r w:rsidRPr="00701F32">
              <w:rPr>
                <w:rFonts w:ascii="Arial" w:hAnsi="Arial" w:cs="Arial"/>
                <w:b/>
                <w:color w:val="000000"/>
                <w:sz w:val="20"/>
                <w:lang w:eastAsia="es-AR"/>
              </w:rPr>
              <w:t>Total</w:t>
            </w:r>
          </w:p>
        </w:tc>
        <w:tc>
          <w:tcPr>
            <w:tcW w:w="1414" w:type="dxa"/>
            <w:shd w:val="clear" w:color="auto" w:fill="auto"/>
            <w:noWrap/>
            <w:vAlign w:val="bottom"/>
          </w:tcPr>
          <w:p w14:paraId="4FF7B80D" w14:textId="76C112A0" w:rsidR="00AD3FAB" w:rsidRPr="00701F32" w:rsidRDefault="00F014A8">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1.238</w:t>
            </w:r>
            <w:r w:rsidR="00DC5640"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2</w:t>
            </w:r>
            <w:r w:rsidR="00DC5640" w:rsidRPr="00701F32">
              <w:rPr>
                <w:rFonts w:ascii="Arial" w:hAnsi="Arial" w:cs="Arial"/>
                <w:b/>
                <w:color w:val="000000"/>
                <w:sz w:val="20"/>
                <w:lang w:val="es-ES_tradnl" w:eastAsia="es-AR"/>
              </w:rPr>
              <w:t>7</w:t>
            </w:r>
            <w:r w:rsidRPr="00701F32">
              <w:rPr>
                <w:rFonts w:ascii="Arial" w:hAnsi="Arial" w:cs="Arial"/>
                <w:b/>
                <w:color w:val="000000"/>
                <w:sz w:val="20"/>
                <w:lang w:val="es-ES_tradnl" w:eastAsia="es-AR"/>
              </w:rPr>
              <w:t>0</w:t>
            </w:r>
          </w:p>
        </w:tc>
        <w:tc>
          <w:tcPr>
            <w:tcW w:w="1425" w:type="dxa"/>
            <w:vAlign w:val="bottom"/>
          </w:tcPr>
          <w:p w14:paraId="6D5CB112" w14:textId="19D33412" w:rsidR="00AD3FAB" w:rsidRPr="00701F32" w:rsidRDefault="000A7489">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9</w:t>
            </w:r>
            <w:r w:rsidR="00270E02" w:rsidRPr="00701F32">
              <w:rPr>
                <w:rFonts w:ascii="Arial" w:hAnsi="Arial" w:cs="Arial"/>
                <w:b/>
                <w:color w:val="000000"/>
                <w:sz w:val="20"/>
                <w:lang w:val="es-ES_tradnl" w:eastAsia="es-AR"/>
              </w:rPr>
              <w:t>48</w:t>
            </w:r>
            <w:r w:rsidR="00984C50" w:rsidRPr="00701F32">
              <w:rPr>
                <w:rFonts w:ascii="Arial" w:hAnsi="Arial" w:cs="Arial"/>
                <w:b/>
                <w:color w:val="000000"/>
                <w:sz w:val="20"/>
                <w:lang w:val="es-ES_tradnl" w:eastAsia="es-AR"/>
              </w:rPr>
              <w:t>.</w:t>
            </w:r>
            <w:r w:rsidR="00270E02" w:rsidRPr="00701F32">
              <w:rPr>
                <w:rFonts w:ascii="Arial" w:hAnsi="Arial" w:cs="Arial"/>
                <w:b/>
                <w:color w:val="000000"/>
                <w:sz w:val="20"/>
                <w:lang w:val="es-ES_tradnl" w:eastAsia="es-AR"/>
              </w:rPr>
              <w:t>754</w:t>
            </w:r>
          </w:p>
        </w:tc>
      </w:tr>
    </w:tbl>
    <w:p w14:paraId="206F25C1" w14:textId="77777777" w:rsidR="001F4215" w:rsidRPr="00701F32" w:rsidRDefault="001F4215" w:rsidP="001F4215">
      <w:pPr>
        <w:rPr>
          <w:rFonts w:ascii="Arial" w:hAnsi="Arial" w:cs="Arial"/>
          <w:bCs/>
          <w:color w:val="000000"/>
          <w:sz w:val="20"/>
          <w:lang w:eastAsia="es-AR"/>
        </w:rPr>
      </w:pPr>
    </w:p>
    <w:p w14:paraId="63082425" w14:textId="77777777" w:rsidR="00A352C4" w:rsidRPr="00701F32" w:rsidRDefault="00A352C4" w:rsidP="001F4215">
      <w:pPr>
        <w:rPr>
          <w:rFonts w:ascii="Arial" w:hAnsi="Arial" w:cs="Arial"/>
          <w:bCs/>
          <w:color w:val="000000"/>
          <w:sz w:val="20"/>
          <w:lang w:eastAsia="es-AR"/>
        </w:rPr>
      </w:pPr>
      <w:r w:rsidRPr="00701F32">
        <w:rPr>
          <w:rFonts w:ascii="Arial" w:hAnsi="Arial" w:cs="Arial"/>
          <w:bCs/>
          <w:color w:val="000000"/>
          <w:sz w:val="20"/>
          <w:lang w:eastAsia="es-AR"/>
        </w:rPr>
        <w:t>7.13 Beneficios al personal</w:t>
      </w:r>
    </w:p>
    <w:p w14:paraId="4A5F80C6" w14:textId="77777777" w:rsidR="0048778A" w:rsidRPr="00701F32" w:rsidRDefault="0048778A" w:rsidP="001F4215">
      <w:pPr>
        <w:rPr>
          <w:rFonts w:ascii="Arial" w:hAnsi="Arial" w:cs="Arial"/>
          <w:bCs/>
          <w:color w:val="000000"/>
          <w:sz w:val="20"/>
          <w:lang w:eastAsia="es-AR"/>
        </w:rPr>
      </w:pPr>
    </w:p>
    <w:p w14:paraId="4CDC03E5" w14:textId="77777777" w:rsidR="0048778A" w:rsidRPr="00701F32" w:rsidRDefault="0048778A" w:rsidP="0086282C">
      <w:pPr>
        <w:jc w:val="both"/>
        <w:rPr>
          <w:rFonts w:ascii="Arial" w:hAnsi="Arial" w:cs="Arial"/>
          <w:bCs/>
          <w:color w:val="000000"/>
          <w:sz w:val="20"/>
          <w:lang w:eastAsia="es-AR"/>
        </w:rPr>
      </w:pPr>
      <w:r w:rsidRPr="00701F32">
        <w:rPr>
          <w:rFonts w:ascii="Arial" w:eastAsiaTheme="minorHAnsi" w:hAnsi="Arial" w:cs="Arial"/>
          <w:sz w:val="20"/>
        </w:rPr>
        <w:t>Se detallan a continuación los principales componentes de beneficios al personal por los períodos finalizados el 3</w:t>
      </w:r>
      <w:r w:rsidR="00B02B3A" w:rsidRPr="00701F32">
        <w:rPr>
          <w:rFonts w:ascii="Arial" w:eastAsiaTheme="minorHAnsi" w:hAnsi="Arial" w:cs="Arial"/>
          <w:sz w:val="20"/>
        </w:rPr>
        <w:t>0</w:t>
      </w:r>
      <w:r w:rsidRPr="00701F32">
        <w:rPr>
          <w:rFonts w:ascii="Arial" w:eastAsiaTheme="minorHAnsi" w:hAnsi="Arial" w:cs="Arial"/>
          <w:sz w:val="20"/>
        </w:rPr>
        <w:t xml:space="preserve"> de </w:t>
      </w:r>
      <w:r w:rsidR="00285339" w:rsidRPr="00701F32">
        <w:rPr>
          <w:rFonts w:ascii="Arial" w:eastAsiaTheme="minorHAnsi" w:hAnsi="Arial" w:cs="Arial"/>
          <w:sz w:val="20"/>
        </w:rPr>
        <w:t>septiembre</w:t>
      </w:r>
      <w:r w:rsidR="00B02B3A" w:rsidRPr="00701F32">
        <w:rPr>
          <w:rFonts w:ascii="Arial" w:eastAsiaTheme="minorHAnsi" w:hAnsi="Arial" w:cs="Arial"/>
          <w:sz w:val="20"/>
        </w:rPr>
        <w:t xml:space="preserve"> </w:t>
      </w:r>
      <w:r w:rsidRPr="00701F32">
        <w:rPr>
          <w:rFonts w:ascii="Arial" w:eastAsiaTheme="minorHAnsi" w:hAnsi="Arial" w:cs="Arial"/>
          <w:sz w:val="20"/>
        </w:rPr>
        <w:t>de 2018 y 2017:</w:t>
      </w:r>
    </w:p>
    <w:p w14:paraId="14AD1EED" w14:textId="77777777" w:rsidR="00AF05CB" w:rsidRPr="00701F32" w:rsidRDefault="00AF05CB" w:rsidP="001F4215">
      <w:pPr>
        <w:rPr>
          <w:rFonts w:ascii="Arial" w:hAnsi="Arial" w:cs="Arial"/>
          <w:bCs/>
          <w:color w:val="000000"/>
          <w:sz w:val="20"/>
          <w:lang w:eastAsia="es-AR"/>
        </w:rPr>
      </w:pPr>
    </w:p>
    <w:tbl>
      <w:tblPr>
        <w:tblW w:w="89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2"/>
        <w:gridCol w:w="1330"/>
        <w:gridCol w:w="1292"/>
      </w:tblGrid>
      <w:tr w:rsidR="00A352C4" w:rsidRPr="00701F32" w14:paraId="78337B2F" w14:textId="77777777" w:rsidTr="00E311C9">
        <w:trPr>
          <w:trHeight w:val="259"/>
        </w:trPr>
        <w:tc>
          <w:tcPr>
            <w:tcW w:w="6282" w:type="dxa"/>
            <w:shd w:val="clear" w:color="auto" w:fill="auto"/>
            <w:noWrap/>
            <w:vAlign w:val="bottom"/>
            <w:hideMark/>
          </w:tcPr>
          <w:p w14:paraId="00F22E4A" w14:textId="77777777" w:rsidR="00A352C4" w:rsidRPr="00701F32" w:rsidRDefault="00A352C4" w:rsidP="00A352C4">
            <w:pPr>
              <w:rPr>
                <w:rFonts w:ascii="Arial" w:hAnsi="Arial" w:cs="Arial"/>
                <w:b/>
                <w:bCs/>
                <w:color w:val="000000"/>
                <w:sz w:val="20"/>
                <w:lang w:eastAsia="es-AR"/>
              </w:rPr>
            </w:pPr>
            <w:r w:rsidRPr="00701F32">
              <w:rPr>
                <w:rFonts w:ascii="Arial" w:hAnsi="Arial" w:cs="Arial"/>
                <w:b/>
                <w:bCs/>
                <w:color w:val="000000"/>
                <w:sz w:val="20"/>
                <w:lang w:eastAsia="es-AR"/>
              </w:rPr>
              <w:t>Beneficios al personal</w:t>
            </w:r>
          </w:p>
        </w:tc>
        <w:tc>
          <w:tcPr>
            <w:tcW w:w="1330" w:type="dxa"/>
            <w:shd w:val="clear" w:color="auto" w:fill="auto"/>
            <w:noWrap/>
            <w:vAlign w:val="center"/>
            <w:hideMark/>
          </w:tcPr>
          <w:p w14:paraId="65E66B60" w14:textId="77777777" w:rsidR="00A352C4" w:rsidRPr="00701F32" w:rsidRDefault="00A352C4" w:rsidP="00B02B3A">
            <w:pPr>
              <w:jc w:val="right"/>
              <w:rPr>
                <w:rFonts w:ascii="Arial" w:hAnsi="Arial" w:cs="Arial"/>
                <w:b/>
                <w:color w:val="000000"/>
                <w:sz w:val="20"/>
                <w:lang w:eastAsia="es-AR"/>
              </w:rPr>
            </w:pPr>
            <w:r w:rsidRPr="00701F32">
              <w:rPr>
                <w:rFonts w:ascii="Arial" w:hAnsi="Arial" w:cs="Arial"/>
                <w:b/>
                <w:color w:val="000000"/>
                <w:sz w:val="20"/>
                <w:lang w:eastAsia="es-AR"/>
              </w:rPr>
              <w:t>3</w:t>
            </w:r>
            <w:r w:rsidR="00B02B3A"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292" w:type="dxa"/>
            <w:vAlign w:val="center"/>
          </w:tcPr>
          <w:p w14:paraId="53B23F4E" w14:textId="77777777" w:rsidR="00A352C4" w:rsidRPr="00701F32" w:rsidRDefault="00A352C4" w:rsidP="00B02B3A">
            <w:pPr>
              <w:jc w:val="right"/>
              <w:rPr>
                <w:rFonts w:ascii="Arial" w:hAnsi="Arial" w:cs="Arial"/>
                <w:b/>
                <w:color w:val="000000"/>
                <w:sz w:val="20"/>
                <w:lang w:eastAsia="es-AR"/>
              </w:rPr>
            </w:pPr>
            <w:r w:rsidRPr="00701F32">
              <w:rPr>
                <w:rFonts w:ascii="Arial" w:hAnsi="Arial" w:cs="Arial"/>
                <w:b/>
                <w:color w:val="000000"/>
                <w:sz w:val="20"/>
                <w:lang w:eastAsia="es-AR"/>
              </w:rPr>
              <w:t>3</w:t>
            </w:r>
            <w:r w:rsidR="00B02B3A"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A352C4" w:rsidRPr="00701F32" w14:paraId="2D214755" w14:textId="77777777" w:rsidTr="00E311C9">
        <w:trPr>
          <w:trHeight w:val="259"/>
        </w:trPr>
        <w:tc>
          <w:tcPr>
            <w:tcW w:w="6282" w:type="dxa"/>
            <w:shd w:val="clear" w:color="auto" w:fill="auto"/>
            <w:noWrap/>
            <w:vAlign w:val="bottom"/>
            <w:hideMark/>
          </w:tcPr>
          <w:p w14:paraId="6A09B0D5" w14:textId="77777777" w:rsidR="00A352C4" w:rsidRPr="00701F32" w:rsidRDefault="00A352C4" w:rsidP="00A352C4">
            <w:pPr>
              <w:rPr>
                <w:rFonts w:ascii="Arial" w:hAnsi="Arial" w:cs="Arial"/>
                <w:color w:val="000000"/>
                <w:sz w:val="20"/>
                <w:lang w:eastAsia="es-AR"/>
              </w:rPr>
            </w:pPr>
            <w:r w:rsidRPr="00701F32">
              <w:rPr>
                <w:rFonts w:ascii="Arial" w:hAnsi="Arial" w:cs="Arial"/>
                <w:color w:val="000000"/>
                <w:sz w:val="20"/>
                <w:lang w:eastAsia="es-AR"/>
              </w:rPr>
              <w:t>Gastos de personal</w:t>
            </w:r>
          </w:p>
        </w:tc>
        <w:tc>
          <w:tcPr>
            <w:tcW w:w="1330" w:type="dxa"/>
            <w:shd w:val="clear" w:color="auto" w:fill="auto"/>
            <w:noWrap/>
            <w:vAlign w:val="bottom"/>
          </w:tcPr>
          <w:p w14:paraId="10D1D7D7" w14:textId="6EEF74F5" w:rsidR="00A352C4" w:rsidRPr="00701F32" w:rsidRDefault="000A748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587</w:t>
            </w:r>
            <w:r w:rsidR="00923954"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377</w:t>
            </w:r>
          </w:p>
        </w:tc>
        <w:tc>
          <w:tcPr>
            <w:tcW w:w="1292" w:type="dxa"/>
            <w:vAlign w:val="bottom"/>
          </w:tcPr>
          <w:p w14:paraId="5D51FB44" w14:textId="2D1DF727" w:rsidR="00A352C4" w:rsidRPr="00701F32" w:rsidRDefault="000A748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503</w:t>
            </w:r>
            <w:r w:rsidR="00923954"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606</w:t>
            </w:r>
          </w:p>
        </w:tc>
      </w:tr>
      <w:tr w:rsidR="0048778A" w:rsidRPr="00701F32" w14:paraId="1918E1F2" w14:textId="77777777" w:rsidTr="00E311C9">
        <w:trPr>
          <w:trHeight w:val="259"/>
        </w:trPr>
        <w:tc>
          <w:tcPr>
            <w:tcW w:w="62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435F"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Remuneraciones y cargas sociales</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775E5" w14:textId="0531A8DC" w:rsidR="0048778A"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w:t>
            </w:r>
            <w:r w:rsidR="000A7489" w:rsidRPr="00701F32">
              <w:rPr>
                <w:rFonts w:ascii="Arial" w:hAnsi="Arial" w:cs="Arial"/>
                <w:color w:val="000000"/>
                <w:sz w:val="20"/>
                <w:lang w:val="es-ES_tradnl" w:eastAsia="es-AR"/>
              </w:rPr>
              <w:t>722</w:t>
            </w:r>
            <w:r w:rsidRPr="00701F32">
              <w:rPr>
                <w:rFonts w:ascii="Arial" w:hAnsi="Arial" w:cs="Arial"/>
                <w:color w:val="000000"/>
                <w:sz w:val="20"/>
                <w:lang w:val="es-ES_tradnl" w:eastAsia="es-AR"/>
              </w:rPr>
              <w:t>.</w:t>
            </w:r>
            <w:r w:rsidR="000A7489" w:rsidRPr="00701F32">
              <w:rPr>
                <w:rFonts w:ascii="Arial" w:hAnsi="Arial" w:cs="Arial"/>
                <w:color w:val="000000"/>
                <w:sz w:val="20"/>
                <w:lang w:val="es-ES_tradnl" w:eastAsia="es-AR"/>
              </w:rPr>
              <w:t>909</w:t>
            </w:r>
          </w:p>
        </w:tc>
        <w:tc>
          <w:tcPr>
            <w:tcW w:w="1292" w:type="dxa"/>
            <w:tcBorders>
              <w:top w:val="single" w:sz="4" w:space="0" w:color="auto"/>
              <w:left w:val="single" w:sz="4" w:space="0" w:color="auto"/>
              <w:bottom w:val="single" w:sz="4" w:space="0" w:color="auto"/>
              <w:right w:val="single" w:sz="4" w:space="0" w:color="auto"/>
            </w:tcBorders>
            <w:vAlign w:val="bottom"/>
          </w:tcPr>
          <w:p w14:paraId="7D3298B2" w14:textId="0A39B66A" w:rsidR="0048778A"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w:t>
            </w:r>
            <w:r w:rsidR="000A7489" w:rsidRPr="00701F32">
              <w:rPr>
                <w:rFonts w:ascii="Arial" w:hAnsi="Arial" w:cs="Arial"/>
                <w:color w:val="000000"/>
                <w:sz w:val="20"/>
                <w:lang w:val="es-ES_tradnl" w:eastAsia="es-AR"/>
              </w:rPr>
              <w:t>919</w:t>
            </w:r>
            <w:r w:rsidRPr="00701F32">
              <w:rPr>
                <w:rFonts w:ascii="Arial" w:hAnsi="Arial" w:cs="Arial"/>
                <w:color w:val="000000"/>
                <w:sz w:val="20"/>
                <w:lang w:val="es-ES_tradnl" w:eastAsia="es-AR"/>
              </w:rPr>
              <w:t>.</w:t>
            </w:r>
            <w:r w:rsidR="000A7489" w:rsidRPr="00701F32">
              <w:rPr>
                <w:rFonts w:ascii="Arial" w:hAnsi="Arial" w:cs="Arial"/>
                <w:color w:val="000000"/>
                <w:sz w:val="20"/>
                <w:lang w:val="es-ES_tradnl" w:eastAsia="es-AR"/>
              </w:rPr>
              <w:t>354</w:t>
            </w:r>
          </w:p>
        </w:tc>
      </w:tr>
      <w:tr w:rsidR="00A352C4" w:rsidRPr="00701F32" w14:paraId="79FBAA8C" w14:textId="77777777" w:rsidTr="00E311C9">
        <w:trPr>
          <w:trHeight w:val="274"/>
        </w:trPr>
        <w:tc>
          <w:tcPr>
            <w:tcW w:w="6282" w:type="dxa"/>
            <w:shd w:val="clear" w:color="auto" w:fill="auto"/>
            <w:noWrap/>
            <w:vAlign w:val="bottom"/>
            <w:hideMark/>
          </w:tcPr>
          <w:p w14:paraId="6AA0CF5D" w14:textId="77777777" w:rsidR="00A352C4" w:rsidRPr="00701F32" w:rsidRDefault="00A352C4" w:rsidP="00393CEB">
            <w:pPr>
              <w:rPr>
                <w:rFonts w:ascii="Arial" w:hAnsi="Arial" w:cs="Arial"/>
                <w:b/>
                <w:color w:val="000000"/>
                <w:sz w:val="20"/>
                <w:lang w:eastAsia="es-AR"/>
              </w:rPr>
            </w:pPr>
            <w:r w:rsidRPr="00701F32">
              <w:rPr>
                <w:rFonts w:ascii="Arial" w:hAnsi="Arial" w:cs="Arial"/>
                <w:b/>
                <w:color w:val="000000"/>
                <w:sz w:val="20"/>
                <w:lang w:eastAsia="es-AR"/>
              </w:rPr>
              <w:t>Total</w:t>
            </w:r>
          </w:p>
        </w:tc>
        <w:tc>
          <w:tcPr>
            <w:tcW w:w="1330" w:type="dxa"/>
            <w:shd w:val="clear" w:color="auto" w:fill="auto"/>
            <w:noWrap/>
            <w:vAlign w:val="bottom"/>
          </w:tcPr>
          <w:p w14:paraId="36400372" w14:textId="135E886F" w:rsidR="00A352C4" w:rsidRPr="00701F32" w:rsidRDefault="000A7489">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4</w:t>
            </w:r>
            <w:r w:rsidR="00923954"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310</w:t>
            </w:r>
            <w:r w:rsidR="00923954"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286</w:t>
            </w:r>
          </w:p>
        </w:tc>
        <w:tc>
          <w:tcPr>
            <w:tcW w:w="1292" w:type="dxa"/>
            <w:vAlign w:val="bottom"/>
          </w:tcPr>
          <w:p w14:paraId="50D0EC07" w14:textId="041ED2A0" w:rsidR="00A352C4" w:rsidRPr="00701F32" w:rsidRDefault="00923954">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3.</w:t>
            </w:r>
            <w:r w:rsidR="000A7489" w:rsidRPr="00701F32">
              <w:rPr>
                <w:rFonts w:ascii="Arial" w:hAnsi="Arial" w:cs="Arial"/>
                <w:b/>
                <w:color w:val="000000"/>
                <w:sz w:val="20"/>
                <w:lang w:val="es-ES_tradnl" w:eastAsia="es-AR"/>
              </w:rPr>
              <w:t>422</w:t>
            </w:r>
            <w:r w:rsidRPr="00701F32">
              <w:rPr>
                <w:rFonts w:ascii="Arial" w:hAnsi="Arial" w:cs="Arial"/>
                <w:b/>
                <w:color w:val="000000"/>
                <w:sz w:val="20"/>
                <w:lang w:val="es-ES_tradnl" w:eastAsia="es-AR"/>
              </w:rPr>
              <w:t>.</w:t>
            </w:r>
            <w:r w:rsidR="000A7489" w:rsidRPr="00701F32">
              <w:rPr>
                <w:rFonts w:ascii="Arial" w:hAnsi="Arial" w:cs="Arial"/>
                <w:b/>
                <w:color w:val="000000"/>
                <w:sz w:val="20"/>
                <w:lang w:val="es-ES_tradnl" w:eastAsia="es-AR"/>
              </w:rPr>
              <w:t>960</w:t>
            </w:r>
          </w:p>
        </w:tc>
      </w:tr>
    </w:tbl>
    <w:p w14:paraId="2F3E80F1" w14:textId="77777777" w:rsidR="00F17F39" w:rsidRPr="00701F32" w:rsidRDefault="00F17F39" w:rsidP="001F4215">
      <w:pPr>
        <w:rPr>
          <w:rFonts w:ascii="Arial" w:hAnsi="Arial" w:cs="Arial"/>
          <w:bCs/>
          <w:color w:val="000000"/>
          <w:sz w:val="20"/>
          <w:lang w:eastAsia="es-AR"/>
        </w:rPr>
      </w:pPr>
    </w:p>
    <w:p w14:paraId="253AFD7D" w14:textId="77777777" w:rsidR="00A352C4" w:rsidRPr="00701F32" w:rsidRDefault="00A352C4" w:rsidP="001F4215">
      <w:pPr>
        <w:rPr>
          <w:rFonts w:ascii="Arial" w:hAnsi="Arial" w:cs="Arial"/>
          <w:bCs/>
          <w:color w:val="000000"/>
          <w:sz w:val="20"/>
          <w:lang w:eastAsia="es-AR"/>
        </w:rPr>
      </w:pPr>
      <w:r w:rsidRPr="00701F32">
        <w:rPr>
          <w:rFonts w:ascii="Arial" w:hAnsi="Arial" w:cs="Arial"/>
          <w:bCs/>
          <w:color w:val="000000"/>
          <w:sz w:val="20"/>
          <w:lang w:eastAsia="es-AR"/>
        </w:rPr>
        <w:t>7.14 Gastos de Administración</w:t>
      </w:r>
    </w:p>
    <w:p w14:paraId="631B6BD1" w14:textId="77777777" w:rsidR="0048778A" w:rsidRPr="00701F32" w:rsidRDefault="0048778A" w:rsidP="001F4215">
      <w:pPr>
        <w:rPr>
          <w:rFonts w:ascii="Arial" w:hAnsi="Arial" w:cs="Arial"/>
          <w:bCs/>
          <w:color w:val="000000"/>
          <w:sz w:val="20"/>
          <w:lang w:eastAsia="es-AR"/>
        </w:rPr>
      </w:pPr>
    </w:p>
    <w:p w14:paraId="2E040EBD" w14:textId="77777777" w:rsidR="0048778A" w:rsidRPr="00701F32" w:rsidRDefault="0048778A" w:rsidP="0048778A">
      <w:pPr>
        <w:jc w:val="both"/>
        <w:rPr>
          <w:rFonts w:ascii="Arial" w:hAnsi="Arial" w:cs="Arial"/>
          <w:bCs/>
          <w:color w:val="000000"/>
          <w:sz w:val="20"/>
          <w:lang w:eastAsia="es-AR"/>
        </w:rPr>
      </w:pPr>
      <w:r w:rsidRPr="00701F32">
        <w:rPr>
          <w:rFonts w:ascii="Arial" w:eastAsiaTheme="minorHAnsi" w:hAnsi="Arial" w:cs="Arial"/>
          <w:sz w:val="20"/>
        </w:rPr>
        <w:t>Se detallan a continuación los principales componentes de gastos de administración por los períodos finalizados el 3</w:t>
      </w:r>
      <w:r w:rsidR="00B02B3A" w:rsidRPr="00701F32">
        <w:rPr>
          <w:rFonts w:ascii="Arial" w:eastAsiaTheme="minorHAnsi" w:hAnsi="Arial" w:cs="Arial"/>
          <w:sz w:val="20"/>
        </w:rPr>
        <w:t>0</w:t>
      </w:r>
      <w:r w:rsidRPr="00701F32">
        <w:rPr>
          <w:rFonts w:ascii="Arial" w:eastAsiaTheme="minorHAnsi" w:hAnsi="Arial" w:cs="Arial"/>
          <w:sz w:val="20"/>
        </w:rPr>
        <w:t xml:space="preserve"> de </w:t>
      </w:r>
      <w:r w:rsidR="00285339" w:rsidRPr="00701F32">
        <w:rPr>
          <w:rFonts w:ascii="Arial" w:eastAsiaTheme="minorHAnsi" w:hAnsi="Arial" w:cs="Arial"/>
          <w:sz w:val="20"/>
        </w:rPr>
        <w:t xml:space="preserve">septiembre </w:t>
      </w:r>
      <w:r w:rsidRPr="00701F32">
        <w:rPr>
          <w:rFonts w:ascii="Arial" w:eastAsiaTheme="minorHAnsi" w:hAnsi="Arial" w:cs="Arial"/>
          <w:sz w:val="20"/>
        </w:rPr>
        <w:t>de 2018 y 2017:</w:t>
      </w:r>
    </w:p>
    <w:p w14:paraId="6CB62C05" w14:textId="77777777" w:rsidR="00A352C4" w:rsidRPr="00701F32" w:rsidRDefault="00A352C4" w:rsidP="001F4215">
      <w:pPr>
        <w:rPr>
          <w:rFonts w:ascii="Arial" w:hAnsi="Arial" w:cs="Arial"/>
          <w:bCs/>
          <w:color w:val="000000"/>
          <w:sz w:val="20"/>
          <w:lang w:eastAsia="es-AR"/>
        </w:rPr>
      </w:pPr>
    </w:p>
    <w:tbl>
      <w:tblPr>
        <w:tblW w:w="88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7"/>
        <w:gridCol w:w="1290"/>
        <w:gridCol w:w="1290"/>
      </w:tblGrid>
      <w:tr w:rsidR="00A352C4" w:rsidRPr="00701F32" w14:paraId="5DF28A47" w14:textId="77777777" w:rsidTr="00E311C9">
        <w:trPr>
          <w:trHeight w:val="261"/>
          <w:tblHeader/>
        </w:trPr>
        <w:tc>
          <w:tcPr>
            <w:tcW w:w="6307" w:type="dxa"/>
            <w:shd w:val="clear" w:color="auto" w:fill="auto"/>
            <w:noWrap/>
            <w:vAlign w:val="bottom"/>
            <w:hideMark/>
          </w:tcPr>
          <w:p w14:paraId="23C3A0F9" w14:textId="77777777" w:rsidR="00A352C4" w:rsidRPr="00701F32" w:rsidRDefault="00A352C4" w:rsidP="00A352C4">
            <w:pPr>
              <w:rPr>
                <w:rFonts w:ascii="Arial" w:hAnsi="Arial" w:cs="Arial"/>
                <w:b/>
                <w:bCs/>
                <w:color w:val="000000"/>
                <w:sz w:val="20"/>
                <w:lang w:eastAsia="es-AR"/>
              </w:rPr>
            </w:pPr>
          </w:p>
        </w:tc>
        <w:tc>
          <w:tcPr>
            <w:tcW w:w="1290" w:type="dxa"/>
            <w:shd w:val="clear" w:color="auto" w:fill="auto"/>
            <w:noWrap/>
            <w:vAlign w:val="center"/>
            <w:hideMark/>
          </w:tcPr>
          <w:p w14:paraId="23032C54" w14:textId="77777777" w:rsidR="00A352C4" w:rsidRPr="00701F32" w:rsidRDefault="00A352C4" w:rsidP="00B02B3A">
            <w:pPr>
              <w:jc w:val="right"/>
              <w:rPr>
                <w:rFonts w:ascii="Arial" w:hAnsi="Arial" w:cs="Arial"/>
                <w:b/>
                <w:color w:val="000000"/>
                <w:sz w:val="20"/>
                <w:lang w:eastAsia="es-AR"/>
              </w:rPr>
            </w:pPr>
            <w:r w:rsidRPr="00701F32">
              <w:rPr>
                <w:rFonts w:ascii="Arial" w:hAnsi="Arial" w:cs="Arial"/>
                <w:b/>
                <w:color w:val="000000"/>
                <w:sz w:val="20"/>
                <w:lang w:eastAsia="es-AR"/>
              </w:rPr>
              <w:t>3</w:t>
            </w:r>
            <w:r w:rsidR="00B02B3A"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290" w:type="dxa"/>
            <w:vAlign w:val="center"/>
          </w:tcPr>
          <w:p w14:paraId="4BC84B03" w14:textId="77777777" w:rsidR="00A352C4" w:rsidRPr="00701F32" w:rsidRDefault="00A352C4" w:rsidP="00B02B3A">
            <w:pPr>
              <w:jc w:val="right"/>
              <w:rPr>
                <w:rFonts w:ascii="Arial" w:hAnsi="Arial" w:cs="Arial"/>
                <w:b/>
                <w:color w:val="000000"/>
                <w:sz w:val="20"/>
                <w:lang w:eastAsia="es-AR"/>
              </w:rPr>
            </w:pPr>
            <w:r w:rsidRPr="00701F32">
              <w:rPr>
                <w:rFonts w:ascii="Arial" w:hAnsi="Arial" w:cs="Arial"/>
                <w:b/>
                <w:color w:val="000000"/>
                <w:sz w:val="20"/>
                <w:lang w:eastAsia="es-AR"/>
              </w:rPr>
              <w:t>3</w:t>
            </w:r>
            <w:r w:rsidR="00B02B3A"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A352C4" w:rsidRPr="00701F32" w14:paraId="1C92CBE3" w14:textId="77777777" w:rsidTr="00E311C9">
        <w:trPr>
          <w:trHeight w:val="261"/>
        </w:trPr>
        <w:tc>
          <w:tcPr>
            <w:tcW w:w="6307" w:type="dxa"/>
            <w:shd w:val="clear" w:color="auto" w:fill="auto"/>
            <w:noWrap/>
            <w:vAlign w:val="bottom"/>
            <w:hideMark/>
          </w:tcPr>
          <w:p w14:paraId="3CAFBDFA" w14:textId="77777777" w:rsidR="00A352C4" w:rsidRPr="00701F32" w:rsidRDefault="00A352C4" w:rsidP="00A352C4">
            <w:pPr>
              <w:rPr>
                <w:rFonts w:ascii="Arial" w:hAnsi="Arial" w:cs="Arial"/>
                <w:color w:val="000000"/>
                <w:sz w:val="20"/>
                <w:lang w:eastAsia="es-AR"/>
              </w:rPr>
            </w:pPr>
            <w:r w:rsidRPr="00701F32">
              <w:rPr>
                <w:rFonts w:ascii="Arial" w:hAnsi="Arial" w:cs="Arial"/>
                <w:color w:val="000000"/>
                <w:sz w:val="20"/>
                <w:lang w:eastAsia="es-AR"/>
              </w:rPr>
              <w:t>Alquileres</w:t>
            </w:r>
            <w:r w:rsidR="0048778A" w:rsidRPr="00701F32">
              <w:rPr>
                <w:rFonts w:ascii="Arial" w:hAnsi="Arial" w:cs="Arial"/>
                <w:color w:val="000000"/>
                <w:sz w:val="20"/>
                <w:lang w:eastAsia="es-AR"/>
              </w:rPr>
              <w:t xml:space="preserve"> pagados</w:t>
            </w:r>
          </w:p>
        </w:tc>
        <w:tc>
          <w:tcPr>
            <w:tcW w:w="1290" w:type="dxa"/>
            <w:shd w:val="clear" w:color="auto" w:fill="auto"/>
            <w:noWrap/>
            <w:vAlign w:val="bottom"/>
          </w:tcPr>
          <w:p w14:paraId="3D180726" w14:textId="17C642C1"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25</w:t>
            </w:r>
            <w:r w:rsidR="00F735F3" w:rsidRPr="00701F32">
              <w:rPr>
                <w:rFonts w:ascii="Arial" w:hAnsi="Arial" w:cs="Arial"/>
                <w:color w:val="000000"/>
                <w:sz w:val="20"/>
                <w:lang w:val="es-ES_tradnl" w:eastAsia="es-AR"/>
              </w:rPr>
              <w:t>6</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325</w:t>
            </w:r>
          </w:p>
        </w:tc>
        <w:tc>
          <w:tcPr>
            <w:tcW w:w="1290" w:type="dxa"/>
            <w:vAlign w:val="bottom"/>
          </w:tcPr>
          <w:p w14:paraId="5DD702C9" w14:textId="6B7C5B5A" w:rsidR="00A352C4" w:rsidRPr="00701F32" w:rsidRDefault="000E273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F735F3" w:rsidRPr="00701F32">
              <w:rPr>
                <w:rFonts w:ascii="Arial" w:hAnsi="Arial" w:cs="Arial"/>
                <w:color w:val="000000"/>
                <w:sz w:val="20"/>
                <w:lang w:val="es-ES_tradnl" w:eastAsia="es-AR"/>
              </w:rPr>
              <w:t>74.695</w:t>
            </w:r>
          </w:p>
        </w:tc>
      </w:tr>
      <w:tr w:rsidR="0048778A" w:rsidRPr="00701F32" w14:paraId="0967D58E"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48866"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Honorarios y retribuciones por servicios</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18F17" w14:textId="6572CD3F" w:rsidR="0048778A"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1.033</w:t>
            </w:r>
            <w:r w:rsidR="00923954"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594</w:t>
            </w:r>
          </w:p>
        </w:tc>
        <w:tc>
          <w:tcPr>
            <w:tcW w:w="1290" w:type="dxa"/>
            <w:tcBorders>
              <w:top w:val="single" w:sz="4" w:space="0" w:color="auto"/>
              <w:left w:val="single" w:sz="4" w:space="0" w:color="auto"/>
              <w:bottom w:val="single" w:sz="4" w:space="0" w:color="auto"/>
              <w:right w:val="single" w:sz="4" w:space="0" w:color="auto"/>
            </w:tcBorders>
            <w:vAlign w:val="bottom"/>
          </w:tcPr>
          <w:p w14:paraId="09AB3DA0" w14:textId="0E2117C3" w:rsidR="0048778A" w:rsidRPr="00701F32" w:rsidRDefault="000E273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w:t>
            </w:r>
            <w:r w:rsidR="00F735F3" w:rsidRPr="00701F32">
              <w:rPr>
                <w:rFonts w:ascii="Arial" w:hAnsi="Arial" w:cs="Arial"/>
                <w:color w:val="000000"/>
                <w:sz w:val="20"/>
                <w:lang w:val="es-ES_tradnl" w:eastAsia="es-AR"/>
              </w:rPr>
              <w:t>86</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781</w:t>
            </w:r>
          </w:p>
        </w:tc>
      </w:tr>
      <w:tr w:rsidR="0048778A" w:rsidRPr="00701F32" w14:paraId="48E99134"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8656D"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Impuestos y tasas</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7F351" w14:textId="4BE4F086" w:rsidR="0048778A"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526</w:t>
            </w:r>
            <w:r w:rsidR="00923954"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737</w:t>
            </w:r>
          </w:p>
        </w:tc>
        <w:tc>
          <w:tcPr>
            <w:tcW w:w="1290" w:type="dxa"/>
            <w:tcBorders>
              <w:top w:val="single" w:sz="4" w:space="0" w:color="auto"/>
              <w:left w:val="single" w:sz="4" w:space="0" w:color="auto"/>
              <w:bottom w:val="single" w:sz="4" w:space="0" w:color="auto"/>
              <w:right w:val="single" w:sz="4" w:space="0" w:color="auto"/>
            </w:tcBorders>
            <w:vAlign w:val="bottom"/>
          </w:tcPr>
          <w:p w14:paraId="0F9E59D9" w14:textId="6B2E8FE4" w:rsidR="0048778A"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w:t>
            </w:r>
            <w:r w:rsidR="000E2730" w:rsidRPr="00701F32">
              <w:rPr>
                <w:rFonts w:ascii="Arial" w:hAnsi="Arial" w:cs="Arial"/>
                <w:color w:val="000000"/>
                <w:sz w:val="20"/>
                <w:lang w:val="es-ES_tradnl" w:eastAsia="es-AR"/>
              </w:rPr>
              <w:t>9</w:t>
            </w:r>
            <w:r w:rsidRPr="00701F32">
              <w:rPr>
                <w:rFonts w:ascii="Arial" w:hAnsi="Arial" w:cs="Arial"/>
                <w:color w:val="000000"/>
                <w:sz w:val="20"/>
                <w:lang w:val="es-ES_tradnl" w:eastAsia="es-AR"/>
              </w:rPr>
              <w:t>8</w:t>
            </w:r>
            <w:r w:rsidR="000E273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275</w:t>
            </w:r>
          </w:p>
        </w:tc>
      </w:tr>
      <w:tr w:rsidR="0048778A" w:rsidRPr="00701F32" w14:paraId="30E73462"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45AA5"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Mantenimiento y reparaciones</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65537" w14:textId="7B8C4CC1" w:rsidR="0048778A"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w:t>
            </w:r>
            <w:r w:rsidR="00F735F3" w:rsidRPr="00701F32">
              <w:rPr>
                <w:rFonts w:ascii="Arial" w:hAnsi="Arial" w:cs="Arial"/>
                <w:color w:val="000000"/>
                <w:sz w:val="20"/>
                <w:lang w:val="es-ES_tradnl" w:eastAsia="es-AR"/>
              </w:rPr>
              <w:t>10</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649</w:t>
            </w:r>
          </w:p>
        </w:tc>
        <w:tc>
          <w:tcPr>
            <w:tcW w:w="1290" w:type="dxa"/>
            <w:tcBorders>
              <w:top w:val="single" w:sz="4" w:space="0" w:color="auto"/>
              <w:left w:val="single" w:sz="4" w:space="0" w:color="auto"/>
              <w:bottom w:val="single" w:sz="4" w:space="0" w:color="auto"/>
              <w:right w:val="single" w:sz="4" w:space="0" w:color="auto"/>
            </w:tcBorders>
            <w:vAlign w:val="bottom"/>
          </w:tcPr>
          <w:p w14:paraId="10C000B1" w14:textId="76E0FCC2" w:rsidR="0048778A" w:rsidRPr="00701F32" w:rsidRDefault="000E273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22</w:t>
            </w:r>
            <w:r w:rsidR="00F735F3" w:rsidRPr="00701F32">
              <w:rPr>
                <w:rFonts w:ascii="Arial" w:hAnsi="Arial" w:cs="Arial"/>
                <w:color w:val="000000"/>
                <w:sz w:val="20"/>
                <w:lang w:val="es-ES_tradnl" w:eastAsia="es-AR"/>
              </w:rPr>
              <w:t>5</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211</w:t>
            </w:r>
          </w:p>
        </w:tc>
      </w:tr>
      <w:tr w:rsidR="00A352C4" w:rsidRPr="00701F32" w14:paraId="7C7CF897"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6247" w14:textId="77777777" w:rsidR="00A352C4" w:rsidRPr="00701F32" w:rsidRDefault="00A352C4">
            <w:pPr>
              <w:rPr>
                <w:rFonts w:ascii="Arial" w:hAnsi="Arial" w:cs="Arial"/>
                <w:color w:val="000000"/>
                <w:sz w:val="20"/>
                <w:lang w:eastAsia="es-AR"/>
              </w:rPr>
            </w:pPr>
            <w:r w:rsidRPr="00701F32">
              <w:rPr>
                <w:rFonts w:ascii="Arial" w:hAnsi="Arial" w:cs="Arial"/>
                <w:color w:val="000000"/>
                <w:sz w:val="20"/>
                <w:lang w:eastAsia="es-AR"/>
              </w:rPr>
              <w:t>Energía eléctrica, gas  y teléfono</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40CFD" w14:textId="7F07EB30"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F735F3" w:rsidRPr="00701F32">
              <w:rPr>
                <w:rFonts w:ascii="Arial" w:hAnsi="Arial" w:cs="Arial"/>
                <w:color w:val="000000"/>
                <w:sz w:val="20"/>
                <w:lang w:val="es-ES_tradnl" w:eastAsia="es-AR"/>
              </w:rPr>
              <w:t>85</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634</w:t>
            </w:r>
          </w:p>
        </w:tc>
        <w:tc>
          <w:tcPr>
            <w:tcW w:w="1290" w:type="dxa"/>
            <w:tcBorders>
              <w:top w:val="single" w:sz="4" w:space="0" w:color="auto"/>
              <w:left w:val="single" w:sz="4" w:space="0" w:color="auto"/>
              <w:bottom w:val="single" w:sz="4" w:space="0" w:color="auto"/>
              <w:right w:val="single" w:sz="4" w:space="0" w:color="auto"/>
            </w:tcBorders>
            <w:vAlign w:val="bottom"/>
          </w:tcPr>
          <w:p w14:paraId="756345E2" w14:textId="7CB23103" w:rsidR="00A352C4"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131</w:t>
            </w:r>
            <w:r w:rsidR="000E273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800</w:t>
            </w:r>
          </w:p>
        </w:tc>
      </w:tr>
      <w:tr w:rsidR="00A352C4" w:rsidRPr="00701F32" w14:paraId="0ED71B3B"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9C50B" w14:textId="77777777" w:rsidR="00A352C4" w:rsidRPr="00701F32" w:rsidRDefault="00A352C4" w:rsidP="00A352C4">
            <w:pPr>
              <w:rPr>
                <w:rFonts w:ascii="Arial" w:hAnsi="Arial" w:cs="Arial"/>
                <w:color w:val="000000"/>
                <w:sz w:val="20"/>
                <w:lang w:eastAsia="es-AR"/>
              </w:rPr>
            </w:pPr>
            <w:r w:rsidRPr="00701F32">
              <w:rPr>
                <w:rFonts w:ascii="Arial" w:hAnsi="Arial" w:cs="Arial"/>
                <w:color w:val="000000"/>
                <w:sz w:val="20"/>
                <w:lang w:eastAsia="es-AR"/>
              </w:rPr>
              <w:t>Gastos de publicidad, promoción e investigación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93181" w14:textId="08E9142D"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w:t>
            </w:r>
            <w:r w:rsidR="00F735F3" w:rsidRPr="00701F32">
              <w:rPr>
                <w:rFonts w:ascii="Arial" w:hAnsi="Arial" w:cs="Arial"/>
                <w:color w:val="000000"/>
                <w:sz w:val="20"/>
                <w:lang w:val="es-ES_tradnl" w:eastAsia="es-AR"/>
              </w:rPr>
              <w:t>49</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528</w:t>
            </w:r>
          </w:p>
        </w:tc>
        <w:tc>
          <w:tcPr>
            <w:tcW w:w="1290" w:type="dxa"/>
            <w:tcBorders>
              <w:top w:val="single" w:sz="4" w:space="0" w:color="auto"/>
              <w:left w:val="single" w:sz="4" w:space="0" w:color="auto"/>
              <w:bottom w:val="single" w:sz="4" w:space="0" w:color="auto"/>
              <w:right w:val="single" w:sz="4" w:space="0" w:color="auto"/>
            </w:tcBorders>
            <w:vAlign w:val="bottom"/>
          </w:tcPr>
          <w:p w14:paraId="4C1CFB07" w14:textId="3B9D9DAD" w:rsidR="00A352C4" w:rsidRPr="00701F32" w:rsidRDefault="000E273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F735F3" w:rsidRPr="00701F32">
              <w:rPr>
                <w:rFonts w:ascii="Arial" w:hAnsi="Arial" w:cs="Arial"/>
                <w:color w:val="000000"/>
                <w:sz w:val="20"/>
                <w:lang w:val="es-ES_tradnl" w:eastAsia="es-AR"/>
              </w:rPr>
              <w:t>82</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119</w:t>
            </w:r>
          </w:p>
        </w:tc>
      </w:tr>
      <w:tr w:rsidR="00A352C4" w:rsidRPr="00701F32" w14:paraId="59CBB05B"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C582F" w14:textId="77777777" w:rsidR="00A352C4" w:rsidRPr="00701F32" w:rsidRDefault="00A352C4" w:rsidP="00A352C4">
            <w:pPr>
              <w:rPr>
                <w:rFonts w:ascii="Arial" w:hAnsi="Arial" w:cs="Arial"/>
                <w:color w:val="000000"/>
                <w:sz w:val="20"/>
                <w:lang w:eastAsia="es-AR"/>
              </w:rPr>
            </w:pPr>
            <w:r w:rsidRPr="00701F32">
              <w:rPr>
                <w:rFonts w:ascii="Arial" w:hAnsi="Arial" w:cs="Arial"/>
                <w:color w:val="000000"/>
                <w:sz w:val="20"/>
                <w:lang w:eastAsia="es-AR"/>
              </w:rPr>
              <w:t>Gastos de representación y movilidad</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FF44B" w14:textId="3DCBED2B"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w:t>
            </w:r>
            <w:r w:rsidR="00F735F3" w:rsidRPr="00701F32">
              <w:rPr>
                <w:rFonts w:ascii="Arial" w:hAnsi="Arial" w:cs="Arial"/>
                <w:color w:val="000000"/>
                <w:sz w:val="20"/>
                <w:lang w:val="es-ES_tradnl" w:eastAsia="es-AR"/>
              </w:rPr>
              <w:t>2</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636</w:t>
            </w:r>
          </w:p>
        </w:tc>
        <w:tc>
          <w:tcPr>
            <w:tcW w:w="1290" w:type="dxa"/>
            <w:tcBorders>
              <w:top w:val="single" w:sz="4" w:space="0" w:color="auto"/>
              <w:left w:val="single" w:sz="4" w:space="0" w:color="auto"/>
              <w:bottom w:val="single" w:sz="4" w:space="0" w:color="auto"/>
              <w:right w:val="single" w:sz="4" w:space="0" w:color="auto"/>
            </w:tcBorders>
            <w:vAlign w:val="bottom"/>
          </w:tcPr>
          <w:p w14:paraId="621BA667" w14:textId="0B9D26E8" w:rsidR="00A352C4"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46</w:t>
            </w:r>
            <w:r w:rsidR="000E273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253</w:t>
            </w:r>
          </w:p>
        </w:tc>
      </w:tr>
      <w:tr w:rsidR="00A352C4" w:rsidRPr="00701F32" w14:paraId="3F202E32"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98552" w14:textId="77777777" w:rsidR="00A352C4" w:rsidRPr="00701F32" w:rsidRDefault="00A352C4" w:rsidP="00A352C4">
            <w:pPr>
              <w:rPr>
                <w:rFonts w:ascii="Arial" w:hAnsi="Arial" w:cs="Arial"/>
                <w:color w:val="000000"/>
                <w:sz w:val="20"/>
                <w:lang w:eastAsia="es-AR"/>
              </w:rPr>
            </w:pPr>
            <w:r w:rsidRPr="00701F32">
              <w:rPr>
                <w:rFonts w:ascii="Arial" w:hAnsi="Arial" w:cs="Arial"/>
                <w:color w:val="000000"/>
                <w:sz w:val="20"/>
                <w:lang w:eastAsia="es-AR"/>
              </w:rPr>
              <w:t>Honorarios al Directorio</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C9B12" w14:textId="47EF499C"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73.</w:t>
            </w:r>
            <w:r w:rsidR="00F735F3" w:rsidRPr="00701F32">
              <w:rPr>
                <w:rFonts w:ascii="Arial" w:hAnsi="Arial" w:cs="Arial"/>
                <w:color w:val="000000"/>
                <w:sz w:val="20"/>
                <w:lang w:val="es-ES_tradnl" w:eastAsia="es-AR"/>
              </w:rPr>
              <w:t>721</w:t>
            </w:r>
          </w:p>
        </w:tc>
        <w:tc>
          <w:tcPr>
            <w:tcW w:w="1290" w:type="dxa"/>
            <w:tcBorders>
              <w:top w:val="single" w:sz="4" w:space="0" w:color="auto"/>
              <w:left w:val="single" w:sz="4" w:space="0" w:color="auto"/>
              <w:bottom w:val="single" w:sz="4" w:space="0" w:color="auto"/>
              <w:right w:val="single" w:sz="4" w:space="0" w:color="auto"/>
            </w:tcBorders>
            <w:vAlign w:val="bottom"/>
          </w:tcPr>
          <w:p w14:paraId="3995B3D1" w14:textId="71F8CB48" w:rsidR="00A352C4" w:rsidRPr="00701F32" w:rsidRDefault="005A13EE">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39.</w:t>
            </w:r>
            <w:r w:rsidR="00F735F3" w:rsidRPr="00701F32">
              <w:rPr>
                <w:rFonts w:ascii="Arial" w:hAnsi="Arial" w:cs="Arial"/>
                <w:color w:val="000000"/>
                <w:sz w:val="20"/>
                <w:lang w:val="es-ES_tradnl" w:eastAsia="es-AR"/>
              </w:rPr>
              <w:t>3</w:t>
            </w:r>
            <w:r w:rsidRPr="00701F32">
              <w:rPr>
                <w:rFonts w:ascii="Arial" w:hAnsi="Arial" w:cs="Arial"/>
                <w:color w:val="000000"/>
                <w:sz w:val="20"/>
                <w:lang w:val="es-ES_tradnl" w:eastAsia="es-AR"/>
              </w:rPr>
              <w:t>7</w:t>
            </w:r>
            <w:r w:rsidR="00F735F3" w:rsidRPr="00701F32">
              <w:rPr>
                <w:rFonts w:ascii="Arial" w:hAnsi="Arial" w:cs="Arial"/>
                <w:color w:val="000000"/>
                <w:sz w:val="20"/>
                <w:lang w:val="es-ES_tradnl" w:eastAsia="es-AR"/>
              </w:rPr>
              <w:t>0</w:t>
            </w:r>
          </w:p>
        </w:tc>
      </w:tr>
      <w:tr w:rsidR="00A352C4" w:rsidRPr="00701F32" w14:paraId="24374B35" w14:textId="77777777" w:rsidTr="00E311C9">
        <w:trPr>
          <w:trHeight w:val="276"/>
        </w:trPr>
        <w:tc>
          <w:tcPr>
            <w:tcW w:w="6307" w:type="dxa"/>
            <w:shd w:val="clear" w:color="auto" w:fill="auto"/>
            <w:noWrap/>
            <w:vAlign w:val="center"/>
          </w:tcPr>
          <w:p w14:paraId="509902C3" w14:textId="77777777" w:rsidR="00A352C4" w:rsidRPr="00701F32" w:rsidRDefault="00A352C4">
            <w:pPr>
              <w:rPr>
                <w:rFonts w:ascii="Arial" w:hAnsi="Arial" w:cs="Arial"/>
                <w:color w:val="000000"/>
                <w:sz w:val="20"/>
                <w:lang w:eastAsia="es-AR"/>
              </w:rPr>
            </w:pPr>
            <w:r w:rsidRPr="00701F32">
              <w:rPr>
                <w:rFonts w:ascii="Arial" w:hAnsi="Arial" w:cs="Arial"/>
                <w:color w:val="000000"/>
                <w:sz w:val="20"/>
                <w:lang w:eastAsia="es-AR"/>
              </w:rPr>
              <w:t>Utiles de oficina</w:t>
            </w:r>
          </w:p>
        </w:tc>
        <w:tc>
          <w:tcPr>
            <w:tcW w:w="1290" w:type="dxa"/>
            <w:shd w:val="clear" w:color="auto" w:fill="auto"/>
            <w:noWrap/>
            <w:vAlign w:val="bottom"/>
          </w:tcPr>
          <w:p w14:paraId="190BE170" w14:textId="5B6F161E" w:rsidR="00A352C4"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eastAsia="es-AR"/>
              </w:rPr>
              <w:t>3</w:t>
            </w:r>
            <w:r w:rsidR="00F735F3" w:rsidRPr="00701F32">
              <w:rPr>
                <w:rFonts w:ascii="Arial" w:hAnsi="Arial" w:cs="Arial"/>
                <w:color w:val="000000"/>
                <w:sz w:val="20"/>
                <w:lang w:eastAsia="es-AR"/>
              </w:rPr>
              <w:t>6</w:t>
            </w:r>
            <w:r w:rsidRPr="00701F32">
              <w:rPr>
                <w:rFonts w:ascii="Arial" w:hAnsi="Arial" w:cs="Arial"/>
                <w:color w:val="000000"/>
                <w:sz w:val="20"/>
                <w:lang w:eastAsia="es-AR"/>
              </w:rPr>
              <w:t>.</w:t>
            </w:r>
            <w:r w:rsidR="00F735F3" w:rsidRPr="00701F32">
              <w:rPr>
                <w:rFonts w:ascii="Arial" w:hAnsi="Arial" w:cs="Arial"/>
                <w:color w:val="000000"/>
                <w:sz w:val="20"/>
                <w:lang w:eastAsia="es-AR"/>
              </w:rPr>
              <w:t>452</w:t>
            </w:r>
          </w:p>
        </w:tc>
        <w:tc>
          <w:tcPr>
            <w:tcW w:w="1290" w:type="dxa"/>
            <w:vAlign w:val="bottom"/>
          </w:tcPr>
          <w:p w14:paraId="77D43D0E" w14:textId="03D30EAD" w:rsidR="00A352C4" w:rsidRPr="00701F32" w:rsidRDefault="005A13EE">
            <w:pPr>
              <w:jc w:val="right"/>
              <w:rPr>
                <w:rFonts w:ascii="Arial" w:hAnsi="Arial" w:cs="Arial"/>
                <w:color w:val="000000"/>
                <w:sz w:val="20"/>
                <w:lang w:val="es-ES_tradnl" w:eastAsia="es-AR"/>
              </w:rPr>
            </w:pPr>
            <w:r w:rsidRPr="00701F32">
              <w:rPr>
                <w:rFonts w:ascii="Arial" w:hAnsi="Arial" w:cs="Arial"/>
                <w:color w:val="000000"/>
                <w:sz w:val="20"/>
                <w:lang w:eastAsia="es-AR"/>
              </w:rPr>
              <w:t>4</w:t>
            </w:r>
            <w:r w:rsidR="00F735F3" w:rsidRPr="00701F32">
              <w:rPr>
                <w:rFonts w:ascii="Arial" w:hAnsi="Arial" w:cs="Arial"/>
                <w:color w:val="000000"/>
                <w:sz w:val="20"/>
                <w:lang w:eastAsia="es-AR"/>
              </w:rPr>
              <w:t>6</w:t>
            </w:r>
            <w:r w:rsidRPr="00701F32">
              <w:rPr>
                <w:rFonts w:ascii="Arial" w:hAnsi="Arial" w:cs="Arial"/>
                <w:color w:val="000000"/>
                <w:sz w:val="20"/>
                <w:lang w:eastAsia="es-AR"/>
              </w:rPr>
              <w:t>.</w:t>
            </w:r>
            <w:r w:rsidR="00F735F3" w:rsidRPr="00701F32">
              <w:rPr>
                <w:rFonts w:ascii="Arial" w:hAnsi="Arial" w:cs="Arial"/>
                <w:color w:val="000000"/>
                <w:sz w:val="20"/>
                <w:lang w:eastAsia="es-AR"/>
              </w:rPr>
              <w:t>969</w:t>
            </w:r>
          </w:p>
        </w:tc>
      </w:tr>
      <w:tr w:rsidR="0048778A" w:rsidRPr="00701F32" w14:paraId="66BFB02B" w14:textId="77777777" w:rsidTr="00E311C9">
        <w:trPr>
          <w:trHeight w:val="261"/>
        </w:trPr>
        <w:tc>
          <w:tcPr>
            <w:tcW w:w="6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CF350" w14:textId="77777777" w:rsidR="0048778A" w:rsidRPr="00701F32" w:rsidRDefault="0048778A" w:rsidP="0048778A">
            <w:pPr>
              <w:rPr>
                <w:rFonts w:ascii="Arial" w:hAnsi="Arial" w:cs="Arial"/>
                <w:color w:val="000000"/>
                <w:sz w:val="20"/>
                <w:lang w:eastAsia="es-AR"/>
              </w:rPr>
            </w:pPr>
            <w:r w:rsidRPr="00701F32">
              <w:rPr>
                <w:rFonts w:ascii="Arial" w:hAnsi="Arial" w:cs="Arial"/>
                <w:color w:val="000000"/>
                <w:sz w:val="20"/>
                <w:lang w:eastAsia="es-AR"/>
              </w:rPr>
              <w:t>Diversos</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F33B5" w14:textId="05BAC801" w:rsidR="0048778A" w:rsidRPr="00701F32" w:rsidRDefault="0092395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F735F3" w:rsidRPr="00701F32">
              <w:rPr>
                <w:rFonts w:ascii="Arial" w:hAnsi="Arial" w:cs="Arial"/>
                <w:color w:val="000000"/>
                <w:sz w:val="20"/>
                <w:lang w:val="es-ES_tradnl" w:eastAsia="es-AR"/>
              </w:rPr>
              <w:t>93</w:t>
            </w:r>
            <w:r w:rsidRPr="00701F32">
              <w:rPr>
                <w:rFonts w:ascii="Arial" w:hAnsi="Arial" w:cs="Arial"/>
                <w:color w:val="000000"/>
                <w:sz w:val="20"/>
                <w:lang w:val="es-ES_tradnl" w:eastAsia="es-AR"/>
              </w:rPr>
              <w:t>.</w:t>
            </w:r>
            <w:r w:rsidR="00F735F3" w:rsidRPr="00701F32">
              <w:rPr>
                <w:rFonts w:ascii="Arial" w:hAnsi="Arial" w:cs="Arial"/>
                <w:color w:val="000000"/>
                <w:sz w:val="20"/>
                <w:lang w:val="es-ES_tradnl" w:eastAsia="es-AR"/>
              </w:rPr>
              <w:t>150</w:t>
            </w:r>
          </w:p>
        </w:tc>
        <w:tc>
          <w:tcPr>
            <w:tcW w:w="1290" w:type="dxa"/>
            <w:tcBorders>
              <w:top w:val="single" w:sz="4" w:space="0" w:color="auto"/>
              <w:left w:val="single" w:sz="4" w:space="0" w:color="auto"/>
              <w:bottom w:val="single" w:sz="4" w:space="0" w:color="auto"/>
              <w:right w:val="single" w:sz="4" w:space="0" w:color="auto"/>
            </w:tcBorders>
            <w:vAlign w:val="bottom"/>
          </w:tcPr>
          <w:p w14:paraId="370F731B" w14:textId="712187B9" w:rsidR="0048778A" w:rsidRPr="00701F32" w:rsidRDefault="00F735F3">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180</w:t>
            </w:r>
            <w:r w:rsidR="005A13EE"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675</w:t>
            </w:r>
          </w:p>
        </w:tc>
      </w:tr>
      <w:tr w:rsidR="00A352C4" w:rsidRPr="00701F32" w14:paraId="508E9690" w14:textId="77777777" w:rsidTr="00E311C9">
        <w:trPr>
          <w:trHeight w:val="276"/>
        </w:trPr>
        <w:tc>
          <w:tcPr>
            <w:tcW w:w="6307" w:type="dxa"/>
            <w:shd w:val="clear" w:color="auto" w:fill="auto"/>
            <w:noWrap/>
            <w:vAlign w:val="bottom"/>
            <w:hideMark/>
          </w:tcPr>
          <w:p w14:paraId="62D647E5" w14:textId="77777777" w:rsidR="00A352C4" w:rsidRPr="00701F32" w:rsidRDefault="00A352C4" w:rsidP="00A352C4">
            <w:pPr>
              <w:rPr>
                <w:rFonts w:ascii="Arial" w:hAnsi="Arial" w:cs="Arial"/>
                <w:b/>
                <w:color w:val="000000"/>
                <w:sz w:val="20"/>
                <w:lang w:eastAsia="es-AR"/>
              </w:rPr>
            </w:pPr>
            <w:r w:rsidRPr="00701F32">
              <w:rPr>
                <w:rFonts w:ascii="Arial" w:hAnsi="Arial" w:cs="Arial"/>
                <w:b/>
                <w:color w:val="000000"/>
                <w:sz w:val="20"/>
                <w:lang w:eastAsia="es-AR"/>
              </w:rPr>
              <w:t>Total</w:t>
            </w:r>
          </w:p>
        </w:tc>
        <w:tc>
          <w:tcPr>
            <w:tcW w:w="1290" w:type="dxa"/>
            <w:shd w:val="clear" w:color="auto" w:fill="auto"/>
            <w:noWrap/>
            <w:vAlign w:val="bottom"/>
          </w:tcPr>
          <w:p w14:paraId="51911A12" w14:textId="57ED8241" w:rsidR="00A352C4" w:rsidRPr="00701F32" w:rsidRDefault="00923954">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2.9</w:t>
            </w:r>
            <w:r w:rsidR="00F735F3" w:rsidRPr="00701F32">
              <w:rPr>
                <w:rFonts w:ascii="Arial" w:hAnsi="Arial" w:cs="Arial"/>
                <w:b/>
                <w:color w:val="000000"/>
                <w:sz w:val="20"/>
                <w:lang w:val="es-ES_tradnl" w:eastAsia="es-AR"/>
              </w:rPr>
              <w:t>18</w:t>
            </w:r>
            <w:r w:rsidRPr="00701F32">
              <w:rPr>
                <w:rFonts w:ascii="Arial" w:hAnsi="Arial" w:cs="Arial"/>
                <w:b/>
                <w:color w:val="000000"/>
                <w:sz w:val="20"/>
                <w:lang w:val="es-ES_tradnl" w:eastAsia="es-AR"/>
              </w:rPr>
              <w:t>.</w:t>
            </w:r>
            <w:r w:rsidR="00F735F3" w:rsidRPr="00701F32">
              <w:rPr>
                <w:rFonts w:ascii="Arial" w:hAnsi="Arial" w:cs="Arial"/>
                <w:b/>
                <w:color w:val="000000"/>
                <w:sz w:val="20"/>
                <w:lang w:val="es-ES_tradnl" w:eastAsia="es-AR"/>
              </w:rPr>
              <w:t>426</w:t>
            </w:r>
          </w:p>
        </w:tc>
        <w:tc>
          <w:tcPr>
            <w:tcW w:w="1290" w:type="dxa"/>
            <w:vAlign w:val="bottom"/>
          </w:tcPr>
          <w:p w14:paraId="46A2045F" w14:textId="2B00C9C3" w:rsidR="00A352C4" w:rsidRPr="00701F32" w:rsidRDefault="00F735F3">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2</w:t>
            </w:r>
            <w:r w:rsidR="005A13EE"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212</w:t>
            </w:r>
            <w:r w:rsidR="005A13EE"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148</w:t>
            </w:r>
          </w:p>
        </w:tc>
      </w:tr>
    </w:tbl>
    <w:p w14:paraId="2236A0EA" w14:textId="77777777" w:rsidR="00067378" w:rsidRPr="00701F32" w:rsidRDefault="00067378" w:rsidP="001F4215">
      <w:pPr>
        <w:rPr>
          <w:rFonts w:ascii="Arial" w:hAnsi="Arial" w:cs="Arial"/>
          <w:bCs/>
          <w:color w:val="000000"/>
          <w:sz w:val="20"/>
          <w:lang w:eastAsia="es-AR"/>
        </w:rPr>
      </w:pPr>
    </w:p>
    <w:p w14:paraId="03DF0BB8" w14:textId="13C620D7" w:rsidR="007A198B" w:rsidRPr="00701F32" w:rsidRDefault="007A198B" w:rsidP="007A198B">
      <w:pPr>
        <w:rPr>
          <w:rFonts w:ascii="Arial" w:hAnsi="Arial" w:cs="Arial"/>
          <w:bCs/>
          <w:color w:val="000000"/>
          <w:sz w:val="20"/>
          <w:lang w:eastAsia="es-AR"/>
        </w:rPr>
      </w:pPr>
      <w:r w:rsidRPr="00701F32">
        <w:rPr>
          <w:rFonts w:ascii="Arial" w:hAnsi="Arial" w:cs="Arial"/>
          <w:bCs/>
          <w:color w:val="000000"/>
          <w:sz w:val="20"/>
          <w:lang w:eastAsia="es-AR"/>
        </w:rPr>
        <w:t xml:space="preserve">7.15 Otros </w:t>
      </w:r>
      <w:r w:rsidR="009D6A14" w:rsidRPr="00701F32">
        <w:rPr>
          <w:rFonts w:ascii="Arial" w:hAnsi="Arial" w:cs="Arial"/>
          <w:bCs/>
          <w:color w:val="000000"/>
          <w:sz w:val="20"/>
          <w:lang w:eastAsia="es-AR"/>
        </w:rPr>
        <w:t>gastos</w:t>
      </w:r>
      <w:r w:rsidRPr="00701F32">
        <w:rPr>
          <w:rFonts w:ascii="Arial" w:hAnsi="Arial" w:cs="Arial"/>
          <w:bCs/>
          <w:color w:val="000000"/>
          <w:sz w:val="20"/>
          <w:lang w:eastAsia="es-AR"/>
        </w:rPr>
        <w:t xml:space="preserve"> operativos.</w:t>
      </w:r>
    </w:p>
    <w:p w14:paraId="1ED15069" w14:textId="77777777" w:rsidR="00C82C98" w:rsidRPr="00701F32" w:rsidRDefault="00C82C98" w:rsidP="007A198B">
      <w:pPr>
        <w:rPr>
          <w:rFonts w:ascii="Arial" w:hAnsi="Arial" w:cs="Arial"/>
          <w:bCs/>
          <w:color w:val="000000"/>
          <w:sz w:val="20"/>
          <w:lang w:eastAsia="es-AR"/>
        </w:rPr>
      </w:pPr>
    </w:p>
    <w:p w14:paraId="5F069952" w14:textId="77777777" w:rsidR="009D6A14" w:rsidRPr="00701F32" w:rsidRDefault="009D6A14" w:rsidP="009D6A14">
      <w:pPr>
        <w:jc w:val="both"/>
        <w:rPr>
          <w:rFonts w:ascii="Arial" w:hAnsi="Arial" w:cs="Arial"/>
          <w:bCs/>
          <w:color w:val="000000"/>
          <w:sz w:val="20"/>
          <w:lang w:eastAsia="es-AR"/>
        </w:rPr>
      </w:pPr>
      <w:r w:rsidRPr="00701F32">
        <w:rPr>
          <w:rFonts w:ascii="Arial" w:eastAsiaTheme="minorHAnsi" w:hAnsi="Arial" w:cs="Arial"/>
          <w:sz w:val="20"/>
        </w:rPr>
        <w:t>Se detallan a continuación los principales componentes de otros gastos operativos por los períodos finalizados el 3</w:t>
      </w:r>
      <w:r w:rsidR="00940698" w:rsidRPr="00701F32">
        <w:rPr>
          <w:rFonts w:ascii="Arial" w:eastAsiaTheme="minorHAnsi" w:hAnsi="Arial" w:cs="Arial"/>
          <w:sz w:val="20"/>
        </w:rPr>
        <w:t>0</w:t>
      </w:r>
      <w:r w:rsidRPr="00701F32">
        <w:rPr>
          <w:rFonts w:ascii="Arial" w:eastAsiaTheme="minorHAnsi" w:hAnsi="Arial" w:cs="Arial"/>
          <w:sz w:val="20"/>
        </w:rPr>
        <w:t xml:space="preserve"> de </w:t>
      </w:r>
      <w:r w:rsidR="00285339" w:rsidRPr="00701F32">
        <w:rPr>
          <w:rFonts w:ascii="Arial" w:eastAsiaTheme="minorHAnsi" w:hAnsi="Arial" w:cs="Arial"/>
          <w:sz w:val="20"/>
        </w:rPr>
        <w:t xml:space="preserve">septiembre </w:t>
      </w:r>
      <w:r w:rsidRPr="00701F32">
        <w:rPr>
          <w:rFonts w:ascii="Arial" w:eastAsiaTheme="minorHAnsi" w:hAnsi="Arial" w:cs="Arial"/>
          <w:sz w:val="20"/>
        </w:rPr>
        <w:t>de 2018 y 2017:</w:t>
      </w:r>
    </w:p>
    <w:p w14:paraId="1B34BC14" w14:textId="77777777" w:rsidR="007A198B" w:rsidRPr="00701F32" w:rsidRDefault="007A198B" w:rsidP="001F4215">
      <w:pPr>
        <w:rPr>
          <w:rFonts w:ascii="Arial" w:hAnsi="Arial" w:cs="Arial"/>
          <w:bCs/>
          <w:color w:val="000000"/>
          <w:sz w:val="20"/>
          <w:lang w:eastAsia="es-AR"/>
        </w:rPr>
      </w:pPr>
    </w:p>
    <w:tbl>
      <w:tblPr>
        <w:tblW w:w="882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35"/>
        <w:gridCol w:w="1200"/>
        <w:gridCol w:w="1492"/>
      </w:tblGrid>
      <w:tr w:rsidR="00AD3FAB" w:rsidRPr="00701F32" w14:paraId="3A2E841D" w14:textId="77777777" w:rsidTr="00393CEB">
        <w:trPr>
          <w:trHeight w:val="256"/>
          <w:tblHeader/>
        </w:trPr>
        <w:tc>
          <w:tcPr>
            <w:tcW w:w="6135" w:type="dxa"/>
            <w:shd w:val="clear" w:color="auto" w:fill="auto"/>
            <w:noWrap/>
            <w:vAlign w:val="bottom"/>
            <w:hideMark/>
          </w:tcPr>
          <w:p w14:paraId="51200436" w14:textId="77777777" w:rsidR="00AD3FAB" w:rsidRPr="00701F32" w:rsidRDefault="00AD3FAB">
            <w:pPr>
              <w:rPr>
                <w:rFonts w:ascii="Arial" w:hAnsi="Arial" w:cs="Arial"/>
                <w:b/>
                <w:bCs/>
                <w:color w:val="000000"/>
                <w:sz w:val="20"/>
                <w:lang w:eastAsia="es-AR"/>
              </w:rPr>
            </w:pPr>
          </w:p>
        </w:tc>
        <w:tc>
          <w:tcPr>
            <w:tcW w:w="1200" w:type="dxa"/>
            <w:shd w:val="clear" w:color="auto" w:fill="auto"/>
            <w:noWrap/>
            <w:vAlign w:val="center"/>
            <w:hideMark/>
          </w:tcPr>
          <w:p w14:paraId="544E6741" w14:textId="77777777" w:rsidR="00AD3FAB" w:rsidRPr="00701F32" w:rsidRDefault="00AD3FAB" w:rsidP="00B730BF">
            <w:pPr>
              <w:jc w:val="right"/>
              <w:rPr>
                <w:rFonts w:ascii="Arial" w:hAnsi="Arial" w:cs="Arial"/>
                <w:b/>
                <w:color w:val="000000"/>
                <w:sz w:val="20"/>
                <w:lang w:eastAsia="es-AR"/>
              </w:rPr>
            </w:pPr>
            <w:r w:rsidRPr="00701F32">
              <w:rPr>
                <w:rFonts w:ascii="Arial" w:hAnsi="Arial" w:cs="Arial"/>
                <w:b/>
                <w:color w:val="000000"/>
                <w:sz w:val="20"/>
                <w:lang w:eastAsia="es-AR"/>
              </w:rPr>
              <w:t>3</w:t>
            </w:r>
            <w:r w:rsidR="00B730BF"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492" w:type="dxa"/>
            <w:vAlign w:val="center"/>
          </w:tcPr>
          <w:p w14:paraId="5EDC0812" w14:textId="77777777" w:rsidR="00AD3FAB" w:rsidRPr="00701F32" w:rsidRDefault="00AD3FAB" w:rsidP="0051134A">
            <w:pPr>
              <w:jc w:val="right"/>
              <w:rPr>
                <w:rFonts w:ascii="Arial" w:hAnsi="Arial" w:cs="Arial"/>
                <w:b/>
                <w:color w:val="000000"/>
                <w:sz w:val="20"/>
                <w:lang w:eastAsia="es-AR"/>
              </w:rPr>
            </w:pPr>
            <w:r w:rsidRPr="00701F32">
              <w:rPr>
                <w:rFonts w:ascii="Arial" w:hAnsi="Arial" w:cs="Arial"/>
                <w:b/>
                <w:color w:val="000000"/>
                <w:sz w:val="20"/>
                <w:lang w:eastAsia="es-AR"/>
              </w:rPr>
              <w:t>3</w:t>
            </w:r>
            <w:r w:rsidR="0051134A" w:rsidRPr="00701F32">
              <w:rPr>
                <w:rFonts w:ascii="Arial" w:hAnsi="Arial" w:cs="Arial"/>
                <w:b/>
                <w:color w:val="000000"/>
                <w:sz w:val="20"/>
                <w:lang w:eastAsia="es-AR"/>
              </w:rPr>
              <w:t>0</w:t>
            </w:r>
            <w:r w:rsidRPr="00701F32">
              <w:rPr>
                <w:rFonts w:ascii="Arial" w:hAnsi="Arial" w:cs="Arial"/>
                <w:b/>
                <w:color w:val="000000"/>
                <w:sz w:val="20"/>
                <w:lang w:eastAsia="es-AR"/>
              </w:rPr>
              <w:t>/0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9D6A14" w:rsidRPr="00701F32" w14:paraId="15A50488" w14:textId="77777777" w:rsidTr="00E311C9">
        <w:trPr>
          <w:trHeight w:val="256"/>
        </w:trPr>
        <w:tc>
          <w:tcPr>
            <w:tcW w:w="6135" w:type="dxa"/>
            <w:shd w:val="clear" w:color="auto" w:fill="auto"/>
            <w:noWrap/>
            <w:vAlign w:val="bottom"/>
          </w:tcPr>
          <w:p w14:paraId="258F23C1" w14:textId="77777777" w:rsidR="009D6A14" w:rsidRPr="00701F32" w:rsidRDefault="009D6A14" w:rsidP="009D6A14">
            <w:pPr>
              <w:rPr>
                <w:rFonts w:ascii="Arial" w:hAnsi="Arial" w:cs="Arial"/>
                <w:b/>
                <w:bCs/>
                <w:color w:val="000000"/>
                <w:sz w:val="20"/>
                <w:lang w:eastAsia="es-AR"/>
              </w:rPr>
            </w:pPr>
            <w:r w:rsidRPr="00701F32">
              <w:rPr>
                <w:rFonts w:ascii="Arial" w:hAnsi="Arial" w:cs="Arial"/>
                <w:color w:val="000000"/>
                <w:sz w:val="20"/>
                <w:lang w:eastAsia="es-AR"/>
              </w:rPr>
              <w:t>Ingresos brutos</w:t>
            </w:r>
          </w:p>
        </w:tc>
        <w:tc>
          <w:tcPr>
            <w:tcW w:w="1200" w:type="dxa"/>
            <w:shd w:val="clear" w:color="auto" w:fill="auto"/>
            <w:noWrap/>
            <w:vAlign w:val="bottom"/>
          </w:tcPr>
          <w:p w14:paraId="7F5B6712" w14:textId="5FCB2C10" w:rsidR="009D6A14" w:rsidRPr="00701F32" w:rsidRDefault="0045554B">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310AA9" w:rsidRPr="00701F32">
              <w:rPr>
                <w:rFonts w:ascii="Arial" w:hAnsi="Arial" w:cs="Arial"/>
                <w:color w:val="000000"/>
                <w:sz w:val="20"/>
                <w:lang w:val="es-ES_tradnl" w:eastAsia="es-AR"/>
              </w:rPr>
              <w:t>476</w:t>
            </w:r>
            <w:r w:rsidRPr="00701F32">
              <w:rPr>
                <w:rFonts w:ascii="Arial" w:hAnsi="Arial" w:cs="Arial"/>
                <w:color w:val="000000"/>
                <w:sz w:val="20"/>
                <w:lang w:val="es-ES_tradnl" w:eastAsia="es-AR"/>
              </w:rPr>
              <w:t>.0</w:t>
            </w:r>
            <w:r w:rsidR="00310AA9" w:rsidRPr="00701F32">
              <w:rPr>
                <w:rFonts w:ascii="Arial" w:hAnsi="Arial" w:cs="Arial"/>
                <w:color w:val="000000"/>
                <w:sz w:val="20"/>
                <w:lang w:val="es-ES_tradnl" w:eastAsia="es-AR"/>
              </w:rPr>
              <w:t>82</w:t>
            </w:r>
          </w:p>
        </w:tc>
        <w:tc>
          <w:tcPr>
            <w:tcW w:w="1492" w:type="dxa"/>
            <w:vAlign w:val="bottom"/>
          </w:tcPr>
          <w:p w14:paraId="708E1413" w14:textId="56815C12"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936</w:t>
            </w:r>
            <w:r w:rsidR="00984C5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4</w:t>
            </w:r>
            <w:r w:rsidR="00270E02" w:rsidRPr="00701F32">
              <w:rPr>
                <w:rFonts w:ascii="Arial" w:hAnsi="Arial" w:cs="Arial"/>
                <w:color w:val="000000"/>
                <w:sz w:val="20"/>
                <w:lang w:val="es-ES_tradnl" w:eastAsia="es-AR"/>
              </w:rPr>
              <w:t>22</w:t>
            </w:r>
          </w:p>
        </w:tc>
      </w:tr>
      <w:tr w:rsidR="009D6A14" w:rsidRPr="00701F32" w14:paraId="78F50DA7" w14:textId="77777777" w:rsidTr="00E311C9">
        <w:trPr>
          <w:trHeight w:val="256"/>
        </w:trPr>
        <w:tc>
          <w:tcPr>
            <w:tcW w:w="6135" w:type="dxa"/>
            <w:shd w:val="clear" w:color="auto" w:fill="auto"/>
            <w:noWrap/>
            <w:vAlign w:val="center"/>
          </w:tcPr>
          <w:p w14:paraId="76AB90F9" w14:textId="77777777" w:rsidR="009D6A14" w:rsidRPr="00701F32" w:rsidRDefault="009D6A14" w:rsidP="009D6A14">
            <w:pPr>
              <w:rPr>
                <w:rFonts w:ascii="Arial" w:hAnsi="Arial" w:cs="Arial"/>
                <w:color w:val="000000"/>
                <w:sz w:val="20"/>
                <w:lang w:eastAsia="es-AR"/>
              </w:rPr>
            </w:pPr>
            <w:r w:rsidRPr="00701F32">
              <w:rPr>
                <w:rFonts w:ascii="Arial" w:hAnsi="Arial" w:cs="Arial"/>
                <w:color w:val="000000"/>
                <w:sz w:val="20"/>
                <w:lang w:eastAsia="es-AR"/>
              </w:rPr>
              <w:t>Ajuste inicial a valor razonable de financiaciones a tasas inferiores a las de mercado</w:t>
            </w:r>
          </w:p>
        </w:tc>
        <w:tc>
          <w:tcPr>
            <w:tcW w:w="1200" w:type="dxa"/>
            <w:shd w:val="clear" w:color="auto" w:fill="auto"/>
            <w:noWrap/>
            <w:vAlign w:val="bottom"/>
          </w:tcPr>
          <w:p w14:paraId="2EE589CF" w14:textId="77777777" w:rsidR="009D6A14" w:rsidRPr="00701F32" w:rsidRDefault="0045554B">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272.978</w:t>
            </w:r>
          </w:p>
        </w:tc>
        <w:tc>
          <w:tcPr>
            <w:tcW w:w="1492" w:type="dxa"/>
            <w:vAlign w:val="bottom"/>
          </w:tcPr>
          <w:p w14:paraId="36E48CA9" w14:textId="77777777" w:rsidR="009D6A14"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189.387</w:t>
            </w:r>
          </w:p>
        </w:tc>
      </w:tr>
      <w:tr w:rsidR="009D6A14" w:rsidRPr="00701F32" w14:paraId="51F2E937" w14:textId="77777777" w:rsidTr="00E311C9">
        <w:trPr>
          <w:trHeight w:val="256"/>
        </w:trPr>
        <w:tc>
          <w:tcPr>
            <w:tcW w:w="6135" w:type="dxa"/>
            <w:shd w:val="clear" w:color="auto" w:fill="auto"/>
            <w:noWrap/>
            <w:vAlign w:val="bottom"/>
            <w:hideMark/>
          </w:tcPr>
          <w:p w14:paraId="6C19ACD6" w14:textId="77777777" w:rsidR="009D6A14" w:rsidRPr="00701F32" w:rsidRDefault="009D6A14" w:rsidP="009D6A14">
            <w:pPr>
              <w:rPr>
                <w:rFonts w:ascii="Arial" w:hAnsi="Arial" w:cs="Arial"/>
                <w:color w:val="000000"/>
                <w:sz w:val="20"/>
                <w:lang w:eastAsia="es-AR"/>
              </w:rPr>
            </w:pPr>
            <w:r w:rsidRPr="00701F32">
              <w:rPr>
                <w:rFonts w:ascii="Arial" w:hAnsi="Arial" w:cs="Arial"/>
                <w:color w:val="000000"/>
                <w:sz w:val="20"/>
                <w:lang w:eastAsia="es-AR"/>
              </w:rPr>
              <w:t>Donaciones</w:t>
            </w:r>
          </w:p>
        </w:tc>
        <w:tc>
          <w:tcPr>
            <w:tcW w:w="1200" w:type="dxa"/>
            <w:shd w:val="clear" w:color="auto" w:fill="auto"/>
            <w:noWrap/>
            <w:vAlign w:val="bottom"/>
          </w:tcPr>
          <w:p w14:paraId="3008809C" w14:textId="77777777" w:rsidR="009D6A14" w:rsidRPr="00701F32" w:rsidRDefault="0045554B">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14.249</w:t>
            </w:r>
          </w:p>
        </w:tc>
        <w:tc>
          <w:tcPr>
            <w:tcW w:w="1492" w:type="dxa"/>
            <w:vAlign w:val="bottom"/>
          </w:tcPr>
          <w:p w14:paraId="513AA5AE" w14:textId="77777777" w:rsidR="009D6A14"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15.538</w:t>
            </w:r>
          </w:p>
        </w:tc>
      </w:tr>
      <w:tr w:rsidR="009D6A14" w:rsidRPr="00701F32" w14:paraId="1AB5EC09" w14:textId="77777777" w:rsidTr="00E311C9">
        <w:trPr>
          <w:trHeight w:val="256"/>
        </w:trPr>
        <w:tc>
          <w:tcPr>
            <w:tcW w:w="6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9B71F" w14:textId="77777777" w:rsidR="009D6A14" w:rsidRPr="00701F32" w:rsidRDefault="009D6A14" w:rsidP="009D6A14">
            <w:pPr>
              <w:rPr>
                <w:rFonts w:ascii="Arial" w:hAnsi="Arial" w:cs="Arial"/>
                <w:color w:val="000000"/>
                <w:sz w:val="20"/>
                <w:lang w:eastAsia="es-AR"/>
              </w:rPr>
            </w:pPr>
            <w:r w:rsidRPr="00701F32">
              <w:rPr>
                <w:rFonts w:ascii="Arial" w:hAnsi="Arial" w:cs="Arial"/>
                <w:color w:val="000000"/>
                <w:sz w:val="20"/>
                <w:lang w:eastAsia="es-AR"/>
              </w:rPr>
              <w:t>Fondo de garantía de los depósitos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31FCB" w14:textId="70B8C70E" w:rsidR="009D6A14" w:rsidRPr="00701F32" w:rsidRDefault="0045554B">
            <w:pPr>
              <w:jc w:val="right"/>
              <w:rPr>
                <w:rFonts w:ascii="Arial" w:hAnsi="Arial" w:cs="Arial"/>
                <w:color w:val="000000"/>
                <w:sz w:val="20"/>
                <w:lang w:val="es-ES_tradnl" w:eastAsia="es-AR"/>
              </w:rPr>
            </w:pPr>
            <w:r w:rsidRPr="00701F32">
              <w:rPr>
                <w:rFonts w:ascii="Arial" w:hAnsi="Arial" w:cs="Arial"/>
                <w:color w:val="000000"/>
                <w:sz w:val="20"/>
                <w:lang w:val="es-ES_tradnl" w:eastAsia="es-AR"/>
              </w:rPr>
              <w:t>8</w:t>
            </w:r>
            <w:r w:rsidR="00310AA9" w:rsidRPr="00701F32">
              <w:rPr>
                <w:rFonts w:ascii="Arial" w:hAnsi="Arial" w:cs="Arial"/>
                <w:color w:val="000000"/>
                <w:sz w:val="20"/>
                <w:lang w:val="es-ES_tradnl" w:eastAsia="es-AR"/>
              </w:rPr>
              <w:t>5</w:t>
            </w:r>
            <w:r w:rsidRPr="00701F32">
              <w:rPr>
                <w:rFonts w:ascii="Arial" w:hAnsi="Arial" w:cs="Arial"/>
                <w:color w:val="000000"/>
                <w:sz w:val="20"/>
                <w:lang w:val="es-ES_tradnl" w:eastAsia="es-AR"/>
              </w:rPr>
              <w:t>.</w:t>
            </w:r>
            <w:r w:rsidR="00310AA9" w:rsidRPr="00701F32">
              <w:rPr>
                <w:rFonts w:ascii="Arial" w:hAnsi="Arial" w:cs="Arial"/>
                <w:color w:val="000000"/>
                <w:sz w:val="20"/>
                <w:lang w:val="es-ES_tradnl" w:eastAsia="es-AR"/>
              </w:rPr>
              <w:t>126</w:t>
            </w:r>
          </w:p>
        </w:tc>
        <w:tc>
          <w:tcPr>
            <w:tcW w:w="1492" w:type="dxa"/>
            <w:tcBorders>
              <w:top w:val="single" w:sz="4" w:space="0" w:color="auto"/>
              <w:left w:val="single" w:sz="4" w:space="0" w:color="auto"/>
              <w:bottom w:val="single" w:sz="4" w:space="0" w:color="auto"/>
              <w:right w:val="single" w:sz="4" w:space="0" w:color="auto"/>
            </w:tcBorders>
            <w:vAlign w:val="bottom"/>
          </w:tcPr>
          <w:p w14:paraId="39876838" w14:textId="3E8D6848"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60</w:t>
            </w:r>
            <w:r w:rsidR="00984C5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334</w:t>
            </w:r>
          </w:p>
        </w:tc>
      </w:tr>
      <w:tr w:rsidR="009D6A14" w:rsidRPr="00701F32" w14:paraId="6786A84A" w14:textId="77777777" w:rsidTr="00E311C9">
        <w:trPr>
          <w:trHeight w:val="256"/>
        </w:trPr>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CD7E1" w14:textId="77777777" w:rsidR="009D6A14" w:rsidRPr="00701F32" w:rsidRDefault="009D6A14">
            <w:pPr>
              <w:rPr>
                <w:rFonts w:ascii="Arial" w:hAnsi="Arial" w:cs="Arial"/>
                <w:color w:val="000000"/>
                <w:sz w:val="20"/>
                <w:lang w:eastAsia="es-AR"/>
              </w:rPr>
            </w:pPr>
            <w:r w:rsidRPr="00701F32">
              <w:rPr>
                <w:rFonts w:ascii="Arial" w:hAnsi="Arial" w:cs="Arial"/>
                <w:color w:val="000000"/>
                <w:sz w:val="20"/>
                <w:lang w:eastAsia="es-AR"/>
              </w:rPr>
              <w:t>Obligaciones diversas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2BEEF" w14:textId="13463141"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3.203</w:t>
            </w:r>
          </w:p>
        </w:tc>
        <w:tc>
          <w:tcPr>
            <w:tcW w:w="1492" w:type="dxa"/>
            <w:tcBorders>
              <w:top w:val="single" w:sz="4" w:space="0" w:color="auto"/>
              <w:left w:val="single" w:sz="4" w:space="0" w:color="auto"/>
              <w:bottom w:val="single" w:sz="4" w:space="0" w:color="auto"/>
              <w:right w:val="single" w:sz="4" w:space="0" w:color="auto"/>
            </w:tcBorders>
            <w:vAlign w:val="bottom"/>
          </w:tcPr>
          <w:p w14:paraId="5E43BBC0" w14:textId="47015F42"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w:t>
            </w:r>
            <w:r w:rsidR="00984C50"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222</w:t>
            </w:r>
          </w:p>
        </w:tc>
      </w:tr>
      <w:tr w:rsidR="009D6A14" w:rsidRPr="00701F32" w14:paraId="706E088A" w14:textId="77777777" w:rsidTr="00E311C9">
        <w:trPr>
          <w:trHeight w:val="256"/>
        </w:trPr>
        <w:tc>
          <w:tcPr>
            <w:tcW w:w="6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2FC2B" w14:textId="77777777" w:rsidR="009D6A14" w:rsidRPr="00701F32" w:rsidRDefault="009D6A14" w:rsidP="009D6A14">
            <w:pPr>
              <w:rPr>
                <w:rFonts w:ascii="Arial" w:hAnsi="Arial" w:cs="Arial"/>
                <w:color w:val="000000"/>
                <w:sz w:val="20"/>
                <w:lang w:eastAsia="es-AR"/>
              </w:rPr>
            </w:pPr>
            <w:r w:rsidRPr="00701F32">
              <w:rPr>
                <w:rFonts w:ascii="Arial" w:hAnsi="Arial" w:cs="Arial"/>
                <w:color w:val="000000"/>
                <w:sz w:val="20"/>
                <w:lang w:eastAsia="es-AR"/>
              </w:rPr>
              <w:t>Otras provisiones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0DCEF" w14:textId="45F6B1D8"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15</w:t>
            </w:r>
            <w:r w:rsidR="0045554B"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399</w:t>
            </w:r>
          </w:p>
        </w:tc>
        <w:tc>
          <w:tcPr>
            <w:tcW w:w="1492" w:type="dxa"/>
            <w:tcBorders>
              <w:top w:val="single" w:sz="4" w:space="0" w:color="auto"/>
              <w:left w:val="single" w:sz="4" w:space="0" w:color="auto"/>
              <w:bottom w:val="single" w:sz="4" w:space="0" w:color="auto"/>
              <w:right w:val="single" w:sz="4" w:space="0" w:color="auto"/>
            </w:tcBorders>
            <w:vAlign w:val="bottom"/>
          </w:tcPr>
          <w:p w14:paraId="00E8721A" w14:textId="13747877" w:rsidR="009D6A14" w:rsidRPr="00701F32" w:rsidRDefault="00984C50">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310AA9" w:rsidRPr="00701F32">
              <w:rPr>
                <w:rFonts w:ascii="Arial" w:hAnsi="Arial" w:cs="Arial"/>
                <w:color w:val="000000"/>
                <w:sz w:val="20"/>
                <w:lang w:val="es-ES_tradnl" w:eastAsia="es-AR"/>
              </w:rPr>
              <w:t>6</w:t>
            </w:r>
            <w:r w:rsidRPr="00701F32">
              <w:rPr>
                <w:rFonts w:ascii="Arial" w:hAnsi="Arial" w:cs="Arial"/>
                <w:color w:val="000000"/>
                <w:sz w:val="20"/>
                <w:lang w:val="es-ES_tradnl" w:eastAsia="es-AR"/>
              </w:rPr>
              <w:t>.</w:t>
            </w:r>
            <w:r w:rsidR="00310AA9" w:rsidRPr="00701F32">
              <w:rPr>
                <w:rFonts w:ascii="Arial" w:hAnsi="Arial" w:cs="Arial"/>
                <w:color w:val="000000"/>
                <w:sz w:val="20"/>
                <w:lang w:val="es-ES_tradnl" w:eastAsia="es-AR"/>
              </w:rPr>
              <w:t>414</w:t>
            </w:r>
          </w:p>
        </w:tc>
      </w:tr>
      <w:tr w:rsidR="009D6A14" w:rsidRPr="00701F32" w14:paraId="5692DB3F" w14:textId="77777777" w:rsidTr="00E311C9">
        <w:trPr>
          <w:trHeight w:val="256"/>
        </w:trPr>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A7FB5" w14:textId="77777777" w:rsidR="009D6A14" w:rsidRPr="00701F32" w:rsidRDefault="009D6A14">
            <w:pPr>
              <w:rPr>
                <w:rFonts w:ascii="Arial" w:hAnsi="Arial" w:cs="Arial"/>
                <w:color w:val="000000"/>
                <w:sz w:val="20"/>
                <w:lang w:eastAsia="es-AR"/>
              </w:rPr>
            </w:pPr>
            <w:r w:rsidRPr="00701F32">
              <w:rPr>
                <w:rFonts w:ascii="Arial" w:hAnsi="Arial" w:cs="Arial"/>
                <w:color w:val="000000"/>
                <w:sz w:val="20"/>
                <w:lang w:eastAsia="es-AR"/>
              </w:rPr>
              <w:t>Otros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22595" w14:textId="5AC0AE60" w:rsidR="009D6A14" w:rsidRPr="00701F32" w:rsidRDefault="0045554B">
            <w:pPr>
              <w:jc w:val="right"/>
              <w:rPr>
                <w:rFonts w:ascii="Arial" w:hAnsi="Arial" w:cs="Arial"/>
                <w:color w:val="000000"/>
                <w:sz w:val="20"/>
                <w:lang w:val="es-ES_tradnl" w:eastAsia="es-AR"/>
              </w:rPr>
            </w:pPr>
            <w:r w:rsidRPr="00701F32">
              <w:rPr>
                <w:rFonts w:ascii="Arial" w:hAnsi="Arial" w:cs="Arial"/>
                <w:color w:val="000000"/>
                <w:sz w:val="20"/>
                <w:lang w:val="es-ES_tradnl" w:eastAsia="es-AR"/>
              </w:rPr>
              <w:t>5</w:t>
            </w:r>
            <w:r w:rsidR="00310AA9" w:rsidRPr="00701F32">
              <w:rPr>
                <w:rFonts w:ascii="Arial" w:hAnsi="Arial" w:cs="Arial"/>
                <w:color w:val="000000"/>
                <w:sz w:val="20"/>
                <w:lang w:val="es-ES_tradnl" w:eastAsia="es-AR"/>
              </w:rPr>
              <w:t>51</w:t>
            </w:r>
            <w:r w:rsidRPr="00701F32">
              <w:rPr>
                <w:rFonts w:ascii="Arial" w:hAnsi="Arial" w:cs="Arial"/>
                <w:color w:val="000000"/>
                <w:sz w:val="20"/>
                <w:lang w:val="es-ES_tradnl" w:eastAsia="es-AR"/>
              </w:rPr>
              <w:t>.</w:t>
            </w:r>
            <w:r w:rsidR="00310AA9" w:rsidRPr="00701F32">
              <w:rPr>
                <w:rFonts w:ascii="Arial" w:hAnsi="Arial" w:cs="Arial"/>
                <w:color w:val="000000"/>
                <w:sz w:val="20"/>
                <w:lang w:val="es-ES_tradnl" w:eastAsia="es-AR"/>
              </w:rPr>
              <w:t>197</w:t>
            </w:r>
          </w:p>
        </w:tc>
        <w:tc>
          <w:tcPr>
            <w:tcW w:w="1492" w:type="dxa"/>
            <w:tcBorders>
              <w:top w:val="single" w:sz="4" w:space="0" w:color="auto"/>
              <w:left w:val="single" w:sz="4" w:space="0" w:color="auto"/>
              <w:bottom w:val="single" w:sz="4" w:space="0" w:color="auto"/>
              <w:right w:val="single" w:sz="4" w:space="0" w:color="auto"/>
            </w:tcBorders>
            <w:vAlign w:val="bottom"/>
          </w:tcPr>
          <w:p w14:paraId="6C38B55E" w14:textId="52424DAA" w:rsidR="009D6A14" w:rsidRPr="00701F32" w:rsidRDefault="00310AA9">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40</w:t>
            </w:r>
            <w:r w:rsidR="00270E02" w:rsidRPr="00701F32">
              <w:rPr>
                <w:rFonts w:ascii="Arial" w:hAnsi="Arial" w:cs="Arial"/>
                <w:color w:val="000000"/>
                <w:sz w:val="20"/>
                <w:lang w:val="es-ES_tradnl" w:eastAsia="es-AR"/>
              </w:rPr>
              <w:t>4</w:t>
            </w:r>
            <w:r w:rsidR="00984C50" w:rsidRPr="00701F32">
              <w:rPr>
                <w:rFonts w:ascii="Arial" w:hAnsi="Arial" w:cs="Arial"/>
                <w:color w:val="000000"/>
                <w:sz w:val="20"/>
                <w:lang w:val="es-ES_tradnl" w:eastAsia="es-AR"/>
              </w:rPr>
              <w:t>.</w:t>
            </w:r>
            <w:r w:rsidR="00270E02" w:rsidRPr="00701F32">
              <w:rPr>
                <w:rFonts w:ascii="Arial" w:hAnsi="Arial" w:cs="Arial"/>
                <w:color w:val="000000"/>
                <w:sz w:val="20"/>
                <w:lang w:val="es-ES_tradnl" w:eastAsia="es-AR"/>
              </w:rPr>
              <w:t>736</w:t>
            </w:r>
          </w:p>
        </w:tc>
      </w:tr>
      <w:tr w:rsidR="009D6A14" w:rsidRPr="00701F32" w14:paraId="47136491" w14:textId="77777777" w:rsidTr="00E311C9">
        <w:trPr>
          <w:trHeight w:val="271"/>
        </w:trPr>
        <w:tc>
          <w:tcPr>
            <w:tcW w:w="6135" w:type="dxa"/>
            <w:shd w:val="clear" w:color="auto" w:fill="auto"/>
            <w:noWrap/>
            <w:vAlign w:val="bottom"/>
            <w:hideMark/>
          </w:tcPr>
          <w:p w14:paraId="5AF1E2B7" w14:textId="77777777" w:rsidR="009D6A14" w:rsidRPr="00701F32" w:rsidRDefault="009D6A14" w:rsidP="009D6A14">
            <w:pPr>
              <w:rPr>
                <w:rFonts w:ascii="Arial" w:hAnsi="Arial" w:cs="Arial"/>
                <w:b/>
                <w:color w:val="000000"/>
                <w:sz w:val="20"/>
                <w:lang w:eastAsia="es-AR"/>
              </w:rPr>
            </w:pPr>
            <w:r w:rsidRPr="00701F32">
              <w:rPr>
                <w:rFonts w:ascii="Arial" w:hAnsi="Arial" w:cs="Arial"/>
                <w:b/>
                <w:color w:val="000000"/>
                <w:sz w:val="20"/>
                <w:lang w:eastAsia="es-AR"/>
              </w:rPr>
              <w:t>Total</w:t>
            </w:r>
          </w:p>
        </w:tc>
        <w:tc>
          <w:tcPr>
            <w:tcW w:w="1200" w:type="dxa"/>
            <w:shd w:val="clear" w:color="auto" w:fill="auto"/>
            <w:noWrap/>
            <w:vAlign w:val="bottom"/>
          </w:tcPr>
          <w:p w14:paraId="0C9376BA" w14:textId="1AC1E4D5" w:rsidR="009D6A14" w:rsidRPr="00701F32" w:rsidRDefault="0045554B">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2.</w:t>
            </w:r>
            <w:r w:rsidR="00310AA9" w:rsidRPr="00701F32">
              <w:rPr>
                <w:rFonts w:ascii="Arial" w:hAnsi="Arial" w:cs="Arial"/>
                <w:b/>
                <w:color w:val="000000"/>
                <w:sz w:val="20"/>
                <w:lang w:val="es-ES_tradnl" w:eastAsia="es-AR"/>
              </w:rPr>
              <w:t>418</w:t>
            </w:r>
            <w:r w:rsidRPr="00701F32">
              <w:rPr>
                <w:rFonts w:ascii="Arial" w:hAnsi="Arial" w:cs="Arial"/>
                <w:b/>
                <w:color w:val="000000"/>
                <w:sz w:val="20"/>
                <w:lang w:val="es-ES_tradnl" w:eastAsia="es-AR"/>
              </w:rPr>
              <w:t>.</w:t>
            </w:r>
            <w:r w:rsidR="00310AA9" w:rsidRPr="00701F32">
              <w:rPr>
                <w:rFonts w:ascii="Arial" w:hAnsi="Arial" w:cs="Arial"/>
                <w:b/>
                <w:color w:val="000000"/>
                <w:sz w:val="20"/>
                <w:lang w:val="es-ES_tradnl" w:eastAsia="es-AR"/>
              </w:rPr>
              <w:t>234</w:t>
            </w:r>
          </w:p>
        </w:tc>
        <w:tc>
          <w:tcPr>
            <w:tcW w:w="1492" w:type="dxa"/>
            <w:vAlign w:val="bottom"/>
          </w:tcPr>
          <w:p w14:paraId="103E74CC" w14:textId="249417E5" w:rsidR="009D6A14" w:rsidRPr="00701F32" w:rsidRDefault="00984C50">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1.</w:t>
            </w:r>
            <w:r w:rsidR="005879D2" w:rsidRPr="00701F32">
              <w:rPr>
                <w:rFonts w:ascii="Arial" w:hAnsi="Arial" w:cs="Arial"/>
                <w:b/>
                <w:color w:val="000000"/>
                <w:sz w:val="20"/>
                <w:lang w:val="es-ES_tradnl" w:eastAsia="es-AR"/>
              </w:rPr>
              <w:t>6</w:t>
            </w:r>
            <w:r w:rsidR="00270E02" w:rsidRPr="00701F32">
              <w:rPr>
                <w:rFonts w:ascii="Arial" w:hAnsi="Arial" w:cs="Arial"/>
                <w:b/>
                <w:color w:val="000000"/>
                <w:sz w:val="20"/>
                <w:lang w:val="es-ES_tradnl" w:eastAsia="es-AR"/>
              </w:rPr>
              <w:t>28</w:t>
            </w:r>
            <w:r w:rsidRPr="00701F32">
              <w:rPr>
                <w:rFonts w:ascii="Arial" w:hAnsi="Arial" w:cs="Arial"/>
                <w:b/>
                <w:color w:val="000000"/>
                <w:sz w:val="20"/>
                <w:lang w:val="es-ES_tradnl" w:eastAsia="es-AR"/>
              </w:rPr>
              <w:t>.</w:t>
            </w:r>
            <w:r w:rsidR="00270E02" w:rsidRPr="00701F32">
              <w:rPr>
                <w:rFonts w:ascii="Arial" w:hAnsi="Arial" w:cs="Arial"/>
                <w:b/>
                <w:color w:val="000000"/>
                <w:sz w:val="20"/>
                <w:lang w:val="es-ES_tradnl" w:eastAsia="es-AR"/>
              </w:rPr>
              <w:t>053</w:t>
            </w:r>
          </w:p>
        </w:tc>
      </w:tr>
    </w:tbl>
    <w:p w14:paraId="4E05D9D4" w14:textId="77777777" w:rsidR="001F4215" w:rsidRPr="00701F32" w:rsidRDefault="001F4215" w:rsidP="001F4215">
      <w:pPr>
        <w:rPr>
          <w:rFonts w:ascii="Arial" w:hAnsi="Arial" w:cs="Arial"/>
          <w:bCs/>
          <w:color w:val="000000"/>
          <w:sz w:val="20"/>
          <w:lang w:eastAsia="es-AR"/>
        </w:rPr>
      </w:pPr>
    </w:p>
    <w:p w14:paraId="51827AF9" w14:textId="77777777" w:rsidR="007E57AB" w:rsidRPr="00701F32" w:rsidRDefault="007E57AB" w:rsidP="007E57AB">
      <w:pPr>
        <w:rPr>
          <w:rFonts w:ascii="Arial" w:hAnsi="Arial" w:cs="Arial"/>
          <w:bCs/>
          <w:color w:val="000000"/>
          <w:sz w:val="20"/>
          <w:lang w:eastAsia="es-AR"/>
        </w:rPr>
      </w:pPr>
      <w:r w:rsidRPr="00701F32">
        <w:rPr>
          <w:rFonts w:ascii="Arial" w:hAnsi="Arial" w:cs="Arial"/>
          <w:bCs/>
          <w:color w:val="000000"/>
          <w:sz w:val="20"/>
          <w:lang w:eastAsia="es-AR"/>
        </w:rPr>
        <w:t>7.16 Depreciaciones y desvalorizaciones de bienes</w:t>
      </w:r>
    </w:p>
    <w:p w14:paraId="15B47DF3" w14:textId="77777777" w:rsidR="00C82C98" w:rsidRPr="00701F32" w:rsidRDefault="00C82C98" w:rsidP="007E57AB">
      <w:pPr>
        <w:rPr>
          <w:rFonts w:ascii="Arial" w:hAnsi="Arial" w:cs="Arial"/>
          <w:bCs/>
          <w:color w:val="000000"/>
          <w:sz w:val="20"/>
          <w:lang w:eastAsia="es-AR"/>
        </w:rPr>
      </w:pPr>
    </w:p>
    <w:p w14:paraId="48507E70" w14:textId="77777777" w:rsidR="007E57AB" w:rsidRPr="00701F32" w:rsidRDefault="007E57AB" w:rsidP="007E57AB">
      <w:pPr>
        <w:jc w:val="both"/>
        <w:rPr>
          <w:rFonts w:ascii="Arial" w:hAnsi="Arial" w:cs="Arial"/>
          <w:bCs/>
          <w:color w:val="000000"/>
          <w:sz w:val="20"/>
          <w:lang w:eastAsia="es-AR"/>
        </w:rPr>
      </w:pPr>
      <w:r w:rsidRPr="00701F32">
        <w:rPr>
          <w:rFonts w:ascii="Arial" w:eastAsiaTheme="minorHAnsi" w:hAnsi="Arial" w:cs="Arial"/>
          <w:sz w:val="20"/>
        </w:rPr>
        <w:t xml:space="preserve">Se detallan a continuación los principales componentes de las depreciaciones y desvalorizaciones de bienes por los períodos finalizados el 30 de </w:t>
      </w:r>
      <w:r w:rsidR="00285339" w:rsidRPr="00701F32">
        <w:rPr>
          <w:rFonts w:ascii="Arial" w:eastAsiaTheme="minorHAnsi" w:hAnsi="Arial" w:cs="Arial"/>
          <w:sz w:val="20"/>
        </w:rPr>
        <w:t>septiembre</w:t>
      </w:r>
      <w:r w:rsidRPr="00701F32">
        <w:rPr>
          <w:rFonts w:ascii="Arial" w:eastAsiaTheme="minorHAnsi" w:hAnsi="Arial" w:cs="Arial"/>
          <w:sz w:val="20"/>
        </w:rPr>
        <w:t xml:space="preserve"> de 2018 y 2017:</w:t>
      </w:r>
    </w:p>
    <w:p w14:paraId="530F5A24" w14:textId="77777777" w:rsidR="007E57AB" w:rsidRPr="00701F32" w:rsidRDefault="007E57AB" w:rsidP="007E57AB">
      <w:pPr>
        <w:rPr>
          <w:rFonts w:ascii="Arial" w:hAnsi="Arial" w:cs="Arial"/>
          <w:sz w:val="20"/>
        </w:rPr>
      </w:pPr>
    </w:p>
    <w:tbl>
      <w:tblPr>
        <w:tblStyle w:val="Tablaconcuadrcula"/>
        <w:tblW w:w="0" w:type="auto"/>
        <w:tblInd w:w="108" w:type="dxa"/>
        <w:tblLook w:val="04A0" w:firstRow="1" w:lastRow="0" w:firstColumn="1" w:lastColumn="0" w:noHBand="0" w:noVBand="1"/>
      </w:tblPr>
      <w:tblGrid>
        <w:gridCol w:w="4395"/>
        <w:gridCol w:w="2126"/>
        <w:gridCol w:w="2199"/>
      </w:tblGrid>
      <w:tr w:rsidR="004A25F6" w:rsidRPr="00701F32" w14:paraId="26B56F11" w14:textId="77777777" w:rsidTr="00393CEB">
        <w:tc>
          <w:tcPr>
            <w:tcW w:w="4395" w:type="dxa"/>
          </w:tcPr>
          <w:p w14:paraId="0F01ED8C" w14:textId="77777777" w:rsidR="004A25F6" w:rsidRPr="00701F32" w:rsidRDefault="004A25F6" w:rsidP="004A25F6">
            <w:pPr>
              <w:jc w:val="center"/>
              <w:rPr>
                <w:rFonts w:ascii="Arial" w:hAnsi="Arial" w:cs="Arial"/>
                <w:sz w:val="20"/>
              </w:rPr>
            </w:pPr>
          </w:p>
        </w:tc>
        <w:tc>
          <w:tcPr>
            <w:tcW w:w="2126" w:type="dxa"/>
            <w:vAlign w:val="center"/>
          </w:tcPr>
          <w:p w14:paraId="5802DEDD" w14:textId="77777777" w:rsidR="004A25F6" w:rsidRPr="00701F32" w:rsidRDefault="004A25F6" w:rsidP="00393CEB">
            <w:pPr>
              <w:jc w:val="right"/>
              <w:rPr>
                <w:rFonts w:ascii="Arial" w:hAnsi="Arial" w:cs="Arial"/>
                <w:b/>
                <w:sz w:val="20"/>
              </w:rPr>
            </w:pPr>
            <w:r w:rsidRPr="00701F32">
              <w:rPr>
                <w:rFonts w:ascii="Arial" w:hAnsi="Arial" w:cs="Arial"/>
                <w:b/>
                <w:color w:val="000000"/>
                <w:sz w:val="20"/>
                <w:lang w:eastAsia="es-AR"/>
              </w:rPr>
              <w:t>30/0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2199" w:type="dxa"/>
            <w:vAlign w:val="center"/>
          </w:tcPr>
          <w:p w14:paraId="012C974F" w14:textId="77777777" w:rsidR="004A25F6" w:rsidRPr="00701F32" w:rsidRDefault="004A25F6" w:rsidP="00393CEB">
            <w:pPr>
              <w:jc w:val="right"/>
              <w:rPr>
                <w:rFonts w:ascii="Arial" w:hAnsi="Arial" w:cs="Arial"/>
                <w:b/>
                <w:sz w:val="20"/>
              </w:rPr>
            </w:pPr>
            <w:r w:rsidRPr="00701F32">
              <w:rPr>
                <w:rFonts w:ascii="Arial" w:hAnsi="Arial" w:cs="Arial"/>
                <w:b/>
                <w:color w:val="000000"/>
                <w:sz w:val="20"/>
                <w:lang w:eastAsia="es-AR"/>
              </w:rPr>
              <w:t>30/0</w:t>
            </w:r>
            <w:r w:rsidR="00285339"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7E57AB" w:rsidRPr="00701F32" w14:paraId="34688E53" w14:textId="77777777" w:rsidTr="00393CEB">
        <w:tc>
          <w:tcPr>
            <w:tcW w:w="4395" w:type="dxa"/>
          </w:tcPr>
          <w:p w14:paraId="1972AFF4" w14:textId="77777777" w:rsidR="007E57AB" w:rsidRPr="00701F32" w:rsidRDefault="007E57AB" w:rsidP="00CE4F48">
            <w:pPr>
              <w:rPr>
                <w:rFonts w:ascii="Arial" w:hAnsi="Arial" w:cs="Arial"/>
                <w:sz w:val="20"/>
              </w:rPr>
            </w:pPr>
            <w:r w:rsidRPr="00701F32">
              <w:rPr>
                <w:rFonts w:ascii="Arial" w:hAnsi="Arial" w:cs="Arial"/>
                <w:sz w:val="20"/>
              </w:rPr>
              <w:t>Depreciación de bienes de uso</w:t>
            </w:r>
            <w:r w:rsidR="002B7E56" w:rsidRPr="00701F32">
              <w:rPr>
                <w:rFonts w:ascii="Arial" w:hAnsi="Arial" w:cs="Arial"/>
                <w:sz w:val="20"/>
              </w:rPr>
              <w:t xml:space="preserve"> </w:t>
            </w:r>
            <w:r w:rsidR="002B7E56" w:rsidRPr="00701F32">
              <w:rPr>
                <w:rFonts w:ascii="Arial" w:hAnsi="Arial" w:cs="Arial"/>
                <w:b/>
                <w:sz w:val="20"/>
              </w:rPr>
              <w:t>(Anexo F)</w:t>
            </w:r>
          </w:p>
        </w:tc>
        <w:tc>
          <w:tcPr>
            <w:tcW w:w="2126" w:type="dxa"/>
            <w:vAlign w:val="bottom"/>
          </w:tcPr>
          <w:p w14:paraId="5FD4DB46" w14:textId="60A1F34E" w:rsidR="007E57AB" w:rsidRPr="00701F32" w:rsidRDefault="007D1975" w:rsidP="00393CEB">
            <w:pPr>
              <w:jc w:val="right"/>
              <w:rPr>
                <w:rFonts w:ascii="Arial" w:hAnsi="Arial" w:cs="Arial"/>
                <w:sz w:val="20"/>
              </w:rPr>
            </w:pPr>
            <w:r w:rsidRPr="00701F32">
              <w:rPr>
                <w:rFonts w:ascii="Arial" w:hAnsi="Arial" w:cs="Arial"/>
                <w:sz w:val="20"/>
              </w:rPr>
              <w:t>114.932</w:t>
            </w:r>
          </w:p>
        </w:tc>
        <w:tc>
          <w:tcPr>
            <w:tcW w:w="2199" w:type="dxa"/>
            <w:vAlign w:val="bottom"/>
          </w:tcPr>
          <w:p w14:paraId="03ECF466" w14:textId="7EFF5F77" w:rsidR="007E57AB" w:rsidRPr="00701F32" w:rsidRDefault="007D1975" w:rsidP="00393CEB">
            <w:pPr>
              <w:jc w:val="right"/>
              <w:rPr>
                <w:rFonts w:ascii="Arial" w:hAnsi="Arial" w:cs="Arial"/>
                <w:sz w:val="20"/>
              </w:rPr>
            </w:pPr>
            <w:r w:rsidRPr="00701F32">
              <w:rPr>
                <w:rFonts w:ascii="Arial" w:hAnsi="Arial" w:cs="Arial"/>
                <w:sz w:val="20"/>
              </w:rPr>
              <w:t>97.811</w:t>
            </w:r>
          </w:p>
        </w:tc>
      </w:tr>
      <w:tr w:rsidR="007E57AB" w:rsidRPr="00701F32" w14:paraId="4CA9A723" w14:textId="77777777" w:rsidTr="00393CEB">
        <w:tc>
          <w:tcPr>
            <w:tcW w:w="4395" w:type="dxa"/>
          </w:tcPr>
          <w:p w14:paraId="2A28D282" w14:textId="77777777" w:rsidR="007E57AB" w:rsidRPr="00701F32" w:rsidRDefault="007E57AB" w:rsidP="00CE4F48">
            <w:pPr>
              <w:rPr>
                <w:rFonts w:ascii="Arial" w:hAnsi="Arial" w:cs="Arial"/>
                <w:sz w:val="20"/>
              </w:rPr>
            </w:pPr>
            <w:r w:rsidRPr="00701F32">
              <w:rPr>
                <w:rFonts w:ascii="Arial" w:hAnsi="Arial" w:cs="Arial"/>
                <w:sz w:val="20"/>
              </w:rPr>
              <w:t>Depreciación de bienes diversos</w:t>
            </w:r>
          </w:p>
        </w:tc>
        <w:tc>
          <w:tcPr>
            <w:tcW w:w="2126" w:type="dxa"/>
            <w:vAlign w:val="bottom"/>
          </w:tcPr>
          <w:p w14:paraId="7B207C38" w14:textId="7BD6928F" w:rsidR="007E57AB" w:rsidRPr="00701F32" w:rsidRDefault="007D1975" w:rsidP="00393CEB">
            <w:pPr>
              <w:jc w:val="right"/>
              <w:rPr>
                <w:rFonts w:ascii="Arial" w:hAnsi="Arial" w:cs="Arial"/>
                <w:sz w:val="20"/>
              </w:rPr>
            </w:pPr>
            <w:r w:rsidRPr="00701F32">
              <w:rPr>
                <w:rFonts w:ascii="Arial" w:hAnsi="Arial" w:cs="Arial"/>
                <w:sz w:val="20"/>
              </w:rPr>
              <w:t>40.146</w:t>
            </w:r>
          </w:p>
        </w:tc>
        <w:tc>
          <w:tcPr>
            <w:tcW w:w="2199" w:type="dxa"/>
            <w:vAlign w:val="bottom"/>
          </w:tcPr>
          <w:p w14:paraId="284A7CFC" w14:textId="1D97BDCF" w:rsidR="007E57AB" w:rsidRPr="00701F32" w:rsidRDefault="00237786" w:rsidP="00393CEB">
            <w:pPr>
              <w:jc w:val="right"/>
              <w:rPr>
                <w:rFonts w:ascii="Arial" w:hAnsi="Arial" w:cs="Arial"/>
                <w:sz w:val="20"/>
              </w:rPr>
            </w:pPr>
            <w:r w:rsidRPr="00701F32">
              <w:rPr>
                <w:rFonts w:ascii="Arial" w:hAnsi="Arial" w:cs="Arial"/>
                <w:sz w:val="20"/>
              </w:rPr>
              <w:t>4.221</w:t>
            </w:r>
          </w:p>
        </w:tc>
      </w:tr>
      <w:tr w:rsidR="007E57AB" w:rsidRPr="00701F32" w14:paraId="59053073" w14:textId="77777777" w:rsidTr="00393CEB">
        <w:tc>
          <w:tcPr>
            <w:tcW w:w="4395" w:type="dxa"/>
          </w:tcPr>
          <w:p w14:paraId="237DD085" w14:textId="77777777" w:rsidR="007E57AB" w:rsidRPr="00701F32" w:rsidRDefault="007E57AB" w:rsidP="00CE4F48">
            <w:pPr>
              <w:rPr>
                <w:rFonts w:ascii="Arial" w:hAnsi="Arial" w:cs="Arial"/>
                <w:sz w:val="20"/>
              </w:rPr>
            </w:pPr>
            <w:r w:rsidRPr="00701F32">
              <w:rPr>
                <w:rFonts w:ascii="Arial" w:hAnsi="Arial" w:cs="Arial"/>
                <w:sz w:val="20"/>
              </w:rPr>
              <w:t>Amortización de bienes intangibles</w:t>
            </w:r>
            <w:r w:rsidR="002B7E56" w:rsidRPr="00701F32">
              <w:rPr>
                <w:rFonts w:ascii="Arial" w:hAnsi="Arial" w:cs="Arial"/>
                <w:sz w:val="20"/>
              </w:rPr>
              <w:t xml:space="preserve"> </w:t>
            </w:r>
            <w:r w:rsidR="002B7E56" w:rsidRPr="00701F32">
              <w:rPr>
                <w:rFonts w:ascii="Arial" w:hAnsi="Arial" w:cs="Arial"/>
                <w:b/>
                <w:sz w:val="20"/>
              </w:rPr>
              <w:t>(Anexo G)</w:t>
            </w:r>
          </w:p>
        </w:tc>
        <w:tc>
          <w:tcPr>
            <w:tcW w:w="2126" w:type="dxa"/>
            <w:vAlign w:val="bottom"/>
          </w:tcPr>
          <w:p w14:paraId="2CB539E3" w14:textId="25118E97" w:rsidR="007E57AB" w:rsidRPr="00701F32" w:rsidRDefault="007D1975" w:rsidP="00393CEB">
            <w:pPr>
              <w:jc w:val="right"/>
              <w:rPr>
                <w:rFonts w:ascii="Arial" w:hAnsi="Arial" w:cs="Arial"/>
                <w:sz w:val="20"/>
              </w:rPr>
            </w:pPr>
            <w:r w:rsidRPr="00701F32">
              <w:rPr>
                <w:rFonts w:ascii="Arial" w:hAnsi="Arial" w:cs="Arial"/>
                <w:sz w:val="20"/>
              </w:rPr>
              <w:t>67.458</w:t>
            </w:r>
          </w:p>
        </w:tc>
        <w:tc>
          <w:tcPr>
            <w:tcW w:w="2199" w:type="dxa"/>
            <w:vAlign w:val="bottom"/>
          </w:tcPr>
          <w:p w14:paraId="3F7A7C73" w14:textId="61597FF2" w:rsidR="007E57AB" w:rsidRPr="00701F32" w:rsidRDefault="00237786" w:rsidP="00393CEB">
            <w:pPr>
              <w:jc w:val="right"/>
              <w:rPr>
                <w:rFonts w:ascii="Arial" w:hAnsi="Arial" w:cs="Arial"/>
                <w:sz w:val="20"/>
              </w:rPr>
            </w:pPr>
            <w:r w:rsidRPr="00701F32">
              <w:rPr>
                <w:rFonts w:ascii="Arial" w:hAnsi="Arial" w:cs="Arial"/>
                <w:sz w:val="20"/>
              </w:rPr>
              <w:t>100.615</w:t>
            </w:r>
          </w:p>
        </w:tc>
      </w:tr>
      <w:tr w:rsidR="007E57AB" w:rsidRPr="00701F32" w14:paraId="5131E5E6" w14:textId="77777777" w:rsidTr="00393CEB">
        <w:tc>
          <w:tcPr>
            <w:tcW w:w="4395" w:type="dxa"/>
          </w:tcPr>
          <w:p w14:paraId="3720A277" w14:textId="77777777" w:rsidR="007E57AB" w:rsidRPr="00701F32" w:rsidRDefault="007E57AB" w:rsidP="00CE4F48">
            <w:pPr>
              <w:rPr>
                <w:rFonts w:ascii="Arial" w:hAnsi="Arial" w:cs="Arial"/>
                <w:b/>
                <w:sz w:val="20"/>
              </w:rPr>
            </w:pPr>
            <w:r w:rsidRPr="00701F32">
              <w:rPr>
                <w:rFonts w:ascii="Arial" w:hAnsi="Arial" w:cs="Arial"/>
                <w:b/>
                <w:sz w:val="20"/>
              </w:rPr>
              <w:t>Total</w:t>
            </w:r>
          </w:p>
        </w:tc>
        <w:tc>
          <w:tcPr>
            <w:tcW w:w="2126" w:type="dxa"/>
            <w:vAlign w:val="bottom"/>
          </w:tcPr>
          <w:p w14:paraId="7A057E47" w14:textId="2D980528" w:rsidR="007E57AB" w:rsidRPr="00701F32" w:rsidRDefault="007D1975" w:rsidP="00393CEB">
            <w:pPr>
              <w:jc w:val="right"/>
              <w:rPr>
                <w:rFonts w:ascii="Arial" w:hAnsi="Arial" w:cs="Arial"/>
                <w:b/>
                <w:sz w:val="20"/>
              </w:rPr>
            </w:pPr>
            <w:r w:rsidRPr="00701F32">
              <w:rPr>
                <w:rFonts w:ascii="Arial" w:hAnsi="Arial" w:cs="Arial"/>
                <w:b/>
                <w:sz w:val="20"/>
              </w:rPr>
              <w:t>222.536</w:t>
            </w:r>
          </w:p>
        </w:tc>
        <w:tc>
          <w:tcPr>
            <w:tcW w:w="2199" w:type="dxa"/>
            <w:vAlign w:val="bottom"/>
          </w:tcPr>
          <w:p w14:paraId="3FCA5BD6" w14:textId="3C0AA241" w:rsidR="007E57AB" w:rsidRPr="00701F32" w:rsidRDefault="007D1975" w:rsidP="00393CEB">
            <w:pPr>
              <w:jc w:val="right"/>
              <w:rPr>
                <w:rFonts w:ascii="Arial" w:hAnsi="Arial" w:cs="Arial"/>
                <w:b/>
                <w:sz w:val="20"/>
              </w:rPr>
            </w:pPr>
            <w:r w:rsidRPr="00701F32">
              <w:rPr>
                <w:rFonts w:ascii="Arial" w:hAnsi="Arial" w:cs="Arial"/>
                <w:b/>
                <w:sz w:val="20"/>
              </w:rPr>
              <w:t>202.647</w:t>
            </w:r>
          </w:p>
        </w:tc>
      </w:tr>
    </w:tbl>
    <w:p w14:paraId="024D9B80" w14:textId="77777777" w:rsidR="00B75780" w:rsidRPr="00701F32" w:rsidRDefault="00B75780" w:rsidP="00A06BE9">
      <w:pPr>
        <w:spacing w:after="160" w:line="259" w:lineRule="auto"/>
        <w:jc w:val="both"/>
        <w:rPr>
          <w:rFonts w:ascii="Arial" w:eastAsia="Calibri" w:hAnsi="Arial" w:cs="Arial"/>
          <w:sz w:val="20"/>
        </w:rPr>
      </w:pPr>
    </w:p>
    <w:p w14:paraId="76532309" w14:textId="77777777" w:rsidR="00A06BE9" w:rsidRPr="00701F32" w:rsidRDefault="00AF3A00" w:rsidP="00A06BE9">
      <w:pPr>
        <w:spacing w:after="160" w:line="259" w:lineRule="auto"/>
        <w:jc w:val="both"/>
        <w:rPr>
          <w:rFonts w:ascii="Arial" w:eastAsia="Calibri" w:hAnsi="Arial" w:cs="Arial"/>
          <w:b/>
          <w:color w:val="FF0000"/>
          <w:sz w:val="20"/>
        </w:rPr>
      </w:pPr>
      <w:r w:rsidRPr="00701F32">
        <w:rPr>
          <w:rFonts w:ascii="Arial" w:eastAsia="Calibri" w:hAnsi="Arial" w:cs="Arial"/>
          <w:b/>
          <w:sz w:val="20"/>
        </w:rPr>
        <w:t>8</w:t>
      </w:r>
      <w:r w:rsidR="00A06BE9" w:rsidRPr="00701F32">
        <w:rPr>
          <w:rFonts w:ascii="Arial" w:eastAsia="Calibri" w:hAnsi="Arial" w:cs="Arial"/>
          <w:b/>
          <w:sz w:val="20"/>
        </w:rPr>
        <w:t>. U</w:t>
      </w:r>
      <w:r w:rsidR="00F45AEF" w:rsidRPr="00701F32">
        <w:rPr>
          <w:rFonts w:ascii="Arial" w:eastAsia="Calibri" w:hAnsi="Arial" w:cs="Arial"/>
          <w:b/>
          <w:sz w:val="20"/>
        </w:rPr>
        <w:t>TILIDAD POR ACCION</w:t>
      </w:r>
    </w:p>
    <w:p w14:paraId="6E74108C" w14:textId="5C26003D" w:rsidR="00A06BE9" w:rsidRPr="00701F32" w:rsidRDefault="00A06BE9" w:rsidP="00A06BE9">
      <w:pPr>
        <w:pStyle w:val="Textoindependiente2"/>
        <w:jc w:val="both"/>
        <w:rPr>
          <w:rFonts w:ascii="Arial" w:hAnsi="Arial" w:cs="Arial"/>
          <w:b w:val="0"/>
          <w:sz w:val="20"/>
        </w:rPr>
      </w:pPr>
      <w:r w:rsidRPr="00701F32">
        <w:rPr>
          <w:rFonts w:ascii="Arial" w:hAnsi="Arial" w:cs="Arial"/>
          <w:b w:val="0"/>
          <w:sz w:val="20"/>
        </w:rPr>
        <w:t xml:space="preserve">La utilidad por acción se calcula dividiendo la utilidad atribuible a los accionistas del Banco entre el promedio ponderado de las acciones </w:t>
      </w:r>
      <w:r w:rsidR="001040CA" w:rsidRPr="00701F32">
        <w:rPr>
          <w:rFonts w:ascii="Arial" w:hAnsi="Arial" w:cs="Arial"/>
          <w:b w:val="0"/>
          <w:sz w:val="20"/>
        </w:rPr>
        <w:t xml:space="preserve">ordinarias </w:t>
      </w:r>
      <w:r w:rsidRPr="00701F32">
        <w:rPr>
          <w:rFonts w:ascii="Arial" w:hAnsi="Arial" w:cs="Arial"/>
          <w:b w:val="0"/>
          <w:sz w:val="20"/>
        </w:rPr>
        <w:t>en circulación en el año. Dado que la Entidad no posee acciones preferidas ni deuda convertible en acciones, la utilidad básica y diluida por acción son iguales.</w:t>
      </w:r>
    </w:p>
    <w:p w14:paraId="75ABBA93" w14:textId="77777777" w:rsidR="003E2D0C" w:rsidRPr="00701F32" w:rsidRDefault="003E2D0C" w:rsidP="00A06BE9">
      <w:pPr>
        <w:pStyle w:val="Textoindependiente2"/>
        <w:rPr>
          <w:rFonts w:ascii="Arial" w:hAnsi="Arial" w:cs="Arial"/>
          <w:sz w:val="20"/>
        </w:rPr>
      </w:pPr>
    </w:p>
    <w:tbl>
      <w:tblPr>
        <w:tblW w:w="7472" w:type="dxa"/>
        <w:jc w:val="center"/>
        <w:tblCellMar>
          <w:left w:w="70" w:type="dxa"/>
          <w:right w:w="70" w:type="dxa"/>
        </w:tblCellMar>
        <w:tblLook w:val="04A0" w:firstRow="1" w:lastRow="0" w:firstColumn="1" w:lastColumn="0" w:noHBand="0" w:noVBand="1"/>
      </w:tblPr>
      <w:tblGrid>
        <w:gridCol w:w="4759"/>
        <w:gridCol w:w="1442"/>
        <w:gridCol w:w="1271"/>
      </w:tblGrid>
      <w:tr w:rsidR="00A06BE9" w:rsidRPr="00701F32" w14:paraId="79A22BAC" w14:textId="77777777" w:rsidTr="0086282C">
        <w:trPr>
          <w:trHeight w:val="228"/>
          <w:jc w:val="center"/>
        </w:trPr>
        <w:tc>
          <w:tcPr>
            <w:tcW w:w="4759" w:type="dxa"/>
            <w:tcBorders>
              <w:bottom w:val="single" w:sz="4" w:space="0" w:color="auto"/>
              <w:right w:val="single" w:sz="4" w:space="0" w:color="auto"/>
            </w:tcBorders>
            <w:shd w:val="clear" w:color="auto" w:fill="auto"/>
            <w:noWrap/>
            <w:vAlign w:val="bottom"/>
            <w:hideMark/>
          </w:tcPr>
          <w:p w14:paraId="58219303" w14:textId="77777777" w:rsidR="00A06BE9" w:rsidRPr="00701F32" w:rsidRDefault="00A06BE9" w:rsidP="00464C0F">
            <w:pPr>
              <w:pStyle w:val="Textoindependiente2"/>
              <w:jc w:val="both"/>
              <w:rPr>
                <w:rFonts w:ascii="Arial" w:hAnsi="Arial" w:cs="Arial"/>
                <w:sz w:val="18"/>
              </w:rPr>
            </w:pPr>
            <w:r w:rsidRPr="00701F32">
              <w:rPr>
                <w:rFonts w:ascii="Arial" w:hAnsi="Arial" w:cs="Arial"/>
                <w:sz w:val="18"/>
              </w:rPr>
              <w:t> </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1AC70" w14:textId="77777777" w:rsidR="00A06BE9" w:rsidRPr="00701F32" w:rsidRDefault="00A06BE9" w:rsidP="00F52B14">
            <w:pPr>
              <w:pStyle w:val="Textoindependiente2"/>
              <w:jc w:val="center"/>
              <w:rPr>
                <w:rFonts w:ascii="Arial" w:hAnsi="Arial" w:cs="Arial"/>
                <w:sz w:val="18"/>
              </w:rPr>
            </w:pPr>
            <w:r w:rsidRPr="00701F32">
              <w:rPr>
                <w:rFonts w:ascii="Arial" w:hAnsi="Arial" w:cs="Arial"/>
                <w:sz w:val="18"/>
              </w:rPr>
              <w:t>3</w:t>
            </w:r>
            <w:r w:rsidR="00F52B14" w:rsidRPr="00701F32">
              <w:rPr>
                <w:rFonts w:ascii="Arial" w:hAnsi="Arial" w:cs="Arial"/>
                <w:sz w:val="18"/>
              </w:rPr>
              <w:t>0</w:t>
            </w:r>
            <w:r w:rsidRPr="00701F32">
              <w:rPr>
                <w:rFonts w:ascii="Arial" w:hAnsi="Arial" w:cs="Arial"/>
                <w:sz w:val="18"/>
              </w:rPr>
              <w:t>/0</w:t>
            </w:r>
            <w:r w:rsidR="00285339" w:rsidRPr="00701F32">
              <w:rPr>
                <w:rFonts w:ascii="Arial" w:hAnsi="Arial" w:cs="Arial"/>
                <w:sz w:val="18"/>
              </w:rPr>
              <w:t>9</w:t>
            </w:r>
            <w:r w:rsidRPr="00701F32">
              <w:rPr>
                <w:rFonts w:ascii="Arial" w:hAnsi="Arial" w:cs="Arial"/>
                <w:sz w:val="18"/>
              </w:rPr>
              <w:t>/2018</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10111012" w14:textId="77777777" w:rsidR="00A06BE9" w:rsidRPr="00701F32" w:rsidRDefault="00A06BE9" w:rsidP="004F1871">
            <w:pPr>
              <w:pStyle w:val="Textoindependiente2"/>
              <w:jc w:val="center"/>
              <w:rPr>
                <w:rFonts w:ascii="Arial" w:hAnsi="Arial" w:cs="Arial"/>
                <w:sz w:val="18"/>
              </w:rPr>
            </w:pPr>
            <w:r w:rsidRPr="00701F32">
              <w:rPr>
                <w:rFonts w:ascii="Arial" w:hAnsi="Arial" w:cs="Arial"/>
                <w:sz w:val="18"/>
              </w:rPr>
              <w:t>3</w:t>
            </w:r>
            <w:r w:rsidR="004F1871" w:rsidRPr="00701F32">
              <w:rPr>
                <w:rFonts w:ascii="Arial" w:hAnsi="Arial" w:cs="Arial"/>
                <w:sz w:val="18"/>
              </w:rPr>
              <w:t>0</w:t>
            </w:r>
            <w:r w:rsidRPr="00701F32">
              <w:rPr>
                <w:rFonts w:ascii="Arial" w:hAnsi="Arial" w:cs="Arial"/>
                <w:sz w:val="18"/>
              </w:rPr>
              <w:t>/0</w:t>
            </w:r>
            <w:r w:rsidR="00285339" w:rsidRPr="00701F32">
              <w:rPr>
                <w:rFonts w:ascii="Arial" w:hAnsi="Arial" w:cs="Arial"/>
                <w:sz w:val="18"/>
              </w:rPr>
              <w:t>9</w:t>
            </w:r>
            <w:r w:rsidRPr="00701F32">
              <w:rPr>
                <w:rFonts w:ascii="Arial" w:hAnsi="Arial" w:cs="Arial"/>
                <w:sz w:val="18"/>
              </w:rPr>
              <w:t>/2017</w:t>
            </w:r>
          </w:p>
        </w:tc>
      </w:tr>
      <w:tr w:rsidR="00A06BE9" w:rsidRPr="00701F32" w14:paraId="4149EB0B" w14:textId="77777777" w:rsidTr="0086282C">
        <w:trPr>
          <w:trHeight w:val="228"/>
          <w:jc w:val="center"/>
        </w:trPr>
        <w:tc>
          <w:tcPr>
            <w:tcW w:w="4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25AF8" w14:textId="77777777" w:rsidR="00A06BE9" w:rsidRPr="00701F32" w:rsidRDefault="00A06BE9" w:rsidP="00464C0F">
            <w:pPr>
              <w:pStyle w:val="Textoindependiente2"/>
              <w:jc w:val="both"/>
              <w:rPr>
                <w:rFonts w:ascii="Arial" w:hAnsi="Arial" w:cs="Arial"/>
                <w:b w:val="0"/>
                <w:sz w:val="18"/>
              </w:rPr>
            </w:pPr>
            <w:r w:rsidRPr="00701F32">
              <w:rPr>
                <w:rFonts w:ascii="Arial" w:hAnsi="Arial" w:cs="Arial"/>
                <w:b w:val="0"/>
                <w:sz w:val="18"/>
              </w:rPr>
              <w:t>Utilidad atribuible a los accionistas de la entidad</w:t>
            </w:r>
          </w:p>
        </w:tc>
        <w:tc>
          <w:tcPr>
            <w:tcW w:w="1442" w:type="dxa"/>
            <w:tcBorders>
              <w:top w:val="nil"/>
              <w:left w:val="nil"/>
              <w:bottom w:val="single" w:sz="4" w:space="0" w:color="auto"/>
              <w:right w:val="single" w:sz="4" w:space="0" w:color="auto"/>
            </w:tcBorders>
            <w:shd w:val="clear" w:color="auto" w:fill="auto"/>
            <w:noWrap/>
            <w:vAlign w:val="bottom"/>
          </w:tcPr>
          <w:p w14:paraId="0718D51B" w14:textId="213D2D84" w:rsidR="00A06BE9" w:rsidRPr="00701F32" w:rsidRDefault="00AF10EB">
            <w:pPr>
              <w:pStyle w:val="Textoindependiente2"/>
              <w:jc w:val="right"/>
              <w:rPr>
                <w:rFonts w:ascii="Arial" w:hAnsi="Arial" w:cs="Arial"/>
                <w:b w:val="0"/>
                <w:sz w:val="18"/>
              </w:rPr>
            </w:pPr>
            <w:r w:rsidRPr="00701F32">
              <w:rPr>
                <w:rFonts w:ascii="Arial" w:hAnsi="Arial" w:cs="Arial"/>
                <w:b w:val="0"/>
                <w:sz w:val="18"/>
              </w:rPr>
              <w:t>1.</w:t>
            </w:r>
            <w:r w:rsidR="002B40D7" w:rsidRPr="00701F32">
              <w:rPr>
                <w:rFonts w:ascii="Arial" w:hAnsi="Arial" w:cs="Arial"/>
                <w:b w:val="0"/>
                <w:sz w:val="18"/>
              </w:rPr>
              <w:t>100</w:t>
            </w:r>
            <w:r w:rsidRPr="00701F32">
              <w:rPr>
                <w:rFonts w:ascii="Arial" w:hAnsi="Arial" w:cs="Arial"/>
                <w:b w:val="0"/>
                <w:sz w:val="18"/>
              </w:rPr>
              <w:t>.</w:t>
            </w:r>
            <w:r w:rsidR="002B40D7" w:rsidRPr="00701F32">
              <w:rPr>
                <w:rFonts w:ascii="Arial" w:hAnsi="Arial" w:cs="Arial"/>
                <w:b w:val="0"/>
                <w:sz w:val="18"/>
              </w:rPr>
              <w:t>111</w:t>
            </w:r>
          </w:p>
        </w:tc>
        <w:tc>
          <w:tcPr>
            <w:tcW w:w="1271" w:type="dxa"/>
            <w:tcBorders>
              <w:top w:val="nil"/>
              <w:left w:val="nil"/>
              <w:bottom w:val="single" w:sz="4" w:space="0" w:color="auto"/>
              <w:right w:val="single" w:sz="4" w:space="0" w:color="auto"/>
            </w:tcBorders>
            <w:shd w:val="clear" w:color="auto" w:fill="auto"/>
            <w:noWrap/>
            <w:vAlign w:val="bottom"/>
          </w:tcPr>
          <w:p w14:paraId="5EB42DB2" w14:textId="0AF7B0BA" w:rsidR="00A06BE9" w:rsidRPr="00701F32" w:rsidRDefault="00AF10EB" w:rsidP="00464C0F">
            <w:pPr>
              <w:pStyle w:val="Textoindependiente2"/>
              <w:jc w:val="right"/>
              <w:rPr>
                <w:rFonts w:ascii="Arial" w:hAnsi="Arial" w:cs="Arial"/>
                <w:b w:val="0"/>
                <w:sz w:val="18"/>
              </w:rPr>
            </w:pPr>
            <w:r w:rsidRPr="00701F32">
              <w:rPr>
                <w:rFonts w:ascii="Arial" w:hAnsi="Arial" w:cs="Arial"/>
                <w:b w:val="0"/>
                <w:sz w:val="18"/>
              </w:rPr>
              <w:t>804.707</w:t>
            </w:r>
          </w:p>
        </w:tc>
      </w:tr>
      <w:tr w:rsidR="00A06BE9" w:rsidRPr="00701F32" w14:paraId="6BF23CD6" w14:textId="77777777" w:rsidTr="0086282C">
        <w:trPr>
          <w:trHeight w:val="228"/>
          <w:jc w:val="center"/>
        </w:trPr>
        <w:tc>
          <w:tcPr>
            <w:tcW w:w="4759" w:type="dxa"/>
            <w:tcBorders>
              <w:top w:val="nil"/>
              <w:left w:val="single" w:sz="4" w:space="0" w:color="auto"/>
              <w:bottom w:val="single" w:sz="4" w:space="0" w:color="auto"/>
              <w:right w:val="single" w:sz="4" w:space="0" w:color="auto"/>
            </w:tcBorders>
            <w:shd w:val="clear" w:color="auto" w:fill="auto"/>
            <w:noWrap/>
            <w:vAlign w:val="bottom"/>
            <w:hideMark/>
          </w:tcPr>
          <w:p w14:paraId="4BCAD59E" w14:textId="77777777" w:rsidR="00A06BE9" w:rsidRPr="00701F32" w:rsidRDefault="00A06BE9" w:rsidP="00464C0F">
            <w:pPr>
              <w:pStyle w:val="Textoindependiente2"/>
              <w:jc w:val="both"/>
              <w:rPr>
                <w:rFonts w:ascii="Arial" w:hAnsi="Arial" w:cs="Arial"/>
                <w:b w:val="0"/>
                <w:sz w:val="18"/>
              </w:rPr>
            </w:pPr>
            <w:r w:rsidRPr="00701F32">
              <w:rPr>
                <w:rFonts w:ascii="Arial" w:hAnsi="Arial" w:cs="Arial"/>
                <w:b w:val="0"/>
                <w:sz w:val="18"/>
              </w:rPr>
              <w:t>Promedio ponderado de acciones en circulación (miles)</w:t>
            </w:r>
          </w:p>
        </w:tc>
        <w:tc>
          <w:tcPr>
            <w:tcW w:w="1442" w:type="dxa"/>
            <w:tcBorders>
              <w:top w:val="nil"/>
              <w:left w:val="nil"/>
              <w:bottom w:val="single" w:sz="4" w:space="0" w:color="auto"/>
              <w:right w:val="single" w:sz="4" w:space="0" w:color="auto"/>
            </w:tcBorders>
            <w:shd w:val="clear" w:color="auto" w:fill="auto"/>
            <w:noWrap/>
            <w:vAlign w:val="bottom"/>
          </w:tcPr>
          <w:p w14:paraId="3F71F952" w14:textId="25A3A81D" w:rsidR="00A06BE9" w:rsidRPr="00701F32" w:rsidRDefault="00AF10EB" w:rsidP="00464C0F">
            <w:pPr>
              <w:pStyle w:val="Textoindependiente2"/>
              <w:jc w:val="right"/>
              <w:rPr>
                <w:rFonts w:ascii="Arial" w:hAnsi="Arial" w:cs="Arial"/>
                <w:b w:val="0"/>
                <w:sz w:val="18"/>
              </w:rPr>
            </w:pPr>
            <w:r w:rsidRPr="00701F32">
              <w:rPr>
                <w:rFonts w:ascii="Arial" w:hAnsi="Arial" w:cs="Arial"/>
                <w:b w:val="0"/>
                <w:sz w:val="18"/>
              </w:rPr>
              <w:t>761.055</w:t>
            </w:r>
          </w:p>
        </w:tc>
        <w:tc>
          <w:tcPr>
            <w:tcW w:w="1271" w:type="dxa"/>
            <w:tcBorders>
              <w:top w:val="nil"/>
              <w:left w:val="nil"/>
              <w:bottom w:val="single" w:sz="4" w:space="0" w:color="auto"/>
              <w:right w:val="single" w:sz="4" w:space="0" w:color="auto"/>
            </w:tcBorders>
            <w:shd w:val="clear" w:color="auto" w:fill="auto"/>
            <w:noWrap/>
            <w:vAlign w:val="bottom"/>
          </w:tcPr>
          <w:p w14:paraId="1276A059" w14:textId="72E574D4" w:rsidR="00A06BE9" w:rsidRPr="00701F32" w:rsidRDefault="00AF10EB" w:rsidP="004F1871">
            <w:pPr>
              <w:pStyle w:val="Textoindependiente2"/>
              <w:jc w:val="right"/>
              <w:rPr>
                <w:rFonts w:ascii="Arial" w:hAnsi="Arial" w:cs="Arial"/>
                <w:b w:val="0"/>
                <w:sz w:val="18"/>
              </w:rPr>
            </w:pPr>
            <w:r w:rsidRPr="00701F32">
              <w:rPr>
                <w:rFonts w:ascii="Arial" w:hAnsi="Arial" w:cs="Arial"/>
                <w:b w:val="0"/>
                <w:sz w:val="18"/>
              </w:rPr>
              <w:t>.640.807</w:t>
            </w:r>
          </w:p>
        </w:tc>
      </w:tr>
      <w:tr w:rsidR="00A06BE9" w:rsidRPr="00701F32" w14:paraId="4CD0696B" w14:textId="77777777" w:rsidTr="0086282C">
        <w:trPr>
          <w:trHeight w:val="228"/>
          <w:jc w:val="center"/>
        </w:trPr>
        <w:tc>
          <w:tcPr>
            <w:tcW w:w="4759" w:type="dxa"/>
            <w:tcBorders>
              <w:top w:val="nil"/>
              <w:left w:val="single" w:sz="4" w:space="0" w:color="auto"/>
              <w:bottom w:val="single" w:sz="4" w:space="0" w:color="auto"/>
              <w:right w:val="single" w:sz="4" w:space="0" w:color="auto"/>
            </w:tcBorders>
            <w:shd w:val="clear" w:color="auto" w:fill="auto"/>
            <w:noWrap/>
            <w:vAlign w:val="bottom"/>
            <w:hideMark/>
          </w:tcPr>
          <w:p w14:paraId="4714DB06" w14:textId="77777777" w:rsidR="00A06BE9" w:rsidRPr="00701F32" w:rsidRDefault="00A06BE9" w:rsidP="00464C0F">
            <w:pPr>
              <w:pStyle w:val="Textoindependiente2"/>
              <w:jc w:val="both"/>
              <w:rPr>
                <w:rFonts w:ascii="Arial" w:hAnsi="Arial" w:cs="Arial"/>
                <w:b w:val="0"/>
                <w:bCs/>
                <w:sz w:val="18"/>
              </w:rPr>
            </w:pPr>
            <w:r w:rsidRPr="00701F32">
              <w:rPr>
                <w:rFonts w:ascii="Arial" w:hAnsi="Arial" w:cs="Arial"/>
                <w:b w:val="0"/>
                <w:bCs/>
                <w:sz w:val="18"/>
              </w:rPr>
              <w:t>Utilidad por Acción</w:t>
            </w:r>
          </w:p>
        </w:tc>
        <w:tc>
          <w:tcPr>
            <w:tcW w:w="1442" w:type="dxa"/>
            <w:tcBorders>
              <w:top w:val="nil"/>
              <w:left w:val="nil"/>
              <w:bottom w:val="single" w:sz="4" w:space="0" w:color="auto"/>
              <w:right w:val="single" w:sz="4" w:space="0" w:color="auto"/>
            </w:tcBorders>
            <w:shd w:val="clear" w:color="auto" w:fill="auto"/>
            <w:noWrap/>
            <w:vAlign w:val="bottom"/>
          </w:tcPr>
          <w:p w14:paraId="062343A2" w14:textId="4307D33B" w:rsidR="00A06BE9" w:rsidRPr="00701F32" w:rsidRDefault="00AF10EB">
            <w:pPr>
              <w:pStyle w:val="Textoindependiente2"/>
              <w:jc w:val="right"/>
              <w:rPr>
                <w:rFonts w:ascii="Arial" w:hAnsi="Arial" w:cs="Arial"/>
                <w:b w:val="0"/>
                <w:bCs/>
                <w:sz w:val="18"/>
              </w:rPr>
            </w:pPr>
            <w:r w:rsidRPr="00701F32">
              <w:rPr>
                <w:rFonts w:ascii="Arial" w:hAnsi="Arial" w:cs="Arial"/>
                <w:b w:val="0"/>
                <w:bCs/>
                <w:sz w:val="18"/>
              </w:rPr>
              <w:t>1,</w:t>
            </w:r>
            <w:r w:rsidR="002B40D7" w:rsidRPr="00701F32">
              <w:rPr>
                <w:rFonts w:ascii="Arial" w:hAnsi="Arial" w:cs="Arial"/>
                <w:b w:val="0"/>
                <w:bCs/>
                <w:sz w:val="18"/>
              </w:rPr>
              <w:t>45</w:t>
            </w:r>
          </w:p>
        </w:tc>
        <w:tc>
          <w:tcPr>
            <w:tcW w:w="1271" w:type="dxa"/>
            <w:tcBorders>
              <w:top w:val="nil"/>
              <w:left w:val="nil"/>
              <w:bottom w:val="single" w:sz="4" w:space="0" w:color="auto"/>
              <w:right w:val="single" w:sz="4" w:space="0" w:color="auto"/>
            </w:tcBorders>
            <w:shd w:val="clear" w:color="auto" w:fill="auto"/>
            <w:noWrap/>
            <w:vAlign w:val="bottom"/>
          </w:tcPr>
          <w:p w14:paraId="11E65826" w14:textId="67BFE1F3" w:rsidR="00A06BE9" w:rsidRPr="00701F32" w:rsidRDefault="00AF10EB" w:rsidP="004F1871">
            <w:pPr>
              <w:pStyle w:val="Textoindependiente2"/>
              <w:jc w:val="right"/>
              <w:rPr>
                <w:rFonts w:ascii="Arial" w:hAnsi="Arial" w:cs="Arial"/>
                <w:b w:val="0"/>
                <w:bCs/>
                <w:sz w:val="18"/>
              </w:rPr>
            </w:pPr>
            <w:r w:rsidRPr="00701F32">
              <w:rPr>
                <w:rFonts w:ascii="Arial" w:hAnsi="Arial" w:cs="Arial"/>
                <w:b w:val="0"/>
                <w:bCs/>
                <w:sz w:val="18"/>
              </w:rPr>
              <w:t>1,26</w:t>
            </w:r>
          </w:p>
        </w:tc>
      </w:tr>
    </w:tbl>
    <w:p w14:paraId="09154F9B" w14:textId="77777777" w:rsidR="00E67865" w:rsidRPr="00701F32" w:rsidRDefault="00E67865" w:rsidP="00A06BE9">
      <w:pPr>
        <w:spacing w:after="160" w:line="259" w:lineRule="auto"/>
        <w:jc w:val="both"/>
        <w:rPr>
          <w:rFonts w:ascii="Arial" w:eastAsia="Calibri" w:hAnsi="Arial" w:cs="Arial"/>
          <w:b/>
          <w:sz w:val="20"/>
        </w:rPr>
      </w:pPr>
    </w:p>
    <w:p w14:paraId="4392F4B1" w14:textId="77777777" w:rsidR="00A06BE9" w:rsidRPr="00701F32" w:rsidRDefault="00AF3A00" w:rsidP="00A06BE9">
      <w:pPr>
        <w:spacing w:after="160" w:line="259" w:lineRule="auto"/>
        <w:jc w:val="both"/>
        <w:rPr>
          <w:rFonts w:ascii="Arial" w:eastAsia="Calibri" w:hAnsi="Arial" w:cs="Arial"/>
          <w:b/>
          <w:sz w:val="20"/>
        </w:rPr>
      </w:pPr>
      <w:r w:rsidRPr="00701F32">
        <w:rPr>
          <w:rFonts w:ascii="Arial" w:eastAsia="Calibri" w:hAnsi="Arial" w:cs="Arial"/>
          <w:b/>
          <w:sz w:val="20"/>
        </w:rPr>
        <w:t>9</w:t>
      </w:r>
      <w:r w:rsidR="00A06BE9" w:rsidRPr="00701F32">
        <w:rPr>
          <w:rFonts w:ascii="Arial" w:eastAsia="Calibri" w:hAnsi="Arial" w:cs="Arial"/>
          <w:b/>
          <w:sz w:val="20"/>
        </w:rPr>
        <w:t>. PROPIEDAD, PLANTA Y EQUIPOS Y PROPIEDADES DE INVERSION</w:t>
      </w:r>
    </w:p>
    <w:p w14:paraId="77C20EED" w14:textId="77777777" w:rsidR="00A06BE9" w:rsidRPr="00701F32" w:rsidRDefault="00A06BE9" w:rsidP="00A06BE9">
      <w:pPr>
        <w:spacing w:after="160"/>
        <w:jc w:val="both"/>
        <w:rPr>
          <w:rFonts w:ascii="Arial" w:eastAsia="Calibri" w:hAnsi="Arial" w:cs="Arial"/>
          <w:sz w:val="20"/>
        </w:rPr>
      </w:pPr>
      <w:r w:rsidRPr="00701F32">
        <w:rPr>
          <w:rFonts w:ascii="Arial" w:eastAsia="Calibri" w:hAnsi="Arial" w:cs="Arial"/>
          <w:sz w:val="20"/>
        </w:rPr>
        <w:t>Los movimientos en propiedad, planta y equipos y propiedades de inversión para el período</w:t>
      </w:r>
      <w:r w:rsidR="00504573" w:rsidRPr="00701F32">
        <w:rPr>
          <w:rFonts w:ascii="Arial" w:eastAsia="Calibri" w:hAnsi="Arial" w:cs="Arial"/>
          <w:sz w:val="20"/>
        </w:rPr>
        <w:t xml:space="preserve"> finalizado el 30 de </w:t>
      </w:r>
      <w:r w:rsidR="00285339" w:rsidRPr="00701F32">
        <w:rPr>
          <w:rFonts w:ascii="Arial" w:eastAsia="Calibri" w:hAnsi="Arial" w:cs="Arial"/>
          <w:sz w:val="20"/>
        </w:rPr>
        <w:t>septiembre</w:t>
      </w:r>
      <w:r w:rsidRPr="00701F32">
        <w:rPr>
          <w:rFonts w:ascii="Arial" w:eastAsia="Calibri" w:hAnsi="Arial" w:cs="Arial"/>
          <w:sz w:val="20"/>
        </w:rPr>
        <w:t xml:space="preserve"> de 2018 se detallan en el Anexo F adjunto a estos estados financieros consolidados condensados intermedios.</w:t>
      </w:r>
    </w:p>
    <w:p w14:paraId="6AC39820" w14:textId="77777777" w:rsidR="00A06BE9" w:rsidRPr="00701F32" w:rsidRDefault="00A06BE9" w:rsidP="00A06BE9">
      <w:pPr>
        <w:jc w:val="both"/>
        <w:rPr>
          <w:rFonts w:ascii="Arial" w:hAnsi="Arial" w:cs="Arial"/>
          <w:sz w:val="20"/>
        </w:rPr>
      </w:pPr>
    </w:p>
    <w:p w14:paraId="6CAFF18B" w14:textId="77777777" w:rsidR="00A06BE9" w:rsidRPr="00701F32" w:rsidRDefault="00AF3A00" w:rsidP="00A06BE9">
      <w:pPr>
        <w:spacing w:after="160" w:line="259" w:lineRule="auto"/>
        <w:jc w:val="both"/>
        <w:rPr>
          <w:rFonts w:ascii="Arial" w:eastAsia="Calibri" w:hAnsi="Arial" w:cs="Arial"/>
          <w:b/>
          <w:color w:val="FF0000"/>
          <w:sz w:val="20"/>
        </w:rPr>
      </w:pPr>
      <w:r w:rsidRPr="00701F32">
        <w:rPr>
          <w:rFonts w:ascii="Arial" w:eastAsia="Calibri" w:hAnsi="Arial" w:cs="Arial"/>
          <w:b/>
          <w:sz w:val="20"/>
        </w:rPr>
        <w:t>10</w:t>
      </w:r>
      <w:r w:rsidR="00A06BE9" w:rsidRPr="00701F32">
        <w:rPr>
          <w:rFonts w:ascii="Arial" w:eastAsia="Calibri" w:hAnsi="Arial" w:cs="Arial"/>
          <w:b/>
          <w:sz w:val="20"/>
        </w:rPr>
        <w:t>. ACTIVOS INTANGIBLES</w:t>
      </w:r>
    </w:p>
    <w:p w14:paraId="02EA2529" w14:textId="5CEB665B" w:rsidR="00A06BE9" w:rsidRDefault="00A06BE9" w:rsidP="00E311C9">
      <w:pPr>
        <w:spacing w:after="160" w:line="259" w:lineRule="auto"/>
        <w:jc w:val="both"/>
        <w:rPr>
          <w:rFonts w:ascii="Arial" w:eastAsia="Calibri" w:hAnsi="Arial" w:cs="Arial"/>
          <w:sz w:val="20"/>
        </w:rPr>
      </w:pPr>
      <w:r w:rsidRPr="00701F32">
        <w:rPr>
          <w:rFonts w:ascii="Arial" w:eastAsia="Calibri" w:hAnsi="Arial" w:cs="Arial"/>
          <w:sz w:val="20"/>
        </w:rPr>
        <w:t>Los movimientos en activos intangibles para para el período</w:t>
      </w:r>
      <w:r w:rsidR="00504573" w:rsidRPr="00701F32">
        <w:rPr>
          <w:rFonts w:ascii="Arial" w:eastAsia="Calibri" w:hAnsi="Arial" w:cs="Arial"/>
          <w:sz w:val="20"/>
        </w:rPr>
        <w:t xml:space="preserve"> finalizado el 30 de </w:t>
      </w:r>
      <w:r w:rsidR="00285339" w:rsidRPr="00701F32">
        <w:rPr>
          <w:rFonts w:ascii="Arial" w:eastAsia="Calibri" w:hAnsi="Arial" w:cs="Arial"/>
          <w:sz w:val="20"/>
        </w:rPr>
        <w:t>septiembre</w:t>
      </w:r>
      <w:r w:rsidRPr="00701F32">
        <w:rPr>
          <w:rFonts w:ascii="Arial" w:eastAsia="Calibri" w:hAnsi="Arial" w:cs="Arial"/>
          <w:sz w:val="20"/>
        </w:rPr>
        <w:t xml:space="preserve"> de 2018 se detallan en el Anexo</w:t>
      </w:r>
      <w:r w:rsidRPr="00701F32" w:rsidDel="00E72000">
        <w:rPr>
          <w:rFonts w:ascii="Arial" w:eastAsia="Calibri" w:hAnsi="Arial" w:cs="Arial"/>
          <w:sz w:val="20"/>
        </w:rPr>
        <w:t xml:space="preserve"> </w:t>
      </w:r>
      <w:r w:rsidRPr="00701F32">
        <w:rPr>
          <w:rFonts w:ascii="Arial" w:eastAsia="Calibri" w:hAnsi="Arial" w:cs="Arial"/>
          <w:sz w:val="20"/>
        </w:rPr>
        <w:t>G adjunto a estos estados financieros consolidados condensados intermedios.</w:t>
      </w:r>
    </w:p>
    <w:p w14:paraId="4DC286A0" w14:textId="77777777" w:rsidR="004437AA" w:rsidRPr="00701F32" w:rsidRDefault="004437AA" w:rsidP="00E311C9">
      <w:pPr>
        <w:spacing w:after="160" w:line="259" w:lineRule="auto"/>
        <w:jc w:val="both"/>
        <w:rPr>
          <w:rFonts w:ascii="Arial" w:hAnsi="Arial" w:cs="Arial"/>
          <w:sz w:val="20"/>
        </w:rPr>
      </w:pPr>
    </w:p>
    <w:p w14:paraId="6BA03D01" w14:textId="1E3F53B4" w:rsidR="00A06BE9" w:rsidRPr="00701F32" w:rsidRDefault="00A06BE9" w:rsidP="00A06BE9">
      <w:pPr>
        <w:autoSpaceDE w:val="0"/>
        <w:autoSpaceDN w:val="0"/>
        <w:adjustRightInd w:val="0"/>
        <w:jc w:val="both"/>
        <w:rPr>
          <w:rFonts w:ascii="Arial" w:eastAsia="Arial" w:hAnsi="Arial" w:cs="Arial"/>
          <w:b/>
          <w:bCs/>
          <w:i/>
          <w:noProof/>
          <w:sz w:val="20"/>
        </w:rPr>
      </w:pPr>
      <w:r w:rsidRPr="00701F32">
        <w:rPr>
          <w:rFonts w:ascii="Arial" w:eastAsia="Arial" w:hAnsi="Arial" w:cs="Arial"/>
          <w:b/>
          <w:bCs/>
          <w:noProof/>
          <w:sz w:val="20"/>
        </w:rPr>
        <w:t>1</w:t>
      </w:r>
      <w:r w:rsidR="00AF3A00" w:rsidRPr="00701F32">
        <w:rPr>
          <w:rFonts w:ascii="Arial" w:eastAsia="Arial" w:hAnsi="Arial" w:cs="Arial"/>
          <w:b/>
          <w:bCs/>
          <w:noProof/>
          <w:sz w:val="20"/>
        </w:rPr>
        <w:t>1</w:t>
      </w:r>
      <w:r w:rsidRPr="00701F32">
        <w:rPr>
          <w:rFonts w:ascii="Arial" w:eastAsia="Arial" w:hAnsi="Arial" w:cs="Arial"/>
          <w:b/>
          <w:bCs/>
          <w:noProof/>
          <w:sz w:val="20"/>
        </w:rPr>
        <w:t xml:space="preserve">. </w:t>
      </w:r>
      <w:r w:rsidR="006D7FAF" w:rsidRPr="00701F32">
        <w:rPr>
          <w:rFonts w:ascii="Arial" w:eastAsia="Arial" w:hAnsi="Arial" w:cs="Arial"/>
          <w:b/>
          <w:bCs/>
          <w:noProof/>
          <w:sz w:val="20"/>
        </w:rPr>
        <w:t>DISTRIBUCIÓN DE RESULTADOS</w:t>
      </w:r>
    </w:p>
    <w:p w14:paraId="7D514885" w14:textId="77777777" w:rsidR="00A06BE9" w:rsidRPr="00701F32" w:rsidRDefault="00A06BE9" w:rsidP="00A06BE9">
      <w:pPr>
        <w:autoSpaceDE w:val="0"/>
        <w:autoSpaceDN w:val="0"/>
        <w:adjustRightInd w:val="0"/>
        <w:jc w:val="both"/>
        <w:rPr>
          <w:rFonts w:ascii="Arial" w:eastAsia="Arial" w:hAnsi="Arial" w:cs="Arial"/>
          <w:b/>
          <w:bCs/>
          <w:i/>
          <w:noProof/>
          <w:color w:val="FF0000"/>
          <w:sz w:val="20"/>
        </w:rPr>
      </w:pPr>
    </w:p>
    <w:p w14:paraId="32582282" w14:textId="77777777" w:rsidR="00A06BE9" w:rsidRPr="00701F32" w:rsidRDefault="00A06BE9" w:rsidP="00A06BE9">
      <w:pPr>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La Asamblea Anual Ordinaria y Extraordinaria de Accionistas celebrada el 19 de abril de 2018 aprobó los estados contables al 31 de diciembre de 2017 y el tratamiento de los resultados correspondientes al ejercicio finalizado en esa fecha. Se dispuso, de acuerdo a la normativa vigente, el siguiente destino de los resultados no asignados al 31 de diciembre de 2017:</w:t>
      </w:r>
    </w:p>
    <w:p w14:paraId="7A30A95E" w14:textId="77777777" w:rsidR="00A06BE9" w:rsidRPr="00701F32" w:rsidRDefault="00A06BE9" w:rsidP="00A06BE9">
      <w:pPr>
        <w:jc w:val="both"/>
        <w:rPr>
          <w:rFonts w:ascii="Arial" w:eastAsia="Calibri" w:hAnsi="Arial" w:cs="Arial"/>
          <w:noProof/>
          <w:color w:val="000000"/>
          <w:sz w:val="20"/>
          <w:lang w:eastAsia="es-AR"/>
        </w:rPr>
      </w:pPr>
    </w:p>
    <w:p w14:paraId="37DE7AAD" w14:textId="77777777" w:rsidR="00A06BE9" w:rsidRPr="00701F32" w:rsidRDefault="00A06BE9" w:rsidP="00A06BE9">
      <w:pPr>
        <w:numPr>
          <w:ilvl w:val="0"/>
          <w:numId w:val="32"/>
        </w:num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A reserva legal: 285.746</w:t>
      </w:r>
    </w:p>
    <w:p w14:paraId="6D151EAE" w14:textId="77777777" w:rsidR="00A06BE9" w:rsidRPr="00701F32" w:rsidRDefault="00A06BE9" w:rsidP="00A06BE9">
      <w:pPr>
        <w:numPr>
          <w:ilvl w:val="0"/>
          <w:numId w:val="32"/>
        </w:num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A reserva facultativa: 1.142.982</w:t>
      </w:r>
    </w:p>
    <w:p w14:paraId="5E46DF43" w14:textId="77777777" w:rsidR="00A06BE9" w:rsidRPr="00701F32" w:rsidRDefault="00A06BE9" w:rsidP="00A06BE9">
      <w:p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 xml:space="preserve">Adicionalmente se </w:t>
      </w:r>
      <w:r w:rsidRPr="00701F32">
        <w:rPr>
          <w:rFonts w:ascii="Arial" w:eastAsia="Calibri" w:hAnsi="Arial" w:cs="Arial"/>
          <w:noProof/>
          <w:sz w:val="20"/>
          <w:lang w:eastAsia="es-AR"/>
        </w:rPr>
        <w:t xml:space="preserve">aprobó la capitalización de aportes efectuados por el accionista controlante por un total de  861.000 y un aumento del capital social por hasta la suma de </w:t>
      </w:r>
      <w:r w:rsidR="00E851AA" w:rsidRPr="00701F32">
        <w:rPr>
          <w:rFonts w:ascii="Arial" w:eastAsia="Calibri" w:hAnsi="Arial" w:cs="Arial"/>
          <w:noProof/>
          <w:sz w:val="20"/>
          <w:lang w:eastAsia="es-AR"/>
        </w:rPr>
        <w:t>27.579</w:t>
      </w:r>
      <w:r w:rsidRPr="00701F32">
        <w:rPr>
          <w:rFonts w:ascii="Arial" w:eastAsia="Calibri" w:hAnsi="Arial" w:cs="Arial"/>
          <w:noProof/>
          <w:sz w:val="20"/>
          <w:lang w:eastAsia="es-AR"/>
        </w:rPr>
        <w:t xml:space="preserve">, mediante la emisión de hasta </w:t>
      </w:r>
      <w:r w:rsidR="003E7956" w:rsidRPr="00701F32">
        <w:rPr>
          <w:rFonts w:ascii="Arial" w:eastAsia="Calibri" w:hAnsi="Arial" w:cs="Arial"/>
          <w:noProof/>
          <w:sz w:val="20"/>
          <w:lang w:eastAsia="es-AR"/>
        </w:rPr>
        <w:t>27.578.475</w:t>
      </w:r>
      <w:r w:rsidRPr="00701F32">
        <w:rPr>
          <w:rFonts w:ascii="Arial" w:eastAsia="Calibri" w:hAnsi="Arial" w:cs="Arial"/>
          <w:noProof/>
          <w:sz w:val="20"/>
          <w:lang w:eastAsia="es-AR"/>
        </w:rPr>
        <w:t xml:space="preserve"> nuevas acciones ordinarias, escriturales, Clase B con derecho a 1 voto </w:t>
      </w:r>
      <w:r w:rsidRPr="00701F32">
        <w:rPr>
          <w:rFonts w:ascii="Arial" w:eastAsia="Calibri" w:hAnsi="Arial" w:cs="Arial"/>
          <w:noProof/>
          <w:color w:val="000000"/>
          <w:sz w:val="20"/>
          <w:lang w:eastAsia="es-AR"/>
        </w:rPr>
        <w:t>por acción y valor nominal $ 1 cada una, a un precio de suscripción de $ 31,22 por acción, con derecho a percibir dividendos o cualquier otra acreencia a partir de la fecha de su emisión y en igualdad de condiciones que el resto de las acciones Clase B que se encuentren en circulación en ese momento.</w:t>
      </w:r>
    </w:p>
    <w:p w14:paraId="5FEFF676" w14:textId="10B5808C" w:rsidR="00A06BE9" w:rsidRPr="00701F32" w:rsidRDefault="00A06BE9" w:rsidP="00A06BE9">
      <w:pPr>
        <w:tabs>
          <w:tab w:val="left" w:pos="142"/>
        </w:tabs>
        <w:jc w:val="both"/>
        <w:rPr>
          <w:rFonts w:ascii="Arial" w:hAnsi="Arial" w:cs="Arial"/>
          <w:sz w:val="20"/>
        </w:rPr>
      </w:pPr>
      <w:r w:rsidRPr="00701F32">
        <w:rPr>
          <w:rFonts w:ascii="Arial" w:hAnsi="Arial" w:cs="Arial"/>
          <w:sz w:val="20"/>
        </w:rPr>
        <w:t>A la fecha de los presentes estados financieros el capital social asciende a 771.965, conformado por 771.964.826 acciones, de las cuales, 930.371 son acciones ordinarias, nominativas no endosables, escriturales, clase A de un peso valor nominal cada una y con derecho a cinco votos por acción y 771.034.</w:t>
      </w:r>
      <w:r w:rsidR="00E851AA" w:rsidRPr="00701F32">
        <w:rPr>
          <w:rFonts w:ascii="Arial" w:hAnsi="Arial" w:cs="Arial"/>
          <w:sz w:val="20"/>
        </w:rPr>
        <w:t xml:space="preserve">455 </w:t>
      </w:r>
      <w:r w:rsidRPr="00701F32">
        <w:rPr>
          <w:rFonts w:ascii="Arial" w:hAnsi="Arial" w:cs="Arial"/>
          <w:sz w:val="20"/>
        </w:rPr>
        <w:t xml:space="preserve">son acciones ordinarias, nominativas no endosables, escriturales, clase B de un peso valor nominal cada una y con derecho a un voto por acción.  </w:t>
      </w:r>
    </w:p>
    <w:p w14:paraId="1E11426B" w14:textId="68A349BE" w:rsidR="0058362F" w:rsidRPr="00701F32" w:rsidRDefault="0058362F" w:rsidP="00A06BE9">
      <w:pPr>
        <w:tabs>
          <w:tab w:val="left" w:pos="142"/>
        </w:tabs>
        <w:jc w:val="both"/>
        <w:rPr>
          <w:rFonts w:ascii="Arial" w:hAnsi="Arial" w:cs="Arial"/>
          <w:sz w:val="20"/>
        </w:rPr>
      </w:pPr>
    </w:p>
    <w:p w14:paraId="5B50F8D4" w14:textId="14B7CCF7" w:rsidR="0058362F" w:rsidRPr="00701F32" w:rsidRDefault="0058362F" w:rsidP="00A06BE9">
      <w:pPr>
        <w:tabs>
          <w:tab w:val="left" w:pos="142"/>
        </w:tabs>
        <w:jc w:val="both"/>
        <w:rPr>
          <w:rFonts w:ascii="Arial" w:hAnsi="Arial" w:cs="Arial"/>
          <w:color w:val="FF0000"/>
          <w:sz w:val="20"/>
        </w:rPr>
      </w:pPr>
      <w:r w:rsidRPr="00701F32">
        <w:rPr>
          <w:rFonts w:ascii="Arial" w:hAnsi="Arial" w:cs="Arial"/>
          <w:sz w:val="20"/>
        </w:rPr>
        <w:t>En fecha 1° de noviembre de 2018 el accionista Grupo Supervielle S.A. comunicó a la Entidad su intención de realizar una contribución de capital en efectivo y/o en especie por 1.000.000 con el objeto de extender el volumen de sus operaciones y propender así al mejor desarrollo de los negocios sociales. Por tal motivo, la Entidad convocó una asamblea general de accionistas para el 21 de noviembre de 2018 a fines de aprobar el aumento de capital.</w:t>
      </w:r>
    </w:p>
    <w:p w14:paraId="377E4D94" w14:textId="77777777" w:rsidR="00067378" w:rsidRPr="00701F32" w:rsidRDefault="00067378" w:rsidP="00A06BE9">
      <w:pPr>
        <w:autoSpaceDE w:val="0"/>
        <w:autoSpaceDN w:val="0"/>
        <w:adjustRightInd w:val="0"/>
        <w:jc w:val="both"/>
        <w:rPr>
          <w:rFonts w:ascii="Arial" w:eastAsia="Arial" w:hAnsi="Arial" w:cs="Arial"/>
          <w:b/>
          <w:bCs/>
          <w:noProof/>
          <w:color w:val="000000"/>
          <w:sz w:val="20"/>
        </w:rPr>
      </w:pPr>
    </w:p>
    <w:p w14:paraId="084C67B1" w14:textId="77777777" w:rsidR="00A06BE9" w:rsidRPr="00701F32" w:rsidRDefault="00AF3A00" w:rsidP="00A06BE9">
      <w:pPr>
        <w:spacing w:after="160" w:line="259" w:lineRule="auto"/>
        <w:jc w:val="both"/>
        <w:rPr>
          <w:rFonts w:ascii="Arial" w:eastAsia="Arial" w:hAnsi="Arial" w:cs="Arial"/>
          <w:b/>
          <w:sz w:val="20"/>
        </w:rPr>
      </w:pPr>
      <w:r w:rsidRPr="00701F32">
        <w:rPr>
          <w:rFonts w:ascii="Arial" w:eastAsia="Arial" w:hAnsi="Arial" w:cs="Arial"/>
          <w:b/>
          <w:sz w:val="20"/>
        </w:rPr>
        <w:t>12</w:t>
      </w:r>
      <w:r w:rsidR="00A06BE9" w:rsidRPr="00701F32">
        <w:rPr>
          <w:rFonts w:ascii="Arial" w:eastAsia="Arial" w:hAnsi="Arial" w:cs="Arial"/>
          <w:b/>
          <w:sz w:val="20"/>
        </w:rPr>
        <w:t xml:space="preserve">. </w:t>
      </w:r>
      <w:r w:rsidR="00582EAB" w:rsidRPr="00701F32">
        <w:rPr>
          <w:rFonts w:ascii="Arial" w:eastAsia="Arial" w:hAnsi="Arial" w:cs="Arial"/>
          <w:b/>
          <w:sz w:val="20"/>
        </w:rPr>
        <w:t>COMPROMISOS Y CONTINGENCIAS</w:t>
      </w:r>
    </w:p>
    <w:p w14:paraId="763298DC" w14:textId="77777777" w:rsidR="00A06BE9" w:rsidRPr="00701F32" w:rsidRDefault="00A06BE9" w:rsidP="00A06BE9">
      <w:pPr>
        <w:spacing w:after="160" w:line="259" w:lineRule="auto"/>
        <w:jc w:val="both"/>
        <w:rPr>
          <w:rFonts w:ascii="Arial" w:eastAsia="Arial" w:hAnsi="Arial" w:cs="Arial"/>
          <w:b/>
          <w:sz w:val="20"/>
        </w:rPr>
      </w:pPr>
      <w:r w:rsidRPr="00701F32">
        <w:rPr>
          <w:rFonts w:ascii="Arial" w:eastAsia="Arial" w:hAnsi="Arial" w:cs="Arial"/>
          <w:b/>
          <w:sz w:val="20"/>
        </w:rPr>
        <w:t>Compromisos</w:t>
      </w:r>
    </w:p>
    <w:p w14:paraId="0E1F2C88" w14:textId="77777777" w:rsidR="00A06BE9" w:rsidRPr="00701F32" w:rsidRDefault="00A06BE9" w:rsidP="00A06BE9">
      <w:pPr>
        <w:spacing w:after="160" w:line="259" w:lineRule="auto"/>
        <w:jc w:val="both"/>
        <w:rPr>
          <w:rFonts w:ascii="Arial" w:eastAsia="Arial" w:hAnsi="Arial" w:cs="Arial"/>
          <w:sz w:val="20"/>
          <w:u w:val="single"/>
        </w:rPr>
      </w:pPr>
      <w:r w:rsidRPr="00701F32">
        <w:rPr>
          <w:rFonts w:ascii="Arial" w:eastAsia="Arial" w:hAnsi="Arial" w:cs="Arial"/>
          <w:sz w:val="20"/>
          <w:u w:val="single"/>
        </w:rPr>
        <w:t>Compromisos de Capital</w:t>
      </w:r>
    </w:p>
    <w:p w14:paraId="5CFC1394" w14:textId="5A7D0FD9" w:rsidR="00A06BE9" w:rsidRDefault="00A06BE9" w:rsidP="00A06BE9">
      <w:pPr>
        <w:spacing w:after="160" w:line="259" w:lineRule="auto"/>
        <w:jc w:val="both"/>
        <w:rPr>
          <w:rFonts w:ascii="Arial" w:eastAsia="Arial" w:hAnsi="Arial" w:cs="Arial"/>
          <w:sz w:val="20"/>
        </w:rPr>
      </w:pPr>
      <w:r w:rsidRPr="00701F32">
        <w:rPr>
          <w:rFonts w:ascii="Arial" w:eastAsia="Arial" w:hAnsi="Arial" w:cs="Arial"/>
          <w:sz w:val="20"/>
        </w:rPr>
        <w:t xml:space="preserve">Durante el período de </w:t>
      </w:r>
      <w:r w:rsidR="00285339" w:rsidRPr="00701F32">
        <w:rPr>
          <w:rFonts w:ascii="Arial" w:eastAsia="Arial" w:hAnsi="Arial" w:cs="Arial"/>
          <w:sz w:val="20"/>
        </w:rPr>
        <w:t>nueve</w:t>
      </w:r>
      <w:r w:rsidR="009E68E7" w:rsidRPr="00701F32">
        <w:rPr>
          <w:rFonts w:ascii="Arial" w:eastAsia="Arial" w:hAnsi="Arial" w:cs="Arial"/>
          <w:sz w:val="20"/>
        </w:rPr>
        <w:t xml:space="preserve"> </w:t>
      </w:r>
      <w:r w:rsidRPr="00701F32">
        <w:rPr>
          <w:rFonts w:ascii="Arial" w:eastAsia="Arial" w:hAnsi="Arial" w:cs="Arial"/>
          <w:sz w:val="20"/>
        </w:rPr>
        <w:t>meses finalizado el 3</w:t>
      </w:r>
      <w:r w:rsidR="009E68E7" w:rsidRPr="00701F32">
        <w:rPr>
          <w:rFonts w:ascii="Arial" w:eastAsia="Arial" w:hAnsi="Arial" w:cs="Arial"/>
          <w:sz w:val="20"/>
        </w:rPr>
        <w:t>0</w:t>
      </w:r>
      <w:r w:rsidRPr="00701F32">
        <w:rPr>
          <w:rFonts w:ascii="Arial" w:eastAsia="Arial" w:hAnsi="Arial" w:cs="Arial"/>
          <w:sz w:val="20"/>
        </w:rPr>
        <w:t xml:space="preserve"> de </w:t>
      </w:r>
      <w:r w:rsidR="00285339" w:rsidRPr="00701F32">
        <w:rPr>
          <w:rFonts w:ascii="Arial" w:eastAsia="Arial" w:hAnsi="Arial" w:cs="Arial"/>
          <w:sz w:val="20"/>
        </w:rPr>
        <w:t xml:space="preserve">septiembre </w:t>
      </w:r>
      <w:r w:rsidRPr="00701F32">
        <w:rPr>
          <w:rFonts w:ascii="Arial" w:eastAsia="Arial" w:hAnsi="Arial" w:cs="Arial"/>
          <w:sz w:val="20"/>
        </w:rPr>
        <w:t xml:space="preserve">de 2018, la Entidad </w:t>
      </w:r>
      <w:r w:rsidR="00F83144" w:rsidRPr="00701F32">
        <w:rPr>
          <w:rFonts w:ascii="Arial" w:eastAsia="Arial" w:hAnsi="Arial" w:cs="Arial"/>
          <w:sz w:val="20"/>
        </w:rPr>
        <w:t xml:space="preserve">junto con su controladora Grupo Supervielle S.A. efectuaron </w:t>
      </w:r>
      <w:r w:rsidRPr="00701F32">
        <w:rPr>
          <w:rFonts w:ascii="Arial" w:eastAsia="Arial" w:hAnsi="Arial" w:cs="Arial"/>
          <w:sz w:val="20"/>
        </w:rPr>
        <w:t>aporte</w:t>
      </w:r>
      <w:r w:rsidR="00F83144" w:rsidRPr="00701F32">
        <w:rPr>
          <w:rFonts w:ascii="Arial" w:eastAsia="Arial" w:hAnsi="Arial" w:cs="Arial"/>
          <w:sz w:val="20"/>
        </w:rPr>
        <w:t>s</w:t>
      </w:r>
      <w:r w:rsidRPr="00701F32">
        <w:rPr>
          <w:rFonts w:ascii="Arial" w:eastAsia="Arial" w:hAnsi="Arial" w:cs="Arial"/>
          <w:sz w:val="20"/>
        </w:rPr>
        <w:t xml:space="preserve"> de </w:t>
      </w:r>
      <w:r w:rsidR="003E5B5C" w:rsidRPr="00701F32">
        <w:rPr>
          <w:rFonts w:ascii="Arial" w:eastAsia="Arial" w:hAnsi="Arial" w:cs="Arial"/>
          <w:sz w:val="20"/>
        </w:rPr>
        <w:t xml:space="preserve">capital </w:t>
      </w:r>
      <w:r w:rsidR="0088121C" w:rsidRPr="00701F32">
        <w:rPr>
          <w:rFonts w:ascii="Arial" w:eastAsia="Arial" w:hAnsi="Arial" w:cs="Arial"/>
          <w:sz w:val="20"/>
        </w:rPr>
        <w:t>por</w:t>
      </w:r>
      <w:r w:rsidR="003E5B5C" w:rsidRPr="00701F32">
        <w:rPr>
          <w:rFonts w:ascii="Arial" w:eastAsia="Arial" w:hAnsi="Arial" w:cs="Arial"/>
          <w:sz w:val="20"/>
        </w:rPr>
        <w:t xml:space="preserve"> </w:t>
      </w:r>
      <w:r w:rsidRPr="00701F32">
        <w:rPr>
          <w:rFonts w:ascii="Arial" w:eastAsia="Arial" w:hAnsi="Arial" w:cs="Arial"/>
          <w:sz w:val="20"/>
        </w:rPr>
        <w:t xml:space="preserve">30.000 </w:t>
      </w:r>
      <w:r w:rsidR="00F83144" w:rsidRPr="00701F32">
        <w:rPr>
          <w:rFonts w:ascii="Arial" w:eastAsia="Arial" w:hAnsi="Arial" w:cs="Arial"/>
          <w:sz w:val="20"/>
        </w:rPr>
        <w:t xml:space="preserve">y 262.500 respectivamente </w:t>
      </w:r>
      <w:r w:rsidR="0088121C" w:rsidRPr="00701F32">
        <w:rPr>
          <w:rFonts w:ascii="Arial" w:eastAsia="Arial" w:hAnsi="Arial" w:cs="Arial"/>
          <w:sz w:val="20"/>
        </w:rPr>
        <w:t>en</w:t>
      </w:r>
      <w:r w:rsidRPr="00701F32">
        <w:rPr>
          <w:rFonts w:ascii="Arial" w:eastAsia="Arial" w:hAnsi="Arial" w:cs="Arial"/>
          <w:sz w:val="20"/>
        </w:rPr>
        <w:t xml:space="preserve"> Tarjeta Automática S.A. </w:t>
      </w:r>
    </w:p>
    <w:p w14:paraId="0AD5CF47" w14:textId="77777777" w:rsidR="004437AA" w:rsidRPr="00701F32" w:rsidRDefault="004437AA" w:rsidP="00A06BE9">
      <w:pPr>
        <w:spacing w:after="160" w:line="259" w:lineRule="auto"/>
        <w:jc w:val="both"/>
        <w:rPr>
          <w:rFonts w:ascii="Arial" w:eastAsia="Arial" w:hAnsi="Arial" w:cs="Arial"/>
          <w:sz w:val="20"/>
        </w:rPr>
      </w:pPr>
    </w:p>
    <w:p w14:paraId="4D87FB1E" w14:textId="77777777" w:rsidR="00A06BE9" w:rsidRPr="00701F32" w:rsidRDefault="00A06BE9" w:rsidP="00A06BE9">
      <w:pPr>
        <w:spacing w:after="160" w:line="259" w:lineRule="auto"/>
        <w:jc w:val="both"/>
        <w:rPr>
          <w:rFonts w:ascii="Arial" w:eastAsia="Arial" w:hAnsi="Arial" w:cs="Arial"/>
          <w:b/>
          <w:sz w:val="20"/>
        </w:rPr>
      </w:pPr>
      <w:r w:rsidRPr="00701F32">
        <w:rPr>
          <w:rFonts w:ascii="Arial" w:eastAsia="Arial" w:hAnsi="Arial" w:cs="Arial"/>
          <w:b/>
          <w:sz w:val="20"/>
        </w:rPr>
        <w:t>Contingencias y provisiones</w:t>
      </w:r>
    </w:p>
    <w:p w14:paraId="74B98C61" w14:textId="77777777" w:rsidR="00A06BE9"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Las Normas Internacionales de Información Financiera establecen que un pasivo contingente consiste en (i) una obligación posible, surgida en función de sucesos pasados, cuya existencia ha de ser confirmada por la ocurrencia de uno o más hecho futuros de naturaleza incierta, las cuales no se hayan bajo el control de la Entidad o (ii) una obligación presente que no resulta probable o cuyo importe no ha de ser posible de medición o estimación con suficiente fiabilidad.</w:t>
      </w:r>
    </w:p>
    <w:p w14:paraId="73A04941" w14:textId="79F86088" w:rsidR="00E9276E" w:rsidRPr="00701F32" w:rsidRDefault="00A06BE9" w:rsidP="00A06BE9">
      <w:pPr>
        <w:spacing w:after="160" w:line="259" w:lineRule="auto"/>
        <w:jc w:val="both"/>
        <w:rPr>
          <w:rFonts w:ascii="Arial" w:eastAsia="Arial" w:hAnsi="Arial" w:cs="Arial"/>
          <w:sz w:val="20"/>
        </w:rPr>
      </w:pPr>
      <w:r w:rsidRPr="00701F32">
        <w:rPr>
          <w:rFonts w:ascii="Arial" w:eastAsia="Arial" w:hAnsi="Arial" w:cs="Arial"/>
          <w:sz w:val="20"/>
        </w:rPr>
        <w:t>Los movimientos de provisiones por contingencias ocurridos durante el ejercicio se encuentran detallados en el Anexo J correspondiente al cual se remite.</w:t>
      </w:r>
    </w:p>
    <w:p w14:paraId="191AF6DE" w14:textId="77777777" w:rsidR="00A06BE9" w:rsidRPr="00701F32" w:rsidRDefault="00AF3A00" w:rsidP="00A06BE9">
      <w:pPr>
        <w:keepNext/>
        <w:keepLines/>
        <w:jc w:val="both"/>
        <w:outlineLvl w:val="1"/>
        <w:rPr>
          <w:rFonts w:ascii="Arial" w:hAnsi="Arial" w:cs="Arial"/>
          <w:b/>
          <w:bCs/>
          <w:noProof/>
          <w:sz w:val="20"/>
        </w:rPr>
      </w:pPr>
      <w:r w:rsidRPr="00701F32">
        <w:rPr>
          <w:rFonts w:ascii="Arial" w:hAnsi="Arial" w:cs="Arial"/>
          <w:b/>
          <w:bCs/>
          <w:noProof/>
          <w:sz w:val="20"/>
        </w:rPr>
        <w:t>13</w:t>
      </w:r>
      <w:r w:rsidR="00A06BE9" w:rsidRPr="00701F32">
        <w:rPr>
          <w:rFonts w:ascii="Arial" w:hAnsi="Arial" w:cs="Arial"/>
          <w:b/>
          <w:bCs/>
          <w:noProof/>
          <w:sz w:val="20"/>
        </w:rPr>
        <w:t xml:space="preserve">. TRANSACCIONES Y SALDOS ENTRE PARTES RELACIONADAS </w:t>
      </w:r>
    </w:p>
    <w:p w14:paraId="3A7D53E1" w14:textId="77777777" w:rsidR="00A06BE9" w:rsidRPr="00701F32" w:rsidRDefault="00A06BE9" w:rsidP="00A06BE9">
      <w:pPr>
        <w:jc w:val="both"/>
        <w:rPr>
          <w:rFonts w:ascii="Arial" w:eastAsia="Calibri" w:hAnsi="Arial" w:cs="Arial"/>
          <w:b/>
          <w:noProof/>
          <w:sz w:val="20"/>
        </w:rPr>
      </w:pPr>
    </w:p>
    <w:p w14:paraId="75079F2C" w14:textId="77777777" w:rsidR="00A06BE9" w:rsidRPr="00701F32" w:rsidRDefault="00A06BE9" w:rsidP="00A06BE9">
      <w:pPr>
        <w:contextualSpacing/>
        <w:jc w:val="both"/>
        <w:rPr>
          <w:rFonts w:ascii="Arial" w:eastAsia="Arial" w:hAnsi="Arial" w:cs="Arial"/>
          <w:sz w:val="20"/>
        </w:rPr>
      </w:pPr>
      <w:r w:rsidRPr="00701F32">
        <w:rPr>
          <w:rFonts w:ascii="Arial" w:eastAsia="Arial" w:hAnsi="Arial" w:cs="Arial"/>
          <w:sz w:val="20"/>
        </w:rPr>
        <w:t xml:space="preserve">Se consideran partes relacionadas todas aquellas entidades que poseen directa, o indirectamente a través de otras entidades, control sobre otra, se encuentren bajo el mismo control o pueda ejercer influencia significativa sobre las decisiones financieras u operacionales de otra entidad.  </w:t>
      </w:r>
    </w:p>
    <w:p w14:paraId="40726347" w14:textId="77777777" w:rsidR="00A06BE9" w:rsidRPr="00701F32" w:rsidRDefault="00A06BE9" w:rsidP="00A06BE9">
      <w:pPr>
        <w:contextualSpacing/>
        <w:jc w:val="both"/>
        <w:rPr>
          <w:rFonts w:ascii="Arial" w:eastAsia="Arial" w:hAnsi="Arial" w:cs="Arial"/>
          <w:sz w:val="20"/>
        </w:rPr>
      </w:pPr>
    </w:p>
    <w:p w14:paraId="7F578437" w14:textId="77777777" w:rsidR="00A06BE9" w:rsidRPr="00701F32" w:rsidRDefault="00A06BE9" w:rsidP="00A06BE9">
      <w:pPr>
        <w:contextualSpacing/>
        <w:jc w:val="both"/>
        <w:rPr>
          <w:rFonts w:ascii="Arial" w:eastAsia="Arial" w:hAnsi="Arial" w:cs="Arial"/>
          <w:sz w:val="20"/>
        </w:rPr>
      </w:pPr>
      <w:r w:rsidRPr="00701F32">
        <w:rPr>
          <w:rFonts w:ascii="Arial" w:eastAsia="Arial" w:hAnsi="Arial" w:cs="Arial"/>
          <w:sz w:val="20"/>
        </w:rPr>
        <w:t>La Entidad controla otra entidad cuando tiene el poder sobre las decisiones financieras y operativas de otras entidades y a su vez obtiene beneficios de la misma.</w:t>
      </w:r>
    </w:p>
    <w:p w14:paraId="5B78219F" w14:textId="77777777" w:rsidR="00A06BE9" w:rsidRPr="00701F32" w:rsidRDefault="00A06BE9" w:rsidP="00A06BE9">
      <w:pPr>
        <w:contextualSpacing/>
        <w:jc w:val="both"/>
        <w:rPr>
          <w:rFonts w:ascii="Arial" w:eastAsia="Arial" w:hAnsi="Arial" w:cs="Arial"/>
          <w:sz w:val="20"/>
        </w:rPr>
      </w:pPr>
    </w:p>
    <w:p w14:paraId="2AAEC37B" w14:textId="77777777" w:rsidR="00A06BE9" w:rsidRPr="00701F32" w:rsidRDefault="00A06BE9" w:rsidP="00A06BE9">
      <w:pPr>
        <w:contextualSpacing/>
        <w:jc w:val="both"/>
        <w:rPr>
          <w:rFonts w:ascii="Arial" w:eastAsia="Arial" w:hAnsi="Arial" w:cs="Arial"/>
          <w:sz w:val="20"/>
        </w:rPr>
      </w:pPr>
      <w:r w:rsidRPr="00701F32">
        <w:rPr>
          <w:rFonts w:ascii="Arial" w:eastAsia="Arial" w:hAnsi="Arial" w:cs="Arial"/>
          <w:sz w:val="20"/>
        </w:rPr>
        <w:t xml:space="preserve">Por otro lado, </w:t>
      </w:r>
      <w:r w:rsidR="002309A7" w:rsidRPr="00701F32">
        <w:rPr>
          <w:rFonts w:ascii="Arial" w:eastAsia="Arial" w:hAnsi="Arial" w:cs="Arial"/>
          <w:sz w:val="20"/>
        </w:rPr>
        <w:t>l</w:t>
      </w:r>
      <w:r w:rsidRPr="00701F32">
        <w:rPr>
          <w:rFonts w:ascii="Arial" w:eastAsia="Arial" w:hAnsi="Arial" w:cs="Arial"/>
          <w:sz w:val="20"/>
        </w:rPr>
        <w:t>a Entidad considera que tiene control conjunto cuando existe un acuerdo entre partes sobre el control de una actividad económica en común.</w:t>
      </w:r>
    </w:p>
    <w:p w14:paraId="0D8DFCAF" w14:textId="77777777" w:rsidR="00A06BE9" w:rsidRPr="00701F32" w:rsidRDefault="00A06BE9" w:rsidP="00A06BE9">
      <w:pPr>
        <w:contextualSpacing/>
        <w:jc w:val="both"/>
        <w:rPr>
          <w:rFonts w:ascii="Arial" w:eastAsia="Arial" w:hAnsi="Arial" w:cs="Arial"/>
          <w:sz w:val="20"/>
        </w:rPr>
      </w:pPr>
    </w:p>
    <w:p w14:paraId="1B23857E" w14:textId="77777777" w:rsidR="00A06BE9" w:rsidRPr="00701F32" w:rsidRDefault="00A06BE9" w:rsidP="00A06BE9">
      <w:pPr>
        <w:contextualSpacing/>
        <w:jc w:val="both"/>
        <w:rPr>
          <w:rFonts w:ascii="Arial" w:eastAsia="Arial" w:hAnsi="Arial" w:cs="Arial"/>
          <w:sz w:val="20"/>
        </w:rPr>
      </w:pPr>
      <w:r w:rsidRPr="00701F32">
        <w:rPr>
          <w:rFonts w:ascii="Arial" w:eastAsia="Arial" w:hAnsi="Arial" w:cs="Arial"/>
          <w:sz w:val="20"/>
        </w:rPr>
        <w:t xml:space="preserve">Por último, aquellos casos en los que </w:t>
      </w:r>
      <w:r w:rsidR="002309A7" w:rsidRPr="00701F32">
        <w:rPr>
          <w:rFonts w:ascii="Arial" w:eastAsia="Arial" w:hAnsi="Arial" w:cs="Arial"/>
          <w:sz w:val="20"/>
        </w:rPr>
        <w:t>l</w:t>
      </w:r>
      <w:r w:rsidRPr="00701F32">
        <w:rPr>
          <w:rFonts w:ascii="Arial" w:eastAsia="Arial" w:hAnsi="Arial" w:cs="Arial"/>
          <w:sz w:val="20"/>
        </w:rPr>
        <w:t>a Entidad posea influencia significativa es debido al poder de influir sobre las decisiones financieras y operativas de otra entidad pero no poder ejercer el control sobre las mismas.</w:t>
      </w:r>
    </w:p>
    <w:p w14:paraId="3CC4E3ED" w14:textId="77777777" w:rsidR="00A06BE9" w:rsidRPr="00701F32" w:rsidRDefault="00A06BE9" w:rsidP="00A06BE9">
      <w:pPr>
        <w:contextualSpacing/>
        <w:jc w:val="both"/>
        <w:rPr>
          <w:rFonts w:ascii="Arial" w:eastAsia="Arial" w:hAnsi="Arial" w:cs="Arial"/>
          <w:sz w:val="20"/>
        </w:rPr>
      </w:pPr>
    </w:p>
    <w:p w14:paraId="0372E5DC" w14:textId="489C3E50" w:rsidR="00067378" w:rsidRPr="00701F32" w:rsidRDefault="00A06BE9" w:rsidP="00A06BE9">
      <w:pPr>
        <w:contextualSpacing/>
        <w:jc w:val="both"/>
        <w:rPr>
          <w:rFonts w:ascii="Arial" w:eastAsia="Arial" w:hAnsi="Arial" w:cs="Arial"/>
          <w:sz w:val="20"/>
        </w:rPr>
      </w:pPr>
      <w:r w:rsidRPr="00701F32">
        <w:rPr>
          <w:rFonts w:ascii="Arial" w:eastAsia="Arial" w:hAnsi="Arial" w:cs="Arial"/>
          <w:sz w:val="20"/>
        </w:rPr>
        <w:t>Para la determinación de dichas situaciones, no solamente se observan los aspectos legales sino además la naturaleza y sustanciación de la relación.</w:t>
      </w:r>
    </w:p>
    <w:p w14:paraId="69E8DA26" w14:textId="77777777" w:rsidR="00067378" w:rsidRPr="00701F32" w:rsidRDefault="00067378" w:rsidP="00A06BE9">
      <w:pPr>
        <w:contextualSpacing/>
        <w:jc w:val="both"/>
        <w:rPr>
          <w:rFonts w:ascii="Arial" w:eastAsia="Arial" w:hAnsi="Arial" w:cs="Arial"/>
          <w:sz w:val="20"/>
        </w:rPr>
      </w:pPr>
    </w:p>
    <w:p w14:paraId="103DF483" w14:textId="77777777" w:rsidR="00A06BE9" w:rsidRPr="00701F32" w:rsidRDefault="00A06BE9" w:rsidP="00A06BE9">
      <w:pPr>
        <w:contextualSpacing/>
        <w:jc w:val="both"/>
        <w:rPr>
          <w:rFonts w:ascii="Arial" w:eastAsia="Arial" w:hAnsi="Arial" w:cs="Arial"/>
          <w:sz w:val="20"/>
          <w:u w:val="single"/>
        </w:rPr>
      </w:pPr>
      <w:r w:rsidRPr="00701F32">
        <w:rPr>
          <w:rFonts w:ascii="Arial" w:eastAsia="Arial" w:hAnsi="Arial" w:cs="Arial"/>
          <w:sz w:val="20"/>
          <w:u w:val="single"/>
        </w:rPr>
        <w:t>Entidades controladoras</w:t>
      </w:r>
    </w:p>
    <w:p w14:paraId="33DA0428" w14:textId="77777777" w:rsidR="00A06BE9" w:rsidRPr="00701F32" w:rsidRDefault="00A06BE9" w:rsidP="00A06BE9">
      <w:pPr>
        <w:contextualSpacing/>
        <w:jc w:val="both"/>
        <w:rPr>
          <w:rFonts w:ascii="Arial" w:eastAsia="Arial" w:hAnsi="Arial" w:cs="Arial"/>
          <w:sz w:val="20"/>
        </w:rPr>
      </w:pPr>
    </w:p>
    <w:p w14:paraId="4DDE3FB5" w14:textId="77777777" w:rsidR="00A06BE9" w:rsidRPr="00701F32" w:rsidRDefault="00490101" w:rsidP="00A06BE9">
      <w:pPr>
        <w:contextualSpacing/>
        <w:jc w:val="both"/>
        <w:rPr>
          <w:rFonts w:ascii="Arial" w:eastAsia="Arial" w:hAnsi="Arial" w:cs="Arial"/>
          <w:sz w:val="20"/>
        </w:rPr>
      </w:pPr>
      <w:r w:rsidRPr="00701F32">
        <w:rPr>
          <w:rFonts w:ascii="Arial" w:eastAsia="Arial" w:hAnsi="Arial" w:cs="Arial"/>
          <w:sz w:val="20"/>
        </w:rPr>
        <w:t xml:space="preserve">La </w:t>
      </w:r>
      <w:r w:rsidR="00A06BE9" w:rsidRPr="00701F32">
        <w:rPr>
          <w:rFonts w:ascii="Arial" w:eastAsia="Arial" w:hAnsi="Arial" w:cs="Arial"/>
          <w:sz w:val="20"/>
        </w:rPr>
        <w:t>Entidad es controlada por la siguiente entidad:</w:t>
      </w:r>
    </w:p>
    <w:p w14:paraId="623EE00A" w14:textId="77777777" w:rsidR="00A06BE9" w:rsidRPr="00701F32" w:rsidRDefault="00A06BE9" w:rsidP="00A06BE9">
      <w:pPr>
        <w:contextualSpacing/>
        <w:jc w:val="both"/>
        <w:rPr>
          <w:rFonts w:ascii="Calibri Light" w:eastAsia="Calibri" w:hAnsi="Calibri Light" w:cs="Calibri"/>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24"/>
        <w:gridCol w:w="1524"/>
        <w:gridCol w:w="1524"/>
        <w:gridCol w:w="1524"/>
        <w:gridCol w:w="1526"/>
      </w:tblGrid>
      <w:tr w:rsidR="00A06BE9" w:rsidRPr="00701F32" w14:paraId="2FE49A32" w14:textId="77777777" w:rsidTr="00464C0F">
        <w:tc>
          <w:tcPr>
            <w:tcW w:w="833" w:type="pct"/>
            <w:vMerge w:val="restart"/>
            <w:vAlign w:val="center"/>
          </w:tcPr>
          <w:p w14:paraId="2125BEF2"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Nombre</w:t>
            </w:r>
          </w:p>
        </w:tc>
        <w:tc>
          <w:tcPr>
            <w:tcW w:w="833" w:type="pct"/>
            <w:vMerge w:val="restart"/>
            <w:vAlign w:val="center"/>
          </w:tcPr>
          <w:p w14:paraId="401AFF30" w14:textId="77777777" w:rsidR="00A06BE9" w:rsidRPr="00701F32" w:rsidRDefault="00A06BE9">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Naturaleza</w:t>
            </w:r>
          </w:p>
        </w:tc>
        <w:tc>
          <w:tcPr>
            <w:tcW w:w="833" w:type="pct"/>
            <w:vMerge w:val="restart"/>
            <w:vAlign w:val="center"/>
          </w:tcPr>
          <w:p w14:paraId="66BCB3E5"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Actividad principal</w:t>
            </w:r>
          </w:p>
        </w:tc>
        <w:tc>
          <w:tcPr>
            <w:tcW w:w="833" w:type="pct"/>
            <w:vMerge w:val="restart"/>
            <w:vAlign w:val="center"/>
          </w:tcPr>
          <w:p w14:paraId="704E41C3"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Lugar de radicación</w:t>
            </w:r>
          </w:p>
        </w:tc>
        <w:tc>
          <w:tcPr>
            <w:tcW w:w="1667" w:type="pct"/>
            <w:gridSpan w:val="2"/>
            <w:vAlign w:val="center"/>
          </w:tcPr>
          <w:p w14:paraId="053DD36C"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Porcentaje de participación</w:t>
            </w:r>
          </w:p>
        </w:tc>
      </w:tr>
      <w:tr w:rsidR="00A06BE9" w:rsidRPr="00701F32" w14:paraId="57482153" w14:textId="77777777" w:rsidTr="00464C0F">
        <w:tc>
          <w:tcPr>
            <w:tcW w:w="833" w:type="pct"/>
            <w:vMerge/>
            <w:vAlign w:val="center"/>
          </w:tcPr>
          <w:p w14:paraId="6FFC4056" w14:textId="77777777" w:rsidR="00A06BE9" w:rsidRPr="00701F32" w:rsidRDefault="00A06BE9" w:rsidP="00464C0F">
            <w:pPr>
              <w:spacing w:after="160" w:line="259" w:lineRule="auto"/>
              <w:contextualSpacing/>
              <w:jc w:val="center"/>
              <w:rPr>
                <w:rFonts w:ascii="Arial" w:eastAsia="Calibri" w:hAnsi="Arial" w:cs="Arial"/>
                <w:b/>
                <w:noProof/>
                <w:sz w:val="18"/>
              </w:rPr>
            </w:pPr>
          </w:p>
        </w:tc>
        <w:tc>
          <w:tcPr>
            <w:tcW w:w="833" w:type="pct"/>
            <w:vMerge/>
            <w:vAlign w:val="center"/>
          </w:tcPr>
          <w:p w14:paraId="3B3D0AB8" w14:textId="77777777" w:rsidR="00A06BE9" w:rsidRPr="00701F32" w:rsidRDefault="00A06BE9" w:rsidP="00464C0F">
            <w:pPr>
              <w:spacing w:after="160" w:line="259" w:lineRule="auto"/>
              <w:contextualSpacing/>
              <w:jc w:val="center"/>
              <w:rPr>
                <w:rFonts w:ascii="Arial" w:eastAsia="Calibri" w:hAnsi="Arial" w:cs="Arial"/>
                <w:b/>
                <w:noProof/>
                <w:sz w:val="18"/>
              </w:rPr>
            </w:pPr>
          </w:p>
        </w:tc>
        <w:tc>
          <w:tcPr>
            <w:tcW w:w="833" w:type="pct"/>
            <w:vMerge/>
            <w:vAlign w:val="center"/>
          </w:tcPr>
          <w:p w14:paraId="2FD108D7" w14:textId="77777777" w:rsidR="00A06BE9" w:rsidRPr="00701F32" w:rsidRDefault="00A06BE9" w:rsidP="00464C0F">
            <w:pPr>
              <w:spacing w:after="160" w:line="259" w:lineRule="auto"/>
              <w:contextualSpacing/>
              <w:jc w:val="center"/>
              <w:rPr>
                <w:rFonts w:ascii="Arial" w:eastAsia="Calibri" w:hAnsi="Arial" w:cs="Arial"/>
                <w:b/>
                <w:noProof/>
                <w:sz w:val="18"/>
              </w:rPr>
            </w:pPr>
          </w:p>
        </w:tc>
        <w:tc>
          <w:tcPr>
            <w:tcW w:w="833" w:type="pct"/>
            <w:vMerge/>
            <w:vAlign w:val="center"/>
          </w:tcPr>
          <w:p w14:paraId="014CEB56" w14:textId="77777777" w:rsidR="00A06BE9" w:rsidRPr="00701F32" w:rsidRDefault="00A06BE9" w:rsidP="00464C0F">
            <w:pPr>
              <w:spacing w:after="160" w:line="259" w:lineRule="auto"/>
              <w:contextualSpacing/>
              <w:jc w:val="center"/>
              <w:rPr>
                <w:rFonts w:ascii="Arial" w:eastAsia="Calibri" w:hAnsi="Arial" w:cs="Arial"/>
                <w:b/>
                <w:noProof/>
                <w:sz w:val="18"/>
              </w:rPr>
            </w:pPr>
          </w:p>
        </w:tc>
        <w:tc>
          <w:tcPr>
            <w:tcW w:w="833" w:type="pct"/>
            <w:vAlign w:val="center"/>
          </w:tcPr>
          <w:p w14:paraId="7EED03CD"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2018</w:t>
            </w:r>
          </w:p>
        </w:tc>
        <w:tc>
          <w:tcPr>
            <w:tcW w:w="834" w:type="pct"/>
            <w:vAlign w:val="center"/>
          </w:tcPr>
          <w:p w14:paraId="65B7CD34" w14:textId="77777777" w:rsidR="00A06BE9" w:rsidRPr="00701F32" w:rsidRDefault="00A06BE9" w:rsidP="00464C0F">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2017</w:t>
            </w:r>
          </w:p>
        </w:tc>
      </w:tr>
      <w:tr w:rsidR="00A06BE9" w:rsidRPr="00701F32" w14:paraId="2777BF0E" w14:textId="77777777" w:rsidTr="0086282C">
        <w:trPr>
          <w:trHeight w:val="221"/>
        </w:trPr>
        <w:tc>
          <w:tcPr>
            <w:tcW w:w="833" w:type="pct"/>
          </w:tcPr>
          <w:p w14:paraId="05335A67" w14:textId="77777777" w:rsidR="00A06BE9" w:rsidRPr="00701F32" w:rsidRDefault="00A06BE9" w:rsidP="00464C0F">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Grupo Supervielle S.A.</w:t>
            </w:r>
          </w:p>
        </w:tc>
        <w:tc>
          <w:tcPr>
            <w:tcW w:w="833" w:type="pct"/>
          </w:tcPr>
          <w:p w14:paraId="1E1FCE74" w14:textId="77777777" w:rsidR="00A06BE9" w:rsidRPr="00701F32" w:rsidRDefault="00A06BE9" w:rsidP="00464C0F">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96,73% de derecho a votos</w:t>
            </w:r>
          </w:p>
        </w:tc>
        <w:tc>
          <w:tcPr>
            <w:tcW w:w="833" w:type="pct"/>
          </w:tcPr>
          <w:p w14:paraId="453FF1FC" w14:textId="77777777" w:rsidR="00A06BE9" w:rsidRPr="00701F32" w:rsidRDefault="00A06BE9" w:rsidP="00464C0F">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Financiera y de Inversion</w:t>
            </w:r>
          </w:p>
        </w:tc>
        <w:tc>
          <w:tcPr>
            <w:tcW w:w="833" w:type="pct"/>
          </w:tcPr>
          <w:p w14:paraId="41333314" w14:textId="77777777" w:rsidR="00A06BE9" w:rsidRPr="00701F32" w:rsidRDefault="00A06BE9" w:rsidP="00464C0F">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Bme Mitre 434 5to Piso. CABA</w:t>
            </w:r>
          </w:p>
        </w:tc>
        <w:tc>
          <w:tcPr>
            <w:tcW w:w="833" w:type="pct"/>
            <w:vAlign w:val="center"/>
          </w:tcPr>
          <w:p w14:paraId="643B5AA2" w14:textId="77777777" w:rsidR="00A06BE9" w:rsidRPr="00701F32" w:rsidRDefault="00A06BE9" w:rsidP="00805B59">
            <w:pPr>
              <w:spacing w:after="160" w:line="259" w:lineRule="auto"/>
              <w:contextualSpacing/>
              <w:jc w:val="right"/>
              <w:rPr>
                <w:rFonts w:ascii="Arial" w:eastAsia="Calibri" w:hAnsi="Arial" w:cs="Arial"/>
                <w:noProof/>
                <w:sz w:val="18"/>
                <w:lang w:val="es-ES_tradnl"/>
              </w:rPr>
            </w:pPr>
            <w:r w:rsidRPr="00701F32">
              <w:rPr>
                <w:rFonts w:ascii="Arial" w:eastAsia="Calibri" w:hAnsi="Arial" w:cs="Arial"/>
                <w:noProof/>
                <w:sz w:val="18"/>
              </w:rPr>
              <w:t>96,</w:t>
            </w:r>
            <w:r w:rsidR="00805B59" w:rsidRPr="00701F32">
              <w:rPr>
                <w:rFonts w:ascii="Arial" w:eastAsia="Calibri" w:hAnsi="Arial" w:cs="Arial"/>
                <w:noProof/>
                <w:sz w:val="18"/>
              </w:rPr>
              <w:t>89</w:t>
            </w:r>
            <w:r w:rsidRPr="00701F32">
              <w:rPr>
                <w:rFonts w:ascii="Arial" w:eastAsia="Calibri" w:hAnsi="Arial" w:cs="Arial"/>
                <w:noProof/>
                <w:sz w:val="18"/>
              </w:rPr>
              <w:t>%</w:t>
            </w:r>
          </w:p>
        </w:tc>
        <w:tc>
          <w:tcPr>
            <w:tcW w:w="834" w:type="pct"/>
            <w:vAlign w:val="center"/>
          </w:tcPr>
          <w:p w14:paraId="5410E6EC" w14:textId="77777777" w:rsidR="00A06BE9" w:rsidRPr="00701F32" w:rsidRDefault="00A06BE9" w:rsidP="0086282C">
            <w:pPr>
              <w:spacing w:after="160" w:line="259" w:lineRule="auto"/>
              <w:contextualSpacing/>
              <w:jc w:val="right"/>
              <w:rPr>
                <w:rFonts w:ascii="Arial" w:eastAsia="Calibri" w:hAnsi="Arial" w:cs="Arial"/>
                <w:noProof/>
                <w:sz w:val="18"/>
                <w:lang w:val="es-ES_tradnl"/>
              </w:rPr>
            </w:pPr>
            <w:r w:rsidRPr="00701F32">
              <w:rPr>
                <w:rFonts w:ascii="Arial" w:eastAsia="Calibri" w:hAnsi="Arial" w:cs="Arial"/>
                <w:noProof/>
                <w:sz w:val="18"/>
              </w:rPr>
              <w:t>96,77%</w:t>
            </w:r>
          </w:p>
        </w:tc>
      </w:tr>
    </w:tbl>
    <w:p w14:paraId="37E95554" w14:textId="77777777" w:rsidR="00A06BE9" w:rsidRPr="00701F32" w:rsidRDefault="00A06BE9" w:rsidP="00A06BE9">
      <w:pPr>
        <w:contextualSpacing/>
        <w:jc w:val="both"/>
        <w:rPr>
          <w:rFonts w:ascii="Arial" w:eastAsia="Arial" w:hAnsi="Arial" w:cs="Arial"/>
          <w:sz w:val="20"/>
          <w:u w:val="single"/>
        </w:rPr>
      </w:pPr>
    </w:p>
    <w:p w14:paraId="0D7B37CF" w14:textId="780BFB60" w:rsidR="00A06BE9" w:rsidRDefault="00A06BE9" w:rsidP="00A06BE9">
      <w:pPr>
        <w:contextualSpacing/>
        <w:jc w:val="both"/>
        <w:rPr>
          <w:rFonts w:ascii="Arial" w:eastAsia="Arial" w:hAnsi="Arial" w:cs="Arial"/>
          <w:sz w:val="20"/>
          <w:u w:val="single"/>
        </w:rPr>
      </w:pPr>
    </w:p>
    <w:p w14:paraId="7EB780B1" w14:textId="35D77F57" w:rsidR="004437AA" w:rsidRDefault="004437AA" w:rsidP="00A06BE9">
      <w:pPr>
        <w:contextualSpacing/>
        <w:jc w:val="both"/>
        <w:rPr>
          <w:rFonts w:ascii="Arial" w:eastAsia="Arial" w:hAnsi="Arial" w:cs="Arial"/>
          <w:sz w:val="20"/>
          <w:u w:val="single"/>
        </w:rPr>
      </w:pPr>
    </w:p>
    <w:p w14:paraId="273D015A" w14:textId="09E495E0" w:rsidR="004437AA" w:rsidRDefault="004437AA" w:rsidP="00A06BE9">
      <w:pPr>
        <w:contextualSpacing/>
        <w:jc w:val="both"/>
        <w:rPr>
          <w:rFonts w:ascii="Arial" w:eastAsia="Arial" w:hAnsi="Arial" w:cs="Arial"/>
          <w:sz w:val="20"/>
          <w:u w:val="single"/>
        </w:rPr>
      </w:pPr>
    </w:p>
    <w:p w14:paraId="215674B0" w14:textId="77777777" w:rsidR="004437AA" w:rsidRPr="00701F32" w:rsidRDefault="004437AA" w:rsidP="00A06BE9">
      <w:pPr>
        <w:contextualSpacing/>
        <w:jc w:val="both"/>
        <w:rPr>
          <w:rFonts w:ascii="Arial" w:eastAsia="Arial" w:hAnsi="Arial" w:cs="Arial"/>
          <w:sz w:val="20"/>
          <w:u w:val="single"/>
        </w:rPr>
      </w:pPr>
    </w:p>
    <w:p w14:paraId="4B18ADD5" w14:textId="77777777" w:rsidR="00A06BE9" w:rsidRPr="00701F32" w:rsidRDefault="00614C70" w:rsidP="00A06BE9">
      <w:pPr>
        <w:contextualSpacing/>
        <w:jc w:val="both"/>
        <w:rPr>
          <w:rFonts w:ascii="Arial" w:eastAsia="Arial" w:hAnsi="Arial" w:cs="Arial"/>
          <w:sz w:val="20"/>
          <w:u w:val="single"/>
        </w:rPr>
      </w:pPr>
      <w:r w:rsidRPr="00701F32">
        <w:rPr>
          <w:rFonts w:ascii="Arial" w:eastAsia="Arial" w:hAnsi="Arial" w:cs="Arial"/>
          <w:sz w:val="20"/>
          <w:u w:val="single"/>
        </w:rPr>
        <w:t>S</w:t>
      </w:r>
      <w:r w:rsidR="00A06BE9" w:rsidRPr="00701F32">
        <w:rPr>
          <w:rFonts w:ascii="Arial" w:eastAsia="Arial" w:hAnsi="Arial" w:cs="Arial"/>
          <w:sz w:val="20"/>
          <w:u w:val="single"/>
        </w:rPr>
        <w:t xml:space="preserve">ubsidiarias </w:t>
      </w:r>
    </w:p>
    <w:p w14:paraId="0CD18F9C" w14:textId="77777777" w:rsidR="00A06BE9" w:rsidRPr="00701F32" w:rsidRDefault="00A06BE9" w:rsidP="00A06BE9">
      <w:pPr>
        <w:contextualSpacing/>
        <w:jc w:val="both"/>
        <w:rPr>
          <w:rFonts w:ascii="Arial" w:eastAsia="Arial" w:hAnsi="Arial" w:cs="Arial"/>
          <w:sz w:val="20"/>
        </w:rPr>
      </w:pPr>
    </w:p>
    <w:p w14:paraId="5E7F153C" w14:textId="77777777" w:rsidR="00A06BE9" w:rsidRPr="00701F32" w:rsidRDefault="00A06BE9" w:rsidP="00A06BE9">
      <w:pPr>
        <w:contextualSpacing/>
        <w:jc w:val="both"/>
        <w:rPr>
          <w:rFonts w:ascii="Arial" w:eastAsia="Arial" w:hAnsi="Arial" w:cs="Arial"/>
          <w:sz w:val="20"/>
        </w:rPr>
      </w:pPr>
      <w:r w:rsidRPr="00701F32">
        <w:rPr>
          <w:rFonts w:ascii="Arial" w:eastAsia="Arial" w:hAnsi="Arial" w:cs="Arial"/>
          <w:sz w:val="20"/>
        </w:rPr>
        <w:t>Las partes relacionadas al 3</w:t>
      </w:r>
      <w:r w:rsidR="00FF003D" w:rsidRPr="00701F32">
        <w:rPr>
          <w:rFonts w:ascii="Arial" w:eastAsia="Arial" w:hAnsi="Arial" w:cs="Arial"/>
          <w:sz w:val="20"/>
        </w:rPr>
        <w:t>0</w:t>
      </w:r>
      <w:r w:rsidRPr="00701F32">
        <w:rPr>
          <w:rFonts w:ascii="Arial" w:eastAsia="Arial" w:hAnsi="Arial" w:cs="Arial"/>
          <w:sz w:val="20"/>
        </w:rPr>
        <w:t xml:space="preserve"> de </w:t>
      </w:r>
      <w:r w:rsidR="00285339" w:rsidRPr="00701F32">
        <w:rPr>
          <w:rFonts w:ascii="Arial" w:eastAsia="Arial" w:hAnsi="Arial" w:cs="Arial"/>
          <w:sz w:val="20"/>
        </w:rPr>
        <w:t>septiembre</w:t>
      </w:r>
      <w:r w:rsidRPr="00701F32">
        <w:rPr>
          <w:rFonts w:ascii="Arial" w:eastAsia="Arial" w:hAnsi="Arial" w:cs="Arial"/>
          <w:sz w:val="20"/>
        </w:rPr>
        <w:t xml:space="preserve"> de 2018 y el detalle de la naturaleza de su relación es la siguiente:</w:t>
      </w:r>
    </w:p>
    <w:p w14:paraId="1DF6F031" w14:textId="77777777" w:rsidR="00AF05CB" w:rsidRPr="00701F32" w:rsidRDefault="00AF05CB" w:rsidP="00A06BE9">
      <w:pPr>
        <w:contextualSpacing/>
        <w:jc w:val="both"/>
        <w:rPr>
          <w:rFonts w:ascii="Calibri Light" w:eastAsia="Calibri" w:hAnsi="Calibri Light" w:cs="Calibri"/>
          <w:noProof/>
          <w:sz w:val="20"/>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829"/>
        <w:gridCol w:w="1829"/>
        <w:gridCol w:w="1828"/>
        <w:gridCol w:w="1830"/>
      </w:tblGrid>
      <w:tr w:rsidR="00A06BE9" w:rsidRPr="00701F32" w14:paraId="7E04B7FE" w14:textId="77777777" w:rsidTr="00464C0F">
        <w:tc>
          <w:tcPr>
            <w:tcW w:w="950" w:type="pct"/>
            <w:vMerge w:val="restart"/>
            <w:vAlign w:val="center"/>
          </w:tcPr>
          <w:p w14:paraId="5EE7FB27" w14:textId="77777777" w:rsidR="00A06BE9" w:rsidRPr="00701F32" w:rsidRDefault="00A06BE9" w:rsidP="00464C0F">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Nombre</w:t>
            </w:r>
          </w:p>
        </w:tc>
        <w:tc>
          <w:tcPr>
            <w:tcW w:w="1012" w:type="pct"/>
            <w:vMerge w:val="restart"/>
            <w:vAlign w:val="center"/>
          </w:tcPr>
          <w:p w14:paraId="049AF577" w14:textId="77777777" w:rsidR="00A06BE9" w:rsidRPr="00701F32" w:rsidRDefault="00A06BE9">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Naturaleza</w:t>
            </w:r>
          </w:p>
        </w:tc>
        <w:tc>
          <w:tcPr>
            <w:tcW w:w="1012" w:type="pct"/>
            <w:vMerge w:val="restart"/>
            <w:vAlign w:val="center"/>
          </w:tcPr>
          <w:p w14:paraId="47C79818" w14:textId="77777777" w:rsidR="00A06BE9" w:rsidRPr="00701F32" w:rsidRDefault="00A06BE9" w:rsidP="00464C0F">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Lugar de radicación</w:t>
            </w:r>
          </w:p>
        </w:tc>
        <w:tc>
          <w:tcPr>
            <w:tcW w:w="2025" w:type="pct"/>
            <w:gridSpan w:val="2"/>
            <w:vAlign w:val="center"/>
          </w:tcPr>
          <w:p w14:paraId="4F229D98" w14:textId="77777777" w:rsidR="00A06BE9" w:rsidRPr="00701F32" w:rsidRDefault="00A06BE9" w:rsidP="00464C0F">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Porcentaje de participación</w:t>
            </w:r>
          </w:p>
        </w:tc>
      </w:tr>
      <w:tr w:rsidR="00A06BE9" w:rsidRPr="00701F32" w14:paraId="7F527070" w14:textId="77777777" w:rsidTr="00490101">
        <w:tc>
          <w:tcPr>
            <w:tcW w:w="950" w:type="pct"/>
            <w:vMerge/>
            <w:vAlign w:val="center"/>
          </w:tcPr>
          <w:p w14:paraId="16137B12" w14:textId="77777777" w:rsidR="00A06BE9" w:rsidRPr="00701F32" w:rsidRDefault="00A06BE9" w:rsidP="00464C0F">
            <w:pPr>
              <w:spacing w:after="160" w:line="259" w:lineRule="auto"/>
              <w:contextualSpacing/>
              <w:jc w:val="center"/>
              <w:rPr>
                <w:rFonts w:ascii="Arial" w:eastAsia="Calibri" w:hAnsi="Arial" w:cs="Arial"/>
                <w:b/>
                <w:noProof/>
                <w:sz w:val="18"/>
                <w:szCs w:val="18"/>
              </w:rPr>
            </w:pPr>
          </w:p>
        </w:tc>
        <w:tc>
          <w:tcPr>
            <w:tcW w:w="1012" w:type="pct"/>
            <w:vMerge/>
            <w:vAlign w:val="center"/>
          </w:tcPr>
          <w:p w14:paraId="04651552" w14:textId="77777777" w:rsidR="00A06BE9" w:rsidRPr="00701F32" w:rsidRDefault="00A06BE9" w:rsidP="00464C0F">
            <w:pPr>
              <w:spacing w:after="160" w:line="259" w:lineRule="auto"/>
              <w:contextualSpacing/>
              <w:jc w:val="center"/>
              <w:rPr>
                <w:rFonts w:ascii="Arial" w:eastAsia="Calibri" w:hAnsi="Arial" w:cs="Arial"/>
                <w:b/>
                <w:noProof/>
                <w:sz w:val="18"/>
                <w:szCs w:val="18"/>
              </w:rPr>
            </w:pPr>
          </w:p>
        </w:tc>
        <w:tc>
          <w:tcPr>
            <w:tcW w:w="1012" w:type="pct"/>
            <w:vMerge/>
            <w:vAlign w:val="center"/>
          </w:tcPr>
          <w:p w14:paraId="34EF8B9C" w14:textId="77777777" w:rsidR="00A06BE9" w:rsidRPr="00701F32" w:rsidRDefault="00A06BE9" w:rsidP="00464C0F">
            <w:pPr>
              <w:spacing w:after="160" w:line="259" w:lineRule="auto"/>
              <w:contextualSpacing/>
              <w:jc w:val="center"/>
              <w:rPr>
                <w:rFonts w:ascii="Arial" w:eastAsia="Calibri" w:hAnsi="Arial" w:cs="Arial"/>
                <w:b/>
                <w:noProof/>
                <w:sz w:val="18"/>
                <w:szCs w:val="18"/>
              </w:rPr>
            </w:pPr>
          </w:p>
        </w:tc>
        <w:tc>
          <w:tcPr>
            <w:tcW w:w="1012" w:type="pct"/>
            <w:vAlign w:val="center"/>
          </w:tcPr>
          <w:p w14:paraId="64CBA893" w14:textId="77777777" w:rsidR="00A06BE9" w:rsidRPr="00701F32" w:rsidRDefault="00FF003D" w:rsidP="00FF003D">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Juni</w:t>
            </w:r>
            <w:r w:rsidR="00367CA1" w:rsidRPr="00701F32">
              <w:rPr>
                <w:rFonts w:ascii="Arial" w:eastAsia="Calibri" w:hAnsi="Arial" w:cs="Arial"/>
                <w:b/>
                <w:noProof/>
                <w:sz w:val="18"/>
                <w:szCs w:val="18"/>
              </w:rPr>
              <w:t xml:space="preserve">o </w:t>
            </w:r>
            <w:r w:rsidR="00A06BE9" w:rsidRPr="00701F32">
              <w:rPr>
                <w:rFonts w:ascii="Arial" w:eastAsia="Calibri" w:hAnsi="Arial" w:cs="Arial"/>
                <w:b/>
                <w:noProof/>
                <w:sz w:val="18"/>
                <w:szCs w:val="18"/>
              </w:rPr>
              <w:t>2018</w:t>
            </w:r>
          </w:p>
        </w:tc>
        <w:tc>
          <w:tcPr>
            <w:tcW w:w="1013" w:type="pct"/>
            <w:vAlign w:val="center"/>
          </w:tcPr>
          <w:p w14:paraId="740F057D" w14:textId="77777777" w:rsidR="00A06BE9" w:rsidRPr="00701F32" w:rsidRDefault="00367CA1" w:rsidP="00464C0F">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 xml:space="preserve">Diciembre </w:t>
            </w:r>
            <w:r w:rsidR="00A06BE9" w:rsidRPr="00701F32">
              <w:rPr>
                <w:rFonts w:ascii="Arial" w:eastAsia="Calibri" w:hAnsi="Arial" w:cs="Arial"/>
                <w:b/>
                <w:noProof/>
                <w:sz w:val="18"/>
                <w:szCs w:val="18"/>
              </w:rPr>
              <w:t>2017</w:t>
            </w:r>
          </w:p>
        </w:tc>
      </w:tr>
      <w:tr w:rsidR="002F0893" w:rsidRPr="00701F32" w14:paraId="5F4033C7" w14:textId="77777777" w:rsidTr="005819B2">
        <w:trPr>
          <w:trHeight w:val="221"/>
        </w:trPr>
        <w:tc>
          <w:tcPr>
            <w:tcW w:w="950" w:type="pct"/>
            <w:tcBorders>
              <w:top w:val="single" w:sz="4" w:space="0" w:color="auto"/>
              <w:left w:val="single" w:sz="4" w:space="0" w:color="auto"/>
              <w:bottom w:val="single" w:sz="4" w:space="0" w:color="auto"/>
              <w:right w:val="single" w:sz="4" w:space="0" w:color="auto"/>
            </w:tcBorders>
          </w:tcPr>
          <w:p w14:paraId="18B06569" w14:textId="77777777" w:rsidR="002F0893" w:rsidRPr="00701F32" w:rsidRDefault="002F0893" w:rsidP="002F0893">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Cordial Compañía Financiera S.A.</w:t>
            </w:r>
          </w:p>
        </w:tc>
        <w:tc>
          <w:tcPr>
            <w:tcW w:w="1012" w:type="pct"/>
            <w:tcBorders>
              <w:top w:val="single" w:sz="4" w:space="0" w:color="auto"/>
              <w:left w:val="single" w:sz="4" w:space="0" w:color="auto"/>
              <w:bottom w:val="single" w:sz="4" w:space="0" w:color="auto"/>
              <w:right w:val="single" w:sz="4" w:space="0" w:color="auto"/>
            </w:tcBorders>
          </w:tcPr>
          <w:p w14:paraId="422F3633" w14:textId="77777777" w:rsidR="002F0893" w:rsidRPr="00701F32" w:rsidRDefault="002F0893" w:rsidP="002F0893">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95 % del Capital Social y derecho a votos</w:t>
            </w:r>
          </w:p>
        </w:tc>
        <w:tc>
          <w:tcPr>
            <w:tcW w:w="1012" w:type="pct"/>
            <w:tcBorders>
              <w:top w:val="single" w:sz="4" w:space="0" w:color="auto"/>
              <w:left w:val="single" w:sz="4" w:space="0" w:color="auto"/>
              <w:bottom w:val="single" w:sz="4" w:space="0" w:color="auto"/>
              <w:right w:val="single" w:sz="4" w:space="0" w:color="auto"/>
            </w:tcBorders>
            <w:vAlign w:val="center"/>
          </w:tcPr>
          <w:p w14:paraId="283F2031" w14:textId="77777777" w:rsidR="002F0893" w:rsidRPr="00701F32" w:rsidRDefault="002F0893">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Reconquista 320 CABA</w:t>
            </w:r>
          </w:p>
        </w:tc>
        <w:tc>
          <w:tcPr>
            <w:tcW w:w="1012" w:type="pct"/>
            <w:tcBorders>
              <w:top w:val="single" w:sz="4" w:space="0" w:color="auto"/>
              <w:left w:val="single" w:sz="4" w:space="0" w:color="auto"/>
              <w:bottom w:val="single" w:sz="4" w:space="0" w:color="auto"/>
              <w:right w:val="single" w:sz="4" w:space="0" w:color="auto"/>
            </w:tcBorders>
            <w:vAlign w:val="center"/>
          </w:tcPr>
          <w:p w14:paraId="18C2AD3A" w14:textId="77777777" w:rsidR="002F0893" w:rsidRPr="00701F32" w:rsidRDefault="002F0893">
            <w:pPr>
              <w:spacing w:after="160" w:line="259" w:lineRule="auto"/>
              <w:contextualSpacing/>
              <w:jc w:val="right"/>
              <w:rPr>
                <w:rFonts w:ascii="Arial" w:eastAsia="Calibri" w:hAnsi="Arial" w:cs="Arial"/>
                <w:noProof/>
                <w:sz w:val="18"/>
                <w:szCs w:val="18"/>
              </w:rPr>
            </w:pPr>
            <w:r w:rsidRPr="00701F32">
              <w:rPr>
                <w:rFonts w:ascii="Arial" w:eastAsia="Calibri" w:hAnsi="Arial" w:cs="Arial"/>
                <w:noProof/>
                <w:sz w:val="18"/>
                <w:szCs w:val="18"/>
              </w:rPr>
              <w:t>95%</w:t>
            </w:r>
          </w:p>
        </w:tc>
        <w:tc>
          <w:tcPr>
            <w:tcW w:w="1013" w:type="pct"/>
            <w:tcBorders>
              <w:top w:val="single" w:sz="4" w:space="0" w:color="auto"/>
              <w:left w:val="single" w:sz="4" w:space="0" w:color="auto"/>
              <w:bottom w:val="single" w:sz="4" w:space="0" w:color="auto"/>
              <w:right w:val="single" w:sz="4" w:space="0" w:color="auto"/>
            </w:tcBorders>
            <w:vAlign w:val="center"/>
          </w:tcPr>
          <w:p w14:paraId="7F7C5119" w14:textId="77777777" w:rsidR="002F0893" w:rsidRPr="00701F32" w:rsidRDefault="002F0893">
            <w:pPr>
              <w:spacing w:after="160" w:line="259" w:lineRule="auto"/>
              <w:contextualSpacing/>
              <w:jc w:val="right"/>
              <w:rPr>
                <w:rFonts w:ascii="Arial" w:eastAsia="Calibri" w:hAnsi="Arial" w:cs="Arial"/>
                <w:noProof/>
                <w:sz w:val="18"/>
                <w:szCs w:val="18"/>
              </w:rPr>
            </w:pPr>
            <w:r w:rsidRPr="00701F32">
              <w:rPr>
                <w:rFonts w:ascii="Arial" w:eastAsia="Calibri" w:hAnsi="Arial" w:cs="Arial"/>
                <w:noProof/>
                <w:sz w:val="18"/>
                <w:szCs w:val="18"/>
              </w:rPr>
              <w:t>95%</w:t>
            </w:r>
          </w:p>
        </w:tc>
      </w:tr>
    </w:tbl>
    <w:p w14:paraId="3D0F3156" w14:textId="77777777" w:rsidR="00A06BE9" w:rsidRPr="00701F32" w:rsidRDefault="00A06BE9" w:rsidP="00A06BE9">
      <w:pPr>
        <w:contextualSpacing/>
        <w:jc w:val="both"/>
        <w:rPr>
          <w:rFonts w:ascii="Arial" w:eastAsia="Arial" w:hAnsi="Arial" w:cs="Arial"/>
          <w:sz w:val="20"/>
        </w:rPr>
      </w:pPr>
    </w:p>
    <w:p w14:paraId="0AE47421" w14:textId="77777777" w:rsidR="00614C70" w:rsidRPr="00701F32" w:rsidRDefault="003A0C03" w:rsidP="005819B2">
      <w:pPr>
        <w:tabs>
          <w:tab w:val="left" w:pos="142"/>
        </w:tabs>
        <w:spacing w:after="160" w:line="259" w:lineRule="auto"/>
        <w:jc w:val="both"/>
        <w:rPr>
          <w:rFonts w:ascii="Arial" w:eastAsia="Arial" w:hAnsi="Arial" w:cs="Arial"/>
          <w:bCs/>
          <w:noProof/>
          <w:color w:val="000000"/>
          <w:sz w:val="20"/>
          <w:u w:val="single"/>
        </w:rPr>
      </w:pPr>
      <w:r w:rsidRPr="00701F32">
        <w:rPr>
          <w:rFonts w:ascii="Arial" w:eastAsia="Calibri" w:hAnsi="Arial" w:cs="Arial"/>
          <w:sz w:val="20"/>
          <w:u w:val="single"/>
        </w:rPr>
        <w:t>A</w:t>
      </w:r>
      <w:r w:rsidR="00C6108C" w:rsidRPr="00701F32">
        <w:rPr>
          <w:rFonts w:ascii="Arial" w:eastAsia="Calibri" w:hAnsi="Arial" w:cs="Arial"/>
          <w:sz w:val="20"/>
          <w:u w:val="single"/>
        </w:rPr>
        <w:t xml:space="preserve">sociadas </w:t>
      </w:r>
    </w:p>
    <w:p w14:paraId="7947DF31" w14:textId="4040E90A" w:rsidR="00C6108C" w:rsidRPr="00701F32" w:rsidRDefault="00C6108C" w:rsidP="00C6108C">
      <w:pPr>
        <w:jc w:val="both"/>
        <w:rPr>
          <w:rFonts w:ascii="Arial" w:eastAsia="Calibri" w:hAnsi="Arial" w:cs="Arial"/>
          <w:sz w:val="20"/>
        </w:rPr>
      </w:pPr>
      <w:r w:rsidRPr="00701F32">
        <w:rPr>
          <w:rFonts w:ascii="Arial" w:eastAsia="Calibri" w:hAnsi="Arial" w:cs="Arial"/>
          <w:sz w:val="20"/>
        </w:rPr>
        <w:t>Al 3</w:t>
      </w:r>
      <w:r w:rsidR="00FF003D" w:rsidRPr="00701F32">
        <w:rPr>
          <w:rFonts w:ascii="Arial" w:eastAsia="Calibri" w:hAnsi="Arial" w:cs="Arial"/>
          <w:sz w:val="20"/>
        </w:rPr>
        <w:t>0</w:t>
      </w:r>
      <w:r w:rsidRPr="00701F32">
        <w:rPr>
          <w:rFonts w:ascii="Arial" w:eastAsia="Calibri" w:hAnsi="Arial" w:cs="Arial"/>
          <w:sz w:val="20"/>
        </w:rPr>
        <w:t xml:space="preserve"> de </w:t>
      </w:r>
      <w:r w:rsidR="00285339" w:rsidRPr="00701F32">
        <w:rPr>
          <w:rFonts w:ascii="Arial" w:eastAsia="Calibri" w:hAnsi="Arial" w:cs="Arial"/>
          <w:sz w:val="20"/>
        </w:rPr>
        <w:t>septiembre</w:t>
      </w:r>
      <w:r w:rsidRPr="00701F32">
        <w:rPr>
          <w:rFonts w:ascii="Arial" w:eastAsia="Calibri" w:hAnsi="Arial" w:cs="Arial"/>
          <w:sz w:val="20"/>
        </w:rPr>
        <w:t xml:space="preserve"> de 2018 la entidad tenía una participación accionaria de la Entidad en Tarjeta Automática S.A. representa el 12,5 % del capital social y de los votos y se encuentra registrada en el rubro Inversión en subsidiarias, asociadas y negocios conjuntos por </w:t>
      </w:r>
      <w:r w:rsidR="00DC1697" w:rsidRPr="00701F32">
        <w:rPr>
          <w:rFonts w:ascii="Arial" w:eastAsia="Calibri" w:hAnsi="Arial" w:cs="Arial"/>
          <w:sz w:val="20"/>
        </w:rPr>
        <w:t>4</w:t>
      </w:r>
      <w:r w:rsidR="00BE6948" w:rsidRPr="00701F32">
        <w:rPr>
          <w:rFonts w:ascii="Arial" w:eastAsia="Calibri" w:hAnsi="Arial" w:cs="Arial"/>
          <w:sz w:val="20"/>
        </w:rPr>
        <w:t>3</w:t>
      </w:r>
      <w:r w:rsidR="00DC1697" w:rsidRPr="00701F32">
        <w:rPr>
          <w:rFonts w:ascii="Arial" w:eastAsia="Calibri" w:hAnsi="Arial" w:cs="Arial"/>
          <w:sz w:val="20"/>
        </w:rPr>
        <w:t>.0</w:t>
      </w:r>
      <w:r w:rsidR="00BE6948" w:rsidRPr="00701F32">
        <w:rPr>
          <w:rFonts w:ascii="Arial" w:eastAsia="Calibri" w:hAnsi="Arial" w:cs="Arial"/>
          <w:sz w:val="20"/>
        </w:rPr>
        <w:t>5</w:t>
      </w:r>
      <w:r w:rsidR="00DC1697" w:rsidRPr="00701F32">
        <w:rPr>
          <w:rFonts w:ascii="Arial" w:eastAsia="Calibri" w:hAnsi="Arial" w:cs="Arial"/>
          <w:sz w:val="20"/>
        </w:rPr>
        <w:t>3</w:t>
      </w:r>
      <w:r w:rsidR="00FF003D" w:rsidRPr="00701F32">
        <w:rPr>
          <w:rFonts w:ascii="Arial" w:eastAsia="Calibri" w:hAnsi="Arial" w:cs="Arial"/>
          <w:sz w:val="20"/>
        </w:rPr>
        <w:t>.</w:t>
      </w:r>
    </w:p>
    <w:p w14:paraId="554A4666" w14:textId="77777777" w:rsidR="00C6108C" w:rsidRPr="00701F32" w:rsidRDefault="00C6108C" w:rsidP="00C6108C">
      <w:pPr>
        <w:jc w:val="both"/>
        <w:rPr>
          <w:rFonts w:ascii="Arial" w:eastAsia="Arial" w:hAnsi="Arial" w:cs="Arial"/>
          <w:bCs/>
          <w:noProof/>
          <w:color w:val="000000"/>
          <w:sz w:val="20"/>
        </w:rPr>
      </w:pPr>
    </w:p>
    <w:p w14:paraId="1D7B8A9A" w14:textId="77777777" w:rsidR="00C6108C" w:rsidRPr="00701F32" w:rsidRDefault="00C6108C" w:rsidP="00C6108C">
      <w:pPr>
        <w:tabs>
          <w:tab w:val="left" w:pos="142"/>
        </w:tabs>
        <w:spacing w:after="200" w:line="276" w:lineRule="auto"/>
        <w:contextualSpacing/>
        <w:jc w:val="both"/>
        <w:rPr>
          <w:rFonts w:ascii="Arial" w:eastAsia="Calibri" w:hAnsi="Arial" w:cs="Arial"/>
          <w:sz w:val="20"/>
          <w:u w:val="single"/>
          <w:lang w:eastAsia="es-AR"/>
        </w:rPr>
      </w:pPr>
      <w:r w:rsidRPr="00701F32">
        <w:rPr>
          <w:rFonts w:ascii="Arial" w:eastAsia="Calibri" w:hAnsi="Arial" w:cs="Arial"/>
          <w:color w:val="000000"/>
          <w:sz w:val="20"/>
        </w:rPr>
        <w:t xml:space="preserve">Con fecha 19 de marzo de 2018, se efectuó un aporte de capital por un total de 30.000. El mismo fue capitalizado conforme a lo resuelto por la Asamblea de Accionistas celebrada ese mismo día. </w:t>
      </w:r>
      <w:r w:rsidRPr="00701F32">
        <w:rPr>
          <w:rFonts w:ascii="Arial" w:eastAsia="Calibri" w:hAnsi="Arial" w:cs="Arial"/>
          <w:sz w:val="20"/>
        </w:rPr>
        <w:t>La tenencia accionaria de la Entidad asciende a 45.381.900 acciones.</w:t>
      </w:r>
    </w:p>
    <w:p w14:paraId="2780FDBA" w14:textId="77777777" w:rsidR="00C6108C" w:rsidRPr="00701F32" w:rsidRDefault="00C6108C" w:rsidP="00A06BE9">
      <w:pPr>
        <w:tabs>
          <w:tab w:val="left" w:pos="142"/>
        </w:tabs>
        <w:spacing w:after="200" w:line="276" w:lineRule="auto"/>
        <w:contextualSpacing/>
        <w:jc w:val="both"/>
        <w:rPr>
          <w:rFonts w:ascii="Arial" w:eastAsia="Calibri" w:hAnsi="Arial" w:cs="Arial"/>
          <w:sz w:val="20"/>
          <w:u w:val="single"/>
          <w:lang w:eastAsia="es-AR"/>
        </w:rPr>
      </w:pPr>
    </w:p>
    <w:p w14:paraId="1A92A2DD" w14:textId="77777777" w:rsidR="00A06BE9" w:rsidRPr="00701F32" w:rsidRDefault="00A06BE9" w:rsidP="00A06BE9">
      <w:pPr>
        <w:tabs>
          <w:tab w:val="left" w:pos="142"/>
        </w:tabs>
        <w:spacing w:after="200" w:line="276" w:lineRule="auto"/>
        <w:contextualSpacing/>
        <w:jc w:val="both"/>
        <w:rPr>
          <w:rFonts w:ascii="Arial" w:eastAsia="Calibri" w:hAnsi="Arial" w:cs="Arial"/>
          <w:bCs/>
          <w:sz w:val="20"/>
          <w:lang w:eastAsia="es-AR"/>
        </w:rPr>
      </w:pPr>
      <w:r w:rsidRPr="00701F32">
        <w:rPr>
          <w:rFonts w:ascii="Arial" w:eastAsia="Calibri" w:hAnsi="Arial" w:cs="Arial"/>
          <w:sz w:val="20"/>
          <w:u w:val="single"/>
          <w:lang w:eastAsia="es-AR"/>
        </w:rPr>
        <w:t>Sociedades vinculadas</w:t>
      </w:r>
    </w:p>
    <w:p w14:paraId="067EA70B" w14:textId="77777777" w:rsidR="00A06BE9" w:rsidRPr="00701F32" w:rsidRDefault="00A06BE9" w:rsidP="00A06BE9">
      <w:pPr>
        <w:tabs>
          <w:tab w:val="left" w:pos="142"/>
        </w:tabs>
        <w:spacing w:after="200" w:line="276" w:lineRule="auto"/>
        <w:contextualSpacing/>
        <w:jc w:val="both"/>
        <w:rPr>
          <w:rFonts w:ascii="Arial" w:eastAsia="Calibri" w:hAnsi="Arial" w:cs="Arial"/>
          <w:bCs/>
          <w:sz w:val="20"/>
          <w:lang w:eastAsia="es-AR"/>
        </w:rPr>
      </w:pPr>
    </w:p>
    <w:p w14:paraId="43DB11A9" w14:textId="77777777" w:rsidR="00A06BE9" w:rsidRPr="00701F32" w:rsidRDefault="00A06BE9" w:rsidP="00A06BE9">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Banco Supervielle S.A. está vinculado a Sofital S.A.F.e I.I. Al 3</w:t>
      </w:r>
      <w:r w:rsidR="00FF003D" w:rsidRPr="00701F32">
        <w:rPr>
          <w:rFonts w:ascii="Arial" w:eastAsia="Calibri" w:hAnsi="Arial" w:cs="Arial"/>
          <w:sz w:val="20"/>
        </w:rPr>
        <w:t>0</w:t>
      </w:r>
      <w:r w:rsidRPr="00701F32">
        <w:rPr>
          <w:rFonts w:ascii="Arial" w:eastAsia="Calibri" w:hAnsi="Arial" w:cs="Arial"/>
          <w:sz w:val="20"/>
        </w:rPr>
        <w:t xml:space="preserve"> de </w:t>
      </w:r>
      <w:r w:rsidR="00285339" w:rsidRPr="00701F32">
        <w:rPr>
          <w:rFonts w:ascii="Arial" w:eastAsia="Calibri" w:hAnsi="Arial" w:cs="Arial"/>
          <w:sz w:val="20"/>
        </w:rPr>
        <w:t>septiembre</w:t>
      </w:r>
      <w:r w:rsidRPr="00701F32">
        <w:rPr>
          <w:rFonts w:ascii="Arial" w:eastAsia="Calibri" w:hAnsi="Arial" w:cs="Arial"/>
          <w:sz w:val="20"/>
        </w:rPr>
        <w:t xml:space="preserve"> de 2018 la participación accionaria de Sofital S.A.F.e I.I. en Banco Supervielle S.A. representa el 3,11% del capital social y el 3,13% de los votos</w:t>
      </w:r>
      <w:r w:rsidR="002309A7" w:rsidRPr="00701F32">
        <w:rPr>
          <w:rFonts w:ascii="Arial" w:eastAsia="Calibri" w:hAnsi="Arial" w:cs="Arial"/>
          <w:sz w:val="20"/>
        </w:rPr>
        <w:t>. A</w:t>
      </w:r>
      <w:r w:rsidRPr="00701F32">
        <w:rPr>
          <w:rFonts w:ascii="Arial" w:eastAsia="Calibri" w:hAnsi="Arial" w:cs="Arial"/>
          <w:sz w:val="20"/>
        </w:rPr>
        <w:t>l 31 de diciembre de 2017 representaba el 3,11% del capital social y el 3,12% de los votos y al 01 de enero de 2017 representaba el 2,02% del capital social y el 2,80% de los votos.</w:t>
      </w:r>
    </w:p>
    <w:p w14:paraId="464150DE" w14:textId="77777777" w:rsidR="00A06BE9" w:rsidRPr="00701F32" w:rsidRDefault="00A06BE9" w:rsidP="00A06BE9">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La Entidad se encuentra vinculada a las empresas Supervielle Asset Management S.A., Espacio Cordial de Servicios S.A.</w:t>
      </w:r>
      <w:r w:rsidR="00631036" w:rsidRPr="00701F32">
        <w:rPr>
          <w:rFonts w:ascii="Arial" w:eastAsia="Calibri" w:hAnsi="Arial" w:cs="Arial"/>
          <w:sz w:val="20"/>
        </w:rPr>
        <w:t>,</w:t>
      </w:r>
      <w:r w:rsidRPr="00701F32">
        <w:rPr>
          <w:rFonts w:ascii="Arial" w:eastAsia="Calibri" w:hAnsi="Arial" w:cs="Arial"/>
          <w:sz w:val="20"/>
        </w:rPr>
        <w:t xml:space="preserve"> Supervielle Seguros S.A.</w:t>
      </w:r>
      <w:r w:rsidR="00805B59" w:rsidRPr="00701F32">
        <w:rPr>
          <w:rFonts w:ascii="Arial" w:eastAsia="Calibri" w:hAnsi="Arial" w:cs="Arial"/>
          <w:sz w:val="20"/>
        </w:rPr>
        <w:t>,</w:t>
      </w:r>
      <w:r w:rsidR="00631036" w:rsidRPr="00701F32">
        <w:rPr>
          <w:rFonts w:ascii="Arial" w:eastAsia="Calibri" w:hAnsi="Arial" w:cs="Arial"/>
          <w:sz w:val="20"/>
        </w:rPr>
        <w:t xml:space="preserve"> Invertir OnLine S.A.</w:t>
      </w:r>
      <w:r w:rsidR="00805B59" w:rsidRPr="00701F32">
        <w:rPr>
          <w:rFonts w:ascii="Arial" w:eastAsia="Calibri" w:hAnsi="Arial" w:cs="Arial"/>
          <w:sz w:val="20"/>
        </w:rPr>
        <w:t>, InvertirOnline.Com Argentina S.A. y Micro Lending S.A.</w:t>
      </w:r>
      <w:r w:rsidR="00631036" w:rsidRPr="00701F32">
        <w:rPr>
          <w:rFonts w:ascii="Arial" w:eastAsia="Calibri" w:hAnsi="Arial" w:cs="Arial"/>
          <w:sz w:val="20"/>
        </w:rPr>
        <w:t xml:space="preserve"> </w:t>
      </w:r>
      <w:r w:rsidRPr="00701F32">
        <w:rPr>
          <w:rFonts w:ascii="Arial" w:eastAsia="Calibri" w:hAnsi="Arial" w:cs="Arial"/>
          <w:sz w:val="20"/>
        </w:rPr>
        <w:t>por ser sociedades controladas por Grupo Supervielle S.A.</w:t>
      </w:r>
    </w:p>
    <w:p w14:paraId="52C831A2" w14:textId="77777777" w:rsidR="00A06BE9" w:rsidRPr="00701F32" w:rsidRDefault="00A06BE9" w:rsidP="00A06BE9">
      <w:pPr>
        <w:contextualSpacing/>
        <w:jc w:val="both"/>
        <w:rPr>
          <w:rFonts w:ascii="Arial" w:eastAsia="Calibri" w:hAnsi="Arial" w:cs="Arial"/>
          <w:noProof/>
          <w:sz w:val="20"/>
          <w:u w:val="single"/>
        </w:rPr>
      </w:pPr>
      <w:r w:rsidRPr="00701F32">
        <w:rPr>
          <w:rFonts w:ascii="Arial" w:eastAsia="Calibri" w:hAnsi="Arial" w:cs="Arial"/>
          <w:noProof/>
          <w:sz w:val="20"/>
          <w:u w:val="single"/>
        </w:rPr>
        <w:t>A continuación se detallan los saldos y transacciones más significativas con partes relacionadas:</w:t>
      </w:r>
    </w:p>
    <w:p w14:paraId="6524FDA6" w14:textId="77777777" w:rsidR="00A06BE9" w:rsidRPr="00701F32" w:rsidRDefault="00A06BE9" w:rsidP="00A06BE9">
      <w:pPr>
        <w:widowControl w:val="0"/>
        <w:autoSpaceDE w:val="0"/>
        <w:autoSpaceDN w:val="0"/>
        <w:adjustRightInd w:val="0"/>
        <w:jc w:val="both"/>
        <w:rPr>
          <w:rFonts w:ascii="Arial" w:hAnsi="Arial" w:cs="Arial"/>
          <w:b/>
          <w:noProof/>
          <w:sz w:val="20"/>
        </w:rPr>
      </w:pPr>
    </w:p>
    <w:p w14:paraId="5723B56D" w14:textId="5E872688" w:rsidR="00A06BE9" w:rsidRDefault="00A06BE9" w:rsidP="00A06BE9">
      <w:pPr>
        <w:widowControl w:val="0"/>
        <w:autoSpaceDE w:val="0"/>
        <w:autoSpaceDN w:val="0"/>
        <w:adjustRightInd w:val="0"/>
        <w:jc w:val="both"/>
        <w:rPr>
          <w:rFonts w:ascii="Arial" w:eastAsia="Calibri" w:hAnsi="Arial" w:cs="Arial"/>
          <w:color w:val="000000"/>
          <w:sz w:val="20"/>
        </w:rPr>
      </w:pPr>
      <w:r w:rsidRPr="00701F32">
        <w:rPr>
          <w:rFonts w:ascii="Arial" w:eastAsia="Calibri" w:hAnsi="Arial" w:cs="Arial"/>
          <w:color w:val="000000"/>
          <w:sz w:val="20"/>
        </w:rPr>
        <w:t>Los saldos al 3</w:t>
      </w:r>
      <w:r w:rsidR="00FF003D" w:rsidRPr="00701F32">
        <w:rPr>
          <w:rFonts w:ascii="Arial" w:eastAsia="Calibri" w:hAnsi="Arial" w:cs="Arial"/>
          <w:color w:val="000000"/>
          <w:sz w:val="20"/>
        </w:rPr>
        <w:t>0</w:t>
      </w:r>
      <w:r w:rsidRPr="00701F32">
        <w:rPr>
          <w:rFonts w:ascii="Arial" w:eastAsia="Calibri" w:hAnsi="Arial" w:cs="Arial"/>
          <w:color w:val="000000"/>
          <w:sz w:val="20"/>
        </w:rPr>
        <w:t xml:space="preserve"> de </w:t>
      </w:r>
      <w:r w:rsidR="00285339" w:rsidRPr="00701F32">
        <w:rPr>
          <w:rFonts w:ascii="Arial" w:eastAsia="Calibri" w:hAnsi="Arial" w:cs="Arial"/>
          <w:color w:val="000000"/>
          <w:sz w:val="20"/>
        </w:rPr>
        <w:t>septiembre</w:t>
      </w:r>
      <w:r w:rsidRPr="00701F32">
        <w:rPr>
          <w:rFonts w:ascii="Arial" w:eastAsia="Calibri" w:hAnsi="Arial" w:cs="Arial"/>
          <w:color w:val="000000"/>
          <w:sz w:val="20"/>
        </w:rPr>
        <w:t xml:space="preserve"> de 2018, al 31 diciembre de 2017 y al 1ro de enero de 2017, con las sociedades indicadas son los siguientes:</w:t>
      </w:r>
    </w:p>
    <w:p w14:paraId="01DE129E" w14:textId="2CD13D1C" w:rsidR="004437AA" w:rsidRDefault="004437AA" w:rsidP="00A06BE9">
      <w:pPr>
        <w:widowControl w:val="0"/>
        <w:autoSpaceDE w:val="0"/>
        <w:autoSpaceDN w:val="0"/>
        <w:adjustRightInd w:val="0"/>
        <w:jc w:val="both"/>
        <w:rPr>
          <w:rFonts w:ascii="Arial" w:eastAsia="Calibri" w:hAnsi="Arial" w:cs="Arial"/>
          <w:color w:val="000000"/>
          <w:sz w:val="20"/>
        </w:rPr>
      </w:pPr>
    </w:p>
    <w:p w14:paraId="72221371" w14:textId="19DD8EDB" w:rsidR="004437AA" w:rsidRDefault="004437AA" w:rsidP="00A06BE9">
      <w:pPr>
        <w:widowControl w:val="0"/>
        <w:autoSpaceDE w:val="0"/>
        <w:autoSpaceDN w:val="0"/>
        <w:adjustRightInd w:val="0"/>
        <w:jc w:val="both"/>
        <w:rPr>
          <w:rFonts w:ascii="Arial" w:eastAsia="Calibri" w:hAnsi="Arial" w:cs="Arial"/>
          <w:color w:val="000000"/>
          <w:sz w:val="20"/>
        </w:rPr>
      </w:pPr>
    </w:p>
    <w:p w14:paraId="63BE2E84" w14:textId="77777777" w:rsidR="004437AA" w:rsidRPr="00701F32" w:rsidRDefault="004437AA" w:rsidP="00A06BE9">
      <w:pPr>
        <w:widowControl w:val="0"/>
        <w:autoSpaceDE w:val="0"/>
        <w:autoSpaceDN w:val="0"/>
        <w:adjustRightInd w:val="0"/>
        <w:jc w:val="both"/>
        <w:rPr>
          <w:rFonts w:ascii="Arial" w:hAnsi="Arial" w:cs="Arial"/>
          <w:b/>
          <w:noProof/>
          <w:sz w:val="20"/>
        </w:rPr>
      </w:pPr>
    </w:p>
    <w:p w14:paraId="0FF3F490" w14:textId="77777777" w:rsidR="00A06BE9" w:rsidRPr="00701F32" w:rsidRDefault="00A06BE9" w:rsidP="00A06BE9">
      <w:pPr>
        <w:widowControl w:val="0"/>
        <w:autoSpaceDE w:val="0"/>
        <w:autoSpaceDN w:val="0"/>
        <w:adjustRightInd w:val="0"/>
        <w:jc w:val="both"/>
        <w:rPr>
          <w:rFonts w:ascii="Arial" w:hAnsi="Arial" w:cs="Arial"/>
          <w:b/>
          <w:noProof/>
          <w:sz w:val="20"/>
        </w:rPr>
      </w:pPr>
    </w:p>
    <w:tbl>
      <w:tblPr>
        <w:tblW w:w="1010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36"/>
        <w:gridCol w:w="1659"/>
        <w:gridCol w:w="936"/>
        <w:gridCol w:w="1090"/>
        <w:gridCol w:w="1106"/>
        <w:gridCol w:w="1162"/>
        <w:gridCol w:w="1311"/>
      </w:tblGrid>
      <w:tr w:rsidR="00067378" w:rsidRPr="00701F32" w14:paraId="7EC6EF6D" w14:textId="77777777" w:rsidTr="00E311C9">
        <w:trPr>
          <w:trHeight w:val="297"/>
          <w:tblHeader/>
        </w:trPr>
        <w:tc>
          <w:tcPr>
            <w:tcW w:w="2836" w:type="dxa"/>
            <w:vMerge w:val="restart"/>
            <w:shd w:val="clear" w:color="auto" w:fill="auto"/>
            <w:vAlign w:val="center"/>
            <w:hideMark/>
          </w:tcPr>
          <w:p w14:paraId="398FC4CC" w14:textId="77777777" w:rsidR="00A06BE9" w:rsidRPr="00701F32" w:rsidRDefault="00A06BE9" w:rsidP="00464C0F">
            <w:pPr>
              <w:spacing w:after="160" w:line="259" w:lineRule="auto"/>
              <w:jc w:val="center"/>
              <w:rPr>
                <w:rFonts w:ascii="Arial" w:eastAsia="Calibri" w:hAnsi="Arial" w:cs="Arial"/>
                <w:b/>
                <w:color w:val="000000"/>
                <w:sz w:val="16"/>
              </w:rPr>
            </w:pPr>
            <w:bookmarkStart w:id="1" w:name="OLE_LINK3"/>
            <w:r w:rsidRPr="00701F32">
              <w:rPr>
                <w:rFonts w:ascii="Arial" w:eastAsia="Calibri" w:hAnsi="Arial" w:cs="Arial"/>
                <w:b/>
                <w:color w:val="000000"/>
                <w:sz w:val="16"/>
              </w:rPr>
              <w:t>Sociedades</w:t>
            </w:r>
          </w:p>
        </w:tc>
        <w:tc>
          <w:tcPr>
            <w:tcW w:w="7264" w:type="dxa"/>
            <w:gridSpan w:val="6"/>
            <w:vAlign w:val="bottom"/>
          </w:tcPr>
          <w:p w14:paraId="5B7DA8F0" w14:textId="77777777" w:rsidR="00A06BE9" w:rsidRPr="00701F32" w:rsidRDefault="00A06BE9">
            <w:pPr>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3</w:t>
            </w:r>
            <w:r w:rsidR="00631036" w:rsidRPr="00701F32">
              <w:rPr>
                <w:rFonts w:ascii="Arial" w:eastAsia="Calibri" w:hAnsi="Arial" w:cs="Arial"/>
                <w:b/>
                <w:color w:val="000000"/>
                <w:sz w:val="16"/>
                <w:lang w:eastAsia="es-AR"/>
              </w:rPr>
              <w:t>0</w:t>
            </w:r>
            <w:r w:rsidRPr="00701F32">
              <w:rPr>
                <w:rFonts w:ascii="Arial" w:eastAsia="Calibri" w:hAnsi="Arial" w:cs="Arial"/>
                <w:b/>
                <w:color w:val="000000"/>
                <w:sz w:val="16"/>
                <w:lang w:eastAsia="es-AR"/>
              </w:rPr>
              <w:t>/0</w:t>
            </w:r>
            <w:r w:rsidR="00285339" w:rsidRPr="00701F32">
              <w:rPr>
                <w:rFonts w:ascii="Arial" w:eastAsia="Calibri" w:hAnsi="Arial" w:cs="Arial"/>
                <w:b/>
                <w:color w:val="000000"/>
                <w:sz w:val="16"/>
                <w:lang w:eastAsia="es-AR"/>
              </w:rPr>
              <w:t>9</w:t>
            </w:r>
            <w:r w:rsidRPr="00701F32">
              <w:rPr>
                <w:rFonts w:ascii="Arial" w:eastAsia="Calibri" w:hAnsi="Arial" w:cs="Arial"/>
                <w:b/>
                <w:color w:val="000000"/>
                <w:sz w:val="16"/>
                <w:lang w:eastAsia="es-AR"/>
              </w:rPr>
              <w:t>/2018</w:t>
            </w:r>
          </w:p>
        </w:tc>
      </w:tr>
      <w:tr w:rsidR="00067378" w:rsidRPr="00701F32" w14:paraId="2C3B4F89" w14:textId="77777777" w:rsidTr="00E311C9">
        <w:trPr>
          <w:trHeight w:val="398"/>
          <w:tblHeader/>
        </w:trPr>
        <w:tc>
          <w:tcPr>
            <w:tcW w:w="2836" w:type="dxa"/>
            <w:vMerge/>
            <w:shd w:val="clear" w:color="auto" w:fill="auto"/>
            <w:vAlign w:val="bottom"/>
            <w:hideMark/>
          </w:tcPr>
          <w:p w14:paraId="30DC2C8C" w14:textId="77777777" w:rsidR="00A06BE9" w:rsidRPr="00701F32" w:rsidRDefault="00A06BE9" w:rsidP="00464C0F">
            <w:pPr>
              <w:spacing w:after="160" w:line="259" w:lineRule="auto"/>
              <w:jc w:val="center"/>
              <w:rPr>
                <w:rFonts w:ascii="Arial" w:eastAsia="Calibri" w:hAnsi="Arial" w:cs="Arial"/>
                <w:color w:val="000000"/>
                <w:sz w:val="16"/>
              </w:rPr>
            </w:pPr>
          </w:p>
        </w:tc>
        <w:tc>
          <w:tcPr>
            <w:tcW w:w="1659" w:type="dxa"/>
            <w:vAlign w:val="center"/>
          </w:tcPr>
          <w:p w14:paraId="09A5CBC2"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Préstamos y Otras Financiaciones</w:t>
            </w:r>
          </w:p>
        </w:tc>
        <w:tc>
          <w:tcPr>
            <w:tcW w:w="936" w:type="dxa"/>
            <w:vAlign w:val="center"/>
          </w:tcPr>
          <w:p w14:paraId="38867D3C"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Títulos de Deuda</w:t>
            </w:r>
          </w:p>
        </w:tc>
        <w:tc>
          <w:tcPr>
            <w:tcW w:w="1090" w:type="dxa"/>
            <w:shd w:val="clear" w:color="auto" w:fill="auto"/>
            <w:vAlign w:val="center"/>
            <w:hideMark/>
          </w:tcPr>
          <w:p w14:paraId="1A7F43A3"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106" w:type="dxa"/>
            <w:shd w:val="clear" w:color="auto" w:fill="auto"/>
            <w:vAlign w:val="center"/>
            <w:hideMark/>
          </w:tcPr>
          <w:p w14:paraId="1F5279B7"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162" w:type="dxa"/>
            <w:vAlign w:val="center"/>
          </w:tcPr>
          <w:p w14:paraId="3A142F7B"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311" w:type="dxa"/>
            <w:shd w:val="clear" w:color="auto" w:fill="auto"/>
            <w:vAlign w:val="center"/>
          </w:tcPr>
          <w:p w14:paraId="336E5EE5"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067378" w:rsidRPr="00701F32" w14:paraId="3A288111" w14:textId="77777777" w:rsidTr="00701F32">
        <w:trPr>
          <w:trHeight w:val="173"/>
        </w:trPr>
        <w:tc>
          <w:tcPr>
            <w:tcW w:w="2836" w:type="dxa"/>
            <w:shd w:val="clear" w:color="auto" w:fill="auto"/>
            <w:vAlign w:val="center"/>
            <w:hideMark/>
          </w:tcPr>
          <w:p w14:paraId="39BEBC6F" w14:textId="77777777" w:rsidR="00A06BE9" w:rsidRPr="00701F32" w:rsidRDefault="00A06BE9">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659" w:type="dxa"/>
            <w:vAlign w:val="center"/>
          </w:tcPr>
          <w:p w14:paraId="654FAF4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center"/>
          </w:tcPr>
          <w:p w14:paraId="3D046FD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6E446426"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center"/>
          </w:tcPr>
          <w:p w14:paraId="50C2F11A" w14:textId="56A9C806"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49</w:t>
            </w:r>
          </w:p>
        </w:tc>
        <w:tc>
          <w:tcPr>
            <w:tcW w:w="1162" w:type="dxa"/>
            <w:vAlign w:val="center"/>
          </w:tcPr>
          <w:p w14:paraId="61A8507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center"/>
          </w:tcPr>
          <w:p w14:paraId="112456F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38A7581F" w14:textId="77777777" w:rsidTr="00701F32">
        <w:trPr>
          <w:trHeight w:val="160"/>
        </w:trPr>
        <w:tc>
          <w:tcPr>
            <w:tcW w:w="2836" w:type="dxa"/>
            <w:shd w:val="clear" w:color="auto" w:fill="auto"/>
            <w:vAlign w:val="center"/>
            <w:hideMark/>
          </w:tcPr>
          <w:p w14:paraId="3EEC4C62" w14:textId="77777777" w:rsidR="00A06BE9" w:rsidRPr="00701F32" w:rsidRDefault="00A06BE9">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659" w:type="dxa"/>
            <w:vAlign w:val="center"/>
          </w:tcPr>
          <w:p w14:paraId="0A3B11F6"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center"/>
          </w:tcPr>
          <w:p w14:paraId="172CD35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2DB4D407" w14:textId="4A6B81F2"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60</w:t>
            </w:r>
          </w:p>
        </w:tc>
        <w:tc>
          <w:tcPr>
            <w:tcW w:w="1106" w:type="dxa"/>
            <w:shd w:val="clear" w:color="auto" w:fill="auto"/>
            <w:vAlign w:val="center"/>
          </w:tcPr>
          <w:p w14:paraId="0D36CA17" w14:textId="20CD91DB"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4.794</w:t>
            </w:r>
          </w:p>
        </w:tc>
        <w:tc>
          <w:tcPr>
            <w:tcW w:w="1162" w:type="dxa"/>
            <w:vAlign w:val="center"/>
          </w:tcPr>
          <w:p w14:paraId="09F39B04" w14:textId="1578F62E"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776</w:t>
            </w:r>
          </w:p>
        </w:tc>
        <w:tc>
          <w:tcPr>
            <w:tcW w:w="1311" w:type="dxa"/>
            <w:shd w:val="clear" w:color="auto" w:fill="auto"/>
            <w:vAlign w:val="center"/>
          </w:tcPr>
          <w:p w14:paraId="618EA6F1" w14:textId="77777777" w:rsidR="00A06BE9" w:rsidRPr="00701F32" w:rsidRDefault="00B5033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384631C6" w14:textId="77777777" w:rsidTr="00701F32">
        <w:trPr>
          <w:trHeight w:val="157"/>
        </w:trPr>
        <w:tc>
          <w:tcPr>
            <w:tcW w:w="2836" w:type="dxa"/>
            <w:shd w:val="clear" w:color="auto" w:fill="auto"/>
            <w:vAlign w:val="center"/>
            <w:hideMark/>
          </w:tcPr>
          <w:p w14:paraId="06EC7EAC" w14:textId="77777777" w:rsidR="00A06BE9" w:rsidRPr="00701F32" w:rsidRDefault="00A06BE9">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659" w:type="dxa"/>
            <w:vAlign w:val="center"/>
          </w:tcPr>
          <w:p w14:paraId="39C4450E" w14:textId="2B185037"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10.879</w:t>
            </w:r>
          </w:p>
        </w:tc>
        <w:tc>
          <w:tcPr>
            <w:tcW w:w="936" w:type="dxa"/>
            <w:vAlign w:val="center"/>
          </w:tcPr>
          <w:p w14:paraId="399A093F"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65618396" w14:textId="5ECA2A37"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398</w:t>
            </w:r>
          </w:p>
        </w:tc>
        <w:tc>
          <w:tcPr>
            <w:tcW w:w="1106" w:type="dxa"/>
            <w:shd w:val="clear" w:color="auto" w:fill="auto"/>
            <w:vAlign w:val="center"/>
          </w:tcPr>
          <w:p w14:paraId="6901F931" w14:textId="32DC1931" w:rsidR="00A06BE9" w:rsidRPr="00701F32" w:rsidRDefault="00BE6948">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3.555</w:t>
            </w:r>
          </w:p>
        </w:tc>
        <w:tc>
          <w:tcPr>
            <w:tcW w:w="1162" w:type="dxa"/>
            <w:vAlign w:val="center"/>
          </w:tcPr>
          <w:p w14:paraId="0BC1B5A1" w14:textId="189D90B3"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44.364</w:t>
            </w:r>
          </w:p>
        </w:tc>
        <w:tc>
          <w:tcPr>
            <w:tcW w:w="1311" w:type="dxa"/>
            <w:shd w:val="clear" w:color="auto" w:fill="auto"/>
            <w:vAlign w:val="center"/>
          </w:tcPr>
          <w:p w14:paraId="21619963" w14:textId="77777777" w:rsidR="00A06BE9" w:rsidRPr="00701F32" w:rsidRDefault="00B5033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1CBABCA5" w14:textId="77777777" w:rsidTr="00701F32">
        <w:trPr>
          <w:trHeight w:val="286"/>
        </w:trPr>
        <w:tc>
          <w:tcPr>
            <w:tcW w:w="2836" w:type="dxa"/>
            <w:shd w:val="clear" w:color="auto" w:fill="auto"/>
            <w:vAlign w:val="center"/>
            <w:hideMark/>
          </w:tcPr>
          <w:p w14:paraId="77F0455A" w14:textId="77777777" w:rsidR="00A06BE9" w:rsidRPr="00701F32" w:rsidRDefault="00A06BE9">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659" w:type="dxa"/>
            <w:vAlign w:val="center"/>
          </w:tcPr>
          <w:p w14:paraId="57A19863" w14:textId="0419D9AF"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9.900</w:t>
            </w:r>
          </w:p>
        </w:tc>
        <w:tc>
          <w:tcPr>
            <w:tcW w:w="936" w:type="dxa"/>
            <w:vAlign w:val="center"/>
          </w:tcPr>
          <w:p w14:paraId="6D5FF03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148E8D0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center"/>
          </w:tcPr>
          <w:p w14:paraId="3BC4F785" w14:textId="6EC0D3CE"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105</w:t>
            </w:r>
          </w:p>
        </w:tc>
        <w:tc>
          <w:tcPr>
            <w:tcW w:w="1162" w:type="dxa"/>
            <w:vAlign w:val="center"/>
          </w:tcPr>
          <w:p w14:paraId="0E58891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center"/>
          </w:tcPr>
          <w:p w14:paraId="758F7CF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4251CF7D" w14:textId="77777777" w:rsidTr="00701F32">
        <w:trPr>
          <w:trHeight w:val="217"/>
        </w:trPr>
        <w:tc>
          <w:tcPr>
            <w:tcW w:w="2836" w:type="dxa"/>
            <w:shd w:val="clear" w:color="auto" w:fill="auto"/>
            <w:vAlign w:val="center"/>
            <w:hideMark/>
          </w:tcPr>
          <w:p w14:paraId="42E3CB66" w14:textId="77777777" w:rsidR="00A06BE9" w:rsidRPr="00701F32" w:rsidRDefault="00A06BE9">
            <w:pPr>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659" w:type="dxa"/>
            <w:vAlign w:val="center"/>
          </w:tcPr>
          <w:p w14:paraId="37FEF08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center"/>
          </w:tcPr>
          <w:p w14:paraId="4A5D66A5"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7C37A35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center"/>
          </w:tcPr>
          <w:p w14:paraId="7D82A49C" w14:textId="31EB4DDB"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1.247</w:t>
            </w:r>
          </w:p>
        </w:tc>
        <w:tc>
          <w:tcPr>
            <w:tcW w:w="1162" w:type="dxa"/>
            <w:vAlign w:val="center"/>
          </w:tcPr>
          <w:p w14:paraId="17F1EAB0"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center"/>
          </w:tcPr>
          <w:p w14:paraId="36C518B6"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2FE5DE5A" w14:textId="77777777" w:rsidTr="00701F32">
        <w:trPr>
          <w:trHeight w:val="139"/>
        </w:trPr>
        <w:tc>
          <w:tcPr>
            <w:tcW w:w="2836" w:type="dxa"/>
            <w:shd w:val="clear" w:color="auto" w:fill="auto"/>
            <w:vAlign w:val="center"/>
          </w:tcPr>
          <w:p w14:paraId="5791D24A" w14:textId="77777777" w:rsidR="0006745A" w:rsidRPr="00701F32" w:rsidRDefault="0006745A">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659" w:type="dxa"/>
            <w:vAlign w:val="center"/>
          </w:tcPr>
          <w:p w14:paraId="103D3F98" w14:textId="2B16A287" w:rsidR="0006745A"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center"/>
          </w:tcPr>
          <w:p w14:paraId="18BD747A" w14:textId="77777777" w:rsidR="0006745A" w:rsidRPr="00701F32" w:rsidRDefault="0006745A">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372A2006" w14:textId="77777777" w:rsidR="0006745A" w:rsidRPr="00701F32" w:rsidRDefault="0006745A">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center"/>
          </w:tcPr>
          <w:p w14:paraId="661B4664" w14:textId="1E65D1F6" w:rsidR="0006745A"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510.874</w:t>
            </w:r>
          </w:p>
        </w:tc>
        <w:tc>
          <w:tcPr>
            <w:tcW w:w="1162" w:type="dxa"/>
            <w:vAlign w:val="center"/>
          </w:tcPr>
          <w:p w14:paraId="3F685DB8" w14:textId="77777777" w:rsidR="0006745A" w:rsidRPr="00701F32" w:rsidRDefault="0006745A">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center"/>
          </w:tcPr>
          <w:p w14:paraId="21E02B32" w14:textId="77777777" w:rsidR="0006745A" w:rsidRPr="00701F32" w:rsidRDefault="0006745A">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293759" w:rsidRPr="00701F32" w14:paraId="3099CC9F" w14:textId="77777777" w:rsidTr="00701F32">
        <w:trPr>
          <w:trHeight w:val="139"/>
        </w:trPr>
        <w:tc>
          <w:tcPr>
            <w:tcW w:w="2836" w:type="dxa"/>
            <w:shd w:val="clear" w:color="auto" w:fill="auto"/>
            <w:vAlign w:val="center"/>
          </w:tcPr>
          <w:p w14:paraId="0BF9710E" w14:textId="0DA358E2" w:rsidR="00293759" w:rsidRPr="00701F32" w:rsidRDefault="00293759">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659" w:type="dxa"/>
            <w:vAlign w:val="center"/>
          </w:tcPr>
          <w:p w14:paraId="7B72DAFB" w14:textId="4E957D37" w:rsidR="00293759" w:rsidRPr="00701F32" w:rsidDel="00293759"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936" w:type="dxa"/>
            <w:vAlign w:val="center"/>
          </w:tcPr>
          <w:p w14:paraId="0047D888" w14:textId="57F179C6"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90" w:type="dxa"/>
            <w:shd w:val="clear" w:color="auto" w:fill="auto"/>
            <w:vAlign w:val="center"/>
          </w:tcPr>
          <w:p w14:paraId="5F4A8AEF" w14:textId="65D9961E"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06" w:type="dxa"/>
            <w:shd w:val="clear" w:color="auto" w:fill="auto"/>
            <w:vAlign w:val="center"/>
          </w:tcPr>
          <w:p w14:paraId="49C0CF23" w14:textId="6760DA08" w:rsidR="00293759" w:rsidRPr="00701F32" w:rsidDel="00293759"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3.121</w:t>
            </w:r>
          </w:p>
        </w:tc>
        <w:tc>
          <w:tcPr>
            <w:tcW w:w="1162" w:type="dxa"/>
            <w:vAlign w:val="center"/>
          </w:tcPr>
          <w:p w14:paraId="04D7518D" w14:textId="09995CA5"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1" w:type="dxa"/>
            <w:shd w:val="clear" w:color="auto" w:fill="auto"/>
            <w:vAlign w:val="center"/>
          </w:tcPr>
          <w:p w14:paraId="53604DE9" w14:textId="5B83E375"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293759" w:rsidRPr="00701F32" w14:paraId="4A50824B" w14:textId="77777777" w:rsidTr="00701F32">
        <w:trPr>
          <w:trHeight w:val="139"/>
        </w:trPr>
        <w:tc>
          <w:tcPr>
            <w:tcW w:w="2836" w:type="dxa"/>
            <w:shd w:val="clear" w:color="auto" w:fill="auto"/>
            <w:vAlign w:val="center"/>
          </w:tcPr>
          <w:p w14:paraId="45979CAA" w14:textId="6DB9DE36" w:rsidR="00293759" w:rsidRPr="00701F32" w:rsidRDefault="00293759">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659" w:type="dxa"/>
            <w:vAlign w:val="center"/>
          </w:tcPr>
          <w:p w14:paraId="6461F9D3" w14:textId="0E8EAE3D" w:rsidR="00293759" w:rsidRPr="00701F32" w:rsidDel="00293759"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94.991</w:t>
            </w:r>
          </w:p>
        </w:tc>
        <w:tc>
          <w:tcPr>
            <w:tcW w:w="936" w:type="dxa"/>
            <w:vAlign w:val="center"/>
          </w:tcPr>
          <w:p w14:paraId="1DBA0C37" w14:textId="12BF0DF0"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90" w:type="dxa"/>
            <w:shd w:val="clear" w:color="auto" w:fill="auto"/>
            <w:vAlign w:val="center"/>
          </w:tcPr>
          <w:p w14:paraId="0573576D" w14:textId="651A1898"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2.431</w:t>
            </w:r>
          </w:p>
        </w:tc>
        <w:tc>
          <w:tcPr>
            <w:tcW w:w="1106" w:type="dxa"/>
            <w:shd w:val="clear" w:color="auto" w:fill="auto"/>
            <w:vAlign w:val="center"/>
          </w:tcPr>
          <w:p w14:paraId="34EDA1FA" w14:textId="352E6340" w:rsidR="00293759" w:rsidRPr="00701F32" w:rsidDel="00293759"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62" w:type="dxa"/>
            <w:vAlign w:val="center"/>
          </w:tcPr>
          <w:p w14:paraId="1B6BC233" w14:textId="4FA25488"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1" w:type="dxa"/>
            <w:shd w:val="clear" w:color="auto" w:fill="auto"/>
            <w:vAlign w:val="center"/>
          </w:tcPr>
          <w:p w14:paraId="1005D1DB" w14:textId="2191CDC9" w:rsidR="00293759" w:rsidRPr="00701F32" w:rsidRDefault="00293759">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067378" w:rsidRPr="00701F32" w14:paraId="4509A091" w14:textId="77777777" w:rsidTr="00701F32">
        <w:trPr>
          <w:trHeight w:val="212"/>
        </w:trPr>
        <w:tc>
          <w:tcPr>
            <w:tcW w:w="2836" w:type="dxa"/>
            <w:shd w:val="clear" w:color="auto" w:fill="auto"/>
            <w:vAlign w:val="center"/>
            <w:hideMark/>
          </w:tcPr>
          <w:p w14:paraId="208FFD96" w14:textId="77777777" w:rsidR="00A06BE9" w:rsidRPr="00701F32" w:rsidRDefault="00A06BE9">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Grupo Supervielle S.A.</w:t>
            </w:r>
          </w:p>
        </w:tc>
        <w:tc>
          <w:tcPr>
            <w:tcW w:w="1659" w:type="dxa"/>
            <w:vAlign w:val="center"/>
          </w:tcPr>
          <w:p w14:paraId="4F0023A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center"/>
          </w:tcPr>
          <w:p w14:paraId="5363C3E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center"/>
          </w:tcPr>
          <w:p w14:paraId="355F951E" w14:textId="140087C0"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131</w:t>
            </w:r>
          </w:p>
        </w:tc>
        <w:tc>
          <w:tcPr>
            <w:tcW w:w="1106" w:type="dxa"/>
            <w:shd w:val="clear" w:color="auto" w:fill="auto"/>
            <w:vAlign w:val="center"/>
          </w:tcPr>
          <w:p w14:paraId="2EE860B6" w14:textId="736486C5"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1.195</w:t>
            </w:r>
          </w:p>
        </w:tc>
        <w:tc>
          <w:tcPr>
            <w:tcW w:w="1162" w:type="dxa"/>
            <w:vAlign w:val="center"/>
          </w:tcPr>
          <w:p w14:paraId="23D30487" w14:textId="72933258"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center"/>
          </w:tcPr>
          <w:p w14:paraId="716183C9" w14:textId="13FF40B3"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427A49" w:rsidRPr="00701F32" w14:paraId="60F7648B" w14:textId="77777777" w:rsidTr="00701F32">
        <w:trPr>
          <w:trHeight w:val="234"/>
        </w:trPr>
        <w:tc>
          <w:tcPr>
            <w:tcW w:w="2836" w:type="dxa"/>
            <w:shd w:val="clear" w:color="auto" w:fill="auto"/>
            <w:vAlign w:val="center"/>
            <w:hideMark/>
          </w:tcPr>
          <w:p w14:paraId="1D61BFE8" w14:textId="77777777" w:rsidR="00427A49" w:rsidRPr="00701F32" w:rsidRDefault="00427A4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659" w:type="dxa"/>
            <w:vAlign w:val="center"/>
          </w:tcPr>
          <w:p w14:paraId="4A0BE9F8" w14:textId="7E7AEEFD"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115.770 </w:t>
            </w:r>
          </w:p>
        </w:tc>
        <w:tc>
          <w:tcPr>
            <w:tcW w:w="936" w:type="dxa"/>
            <w:vAlign w:val="center"/>
          </w:tcPr>
          <w:p w14:paraId="461B9BE5" w14:textId="4D2F4E81"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   </w:t>
            </w:r>
          </w:p>
        </w:tc>
        <w:tc>
          <w:tcPr>
            <w:tcW w:w="1090" w:type="dxa"/>
            <w:shd w:val="clear" w:color="auto" w:fill="auto"/>
            <w:vAlign w:val="center"/>
          </w:tcPr>
          <w:p w14:paraId="2C388100" w14:textId="2AE3889A"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3.020 </w:t>
            </w:r>
          </w:p>
        </w:tc>
        <w:tc>
          <w:tcPr>
            <w:tcW w:w="1106" w:type="dxa"/>
            <w:shd w:val="clear" w:color="auto" w:fill="auto"/>
            <w:vAlign w:val="center"/>
          </w:tcPr>
          <w:p w14:paraId="0EB9AA8E" w14:textId="75FC3856"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524.940 </w:t>
            </w:r>
          </w:p>
        </w:tc>
        <w:tc>
          <w:tcPr>
            <w:tcW w:w="1162" w:type="dxa"/>
            <w:vAlign w:val="center"/>
          </w:tcPr>
          <w:p w14:paraId="03D0BCFE" w14:textId="680A2484"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45.140 </w:t>
            </w:r>
          </w:p>
        </w:tc>
        <w:tc>
          <w:tcPr>
            <w:tcW w:w="1311" w:type="dxa"/>
            <w:shd w:val="clear" w:color="auto" w:fill="auto"/>
            <w:vAlign w:val="center"/>
          </w:tcPr>
          <w:p w14:paraId="79EF009C" w14:textId="6827BDBB"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   </w:t>
            </w:r>
          </w:p>
        </w:tc>
      </w:tr>
      <w:bookmarkEnd w:id="1"/>
    </w:tbl>
    <w:p w14:paraId="105CFA7E" w14:textId="77777777" w:rsidR="008D5AB2" w:rsidRPr="00701F32" w:rsidRDefault="008D5AB2" w:rsidP="00A06BE9">
      <w:pPr>
        <w:tabs>
          <w:tab w:val="left" w:pos="142"/>
        </w:tabs>
        <w:spacing w:after="160" w:line="259" w:lineRule="auto"/>
        <w:jc w:val="both"/>
        <w:rPr>
          <w:rFonts w:ascii="Arial" w:eastAsia="Calibri" w:hAnsi="Arial" w:cs="Arial"/>
          <w:color w:val="000000"/>
          <w:sz w:val="16"/>
        </w:rPr>
      </w:pPr>
    </w:p>
    <w:tbl>
      <w:tblPr>
        <w:tblW w:w="99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23"/>
        <w:gridCol w:w="1536"/>
        <w:gridCol w:w="1081"/>
        <w:gridCol w:w="1273"/>
        <w:gridCol w:w="1188"/>
        <w:gridCol w:w="1273"/>
        <w:gridCol w:w="1219"/>
      </w:tblGrid>
      <w:tr w:rsidR="00A06BE9" w:rsidRPr="00701F32" w14:paraId="6157F2CB" w14:textId="77777777" w:rsidTr="00701F32">
        <w:trPr>
          <w:trHeight w:val="358"/>
          <w:tblHeader/>
        </w:trPr>
        <w:tc>
          <w:tcPr>
            <w:tcW w:w="2423" w:type="dxa"/>
            <w:vMerge w:val="restart"/>
            <w:shd w:val="clear" w:color="auto" w:fill="auto"/>
            <w:vAlign w:val="center"/>
            <w:hideMark/>
          </w:tcPr>
          <w:p w14:paraId="78EC79E8" w14:textId="77777777" w:rsidR="00A06BE9" w:rsidRPr="00701F32" w:rsidRDefault="00A06BE9" w:rsidP="00E311C9">
            <w:pPr>
              <w:spacing w:after="160" w:line="259" w:lineRule="auto"/>
              <w:ind w:left="234" w:hanging="22"/>
              <w:jc w:val="center"/>
              <w:rPr>
                <w:rFonts w:ascii="Arial" w:eastAsia="Calibri" w:hAnsi="Arial" w:cs="Arial"/>
                <w:b/>
                <w:color w:val="000000"/>
                <w:sz w:val="16"/>
              </w:rPr>
            </w:pPr>
            <w:r w:rsidRPr="00701F32">
              <w:rPr>
                <w:rFonts w:ascii="Arial" w:eastAsia="Calibri" w:hAnsi="Arial" w:cs="Arial"/>
                <w:b/>
                <w:color w:val="000000"/>
                <w:sz w:val="16"/>
              </w:rPr>
              <w:t>Sociedades</w:t>
            </w:r>
          </w:p>
        </w:tc>
        <w:tc>
          <w:tcPr>
            <w:tcW w:w="7570" w:type="dxa"/>
            <w:gridSpan w:val="6"/>
            <w:vAlign w:val="center"/>
          </w:tcPr>
          <w:p w14:paraId="230DBEA8" w14:textId="77777777" w:rsidR="00A06BE9" w:rsidRPr="00701F32" w:rsidRDefault="00A06BE9">
            <w:pPr>
              <w:spacing w:after="160" w:line="259" w:lineRule="auto"/>
              <w:ind w:left="234" w:hanging="22"/>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31/12/2017</w:t>
            </w:r>
          </w:p>
        </w:tc>
      </w:tr>
      <w:tr w:rsidR="00067378" w:rsidRPr="00701F32" w14:paraId="2A1276CF" w14:textId="77777777" w:rsidTr="00E311C9">
        <w:trPr>
          <w:trHeight w:val="358"/>
          <w:tblHeader/>
        </w:trPr>
        <w:tc>
          <w:tcPr>
            <w:tcW w:w="2423" w:type="dxa"/>
            <w:vMerge/>
            <w:shd w:val="clear" w:color="auto" w:fill="auto"/>
            <w:vAlign w:val="bottom"/>
            <w:hideMark/>
          </w:tcPr>
          <w:p w14:paraId="060A45B1" w14:textId="77777777" w:rsidR="00A06BE9" w:rsidRPr="00701F32" w:rsidRDefault="00A06BE9" w:rsidP="00E311C9">
            <w:pPr>
              <w:spacing w:after="160" w:line="259" w:lineRule="auto"/>
              <w:ind w:left="234" w:hanging="22"/>
              <w:jc w:val="center"/>
              <w:rPr>
                <w:rFonts w:ascii="Arial" w:eastAsia="Calibri" w:hAnsi="Arial" w:cs="Arial"/>
                <w:color w:val="000000"/>
                <w:sz w:val="16"/>
              </w:rPr>
            </w:pPr>
          </w:p>
        </w:tc>
        <w:tc>
          <w:tcPr>
            <w:tcW w:w="1536" w:type="dxa"/>
            <w:vAlign w:val="center"/>
          </w:tcPr>
          <w:p w14:paraId="53205903" w14:textId="77777777" w:rsidR="00A06BE9" w:rsidRPr="00701F32" w:rsidRDefault="00A06BE9">
            <w:pPr>
              <w:spacing w:after="160" w:line="259" w:lineRule="auto"/>
              <w:jc w:val="center"/>
              <w:rPr>
                <w:rFonts w:ascii="Arial" w:eastAsia="Calibri" w:hAnsi="Arial" w:cs="Arial"/>
                <w:b/>
                <w:bCs/>
                <w:color w:val="000000"/>
                <w:sz w:val="16"/>
                <w:lang w:val="es-ES_tradnl" w:eastAsia="es-AR"/>
              </w:rPr>
            </w:pPr>
            <w:r w:rsidRPr="00701F32">
              <w:rPr>
                <w:rFonts w:ascii="Arial" w:eastAsia="Calibri" w:hAnsi="Arial" w:cs="Arial"/>
                <w:b/>
                <w:bCs/>
                <w:color w:val="000000"/>
                <w:sz w:val="16"/>
                <w:lang w:eastAsia="es-AR"/>
              </w:rPr>
              <w:t>Préstamos y Otras Financiaciones</w:t>
            </w:r>
          </w:p>
        </w:tc>
        <w:tc>
          <w:tcPr>
            <w:tcW w:w="1081" w:type="dxa"/>
            <w:vAlign w:val="center"/>
          </w:tcPr>
          <w:p w14:paraId="1B03AD65" w14:textId="77777777" w:rsidR="00A06BE9" w:rsidRPr="00701F32" w:rsidRDefault="00A06BE9">
            <w:pPr>
              <w:spacing w:after="160" w:line="259" w:lineRule="auto"/>
              <w:jc w:val="center"/>
              <w:rPr>
                <w:rFonts w:ascii="Arial" w:eastAsia="Calibri" w:hAnsi="Arial" w:cs="Arial"/>
                <w:b/>
                <w:bCs/>
                <w:color w:val="000000"/>
                <w:sz w:val="16"/>
                <w:lang w:val="es-ES_tradnl" w:eastAsia="es-AR"/>
              </w:rPr>
            </w:pPr>
            <w:r w:rsidRPr="00701F32">
              <w:rPr>
                <w:rFonts w:ascii="Arial" w:eastAsia="Calibri" w:hAnsi="Arial" w:cs="Arial"/>
                <w:b/>
                <w:bCs/>
                <w:color w:val="000000"/>
                <w:sz w:val="16"/>
                <w:lang w:eastAsia="es-AR"/>
              </w:rPr>
              <w:t>Otros Títulos de Deuda</w:t>
            </w:r>
          </w:p>
        </w:tc>
        <w:tc>
          <w:tcPr>
            <w:tcW w:w="1273" w:type="dxa"/>
            <w:shd w:val="clear" w:color="auto" w:fill="auto"/>
            <w:vAlign w:val="center"/>
            <w:hideMark/>
          </w:tcPr>
          <w:p w14:paraId="771FC558" w14:textId="77777777" w:rsidR="00A06BE9" w:rsidRPr="00701F32" w:rsidRDefault="00A06BE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188" w:type="dxa"/>
            <w:shd w:val="clear" w:color="auto" w:fill="auto"/>
            <w:vAlign w:val="center"/>
            <w:hideMark/>
          </w:tcPr>
          <w:p w14:paraId="18E2B004" w14:textId="77777777" w:rsidR="00A06BE9" w:rsidRPr="00701F32" w:rsidRDefault="00A06BE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273" w:type="dxa"/>
            <w:vAlign w:val="center"/>
          </w:tcPr>
          <w:p w14:paraId="4B87446C" w14:textId="77777777" w:rsidR="00A06BE9" w:rsidRPr="00701F32" w:rsidRDefault="00A06BE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219" w:type="dxa"/>
            <w:shd w:val="clear" w:color="auto" w:fill="auto"/>
            <w:vAlign w:val="center"/>
          </w:tcPr>
          <w:p w14:paraId="1F58BB34" w14:textId="77777777" w:rsidR="00A06BE9" w:rsidRPr="00701F32" w:rsidRDefault="00A06BE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067378" w:rsidRPr="00701F32" w14:paraId="5D316034" w14:textId="77777777" w:rsidTr="00E311C9">
        <w:trPr>
          <w:trHeight w:val="268"/>
        </w:trPr>
        <w:tc>
          <w:tcPr>
            <w:tcW w:w="2423" w:type="dxa"/>
            <w:shd w:val="clear" w:color="auto" w:fill="auto"/>
            <w:vAlign w:val="center"/>
            <w:hideMark/>
          </w:tcPr>
          <w:p w14:paraId="77C62F79" w14:textId="77777777" w:rsidR="00A06BE9" w:rsidRPr="00701F32" w:rsidRDefault="00A06BE9" w:rsidP="00E311C9">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536" w:type="dxa"/>
            <w:vAlign w:val="center"/>
          </w:tcPr>
          <w:p w14:paraId="09182F2B"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center"/>
          </w:tcPr>
          <w:p w14:paraId="7FD641FC"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59AE57AE"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center"/>
          </w:tcPr>
          <w:p w14:paraId="1066A739"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32</w:t>
            </w:r>
          </w:p>
        </w:tc>
        <w:tc>
          <w:tcPr>
            <w:tcW w:w="1273" w:type="dxa"/>
            <w:vAlign w:val="center"/>
          </w:tcPr>
          <w:p w14:paraId="4D29F698"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center"/>
          </w:tcPr>
          <w:p w14:paraId="5DE60A98"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2F41321B" w14:textId="77777777" w:rsidTr="00E311C9">
        <w:trPr>
          <w:trHeight w:val="345"/>
        </w:trPr>
        <w:tc>
          <w:tcPr>
            <w:tcW w:w="2423" w:type="dxa"/>
            <w:shd w:val="clear" w:color="auto" w:fill="auto"/>
            <w:vAlign w:val="center"/>
            <w:hideMark/>
          </w:tcPr>
          <w:p w14:paraId="4A4495D0" w14:textId="77777777" w:rsidR="00A06BE9" w:rsidRPr="00701F32" w:rsidRDefault="00A06BE9" w:rsidP="00E311C9">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536" w:type="dxa"/>
            <w:vAlign w:val="center"/>
          </w:tcPr>
          <w:p w14:paraId="44342E1F"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16</w:t>
            </w:r>
          </w:p>
        </w:tc>
        <w:tc>
          <w:tcPr>
            <w:tcW w:w="1081" w:type="dxa"/>
            <w:vAlign w:val="center"/>
          </w:tcPr>
          <w:p w14:paraId="20DA21C5"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6B4E597B"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center"/>
          </w:tcPr>
          <w:p w14:paraId="37CBB87F"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417</w:t>
            </w:r>
          </w:p>
        </w:tc>
        <w:tc>
          <w:tcPr>
            <w:tcW w:w="1273" w:type="dxa"/>
            <w:vAlign w:val="center"/>
          </w:tcPr>
          <w:p w14:paraId="1D71C0DF" w14:textId="77777777" w:rsidR="00A06BE9" w:rsidRPr="00701F32" w:rsidRDefault="00B5033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1.040</w:t>
            </w:r>
          </w:p>
        </w:tc>
        <w:tc>
          <w:tcPr>
            <w:tcW w:w="1219" w:type="dxa"/>
            <w:shd w:val="clear" w:color="auto" w:fill="auto"/>
            <w:vAlign w:val="center"/>
          </w:tcPr>
          <w:p w14:paraId="3000F198" w14:textId="77777777" w:rsidR="00A06BE9" w:rsidRPr="00701F32" w:rsidRDefault="00B5033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6BBBF737" w14:textId="77777777" w:rsidTr="00E311C9">
        <w:trPr>
          <w:trHeight w:val="345"/>
        </w:trPr>
        <w:tc>
          <w:tcPr>
            <w:tcW w:w="2423" w:type="dxa"/>
            <w:shd w:val="clear" w:color="auto" w:fill="auto"/>
            <w:vAlign w:val="center"/>
            <w:hideMark/>
          </w:tcPr>
          <w:p w14:paraId="732C0022" w14:textId="77777777" w:rsidR="00A06BE9" w:rsidRPr="00701F32" w:rsidRDefault="00A06BE9" w:rsidP="00E311C9">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536" w:type="dxa"/>
            <w:vAlign w:val="center"/>
          </w:tcPr>
          <w:p w14:paraId="7A0E1FBE"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9.597</w:t>
            </w:r>
          </w:p>
        </w:tc>
        <w:tc>
          <w:tcPr>
            <w:tcW w:w="1081" w:type="dxa"/>
            <w:vAlign w:val="center"/>
          </w:tcPr>
          <w:p w14:paraId="0AE4C4EC"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05633FD2"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749</w:t>
            </w:r>
          </w:p>
        </w:tc>
        <w:tc>
          <w:tcPr>
            <w:tcW w:w="1188" w:type="dxa"/>
            <w:shd w:val="clear" w:color="auto" w:fill="auto"/>
            <w:vAlign w:val="center"/>
          </w:tcPr>
          <w:p w14:paraId="4B94039A"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2.789</w:t>
            </w:r>
          </w:p>
        </w:tc>
        <w:tc>
          <w:tcPr>
            <w:tcW w:w="1273" w:type="dxa"/>
            <w:vAlign w:val="center"/>
          </w:tcPr>
          <w:p w14:paraId="085AFA26" w14:textId="77777777" w:rsidR="00A06BE9" w:rsidRPr="00701F32" w:rsidRDefault="00B5033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50.279</w:t>
            </w:r>
          </w:p>
        </w:tc>
        <w:tc>
          <w:tcPr>
            <w:tcW w:w="1219" w:type="dxa"/>
            <w:shd w:val="clear" w:color="auto" w:fill="auto"/>
            <w:vAlign w:val="center"/>
          </w:tcPr>
          <w:p w14:paraId="253B370F" w14:textId="77777777" w:rsidR="00A06BE9" w:rsidRPr="00701F32" w:rsidRDefault="00B5033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6D892DB6" w14:textId="77777777" w:rsidTr="00E311C9">
        <w:trPr>
          <w:trHeight w:val="345"/>
        </w:trPr>
        <w:tc>
          <w:tcPr>
            <w:tcW w:w="2423" w:type="dxa"/>
            <w:shd w:val="clear" w:color="auto" w:fill="auto"/>
            <w:vAlign w:val="center"/>
            <w:hideMark/>
          </w:tcPr>
          <w:p w14:paraId="2507DEBC" w14:textId="77777777" w:rsidR="00A06BE9" w:rsidRPr="00701F32" w:rsidRDefault="00A06BE9" w:rsidP="00E311C9">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536" w:type="dxa"/>
            <w:vAlign w:val="center"/>
          </w:tcPr>
          <w:p w14:paraId="39F89F8C"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73.030</w:t>
            </w:r>
          </w:p>
        </w:tc>
        <w:tc>
          <w:tcPr>
            <w:tcW w:w="1081" w:type="dxa"/>
            <w:vAlign w:val="center"/>
          </w:tcPr>
          <w:p w14:paraId="120DA21E"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30110DB9"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center"/>
          </w:tcPr>
          <w:p w14:paraId="19484E39"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644</w:t>
            </w:r>
          </w:p>
        </w:tc>
        <w:tc>
          <w:tcPr>
            <w:tcW w:w="1273" w:type="dxa"/>
            <w:vAlign w:val="center"/>
          </w:tcPr>
          <w:p w14:paraId="05ED9649"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center"/>
          </w:tcPr>
          <w:p w14:paraId="06AB1D21"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2D464B3C" w14:textId="77777777" w:rsidTr="00E311C9">
        <w:trPr>
          <w:trHeight w:val="353"/>
        </w:trPr>
        <w:tc>
          <w:tcPr>
            <w:tcW w:w="2423" w:type="dxa"/>
            <w:shd w:val="clear" w:color="auto" w:fill="auto"/>
            <w:vAlign w:val="center"/>
            <w:hideMark/>
          </w:tcPr>
          <w:p w14:paraId="42AB9E32" w14:textId="77777777" w:rsidR="00A06BE9" w:rsidRPr="00701F32" w:rsidRDefault="00A06BE9" w:rsidP="00E311C9">
            <w:pPr>
              <w:spacing w:after="160" w:line="259" w:lineRule="auto"/>
              <w:ind w:left="234" w:hanging="22"/>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536" w:type="dxa"/>
            <w:vAlign w:val="center"/>
          </w:tcPr>
          <w:p w14:paraId="4CE0C066"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center"/>
          </w:tcPr>
          <w:p w14:paraId="6541F9E5"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2F1CB529"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1.910</w:t>
            </w:r>
          </w:p>
        </w:tc>
        <w:tc>
          <w:tcPr>
            <w:tcW w:w="1188" w:type="dxa"/>
            <w:shd w:val="clear" w:color="auto" w:fill="auto"/>
            <w:vAlign w:val="center"/>
          </w:tcPr>
          <w:p w14:paraId="7B5EC01B"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204</w:t>
            </w:r>
          </w:p>
        </w:tc>
        <w:tc>
          <w:tcPr>
            <w:tcW w:w="1273" w:type="dxa"/>
            <w:vAlign w:val="center"/>
          </w:tcPr>
          <w:p w14:paraId="7CFCC052"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center"/>
          </w:tcPr>
          <w:p w14:paraId="076AF504"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67378" w:rsidRPr="00701F32" w14:paraId="6C5CF32D" w14:textId="77777777" w:rsidTr="00E311C9">
        <w:trPr>
          <w:trHeight w:val="345"/>
        </w:trPr>
        <w:tc>
          <w:tcPr>
            <w:tcW w:w="2423" w:type="dxa"/>
            <w:shd w:val="clear" w:color="auto" w:fill="auto"/>
            <w:vAlign w:val="center"/>
          </w:tcPr>
          <w:p w14:paraId="7CC0F9C9" w14:textId="77777777" w:rsidR="00994E77" w:rsidRPr="00701F32" w:rsidRDefault="00994E77" w:rsidP="00E311C9">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536" w:type="dxa"/>
            <w:vAlign w:val="center"/>
          </w:tcPr>
          <w:p w14:paraId="123B8EAE"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center"/>
          </w:tcPr>
          <w:p w14:paraId="11DD6A07"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76394696"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center"/>
          </w:tcPr>
          <w:p w14:paraId="0E55E39A"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vAlign w:val="center"/>
          </w:tcPr>
          <w:p w14:paraId="10094F35"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center"/>
          </w:tcPr>
          <w:p w14:paraId="503069F0" w14:textId="77777777" w:rsidR="00994E77" w:rsidRPr="00701F32" w:rsidRDefault="00994E77"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293759" w:rsidRPr="00701F32" w14:paraId="294E449A" w14:textId="77777777" w:rsidTr="00E311C9">
        <w:trPr>
          <w:trHeight w:val="345"/>
        </w:trPr>
        <w:tc>
          <w:tcPr>
            <w:tcW w:w="2423" w:type="dxa"/>
            <w:shd w:val="clear" w:color="auto" w:fill="auto"/>
            <w:vAlign w:val="center"/>
          </w:tcPr>
          <w:p w14:paraId="5DAF9519" w14:textId="0119786C" w:rsidR="00293759" w:rsidRPr="00701F32" w:rsidRDefault="00AA3E91">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536" w:type="dxa"/>
            <w:vAlign w:val="center"/>
          </w:tcPr>
          <w:p w14:paraId="33F7C3BD" w14:textId="492D7E88"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081" w:type="dxa"/>
            <w:vAlign w:val="center"/>
          </w:tcPr>
          <w:p w14:paraId="431CF377" w14:textId="715C0331"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shd w:val="clear" w:color="auto" w:fill="auto"/>
            <w:vAlign w:val="center"/>
          </w:tcPr>
          <w:p w14:paraId="48B4F2D9" w14:textId="71F367A8"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188" w:type="dxa"/>
            <w:shd w:val="clear" w:color="auto" w:fill="auto"/>
            <w:vAlign w:val="center"/>
          </w:tcPr>
          <w:p w14:paraId="60D547C5" w14:textId="21DC97C9"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vAlign w:val="center"/>
          </w:tcPr>
          <w:p w14:paraId="712F41B5" w14:textId="26B7C852"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19" w:type="dxa"/>
            <w:shd w:val="clear" w:color="auto" w:fill="auto"/>
            <w:vAlign w:val="center"/>
          </w:tcPr>
          <w:p w14:paraId="3CF8A13C" w14:textId="738CC482" w:rsidR="00293759"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r>
      <w:tr w:rsidR="00AA3E91" w:rsidRPr="00701F32" w14:paraId="65441D00" w14:textId="77777777" w:rsidTr="00701F32">
        <w:trPr>
          <w:trHeight w:val="201"/>
        </w:trPr>
        <w:tc>
          <w:tcPr>
            <w:tcW w:w="2423" w:type="dxa"/>
            <w:shd w:val="clear" w:color="auto" w:fill="auto"/>
            <w:vAlign w:val="center"/>
          </w:tcPr>
          <w:p w14:paraId="65DFE97C" w14:textId="7A5B9D71" w:rsidR="00AA3E91" w:rsidRPr="00701F32" w:rsidRDefault="00AA3E91">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536" w:type="dxa"/>
            <w:vAlign w:val="center"/>
          </w:tcPr>
          <w:p w14:paraId="5A0D2CE9" w14:textId="27B3FFBF"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081" w:type="dxa"/>
            <w:vAlign w:val="center"/>
          </w:tcPr>
          <w:p w14:paraId="4680D1F1" w14:textId="3F671A6E"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shd w:val="clear" w:color="auto" w:fill="auto"/>
            <w:vAlign w:val="center"/>
          </w:tcPr>
          <w:p w14:paraId="5702E896" w14:textId="716DB1D8"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188" w:type="dxa"/>
            <w:shd w:val="clear" w:color="auto" w:fill="auto"/>
            <w:vAlign w:val="center"/>
          </w:tcPr>
          <w:p w14:paraId="25A19AC2" w14:textId="184C9B0A"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vAlign w:val="center"/>
          </w:tcPr>
          <w:p w14:paraId="43BADD44" w14:textId="4DE493F1"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19" w:type="dxa"/>
            <w:shd w:val="clear" w:color="auto" w:fill="auto"/>
            <w:vAlign w:val="center"/>
          </w:tcPr>
          <w:p w14:paraId="72C75CE8" w14:textId="550C5F10" w:rsidR="00AA3E91" w:rsidRPr="00701F32" w:rsidRDefault="00AA3E91">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r>
      <w:tr w:rsidR="00067378" w:rsidRPr="00701F32" w14:paraId="47BC4A82" w14:textId="77777777" w:rsidTr="00E311C9">
        <w:trPr>
          <w:trHeight w:val="345"/>
        </w:trPr>
        <w:tc>
          <w:tcPr>
            <w:tcW w:w="2423" w:type="dxa"/>
            <w:shd w:val="clear" w:color="auto" w:fill="auto"/>
            <w:vAlign w:val="center"/>
            <w:hideMark/>
          </w:tcPr>
          <w:p w14:paraId="44EA0121" w14:textId="77777777" w:rsidR="00A06BE9" w:rsidRPr="00701F32" w:rsidRDefault="00A06BE9" w:rsidP="00E311C9">
            <w:pPr>
              <w:spacing w:after="160" w:line="259" w:lineRule="auto"/>
              <w:ind w:left="234" w:hanging="22"/>
              <w:jc w:val="center"/>
              <w:rPr>
                <w:rFonts w:ascii="Arial" w:eastAsia="Calibri" w:hAnsi="Arial" w:cs="Arial"/>
                <w:color w:val="000000"/>
                <w:sz w:val="16"/>
                <w:lang w:val="es-ES_tradnl" w:eastAsia="es-AR"/>
              </w:rPr>
            </w:pPr>
            <w:r w:rsidRPr="00701F32">
              <w:rPr>
                <w:rFonts w:ascii="Arial" w:eastAsia="Calibri" w:hAnsi="Arial" w:cs="Arial"/>
                <w:color w:val="000000"/>
                <w:sz w:val="16"/>
              </w:rPr>
              <w:t>Grupo Supervielle S.A.</w:t>
            </w:r>
          </w:p>
        </w:tc>
        <w:tc>
          <w:tcPr>
            <w:tcW w:w="1536" w:type="dxa"/>
            <w:vAlign w:val="center"/>
          </w:tcPr>
          <w:p w14:paraId="603A2B86"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center"/>
          </w:tcPr>
          <w:p w14:paraId="32A49A08"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center"/>
          </w:tcPr>
          <w:p w14:paraId="6FB60363"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273</w:t>
            </w:r>
          </w:p>
        </w:tc>
        <w:tc>
          <w:tcPr>
            <w:tcW w:w="1188" w:type="dxa"/>
            <w:shd w:val="clear" w:color="auto" w:fill="auto"/>
            <w:vAlign w:val="center"/>
          </w:tcPr>
          <w:p w14:paraId="34ACEF0B"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vAlign w:val="center"/>
          </w:tcPr>
          <w:p w14:paraId="695B390F"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4.858</w:t>
            </w:r>
          </w:p>
        </w:tc>
        <w:tc>
          <w:tcPr>
            <w:tcW w:w="1219" w:type="dxa"/>
            <w:shd w:val="clear" w:color="auto" w:fill="auto"/>
            <w:vAlign w:val="center"/>
          </w:tcPr>
          <w:p w14:paraId="6BA8D9E6" w14:textId="77777777" w:rsidR="00A06BE9" w:rsidRPr="00701F32" w:rsidRDefault="00A06BE9" w:rsidP="00E311C9">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4.199.607</w:t>
            </w:r>
          </w:p>
        </w:tc>
      </w:tr>
      <w:tr w:rsidR="00427A49" w:rsidRPr="00701F32" w14:paraId="09D9796D" w14:textId="77777777" w:rsidTr="00701F32">
        <w:trPr>
          <w:trHeight w:val="282"/>
        </w:trPr>
        <w:tc>
          <w:tcPr>
            <w:tcW w:w="2423" w:type="dxa"/>
            <w:shd w:val="clear" w:color="auto" w:fill="auto"/>
            <w:vAlign w:val="center"/>
            <w:hideMark/>
          </w:tcPr>
          <w:p w14:paraId="1D83441B" w14:textId="77777777" w:rsidR="00427A49" w:rsidRPr="00701F32" w:rsidRDefault="00427A49" w:rsidP="00427A49">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536" w:type="dxa"/>
            <w:vAlign w:val="center"/>
          </w:tcPr>
          <w:p w14:paraId="4FD88258" w14:textId="085D938C"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82.643 </w:t>
            </w:r>
          </w:p>
        </w:tc>
        <w:tc>
          <w:tcPr>
            <w:tcW w:w="1081" w:type="dxa"/>
            <w:vAlign w:val="center"/>
          </w:tcPr>
          <w:p w14:paraId="400D4F32" w14:textId="08F20A06"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   </w:t>
            </w:r>
          </w:p>
        </w:tc>
        <w:tc>
          <w:tcPr>
            <w:tcW w:w="1273" w:type="dxa"/>
            <w:shd w:val="clear" w:color="auto" w:fill="auto"/>
            <w:vAlign w:val="center"/>
          </w:tcPr>
          <w:p w14:paraId="59A41A36" w14:textId="48774971"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2.932 </w:t>
            </w:r>
          </w:p>
        </w:tc>
        <w:tc>
          <w:tcPr>
            <w:tcW w:w="1188" w:type="dxa"/>
            <w:shd w:val="clear" w:color="auto" w:fill="auto"/>
            <w:vAlign w:val="center"/>
          </w:tcPr>
          <w:p w14:paraId="078E7CC9" w14:textId="234955E9"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4.086 </w:t>
            </w:r>
          </w:p>
        </w:tc>
        <w:tc>
          <w:tcPr>
            <w:tcW w:w="1273" w:type="dxa"/>
            <w:vAlign w:val="center"/>
          </w:tcPr>
          <w:p w14:paraId="0055E578" w14:textId="4F7187A9"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56.177 </w:t>
            </w:r>
          </w:p>
        </w:tc>
        <w:tc>
          <w:tcPr>
            <w:tcW w:w="1219" w:type="dxa"/>
            <w:shd w:val="clear" w:color="auto" w:fill="auto"/>
            <w:vAlign w:val="center"/>
          </w:tcPr>
          <w:p w14:paraId="7A50D3C7" w14:textId="516E4B31" w:rsidR="00427A49" w:rsidRPr="00701F32" w:rsidRDefault="00427A49">
            <w:pPr>
              <w:spacing w:after="160" w:line="259" w:lineRule="auto"/>
              <w:ind w:left="234" w:hanging="22"/>
              <w:jc w:val="right"/>
              <w:rPr>
                <w:rFonts w:ascii="Arial" w:eastAsia="Calibri" w:hAnsi="Arial" w:cs="Arial"/>
                <w:b/>
                <w:color w:val="000000"/>
                <w:sz w:val="16"/>
              </w:rPr>
            </w:pPr>
            <w:r w:rsidRPr="00701F32">
              <w:rPr>
                <w:rFonts w:ascii="Arial" w:eastAsia="Calibri" w:hAnsi="Arial" w:cs="Arial"/>
                <w:b/>
                <w:color w:val="000000"/>
                <w:sz w:val="16"/>
              </w:rPr>
              <w:t xml:space="preserve"> 4.199.607 </w:t>
            </w:r>
          </w:p>
        </w:tc>
      </w:tr>
    </w:tbl>
    <w:p w14:paraId="74BDE7F1" w14:textId="5258B5DA" w:rsidR="00A06BE9" w:rsidRPr="00701F32" w:rsidRDefault="00A06BE9" w:rsidP="00E311C9">
      <w:pPr>
        <w:rPr>
          <w:rFonts w:ascii="Arial" w:eastAsia="Calibri" w:hAnsi="Arial" w:cs="Arial"/>
          <w:color w:val="000000"/>
          <w:sz w:val="16"/>
        </w:rPr>
      </w:pPr>
    </w:p>
    <w:tbl>
      <w:tblPr>
        <w:tblW w:w="99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480"/>
        <w:gridCol w:w="1418"/>
        <w:gridCol w:w="1275"/>
        <w:gridCol w:w="993"/>
        <w:gridCol w:w="1275"/>
        <w:gridCol w:w="1134"/>
        <w:gridCol w:w="1418"/>
      </w:tblGrid>
      <w:tr w:rsidR="00A06BE9" w:rsidRPr="00701F32" w14:paraId="6048A66D" w14:textId="77777777" w:rsidTr="00701F32">
        <w:trPr>
          <w:trHeight w:val="364"/>
          <w:tblHeader/>
        </w:trPr>
        <w:tc>
          <w:tcPr>
            <w:tcW w:w="2480" w:type="dxa"/>
            <w:vMerge w:val="restart"/>
            <w:shd w:val="clear" w:color="auto" w:fill="auto"/>
            <w:vAlign w:val="center"/>
            <w:hideMark/>
          </w:tcPr>
          <w:p w14:paraId="3477F785"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Sociedades</w:t>
            </w:r>
          </w:p>
        </w:tc>
        <w:tc>
          <w:tcPr>
            <w:tcW w:w="7513" w:type="dxa"/>
            <w:gridSpan w:val="6"/>
            <w:vAlign w:val="center"/>
          </w:tcPr>
          <w:p w14:paraId="795F839A" w14:textId="77777777" w:rsidR="00A06BE9" w:rsidRPr="00701F32" w:rsidRDefault="00A06BE9" w:rsidP="00464C0F">
            <w:pPr>
              <w:spacing w:before="240" w:after="160" w:line="259" w:lineRule="auto"/>
              <w:jc w:val="center"/>
              <w:rPr>
                <w:rFonts w:ascii="Arial" w:eastAsia="Calibri" w:hAnsi="Arial" w:cs="Arial"/>
                <w:b/>
                <w:color w:val="000000"/>
                <w:sz w:val="16"/>
                <w:szCs w:val="16"/>
                <w:lang w:eastAsia="es-AR"/>
              </w:rPr>
            </w:pPr>
            <w:r w:rsidRPr="00701F32">
              <w:rPr>
                <w:rFonts w:ascii="Arial" w:eastAsia="Calibri" w:hAnsi="Arial" w:cs="Arial"/>
                <w:b/>
                <w:color w:val="000000"/>
                <w:sz w:val="16"/>
                <w:szCs w:val="16"/>
                <w:lang w:eastAsia="es-AR"/>
              </w:rPr>
              <w:t>01/01/2017</w:t>
            </w:r>
          </w:p>
        </w:tc>
      </w:tr>
      <w:tr w:rsidR="008D5AB2" w:rsidRPr="00701F32" w14:paraId="677FEA0F" w14:textId="77777777" w:rsidTr="00701F32">
        <w:trPr>
          <w:trHeight w:val="502"/>
          <w:tblHeader/>
        </w:trPr>
        <w:tc>
          <w:tcPr>
            <w:tcW w:w="2480" w:type="dxa"/>
            <w:vMerge/>
            <w:shd w:val="clear" w:color="auto" w:fill="auto"/>
            <w:vAlign w:val="bottom"/>
            <w:hideMark/>
          </w:tcPr>
          <w:p w14:paraId="5E258A9F" w14:textId="77777777" w:rsidR="00A06BE9" w:rsidRPr="00701F32" w:rsidRDefault="00A06BE9" w:rsidP="00464C0F">
            <w:pPr>
              <w:spacing w:after="160" w:line="259" w:lineRule="auto"/>
              <w:jc w:val="center"/>
              <w:rPr>
                <w:rFonts w:ascii="Arial" w:eastAsia="Calibri" w:hAnsi="Arial" w:cs="Arial"/>
                <w:color w:val="000000"/>
                <w:sz w:val="16"/>
              </w:rPr>
            </w:pPr>
          </w:p>
        </w:tc>
        <w:tc>
          <w:tcPr>
            <w:tcW w:w="1418" w:type="dxa"/>
            <w:vAlign w:val="center"/>
          </w:tcPr>
          <w:p w14:paraId="6143EC99"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Préstamos y Otras Financiaciones</w:t>
            </w:r>
          </w:p>
        </w:tc>
        <w:tc>
          <w:tcPr>
            <w:tcW w:w="1275" w:type="dxa"/>
            <w:vAlign w:val="center"/>
          </w:tcPr>
          <w:p w14:paraId="05D88692"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Títulos de Deuda</w:t>
            </w:r>
          </w:p>
        </w:tc>
        <w:tc>
          <w:tcPr>
            <w:tcW w:w="993" w:type="dxa"/>
            <w:shd w:val="clear" w:color="auto" w:fill="auto"/>
            <w:vAlign w:val="center"/>
          </w:tcPr>
          <w:p w14:paraId="5EAF5279"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275" w:type="dxa"/>
            <w:shd w:val="clear" w:color="auto" w:fill="auto"/>
            <w:vAlign w:val="center"/>
          </w:tcPr>
          <w:p w14:paraId="06FBD815"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134" w:type="dxa"/>
            <w:vAlign w:val="center"/>
          </w:tcPr>
          <w:p w14:paraId="069D553B"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418" w:type="dxa"/>
            <w:shd w:val="clear" w:color="auto" w:fill="auto"/>
            <w:vAlign w:val="center"/>
          </w:tcPr>
          <w:p w14:paraId="5CDB635E" w14:textId="77777777" w:rsidR="00A06BE9" w:rsidRPr="00701F32" w:rsidRDefault="00A06BE9" w:rsidP="00464C0F">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8D5AB2" w:rsidRPr="00701F32" w14:paraId="7E86F62A" w14:textId="77777777" w:rsidTr="00701F32">
        <w:trPr>
          <w:trHeight w:val="376"/>
        </w:trPr>
        <w:tc>
          <w:tcPr>
            <w:tcW w:w="2480" w:type="dxa"/>
            <w:shd w:val="clear" w:color="auto" w:fill="auto"/>
            <w:vAlign w:val="center"/>
            <w:hideMark/>
          </w:tcPr>
          <w:p w14:paraId="1D3AA25F" w14:textId="77777777" w:rsidR="00A06BE9" w:rsidRPr="00701F32" w:rsidRDefault="00A06BE9" w:rsidP="00464C0F">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418" w:type="dxa"/>
            <w:shd w:val="clear" w:color="auto" w:fill="auto"/>
            <w:vAlign w:val="bottom"/>
          </w:tcPr>
          <w:p w14:paraId="6D73EB1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vAlign w:val="bottom"/>
          </w:tcPr>
          <w:p w14:paraId="130F476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4C33C13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shd w:val="clear" w:color="auto" w:fill="auto"/>
            <w:vAlign w:val="bottom"/>
          </w:tcPr>
          <w:p w14:paraId="78874F2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18</w:t>
            </w:r>
          </w:p>
        </w:tc>
        <w:tc>
          <w:tcPr>
            <w:tcW w:w="1134" w:type="dxa"/>
            <w:vAlign w:val="bottom"/>
          </w:tcPr>
          <w:p w14:paraId="79F4DA5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8" w:type="dxa"/>
            <w:shd w:val="clear" w:color="auto" w:fill="auto"/>
            <w:vAlign w:val="bottom"/>
          </w:tcPr>
          <w:p w14:paraId="416944F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4D44C88D" w14:textId="77777777" w:rsidTr="00701F32">
        <w:trPr>
          <w:trHeight w:val="484"/>
        </w:trPr>
        <w:tc>
          <w:tcPr>
            <w:tcW w:w="2480" w:type="dxa"/>
            <w:shd w:val="clear" w:color="auto" w:fill="auto"/>
            <w:vAlign w:val="center"/>
            <w:hideMark/>
          </w:tcPr>
          <w:p w14:paraId="1A9EABEF" w14:textId="77777777" w:rsidR="00A06BE9" w:rsidRPr="00701F32" w:rsidRDefault="00A06BE9" w:rsidP="00464C0F">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418" w:type="dxa"/>
            <w:shd w:val="clear" w:color="auto" w:fill="auto"/>
            <w:vAlign w:val="bottom"/>
          </w:tcPr>
          <w:p w14:paraId="5436C145"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41.261</w:t>
            </w:r>
          </w:p>
        </w:tc>
        <w:tc>
          <w:tcPr>
            <w:tcW w:w="1275" w:type="dxa"/>
            <w:vAlign w:val="bottom"/>
          </w:tcPr>
          <w:p w14:paraId="53A15EE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70C3119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306</w:t>
            </w:r>
          </w:p>
        </w:tc>
        <w:tc>
          <w:tcPr>
            <w:tcW w:w="1275" w:type="dxa"/>
            <w:shd w:val="clear" w:color="auto" w:fill="auto"/>
            <w:vAlign w:val="bottom"/>
          </w:tcPr>
          <w:p w14:paraId="0686E53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4.992</w:t>
            </w:r>
          </w:p>
        </w:tc>
        <w:tc>
          <w:tcPr>
            <w:tcW w:w="1134" w:type="dxa"/>
            <w:vAlign w:val="bottom"/>
          </w:tcPr>
          <w:p w14:paraId="00141F2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2.233</w:t>
            </w:r>
          </w:p>
        </w:tc>
        <w:tc>
          <w:tcPr>
            <w:tcW w:w="1418" w:type="dxa"/>
            <w:shd w:val="clear" w:color="auto" w:fill="auto"/>
            <w:vAlign w:val="bottom"/>
          </w:tcPr>
          <w:p w14:paraId="1EFC39D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3A641F8F" w14:textId="77777777" w:rsidTr="00701F32">
        <w:trPr>
          <w:trHeight w:val="484"/>
        </w:trPr>
        <w:tc>
          <w:tcPr>
            <w:tcW w:w="2480" w:type="dxa"/>
            <w:shd w:val="clear" w:color="auto" w:fill="auto"/>
            <w:vAlign w:val="center"/>
            <w:hideMark/>
          </w:tcPr>
          <w:p w14:paraId="62CE9499" w14:textId="77777777" w:rsidR="00A06BE9" w:rsidRPr="00701F32" w:rsidRDefault="00A06BE9" w:rsidP="00464C0F">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418" w:type="dxa"/>
            <w:shd w:val="clear" w:color="auto" w:fill="auto"/>
            <w:vAlign w:val="bottom"/>
          </w:tcPr>
          <w:p w14:paraId="2A27A77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3.761</w:t>
            </w:r>
          </w:p>
        </w:tc>
        <w:tc>
          <w:tcPr>
            <w:tcW w:w="1275" w:type="dxa"/>
            <w:vAlign w:val="bottom"/>
          </w:tcPr>
          <w:p w14:paraId="4E4F8F8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5D4273C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2.500</w:t>
            </w:r>
          </w:p>
        </w:tc>
        <w:tc>
          <w:tcPr>
            <w:tcW w:w="1275" w:type="dxa"/>
            <w:shd w:val="clear" w:color="auto" w:fill="auto"/>
            <w:vAlign w:val="bottom"/>
          </w:tcPr>
          <w:p w14:paraId="5960808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3.650</w:t>
            </w:r>
          </w:p>
        </w:tc>
        <w:tc>
          <w:tcPr>
            <w:tcW w:w="1134" w:type="dxa"/>
            <w:vAlign w:val="bottom"/>
          </w:tcPr>
          <w:p w14:paraId="663039DF" w14:textId="77777777" w:rsidR="00A06BE9" w:rsidRPr="00701F32" w:rsidRDefault="00B5033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62.579</w:t>
            </w:r>
          </w:p>
        </w:tc>
        <w:tc>
          <w:tcPr>
            <w:tcW w:w="1418" w:type="dxa"/>
            <w:shd w:val="clear" w:color="auto" w:fill="auto"/>
            <w:vAlign w:val="bottom"/>
          </w:tcPr>
          <w:p w14:paraId="632916FF" w14:textId="77777777" w:rsidR="00A06BE9" w:rsidRPr="00701F32" w:rsidRDefault="00B5033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70E24CD6" w14:textId="77777777" w:rsidTr="00701F32">
        <w:trPr>
          <w:trHeight w:val="484"/>
        </w:trPr>
        <w:tc>
          <w:tcPr>
            <w:tcW w:w="2480" w:type="dxa"/>
            <w:shd w:val="clear" w:color="auto" w:fill="auto"/>
            <w:vAlign w:val="center"/>
            <w:hideMark/>
          </w:tcPr>
          <w:p w14:paraId="2E1B9282" w14:textId="77777777" w:rsidR="00A06BE9" w:rsidRPr="00701F32" w:rsidRDefault="00A06BE9"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Cordial Microfinanzas S.A.</w:t>
            </w:r>
          </w:p>
        </w:tc>
        <w:tc>
          <w:tcPr>
            <w:tcW w:w="1418" w:type="dxa"/>
            <w:shd w:val="clear" w:color="auto" w:fill="auto"/>
            <w:vAlign w:val="bottom"/>
          </w:tcPr>
          <w:p w14:paraId="72D04BB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46.965</w:t>
            </w:r>
          </w:p>
        </w:tc>
        <w:tc>
          <w:tcPr>
            <w:tcW w:w="1275" w:type="dxa"/>
            <w:vAlign w:val="bottom"/>
          </w:tcPr>
          <w:p w14:paraId="3BF6423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7157066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377</w:t>
            </w:r>
          </w:p>
        </w:tc>
        <w:tc>
          <w:tcPr>
            <w:tcW w:w="1275" w:type="dxa"/>
            <w:shd w:val="clear" w:color="auto" w:fill="auto"/>
            <w:vAlign w:val="bottom"/>
          </w:tcPr>
          <w:p w14:paraId="329E8A9F"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w:t>
            </w:r>
          </w:p>
        </w:tc>
        <w:tc>
          <w:tcPr>
            <w:tcW w:w="1134" w:type="dxa"/>
            <w:vAlign w:val="bottom"/>
          </w:tcPr>
          <w:p w14:paraId="0738B58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8" w:type="dxa"/>
            <w:shd w:val="clear" w:color="auto" w:fill="auto"/>
            <w:vAlign w:val="bottom"/>
          </w:tcPr>
          <w:p w14:paraId="2598C5A0"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4FA2A0DD" w14:textId="77777777" w:rsidTr="00701F32">
        <w:trPr>
          <w:trHeight w:val="484"/>
        </w:trPr>
        <w:tc>
          <w:tcPr>
            <w:tcW w:w="2480" w:type="dxa"/>
            <w:shd w:val="clear" w:color="auto" w:fill="auto"/>
            <w:vAlign w:val="center"/>
            <w:hideMark/>
          </w:tcPr>
          <w:p w14:paraId="34AA930C" w14:textId="77777777" w:rsidR="00A06BE9" w:rsidRPr="00701F32" w:rsidRDefault="00A06BE9" w:rsidP="00464C0F">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418" w:type="dxa"/>
            <w:shd w:val="clear" w:color="auto" w:fill="auto"/>
            <w:vAlign w:val="bottom"/>
          </w:tcPr>
          <w:p w14:paraId="0ED7FD0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2.588</w:t>
            </w:r>
          </w:p>
        </w:tc>
        <w:tc>
          <w:tcPr>
            <w:tcW w:w="1275" w:type="dxa"/>
            <w:vAlign w:val="bottom"/>
          </w:tcPr>
          <w:p w14:paraId="0F124B2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4BD9388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w:t>
            </w:r>
          </w:p>
        </w:tc>
        <w:tc>
          <w:tcPr>
            <w:tcW w:w="1275" w:type="dxa"/>
            <w:shd w:val="clear" w:color="auto" w:fill="auto"/>
            <w:vAlign w:val="bottom"/>
          </w:tcPr>
          <w:p w14:paraId="675AA9C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3.105</w:t>
            </w:r>
          </w:p>
        </w:tc>
        <w:tc>
          <w:tcPr>
            <w:tcW w:w="1134" w:type="dxa"/>
            <w:vAlign w:val="bottom"/>
          </w:tcPr>
          <w:p w14:paraId="1C30E2A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8" w:type="dxa"/>
            <w:shd w:val="clear" w:color="auto" w:fill="auto"/>
            <w:vAlign w:val="bottom"/>
          </w:tcPr>
          <w:p w14:paraId="1A732D6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2B9DB4F5" w14:textId="77777777" w:rsidTr="00701F32">
        <w:trPr>
          <w:trHeight w:val="497"/>
        </w:trPr>
        <w:tc>
          <w:tcPr>
            <w:tcW w:w="2480" w:type="dxa"/>
            <w:shd w:val="clear" w:color="auto" w:fill="auto"/>
            <w:vAlign w:val="center"/>
            <w:hideMark/>
          </w:tcPr>
          <w:p w14:paraId="2D021833" w14:textId="77777777" w:rsidR="00A06BE9" w:rsidRPr="00701F32" w:rsidRDefault="00A06BE9" w:rsidP="00464C0F">
            <w:pPr>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418" w:type="dxa"/>
            <w:shd w:val="clear" w:color="auto" w:fill="auto"/>
            <w:vAlign w:val="bottom"/>
          </w:tcPr>
          <w:p w14:paraId="4467352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vAlign w:val="bottom"/>
          </w:tcPr>
          <w:p w14:paraId="466F87E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3FBD046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shd w:val="clear" w:color="auto" w:fill="auto"/>
            <w:vAlign w:val="bottom"/>
          </w:tcPr>
          <w:p w14:paraId="515FB83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436</w:t>
            </w:r>
          </w:p>
        </w:tc>
        <w:tc>
          <w:tcPr>
            <w:tcW w:w="1134" w:type="dxa"/>
            <w:vAlign w:val="bottom"/>
          </w:tcPr>
          <w:p w14:paraId="602A0D8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8" w:type="dxa"/>
            <w:shd w:val="clear" w:color="auto" w:fill="auto"/>
            <w:vAlign w:val="bottom"/>
          </w:tcPr>
          <w:p w14:paraId="48562386"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20D5FF6C" w14:textId="77777777" w:rsidTr="00701F32">
        <w:trPr>
          <w:trHeight w:val="484"/>
        </w:trPr>
        <w:tc>
          <w:tcPr>
            <w:tcW w:w="2480" w:type="dxa"/>
            <w:shd w:val="clear" w:color="auto" w:fill="auto"/>
            <w:vAlign w:val="center"/>
          </w:tcPr>
          <w:p w14:paraId="5C33D659" w14:textId="77777777" w:rsidR="00994E77" w:rsidRPr="00701F32" w:rsidRDefault="00994E77"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418" w:type="dxa"/>
            <w:shd w:val="clear" w:color="auto" w:fill="auto"/>
            <w:vAlign w:val="bottom"/>
          </w:tcPr>
          <w:p w14:paraId="4BB2E8C7"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vAlign w:val="bottom"/>
          </w:tcPr>
          <w:p w14:paraId="2998E8F8"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6A2E414A"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shd w:val="clear" w:color="auto" w:fill="auto"/>
            <w:vAlign w:val="bottom"/>
          </w:tcPr>
          <w:p w14:paraId="0B8BB3DD"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097FE20E"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8" w:type="dxa"/>
            <w:shd w:val="clear" w:color="auto" w:fill="auto"/>
            <w:vAlign w:val="bottom"/>
          </w:tcPr>
          <w:p w14:paraId="0A0FF27B"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667DEC03" w14:textId="77777777" w:rsidTr="00701F32">
        <w:trPr>
          <w:trHeight w:val="484"/>
        </w:trPr>
        <w:tc>
          <w:tcPr>
            <w:tcW w:w="2480" w:type="dxa"/>
            <w:shd w:val="clear" w:color="auto" w:fill="auto"/>
            <w:vAlign w:val="center"/>
          </w:tcPr>
          <w:p w14:paraId="291F6CDE" w14:textId="37DA956B" w:rsidR="00AA3E91" w:rsidRPr="00701F32" w:rsidRDefault="00AA3E91"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418" w:type="dxa"/>
            <w:shd w:val="clear" w:color="auto" w:fill="auto"/>
            <w:vAlign w:val="bottom"/>
          </w:tcPr>
          <w:p w14:paraId="35A055B0" w14:textId="57A30535"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vAlign w:val="bottom"/>
          </w:tcPr>
          <w:p w14:paraId="6304195A" w14:textId="240BAC34"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993" w:type="dxa"/>
            <w:vAlign w:val="bottom"/>
          </w:tcPr>
          <w:p w14:paraId="2F4D786C" w14:textId="6EDA1A95"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shd w:val="clear" w:color="auto" w:fill="auto"/>
            <w:vAlign w:val="bottom"/>
          </w:tcPr>
          <w:p w14:paraId="4A11A232" w14:textId="403AC236"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bottom"/>
          </w:tcPr>
          <w:p w14:paraId="218845A3" w14:textId="293963AA"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8" w:type="dxa"/>
            <w:shd w:val="clear" w:color="auto" w:fill="auto"/>
            <w:vAlign w:val="bottom"/>
          </w:tcPr>
          <w:p w14:paraId="03E44028" w14:textId="19B146A1"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8D5AB2" w:rsidRPr="00701F32" w14:paraId="132291EA" w14:textId="77777777" w:rsidTr="00701F32">
        <w:trPr>
          <w:trHeight w:val="484"/>
        </w:trPr>
        <w:tc>
          <w:tcPr>
            <w:tcW w:w="2480" w:type="dxa"/>
            <w:shd w:val="clear" w:color="auto" w:fill="auto"/>
            <w:vAlign w:val="center"/>
          </w:tcPr>
          <w:p w14:paraId="6B1BD7DA" w14:textId="52399DD7" w:rsidR="00AA3E91" w:rsidRPr="00701F32" w:rsidRDefault="00AA3E91"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418" w:type="dxa"/>
            <w:shd w:val="clear" w:color="auto" w:fill="auto"/>
            <w:vAlign w:val="bottom"/>
          </w:tcPr>
          <w:p w14:paraId="2634C9B2" w14:textId="07692E0E"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vAlign w:val="bottom"/>
          </w:tcPr>
          <w:p w14:paraId="522A831C" w14:textId="6918869B"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993" w:type="dxa"/>
            <w:vAlign w:val="bottom"/>
          </w:tcPr>
          <w:p w14:paraId="43F4B405" w14:textId="6CF0D900"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shd w:val="clear" w:color="auto" w:fill="auto"/>
            <w:vAlign w:val="bottom"/>
          </w:tcPr>
          <w:p w14:paraId="1DAAFE68" w14:textId="6EC1B608"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bottom"/>
          </w:tcPr>
          <w:p w14:paraId="43EEA669" w14:textId="18713371"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8" w:type="dxa"/>
            <w:shd w:val="clear" w:color="auto" w:fill="auto"/>
            <w:vAlign w:val="bottom"/>
          </w:tcPr>
          <w:p w14:paraId="3572E0B0" w14:textId="49CF2422"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8D5AB2" w:rsidRPr="00701F32" w14:paraId="35C7B8C8" w14:textId="77777777" w:rsidTr="00701F32">
        <w:trPr>
          <w:trHeight w:val="484"/>
        </w:trPr>
        <w:tc>
          <w:tcPr>
            <w:tcW w:w="2480" w:type="dxa"/>
            <w:shd w:val="clear" w:color="auto" w:fill="auto"/>
            <w:vAlign w:val="center"/>
            <w:hideMark/>
          </w:tcPr>
          <w:p w14:paraId="4CB4A88D" w14:textId="77777777" w:rsidR="00A06BE9" w:rsidRPr="00701F32" w:rsidRDefault="00A06BE9" w:rsidP="00464C0F">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Grupo Supervielle S.A.</w:t>
            </w:r>
          </w:p>
        </w:tc>
        <w:tc>
          <w:tcPr>
            <w:tcW w:w="1418" w:type="dxa"/>
            <w:shd w:val="clear" w:color="auto" w:fill="auto"/>
            <w:vAlign w:val="bottom"/>
          </w:tcPr>
          <w:p w14:paraId="49B30CA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vAlign w:val="bottom"/>
          </w:tcPr>
          <w:p w14:paraId="74F93DE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93" w:type="dxa"/>
            <w:vAlign w:val="bottom"/>
          </w:tcPr>
          <w:p w14:paraId="18C9B67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309</w:t>
            </w:r>
          </w:p>
        </w:tc>
        <w:tc>
          <w:tcPr>
            <w:tcW w:w="1275" w:type="dxa"/>
            <w:shd w:val="clear" w:color="auto" w:fill="auto"/>
            <w:vAlign w:val="bottom"/>
          </w:tcPr>
          <w:p w14:paraId="0D68E4F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549</w:t>
            </w:r>
          </w:p>
        </w:tc>
        <w:tc>
          <w:tcPr>
            <w:tcW w:w="1134" w:type="dxa"/>
            <w:vAlign w:val="bottom"/>
          </w:tcPr>
          <w:p w14:paraId="0C23CDD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8.741</w:t>
            </w:r>
          </w:p>
        </w:tc>
        <w:tc>
          <w:tcPr>
            <w:tcW w:w="1418" w:type="dxa"/>
            <w:shd w:val="clear" w:color="auto" w:fill="auto"/>
            <w:vAlign w:val="bottom"/>
          </w:tcPr>
          <w:p w14:paraId="549D68B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8D5AB2" w:rsidRPr="00701F32" w14:paraId="1E601C0F" w14:textId="77777777" w:rsidTr="00701F32">
        <w:trPr>
          <w:trHeight w:val="395"/>
        </w:trPr>
        <w:tc>
          <w:tcPr>
            <w:tcW w:w="2480" w:type="dxa"/>
            <w:shd w:val="clear" w:color="auto" w:fill="auto"/>
            <w:vAlign w:val="center"/>
            <w:hideMark/>
          </w:tcPr>
          <w:p w14:paraId="4A08AB3F" w14:textId="77777777" w:rsidR="00427A49" w:rsidRPr="00701F32" w:rsidRDefault="00427A49" w:rsidP="00427A49">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418" w:type="dxa"/>
            <w:shd w:val="clear" w:color="auto" w:fill="auto"/>
            <w:vAlign w:val="center"/>
          </w:tcPr>
          <w:p w14:paraId="499E5A84" w14:textId="0F4766C1"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94.575 </w:t>
            </w:r>
          </w:p>
        </w:tc>
        <w:tc>
          <w:tcPr>
            <w:tcW w:w="1275" w:type="dxa"/>
            <w:vAlign w:val="center"/>
          </w:tcPr>
          <w:p w14:paraId="5B03507E" w14:textId="413DA652"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   </w:t>
            </w:r>
          </w:p>
        </w:tc>
        <w:tc>
          <w:tcPr>
            <w:tcW w:w="993" w:type="dxa"/>
            <w:vAlign w:val="center"/>
          </w:tcPr>
          <w:p w14:paraId="2933EA1C" w14:textId="75227812"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3.494 </w:t>
            </w:r>
          </w:p>
        </w:tc>
        <w:tc>
          <w:tcPr>
            <w:tcW w:w="1275" w:type="dxa"/>
            <w:shd w:val="clear" w:color="auto" w:fill="auto"/>
            <w:vAlign w:val="center"/>
          </w:tcPr>
          <w:p w14:paraId="47A90312" w14:textId="4665340A"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12.762 </w:t>
            </w:r>
          </w:p>
        </w:tc>
        <w:tc>
          <w:tcPr>
            <w:tcW w:w="1134" w:type="dxa"/>
            <w:vAlign w:val="center"/>
          </w:tcPr>
          <w:p w14:paraId="39E7ADA5" w14:textId="338A33E2"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73.553 </w:t>
            </w:r>
          </w:p>
        </w:tc>
        <w:tc>
          <w:tcPr>
            <w:tcW w:w="1418" w:type="dxa"/>
            <w:shd w:val="clear" w:color="auto" w:fill="auto"/>
            <w:vAlign w:val="center"/>
          </w:tcPr>
          <w:p w14:paraId="07FD6032" w14:textId="57F52D2E" w:rsidR="00427A49" w:rsidRPr="00701F32" w:rsidRDefault="00427A49">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 xml:space="preserve"> -   </w:t>
            </w:r>
          </w:p>
        </w:tc>
      </w:tr>
    </w:tbl>
    <w:p w14:paraId="788C9CEB" w14:textId="77777777" w:rsidR="00B30DEB" w:rsidRPr="00701F32" w:rsidRDefault="00B30DEB" w:rsidP="00A06BE9">
      <w:pPr>
        <w:widowControl w:val="0"/>
        <w:autoSpaceDE w:val="0"/>
        <w:autoSpaceDN w:val="0"/>
        <w:adjustRightInd w:val="0"/>
        <w:jc w:val="both"/>
        <w:rPr>
          <w:rFonts w:ascii="Arial" w:hAnsi="Arial" w:cs="Arial"/>
          <w:b/>
          <w:noProof/>
          <w:sz w:val="20"/>
        </w:rPr>
      </w:pPr>
    </w:p>
    <w:p w14:paraId="456CED3D" w14:textId="0E4F5EA0" w:rsidR="00A06BE9" w:rsidRPr="00701F32" w:rsidRDefault="00A06BE9" w:rsidP="00A06BE9">
      <w:pPr>
        <w:widowControl w:val="0"/>
        <w:autoSpaceDE w:val="0"/>
        <w:autoSpaceDN w:val="0"/>
        <w:adjustRightInd w:val="0"/>
        <w:jc w:val="both"/>
        <w:rPr>
          <w:rFonts w:ascii="Arial" w:eastAsia="Calibri" w:hAnsi="Arial" w:cs="Arial"/>
          <w:color w:val="000000"/>
          <w:sz w:val="20"/>
        </w:rPr>
      </w:pPr>
      <w:r w:rsidRPr="00701F32">
        <w:rPr>
          <w:rFonts w:ascii="Arial" w:eastAsia="Calibri" w:hAnsi="Arial" w:cs="Arial"/>
          <w:color w:val="000000"/>
          <w:sz w:val="20"/>
        </w:rPr>
        <w:t>Los resultados más significativos al 3</w:t>
      </w:r>
      <w:r w:rsidR="00DC067A" w:rsidRPr="00701F32">
        <w:rPr>
          <w:rFonts w:ascii="Arial" w:eastAsia="Calibri" w:hAnsi="Arial" w:cs="Arial"/>
          <w:color w:val="000000"/>
          <w:sz w:val="20"/>
        </w:rPr>
        <w:t>0</w:t>
      </w:r>
      <w:r w:rsidRPr="00701F32">
        <w:rPr>
          <w:rFonts w:ascii="Arial" w:eastAsia="Calibri" w:hAnsi="Arial" w:cs="Arial"/>
          <w:color w:val="000000"/>
          <w:sz w:val="20"/>
        </w:rPr>
        <w:t xml:space="preserve"> de </w:t>
      </w:r>
      <w:r w:rsidR="00F53550" w:rsidRPr="00701F32">
        <w:rPr>
          <w:rFonts w:ascii="Arial" w:eastAsia="Calibri" w:hAnsi="Arial" w:cs="Arial"/>
          <w:color w:val="000000"/>
          <w:sz w:val="20"/>
        </w:rPr>
        <w:t>septiembre</w:t>
      </w:r>
      <w:r w:rsidR="00DC067A" w:rsidRPr="00701F32">
        <w:rPr>
          <w:rFonts w:ascii="Arial" w:eastAsia="Calibri" w:hAnsi="Arial" w:cs="Arial"/>
          <w:color w:val="000000"/>
          <w:sz w:val="20"/>
        </w:rPr>
        <w:t xml:space="preserve"> </w:t>
      </w:r>
      <w:r w:rsidRPr="00701F32">
        <w:rPr>
          <w:rFonts w:ascii="Arial" w:eastAsia="Calibri" w:hAnsi="Arial" w:cs="Arial"/>
          <w:color w:val="000000"/>
          <w:sz w:val="20"/>
        </w:rPr>
        <w:t>de 2018</w:t>
      </w:r>
      <w:r w:rsidR="00F22F87" w:rsidRPr="00701F32">
        <w:rPr>
          <w:rFonts w:ascii="Arial" w:eastAsia="Calibri" w:hAnsi="Arial" w:cs="Arial"/>
          <w:color w:val="000000"/>
          <w:sz w:val="20"/>
        </w:rPr>
        <w:t>, 31 de diciembre y 3</w:t>
      </w:r>
      <w:r w:rsidR="000A1889" w:rsidRPr="00701F32">
        <w:rPr>
          <w:rFonts w:ascii="Arial" w:eastAsia="Calibri" w:hAnsi="Arial" w:cs="Arial"/>
          <w:color w:val="000000"/>
          <w:sz w:val="20"/>
        </w:rPr>
        <w:t>0</w:t>
      </w:r>
      <w:r w:rsidR="00F22F87" w:rsidRPr="00701F32">
        <w:rPr>
          <w:rFonts w:ascii="Arial" w:eastAsia="Calibri" w:hAnsi="Arial" w:cs="Arial"/>
          <w:color w:val="000000"/>
          <w:sz w:val="20"/>
        </w:rPr>
        <w:t xml:space="preserve"> de </w:t>
      </w:r>
      <w:r w:rsidR="00AC4467" w:rsidRPr="00701F32">
        <w:rPr>
          <w:rFonts w:ascii="Arial" w:eastAsia="Calibri" w:hAnsi="Arial" w:cs="Arial"/>
          <w:color w:val="000000"/>
          <w:sz w:val="20"/>
        </w:rPr>
        <w:t>septiembre</w:t>
      </w:r>
      <w:r w:rsidR="00F22F87" w:rsidRPr="00701F32">
        <w:rPr>
          <w:rFonts w:ascii="Arial" w:eastAsia="Calibri" w:hAnsi="Arial" w:cs="Arial"/>
          <w:color w:val="000000"/>
          <w:sz w:val="20"/>
        </w:rPr>
        <w:t xml:space="preserve"> de</w:t>
      </w:r>
      <w:r w:rsidRPr="00701F32">
        <w:rPr>
          <w:rFonts w:ascii="Arial" w:eastAsia="Calibri" w:hAnsi="Arial" w:cs="Arial"/>
          <w:color w:val="000000"/>
          <w:sz w:val="20"/>
        </w:rPr>
        <w:t xml:space="preserve"> 2017 son los siguientes</w:t>
      </w:r>
      <w:r w:rsidR="00D20EF9" w:rsidRPr="00701F32">
        <w:rPr>
          <w:rFonts w:ascii="Arial" w:eastAsia="Calibri" w:hAnsi="Arial" w:cs="Arial"/>
          <w:color w:val="000000"/>
          <w:sz w:val="20"/>
        </w:rPr>
        <w:t>:</w:t>
      </w:r>
    </w:p>
    <w:p w14:paraId="7ED61F63" w14:textId="77777777" w:rsidR="00A06BE9" w:rsidRPr="00701F32" w:rsidRDefault="00A06BE9" w:rsidP="00A06BE9">
      <w:pPr>
        <w:widowControl w:val="0"/>
        <w:autoSpaceDE w:val="0"/>
        <w:autoSpaceDN w:val="0"/>
        <w:adjustRightInd w:val="0"/>
        <w:jc w:val="both"/>
        <w:rPr>
          <w:rFonts w:ascii="Arial" w:eastAsia="Calibri" w:hAnsi="Arial" w:cs="Arial"/>
          <w:color w:val="000000"/>
          <w:sz w:val="16"/>
        </w:rPr>
      </w:pPr>
    </w:p>
    <w:tbl>
      <w:tblPr>
        <w:tblW w:w="100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541"/>
        <w:gridCol w:w="1215"/>
        <w:gridCol w:w="1134"/>
        <w:gridCol w:w="1276"/>
        <w:gridCol w:w="1275"/>
        <w:gridCol w:w="1276"/>
        <w:gridCol w:w="1337"/>
      </w:tblGrid>
      <w:tr w:rsidR="00F53550" w:rsidRPr="00701F32" w14:paraId="78BC8520" w14:textId="77777777" w:rsidTr="00701F32">
        <w:trPr>
          <w:trHeight w:val="455"/>
          <w:tblHeader/>
        </w:trPr>
        <w:tc>
          <w:tcPr>
            <w:tcW w:w="2541" w:type="dxa"/>
            <w:vMerge w:val="restart"/>
            <w:shd w:val="clear" w:color="auto" w:fill="auto"/>
            <w:vAlign w:val="center"/>
            <w:hideMark/>
          </w:tcPr>
          <w:p w14:paraId="777F1E2F" w14:textId="77777777" w:rsidR="00F53550" w:rsidRPr="00701F32" w:rsidRDefault="00F53550" w:rsidP="00464C0F">
            <w:pPr>
              <w:tabs>
                <w:tab w:val="left" w:pos="142"/>
              </w:tabs>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Sociedades</w:t>
            </w:r>
          </w:p>
        </w:tc>
        <w:tc>
          <w:tcPr>
            <w:tcW w:w="7513" w:type="dxa"/>
            <w:gridSpan w:val="6"/>
            <w:vAlign w:val="center"/>
          </w:tcPr>
          <w:p w14:paraId="62B5EFC7" w14:textId="77777777" w:rsidR="00F53550" w:rsidRPr="00701F32" w:rsidRDefault="00F53550" w:rsidP="0094138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30/09/2018</w:t>
            </w:r>
          </w:p>
        </w:tc>
      </w:tr>
      <w:tr w:rsidR="001B25DF" w:rsidRPr="00701F32" w14:paraId="1444FBDA" w14:textId="77777777" w:rsidTr="000501BB">
        <w:trPr>
          <w:trHeight w:val="839"/>
          <w:tblHeader/>
        </w:trPr>
        <w:tc>
          <w:tcPr>
            <w:tcW w:w="2541" w:type="dxa"/>
            <w:vMerge/>
            <w:shd w:val="clear" w:color="auto" w:fill="auto"/>
            <w:vAlign w:val="center"/>
            <w:hideMark/>
          </w:tcPr>
          <w:p w14:paraId="734C02AD"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p>
        </w:tc>
        <w:tc>
          <w:tcPr>
            <w:tcW w:w="1215" w:type="dxa"/>
            <w:vAlign w:val="center"/>
          </w:tcPr>
          <w:p w14:paraId="460F8FF9"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Intereses</w:t>
            </w:r>
          </w:p>
        </w:tc>
        <w:tc>
          <w:tcPr>
            <w:tcW w:w="1134" w:type="dxa"/>
            <w:vAlign w:val="center"/>
          </w:tcPr>
          <w:p w14:paraId="5E13174D"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intereses</w:t>
            </w:r>
          </w:p>
        </w:tc>
        <w:tc>
          <w:tcPr>
            <w:tcW w:w="1276" w:type="dxa"/>
            <w:shd w:val="clear" w:color="auto" w:fill="auto"/>
            <w:vAlign w:val="center"/>
          </w:tcPr>
          <w:p w14:paraId="1D71C8A1"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Comisiones</w:t>
            </w:r>
          </w:p>
        </w:tc>
        <w:tc>
          <w:tcPr>
            <w:tcW w:w="1275" w:type="dxa"/>
            <w:vAlign w:val="center"/>
          </w:tcPr>
          <w:p w14:paraId="312A924B"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Comisiones</w:t>
            </w:r>
          </w:p>
        </w:tc>
        <w:tc>
          <w:tcPr>
            <w:tcW w:w="1276" w:type="dxa"/>
            <w:vAlign w:val="center"/>
          </w:tcPr>
          <w:p w14:paraId="493B1DDD"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Gastos de Adminis-tración</w:t>
            </w:r>
          </w:p>
        </w:tc>
        <w:tc>
          <w:tcPr>
            <w:tcW w:w="1337" w:type="dxa"/>
            <w:vAlign w:val="center"/>
          </w:tcPr>
          <w:p w14:paraId="7BF58039"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Otros Ingresos Operativos</w:t>
            </w:r>
          </w:p>
        </w:tc>
      </w:tr>
      <w:tr w:rsidR="001B25DF" w:rsidRPr="00701F32" w14:paraId="02011381" w14:textId="77777777" w:rsidTr="000501BB">
        <w:trPr>
          <w:trHeight w:val="455"/>
        </w:trPr>
        <w:tc>
          <w:tcPr>
            <w:tcW w:w="2541" w:type="dxa"/>
            <w:shd w:val="clear" w:color="auto" w:fill="auto"/>
            <w:vAlign w:val="center"/>
            <w:hideMark/>
          </w:tcPr>
          <w:p w14:paraId="268490B0"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Sofital S.A.F. e I.I.</w:t>
            </w:r>
          </w:p>
        </w:tc>
        <w:tc>
          <w:tcPr>
            <w:tcW w:w="1215" w:type="dxa"/>
            <w:vAlign w:val="bottom"/>
          </w:tcPr>
          <w:p w14:paraId="46AF7D7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556DFE2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77BCCF0C" w14:textId="1D676186" w:rsidR="00A06BE9" w:rsidRPr="00701F32" w:rsidRDefault="0029375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23</w:t>
            </w:r>
          </w:p>
        </w:tc>
        <w:tc>
          <w:tcPr>
            <w:tcW w:w="1275" w:type="dxa"/>
            <w:vAlign w:val="bottom"/>
          </w:tcPr>
          <w:p w14:paraId="2160033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vAlign w:val="bottom"/>
          </w:tcPr>
          <w:p w14:paraId="7B68E2A5"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01CBC995"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B25DF" w:rsidRPr="00701F32" w14:paraId="01068BFC" w14:textId="77777777" w:rsidTr="000501BB">
        <w:trPr>
          <w:trHeight w:val="455"/>
        </w:trPr>
        <w:tc>
          <w:tcPr>
            <w:tcW w:w="2541" w:type="dxa"/>
            <w:shd w:val="clear" w:color="auto" w:fill="auto"/>
            <w:vAlign w:val="center"/>
            <w:hideMark/>
          </w:tcPr>
          <w:p w14:paraId="7E55DC15" w14:textId="77777777" w:rsidR="00A06BE9" w:rsidRPr="00701F32" w:rsidRDefault="00A06BE9"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Espacio Cordial S.A.</w:t>
            </w:r>
          </w:p>
        </w:tc>
        <w:tc>
          <w:tcPr>
            <w:tcW w:w="1215" w:type="dxa"/>
            <w:vAlign w:val="bottom"/>
          </w:tcPr>
          <w:p w14:paraId="3EE9068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w:t>
            </w:r>
            <w:r w:rsidR="00B660DC" w:rsidRPr="00701F32">
              <w:rPr>
                <w:rFonts w:ascii="Arial" w:eastAsia="Calibri" w:hAnsi="Arial" w:cs="Arial"/>
                <w:color w:val="000000"/>
                <w:sz w:val="16"/>
              </w:rPr>
              <w:t>8</w:t>
            </w:r>
          </w:p>
        </w:tc>
        <w:tc>
          <w:tcPr>
            <w:tcW w:w="1134" w:type="dxa"/>
            <w:vAlign w:val="bottom"/>
          </w:tcPr>
          <w:p w14:paraId="0CABAFB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318127C5" w14:textId="221513C5"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106</w:t>
            </w:r>
          </w:p>
        </w:tc>
        <w:tc>
          <w:tcPr>
            <w:tcW w:w="1275" w:type="dxa"/>
            <w:vAlign w:val="bottom"/>
          </w:tcPr>
          <w:p w14:paraId="42DF890F"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bottom"/>
          </w:tcPr>
          <w:p w14:paraId="1499CBC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6B2B8E7F" w14:textId="1DA427FD"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122</w:t>
            </w:r>
          </w:p>
        </w:tc>
      </w:tr>
      <w:tr w:rsidR="001B25DF" w:rsidRPr="00701F32" w14:paraId="7F11B7F1" w14:textId="77777777" w:rsidTr="000501BB">
        <w:trPr>
          <w:trHeight w:val="455"/>
        </w:trPr>
        <w:tc>
          <w:tcPr>
            <w:tcW w:w="2541" w:type="dxa"/>
            <w:shd w:val="clear" w:color="auto" w:fill="auto"/>
            <w:vAlign w:val="center"/>
          </w:tcPr>
          <w:p w14:paraId="7335011C"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Supervielle Seguros S.A.</w:t>
            </w:r>
          </w:p>
        </w:tc>
        <w:tc>
          <w:tcPr>
            <w:tcW w:w="1215" w:type="dxa"/>
            <w:vAlign w:val="bottom"/>
          </w:tcPr>
          <w:p w14:paraId="537882B6" w14:textId="3D9EC9F6"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w:t>
            </w:r>
          </w:p>
        </w:tc>
        <w:tc>
          <w:tcPr>
            <w:tcW w:w="1134" w:type="dxa"/>
            <w:vAlign w:val="bottom"/>
          </w:tcPr>
          <w:p w14:paraId="513B68F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6F35C3CF" w14:textId="29B011CB"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82.299</w:t>
            </w:r>
          </w:p>
        </w:tc>
        <w:tc>
          <w:tcPr>
            <w:tcW w:w="1275" w:type="dxa"/>
            <w:vAlign w:val="bottom"/>
          </w:tcPr>
          <w:p w14:paraId="7CA5C95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bottom"/>
          </w:tcPr>
          <w:p w14:paraId="7F2B0E03" w14:textId="62A76758"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2.548</w:t>
            </w:r>
          </w:p>
        </w:tc>
        <w:tc>
          <w:tcPr>
            <w:tcW w:w="1337" w:type="dxa"/>
            <w:vAlign w:val="bottom"/>
          </w:tcPr>
          <w:p w14:paraId="31C5747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B25DF" w:rsidRPr="00701F32" w14:paraId="7E3CBFED" w14:textId="77777777" w:rsidTr="000501BB">
        <w:trPr>
          <w:trHeight w:val="455"/>
        </w:trPr>
        <w:tc>
          <w:tcPr>
            <w:tcW w:w="2541" w:type="dxa"/>
            <w:shd w:val="clear" w:color="auto" w:fill="auto"/>
            <w:vAlign w:val="center"/>
            <w:hideMark/>
          </w:tcPr>
          <w:p w14:paraId="65CA9A06"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Microfinanzas S.A.</w:t>
            </w:r>
          </w:p>
        </w:tc>
        <w:tc>
          <w:tcPr>
            <w:tcW w:w="1215" w:type="dxa"/>
            <w:vAlign w:val="bottom"/>
          </w:tcPr>
          <w:p w14:paraId="2883D39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6459018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459D52D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vAlign w:val="bottom"/>
          </w:tcPr>
          <w:p w14:paraId="3F7EF88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vAlign w:val="bottom"/>
          </w:tcPr>
          <w:p w14:paraId="05118D1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0D5E85B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B25DF" w:rsidRPr="00701F32" w14:paraId="5869E853" w14:textId="77777777" w:rsidTr="000501BB">
        <w:trPr>
          <w:trHeight w:val="455"/>
        </w:trPr>
        <w:tc>
          <w:tcPr>
            <w:tcW w:w="2541" w:type="dxa"/>
            <w:shd w:val="clear" w:color="auto" w:fill="auto"/>
            <w:vAlign w:val="center"/>
            <w:hideMark/>
          </w:tcPr>
          <w:p w14:paraId="7B9BF05D"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Tarjeta Automática S.A.</w:t>
            </w:r>
          </w:p>
        </w:tc>
        <w:tc>
          <w:tcPr>
            <w:tcW w:w="1215" w:type="dxa"/>
            <w:vAlign w:val="bottom"/>
          </w:tcPr>
          <w:p w14:paraId="286116FF" w14:textId="398E370C"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5.317</w:t>
            </w:r>
          </w:p>
        </w:tc>
        <w:tc>
          <w:tcPr>
            <w:tcW w:w="1134" w:type="dxa"/>
            <w:vAlign w:val="bottom"/>
          </w:tcPr>
          <w:p w14:paraId="2FBC0E2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5C78B082" w14:textId="1FE2AA1E"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347</w:t>
            </w:r>
          </w:p>
        </w:tc>
        <w:tc>
          <w:tcPr>
            <w:tcW w:w="1275" w:type="dxa"/>
            <w:vAlign w:val="bottom"/>
          </w:tcPr>
          <w:p w14:paraId="1D18551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vAlign w:val="bottom"/>
          </w:tcPr>
          <w:p w14:paraId="4985932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246BD8D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B25DF" w:rsidRPr="00701F32" w14:paraId="69D57BB3" w14:textId="77777777" w:rsidTr="000501BB">
        <w:trPr>
          <w:trHeight w:val="455"/>
        </w:trPr>
        <w:tc>
          <w:tcPr>
            <w:tcW w:w="2541" w:type="dxa"/>
            <w:shd w:val="clear" w:color="auto" w:fill="auto"/>
            <w:vAlign w:val="center"/>
            <w:hideMark/>
          </w:tcPr>
          <w:p w14:paraId="7202918A"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Supervielle Asset Management S.A.</w:t>
            </w:r>
          </w:p>
        </w:tc>
        <w:tc>
          <w:tcPr>
            <w:tcW w:w="1215" w:type="dxa"/>
            <w:vAlign w:val="bottom"/>
          </w:tcPr>
          <w:p w14:paraId="67964FB8" w14:textId="77777777" w:rsidR="00A06BE9" w:rsidRPr="00701F32" w:rsidRDefault="00B660DC">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w:t>
            </w:r>
          </w:p>
        </w:tc>
        <w:tc>
          <w:tcPr>
            <w:tcW w:w="1134" w:type="dxa"/>
            <w:vAlign w:val="bottom"/>
          </w:tcPr>
          <w:p w14:paraId="0C7D37F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3AD8A458" w14:textId="55A503CF"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122</w:t>
            </w:r>
          </w:p>
        </w:tc>
        <w:tc>
          <w:tcPr>
            <w:tcW w:w="1275" w:type="dxa"/>
            <w:vAlign w:val="bottom"/>
          </w:tcPr>
          <w:p w14:paraId="2425A4D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vAlign w:val="bottom"/>
          </w:tcPr>
          <w:p w14:paraId="533213B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432B2920" w14:textId="368FFDE8"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1.341</w:t>
            </w:r>
          </w:p>
        </w:tc>
      </w:tr>
      <w:tr w:rsidR="001B25DF" w:rsidRPr="00701F32" w14:paraId="770D6B17" w14:textId="77777777" w:rsidTr="000501BB">
        <w:trPr>
          <w:trHeight w:val="455"/>
        </w:trPr>
        <w:tc>
          <w:tcPr>
            <w:tcW w:w="2541" w:type="dxa"/>
            <w:shd w:val="clear" w:color="auto" w:fill="auto"/>
            <w:vAlign w:val="center"/>
          </w:tcPr>
          <w:p w14:paraId="3DF78261" w14:textId="77777777" w:rsidR="00B660DC" w:rsidRPr="00701F32" w:rsidRDefault="00FE368C" w:rsidP="00464C0F">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Invertir OnLine S.A.</w:t>
            </w:r>
          </w:p>
        </w:tc>
        <w:tc>
          <w:tcPr>
            <w:tcW w:w="1215" w:type="dxa"/>
            <w:vAlign w:val="bottom"/>
          </w:tcPr>
          <w:p w14:paraId="5B51A2D8" w14:textId="77777777" w:rsidR="00B660DC" w:rsidRPr="00701F32" w:rsidRDefault="00FE368C">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65E12FFA" w14:textId="4D0C81BA" w:rsidR="00B660DC"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24.987</w:t>
            </w:r>
          </w:p>
        </w:tc>
        <w:tc>
          <w:tcPr>
            <w:tcW w:w="1276" w:type="dxa"/>
            <w:shd w:val="clear" w:color="auto" w:fill="auto"/>
            <w:vAlign w:val="bottom"/>
          </w:tcPr>
          <w:p w14:paraId="0AFA7F29" w14:textId="73D98B3E" w:rsidR="00B660DC" w:rsidRPr="00701F32" w:rsidDel="00B660DC"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w:t>
            </w:r>
          </w:p>
        </w:tc>
        <w:tc>
          <w:tcPr>
            <w:tcW w:w="1275" w:type="dxa"/>
            <w:vAlign w:val="bottom"/>
          </w:tcPr>
          <w:p w14:paraId="46ED0C9B" w14:textId="77777777" w:rsidR="00B660DC" w:rsidRPr="00701F32" w:rsidRDefault="00FE368C">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bottom"/>
          </w:tcPr>
          <w:p w14:paraId="0F095F71" w14:textId="77777777" w:rsidR="00B660DC" w:rsidRPr="00701F32" w:rsidRDefault="00FE368C">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7" w:type="dxa"/>
            <w:vAlign w:val="bottom"/>
          </w:tcPr>
          <w:p w14:paraId="759F3050" w14:textId="77777777" w:rsidR="00B660DC" w:rsidRPr="00701F32" w:rsidRDefault="00FE368C">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B25DF" w:rsidRPr="00701F32" w14:paraId="18EC4903" w14:textId="77777777" w:rsidTr="000501BB">
        <w:trPr>
          <w:trHeight w:val="455"/>
        </w:trPr>
        <w:tc>
          <w:tcPr>
            <w:tcW w:w="2541" w:type="dxa"/>
            <w:shd w:val="clear" w:color="auto" w:fill="auto"/>
            <w:vAlign w:val="center"/>
          </w:tcPr>
          <w:p w14:paraId="21DBEE85" w14:textId="3C7E45A9" w:rsidR="00AA3E91" w:rsidRPr="00701F32" w:rsidRDefault="00AA3E91" w:rsidP="00464C0F">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rPr>
              <w:t>Invertir OnLine.com Argentina S.A.</w:t>
            </w:r>
          </w:p>
        </w:tc>
        <w:tc>
          <w:tcPr>
            <w:tcW w:w="1215" w:type="dxa"/>
            <w:vAlign w:val="bottom"/>
          </w:tcPr>
          <w:p w14:paraId="0D5A35D8" w14:textId="53432761"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bottom"/>
          </w:tcPr>
          <w:p w14:paraId="58D0448F" w14:textId="524A9CEA" w:rsidR="00AA3E91" w:rsidRPr="00701F32" w:rsidDel="00AA3E91"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16</w:t>
            </w:r>
          </w:p>
        </w:tc>
        <w:tc>
          <w:tcPr>
            <w:tcW w:w="1276" w:type="dxa"/>
            <w:shd w:val="clear" w:color="auto" w:fill="auto"/>
            <w:vAlign w:val="bottom"/>
          </w:tcPr>
          <w:p w14:paraId="48E2F86B" w14:textId="13728D56" w:rsidR="00AA3E91" w:rsidRPr="00701F32" w:rsidDel="00AA3E91"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vAlign w:val="bottom"/>
          </w:tcPr>
          <w:p w14:paraId="4660EBE0" w14:textId="2CA4C4EE"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bottom"/>
          </w:tcPr>
          <w:p w14:paraId="0F45C366" w14:textId="4823AA23"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37" w:type="dxa"/>
            <w:vAlign w:val="bottom"/>
          </w:tcPr>
          <w:p w14:paraId="0265DD6D" w14:textId="1B42EC17"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B25DF" w:rsidRPr="00701F32" w14:paraId="2DCB679E" w14:textId="77777777" w:rsidTr="000501BB">
        <w:trPr>
          <w:trHeight w:val="455"/>
        </w:trPr>
        <w:tc>
          <w:tcPr>
            <w:tcW w:w="2541" w:type="dxa"/>
            <w:shd w:val="clear" w:color="auto" w:fill="auto"/>
            <w:vAlign w:val="center"/>
          </w:tcPr>
          <w:p w14:paraId="6ECB8C74" w14:textId="6805BFE5" w:rsidR="00AA3E91" w:rsidRPr="00701F32" w:rsidRDefault="00AA3E91" w:rsidP="00464C0F">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rPr>
              <w:t>Micro Lending S.A.</w:t>
            </w:r>
          </w:p>
        </w:tc>
        <w:tc>
          <w:tcPr>
            <w:tcW w:w="1215" w:type="dxa"/>
            <w:vAlign w:val="bottom"/>
          </w:tcPr>
          <w:p w14:paraId="11D84131" w14:textId="3F9F9AD8"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17.186</w:t>
            </w:r>
          </w:p>
        </w:tc>
        <w:tc>
          <w:tcPr>
            <w:tcW w:w="1134" w:type="dxa"/>
            <w:vAlign w:val="bottom"/>
          </w:tcPr>
          <w:p w14:paraId="3049C2CD" w14:textId="69042476" w:rsidR="00AA3E91" w:rsidRPr="00701F32" w:rsidDel="00AA3E91"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shd w:val="clear" w:color="auto" w:fill="auto"/>
            <w:vAlign w:val="bottom"/>
          </w:tcPr>
          <w:p w14:paraId="18C30FB0" w14:textId="5EF7B475" w:rsidR="00AA3E91" w:rsidRPr="00701F32" w:rsidDel="00AA3E91"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vAlign w:val="bottom"/>
          </w:tcPr>
          <w:p w14:paraId="0E3D84EB" w14:textId="5FD2D46E"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bottom"/>
          </w:tcPr>
          <w:p w14:paraId="6920E4C4" w14:textId="362C5754"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268</w:t>
            </w:r>
          </w:p>
        </w:tc>
        <w:tc>
          <w:tcPr>
            <w:tcW w:w="1337" w:type="dxa"/>
            <w:vAlign w:val="bottom"/>
          </w:tcPr>
          <w:p w14:paraId="2DF5124A" w14:textId="5E1F0369" w:rsidR="00AA3E91" w:rsidRPr="00701F32" w:rsidRDefault="00AA3E91">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19</w:t>
            </w:r>
          </w:p>
        </w:tc>
      </w:tr>
      <w:tr w:rsidR="001B25DF" w:rsidRPr="00701F32" w14:paraId="28FFEE0E" w14:textId="77777777" w:rsidTr="000501BB">
        <w:trPr>
          <w:trHeight w:val="455"/>
        </w:trPr>
        <w:tc>
          <w:tcPr>
            <w:tcW w:w="2541" w:type="dxa"/>
            <w:shd w:val="clear" w:color="auto" w:fill="auto"/>
            <w:vAlign w:val="center"/>
            <w:hideMark/>
          </w:tcPr>
          <w:p w14:paraId="58D23F46"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Grupo Supervielle S.A.</w:t>
            </w:r>
          </w:p>
        </w:tc>
        <w:tc>
          <w:tcPr>
            <w:tcW w:w="1215" w:type="dxa"/>
            <w:vAlign w:val="bottom"/>
          </w:tcPr>
          <w:p w14:paraId="14D24C41"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62C41BB3" w14:textId="10126563"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45.203</w:t>
            </w:r>
          </w:p>
        </w:tc>
        <w:tc>
          <w:tcPr>
            <w:tcW w:w="1276" w:type="dxa"/>
            <w:shd w:val="clear" w:color="auto" w:fill="auto"/>
            <w:vAlign w:val="bottom"/>
          </w:tcPr>
          <w:p w14:paraId="186783D0" w14:textId="2CC84934"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2.643</w:t>
            </w:r>
          </w:p>
        </w:tc>
        <w:tc>
          <w:tcPr>
            <w:tcW w:w="1275" w:type="dxa"/>
            <w:vAlign w:val="bottom"/>
          </w:tcPr>
          <w:p w14:paraId="5638779C" w14:textId="249B5FC1"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14.764</w:t>
            </w:r>
          </w:p>
        </w:tc>
        <w:tc>
          <w:tcPr>
            <w:tcW w:w="1276" w:type="dxa"/>
            <w:vAlign w:val="bottom"/>
          </w:tcPr>
          <w:p w14:paraId="4F518C97" w14:textId="684239CD"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43.650</w:t>
            </w:r>
          </w:p>
        </w:tc>
        <w:tc>
          <w:tcPr>
            <w:tcW w:w="1337" w:type="dxa"/>
            <w:vAlign w:val="bottom"/>
          </w:tcPr>
          <w:p w14:paraId="068B4C6F" w14:textId="3E01FC4E" w:rsidR="00A06BE9" w:rsidRPr="00701F32" w:rsidRDefault="00AA3E91">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1.136</w:t>
            </w:r>
          </w:p>
        </w:tc>
      </w:tr>
      <w:tr w:rsidR="000501BB" w:rsidRPr="00701F32" w14:paraId="148D2F5E" w14:textId="77777777" w:rsidTr="00701F32">
        <w:trPr>
          <w:trHeight w:val="455"/>
        </w:trPr>
        <w:tc>
          <w:tcPr>
            <w:tcW w:w="2541" w:type="dxa"/>
            <w:shd w:val="clear" w:color="auto" w:fill="auto"/>
            <w:vAlign w:val="center"/>
            <w:hideMark/>
          </w:tcPr>
          <w:p w14:paraId="7D5C5D9B" w14:textId="66A34BF6" w:rsidR="008D5AB2" w:rsidRPr="00701F32" w:rsidRDefault="008D5AB2" w:rsidP="00701F32">
            <w:pPr>
              <w:tabs>
                <w:tab w:val="left" w:pos="142"/>
              </w:tabs>
              <w:spacing w:after="160" w:line="259" w:lineRule="auto"/>
              <w:jc w:val="center"/>
              <w:rPr>
                <w:rFonts w:ascii="Arial" w:eastAsia="Calibri" w:hAnsi="Arial" w:cs="Arial"/>
                <w:b/>
                <w:bCs/>
                <w:color w:val="000000"/>
                <w:sz w:val="16"/>
                <w:lang w:val="es-ES_tradnl" w:eastAsia="es-AR"/>
              </w:rPr>
            </w:pPr>
            <w:r w:rsidRPr="00701F32">
              <w:rPr>
                <w:rFonts w:ascii="Arial" w:eastAsia="Calibri" w:hAnsi="Arial" w:cs="Arial"/>
                <w:b/>
                <w:bCs/>
                <w:color w:val="000000"/>
                <w:sz w:val="16"/>
                <w:lang w:eastAsia="es-AR"/>
              </w:rPr>
              <w:t>TOTAL</w:t>
            </w:r>
          </w:p>
        </w:tc>
        <w:tc>
          <w:tcPr>
            <w:tcW w:w="1215" w:type="dxa"/>
            <w:vAlign w:val="center"/>
          </w:tcPr>
          <w:p w14:paraId="5B80114C" w14:textId="73D333DF"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22.545</w:t>
            </w:r>
          </w:p>
        </w:tc>
        <w:tc>
          <w:tcPr>
            <w:tcW w:w="1134" w:type="dxa"/>
            <w:vAlign w:val="center"/>
          </w:tcPr>
          <w:p w14:paraId="5B24728A" w14:textId="0879DD03"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70.206</w:t>
            </w:r>
          </w:p>
        </w:tc>
        <w:tc>
          <w:tcPr>
            <w:tcW w:w="1276" w:type="dxa"/>
            <w:shd w:val="clear" w:color="auto" w:fill="auto"/>
            <w:vAlign w:val="center"/>
          </w:tcPr>
          <w:p w14:paraId="204B017C" w14:textId="46207E40"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85.544</w:t>
            </w:r>
          </w:p>
        </w:tc>
        <w:tc>
          <w:tcPr>
            <w:tcW w:w="1275" w:type="dxa"/>
            <w:vAlign w:val="center"/>
          </w:tcPr>
          <w:p w14:paraId="7884B45B" w14:textId="679845FF"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14.764</w:t>
            </w:r>
          </w:p>
        </w:tc>
        <w:tc>
          <w:tcPr>
            <w:tcW w:w="1276" w:type="dxa"/>
            <w:vAlign w:val="center"/>
          </w:tcPr>
          <w:p w14:paraId="1607FDBF" w14:textId="57C2454A"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46.466</w:t>
            </w:r>
          </w:p>
        </w:tc>
        <w:tc>
          <w:tcPr>
            <w:tcW w:w="1337" w:type="dxa"/>
            <w:vAlign w:val="center"/>
          </w:tcPr>
          <w:p w14:paraId="4B9E5770" w14:textId="52E9192C" w:rsidR="008D5AB2" w:rsidRPr="00701F32" w:rsidRDefault="008D5AB2">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2.618</w:t>
            </w:r>
          </w:p>
        </w:tc>
      </w:tr>
    </w:tbl>
    <w:p w14:paraId="075EEE29" w14:textId="086A4D8E" w:rsidR="00A06BE9" w:rsidRPr="00701F32" w:rsidRDefault="00A06BE9" w:rsidP="00A06BE9">
      <w:pPr>
        <w:tabs>
          <w:tab w:val="left" w:pos="142"/>
        </w:tabs>
        <w:spacing w:after="160" w:line="259" w:lineRule="auto"/>
        <w:jc w:val="both"/>
        <w:rPr>
          <w:rFonts w:ascii="Arial" w:eastAsia="Calibri" w:hAnsi="Arial" w:cs="Arial"/>
          <w:color w:val="000000"/>
          <w:sz w:val="16"/>
        </w:rPr>
      </w:pPr>
    </w:p>
    <w:tbl>
      <w:tblPr>
        <w:tblW w:w="100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80"/>
        <w:gridCol w:w="1134"/>
        <w:gridCol w:w="1134"/>
        <w:gridCol w:w="1276"/>
        <w:gridCol w:w="1417"/>
        <w:gridCol w:w="1276"/>
        <w:gridCol w:w="1337"/>
      </w:tblGrid>
      <w:tr w:rsidR="00F53550" w:rsidRPr="00701F32" w14:paraId="7305DA2B" w14:textId="77777777" w:rsidTr="00701F32">
        <w:trPr>
          <w:trHeight w:val="455"/>
          <w:tblHeader/>
        </w:trPr>
        <w:tc>
          <w:tcPr>
            <w:tcW w:w="2480" w:type="dxa"/>
            <w:vMerge w:val="restart"/>
            <w:shd w:val="clear" w:color="auto" w:fill="auto"/>
            <w:vAlign w:val="center"/>
            <w:hideMark/>
          </w:tcPr>
          <w:p w14:paraId="5FE35988" w14:textId="77777777" w:rsidR="00F53550" w:rsidRPr="00701F32" w:rsidRDefault="00F53550" w:rsidP="00AD40A3">
            <w:pPr>
              <w:tabs>
                <w:tab w:val="left" w:pos="142"/>
              </w:tabs>
              <w:jc w:val="center"/>
              <w:rPr>
                <w:rFonts w:ascii="Arial" w:hAnsi="Arial" w:cs="Arial"/>
                <w:b/>
                <w:color w:val="000000" w:themeColor="text1"/>
                <w:sz w:val="16"/>
                <w:szCs w:val="16"/>
                <w:lang w:eastAsia="es-AR"/>
              </w:rPr>
            </w:pPr>
            <w:r w:rsidRPr="00701F32">
              <w:rPr>
                <w:rFonts w:ascii="Arial" w:hAnsi="Arial" w:cs="Arial"/>
                <w:b/>
                <w:color w:val="000000" w:themeColor="text1"/>
                <w:sz w:val="16"/>
                <w:szCs w:val="16"/>
                <w:lang w:eastAsia="es-AR"/>
              </w:rPr>
              <w:t>Sociedades</w:t>
            </w:r>
          </w:p>
        </w:tc>
        <w:tc>
          <w:tcPr>
            <w:tcW w:w="7574" w:type="dxa"/>
            <w:gridSpan w:val="6"/>
            <w:vAlign w:val="center"/>
          </w:tcPr>
          <w:p w14:paraId="2FEEB0EA" w14:textId="77777777" w:rsidR="00F53550" w:rsidRPr="00701F32" w:rsidRDefault="00F53550" w:rsidP="00941382">
            <w:pPr>
              <w:jc w:val="center"/>
              <w:rPr>
                <w:rFonts w:ascii="Arial" w:hAnsi="Arial" w:cs="Arial"/>
                <w:b/>
                <w:color w:val="000000" w:themeColor="text1"/>
                <w:sz w:val="16"/>
                <w:szCs w:val="16"/>
              </w:rPr>
            </w:pPr>
            <w:r w:rsidRPr="00701F32">
              <w:rPr>
                <w:rFonts w:ascii="Arial" w:hAnsi="Arial" w:cs="Arial"/>
                <w:b/>
                <w:color w:val="000000" w:themeColor="text1"/>
                <w:sz w:val="16"/>
                <w:szCs w:val="16"/>
              </w:rPr>
              <w:t>31/12/2017</w:t>
            </w:r>
          </w:p>
        </w:tc>
      </w:tr>
      <w:tr w:rsidR="008D5AB2" w:rsidRPr="00701F32" w14:paraId="31A50AD1" w14:textId="77777777" w:rsidTr="008D5AB2">
        <w:trPr>
          <w:trHeight w:val="839"/>
          <w:tblHeader/>
        </w:trPr>
        <w:tc>
          <w:tcPr>
            <w:tcW w:w="2480" w:type="dxa"/>
            <w:vMerge/>
            <w:shd w:val="clear" w:color="auto" w:fill="auto"/>
            <w:vAlign w:val="center"/>
            <w:hideMark/>
          </w:tcPr>
          <w:p w14:paraId="428FA9AB" w14:textId="77777777" w:rsidR="00DD7075" w:rsidRPr="00701F32" w:rsidRDefault="00DD7075" w:rsidP="00AD40A3">
            <w:pPr>
              <w:tabs>
                <w:tab w:val="left" w:pos="142"/>
              </w:tabs>
              <w:jc w:val="center"/>
              <w:rPr>
                <w:rFonts w:ascii="Arial" w:hAnsi="Arial" w:cs="Arial"/>
                <w:color w:val="000000" w:themeColor="text1"/>
                <w:sz w:val="16"/>
                <w:szCs w:val="16"/>
                <w:lang w:eastAsia="es-AR"/>
              </w:rPr>
            </w:pPr>
          </w:p>
        </w:tc>
        <w:tc>
          <w:tcPr>
            <w:tcW w:w="1134" w:type="dxa"/>
            <w:vAlign w:val="center"/>
          </w:tcPr>
          <w:p w14:paraId="1C6CDD50"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Ingresos por Intereses</w:t>
            </w:r>
          </w:p>
        </w:tc>
        <w:tc>
          <w:tcPr>
            <w:tcW w:w="1134" w:type="dxa"/>
            <w:vAlign w:val="center"/>
          </w:tcPr>
          <w:p w14:paraId="177317E3"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Egresos por intereses</w:t>
            </w:r>
          </w:p>
        </w:tc>
        <w:tc>
          <w:tcPr>
            <w:tcW w:w="1276" w:type="dxa"/>
            <w:shd w:val="clear" w:color="auto" w:fill="auto"/>
            <w:vAlign w:val="center"/>
          </w:tcPr>
          <w:p w14:paraId="3568206E"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Ingresos por Comisiones</w:t>
            </w:r>
          </w:p>
        </w:tc>
        <w:tc>
          <w:tcPr>
            <w:tcW w:w="1417" w:type="dxa"/>
            <w:vAlign w:val="center"/>
          </w:tcPr>
          <w:p w14:paraId="76B0E1F1"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Egresos por Comisiones</w:t>
            </w:r>
          </w:p>
        </w:tc>
        <w:tc>
          <w:tcPr>
            <w:tcW w:w="1276" w:type="dxa"/>
            <w:vAlign w:val="center"/>
          </w:tcPr>
          <w:p w14:paraId="7AD8CD6A"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Gastos de Administración</w:t>
            </w:r>
          </w:p>
        </w:tc>
        <w:tc>
          <w:tcPr>
            <w:tcW w:w="1337" w:type="dxa"/>
            <w:vAlign w:val="center"/>
          </w:tcPr>
          <w:p w14:paraId="6A4D46E1" w14:textId="77777777" w:rsidR="00DD7075" w:rsidRPr="00701F32" w:rsidRDefault="00DD7075" w:rsidP="00AD40A3">
            <w:pPr>
              <w:jc w:val="center"/>
              <w:rPr>
                <w:rFonts w:ascii="Arial" w:hAnsi="Arial" w:cs="Arial"/>
                <w:b/>
                <w:color w:val="000000" w:themeColor="text1"/>
                <w:sz w:val="16"/>
                <w:szCs w:val="16"/>
              </w:rPr>
            </w:pPr>
            <w:r w:rsidRPr="00701F32">
              <w:rPr>
                <w:rFonts w:ascii="Arial" w:hAnsi="Arial" w:cs="Arial"/>
                <w:b/>
                <w:color w:val="000000" w:themeColor="text1"/>
                <w:sz w:val="16"/>
                <w:szCs w:val="16"/>
              </w:rPr>
              <w:t>Otros Ingresos Operativos</w:t>
            </w:r>
          </w:p>
        </w:tc>
      </w:tr>
      <w:tr w:rsidR="008D5AB2" w:rsidRPr="00701F32" w14:paraId="65B5FB30" w14:textId="77777777" w:rsidTr="008D5AB2">
        <w:trPr>
          <w:trHeight w:val="455"/>
        </w:trPr>
        <w:tc>
          <w:tcPr>
            <w:tcW w:w="2480" w:type="dxa"/>
            <w:shd w:val="clear" w:color="auto" w:fill="auto"/>
            <w:vAlign w:val="center"/>
            <w:hideMark/>
          </w:tcPr>
          <w:p w14:paraId="0494CF42" w14:textId="77777777" w:rsidR="00DD7075" w:rsidRPr="00701F32" w:rsidRDefault="00DD7075"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Sofital S.A.F. e I.I.</w:t>
            </w:r>
          </w:p>
        </w:tc>
        <w:tc>
          <w:tcPr>
            <w:tcW w:w="1134" w:type="dxa"/>
            <w:vAlign w:val="bottom"/>
          </w:tcPr>
          <w:p w14:paraId="5BDFC176"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134" w:type="dxa"/>
            <w:vAlign w:val="bottom"/>
          </w:tcPr>
          <w:p w14:paraId="320DA555"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shd w:val="clear" w:color="auto" w:fill="auto"/>
            <w:vAlign w:val="bottom"/>
          </w:tcPr>
          <w:p w14:paraId="508C8312"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100</w:t>
            </w:r>
          </w:p>
        </w:tc>
        <w:tc>
          <w:tcPr>
            <w:tcW w:w="1417" w:type="dxa"/>
            <w:vAlign w:val="bottom"/>
          </w:tcPr>
          <w:p w14:paraId="398D3789"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vAlign w:val="bottom"/>
          </w:tcPr>
          <w:p w14:paraId="79984F1E"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6320359F"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8D5AB2" w:rsidRPr="00701F32" w14:paraId="321ADC31" w14:textId="77777777" w:rsidTr="008D5AB2">
        <w:trPr>
          <w:trHeight w:val="455"/>
        </w:trPr>
        <w:tc>
          <w:tcPr>
            <w:tcW w:w="2480" w:type="dxa"/>
            <w:shd w:val="clear" w:color="auto" w:fill="auto"/>
            <w:vAlign w:val="center"/>
            <w:hideMark/>
          </w:tcPr>
          <w:p w14:paraId="117245E5" w14:textId="77777777" w:rsidR="00DD7075" w:rsidRPr="00701F32" w:rsidRDefault="00DD7075" w:rsidP="00AD40A3">
            <w:pPr>
              <w:jc w:val="center"/>
              <w:rPr>
                <w:rFonts w:ascii="Arial" w:hAnsi="Arial" w:cs="Arial"/>
                <w:color w:val="000000" w:themeColor="text1"/>
                <w:sz w:val="16"/>
                <w:szCs w:val="16"/>
              </w:rPr>
            </w:pPr>
            <w:r w:rsidRPr="00701F32">
              <w:rPr>
                <w:rFonts w:ascii="Arial" w:hAnsi="Arial" w:cs="Arial"/>
                <w:color w:val="000000" w:themeColor="text1"/>
                <w:sz w:val="16"/>
                <w:szCs w:val="16"/>
              </w:rPr>
              <w:t>Espacio Cordial S.A.</w:t>
            </w:r>
          </w:p>
        </w:tc>
        <w:tc>
          <w:tcPr>
            <w:tcW w:w="1134" w:type="dxa"/>
            <w:vAlign w:val="bottom"/>
          </w:tcPr>
          <w:p w14:paraId="67F0136B"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3.522</w:t>
            </w:r>
          </w:p>
        </w:tc>
        <w:tc>
          <w:tcPr>
            <w:tcW w:w="1134" w:type="dxa"/>
            <w:vAlign w:val="bottom"/>
          </w:tcPr>
          <w:p w14:paraId="0025D6AD"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shd w:val="clear" w:color="auto" w:fill="auto"/>
            <w:vAlign w:val="bottom"/>
          </w:tcPr>
          <w:p w14:paraId="46A9666A"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221</w:t>
            </w:r>
          </w:p>
        </w:tc>
        <w:tc>
          <w:tcPr>
            <w:tcW w:w="1417" w:type="dxa"/>
            <w:vAlign w:val="bottom"/>
          </w:tcPr>
          <w:p w14:paraId="6BCAD9DB"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60149D9E"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11EFA85E"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39</w:t>
            </w:r>
          </w:p>
        </w:tc>
      </w:tr>
      <w:tr w:rsidR="008D5AB2" w:rsidRPr="00701F32" w14:paraId="2BDB754E" w14:textId="77777777" w:rsidTr="008D5AB2">
        <w:trPr>
          <w:trHeight w:val="455"/>
        </w:trPr>
        <w:tc>
          <w:tcPr>
            <w:tcW w:w="2480" w:type="dxa"/>
            <w:shd w:val="clear" w:color="auto" w:fill="auto"/>
            <w:vAlign w:val="center"/>
          </w:tcPr>
          <w:p w14:paraId="4B7E0690" w14:textId="77777777" w:rsidR="00DD7075" w:rsidRPr="00701F32" w:rsidRDefault="00DD7075"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rPr>
              <w:t>Supervielle Seguros S.A.</w:t>
            </w:r>
          </w:p>
        </w:tc>
        <w:tc>
          <w:tcPr>
            <w:tcW w:w="1134" w:type="dxa"/>
            <w:vAlign w:val="bottom"/>
          </w:tcPr>
          <w:p w14:paraId="3CCE9615"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134" w:type="dxa"/>
            <w:vAlign w:val="bottom"/>
          </w:tcPr>
          <w:p w14:paraId="5C608050"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shd w:val="clear" w:color="auto" w:fill="auto"/>
            <w:vAlign w:val="bottom"/>
          </w:tcPr>
          <w:p w14:paraId="7D277159"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71.291</w:t>
            </w:r>
          </w:p>
        </w:tc>
        <w:tc>
          <w:tcPr>
            <w:tcW w:w="1417" w:type="dxa"/>
            <w:vAlign w:val="bottom"/>
          </w:tcPr>
          <w:p w14:paraId="6D345FEF"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0D5156BA"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2.028</w:t>
            </w:r>
          </w:p>
        </w:tc>
        <w:tc>
          <w:tcPr>
            <w:tcW w:w="1337" w:type="dxa"/>
            <w:vAlign w:val="bottom"/>
          </w:tcPr>
          <w:p w14:paraId="0478DDA3"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8D5AB2" w:rsidRPr="00701F32" w14:paraId="11FDB768" w14:textId="77777777" w:rsidTr="008D5AB2">
        <w:trPr>
          <w:trHeight w:val="455"/>
        </w:trPr>
        <w:tc>
          <w:tcPr>
            <w:tcW w:w="2480" w:type="dxa"/>
            <w:shd w:val="clear" w:color="auto" w:fill="auto"/>
            <w:vAlign w:val="center"/>
            <w:hideMark/>
          </w:tcPr>
          <w:p w14:paraId="1D3008EE" w14:textId="77777777" w:rsidR="00DD7075" w:rsidRPr="00701F32" w:rsidRDefault="00DD7075"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Cordial Microfinanzas S.A.</w:t>
            </w:r>
          </w:p>
        </w:tc>
        <w:tc>
          <w:tcPr>
            <w:tcW w:w="1134" w:type="dxa"/>
            <w:vAlign w:val="bottom"/>
          </w:tcPr>
          <w:p w14:paraId="56D352E6"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2.123</w:t>
            </w:r>
          </w:p>
        </w:tc>
        <w:tc>
          <w:tcPr>
            <w:tcW w:w="1134" w:type="dxa"/>
            <w:vAlign w:val="bottom"/>
          </w:tcPr>
          <w:p w14:paraId="0420237D"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shd w:val="clear" w:color="auto" w:fill="auto"/>
            <w:vAlign w:val="bottom"/>
          </w:tcPr>
          <w:p w14:paraId="5FFE3565"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144</w:t>
            </w:r>
          </w:p>
        </w:tc>
        <w:tc>
          <w:tcPr>
            <w:tcW w:w="1417" w:type="dxa"/>
            <w:vAlign w:val="bottom"/>
          </w:tcPr>
          <w:p w14:paraId="36534C5E"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vAlign w:val="bottom"/>
          </w:tcPr>
          <w:p w14:paraId="34A58279"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4C8B2B02"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8D5AB2" w:rsidRPr="00701F32" w14:paraId="1F29B4E7" w14:textId="77777777" w:rsidTr="008D5AB2">
        <w:trPr>
          <w:trHeight w:val="455"/>
        </w:trPr>
        <w:tc>
          <w:tcPr>
            <w:tcW w:w="2480" w:type="dxa"/>
            <w:shd w:val="clear" w:color="auto" w:fill="auto"/>
            <w:vAlign w:val="center"/>
            <w:hideMark/>
          </w:tcPr>
          <w:p w14:paraId="4D71D5CA" w14:textId="77777777" w:rsidR="00DD7075" w:rsidRPr="00701F32" w:rsidRDefault="00DD7075"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Tarjeta Automática S.A.</w:t>
            </w:r>
          </w:p>
        </w:tc>
        <w:tc>
          <w:tcPr>
            <w:tcW w:w="1134" w:type="dxa"/>
            <w:vAlign w:val="bottom"/>
          </w:tcPr>
          <w:p w14:paraId="23238B63"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1.398</w:t>
            </w:r>
          </w:p>
        </w:tc>
        <w:tc>
          <w:tcPr>
            <w:tcW w:w="1134" w:type="dxa"/>
            <w:vAlign w:val="bottom"/>
          </w:tcPr>
          <w:p w14:paraId="25A7291C"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shd w:val="clear" w:color="auto" w:fill="auto"/>
            <w:vAlign w:val="bottom"/>
          </w:tcPr>
          <w:p w14:paraId="18E0F057"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977</w:t>
            </w:r>
          </w:p>
        </w:tc>
        <w:tc>
          <w:tcPr>
            <w:tcW w:w="1417" w:type="dxa"/>
            <w:vAlign w:val="bottom"/>
          </w:tcPr>
          <w:p w14:paraId="0870F2EE"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vAlign w:val="bottom"/>
          </w:tcPr>
          <w:p w14:paraId="70244636"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3AA676D6"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8D5AB2" w:rsidRPr="00701F32" w14:paraId="250D82EF" w14:textId="77777777" w:rsidTr="008D5AB2">
        <w:trPr>
          <w:trHeight w:val="455"/>
        </w:trPr>
        <w:tc>
          <w:tcPr>
            <w:tcW w:w="2480" w:type="dxa"/>
            <w:shd w:val="clear" w:color="auto" w:fill="auto"/>
            <w:vAlign w:val="center"/>
            <w:hideMark/>
          </w:tcPr>
          <w:p w14:paraId="1E0DCE7F" w14:textId="77777777" w:rsidR="00DD7075" w:rsidRPr="00701F32" w:rsidRDefault="00DD7075" w:rsidP="00AD40A3">
            <w:pPr>
              <w:tabs>
                <w:tab w:val="left" w:pos="142"/>
              </w:tabs>
              <w:jc w:val="center"/>
              <w:rPr>
                <w:rFonts w:ascii="Arial" w:hAnsi="Arial" w:cs="Arial"/>
                <w:color w:val="000000" w:themeColor="text1"/>
                <w:sz w:val="16"/>
                <w:szCs w:val="16"/>
                <w:lang w:val="en-US" w:eastAsia="es-AR"/>
              </w:rPr>
            </w:pPr>
            <w:r w:rsidRPr="00701F32">
              <w:rPr>
                <w:rFonts w:ascii="Arial" w:hAnsi="Arial" w:cs="Arial"/>
                <w:color w:val="000000" w:themeColor="text1"/>
                <w:sz w:val="16"/>
                <w:szCs w:val="16"/>
                <w:lang w:val="en-US" w:eastAsia="es-AR"/>
              </w:rPr>
              <w:t>Supervielle Asset Management S.A.</w:t>
            </w:r>
          </w:p>
        </w:tc>
        <w:tc>
          <w:tcPr>
            <w:tcW w:w="1134" w:type="dxa"/>
            <w:vAlign w:val="bottom"/>
          </w:tcPr>
          <w:p w14:paraId="12B7AA0B"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134" w:type="dxa"/>
            <w:vAlign w:val="bottom"/>
          </w:tcPr>
          <w:p w14:paraId="2B031B8C"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shd w:val="clear" w:color="auto" w:fill="auto"/>
            <w:vAlign w:val="bottom"/>
          </w:tcPr>
          <w:p w14:paraId="3144A280"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3.275</w:t>
            </w:r>
          </w:p>
        </w:tc>
        <w:tc>
          <w:tcPr>
            <w:tcW w:w="1417" w:type="dxa"/>
            <w:vAlign w:val="bottom"/>
          </w:tcPr>
          <w:p w14:paraId="311ADDC5"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6" w:type="dxa"/>
            <w:vAlign w:val="bottom"/>
          </w:tcPr>
          <w:p w14:paraId="6EBA9D2A"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082C42DB"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8D5AB2" w:rsidRPr="00701F32" w14:paraId="52B6EE92" w14:textId="77777777" w:rsidTr="008D5AB2">
        <w:trPr>
          <w:trHeight w:val="455"/>
        </w:trPr>
        <w:tc>
          <w:tcPr>
            <w:tcW w:w="2480" w:type="dxa"/>
            <w:shd w:val="clear" w:color="auto" w:fill="auto"/>
            <w:vAlign w:val="center"/>
          </w:tcPr>
          <w:p w14:paraId="1264C738" w14:textId="77777777" w:rsidR="0085282E" w:rsidRPr="00701F32" w:rsidRDefault="0085282E"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Invertir OnLine S.A.</w:t>
            </w:r>
          </w:p>
        </w:tc>
        <w:tc>
          <w:tcPr>
            <w:tcW w:w="1134" w:type="dxa"/>
            <w:vAlign w:val="bottom"/>
          </w:tcPr>
          <w:p w14:paraId="3F3B7241"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134" w:type="dxa"/>
            <w:vAlign w:val="bottom"/>
          </w:tcPr>
          <w:p w14:paraId="669B0951"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shd w:val="clear" w:color="auto" w:fill="auto"/>
            <w:vAlign w:val="bottom"/>
          </w:tcPr>
          <w:p w14:paraId="64C1633B"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417" w:type="dxa"/>
            <w:vAlign w:val="bottom"/>
          </w:tcPr>
          <w:p w14:paraId="6A08C378"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6D3FC827"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7" w:type="dxa"/>
            <w:vAlign w:val="bottom"/>
          </w:tcPr>
          <w:p w14:paraId="42EE8025" w14:textId="77777777" w:rsidR="0085282E" w:rsidRPr="00701F32" w:rsidRDefault="0085282E">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8D5AB2" w:rsidRPr="00701F32" w14:paraId="1FE169D8" w14:textId="77777777" w:rsidTr="008D5AB2">
        <w:trPr>
          <w:trHeight w:val="455"/>
        </w:trPr>
        <w:tc>
          <w:tcPr>
            <w:tcW w:w="2480" w:type="dxa"/>
            <w:shd w:val="clear" w:color="auto" w:fill="auto"/>
            <w:vAlign w:val="center"/>
          </w:tcPr>
          <w:p w14:paraId="5ED264B5" w14:textId="542076D1" w:rsidR="00461026" w:rsidRPr="00701F32" w:rsidRDefault="00461026" w:rsidP="00AD40A3">
            <w:pPr>
              <w:tabs>
                <w:tab w:val="left" w:pos="142"/>
              </w:tabs>
              <w:jc w:val="center"/>
              <w:rPr>
                <w:rFonts w:ascii="Arial" w:hAnsi="Arial" w:cs="Arial"/>
                <w:color w:val="000000" w:themeColor="text1"/>
                <w:sz w:val="16"/>
                <w:szCs w:val="16"/>
                <w:lang w:eastAsia="es-AR"/>
              </w:rPr>
            </w:pPr>
            <w:r w:rsidRPr="00701F32">
              <w:rPr>
                <w:rFonts w:ascii="Arial" w:eastAsia="Calibri" w:hAnsi="Arial" w:cs="Arial"/>
                <w:color w:val="000000"/>
                <w:sz w:val="16"/>
              </w:rPr>
              <w:t>Invertir OnLine.com Argentina S.A.</w:t>
            </w:r>
          </w:p>
        </w:tc>
        <w:tc>
          <w:tcPr>
            <w:tcW w:w="1134" w:type="dxa"/>
            <w:vAlign w:val="bottom"/>
          </w:tcPr>
          <w:p w14:paraId="486E6D83" w14:textId="7C7B23FD"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134" w:type="dxa"/>
            <w:vAlign w:val="bottom"/>
          </w:tcPr>
          <w:p w14:paraId="4F6C1ACC" w14:textId="1B20889D"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shd w:val="clear" w:color="auto" w:fill="auto"/>
            <w:vAlign w:val="bottom"/>
          </w:tcPr>
          <w:p w14:paraId="014CE6A5" w14:textId="4A25B17F"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417" w:type="dxa"/>
            <w:vAlign w:val="bottom"/>
          </w:tcPr>
          <w:p w14:paraId="7E38F5F2" w14:textId="23173366"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6A4032FC" w14:textId="4C1B96DD"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337" w:type="dxa"/>
            <w:vAlign w:val="bottom"/>
          </w:tcPr>
          <w:p w14:paraId="3BF0CC7B" w14:textId="597768B6"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r>
      <w:tr w:rsidR="008D5AB2" w:rsidRPr="00701F32" w14:paraId="0884A2D7" w14:textId="77777777" w:rsidTr="008D5AB2">
        <w:trPr>
          <w:trHeight w:val="455"/>
        </w:trPr>
        <w:tc>
          <w:tcPr>
            <w:tcW w:w="2480" w:type="dxa"/>
            <w:shd w:val="clear" w:color="auto" w:fill="auto"/>
            <w:vAlign w:val="center"/>
          </w:tcPr>
          <w:p w14:paraId="1C969FB7" w14:textId="77CF75ED" w:rsidR="00461026" w:rsidRPr="00701F32" w:rsidRDefault="00461026" w:rsidP="00AD40A3">
            <w:pPr>
              <w:tabs>
                <w:tab w:val="left" w:pos="142"/>
              </w:tabs>
              <w:jc w:val="center"/>
              <w:rPr>
                <w:rFonts w:ascii="Arial" w:hAnsi="Arial" w:cs="Arial"/>
                <w:color w:val="000000" w:themeColor="text1"/>
                <w:sz w:val="16"/>
                <w:szCs w:val="16"/>
                <w:lang w:eastAsia="es-AR"/>
              </w:rPr>
            </w:pPr>
            <w:r w:rsidRPr="00701F32">
              <w:rPr>
                <w:rFonts w:ascii="Arial" w:eastAsia="Calibri" w:hAnsi="Arial" w:cs="Arial"/>
                <w:color w:val="000000"/>
                <w:sz w:val="16"/>
              </w:rPr>
              <w:t>Micro Lending S.A.</w:t>
            </w:r>
          </w:p>
        </w:tc>
        <w:tc>
          <w:tcPr>
            <w:tcW w:w="1134" w:type="dxa"/>
            <w:vAlign w:val="bottom"/>
          </w:tcPr>
          <w:p w14:paraId="5979F2C4" w14:textId="6CEC07D8"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134" w:type="dxa"/>
            <w:vAlign w:val="bottom"/>
          </w:tcPr>
          <w:p w14:paraId="36632764" w14:textId="35F5E853"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shd w:val="clear" w:color="auto" w:fill="auto"/>
            <w:vAlign w:val="bottom"/>
          </w:tcPr>
          <w:p w14:paraId="14EAE72C" w14:textId="35DE7F8F"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417" w:type="dxa"/>
            <w:vAlign w:val="bottom"/>
          </w:tcPr>
          <w:p w14:paraId="12B32D2C" w14:textId="33D06EC3"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7ED8AE92" w14:textId="5E35F233"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337" w:type="dxa"/>
            <w:vAlign w:val="bottom"/>
          </w:tcPr>
          <w:p w14:paraId="59AE2314" w14:textId="569973AE" w:rsidR="00461026" w:rsidRPr="00701F32" w:rsidRDefault="00461026">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r>
      <w:tr w:rsidR="008D5AB2" w:rsidRPr="00701F32" w14:paraId="014A91AB" w14:textId="77777777" w:rsidTr="008D5AB2">
        <w:trPr>
          <w:trHeight w:val="455"/>
        </w:trPr>
        <w:tc>
          <w:tcPr>
            <w:tcW w:w="2480" w:type="dxa"/>
            <w:shd w:val="clear" w:color="auto" w:fill="auto"/>
            <w:vAlign w:val="center"/>
            <w:hideMark/>
          </w:tcPr>
          <w:p w14:paraId="4EEB3CCB" w14:textId="77777777" w:rsidR="00DD7075" w:rsidRPr="00701F32" w:rsidRDefault="00DD7075" w:rsidP="00AD40A3">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Grupo Supervielle S.A.</w:t>
            </w:r>
          </w:p>
        </w:tc>
        <w:tc>
          <w:tcPr>
            <w:tcW w:w="1134" w:type="dxa"/>
            <w:vAlign w:val="bottom"/>
          </w:tcPr>
          <w:p w14:paraId="318804D9"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5</w:t>
            </w:r>
          </w:p>
        </w:tc>
        <w:tc>
          <w:tcPr>
            <w:tcW w:w="1134" w:type="dxa"/>
            <w:vAlign w:val="bottom"/>
          </w:tcPr>
          <w:p w14:paraId="4A2ECF26"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19.660</w:t>
            </w:r>
          </w:p>
        </w:tc>
        <w:tc>
          <w:tcPr>
            <w:tcW w:w="1276" w:type="dxa"/>
            <w:shd w:val="clear" w:color="auto" w:fill="auto"/>
            <w:vAlign w:val="bottom"/>
          </w:tcPr>
          <w:p w14:paraId="00CDC83D"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3.049</w:t>
            </w:r>
          </w:p>
        </w:tc>
        <w:tc>
          <w:tcPr>
            <w:tcW w:w="1417" w:type="dxa"/>
            <w:vAlign w:val="bottom"/>
          </w:tcPr>
          <w:p w14:paraId="7187810F"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766EFF6D"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48.180</w:t>
            </w:r>
          </w:p>
        </w:tc>
        <w:tc>
          <w:tcPr>
            <w:tcW w:w="1337" w:type="dxa"/>
            <w:vAlign w:val="bottom"/>
          </w:tcPr>
          <w:p w14:paraId="1B4A0265" w14:textId="77777777" w:rsidR="00DD7075" w:rsidRPr="00701F32" w:rsidRDefault="00DD7075">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8D5AB2" w:rsidRPr="00701F32" w14:paraId="48C96961" w14:textId="77777777" w:rsidTr="00701F32">
        <w:trPr>
          <w:trHeight w:val="455"/>
        </w:trPr>
        <w:tc>
          <w:tcPr>
            <w:tcW w:w="2480" w:type="dxa"/>
            <w:shd w:val="clear" w:color="auto" w:fill="auto"/>
            <w:vAlign w:val="center"/>
            <w:hideMark/>
          </w:tcPr>
          <w:p w14:paraId="24C310B5" w14:textId="77777777" w:rsidR="008D5AB2" w:rsidRPr="00701F32" w:rsidRDefault="008D5AB2" w:rsidP="008D5AB2">
            <w:pPr>
              <w:tabs>
                <w:tab w:val="left" w:pos="142"/>
              </w:tabs>
              <w:jc w:val="right"/>
              <w:rPr>
                <w:rFonts w:ascii="Arial" w:hAnsi="Arial" w:cs="Arial"/>
                <w:b/>
                <w:bCs/>
                <w:color w:val="000000" w:themeColor="text1"/>
                <w:sz w:val="16"/>
                <w:szCs w:val="16"/>
                <w:lang w:eastAsia="es-AR"/>
              </w:rPr>
            </w:pPr>
            <w:r w:rsidRPr="00701F32">
              <w:rPr>
                <w:rFonts w:ascii="Arial" w:hAnsi="Arial" w:cs="Arial"/>
                <w:b/>
                <w:bCs/>
                <w:color w:val="000000" w:themeColor="text1"/>
                <w:sz w:val="16"/>
                <w:szCs w:val="16"/>
                <w:lang w:eastAsia="es-AR"/>
              </w:rPr>
              <w:t>TOTAL</w:t>
            </w:r>
          </w:p>
        </w:tc>
        <w:tc>
          <w:tcPr>
            <w:tcW w:w="1134" w:type="dxa"/>
            <w:vAlign w:val="center"/>
          </w:tcPr>
          <w:p w14:paraId="6A64C373" w14:textId="53779F66"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7.048</w:t>
            </w:r>
          </w:p>
        </w:tc>
        <w:tc>
          <w:tcPr>
            <w:tcW w:w="1134" w:type="dxa"/>
            <w:vAlign w:val="center"/>
          </w:tcPr>
          <w:p w14:paraId="36AAF3FF" w14:textId="2F2AF3E8"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19.660</w:t>
            </w:r>
          </w:p>
        </w:tc>
        <w:tc>
          <w:tcPr>
            <w:tcW w:w="1276" w:type="dxa"/>
            <w:shd w:val="clear" w:color="auto" w:fill="auto"/>
            <w:vAlign w:val="center"/>
          </w:tcPr>
          <w:p w14:paraId="575F5E4B" w14:textId="1DDBDBAF"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79.057</w:t>
            </w:r>
          </w:p>
        </w:tc>
        <w:tc>
          <w:tcPr>
            <w:tcW w:w="1417" w:type="dxa"/>
            <w:vAlign w:val="center"/>
          </w:tcPr>
          <w:p w14:paraId="00B1493A" w14:textId="1687783B"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0</w:t>
            </w:r>
          </w:p>
        </w:tc>
        <w:tc>
          <w:tcPr>
            <w:tcW w:w="1276" w:type="dxa"/>
            <w:vAlign w:val="center"/>
          </w:tcPr>
          <w:p w14:paraId="2C52F1B7" w14:textId="661C36FD"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50.208</w:t>
            </w:r>
          </w:p>
        </w:tc>
        <w:tc>
          <w:tcPr>
            <w:tcW w:w="1337" w:type="dxa"/>
            <w:vAlign w:val="center"/>
          </w:tcPr>
          <w:p w14:paraId="050FC371" w14:textId="637673A8" w:rsidR="008D5AB2" w:rsidRPr="00701F32" w:rsidRDefault="008D5AB2">
            <w:pPr>
              <w:jc w:val="right"/>
              <w:rPr>
                <w:rFonts w:ascii="Arial" w:hAnsi="Arial" w:cs="Arial"/>
                <w:b/>
                <w:color w:val="000000" w:themeColor="text1"/>
                <w:sz w:val="16"/>
                <w:szCs w:val="16"/>
              </w:rPr>
            </w:pPr>
            <w:r w:rsidRPr="00701F32">
              <w:rPr>
                <w:rFonts w:ascii="Arial" w:hAnsi="Arial" w:cs="Arial"/>
                <w:b/>
                <w:color w:val="000000" w:themeColor="text1"/>
                <w:sz w:val="16"/>
                <w:szCs w:val="16"/>
              </w:rPr>
              <w:t>39</w:t>
            </w:r>
          </w:p>
        </w:tc>
      </w:tr>
    </w:tbl>
    <w:p w14:paraId="71DC8D95" w14:textId="77777777" w:rsidR="00DD7075" w:rsidRPr="00701F32" w:rsidRDefault="00DD7075" w:rsidP="00A06BE9">
      <w:pPr>
        <w:tabs>
          <w:tab w:val="left" w:pos="142"/>
        </w:tabs>
        <w:spacing w:after="160" w:line="259" w:lineRule="auto"/>
        <w:jc w:val="both"/>
        <w:rPr>
          <w:rFonts w:ascii="Arial" w:eastAsia="Calibri" w:hAnsi="Arial" w:cs="Arial"/>
          <w:color w:val="000000"/>
          <w:sz w:val="16"/>
        </w:rPr>
      </w:pPr>
    </w:p>
    <w:p w14:paraId="7E37DAA0" w14:textId="77777777" w:rsidR="007A20B7" w:rsidRPr="00701F32" w:rsidRDefault="007A20B7" w:rsidP="00A06BE9">
      <w:pPr>
        <w:tabs>
          <w:tab w:val="left" w:pos="142"/>
        </w:tabs>
        <w:spacing w:after="160" w:line="259" w:lineRule="auto"/>
        <w:jc w:val="both"/>
        <w:rPr>
          <w:rFonts w:ascii="Arial" w:eastAsia="Calibri" w:hAnsi="Arial" w:cs="Arial"/>
          <w:color w:val="000000"/>
          <w:sz w:val="16"/>
        </w:rPr>
      </w:pPr>
    </w:p>
    <w:p w14:paraId="3FCB194C" w14:textId="77777777" w:rsidR="007A20B7" w:rsidRPr="00701F32" w:rsidRDefault="007A20B7" w:rsidP="00A06BE9">
      <w:pPr>
        <w:tabs>
          <w:tab w:val="left" w:pos="142"/>
        </w:tabs>
        <w:spacing w:after="160" w:line="259" w:lineRule="auto"/>
        <w:jc w:val="both"/>
        <w:rPr>
          <w:rFonts w:ascii="Arial" w:eastAsia="Calibri" w:hAnsi="Arial" w:cs="Arial"/>
          <w:color w:val="000000"/>
          <w:sz w:val="16"/>
        </w:rPr>
      </w:pPr>
    </w:p>
    <w:tbl>
      <w:tblPr>
        <w:tblW w:w="99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675"/>
        <w:gridCol w:w="939"/>
        <w:gridCol w:w="1134"/>
        <w:gridCol w:w="1276"/>
        <w:gridCol w:w="1276"/>
        <w:gridCol w:w="1417"/>
        <w:gridCol w:w="1276"/>
      </w:tblGrid>
      <w:tr w:rsidR="00F53550" w:rsidRPr="00701F32" w14:paraId="5BD97F94" w14:textId="77777777" w:rsidTr="00701F32">
        <w:trPr>
          <w:trHeight w:val="455"/>
          <w:tblHeader/>
        </w:trPr>
        <w:tc>
          <w:tcPr>
            <w:tcW w:w="2675" w:type="dxa"/>
            <w:vMerge w:val="restart"/>
            <w:shd w:val="clear" w:color="auto" w:fill="auto"/>
            <w:vAlign w:val="center"/>
            <w:hideMark/>
          </w:tcPr>
          <w:p w14:paraId="35307F78" w14:textId="77777777" w:rsidR="00F53550" w:rsidRPr="00701F32" w:rsidRDefault="00F53550" w:rsidP="00464C0F">
            <w:pPr>
              <w:tabs>
                <w:tab w:val="left" w:pos="142"/>
              </w:tabs>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Sociedades</w:t>
            </w:r>
          </w:p>
        </w:tc>
        <w:tc>
          <w:tcPr>
            <w:tcW w:w="7318" w:type="dxa"/>
            <w:gridSpan w:val="6"/>
            <w:vAlign w:val="center"/>
          </w:tcPr>
          <w:p w14:paraId="2096FFA1" w14:textId="77777777" w:rsidR="00F53550" w:rsidRPr="00701F32" w:rsidRDefault="00F53550" w:rsidP="0094138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30/09/2017</w:t>
            </w:r>
          </w:p>
        </w:tc>
      </w:tr>
      <w:tr w:rsidR="000501BB" w:rsidRPr="00701F32" w14:paraId="64C93883" w14:textId="77777777" w:rsidTr="00701F32">
        <w:trPr>
          <w:trHeight w:val="839"/>
          <w:tblHeader/>
        </w:trPr>
        <w:tc>
          <w:tcPr>
            <w:tcW w:w="2675" w:type="dxa"/>
            <w:vMerge/>
            <w:shd w:val="clear" w:color="auto" w:fill="auto"/>
            <w:vAlign w:val="center"/>
            <w:hideMark/>
          </w:tcPr>
          <w:p w14:paraId="42004488"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p>
        </w:tc>
        <w:tc>
          <w:tcPr>
            <w:tcW w:w="939" w:type="dxa"/>
            <w:vAlign w:val="center"/>
          </w:tcPr>
          <w:p w14:paraId="1F51E13C"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Intereses</w:t>
            </w:r>
          </w:p>
        </w:tc>
        <w:tc>
          <w:tcPr>
            <w:tcW w:w="1134" w:type="dxa"/>
            <w:vAlign w:val="center"/>
          </w:tcPr>
          <w:p w14:paraId="233A8DBF"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intereses</w:t>
            </w:r>
          </w:p>
        </w:tc>
        <w:tc>
          <w:tcPr>
            <w:tcW w:w="1276" w:type="dxa"/>
            <w:shd w:val="clear" w:color="auto" w:fill="auto"/>
            <w:vAlign w:val="center"/>
          </w:tcPr>
          <w:p w14:paraId="185C8ECA" w14:textId="523FD583"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Comisiones</w:t>
            </w:r>
          </w:p>
        </w:tc>
        <w:tc>
          <w:tcPr>
            <w:tcW w:w="1276" w:type="dxa"/>
            <w:vAlign w:val="center"/>
          </w:tcPr>
          <w:p w14:paraId="31DE89EA"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Comisiones</w:t>
            </w:r>
          </w:p>
        </w:tc>
        <w:tc>
          <w:tcPr>
            <w:tcW w:w="1417" w:type="dxa"/>
            <w:vAlign w:val="center"/>
          </w:tcPr>
          <w:p w14:paraId="415DA821"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Gastos de Administración</w:t>
            </w:r>
          </w:p>
        </w:tc>
        <w:tc>
          <w:tcPr>
            <w:tcW w:w="1276" w:type="dxa"/>
            <w:vAlign w:val="center"/>
          </w:tcPr>
          <w:p w14:paraId="4107D6D3" w14:textId="77777777" w:rsidR="00A06BE9" w:rsidRPr="00701F32" w:rsidRDefault="00A06BE9" w:rsidP="00464C0F">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Otros Ingresos Operativos</w:t>
            </w:r>
          </w:p>
        </w:tc>
      </w:tr>
      <w:tr w:rsidR="000501BB" w:rsidRPr="00701F32" w14:paraId="70C0CA35" w14:textId="77777777" w:rsidTr="00701F32">
        <w:trPr>
          <w:trHeight w:val="455"/>
        </w:trPr>
        <w:tc>
          <w:tcPr>
            <w:tcW w:w="2675" w:type="dxa"/>
            <w:shd w:val="clear" w:color="auto" w:fill="auto"/>
            <w:vAlign w:val="center"/>
            <w:hideMark/>
          </w:tcPr>
          <w:p w14:paraId="6C1DA13C"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Sofital S.A.F. e I.I.</w:t>
            </w:r>
          </w:p>
        </w:tc>
        <w:tc>
          <w:tcPr>
            <w:tcW w:w="939" w:type="dxa"/>
            <w:vAlign w:val="center"/>
          </w:tcPr>
          <w:p w14:paraId="47BF790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center"/>
          </w:tcPr>
          <w:p w14:paraId="1793C41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center"/>
          </w:tcPr>
          <w:p w14:paraId="1AD73E97" w14:textId="56956FB1"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33</w:t>
            </w:r>
          </w:p>
        </w:tc>
        <w:tc>
          <w:tcPr>
            <w:tcW w:w="1276" w:type="dxa"/>
            <w:vAlign w:val="center"/>
          </w:tcPr>
          <w:p w14:paraId="4E88E73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417" w:type="dxa"/>
            <w:vAlign w:val="center"/>
          </w:tcPr>
          <w:p w14:paraId="751B2A4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2E32DFCF"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1E25E902" w14:textId="77777777" w:rsidTr="00701F32">
        <w:trPr>
          <w:trHeight w:val="455"/>
        </w:trPr>
        <w:tc>
          <w:tcPr>
            <w:tcW w:w="2675" w:type="dxa"/>
            <w:shd w:val="clear" w:color="auto" w:fill="auto"/>
            <w:vAlign w:val="center"/>
            <w:hideMark/>
          </w:tcPr>
          <w:p w14:paraId="2F1A546E" w14:textId="77777777" w:rsidR="00A06BE9" w:rsidRPr="00701F32" w:rsidRDefault="00A06BE9" w:rsidP="00464C0F">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Espacio Cordial S.A.</w:t>
            </w:r>
          </w:p>
        </w:tc>
        <w:tc>
          <w:tcPr>
            <w:tcW w:w="939" w:type="dxa"/>
            <w:vAlign w:val="center"/>
          </w:tcPr>
          <w:p w14:paraId="2025DF7F" w14:textId="246FE8A7"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3.502</w:t>
            </w:r>
          </w:p>
        </w:tc>
        <w:tc>
          <w:tcPr>
            <w:tcW w:w="1134" w:type="dxa"/>
            <w:vAlign w:val="center"/>
          </w:tcPr>
          <w:p w14:paraId="67FBD550"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center"/>
          </w:tcPr>
          <w:p w14:paraId="43335785" w14:textId="743D15C6"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154</w:t>
            </w:r>
          </w:p>
        </w:tc>
        <w:tc>
          <w:tcPr>
            <w:tcW w:w="1276" w:type="dxa"/>
            <w:vAlign w:val="center"/>
          </w:tcPr>
          <w:p w14:paraId="23B1740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7" w:type="dxa"/>
            <w:vAlign w:val="center"/>
          </w:tcPr>
          <w:p w14:paraId="69BC8A1A"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010B00AF"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06753003" w14:textId="77777777" w:rsidTr="00701F32">
        <w:trPr>
          <w:trHeight w:val="455"/>
        </w:trPr>
        <w:tc>
          <w:tcPr>
            <w:tcW w:w="2675" w:type="dxa"/>
            <w:shd w:val="clear" w:color="auto" w:fill="auto"/>
            <w:vAlign w:val="center"/>
          </w:tcPr>
          <w:p w14:paraId="2F68A461"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Supervielle Seguros S.A.</w:t>
            </w:r>
          </w:p>
        </w:tc>
        <w:tc>
          <w:tcPr>
            <w:tcW w:w="939" w:type="dxa"/>
            <w:vAlign w:val="center"/>
          </w:tcPr>
          <w:p w14:paraId="5C76FA7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center"/>
          </w:tcPr>
          <w:p w14:paraId="5B74560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center"/>
          </w:tcPr>
          <w:p w14:paraId="19162191" w14:textId="29BC5C95"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43.587</w:t>
            </w:r>
          </w:p>
        </w:tc>
        <w:tc>
          <w:tcPr>
            <w:tcW w:w="1276" w:type="dxa"/>
            <w:vAlign w:val="center"/>
          </w:tcPr>
          <w:p w14:paraId="0112804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7" w:type="dxa"/>
            <w:vAlign w:val="center"/>
          </w:tcPr>
          <w:p w14:paraId="3DD0245F" w14:textId="3A3896BF"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1.159</w:t>
            </w:r>
          </w:p>
        </w:tc>
        <w:tc>
          <w:tcPr>
            <w:tcW w:w="1276" w:type="dxa"/>
            <w:vAlign w:val="center"/>
          </w:tcPr>
          <w:p w14:paraId="75101EA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501BB" w:rsidRPr="00701F32" w14:paraId="102ADC74" w14:textId="77777777" w:rsidTr="00701F32">
        <w:trPr>
          <w:trHeight w:val="455"/>
        </w:trPr>
        <w:tc>
          <w:tcPr>
            <w:tcW w:w="2675" w:type="dxa"/>
            <w:shd w:val="clear" w:color="auto" w:fill="auto"/>
            <w:vAlign w:val="center"/>
            <w:hideMark/>
          </w:tcPr>
          <w:p w14:paraId="58BF84E2"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Microfinanzas S.A.</w:t>
            </w:r>
          </w:p>
        </w:tc>
        <w:tc>
          <w:tcPr>
            <w:tcW w:w="939" w:type="dxa"/>
            <w:vAlign w:val="center"/>
          </w:tcPr>
          <w:p w14:paraId="4659A8D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2.123</w:t>
            </w:r>
          </w:p>
        </w:tc>
        <w:tc>
          <w:tcPr>
            <w:tcW w:w="1134" w:type="dxa"/>
            <w:vAlign w:val="center"/>
          </w:tcPr>
          <w:p w14:paraId="78B03386"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center"/>
          </w:tcPr>
          <w:p w14:paraId="1AB58495"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144</w:t>
            </w:r>
          </w:p>
        </w:tc>
        <w:tc>
          <w:tcPr>
            <w:tcW w:w="1276" w:type="dxa"/>
            <w:vAlign w:val="center"/>
          </w:tcPr>
          <w:p w14:paraId="40AC06F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417" w:type="dxa"/>
            <w:vAlign w:val="center"/>
          </w:tcPr>
          <w:p w14:paraId="2295275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4F1267F4"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21E693BE" w14:textId="77777777" w:rsidTr="00701F32">
        <w:trPr>
          <w:trHeight w:val="455"/>
        </w:trPr>
        <w:tc>
          <w:tcPr>
            <w:tcW w:w="2675" w:type="dxa"/>
            <w:shd w:val="clear" w:color="auto" w:fill="auto"/>
            <w:vAlign w:val="center"/>
            <w:hideMark/>
          </w:tcPr>
          <w:p w14:paraId="5757F554"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Tarjeta Automática S.A.</w:t>
            </w:r>
          </w:p>
        </w:tc>
        <w:tc>
          <w:tcPr>
            <w:tcW w:w="939" w:type="dxa"/>
            <w:vAlign w:val="center"/>
          </w:tcPr>
          <w:p w14:paraId="646B7147" w14:textId="27FBF654"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515</w:t>
            </w:r>
          </w:p>
        </w:tc>
        <w:tc>
          <w:tcPr>
            <w:tcW w:w="1134" w:type="dxa"/>
            <w:vAlign w:val="center"/>
          </w:tcPr>
          <w:p w14:paraId="08E5A1DD"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center"/>
          </w:tcPr>
          <w:p w14:paraId="6C7F526E" w14:textId="0825BF4C"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186</w:t>
            </w:r>
          </w:p>
        </w:tc>
        <w:tc>
          <w:tcPr>
            <w:tcW w:w="1276" w:type="dxa"/>
            <w:vAlign w:val="center"/>
          </w:tcPr>
          <w:p w14:paraId="6B8A3A2C"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417" w:type="dxa"/>
            <w:vAlign w:val="center"/>
          </w:tcPr>
          <w:p w14:paraId="30E69FB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1A89574B"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70C9945A" w14:textId="77777777" w:rsidTr="00701F32">
        <w:trPr>
          <w:trHeight w:val="455"/>
        </w:trPr>
        <w:tc>
          <w:tcPr>
            <w:tcW w:w="2675" w:type="dxa"/>
            <w:shd w:val="clear" w:color="auto" w:fill="auto"/>
            <w:vAlign w:val="center"/>
            <w:hideMark/>
          </w:tcPr>
          <w:p w14:paraId="25BE9C0B"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Supervielle Asset Management S.A.</w:t>
            </w:r>
          </w:p>
        </w:tc>
        <w:tc>
          <w:tcPr>
            <w:tcW w:w="939" w:type="dxa"/>
            <w:vAlign w:val="center"/>
          </w:tcPr>
          <w:p w14:paraId="1C75186E"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center"/>
          </w:tcPr>
          <w:p w14:paraId="533703E9"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center"/>
          </w:tcPr>
          <w:p w14:paraId="009DD438" w14:textId="2B2884BA"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1.006</w:t>
            </w:r>
          </w:p>
        </w:tc>
        <w:tc>
          <w:tcPr>
            <w:tcW w:w="1276" w:type="dxa"/>
            <w:vAlign w:val="center"/>
          </w:tcPr>
          <w:p w14:paraId="41E32243"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417" w:type="dxa"/>
            <w:vAlign w:val="center"/>
          </w:tcPr>
          <w:p w14:paraId="41A64DD7"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24050CD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423C5BE2" w14:textId="77777777" w:rsidTr="00701F32">
        <w:trPr>
          <w:trHeight w:val="455"/>
        </w:trPr>
        <w:tc>
          <w:tcPr>
            <w:tcW w:w="2675" w:type="dxa"/>
            <w:shd w:val="clear" w:color="auto" w:fill="auto"/>
            <w:vAlign w:val="center"/>
          </w:tcPr>
          <w:p w14:paraId="004D2627" w14:textId="77777777" w:rsidR="00994E77" w:rsidRPr="00701F32" w:rsidRDefault="00994E77"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Invertir OnLine S.A.</w:t>
            </w:r>
          </w:p>
        </w:tc>
        <w:tc>
          <w:tcPr>
            <w:tcW w:w="939" w:type="dxa"/>
            <w:vAlign w:val="center"/>
          </w:tcPr>
          <w:p w14:paraId="2ABD578C"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center"/>
          </w:tcPr>
          <w:p w14:paraId="3CD4643D"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center"/>
          </w:tcPr>
          <w:p w14:paraId="3B1639DF"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5EB70550"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7" w:type="dxa"/>
            <w:vAlign w:val="center"/>
          </w:tcPr>
          <w:p w14:paraId="2E53BE15"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center"/>
          </w:tcPr>
          <w:p w14:paraId="5DAFF44F" w14:textId="77777777" w:rsidR="00994E77" w:rsidRPr="00701F32" w:rsidRDefault="00994E77">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0501BB" w:rsidRPr="00701F32" w14:paraId="32CC1698" w14:textId="77777777" w:rsidTr="00701F32">
        <w:trPr>
          <w:trHeight w:val="455"/>
        </w:trPr>
        <w:tc>
          <w:tcPr>
            <w:tcW w:w="2675" w:type="dxa"/>
            <w:shd w:val="clear" w:color="auto" w:fill="auto"/>
            <w:vAlign w:val="center"/>
          </w:tcPr>
          <w:p w14:paraId="60362A42" w14:textId="048A8BD1" w:rsidR="00461026" w:rsidRPr="00701F32" w:rsidRDefault="00461026"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Invertir OnLine.com Argentina S.A.</w:t>
            </w:r>
          </w:p>
        </w:tc>
        <w:tc>
          <w:tcPr>
            <w:tcW w:w="939" w:type="dxa"/>
            <w:vAlign w:val="center"/>
          </w:tcPr>
          <w:p w14:paraId="1900013E" w14:textId="52227411"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center"/>
          </w:tcPr>
          <w:p w14:paraId="303C6424" w14:textId="0ECB9149"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shd w:val="clear" w:color="auto" w:fill="auto"/>
            <w:vAlign w:val="center"/>
          </w:tcPr>
          <w:p w14:paraId="17DA90E6" w14:textId="32916095"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center"/>
          </w:tcPr>
          <w:p w14:paraId="36F57689" w14:textId="0E32FD6A"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7" w:type="dxa"/>
            <w:vAlign w:val="center"/>
          </w:tcPr>
          <w:p w14:paraId="01D13B57" w14:textId="55307158"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center"/>
          </w:tcPr>
          <w:p w14:paraId="52DE3CB7" w14:textId="3E7932C2"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0501BB" w:rsidRPr="00701F32" w14:paraId="72C6C7C6" w14:textId="77777777" w:rsidTr="00701F32">
        <w:trPr>
          <w:trHeight w:val="455"/>
        </w:trPr>
        <w:tc>
          <w:tcPr>
            <w:tcW w:w="2675" w:type="dxa"/>
            <w:shd w:val="clear" w:color="auto" w:fill="auto"/>
            <w:vAlign w:val="center"/>
          </w:tcPr>
          <w:p w14:paraId="4CD503DD" w14:textId="772A4146" w:rsidR="00461026" w:rsidRPr="00701F32" w:rsidRDefault="00461026"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Micro Lending S.A.</w:t>
            </w:r>
          </w:p>
        </w:tc>
        <w:tc>
          <w:tcPr>
            <w:tcW w:w="939" w:type="dxa"/>
            <w:vAlign w:val="center"/>
          </w:tcPr>
          <w:p w14:paraId="230211C0" w14:textId="2B170355"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center"/>
          </w:tcPr>
          <w:p w14:paraId="216FABC6" w14:textId="2CE792BF"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shd w:val="clear" w:color="auto" w:fill="auto"/>
            <w:vAlign w:val="center"/>
          </w:tcPr>
          <w:p w14:paraId="541D872C" w14:textId="4AF56C13"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center"/>
          </w:tcPr>
          <w:p w14:paraId="0BD77E53" w14:textId="443FE1B4"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7" w:type="dxa"/>
            <w:vAlign w:val="center"/>
          </w:tcPr>
          <w:p w14:paraId="6515F9BC" w14:textId="61C29732"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center"/>
          </w:tcPr>
          <w:p w14:paraId="171A9B5C" w14:textId="012F4D15" w:rsidR="00461026" w:rsidRPr="00701F32" w:rsidRDefault="00461026">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0501BB" w:rsidRPr="00701F32" w14:paraId="6ADA5766" w14:textId="77777777" w:rsidTr="00701F32">
        <w:trPr>
          <w:trHeight w:val="455"/>
        </w:trPr>
        <w:tc>
          <w:tcPr>
            <w:tcW w:w="2675" w:type="dxa"/>
            <w:shd w:val="clear" w:color="auto" w:fill="auto"/>
            <w:vAlign w:val="center"/>
            <w:hideMark/>
          </w:tcPr>
          <w:p w14:paraId="209DB722" w14:textId="77777777" w:rsidR="00A06BE9" w:rsidRPr="00701F32" w:rsidRDefault="00A06BE9" w:rsidP="00464C0F">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Grupo Supervielle S.A.</w:t>
            </w:r>
          </w:p>
        </w:tc>
        <w:tc>
          <w:tcPr>
            <w:tcW w:w="939" w:type="dxa"/>
            <w:vAlign w:val="center"/>
          </w:tcPr>
          <w:p w14:paraId="5D875882" w14:textId="4C789D4D"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w:t>
            </w:r>
          </w:p>
        </w:tc>
        <w:tc>
          <w:tcPr>
            <w:tcW w:w="1134" w:type="dxa"/>
            <w:vAlign w:val="center"/>
          </w:tcPr>
          <w:p w14:paraId="2C5B662B" w14:textId="4A37629F"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11.665</w:t>
            </w:r>
          </w:p>
        </w:tc>
        <w:tc>
          <w:tcPr>
            <w:tcW w:w="1276" w:type="dxa"/>
            <w:shd w:val="clear" w:color="auto" w:fill="auto"/>
            <w:vAlign w:val="center"/>
          </w:tcPr>
          <w:p w14:paraId="496B4B86" w14:textId="49CF4AD3"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1.798</w:t>
            </w:r>
          </w:p>
        </w:tc>
        <w:tc>
          <w:tcPr>
            <w:tcW w:w="1276" w:type="dxa"/>
            <w:vAlign w:val="center"/>
          </w:tcPr>
          <w:p w14:paraId="343D2D98"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417" w:type="dxa"/>
            <w:vAlign w:val="center"/>
          </w:tcPr>
          <w:p w14:paraId="2A0AF8DC" w14:textId="00E96A55" w:rsidR="00A06BE9" w:rsidRPr="00701F32" w:rsidRDefault="00461026">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36.135</w:t>
            </w:r>
          </w:p>
        </w:tc>
        <w:tc>
          <w:tcPr>
            <w:tcW w:w="1276" w:type="dxa"/>
            <w:vAlign w:val="center"/>
          </w:tcPr>
          <w:p w14:paraId="01F9E532" w14:textId="77777777" w:rsidR="00A06BE9" w:rsidRPr="00701F32" w:rsidRDefault="00A06BE9">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0501BB" w:rsidRPr="00701F32" w14:paraId="5A29B776" w14:textId="77777777" w:rsidTr="00701F32">
        <w:trPr>
          <w:trHeight w:val="455"/>
        </w:trPr>
        <w:tc>
          <w:tcPr>
            <w:tcW w:w="2675" w:type="dxa"/>
            <w:shd w:val="clear" w:color="auto" w:fill="auto"/>
            <w:vAlign w:val="center"/>
            <w:hideMark/>
          </w:tcPr>
          <w:p w14:paraId="5557D2A6" w14:textId="77777777" w:rsidR="000501BB" w:rsidRPr="00701F32" w:rsidRDefault="000501BB" w:rsidP="00701F32">
            <w:pPr>
              <w:tabs>
                <w:tab w:val="left" w:pos="142"/>
              </w:tabs>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TOTAL</w:t>
            </w:r>
          </w:p>
        </w:tc>
        <w:tc>
          <w:tcPr>
            <w:tcW w:w="939" w:type="dxa"/>
            <w:vAlign w:val="center"/>
          </w:tcPr>
          <w:p w14:paraId="25391F1F" w14:textId="75EEE87D"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6.145</w:t>
            </w:r>
          </w:p>
        </w:tc>
        <w:tc>
          <w:tcPr>
            <w:tcW w:w="1134" w:type="dxa"/>
            <w:vAlign w:val="center"/>
          </w:tcPr>
          <w:p w14:paraId="1B6BA28F" w14:textId="695A04CF"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11.665</w:t>
            </w:r>
          </w:p>
        </w:tc>
        <w:tc>
          <w:tcPr>
            <w:tcW w:w="1276" w:type="dxa"/>
            <w:shd w:val="clear" w:color="auto" w:fill="auto"/>
            <w:vAlign w:val="center"/>
          </w:tcPr>
          <w:p w14:paraId="0B480791" w14:textId="3D776DB7"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46.908</w:t>
            </w:r>
          </w:p>
        </w:tc>
        <w:tc>
          <w:tcPr>
            <w:tcW w:w="1276" w:type="dxa"/>
            <w:vAlign w:val="center"/>
          </w:tcPr>
          <w:p w14:paraId="65570151" w14:textId="29B8CA44"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0</w:t>
            </w:r>
          </w:p>
        </w:tc>
        <w:tc>
          <w:tcPr>
            <w:tcW w:w="1417" w:type="dxa"/>
            <w:vAlign w:val="center"/>
          </w:tcPr>
          <w:p w14:paraId="55DA70BE" w14:textId="313462CD"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37.294</w:t>
            </w:r>
          </w:p>
        </w:tc>
        <w:tc>
          <w:tcPr>
            <w:tcW w:w="1276" w:type="dxa"/>
            <w:vAlign w:val="center"/>
          </w:tcPr>
          <w:p w14:paraId="38240D94" w14:textId="41BF32FB" w:rsidR="000501BB" w:rsidRPr="00701F32" w:rsidRDefault="000501BB">
            <w:pPr>
              <w:spacing w:after="160" w:line="259" w:lineRule="auto"/>
              <w:jc w:val="right"/>
              <w:rPr>
                <w:rFonts w:ascii="Arial" w:eastAsia="Calibri" w:hAnsi="Arial" w:cs="Arial"/>
                <w:b/>
                <w:color w:val="000000"/>
                <w:sz w:val="16"/>
              </w:rPr>
            </w:pPr>
            <w:r w:rsidRPr="00701F32">
              <w:rPr>
                <w:rFonts w:ascii="Arial" w:eastAsia="Calibri" w:hAnsi="Arial" w:cs="Arial"/>
                <w:b/>
                <w:color w:val="000000"/>
                <w:sz w:val="16"/>
              </w:rPr>
              <w:t>0</w:t>
            </w:r>
          </w:p>
        </w:tc>
      </w:tr>
    </w:tbl>
    <w:p w14:paraId="28D9DDE4" w14:textId="77777777" w:rsidR="00A06BE9" w:rsidRPr="00701F32" w:rsidRDefault="00A06BE9" w:rsidP="00A06BE9">
      <w:pPr>
        <w:jc w:val="both"/>
        <w:rPr>
          <w:rFonts w:ascii="Arial" w:eastAsia="Arial" w:hAnsi="Arial" w:cs="Arial"/>
          <w:bCs/>
          <w:noProof/>
          <w:color w:val="000000"/>
          <w:sz w:val="20"/>
        </w:rPr>
      </w:pPr>
    </w:p>
    <w:p w14:paraId="49224739" w14:textId="77777777" w:rsidR="00582EAB" w:rsidRPr="00701F32" w:rsidRDefault="00AF3A00" w:rsidP="00582EAB">
      <w:pPr>
        <w:tabs>
          <w:tab w:val="left" w:pos="142"/>
        </w:tabs>
        <w:jc w:val="both"/>
        <w:rPr>
          <w:rFonts w:ascii="Arial" w:hAnsi="Arial" w:cs="Arial"/>
          <w:b/>
          <w:sz w:val="20"/>
        </w:rPr>
      </w:pPr>
      <w:r w:rsidRPr="00701F32">
        <w:rPr>
          <w:rFonts w:ascii="Arial" w:hAnsi="Arial" w:cs="Arial"/>
          <w:b/>
          <w:sz w:val="20"/>
        </w:rPr>
        <w:t>14</w:t>
      </w:r>
      <w:r w:rsidR="00582EAB" w:rsidRPr="00701F32">
        <w:rPr>
          <w:rFonts w:ascii="Arial" w:hAnsi="Arial" w:cs="Arial"/>
          <w:b/>
          <w:sz w:val="20"/>
        </w:rPr>
        <w:t>. FONDOS COMUNES DE INVERSION</w:t>
      </w:r>
    </w:p>
    <w:p w14:paraId="431335EA" w14:textId="77777777" w:rsidR="00582EAB" w:rsidRPr="00701F32" w:rsidRDefault="00582EAB" w:rsidP="00582EAB">
      <w:pPr>
        <w:tabs>
          <w:tab w:val="left" w:pos="142"/>
        </w:tabs>
        <w:jc w:val="both"/>
        <w:rPr>
          <w:rFonts w:ascii="Arial" w:hAnsi="Arial" w:cs="Arial"/>
          <w:b/>
          <w:sz w:val="20"/>
        </w:rPr>
      </w:pPr>
    </w:p>
    <w:p w14:paraId="5308348A" w14:textId="77777777" w:rsidR="00582EAB" w:rsidRPr="00701F32" w:rsidRDefault="00582EAB" w:rsidP="00582EAB">
      <w:pPr>
        <w:tabs>
          <w:tab w:val="left" w:pos="142"/>
        </w:tabs>
        <w:jc w:val="both"/>
        <w:rPr>
          <w:rFonts w:ascii="Arial" w:hAnsi="Arial" w:cs="Arial"/>
          <w:sz w:val="20"/>
        </w:rPr>
      </w:pPr>
      <w:r w:rsidRPr="00701F32">
        <w:rPr>
          <w:rFonts w:ascii="Arial" w:hAnsi="Arial" w:cs="Arial"/>
          <w:sz w:val="20"/>
        </w:rPr>
        <w:t>Al 3</w:t>
      </w:r>
      <w:r w:rsidR="0082336B" w:rsidRPr="00701F32">
        <w:rPr>
          <w:rFonts w:ascii="Arial" w:hAnsi="Arial" w:cs="Arial"/>
          <w:sz w:val="20"/>
        </w:rPr>
        <w:t>0</w:t>
      </w:r>
      <w:r w:rsidRPr="00701F32">
        <w:rPr>
          <w:rFonts w:ascii="Arial" w:hAnsi="Arial" w:cs="Arial"/>
          <w:sz w:val="20"/>
        </w:rPr>
        <w:t xml:space="preserve"> de</w:t>
      </w:r>
      <w:r w:rsidR="00F53550" w:rsidRPr="00701F32">
        <w:rPr>
          <w:rFonts w:ascii="Arial" w:hAnsi="Arial" w:cs="Arial"/>
          <w:sz w:val="20"/>
        </w:rPr>
        <w:t xml:space="preserve"> septiembre</w:t>
      </w:r>
      <w:r w:rsidRPr="00701F32">
        <w:rPr>
          <w:rFonts w:ascii="Arial" w:hAnsi="Arial" w:cs="Arial"/>
          <w:sz w:val="20"/>
        </w:rPr>
        <w:t xml:space="preserve"> de 2018 y al 31 de diciembre de 2017, Banco Supervielle S.A. es la sociedad depositaria de los Fondos Comunes de Inversión que administra Supervielle Asset Management S.A. De acuerdo a lo requerido por la Resolución General N° 622/13 de la CNV, se detalla a continuación la cartera, patrimonio neto y cantidad de cuotapartes de los fondos comunes de inversión mencionados precedentemente.</w:t>
      </w:r>
    </w:p>
    <w:p w14:paraId="7CD46680" w14:textId="77777777" w:rsidR="00582EAB" w:rsidRPr="00701F32" w:rsidRDefault="00582EAB" w:rsidP="00582EAB">
      <w:pPr>
        <w:tabs>
          <w:tab w:val="left" w:pos="142"/>
        </w:tabs>
        <w:jc w:val="both"/>
        <w:rPr>
          <w:rFonts w:ascii="Arial" w:hAnsi="Arial" w:cs="Arial"/>
          <w:sz w:val="20"/>
        </w:rPr>
      </w:pPr>
    </w:p>
    <w:p w14:paraId="6D96451C" w14:textId="77777777" w:rsidR="007A20B7" w:rsidRPr="00701F32" w:rsidRDefault="007A20B7" w:rsidP="00582EAB">
      <w:pPr>
        <w:tabs>
          <w:tab w:val="left" w:pos="142"/>
        </w:tabs>
        <w:jc w:val="both"/>
        <w:rPr>
          <w:rFonts w:ascii="Arial" w:hAnsi="Arial" w:cs="Arial"/>
          <w:sz w:val="20"/>
        </w:rPr>
      </w:pPr>
    </w:p>
    <w:p w14:paraId="38E62E78" w14:textId="77777777" w:rsidR="007A20B7" w:rsidRPr="00701F32" w:rsidRDefault="007A20B7" w:rsidP="00582EAB">
      <w:pPr>
        <w:tabs>
          <w:tab w:val="left" w:pos="142"/>
        </w:tabs>
        <w:jc w:val="both"/>
        <w:rPr>
          <w:rFonts w:ascii="Arial" w:hAnsi="Arial" w:cs="Arial"/>
          <w:sz w:val="20"/>
        </w:rPr>
      </w:pPr>
    </w:p>
    <w:p w14:paraId="71918FA0" w14:textId="77777777" w:rsidR="007A20B7" w:rsidRPr="00701F32" w:rsidRDefault="007A20B7" w:rsidP="00582EAB">
      <w:pPr>
        <w:tabs>
          <w:tab w:val="left" w:pos="142"/>
        </w:tabs>
        <w:jc w:val="both"/>
        <w:rPr>
          <w:rFonts w:ascii="Arial" w:hAnsi="Arial" w:cs="Arial"/>
          <w:sz w:val="20"/>
        </w:rPr>
      </w:pPr>
    </w:p>
    <w:p w14:paraId="783FEBC0" w14:textId="77777777" w:rsidR="007A20B7" w:rsidRPr="00701F32" w:rsidRDefault="007A20B7" w:rsidP="00582EAB">
      <w:pPr>
        <w:tabs>
          <w:tab w:val="left" w:pos="142"/>
        </w:tabs>
        <w:jc w:val="both"/>
        <w:rPr>
          <w:rFonts w:ascii="Arial" w:hAnsi="Arial" w:cs="Arial"/>
          <w:sz w:val="20"/>
        </w:rPr>
      </w:pPr>
    </w:p>
    <w:tbl>
      <w:tblPr>
        <w:tblW w:w="9015" w:type="dxa"/>
        <w:tblInd w:w="55" w:type="dxa"/>
        <w:tblLayout w:type="fixed"/>
        <w:tblCellMar>
          <w:left w:w="70" w:type="dxa"/>
          <w:right w:w="70" w:type="dxa"/>
        </w:tblCellMar>
        <w:tblLook w:val="04A0" w:firstRow="1" w:lastRow="0" w:firstColumn="1" w:lastColumn="0" w:noHBand="0" w:noVBand="1"/>
      </w:tblPr>
      <w:tblGrid>
        <w:gridCol w:w="1149"/>
        <w:gridCol w:w="1190"/>
        <w:gridCol w:w="1212"/>
        <w:gridCol w:w="1170"/>
        <w:gridCol w:w="1294"/>
        <w:gridCol w:w="1655"/>
        <w:gridCol w:w="1345"/>
      </w:tblGrid>
      <w:tr w:rsidR="00364AA1" w:rsidRPr="00701F32" w14:paraId="55F66C72" w14:textId="77777777" w:rsidTr="00582EAB">
        <w:trPr>
          <w:trHeight w:val="285"/>
          <w:tblHeader/>
        </w:trPr>
        <w:tc>
          <w:tcPr>
            <w:tcW w:w="1149"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7B6D2A91" w14:textId="77777777" w:rsidR="00582EAB" w:rsidRPr="00701F32" w:rsidRDefault="00582EAB" w:rsidP="00582EAB">
            <w:pPr>
              <w:jc w:val="center"/>
              <w:rPr>
                <w:rFonts w:ascii="Arial" w:hAnsi="Arial" w:cs="Arial"/>
                <w:b/>
                <w:bCs/>
                <w:sz w:val="15"/>
                <w:szCs w:val="15"/>
              </w:rPr>
            </w:pPr>
            <w:r w:rsidRPr="00701F32">
              <w:rPr>
                <w:rFonts w:ascii="Arial" w:hAnsi="Arial" w:cs="Arial"/>
                <w:b/>
                <w:bCs/>
                <w:sz w:val="15"/>
                <w:szCs w:val="15"/>
              </w:rPr>
              <w:t>Fondo común de inversión</w:t>
            </w:r>
          </w:p>
        </w:tc>
        <w:tc>
          <w:tcPr>
            <w:tcW w:w="2402" w:type="dxa"/>
            <w:gridSpan w:val="2"/>
            <w:tcBorders>
              <w:top w:val="single" w:sz="12" w:space="0" w:color="auto"/>
              <w:left w:val="nil"/>
              <w:bottom w:val="single" w:sz="8" w:space="0" w:color="auto"/>
              <w:right w:val="single" w:sz="8" w:space="0" w:color="000000"/>
            </w:tcBorders>
            <w:shd w:val="clear" w:color="auto" w:fill="auto"/>
            <w:vAlign w:val="bottom"/>
            <w:hideMark/>
          </w:tcPr>
          <w:p w14:paraId="2606F670" w14:textId="77777777" w:rsidR="00582EAB" w:rsidRPr="00701F32" w:rsidRDefault="00582EAB" w:rsidP="00582EAB">
            <w:pPr>
              <w:jc w:val="center"/>
              <w:rPr>
                <w:rFonts w:ascii="Arial" w:hAnsi="Arial" w:cs="Arial"/>
                <w:b/>
                <w:bCs/>
                <w:sz w:val="15"/>
                <w:szCs w:val="15"/>
              </w:rPr>
            </w:pPr>
            <w:r w:rsidRPr="00701F32">
              <w:rPr>
                <w:rFonts w:ascii="Arial" w:hAnsi="Arial" w:cs="Arial"/>
                <w:b/>
                <w:bCs/>
                <w:sz w:val="15"/>
                <w:szCs w:val="15"/>
              </w:rPr>
              <w:t>Activo</w:t>
            </w:r>
          </w:p>
        </w:tc>
        <w:tc>
          <w:tcPr>
            <w:tcW w:w="2464" w:type="dxa"/>
            <w:gridSpan w:val="2"/>
            <w:tcBorders>
              <w:top w:val="single" w:sz="12" w:space="0" w:color="auto"/>
              <w:left w:val="nil"/>
              <w:bottom w:val="single" w:sz="8" w:space="0" w:color="auto"/>
              <w:right w:val="single" w:sz="8" w:space="0" w:color="000000"/>
            </w:tcBorders>
            <w:shd w:val="clear" w:color="auto" w:fill="auto"/>
            <w:vAlign w:val="bottom"/>
            <w:hideMark/>
          </w:tcPr>
          <w:p w14:paraId="7428E09B" w14:textId="77777777" w:rsidR="00582EAB" w:rsidRPr="00701F32" w:rsidRDefault="00582EAB" w:rsidP="00582EAB">
            <w:pPr>
              <w:jc w:val="center"/>
              <w:rPr>
                <w:rFonts w:ascii="Arial" w:hAnsi="Arial" w:cs="Arial"/>
                <w:b/>
                <w:bCs/>
                <w:sz w:val="15"/>
                <w:szCs w:val="15"/>
              </w:rPr>
            </w:pPr>
            <w:r w:rsidRPr="00701F32">
              <w:rPr>
                <w:rFonts w:ascii="Arial" w:hAnsi="Arial" w:cs="Arial"/>
                <w:b/>
                <w:bCs/>
                <w:sz w:val="15"/>
                <w:szCs w:val="15"/>
              </w:rPr>
              <w:t>Patrimonio neto</w:t>
            </w:r>
          </w:p>
        </w:tc>
        <w:tc>
          <w:tcPr>
            <w:tcW w:w="3000" w:type="dxa"/>
            <w:gridSpan w:val="2"/>
            <w:tcBorders>
              <w:top w:val="single" w:sz="12" w:space="0" w:color="auto"/>
              <w:left w:val="nil"/>
              <w:bottom w:val="single" w:sz="8" w:space="0" w:color="auto"/>
              <w:right w:val="single" w:sz="12" w:space="0" w:color="000000"/>
            </w:tcBorders>
            <w:shd w:val="clear" w:color="auto" w:fill="auto"/>
            <w:vAlign w:val="bottom"/>
            <w:hideMark/>
          </w:tcPr>
          <w:p w14:paraId="5F3D83CE" w14:textId="77777777" w:rsidR="00582EAB" w:rsidRPr="00701F32" w:rsidRDefault="00582EAB" w:rsidP="00582EAB">
            <w:pPr>
              <w:jc w:val="center"/>
              <w:rPr>
                <w:rFonts w:ascii="Arial" w:hAnsi="Arial" w:cs="Arial"/>
                <w:b/>
                <w:bCs/>
                <w:sz w:val="15"/>
                <w:szCs w:val="15"/>
              </w:rPr>
            </w:pPr>
            <w:r w:rsidRPr="00701F32">
              <w:rPr>
                <w:rFonts w:ascii="Arial" w:hAnsi="Arial" w:cs="Arial"/>
                <w:b/>
                <w:bCs/>
                <w:sz w:val="15"/>
                <w:szCs w:val="15"/>
              </w:rPr>
              <w:t>Cantidad de cuotapartes</w:t>
            </w:r>
          </w:p>
        </w:tc>
      </w:tr>
      <w:tr w:rsidR="00364AA1" w:rsidRPr="00701F32" w14:paraId="02AAA199" w14:textId="77777777" w:rsidTr="00582EAB">
        <w:trPr>
          <w:trHeight w:val="270"/>
          <w:tblHeader/>
        </w:trPr>
        <w:tc>
          <w:tcPr>
            <w:tcW w:w="1149" w:type="dxa"/>
            <w:vMerge/>
            <w:tcBorders>
              <w:top w:val="single" w:sz="12" w:space="0" w:color="auto"/>
              <w:left w:val="single" w:sz="12" w:space="0" w:color="auto"/>
              <w:bottom w:val="single" w:sz="12" w:space="0" w:color="000000"/>
              <w:right w:val="single" w:sz="8" w:space="0" w:color="auto"/>
            </w:tcBorders>
            <w:vAlign w:val="center"/>
            <w:hideMark/>
          </w:tcPr>
          <w:p w14:paraId="69AB3FDB" w14:textId="77777777" w:rsidR="00582EAB" w:rsidRPr="00701F32" w:rsidRDefault="00582EAB" w:rsidP="00582EAB">
            <w:pPr>
              <w:rPr>
                <w:rFonts w:ascii="Arial" w:hAnsi="Arial" w:cs="Arial"/>
                <w:b/>
                <w:bCs/>
                <w:sz w:val="15"/>
                <w:szCs w:val="15"/>
              </w:rPr>
            </w:pPr>
          </w:p>
        </w:tc>
        <w:tc>
          <w:tcPr>
            <w:tcW w:w="1190" w:type="dxa"/>
            <w:tcBorders>
              <w:top w:val="nil"/>
              <w:left w:val="nil"/>
              <w:bottom w:val="single" w:sz="12" w:space="0" w:color="auto"/>
              <w:right w:val="single" w:sz="8" w:space="0" w:color="auto"/>
            </w:tcBorders>
            <w:shd w:val="clear" w:color="auto" w:fill="auto"/>
            <w:vAlign w:val="center"/>
          </w:tcPr>
          <w:p w14:paraId="69BDAAB8" w14:textId="77777777" w:rsidR="00582EAB" w:rsidRPr="00701F32" w:rsidRDefault="00F53550" w:rsidP="00582EAB">
            <w:pPr>
              <w:jc w:val="right"/>
              <w:rPr>
                <w:rFonts w:ascii="Arial" w:hAnsi="Arial" w:cs="Arial"/>
                <w:b/>
                <w:bCs/>
                <w:sz w:val="15"/>
                <w:szCs w:val="15"/>
              </w:rPr>
            </w:pPr>
            <w:r w:rsidRPr="00701F32">
              <w:rPr>
                <w:rFonts w:ascii="Arial" w:hAnsi="Arial" w:cs="Arial"/>
                <w:b/>
                <w:bCs/>
                <w:sz w:val="15"/>
                <w:szCs w:val="15"/>
              </w:rPr>
              <w:t>30/09/2018</w:t>
            </w:r>
          </w:p>
        </w:tc>
        <w:tc>
          <w:tcPr>
            <w:tcW w:w="1212" w:type="dxa"/>
            <w:tcBorders>
              <w:top w:val="nil"/>
              <w:left w:val="nil"/>
              <w:bottom w:val="single" w:sz="12" w:space="0" w:color="auto"/>
              <w:right w:val="single" w:sz="8" w:space="0" w:color="auto"/>
            </w:tcBorders>
            <w:shd w:val="clear" w:color="auto" w:fill="auto"/>
            <w:vAlign w:val="center"/>
          </w:tcPr>
          <w:p w14:paraId="2C4B3FD8" w14:textId="77777777" w:rsidR="00582EAB" w:rsidRPr="00701F32" w:rsidRDefault="00582EAB" w:rsidP="00582EAB">
            <w:pPr>
              <w:jc w:val="right"/>
              <w:rPr>
                <w:rFonts w:ascii="Arial" w:hAnsi="Arial" w:cs="Arial"/>
                <w:b/>
                <w:bCs/>
                <w:sz w:val="15"/>
                <w:szCs w:val="15"/>
              </w:rPr>
            </w:pPr>
            <w:r w:rsidRPr="00701F32">
              <w:rPr>
                <w:rFonts w:ascii="Arial" w:hAnsi="Arial" w:cs="Arial"/>
                <w:b/>
                <w:bCs/>
                <w:sz w:val="15"/>
                <w:szCs w:val="15"/>
              </w:rPr>
              <w:t>31/12/2017</w:t>
            </w:r>
          </w:p>
        </w:tc>
        <w:tc>
          <w:tcPr>
            <w:tcW w:w="1170" w:type="dxa"/>
            <w:tcBorders>
              <w:top w:val="nil"/>
              <w:left w:val="nil"/>
              <w:bottom w:val="single" w:sz="12" w:space="0" w:color="auto"/>
              <w:right w:val="single" w:sz="8" w:space="0" w:color="auto"/>
            </w:tcBorders>
            <w:shd w:val="clear" w:color="auto" w:fill="auto"/>
            <w:vAlign w:val="center"/>
          </w:tcPr>
          <w:p w14:paraId="5DDD03A1" w14:textId="77777777" w:rsidR="00582EAB" w:rsidRPr="00701F32" w:rsidRDefault="00F53550" w:rsidP="0082336B">
            <w:pPr>
              <w:jc w:val="right"/>
              <w:rPr>
                <w:rFonts w:ascii="Arial" w:hAnsi="Arial" w:cs="Arial"/>
                <w:b/>
                <w:bCs/>
                <w:sz w:val="15"/>
                <w:szCs w:val="15"/>
              </w:rPr>
            </w:pPr>
            <w:r w:rsidRPr="00701F32">
              <w:rPr>
                <w:rFonts w:ascii="Arial" w:hAnsi="Arial" w:cs="Arial"/>
                <w:b/>
                <w:bCs/>
                <w:sz w:val="15"/>
                <w:szCs w:val="15"/>
              </w:rPr>
              <w:t>30/09/2018</w:t>
            </w:r>
          </w:p>
        </w:tc>
        <w:tc>
          <w:tcPr>
            <w:tcW w:w="1294" w:type="dxa"/>
            <w:tcBorders>
              <w:top w:val="nil"/>
              <w:left w:val="nil"/>
              <w:bottom w:val="single" w:sz="12" w:space="0" w:color="auto"/>
              <w:right w:val="single" w:sz="8" w:space="0" w:color="auto"/>
            </w:tcBorders>
            <w:shd w:val="clear" w:color="auto" w:fill="auto"/>
            <w:vAlign w:val="center"/>
          </w:tcPr>
          <w:p w14:paraId="02E1203E" w14:textId="77777777" w:rsidR="00582EAB" w:rsidRPr="00701F32" w:rsidRDefault="00582EAB" w:rsidP="00582EAB">
            <w:pPr>
              <w:jc w:val="right"/>
              <w:rPr>
                <w:rFonts w:ascii="Arial" w:hAnsi="Arial" w:cs="Arial"/>
                <w:b/>
                <w:bCs/>
                <w:sz w:val="15"/>
                <w:szCs w:val="15"/>
              </w:rPr>
            </w:pPr>
            <w:r w:rsidRPr="00701F32">
              <w:rPr>
                <w:rFonts w:ascii="Arial" w:hAnsi="Arial" w:cs="Arial"/>
                <w:b/>
                <w:bCs/>
                <w:sz w:val="15"/>
                <w:szCs w:val="15"/>
              </w:rPr>
              <w:t>31/12/2017</w:t>
            </w:r>
          </w:p>
        </w:tc>
        <w:tc>
          <w:tcPr>
            <w:tcW w:w="1655" w:type="dxa"/>
            <w:tcBorders>
              <w:top w:val="nil"/>
              <w:left w:val="nil"/>
              <w:bottom w:val="single" w:sz="12" w:space="0" w:color="auto"/>
              <w:right w:val="single" w:sz="8" w:space="0" w:color="auto"/>
            </w:tcBorders>
            <w:shd w:val="clear" w:color="auto" w:fill="auto"/>
            <w:vAlign w:val="center"/>
          </w:tcPr>
          <w:p w14:paraId="119E9B74" w14:textId="77777777" w:rsidR="00582EAB" w:rsidRPr="00701F32" w:rsidRDefault="00F53550" w:rsidP="0082336B">
            <w:pPr>
              <w:jc w:val="right"/>
              <w:rPr>
                <w:rFonts w:ascii="Arial" w:hAnsi="Arial" w:cs="Arial"/>
                <w:b/>
                <w:bCs/>
                <w:sz w:val="15"/>
                <w:szCs w:val="15"/>
              </w:rPr>
            </w:pPr>
            <w:r w:rsidRPr="00701F32">
              <w:rPr>
                <w:rFonts w:ascii="Arial" w:hAnsi="Arial" w:cs="Arial"/>
                <w:b/>
                <w:bCs/>
                <w:sz w:val="15"/>
                <w:szCs w:val="15"/>
              </w:rPr>
              <w:t>30/09/2018</w:t>
            </w:r>
          </w:p>
        </w:tc>
        <w:tc>
          <w:tcPr>
            <w:tcW w:w="1345" w:type="dxa"/>
            <w:tcBorders>
              <w:top w:val="nil"/>
              <w:left w:val="nil"/>
              <w:bottom w:val="single" w:sz="12" w:space="0" w:color="auto"/>
              <w:right w:val="single" w:sz="12" w:space="0" w:color="auto"/>
            </w:tcBorders>
            <w:shd w:val="clear" w:color="auto" w:fill="auto"/>
            <w:vAlign w:val="center"/>
          </w:tcPr>
          <w:p w14:paraId="0CBE7C13" w14:textId="77777777" w:rsidR="00582EAB" w:rsidRPr="00701F32" w:rsidRDefault="00582EAB" w:rsidP="00582EAB">
            <w:pPr>
              <w:jc w:val="right"/>
              <w:rPr>
                <w:rFonts w:ascii="Arial" w:hAnsi="Arial" w:cs="Arial"/>
                <w:b/>
                <w:bCs/>
                <w:sz w:val="15"/>
                <w:szCs w:val="15"/>
              </w:rPr>
            </w:pPr>
            <w:r w:rsidRPr="00701F32">
              <w:rPr>
                <w:rFonts w:ascii="Arial" w:hAnsi="Arial" w:cs="Arial"/>
                <w:b/>
                <w:bCs/>
                <w:sz w:val="15"/>
                <w:szCs w:val="15"/>
              </w:rPr>
              <w:t>31/12/2017</w:t>
            </w:r>
          </w:p>
        </w:tc>
      </w:tr>
      <w:tr w:rsidR="00291D67" w:rsidRPr="00701F32" w14:paraId="35B29982" w14:textId="77777777" w:rsidTr="00582EAB">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tcPr>
          <w:p w14:paraId="67062300"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C.P. Pesos</w:t>
            </w:r>
          </w:p>
        </w:tc>
        <w:tc>
          <w:tcPr>
            <w:tcW w:w="1190" w:type="dxa"/>
            <w:tcBorders>
              <w:top w:val="single" w:sz="8" w:space="0" w:color="auto"/>
              <w:left w:val="single" w:sz="4" w:space="0" w:color="auto"/>
              <w:bottom w:val="single" w:sz="4" w:space="0" w:color="auto"/>
              <w:right w:val="single" w:sz="4" w:space="0" w:color="auto"/>
            </w:tcBorders>
            <w:shd w:val="clear" w:color="auto" w:fill="auto"/>
            <w:vAlign w:val="center"/>
          </w:tcPr>
          <w:p w14:paraId="7179AE96" w14:textId="5AD57828" w:rsidR="00291D67" w:rsidRPr="00701F32" w:rsidRDefault="00291D67" w:rsidP="00582EAB">
            <w:pPr>
              <w:jc w:val="right"/>
              <w:rPr>
                <w:rFonts w:ascii="Arial" w:hAnsi="Arial" w:cs="Arial"/>
                <w:bCs/>
                <w:sz w:val="15"/>
                <w:szCs w:val="15"/>
              </w:rPr>
            </w:pPr>
            <w:r w:rsidRPr="00701F32">
              <w:rPr>
                <w:rFonts w:ascii="Arial" w:hAnsi="Arial" w:cs="Arial"/>
                <w:bCs/>
                <w:sz w:val="15"/>
                <w:szCs w:val="15"/>
              </w:rPr>
              <w:t>4.967.096</w:t>
            </w:r>
          </w:p>
        </w:tc>
        <w:tc>
          <w:tcPr>
            <w:tcW w:w="1212" w:type="dxa"/>
            <w:tcBorders>
              <w:top w:val="nil"/>
              <w:left w:val="nil"/>
              <w:bottom w:val="single" w:sz="8" w:space="0" w:color="auto"/>
              <w:right w:val="single" w:sz="8" w:space="0" w:color="auto"/>
            </w:tcBorders>
            <w:shd w:val="clear" w:color="auto" w:fill="auto"/>
            <w:vAlign w:val="center"/>
          </w:tcPr>
          <w:p w14:paraId="642B9D70"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1.908.881</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tcPr>
          <w:p w14:paraId="7843AFB8" w14:textId="4A6F6C79" w:rsidR="00291D67" w:rsidRPr="00701F32" w:rsidRDefault="00291D67" w:rsidP="00582EAB">
            <w:pPr>
              <w:jc w:val="right"/>
              <w:rPr>
                <w:rFonts w:ascii="Arial" w:hAnsi="Arial" w:cs="Arial"/>
                <w:bCs/>
                <w:sz w:val="15"/>
                <w:szCs w:val="15"/>
              </w:rPr>
            </w:pPr>
            <w:r w:rsidRPr="00701F32">
              <w:rPr>
                <w:rFonts w:ascii="Arial" w:hAnsi="Arial" w:cs="Arial"/>
                <w:bCs/>
                <w:sz w:val="15"/>
                <w:szCs w:val="15"/>
              </w:rPr>
              <w:t>4.957.676</w:t>
            </w:r>
          </w:p>
        </w:tc>
        <w:tc>
          <w:tcPr>
            <w:tcW w:w="1294" w:type="dxa"/>
            <w:tcBorders>
              <w:top w:val="nil"/>
              <w:left w:val="nil"/>
              <w:bottom w:val="single" w:sz="8" w:space="0" w:color="auto"/>
              <w:right w:val="single" w:sz="8" w:space="0" w:color="auto"/>
            </w:tcBorders>
            <w:shd w:val="clear" w:color="auto" w:fill="auto"/>
            <w:vAlign w:val="center"/>
          </w:tcPr>
          <w:p w14:paraId="57B92479"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1.906.560</w:t>
            </w:r>
          </w:p>
        </w:tc>
        <w:tc>
          <w:tcPr>
            <w:tcW w:w="1655" w:type="dxa"/>
            <w:tcBorders>
              <w:top w:val="single" w:sz="8" w:space="0" w:color="auto"/>
              <w:left w:val="single" w:sz="4" w:space="0" w:color="auto"/>
              <w:bottom w:val="single" w:sz="4" w:space="0" w:color="auto"/>
              <w:right w:val="single" w:sz="4" w:space="0" w:color="auto"/>
            </w:tcBorders>
            <w:shd w:val="clear" w:color="auto" w:fill="auto"/>
            <w:vAlign w:val="center"/>
          </w:tcPr>
          <w:p w14:paraId="74B90EE5" w14:textId="2FA144E9" w:rsidR="00291D67" w:rsidRPr="00701F32" w:rsidRDefault="00291D67" w:rsidP="009C75A9">
            <w:pPr>
              <w:jc w:val="right"/>
              <w:rPr>
                <w:rFonts w:ascii="Arial" w:hAnsi="Arial" w:cs="Arial"/>
                <w:bCs/>
                <w:sz w:val="15"/>
                <w:szCs w:val="15"/>
              </w:rPr>
            </w:pPr>
            <w:r w:rsidRPr="00701F32">
              <w:rPr>
                <w:rFonts w:ascii="Arial" w:hAnsi="Arial" w:cs="Arial"/>
                <w:bCs/>
                <w:sz w:val="15"/>
                <w:szCs w:val="15"/>
              </w:rPr>
              <w:t>664.525.946</w:t>
            </w:r>
          </w:p>
        </w:tc>
        <w:tc>
          <w:tcPr>
            <w:tcW w:w="1345" w:type="dxa"/>
            <w:tcBorders>
              <w:top w:val="nil"/>
              <w:left w:val="nil"/>
              <w:bottom w:val="single" w:sz="8" w:space="0" w:color="auto"/>
              <w:right w:val="single" w:sz="12" w:space="0" w:color="auto"/>
            </w:tcBorders>
            <w:shd w:val="clear" w:color="auto" w:fill="auto"/>
            <w:vAlign w:val="center"/>
          </w:tcPr>
          <w:p w14:paraId="7A7D5854"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310.154.313</w:t>
            </w:r>
          </w:p>
        </w:tc>
      </w:tr>
      <w:tr w:rsidR="00291D67" w:rsidRPr="00701F32" w14:paraId="393E476B" w14:textId="77777777" w:rsidTr="00582EAB">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1FB7E7F8"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Plus en Pesos</w:t>
            </w:r>
          </w:p>
        </w:tc>
        <w:tc>
          <w:tcPr>
            <w:tcW w:w="1190" w:type="dxa"/>
            <w:tcBorders>
              <w:top w:val="nil"/>
              <w:left w:val="single" w:sz="4" w:space="0" w:color="auto"/>
              <w:bottom w:val="single" w:sz="4" w:space="0" w:color="auto"/>
              <w:right w:val="single" w:sz="4" w:space="0" w:color="auto"/>
            </w:tcBorders>
            <w:shd w:val="clear" w:color="auto" w:fill="auto"/>
            <w:vAlign w:val="center"/>
          </w:tcPr>
          <w:p w14:paraId="6D4AE377" w14:textId="58DD6826" w:rsidR="00291D67" w:rsidRPr="00701F32" w:rsidRDefault="00291D67" w:rsidP="00582EAB">
            <w:pPr>
              <w:jc w:val="right"/>
              <w:rPr>
                <w:rFonts w:ascii="Arial" w:hAnsi="Arial" w:cs="Arial"/>
                <w:bCs/>
                <w:sz w:val="15"/>
                <w:szCs w:val="15"/>
              </w:rPr>
            </w:pPr>
            <w:r w:rsidRPr="00701F32">
              <w:rPr>
                <w:rFonts w:ascii="Arial" w:hAnsi="Arial" w:cs="Arial"/>
                <w:bCs/>
                <w:sz w:val="15"/>
                <w:szCs w:val="15"/>
              </w:rPr>
              <w:t>271.994</w:t>
            </w:r>
          </w:p>
        </w:tc>
        <w:tc>
          <w:tcPr>
            <w:tcW w:w="1212" w:type="dxa"/>
            <w:tcBorders>
              <w:top w:val="nil"/>
              <w:left w:val="nil"/>
              <w:bottom w:val="single" w:sz="8" w:space="0" w:color="auto"/>
              <w:right w:val="single" w:sz="8" w:space="0" w:color="auto"/>
            </w:tcBorders>
            <w:shd w:val="clear" w:color="auto" w:fill="auto"/>
            <w:vAlign w:val="center"/>
          </w:tcPr>
          <w:p w14:paraId="6D054C48"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2.376.919</w:t>
            </w:r>
          </w:p>
        </w:tc>
        <w:tc>
          <w:tcPr>
            <w:tcW w:w="1170" w:type="dxa"/>
            <w:tcBorders>
              <w:top w:val="nil"/>
              <w:left w:val="single" w:sz="4" w:space="0" w:color="auto"/>
              <w:bottom w:val="single" w:sz="4" w:space="0" w:color="auto"/>
              <w:right w:val="single" w:sz="4" w:space="0" w:color="auto"/>
            </w:tcBorders>
            <w:shd w:val="clear" w:color="auto" w:fill="auto"/>
            <w:vAlign w:val="center"/>
          </w:tcPr>
          <w:p w14:paraId="7F4C5053" w14:textId="40F15AE9" w:rsidR="00291D67" w:rsidRPr="00701F32" w:rsidRDefault="00291D67" w:rsidP="00582EAB">
            <w:pPr>
              <w:jc w:val="right"/>
              <w:rPr>
                <w:rFonts w:ascii="Arial" w:hAnsi="Arial" w:cs="Arial"/>
                <w:bCs/>
                <w:sz w:val="15"/>
                <w:szCs w:val="15"/>
              </w:rPr>
            </w:pPr>
            <w:r w:rsidRPr="00701F32">
              <w:rPr>
                <w:rFonts w:ascii="Arial" w:hAnsi="Arial" w:cs="Arial"/>
                <w:bCs/>
                <w:sz w:val="15"/>
                <w:szCs w:val="15"/>
              </w:rPr>
              <w:t>269.990</w:t>
            </w:r>
          </w:p>
        </w:tc>
        <w:tc>
          <w:tcPr>
            <w:tcW w:w="1294" w:type="dxa"/>
            <w:tcBorders>
              <w:top w:val="nil"/>
              <w:left w:val="nil"/>
              <w:bottom w:val="single" w:sz="8" w:space="0" w:color="auto"/>
              <w:right w:val="single" w:sz="8" w:space="0" w:color="auto"/>
            </w:tcBorders>
            <w:shd w:val="clear" w:color="auto" w:fill="auto"/>
            <w:vAlign w:val="center"/>
          </w:tcPr>
          <w:p w14:paraId="2DB28F31"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2.364.512</w:t>
            </w:r>
          </w:p>
        </w:tc>
        <w:tc>
          <w:tcPr>
            <w:tcW w:w="1655" w:type="dxa"/>
            <w:tcBorders>
              <w:top w:val="nil"/>
              <w:left w:val="single" w:sz="4" w:space="0" w:color="auto"/>
              <w:bottom w:val="single" w:sz="4" w:space="0" w:color="auto"/>
              <w:right w:val="single" w:sz="4" w:space="0" w:color="auto"/>
            </w:tcBorders>
            <w:shd w:val="clear" w:color="auto" w:fill="auto"/>
            <w:vAlign w:val="center"/>
          </w:tcPr>
          <w:p w14:paraId="362C1B33" w14:textId="06398613" w:rsidR="00291D67" w:rsidRPr="00701F32" w:rsidRDefault="00291D67" w:rsidP="009C75A9">
            <w:pPr>
              <w:jc w:val="right"/>
              <w:rPr>
                <w:rFonts w:ascii="Arial" w:hAnsi="Arial" w:cs="Arial"/>
                <w:bCs/>
                <w:sz w:val="15"/>
                <w:szCs w:val="15"/>
              </w:rPr>
            </w:pPr>
            <w:r w:rsidRPr="00701F32">
              <w:rPr>
                <w:rFonts w:ascii="Arial" w:hAnsi="Arial" w:cs="Arial"/>
                <w:bCs/>
                <w:sz w:val="15"/>
                <w:szCs w:val="15"/>
              </w:rPr>
              <w:t>43.610.817</w:t>
            </w:r>
          </w:p>
        </w:tc>
        <w:tc>
          <w:tcPr>
            <w:tcW w:w="1345" w:type="dxa"/>
            <w:tcBorders>
              <w:top w:val="nil"/>
              <w:left w:val="nil"/>
              <w:bottom w:val="single" w:sz="8" w:space="0" w:color="auto"/>
              <w:right w:val="single" w:sz="12" w:space="0" w:color="auto"/>
            </w:tcBorders>
            <w:shd w:val="clear" w:color="auto" w:fill="auto"/>
            <w:vAlign w:val="center"/>
          </w:tcPr>
          <w:p w14:paraId="551C498B"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388.251.454</w:t>
            </w:r>
          </w:p>
        </w:tc>
      </w:tr>
      <w:tr w:rsidR="00291D67" w:rsidRPr="00701F32" w14:paraId="0A2D031D" w14:textId="77777777" w:rsidTr="00582EAB">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25469942"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Fija Ahorro</w:t>
            </w:r>
          </w:p>
        </w:tc>
        <w:tc>
          <w:tcPr>
            <w:tcW w:w="1190" w:type="dxa"/>
            <w:tcBorders>
              <w:top w:val="nil"/>
              <w:left w:val="single" w:sz="4" w:space="0" w:color="auto"/>
              <w:bottom w:val="single" w:sz="4" w:space="0" w:color="auto"/>
              <w:right w:val="single" w:sz="4" w:space="0" w:color="auto"/>
            </w:tcBorders>
            <w:shd w:val="clear" w:color="auto" w:fill="auto"/>
            <w:vAlign w:val="center"/>
          </w:tcPr>
          <w:p w14:paraId="20723419" w14:textId="67D929D1" w:rsidR="00291D67" w:rsidRPr="00701F32" w:rsidRDefault="00291D67" w:rsidP="00582EAB">
            <w:pPr>
              <w:jc w:val="right"/>
              <w:rPr>
                <w:rFonts w:ascii="Arial" w:hAnsi="Arial" w:cs="Arial"/>
                <w:bCs/>
                <w:sz w:val="15"/>
                <w:szCs w:val="15"/>
              </w:rPr>
            </w:pPr>
            <w:r w:rsidRPr="00701F32">
              <w:rPr>
                <w:rFonts w:ascii="Arial" w:hAnsi="Arial" w:cs="Arial"/>
                <w:bCs/>
                <w:sz w:val="15"/>
                <w:szCs w:val="15"/>
              </w:rPr>
              <w:t>1.684.364</w:t>
            </w:r>
          </w:p>
        </w:tc>
        <w:tc>
          <w:tcPr>
            <w:tcW w:w="1212" w:type="dxa"/>
            <w:tcBorders>
              <w:top w:val="nil"/>
              <w:left w:val="nil"/>
              <w:bottom w:val="single" w:sz="8" w:space="0" w:color="auto"/>
              <w:right w:val="single" w:sz="8" w:space="0" w:color="auto"/>
            </w:tcBorders>
            <w:shd w:val="clear" w:color="auto" w:fill="auto"/>
            <w:vAlign w:val="center"/>
          </w:tcPr>
          <w:p w14:paraId="5845629F"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5.570.513</w:t>
            </w:r>
          </w:p>
        </w:tc>
        <w:tc>
          <w:tcPr>
            <w:tcW w:w="1170" w:type="dxa"/>
            <w:tcBorders>
              <w:top w:val="nil"/>
              <w:left w:val="single" w:sz="4" w:space="0" w:color="auto"/>
              <w:bottom w:val="single" w:sz="4" w:space="0" w:color="auto"/>
              <w:right w:val="single" w:sz="4" w:space="0" w:color="auto"/>
            </w:tcBorders>
            <w:shd w:val="clear" w:color="auto" w:fill="auto"/>
            <w:vAlign w:val="center"/>
          </w:tcPr>
          <w:p w14:paraId="78E548CC" w14:textId="1126297F" w:rsidR="00291D67" w:rsidRPr="00701F32" w:rsidRDefault="00291D67" w:rsidP="00582EAB">
            <w:pPr>
              <w:jc w:val="right"/>
              <w:rPr>
                <w:rFonts w:ascii="Arial" w:hAnsi="Arial" w:cs="Arial"/>
                <w:bCs/>
                <w:sz w:val="15"/>
                <w:szCs w:val="15"/>
              </w:rPr>
            </w:pPr>
            <w:r w:rsidRPr="00701F32">
              <w:rPr>
                <w:rFonts w:ascii="Arial" w:hAnsi="Arial" w:cs="Arial"/>
                <w:bCs/>
                <w:sz w:val="15"/>
                <w:szCs w:val="15"/>
              </w:rPr>
              <w:t>1.672.418</w:t>
            </w:r>
          </w:p>
        </w:tc>
        <w:tc>
          <w:tcPr>
            <w:tcW w:w="1294" w:type="dxa"/>
            <w:tcBorders>
              <w:top w:val="nil"/>
              <w:left w:val="nil"/>
              <w:bottom w:val="single" w:sz="8" w:space="0" w:color="auto"/>
              <w:right w:val="single" w:sz="8" w:space="0" w:color="auto"/>
            </w:tcBorders>
            <w:shd w:val="clear" w:color="auto" w:fill="auto"/>
            <w:vAlign w:val="center"/>
          </w:tcPr>
          <w:p w14:paraId="0F26AE8D"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5.466.839</w:t>
            </w:r>
          </w:p>
        </w:tc>
        <w:tc>
          <w:tcPr>
            <w:tcW w:w="1655" w:type="dxa"/>
            <w:tcBorders>
              <w:top w:val="nil"/>
              <w:left w:val="single" w:sz="4" w:space="0" w:color="auto"/>
              <w:bottom w:val="single" w:sz="4" w:space="0" w:color="auto"/>
              <w:right w:val="single" w:sz="4" w:space="0" w:color="auto"/>
            </w:tcBorders>
            <w:shd w:val="clear" w:color="auto" w:fill="auto"/>
            <w:vAlign w:val="center"/>
          </w:tcPr>
          <w:p w14:paraId="5A031530" w14:textId="00129634" w:rsidR="00291D67" w:rsidRPr="00701F32" w:rsidRDefault="00291D67" w:rsidP="009C75A9">
            <w:pPr>
              <w:jc w:val="right"/>
              <w:rPr>
                <w:rFonts w:ascii="Arial" w:hAnsi="Arial" w:cs="Arial"/>
                <w:bCs/>
                <w:sz w:val="15"/>
                <w:szCs w:val="15"/>
              </w:rPr>
            </w:pPr>
            <w:r w:rsidRPr="00701F32">
              <w:rPr>
                <w:rFonts w:ascii="Arial" w:hAnsi="Arial" w:cs="Arial"/>
                <w:bCs/>
                <w:sz w:val="15"/>
                <w:szCs w:val="15"/>
              </w:rPr>
              <w:t>80.523.715</w:t>
            </w:r>
          </w:p>
        </w:tc>
        <w:tc>
          <w:tcPr>
            <w:tcW w:w="1345" w:type="dxa"/>
            <w:tcBorders>
              <w:top w:val="nil"/>
              <w:left w:val="nil"/>
              <w:bottom w:val="single" w:sz="8" w:space="0" w:color="auto"/>
              <w:right w:val="single" w:sz="12" w:space="0" w:color="auto"/>
            </w:tcBorders>
            <w:shd w:val="clear" w:color="auto" w:fill="auto"/>
            <w:vAlign w:val="center"/>
          </w:tcPr>
          <w:p w14:paraId="4350B498"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304.239.464</w:t>
            </w:r>
          </w:p>
        </w:tc>
      </w:tr>
      <w:tr w:rsidR="00291D67" w:rsidRPr="00701F32" w14:paraId="15FB322D" w14:textId="77777777" w:rsidTr="00582EAB">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7BDD257B"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Fija Crecimiento</w:t>
            </w:r>
          </w:p>
        </w:tc>
        <w:tc>
          <w:tcPr>
            <w:tcW w:w="1190" w:type="dxa"/>
            <w:tcBorders>
              <w:top w:val="nil"/>
              <w:left w:val="single" w:sz="4" w:space="0" w:color="auto"/>
              <w:bottom w:val="single" w:sz="4" w:space="0" w:color="auto"/>
              <w:right w:val="single" w:sz="4" w:space="0" w:color="auto"/>
            </w:tcBorders>
            <w:shd w:val="clear" w:color="auto" w:fill="auto"/>
            <w:vAlign w:val="center"/>
          </w:tcPr>
          <w:p w14:paraId="6DF3D77E" w14:textId="6418EAAE" w:rsidR="00291D67" w:rsidRPr="00701F32" w:rsidRDefault="00291D67" w:rsidP="00582EAB">
            <w:pPr>
              <w:jc w:val="right"/>
              <w:rPr>
                <w:rFonts w:ascii="Arial" w:hAnsi="Arial" w:cs="Arial"/>
                <w:bCs/>
                <w:sz w:val="15"/>
                <w:szCs w:val="15"/>
              </w:rPr>
            </w:pPr>
            <w:r w:rsidRPr="00701F32">
              <w:rPr>
                <w:rFonts w:ascii="Arial" w:hAnsi="Arial" w:cs="Arial"/>
                <w:bCs/>
                <w:sz w:val="15"/>
                <w:szCs w:val="15"/>
              </w:rPr>
              <w:t>41.219</w:t>
            </w:r>
          </w:p>
        </w:tc>
        <w:tc>
          <w:tcPr>
            <w:tcW w:w="1212" w:type="dxa"/>
            <w:tcBorders>
              <w:top w:val="nil"/>
              <w:left w:val="nil"/>
              <w:bottom w:val="single" w:sz="8" w:space="0" w:color="auto"/>
              <w:right w:val="single" w:sz="8" w:space="0" w:color="auto"/>
            </w:tcBorders>
            <w:shd w:val="clear" w:color="auto" w:fill="auto"/>
            <w:vAlign w:val="center"/>
          </w:tcPr>
          <w:p w14:paraId="3E9EE7B2"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225.412</w:t>
            </w:r>
          </w:p>
        </w:tc>
        <w:tc>
          <w:tcPr>
            <w:tcW w:w="1170" w:type="dxa"/>
            <w:tcBorders>
              <w:top w:val="nil"/>
              <w:left w:val="single" w:sz="4" w:space="0" w:color="auto"/>
              <w:bottom w:val="single" w:sz="4" w:space="0" w:color="auto"/>
              <w:right w:val="single" w:sz="4" w:space="0" w:color="auto"/>
            </w:tcBorders>
            <w:shd w:val="clear" w:color="auto" w:fill="auto"/>
            <w:vAlign w:val="center"/>
          </w:tcPr>
          <w:p w14:paraId="712B794B" w14:textId="2AF01258" w:rsidR="00291D67" w:rsidRPr="00701F32" w:rsidRDefault="00291D67" w:rsidP="00582EAB">
            <w:pPr>
              <w:jc w:val="right"/>
              <w:rPr>
                <w:rFonts w:ascii="Arial" w:hAnsi="Arial" w:cs="Arial"/>
                <w:bCs/>
                <w:sz w:val="15"/>
                <w:szCs w:val="15"/>
              </w:rPr>
            </w:pPr>
            <w:r w:rsidRPr="00701F32">
              <w:rPr>
                <w:rFonts w:ascii="Arial" w:hAnsi="Arial" w:cs="Arial"/>
                <w:bCs/>
                <w:sz w:val="15"/>
                <w:szCs w:val="15"/>
              </w:rPr>
              <w:t>40.954</w:t>
            </w:r>
          </w:p>
        </w:tc>
        <w:tc>
          <w:tcPr>
            <w:tcW w:w="1294" w:type="dxa"/>
            <w:tcBorders>
              <w:top w:val="nil"/>
              <w:left w:val="nil"/>
              <w:bottom w:val="single" w:sz="8" w:space="0" w:color="auto"/>
              <w:right w:val="single" w:sz="8" w:space="0" w:color="auto"/>
            </w:tcBorders>
            <w:shd w:val="clear" w:color="auto" w:fill="auto"/>
            <w:vAlign w:val="center"/>
          </w:tcPr>
          <w:p w14:paraId="2BD92616"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222.821</w:t>
            </w:r>
          </w:p>
        </w:tc>
        <w:tc>
          <w:tcPr>
            <w:tcW w:w="1655" w:type="dxa"/>
            <w:tcBorders>
              <w:top w:val="nil"/>
              <w:left w:val="single" w:sz="4" w:space="0" w:color="auto"/>
              <w:bottom w:val="single" w:sz="4" w:space="0" w:color="auto"/>
              <w:right w:val="single" w:sz="4" w:space="0" w:color="auto"/>
            </w:tcBorders>
            <w:shd w:val="clear" w:color="auto" w:fill="auto"/>
            <w:vAlign w:val="center"/>
          </w:tcPr>
          <w:p w14:paraId="4496ECF0" w14:textId="56FC881E" w:rsidR="00291D67" w:rsidRPr="00701F32" w:rsidRDefault="00291D67" w:rsidP="00582EAB">
            <w:pPr>
              <w:jc w:val="right"/>
              <w:rPr>
                <w:rFonts w:ascii="Arial" w:hAnsi="Arial" w:cs="Arial"/>
                <w:bCs/>
                <w:sz w:val="15"/>
                <w:szCs w:val="15"/>
              </w:rPr>
            </w:pPr>
            <w:r w:rsidRPr="00701F32">
              <w:rPr>
                <w:rFonts w:ascii="Arial" w:hAnsi="Arial" w:cs="Arial"/>
                <w:bCs/>
                <w:sz w:val="15"/>
                <w:szCs w:val="15"/>
              </w:rPr>
              <w:t>4.580.355</w:t>
            </w:r>
          </w:p>
        </w:tc>
        <w:tc>
          <w:tcPr>
            <w:tcW w:w="1345" w:type="dxa"/>
            <w:tcBorders>
              <w:top w:val="nil"/>
              <w:left w:val="nil"/>
              <w:bottom w:val="single" w:sz="8" w:space="0" w:color="auto"/>
              <w:right w:val="single" w:sz="12" w:space="0" w:color="auto"/>
            </w:tcBorders>
            <w:shd w:val="clear" w:color="auto" w:fill="auto"/>
            <w:vAlign w:val="center"/>
          </w:tcPr>
          <w:p w14:paraId="6D0C8FF2"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23.616.268</w:t>
            </w:r>
          </w:p>
        </w:tc>
      </w:tr>
      <w:tr w:rsidR="00291D67" w:rsidRPr="00701F32" w14:paraId="0CACCCF8" w14:textId="77777777" w:rsidTr="00582EAB">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60C0942E"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Variable</w:t>
            </w:r>
          </w:p>
        </w:tc>
        <w:tc>
          <w:tcPr>
            <w:tcW w:w="1190" w:type="dxa"/>
            <w:tcBorders>
              <w:top w:val="single" w:sz="8" w:space="0" w:color="auto"/>
              <w:left w:val="single" w:sz="4" w:space="0" w:color="auto"/>
              <w:bottom w:val="single" w:sz="4" w:space="0" w:color="auto"/>
              <w:right w:val="single" w:sz="4" w:space="0" w:color="auto"/>
            </w:tcBorders>
            <w:shd w:val="clear" w:color="auto" w:fill="auto"/>
            <w:vAlign w:val="center"/>
          </w:tcPr>
          <w:p w14:paraId="57018C84" w14:textId="30FED20C" w:rsidR="00291D67" w:rsidRPr="00701F32" w:rsidRDefault="00291D67" w:rsidP="00582EAB">
            <w:pPr>
              <w:jc w:val="right"/>
              <w:rPr>
                <w:rFonts w:ascii="Arial" w:hAnsi="Arial" w:cs="Arial"/>
                <w:bCs/>
                <w:sz w:val="15"/>
                <w:szCs w:val="15"/>
              </w:rPr>
            </w:pPr>
            <w:r w:rsidRPr="00701F32">
              <w:rPr>
                <w:rFonts w:ascii="Arial" w:hAnsi="Arial" w:cs="Arial"/>
                <w:bCs/>
                <w:sz w:val="15"/>
                <w:szCs w:val="15"/>
              </w:rPr>
              <w:t>154.252</w:t>
            </w:r>
          </w:p>
        </w:tc>
        <w:tc>
          <w:tcPr>
            <w:tcW w:w="1212" w:type="dxa"/>
            <w:tcBorders>
              <w:top w:val="nil"/>
              <w:left w:val="nil"/>
              <w:bottom w:val="single" w:sz="8" w:space="0" w:color="auto"/>
              <w:right w:val="single" w:sz="8" w:space="0" w:color="auto"/>
            </w:tcBorders>
            <w:shd w:val="clear" w:color="auto" w:fill="auto"/>
            <w:vAlign w:val="center"/>
          </w:tcPr>
          <w:p w14:paraId="71787BB1"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144.493</w:t>
            </w:r>
          </w:p>
        </w:tc>
        <w:tc>
          <w:tcPr>
            <w:tcW w:w="1170" w:type="dxa"/>
            <w:tcBorders>
              <w:top w:val="nil"/>
              <w:left w:val="single" w:sz="4" w:space="0" w:color="auto"/>
              <w:bottom w:val="single" w:sz="4" w:space="0" w:color="auto"/>
              <w:right w:val="single" w:sz="4" w:space="0" w:color="auto"/>
            </w:tcBorders>
            <w:shd w:val="clear" w:color="auto" w:fill="auto"/>
            <w:vAlign w:val="center"/>
          </w:tcPr>
          <w:p w14:paraId="362E2A0A" w14:textId="3ACCE675" w:rsidR="00291D67" w:rsidRPr="00701F32" w:rsidRDefault="00291D67" w:rsidP="00582EAB">
            <w:pPr>
              <w:jc w:val="right"/>
              <w:rPr>
                <w:rFonts w:ascii="Arial" w:hAnsi="Arial" w:cs="Arial"/>
                <w:bCs/>
                <w:sz w:val="15"/>
                <w:szCs w:val="15"/>
              </w:rPr>
            </w:pPr>
            <w:r w:rsidRPr="00701F32">
              <w:rPr>
                <w:rFonts w:ascii="Arial" w:hAnsi="Arial" w:cs="Arial"/>
                <w:bCs/>
                <w:sz w:val="15"/>
                <w:szCs w:val="15"/>
              </w:rPr>
              <w:t>153.627</w:t>
            </w:r>
          </w:p>
        </w:tc>
        <w:tc>
          <w:tcPr>
            <w:tcW w:w="1294" w:type="dxa"/>
            <w:tcBorders>
              <w:top w:val="nil"/>
              <w:left w:val="nil"/>
              <w:bottom w:val="single" w:sz="8" w:space="0" w:color="auto"/>
              <w:right w:val="single" w:sz="8" w:space="0" w:color="auto"/>
            </w:tcBorders>
            <w:shd w:val="clear" w:color="auto" w:fill="auto"/>
            <w:vAlign w:val="center"/>
          </w:tcPr>
          <w:p w14:paraId="240F9B79"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141.002</w:t>
            </w:r>
          </w:p>
        </w:tc>
        <w:tc>
          <w:tcPr>
            <w:tcW w:w="1655" w:type="dxa"/>
            <w:tcBorders>
              <w:top w:val="nil"/>
              <w:left w:val="single" w:sz="4" w:space="0" w:color="auto"/>
              <w:bottom w:val="single" w:sz="4" w:space="0" w:color="auto"/>
              <w:right w:val="single" w:sz="4" w:space="0" w:color="auto"/>
            </w:tcBorders>
            <w:shd w:val="clear" w:color="auto" w:fill="auto"/>
            <w:vAlign w:val="center"/>
          </w:tcPr>
          <w:p w14:paraId="05CC42A2" w14:textId="61B1F703" w:rsidR="00291D67" w:rsidRPr="00701F32" w:rsidRDefault="00291D67" w:rsidP="00582EAB">
            <w:pPr>
              <w:jc w:val="right"/>
              <w:rPr>
                <w:rFonts w:ascii="Arial" w:hAnsi="Arial" w:cs="Arial"/>
                <w:bCs/>
                <w:sz w:val="15"/>
                <w:szCs w:val="15"/>
              </w:rPr>
            </w:pPr>
            <w:r w:rsidRPr="00701F32">
              <w:rPr>
                <w:rFonts w:ascii="Arial" w:hAnsi="Arial" w:cs="Arial"/>
                <w:bCs/>
                <w:sz w:val="15"/>
                <w:szCs w:val="15"/>
              </w:rPr>
              <w:t>7.819.539</w:t>
            </w:r>
          </w:p>
        </w:tc>
        <w:tc>
          <w:tcPr>
            <w:tcW w:w="1345" w:type="dxa"/>
            <w:tcBorders>
              <w:top w:val="nil"/>
              <w:left w:val="nil"/>
              <w:bottom w:val="single" w:sz="8" w:space="0" w:color="auto"/>
              <w:right w:val="single" w:sz="12" w:space="0" w:color="auto"/>
            </w:tcBorders>
            <w:shd w:val="clear" w:color="auto" w:fill="auto"/>
            <w:vAlign w:val="center"/>
          </w:tcPr>
          <w:p w14:paraId="0824F3E2"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8.180.869</w:t>
            </w:r>
          </w:p>
        </w:tc>
      </w:tr>
      <w:tr w:rsidR="00291D67" w:rsidRPr="00701F32" w14:paraId="34B67695" w14:textId="77777777" w:rsidTr="00582EAB">
        <w:trPr>
          <w:trHeight w:val="510"/>
        </w:trPr>
        <w:tc>
          <w:tcPr>
            <w:tcW w:w="1149" w:type="dxa"/>
            <w:tcBorders>
              <w:top w:val="single" w:sz="8" w:space="0" w:color="auto"/>
              <w:left w:val="single" w:sz="12" w:space="0" w:color="auto"/>
              <w:bottom w:val="single" w:sz="4" w:space="0" w:color="auto"/>
              <w:right w:val="single" w:sz="8" w:space="0" w:color="auto"/>
            </w:tcBorders>
            <w:shd w:val="clear" w:color="auto" w:fill="auto"/>
            <w:vAlign w:val="center"/>
            <w:hideMark/>
          </w:tcPr>
          <w:p w14:paraId="5C3FEB7B"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Abierto Pymes</w:t>
            </w:r>
          </w:p>
        </w:tc>
        <w:tc>
          <w:tcPr>
            <w:tcW w:w="1190" w:type="dxa"/>
            <w:tcBorders>
              <w:top w:val="nil"/>
              <w:left w:val="single" w:sz="4" w:space="0" w:color="auto"/>
              <w:bottom w:val="single" w:sz="4" w:space="0" w:color="auto"/>
              <w:right w:val="single" w:sz="4" w:space="0" w:color="auto"/>
            </w:tcBorders>
            <w:shd w:val="clear" w:color="auto" w:fill="auto"/>
            <w:vAlign w:val="center"/>
          </w:tcPr>
          <w:p w14:paraId="1B39C007" w14:textId="035E0622" w:rsidR="00291D67" w:rsidRPr="00701F32" w:rsidRDefault="00291D67" w:rsidP="009C75A9">
            <w:pPr>
              <w:jc w:val="right"/>
              <w:rPr>
                <w:rFonts w:ascii="Arial" w:hAnsi="Arial" w:cs="Arial"/>
                <w:bCs/>
                <w:sz w:val="15"/>
                <w:szCs w:val="15"/>
              </w:rPr>
            </w:pPr>
            <w:r w:rsidRPr="00701F32">
              <w:rPr>
                <w:rFonts w:ascii="Arial" w:hAnsi="Arial" w:cs="Arial"/>
                <w:bCs/>
                <w:sz w:val="15"/>
                <w:szCs w:val="15"/>
              </w:rPr>
              <w:t>411.101</w:t>
            </w:r>
          </w:p>
        </w:tc>
        <w:tc>
          <w:tcPr>
            <w:tcW w:w="1212" w:type="dxa"/>
            <w:tcBorders>
              <w:top w:val="single" w:sz="8" w:space="0" w:color="auto"/>
              <w:left w:val="nil"/>
              <w:bottom w:val="single" w:sz="4" w:space="0" w:color="auto"/>
              <w:right w:val="single" w:sz="8" w:space="0" w:color="auto"/>
            </w:tcBorders>
            <w:shd w:val="clear" w:color="auto" w:fill="auto"/>
            <w:vAlign w:val="center"/>
          </w:tcPr>
          <w:p w14:paraId="11888711"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367.845</w:t>
            </w:r>
          </w:p>
        </w:tc>
        <w:tc>
          <w:tcPr>
            <w:tcW w:w="1170" w:type="dxa"/>
            <w:tcBorders>
              <w:top w:val="nil"/>
              <w:left w:val="single" w:sz="4" w:space="0" w:color="auto"/>
              <w:bottom w:val="single" w:sz="4" w:space="0" w:color="auto"/>
              <w:right w:val="single" w:sz="4" w:space="0" w:color="auto"/>
            </w:tcBorders>
            <w:shd w:val="clear" w:color="auto" w:fill="auto"/>
            <w:vAlign w:val="center"/>
          </w:tcPr>
          <w:p w14:paraId="3DB24555" w14:textId="491E0A3D" w:rsidR="00291D67" w:rsidRPr="00701F32" w:rsidRDefault="00291D67" w:rsidP="00582EAB">
            <w:pPr>
              <w:jc w:val="right"/>
              <w:rPr>
                <w:rFonts w:ascii="Arial" w:hAnsi="Arial" w:cs="Arial"/>
                <w:bCs/>
                <w:sz w:val="15"/>
                <w:szCs w:val="15"/>
              </w:rPr>
            </w:pPr>
            <w:r w:rsidRPr="00701F32">
              <w:rPr>
                <w:rFonts w:ascii="Arial" w:hAnsi="Arial" w:cs="Arial"/>
                <w:bCs/>
                <w:sz w:val="15"/>
                <w:szCs w:val="15"/>
              </w:rPr>
              <w:t>395.611</w:t>
            </w:r>
          </w:p>
        </w:tc>
        <w:tc>
          <w:tcPr>
            <w:tcW w:w="1294" w:type="dxa"/>
            <w:tcBorders>
              <w:top w:val="single" w:sz="8" w:space="0" w:color="auto"/>
              <w:left w:val="nil"/>
              <w:bottom w:val="single" w:sz="4" w:space="0" w:color="auto"/>
              <w:right w:val="single" w:sz="8" w:space="0" w:color="auto"/>
            </w:tcBorders>
            <w:shd w:val="clear" w:color="auto" w:fill="auto"/>
            <w:vAlign w:val="center"/>
          </w:tcPr>
          <w:p w14:paraId="7B1AA385"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367.120</w:t>
            </w:r>
          </w:p>
        </w:tc>
        <w:tc>
          <w:tcPr>
            <w:tcW w:w="1655" w:type="dxa"/>
            <w:tcBorders>
              <w:top w:val="nil"/>
              <w:left w:val="single" w:sz="4" w:space="0" w:color="auto"/>
              <w:bottom w:val="single" w:sz="4" w:space="0" w:color="auto"/>
              <w:right w:val="single" w:sz="4" w:space="0" w:color="auto"/>
            </w:tcBorders>
            <w:shd w:val="clear" w:color="auto" w:fill="auto"/>
            <w:vAlign w:val="center"/>
          </w:tcPr>
          <w:p w14:paraId="480016C2" w14:textId="207B8F5E" w:rsidR="00291D67" w:rsidRPr="00701F32" w:rsidRDefault="00291D67" w:rsidP="009C75A9">
            <w:pPr>
              <w:jc w:val="right"/>
              <w:rPr>
                <w:rFonts w:ascii="Arial" w:hAnsi="Arial" w:cs="Arial"/>
                <w:bCs/>
                <w:sz w:val="15"/>
                <w:szCs w:val="15"/>
              </w:rPr>
            </w:pPr>
            <w:r w:rsidRPr="00701F32">
              <w:rPr>
                <w:rFonts w:ascii="Arial" w:hAnsi="Arial" w:cs="Arial"/>
                <w:bCs/>
                <w:sz w:val="15"/>
                <w:szCs w:val="15"/>
              </w:rPr>
              <w:t>103.706.972</w:t>
            </w:r>
          </w:p>
        </w:tc>
        <w:tc>
          <w:tcPr>
            <w:tcW w:w="1345" w:type="dxa"/>
            <w:tcBorders>
              <w:top w:val="single" w:sz="8" w:space="0" w:color="auto"/>
              <w:left w:val="nil"/>
              <w:bottom w:val="single" w:sz="4" w:space="0" w:color="auto"/>
              <w:right w:val="single" w:sz="12" w:space="0" w:color="auto"/>
            </w:tcBorders>
            <w:shd w:val="clear" w:color="auto" w:fill="auto"/>
            <w:vAlign w:val="center"/>
          </w:tcPr>
          <w:p w14:paraId="4675EA9D"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114.190.777</w:t>
            </w:r>
          </w:p>
        </w:tc>
      </w:tr>
      <w:tr w:rsidR="00291D67" w:rsidRPr="00701F32" w14:paraId="7F7C0820"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56EFFB08"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Commodities</w:t>
            </w:r>
          </w:p>
        </w:tc>
        <w:tc>
          <w:tcPr>
            <w:tcW w:w="1190" w:type="dxa"/>
            <w:tcBorders>
              <w:top w:val="nil"/>
              <w:left w:val="single" w:sz="4" w:space="0" w:color="auto"/>
              <w:bottom w:val="single" w:sz="4" w:space="0" w:color="auto"/>
              <w:right w:val="single" w:sz="4" w:space="0" w:color="auto"/>
            </w:tcBorders>
            <w:shd w:val="clear" w:color="auto" w:fill="auto"/>
            <w:vAlign w:val="center"/>
          </w:tcPr>
          <w:p w14:paraId="4F7E57FE" w14:textId="3F37CE62" w:rsidR="00291D67" w:rsidRPr="00701F32" w:rsidRDefault="00291D67" w:rsidP="009C75A9">
            <w:pPr>
              <w:jc w:val="right"/>
              <w:rPr>
                <w:rFonts w:ascii="Arial" w:hAnsi="Arial" w:cs="Arial"/>
                <w:bCs/>
                <w:sz w:val="15"/>
                <w:szCs w:val="15"/>
              </w:rPr>
            </w:pPr>
            <w:r w:rsidRPr="00701F32">
              <w:rPr>
                <w:rFonts w:ascii="Arial" w:hAnsi="Arial" w:cs="Arial"/>
                <w:bCs/>
                <w:sz w:val="15"/>
                <w:szCs w:val="15"/>
              </w:rPr>
              <w:t>9.483</w:t>
            </w:r>
          </w:p>
        </w:tc>
        <w:tc>
          <w:tcPr>
            <w:tcW w:w="1212" w:type="dxa"/>
            <w:tcBorders>
              <w:top w:val="single" w:sz="4" w:space="0" w:color="auto"/>
              <w:left w:val="nil"/>
              <w:bottom w:val="single" w:sz="4" w:space="0" w:color="auto"/>
              <w:right w:val="single" w:sz="8" w:space="0" w:color="auto"/>
            </w:tcBorders>
            <w:shd w:val="clear" w:color="auto" w:fill="auto"/>
            <w:vAlign w:val="center"/>
          </w:tcPr>
          <w:p w14:paraId="3D028F4E" w14:textId="60656729" w:rsidR="00291D67" w:rsidRPr="00701F32" w:rsidRDefault="006952E3" w:rsidP="00582EAB">
            <w:pPr>
              <w:jc w:val="right"/>
              <w:rPr>
                <w:rFonts w:ascii="Arial" w:hAnsi="Arial" w:cs="Arial"/>
                <w:bCs/>
                <w:sz w:val="15"/>
                <w:szCs w:val="15"/>
              </w:rPr>
            </w:pPr>
            <w:r w:rsidRPr="00701F32">
              <w:rPr>
                <w:rFonts w:ascii="Arial" w:hAnsi="Arial" w:cs="Arial"/>
                <w:bCs/>
                <w:sz w:val="15"/>
                <w:szCs w:val="15"/>
              </w:rPr>
              <w:t>6.891</w:t>
            </w:r>
          </w:p>
        </w:tc>
        <w:tc>
          <w:tcPr>
            <w:tcW w:w="1170" w:type="dxa"/>
            <w:tcBorders>
              <w:top w:val="nil"/>
              <w:left w:val="single" w:sz="4" w:space="0" w:color="auto"/>
              <w:bottom w:val="single" w:sz="4" w:space="0" w:color="auto"/>
              <w:right w:val="single" w:sz="4" w:space="0" w:color="auto"/>
            </w:tcBorders>
            <w:shd w:val="clear" w:color="auto" w:fill="auto"/>
            <w:vAlign w:val="center"/>
          </w:tcPr>
          <w:p w14:paraId="2640699F" w14:textId="5AF55925" w:rsidR="00291D67" w:rsidRPr="00701F32" w:rsidRDefault="00291D67" w:rsidP="00582EAB">
            <w:pPr>
              <w:jc w:val="right"/>
              <w:rPr>
                <w:rFonts w:ascii="Arial" w:hAnsi="Arial" w:cs="Arial"/>
                <w:bCs/>
                <w:sz w:val="15"/>
                <w:szCs w:val="15"/>
              </w:rPr>
            </w:pPr>
            <w:r w:rsidRPr="00701F32">
              <w:rPr>
                <w:rFonts w:ascii="Arial" w:hAnsi="Arial" w:cs="Arial"/>
                <w:bCs/>
                <w:sz w:val="15"/>
                <w:szCs w:val="15"/>
              </w:rPr>
              <w:t>5.441</w:t>
            </w:r>
          </w:p>
        </w:tc>
        <w:tc>
          <w:tcPr>
            <w:tcW w:w="1294" w:type="dxa"/>
            <w:tcBorders>
              <w:top w:val="single" w:sz="4" w:space="0" w:color="auto"/>
              <w:left w:val="nil"/>
              <w:bottom w:val="single" w:sz="4" w:space="0" w:color="auto"/>
              <w:right w:val="single" w:sz="8" w:space="0" w:color="auto"/>
            </w:tcBorders>
            <w:shd w:val="clear" w:color="auto" w:fill="auto"/>
            <w:vAlign w:val="center"/>
          </w:tcPr>
          <w:p w14:paraId="1020BAC7" w14:textId="2D3367DD" w:rsidR="00291D67" w:rsidRPr="00701F32" w:rsidRDefault="006952E3" w:rsidP="00582EAB">
            <w:pPr>
              <w:jc w:val="right"/>
              <w:rPr>
                <w:rFonts w:ascii="Arial" w:hAnsi="Arial" w:cs="Arial"/>
                <w:bCs/>
                <w:sz w:val="15"/>
                <w:szCs w:val="15"/>
              </w:rPr>
            </w:pPr>
            <w:r w:rsidRPr="00701F32">
              <w:rPr>
                <w:rFonts w:ascii="Arial" w:hAnsi="Arial" w:cs="Arial"/>
                <w:bCs/>
                <w:sz w:val="15"/>
                <w:szCs w:val="15"/>
              </w:rPr>
              <w:t>6.734</w:t>
            </w:r>
          </w:p>
        </w:tc>
        <w:tc>
          <w:tcPr>
            <w:tcW w:w="1655" w:type="dxa"/>
            <w:tcBorders>
              <w:top w:val="nil"/>
              <w:left w:val="single" w:sz="4" w:space="0" w:color="auto"/>
              <w:bottom w:val="single" w:sz="4" w:space="0" w:color="auto"/>
              <w:right w:val="single" w:sz="4" w:space="0" w:color="auto"/>
            </w:tcBorders>
            <w:shd w:val="clear" w:color="auto" w:fill="auto"/>
            <w:vAlign w:val="center"/>
          </w:tcPr>
          <w:p w14:paraId="52AA18BE" w14:textId="1169CE97" w:rsidR="00291D67" w:rsidRPr="00701F32" w:rsidRDefault="00291D67" w:rsidP="009C75A9">
            <w:pPr>
              <w:jc w:val="right"/>
              <w:rPr>
                <w:rFonts w:ascii="Arial" w:hAnsi="Arial" w:cs="Arial"/>
                <w:bCs/>
                <w:sz w:val="15"/>
                <w:szCs w:val="15"/>
              </w:rPr>
            </w:pPr>
            <w:r w:rsidRPr="00701F32">
              <w:rPr>
                <w:rFonts w:ascii="Arial" w:hAnsi="Arial" w:cs="Arial"/>
                <w:bCs/>
                <w:sz w:val="15"/>
                <w:szCs w:val="15"/>
              </w:rPr>
              <w:t>2.024.177</w:t>
            </w:r>
          </w:p>
        </w:tc>
        <w:tc>
          <w:tcPr>
            <w:tcW w:w="1345" w:type="dxa"/>
            <w:tcBorders>
              <w:top w:val="single" w:sz="4" w:space="0" w:color="auto"/>
              <w:left w:val="nil"/>
              <w:bottom w:val="single" w:sz="4" w:space="0" w:color="auto"/>
              <w:right w:val="single" w:sz="12" w:space="0" w:color="auto"/>
            </w:tcBorders>
            <w:shd w:val="clear" w:color="auto" w:fill="auto"/>
            <w:vAlign w:val="center"/>
          </w:tcPr>
          <w:p w14:paraId="6284108E" w14:textId="28244634" w:rsidR="00291D67" w:rsidRPr="00701F32" w:rsidRDefault="006952E3" w:rsidP="00582EAB">
            <w:pPr>
              <w:jc w:val="right"/>
              <w:rPr>
                <w:rFonts w:ascii="Arial" w:hAnsi="Arial" w:cs="Arial"/>
                <w:bCs/>
                <w:sz w:val="15"/>
                <w:szCs w:val="15"/>
              </w:rPr>
            </w:pPr>
            <w:r w:rsidRPr="00701F32">
              <w:rPr>
                <w:rFonts w:ascii="Arial" w:hAnsi="Arial" w:cs="Arial"/>
                <w:bCs/>
                <w:sz w:val="15"/>
                <w:szCs w:val="15"/>
              </w:rPr>
              <w:t>2.217.205</w:t>
            </w:r>
          </w:p>
        </w:tc>
      </w:tr>
      <w:tr w:rsidR="00291D67" w:rsidRPr="00701F32" w14:paraId="1BE25E0F"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E3A4046"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Capital</w:t>
            </w:r>
          </w:p>
        </w:tc>
        <w:tc>
          <w:tcPr>
            <w:tcW w:w="1190" w:type="dxa"/>
            <w:tcBorders>
              <w:top w:val="nil"/>
              <w:left w:val="single" w:sz="4" w:space="0" w:color="auto"/>
              <w:bottom w:val="single" w:sz="8" w:space="0" w:color="auto"/>
              <w:right w:val="single" w:sz="4" w:space="0" w:color="auto"/>
            </w:tcBorders>
            <w:shd w:val="clear" w:color="auto" w:fill="auto"/>
            <w:vAlign w:val="center"/>
          </w:tcPr>
          <w:p w14:paraId="1BC0B4F1" w14:textId="12DC587B" w:rsidR="00291D67" w:rsidRPr="00701F32" w:rsidRDefault="00291D67" w:rsidP="009C75A9">
            <w:pPr>
              <w:jc w:val="right"/>
              <w:rPr>
                <w:rFonts w:ascii="Arial" w:hAnsi="Arial" w:cs="Arial"/>
                <w:bCs/>
                <w:sz w:val="15"/>
                <w:szCs w:val="15"/>
              </w:rPr>
            </w:pPr>
            <w:r w:rsidRPr="00701F32">
              <w:rPr>
                <w:rFonts w:ascii="Arial" w:hAnsi="Arial" w:cs="Arial"/>
                <w:bCs/>
                <w:sz w:val="15"/>
                <w:szCs w:val="15"/>
              </w:rPr>
              <w:t>363.293</w:t>
            </w:r>
          </w:p>
        </w:tc>
        <w:tc>
          <w:tcPr>
            <w:tcW w:w="1212" w:type="dxa"/>
            <w:tcBorders>
              <w:top w:val="single" w:sz="4" w:space="0" w:color="auto"/>
              <w:left w:val="nil"/>
              <w:bottom w:val="single" w:sz="4" w:space="0" w:color="auto"/>
              <w:right w:val="single" w:sz="8" w:space="0" w:color="auto"/>
            </w:tcBorders>
            <w:shd w:val="clear" w:color="auto" w:fill="auto"/>
            <w:vAlign w:val="center"/>
          </w:tcPr>
          <w:p w14:paraId="4AEA509A"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310.768</w:t>
            </w:r>
          </w:p>
        </w:tc>
        <w:tc>
          <w:tcPr>
            <w:tcW w:w="1170" w:type="dxa"/>
            <w:tcBorders>
              <w:top w:val="nil"/>
              <w:left w:val="single" w:sz="4" w:space="0" w:color="auto"/>
              <w:bottom w:val="single" w:sz="8" w:space="0" w:color="auto"/>
              <w:right w:val="single" w:sz="4" w:space="0" w:color="auto"/>
            </w:tcBorders>
            <w:shd w:val="clear" w:color="auto" w:fill="auto"/>
            <w:vAlign w:val="center"/>
          </w:tcPr>
          <w:p w14:paraId="1A22EFA0" w14:textId="2A3B1D4F" w:rsidR="00291D67" w:rsidRPr="00701F32" w:rsidRDefault="00291D67" w:rsidP="00582EAB">
            <w:pPr>
              <w:jc w:val="right"/>
              <w:rPr>
                <w:rFonts w:ascii="Arial" w:hAnsi="Arial" w:cs="Arial"/>
                <w:bCs/>
                <w:sz w:val="15"/>
                <w:szCs w:val="15"/>
              </w:rPr>
            </w:pPr>
            <w:r w:rsidRPr="00701F32">
              <w:rPr>
                <w:rFonts w:ascii="Arial" w:hAnsi="Arial" w:cs="Arial"/>
                <w:bCs/>
                <w:sz w:val="15"/>
                <w:szCs w:val="15"/>
              </w:rPr>
              <w:t>354.367</w:t>
            </w:r>
          </w:p>
        </w:tc>
        <w:tc>
          <w:tcPr>
            <w:tcW w:w="1294" w:type="dxa"/>
            <w:tcBorders>
              <w:top w:val="single" w:sz="4" w:space="0" w:color="auto"/>
              <w:left w:val="nil"/>
              <w:bottom w:val="single" w:sz="4" w:space="0" w:color="auto"/>
              <w:right w:val="single" w:sz="8" w:space="0" w:color="auto"/>
            </w:tcBorders>
            <w:shd w:val="clear" w:color="auto" w:fill="auto"/>
            <w:vAlign w:val="center"/>
          </w:tcPr>
          <w:p w14:paraId="494F9222"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308.039</w:t>
            </w:r>
          </w:p>
        </w:tc>
        <w:tc>
          <w:tcPr>
            <w:tcW w:w="1655" w:type="dxa"/>
            <w:tcBorders>
              <w:top w:val="nil"/>
              <w:left w:val="single" w:sz="4" w:space="0" w:color="auto"/>
              <w:bottom w:val="single" w:sz="8" w:space="0" w:color="auto"/>
              <w:right w:val="single" w:sz="4" w:space="0" w:color="auto"/>
            </w:tcBorders>
            <w:shd w:val="clear" w:color="auto" w:fill="auto"/>
            <w:vAlign w:val="center"/>
          </w:tcPr>
          <w:p w14:paraId="0CA6075C" w14:textId="38E02323" w:rsidR="00291D67" w:rsidRPr="00701F32" w:rsidRDefault="00291D67" w:rsidP="00582EAB">
            <w:pPr>
              <w:jc w:val="right"/>
              <w:rPr>
                <w:rFonts w:ascii="Arial" w:hAnsi="Arial" w:cs="Arial"/>
                <w:bCs/>
                <w:sz w:val="15"/>
                <w:szCs w:val="15"/>
              </w:rPr>
            </w:pPr>
            <w:r w:rsidRPr="00701F32">
              <w:rPr>
                <w:rFonts w:ascii="Arial" w:hAnsi="Arial" w:cs="Arial"/>
                <w:bCs/>
                <w:sz w:val="15"/>
                <w:szCs w:val="15"/>
              </w:rPr>
              <w:t>148.130.968</w:t>
            </w:r>
          </w:p>
        </w:tc>
        <w:tc>
          <w:tcPr>
            <w:tcW w:w="1345" w:type="dxa"/>
            <w:tcBorders>
              <w:top w:val="single" w:sz="4" w:space="0" w:color="auto"/>
              <w:left w:val="nil"/>
              <w:bottom w:val="single" w:sz="4" w:space="0" w:color="auto"/>
              <w:right w:val="single" w:sz="12" w:space="0" w:color="auto"/>
            </w:tcBorders>
            <w:shd w:val="clear" w:color="auto" w:fill="auto"/>
            <w:vAlign w:val="center"/>
          </w:tcPr>
          <w:p w14:paraId="58750234"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129.624.410</w:t>
            </w:r>
          </w:p>
        </w:tc>
      </w:tr>
      <w:tr w:rsidR="00291D67" w:rsidRPr="00701F32" w14:paraId="24F41626"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63F1EC5"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Inversión</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E8C43AE" w14:textId="09B0BB7A" w:rsidR="00291D67" w:rsidRPr="00701F32" w:rsidRDefault="00291D67" w:rsidP="00582EAB">
            <w:pPr>
              <w:jc w:val="right"/>
              <w:rPr>
                <w:rFonts w:ascii="Arial" w:hAnsi="Arial" w:cs="Arial"/>
                <w:bCs/>
                <w:sz w:val="15"/>
                <w:szCs w:val="15"/>
              </w:rPr>
            </w:pPr>
            <w:r w:rsidRPr="00701F32">
              <w:rPr>
                <w:rFonts w:ascii="Arial" w:hAnsi="Arial" w:cs="Arial"/>
                <w:bCs/>
                <w:sz w:val="15"/>
                <w:szCs w:val="15"/>
              </w:rPr>
              <w:t>250.790</w:t>
            </w:r>
          </w:p>
        </w:tc>
        <w:tc>
          <w:tcPr>
            <w:tcW w:w="1212" w:type="dxa"/>
            <w:tcBorders>
              <w:top w:val="single" w:sz="4" w:space="0" w:color="auto"/>
              <w:left w:val="nil"/>
              <w:bottom w:val="single" w:sz="4" w:space="0" w:color="auto"/>
              <w:right w:val="single" w:sz="8" w:space="0" w:color="auto"/>
            </w:tcBorders>
            <w:shd w:val="clear" w:color="auto" w:fill="auto"/>
            <w:vAlign w:val="center"/>
          </w:tcPr>
          <w:p w14:paraId="760D5B6D"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603.393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79500B" w14:textId="5C14EEEA" w:rsidR="00291D67" w:rsidRPr="00701F32" w:rsidRDefault="00291D67" w:rsidP="00582EAB">
            <w:pPr>
              <w:jc w:val="right"/>
              <w:rPr>
                <w:rFonts w:ascii="Arial" w:hAnsi="Arial" w:cs="Arial"/>
                <w:bCs/>
                <w:sz w:val="15"/>
                <w:szCs w:val="15"/>
              </w:rPr>
            </w:pPr>
            <w:r w:rsidRPr="00701F32">
              <w:rPr>
                <w:rFonts w:ascii="Arial" w:hAnsi="Arial" w:cs="Arial"/>
                <w:bCs/>
                <w:sz w:val="15"/>
                <w:szCs w:val="15"/>
              </w:rPr>
              <w:t>195.021</w:t>
            </w:r>
          </w:p>
        </w:tc>
        <w:tc>
          <w:tcPr>
            <w:tcW w:w="1294" w:type="dxa"/>
            <w:tcBorders>
              <w:top w:val="single" w:sz="4" w:space="0" w:color="auto"/>
              <w:left w:val="nil"/>
              <w:bottom w:val="single" w:sz="4" w:space="0" w:color="auto"/>
              <w:right w:val="single" w:sz="8" w:space="0" w:color="auto"/>
            </w:tcBorders>
            <w:shd w:val="clear" w:color="auto" w:fill="auto"/>
            <w:vAlign w:val="center"/>
          </w:tcPr>
          <w:p w14:paraId="3E00A21E"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602.213</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95836EF" w14:textId="2A1E7EAC" w:rsidR="00291D67" w:rsidRPr="00701F32" w:rsidRDefault="00291D67" w:rsidP="009C75A9">
            <w:pPr>
              <w:jc w:val="right"/>
              <w:rPr>
                <w:rFonts w:ascii="Arial" w:hAnsi="Arial" w:cs="Arial"/>
                <w:bCs/>
                <w:sz w:val="15"/>
                <w:szCs w:val="15"/>
              </w:rPr>
            </w:pPr>
            <w:r w:rsidRPr="00701F32">
              <w:rPr>
                <w:rFonts w:ascii="Arial" w:hAnsi="Arial" w:cs="Arial"/>
                <w:bCs/>
                <w:sz w:val="15"/>
                <w:szCs w:val="15"/>
              </w:rPr>
              <w:t>1.096.280.579</w:t>
            </w:r>
          </w:p>
        </w:tc>
        <w:tc>
          <w:tcPr>
            <w:tcW w:w="1345" w:type="dxa"/>
            <w:tcBorders>
              <w:top w:val="single" w:sz="4" w:space="0" w:color="auto"/>
              <w:left w:val="nil"/>
              <w:bottom w:val="single" w:sz="4" w:space="0" w:color="auto"/>
              <w:right w:val="single" w:sz="12" w:space="0" w:color="auto"/>
            </w:tcBorders>
            <w:shd w:val="clear" w:color="auto" w:fill="auto"/>
            <w:vAlign w:val="center"/>
          </w:tcPr>
          <w:p w14:paraId="08404718"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3.590.757.014</w:t>
            </w:r>
          </w:p>
        </w:tc>
      </w:tr>
      <w:tr w:rsidR="00291D67" w:rsidRPr="00701F32" w14:paraId="686CF9B3"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3026CA6"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Balanceado</w:t>
            </w:r>
          </w:p>
        </w:tc>
        <w:tc>
          <w:tcPr>
            <w:tcW w:w="1190" w:type="dxa"/>
            <w:tcBorders>
              <w:top w:val="nil"/>
              <w:left w:val="single" w:sz="4" w:space="0" w:color="auto"/>
              <w:bottom w:val="single" w:sz="4" w:space="0" w:color="auto"/>
              <w:right w:val="single" w:sz="4" w:space="0" w:color="auto"/>
            </w:tcBorders>
            <w:shd w:val="clear" w:color="auto" w:fill="auto"/>
            <w:vAlign w:val="center"/>
          </w:tcPr>
          <w:p w14:paraId="4F0EE2A9" w14:textId="6EEE4308" w:rsidR="00291D67" w:rsidRPr="00701F32" w:rsidRDefault="00291D67" w:rsidP="00582EAB">
            <w:pPr>
              <w:jc w:val="right"/>
              <w:rPr>
                <w:rFonts w:ascii="Arial" w:hAnsi="Arial" w:cs="Arial"/>
                <w:bCs/>
                <w:sz w:val="15"/>
                <w:szCs w:val="15"/>
              </w:rPr>
            </w:pPr>
            <w:r w:rsidRPr="00701F32">
              <w:rPr>
                <w:rFonts w:ascii="Arial" w:hAnsi="Arial" w:cs="Arial"/>
                <w:bCs/>
                <w:sz w:val="15"/>
                <w:szCs w:val="15"/>
              </w:rPr>
              <w:t>569.220</w:t>
            </w:r>
          </w:p>
        </w:tc>
        <w:tc>
          <w:tcPr>
            <w:tcW w:w="1212" w:type="dxa"/>
            <w:tcBorders>
              <w:top w:val="single" w:sz="4" w:space="0" w:color="auto"/>
              <w:left w:val="nil"/>
              <w:bottom w:val="single" w:sz="4" w:space="0" w:color="auto"/>
              <w:right w:val="single" w:sz="8" w:space="0" w:color="auto"/>
            </w:tcBorders>
            <w:shd w:val="clear" w:color="auto" w:fill="auto"/>
            <w:vAlign w:val="center"/>
          </w:tcPr>
          <w:p w14:paraId="091A5CBE"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319.282</w:t>
            </w:r>
          </w:p>
        </w:tc>
        <w:tc>
          <w:tcPr>
            <w:tcW w:w="1170" w:type="dxa"/>
            <w:tcBorders>
              <w:top w:val="nil"/>
              <w:left w:val="single" w:sz="4" w:space="0" w:color="auto"/>
              <w:bottom w:val="single" w:sz="4" w:space="0" w:color="auto"/>
              <w:right w:val="single" w:sz="4" w:space="0" w:color="auto"/>
            </w:tcBorders>
            <w:shd w:val="clear" w:color="auto" w:fill="auto"/>
            <w:vAlign w:val="center"/>
          </w:tcPr>
          <w:p w14:paraId="5364955A" w14:textId="458E6CBD" w:rsidR="00291D67" w:rsidRPr="00701F32" w:rsidRDefault="00291D67" w:rsidP="00582EAB">
            <w:pPr>
              <w:jc w:val="right"/>
              <w:rPr>
                <w:rFonts w:ascii="Arial" w:hAnsi="Arial" w:cs="Arial"/>
                <w:bCs/>
                <w:sz w:val="15"/>
                <w:szCs w:val="15"/>
              </w:rPr>
            </w:pPr>
            <w:r w:rsidRPr="00701F32">
              <w:rPr>
                <w:rFonts w:ascii="Arial" w:hAnsi="Arial" w:cs="Arial"/>
                <w:bCs/>
                <w:sz w:val="15"/>
                <w:szCs w:val="15"/>
              </w:rPr>
              <w:t>568.820</w:t>
            </w:r>
          </w:p>
        </w:tc>
        <w:tc>
          <w:tcPr>
            <w:tcW w:w="1294" w:type="dxa"/>
            <w:tcBorders>
              <w:top w:val="single" w:sz="4" w:space="0" w:color="auto"/>
              <w:left w:val="nil"/>
              <w:bottom w:val="single" w:sz="4" w:space="0" w:color="auto"/>
              <w:right w:val="single" w:sz="8" w:space="0" w:color="auto"/>
            </w:tcBorders>
            <w:shd w:val="clear" w:color="auto" w:fill="auto"/>
            <w:vAlign w:val="center"/>
          </w:tcPr>
          <w:p w14:paraId="54C27D9A"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318.627</w:t>
            </w:r>
          </w:p>
        </w:tc>
        <w:tc>
          <w:tcPr>
            <w:tcW w:w="1655" w:type="dxa"/>
            <w:tcBorders>
              <w:top w:val="nil"/>
              <w:left w:val="single" w:sz="4" w:space="0" w:color="auto"/>
              <w:bottom w:val="single" w:sz="4" w:space="0" w:color="auto"/>
              <w:right w:val="single" w:sz="4" w:space="0" w:color="auto"/>
            </w:tcBorders>
            <w:shd w:val="clear" w:color="auto" w:fill="auto"/>
            <w:vAlign w:val="center"/>
          </w:tcPr>
          <w:p w14:paraId="445969F7" w14:textId="03EE589E" w:rsidR="00291D67" w:rsidRPr="00701F32" w:rsidRDefault="00291D67" w:rsidP="00582EAB">
            <w:pPr>
              <w:jc w:val="right"/>
              <w:rPr>
                <w:rFonts w:ascii="Arial" w:hAnsi="Arial" w:cs="Arial"/>
                <w:bCs/>
                <w:sz w:val="15"/>
                <w:szCs w:val="15"/>
              </w:rPr>
            </w:pPr>
            <w:r w:rsidRPr="00701F32">
              <w:rPr>
                <w:rFonts w:ascii="Arial" w:hAnsi="Arial" w:cs="Arial"/>
                <w:bCs/>
                <w:sz w:val="15"/>
                <w:szCs w:val="15"/>
              </w:rPr>
              <w:t>359.887.367</w:t>
            </w:r>
          </w:p>
        </w:tc>
        <w:tc>
          <w:tcPr>
            <w:tcW w:w="1345" w:type="dxa"/>
            <w:tcBorders>
              <w:top w:val="single" w:sz="4" w:space="0" w:color="auto"/>
              <w:left w:val="nil"/>
              <w:bottom w:val="single" w:sz="4" w:space="0" w:color="auto"/>
              <w:right w:val="single" w:sz="12" w:space="0" w:color="auto"/>
            </w:tcBorders>
            <w:shd w:val="clear" w:color="auto" w:fill="auto"/>
            <w:vAlign w:val="center"/>
          </w:tcPr>
          <w:p w14:paraId="35430D96"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238.318.110</w:t>
            </w:r>
          </w:p>
        </w:tc>
      </w:tr>
      <w:tr w:rsidR="00291D67" w:rsidRPr="00701F32" w14:paraId="1C59AFDA"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37B4296F"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Mixta</w:t>
            </w:r>
          </w:p>
        </w:tc>
        <w:tc>
          <w:tcPr>
            <w:tcW w:w="1190" w:type="dxa"/>
            <w:tcBorders>
              <w:top w:val="nil"/>
              <w:left w:val="single" w:sz="4" w:space="0" w:color="auto"/>
              <w:bottom w:val="single" w:sz="4" w:space="0" w:color="auto"/>
              <w:right w:val="single" w:sz="4" w:space="0" w:color="auto"/>
            </w:tcBorders>
            <w:shd w:val="clear" w:color="auto" w:fill="auto"/>
            <w:vAlign w:val="center"/>
          </w:tcPr>
          <w:p w14:paraId="15A66643" w14:textId="69CA6396" w:rsidR="00291D67" w:rsidRPr="00701F32" w:rsidRDefault="00291D67" w:rsidP="00582EAB">
            <w:pPr>
              <w:jc w:val="right"/>
              <w:rPr>
                <w:rFonts w:ascii="Arial" w:hAnsi="Arial" w:cs="Arial"/>
                <w:bCs/>
                <w:sz w:val="15"/>
                <w:szCs w:val="15"/>
              </w:rPr>
            </w:pPr>
            <w:r w:rsidRPr="00701F32">
              <w:rPr>
                <w:rFonts w:ascii="Arial" w:hAnsi="Arial" w:cs="Arial"/>
                <w:bCs/>
                <w:sz w:val="15"/>
                <w:szCs w:val="15"/>
              </w:rPr>
              <w:t>124.608</w:t>
            </w:r>
          </w:p>
        </w:tc>
        <w:tc>
          <w:tcPr>
            <w:tcW w:w="1212" w:type="dxa"/>
            <w:tcBorders>
              <w:top w:val="single" w:sz="4" w:space="0" w:color="auto"/>
              <w:left w:val="nil"/>
              <w:bottom w:val="single" w:sz="4" w:space="0" w:color="auto"/>
              <w:right w:val="single" w:sz="8" w:space="0" w:color="auto"/>
            </w:tcBorders>
            <w:shd w:val="clear" w:color="auto" w:fill="auto"/>
            <w:vAlign w:val="center"/>
          </w:tcPr>
          <w:p w14:paraId="2BADD123" w14:textId="77777777" w:rsidR="00291D67" w:rsidRPr="00701F32" w:rsidRDefault="00291D67" w:rsidP="00582EAB">
            <w:pPr>
              <w:jc w:val="right"/>
              <w:rPr>
                <w:rFonts w:ascii="Arial" w:hAnsi="Arial" w:cs="Arial"/>
                <w:bCs/>
                <w:sz w:val="15"/>
                <w:szCs w:val="15"/>
              </w:rPr>
            </w:pPr>
            <w:r w:rsidRPr="00701F32">
              <w:rPr>
                <w:rFonts w:ascii="Arial" w:hAnsi="Arial" w:cs="Arial"/>
                <w:sz w:val="15"/>
                <w:szCs w:val="15"/>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3CF96A" w14:textId="145B688E" w:rsidR="00291D67" w:rsidRPr="00701F32" w:rsidRDefault="00291D67" w:rsidP="00582EAB">
            <w:pPr>
              <w:jc w:val="right"/>
              <w:rPr>
                <w:rFonts w:ascii="Arial" w:hAnsi="Arial" w:cs="Arial"/>
                <w:bCs/>
                <w:sz w:val="15"/>
                <w:szCs w:val="15"/>
              </w:rPr>
            </w:pPr>
            <w:r w:rsidRPr="00701F32">
              <w:rPr>
                <w:rFonts w:ascii="Arial" w:hAnsi="Arial" w:cs="Arial"/>
                <w:bCs/>
                <w:sz w:val="15"/>
                <w:szCs w:val="15"/>
              </w:rPr>
              <w:t>124.556</w:t>
            </w:r>
          </w:p>
        </w:tc>
        <w:tc>
          <w:tcPr>
            <w:tcW w:w="1294" w:type="dxa"/>
            <w:tcBorders>
              <w:top w:val="single" w:sz="4" w:space="0" w:color="auto"/>
              <w:left w:val="nil"/>
              <w:bottom w:val="single" w:sz="4" w:space="0" w:color="auto"/>
              <w:right w:val="single" w:sz="8" w:space="0" w:color="auto"/>
            </w:tcBorders>
            <w:shd w:val="clear" w:color="auto" w:fill="auto"/>
            <w:vAlign w:val="center"/>
          </w:tcPr>
          <w:p w14:paraId="2C393F36" w14:textId="77777777" w:rsidR="00291D67" w:rsidRPr="00701F32" w:rsidRDefault="00291D67" w:rsidP="00582EAB">
            <w:pPr>
              <w:jc w:val="right"/>
              <w:rPr>
                <w:rFonts w:ascii="Arial" w:hAnsi="Arial" w:cs="Arial"/>
                <w:bCs/>
                <w:sz w:val="15"/>
                <w:szCs w:val="15"/>
              </w:rPr>
            </w:pPr>
            <w:r w:rsidRPr="00701F32">
              <w:rPr>
                <w:rFonts w:ascii="Arial" w:hAnsi="Arial" w:cs="Arial"/>
                <w:sz w:val="15"/>
                <w:szCs w:val="15"/>
              </w:rPr>
              <w:t>-</w:t>
            </w:r>
          </w:p>
        </w:tc>
        <w:tc>
          <w:tcPr>
            <w:tcW w:w="1655" w:type="dxa"/>
            <w:tcBorders>
              <w:top w:val="nil"/>
              <w:left w:val="single" w:sz="4" w:space="0" w:color="auto"/>
              <w:bottom w:val="single" w:sz="4" w:space="0" w:color="auto"/>
              <w:right w:val="single" w:sz="4" w:space="0" w:color="auto"/>
            </w:tcBorders>
            <w:shd w:val="clear" w:color="auto" w:fill="auto"/>
            <w:vAlign w:val="center"/>
          </w:tcPr>
          <w:p w14:paraId="2B3ABD15" w14:textId="11C6DB1E" w:rsidR="00291D67" w:rsidRPr="00701F32" w:rsidRDefault="00291D67" w:rsidP="009C75A9">
            <w:pPr>
              <w:jc w:val="right"/>
              <w:rPr>
                <w:rFonts w:ascii="Arial" w:hAnsi="Arial" w:cs="Arial"/>
                <w:bCs/>
                <w:sz w:val="15"/>
                <w:szCs w:val="15"/>
              </w:rPr>
            </w:pPr>
            <w:r w:rsidRPr="00701F32">
              <w:rPr>
                <w:rFonts w:ascii="Arial" w:hAnsi="Arial" w:cs="Arial"/>
                <w:bCs/>
                <w:sz w:val="15"/>
                <w:szCs w:val="15"/>
              </w:rPr>
              <w:t>100.518.422</w:t>
            </w:r>
          </w:p>
        </w:tc>
        <w:tc>
          <w:tcPr>
            <w:tcW w:w="1345" w:type="dxa"/>
            <w:tcBorders>
              <w:top w:val="single" w:sz="4" w:space="0" w:color="auto"/>
              <w:left w:val="nil"/>
              <w:bottom w:val="single" w:sz="4" w:space="0" w:color="auto"/>
              <w:right w:val="single" w:sz="12" w:space="0" w:color="auto"/>
            </w:tcBorders>
            <w:shd w:val="clear" w:color="auto" w:fill="auto"/>
            <w:vAlign w:val="center"/>
          </w:tcPr>
          <w:p w14:paraId="07748687" w14:textId="77777777" w:rsidR="00291D67" w:rsidRPr="00701F32" w:rsidRDefault="00291D67" w:rsidP="00582EAB">
            <w:pPr>
              <w:jc w:val="right"/>
              <w:rPr>
                <w:rFonts w:ascii="Arial" w:hAnsi="Arial" w:cs="Arial"/>
                <w:bCs/>
                <w:sz w:val="15"/>
                <w:szCs w:val="15"/>
              </w:rPr>
            </w:pPr>
            <w:r w:rsidRPr="00701F32">
              <w:rPr>
                <w:rFonts w:ascii="Arial" w:hAnsi="Arial" w:cs="Arial"/>
                <w:sz w:val="15"/>
                <w:szCs w:val="15"/>
              </w:rPr>
              <w:t>-</w:t>
            </w:r>
          </w:p>
        </w:tc>
      </w:tr>
      <w:tr w:rsidR="00291D67" w:rsidRPr="00701F32" w14:paraId="749F541C" w14:textId="77777777" w:rsidTr="00582EAB">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37BC0A9F"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Renta Mixta en USD</w:t>
            </w:r>
          </w:p>
        </w:tc>
        <w:tc>
          <w:tcPr>
            <w:tcW w:w="1190" w:type="dxa"/>
            <w:tcBorders>
              <w:top w:val="nil"/>
              <w:left w:val="single" w:sz="4" w:space="0" w:color="auto"/>
              <w:bottom w:val="single" w:sz="4" w:space="0" w:color="auto"/>
              <w:right w:val="single" w:sz="4" w:space="0" w:color="auto"/>
            </w:tcBorders>
            <w:shd w:val="clear" w:color="auto" w:fill="auto"/>
            <w:vAlign w:val="center"/>
          </w:tcPr>
          <w:p w14:paraId="43F05A17" w14:textId="14D0C4F9" w:rsidR="00291D67" w:rsidRPr="00701F32" w:rsidRDefault="00291D67" w:rsidP="00582EAB">
            <w:pPr>
              <w:jc w:val="right"/>
              <w:rPr>
                <w:rFonts w:ascii="Arial" w:hAnsi="Arial" w:cs="Arial"/>
                <w:bCs/>
                <w:sz w:val="15"/>
                <w:szCs w:val="15"/>
              </w:rPr>
            </w:pPr>
            <w:r w:rsidRPr="00701F32">
              <w:rPr>
                <w:rFonts w:ascii="Arial" w:hAnsi="Arial" w:cs="Arial"/>
                <w:bCs/>
                <w:sz w:val="15"/>
                <w:szCs w:val="15"/>
              </w:rPr>
              <w:t>982.625</w:t>
            </w:r>
          </w:p>
        </w:tc>
        <w:tc>
          <w:tcPr>
            <w:tcW w:w="1212" w:type="dxa"/>
            <w:tcBorders>
              <w:top w:val="single" w:sz="4" w:space="0" w:color="auto"/>
              <w:left w:val="nil"/>
              <w:bottom w:val="single" w:sz="4" w:space="0" w:color="auto"/>
              <w:right w:val="single" w:sz="8" w:space="0" w:color="auto"/>
            </w:tcBorders>
            <w:shd w:val="clear" w:color="auto" w:fill="auto"/>
            <w:vAlign w:val="center"/>
          </w:tcPr>
          <w:p w14:paraId="76BD0682" w14:textId="77777777" w:rsidR="00291D67" w:rsidRPr="00701F32" w:rsidRDefault="00291D67" w:rsidP="00582EAB">
            <w:pPr>
              <w:jc w:val="right"/>
              <w:rPr>
                <w:rFonts w:ascii="Arial" w:hAnsi="Arial" w:cs="Arial"/>
                <w:bCs/>
                <w:sz w:val="15"/>
                <w:szCs w:val="15"/>
              </w:rPr>
            </w:pPr>
            <w:r w:rsidRPr="00701F32">
              <w:rPr>
                <w:rFonts w:ascii="Arial" w:hAnsi="Arial" w:cs="Arial"/>
                <w:bCs/>
                <w:sz w:val="15"/>
                <w:szCs w:val="15"/>
              </w:rPr>
              <w:t>2.379.900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CAFA77B" w14:textId="28214B57" w:rsidR="00291D67" w:rsidRPr="00701F32" w:rsidRDefault="00291D67" w:rsidP="009C75A9">
            <w:pPr>
              <w:jc w:val="right"/>
              <w:rPr>
                <w:rFonts w:ascii="Arial" w:hAnsi="Arial" w:cs="Arial"/>
                <w:bCs/>
                <w:sz w:val="15"/>
                <w:szCs w:val="15"/>
              </w:rPr>
            </w:pPr>
            <w:r w:rsidRPr="00701F32">
              <w:rPr>
                <w:rFonts w:ascii="Arial" w:hAnsi="Arial" w:cs="Arial"/>
                <w:bCs/>
                <w:sz w:val="15"/>
                <w:szCs w:val="15"/>
              </w:rPr>
              <w:t>973.341</w:t>
            </w:r>
          </w:p>
        </w:tc>
        <w:tc>
          <w:tcPr>
            <w:tcW w:w="1294" w:type="dxa"/>
            <w:tcBorders>
              <w:top w:val="single" w:sz="4" w:space="0" w:color="auto"/>
              <w:left w:val="nil"/>
              <w:bottom w:val="single" w:sz="4" w:space="0" w:color="auto"/>
              <w:right w:val="single" w:sz="8" w:space="0" w:color="auto"/>
            </w:tcBorders>
            <w:shd w:val="clear" w:color="auto" w:fill="auto"/>
            <w:vAlign w:val="center"/>
          </w:tcPr>
          <w:p w14:paraId="09B8F613" w14:textId="77777777" w:rsidR="00291D67" w:rsidRPr="00701F32" w:rsidRDefault="00291D67" w:rsidP="00582EAB">
            <w:pPr>
              <w:jc w:val="right"/>
              <w:rPr>
                <w:rFonts w:ascii="Arial" w:hAnsi="Arial" w:cs="Arial"/>
                <w:bCs/>
                <w:sz w:val="15"/>
                <w:szCs w:val="15"/>
              </w:rPr>
            </w:pPr>
            <w:r w:rsidRPr="00701F32">
              <w:rPr>
                <w:rFonts w:ascii="Arial" w:hAnsi="Arial" w:cs="Arial"/>
                <w:bCs/>
                <w:sz w:val="15"/>
                <w:szCs w:val="15"/>
              </w:rPr>
              <w:t>2.297.195</w:t>
            </w:r>
          </w:p>
        </w:tc>
        <w:tc>
          <w:tcPr>
            <w:tcW w:w="1655" w:type="dxa"/>
            <w:tcBorders>
              <w:top w:val="nil"/>
              <w:left w:val="single" w:sz="4" w:space="0" w:color="auto"/>
              <w:bottom w:val="single" w:sz="4" w:space="0" w:color="auto"/>
              <w:right w:val="single" w:sz="4" w:space="0" w:color="auto"/>
            </w:tcBorders>
            <w:shd w:val="clear" w:color="auto" w:fill="auto"/>
            <w:vAlign w:val="center"/>
          </w:tcPr>
          <w:p w14:paraId="17C4E8F5" w14:textId="20541C01" w:rsidR="00291D67" w:rsidRPr="00701F32" w:rsidRDefault="00291D67" w:rsidP="009C75A9">
            <w:pPr>
              <w:jc w:val="right"/>
              <w:rPr>
                <w:rFonts w:ascii="Arial" w:hAnsi="Arial" w:cs="Arial"/>
                <w:bCs/>
                <w:sz w:val="15"/>
                <w:szCs w:val="15"/>
              </w:rPr>
            </w:pPr>
            <w:r w:rsidRPr="00701F32">
              <w:rPr>
                <w:rFonts w:ascii="Arial" w:hAnsi="Arial" w:cs="Arial"/>
                <w:bCs/>
                <w:sz w:val="15"/>
                <w:szCs w:val="15"/>
              </w:rPr>
              <w:t>26.985.404</w:t>
            </w:r>
          </w:p>
        </w:tc>
        <w:tc>
          <w:tcPr>
            <w:tcW w:w="1345" w:type="dxa"/>
            <w:tcBorders>
              <w:top w:val="single" w:sz="4" w:space="0" w:color="auto"/>
              <w:left w:val="nil"/>
              <w:bottom w:val="single" w:sz="4" w:space="0" w:color="auto"/>
              <w:right w:val="single" w:sz="12" w:space="0" w:color="auto"/>
            </w:tcBorders>
            <w:shd w:val="clear" w:color="auto" w:fill="auto"/>
            <w:vAlign w:val="center"/>
          </w:tcPr>
          <w:p w14:paraId="7829BF5D" w14:textId="77777777" w:rsidR="00291D67" w:rsidRPr="00701F32" w:rsidRDefault="00291D67" w:rsidP="00582EAB">
            <w:pPr>
              <w:jc w:val="right"/>
              <w:rPr>
                <w:rFonts w:ascii="Arial" w:hAnsi="Arial" w:cs="Arial"/>
                <w:bCs/>
                <w:sz w:val="15"/>
                <w:szCs w:val="15"/>
              </w:rPr>
            </w:pPr>
            <w:r w:rsidRPr="00701F32">
              <w:rPr>
                <w:rFonts w:ascii="Arial" w:hAnsi="Arial" w:cs="Arial"/>
                <w:bCs/>
                <w:sz w:val="15"/>
                <w:szCs w:val="15"/>
              </w:rPr>
              <w:t>110.928.209</w:t>
            </w:r>
          </w:p>
        </w:tc>
      </w:tr>
      <w:tr w:rsidR="00291D67" w:rsidRPr="00701F32" w14:paraId="2FDDFE82" w14:textId="77777777" w:rsidTr="00582EAB">
        <w:trPr>
          <w:trHeight w:val="585"/>
        </w:trPr>
        <w:tc>
          <w:tcPr>
            <w:tcW w:w="1149"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1F6AA3CB" w14:textId="77777777" w:rsidR="00291D67" w:rsidRPr="00701F32" w:rsidRDefault="00291D67" w:rsidP="00582EAB">
            <w:pPr>
              <w:jc w:val="center"/>
              <w:rPr>
                <w:rFonts w:ascii="Arial" w:hAnsi="Arial" w:cs="Arial"/>
                <w:sz w:val="15"/>
                <w:szCs w:val="15"/>
              </w:rPr>
            </w:pPr>
            <w:r w:rsidRPr="00701F32">
              <w:rPr>
                <w:rFonts w:ascii="Arial" w:hAnsi="Arial" w:cs="Arial"/>
                <w:sz w:val="15"/>
                <w:szCs w:val="15"/>
              </w:rPr>
              <w:t>Premier Performance en USD</w:t>
            </w:r>
          </w:p>
        </w:tc>
        <w:tc>
          <w:tcPr>
            <w:tcW w:w="1190" w:type="dxa"/>
            <w:tcBorders>
              <w:top w:val="single" w:sz="4" w:space="0" w:color="auto"/>
              <w:left w:val="nil"/>
              <w:bottom w:val="single" w:sz="12" w:space="0" w:color="auto"/>
              <w:right w:val="single" w:sz="8" w:space="0" w:color="auto"/>
            </w:tcBorders>
            <w:shd w:val="clear" w:color="auto" w:fill="auto"/>
            <w:vAlign w:val="center"/>
          </w:tcPr>
          <w:p w14:paraId="591A72B2" w14:textId="55C30C35" w:rsidR="00291D67" w:rsidRPr="00701F32" w:rsidRDefault="00291D67" w:rsidP="009C75A9">
            <w:pPr>
              <w:jc w:val="right"/>
              <w:rPr>
                <w:rFonts w:ascii="Arial" w:hAnsi="Arial" w:cs="Arial"/>
                <w:bCs/>
                <w:sz w:val="15"/>
                <w:szCs w:val="15"/>
              </w:rPr>
            </w:pPr>
            <w:r w:rsidRPr="00701F32">
              <w:rPr>
                <w:rFonts w:ascii="Arial" w:hAnsi="Arial" w:cs="Arial"/>
                <w:bCs/>
                <w:sz w:val="15"/>
                <w:szCs w:val="15"/>
              </w:rPr>
              <w:t>1.840.679</w:t>
            </w:r>
          </w:p>
        </w:tc>
        <w:tc>
          <w:tcPr>
            <w:tcW w:w="1212" w:type="dxa"/>
            <w:tcBorders>
              <w:top w:val="single" w:sz="4" w:space="0" w:color="auto"/>
              <w:left w:val="nil"/>
              <w:bottom w:val="single" w:sz="12" w:space="0" w:color="auto"/>
              <w:right w:val="single" w:sz="8" w:space="0" w:color="auto"/>
            </w:tcBorders>
            <w:shd w:val="clear" w:color="auto" w:fill="auto"/>
            <w:vAlign w:val="center"/>
          </w:tcPr>
          <w:p w14:paraId="66AEE93C"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w:t>
            </w:r>
          </w:p>
        </w:tc>
        <w:tc>
          <w:tcPr>
            <w:tcW w:w="1170" w:type="dxa"/>
            <w:tcBorders>
              <w:top w:val="single" w:sz="4" w:space="0" w:color="auto"/>
              <w:left w:val="single" w:sz="4" w:space="0" w:color="auto"/>
              <w:bottom w:val="single" w:sz="12" w:space="0" w:color="auto"/>
              <w:right w:val="single" w:sz="4" w:space="0" w:color="auto"/>
            </w:tcBorders>
            <w:shd w:val="clear" w:color="auto" w:fill="auto"/>
            <w:vAlign w:val="center"/>
          </w:tcPr>
          <w:p w14:paraId="5F368314" w14:textId="36B82FC9" w:rsidR="00291D67" w:rsidRPr="00701F32" w:rsidRDefault="00291D67" w:rsidP="009C75A9">
            <w:pPr>
              <w:jc w:val="right"/>
              <w:rPr>
                <w:rFonts w:ascii="Arial" w:hAnsi="Arial" w:cs="Arial"/>
                <w:bCs/>
                <w:sz w:val="15"/>
                <w:szCs w:val="15"/>
              </w:rPr>
            </w:pPr>
            <w:r w:rsidRPr="00701F32">
              <w:rPr>
                <w:rFonts w:ascii="Arial" w:hAnsi="Arial" w:cs="Arial"/>
                <w:bCs/>
                <w:sz w:val="15"/>
                <w:szCs w:val="15"/>
              </w:rPr>
              <w:t>1.817.777</w:t>
            </w:r>
          </w:p>
        </w:tc>
        <w:tc>
          <w:tcPr>
            <w:tcW w:w="1294" w:type="dxa"/>
            <w:tcBorders>
              <w:top w:val="single" w:sz="4" w:space="0" w:color="auto"/>
              <w:left w:val="nil"/>
              <w:bottom w:val="single" w:sz="12" w:space="0" w:color="auto"/>
              <w:right w:val="single" w:sz="8" w:space="0" w:color="auto"/>
            </w:tcBorders>
            <w:shd w:val="clear" w:color="auto" w:fill="auto"/>
            <w:vAlign w:val="center"/>
          </w:tcPr>
          <w:p w14:paraId="494F7FC4"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w:t>
            </w:r>
          </w:p>
        </w:tc>
        <w:tc>
          <w:tcPr>
            <w:tcW w:w="1655" w:type="dxa"/>
            <w:tcBorders>
              <w:top w:val="single" w:sz="4" w:space="0" w:color="auto"/>
              <w:left w:val="single" w:sz="4" w:space="0" w:color="auto"/>
              <w:bottom w:val="single" w:sz="12" w:space="0" w:color="auto"/>
              <w:right w:val="single" w:sz="4" w:space="0" w:color="auto"/>
            </w:tcBorders>
            <w:shd w:val="clear" w:color="auto" w:fill="auto"/>
            <w:vAlign w:val="center"/>
          </w:tcPr>
          <w:p w14:paraId="09E55274" w14:textId="530E0663" w:rsidR="00291D67" w:rsidRPr="00701F32" w:rsidRDefault="00291D67" w:rsidP="00582EAB">
            <w:pPr>
              <w:jc w:val="right"/>
              <w:rPr>
                <w:rFonts w:ascii="Arial" w:hAnsi="Arial" w:cs="Arial"/>
                <w:bCs/>
                <w:sz w:val="15"/>
                <w:szCs w:val="15"/>
              </w:rPr>
            </w:pPr>
            <w:r w:rsidRPr="00701F32">
              <w:rPr>
                <w:rFonts w:ascii="Arial" w:hAnsi="Arial" w:cs="Arial"/>
                <w:bCs/>
                <w:sz w:val="15"/>
                <w:szCs w:val="15"/>
              </w:rPr>
              <w:t>44.935.609</w:t>
            </w:r>
          </w:p>
        </w:tc>
        <w:tc>
          <w:tcPr>
            <w:tcW w:w="1345" w:type="dxa"/>
            <w:tcBorders>
              <w:top w:val="single" w:sz="4" w:space="0" w:color="auto"/>
              <w:left w:val="nil"/>
              <w:bottom w:val="single" w:sz="12" w:space="0" w:color="auto"/>
              <w:right w:val="single" w:sz="12" w:space="0" w:color="auto"/>
            </w:tcBorders>
            <w:shd w:val="clear" w:color="auto" w:fill="auto"/>
            <w:vAlign w:val="center"/>
          </w:tcPr>
          <w:p w14:paraId="3D98F439" w14:textId="77777777" w:rsidR="00291D67" w:rsidRPr="00701F32" w:rsidRDefault="00291D67" w:rsidP="00582EAB">
            <w:pPr>
              <w:jc w:val="right"/>
              <w:rPr>
                <w:rFonts w:ascii="Arial" w:hAnsi="Arial" w:cs="Arial"/>
                <w:sz w:val="15"/>
                <w:szCs w:val="15"/>
              </w:rPr>
            </w:pPr>
            <w:r w:rsidRPr="00701F32">
              <w:rPr>
                <w:rFonts w:ascii="Arial" w:hAnsi="Arial" w:cs="Arial"/>
                <w:bCs/>
                <w:sz w:val="15"/>
                <w:szCs w:val="15"/>
              </w:rPr>
              <w:t>-</w:t>
            </w:r>
          </w:p>
        </w:tc>
      </w:tr>
    </w:tbl>
    <w:p w14:paraId="727985DC" w14:textId="77777777" w:rsidR="00582EAB" w:rsidRPr="00701F32" w:rsidRDefault="00582EAB" w:rsidP="00582EAB">
      <w:pPr>
        <w:tabs>
          <w:tab w:val="left" w:pos="142"/>
        </w:tabs>
        <w:jc w:val="both"/>
        <w:rPr>
          <w:rFonts w:ascii="Arial" w:hAnsi="Arial" w:cs="Arial"/>
          <w:b/>
          <w:sz w:val="20"/>
        </w:rPr>
      </w:pPr>
    </w:p>
    <w:p w14:paraId="1DA2CB3E" w14:textId="77777777" w:rsidR="00A06BE9" w:rsidRPr="00701F32" w:rsidRDefault="00AF3A00" w:rsidP="00A06BE9">
      <w:pPr>
        <w:widowControl w:val="0"/>
        <w:autoSpaceDE w:val="0"/>
        <w:autoSpaceDN w:val="0"/>
        <w:adjustRightInd w:val="0"/>
        <w:jc w:val="both"/>
        <w:rPr>
          <w:rFonts w:ascii="Arial" w:hAnsi="Arial" w:cs="Arial"/>
          <w:b/>
          <w:noProof/>
          <w:sz w:val="20"/>
        </w:rPr>
      </w:pPr>
      <w:r w:rsidRPr="00701F32">
        <w:rPr>
          <w:rFonts w:ascii="Arial" w:hAnsi="Arial" w:cs="Arial"/>
          <w:b/>
          <w:noProof/>
          <w:sz w:val="20"/>
        </w:rPr>
        <w:t>15</w:t>
      </w:r>
      <w:r w:rsidR="00A06BE9" w:rsidRPr="00701F32">
        <w:rPr>
          <w:rFonts w:ascii="Arial" w:hAnsi="Arial" w:cs="Arial"/>
          <w:b/>
          <w:noProof/>
          <w:sz w:val="20"/>
        </w:rPr>
        <w:t xml:space="preserve">. </w:t>
      </w:r>
      <w:r w:rsidR="00582EAB" w:rsidRPr="00701F32">
        <w:rPr>
          <w:rFonts w:ascii="Arial" w:hAnsi="Arial" w:cs="Arial"/>
          <w:b/>
          <w:noProof/>
          <w:sz w:val="20"/>
        </w:rPr>
        <w:t>INFORMACION ADICIONAL REQUERIDA POR EL BCRA</w:t>
      </w:r>
    </w:p>
    <w:p w14:paraId="095BC16C" w14:textId="77777777" w:rsidR="00A06BE9" w:rsidRPr="00701F32" w:rsidRDefault="00A06BE9" w:rsidP="00A06BE9">
      <w:pPr>
        <w:jc w:val="both"/>
        <w:rPr>
          <w:rFonts w:ascii="Arial" w:hAnsi="Arial" w:cs="Arial"/>
          <w:b/>
          <w:sz w:val="20"/>
        </w:rPr>
      </w:pPr>
    </w:p>
    <w:p w14:paraId="2018130B" w14:textId="77777777" w:rsidR="00A06BE9" w:rsidRPr="00701F32" w:rsidRDefault="00AF3A00" w:rsidP="00A06BE9">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 xml:space="preserve">.1 Sistema de Seguros de Garantía de Depósitos </w:t>
      </w:r>
    </w:p>
    <w:p w14:paraId="569F596C" w14:textId="77777777" w:rsidR="00A06BE9" w:rsidRPr="00701F32" w:rsidRDefault="00A06BE9" w:rsidP="00A06BE9">
      <w:pPr>
        <w:tabs>
          <w:tab w:val="left" w:pos="142"/>
          <w:tab w:val="left" w:pos="9923"/>
        </w:tabs>
        <w:spacing w:after="200" w:line="276" w:lineRule="auto"/>
        <w:contextualSpacing/>
        <w:jc w:val="both"/>
        <w:rPr>
          <w:rFonts w:ascii="Arial" w:hAnsi="Arial" w:cs="Arial"/>
          <w:sz w:val="20"/>
        </w:rPr>
      </w:pPr>
    </w:p>
    <w:p w14:paraId="3A366890"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Mediante la Ley N° 24485 y el Decreto N° 540/95 se dispuso la creación del Sistema de Seguro de Garantía de los Depósitos con el objeto de cubrir el riesgo de los depósitos bancarios adicionalmente al sistema de privilegios y protección previsto en la Ley de Entidades Financieras.</w:t>
      </w:r>
    </w:p>
    <w:p w14:paraId="54563E78" w14:textId="77777777" w:rsidR="00A06BE9" w:rsidRPr="00701F32" w:rsidRDefault="00A06BE9" w:rsidP="00A06BE9">
      <w:pPr>
        <w:tabs>
          <w:tab w:val="left" w:pos="142"/>
        </w:tabs>
        <w:jc w:val="both"/>
        <w:rPr>
          <w:rFonts w:ascii="Arial" w:hAnsi="Arial" w:cs="Arial"/>
          <w:sz w:val="20"/>
        </w:rPr>
      </w:pPr>
    </w:p>
    <w:p w14:paraId="0BA7597D"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Por el Decreto N° 1127/98 del 24 de septiembre de 1998, el P.E.N. estableció el límite máximo de cobertura del sistema de garantía, alcanzando a los depósitos a la vista o a plazo fijo, en pesos y/o moneda extranjera.  Actualmente dicho límite alcanza la suma de 450, el cual fue establecido por la comunicación “A” 5943 con vigencia a partir de mayo de 2016.</w:t>
      </w:r>
    </w:p>
    <w:p w14:paraId="2E20C65C"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 xml:space="preserve"> </w:t>
      </w:r>
    </w:p>
    <w:p w14:paraId="3A6688DF" w14:textId="64FF7B35" w:rsidR="00A06BE9" w:rsidRPr="00701F32" w:rsidRDefault="00A06BE9" w:rsidP="00A06BE9">
      <w:pPr>
        <w:jc w:val="both"/>
        <w:rPr>
          <w:rFonts w:ascii="Arial" w:hAnsi="Arial" w:cs="Arial"/>
          <w:sz w:val="20"/>
        </w:rPr>
      </w:pPr>
      <w:r w:rsidRPr="00701F32">
        <w:rPr>
          <w:rFonts w:ascii="Arial" w:hAnsi="Arial" w:cs="Arial"/>
          <w:sz w:val="20"/>
        </w:rPr>
        <w:t>No están incluidos en el presente régimen los depósitos efectuados por otras entidades financieras (incluyendo los certificados a plazo fijo adquiridos por negociación secundaria), los depósitos efectuados por personas vinculadas directa o indirectamente a la entidad, los depósitos de títulos valores, aceptaciones o garantías y</w:t>
      </w:r>
      <w:r w:rsidR="00682968" w:rsidRPr="00701F32">
        <w:rPr>
          <w:rFonts w:ascii="Arial" w:hAnsi="Arial" w:cs="Arial"/>
          <w:sz w:val="20"/>
        </w:rPr>
        <w:t>,</w:t>
      </w:r>
      <w:r w:rsidRPr="00701F32">
        <w:rPr>
          <w:rFonts w:ascii="Arial" w:hAnsi="Arial" w:cs="Arial"/>
          <w:sz w:val="20"/>
        </w:rPr>
        <w:t xml:space="preserve"> </w:t>
      </w:r>
      <w:r w:rsidR="00682968" w:rsidRPr="00701F32">
        <w:rPr>
          <w:rFonts w:ascii="Arial" w:hAnsi="Arial" w:cs="Arial"/>
          <w:sz w:val="20"/>
        </w:rPr>
        <w:t xml:space="preserve">los depósitos a la vista convenidos </w:t>
      </w:r>
      <w:r w:rsidRPr="00701F32">
        <w:rPr>
          <w:rFonts w:ascii="Arial" w:hAnsi="Arial" w:cs="Arial"/>
          <w:sz w:val="20"/>
        </w:rPr>
        <w:t>a una tasa superior a la establecida periódicamente por el BCRA en base a la encuesta diaria que realiza dicha institución</w:t>
      </w:r>
      <w:r w:rsidR="00682968" w:rsidRPr="00701F32">
        <w:rPr>
          <w:rFonts w:ascii="Arial" w:hAnsi="Arial" w:cs="Arial"/>
          <w:sz w:val="20"/>
        </w:rPr>
        <w:t xml:space="preserve"> y los depósitos </w:t>
      </w:r>
      <w:r w:rsidR="005C4329" w:rsidRPr="00701F32">
        <w:rPr>
          <w:rFonts w:ascii="Arial" w:hAnsi="Arial" w:cs="Arial"/>
          <w:sz w:val="20"/>
        </w:rPr>
        <w:t>e</w:t>
      </w:r>
      <w:r w:rsidR="00682968" w:rsidRPr="00701F32">
        <w:rPr>
          <w:rFonts w:ascii="Arial" w:hAnsi="Arial" w:cs="Arial"/>
          <w:sz w:val="20"/>
        </w:rPr>
        <w:t xml:space="preserve"> inversiones a plazo que superen en 1,3 veces dicha tasa o la tasa de referencia mas 5 puntos porcentuales, la que fuese mayor</w:t>
      </w:r>
      <w:r w:rsidRPr="00701F32">
        <w:rPr>
          <w:rFonts w:ascii="Arial" w:hAnsi="Arial" w:cs="Arial"/>
          <w:sz w:val="20"/>
        </w:rPr>
        <w:t>. También se hallan excluidos los depósitos cuya titularidad haya sido adquirida vía endoso y las imposiciones que ofrezcan incentivos adicionales a la tasa de interés. El sistema ha sido implementado mediante la creación de un fondo denominado "Fondo de Garantía de los Depósitos" (F.G.D.), que es administrado por la sociedad Seguros de Depósitos S.A. (SEDESA) y cuyos accionistas son el BCRA y las entidades financieras en la proporción que para cada una de ellas determina dicha institución en función de los aportes efectuados al mencionado fondo.</w:t>
      </w:r>
    </w:p>
    <w:p w14:paraId="0B74108E" w14:textId="77777777" w:rsidR="00067378" w:rsidRPr="00701F32" w:rsidRDefault="00067378" w:rsidP="00A06BE9">
      <w:pPr>
        <w:jc w:val="both"/>
        <w:rPr>
          <w:rFonts w:ascii="Arial" w:hAnsi="Arial" w:cs="Arial"/>
          <w:sz w:val="20"/>
        </w:rPr>
      </w:pPr>
    </w:p>
    <w:p w14:paraId="5AC9BDB9" w14:textId="77777777" w:rsidR="00A06BE9" w:rsidRPr="00701F32" w:rsidRDefault="00AF3A00" w:rsidP="00A06BE9">
      <w:pPr>
        <w:tabs>
          <w:tab w:val="left" w:pos="9923"/>
        </w:tabs>
        <w:spacing w:after="200" w:line="276" w:lineRule="auto"/>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.2 Bienes de disponibilidad restringida</w:t>
      </w:r>
    </w:p>
    <w:p w14:paraId="08805334"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La Entidad posee activos cuya disponibilidad se encuentra restringida, según el siguiente detalle:</w:t>
      </w:r>
    </w:p>
    <w:p w14:paraId="52CA5E83" w14:textId="77777777" w:rsidR="00A06BE9" w:rsidRPr="00701F32" w:rsidRDefault="00A06BE9" w:rsidP="00A06BE9">
      <w:pPr>
        <w:tabs>
          <w:tab w:val="left" w:pos="142"/>
        </w:tabs>
        <w:jc w:val="both"/>
        <w:rPr>
          <w:rFonts w:ascii="Arial" w:hAnsi="Arial" w:cs="Arial"/>
          <w:sz w:val="20"/>
        </w:rPr>
      </w:pPr>
    </w:p>
    <w:tbl>
      <w:tblPr>
        <w:tblW w:w="51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00"/>
        <w:gridCol w:w="1283"/>
        <w:gridCol w:w="1262"/>
        <w:gridCol w:w="1186"/>
      </w:tblGrid>
      <w:tr w:rsidR="00A06BE9" w:rsidRPr="00701F32" w14:paraId="2AE887A1" w14:textId="77777777" w:rsidTr="00393CEB">
        <w:trPr>
          <w:trHeight w:val="397"/>
          <w:tblHeader/>
        </w:trPr>
        <w:tc>
          <w:tcPr>
            <w:tcW w:w="30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8967D" w14:textId="77777777" w:rsidR="00A06BE9" w:rsidRPr="00701F32" w:rsidRDefault="00A06BE9" w:rsidP="00393CEB">
            <w:pPr>
              <w:tabs>
                <w:tab w:val="left" w:pos="142"/>
              </w:tabs>
              <w:rPr>
                <w:rFonts w:ascii="Arial" w:hAnsi="Arial" w:cs="Arial"/>
                <w:b/>
                <w:bCs/>
                <w:sz w:val="18"/>
              </w:rPr>
            </w:pPr>
            <w:r w:rsidRPr="00701F32">
              <w:rPr>
                <w:rFonts w:ascii="Arial" w:hAnsi="Arial" w:cs="Arial"/>
                <w:b/>
                <w:bCs/>
                <w:sz w:val="18"/>
              </w:rPr>
              <w:t>Concepto</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21D83" w14:textId="77777777" w:rsidR="00A06BE9" w:rsidRPr="00701F32" w:rsidRDefault="00A06BE9" w:rsidP="00393CEB">
            <w:pPr>
              <w:jc w:val="right"/>
              <w:rPr>
                <w:rFonts w:ascii="Arial" w:hAnsi="Arial" w:cs="Arial"/>
                <w:b/>
                <w:sz w:val="18"/>
              </w:rPr>
            </w:pPr>
            <w:r w:rsidRPr="00701F32">
              <w:rPr>
                <w:rFonts w:ascii="Arial" w:hAnsi="Arial" w:cs="Arial"/>
                <w:b/>
                <w:sz w:val="18"/>
              </w:rPr>
              <w:t>3</w:t>
            </w:r>
            <w:r w:rsidR="003C30B9" w:rsidRPr="00701F32">
              <w:rPr>
                <w:rFonts w:ascii="Arial" w:hAnsi="Arial" w:cs="Arial"/>
                <w:b/>
                <w:sz w:val="18"/>
              </w:rPr>
              <w:t>0</w:t>
            </w:r>
            <w:r w:rsidRPr="00701F32">
              <w:rPr>
                <w:rFonts w:ascii="Arial" w:hAnsi="Arial" w:cs="Arial"/>
                <w:b/>
                <w:sz w:val="18"/>
              </w:rPr>
              <w:t>/0</w:t>
            </w:r>
            <w:r w:rsidR="00F53550" w:rsidRPr="00701F32">
              <w:rPr>
                <w:rFonts w:ascii="Arial" w:hAnsi="Arial" w:cs="Arial"/>
                <w:b/>
                <w:sz w:val="18"/>
              </w:rPr>
              <w:t>9</w:t>
            </w:r>
            <w:r w:rsidRPr="00701F32">
              <w:rPr>
                <w:rFonts w:ascii="Arial" w:hAnsi="Arial" w:cs="Arial"/>
                <w:b/>
                <w:sz w:val="18"/>
              </w:rPr>
              <w:t>/2018</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31E35" w14:textId="77777777" w:rsidR="00A06BE9" w:rsidRPr="00701F32" w:rsidRDefault="00A06BE9" w:rsidP="00393CEB">
            <w:pPr>
              <w:tabs>
                <w:tab w:val="left" w:pos="142"/>
              </w:tabs>
              <w:jc w:val="right"/>
              <w:rPr>
                <w:rFonts w:ascii="Arial" w:hAnsi="Arial" w:cs="Arial"/>
                <w:b/>
                <w:sz w:val="18"/>
              </w:rPr>
            </w:pPr>
            <w:r w:rsidRPr="00701F32">
              <w:rPr>
                <w:rFonts w:ascii="Arial" w:hAnsi="Arial" w:cs="Arial"/>
                <w:b/>
                <w:sz w:val="18"/>
              </w:rPr>
              <w:t>31/12/2017</w:t>
            </w:r>
          </w:p>
        </w:tc>
        <w:tc>
          <w:tcPr>
            <w:tcW w:w="629" w:type="pct"/>
            <w:tcBorders>
              <w:top w:val="single" w:sz="4" w:space="0" w:color="auto"/>
              <w:left w:val="single" w:sz="4" w:space="0" w:color="auto"/>
              <w:bottom w:val="single" w:sz="4" w:space="0" w:color="auto"/>
              <w:right w:val="single" w:sz="4" w:space="0" w:color="auto"/>
            </w:tcBorders>
            <w:vAlign w:val="bottom"/>
          </w:tcPr>
          <w:p w14:paraId="036A9526" w14:textId="77777777" w:rsidR="00A06BE9" w:rsidRPr="00701F32" w:rsidRDefault="00A06BE9" w:rsidP="00393CEB">
            <w:pPr>
              <w:tabs>
                <w:tab w:val="left" w:pos="142"/>
              </w:tabs>
              <w:jc w:val="right"/>
              <w:rPr>
                <w:rFonts w:ascii="Arial" w:hAnsi="Arial" w:cs="Arial"/>
                <w:b/>
                <w:sz w:val="18"/>
              </w:rPr>
            </w:pPr>
            <w:r w:rsidRPr="00701F32">
              <w:rPr>
                <w:rFonts w:ascii="Arial" w:hAnsi="Arial" w:cs="Arial"/>
                <w:b/>
                <w:sz w:val="18"/>
              </w:rPr>
              <w:t>01/01/2017</w:t>
            </w:r>
          </w:p>
        </w:tc>
      </w:tr>
      <w:tr w:rsidR="00A06BE9" w:rsidRPr="00701F32" w14:paraId="7D5DD9F9" w14:textId="77777777" w:rsidTr="00E311C9">
        <w:trPr>
          <w:trHeight w:val="340"/>
        </w:trPr>
        <w:tc>
          <w:tcPr>
            <w:tcW w:w="3022" w:type="pct"/>
            <w:tcBorders>
              <w:top w:val="single" w:sz="4" w:space="0" w:color="auto"/>
              <w:left w:val="single" w:sz="4" w:space="0" w:color="auto"/>
              <w:right w:val="single" w:sz="4" w:space="0" w:color="auto"/>
            </w:tcBorders>
            <w:shd w:val="clear" w:color="auto" w:fill="auto"/>
            <w:noWrap/>
            <w:vAlign w:val="center"/>
          </w:tcPr>
          <w:p w14:paraId="35A80780"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Préstamos garantizados</w:t>
            </w:r>
          </w:p>
        </w:tc>
        <w:tc>
          <w:tcPr>
            <w:tcW w:w="680" w:type="pct"/>
            <w:tcBorders>
              <w:top w:val="single" w:sz="4" w:space="0" w:color="auto"/>
              <w:left w:val="single" w:sz="4" w:space="0" w:color="auto"/>
              <w:right w:val="single" w:sz="4" w:space="0" w:color="auto"/>
            </w:tcBorders>
            <w:shd w:val="clear" w:color="auto" w:fill="auto"/>
            <w:noWrap/>
            <w:vAlign w:val="bottom"/>
          </w:tcPr>
          <w:p w14:paraId="0A349571" w14:textId="3F9029B5" w:rsidR="00A06BE9" w:rsidRPr="00701F32" w:rsidRDefault="00AA1E40">
            <w:pPr>
              <w:tabs>
                <w:tab w:val="left" w:pos="142"/>
              </w:tabs>
              <w:jc w:val="right"/>
              <w:rPr>
                <w:rFonts w:ascii="Arial" w:hAnsi="Arial" w:cs="Arial"/>
                <w:sz w:val="18"/>
              </w:rPr>
            </w:pPr>
            <w:r w:rsidRPr="00701F32">
              <w:rPr>
                <w:rFonts w:ascii="Arial" w:hAnsi="Arial" w:cs="Arial"/>
                <w:sz w:val="18"/>
              </w:rPr>
              <w:t>-</w:t>
            </w:r>
          </w:p>
        </w:tc>
        <w:tc>
          <w:tcPr>
            <w:tcW w:w="669" w:type="pct"/>
            <w:tcBorders>
              <w:top w:val="single" w:sz="4" w:space="0" w:color="auto"/>
              <w:left w:val="single" w:sz="4" w:space="0" w:color="auto"/>
              <w:right w:val="single" w:sz="4" w:space="0" w:color="auto"/>
            </w:tcBorders>
            <w:shd w:val="clear" w:color="auto" w:fill="auto"/>
            <w:noWrap/>
            <w:vAlign w:val="bottom"/>
          </w:tcPr>
          <w:p w14:paraId="1E55BEA9" w14:textId="77777777" w:rsidR="00A06BE9" w:rsidRPr="00701F32" w:rsidRDefault="00A06BE9">
            <w:pPr>
              <w:tabs>
                <w:tab w:val="left" w:pos="142"/>
              </w:tabs>
              <w:jc w:val="right"/>
              <w:rPr>
                <w:rFonts w:ascii="Arial" w:hAnsi="Arial" w:cs="Arial"/>
                <w:sz w:val="18"/>
              </w:rPr>
            </w:pPr>
            <w:r w:rsidRPr="00701F32">
              <w:rPr>
                <w:rFonts w:ascii="Arial" w:hAnsi="Arial" w:cs="Arial"/>
                <w:sz w:val="18"/>
              </w:rPr>
              <w:t>28.075</w:t>
            </w:r>
          </w:p>
        </w:tc>
        <w:tc>
          <w:tcPr>
            <w:tcW w:w="629" w:type="pct"/>
            <w:tcBorders>
              <w:top w:val="single" w:sz="4" w:space="0" w:color="auto"/>
              <w:left w:val="single" w:sz="4" w:space="0" w:color="auto"/>
              <w:right w:val="single" w:sz="4" w:space="0" w:color="auto"/>
            </w:tcBorders>
            <w:vAlign w:val="bottom"/>
          </w:tcPr>
          <w:p w14:paraId="5A800C1F" w14:textId="77777777" w:rsidR="00A06BE9" w:rsidRPr="00701F32" w:rsidRDefault="00A06BE9">
            <w:pPr>
              <w:tabs>
                <w:tab w:val="left" w:pos="142"/>
              </w:tabs>
              <w:jc w:val="right"/>
              <w:rPr>
                <w:rFonts w:ascii="Arial" w:hAnsi="Arial" w:cs="Arial"/>
                <w:sz w:val="18"/>
              </w:rPr>
            </w:pPr>
            <w:r w:rsidRPr="00701F32">
              <w:rPr>
                <w:rFonts w:ascii="Arial" w:hAnsi="Arial" w:cs="Arial"/>
                <w:sz w:val="18"/>
              </w:rPr>
              <w:t>133.372</w:t>
            </w:r>
          </w:p>
        </w:tc>
      </w:tr>
      <w:tr w:rsidR="00A06BE9" w:rsidRPr="00701F32" w14:paraId="252148AF" w14:textId="77777777" w:rsidTr="00E311C9">
        <w:trPr>
          <w:trHeight w:val="340"/>
        </w:trPr>
        <w:tc>
          <w:tcPr>
            <w:tcW w:w="3022" w:type="pct"/>
            <w:tcBorders>
              <w:left w:val="single" w:sz="4" w:space="0" w:color="auto"/>
              <w:right w:val="single" w:sz="4" w:space="0" w:color="auto"/>
            </w:tcBorders>
            <w:shd w:val="clear" w:color="auto" w:fill="auto"/>
            <w:noWrap/>
            <w:vAlign w:val="center"/>
          </w:tcPr>
          <w:p w14:paraId="1480280F"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Cuentas especiales de garantía en el BCRA</w:t>
            </w:r>
          </w:p>
        </w:tc>
        <w:tc>
          <w:tcPr>
            <w:tcW w:w="680" w:type="pct"/>
            <w:tcBorders>
              <w:left w:val="single" w:sz="4" w:space="0" w:color="auto"/>
              <w:right w:val="single" w:sz="4" w:space="0" w:color="auto"/>
            </w:tcBorders>
            <w:shd w:val="clear" w:color="auto" w:fill="auto"/>
            <w:noWrap/>
            <w:vAlign w:val="bottom"/>
          </w:tcPr>
          <w:p w14:paraId="138D9202" w14:textId="77777777" w:rsidR="00A06BE9" w:rsidRPr="00701F32" w:rsidRDefault="007E6672">
            <w:pPr>
              <w:tabs>
                <w:tab w:val="left" w:pos="142"/>
              </w:tabs>
              <w:jc w:val="right"/>
              <w:rPr>
                <w:rFonts w:ascii="Arial" w:hAnsi="Arial" w:cs="Arial"/>
                <w:sz w:val="18"/>
              </w:rPr>
            </w:pPr>
            <w:r w:rsidRPr="00701F32">
              <w:rPr>
                <w:rFonts w:ascii="Arial" w:hAnsi="Arial" w:cs="Arial"/>
                <w:sz w:val="18"/>
              </w:rPr>
              <w:t>1.132.573</w:t>
            </w:r>
          </w:p>
        </w:tc>
        <w:tc>
          <w:tcPr>
            <w:tcW w:w="669" w:type="pct"/>
            <w:tcBorders>
              <w:left w:val="single" w:sz="4" w:space="0" w:color="auto"/>
              <w:right w:val="single" w:sz="4" w:space="0" w:color="auto"/>
            </w:tcBorders>
            <w:shd w:val="clear" w:color="auto" w:fill="auto"/>
            <w:noWrap/>
            <w:vAlign w:val="bottom"/>
          </w:tcPr>
          <w:p w14:paraId="3926FFF0" w14:textId="77777777" w:rsidR="00A06BE9" w:rsidRPr="00701F32" w:rsidRDefault="00A06BE9">
            <w:pPr>
              <w:tabs>
                <w:tab w:val="left" w:pos="142"/>
              </w:tabs>
              <w:jc w:val="right"/>
              <w:rPr>
                <w:rFonts w:ascii="Arial" w:hAnsi="Arial" w:cs="Arial"/>
                <w:sz w:val="18"/>
              </w:rPr>
            </w:pPr>
            <w:r w:rsidRPr="00701F32">
              <w:rPr>
                <w:rFonts w:ascii="Arial" w:hAnsi="Arial" w:cs="Arial"/>
                <w:sz w:val="18"/>
              </w:rPr>
              <w:t>855.261</w:t>
            </w:r>
          </w:p>
        </w:tc>
        <w:tc>
          <w:tcPr>
            <w:tcW w:w="629" w:type="pct"/>
            <w:tcBorders>
              <w:left w:val="single" w:sz="4" w:space="0" w:color="auto"/>
              <w:right w:val="single" w:sz="4" w:space="0" w:color="auto"/>
            </w:tcBorders>
            <w:vAlign w:val="bottom"/>
          </w:tcPr>
          <w:p w14:paraId="28357048" w14:textId="77777777" w:rsidR="00A06BE9" w:rsidRPr="00701F32" w:rsidRDefault="00A06BE9">
            <w:pPr>
              <w:tabs>
                <w:tab w:val="left" w:pos="142"/>
              </w:tabs>
              <w:jc w:val="right"/>
              <w:rPr>
                <w:rFonts w:ascii="Arial" w:hAnsi="Arial" w:cs="Arial"/>
                <w:sz w:val="18"/>
              </w:rPr>
            </w:pPr>
            <w:r w:rsidRPr="00701F32">
              <w:rPr>
                <w:rFonts w:ascii="Arial" w:hAnsi="Arial" w:cs="Arial"/>
                <w:sz w:val="18"/>
              </w:rPr>
              <w:t>535.351</w:t>
            </w:r>
          </w:p>
        </w:tc>
      </w:tr>
      <w:tr w:rsidR="00A06BE9" w:rsidRPr="00701F32" w14:paraId="58E68535" w14:textId="77777777" w:rsidTr="00E311C9">
        <w:trPr>
          <w:trHeight w:val="340"/>
        </w:trPr>
        <w:tc>
          <w:tcPr>
            <w:tcW w:w="3022" w:type="pct"/>
            <w:tcBorders>
              <w:left w:val="single" w:sz="4" w:space="0" w:color="auto"/>
              <w:right w:val="single" w:sz="4" w:space="0" w:color="auto"/>
            </w:tcBorders>
            <w:shd w:val="clear" w:color="auto" w:fill="auto"/>
            <w:noWrap/>
            <w:vAlign w:val="center"/>
          </w:tcPr>
          <w:p w14:paraId="08EE22D7"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Depósitos en garantía por fideicomisos</w:t>
            </w:r>
          </w:p>
        </w:tc>
        <w:tc>
          <w:tcPr>
            <w:tcW w:w="680" w:type="pct"/>
            <w:tcBorders>
              <w:left w:val="single" w:sz="4" w:space="0" w:color="auto"/>
              <w:right w:val="single" w:sz="4" w:space="0" w:color="auto"/>
            </w:tcBorders>
            <w:shd w:val="clear" w:color="auto" w:fill="auto"/>
            <w:noWrap/>
            <w:vAlign w:val="bottom"/>
          </w:tcPr>
          <w:p w14:paraId="32BB4D9A" w14:textId="77777777" w:rsidR="00A06BE9" w:rsidRPr="00701F32" w:rsidRDefault="007E6672">
            <w:pPr>
              <w:tabs>
                <w:tab w:val="left" w:pos="142"/>
              </w:tabs>
              <w:jc w:val="right"/>
              <w:rPr>
                <w:rFonts w:ascii="Arial" w:hAnsi="Arial" w:cs="Arial"/>
                <w:sz w:val="18"/>
              </w:rPr>
            </w:pPr>
            <w:r w:rsidRPr="00701F32">
              <w:rPr>
                <w:rFonts w:ascii="Arial" w:hAnsi="Arial" w:cs="Arial"/>
                <w:sz w:val="18"/>
              </w:rPr>
              <w:t>11.589</w:t>
            </w:r>
          </w:p>
        </w:tc>
        <w:tc>
          <w:tcPr>
            <w:tcW w:w="669" w:type="pct"/>
            <w:tcBorders>
              <w:left w:val="single" w:sz="4" w:space="0" w:color="auto"/>
              <w:right w:val="single" w:sz="4" w:space="0" w:color="auto"/>
            </w:tcBorders>
            <w:shd w:val="clear" w:color="auto" w:fill="auto"/>
            <w:noWrap/>
            <w:vAlign w:val="bottom"/>
          </w:tcPr>
          <w:p w14:paraId="569CC8F6" w14:textId="77777777" w:rsidR="00A06BE9" w:rsidRPr="00701F32" w:rsidRDefault="00A06BE9">
            <w:pPr>
              <w:tabs>
                <w:tab w:val="left" w:pos="142"/>
              </w:tabs>
              <w:jc w:val="right"/>
              <w:rPr>
                <w:rFonts w:ascii="Arial" w:hAnsi="Arial" w:cs="Arial"/>
                <w:sz w:val="18"/>
              </w:rPr>
            </w:pPr>
            <w:r w:rsidRPr="00701F32">
              <w:rPr>
                <w:rFonts w:ascii="Arial" w:hAnsi="Arial" w:cs="Arial"/>
                <w:sz w:val="18"/>
              </w:rPr>
              <w:t>15.057</w:t>
            </w:r>
          </w:p>
        </w:tc>
        <w:tc>
          <w:tcPr>
            <w:tcW w:w="629" w:type="pct"/>
            <w:tcBorders>
              <w:left w:val="single" w:sz="4" w:space="0" w:color="auto"/>
              <w:right w:val="single" w:sz="4" w:space="0" w:color="auto"/>
            </w:tcBorders>
            <w:vAlign w:val="bottom"/>
          </w:tcPr>
          <w:p w14:paraId="57D67229" w14:textId="77777777" w:rsidR="00A06BE9" w:rsidRPr="00701F32" w:rsidRDefault="00A06BE9">
            <w:pPr>
              <w:tabs>
                <w:tab w:val="left" w:pos="142"/>
              </w:tabs>
              <w:jc w:val="right"/>
              <w:rPr>
                <w:rFonts w:ascii="Arial" w:hAnsi="Arial" w:cs="Arial"/>
                <w:sz w:val="18"/>
              </w:rPr>
            </w:pPr>
            <w:r w:rsidRPr="00701F32">
              <w:rPr>
                <w:rFonts w:ascii="Arial" w:hAnsi="Arial" w:cs="Arial"/>
                <w:sz w:val="18"/>
              </w:rPr>
              <w:t>7.893</w:t>
            </w:r>
          </w:p>
        </w:tc>
      </w:tr>
      <w:tr w:rsidR="00A06BE9" w:rsidRPr="00701F32" w14:paraId="43284B80" w14:textId="77777777" w:rsidTr="00E311C9">
        <w:trPr>
          <w:trHeight w:val="340"/>
        </w:trPr>
        <w:tc>
          <w:tcPr>
            <w:tcW w:w="3022" w:type="pct"/>
            <w:tcBorders>
              <w:left w:val="single" w:sz="4" w:space="0" w:color="auto"/>
              <w:right w:val="single" w:sz="4" w:space="0" w:color="auto"/>
            </w:tcBorders>
            <w:shd w:val="clear" w:color="auto" w:fill="auto"/>
            <w:noWrap/>
            <w:vAlign w:val="center"/>
          </w:tcPr>
          <w:p w14:paraId="1E9114D4"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Depósitos en garantía por operaciones de cambio a término</w:t>
            </w:r>
          </w:p>
        </w:tc>
        <w:tc>
          <w:tcPr>
            <w:tcW w:w="680" w:type="pct"/>
            <w:tcBorders>
              <w:left w:val="single" w:sz="4" w:space="0" w:color="auto"/>
              <w:right w:val="single" w:sz="4" w:space="0" w:color="auto"/>
            </w:tcBorders>
            <w:shd w:val="clear" w:color="auto" w:fill="auto"/>
            <w:noWrap/>
            <w:vAlign w:val="bottom"/>
          </w:tcPr>
          <w:p w14:paraId="3ED8C2F0" w14:textId="77777777" w:rsidR="00A06BE9" w:rsidRPr="00701F32" w:rsidRDefault="007E6672">
            <w:pPr>
              <w:tabs>
                <w:tab w:val="left" w:pos="142"/>
              </w:tabs>
              <w:jc w:val="right"/>
              <w:rPr>
                <w:rFonts w:ascii="Arial" w:hAnsi="Arial" w:cs="Arial"/>
                <w:sz w:val="18"/>
              </w:rPr>
            </w:pPr>
            <w:r w:rsidRPr="00701F32">
              <w:rPr>
                <w:rFonts w:ascii="Arial" w:hAnsi="Arial" w:cs="Arial"/>
                <w:sz w:val="18"/>
              </w:rPr>
              <w:t>1.016.445</w:t>
            </w:r>
          </w:p>
        </w:tc>
        <w:tc>
          <w:tcPr>
            <w:tcW w:w="669" w:type="pct"/>
            <w:tcBorders>
              <w:left w:val="single" w:sz="4" w:space="0" w:color="auto"/>
              <w:right w:val="single" w:sz="4" w:space="0" w:color="auto"/>
            </w:tcBorders>
            <w:shd w:val="clear" w:color="auto" w:fill="auto"/>
            <w:noWrap/>
            <w:vAlign w:val="bottom"/>
          </w:tcPr>
          <w:p w14:paraId="1CBB3453" w14:textId="77777777" w:rsidR="00A06BE9" w:rsidRPr="00701F32" w:rsidRDefault="00A06BE9">
            <w:pPr>
              <w:tabs>
                <w:tab w:val="left" w:pos="142"/>
              </w:tabs>
              <w:jc w:val="right"/>
              <w:rPr>
                <w:rFonts w:ascii="Arial" w:hAnsi="Arial" w:cs="Arial"/>
                <w:sz w:val="18"/>
              </w:rPr>
            </w:pPr>
            <w:r w:rsidRPr="00701F32">
              <w:rPr>
                <w:rFonts w:ascii="Arial" w:hAnsi="Arial" w:cs="Arial"/>
                <w:sz w:val="18"/>
              </w:rPr>
              <w:t>245.550</w:t>
            </w:r>
          </w:p>
        </w:tc>
        <w:tc>
          <w:tcPr>
            <w:tcW w:w="629" w:type="pct"/>
            <w:tcBorders>
              <w:left w:val="single" w:sz="4" w:space="0" w:color="auto"/>
              <w:right w:val="single" w:sz="4" w:space="0" w:color="auto"/>
            </w:tcBorders>
            <w:vAlign w:val="bottom"/>
          </w:tcPr>
          <w:p w14:paraId="54D32466" w14:textId="77777777" w:rsidR="00A06BE9" w:rsidRPr="00701F32" w:rsidRDefault="00A06BE9">
            <w:pPr>
              <w:tabs>
                <w:tab w:val="left" w:pos="142"/>
              </w:tabs>
              <w:jc w:val="right"/>
              <w:rPr>
                <w:rFonts w:ascii="Arial" w:hAnsi="Arial" w:cs="Arial"/>
                <w:sz w:val="18"/>
              </w:rPr>
            </w:pPr>
            <w:r w:rsidRPr="00701F32">
              <w:rPr>
                <w:rFonts w:ascii="Arial" w:hAnsi="Arial" w:cs="Arial"/>
                <w:sz w:val="18"/>
              </w:rPr>
              <w:t>114.820</w:t>
            </w:r>
          </w:p>
        </w:tc>
      </w:tr>
      <w:tr w:rsidR="00A06BE9" w:rsidRPr="00701F32" w14:paraId="4C66D248" w14:textId="77777777" w:rsidTr="00E311C9">
        <w:trPr>
          <w:trHeight w:val="340"/>
        </w:trPr>
        <w:tc>
          <w:tcPr>
            <w:tcW w:w="3022" w:type="pct"/>
            <w:tcBorders>
              <w:left w:val="single" w:sz="4" w:space="0" w:color="auto"/>
              <w:bottom w:val="single" w:sz="6" w:space="0" w:color="auto"/>
              <w:right w:val="single" w:sz="4" w:space="0" w:color="auto"/>
            </w:tcBorders>
            <w:shd w:val="clear" w:color="auto" w:fill="auto"/>
            <w:noWrap/>
            <w:vAlign w:val="center"/>
          </w:tcPr>
          <w:p w14:paraId="7BE53D4C"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Depósitos en garantía por operaciones con tarjetas de crédito</w:t>
            </w:r>
          </w:p>
        </w:tc>
        <w:tc>
          <w:tcPr>
            <w:tcW w:w="680" w:type="pct"/>
            <w:tcBorders>
              <w:left w:val="single" w:sz="4" w:space="0" w:color="auto"/>
              <w:bottom w:val="single" w:sz="6" w:space="0" w:color="auto"/>
              <w:right w:val="single" w:sz="4" w:space="0" w:color="auto"/>
            </w:tcBorders>
            <w:shd w:val="clear" w:color="auto" w:fill="auto"/>
            <w:noWrap/>
            <w:vAlign w:val="bottom"/>
          </w:tcPr>
          <w:p w14:paraId="246D779C" w14:textId="77777777" w:rsidR="00A06BE9" w:rsidRPr="00701F32" w:rsidRDefault="007E6672">
            <w:pPr>
              <w:tabs>
                <w:tab w:val="left" w:pos="142"/>
              </w:tabs>
              <w:jc w:val="right"/>
              <w:rPr>
                <w:rFonts w:ascii="Arial" w:hAnsi="Arial" w:cs="Arial"/>
                <w:sz w:val="18"/>
              </w:rPr>
            </w:pPr>
            <w:r w:rsidRPr="00701F32">
              <w:rPr>
                <w:rFonts w:ascii="Arial" w:hAnsi="Arial" w:cs="Arial"/>
                <w:sz w:val="18"/>
              </w:rPr>
              <w:t>226.956</w:t>
            </w:r>
          </w:p>
        </w:tc>
        <w:tc>
          <w:tcPr>
            <w:tcW w:w="669" w:type="pct"/>
            <w:tcBorders>
              <w:left w:val="single" w:sz="4" w:space="0" w:color="auto"/>
              <w:bottom w:val="single" w:sz="6" w:space="0" w:color="auto"/>
              <w:right w:val="single" w:sz="4" w:space="0" w:color="auto"/>
            </w:tcBorders>
            <w:shd w:val="clear" w:color="auto" w:fill="auto"/>
            <w:noWrap/>
            <w:vAlign w:val="bottom"/>
          </w:tcPr>
          <w:p w14:paraId="16925DD6" w14:textId="77777777" w:rsidR="00A06BE9" w:rsidRPr="00701F32" w:rsidRDefault="00A06BE9">
            <w:pPr>
              <w:tabs>
                <w:tab w:val="left" w:pos="142"/>
              </w:tabs>
              <w:jc w:val="right"/>
              <w:rPr>
                <w:rFonts w:ascii="Arial" w:hAnsi="Arial" w:cs="Arial"/>
                <w:sz w:val="18"/>
              </w:rPr>
            </w:pPr>
            <w:r w:rsidRPr="00701F32">
              <w:rPr>
                <w:rFonts w:ascii="Arial" w:hAnsi="Arial" w:cs="Arial"/>
                <w:sz w:val="18"/>
              </w:rPr>
              <w:t>161.079</w:t>
            </w:r>
          </w:p>
        </w:tc>
        <w:tc>
          <w:tcPr>
            <w:tcW w:w="629" w:type="pct"/>
            <w:tcBorders>
              <w:left w:val="single" w:sz="4" w:space="0" w:color="auto"/>
              <w:bottom w:val="single" w:sz="6" w:space="0" w:color="auto"/>
              <w:right w:val="single" w:sz="4" w:space="0" w:color="auto"/>
            </w:tcBorders>
            <w:vAlign w:val="bottom"/>
          </w:tcPr>
          <w:p w14:paraId="08269D22" w14:textId="77777777" w:rsidR="00A06BE9" w:rsidRPr="00701F32" w:rsidRDefault="00A06BE9">
            <w:pPr>
              <w:tabs>
                <w:tab w:val="left" w:pos="142"/>
              </w:tabs>
              <w:jc w:val="right"/>
              <w:rPr>
                <w:rFonts w:ascii="Arial" w:hAnsi="Arial" w:cs="Arial"/>
                <w:sz w:val="18"/>
              </w:rPr>
            </w:pPr>
            <w:r w:rsidRPr="00701F32">
              <w:rPr>
                <w:rFonts w:ascii="Arial" w:hAnsi="Arial" w:cs="Arial"/>
                <w:sz w:val="18"/>
              </w:rPr>
              <w:t>135.297</w:t>
            </w:r>
          </w:p>
        </w:tc>
      </w:tr>
      <w:tr w:rsidR="00A06BE9" w:rsidRPr="00701F32" w14:paraId="7B5DCA73" w14:textId="77777777" w:rsidTr="00E311C9">
        <w:trPr>
          <w:trHeight w:val="340"/>
        </w:trPr>
        <w:tc>
          <w:tcPr>
            <w:tcW w:w="3022" w:type="pct"/>
            <w:tcBorders>
              <w:top w:val="single" w:sz="6" w:space="0" w:color="auto"/>
              <w:left w:val="single" w:sz="4" w:space="0" w:color="auto"/>
              <w:bottom w:val="single" w:sz="6" w:space="0" w:color="auto"/>
              <w:right w:val="single" w:sz="4" w:space="0" w:color="auto"/>
            </w:tcBorders>
            <w:shd w:val="clear" w:color="auto" w:fill="auto"/>
            <w:noWrap/>
            <w:vAlign w:val="center"/>
          </w:tcPr>
          <w:p w14:paraId="1F9DDF16"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Aforos por operaciones de pase</w:t>
            </w:r>
          </w:p>
        </w:tc>
        <w:tc>
          <w:tcPr>
            <w:tcW w:w="680" w:type="pct"/>
            <w:tcBorders>
              <w:top w:val="single" w:sz="6" w:space="0" w:color="auto"/>
              <w:left w:val="single" w:sz="4" w:space="0" w:color="auto"/>
              <w:bottom w:val="single" w:sz="6" w:space="0" w:color="auto"/>
              <w:right w:val="single" w:sz="4" w:space="0" w:color="auto"/>
            </w:tcBorders>
            <w:shd w:val="clear" w:color="auto" w:fill="auto"/>
            <w:noWrap/>
            <w:vAlign w:val="bottom"/>
          </w:tcPr>
          <w:p w14:paraId="06841B0C" w14:textId="77777777" w:rsidR="00A06BE9" w:rsidRPr="00701F32" w:rsidRDefault="007E6672">
            <w:pPr>
              <w:tabs>
                <w:tab w:val="left" w:pos="142"/>
              </w:tabs>
              <w:jc w:val="right"/>
              <w:rPr>
                <w:rFonts w:ascii="Arial" w:hAnsi="Arial" w:cs="Arial"/>
                <w:sz w:val="18"/>
              </w:rPr>
            </w:pPr>
            <w:r w:rsidRPr="00701F32">
              <w:rPr>
                <w:rFonts w:ascii="Arial" w:hAnsi="Arial" w:cs="Arial"/>
                <w:sz w:val="18"/>
              </w:rPr>
              <w:t>-</w:t>
            </w:r>
          </w:p>
        </w:tc>
        <w:tc>
          <w:tcPr>
            <w:tcW w:w="669" w:type="pct"/>
            <w:tcBorders>
              <w:top w:val="single" w:sz="6" w:space="0" w:color="auto"/>
              <w:left w:val="single" w:sz="4" w:space="0" w:color="auto"/>
              <w:bottom w:val="single" w:sz="6" w:space="0" w:color="auto"/>
              <w:right w:val="single" w:sz="4" w:space="0" w:color="auto"/>
            </w:tcBorders>
            <w:shd w:val="clear" w:color="auto" w:fill="auto"/>
            <w:noWrap/>
            <w:vAlign w:val="bottom"/>
          </w:tcPr>
          <w:p w14:paraId="150E5CDA" w14:textId="77777777" w:rsidR="00A06BE9" w:rsidRPr="00701F32" w:rsidRDefault="00A06BE9">
            <w:pPr>
              <w:tabs>
                <w:tab w:val="left" w:pos="142"/>
              </w:tabs>
              <w:jc w:val="right"/>
              <w:rPr>
                <w:rFonts w:ascii="Arial" w:hAnsi="Arial" w:cs="Arial"/>
                <w:sz w:val="18"/>
              </w:rPr>
            </w:pPr>
            <w:r w:rsidRPr="00701F32">
              <w:rPr>
                <w:rFonts w:ascii="Arial" w:hAnsi="Arial" w:cs="Arial"/>
                <w:sz w:val="18"/>
              </w:rPr>
              <w:t>-</w:t>
            </w:r>
          </w:p>
        </w:tc>
        <w:tc>
          <w:tcPr>
            <w:tcW w:w="629" w:type="pct"/>
            <w:tcBorders>
              <w:top w:val="single" w:sz="6" w:space="0" w:color="auto"/>
              <w:left w:val="single" w:sz="4" w:space="0" w:color="auto"/>
              <w:bottom w:val="single" w:sz="6" w:space="0" w:color="auto"/>
              <w:right w:val="single" w:sz="4" w:space="0" w:color="auto"/>
            </w:tcBorders>
            <w:vAlign w:val="bottom"/>
          </w:tcPr>
          <w:p w14:paraId="630CC13A" w14:textId="77777777" w:rsidR="00A06BE9" w:rsidRPr="00701F32" w:rsidRDefault="00A06BE9">
            <w:pPr>
              <w:tabs>
                <w:tab w:val="left" w:pos="142"/>
              </w:tabs>
              <w:jc w:val="right"/>
              <w:rPr>
                <w:rFonts w:ascii="Arial" w:hAnsi="Arial" w:cs="Arial"/>
                <w:sz w:val="18"/>
              </w:rPr>
            </w:pPr>
            <w:r w:rsidRPr="00701F32">
              <w:rPr>
                <w:rFonts w:ascii="Arial" w:hAnsi="Arial" w:cs="Arial"/>
                <w:sz w:val="18"/>
              </w:rPr>
              <w:t>59.014</w:t>
            </w:r>
          </w:p>
        </w:tc>
      </w:tr>
      <w:tr w:rsidR="00A06BE9" w:rsidRPr="00701F32" w14:paraId="07304FCA" w14:textId="77777777" w:rsidTr="00E311C9">
        <w:trPr>
          <w:trHeight w:val="340"/>
        </w:trPr>
        <w:tc>
          <w:tcPr>
            <w:tcW w:w="302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582C8BB2" w14:textId="77777777" w:rsidR="00A06BE9" w:rsidRPr="00701F32" w:rsidRDefault="00A06BE9" w:rsidP="00464C0F">
            <w:pPr>
              <w:tabs>
                <w:tab w:val="left" w:pos="142"/>
              </w:tabs>
              <w:jc w:val="both"/>
              <w:rPr>
                <w:rFonts w:ascii="Arial" w:hAnsi="Arial" w:cs="Arial"/>
                <w:sz w:val="18"/>
              </w:rPr>
            </w:pPr>
            <w:r w:rsidRPr="00701F32">
              <w:rPr>
                <w:rFonts w:ascii="Arial" w:hAnsi="Arial" w:cs="Arial"/>
                <w:sz w:val="18"/>
              </w:rPr>
              <w:t xml:space="preserve">Otros depósitos en garantía </w:t>
            </w:r>
          </w:p>
        </w:tc>
        <w:tc>
          <w:tcPr>
            <w:tcW w:w="680" w:type="pct"/>
            <w:tcBorders>
              <w:top w:val="single" w:sz="6" w:space="0" w:color="auto"/>
              <w:left w:val="single" w:sz="4" w:space="0" w:color="auto"/>
              <w:bottom w:val="single" w:sz="4" w:space="0" w:color="auto"/>
              <w:right w:val="single" w:sz="4" w:space="0" w:color="auto"/>
            </w:tcBorders>
            <w:shd w:val="clear" w:color="auto" w:fill="auto"/>
            <w:noWrap/>
            <w:vAlign w:val="bottom"/>
          </w:tcPr>
          <w:p w14:paraId="3FF8177C" w14:textId="77777777" w:rsidR="00A06BE9" w:rsidRPr="00701F32" w:rsidRDefault="007E6672">
            <w:pPr>
              <w:tabs>
                <w:tab w:val="left" w:pos="142"/>
              </w:tabs>
              <w:jc w:val="right"/>
              <w:rPr>
                <w:rFonts w:ascii="Arial" w:hAnsi="Arial" w:cs="Arial"/>
                <w:sz w:val="18"/>
              </w:rPr>
            </w:pPr>
            <w:r w:rsidRPr="00701F32">
              <w:rPr>
                <w:rFonts w:ascii="Arial" w:hAnsi="Arial" w:cs="Arial"/>
                <w:sz w:val="18"/>
              </w:rPr>
              <w:t>154.474</w:t>
            </w:r>
          </w:p>
        </w:tc>
        <w:tc>
          <w:tcPr>
            <w:tcW w:w="669" w:type="pct"/>
            <w:tcBorders>
              <w:top w:val="single" w:sz="6" w:space="0" w:color="auto"/>
              <w:left w:val="single" w:sz="4" w:space="0" w:color="auto"/>
              <w:bottom w:val="single" w:sz="4" w:space="0" w:color="auto"/>
              <w:right w:val="single" w:sz="4" w:space="0" w:color="auto"/>
            </w:tcBorders>
            <w:shd w:val="clear" w:color="auto" w:fill="auto"/>
            <w:noWrap/>
            <w:vAlign w:val="bottom"/>
          </w:tcPr>
          <w:p w14:paraId="2BA9D880" w14:textId="77777777" w:rsidR="00A06BE9" w:rsidRPr="00701F32" w:rsidRDefault="00A06BE9">
            <w:pPr>
              <w:tabs>
                <w:tab w:val="left" w:pos="142"/>
              </w:tabs>
              <w:jc w:val="right"/>
              <w:rPr>
                <w:rFonts w:ascii="Arial" w:hAnsi="Arial" w:cs="Arial"/>
                <w:sz w:val="18"/>
              </w:rPr>
            </w:pPr>
            <w:r w:rsidRPr="00701F32">
              <w:rPr>
                <w:rFonts w:ascii="Arial" w:hAnsi="Arial" w:cs="Arial"/>
                <w:sz w:val="18"/>
              </w:rPr>
              <w:t>25.159</w:t>
            </w:r>
          </w:p>
        </w:tc>
        <w:tc>
          <w:tcPr>
            <w:tcW w:w="629" w:type="pct"/>
            <w:tcBorders>
              <w:top w:val="single" w:sz="6" w:space="0" w:color="auto"/>
              <w:left w:val="single" w:sz="4" w:space="0" w:color="auto"/>
              <w:bottom w:val="single" w:sz="4" w:space="0" w:color="auto"/>
              <w:right w:val="single" w:sz="4" w:space="0" w:color="auto"/>
            </w:tcBorders>
            <w:vAlign w:val="bottom"/>
          </w:tcPr>
          <w:p w14:paraId="2DE361EB" w14:textId="77777777" w:rsidR="00A06BE9" w:rsidRPr="00701F32" w:rsidRDefault="00A06BE9">
            <w:pPr>
              <w:tabs>
                <w:tab w:val="left" w:pos="142"/>
              </w:tabs>
              <w:jc w:val="right"/>
              <w:rPr>
                <w:rFonts w:ascii="Arial" w:hAnsi="Arial" w:cs="Arial"/>
                <w:sz w:val="18"/>
              </w:rPr>
            </w:pPr>
            <w:r w:rsidRPr="00701F32">
              <w:rPr>
                <w:rFonts w:ascii="Arial" w:hAnsi="Arial" w:cs="Arial"/>
                <w:sz w:val="18"/>
              </w:rPr>
              <w:t>20.171</w:t>
            </w:r>
          </w:p>
        </w:tc>
      </w:tr>
      <w:tr w:rsidR="00A06BE9" w:rsidRPr="00701F32" w14:paraId="4D9B8208" w14:textId="77777777" w:rsidTr="00E311C9">
        <w:trPr>
          <w:trHeight w:val="255"/>
        </w:trPr>
        <w:tc>
          <w:tcPr>
            <w:tcW w:w="30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19C92" w14:textId="77777777" w:rsidR="00A06BE9" w:rsidRPr="00701F32" w:rsidRDefault="00A06BE9" w:rsidP="00464C0F">
            <w:pPr>
              <w:tabs>
                <w:tab w:val="left" w:pos="142"/>
              </w:tabs>
              <w:jc w:val="both"/>
              <w:rPr>
                <w:rFonts w:ascii="Arial" w:hAnsi="Arial" w:cs="Arial"/>
                <w:sz w:val="18"/>
              </w:rPr>
            </w:pP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082FB" w14:textId="77777777" w:rsidR="00A06BE9" w:rsidRPr="00701F32" w:rsidRDefault="008F7A3D">
            <w:pPr>
              <w:tabs>
                <w:tab w:val="left" w:pos="142"/>
              </w:tabs>
              <w:jc w:val="right"/>
              <w:rPr>
                <w:rFonts w:ascii="Arial" w:hAnsi="Arial" w:cs="Arial"/>
                <w:b/>
                <w:bCs/>
                <w:sz w:val="18"/>
              </w:rPr>
            </w:pPr>
            <w:r w:rsidRPr="00701F32">
              <w:rPr>
                <w:rFonts w:ascii="Arial" w:hAnsi="Arial" w:cs="Arial"/>
                <w:b/>
                <w:bCs/>
                <w:sz w:val="18"/>
              </w:rPr>
              <w:t>2.542.037</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D86E9" w14:textId="77777777" w:rsidR="00A06BE9" w:rsidRPr="00701F32" w:rsidRDefault="00A06BE9">
            <w:pPr>
              <w:tabs>
                <w:tab w:val="left" w:pos="142"/>
              </w:tabs>
              <w:jc w:val="right"/>
              <w:rPr>
                <w:rFonts w:ascii="Arial" w:hAnsi="Arial" w:cs="Arial"/>
                <w:b/>
                <w:bCs/>
                <w:sz w:val="18"/>
              </w:rPr>
            </w:pPr>
            <w:r w:rsidRPr="00701F32">
              <w:rPr>
                <w:rFonts w:ascii="Arial" w:hAnsi="Arial" w:cs="Arial"/>
                <w:b/>
                <w:bCs/>
                <w:sz w:val="18"/>
              </w:rPr>
              <w:t>1.330.181</w:t>
            </w:r>
          </w:p>
        </w:tc>
        <w:tc>
          <w:tcPr>
            <w:tcW w:w="629" w:type="pct"/>
            <w:tcBorders>
              <w:top w:val="single" w:sz="4" w:space="0" w:color="auto"/>
              <w:left w:val="single" w:sz="4" w:space="0" w:color="auto"/>
              <w:bottom w:val="single" w:sz="4" w:space="0" w:color="auto"/>
              <w:right w:val="single" w:sz="4" w:space="0" w:color="auto"/>
            </w:tcBorders>
            <w:vAlign w:val="bottom"/>
          </w:tcPr>
          <w:p w14:paraId="6B2D8D88" w14:textId="77777777" w:rsidR="00A06BE9" w:rsidRPr="00701F32" w:rsidRDefault="00A06BE9">
            <w:pPr>
              <w:tabs>
                <w:tab w:val="left" w:pos="142"/>
              </w:tabs>
              <w:ind w:left="142" w:hanging="142"/>
              <w:jc w:val="right"/>
              <w:rPr>
                <w:rFonts w:ascii="Arial" w:hAnsi="Arial" w:cs="Arial"/>
                <w:b/>
                <w:bCs/>
                <w:sz w:val="18"/>
              </w:rPr>
            </w:pPr>
            <w:r w:rsidRPr="00701F32">
              <w:rPr>
                <w:rFonts w:ascii="Arial" w:hAnsi="Arial" w:cs="Arial"/>
                <w:b/>
                <w:bCs/>
                <w:sz w:val="18"/>
              </w:rPr>
              <w:t>1.005.918</w:t>
            </w:r>
          </w:p>
        </w:tc>
      </w:tr>
    </w:tbl>
    <w:p w14:paraId="42555117" w14:textId="5C17F208" w:rsidR="00F53550" w:rsidRPr="00701F32" w:rsidRDefault="00F53550">
      <w:pPr>
        <w:rPr>
          <w:rFonts w:ascii="Arial" w:hAnsi="Arial" w:cs="Arial"/>
          <w:b/>
          <w:sz w:val="20"/>
        </w:rPr>
      </w:pPr>
    </w:p>
    <w:p w14:paraId="5E14C807" w14:textId="77777777" w:rsidR="00A06BE9" w:rsidRPr="00701F32" w:rsidRDefault="00AF3A00" w:rsidP="00A06BE9">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.3 Aumentos de capital pendientes de autorización</w:t>
      </w:r>
    </w:p>
    <w:p w14:paraId="5E4AAB3A" w14:textId="77777777" w:rsidR="00A06BE9" w:rsidRPr="00701F32" w:rsidRDefault="00A06BE9" w:rsidP="00A06BE9">
      <w:pPr>
        <w:tabs>
          <w:tab w:val="left" w:pos="142"/>
        </w:tabs>
        <w:jc w:val="both"/>
        <w:rPr>
          <w:rFonts w:ascii="Arial" w:hAnsi="Arial" w:cs="Arial"/>
          <w:sz w:val="20"/>
        </w:rPr>
      </w:pPr>
    </w:p>
    <w:p w14:paraId="667FF1B9" w14:textId="1DAD1698" w:rsidR="00A06BE9" w:rsidRPr="00701F32" w:rsidRDefault="00A06BE9" w:rsidP="00A06BE9">
      <w:pPr>
        <w:tabs>
          <w:tab w:val="left" w:pos="142"/>
        </w:tabs>
        <w:jc w:val="both"/>
        <w:rPr>
          <w:rFonts w:ascii="Arial" w:hAnsi="Arial" w:cs="Arial"/>
          <w:sz w:val="20"/>
        </w:rPr>
      </w:pPr>
      <w:r w:rsidRPr="00701F32">
        <w:rPr>
          <w:rFonts w:ascii="Arial" w:hAnsi="Arial" w:cs="Arial"/>
          <w:sz w:val="20"/>
        </w:rPr>
        <w:t>Se resume a continuación el estado de capital social al cierre del período finalizado el 3</w:t>
      </w:r>
      <w:r w:rsidR="001B6692"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septiembre</w:t>
      </w:r>
      <w:r w:rsidRPr="00701F32">
        <w:rPr>
          <w:rFonts w:ascii="Arial" w:hAnsi="Arial" w:cs="Arial"/>
          <w:sz w:val="20"/>
        </w:rPr>
        <w:t xml:space="preserve"> de 2018 a partir de los últimos 3 ejercicios anteriores:</w:t>
      </w:r>
    </w:p>
    <w:tbl>
      <w:tblPr>
        <w:tblW w:w="8520" w:type="dxa"/>
        <w:tblInd w:w="53" w:type="dxa"/>
        <w:tblLayout w:type="fixed"/>
        <w:tblCellMar>
          <w:left w:w="70" w:type="dxa"/>
          <w:right w:w="70" w:type="dxa"/>
        </w:tblCellMar>
        <w:tblLook w:val="04A0" w:firstRow="1" w:lastRow="0" w:firstColumn="1" w:lastColumn="0" w:noHBand="0" w:noVBand="1"/>
      </w:tblPr>
      <w:tblGrid>
        <w:gridCol w:w="4209"/>
        <w:gridCol w:w="1752"/>
        <w:gridCol w:w="1350"/>
        <w:gridCol w:w="1209"/>
      </w:tblGrid>
      <w:tr w:rsidR="00A06BE9" w:rsidRPr="00701F32" w14:paraId="35A51E09" w14:textId="77777777" w:rsidTr="00712ADC">
        <w:trPr>
          <w:trHeight w:val="298"/>
          <w:tblHeader/>
        </w:trPr>
        <w:tc>
          <w:tcPr>
            <w:tcW w:w="42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A59F83" w14:textId="77777777" w:rsidR="00A06BE9" w:rsidRPr="00701F32" w:rsidRDefault="00A06BE9" w:rsidP="00464C0F">
            <w:pPr>
              <w:jc w:val="center"/>
              <w:rPr>
                <w:rFonts w:ascii="Arial" w:hAnsi="Arial" w:cs="Arial"/>
                <w:b/>
                <w:bCs/>
                <w:sz w:val="18"/>
                <w:lang w:eastAsia="es-AR"/>
              </w:rPr>
            </w:pPr>
            <w:bookmarkStart w:id="2" w:name="OLE_LINK1"/>
            <w:r w:rsidRPr="00701F32">
              <w:rPr>
                <w:rFonts w:ascii="Arial" w:hAnsi="Arial" w:cs="Arial"/>
                <w:b/>
                <w:bCs/>
                <w:sz w:val="18"/>
                <w:lang w:eastAsia="es-AR"/>
              </w:rPr>
              <w:t>Concepto</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5307E" w14:textId="77777777" w:rsidR="00A06BE9" w:rsidRPr="00701F32" w:rsidRDefault="00A06BE9" w:rsidP="00464C0F">
            <w:pPr>
              <w:jc w:val="center"/>
              <w:rPr>
                <w:rFonts w:ascii="Arial" w:hAnsi="Arial" w:cs="Arial"/>
                <w:b/>
                <w:bCs/>
                <w:sz w:val="18"/>
                <w:lang w:eastAsia="es-AR"/>
              </w:rPr>
            </w:pPr>
            <w:r w:rsidRPr="00701F32">
              <w:rPr>
                <w:rFonts w:ascii="Arial" w:hAnsi="Arial" w:cs="Arial"/>
                <w:b/>
                <w:bCs/>
                <w:sz w:val="18"/>
                <w:lang w:eastAsia="es-AR"/>
              </w:rPr>
              <w:t>Importe</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6822BB0" w14:textId="77777777" w:rsidR="00A06BE9" w:rsidRPr="00701F32" w:rsidRDefault="00A06BE9" w:rsidP="00464C0F">
            <w:pPr>
              <w:jc w:val="center"/>
              <w:rPr>
                <w:rFonts w:ascii="Arial" w:hAnsi="Arial" w:cs="Arial"/>
                <w:b/>
                <w:bCs/>
                <w:sz w:val="18"/>
                <w:lang w:eastAsia="es-AR"/>
              </w:rPr>
            </w:pPr>
            <w:r w:rsidRPr="00701F32">
              <w:rPr>
                <w:rFonts w:ascii="Arial" w:hAnsi="Arial" w:cs="Arial"/>
                <w:b/>
                <w:bCs/>
                <w:sz w:val="18"/>
                <w:lang w:eastAsia="es-AR"/>
              </w:rPr>
              <w:t>Saldo del Capital Social</w:t>
            </w:r>
          </w:p>
        </w:tc>
        <w:tc>
          <w:tcPr>
            <w:tcW w:w="120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AD2D793" w14:textId="77777777" w:rsidR="00A06BE9" w:rsidRPr="00701F32" w:rsidRDefault="00A06BE9" w:rsidP="00464C0F">
            <w:pPr>
              <w:jc w:val="center"/>
              <w:rPr>
                <w:rFonts w:ascii="Arial" w:hAnsi="Arial" w:cs="Arial"/>
                <w:b/>
                <w:bCs/>
                <w:sz w:val="18"/>
                <w:lang w:eastAsia="es-AR"/>
              </w:rPr>
            </w:pPr>
            <w:r w:rsidRPr="00701F32">
              <w:rPr>
                <w:rFonts w:ascii="Arial" w:hAnsi="Arial" w:cs="Arial"/>
                <w:b/>
                <w:bCs/>
                <w:sz w:val="18"/>
                <w:lang w:eastAsia="es-AR"/>
              </w:rPr>
              <w:t>Fecha de inscripción en la IGJ</w:t>
            </w:r>
          </w:p>
        </w:tc>
      </w:tr>
      <w:tr w:rsidR="00A06BE9" w:rsidRPr="00701F32" w14:paraId="79E76FD0" w14:textId="77777777" w:rsidTr="00712ADC">
        <w:trPr>
          <w:trHeight w:val="461"/>
          <w:tblHeader/>
        </w:trPr>
        <w:tc>
          <w:tcPr>
            <w:tcW w:w="4209" w:type="dxa"/>
            <w:vMerge/>
            <w:tcBorders>
              <w:top w:val="nil"/>
              <w:left w:val="single" w:sz="4" w:space="0" w:color="auto"/>
              <w:bottom w:val="single" w:sz="4" w:space="0" w:color="auto"/>
              <w:right w:val="single" w:sz="4" w:space="0" w:color="auto"/>
            </w:tcBorders>
            <w:vAlign w:val="center"/>
            <w:hideMark/>
          </w:tcPr>
          <w:p w14:paraId="1A7E0E06" w14:textId="77777777" w:rsidR="00A06BE9" w:rsidRPr="00701F32" w:rsidRDefault="00A06BE9" w:rsidP="00464C0F">
            <w:pPr>
              <w:jc w:val="both"/>
              <w:rPr>
                <w:rFonts w:ascii="Arial" w:hAnsi="Arial" w:cs="Arial"/>
                <w:b/>
                <w:bCs/>
                <w:sz w:val="18"/>
                <w:lang w:eastAsia="es-AR"/>
              </w:rPr>
            </w:pPr>
          </w:p>
        </w:tc>
        <w:tc>
          <w:tcPr>
            <w:tcW w:w="1752" w:type="dxa"/>
            <w:vMerge/>
            <w:tcBorders>
              <w:top w:val="nil"/>
              <w:left w:val="single" w:sz="4" w:space="0" w:color="auto"/>
              <w:bottom w:val="single" w:sz="4" w:space="0" w:color="auto"/>
              <w:right w:val="single" w:sz="4" w:space="0" w:color="auto"/>
            </w:tcBorders>
            <w:vAlign w:val="center"/>
            <w:hideMark/>
          </w:tcPr>
          <w:p w14:paraId="70ECABFB" w14:textId="77777777" w:rsidR="00A06BE9" w:rsidRPr="00701F32" w:rsidRDefault="00A06BE9" w:rsidP="00464C0F">
            <w:pPr>
              <w:jc w:val="both"/>
              <w:rPr>
                <w:rFonts w:ascii="Arial" w:hAnsi="Arial" w:cs="Arial"/>
                <w:b/>
                <w:bCs/>
                <w:sz w:val="18"/>
                <w:lang w:eastAsia="es-AR"/>
              </w:rPr>
            </w:pPr>
          </w:p>
        </w:tc>
        <w:tc>
          <w:tcPr>
            <w:tcW w:w="1350" w:type="dxa"/>
            <w:vMerge/>
            <w:tcBorders>
              <w:top w:val="nil"/>
              <w:left w:val="single" w:sz="4" w:space="0" w:color="auto"/>
              <w:bottom w:val="single" w:sz="4" w:space="0" w:color="auto"/>
              <w:right w:val="single" w:sz="4" w:space="0" w:color="auto"/>
            </w:tcBorders>
            <w:vAlign w:val="center"/>
            <w:hideMark/>
          </w:tcPr>
          <w:p w14:paraId="428EB80A" w14:textId="77777777" w:rsidR="00A06BE9" w:rsidRPr="00701F32" w:rsidRDefault="00A06BE9" w:rsidP="00464C0F">
            <w:pPr>
              <w:jc w:val="center"/>
              <w:rPr>
                <w:rFonts w:ascii="Arial" w:hAnsi="Arial" w:cs="Arial"/>
                <w:b/>
                <w:bCs/>
                <w:sz w:val="18"/>
                <w:lang w:eastAsia="es-AR"/>
              </w:rPr>
            </w:pPr>
          </w:p>
        </w:tc>
        <w:tc>
          <w:tcPr>
            <w:tcW w:w="1209" w:type="dxa"/>
            <w:vMerge/>
            <w:tcBorders>
              <w:top w:val="nil"/>
              <w:left w:val="single" w:sz="4" w:space="0" w:color="auto"/>
              <w:bottom w:val="single" w:sz="4" w:space="0" w:color="auto"/>
              <w:right w:val="single" w:sz="4" w:space="0" w:color="auto"/>
            </w:tcBorders>
            <w:vAlign w:val="center"/>
            <w:hideMark/>
          </w:tcPr>
          <w:p w14:paraId="78373B36" w14:textId="77777777" w:rsidR="00A06BE9" w:rsidRPr="00701F32" w:rsidRDefault="00A06BE9" w:rsidP="00464C0F">
            <w:pPr>
              <w:jc w:val="both"/>
              <w:rPr>
                <w:rFonts w:ascii="Arial" w:hAnsi="Arial" w:cs="Arial"/>
                <w:b/>
                <w:bCs/>
                <w:sz w:val="18"/>
                <w:lang w:eastAsia="es-AR"/>
              </w:rPr>
            </w:pPr>
          </w:p>
        </w:tc>
      </w:tr>
      <w:tr w:rsidR="00A06BE9" w:rsidRPr="00701F32" w14:paraId="6521D115"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7FAA" w14:textId="77777777" w:rsidR="00A06BE9" w:rsidRPr="00701F32" w:rsidRDefault="00A06BE9" w:rsidP="00464C0F">
            <w:pPr>
              <w:rPr>
                <w:rFonts w:ascii="Arial" w:hAnsi="Arial" w:cs="Arial"/>
                <w:b/>
                <w:bCs/>
                <w:sz w:val="18"/>
              </w:rPr>
            </w:pPr>
            <w:r w:rsidRPr="00701F32">
              <w:rPr>
                <w:rFonts w:ascii="Arial" w:hAnsi="Arial" w:cs="Arial"/>
                <w:b/>
                <w:bCs/>
                <w:sz w:val="18"/>
              </w:rPr>
              <w:t>Saldo del Capital Social al 31-12-2015</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7565" w14:textId="77777777" w:rsidR="00A06BE9" w:rsidRPr="00701F32" w:rsidRDefault="00A06BE9" w:rsidP="00464C0F">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B9F53" w14:textId="77777777" w:rsidR="00A06BE9" w:rsidRPr="00701F32" w:rsidRDefault="00A06BE9" w:rsidP="00464C0F">
            <w:pPr>
              <w:jc w:val="center"/>
              <w:rPr>
                <w:rFonts w:ascii="Arial" w:hAnsi="Arial" w:cs="Arial"/>
                <w:b/>
                <w:bCs/>
                <w:sz w:val="18"/>
                <w:lang w:eastAsia="es-AR"/>
              </w:rPr>
            </w:pPr>
            <w:r w:rsidRPr="00701F32">
              <w:rPr>
                <w:rFonts w:ascii="Arial" w:hAnsi="Arial" w:cs="Arial"/>
                <w:b/>
                <w:bCs/>
                <w:sz w:val="18"/>
                <w:lang w:eastAsia="es-AR"/>
              </w:rPr>
              <w:t>456.140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C01E7" w14:textId="77777777" w:rsidR="00A06BE9" w:rsidRPr="00701F32" w:rsidRDefault="00A06BE9" w:rsidP="00464C0F">
            <w:pPr>
              <w:jc w:val="center"/>
              <w:rPr>
                <w:rFonts w:ascii="Arial" w:hAnsi="Arial" w:cs="Arial"/>
                <w:sz w:val="18"/>
                <w:lang w:eastAsia="es-AR"/>
              </w:rPr>
            </w:pPr>
            <w:r w:rsidRPr="00701F32">
              <w:rPr>
                <w:rFonts w:ascii="Arial" w:hAnsi="Arial" w:cs="Arial"/>
                <w:sz w:val="18"/>
                <w:lang w:eastAsia="es-AR"/>
              </w:rPr>
              <w:t>11-11-2013</w:t>
            </w:r>
          </w:p>
        </w:tc>
      </w:tr>
      <w:tr w:rsidR="00A06BE9" w:rsidRPr="00701F32" w14:paraId="58359630"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F0E7C" w14:textId="77777777" w:rsidR="00A06BE9" w:rsidRPr="00701F32" w:rsidRDefault="00A06BE9" w:rsidP="00464C0F">
            <w:pPr>
              <w:rPr>
                <w:rFonts w:ascii="Arial" w:hAnsi="Arial" w:cs="Arial"/>
                <w:sz w:val="18"/>
                <w:lang w:eastAsia="es-AR"/>
              </w:rPr>
            </w:pPr>
            <w:r w:rsidRPr="00701F32">
              <w:rPr>
                <w:rFonts w:ascii="Arial" w:hAnsi="Arial" w:cs="Arial"/>
                <w:sz w:val="18"/>
                <w:lang w:eastAsia="es-AR"/>
              </w:rPr>
              <w:t>Aumento de capital según Asamblea Extraordinaria de Accionistas del 22-09-2016</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8E8E" w14:textId="77777777" w:rsidR="00A06BE9" w:rsidRPr="00701F32" w:rsidRDefault="00A06BE9" w:rsidP="00010ECB">
            <w:pPr>
              <w:jc w:val="center"/>
              <w:rPr>
                <w:rFonts w:ascii="Arial" w:hAnsi="Arial" w:cs="Arial"/>
                <w:sz w:val="18"/>
                <w:lang w:eastAsia="es-AR"/>
              </w:rPr>
            </w:pPr>
            <w:r w:rsidRPr="00701F32">
              <w:rPr>
                <w:rFonts w:ascii="Arial" w:hAnsi="Arial" w:cs="Arial"/>
                <w:sz w:val="18"/>
                <w:lang w:eastAsia="es-AR"/>
              </w:rPr>
              <w:t>182.</w:t>
            </w:r>
            <w:r w:rsidR="00010ECB" w:rsidRPr="00701F32">
              <w:rPr>
                <w:rFonts w:ascii="Arial" w:hAnsi="Arial" w:cs="Arial"/>
                <w:sz w:val="18"/>
                <w:lang w:eastAsia="es-AR"/>
              </w:rPr>
              <w:t>143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9975" w14:textId="77777777" w:rsidR="00A06BE9" w:rsidRPr="00701F32" w:rsidRDefault="00A06BE9" w:rsidP="00464C0F">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D600" w14:textId="14487819" w:rsidR="00A06BE9" w:rsidRPr="00701F32" w:rsidRDefault="009866DD" w:rsidP="009866DD">
            <w:pPr>
              <w:jc w:val="center"/>
              <w:rPr>
                <w:rFonts w:ascii="Arial" w:hAnsi="Arial" w:cs="Arial"/>
                <w:sz w:val="18"/>
                <w:lang w:eastAsia="es-AR"/>
              </w:rPr>
            </w:pPr>
            <w:r w:rsidRPr="00701F32">
              <w:rPr>
                <w:rFonts w:ascii="Arial" w:hAnsi="Arial" w:cs="Arial"/>
                <w:bCs/>
                <w:sz w:val="18"/>
              </w:rPr>
              <w:t>09-10-2018</w:t>
            </w:r>
          </w:p>
        </w:tc>
      </w:tr>
      <w:tr w:rsidR="00A06BE9" w:rsidRPr="00701F32" w14:paraId="775808D7"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FA7A0" w14:textId="77777777" w:rsidR="00A06BE9" w:rsidRPr="00701F32" w:rsidRDefault="00A06BE9" w:rsidP="00464C0F">
            <w:pPr>
              <w:rPr>
                <w:rFonts w:ascii="Arial" w:hAnsi="Arial" w:cs="Arial"/>
                <w:b/>
                <w:bCs/>
                <w:sz w:val="18"/>
                <w:lang w:eastAsia="es-AR"/>
              </w:rPr>
            </w:pPr>
            <w:r w:rsidRPr="00701F32">
              <w:rPr>
                <w:rFonts w:ascii="Arial" w:hAnsi="Arial" w:cs="Arial"/>
                <w:b/>
                <w:bCs/>
                <w:sz w:val="18"/>
              </w:rPr>
              <w:t>Saldo del Capital Social al 31-12-2016</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6617" w14:textId="77777777" w:rsidR="00A06BE9" w:rsidRPr="00701F32" w:rsidRDefault="00A06BE9" w:rsidP="00464C0F">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4656" w14:textId="77777777" w:rsidR="00A06BE9" w:rsidRPr="00701F32" w:rsidRDefault="00A06BE9" w:rsidP="00010ECB">
            <w:pPr>
              <w:jc w:val="center"/>
              <w:rPr>
                <w:rFonts w:ascii="Arial" w:hAnsi="Arial" w:cs="Arial"/>
                <w:b/>
                <w:bCs/>
                <w:sz w:val="18"/>
                <w:lang w:eastAsia="es-AR"/>
              </w:rPr>
            </w:pPr>
            <w:r w:rsidRPr="00701F32">
              <w:rPr>
                <w:rFonts w:ascii="Arial" w:hAnsi="Arial" w:cs="Arial"/>
                <w:b/>
                <w:bCs/>
                <w:sz w:val="18"/>
                <w:lang w:eastAsia="es-AR"/>
              </w:rPr>
              <w:t>638.</w:t>
            </w:r>
            <w:r w:rsidR="00010ECB" w:rsidRPr="00701F32">
              <w:rPr>
                <w:rFonts w:ascii="Arial" w:hAnsi="Arial" w:cs="Arial"/>
                <w:b/>
                <w:bCs/>
                <w:sz w:val="18"/>
                <w:lang w:eastAsia="es-AR"/>
              </w:rPr>
              <w:t>283</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441C" w14:textId="77777777" w:rsidR="00A06BE9" w:rsidRPr="00701F32" w:rsidRDefault="00A06BE9" w:rsidP="00464C0F">
            <w:pPr>
              <w:jc w:val="center"/>
              <w:rPr>
                <w:rFonts w:ascii="Arial" w:hAnsi="Arial" w:cs="Arial"/>
                <w:sz w:val="18"/>
                <w:lang w:eastAsia="es-AR"/>
              </w:rPr>
            </w:pPr>
          </w:p>
          <w:p w14:paraId="74D3AB1A" w14:textId="77777777" w:rsidR="00A06BE9" w:rsidRPr="00701F32" w:rsidRDefault="00A06BE9" w:rsidP="00464C0F">
            <w:pPr>
              <w:jc w:val="center"/>
              <w:rPr>
                <w:rFonts w:ascii="Arial" w:hAnsi="Arial" w:cs="Arial"/>
                <w:sz w:val="18"/>
                <w:lang w:eastAsia="es-AR"/>
              </w:rPr>
            </w:pPr>
          </w:p>
        </w:tc>
      </w:tr>
      <w:tr w:rsidR="00A06BE9" w:rsidRPr="00701F32" w14:paraId="2C61F505"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81ED0" w14:textId="77777777" w:rsidR="00A06BE9" w:rsidRPr="00701F32" w:rsidRDefault="00A06BE9" w:rsidP="00464C0F">
            <w:pPr>
              <w:rPr>
                <w:rFonts w:ascii="Arial" w:hAnsi="Arial" w:cs="Arial"/>
                <w:sz w:val="18"/>
                <w:lang w:eastAsia="es-AR"/>
              </w:rPr>
            </w:pPr>
            <w:r w:rsidRPr="00701F32">
              <w:rPr>
                <w:rFonts w:ascii="Arial" w:hAnsi="Arial" w:cs="Arial"/>
                <w:sz w:val="18"/>
                <w:lang w:eastAsia="es-AR"/>
              </w:rPr>
              <w:t xml:space="preserve">Aumento de capital según Asamblea </w:t>
            </w:r>
            <w:r w:rsidR="009551F7" w:rsidRPr="00701F32">
              <w:rPr>
                <w:rFonts w:ascii="Arial" w:hAnsi="Arial" w:cs="Arial"/>
                <w:sz w:val="18"/>
                <w:lang w:eastAsia="es-AR"/>
              </w:rPr>
              <w:t xml:space="preserve">Ordinaria y </w:t>
            </w:r>
            <w:r w:rsidRPr="00701F32">
              <w:rPr>
                <w:rFonts w:ascii="Arial" w:hAnsi="Arial" w:cs="Arial"/>
                <w:sz w:val="18"/>
                <w:lang w:eastAsia="es-AR"/>
              </w:rPr>
              <w:t>Extraordinaria de Accionistas del 04-05-2017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2CB08" w14:textId="77777777" w:rsidR="00A06BE9" w:rsidRPr="00701F32" w:rsidRDefault="00A06BE9" w:rsidP="00010ECB">
            <w:pPr>
              <w:jc w:val="center"/>
              <w:rPr>
                <w:rFonts w:ascii="Arial" w:hAnsi="Arial" w:cs="Arial"/>
                <w:sz w:val="18"/>
                <w:lang w:eastAsia="es-AR"/>
              </w:rPr>
            </w:pPr>
            <w:r w:rsidRPr="00701F32">
              <w:rPr>
                <w:rFonts w:ascii="Arial" w:hAnsi="Arial" w:cs="Arial"/>
                <w:sz w:val="18"/>
                <w:lang w:eastAsia="es-AR"/>
              </w:rPr>
              <w:t>4.59</w:t>
            </w:r>
            <w:r w:rsidR="00010ECB" w:rsidRPr="00701F32">
              <w:rPr>
                <w:rFonts w:ascii="Arial" w:hAnsi="Arial" w:cs="Arial"/>
                <w:sz w:val="18"/>
                <w:lang w:eastAsia="es-AR"/>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3D7F6" w14:textId="77777777" w:rsidR="00A06BE9" w:rsidRPr="00701F32" w:rsidRDefault="00A06BE9" w:rsidP="00464C0F">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0BAFA" w14:textId="77777777" w:rsidR="00A06BE9" w:rsidRPr="00701F32" w:rsidRDefault="00A06BE9" w:rsidP="00464C0F">
            <w:pPr>
              <w:jc w:val="center"/>
              <w:rPr>
                <w:rFonts w:ascii="Arial" w:hAnsi="Arial" w:cs="Arial"/>
                <w:sz w:val="18"/>
                <w:lang w:eastAsia="es-AR"/>
              </w:rPr>
            </w:pPr>
            <w:r w:rsidRPr="00701F32">
              <w:rPr>
                <w:rFonts w:ascii="Arial" w:hAnsi="Arial" w:cs="Arial"/>
                <w:bCs/>
                <w:sz w:val="18"/>
              </w:rPr>
              <w:t>En trámite</w:t>
            </w:r>
          </w:p>
        </w:tc>
      </w:tr>
      <w:tr w:rsidR="00A06BE9" w:rsidRPr="00701F32" w14:paraId="182AEF8B"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17F62" w14:textId="77777777" w:rsidR="00A06BE9" w:rsidRPr="00701F32" w:rsidRDefault="00A06BE9" w:rsidP="00464C0F">
            <w:pPr>
              <w:rPr>
                <w:rFonts w:ascii="Arial" w:hAnsi="Arial" w:cs="Arial"/>
                <w:sz w:val="18"/>
                <w:lang w:eastAsia="es-AR"/>
              </w:rPr>
            </w:pPr>
            <w:r w:rsidRPr="00701F32">
              <w:rPr>
                <w:rFonts w:ascii="Arial" w:hAnsi="Arial" w:cs="Arial"/>
                <w:sz w:val="18"/>
                <w:lang w:eastAsia="es-AR"/>
              </w:rPr>
              <w:t>Aumento de capital según Asamblea Ordinaria de Accionistas del 24-11-2017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9FC7" w14:textId="77777777" w:rsidR="00A06BE9" w:rsidRPr="00701F32" w:rsidRDefault="00A06BE9" w:rsidP="00464C0F">
            <w:pPr>
              <w:jc w:val="center"/>
              <w:rPr>
                <w:rFonts w:ascii="Arial" w:hAnsi="Arial" w:cs="Arial"/>
                <w:sz w:val="18"/>
                <w:lang w:eastAsia="es-AR"/>
              </w:rPr>
            </w:pPr>
            <w:r w:rsidRPr="00701F32">
              <w:rPr>
                <w:rFonts w:ascii="Arial" w:hAnsi="Arial" w:cs="Arial"/>
                <w:sz w:val="18"/>
                <w:lang w:eastAsia="es-AR"/>
              </w:rPr>
              <w:t>101.509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E7295" w14:textId="77777777" w:rsidR="00A06BE9" w:rsidRPr="00701F32" w:rsidRDefault="00A06BE9" w:rsidP="00464C0F">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E7714" w14:textId="77777777" w:rsidR="00A06BE9" w:rsidRPr="00701F32" w:rsidRDefault="00A06BE9" w:rsidP="00464C0F">
            <w:pPr>
              <w:jc w:val="center"/>
              <w:rPr>
                <w:rFonts w:ascii="Arial" w:hAnsi="Arial" w:cs="Arial"/>
                <w:bCs/>
                <w:sz w:val="18"/>
              </w:rPr>
            </w:pPr>
            <w:r w:rsidRPr="00701F32">
              <w:rPr>
                <w:rFonts w:ascii="Arial" w:hAnsi="Arial" w:cs="Arial"/>
                <w:bCs/>
                <w:sz w:val="18"/>
              </w:rPr>
              <w:t>En trámite</w:t>
            </w:r>
          </w:p>
        </w:tc>
      </w:tr>
      <w:tr w:rsidR="00B419C2" w:rsidRPr="00701F32" w14:paraId="626BDBA8"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46097" w14:textId="77777777" w:rsidR="00B419C2" w:rsidRPr="00701F32" w:rsidRDefault="00B419C2" w:rsidP="00B419C2">
            <w:pPr>
              <w:rPr>
                <w:rFonts w:ascii="Arial" w:hAnsi="Arial" w:cs="Arial"/>
                <w:b/>
                <w:bCs/>
                <w:sz w:val="18"/>
                <w:lang w:eastAsia="es-AR"/>
              </w:rPr>
            </w:pPr>
            <w:r w:rsidRPr="00701F32">
              <w:rPr>
                <w:rFonts w:ascii="Arial" w:hAnsi="Arial" w:cs="Arial"/>
                <w:b/>
                <w:bCs/>
                <w:sz w:val="18"/>
              </w:rPr>
              <w:t>Saldo del Capital Social al 31-12-2017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A6A6D" w14:textId="77777777" w:rsidR="00B419C2" w:rsidRPr="00701F32" w:rsidRDefault="00B419C2" w:rsidP="00B419C2">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1D52E" w14:textId="77777777" w:rsidR="00B419C2" w:rsidRPr="00701F32" w:rsidRDefault="00B419C2" w:rsidP="006624FB">
            <w:pPr>
              <w:jc w:val="center"/>
              <w:rPr>
                <w:rFonts w:ascii="Arial" w:hAnsi="Arial" w:cs="Arial"/>
                <w:b/>
                <w:bCs/>
                <w:sz w:val="18"/>
                <w:lang w:eastAsia="es-AR"/>
              </w:rPr>
            </w:pPr>
            <w:r w:rsidRPr="00701F32">
              <w:rPr>
                <w:rFonts w:ascii="Arial" w:hAnsi="Arial" w:cs="Arial"/>
                <w:b/>
                <w:bCs/>
                <w:sz w:val="18"/>
                <w:lang w:eastAsia="es-AR"/>
              </w:rPr>
              <w:t>744.38</w:t>
            </w:r>
            <w:r w:rsidR="006624FB" w:rsidRPr="00701F32">
              <w:rPr>
                <w:rFonts w:ascii="Arial" w:hAnsi="Arial" w:cs="Arial"/>
                <w:b/>
                <w:bCs/>
                <w:sz w:val="18"/>
                <w:lang w:eastAsia="es-AR"/>
              </w:rPr>
              <w:t>6</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C09AC" w14:textId="77777777" w:rsidR="00B419C2" w:rsidRPr="00701F32" w:rsidRDefault="00B419C2" w:rsidP="00B419C2">
            <w:pPr>
              <w:jc w:val="center"/>
              <w:rPr>
                <w:rFonts w:ascii="Arial" w:hAnsi="Arial" w:cs="Arial"/>
                <w:sz w:val="18"/>
                <w:lang w:eastAsia="es-AR"/>
              </w:rPr>
            </w:pPr>
          </w:p>
        </w:tc>
      </w:tr>
      <w:tr w:rsidR="00B419C2" w:rsidRPr="00701F32" w14:paraId="2D8D5FC9"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6A381" w14:textId="77777777" w:rsidR="00B419C2" w:rsidRPr="00701F32" w:rsidRDefault="00B419C2" w:rsidP="00B419C2">
            <w:pPr>
              <w:rPr>
                <w:rFonts w:ascii="Arial" w:hAnsi="Arial" w:cs="Arial"/>
                <w:b/>
                <w:bCs/>
                <w:sz w:val="18"/>
              </w:rPr>
            </w:pPr>
            <w:r w:rsidRPr="00701F32">
              <w:rPr>
                <w:rFonts w:ascii="Arial" w:hAnsi="Arial" w:cs="Arial"/>
                <w:sz w:val="18"/>
                <w:lang w:eastAsia="es-AR"/>
              </w:rPr>
              <w:t xml:space="preserve">Aumento de capital según Asamblea Ordinaria </w:t>
            </w:r>
            <w:r w:rsidR="00C73C7E" w:rsidRPr="00701F32">
              <w:rPr>
                <w:rFonts w:ascii="Arial" w:hAnsi="Arial" w:cs="Arial"/>
                <w:sz w:val="18"/>
                <w:lang w:eastAsia="es-AR"/>
              </w:rPr>
              <w:t xml:space="preserve">y Extraordinaria </w:t>
            </w:r>
            <w:r w:rsidRPr="00701F32">
              <w:rPr>
                <w:rFonts w:ascii="Arial" w:hAnsi="Arial" w:cs="Arial"/>
                <w:sz w:val="18"/>
                <w:lang w:eastAsia="es-AR"/>
              </w:rPr>
              <w:t>de Accionistas del 19-04-2018</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B8625" w14:textId="77777777" w:rsidR="00B419C2" w:rsidRPr="00701F32" w:rsidRDefault="00B419C2" w:rsidP="006624FB">
            <w:pPr>
              <w:jc w:val="center"/>
              <w:rPr>
                <w:rFonts w:ascii="Arial" w:hAnsi="Arial" w:cs="Arial"/>
                <w:sz w:val="18"/>
                <w:lang w:eastAsia="es-AR"/>
              </w:rPr>
            </w:pPr>
            <w:r w:rsidRPr="00701F32">
              <w:rPr>
                <w:rFonts w:ascii="Arial" w:hAnsi="Arial" w:cs="Arial"/>
                <w:sz w:val="18"/>
                <w:lang w:eastAsia="es-AR"/>
              </w:rPr>
              <w:t>27.57</w:t>
            </w:r>
            <w:r w:rsidR="006624FB" w:rsidRPr="00701F32">
              <w:rPr>
                <w:rFonts w:ascii="Arial" w:hAnsi="Arial" w:cs="Arial"/>
                <w:sz w:val="18"/>
                <w:lang w:eastAsia="es-AR"/>
              </w:rPr>
              <w:t>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62410" w14:textId="77777777" w:rsidR="00B419C2" w:rsidRPr="00701F32" w:rsidRDefault="00B419C2" w:rsidP="00B419C2">
            <w:pPr>
              <w:jc w:val="center"/>
              <w:rPr>
                <w:rFonts w:ascii="Arial" w:hAnsi="Arial" w:cs="Arial"/>
                <w:b/>
                <w:bCs/>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265F0" w14:textId="77777777" w:rsidR="00B419C2" w:rsidRPr="00701F32" w:rsidRDefault="00B419C2" w:rsidP="00B419C2">
            <w:pPr>
              <w:jc w:val="center"/>
              <w:rPr>
                <w:rFonts w:ascii="Arial" w:hAnsi="Arial" w:cs="Arial"/>
                <w:sz w:val="18"/>
                <w:lang w:eastAsia="es-AR"/>
              </w:rPr>
            </w:pPr>
            <w:r w:rsidRPr="00701F32">
              <w:rPr>
                <w:rFonts w:ascii="Arial" w:hAnsi="Arial" w:cs="Arial"/>
                <w:bCs/>
                <w:sz w:val="18"/>
              </w:rPr>
              <w:t>En trámite</w:t>
            </w:r>
          </w:p>
        </w:tc>
      </w:tr>
      <w:tr w:rsidR="00B419C2" w:rsidRPr="00701F32" w14:paraId="01E26459" w14:textId="77777777" w:rsidTr="00464C0F">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07352" w14:textId="77777777" w:rsidR="00B419C2" w:rsidRPr="00701F32" w:rsidRDefault="00B419C2" w:rsidP="00941382">
            <w:pPr>
              <w:rPr>
                <w:rFonts w:ascii="Arial" w:hAnsi="Arial" w:cs="Arial"/>
                <w:b/>
                <w:bCs/>
                <w:sz w:val="18"/>
                <w:lang w:eastAsia="es-AR"/>
              </w:rPr>
            </w:pPr>
            <w:r w:rsidRPr="00701F32">
              <w:rPr>
                <w:rFonts w:ascii="Arial" w:hAnsi="Arial" w:cs="Arial"/>
                <w:b/>
                <w:bCs/>
                <w:sz w:val="18"/>
              </w:rPr>
              <w:t>Saldo del Capital Social al 30</w:t>
            </w:r>
            <w:r w:rsidR="00F53550" w:rsidRPr="00701F32">
              <w:rPr>
                <w:rFonts w:ascii="Arial" w:hAnsi="Arial" w:cs="Arial"/>
                <w:b/>
                <w:bCs/>
                <w:sz w:val="18"/>
              </w:rPr>
              <w:t>/09/</w:t>
            </w:r>
            <w:r w:rsidRPr="00701F32">
              <w:rPr>
                <w:rFonts w:ascii="Arial" w:hAnsi="Arial" w:cs="Arial"/>
                <w:b/>
                <w:bCs/>
                <w:sz w:val="18"/>
              </w:rPr>
              <w:t>18</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4C756" w14:textId="77777777" w:rsidR="00B419C2" w:rsidRPr="00701F32" w:rsidRDefault="00B419C2" w:rsidP="00B419C2">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112" w14:textId="77777777" w:rsidR="00B419C2" w:rsidRPr="00701F32" w:rsidRDefault="00B419C2" w:rsidP="001B6692">
            <w:pPr>
              <w:jc w:val="center"/>
              <w:rPr>
                <w:rFonts w:ascii="Arial" w:hAnsi="Arial" w:cs="Arial"/>
                <w:b/>
                <w:bCs/>
                <w:sz w:val="18"/>
                <w:lang w:eastAsia="es-AR"/>
              </w:rPr>
            </w:pPr>
            <w:r w:rsidRPr="00701F32">
              <w:rPr>
                <w:rFonts w:ascii="Arial" w:hAnsi="Arial" w:cs="Arial"/>
                <w:b/>
                <w:bCs/>
                <w:sz w:val="18"/>
                <w:lang w:eastAsia="es-AR"/>
              </w:rPr>
              <w:t>771.96</w:t>
            </w:r>
            <w:r w:rsidR="001B6692" w:rsidRPr="00701F32">
              <w:rPr>
                <w:rFonts w:ascii="Arial" w:hAnsi="Arial" w:cs="Arial"/>
                <w:b/>
                <w:bCs/>
                <w:sz w:val="18"/>
                <w:lang w:eastAsia="es-AR"/>
              </w:rPr>
              <w:t>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BCFC8" w14:textId="77777777" w:rsidR="00B419C2" w:rsidRPr="00701F32" w:rsidRDefault="00B419C2" w:rsidP="00B419C2">
            <w:pPr>
              <w:jc w:val="center"/>
              <w:rPr>
                <w:rFonts w:ascii="Arial" w:hAnsi="Arial" w:cs="Arial"/>
                <w:sz w:val="18"/>
                <w:lang w:eastAsia="es-AR"/>
              </w:rPr>
            </w:pPr>
          </w:p>
          <w:p w14:paraId="5E0F093D" w14:textId="77777777" w:rsidR="00B419C2" w:rsidRPr="00701F32" w:rsidRDefault="00B419C2" w:rsidP="00B419C2">
            <w:pPr>
              <w:jc w:val="center"/>
              <w:rPr>
                <w:rFonts w:ascii="Arial" w:hAnsi="Arial" w:cs="Arial"/>
                <w:sz w:val="18"/>
                <w:lang w:eastAsia="es-AR"/>
              </w:rPr>
            </w:pPr>
          </w:p>
        </w:tc>
      </w:tr>
      <w:bookmarkEnd w:id="2"/>
    </w:tbl>
    <w:p w14:paraId="761E32A8" w14:textId="77777777" w:rsidR="001F1DF6" w:rsidRPr="00701F32" w:rsidRDefault="001F1DF6" w:rsidP="00A06BE9">
      <w:pPr>
        <w:tabs>
          <w:tab w:val="left" w:pos="142"/>
          <w:tab w:val="left" w:pos="9923"/>
        </w:tabs>
        <w:spacing w:after="200" w:line="276" w:lineRule="auto"/>
        <w:contextualSpacing/>
        <w:jc w:val="both"/>
        <w:rPr>
          <w:rFonts w:ascii="Arial" w:hAnsi="Arial" w:cs="Arial"/>
          <w:b/>
          <w:sz w:val="20"/>
        </w:rPr>
      </w:pPr>
    </w:p>
    <w:p w14:paraId="0958393A" w14:textId="3A6E7903" w:rsidR="00A06BE9" w:rsidRPr="00701F32" w:rsidRDefault="00AF3A00" w:rsidP="00A06BE9">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.4 Actividades fiduciarias</w:t>
      </w:r>
    </w:p>
    <w:p w14:paraId="18980BD6" w14:textId="77777777" w:rsidR="00A06BE9" w:rsidRPr="00701F32" w:rsidRDefault="00A06BE9" w:rsidP="00A06BE9">
      <w:pPr>
        <w:tabs>
          <w:tab w:val="left" w:pos="142"/>
          <w:tab w:val="left" w:pos="9923"/>
        </w:tabs>
        <w:spacing w:after="200" w:line="276" w:lineRule="auto"/>
        <w:contextualSpacing/>
        <w:jc w:val="both"/>
        <w:rPr>
          <w:rFonts w:ascii="Arial" w:hAnsi="Arial" w:cs="Arial"/>
          <w:b/>
          <w:sz w:val="20"/>
        </w:rPr>
      </w:pPr>
    </w:p>
    <w:p w14:paraId="1C0AD933"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 xml:space="preserve">La Entidad actúa como Fiduciario </w:t>
      </w:r>
      <w:bookmarkStart w:id="3" w:name="RANGE!A1:H28"/>
      <w:r w:rsidRPr="00701F32">
        <w:rPr>
          <w:rFonts w:ascii="Arial" w:hAnsi="Arial" w:cs="Arial"/>
          <w:sz w:val="20"/>
        </w:rPr>
        <w:t>o Fiduciante en los fideicomisos que se detallan a continuación:</w:t>
      </w:r>
    </w:p>
    <w:p w14:paraId="673B45CD" w14:textId="77777777" w:rsidR="00A06BE9" w:rsidRPr="00701F32" w:rsidRDefault="00A06BE9" w:rsidP="00A06BE9">
      <w:pPr>
        <w:tabs>
          <w:tab w:val="left" w:pos="142"/>
        </w:tabs>
        <w:jc w:val="both"/>
        <w:rPr>
          <w:rFonts w:ascii="Arial" w:hAnsi="Arial" w:cs="Arial"/>
          <w:sz w:val="20"/>
        </w:rPr>
      </w:pPr>
    </w:p>
    <w:p w14:paraId="67F1C63A" w14:textId="77777777" w:rsidR="00A06BE9" w:rsidRPr="00701F32" w:rsidRDefault="00A06BE9" w:rsidP="00A06BE9">
      <w:pPr>
        <w:tabs>
          <w:tab w:val="left" w:pos="142"/>
        </w:tabs>
        <w:jc w:val="both"/>
        <w:rPr>
          <w:rFonts w:ascii="Arial" w:hAnsi="Arial" w:cs="Arial"/>
          <w:b/>
          <w:sz w:val="20"/>
          <w:u w:val="single"/>
        </w:rPr>
      </w:pPr>
      <w:r w:rsidRPr="00701F32">
        <w:rPr>
          <w:rFonts w:ascii="Arial" w:hAnsi="Arial" w:cs="Arial"/>
          <w:b/>
          <w:sz w:val="20"/>
          <w:u w:val="single"/>
        </w:rPr>
        <w:t>Actuación como Fiduciario</w:t>
      </w:r>
    </w:p>
    <w:p w14:paraId="414E8978" w14:textId="77777777" w:rsidR="00A06BE9" w:rsidRPr="00701F32" w:rsidRDefault="00A06BE9" w:rsidP="00A06BE9">
      <w:pPr>
        <w:tabs>
          <w:tab w:val="left" w:pos="142"/>
        </w:tabs>
        <w:jc w:val="both"/>
        <w:rPr>
          <w:rFonts w:ascii="Arial" w:hAnsi="Arial" w:cs="Arial"/>
          <w:sz w:val="20"/>
        </w:rPr>
      </w:pPr>
    </w:p>
    <w:p w14:paraId="7CFC97BB"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Se resume a continuación el detalle de los fideicomisos financieros:</w:t>
      </w:r>
    </w:p>
    <w:p w14:paraId="29C1929B" w14:textId="77777777" w:rsidR="008D246D" w:rsidRPr="00701F32" w:rsidRDefault="008D246D" w:rsidP="00A06BE9">
      <w:pPr>
        <w:tabs>
          <w:tab w:val="left" w:pos="142"/>
        </w:tabs>
        <w:jc w:val="both"/>
        <w:rPr>
          <w:rFonts w:ascii="Arial" w:hAnsi="Arial" w:cs="Arial"/>
          <w:sz w:val="20"/>
        </w:rPr>
      </w:pPr>
    </w:p>
    <w:p w14:paraId="150175C2"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Fideicomiso Financiero Banex Créditos IV</w:t>
      </w:r>
    </w:p>
    <w:p w14:paraId="740F3F88"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Fiduciario: Banco Supervielle</w:t>
      </w:r>
    </w:p>
    <w:p w14:paraId="08053D1F"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Programa Global de Valores Fiduciarios Supervielle Asset Backed Securities</w:t>
      </w:r>
    </w:p>
    <w:p w14:paraId="4C06735A" w14:textId="77777777" w:rsidR="00A06BE9" w:rsidRPr="00701F32" w:rsidRDefault="00A06BE9" w:rsidP="00A06BE9">
      <w:pPr>
        <w:tabs>
          <w:tab w:val="left" w:pos="142"/>
        </w:tabs>
        <w:jc w:val="both"/>
        <w:rPr>
          <w:rFonts w:ascii="Arial" w:hAnsi="Arial" w:cs="Arial"/>
          <w:sz w:val="20"/>
        </w:rPr>
      </w:pPr>
    </w:p>
    <w:tbl>
      <w:tblPr>
        <w:tblW w:w="8379" w:type="dxa"/>
        <w:tblInd w:w="55" w:type="dxa"/>
        <w:tblLayout w:type="fixed"/>
        <w:tblCellMar>
          <w:left w:w="70" w:type="dxa"/>
          <w:right w:w="70" w:type="dxa"/>
        </w:tblCellMar>
        <w:tblLook w:val="04A0" w:firstRow="1" w:lastRow="0" w:firstColumn="1" w:lastColumn="0" w:noHBand="0" w:noVBand="1"/>
      </w:tblPr>
      <w:tblGrid>
        <w:gridCol w:w="1139"/>
        <w:gridCol w:w="1156"/>
        <w:gridCol w:w="1779"/>
        <w:gridCol w:w="890"/>
        <w:gridCol w:w="890"/>
        <w:gridCol w:w="890"/>
        <w:gridCol w:w="1635"/>
      </w:tblGrid>
      <w:tr w:rsidR="00A06BE9" w:rsidRPr="00701F32" w14:paraId="1580260D" w14:textId="77777777" w:rsidTr="0086282C">
        <w:trPr>
          <w:trHeight w:val="525"/>
        </w:trPr>
        <w:tc>
          <w:tcPr>
            <w:tcW w:w="11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841A2A" w14:textId="77777777" w:rsidR="00A06BE9" w:rsidRPr="00701F32" w:rsidRDefault="00A06BE9" w:rsidP="00464C0F">
            <w:pPr>
              <w:jc w:val="center"/>
              <w:rPr>
                <w:rFonts w:ascii="Arial" w:hAnsi="Arial" w:cs="Arial"/>
                <w:b/>
                <w:sz w:val="16"/>
                <w:szCs w:val="16"/>
              </w:rPr>
            </w:pPr>
            <w:bookmarkStart w:id="4" w:name="RANGE!A1:G2"/>
            <w:r w:rsidRPr="00701F32">
              <w:rPr>
                <w:rFonts w:ascii="Arial" w:hAnsi="Arial" w:cs="Arial"/>
                <w:b/>
                <w:sz w:val="16"/>
                <w:szCs w:val="16"/>
              </w:rPr>
              <w:t>Serie</w:t>
            </w:r>
            <w:bookmarkEnd w:id="4"/>
          </w:p>
        </w:tc>
        <w:tc>
          <w:tcPr>
            <w:tcW w:w="1156" w:type="dxa"/>
            <w:tcBorders>
              <w:top w:val="single" w:sz="8" w:space="0" w:color="auto"/>
              <w:left w:val="nil"/>
              <w:bottom w:val="single" w:sz="8" w:space="0" w:color="auto"/>
              <w:right w:val="single" w:sz="8" w:space="0" w:color="auto"/>
            </w:tcBorders>
            <w:shd w:val="clear" w:color="auto" w:fill="auto"/>
            <w:vAlign w:val="center"/>
            <w:hideMark/>
          </w:tcPr>
          <w:p w14:paraId="1CEC8843" w14:textId="77777777" w:rsidR="00A06BE9" w:rsidRPr="00701F32" w:rsidRDefault="00A06BE9" w:rsidP="00464C0F">
            <w:pPr>
              <w:jc w:val="center"/>
              <w:rPr>
                <w:rFonts w:ascii="Arial" w:hAnsi="Arial" w:cs="Arial"/>
                <w:b/>
                <w:sz w:val="16"/>
                <w:szCs w:val="16"/>
              </w:rPr>
            </w:pPr>
            <w:r w:rsidRPr="00701F32">
              <w:rPr>
                <w:rFonts w:ascii="Arial" w:hAnsi="Arial" w:cs="Arial"/>
                <w:b/>
                <w:sz w:val="16"/>
                <w:szCs w:val="16"/>
              </w:rPr>
              <w:t>Fecha constitución</w:t>
            </w:r>
          </w:p>
        </w:tc>
        <w:tc>
          <w:tcPr>
            <w:tcW w:w="1779" w:type="dxa"/>
            <w:tcBorders>
              <w:top w:val="single" w:sz="8" w:space="0" w:color="auto"/>
              <w:left w:val="nil"/>
              <w:bottom w:val="single" w:sz="8" w:space="0" w:color="auto"/>
              <w:right w:val="single" w:sz="8" w:space="0" w:color="auto"/>
            </w:tcBorders>
            <w:shd w:val="clear" w:color="auto" w:fill="auto"/>
            <w:vAlign w:val="center"/>
            <w:hideMark/>
          </w:tcPr>
          <w:p w14:paraId="3934455C" w14:textId="77777777" w:rsidR="00A06BE9" w:rsidRPr="00701F32" w:rsidRDefault="00A06BE9" w:rsidP="00464C0F">
            <w:pPr>
              <w:jc w:val="center"/>
              <w:rPr>
                <w:rFonts w:ascii="Arial" w:hAnsi="Arial" w:cs="Arial"/>
                <w:b/>
                <w:sz w:val="16"/>
                <w:szCs w:val="16"/>
              </w:rPr>
            </w:pPr>
            <w:r w:rsidRPr="00701F32">
              <w:rPr>
                <w:rFonts w:ascii="Arial" w:hAnsi="Arial" w:cs="Arial"/>
                <w:b/>
                <w:sz w:val="16"/>
                <w:szCs w:val="16"/>
              </w:rPr>
              <w:t>Valor Fideicomitido Inicial</w:t>
            </w:r>
          </w:p>
        </w:tc>
        <w:tc>
          <w:tcPr>
            <w:tcW w:w="2670" w:type="dxa"/>
            <w:gridSpan w:val="3"/>
            <w:tcBorders>
              <w:top w:val="single" w:sz="8" w:space="0" w:color="auto"/>
              <w:left w:val="nil"/>
              <w:bottom w:val="single" w:sz="8" w:space="0" w:color="auto"/>
              <w:right w:val="single" w:sz="8" w:space="0" w:color="000000"/>
            </w:tcBorders>
            <w:shd w:val="clear" w:color="auto" w:fill="auto"/>
            <w:vAlign w:val="center"/>
            <w:hideMark/>
          </w:tcPr>
          <w:p w14:paraId="2555BE27" w14:textId="77777777" w:rsidR="00A06BE9" w:rsidRPr="00701F32" w:rsidRDefault="00A06BE9" w:rsidP="00464C0F">
            <w:pPr>
              <w:jc w:val="center"/>
              <w:rPr>
                <w:rFonts w:ascii="Arial" w:hAnsi="Arial" w:cs="Arial"/>
                <w:b/>
                <w:sz w:val="16"/>
                <w:szCs w:val="16"/>
              </w:rPr>
            </w:pPr>
            <w:r w:rsidRPr="00701F32">
              <w:rPr>
                <w:rFonts w:ascii="Arial" w:hAnsi="Arial" w:cs="Arial"/>
                <w:b/>
                <w:sz w:val="16"/>
                <w:szCs w:val="16"/>
              </w:rPr>
              <w:t>Títulos emitidos y ultimo vencimiento</w:t>
            </w:r>
          </w:p>
        </w:tc>
        <w:tc>
          <w:tcPr>
            <w:tcW w:w="1635" w:type="dxa"/>
            <w:tcBorders>
              <w:top w:val="single" w:sz="8" w:space="0" w:color="auto"/>
              <w:left w:val="nil"/>
              <w:bottom w:val="single" w:sz="8" w:space="0" w:color="auto"/>
              <w:right w:val="single" w:sz="8" w:space="0" w:color="auto"/>
            </w:tcBorders>
            <w:shd w:val="clear" w:color="auto" w:fill="auto"/>
            <w:vAlign w:val="center"/>
            <w:hideMark/>
          </w:tcPr>
          <w:p w14:paraId="656CAEF0" w14:textId="77777777" w:rsidR="00A06BE9" w:rsidRPr="00701F32" w:rsidRDefault="00A06BE9" w:rsidP="00464C0F">
            <w:pPr>
              <w:jc w:val="center"/>
              <w:rPr>
                <w:rFonts w:ascii="Arial" w:hAnsi="Arial" w:cs="Arial"/>
                <w:b/>
                <w:sz w:val="16"/>
                <w:szCs w:val="16"/>
              </w:rPr>
            </w:pPr>
            <w:r w:rsidRPr="00701F32">
              <w:rPr>
                <w:rFonts w:ascii="Arial" w:hAnsi="Arial" w:cs="Arial"/>
                <w:b/>
                <w:sz w:val="16"/>
                <w:szCs w:val="16"/>
              </w:rPr>
              <w:t>Tenencia Valor Libro</w:t>
            </w:r>
          </w:p>
        </w:tc>
      </w:tr>
      <w:tr w:rsidR="00A06BE9" w:rsidRPr="00701F32" w14:paraId="55BBA630" w14:textId="77777777" w:rsidTr="0086282C">
        <w:trPr>
          <w:trHeight w:val="510"/>
        </w:trPr>
        <w:tc>
          <w:tcPr>
            <w:tcW w:w="113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04073AC" w14:textId="77777777" w:rsidR="00A06BE9" w:rsidRPr="00701F32" w:rsidRDefault="00A06BE9" w:rsidP="00464C0F">
            <w:pPr>
              <w:jc w:val="both"/>
              <w:rPr>
                <w:rFonts w:ascii="Arial" w:hAnsi="Arial" w:cs="Arial"/>
                <w:sz w:val="16"/>
                <w:szCs w:val="16"/>
              </w:rPr>
            </w:pPr>
            <w:r w:rsidRPr="00701F32">
              <w:rPr>
                <w:rFonts w:ascii="Arial" w:hAnsi="Arial" w:cs="Arial"/>
                <w:sz w:val="16"/>
                <w:szCs w:val="16"/>
              </w:rPr>
              <w:t>Banex IV</w:t>
            </w:r>
          </w:p>
        </w:tc>
        <w:tc>
          <w:tcPr>
            <w:tcW w:w="1156" w:type="dxa"/>
            <w:tcBorders>
              <w:top w:val="single" w:sz="4" w:space="0" w:color="auto"/>
              <w:left w:val="nil"/>
              <w:bottom w:val="single" w:sz="8" w:space="0" w:color="auto"/>
              <w:right w:val="single" w:sz="8" w:space="0" w:color="auto"/>
            </w:tcBorders>
            <w:shd w:val="clear" w:color="auto" w:fill="auto"/>
            <w:vAlign w:val="center"/>
            <w:hideMark/>
          </w:tcPr>
          <w:p w14:paraId="73A27B1A" w14:textId="77777777" w:rsidR="00A06BE9" w:rsidRPr="00701F32" w:rsidRDefault="00A06BE9" w:rsidP="00464C0F">
            <w:pPr>
              <w:jc w:val="center"/>
              <w:rPr>
                <w:rFonts w:ascii="Arial" w:hAnsi="Arial" w:cs="Arial"/>
                <w:sz w:val="16"/>
                <w:szCs w:val="16"/>
              </w:rPr>
            </w:pPr>
            <w:r w:rsidRPr="00701F32">
              <w:rPr>
                <w:rFonts w:ascii="Arial" w:hAnsi="Arial" w:cs="Arial"/>
                <w:sz w:val="16"/>
                <w:szCs w:val="16"/>
              </w:rPr>
              <w:t>19/03/2004</w:t>
            </w:r>
          </w:p>
        </w:tc>
        <w:tc>
          <w:tcPr>
            <w:tcW w:w="1779" w:type="dxa"/>
            <w:tcBorders>
              <w:top w:val="single" w:sz="4" w:space="0" w:color="auto"/>
              <w:left w:val="nil"/>
              <w:bottom w:val="single" w:sz="8" w:space="0" w:color="auto"/>
              <w:right w:val="single" w:sz="8" w:space="0" w:color="auto"/>
            </w:tcBorders>
            <w:shd w:val="clear" w:color="auto" w:fill="auto"/>
            <w:vAlign w:val="center"/>
            <w:hideMark/>
          </w:tcPr>
          <w:p w14:paraId="3B598AC2" w14:textId="77777777" w:rsidR="00A06BE9" w:rsidRPr="00701F32" w:rsidRDefault="00A06BE9" w:rsidP="00464C0F">
            <w:pPr>
              <w:jc w:val="right"/>
              <w:rPr>
                <w:rFonts w:ascii="Arial" w:hAnsi="Arial" w:cs="Arial"/>
                <w:sz w:val="16"/>
                <w:szCs w:val="16"/>
              </w:rPr>
            </w:pPr>
            <w:r w:rsidRPr="00701F32">
              <w:rPr>
                <w:rFonts w:ascii="Arial" w:hAnsi="Arial" w:cs="Arial"/>
                <w:sz w:val="16"/>
                <w:szCs w:val="16"/>
              </w:rPr>
              <w:t>$ 30.012</w:t>
            </w:r>
          </w:p>
        </w:tc>
        <w:tc>
          <w:tcPr>
            <w:tcW w:w="890" w:type="dxa"/>
            <w:tcBorders>
              <w:top w:val="single" w:sz="4" w:space="0" w:color="auto"/>
              <w:left w:val="nil"/>
              <w:bottom w:val="single" w:sz="8" w:space="0" w:color="auto"/>
              <w:right w:val="single" w:sz="4" w:space="0" w:color="auto"/>
            </w:tcBorders>
            <w:shd w:val="clear" w:color="auto" w:fill="auto"/>
            <w:vAlign w:val="center"/>
            <w:hideMark/>
          </w:tcPr>
          <w:p w14:paraId="752D071F" w14:textId="77777777" w:rsidR="00A06BE9" w:rsidRPr="00701F32" w:rsidRDefault="00A06BE9" w:rsidP="00464C0F">
            <w:pPr>
              <w:jc w:val="both"/>
              <w:rPr>
                <w:rFonts w:ascii="Arial" w:hAnsi="Arial" w:cs="Arial"/>
                <w:sz w:val="16"/>
                <w:szCs w:val="16"/>
              </w:rPr>
            </w:pPr>
            <w:r w:rsidRPr="00701F32">
              <w:rPr>
                <w:rFonts w:ascii="Arial" w:hAnsi="Arial" w:cs="Arial"/>
                <w:sz w:val="16"/>
                <w:szCs w:val="16"/>
              </w:rPr>
              <w:t>VDFA</w:t>
            </w:r>
            <w:r w:rsidRPr="00701F32">
              <w:rPr>
                <w:rFonts w:ascii="Arial" w:hAnsi="Arial" w:cs="Arial"/>
                <w:sz w:val="16"/>
                <w:szCs w:val="16"/>
              </w:rPr>
              <w:br/>
              <w:t>VN$ 21.000</w:t>
            </w:r>
            <w:r w:rsidRPr="00701F32">
              <w:rPr>
                <w:rFonts w:ascii="Arial" w:hAnsi="Arial" w:cs="Arial"/>
                <w:sz w:val="16"/>
                <w:szCs w:val="16"/>
              </w:rPr>
              <w:br/>
              <w:t xml:space="preserve">Vto: 20/01/05    </w:t>
            </w:r>
          </w:p>
        </w:tc>
        <w:tc>
          <w:tcPr>
            <w:tcW w:w="890" w:type="dxa"/>
            <w:tcBorders>
              <w:top w:val="single" w:sz="4" w:space="0" w:color="auto"/>
              <w:left w:val="nil"/>
              <w:bottom w:val="single" w:sz="8" w:space="0" w:color="auto"/>
              <w:right w:val="single" w:sz="4" w:space="0" w:color="auto"/>
            </w:tcBorders>
            <w:shd w:val="clear" w:color="auto" w:fill="auto"/>
            <w:vAlign w:val="center"/>
            <w:hideMark/>
          </w:tcPr>
          <w:p w14:paraId="5B771783" w14:textId="77777777" w:rsidR="00A06BE9" w:rsidRPr="00701F32" w:rsidRDefault="00A06BE9" w:rsidP="00464C0F">
            <w:pPr>
              <w:jc w:val="both"/>
              <w:rPr>
                <w:rFonts w:ascii="Arial" w:hAnsi="Arial" w:cs="Arial"/>
                <w:sz w:val="16"/>
                <w:szCs w:val="16"/>
              </w:rPr>
            </w:pPr>
            <w:r w:rsidRPr="00701F32">
              <w:rPr>
                <w:rFonts w:ascii="Arial" w:hAnsi="Arial" w:cs="Arial"/>
                <w:sz w:val="16"/>
                <w:szCs w:val="16"/>
              </w:rPr>
              <w:t>VDFB</w:t>
            </w:r>
            <w:r w:rsidRPr="00701F32">
              <w:rPr>
                <w:rFonts w:ascii="Arial" w:hAnsi="Arial" w:cs="Arial"/>
                <w:sz w:val="16"/>
                <w:szCs w:val="16"/>
              </w:rPr>
              <w:br/>
              <w:t>VN$ 6.000</w:t>
            </w:r>
            <w:r w:rsidRPr="00701F32">
              <w:rPr>
                <w:rFonts w:ascii="Arial" w:hAnsi="Arial" w:cs="Arial"/>
                <w:sz w:val="16"/>
                <w:szCs w:val="16"/>
              </w:rPr>
              <w:br/>
              <w:t>Vto: 20/04/05</w:t>
            </w:r>
          </w:p>
        </w:tc>
        <w:tc>
          <w:tcPr>
            <w:tcW w:w="890" w:type="dxa"/>
            <w:tcBorders>
              <w:top w:val="single" w:sz="4" w:space="0" w:color="auto"/>
              <w:left w:val="nil"/>
              <w:bottom w:val="single" w:sz="8" w:space="0" w:color="auto"/>
              <w:right w:val="single" w:sz="8" w:space="0" w:color="auto"/>
            </w:tcBorders>
            <w:shd w:val="clear" w:color="auto" w:fill="auto"/>
            <w:vAlign w:val="center"/>
            <w:hideMark/>
          </w:tcPr>
          <w:p w14:paraId="02CDE21F" w14:textId="77777777" w:rsidR="00A06BE9" w:rsidRPr="00701F32" w:rsidRDefault="00A06BE9" w:rsidP="00464C0F">
            <w:pPr>
              <w:jc w:val="both"/>
              <w:rPr>
                <w:rFonts w:ascii="Arial" w:hAnsi="Arial" w:cs="Arial"/>
                <w:sz w:val="16"/>
                <w:szCs w:val="16"/>
              </w:rPr>
            </w:pPr>
            <w:r w:rsidRPr="00701F32">
              <w:rPr>
                <w:rFonts w:ascii="Arial" w:hAnsi="Arial" w:cs="Arial"/>
                <w:sz w:val="16"/>
                <w:szCs w:val="16"/>
              </w:rPr>
              <w:t>CP</w:t>
            </w:r>
            <w:r w:rsidRPr="00701F32">
              <w:rPr>
                <w:rFonts w:ascii="Arial" w:hAnsi="Arial" w:cs="Arial"/>
                <w:sz w:val="16"/>
                <w:szCs w:val="16"/>
              </w:rPr>
              <w:br/>
              <w:t>VN$ 3.000</w:t>
            </w:r>
            <w:r w:rsidRPr="00701F32">
              <w:rPr>
                <w:rFonts w:ascii="Arial" w:hAnsi="Arial" w:cs="Arial"/>
                <w:sz w:val="16"/>
                <w:szCs w:val="16"/>
              </w:rPr>
              <w:br/>
              <w:t>Vto: 20/04/07</w:t>
            </w:r>
          </w:p>
        </w:tc>
        <w:tc>
          <w:tcPr>
            <w:tcW w:w="1635" w:type="dxa"/>
            <w:tcBorders>
              <w:top w:val="nil"/>
              <w:left w:val="nil"/>
              <w:bottom w:val="single" w:sz="8" w:space="0" w:color="auto"/>
              <w:right w:val="single" w:sz="8" w:space="0" w:color="auto"/>
            </w:tcBorders>
            <w:shd w:val="clear" w:color="auto" w:fill="auto"/>
            <w:vAlign w:val="center"/>
            <w:hideMark/>
          </w:tcPr>
          <w:p w14:paraId="2F687776" w14:textId="166FADFD" w:rsidR="00A06BE9" w:rsidRPr="00701F32" w:rsidRDefault="00E74B28">
            <w:pPr>
              <w:jc w:val="both"/>
              <w:rPr>
                <w:rFonts w:ascii="Arial" w:hAnsi="Arial" w:cs="Arial"/>
                <w:sz w:val="16"/>
                <w:szCs w:val="16"/>
              </w:rPr>
            </w:pPr>
            <w:r w:rsidRPr="00701F32">
              <w:rPr>
                <w:rFonts w:ascii="Arial" w:hAnsi="Arial" w:cs="Arial"/>
                <w:sz w:val="16"/>
                <w:szCs w:val="16"/>
              </w:rPr>
              <w:t>Estado de liquidación 31/07/18</w:t>
            </w:r>
          </w:p>
        </w:tc>
      </w:tr>
    </w:tbl>
    <w:p w14:paraId="1AE35263" w14:textId="77777777" w:rsidR="00A06BE9" w:rsidRPr="00701F32" w:rsidRDefault="00A06BE9" w:rsidP="00A06BE9">
      <w:pPr>
        <w:tabs>
          <w:tab w:val="left" w:pos="142"/>
        </w:tabs>
        <w:jc w:val="both"/>
        <w:rPr>
          <w:rFonts w:ascii="Arial" w:hAnsi="Arial" w:cs="Arial"/>
          <w:sz w:val="20"/>
        </w:rPr>
      </w:pPr>
    </w:p>
    <w:p w14:paraId="1DDC565D"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Fideicomisos de administración en garantía en los cuales Banco Supervielle S.A. actúa como fiduciario al 3</w:t>
      </w:r>
      <w:r w:rsidR="00F53550"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 xml:space="preserve">septiembre </w:t>
      </w:r>
      <w:r w:rsidRPr="00701F32">
        <w:rPr>
          <w:rFonts w:ascii="Arial" w:hAnsi="Arial" w:cs="Arial"/>
          <w:sz w:val="20"/>
        </w:rPr>
        <w:t>de 2018:</w:t>
      </w:r>
    </w:p>
    <w:p w14:paraId="28EA02AE" w14:textId="77777777" w:rsidR="00A06BE9" w:rsidRPr="00701F32" w:rsidRDefault="00A06BE9" w:rsidP="00A06BE9">
      <w:pPr>
        <w:tabs>
          <w:tab w:val="left" w:pos="142"/>
        </w:tabs>
        <w:jc w:val="both"/>
        <w:rPr>
          <w:rFonts w:ascii="Arial" w:hAnsi="Arial" w:cs="Arial"/>
          <w:sz w:val="20"/>
        </w:rPr>
      </w:pPr>
    </w:p>
    <w:tbl>
      <w:tblPr>
        <w:tblW w:w="8864" w:type="dxa"/>
        <w:tblInd w:w="-5" w:type="dxa"/>
        <w:tblLayout w:type="fixed"/>
        <w:tblCellMar>
          <w:left w:w="70" w:type="dxa"/>
          <w:right w:w="70" w:type="dxa"/>
        </w:tblCellMar>
        <w:tblLook w:val="04A0" w:firstRow="1" w:lastRow="0" w:firstColumn="1" w:lastColumn="0" w:noHBand="0" w:noVBand="1"/>
      </w:tblPr>
      <w:tblGrid>
        <w:gridCol w:w="1190"/>
        <w:gridCol w:w="941"/>
        <w:gridCol w:w="2197"/>
        <w:gridCol w:w="992"/>
        <w:gridCol w:w="851"/>
        <w:gridCol w:w="1417"/>
        <w:gridCol w:w="1276"/>
      </w:tblGrid>
      <w:tr w:rsidR="005E7BAB" w:rsidRPr="00701F32" w14:paraId="0A20566D" w14:textId="77777777" w:rsidTr="00E311C9">
        <w:trPr>
          <w:trHeight w:val="740"/>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59F55" w14:textId="77777777" w:rsidR="005E7BAB" w:rsidRPr="00701F32" w:rsidRDefault="005E7BAB" w:rsidP="00464C0F">
            <w:pPr>
              <w:jc w:val="center"/>
              <w:rPr>
                <w:rFonts w:ascii="Arial" w:hAnsi="Arial" w:cs="Arial"/>
                <w:b/>
                <w:sz w:val="16"/>
                <w:szCs w:val="16"/>
              </w:rPr>
            </w:pPr>
            <w:bookmarkStart w:id="5" w:name="RANGE!A1:H2"/>
            <w:r w:rsidRPr="00701F32">
              <w:rPr>
                <w:rFonts w:ascii="Arial" w:hAnsi="Arial" w:cs="Arial"/>
                <w:b/>
                <w:sz w:val="16"/>
                <w:szCs w:val="16"/>
              </w:rPr>
              <w:t>Fideicomiso</w:t>
            </w:r>
            <w:bookmarkEnd w:id="5"/>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F6E5CB8"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Fecha Firma Contrato</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3EFE61F8"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Vencimiento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01444E"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Monto de Capital Original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BA63CAE"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Saldo de Capital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72989C"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Beneficiarios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555164" w14:textId="77777777" w:rsidR="005E7BAB" w:rsidRPr="00701F32" w:rsidRDefault="005E7BAB" w:rsidP="00464C0F">
            <w:pPr>
              <w:jc w:val="center"/>
              <w:rPr>
                <w:rFonts w:ascii="Arial" w:hAnsi="Arial" w:cs="Arial"/>
                <w:b/>
                <w:sz w:val="16"/>
                <w:szCs w:val="16"/>
              </w:rPr>
            </w:pPr>
            <w:r w:rsidRPr="00701F32">
              <w:rPr>
                <w:rFonts w:ascii="Arial" w:hAnsi="Arial" w:cs="Arial"/>
                <w:b/>
                <w:sz w:val="16"/>
                <w:szCs w:val="16"/>
              </w:rPr>
              <w:t>Fiduciante</w:t>
            </w:r>
          </w:p>
        </w:tc>
      </w:tr>
      <w:tr w:rsidR="005E7BAB" w:rsidRPr="00701F32" w14:paraId="1D81EEDB" w14:textId="77777777" w:rsidTr="00E311C9">
        <w:trPr>
          <w:trHeight w:val="325"/>
        </w:trPr>
        <w:tc>
          <w:tcPr>
            <w:tcW w:w="1190" w:type="dxa"/>
            <w:vMerge w:val="restart"/>
            <w:tcBorders>
              <w:top w:val="single" w:sz="4" w:space="0" w:color="auto"/>
              <w:left w:val="single" w:sz="4" w:space="0" w:color="auto"/>
              <w:right w:val="single" w:sz="4" w:space="0" w:color="auto"/>
            </w:tcBorders>
            <w:shd w:val="clear" w:color="auto" w:fill="auto"/>
            <w:vAlign w:val="center"/>
            <w:hideMark/>
          </w:tcPr>
          <w:p w14:paraId="15A0590F" w14:textId="77777777" w:rsidR="005E7BAB" w:rsidRPr="00701F32" w:rsidRDefault="005E7BAB" w:rsidP="00464C0F">
            <w:pPr>
              <w:jc w:val="both"/>
              <w:rPr>
                <w:rFonts w:ascii="Arial" w:hAnsi="Arial" w:cs="Arial"/>
                <w:sz w:val="16"/>
                <w:szCs w:val="16"/>
              </w:rPr>
            </w:pPr>
            <w:r w:rsidRPr="00701F32">
              <w:rPr>
                <w:rFonts w:ascii="Arial" w:hAnsi="Arial" w:cs="Arial"/>
                <w:sz w:val="16"/>
                <w:szCs w:val="16"/>
              </w:rPr>
              <w:t>Credimas</w:t>
            </w:r>
          </w:p>
        </w:tc>
        <w:tc>
          <w:tcPr>
            <w:tcW w:w="941" w:type="dxa"/>
            <w:vMerge w:val="restart"/>
            <w:tcBorders>
              <w:top w:val="single" w:sz="4" w:space="0" w:color="auto"/>
              <w:left w:val="single" w:sz="4" w:space="0" w:color="auto"/>
              <w:right w:val="single" w:sz="4" w:space="0" w:color="auto"/>
            </w:tcBorders>
            <w:shd w:val="clear" w:color="auto" w:fill="auto"/>
            <w:vAlign w:val="center"/>
            <w:hideMark/>
          </w:tcPr>
          <w:p w14:paraId="43855689" w14:textId="77777777" w:rsidR="005E7BAB" w:rsidRPr="00701F32" w:rsidRDefault="005E7BAB" w:rsidP="00464C0F">
            <w:pPr>
              <w:jc w:val="both"/>
              <w:rPr>
                <w:rFonts w:ascii="Arial" w:hAnsi="Arial" w:cs="Arial"/>
                <w:sz w:val="16"/>
                <w:szCs w:val="16"/>
              </w:rPr>
            </w:pPr>
            <w:r w:rsidRPr="00701F32">
              <w:rPr>
                <w:rFonts w:ascii="Arial" w:hAnsi="Arial" w:cs="Arial"/>
                <w:sz w:val="16"/>
                <w:szCs w:val="16"/>
              </w:rPr>
              <w:t>11/01/2013</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0A09A7A4" w14:textId="77777777" w:rsidR="005E7BAB" w:rsidRPr="00701F32" w:rsidRDefault="005E7BAB" w:rsidP="00C23045">
            <w:pPr>
              <w:jc w:val="center"/>
              <w:rPr>
                <w:rFonts w:ascii="Arial" w:hAnsi="Arial" w:cs="Arial"/>
                <w:sz w:val="16"/>
                <w:szCs w:val="16"/>
                <w:lang w:val="es-ES_tradnl"/>
              </w:rPr>
            </w:pPr>
            <w:r w:rsidRPr="00701F32">
              <w:rPr>
                <w:rFonts w:ascii="Arial" w:hAnsi="Arial" w:cs="Arial"/>
                <w:sz w:val="16"/>
                <w:szCs w:val="16"/>
              </w:rPr>
              <w:t>26/12/2018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70E2C5" w14:textId="77777777" w:rsidR="005E7BAB" w:rsidRPr="00701F32" w:rsidRDefault="005E7BAB" w:rsidP="00C23045">
            <w:pPr>
              <w:jc w:val="center"/>
              <w:rPr>
                <w:rFonts w:ascii="Arial" w:hAnsi="Arial" w:cs="Arial"/>
                <w:sz w:val="16"/>
                <w:szCs w:val="16"/>
                <w:lang w:val="es-ES_tradnl"/>
              </w:rPr>
            </w:pPr>
            <w:r w:rsidRPr="00701F32">
              <w:rPr>
                <w:rFonts w:ascii="Arial" w:hAnsi="Arial" w:cs="Arial"/>
                <w:sz w:val="16"/>
                <w:szCs w:val="16"/>
              </w:rPr>
              <w:t>16.000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B86F25" w14:textId="55728FC9" w:rsidR="005E7BAB" w:rsidRPr="00701F32" w:rsidRDefault="005E7BAB" w:rsidP="00C23045">
            <w:pPr>
              <w:jc w:val="center"/>
              <w:rPr>
                <w:rFonts w:ascii="Arial" w:hAnsi="Arial" w:cs="Arial"/>
                <w:sz w:val="16"/>
                <w:szCs w:val="16"/>
                <w:lang w:val="es-ES_tradnl"/>
              </w:rPr>
            </w:pPr>
            <w:r w:rsidRPr="00701F32">
              <w:rPr>
                <w:rFonts w:ascii="Arial" w:hAnsi="Arial" w:cs="Arial"/>
                <w:sz w:val="16"/>
                <w:szCs w:val="16"/>
              </w:rPr>
              <w:t>4.616</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768C8E2B" w14:textId="77777777" w:rsidR="005E7BAB" w:rsidRPr="00701F32" w:rsidRDefault="005E7BAB" w:rsidP="00464C0F">
            <w:pPr>
              <w:jc w:val="both"/>
              <w:rPr>
                <w:rFonts w:ascii="Arial" w:hAnsi="Arial" w:cs="Arial"/>
                <w:sz w:val="16"/>
                <w:szCs w:val="16"/>
              </w:rPr>
            </w:pPr>
            <w:r w:rsidRPr="00701F32">
              <w:rPr>
                <w:rFonts w:ascii="Arial" w:hAnsi="Arial" w:cs="Arial"/>
                <w:sz w:val="16"/>
                <w:szCs w:val="16"/>
              </w:rPr>
              <w:t>Banco Supervielle S.A.</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0936FC83" w14:textId="77777777" w:rsidR="005E7BAB" w:rsidRPr="00701F32" w:rsidRDefault="005E7BAB" w:rsidP="00464C0F">
            <w:pPr>
              <w:jc w:val="both"/>
              <w:rPr>
                <w:rFonts w:ascii="Arial" w:hAnsi="Arial" w:cs="Arial"/>
                <w:sz w:val="16"/>
                <w:szCs w:val="16"/>
              </w:rPr>
            </w:pPr>
            <w:r w:rsidRPr="00701F32">
              <w:rPr>
                <w:rFonts w:ascii="Arial" w:hAnsi="Arial" w:cs="Arial"/>
                <w:sz w:val="16"/>
                <w:szCs w:val="16"/>
              </w:rPr>
              <w:t>Credimas S.A.</w:t>
            </w:r>
          </w:p>
        </w:tc>
      </w:tr>
      <w:tr w:rsidR="005E7BAB" w:rsidRPr="00701F32" w14:paraId="51663607" w14:textId="77777777" w:rsidTr="00E311C9">
        <w:trPr>
          <w:trHeight w:val="242"/>
        </w:trPr>
        <w:tc>
          <w:tcPr>
            <w:tcW w:w="1190" w:type="dxa"/>
            <w:vMerge/>
            <w:tcBorders>
              <w:left w:val="single" w:sz="4" w:space="0" w:color="auto"/>
              <w:bottom w:val="single" w:sz="4" w:space="0" w:color="auto"/>
              <w:right w:val="single" w:sz="4" w:space="0" w:color="auto"/>
            </w:tcBorders>
            <w:shd w:val="clear" w:color="auto" w:fill="auto"/>
            <w:vAlign w:val="center"/>
          </w:tcPr>
          <w:p w14:paraId="326A1C05" w14:textId="77777777" w:rsidR="005E7BAB" w:rsidRPr="00701F32" w:rsidRDefault="005E7BAB" w:rsidP="00464C0F">
            <w:pPr>
              <w:jc w:val="both"/>
              <w:rPr>
                <w:rFonts w:ascii="Arial" w:hAnsi="Arial" w:cs="Arial"/>
                <w:sz w:val="16"/>
                <w:szCs w:val="16"/>
              </w:rPr>
            </w:pPr>
          </w:p>
        </w:tc>
        <w:tc>
          <w:tcPr>
            <w:tcW w:w="941" w:type="dxa"/>
            <w:vMerge/>
            <w:tcBorders>
              <w:left w:val="single" w:sz="4" w:space="0" w:color="auto"/>
              <w:bottom w:val="single" w:sz="4" w:space="0" w:color="auto"/>
              <w:right w:val="single" w:sz="4" w:space="0" w:color="auto"/>
            </w:tcBorders>
            <w:shd w:val="clear" w:color="auto" w:fill="auto"/>
            <w:vAlign w:val="center"/>
          </w:tcPr>
          <w:p w14:paraId="2BC1BA1E" w14:textId="77777777" w:rsidR="005E7BAB" w:rsidRPr="00701F32" w:rsidRDefault="005E7BAB" w:rsidP="00464C0F">
            <w:pPr>
              <w:jc w:val="both"/>
              <w:rPr>
                <w:rFonts w:ascii="Arial" w:hAnsi="Arial" w:cs="Arial"/>
                <w:sz w:val="16"/>
                <w:szCs w:val="16"/>
              </w:rPr>
            </w:pPr>
          </w:p>
        </w:tc>
        <w:tc>
          <w:tcPr>
            <w:tcW w:w="2197" w:type="dxa"/>
            <w:tcBorders>
              <w:top w:val="single" w:sz="4" w:space="0" w:color="auto"/>
              <w:left w:val="nil"/>
              <w:bottom w:val="single" w:sz="4" w:space="0" w:color="auto"/>
              <w:right w:val="single" w:sz="4" w:space="0" w:color="auto"/>
            </w:tcBorders>
            <w:shd w:val="clear" w:color="auto" w:fill="auto"/>
            <w:vAlign w:val="center"/>
          </w:tcPr>
          <w:p w14:paraId="29E2129F" w14:textId="29DF635F" w:rsidR="005E7BAB" w:rsidRPr="00701F32" w:rsidRDefault="005E7BAB" w:rsidP="00C23045">
            <w:pPr>
              <w:jc w:val="center"/>
              <w:rPr>
                <w:rFonts w:ascii="Arial" w:hAnsi="Arial" w:cs="Arial"/>
                <w:sz w:val="16"/>
                <w:szCs w:val="16"/>
              </w:rPr>
            </w:pPr>
            <w:r w:rsidRPr="00701F32">
              <w:rPr>
                <w:rFonts w:ascii="Arial" w:hAnsi="Arial" w:cs="Arial"/>
                <w:sz w:val="16"/>
                <w:szCs w:val="16"/>
              </w:rPr>
              <w:t>24/01/2019</w:t>
            </w:r>
          </w:p>
        </w:tc>
        <w:tc>
          <w:tcPr>
            <w:tcW w:w="992" w:type="dxa"/>
            <w:tcBorders>
              <w:top w:val="single" w:sz="4" w:space="0" w:color="auto"/>
              <w:left w:val="nil"/>
              <w:bottom w:val="single" w:sz="4" w:space="0" w:color="auto"/>
              <w:right w:val="single" w:sz="4" w:space="0" w:color="auto"/>
            </w:tcBorders>
            <w:shd w:val="clear" w:color="auto" w:fill="auto"/>
            <w:vAlign w:val="center"/>
          </w:tcPr>
          <w:p w14:paraId="60F118A7" w14:textId="79F3FD2A" w:rsidR="005E7BAB" w:rsidRPr="00701F32" w:rsidRDefault="005E7BAB" w:rsidP="00C23045">
            <w:pPr>
              <w:jc w:val="center"/>
              <w:rPr>
                <w:rFonts w:ascii="Arial" w:hAnsi="Arial" w:cs="Arial"/>
                <w:sz w:val="16"/>
                <w:szCs w:val="16"/>
              </w:rPr>
            </w:pPr>
            <w:r w:rsidRPr="00701F32">
              <w:rPr>
                <w:rFonts w:ascii="Arial" w:hAnsi="Arial" w:cs="Arial"/>
                <w:sz w:val="16"/>
                <w:szCs w:val="16"/>
              </w:rPr>
              <w:t>7.000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C4BB608" w14:textId="2044234E" w:rsidR="005E7BAB" w:rsidRPr="00701F32" w:rsidRDefault="005E7BAB" w:rsidP="00C23045">
            <w:pPr>
              <w:jc w:val="center"/>
              <w:rPr>
                <w:rFonts w:ascii="Arial" w:hAnsi="Arial" w:cs="Arial"/>
                <w:sz w:val="16"/>
                <w:szCs w:val="16"/>
              </w:rPr>
            </w:pPr>
            <w:r w:rsidRPr="00701F32">
              <w:rPr>
                <w:rFonts w:ascii="Arial" w:hAnsi="Arial" w:cs="Arial"/>
                <w:sz w:val="16"/>
                <w:szCs w:val="16"/>
              </w:rPr>
              <w:t>4.867</w:t>
            </w:r>
          </w:p>
        </w:tc>
        <w:tc>
          <w:tcPr>
            <w:tcW w:w="1417" w:type="dxa"/>
            <w:vMerge/>
            <w:tcBorders>
              <w:left w:val="single" w:sz="4" w:space="0" w:color="auto"/>
              <w:bottom w:val="single" w:sz="4" w:space="0" w:color="auto"/>
              <w:right w:val="single" w:sz="4" w:space="0" w:color="auto"/>
            </w:tcBorders>
            <w:shd w:val="clear" w:color="auto" w:fill="auto"/>
            <w:vAlign w:val="center"/>
          </w:tcPr>
          <w:p w14:paraId="1F9311F2" w14:textId="77777777" w:rsidR="005E7BAB" w:rsidRPr="00701F32" w:rsidRDefault="005E7BAB" w:rsidP="00464C0F">
            <w:pPr>
              <w:jc w:val="both"/>
              <w:rPr>
                <w:rFonts w:ascii="Arial" w:hAnsi="Arial" w:cs="Arial"/>
                <w:sz w:val="16"/>
                <w:szCs w:val="16"/>
              </w:rPr>
            </w:pPr>
          </w:p>
        </w:tc>
        <w:tc>
          <w:tcPr>
            <w:tcW w:w="1276" w:type="dxa"/>
            <w:vMerge/>
            <w:tcBorders>
              <w:left w:val="single" w:sz="4" w:space="0" w:color="auto"/>
              <w:bottom w:val="single" w:sz="4" w:space="0" w:color="auto"/>
              <w:right w:val="single" w:sz="4" w:space="0" w:color="auto"/>
            </w:tcBorders>
            <w:shd w:val="clear" w:color="auto" w:fill="auto"/>
            <w:vAlign w:val="center"/>
          </w:tcPr>
          <w:p w14:paraId="68243DDD" w14:textId="77777777" w:rsidR="005E7BAB" w:rsidRPr="00701F32" w:rsidRDefault="005E7BAB" w:rsidP="00464C0F">
            <w:pPr>
              <w:jc w:val="both"/>
              <w:rPr>
                <w:rFonts w:ascii="Arial" w:hAnsi="Arial" w:cs="Arial"/>
                <w:sz w:val="16"/>
                <w:szCs w:val="16"/>
              </w:rPr>
            </w:pPr>
          </w:p>
        </w:tc>
      </w:tr>
      <w:tr w:rsidR="005E7BAB" w:rsidRPr="00701F32" w14:paraId="49F82F8A" w14:textId="77777777" w:rsidTr="00701F32">
        <w:trPr>
          <w:trHeight w:val="580"/>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402A63B" w14:textId="4B964185" w:rsidR="005E7BAB" w:rsidRPr="00701F32" w:rsidRDefault="005E7BAB" w:rsidP="00701F32">
            <w:pPr>
              <w:jc w:val="center"/>
              <w:rPr>
                <w:rFonts w:ascii="Arial" w:hAnsi="Arial" w:cs="Arial"/>
                <w:sz w:val="16"/>
                <w:szCs w:val="16"/>
              </w:rPr>
            </w:pPr>
            <w:r w:rsidRPr="00701F32">
              <w:rPr>
                <w:rFonts w:ascii="Arial" w:hAnsi="Arial" w:cs="Arial"/>
                <w:sz w:val="16"/>
                <w:szCs w:val="16"/>
              </w:rPr>
              <w:t>Fideicomiso de Administración Interconexión 500 KV ET Nueva San Juan - ET Rodeo Iglesia</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34B01168" w14:textId="5E5C6B73" w:rsidR="005E7BAB" w:rsidRPr="00701F32" w:rsidRDefault="005E7BAB" w:rsidP="00701F32">
            <w:pPr>
              <w:jc w:val="center"/>
              <w:rPr>
                <w:rFonts w:ascii="Arial" w:hAnsi="Arial" w:cs="Arial"/>
                <w:sz w:val="16"/>
                <w:szCs w:val="16"/>
              </w:rPr>
            </w:pPr>
            <w:r w:rsidRPr="00701F32">
              <w:rPr>
                <w:rFonts w:ascii="Arial" w:hAnsi="Arial" w:cs="Arial"/>
                <w:sz w:val="16"/>
                <w:szCs w:val="16"/>
              </w:rPr>
              <w:t>12/09/2018</w:t>
            </w:r>
          </w:p>
        </w:tc>
        <w:tc>
          <w:tcPr>
            <w:tcW w:w="2197" w:type="dxa"/>
            <w:tcBorders>
              <w:top w:val="single" w:sz="4" w:space="0" w:color="auto"/>
              <w:left w:val="nil"/>
              <w:bottom w:val="single" w:sz="4" w:space="0" w:color="auto"/>
              <w:right w:val="single" w:sz="4" w:space="0" w:color="auto"/>
            </w:tcBorders>
            <w:shd w:val="clear" w:color="auto" w:fill="auto"/>
            <w:vAlign w:val="center"/>
          </w:tcPr>
          <w:p w14:paraId="3544C260" w14:textId="0845104F" w:rsidR="005E7BAB" w:rsidRPr="00701F32" w:rsidRDefault="005E7BAB">
            <w:pPr>
              <w:jc w:val="center"/>
              <w:rPr>
                <w:rFonts w:ascii="Arial" w:hAnsi="Arial" w:cs="Arial"/>
                <w:sz w:val="16"/>
                <w:szCs w:val="16"/>
                <w:lang w:val="es-ES_tradnl"/>
              </w:rPr>
            </w:pPr>
            <w:r w:rsidRPr="00701F32">
              <w:rPr>
                <w:rFonts w:ascii="Arial" w:hAnsi="Arial" w:cs="Arial"/>
                <w:sz w:val="16"/>
                <w:szCs w:val="16"/>
              </w:rPr>
              <w:t>12/09/20</w:t>
            </w:r>
            <w:r w:rsidR="005B2619" w:rsidRPr="00701F32">
              <w:rPr>
                <w:rFonts w:ascii="Arial" w:hAnsi="Arial" w:cs="Arial"/>
                <w:sz w:val="16"/>
                <w:szCs w:val="16"/>
              </w:rPr>
              <w:t>20</w:t>
            </w:r>
            <w:r w:rsidRPr="00701F32">
              <w:rPr>
                <w:rFonts w:ascii="Arial" w:hAnsi="Arial" w:cs="Arial"/>
                <w:sz w:val="16"/>
                <w:szCs w:val="16"/>
              </w:rPr>
              <w:t xml:space="preserve">, o hasta la extinción de las obligaciones de pago mediante Desembolsos (la “Fecha de Extinción”). </w:t>
            </w:r>
          </w:p>
        </w:tc>
        <w:tc>
          <w:tcPr>
            <w:tcW w:w="992" w:type="dxa"/>
            <w:tcBorders>
              <w:top w:val="single" w:sz="4" w:space="0" w:color="auto"/>
              <w:left w:val="nil"/>
              <w:bottom w:val="single" w:sz="4" w:space="0" w:color="auto"/>
              <w:right w:val="single" w:sz="4" w:space="0" w:color="auto"/>
            </w:tcBorders>
            <w:shd w:val="clear" w:color="auto" w:fill="auto"/>
            <w:vAlign w:val="center"/>
          </w:tcPr>
          <w:p w14:paraId="29E1B90A" w14:textId="39E8D2F1" w:rsidR="005E7BAB" w:rsidRPr="00701F32" w:rsidRDefault="005B2619">
            <w:pPr>
              <w:jc w:val="center"/>
              <w:rPr>
                <w:rFonts w:ascii="Arial" w:hAnsi="Arial" w:cs="Arial"/>
                <w:sz w:val="16"/>
                <w:szCs w:val="16"/>
                <w:lang w:val="es-ES_tradnl"/>
              </w:rPr>
            </w:pPr>
            <w:r w:rsidRPr="00701F32">
              <w:rPr>
                <w:rFonts w:ascii="Arial" w:hAnsi="Arial" w:cs="Arial"/>
                <w:sz w:val="16"/>
                <w:szCs w:val="16"/>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3847824" w14:textId="33F12897" w:rsidR="005E7BAB" w:rsidRPr="00701F32" w:rsidRDefault="005B2619">
            <w:pPr>
              <w:jc w:val="center"/>
              <w:rPr>
                <w:rFonts w:ascii="Arial" w:hAnsi="Arial" w:cs="Arial"/>
                <w:sz w:val="16"/>
                <w:szCs w:val="16"/>
                <w:lang w:val="es-ES_tradnl"/>
              </w:rPr>
            </w:pPr>
            <w:r w:rsidRPr="00701F32">
              <w:rPr>
                <w:rFonts w:ascii="Arial" w:hAnsi="Arial"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01F02C" w14:textId="042CAEE2" w:rsidR="005E7BAB" w:rsidRPr="00701F32" w:rsidRDefault="005E7BAB" w:rsidP="00701F32">
            <w:pPr>
              <w:jc w:val="center"/>
              <w:rPr>
                <w:rFonts w:ascii="Arial" w:hAnsi="Arial" w:cs="Arial"/>
                <w:sz w:val="16"/>
                <w:szCs w:val="16"/>
                <w:lang w:val="es-ES_tradnl"/>
              </w:rPr>
            </w:pPr>
            <w:r w:rsidRPr="00701F32">
              <w:rPr>
                <w:rFonts w:ascii="Arial" w:hAnsi="Arial" w:cs="Arial"/>
                <w:sz w:val="16"/>
                <w:szCs w:val="16"/>
              </w:rPr>
              <w:t>DISERVEL S.R.L., INGENIAS S.R.L, GEOTECNIA (INV. CALVENTE), NEWEN INGENIERIA S.A., INGICIAP S.A., MERCADOS ENERGETICOS, DISERVEL S.R.L.) y los proveedores de obras, bienes y servicios comprendidos en el Proyecto</w:t>
            </w:r>
            <w:r w:rsidR="005B2619" w:rsidRPr="00701F32">
              <w:rPr>
                <w:rFonts w:ascii="Arial" w:hAnsi="Arial" w:cs="Arial"/>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677B77" w14:textId="45A07647" w:rsidR="005E7BAB" w:rsidRPr="00701F32" w:rsidRDefault="005E7BAB" w:rsidP="00701F32">
            <w:pPr>
              <w:jc w:val="center"/>
              <w:rPr>
                <w:rFonts w:ascii="Arial" w:hAnsi="Arial" w:cs="Arial"/>
                <w:sz w:val="16"/>
                <w:szCs w:val="16"/>
              </w:rPr>
            </w:pPr>
            <w:r w:rsidRPr="00701F32">
              <w:rPr>
                <w:rFonts w:ascii="Arial" w:hAnsi="Arial" w:cs="Arial"/>
                <w:sz w:val="16"/>
                <w:szCs w:val="16"/>
              </w:rPr>
              <w:t>Interconexion Electrica Rodeo S.A.</w:t>
            </w:r>
          </w:p>
        </w:tc>
      </w:tr>
    </w:tbl>
    <w:p w14:paraId="1CB5030E" w14:textId="77777777" w:rsidR="00A06BE9" w:rsidRPr="00701F32" w:rsidRDefault="00A06BE9" w:rsidP="00A06BE9">
      <w:pPr>
        <w:tabs>
          <w:tab w:val="left" w:pos="142"/>
        </w:tabs>
        <w:jc w:val="both"/>
        <w:rPr>
          <w:rFonts w:ascii="Arial" w:hAnsi="Arial" w:cs="Arial"/>
          <w:sz w:val="20"/>
        </w:rPr>
      </w:pPr>
    </w:p>
    <w:p w14:paraId="6742EC1A" w14:textId="77777777" w:rsidR="00A06BE9" w:rsidRPr="00701F32" w:rsidRDefault="00A06BE9" w:rsidP="00A06BE9">
      <w:pPr>
        <w:jc w:val="both"/>
        <w:rPr>
          <w:rFonts w:ascii="Arial" w:hAnsi="Arial" w:cs="Arial"/>
          <w:sz w:val="20"/>
        </w:rPr>
      </w:pPr>
    </w:p>
    <w:p w14:paraId="0D688E3F" w14:textId="77777777" w:rsidR="00A06BE9" w:rsidRPr="00701F32" w:rsidRDefault="00A06BE9" w:rsidP="00A06BE9">
      <w:pPr>
        <w:jc w:val="both"/>
        <w:rPr>
          <w:rFonts w:ascii="Arial" w:hAnsi="Arial" w:cs="Arial"/>
          <w:sz w:val="20"/>
        </w:rPr>
      </w:pPr>
      <w:r w:rsidRPr="00701F32">
        <w:rPr>
          <w:rFonts w:ascii="Arial" w:hAnsi="Arial" w:cs="Arial"/>
          <w:sz w:val="20"/>
        </w:rPr>
        <w:t>Con motivo de la fusión con el ex Banco Regional de Cuyo S.A. efectuada el 1° de noviembre de 2010, la Entidad tomó a su cargo los siguientes fideicomisos en los cuales el ex Banco Regional de Cuyo S.A. actuaba como fiduciario:</w:t>
      </w:r>
    </w:p>
    <w:p w14:paraId="7F25B078" w14:textId="77777777" w:rsidR="00F53550" w:rsidRPr="00701F32" w:rsidRDefault="00F53550" w:rsidP="00A06BE9">
      <w:pPr>
        <w:jc w:val="both"/>
        <w:rPr>
          <w:rFonts w:ascii="Arial" w:hAnsi="Arial" w:cs="Arial"/>
          <w:sz w:val="20"/>
          <w:u w:val="single"/>
        </w:rPr>
      </w:pPr>
    </w:p>
    <w:p w14:paraId="63EFE487" w14:textId="267ABE49" w:rsidR="00A06BE9" w:rsidRPr="00701F32" w:rsidRDefault="00A06BE9" w:rsidP="00A06BE9">
      <w:pPr>
        <w:jc w:val="both"/>
        <w:rPr>
          <w:rFonts w:ascii="Arial" w:hAnsi="Arial" w:cs="Arial"/>
          <w:sz w:val="20"/>
        </w:rPr>
      </w:pPr>
      <w:r w:rsidRPr="00701F32">
        <w:rPr>
          <w:rFonts w:ascii="Arial" w:hAnsi="Arial" w:cs="Arial"/>
          <w:sz w:val="20"/>
          <w:u w:val="single"/>
        </w:rPr>
        <w:t>Fideicomiso Mendoza</w:t>
      </w:r>
      <w:r w:rsidRPr="00701F32">
        <w:rPr>
          <w:rFonts w:ascii="Arial" w:hAnsi="Arial" w:cs="Arial"/>
          <w:sz w:val="20"/>
        </w:rPr>
        <w:t>: Se encuentra en etapa de liquidación, toda vez que se ha cumplido el plazo contractual, aunque queda pendiente la realización de varios actos que derivan de la actividad fiduciaria. Los pasivos contabilizados al 3</w:t>
      </w:r>
      <w:r w:rsidR="004762EC" w:rsidRPr="00701F32">
        <w:rPr>
          <w:rFonts w:ascii="Arial" w:hAnsi="Arial" w:cs="Arial"/>
          <w:sz w:val="20"/>
        </w:rPr>
        <w:t>0</w:t>
      </w:r>
      <w:r w:rsidR="00847738" w:rsidRPr="00701F32">
        <w:rPr>
          <w:rFonts w:ascii="Arial" w:hAnsi="Arial" w:cs="Arial"/>
          <w:sz w:val="20"/>
        </w:rPr>
        <w:t xml:space="preserve"> </w:t>
      </w:r>
      <w:r w:rsidRPr="00701F32">
        <w:rPr>
          <w:rFonts w:ascii="Arial" w:hAnsi="Arial" w:cs="Arial"/>
          <w:sz w:val="20"/>
        </w:rPr>
        <w:t xml:space="preserve">de </w:t>
      </w:r>
      <w:r w:rsidR="005C4329" w:rsidRPr="00701F32">
        <w:rPr>
          <w:rFonts w:ascii="Arial" w:hAnsi="Arial" w:cs="Arial"/>
          <w:sz w:val="20"/>
        </w:rPr>
        <w:t>s</w:t>
      </w:r>
      <w:r w:rsidR="00847738" w:rsidRPr="00701F32">
        <w:rPr>
          <w:rFonts w:ascii="Arial" w:hAnsi="Arial" w:cs="Arial"/>
          <w:sz w:val="20"/>
        </w:rPr>
        <w:t>eptiembre </w:t>
      </w:r>
      <w:r w:rsidR="004437AA">
        <w:rPr>
          <w:rFonts w:ascii="Arial" w:hAnsi="Arial" w:cs="Arial"/>
          <w:sz w:val="20"/>
        </w:rPr>
        <w:t xml:space="preserve">de </w:t>
      </w:r>
      <w:r w:rsidRPr="00701F32">
        <w:rPr>
          <w:rFonts w:ascii="Arial" w:hAnsi="Arial" w:cs="Arial"/>
          <w:sz w:val="20"/>
        </w:rPr>
        <w:t xml:space="preserve">2018, fundamentalmente originados en la exclusión de activos, ascienden a la suma de $ </w:t>
      </w:r>
      <w:r w:rsidR="00847738" w:rsidRPr="00701F32">
        <w:rPr>
          <w:rFonts w:ascii="Arial" w:hAnsi="Arial" w:cs="Arial"/>
          <w:sz w:val="20"/>
        </w:rPr>
        <w:t>19.071</w:t>
      </w:r>
      <w:r w:rsidRPr="00701F32">
        <w:rPr>
          <w:rFonts w:ascii="Arial" w:hAnsi="Arial" w:cs="Arial"/>
          <w:sz w:val="20"/>
        </w:rPr>
        <w:t xml:space="preserve"> miles y han sido respaldados con activos fideicomitidos (préstamos, otros créditos diversos, otros activos no financieros, etc.) por la suma de $ 5</w:t>
      </w:r>
      <w:r w:rsidR="00847738" w:rsidRPr="00701F32">
        <w:rPr>
          <w:rFonts w:ascii="Arial" w:hAnsi="Arial" w:cs="Arial"/>
          <w:sz w:val="20"/>
        </w:rPr>
        <w:t>30</w:t>
      </w:r>
      <w:r w:rsidRPr="00701F32">
        <w:rPr>
          <w:rFonts w:ascii="Arial" w:hAnsi="Arial" w:cs="Arial"/>
          <w:sz w:val="20"/>
        </w:rPr>
        <w:t xml:space="preserve"> miles, oportunamente se procederá a la liquidación del fideicomiso conforme a lo establecido la ley 24.441</w:t>
      </w:r>
    </w:p>
    <w:p w14:paraId="051EEF7B" w14:textId="7AA2847C" w:rsidR="00A06BE9" w:rsidRPr="00701F32" w:rsidRDefault="00A06BE9" w:rsidP="00A06BE9">
      <w:pPr>
        <w:jc w:val="both"/>
        <w:rPr>
          <w:rFonts w:ascii="Arial" w:hAnsi="Arial" w:cs="Arial"/>
          <w:sz w:val="20"/>
        </w:rPr>
      </w:pPr>
    </w:p>
    <w:p w14:paraId="0ED5EC65" w14:textId="10DA6810" w:rsidR="00A06BE9" w:rsidRDefault="00A06BE9" w:rsidP="00A06BE9">
      <w:pPr>
        <w:jc w:val="both"/>
        <w:rPr>
          <w:rFonts w:ascii="Arial" w:hAnsi="Arial" w:cs="Arial"/>
          <w:sz w:val="20"/>
        </w:rPr>
      </w:pPr>
      <w:r w:rsidRPr="00701F32">
        <w:rPr>
          <w:rFonts w:ascii="Arial" w:hAnsi="Arial" w:cs="Arial"/>
          <w:sz w:val="20"/>
          <w:u w:val="single"/>
        </w:rPr>
        <w:t>Fideicomiso Luján</w:t>
      </w:r>
      <w:r w:rsidRPr="00701F32">
        <w:rPr>
          <w:rFonts w:ascii="Arial" w:hAnsi="Arial" w:cs="Arial"/>
          <w:sz w:val="20"/>
        </w:rPr>
        <w:t>: Se ha cumplido el plazo del contrato por lo que la Entidad ha procedido a la entrega de toda la documentación referente a la liquidación y se ha solicitado la baja definitiva en la Dirección General de Rentas en el impuesto sobre los ingresos brutos y como agente de retención de sellos e ingresos brutos, la cual fue resuelta favorablemente por la DGR. Igualmente se ha solicitado la baja definitiva ante AFIP. A la fecha, no se ha recibido la constancia de baja definitiva en el mencionado Ente.</w:t>
      </w:r>
    </w:p>
    <w:p w14:paraId="25D6EA95" w14:textId="77777777" w:rsidR="004437AA" w:rsidRPr="00701F32" w:rsidRDefault="004437AA" w:rsidP="00A06BE9">
      <w:pPr>
        <w:jc w:val="both"/>
        <w:rPr>
          <w:rFonts w:ascii="Arial" w:hAnsi="Arial" w:cs="Arial"/>
          <w:sz w:val="20"/>
        </w:rPr>
      </w:pPr>
    </w:p>
    <w:p w14:paraId="3FDAA6B3" w14:textId="77777777" w:rsidR="00A06BE9" w:rsidRPr="00701F32" w:rsidRDefault="00A06BE9" w:rsidP="00A06BE9">
      <w:pPr>
        <w:jc w:val="both"/>
        <w:rPr>
          <w:rFonts w:ascii="Arial" w:hAnsi="Arial" w:cs="Arial"/>
          <w:sz w:val="20"/>
        </w:rPr>
      </w:pPr>
    </w:p>
    <w:p w14:paraId="4239E9DC" w14:textId="77777777" w:rsidR="00A06BE9" w:rsidRPr="00701F32" w:rsidRDefault="00A06BE9" w:rsidP="00A06BE9">
      <w:pPr>
        <w:tabs>
          <w:tab w:val="left" w:pos="142"/>
        </w:tabs>
        <w:autoSpaceDE w:val="0"/>
        <w:autoSpaceDN w:val="0"/>
        <w:adjustRightInd w:val="0"/>
        <w:jc w:val="both"/>
        <w:rPr>
          <w:rFonts w:ascii="Arial" w:hAnsi="Arial" w:cs="Arial"/>
          <w:b/>
          <w:sz w:val="20"/>
          <w:u w:val="single"/>
        </w:rPr>
      </w:pPr>
      <w:r w:rsidRPr="00701F32">
        <w:rPr>
          <w:rFonts w:ascii="Arial" w:hAnsi="Arial" w:cs="Arial"/>
          <w:b/>
          <w:sz w:val="20"/>
          <w:u w:val="single"/>
        </w:rPr>
        <w:t>Actuación como Fiduciante</w:t>
      </w:r>
    </w:p>
    <w:p w14:paraId="42CD65AD" w14:textId="77777777" w:rsidR="00A06BE9" w:rsidRPr="00701F32" w:rsidRDefault="00A06BE9" w:rsidP="00A06BE9">
      <w:pPr>
        <w:tabs>
          <w:tab w:val="left" w:pos="142"/>
        </w:tabs>
        <w:jc w:val="both"/>
        <w:rPr>
          <w:rFonts w:ascii="Arial" w:hAnsi="Arial" w:cs="Arial"/>
          <w:b/>
          <w:sz w:val="20"/>
        </w:rPr>
      </w:pPr>
    </w:p>
    <w:p w14:paraId="5CC285FF"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Se resume a continuación el detalle de los fideicomisos financieros:</w:t>
      </w:r>
    </w:p>
    <w:p w14:paraId="2D9B73E9" w14:textId="77777777" w:rsidR="00A06BE9" w:rsidRPr="00701F32" w:rsidRDefault="00A06BE9" w:rsidP="00A06BE9">
      <w:pPr>
        <w:tabs>
          <w:tab w:val="left" w:pos="142"/>
        </w:tabs>
        <w:jc w:val="both"/>
        <w:rPr>
          <w:rFonts w:ascii="Arial" w:hAnsi="Arial" w:cs="Arial"/>
          <w:sz w:val="20"/>
        </w:rPr>
      </w:pPr>
    </w:p>
    <w:p w14:paraId="3FBA772E"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Fideicomisos financieros con oferta pública y cotización al 3</w:t>
      </w:r>
      <w:r w:rsidR="009A64F1"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septiembre</w:t>
      </w:r>
      <w:r w:rsidRPr="00701F32">
        <w:rPr>
          <w:rFonts w:ascii="Arial" w:hAnsi="Arial" w:cs="Arial"/>
          <w:sz w:val="20"/>
        </w:rPr>
        <w:t xml:space="preserve"> de 2018. </w:t>
      </w:r>
    </w:p>
    <w:p w14:paraId="6F7AE8C3" w14:textId="77777777" w:rsidR="00A06BE9" w:rsidRPr="00701F32" w:rsidRDefault="00A06BE9" w:rsidP="00A06BE9">
      <w:pPr>
        <w:tabs>
          <w:tab w:val="left" w:pos="142"/>
        </w:tabs>
        <w:jc w:val="both"/>
        <w:rPr>
          <w:rFonts w:ascii="Arial" w:hAnsi="Arial" w:cs="Arial"/>
          <w:sz w:val="20"/>
        </w:rPr>
      </w:pPr>
    </w:p>
    <w:p w14:paraId="594084DD" w14:textId="77777777" w:rsidR="00A06BE9" w:rsidRPr="00701F32" w:rsidRDefault="00A06BE9" w:rsidP="00A06BE9">
      <w:pPr>
        <w:numPr>
          <w:ilvl w:val="0"/>
          <w:numId w:val="3"/>
        </w:numPr>
        <w:tabs>
          <w:tab w:val="left" w:pos="142"/>
        </w:tabs>
        <w:contextualSpacing/>
        <w:jc w:val="both"/>
        <w:rPr>
          <w:rFonts w:ascii="Arial" w:hAnsi="Arial" w:cs="Arial"/>
          <w:b/>
          <w:sz w:val="20"/>
          <w:lang w:eastAsia="es-AR"/>
        </w:rPr>
      </w:pPr>
      <w:r w:rsidRPr="00701F32">
        <w:rPr>
          <w:rFonts w:ascii="Arial" w:hAnsi="Arial" w:cs="Arial"/>
          <w:b/>
          <w:sz w:val="20"/>
          <w:lang w:eastAsia="es-AR"/>
        </w:rPr>
        <w:t>Fideicomiso Financiero Supervielle Créditos</w:t>
      </w:r>
    </w:p>
    <w:p w14:paraId="5E1226F0" w14:textId="77777777" w:rsidR="00A06BE9" w:rsidRPr="00701F32" w:rsidRDefault="00A06BE9" w:rsidP="00A06BE9">
      <w:pPr>
        <w:tabs>
          <w:tab w:val="left" w:pos="6990"/>
        </w:tabs>
        <w:jc w:val="both"/>
        <w:rPr>
          <w:rFonts w:ascii="Arial" w:hAnsi="Arial" w:cs="Arial"/>
          <w:b/>
          <w:sz w:val="20"/>
        </w:rPr>
      </w:pPr>
      <w:r w:rsidRPr="00701F32">
        <w:rPr>
          <w:rFonts w:ascii="Arial" w:hAnsi="Arial" w:cs="Arial"/>
          <w:b/>
          <w:sz w:val="20"/>
        </w:rPr>
        <w:tab/>
      </w:r>
    </w:p>
    <w:p w14:paraId="796C9DF9"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u w:val="single"/>
        </w:rPr>
        <w:t>Activos Fideicomitidos</w:t>
      </w:r>
      <w:r w:rsidRPr="00701F32">
        <w:rPr>
          <w:rFonts w:ascii="Arial" w:hAnsi="Arial" w:cs="Arial"/>
          <w:sz w:val="20"/>
        </w:rPr>
        <w:t xml:space="preserve">: Préstamos Personales </w:t>
      </w:r>
    </w:p>
    <w:p w14:paraId="56F56306"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u w:val="single"/>
        </w:rPr>
        <w:t>Fiduciario:</w:t>
      </w:r>
      <w:r w:rsidRPr="00701F32">
        <w:rPr>
          <w:rFonts w:ascii="Arial" w:hAnsi="Arial" w:cs="Arial"/>
          <w:sz w:val="20"/>
        </w:rPr>
        <w:t xml:space="preserve"> TMF Trust Company (Argentina) S.A.</w:t>
      </w:r>
    </w:p>
    <w:p w14:paraId="5A2AF7D4" w14:textId="77777777" w:rsidR="004C16C0" w:rsidRPr="00701F32" w:rsidRDefault="004C16C0" w:rsidP="00A06BE9">
      <w:pPr>
        <w:tabs>
          <w:tab w:val="left" w:pos="142"/>
        </w:tabs>
        <w:jc w:val="both"/>
        <w:rPr>
          <w:rFonts w:ascii="Arial" w:hAnsi="Arial" w:cs="Arial"/>
          <w:sz w:val="20"/>
        </w:rPr>
      </w:pPr>
    </w:p>
    <w:bookmarkEnd w:id="3"/>
    <w:p w14:paraId="20E48134" w14:textId="7F665F63" w:rsidR="004C16C0" w:rsidRPr="00701F32" w:rsidRDefault="004C16C0" w:rsidP="004C16C0">
      <w:pPr>
        <w:jc w:val="both"/>
        <w:rPr>
          <w:rFonts w:ascii="Arial" w:hAnsi="Arial" w:cs="Arial"/>
          <w:sz w:val="20"/>
        </w:rPr>
      </w:pPr>
      <w:r w:rsidRPr="00701F32">
        <w:rPr>
          <w:rFonts w:ascii="Arial" w:hAnsi="Arial" w:cs="Arial"/>
          <w:sz w:val="20"/>
        </w:rPr>
        <w:t xml:space="preserve"> </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0F7B89" w:rsidRPr="00701F32" w14:paraId="2ABE694A" w14:textId="77777777" w:rsidTr="00701F32">
        <w:trPr>
          <w:trHeight w:val="42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3D77FC" w14:textId="77777777" w:rsidR="000F7B89" w:rsidRPr="00701F32" w:rsidRDefault="000F7B89" w:rsidP="000618A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Serie</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A9B1E9" w14:textId="77777777" w:rsidR="000F7B89" w:rsidRPr="00701F32" w:rsidRDefault="000F7B89" w:rsidP="000618A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Fecha de Emisión</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1B21E5" w14:textId="77777777" w:rsidR="000F7B89" w:rsidRPr="00701F32" w:rsidRDefault="000F7B89" w:rsidP="000618A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Valor fideicomitido inicial</w:t>
            </w:r>
          </w:p>
        </w:tc>
        <w:tc>
          <w:tcPr>
            <w:tcW w:w="2400" w:type="dxa"/>
            <w:gridSpan w:val="2"/>
            <w:tcBorders>
              <w:top w:val="single" w:sz="8" w:space="0" w:color="auto"/>
              <w:left w:val="nil"/>
              <w:bottom w:val="single" w:sz="8" w:space="0" w:color="auto"/>
              <w:right w:val="single" w:sz="8" w:space="0" w:color="000000"/>
            </w:tcBorders>
            <w:shd w:val="clear" w:color="auto" w:fill="auto"/>
            <w:vAlign w:val="center"/>
            <w:hideMark/>
          </w:tcPr>
          <w:p w14:paraId="19F01766" w14:textId="77777777" w:rsidR="000F7B89" w:rsidRPr="00701F32" w:rsidRDefault="000F7B89" w:rsidP="000618A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Títulos Emitidos</w:t>
            </w:r>
          </w:p>
        </w:tc>
      </w:tr>
      <w:tr w:rsidR="000F7B89" w:rsidRPr="00701F32" w14:paraId="13A6246F" w14:textId="77777777" w:rsidTr="00701F32">
        <w:trPr>
          <w:trHeight w:val="46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5DA0F6D" w14:textId="77777777" w:rsidR="000F7B89" w:rsidRPr="00701F32" w:rsidRDefault="000F7B89" w:rsidP="000618A3">
            <w:pPr>
              <w:rPr>
                <w:rFonts w:ascii="Arial" w:hAnsi="Arial" w:cs="Arial"/>
                <w:b/>
                <w:bCs/>
                <w:color w:val="000000"/>
                <w:sz w:val="16"/>
                <w:szCs w:val="16"/>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7305714F" w14:textId="77777777" w:rsidR="000F7B89" w:rsidRPr="00701F32" w:rsidRDefault="000F7B89" w:rsidP="000618A3">
            <w:pPr>
              <w:rPr>
                <w:rFonts w:ascii="Arial" w:hAnsi="Arial" w:cs="Arial"/>
                <w:b/>
                <w:bCs/>
                <w:color w:val="000000"/>
                <w:sz w:val="16"/>
                <w:szCs w:val="16"/>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2D8DF42" w14:textId="77777777" w:rsidR="000F7B89" w:rsidRPr="00701F32" w:rsidRDefault="000F7B89" w:rsidP="000618A3">
            <w:pPr>
              <w:rPr>
                <w:rFonts w:ascii="Arial" w:hAnsi="Arial" w:cs="Arial"/>
                <w:b/>
                <w:bCs/>
                <w:color w:val="000000"/>
                <w:sz w:val="16"/>
                <w:szCs w:val="16"/>
                <w:lang w:eastAsia="es-AR"/>
              </w:rPr>
            </w:pPr>
          </w:p>
        </w:tc>
        <w:tc>
          <w:tcPr>
            <w:tcW w:w="1200" w:type="dxa"/>
            <w:tcBorders>
              <w:top w:val="nil"/>
              <w:left w:val="nil"/>
              <w:bottom w:val="single" w:sz="8" w:space="0" w:color="auto"/>
              <w:right w:val="single" w:sz="8" w:space="0" w:color="auto"/>
            </w:tcBorders>
            <w:shd w:val="clear" w:color="auto" w:fill="auto"/>
            <w:vAlign w:val="center"/>
            <w:hideMark/>
          </w:tcPr>
          <w:p w14:paraId="44F9AEAF" w14:textId="77777777" w:rsidR="000F7B89" w:rsidRPr="00701F32" w:rsidRDefault="000F7B89" w:rsidP="000618A3">
            <w:pPr>
              <w:jc w:val="center"/>
              <w:rPr>
                <w:rFonts w:ascii="Arial" w:hAnsi="Arial" w:cs="Arial"/>
                <w:b/>
                <w:color w:val="000000"/>
                <w:sz w:val="16"/>
                <w:szCs w:val="16"/>
                <w:lang w:eastAsia="es-AR"/>
              </w:rPr>
            </w:pPr>
            <w:r w:rsidRPr="00701F32">
              <w:rPr>
                <w:rFonts w:ascii="Arial" w:hAnsi="Arial" w:cs="Arial"/>
                <w:b/>
                <w:color w:val="000000"/>
                <w:sz w:val="16"/>
                <w:szCs w:val="16"/>
                <w:lang w:eastAsia="es-AR"/>
              </w:rPr>
              <w:t>Certificados de participación</w:t>
            </w:r>
          </w:p>
        </w:tc>
        <w:tc>
          <w:tcPr>
            <w:tcW w:w="1200" w:type="dxa"/>
            <w:tcBorders>
              <w:top w:val="nil"/>
              <w:left w:val="nil"/>
              <w:bottom w:val="single" w:sz="8" w:space="0" w:color="auto"/>
              <w:right w:val="single" w:sz="8" w:space="0" w:color="auto"/>
            </w:tcBorders>
            <w:shd w:val="clear" w:color="auto" w:fill="auto"/>
            <w:vAlign w:val="center"/>
            <w:hideMark/>
          </w:tcPr>
          <w:p w14:paraId="39AF42E5" w14:textId="77777777" w:rsidR="000F7B89" w:rsidRPr="00701F32" w:rsidRDefault="000F7B89" w:rsidP="000618A3">
            <w:pPr>
              <w:jc w:val="center"/>
              <w:rPr>
                <w:rFonts w:ascii="Arial" w:hAnsi="Arial" w:cs="Arial"/>
                <w:b/>
                <w:color w:val="000000"/>
                <w:sz w:val="16"/>
                <w:szCs w:val="16"/>
                <w:lang w:eastAsia="es-AR"/>
              </w:rPr>
            </w:pPr>
            <w:r w:rsidRPr="00701F32">
              <w:rPr>
                <w:rFonts w:ascii="Arial" w:hAnsi="Arial" w:cs="Arial"/>
                <w:b/>
                <w:color w:val="000000"/>
                <w:sz w:val="16"/>
                <w:szCs w:val="16"/>
                <w:lang w:eastAsia="es-AR"/>
              </w:rPr>
              <w:t>Títulos de deuda</w:t>
            </w:r>
          </w:p>
        </w:tc>
      </w:tr>
      <w:tr w:rsidR="000F7B89" w:rsidRPr="00701F32" w14:paraId="7D8ED81F" w14:textId="77777777" w:rsidTr="00701F32">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tcPr>
          <w:p w14:paraId="0DA7AB8A" w14:textId="77777777"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 xml:space="preserve">Serie 95 </w:t>
            </w:r>
          </w:p>
        </w:tc>
        <w:tc>
          <w:tcPr>
            <w:tcW w:w="1200" w:type="dxa"/>
            <w:tcBorders>
              <w:top w:val="nil"/>
              <w:left w:val="nil"/>
              <w:bottom w:val="single" w:sz="8" w:space="0" w:color="auto"/>
              <w:right w:val="single" w:sz="8" w:space="0" w:color="auto"/>
            </w:tcBorders>
            <w:shd w:val="clear" w:color="auto" w:fill="auto"/>
            <w:vAlign w:val="center"/>
          </w:tcPr>
          <w:p w14:paraId="04299458" w14:textId="4D5CD89B"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30/06/2017</w:t>
            </w:r>
          </w:p>
        </w:tc>
        <w:tc>
          <w:tcPr>
            <w:tcW w:w="1200" w:type="dxa"/>
            <w:tcBorders>
              <w:top w:val="nil"/>
              <w:left w:val="nil"/>
              <w:bottom w:val="single" w:sz="8" w:space="0" w:color="auto"/>
              <w:right w:val="single" w:sz="8" w:space="0" w:color="auto"/>
            </w:tcBorders>
            <w:shd w:val="clear" w:color="auto" w:fill="auto"/>
            <w:vAlign w:val="center"/>
          </w:tcPr>
          <w:p w14:paraId="4A2CAA24" w14:textId="7DEE9D01"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500.000</w:t>
            </w:r>
          </w:p>
        </w:tc>
        <w:tc>
          <w:tcPr>
            <w:tcW w:w="1200" w:type="dxa"/>
            <w:tcBorders>
              <w:top w:val="nil"/>
              <w:left w:val="nil"/>
              <w:bottom w:val="single" w:sz="8" w:space="0" w:color="auto"/>
              <w:right w:val="single" w:sz="8" w:space="0" w:color="auto"/>
            </w:tcBorders>
            <w:shd w:val="clear" w:color="auto" w:fill="auto"/>
            <w:vAlign w:val="center"/>
          </w:tcPr>
          <w:p w14:paraId="2E880D6E"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80.353</w:t>
            </w:r>
          </w:p>
        </w:tc>
        <w:tc>
          <w:tcPr>
            <w:tcW w:w="1200" w:type="dxa"/>
            <w:tcBorders>
              <w:top w:val="nil"/>
              <w:left w:val="nil"/>
              <w:bottom w:val="single" w:sz="8" w:space="0" w:color="auto"/>
              <w:right w:val="single" w:sz="8" w:space="0" w:color="auto"/>
            </w:tcBorders>
            <w:shd w:val="clear" w:color="auto" w:fill="auto"/>
            <w:vAlign w:val="center"/>
          </w:tcPr>
          <w:p w14:paraId="34781372"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2.061</w:t>
            </w:r>
          </w:p>
        </w:tc>
      </w:tr>
      <w:tr w:rsidR="000F7B89" w:rsidRPr="00701F32" w14:paraId="67D4CD17" w14:textId="77777777" w:rsidTr="00701F32">
        <w:trPr>
          <w:trHeight w:val="465"/>
          <w:jc w:val="center"/>
        </w:trPr>
        <w:tc>
          <w:tcPr>
            <w:tcW w:w="120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C062A0D" w14:textId="77777777"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 xml:space="preserve">Serie 96 </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5763E7E2" w14:textId="77777777"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19/09/2017</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2EC3B2C0" w14:textId="77777777"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236.867</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24AD4DF0"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18.536</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2793B007"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2.500</w:t>
            </w:r>
          </w:p>
        </w:tc>
      </w:tr>
      <w:tr w:rsidR="000F7B89" w:rsidRPr="00701F32" w14:paraId="13FBFEB9" w14:textId="77777777" w:rsidTr="00701F32">
        <w:trPr>
          <w:trHeight w:val="465"/>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tcPr>
          <w:p w14:paraId="69CCCF4F" w14:textId="460A2261"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 xml:space="preserve">Serie 97 </w:t>
            </w:r>
          </w:p>
        </w:tc>
        <w:tc>
          <w:tcPr>
            <w:tcW w:w="1200" w:type="dxa"/>
            <w:tcBorders>
              <w:top w:val="single" w:sz="4" w:space="0" w:color="auto"/>
              <w:left w:val="nil"/>
              <w:bottom w:val="single" w:sz="8" w:space="0" w:color="auto"/>
              <w:right w:val="single" w:sz="8" w:space="0" w:color="auto"/>
            </w:tcBorders>
            <w:shd w:val="clear" w:color="auto" w:fill="auto"/>
            <w:vAlign w:val="center"/>
          </w:tcPr>
          <w:p w14:paraId="56A1225F" w14:textId="0DD5B630"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27/03/2018</w:t>
            </w:r>
          </w:p>
        </w:tc>
        <w:tc>
          <w:tcPr>
            <w:tcW w:w="1200" w:type="dxa"/>
            <w:tcBorders>
              <w:top w:val="single" w:sz="4" w:space="0" w:color="auto"/>
              <w:left w:val="nil"/>
              <w:bottom w:val="single" w:sz="8" w:space="0" w:color="auto"/>
              <w:right w:val="single" w:sz="8" w:space="0" w:color="auto"/>
            </w:tcBorders>
            <w:shd w:val="clear" w:color="auto" w:fill="auto"/>
            <w:vAlign w:val="center"/>
          </w:tcPr>
          <w:p w14:paraId="7EB070F2" w14:textId="5ABB05D6" w:rsidR="000F7B89" w:rsidRPr="00701F32" w:rsidRDefault="000F7B89" w:rsidP="000618A3">
            <w:pPr>
              <w:jc w:val="center"/>
              <w:rPr>
                <w:rFonts w:ascii="Arial" w:hAnsi="Arial" w:cs="Arial"/>
                <w:color w:val="000000"/>
                <w:sz w:val="16"/>
                <w:szCs w:val="16"/>
                <w:lang w:eastAsia="es-AR"/>
              </w:rPr>
            </w:pPr>
            <w:r w:rsidRPr="00701F32">
              <w:rPr>
                <w:rFonts w:ascii="Arial" w:hAnsi="Arial" w:cs="Arial"/>
                <w:color w:val="000000"/>
                <w:sz w:val="16"/>
                <w:szCs w:val="16"/>
                <w:lang w:eastAsia="es-AR"/>
              </w:rPr>
              <w:t>750.000</w:t>
            </w:r>
          </w:p>
        </w:tc>
        <w:tc>
          <w:tcPr>
            <w:tcW w:w="1200" w:type="dxa"/>
            <w:tcBorders>
              <w:top w:val="single" w:sz="4" w:space="0" w:color="auto"/>
              <w:left w:val="nil"/>
              <w:bottom w:val="single" w:sz="8" w:space="0" w:color="auto"/>
              <w:right w:val="single" w:sz="8" w:space="0" w:color="auto"/>
            </w:tcBorders>
            <w:shd w:val="clear" w:color="auto" w:fill="auto"/>
            <w:vAlign w:val="center"/>
          </w:tcPr>
          <w:p w14:paraId="51E9FD55"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00" w:type="dxa"/>
            <w:tcBorders>
              <w:top w:val="single" w:sz="4" w:space="0" w:color="auto"/>
              <w:left w:val="nil"/>
              <w:bottom w:val="single" w:sz="8" w:space="0" w:color="auto"/>
              <w:right w:val="single" w:sz="8" w:space="0" w:color="auto"/>
            </w:tcBorders>
            <w:shd w:val="clear" w:color="auto" w:fill="auto"/>
            <w:vAlign w:val="center"/>
          </w:tcPr>
          <w:p w14:paraId="18A884D1" w14:textId="77777777" w:rsidR="000F7B89" w:rsidRPr="00701F32" w:rsidRDefault="000F7B89" w:rsidP="000618A3">
            <w:pPr>
              <w:jc w:val="right"/>
              <w:rPr>
                <w:rFonts w:ascii="Arial" w:hAnsi="Arial" w:cs="Arial"/>
                <w:color w:val="000000"/>
                <w:sz w:val="16"/>
                <w:szCs w:val="16"/>
                <w:lang w:eastAsia="es-AR"/>
              </w:rPr>
            </w:pPr>
            <w:r w:rsidRPr="00701F32">
              <w:rPr>
                <w:rFonts w:ascii="Arial" w:hAnsi="Arial" w:cs="Arial"/>
                <w:color w:val="000000"/>
                <w:sz w:val="16"/>
                <w:szCs w:val="16"/>
                <w:lang w:eastAsia="es-AR"/>
              </w:rPr>
              <w:t>30.926</w:t>
            </w:r>
          </w:p>
        </w:tc>
      </w:tr>
    </w:tbl>
    <w:p w14:paraId="4567CCE8" w14:textId="77777777" w:rsidR="004C16C0" w:rsidRPr="00701F32" w:rsidRDefault="004C16C0" w:rsidP="004C16C0">
      <w:pPr>
        <w:tabs>
          <w:tab w:val="left" w:pos="142"/>
          <w:tab w:val="left" w:pos="9923"/>
        </w:tabs>
        <w:spacing w:after="200" w:line="276" w:lineRule="auto"/>
        <w:contextualSpacing/>
        <w:jc w:val="both"/>
        <w:rPr>
          <w:rFonts w:ascii="Arial" w:hAnsi="Arial" w:cs="Arial"/>
          <w:b/>
          <w:sz w:val="20"/>
        </w:rPr>
      </w:pPr>
    </w:p>
    <w:p w14:paraId="0A02E42C" w14:textId="53DBB7A3" w:rsidR="00041A94" w:rsidRPr="00701F32" w:rsidRDefault="000F7B89" w:rsidP="00701F32">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 xml:space="preserve">Durante el </w:t>
      </w:r>
      <w:r w:rsidR="00AB49A0" w:rsidRPr="00701F32">
        <w:rPr>
          <w:rFonts w:ascii="Arial" w:eastAsia="Calibri" w:hAnsi="Arial" w:cs="Arial"/>
          <w:sz w:val="20"/>
        </w:rPr>
        <w:t>presente ejercicio</w:t>
      </w:r>
      <w:r w:rsidRPr="00701F32">
        <w:rPr>
          <w:rFonts w:ascii="Arial" w:eastAsia="Calibri" w:hAnsi="Arial" w:cs="Arial"/>
          <w:sz w:val="20"/>
        </w:rPr>
        <w:t xml:space="preserve"> se recompraron y liquidaron los fideicomisos financieros CCF Créditos, no exitiendo ningun fideicomiso financiero de estas series vigentes al 30 de septiembre de 2018.</w:t>
      </w:r>
    </w:p>
    <w:p w14:paraId="782BDC2B" w14:textId="77777777" w:rsidR="00D20EF9" w:rsidRPr="00701F32" w:rsidRDefault="00D20EF9" w:rsidP="00A06BE9">
      <w:pPr>
        <w:tabs>
          <w:tab w:val="left" w:pos="142"/>
          <w:tab w:val="left" w:pos="9923"/>
        </w:tabs>
        <w:spacing w:after="200" w:line="276" w:lineRule="auto"/>
        <w:contextualSpacing/>
        <w:jc w:val="both"/>
        <w:rPr>
          <w:rFonts w:ascii="Arial" w:hAnsi="Arial" w:cs="Arial"/>
          <w:b/>
          <w:sz w:val="20"/>
        </w:rPr>
      </w:pPr>
    </w:p>
    <w:p w14:paraId="5168B0F4" w14:textId="77777777" w:rsidR="00A06BE9" w:rsidRPr="00701F32" w:rsidRDefault="00AF3A00" w:rsidP="00A06BE9">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w:t>
      </w:r>
      <w:r w:rsidR="00582EAB" w:rsidRPr="00701F32">
        <w:rPr>
          <w:rFonts w:ascii="Arial" w:hAnsi="Arial" w:cs="Arial"/>
          <w:b/>
          <w:sz w:val="20"/>
        </w:rPr>
        <w:t xml:space="preserve">5 </w:t>
      </w:r>
      <w:r w:rsidR="00A06BE9" w:rsidRPr="00701F32">
        <w:rPr>
          <w:rFonts w:ascii="Arial" w:hAnsi="Arial" w:cs="Arial"/>
          <w:b/>
          <w:sz w:val="20"/>
        </w:rPr>
        <w:t>Cumplimiento de disposiciones requeridas por la Comisión Nacional de Valores</w:t>
      </w:r>
    </w:p>
    <w:p w14:paraId="38594F51" w14:textId="77777777" w:rsidR="00A06BE9" w:rsidRPr="00701F32" w:rsidRDefault="00A06BE9" w:rsidP="00A06BE9">
      <w:pPr>
        <w:tabs>
          <w:tab w:val="left" w:pos="142"/>
          <w:tab w:val="left" w:pos="9923"/>
        </w:tabs>
        <w:spacing w:after="200" w:line="276" w:lineRule="auto"/>
        <w:contextualSpacing/>
        <w:jc w:val="both"/>
        <w:rPr>
          <w:rFonts w:ascii="Arial" w:hAnsi="Arial" w:cs="Arial"/>
          <w:b/>
          <w:sz w:val="20"/>
        </w:rPr>
      </w:pPr>
    </w:p>
    <w:p w14:paraId="5544A5A0" w14:textId="77777777" w:rsidR="00A06BE9" w:rsidRPr="00701F32" w:rsidRDefault="00AF3A00" w:rsidP="00A06BE9">
      <w:pPr>
        <w:tabs>
          <w:tab w:val="left" w:pos="142"/>
          <w:tab w:val="left" w:pos="9923"/>
        </w:tabs>
        <w:spacing w:after="200" w:line="276" w:lineRule="auto"/>
        <w:contextualSpacing/>
        <w:jc w:val="both"/>
        <w:rPr>
          <w:rFonts w:ascii="Arial" w:hAnsi="Arial" w:cs="Arial"/>
          <w:sz w:val="20"/>
        </w:rPr>
      </w:pPr>
      <w:r w:rsidRPr="00701F32">
        <w:rPr>
          <w:rFonts w:ascii="Arial" w:hAnsi="Arial" w:cs="Arial"/>
          <w:b/>
          <w:sz w:val="20"/>
        </w:rPr>
        <w:t>15</w:t>
      </w:r>
      <w:r w:rsidR="00A06BE9" w:rsidRPr="00701F32">
        <w:rPr>
          <w:rFonts w:ascii="Arial" w:hAnsi="Arial" w:cs="Arial"/>
          <w:b/>
          <w:sz w:val="20"/>
        </w:rPr>
        <w:t>.5.1 Disposiciones para operar como agente de mercado abierto</w:t>
      </w:r>
    </w:p>
    <w:p w14:paraId="4592C4BD" w14:textId="77777777" w:rsidR="00A06BE9" w:rsidRPr="00701F32" w:rsidRDefault="00A06BE9" w:rsidP="00A06BE9">
      <w:pPr>
        <w:tabs>
          <w:tab w:val="left" w:pos="142"/>
          <w:tab w:val="left" w:pos="9923"/>
        </w:tabs>
        <w:spacing w:after="200" w:line="276" w:lineRule="auto"/>
        <w:contextualSpacing/>
        <w:jc w:val="both"/>
        <w:rPr>
          <w:rFonts w:ascii="Arial" w:hAnsi="Arial" w:cs="Arial"/>
          <w:sz w:val="20"/>
        </w:rPr>
      </w:pPr>
    </w:p>
    <w:p w14:paraId="2A9269CB"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Considerando la operatoria que actualmente realiza la Entidad, y conforme a las diferentes categorías de agentes que establece la Resolución General N° 622 de la Comisión Nacional de la misma se encuentra inscripta ante dicho organismo para la categoría de Agente de Liquidación, Compensación y Agente de Negociación Integral.</w:t>
      </w:r>
    </w:p>
    <w:p w14:paraId="4DF15023" w14:textId="77777777" w:rsidR="00A06BE9" w:rsidRPr="00701F32" w:rsidRDefault="00A06BE9" w:rsidP="00A06BE9">
      <w:pPr>
        <w:autoSpaceDE w:val="0"/>
        <w:autoSpaceDN w:val="0"/>
        <w:adjustRightInd w:val="0"/>
        <w:jc w:val="both"/>
        <w:rPr>
          <w:rFonts w:ascii="Arial" w:hAnsi="Arial" w:cs="Arial"/>
          <w:i/>
          <w:sz w:val="20"/>
        </w:rPr>
      </w:pPr>
    </w:p>
    <w:p w14:paraId="3D9C1BD1" w14:textId="49504A02" w:rsidR="00A06BE9" w:rsidRPr="00701F32" w:rsidRDefault="00A06BE9" w:rsidP="00A06BE9">
      <w:pPr>
        <w:jc w:val="both"/>
        <w:rPr>
          <w:rFonts w:ascii="Arial" w:hAnsi="Arial" w:cs="Arial"/>
          <w:sz w:val="20"/>
        </w:rPr>
      </w:pPr>
      <w:r w:rsidRPr="00701F32">
        <w:rPr>
          <w:rFonts w:ascii="Arial" w:hAnsi="Arial" w:cs="Arial"/>
          <w:sz w:val="20"/>
        </w:rPr>
        <w:t>Asimismo, se informa que al 3</w:t>
      </w:r>
      <w:r w:rsidR="004622AD" w:rsidRPr="00701F32">
        <w:rPr>
          <w:rFonts w:ascii="Arial" w:hAnsi="Arial" w:cs="Arial"/>
          <w:sz w:val="20"/>
        </w:rPr>
        <w:t>0</w:t>
      </w:r>
      <w:r w:rsidRPr="00701F32">
        <w:rPr>
          <w:rFonts w:ascii="Arial" w:hAnsi="Arial" w:cs="Arial"/>
          <w:sz w:val="20"/>
        </w:rPr>
        <w:t xml:space="preserve"> de </w:t>
      </w:r>
      <w:r w:rsidR="00AC4467" w:rsidRPr="00701F32">
        <w:rPr>
          <w:rFonts w:ascii="Arial" w:hAnsi="Arial" w:cs="Arial"/>
          <w:sz w:val="20"/>
        </w:rPr>
        <w:t>septiembre</w:t>
      </w:r>
      <w:r w:rsidRPr="00701F32">
        <w:rPr>
          <w:rFonts w:ascii="Arial" w:hAnsi="Arial" w:cs="Arial"/>
          <w:sz w:val="20"/>
        </w:rPr>
        <w:t xml:space="preserve"> de 2018 y al 31 de diciembre de 2017 el patrimonio neto de la Entidad supera el patrimonio neto mínimo requerido por dicha norma para actuar como agente de mercado abierto, el cual asciende a 15.000, y para actuar como agente de custodia de productos de inversión colectiva de fondos comunes de inversión, el cual asciende a 21.000, por cuanto la contrapartida líquida exigida por la norma asciende a 7.500 y 8.000 respectivamente, y se encuentra constituida por la cuenta corriente en pesos abierta en el BCRA cuyo saldo ascendía a </w:t>
      </w:r>
      <w:r w:rsidR="00A70D62" w:rsidRPr="00701F32">
        <w:rPr>
          <w:rFonts w:ascii="Arial" w:hAnsi="Arial" w:cs="Arial"/>
          <w:sz w:val="20"/>
        </w:rPr>
        <w:t>16.137.979</w:t>
      </w:r>
      <w:r w:rsidRPr="00701F32">
        <w:rPr>
          <w:rFonts w:ascii="Arial" w:hAnsi="Arial" w:cs="Arial"/>
          <w:sz w:val="20"/>
        </w:rPr>
        <w:t xml:space="preserve"> al 3</w:t>
      </w:r>
      <w:r w:rsidR="004622AD"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septiembre</w:t>
      </w:r>
      <w:r w:rsidRPr="00701F32">
        <w:rPr>
          <w:rFonts w:ascii="Arial" w:hAnsi="Arial" w:cs="Arial"/>
          <w:sz w:val="20"/>
        </w:rPr>
        <w:t xml:space="preserve"> de 2018 y 2.529.004 al 31 de diciembre de 2017 respectivamente.</w:t>
      </w:r>
    </w:p>
    <w:p w14:paraId="28E3F73F" w14:textId="77777777" w:rsidR="00A06BE9" w:rsidRPr="00701F32" w:rsidRDefault="00A06BE9" w:rsidP="00A06BE9">
      <w:pPr>
        <w:autoSpaceDE w:val="0"/>
        <w:autoSpaceDN w:val="0"/>
        <w:adjustRightInd w:val="0"/>
        <w:jc w:val="both"/>
        <w:rPr>
          <w:rFonts w:ascii="Arial" w:hAnsi="Arial" w:cs="Arial"/>
          <w:sz w:val="20"/>
        </w:rPr>
      </w:pPr>
    </w:p>
    <w:p w14:paraId="4C90E8F4" w14:textId="28341169" w:rsidR="00A06BE9" w:rsidRPr="00701F32" w:rsidRDefault="00A06BE9" w:rsidP="00A06BE9">
      <w:pPr>
        <w:tabs>
          <w:tab w:val="left" w:pos="142"/>
        </w:tabs>
        <w:jc w:val="both"/>
        <w:rPr>
          <w:rFonts w:ascii="Arial" w:hAnsi="Arial" w:cs="Arial"/>
          <w:color w:val="FF0000"/>
          <w:sz w:val="20"/>
        </w:rPr>
      </w:pPr>
      <w:r w:rsidRPr="00701F32">
        <w:rPr>
          <w:rFonts w:ascii="Arial" w:hAnsi="Arial" w:cs="Arial"/>
          <w:sz w:val="20"/>
        </w:rPr>
        <w:t>Por otra parte, en cumplimiento de la citada resolución general, el inmueble sito en la calle Reconquista 330 de esta Ciudad Autónoma, cuyo valor residual contable al 3</w:t>
      </w:r>
      <w:r w:rsidR="004622AD" w:rsidRPr="00701F32">
        <w:rPr>
          <w:rFonts w:ascii="Arial" w:hAnsi="Arial" w:cs="Arial"/>
          <w:sz w:val="20"/>
        </w:rPr>
        <w:t xml:space="preserve">0 </w:t>
      </w:r>
      <w:r w:rsidR="00F53550" w:rsidRPr="00701F32">
        <w:rPr>
          <w:rFonts w:ascii="Arial" w:hAnsi="Arial" w:cs="Arial"/>
          <w:sz w:val="20"/>
        </w:rPr>
        <w:t>septiembre</w:t>
      </w:r>
      <w:r w:rsidRPr="00701F32">
        <w:rPr>
          <w:rFonts w:ascii="Arial" w:hAnsi="Arial" w:cs="Arial"/>
          <w:sz w:val="20"/>
        </w:rPr>
        <w:t xml:space="preserve"> de 2018 es de </w:t>
      </w:r>
      <w:r w:rsidR="00095612" w:rsidRPr="00701F32">
        <w:rPr>
          <w:rFonts w:ascii="Arial" w:hAnsi="Arial" w:cs="Arial"/>
          <w:sz w:val="20"/>
        </w:rPr>
        <w:t>166.041</w:t>
      </w:r>
      <w:r w:rsidRPr="00701F32">
        <w:rPr>
          <w:rFonts w:ascii="Arial" w:hAnsi="Arial" w:cs="Arial"/>
          <w:sz w:val="20"/>
        </w:rPr>
        <w:t xml:space="preserve"> y 113.096 al 31 de diciembre de 2017, se encuentra afectado al desarrollo de las operaciones del Mercado Abierto.</w:t>
      </w:r>
    </w:p>
    <w:p w14:paraId="0ACC12D6" w14:textId="77777777" w:rsidR="000F7B89" w:rsidRPr="00701F32" w:rsidRDefault="000F7B89" w:rsidP="00A06BE9">
      <w:pPr>
        <w:tabs>
          <w:tab w:val="left" w:pos="142"/>
        </w:tabs>
        <w:jc w:val="both"/>
        <w:rPr>
          <w:rFonts w:ascii="Arial" w:hAnsi="Arial" w:cs="Arial"/>
          <w:sz w:val="20"/>
        </w:rPr>
      </w:pPr>
    </w:p>
    <w:p w14:paraId="031387E7" w14:textId="77777777" w:rsidR="00A06BE9" w:rsidRPr="00701F32" w:rsidRDefault="00AF3A00" w:rsidP="00A06BE9">
      <w:pPr>
        <w:tabs>
          <w:tab w:val="left" w:pos="142"/>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.5.2 Resolución N° 629 de la Comisión Nacional de Valores</w:t>
      </w:r>
    </w:p>
    <w:p w14:paraId="1F515A73" w14:textId="77777777" w:rsidR="00A06BE9" w:rsidRPr="00701F32" w:rsidRDefault="00A06BE9" w:rsidP="00A06BE9">
      <w:pPr>
        <w:tabs>
          <w:tab w:val="left" w:pos="142"/>
        </w:tabs>
        <w:spacing w:after="200" w:line="276" w:lineRule="auto"/>
        <w:contextualSpacing/>
        <w:jc w:val="both"/>
        <w:rPr>
          <w:rFonts w:ascii="Arial" w:hAnsi="Arial" w:cs="Arial"/>
          <w:b/>
          <w:sz w:val="20"/>
        </w:rPr>
      </w:pPr>
    </w:p>
    <w:p w14:paraId="0F07A3BB" w14:textId="77777777" w:rsidR="00A06BE9" w:rsidRPr="00701F32" w:rsidRDefault="00A06BE9" w:rsidP="00A06BE9">
      <w:pPr>
        <w:jc w:val="both"/>
        <w:rPr>
          <w:rFonts w:ascii="Arial" w:hAnsi="Arial" w:cs="Arial"/>
          <w:sz w:val="20"/>
        </w:rPr>
      </w:pPr>
      <w:r w:rsidRPr="00701F32">
        <w:rPr>
          <w:rFonts w:ascii="Arial" w:hAnsi="Arial" w:cs="Arial"/>
          <w:sz w:val="20"/>
        </w:rPr>
        <w:t xml:space="preserve">En cumplimiento de lo dispuesto por la Resolución General N° 629 de la CNV se aclara que los libros de comercio y los libros societarios se guardan en la sede social inscripta (Bartolomé Mitre 434 de la Ciudad Autónoma de Buenos Aires) de acuerdo con el siguiente detalle: </w:t>
      </w:r>
    </w:p>
    <w:p w14:paraId="3320FF05"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 xml:space="preserve">Libro Diario (Registro de Habilitación de Medios Opticos y sus correspondientes soportes ópticos –CD y DVD-) desde el 1° de octubre de 2009. </w:t>
      </w:r>
    </w:p>
    <w:p w14:paraId="13E4449A"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 xml:space="preserve">Libro Inventario desde el 31 de diciembre de 2016. </w:t>
      </w:r>
    </w:p>
    <w:p w14:paraId="37287CFF"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 xml:space="preserve">Libro Balance desde el 31 de diciembre de 2002. </w:t>
      </w:r>
    </w:p>
    <w:p w14:paraId="27500D31" w14:textId="2F20BA56" w:rsidR="00A06BE9" w:rsidRPr="00701F32" w:rsidRDefault="00A06BE9" w:rsidP="00A06BE9">
      <w:pPr>
        <w:numPr>
          <w:ilvl w:val="0"/>
          <w:numId w:val="2"/>
        </w:numPr>
        <w:jc w:val="both"/>
        <w:rPr>
          <w:rFonts w:ascii="Arial" w:hAnsi="Arial" w:cs="Arial"/>
          <w:sz w:val="20"/>
        </w:rPr>
      </w:pPr>
      <w:r w:rsidRPr="00701F32">
        <w:rPr>
          <w:rFonts w:ascii="Arial" w:hAnsi="Arial" w:cs="Arial"/>
          <w:sz w:val="20"/>
        </w:rPr>
        <w:t>Libro Actas de Directorio desde el diciembre de 1988 a noviembre de 1999, desde mayo de 2000 a octubre de 2003 y febrero de 2007 a la fecha.</w:t>
      </w:r>
    </w:p>
    <w:p w14:paraId="4516E060"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Libro Depósito de Acciones y Registro de Asistencia a Asambleas desde el 30 de mayo de 2001 a la fecha.</w:t>
      </w:r>
    </w:p>
    <w:p w14:paraId="19AA98F8"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Libro de Actas de Asambleas desde el 27 de mayo de 1999 a la fecha.</w:t>
      </w:r>
    </w:p>
    <w:p w14:paraId="40BB309E"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 xml:space="preserve">Libro de Actas de Comisión Fiscalizadora desde el 13 de agosto de 2004.  </w:t>
      </w:r>
    </w:p>
    <w:p w14:paraId="68450506" w14:textId="77777777" w:rsidR="00A06BE9" w:rsidRPr="00701F32" w:rsidRDefault="00A06BE9" w:rsidP="00A06BE9">
      <w:pPr>
        <w:jc w:val="both"/>
        <w:rPr>
          <w:rFonts w:ascii="Arial" w:hAnsi="Arial" w:cs="Arial"/>
          <w:sz w:val="20"/>
        </w:rPr>
      </w:pPr>
    </w:p>
    <w:p w14:paraId="3ADE9909" w14:textId="77777777" w:rsidR="00A06BE9" w:rsidRPr="00701F32" w:rsidRDefault="00A06BE9" w:rsidP="00A06BE9">
      <w:pPr>
        <w:jc w:val="both"/>
        <w:rPr>
          <w:rFonts w:ascii="Arial" w:hAnsi="Arial" w:cs="Arial"/>
          <w:sz w:val="20"/>
        </w:rPr>
      </w:pPr>
      <w:r w:rsidRPr="00701F32">
        <w:rPr>
          <w:rFonts w:ascii="Arial" w:hAnsi="Arial" w:cs="Arial"/>
          <w:sz w:val="20"/>
        </w:rPr>
        <w:t xml:space="preserve">Respecto de los libros de operaciones de títulos y de mercado abierto, se encuentran en la sede social inscripta mencionada precedentemente de acuerdo con el siguiente detalle: </w:t>
      </w:r>
    </w:p>
    <w:p w14:paraId="08A1D0A7"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Registro de Ordenes de Agente desde el 6 de enero de 2015.</w:t>
      </w:r>
    </w:p>
    <w:p w14:paraId="42CE5D1A"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Registro de Operaciones desde el 2 de enero de 2015.</w:t>
      </w:r>
    </w:p>
    <w:p w14:paraId="01D67E66"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Registro de Operaciones Cartera Propia desde el 5 de enero de 2015.</w:t>
      </w:r>
    </w:p>
    <w:p w14:paraId="1CBBBB44"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Libro de Caja desde el 5 de enero de 2015.</w:t>
      </w:r>
    </w:p>
    <w:p w14:paraId="690BD99F" w14:textId="77777777" w:rsidR="00A06BE9" w:rsidRPr="00701F32" w:rsidRDefault="00A06BE9" w:rsidP="00A06BE9">
      <w:pPr>
        <w:numPr>
          <w:ilvl w:val="0"/>
          <w:numId w:val="2"/>
        </w:numPr>
        <w:jc w:val="both"/>
        <w:rPr>
          <w:rFonts w:ascii="Arial" w:hAnsi="Arial" w:cs="Arial"/>
          <w:sz w:val="20"/>
        </w:rPr>
      </w:pPr>
      <w:r w:rsidRPr="00701F32">
        <w:rPr>
          <w:rFonts w:ascii="Arial" w:hAnsi="Arial" w:cs="Arial"/>
          <w:sz w:val="20"/>
        </w:rPr>
        <w:t>Registro de Ordenes (ACYL N° 57) desde el 7 de enero de 2015.</w:t>
      </w:r>
    </w:p>
    <w:p w14:paraId="06A8A944" w14:textId="77777777" w:rsidR="00A06BE9" w:rsidRPr="00701F32" w:rsidRDefault="00A06BE9" w:rsidP="00A06BE9">
      <w:pPr>
        <w:ind w:left="720"/>
        <w:jc w:val="both"/>
        <w:rPr>
          <w:rFonts w:ascii="Arial" w:hAnsi="Arial" w:cs="Arial"/>
          <w:sz w:val="20"/>
        </w:rPr>
      </w:pPr>
    </w:p>
    <w:p w14:paraId="0F725CE3" w14:textId="77777777" w:rsidR="00A06BE9" w:rsidRPr="00701F32" w:rsidRDefault="00A06BE9" w:rsidP="00A06BE9">
      <w:pPr>
        <w:jc w:val="both"/>
        <w:rPr>
          <w:rFonts w:ascii="Arial" w:hAnsi="Arial" w:cs="Arial"/>
          <w:sz w:val="20"/>
        </w:rPr>
      </w:pPr>
      <w:r w:rsidRPr="00701F32">
        <w:rPr>
          <w:rFonts w:ascii="Arial" w:hAnsi="Arial" w:cs="Arial"/>
          <w:sz w:val="20"/>
        </w:rPr>
        <w:t>Los libros antecesores a los señalados precedentemente que contienen las operaciones anteriores a la fecha indicada en cada caso, se encuentran bajo la guarda de la empresa Adea S.A. cuyo depósito está ubicado en Ruta provincial N° 36, Km 31,500 localidad de Bosques, Partido de Florencio Varela de la Provincia de Buenos Aires.</w:t>
      </w:r>
    </w:p>
    <w:p w14:paraId="3162395F" w14:textId="77777777" w:rsidR="00A06BE9" w:rsidRPr="00701F32" w:rsidRDefault="00A06BE9" w:rsidP="00A06BE9">
      <w:pPr>
        <w:jc w:val="both"/>
        <w:rPr>
          <w:rFonts w:ascii="Arial" w:hAnsi="Arial" w:cs="Arial"/>
          <w:sz w:val="20"/>
        </w:rPr>
      </w:pPr>
    </w:p>
    <w:p w14:paraId="203FC13D"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La documentación respaldatoria de las operaciones contables y de la gestión de la Entidad hasta una antigüedad de 2 (dos) meses anterior</w:t>
      </w:r>
      <w:r w:rsidR="00004B94" w:rsidRPr="00701F32">
        <w:rPr>
          <w:rFonts w:ascii="Arial" w:hAnsi="Arial" w:cs="Arial"/>
          <w:sz w:val="20"/>
        </w:rPr>
        <w:t>es</w:t>
      </w:r>
      <w:r w:rsidRPr="00701F32">
        <w:rPr>
          <w:rFonts w:ascii="Arial" w:hAnsi="Arial" w:cs="Arial"/>
          <w:sz w:val="20"/>
        </w:rPr>
        <w:t xml:space="preserve"> a la actual, se encuentra en cada sucursal, y, con antigüedad superior a dicho lapso de tiempo se encuentra bajo la guarda de la empresa Adea S.A. </w:t>
      </w:r>
    </w:p>
    <w:p w14:paraId="48E4FED3" w14:textId="443680BD" w:rsidR="00A06BE9" w:rsidRDefault="00A06BE9" w:rsidP="00A06BE9">
      <w:pPr>
        <w:tabs>
          <w:tab w:val="left" w:pos="142"/>
        </w:tabs>
        <w:jc w:val="both"/>
        <w:rPr>
          <w:rFonts w:ascii="Arial" w:hAnsi="Arial" w:cs="Arial"/>
          <w:sz w:val="20"/>
        </w:rPr>
      </w:pPr>
    </w:p>
    <w:p w14:paraId="79F5A082" w14:textId="77777777" w:rsidR="004437AA" w:rsidRPr="00701F32" w:rsidRDefault="004437AA" w:rsidP="00A06BE9">
      <w:pPr>
        <w:tabs>
          <w:tab w:val="left" w:pos="142"/>
        </w:tabs>
        <w:jc w:val="both"/>
        <w:rPr>
          <w:rFonts w:ascii="Arial" w:hAnsi="Arial" w:cs="Arial"/>
          <w:sz w:val="20"/>
        </w:rPr>
      </w:pPr>
    </w:p>
    <w:p w14:paraId="1410D14D" w14:textId="77777777" w:rsidR="00A06BE9" w:rsidRPr="00701F32" w:rsidRDefault="00AF3A00" w:rsidP="00A06BE9">
      <w:pPr>
        <w:tabs>
          <w:tab w:val="left" w:pos="142"/>
        </w:tabs>
        <w:spacing w:after="200" w:line="276" w:lineRule="auto"/>
        <w:contextualSpacing/>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.6 Cuentas que identifican el cumplimiento de efectivo mínimo</w:t>
      </w:r>
    </w:p>
    <w:p w14:paraId="643A38FC" w14:textId="77777777" w:rsidR="00A06BE9" w:rsidRPr="00701F32" w:rsidRDefault="00A06BE9" w:rsidP="00A06BE9">
      <w:pPr>
        <w:tabs>
          <w:tab w:val="left" w:pos="142"/>
        </w:tabs>
        <w:spacing w:after="200" w:line="276" w:lineRule="auto"/>
        <w:contextualSpacing/>
        <w:jc w:val="both"/>
        <w:rPr>
          <w:rFonts w:ascii="Arial" w:hAnsi="Arial" w:cs="Arial"/>
          <w:b/>
          <w:sz w:val="20"/>
        </w:rPr>
      </w:pPr>
    </w:p>
    <w:p w14:paraId="28A8F65D"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Al 3</w:t>
      </w:r>
      <w:r w:rsidR="000166F0"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septiembre</w:t>
      </w:r>
      <w:r w:rsidRPr="00701F32">
        <w:rPr>
          <w:rFonts w:ascii="Arial" w:hAnsi="Arial" w:cs="Arial"/>
          <w:sz w:val="20"/>
        </w:rPr>
        <w:t xml:space="preserve"> de 2018 y al 31 de diciembre de 2017 la integración de efectivo mínimo estaba compuesta de la siguiente manera: </w:t>
      </w:r>
    </w:p>
    <w:p w14:paraId="750006F4" w14:textId="77777777" w:rsidR="00A06BE9" w:rsidRPr="00701F32" w:rsidRDefault="00A06BE9" w:rsidP="00A06BE9">
      <w:pPr>
        <w:tabs>
          <w:tab w:val="left" w:pos="142"/>
        </w:tabs>
        <w:jc w:val="both"/>
        <w:rPr>
          <w:rFonts w:ascii="Arial" w:hAnsi="Arial" w:cs="Arial"/>
          <w:sz w:val="20"/>
        </w:rPr>
      </w:pPr>
    </w:p>
    <w:tbl>
      <w:tblPr>
        <w:tblW w:w="41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34"/>
        <w:gridCol w:w="1592"/>
        <w:gridCol w:w="1610"/>
      </w:tblGrid>
      <w:tr w:rsidR="00A06BE9" w:rsidRPr="00701F32" w14:paraId="0C040F3A" w14:textId="77777777" w:rsidTr="00464C0F">
        <w:trPr>
          <w:trHeight w:val="465"/>
          <w:tblHeader/>
          <w:jc w:val="center"/>
        </w:trPr>
        <w:tc>
          <w:tcPr>
            <w:tcW w:w="2876" w:type="pct"/>
            <w:tcBorders>
              <w:top w:val="single" w:sz="4" w:space="0" w:color="auto"/>
              <w:left w:val="single" w:sz="4" w:space="0" w:color="auto"/>
              <w:bottom w:val="single" w:sz="4" w:space="0" w:color="auto"/>
            </w:tcBorders>
            <w:vAlign w:val="center"/>
          </w:tcPr>
          <w:p w14:paraId="1D17AF2F" w14:textId="77777777" w:rsidR="00A06BE9" w:rsidRPr="00701F32" w:rsidRDefault="00A06BE9" w:rsidP="00464C0F">
            <w:pPr>
              <w:ind w:left="371" w:hanging="142"/>
              <w:jc w:val="both"/>
              <w:rPr>
                <w:rFonts w:ascii="Arial" w:hAnsi="Arial" w:cs="Arial"/>
                <w:b/>
                <w:sz w:val="18"/>
              </w:rPr>
            </w:pPr>
            <w:r w:rsidRPr="00701F32">
              <w:rPr>
                <w:rFonts w:ascii="Arial" w:hAnsi="Arial" w:cs="Arial"/>
                <w:b/>
                <w:sz w:val="18"/>
              </w:rPr>
              <w:t>Concepto</w:t>
            </w:r>
          </w:p>
        </w:tc>
        <w:tc>
          <w:tcPr>
            <w:tcW w:w="1056" w:type="pct"/>
            <w:tcBorders>
              <w:top w:val="single" w:sz="4" w:space="0" w:color="auto"/>
              <w:bottom w:val="single" w:sz="4" w:space="0" w:color="auto"/>
            </w:tcBorders>
            <w:vAlign w:val="center"/>
          </w:tcPr>
          <w:p w14:paraId="30A87152" w14:textId="77777777" w:rsidR="00FD6B54" w:rsidRPr="00701F32" w:rsidRDefault="00A06BE9" w:rsidP="00831174">
            <w:pPr>
              <w:tabs>
                <w:tab w:val="left" w:pos="142"/>
              </w:tabs>
              <w:jc w:val="center"/>
              <w:rPr>
                <w:rFonts w:ascii="Arial" w:hAnsi="Arial" w:cs="Arial"/>
                <w:b/>
                <w:sz w:val="18"/>
                <w:lang w:val="en-US"/>
              </w:rPr>
            </w:pPr>
            <w:r w:rsidRPr="00701F32">
              <w:rPr>
                <w:rFonts w:ascii="Arial" w:hAnsi="Arial" w:cs="Arial"/>
                <w:b/>
                <w:sz w:val="18"/>
              </w:rPr>
              <w:t>3</w:t>
            </w:r>
            <w:r w:rsidR="000166F0" w:rsidRPr="00701F32">
              <w:rPr>
                <w:rFonts w:ascii="Arial" w:hAnsi="Arial" w:cs="Arial"/>
                <w:b/>
                <w:sz w:val="18"/>
              </w:rPr>
              <w:t>0</w:t>
            </w:r>
            <w:r w:rsidRPr="00701F32">
              <w:rPr>
                <w:rFonts w:ascii="Arial" w:hAnsi="Arial" w:cs="Arial"/>
                <w:b/>
                <w:sz w:val="18"/>
              </w:rPr>
              <w:t>/0</w:t>
            </w:r>
            <w:r w:rsidR="00F53550" w:rsidRPr="00701F32">
              <w:rPr>
                <w:rFonts w:ascii="Arial" w:hAnsi="Arial" w:cs="Arial"/>
                <w:b/>
                <w:sz w:val="18"/>
              </w:rPr>
              <w:t>9</w:t>
            </w:r>
            <w:r w:rsidRPr="00701F32">
              <w:rPr>
                <w:rFonts w:ascii="Arial" w:hAnsi="Arial" w:cs="Arial"/>
                <w:b/>
                <w:sz w:val="18"/>
              </w:rPr>
              <w:t>/2018</w:t>
            </w:r>
          </w:p>
        </w:tc>
        <w:tc>
          <w:tcPr>
            <w:tcW w:w="1068" w:type="pct"/>
            <w:tcBorders>
              <w:top w:val="single" w:sz="4" w:space="0" w:color="auto"/>
              <w:bottom w:val="single" w:sz="4" w:space="0" w:color="auto"/>
              <w:right w:val="single" w:sz="4" w:space="0" w:color="auto"/>
            </w:tcBorders>
            <w:vAlign w:val="center"/>
          </w:tcPr>
          <w:p w14:paraId="4910290F" w14:textId="77777777" w:rsidR="00A06BE9" w:rsidRPr="00701F32" w:rsidRDefault="00A06BE9" w:rsidP="00464C0F">
            <w:pPr>
              <w:tabs>
                <w:tab w:val="left" w:pos="142"/>
              </w:tabs>
              <w:jc w:val="center"/>
              <w:rPr>
                <w:rFonts w:ascii="Arial" w:hAnsi="Arial" w:cs="Arial"/>
                <w:b/>
                <w:sz w:val="18"/>
              </w:rPr>
            </w:pPr>
            <w:r w:rsidRPr="00701F32">
              <w:rPr>
                <w:rFonts w:ascii="Arial" w:hAnsi="Arial" w:cs="Arial"/>
                <w:b/>
                <w:sz w:val="18"/>
              </w:rPr>
              <w:t>31/12/2017</w:t>
            </w:r>
          </w:p>
        </w:tc>
      </w:tr>
      <w:tr w:rsidR="00A06BE9" w:rsidRPr="00701F32" w14:paraId="4324D081" w14:textId="77777777" w:rsidTr="00464C0F">
        <w:trPr>
          <w:trHeight w:val="340"/>
          <w:jc w:val="center"/>
        </w:trPr>
        <w:tc>
          <w:tcPr>
            <w:tcW w:w="2876" w:type="pct"/>
            <w:tcBorders>
              <w:top w:val="single" w:sz="4" w:space="0" w:color="auto"/>
              <w:left w:val="single" w:sz="4" w:space="0" w:color="auto"/>
            </w:tcBorders>
            <w:vAlign w:val="center"/>
          </w:tcPr>
          <w:p w14:paraId="12C8D155" w14:textId="77777777" w:rsidR="00A06BE9" w:rsidRPr="00701F32" w:rsidRDefault="00A06BE9" w:rsidP="00464C0F">
            <w:pPr>
              <w:ind w:left="154"/>
              <w:jc w:val="both"/>
              <w:rPr>
                <w:rFonts w:ascii="Arial" w:hAnsi="Arial" w:cs="Arial"/>
                <w:sz w:val="18"/>
              </w:rPr>
            </w:pPr>
            <w:r w:rsidRPr="00701F32">
              <w:rPr>
                <w:rFonts w:ascii="Arial" w:hAnsi="Arial" w:cs="Arial"/>
                <w:sz w:val="18"/>
              </w:rPr>
              <w:t>Cuentas corrientes en el BCRA (*)</w:t>
            </w:r>
          </w:p>
        </w:tc>
        <w:tc>
          <w:tcPr>
            <w:tcW w:w="1056" w:type="pct"/>
            <w:tcBorders>
              <w:top w:val="single" w:sz="4" w:space="0" w:color="auto"/>
            </w:tcBorders>
            <w:vAlign w:val="center"/>
          </w:tcPr>
          <w:p w14:paraId="3D135244" w14:textId="69ADB0ED" w:rsidR="00A06BE9" w:rsidRPr="00701F32" w:rsidRDefault="004B00AC">
            <w:pPr>
              <w:tabs>
                <w:tab w:val="left" w:pos="142"/>
              </w:tabs>
              <w:jc w:val="right"/>
              <w:rPr>
                <w:rFonts w:ascii="Arial" w:hAnsi="Arial" w:cs="Arial"/>
                <w:sz w:val="18"/>
                <w:lang w:val="es-ES_tradnl"/>
              </w:rPr>
            </w:pPr>
            <w:r w:rsidRPr="00701F32">
              <w:rPr>
                <w:rFonts w:ascii="Arial" w:hAnsi="Arial" w:cs="Arial"/>
                <w:sz w:val="18"/>
                <w:lang w:val="es-ES_tradnl"/>
              </w:rPr>
              <w:t>16.137.979</w:t>
            </w:r>
          </w:p>
        </w:tc>
        <w:tc>
          <w:tcPr>
            <w:tcW w:w="1068" w:type="pct"/>
            <w:tcBorders>
              <w:top w:val="single" w:sz="4" w:space="0" w:color="auto"/>
              <w:right w:val="single" w:sz="4" w:space="0" w:color="auto"/>
            </w:tcBorders>
            <w:vAlign w:val="center"/>
          </w:tcPr>
          <w:p w14:paraId="2947D0DF" w14:textId="77777777" w:rsidR="00A06BE9" w:rsidRPr="00701F32" w:rsidRDefault="00A06BE9" w:rsidP="00464C0F">
            <w:pPr>
              <w:tabs>
                <w:tab w:val="left" w:pos="142"/>
              </w:tabs>
              <w:jc w:val="right"/>
              <w:rPr>
                <w:rFonts w:ascii="Arial" w:hAnsi="Arial" w:cs="Arial"/>
                <w:sz w:val="18"/>
              </w:rPr>
            </w:pPr>
            <w:r w:rsidRPr="00701F32">
              <w:rPr>
                <w:rFonts w:ascii="Arial" w:hAnsi="Arial" w:cs="Arial"/>
                <w:sz w:val="18"/>
              </w:rPr>
              <w:t>2.529.004</w:t>
            </w:r>
          </w:p>
        </w:tc>
      </w:tr>
      <w:tr w:rsidR="00A06BE9" w:rsidRPr="00701F32" w14:paraId="3ADBDF25" w14:textId="77777777" w:rsidTr="00464C0F">
        <w:trPr>
          <w:trHeight w:val="340"/>
          <w:jc w:val="center"/>
        </w:trPr>
        <w:tc>
          <w:tcPr>
            <w:tcW w:w="2876" w:type="pct"/>
            <w:tcBorders>
              <w:left w:val="single" w:sz="4" w:space="0" w:color="auto"/>
            </w:tcBorders>
            <w:vAlign w:val="center"/>
          </w:tcPr>
          <w:p w14:paraId="765FC85D" w14:textId="77777777" w:rsidR="00A06BE9" w:rsidRPr="00701F32" w:rsidRDefault="00A06BE9" w:rsidP="00464C0F">
            <w:pPr>
              <w:ind w:left="154"/>
              <w:jc w:val="both"/>
              <w:rPr>
                <w:rFonts w:ascii="Arial" w:hAnsi="Arial" w:cs="Arial"/>
                <w:sz w:val="18"/>
              </w:rPr>
            </w:pPr>
            <w:r w:rsidRPr="00701F32">
              <w:rPr>
                <w:rFonts w:ascii="Arial" w:hAnsi="Arial" w:cs="Arial"/>
                <w:sz w:val="18"/>
              </w:rPr>
              <w:t>Cuentas a la vista en el BCRA (*)</w:t>
            </w:r>
          </w:p>
        </w:tc>
        <w:tc>
          <w:tcPr>
            <w:tcW w:w="1056" w:type="pct"/>
            <w:vAlign w:val="center"/>
          </w:tcPr>
          <w:p w14:paraId="5396A061" w14:textId="593E4669" w:rsidR="00A06BE9" w:rsidRPr="00701F32" w:rsidRDefault="004B00AC">
            <w:pPr>
              <w:tabs>
                <w:tab w:val="left" w:pos="142"/>
              </w:tabs>
              <w:jc w:val="right"/>
              <w:rPr>
                <w:rFonts w:ascii="Arial" w:hAnsi="Arial" w:cs="Arial"/>
                <w:sz w:val="18"/>
                <w:lang w:val="es-ES_tradnl"/>
              </w:rPr>
            </w:pPr>
            <w:r w:rsidRPr="00701F32">
              <w:rPr>
                <w:rFonts w:ascii="Arial" w:hAnsi="Arial" w:cs="Arial"/>
                <w:sz w:val="18"/>
                <w:lang w:val="es-ES_tradnl"/>
              </w:rPr>
              <w:t>12.494.652</w:t>
            </w:r>
          </w:p>
        </w:tc>
        <w:tc>
          <w:tcPr>
            <w:tcW w:w="1068" w:type="pct"/>
            <w:tcBorders>
              <w:right w:val="single" w:sz="4" w:space="0" w:color="auto"/>
            </w:tcBorders>
            <w:vAlign w:val="center"/>
          </w:tcPr>
          <w:p w14:paraId="5493882C" w14:textId="77777777" w:rsidR="00A06BE9" w:rsidRPr="00701F32" w:rsidRDefault="00A06BE9" w:rsidP="00464C0F">
            <w:pPr>
              <w:tabs>
                <w:tab w:val="left" w:pos="142"/>
              </w:tabs>
              <w:jc w:val="right"/>
              <w:rPr>
                <w:rFonts w:ascii="Arial" w:hAnsi="Arial" w:cs="Arial"/>
                <w:sz w:val="18"/>
              </w:rPr>
            </w:pPr>
            <w:r w:rsidRPr="00701F32">
              <w:rPr>
                <w:rFonts w:ascii="Arial" w:hAnsi="Arial" w:cs="Arial"/>
                <w:sz w:val="18"/>
              </w:rPr>
              <w:t>4.553.366</w:t>
            </w:r>
          </w:p>
        </w:tc>
      </w:tr>
      <w:tr w:rsidR="00A06BE9" w:rsidRPr="00701F32" w14:paraId="64F0C428" w14:textId="77777777" w:rsidTr="00464C0F">
        <w:trPr>
          <w:trHeight w:val="340"/>
          <w:jc w:val="center"/>
        </w:trPr>
        <w:tc>
          <w:tcPr>
            <w:tcW w:w="2876" w:type="pct"/>
            <w:tcBorders>
              <w:left w:val="single" w:sz="4" w:space="0" w:color="auto"/>
            </w:tcBorders>
            <w:vAlign w:val="center"/>
          </w:tcPr>
          <w:p w14:paraId="200C5C25" w14:textId="77777777" w:rsidR="00A06BE9" w:rsidRPr="00701F32" w:rsidRDefault="00A06BE9" w:rsidP="00464C0F">
            <w:pPr>
              <w:ind w:left="154"/>
              <w:jc w:val="both"/>
              <w:rPr>
                <w:rFonts w:ascii="Arial" w:hAnsi="Arial" w:cs="Arial"/>
                <w:sz w:val="18"/>
              </w:rPr>
            </w:pPr>
            <w:r w:rsidRPr="00701F32">
              <w:rPr>
                <w:rFonts w:ascii="Arial" w:hAnsi="Arial" w:cs="Arial"/>
                <w:sz w:val="18"/>
              </w:rPr>
              <w:t>Cuentas especiales de garantías en el BCRA (*)</w:t>
            </w:r>
          </w:p>
        </w:tc>
        <w:tc>
          <w:tcPr>
            <w:tcW w:w="1056" w:type="pct"/>
            <w:vAlign w:val="center"/>
          </w:tcPr>
          <w:p w14:paraId="1537B8C8" w14:textId="5CBFBE5C" w:rsidR="00A06BE9" w:rsidRPr="00701F32" w:rsidRDefault="004B00AC">
            <w:pPr>
              <w:tabs>
                <w:tab w:val="left" w:pos="142"/>
              </w:tabs>
              <w:jc w:val="right"/>
              <w:rPr>
                <w:rFonts w:ascii="Arial" w:hAnsi="Arial" w:cs="Arial"/>
                <w:sz w:val="18"/>
                <w:lang w:val="es-ES_tradnl"/>
              </w:rPr>
            </w:pPr>
            <w:r w:rsidRPr="00701F32">
              <w:rPr>
                <w:rFonts w:ascii="Arial" w:hAnsi="Arial" w:cs="Arial"/>
                <w:sz w:val="18"/>
                <w:lang w:val="es-ES_tradnl"/>
              </w:rPr>
              <w:t>1.132.573</w:t>
            </w:r>
          </w:p>
        </w:tc>
        <w:tc>
          <w:tcPr>
            <w:tcW w:w="1068" w:type="pct"/>
            <w:tcBorders>
              <w:right w:val="single" w:sz="4" w:space="0" w:color="auto"/>
            </w:tcBorders>
            <w:vAlign w:val="center"/>
          </w:tcPr>
          <w:p w14:paraId="15B8931F" w14:textId="77777777" w:rsidR="00A06BE9" w:rsidRPr="00701F32" w:rsidRDefault="00A06BE9" w:rsidP="00464C0F">
            <w:pPr>
              <w:tabs>
                <w:tab w:val="left" w:pos="142"/>
              </w:tabs>
              <w:jc w:val="right"/>
              <w:rPr>
                <w:rFonts w:ascii="Arial" w:hAnsi="Arial" w:cs="Arial"/>
                <w:sz w:val="18"/>
              </w:rPr>
            </w:pPr>
            <w:r w:rsidRPr="00701F32">
              <w:rPr>
                <w:rFonts w:ascii="Arial" w:hAnsi="Arial" w:cs="Arial"/>
                <w:sz w:val="18"/>
              </w:rPr>
              <w:t>753.141</w:t>
            </w:r>
          </w:p>
        </w:tc>
      </w:tr>
      <w:tr w:rsidR="00A06BE9" w:rsidRPr="00701F32" w14:paraId="7B3785D7" w14:textId="77777777" w:rsidTr="00464C0F">
        <w:trPr>
          <w:trHeight w:val="340"/>
          <w:jc w:val="center"/>
        </w:trPr>
        <w:tc>
          <w:tcPr>
            <w:tcW w:w="2876" w:type="pct"/>
            <w:tcBorders>
              <w:left w:val="single" w:sz="4" w:space="0" w:color="auto"/>
              <w:bottom w:val="single" w:sz="4" w:space="0" w:color="auto"/>
            </w:tcBorders>
            <w:vAlign w:val="center"/>
          </w:tcPr>
          <w:p w14:paraId="03A21FB5" w14:textId="77777777" w:rsidR="00A06BE9" w:rsidRPr="00701F32" w:rsidRDefault="00A06BE9" w:rsidP="00464C0F">
            <w:pPr>
              <w:ind w:left="154"/>
              <w:jc w:val="both"/>
              <w:rPr>
                <w:rFonts w:ascii="Arial" w:hAnsi="Arial" w:cs="Arial"/>
                <w:sz w:val="18"/>
              </w:rPr>
            </w:pPr>
            <w:r w:rsidRPr="00701F32">
              <w:rPr>
                <w:rFonts w:ascii="Arial" w:hAnsi="Arial" w:cs="Arial"/>
                <w:sz w:val="18"/>
              </w:rPr>
              <w:t>Cuentas especiales para acreditación de haberes(*)</w:t>
            </w:r>
          </w:p>
        </w:tc>
        <w:tc>
          <w:tcPr>
            <w:tcW w:w="1056" w:type="pct"/>
            <w:tcBorders>
              <w:bottom w:val="single" w:sz="4" w:space="0" w:color="auto"/>
            </w:tcBorders>
            <w:vAlign w:val="center"/>
          </w:tcPr>
          <w:p w14:paraId="7DA708D0" w14:textId="15E9DB6C" w:rsidR="00A06BE9" w:rsidRPr="00701F32" w:rsidRDefault="004B00AC" w:rsidP="00464C0F">
            <w:pPr>
              <w:tabs>
                <w:tab w:val="left" w:pos="142"/>
              </w:tabs>
              <w:jc w:val="right"/>
              <w:rPr>
                <w:rFonts w:ascii="Arial" w:hAnsi="Arial" w:cs="Arial"/>
                <w:sz w:val="18"/>
              </w:rPr>
            </w:pPr>
            <w:r w:rsidRPr="00701F32">
              <w:rPr>
                <w:rFonts w:ascii="Arial" w:hAnsi="Arial" w:cs="Arial"/>
                <w:sz w:val="18"/>
              </w:rPr>
              <w:t>133.854</w:t>
            </w:r>
          </w:p>
        </w:tc>
        <w:tc>
          <w:tcPr>
            <w:tcW w:w="1068" w:type="pct"/>
            <w:tcBorders>
              <w:bottom w:val="single" w:sz="4" w:space="0" w:color="auto"/>
              <w:right w:val="single" w:sz="4" w:space="0" w:color="auto"/>
            </w:tcBorders>
            <w:vAlign w:val="center"/>
          </w:tcPr>
          <w:p w14:paraId="0C0A1E42" w14:textId="77777777" w:rsidR="00A06BE9" w:rsidRPr="00701F32" w:rsidRDefault="00A06BE9" w:rsidP="00464C0F">
            <w:pPr>
              <w:tabs>
                <w:tab w:val="left" w:pos="142"/>
              </w:tabs>
              <w:jc w:val="right"/>
              <w:rPr>
                <w:rFonts w:ascii="Arial" w:hAnsi="Arial" w:cs="Arial"/>
                <w:sz w:val="18"/>
              </w:rPr>
            </w:pPr>
            <w:r w:rsidRPr="00701F32">
              <w:rPr>
                <w:rFonts w:ascii="Arial" w:hAnsi="Arial" w:cs="Arial"/>
                <w:sz w:val="18"/>
              </w:rPr>
              <w:t>-</w:t>
            </w:r>
          </w:p>
        </w:tc>
      </w:tr>
      <w:tr w:rsidR="00A06BE9" w:rsidRPr="00701F32" w14:paraId="17867383" w14:textId="77777777" w:rsidTr="00464C0F">
        <w:trPr>
          <w:trHeight w:val="465"/>
          <w:jc w:val="center"/>
        </w:trPr>
        <w:tc>
          <w:tcPr>
            <w:tcW w:w="2876" w:type="pct"/>
            <w:tcBorders>
              <w:top w:val="single" w:sz="4" w:space="0" w:color="auto"/>
              <w:left w:val="single" w:sz="4" w:space="0" w:color="auto"/>
              <w:bottom w:val="single" w:sz="4" w:space="0" w:color="auto"/>
            </w:tcBorders>
            <w:vAlign w:val="center"/>
          </w:tcPr>
          <w:p w14:paraId="1C168E55" w14:textId="77777777" w:rsidR="00A06BE9" w:rsidRPr="00701F32" w:rsidRDefault="00A06BE9" w:rsidP="00464C0F">
            <w:pPr>
              <w:jc w:val="both"/>
              <w:rPr>
                <w:rFonts w:ascii="Arial" w:hAnsi="Arial" w:cs="Arial"/>
                <w:b/>
                <w:sz w:val="18"/>
              </w:rPr>
            </w:pPr>
            <w:r w:rsidRPr="00701F32">
              <w:rPr>
                <w:rFonts w:ascii="Arial" w:hAnsi="Arial" w:cs="Arial"/>
                <w:b/>
                <w:sz w:val="18"/>
              </w:rPr>
              <w:t xml:space="preserve">   Total</w:t>
            </w:r>
          </w:p>
        </w:tc>
        <w:tc>
          <w:tcPr>
            <w:tcW w:w="1056" w:type="pct"/>
            <w:tcBorders>
              <w:top w:val="single" w:sz="4" w:space="0" w:color="auto"/>
              <w:bottom w:val="single" w:sz="4" w:space="0" w:color="auto"/>
            </w:tcBorders>
            <w:vAlign w:val="center"/>
          </w:tcPr>
          <w:p w14:paraId="285F04DC" w14:textId="10A6FAD9" w:rsidR="00A06BE9" w:rsidRPr="00701F32" w:rsidRDefault="004B00AC">
            <w:pPr>
              <w:tabs>
                <w:tab w:val="left" w:pos="142"/>
              </w:tabs>
              <w:jc w:val="right"/>
              <w:rPr>
                <w:rFonts w:ascii="Arial" w:hAnsi="Arial" w:cs="Arial"/>
                <w:b/>
                <w:sz w:val="18"/>
                <w:lang w:val="es-ES_tradnl"/>
              </w:rPr>
            </w:pPr>
            <w:r w:rsidRPr="00701F32">
              <w:rPr>
                <w:rFonts w:ascii="Arial" w:hAnsi="Arial" w:cs="Arial"/>
                <w:b/>
                <w:sz w:val="18"/>
                <w:lang w:val="es-ES_tradnl"/>
              </w:rPr>
              <w:t>29.899.058</w:t>
            </w:r>
          </w:p>
        </w:tc>
        <w:tc>
          <w:tcPr>
            <w:tcW w:w="1068" w:type="pct"/>
            <w:tcBorders>
              <w:top w:val="single" w:sz="4" w:space="0" w:color="auto"/>
              <w:bottom w:val="single" w:sz="4" w:space="0" w:color="auto"/>
              <w:right w:val="single" w:sz="4" w:space="0" w:color="auto"/>
            </w:tcBorders>
            <w:vAlign w:val="center"/>
          </w:tcPr>
          <w:p w14:paraId="604A2551" w14:textId="77777777" w:rsidR="00A06BE9" w:rsidRPr="00701F32" w:rsidRDefault="00A06BE9" w:rsidP="00464C0F">
            <w:pPr>
              <w:tabs>
                <w:tab w:val="left" w:pos="142"/>
              </w:tabs>
              <w:jc w:val="right"/>
              <w:rPr>
                <w:rFonts w:ascii="Arial" w:hAnsi="Arial" w:cs="Arial"/>
                <w:b/>
                <w:sz w:val="18"/>
              </w:rPr>
            </w:pPr>
            <w:r w:rsidRPr="00701F32">
              <w:rPr>
                <w:rFonts w:ascii="Arial" w:hAnsi="Arial" w:cs="Arial"/>
                <w:b/>
                <w:sz w:val="18"/>
              </w:rPr>
              <w:t>7.835.511</w:t>
            </w:r>
          </w:p>
        </w:tc>
      </w:tr>
    </w:tbl>
    <w:p w14:paraId="1C0A2F53" w14:textId="77777777" w:rsidR="00A06BE9" w:rsidRPr="00701F32" w:rsidRDefault="00A06BE9" w:rsidP="00A06BE9">
      <w:pPr>
        <w:tabs>
          <w:tab w:val="left" w:pos="142"/>
        </w:tabs>
        <w:jc w:val="both"/>
        <w:rPr>
          <w:rFonts w:ascii="Arial" w:hAnsi="Arial" w:cs="Arial"/>
          <w:sz w:val="20"/>
        </w:rPr>
      </w:pPr>
    </w:p>
    <w:p w14:paraId="4DC6489C"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 xml:space="preserve"> (*) Corresponden a saldos según extractos bancarios.</w:t>
      </w:r>
    </w:p>
    <w:p w14:paraId="4ADC711F" w14:textId="77777777" w:rsidR="00A06BE9" w:rsidRPr="00701F32" w:rsidRDefault="00A06BE9" w:rsidP="00A06BE9">
      <w:pPr>
        <w:tabs>
          <w:tab w:val="left" w:pos="142"/>
        </w:tabs>
        <w:jc w:val="both"/>
        <w:rPr>
          <w:rFonts w:ascii="Arial" w:hAnsi="Arial" w:cs="Arial"/>
          <w:sz w:val="20"/>
        </w:rPr>
      </w:pPr>
    </w:p>
    <w:p w14:paraId="05EC940C" w14:textId="56342C98" w:rsidR="00A06BE9" w:rsidRPr="00701F32" w:rsidRDefault="00A06BE9" w:rsidP="00A06BE9">
      <w:pPr>
        <w:tabs>
          <w:tab w:val="left" w:pos="142"/>
        </w:tabs>
        <w:jc w:val="both"/>
        <w:rPr>
          <w:rFonts w:ascii="Arial" w:hAnsi="Arial" w:cs="Arial"/>
          <w:sz w:val="20"/>
        </w:rPr>
      </w:pPr>
      <w:r w:rsidRPr="00701F32">
        <w:rPr>
          <w:rFonts w:ascii="Arial" w:hAnsi="Arial" w:cs="Arial"/>
          <w:sz w:val="20"/>
        </w:rPr>
        <w:t>Cabe señalar que en dichas fechas la Entidad no presentaba incumplimientos en la integración del efectivo mínimo</w:t>
      </w:r>
      <w:r w:rsidR="004B00AC" w:rsidRPr="00701F32">
        <w:rPr>
          <w:rFonts w:ascii="Arial" w:hAnsi="Arial" w:cs="Arial"/>
          <w:sz w:val="20"/>
        </w:rPr>
        <w:t>.</w:t>
      </w:r>
      <w:r w:rsidR="00976DC6" w:rsidRPr="00701F32">
        <w:rPr>
          <w:rFonts w:ascii="Arial" w:hAnsi="Arial" w:cs="Arial"/>
          <w:sz w:val="20"/>
        </w:rPr>
        <w:t xml:space="preserve"> </w:t>
      </w:r>
    </w:p>
    <w:p w14:paraId="5FF84568" w14:textId="77777777" w:rsidR="00D766AC" w:rsidRPr="00701F32" w:rsidRDefault="00D766AC" w:rsidP="00A06BE9">
      <w:pPr>
        <w:tabs>
          <w:tab w:val="left" w:pos="142"/>
        </w:tabs>
        <w:jc w:val="both"/>
        <w:rPr>
          <w:rFonts w:ascii="Arial" w:hAnsi="Arial" w:cs="Arial"/>
          <w:b/>
          <w:sz w:val="20"/>
        </w:rPr>
      </w:pPr>
    </w:p>
    <w:p w14:paraId="528B97B3" w14:textId="77777777" w:rsidR="00A06BE9" w:rsidRPr="00701F32" w:rsidRDefault="00AF3A00" w:rsidP="00A06BE9">
      <w:pPr>
        <w:tabs>
          <w:tab w:val="left" w:pos="142"/>
        </w:tabs>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.7 Sanciones aplicadas a la Entidad financiera y sumarios iniciados por el BCRA</w:t>
      </w:r>
    </w:p>
    <w:p w14:paraId="3303A6E4" w14:textId="212C8224" w:rsidR="00A06BE9" w:rsidRPr="00701F32" w:rsidRDefault="00A06BE9" w:rsidP="00A06BE9">
      <w:pPr>
        <w:tabs>
          <w:tab w:val="left" w:pos="142"/>
        </w:tabs>
        <w:jc w:val="both"/>
        <w:rPr>
          <w:rFonts w:ascii="Arial" w:hAnsi="Arial" w:cs="Arial"/>
          <w:sz w:val="20"/>
        </w:rPr>
      </w:pPr>
    </w:p>
    <w:p w14:paraId="2D4B6B54"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 xml:space="preserve">1. </w:t>
      </w:r>
      <w:r w:rsidRPr="00701F32">
        <w:rPr>
          <w:rFonts w:ascii="Arial" w:hAnsi="Arial" w:cs="Arial"/>
          <w:sz w:val="20"/>
          <w:u w:val="single"/>
        </w:rPr>
        <w:t>Sanciones aplicadas por la Unidad de Información Financiera (UIF)</w:t>
      </w:r>
    </w:p>
    <w:p w14:paraId="41612FF6"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Se trata del sumario caratulado “Banco Supervielle S.A. s/ Infracción Art. 21, Ley 25.246, Expediente N° 147/2013.</w:t>
      </w:r>
    </w:p>
    <w:p w14:paraId="4879BDEB" w14:textId="77777777" w:rsidR="00806324" w:rsidRPr="00701F32" w:rsidRDefault="00806324" w:rsidP="00806324">
      <w:pPr>
        <w:tabs>
          <w:tab w:val="left" w:pos="142"/>
        </w:tabs>
        <w:jc w:val="both"/>
        <w:rPr>
          <w:rFonts w:ascii="Arial" w:hAnsi="Arial" w:cs="Arial"/>
          <w:sz w:val="20"/>
        </w:rPr>
      </w:pPr>
    </w:p>
    <w:p w14:paraId="0177BA24"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Fecha de notificación y N° de resolución</w:t>
      </w:r>
      <w:r w:rsidRPr="00701F32">
        <w:rPr>
          <w:rFonts w:ascii="Arial" w:hAnsi="Arial" w:cs="Arial"/>
          <w:sz w:val="20"/>
        </w:rPr>
        <w:t>: La resolución por medio de la cual se inició el presente expediente es la N° 362/13 de fecha 29 de agosto de 2013. Posteriormente, en fecha 17 de junio de 2014 el presidente de la UIF, mediante resolución N° 284, decretó a su vez imponer una multa.</w:t>
      </w:r>
    </w:p>
    <w:p w14:paraId="692C9B6B"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Motivo de la sanción</w:t>
      </w:r>
      <w:r w:rsidRPr="00701F32">
        <w:rPr>
          <w:rFonts w:ascii="Arial" w:hAnsi="Arial" w:cs="Arial"/>
          <w:sz w:val="20"/>
        </w:rPr>
        <w:t>: Infracción al art. 21 de la Ley 25.246.</w:t>
      </w:r>
    </w:p>
    <w:p w14:paraId="6F533561"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Monto aplicado</w:t>
      </w:r>
      <w:r w:rsidRPr="00701F32">
        <w:rPr>
          <w:rFonts w:ascii="Arial" w:hAnsi="Arial" w:cs="Arial"/>
          <w:sz w:val="20"/>
        </w:rPr>
        <w:t>: 200.</w:t>
      </w:r>
    </w:p>
    <w:p w14:paraId="6633C9EA"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Responsables sancionados</w:t>
      </w:r>
      <w:r w:rsidRPr="00701F32">
        <w:rPr>
          <w:rFonts w:ascii="Arial" w:hAnsi="Arial" w:cs="Arial"/>
          <w:sz w:val="20"/>
        </w:rPr>
        <w:t>: Señores Juan Carlos Nougues, Julio Piekarz, Patricio Supervielle, Richard Gluzman y Aníbal Rodriguez Melgarejo.</w:t>
      </w:r>
    </w:p>
    <w:p w14:paraId="6BD603A0"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Estado de la causa</w:t>
      </w:r>
      <w:r w:rsidRPr="00701F32">
        <w:rPr>
          <w:rFonts w:ascii="Arial" w:hAnsi="Arial" w:cs="Arial"/>
          <w:sz w:val="20"/>
        </w:rPr>
        <w:t>: Con fecha 9 de diciembre de 2013 se presentaron descargos. Dentro del marco del sumario mencionado, se formuló un planteo de nulidad respecto del cual, con fecha 26 de mayo de 2014 no se hizo lugar al mismo. En virtud de ello en fecha 12 de junio de 2014 se presentó un recurso de reconsideración y alzada. Posteriormente, en fecha 17 de junio de 2014, el presidente de la UIF decretó, mediante resolución N° 284, no hacer lugar a dicho recurso. En fecha 3 de julio de 2014 se procedió al pago del monto total por la suma de 200. En fecha 19 de agosto de 2014 se interpuso ante la Cámara Nacional de Apelaciones en lo Contencioso Administrativo, un recurso directo respecto de la Entidad. El mismo quedó radicado bajo el N° 38.559/14 y tramita ante la Sala I de dicha Cámara.</w:t>
      </w:r>
    </w:p>
    <w:p w14:paraId="0C56075E" w14:textId="77777777" w:rsidR="00806324" w:rsidRPr="00701F32" w:rsidRDefault="00806324" w:rsidP="00806324">
      <w:pPr>
        <w:tabs>
          <w:tab w:val="left" w:pos="142"/>
        </w:tabs>
        <w:jc w:val="both"/>
        <w:rPr>
          <w:rFonts w:ascii="Arial" w:hAnsi="Arial" w:cs="Arial"/>
          <w:sz w:val="20"/>
        </w:rPr>
      </w:pPr>
    </w:p>
    <w:p w14:paraId="5B654689"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En igual sentido, en fecha 20 de agosto de 2014 se presentó un recurso directo respecto a los Sres. Supervielle, Piekarz, Nougues, Gluzman y Rodriguez Melgarejo, el cual quedó radicado bajo el N° 38.799/14 en la Sala V de la Cámara mencionada.</w:t>
      </w:r>
    </w:p>
    <w:p w14:paraId="574FE81C" w14:textId="77777777" w:rsidR="00806324" w:rsidRPr="00701F32" w:rsidRDefault="00806324" w:rsidP="00806324">
      <w:pPr>
        <w:tabs>
          <w:tab w:val="left" w:pos="142"/>
        </w:tabs>
        <w:jc w:val="both"/>
        <w:rPr>
          <w:rFonts w:ascii="Arial" w:hAnsi="Arial" w:cs="Arial"/>
          <w:sz w:val="20"/>
        </w:rPr>
      </w:pPr>
    </w:p>
    <w:p w14:paraId="2F885B0E"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Luego de cumplir con las intimaciones cursadas por ambas Salas (pago de tasa de justicia, notificación a la UIF de la presentación de ambos recursos, notificación a la Procuración Nacional del Tesoro de la Nación), se solicitó en ambas Salas se proceda a resolver la conexidad de ambos recursos dado que ambas presentaciones se hicieron en el marco del mismo expediente (sumario. 147/13) y frente a la misma resolución N° 284/14. Con fecha 07 de abril de 2015 se resolvió declarar la conexidad entre ambos recursos.</w:t>
      </w:r>
    </w:p>
    <w:p w14:paraId="1D19FC9C" w14:textId="77777777" w:rsidR="00806324" w:rsidRPr="00701F32" w:rsidRDefault="00806324" w:rsidP="00806324">
      <w:pPr>
        <w:tabs>
          <w:tab w:val="left" w:pos="142"/>
        </w:tabs>
        <w:jc w:val="both"/>
        <w:rPr>
          <w:rFonts w:ascii="Arial" w:hAnsi="Arial" w:cs="Arial"/>
          <w:sz w:val="20"/>
        </w:rPr>
      </w:pPr>
    </w:p>
    <w:p w14:paraId="08FC9BF5"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Durante el mes de septiembre del año 2016 la Sala I de la Cámara Contencioso Administrativo Federal resolvió desestimar los agravios expresados por las partes al momento de la interposición de los recursos.</w:t>
      </w:r>
    </w:p>
    <w:p w14:paraId="5DF7AAB8" w14:textId="77777777" w:rsidR="00806324" w:rsidRPr="00701F32" w:rsidRDefault="00806324" w:rsidP="00806324">
      <w:pPr>
        <w:tabs>
          <w:tab w:val="left" w:pos="142"/>
        </w:tabs>
        <w:jc w:val="both"/>
        <w:rPr>
          <w:rFonts w:ascii="Arial" w:hAnsi="Arial" w:cs="Arial"/>
          <w:sz w:val="20"/>
        </w:rPr>
      </w:pPr>
    </w:p>
    <w:p w14:paraId="015D2ED6"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Por último, dado que el monto de la sanción fue ingresado, no corresponde registrar previsiones contables.</w:t>
      </w:r>
    </w:p>
    <w:p w14:paraId="6EDA80FC" w14:textId="77777777" w:rsidR="00806324" w:rsidRPr="00701F32" w:rsidRDefault="00806324" w:rsidP="00806324">
      <w:pPr>
        <w:tabs>
          <w:tab w:val="left" w:pos="142"/>
        </w:tabs>
        <w:jc w:val="both"/>
        <w:rPr>
          <w:rFonts w:ascii="Arial" w:hAnsi="Arial" w:cs="Arial"/>
          <w:sz w:val="20"/>
        </w:rPr>
      </w:pPr>
    </w:p>
    <w:p w14:paraId="4F933B0F"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 xml:space="preserve">2. </w:t>
      </w:r>
      <w:r w:rsidRPr="00701F32">
        <w:rPr>
          <w:rFonts w:ascii="Arial" w:hAnsi="Arial" w:cs="Arial"/>
          <w:sz w:val="20"/>
          <w:u w:val="single"/>
        </w:rPr>
        <w:t>Sumarios iniciados por el BCRA</w:t>
      </w:r>
    </w:p>
    <w:p w14:paraId="5E4D8909" w14:textId="77777777" w:rsidR="00806324" w:rsidRPr="00701F32" w:rsidRDefault="00806324" w:rsidP="00806324">
      <w:pPr>
        <w:tabs>
          <w:tab w:val="left" w:pos="142"/>
        </w:tabs>
        <w:jc w:val="both"/>
        <w:rPr>
          <w:rFonts w:ascii="Arial" w:hAnsi="Arial" w:cs="Arial"/>
          <w:sz w:val="20"/>
        </w:rPr>
      </w:pPr>
    </w:p>
    <w:p w14:paraId="5F8F0F43"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2.1. Banco Central de la República Argentina: “Supervielle S/ Sumario Penal Cambiario. Expte. Nº 100.936/07 (3928)”:</w:t>
      </w:r>
    </w:p>
    <w:p w14:paraId="0E4953E3" w14:textId="77777777" w:rsidR="00806324" w:rsidRPr="00701F32" w:rsidRDefault="00806324" w:rsidP="00806324">
      <w:pPr>
        <w:tabs>
          <w:tab w:val="left" w:pos="142"/>
        </w:tabs>
        <w:jc w:val="both"/>
        <w:rPr>
          <w:rFonts w:ascii="Arial" w:hAnsi="Arial" w:cs="Arial"/>
          <w:sz w:val="20"/>
        </w:rPr>
      </w:pPr>
    </w:p>
    <w:p w14:paraId="2E23D713"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Fecha de notificación y N° de sumario</w:t>
      </w:r>
      <w:r w:rsidRPr="00701F32">
        <w:rPr>
          <w:rFonts w:ascii="Arial" w:hAnsi="Arial" w:cs="Arial"/>
          <w:sz w:val="20"/>
        </w:rPr>
        <w:t>: iniciado por Resolución N° 535 del 8 de septiembre de 2008.</w:t>
      </w:r>
    </w:p>
    <w:p w14:paraId="2FFEC2CE"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Cargo imputado</w:t>
      </w:r>
      <w:r w:rsidRPr="00701F32">
        <w:rPr>
          <w:rFonts w:ascii="Arial" w:hAnsi="Arial" w:cs="Arial"/>
          <w:sz w:val="20"/>
        </w:rPr>
        <w:t>: Exceso en venta de dólares estadounidenses.</w:t>
      </w:r>
    </w:p>
    <w:p w14:paraId="5B841693"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Personas Sumariadas</w:t>
      </w:r>
      <w:r w:rsidRPr="00701F32">
        <w:rPr>
          <w:rFonts w:ascii="Arial" w:hAnsi="Arial" w:cs="Arial"/>
          <w:sz w:val="20"/>
        </w:rPr>
        <w:t>: Ricardo Pablo Villaverde, Raúl Oscar Pastor, Christian Bellanti, Fernando Suarez y de las Sras. Andrea Marisa Suarez, Eleonora Gabriela Laurini de Morolli.</w:t>
      </w:r>
    </w:p>
    <w:p w14:paraId="7562F904"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Estado Actual</w:t>
      </w:r>
      <w:r w:rsidRPr="00701F32">
        <w:rPr>
          <w:rFonts w:ascii="Arial" w:hAnsi="Arial" w:cs="Arial"/>
          <w:sz w:val="20"/>
        </w:rPr>
        <w:t>: con fecha 25 de junio de 2013 el BCRA resolvió no hacer lugar a la excepción de falta de acción por prescripción de la acción penal interpuesta como así tampoco a la aplicación del principio de ley penal más benigna; contra ello la Entidad presentó recurso de apelación. Con fecha 9 de febrero de 2015, se resolvió no conceder el recurso de apelación interpuesto.</w:t>
      </w:r>
    </w:p>
    <w:p w14:paraId="70F7F2B4" w14:textId="77777777" w:rsidR="00806324" w:rsidRPr="00701F32" w:rsidRDefault="00806324" w:rsidP="00806324">
      <w:pPr>
        <w:tabs>
          <w:tab w:val="left" w:pos="142"/>
        </w:tabs>
        <w:jc w:val="both"/>
        <w:rPr>
          <w:rFonts w:ascii="Arial" w:hAnsi="Arial" w:cs="Arial"/>
          <w:sz w:val="20"/>
        </w:rPr>
      </w:pPr>
    </w:p>
    <w:p w14:paraId="7326E517"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A raíz de ello, con fecha 20 de febrero de 2015, la Entidad interpuso recurso de queja el cual quedó radicado en el Juzgado Nacional en lo Penal Económico N° 5, bajo el N° 111/15. Con fecha 13 de abril de 2015 dicho Juzgado resolvió rechazar la queja, de modo que el 24 de abril de 2015 se devolvió el expediente al BCRA. Con fecha 3 de noviembre de 2015 se presentó ante el BCRA el memorial correspondiente en los términos del art. 8 inc c) de la Ley de Régimen Penal Cambiario.</w:t>
      </w:r>
    </w:p>
    <w:p w14:paraId="362F8D61"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Luego de ello, concluido el trámite del sumario cambiario de referencia en el Banco Central de la República Argentina, ese organismo –según lo dispuesto por el art. 8° de la Ley del Régimen Penal Cambiario -, se elevó para el sorteo a la Excelentísima Cámara de Apelaciones del Fuero Penal económico en estado de conclusa para definitiva a fin de que se continuara la tramitación de conformidad con lo dispuesto por el art.9 de la ley 19.359 (T.O. por Decreto N° 480/95). Quedando el expediente radicado por ante el Juzgado Nacional en lo Penal Económico N° 5, Secretaría 9 bajo el N° 121/16 donde el 25 de agosto de 2016 se acompañó a audiencia art. 41 a Suarez Andrea, Morolli y Bellanti. Por Fernando Suarez, se dejó escrito haciendo constar que aún no se ha podido contactar. Por el momento no hay novedades.</w:t>
      </w:r>
    </w:p>
    <w:p w14:paraId="594F9CFA" w14:textId="77777777" w:rsidR="00806324" w:rsidRPr="00701F32" w:rsidRDefault="00806324" w:rsidP="00806324">
      <w:pPr>
        <w:tabs>
          <w:tab w:val="left" w:pos="142"/>
        </w:tabs>
        <w:jc w:val="both"/>
        <w:rPr>
          <w:rFonts w:ascii="Arial" w:hAnsi="Arial" w:cs="Arial"/>
          <w:sz w:val="20"/>
        </w:rPr>
      </w:pPr>
    </w:p>
    <w:p w14:paraId="5E45FB62"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La defensa de Ricardo Pablo Villaverde planteó la extinción de la acción penal por aplicación de la ley penal más benigna que fue rechazada por el Juzgado, y al apelar, la Sala A de la Cámara Nacional de Apelaciones en lo Penal Económico revocó dicha resolución e hizo lugar al planteo. El Ministerio Público Fiscal presentó Recurso Extraordinario contra la resolución de Cámara que, con fecha 21 de noviembre de 2017, fue rechazado ante lo cual el Fiscal presentó queja ante la Corte Suprema de Justicia de la Nación que en este momento se encuentra a estudio.</w:t>
      </w:r>
    </w:p>
    <w:p w14:paraId="3DC9D344" w14:textId="77777777" w:rsidR="00806324" w:rsidRPr="00701F32" w:rsidRDefault="00806324" w:rsidP="00806324">
      <w:pPr>
        <w:tabs>
          <w:tab w:val="left" w:pos="142"/>
        </w:tabs>
        <w:jc w:val="both"/>
        <w:rPr>
          <w:rFonts w:ascii="Arial" w:hAnsi="Arial" w:cs="Arial"/>
          <w:sz w:val="20"/>
        </w:rPr>
      </w:pPr>
    </w:p>
    <w:p w14:paraId="02BAAA6E"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rPr>
        <w:t>2.2. Supervielle S/Sumario Penal Cambiario Expte. N° 48.225/07 (5424).</w:t>
      </w:r>
    </w:p>
    <w:p w14:paraId="4E28DF74" w14:textId="77777777" w:rsidR="00806324" w:rsidRPr="00701F32" w:rsidRDefault="00806324" w:rsidP="00806324">
      <w:pPr>
        <w:tabs>
          <w:tab w:val="left" w:pos="142"/>
        </w:tabs>
        <w:jc w:val="both"/>
        <w:rPr>
          <w:rFonts w:ascii="Arial" w:hAnsi="Arial" w:cs="Arial"/>
          <w:sz w:val="20"/>
        </w:rPr>
      </w:pPr>
    </w:p>
    <w:p w14:paraId="11114667"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Fecha de inicio</w:t>
      </w:r>
      <w:r w:rsidRPr="00701F32">
        <w:rPr>
          <w:rFonts w:ascii="Arial" w:hAnsi="Arial" w:cs="Arial"/>
          <w:sz w:val="20"/>
        </w:rPr>
        <w:t>: 31 de julio de 2013.</w:t>
      </w:r>
    </w:p>
    <w:p w14:paraId="5EC69F0E"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Personas Sumariadas</w:t>
      </w:r>
      <w:r w:rsidRPr="00701F32">
        <w:rPr>
          <w:rFonts w:ascii="Arial" w:hAnsi="Arial" w:cs="Arial"/>
          <w:sz w:val="20"/>
        </w:rPr>
        <w:t>: Defensa de la Entidad y de los señores Jorge Di Péntima y Alberto Cid.</w:t>
      </w:r>
    </w:p>
    <w:p w14:paraId="04D0BA6D" w14:textId="77777777"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Cargo Imputado</w:t>
      </w:r>
      <w:r w:rsidRPr="00701F32">
        <w:rPr>
          <w:rFonts w:ascii="Arial" w:hAnsi="Arial" w:cs="Arial"/>
          <w:sz w:val="20"/>
        </w:rPr>
        <w:t>: Venta de dólares a Inhabilitados.</w:t>
      </w:r>
    </w:p>
    <w:p w14:paraId="745ED49F" w14:textId="568C8F02" w:rsidR="00806324" w:rsidRPr="00701F32" w:rsidRDefault="00806324" w:rsidP="00806324">
      <w:pPr>
        <w:tabs>
          <w:tab w:val="left" w:pos="142"/>
        </w:tabs>
        <w:jc w:val="both"/>
        <w:rPr>
          <w:rFonts w:ascii="Arial" w:hAnsi="Arial" w:cs="Arial"/>
          <w:sz w:val="20"/>
        </w:rPr>
      </w:pPr>
      <w:r w:rsidRPr="00701F32">
        <w:rPr>
          <w:rFonts w:ascii="Arial" w:hAnsi="Arial" w:cs="Arial"/>
          <w:sz w:val="20"/>
          <w:u w:val="single"/>
        </w:rPr>
        <w:t>Estado Actual</w:t>
      </w:r>
      <w:r w:rsidRPr="00701F32">
        <w:rPr>
          <w:rFonts w:ascii="Arial" w:hAnsi="Arial" w:cs="Arial"/>
          <w:sz w:val="20"/>
        </w:rPr>
        <w:t>: con fecha 12 de febrero de 2015 el BCRA resolvió abrir el presente sumario a prueba por el término de 20 días hábiles bancarios, en los términos del artículo 8° de la Ley del Régimen Penal Cambiario. En ese sentido, se dispuso librar oficio al Departamento de Recursos Humanos de la Entidad y citar a las señoras Claudia Andretto y Mónica Carrizo a prestar declaración testimonial para el día 15 de abril de 2015, quienes efectivamente se presentaron a declarar. Con fecha 12 de junio de 2015 se respondió el oficio. Con fecha 14 de diciembre de 2017 se cerró el período de prueba, y el día 18 de diciembre de 2017 se presentó el memorial y se planteó la prescripción de la acción. El día 1 de marzo de 2018 el BCRA resolvió no hacer lugar al planteo de nulidad y a la violación de la garantía de ser Juzgado en un plazo justo. Contra dicha resolución, el día 15 de marzo de 2018, se interpuso recurso de apelación que fue rechazado el día 21 de marzo de 2018. Luego, el 23 de marzo de 2018 se presentó el escrito manifestando que se consiente la resolución y que se hace reserva de plantear su nulidad. El BCRA declaró concluido el sumario y lo elevó al Juzgado Penal Económico N° 11, Secretaría N° 22, en el cual ingresó bajo el N° 645/2018 y a la fecha no hay novedades.</w:t>
      </w:r>
    </w:p>
    <w:p w14:paraId="0210AE56" w14:textId="77777777" w:rsidR="005C4329" w:rsidRPr="00701F32" w:rsidRDefault="005C4329" w:rsidP="00A06BE9">
      <w:pPr>
        <w:tabs>
          <w:tab w:val="left" w:pos="142"/>
        </w:tabs>
        <w:jc w:val="both"/>
        <w:rPr>
          <w:rFonts w:ascii="Arial" w:hAnsi="Arial" w:cs="Arial"/>
          <w:b/>
          <w:sz w:val="20"/>
        </w:rPr>
      </w:pPr>
    </w:p>
    <w:p w14:paraId="7B5A4EED" w14:textId="77777777" w:rsidR="00A06BE9" w:rsidRPr="00701F32" w:rsidRDefault="00AF3A00" w:rsidP="00A06BE9">
      <w:pPr>
        <w:tabs>
          <w:tab w:val="left" w:pos="142"/>
        </w:tabs>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.8 Emisión de obligaciones negociables</w:t>
      </w:r>
    </w:p>
    <w:p w14:paraId="5292C937" w14:textId="77777777" w:rsidR="00A06BE9" w:rsidRPr="00701F32" w:rsidRDefault="00A06BE9" w:rsidP="00A06BE9">
      <w:pPr>
        <w:tabs>
          <w:tab w:val="left" w:pos="142"/>
        </w:tabs>
        <w:jc w:val="both"/>
        <w:rPr>
          <w:rFonts w:ascii="Arial" w:hAnsi="Arial" w:cs="Arial"/>
          <w:b/>
          <w:sz w:val="20"/>
        </w:rPr>
      </w:pPr>
    </w:p>
    <w:p w14:paraId="643E2B34" w14:textId="77777777" w:rsidR="00A06BE9" w:rsidRPr="00701F32" w:rsidRDefault="00A06BE9" w:rsidP="00A06BE9">
      <w:pPr>
        <w:pStyle w:val="PrimerNivel"/>
        <w:numPr>
          <w:ilvl w:val="0"/>
          <w:numId w:val="0"/>
        </w:numPr>
        <w:rPr>
          <w:rFonts w:ascii="Arial" w:hAnsi="Arial" w:cs="Arial"/>
          <w:b/>
          <w:sz w:val="20"/>
        </w:rPr>
      </w:pPr>
      <w:r w:rsidRPr="00701F32">
        <w:rPr>
          <w:rFonts w:ascii="Arial" w:hAnsi="Arial" w:cs="Arial"/>
          <w:b/>
          <w:sz w:val="20"/>
        </w:rPr>
        <w:t>Obligaciones Negociables no subordinadas</w:t>
      </w:r>
    </w:p>
    <w:p w14:paraId="400C5D21" w14:textId="77777777" w:rsidR="00A06BE9" w:rsidRPr="00701F32" w:rsidRDefault="00A06BE9" w:rsidP="00A06BE9">
      <w:pPr>
        <w:tabs>
          <w:tab w:val="left" w:pos="142"/>
          <w:tab w:val="left" w:pos="9923"/>
        </w:tabs>
        <w:jc w:val="both"/>
        <w:rPr>
          <w:rFonts w:ascii="Arial" w:hAnsi="Arial" w:cs="Arial"/>
          <w:sz w:val="20"/>
        </w:rPr>
      </w:pPr>
    </w:p>
    <w:p w14:paraId="11F5A485" w14:textId="7C0D724D" w:rsidR="00CC58AD" w:rsidRPr="00701F32" w:rsidRDefault="00CC58AD" w:rsidP="00A06BE9">
      <w:pPr>
        <w:spacing w:line="220" w:lineRule="exact"/>
        <w:jc w:val="both"/>
        <w:rPr>
          <w:rFonts w:ascii="Arial" w:hAnsi="Arial" w:cs="Arial"/>
          <w:b/>
          <w:sz w:val="20"/>
        </w:rPr>
      </w:pPr>
      <w:r w:rsidRPr="00701F32">
        <w:rPr>
          <w:rFonts w:ascii="Arial" w:hAnsi="Arial" w:cs="Arial"/>
          <w:b/>
          <w:sz w:val="20"/>
        </w:rPr>
        <w:t xml:space="preserve">Banco Supervielle S.A.: </w:t>
      </w:r>
    </w:p>
    <w:p w14:paraId="17B54A53" w14:textId="77777777" w:rsidR="00CC58AD" w:rsidRPr="00701F32" w:rsidRDefault="00CC58AD" w:rsidP="00A06BE9">
      <w:pPr>
        <w:spacing w:line="220" w:lineRule="exact"/>
        <w:jc w:val="both"/>
        <w:rPr>
          <w:rFonts w:ascii="Arial" w:hAnsi="Arial" w:cs="Arial"/>
          <w:sz w:val="20"/>
        </w:rPr>
      </w:pPr>
    </w:p>
    <w:p w14:paraId="643A02A2" w14:textId="43895AB9" w:rsidR="00FD7AF2" w:rsidRPr="00701F32" w:rsidRDefault="00A06BE9" w:rsidP="00A06BE9">
      <w:pPr>
        <w:spacing w:line="220" w:lineRule="exact"/>
        <w:jc w:val="both"/>
        <w:rPr>
          <w:rFonts w:ascii="Arial" w:hAnsi="Arial" w:cs="Arial"/>
          <w:sz w:val="20"/>
        </w:rPr>
      </w:pPr>
      <w:r w:rsidRPr="00701F32">
        <w:rPr>
          <w:rFonts w:ascii="Arial" w:hAnsi="Arial" w:cs="Arial"/>
          <w:sz w:val="20"/>
        </w:rPr>
        <w:t>Con fecha 25 de abril de 2013, la Asamblea General Ordinaria y Extraordinaria de Accionistas N° 39, resolvió aprobar la creación de un Programa Global de emisión de Obligaciones Negociables (el “Programa”) por hasta un monto máximo en circulación de $500.000.000. El Programa fue autorizado por la Comisión Nacional de Valores (la “CNV”) a través de la Resolución N° 17.165 de fecha 15 de agosto de 2013. Con fecha 18 de abril de 2016, la Asamblea General Ordinaria y Extraordinaria de Accionistas N° 43, aprobó la ampliación del monto total del Programa a un valor nominal de hasta $ 1.000.000.000. Dicha ampliación fue aprobada por el directorio de la CNV, mediante Resolución N°18.296 de fecha 27 de octubre de 2016. Con fecha 22 de marzo de 2017, la Asamblea General Extraordinaria de Accionistas N° 45, resolvió aprobar el aumento del monto máximo del Programa a un valor nominal de hasta $ 2.500.000.000. Dicha ampliación fue aprobada por el directorio de la CNV, mediante Resolución N°18.608 de fecha 12 de abril de 2017.</w:t>
      </w:r>
    </w:p>
    <w:p w14:paraId="14AF09F2" w14:textId="77777777" w:rsidR="00B30DEB" w:rsidRPr="00701F32" w:rsidRDefault="00B30DEB" w:rsidP="00393CEB">
      <w:pPr>
        <w:jc w:val="both"/>
        <w:rPr>
          <w:rFonts w:ascii="Arial" w:hAnsi="Arial" w:cs="Arial"/>
          <w:sz w:val="20"/>
        </w:rPr>
      </w:pPr>
    </w:p>
    <w:p w14:paraId="1A1D4D8D" w14:textId="77777777" w:rsidR="00FD7AF2" w:rsidRPr="00701F32" w:rsidRDefault="00FD7AF2" w:rsidP="00FD7AF2">
      <w:pPr>
        <w:tabs>
          <w:tab w:val="left" w:pos="142"/>
          <w:tab w:val="left" w:pos="9923"/>
        </w:tabs>
        <w:jc w:val="both"/>
        <w:rPr>
          <w:rFonts w:ascii="Arial" w:hAnsi="Arial" w:cs="Arial"/>
          <w:b/>
          <w:sz w:val="20"/>
        </w:rPr>
      </w:pPr>
      <w:r w:rsidRPr="00701F32">
        <w:rPr>
          <w:rFonts w:ascii="Arial" w:hAnsi="Arial" w:cs="Arial"/>
          <w:b/>
          <w:sz w:val="20"/>
        </w:rPr>
        <w:t>Programa Global de Emisión de Títulos de Mediano Plazo por hasta V/N US$ 800.000.000</w:t>
      </w:r>
    </w:p>
    <w:p w14:paraId="7134DC62" w14:textId="77777777" w:rsidR="00FD7AF2" w:rsidRPr="00701F32" w:rsidRDefault="00FD7AF2" w:rsidP="00A06BE9">
      <w:pPr>
        <w:tabs>
          <w:tab w:val="left" w:pos="142"/>
          <w:tab w:val="left" w:pos="9923"/>
        </w:tabs>
        <w:jc w:val="both"/>
        <w:rPr>
          <w:rFonts w:ascii="Arial" w:hAnsi="Arial" w:cs="Arial"/>
          <w:sz w:val="20"/>
        </w:rPr>
      </w:pPr>
    </w:p>
    <w:p w14:paraId="13F7845B" w14:textId="77777777" w:rsidR="00FD7AF2" w:rsidRPr="00701F32" w:rsidRDefault="00FD7AF2" w:rsidP="00FD7AF2">
      <w:pPr>
        <w:tabs>
          <w:tab w:val="left" w:pos="142"/>
          <w:tab w:val="left" w:pos="9923"/>
        </w:tabs>
        <w:jc w:val="both"/>
        <w:rPr>
          <w:rFonts w:ascii="Arial" w:hAnsi="Arial" w:cs="Arial"/>
          <w:sz w:val="20"/>
        </w:rPr>
      </w:pPr>
      <w:r w:rsidRPr="00701F32">
        <w:rPr>
          <w:rFonts w:ascii="Arial" w:hAnsi="Arial" w:cs="Arial"/>
          <w:sz w:val="20"/>
        </w:rPr>
        <w:t>Con fecha 22 de septiembre de 2016, la Asamblea General Ordinaria y Extraordinaria N° 117 resolvió aprobar la creación de un Programa Global de Emisión de Obligaciones Negociables por hasta un monto máximo en circulación en cualquier momento durante la vigencia del programa de U$S 800.000.000 (dólares estadounidenses ochocientos millones). El programa fue autorizado por la Comisión Nacional de Valores a través de la Resolución Nº 18.376 de fecha 24 de noviembre de 2016.</w:t>
      </w:r>
    </w:p>
    <w:p w14:paraId="199D4824" w14:textId="77777777" w:rsidR="00FD7AF2" w:rsidRPr="00701F32" w:rsidRDefault="00FD7AF2" w:rsidP="00FD7AF2">
      <w:pPr>
        <w:tabs>
          <w:tab w:val="left" w:pos="142"/>
          <w:tab w:val="left" w:pos="9923"/>
        </w:tabs>
        <w:jc w:val="both"/>
        <w:rPr>
          <w:rFonts w:ascii="Arial" w:hAnsi="Arial" w:cs="Arial"/>
          <w:sz w:val="20"/>
        </w:rPr>
      </w:pPr>
    </w:p>
    <w:p w14:paraId="41E53F94" w14:textId="77777777" w:rsidR="00FD7AF2" w:rsidRPr="00701F32" w:rsidRDefault="00FD7AF2" w:rsidP="00FD7AF2">
      <w:pPr>
        <w:tabs>
          <w:tab w:val="left" w:pos="142"/>
          <w:tab w:val="left" w:pos="9923"/>
        </w:tabs>
        <w:jc w:val="both"/>
        <w:rPr>
          <w:rFonts w:ascii="Arial" w:hAnsi="Arial" w:cs="Arial"/>
          <w:sz w:val="20"/>
        </w:rPr>
      </w:pPr>
      <w:r w:rsidRPr="00701F32">
        <w:rPr>
          <w:rFonts w:ascii="Arial" w:hAnsi="Arial" w:cs="Arial"/>
          <w:sz w:val="20"/>
        </w:rPr>
        <w:t>Con fecha 06 marzo de 2018 se aprobó por acta de asamblea la ampliación del Programa Global de Obligaciones Negociables por U$S 2.300.000.000 (dólares estadounidenses dos mil trescientos millones). Con fecha 16 de abril de 2018 la CNV aprobó el aumento del Programa mediante la resolución Nro 19470.</w:t>
      </w:r>
    </w:p>
    <w:p w14:paraId="40AC768A" w14:textId="77777777" w:rsidR="008F0273" w:rsidRPr="00701F32" w:rsidRDefault="008F0273" w:rsidP="00A06BE9">
      <w:pPr>
        <w:tabs>
          <w:tab w:val="left" w:pos="142"/>
          <w:tab w:val="left" w:pos="9923"/>
        </w:tabs>
        <w:jc w:val="both"/>
        <w:rPr>
          <w:rFonts w:ascii="Arial" w:hAnsi="Arial" w:cs="Arial"/>
          <w:sz w:val="20"/>
        </w:rPr>
      </w:pPr>
    </w:p>
    <w:p w14:paraId="32AB06D6" w14:textId="2FF9E1CC" w:rsidR="009F020F" w:rsidRPr="00701F32" w:rsidRDefault="00CC58AD" w:rsidP="009F020F">
      <w:pPr>
        <w:tabs>
          <w:tab w:val="left" w:pos="142"/>
          <w:tab w:val="left" w:pos="9923"/>
        </w:tabs>
        <w:jc w:val="both"/>
        <w:rPr>
          <w:rFonts w:ascii="Arial" w:hAnsi="Arial" w:cs="Arial"/>
          <w:b/>
          <w:sz w:val="20"/>
        </w:rPr>
      </w:pPr>
      <w:r w:rsidRPr="00701F32">
        <w:rPr>
          <w:rFonts w:ascii="Arial" w:hAnsi="Arial" w:cs="Arial"/>
          <w:b/>
          <w:sz w:val="20"/>
        </w:rPr>
        <w:t xml:space="preserve">Cordial Compañía Financiera S.A.: </w:t>
      </w:r>
    </w:p>
    <w:p w14:paraId="040A651B" w14:textId="77777777" w:rsidR="00CC58AD" w:rsidRPr="00701F32" w:rsidRDefault="00CC58AD" w:rsidP="00A06BE9">
      <w:pPr>
        <w:tabs>
          <w:tab w:val="left" w:pos="142"/>
          <w:tab w:val="left" w:pos="9923"/>
        </w:tabs>
        <w:jc w:val="both"/>
        <w:rPr>
          <w:rFonts w:ascii="Arial" w:hAnsi="Arial" w:cs="Arial"/>
          <w:sz w:val="20"/>
        </w:rPr>
      </w:pPr>
    </w:p>
    <w:p w14:paraId="1868B592" w14:textId="715379C8" w:rsidR="00CC58AD" w:rsidRPr="00701F32" w:rsidRDefault="00CC58AD" w:rsidP="00A06BE9">
      <w:pPr>
        <w:tabs>
          <w:tab w:val="left" w:pos="142"/>
          <w:tab w:val="left" w:pos="9923"/>
        </w:tabs>
        <w:jc w:val="both"/>
        <w:rPr>
          <w:rFonts w:ascii="Arial" w:hAnsi="Arial" w:cs="Arial"/>
          <w:sz w:val="20"/>
        </w:rPr>
      </w:pPr>
      <w:r w:rsidRPr="00701F32">
        <w:rPr>
          <w:rFonts w:ascii="Arial" w:hAnsi="Arial" w:cs="Arial"/>
          <w:sz w:val="20"/>
        </w:rPr>
        <w:t>Con fecha 25 de abril de 2013, la Asamblea de Accionistas N° 39, resolvió aprobar la creación de un Programa Global de emisión de Obligaciones Negociables (el “Programa”) por hasta un monto máximo en circulación de $500.000.000. El Programa fue autorizado por la Comisión Nacional de Valores (la “CNV”) a través de la Resolución N° 17.165 de fecha 15 de agosto de 2013. Con fecha 18 de abril de 2016, la Asamblea de Accionistas N° 43, aprobó la ampliación del monto total del Programa a un valor nominal de hasta $ 1.000.000.000. Dicha ampliación fue aprobada por el directorio de la CNV, mediante Resolución N°18.296 de fecha 27 de octubre de 2016. Con fecha 22 de marzo de 2017, la Asamblea de Accionistas N° 45, resolvió aprobar el aumento del monto máximo del Programa a un valor nominal de hasta $ 2.500.000.000. Dicha ampliación fue aprobada por el directorio de la CNV, mediante Resolución N°18.608 de fecha 12 de abril de 2017.</w:t>
      </w:r>
    </w:p>
    <w:p w14:paraId="29386C87" w14:textId="77777777" w:rsidR="00A06BE9" w:rsidRPr="00701F32" w:rsidRDefault="00A06BE9" w:rsidP="00A06BE9">
      <w:pPr>
        <w:pStyle w:val="PrimerNivel"/>
        <w:numPr>
          <w:ilvl w:val="0"/>
          <w:numId w:val="0"/>
        </w:numPr>
        <w:rPr>
          <w:rFonts w:ascii="Arial" w:hAnsi="Arial" w:cs="Arial"/>
          <w:sz w:val="20"/>
        </w:rPr>
      </w:pPr>
      <w:r w:rsidRPr="00701F32">
        <w:rPr>
          <w:rFonts w:ascii="Arial" w:hAnsi="Arial" w:cs="Arial"/>
          <w:sz w:val="20"/>
        </w:rPr>
        <w:t>A continuación se expone un detalle de las emisiones vigentes al 3</w:t>
      </w:r>
      <w:r w:rsidR="003E43C5" w:rsidRPr="00701F32">
        <w:rPr>
          <w:rFonts w:ascii="Arial" w:hAnsi="Arial" w:cs="Arial"/>
          <w:sz w:val="20"/>
        </w:rPr>
        <w:t>0</w:t>
      </w:r>
      <w:r w:rsidRPr="00701F32">
        <w:rPr>
          <w:rFonts w:ascii="Arial" w:hAnsi="Arial" w:cs="Arial"/>
          <w:sz w:val="20"/>
        </w:rPr>
        <w:t xml:space="preserve"> de </w:t>
      </w:r>
      <w:r w:rsidR="00F53550" w:rsidRPr="00701F32">
        <w:rPr>
          <w:rFonts w:ascii="Arial" w:hAnsi="Arial" w:cs="Arial"/>
          <w:sz w:val="20"/>
        </w:rPr>
        <w:t>septiembre</w:t>
      </w:r>
      <w:r w:rsidRPr="00701F32">
        <w:rPr>
          <w:rFonts w:ascii="Arial" w:hAnsi="Arial" w:cs="Arial"/>
          <w:sz w:val="20"/>
        </w:rPr>
        <w:t xml:space="preserve"> de 2018</w:t>
      </w:r>
      <w:r w:rsidR="008A0B88" w:rsidRPr="00701F32">
        <w:rPr>
          <w:rFonts w:ascii="Arial" w:hAnsi="Arial" w:cs="Arial"/>
          <w:sz w:val="20"/>
        </w:rPr>
        <w:t>,</w:t>
      </w:r>
      <w:r w:rsidRPr="00701F32">
        <w:rPr>
          <w:rFonts w:ascii="Arial" w:hAnsi="Arial" w:cs="Arial"/>
          <w:sz w:val="20"/>
        </w:rPr>
        <w:t xml:space="preserve"> 31 de diciembre</w:t>
      </w:r>
      <w:r w:rsidR="008A0B88" w:rsidRPr="00701F32">
        <w:rPr>
          <w:rFonts w:ascii="Arial" w:hAnsi="Arial" w:cs="Arial"/>
          <w:sz w:val="20"/>
        </w:rPr>
        <w:t xml:space="preserve"> y 1 de enero</w:t>
      </w:r>
      <w:r w:rsidRPr="00701F32">
        <w:rPr>
          <w:rFonts w:ascii="Arial" w:hAnsi="Arial" w:cs="Arial"/>
          <w:sz w:val="20"/>
        </w:rPr>
        <w:t xml:space="preserve"> de 2017:</w:t>
      </w:r>
    </w:p>
    <w:p w14:paraId="74A830A9" w14:textId="6D5688EC" w:rsidR="00A06BE9" w:rsidRDefault="00A06BE9" w:rsidP="00A06BE9">
      <w:pPr>
        <w:pStyle w:val="PrimerNivel"/>
        <w:numPr>
          <w:ilvl w:val="0"/>
          <w:numId w:val="0"/>
        </w:numPr>
        <w:rPr>
          <w:rFonts w:ascii="Arial" w:hAnsi="Arial" w:cs="Arial"/>
          <w:sz w:val="20"/>
        </w:rPr>
      </w:pPr>
    </w:p>
    <w:p w14:paraId="2BCFC7AA" w14:textId="002D45FA" w:rsidR="004437AA" w:rsidRDefault="004437AA" w:rsidP="00A06BE9">
      <w:pPr>
        <w:pStyle w:val="PrimerNivel"/>
        <w:numPr>
          <w:ilvl w:val="0"/>
          <w:numId w:val="0"/>
        </w:numPr>
        <w:rPr>
          <w:rFonts w:ascii="Arial" w:hAnsi="Arial" w:cs="Arial"/>
          <w:sz w:val="20"/>
        </w:rPr>
      </w:pPr>
    </w:p>
    <w:p w14:paraId="63E236E0" w14:textId="41CBA085" w:rsidR="004437AA" w:rsidRDefault="004437AA" w:rsidP="00A06BE9">
      <w:pPr>
        <w:pStyle w:val="PrimerNivel"/>
        <w:numPr>
          <w:ilvl w:val="0"/>
          <w:numId w:val="0"/>
        </w:numPr>
        <w:rPr>
          <w:rFonts w:ascii="Arial" w:hAnsi="Arial" w:cs="Arial"/>
          <w:sz w:val="20"/>
        </w:rPr>
      </w:pPr>
    </w:p>
    <w:p w14:paraId="3BD9F5F1" w14:textId="77777777" w:rsidR="004437AA" w:rsidRPr="00701F32" w:rsidRDefault="004437AA" w:rsidP="00A06BE9">
      <w:pPr>
        <w:pStyle w:val="PrimerNivel"/>
        <w:numPr>
          <w:ilvl w:val="0"/>
          <w:numId w:val="0"/>
        </w:numPr>
        <w:rPr>
          <w:rFonts w:ascii="Arial" w:hAnsi="Arial" w:cs="Arial"/>
          <w:sz w:val="20"/>
        </w:rPr>
      </w:pPr>
    </w:p>
    <w:p w14:paraId="72F085DA" w14:textId="77777777" w:rsidR="002C3A48" w:rsidRPr="00701F32" w:rsidRDefault="002C3A48" w:rsidP="00A06BE9">
      <w:pPr>
        <w:pStyle w:val="PrimerNivel"/>
        <w:numPr>
          <w:ilvl w:val="0"/>
          <w:numId w:val="0"/>
        </w:numPr>
        <w:rPr>
          <w:rFonts w:ascii="Arial" w:hAnsi="Arial" w:cs="Arial"/>
          <w:sz w:val="20"/>
        </w:rPr>
      </w:pPr>
    </w:p>
    <w:tbl>
      <w:tblPr>
        <w:tblW w:w="5703" w:type="pct"/>
        <w:tblInd w:w="-10" w:type="dxa"/>
        <w:tblLayout w:type="fixed"/>
        <w:tblCellMar>
          <w:left w:w="70" w:type="dxa"/>
          <w:right w:w="70" w:type="dxa"/>
        </w:tblCellMar>
        <w:tblLook w:val="04A0" w:firstRow="1" w:lastRow="0" w:firstColumn="1" w:lastColumn="0" w:noHBand="0" w:noVBand="1"/>
      </w:tblPr>
      <w:tblGrid>
        <w:gridCol w:w="978"/>
        <w:gridCol w:w="748"/>
        <w:gridCol w:w="592"/>
        <w:gridCol w:w="892"/>
        <w:gridCol w:w="1188"/>
        <w:gridCol w:w="892"/>
        <w:gridCol w:w="1049"/>
        <w:gridCol w:w="1328"/>
        <w:gridCol w:w="892"/>
        <w:gridCol w:w="892"/>
        <w:gridCol w:w="894"/>
      </w:tblGrid>
      <w:tr w:rsidR="008A0B88" w:rsidRPr="00701F32" w14:paraId="0178E98F" w14:textId="77777777" w:rsidTr="00136660">
        <w:trPr>
          <w:trHeight w:val="323"/>
          <w:tblHeader/>
        </w:trPr>
        <w:tc>
          <w:tcPr>
            <w:tcW w:w="4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5FB761"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Fecha de colocación</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0B0B56"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Moneda</w:t>
            </w:r>
          </w:p>
        </w:tc>
        <w:tc>
          <w:tcPr>
            <w:tcW w:w="2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BEA8E6"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Nro. de Clase</w:t>
            </w:r>
          </w:p>
        </w:tc>
        <w:tc>
          <w:tcPr>
            <w:tcW w:w="4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26469"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Monto</w:t>
            </w:r>
          </w:p>
        </w:tc>
        <w:tc>
          <w:tcPr>
            <w:tcW w:w="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B2D65B"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Amortización</w:t>
            </w:r>
          </w:p>
        </w:tc>
        <w:tc>
          <w:tcPr>
            <w:tcW w:w="4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D61C1A"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Plazo</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00F060"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Fecha de vencimiento</w:t>
            </w:r>
          </w:p>
        </w:tc>
        <w:tc>
          <w:tcPr>
            <w:tcW w:w="6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129866"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Tasa</w:t>
            </w:r>
          </w:p>
        </w:tc>
        <w:tc>
          <w:tcPr>
            <w:tcW w:w="1294" w:type="pct"/>
            <w:gridSpan w:val="3"/>
            <w:tcBorders>
              <w:top w:val="single" w:sz="8" w:space="0" w:color="auto"/>
              <w:left w:val="nil"/>
              <w:bottom w:val="single" w:sz="8" w:space="0" w:color="auto"/>
              <w:right w:val="single" w:sz="8" w:space="0" w:color="000000"/>
            </w:tcBorders>
            <w:shd w:val="clear" w:color="auto" w:fill="auto"/>
            <w:vAlign w:val="center"/>
            <w:hideMark/>
          </w:tcPr>
          <w:p w14:paraId="496D4EE8"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Valor Libros</w:t>
            </w:r>
          </w:p>
        </w:tc>
      </w:tr>
      <w:tr w:rsidR="008A0B88" w:rsidRPr="00701F32" w14:paraId="0BC76C89" w14:textId="77777777" w:rsidTr="00136660">
        <w:trPr>
          <w:trHeight w:val="323"/>
          <w:tblHeader/>
        </w:trPr>
        <w:tc>
          <w:tcPr>
            <w:tcW w:w="473" w:type="pct"/>
            <w:vMerge/>
            <w:tcBorders>
              <w:top w:val="single" w:sz="8" w:space="0" w:color="auto"/>
              <w:left w:val="single" w:sz="8" w:space="0" w:color="auto"/>
              <w:bottom w:val="single" w:sz="8" w:space="0" w:color="000000"/>
              <w:right w:val="single" w:sz="8" w:space="0" w:color="auto"/>
            </w:tcBorders>
            <w:vAlign w:val="center"/>
            <w:hideMark/>
          </w:tcPr>
          <w:p w14:paraId="16A4CD2C" w14:textId="77777777" w:rsidR="008A0B88" w:rsidRPr="00701F32" w:rsidRDefault="008A0B88" w:rsidP="00136660">
            <w:pPr>
              <w:jc w:val="center"/>
              <w:rPr>
                <w:rFonts w:ascii="Arial" w:hAnsi="Arial" w:cs="Arial"/>
                <w:b/>
                <w:color w:val="000000"/>
                <w:sz w:val="14"/>
                <w:szCs w:val="14"/>
                <w:lang w:eastAsia="es-AR"/>
              </w:rPr>
            </w:pPr>
          </w:p>
        </w:tc>
        <w:tc>
          <w:tcPr>
            <w:tcW w:w="362" w:type="pct"/>
            <w:vMerge/>
            <w:tcBorders>
              <w:top w:val="single" w:sz="8" w:space="0" w:color="auto"/>
              <w:left w:val="single" w:sz="8" w:space="0" w:color="auto"/>
              <w:bottom w:val="single" w:sz="8" w:space="0" w:color="000000"/>
              <w:right w:val="single" w:sz="8" w:space="0" w:color="auto"/>
            </w:tcBorders>
            <w:vAlign w:val="center"/>
            <w:hideMark/>
          </w:tcPr>
          <w:p w14:paraId="4B5FC9A2" w14:textId="77777777" w:rsidR="008A0B88" w:rsidRPr="00701F32" w:rsidRDefault="008A0B88" w:rsidP="00136660">
            <w:pPr>
              <w:jc w:val="center"/>
              <w:rPr>
                <w:rFonts w:ascii="Arial" w:hAnsi="Arial" w:cs="Arial"/>
                <w:b/>
                <w:color w:val="000000"/>
                <w:sz w:val="14"/>
                <w:szCs w:val="14"/>
                <w:lang w:eastAsia="es-AR"/>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34C7171E" w14:textId="77777777" w:rsidR="008A0B88" w:rsidRPr="00701F32" w:rsidRDefault="008A0B88" w:rsidP="00136660">
            <w:pPr>
              <w:jc w:val="center"/>
              <w:rPr>
                <w:rFonts w:ascii="Arial" w:hAnsi="Arial" w:cs="Arial"/>
                <w:b/>
                <w:color w:val="000000"/>
                <w:sz w:val="14"/>
                <w:szCs w:val="14"/>
                <w:lang w:eastAsia="es-AR"/>
              </w:rPr>
            </w:pPr>
          </w:p>
        </w:tc>
        <w:tc>
          <w:tcPr>
            <w:tcW w:w="431" w:type="pct"/>
            <w:vMerge/>
            <w:tcBorders>
              <w:top w:val="single" w:sz="8" w:space="0" w:color="auto"/>
              <w:left w:val="single" w:sz="8" w:space="0" w:color="auto"/>
              <w:bottom w:val="single" w:sz="8" w:space="0" w:color="000000"/>
              <w:right w:val="single" w:sz="8" w:space="0" w:color="auto"/>
            </w:tcBorders>
            <w:vAlign w:val="center"/>
            <w:hideMark/>
          </w:tcPr>
          <w:p w14:paraId="54CEB22A" w14:textId="77777777" w:rsidR="008A0B88" w:rsidRPr="00701F32" w:rsidRDefault="008A0B88" w:rsidP="00136660">
            <w:pPr>
              <w:jc w:val="center"/>
              <w:rPr>
                <w:rFonts w:ascii="Arial" w:hAnsi="Arial" w:cs="Arial"/>
                <w:b/>
                <w:color w:val="000000"/>
                <w:sz w:val="14"/>
                <w:szCs w:val="14"/>
                <w:lang w:eastAsia="es-AR"/>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14:paraId="1895CE0D" w14:textId="77777777" w:rsidR="008A0B88" w:rsidRPr="00701F32" w:rsidRDefault="008A0B88" w:rsidP="00136660">
            <w:pPr>
              <w:jc w:val="center"/>
              <w:rPr>
                <w:rFonts w:ascii="Arial" w:hAnsi="Arial" w:cs="Arial"/>
                <w:b/>
                <w:color w:val="000000"/>
                <w:sz w:val="14"/>
                <w:szCs w:val="14"/>
                <w:lang w:eastAsia="es-AR"/>
              </w:rPr>
            </w:pPr>
          </w:p>
        </w:tc>
        <w:tc>
          <w:tcPr>
            <w:tcW w:w="431" w:type="pct"/>
            <w:vMerge/>
            <w:tcBorders>
              <w:top w:val="single" w:sz="8" w:space="0" w:color="auto"/>
              <w:left w:val="single" w:sz="8" w:space="0" w:color="auto"/>
              <w:bottom w:val="single" w:sz="8" w:space="0" w:color="000000"/>
              <w:right w:val="single" w:sz="8" w:space="0" w:color="auto"/>
            </w:tcBorders>
            <w:vAlign w:val="center"/>
            <w:hideMark/>
          </w:tcPr>
          <w:p w14:paraId="460E8590" w14:textId="77777777" w:rsidR="008A0B88" w:rsidRPr="00701F32" w:rsidRDefault="008A0B88" w:rsidP="00136660">
            <w:pPr>
              <w:jc w:val="center"/>
              <w:rPr>
                <w:rFonts w:ascii="Arial" w:hAnsi="Arial" w:cs="Arial"/>
                <w:b/>
                <w:color w:val="000000"/>
                <w:sz w:val="14"/>
                <w:szCs w:val="14"/>
                <w:lang w:eastAsia="es-AR"/>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14:paraId="3626D209" w14:textId="77777777" w:rsidR="008A0B88" w:rsidRPr="00701F32" w:rsidRDefault="008A0B88" w:rsidP="00136660">
            <w:pPr>
              <w:jc w:val="center"/>
              <w:rPr>
                <w:rFonts w:ascii="Arial" w:hAnsi="Arial" w:cs="Arial"/>
                <w:b/>
                <w:color w:val="000000"/>
                <w:sz w:val="14"/>
                <w:szCs w:val="14"/>
                <w:lang w:eastAsia="es-AR"/>
              </w:rPr>
            </w:pPr>
          </w:p>
        </w:tc>
        <w:tc>
          <w:tcPr>
            <w:tcW w:w="642" w:type="pct"/>
            <w:vMerge/>
            <w:tcBorders>
              <w:top w:val="single" w:sz="8" w:space="0" w:color="auto"/>
              <w:left w:val="single" w:sz="8" w:space="0" w:color="auto"/>
              <w:bottom w:val="single" w:sz="8" w:space="0" w:color="000000"/>
              <w:right w:val="single" w:sz="8" w:space="0" w:color="auto"/>
            </w:tcBorders>
            <w:vAlign w:val="center"/>
            <w:hideMark/>
          </w:tcPr>
          <w:p w14:paraId="0A546C41" w14:textId="77777777" w:rsidR="008A0B88" w:rsidRPr="00701F32" w:rsidRDefault="008A0B88" w:rsidP="00136660">
            <w:pPr>
              <w:jc w:val="center"/>
              <w:rPr>
                <w:rFonts w:ascii="Arial" w:hAnsi="Arial" w:cs="Arial"/>
                <w:b/>
                <w:color w:val="000000"/>
                <w:sz w:val="14"/>
                <w:szCs w:val="14"/>
                <w:lang w:eastAsia="es-AR"/>
              </w:rPr>
            </w:pPr>
          </w:p>
        </w:tc>
        <w:tc>
          <w:tcPr>
            <w:tcW w:w="431" w:type="pct"/>
            <w:tcBorders>
              <w:top w:val="nil"/>
              <w:left w:val="nil"/>
              <w:bottom w:val="single" w:sz="8" w:space="0" w:color="auto"/>
              <w:right w:val="single" w:sz="8" w:space="0" w:color="auto"/>
            </w:tcBorders>
            <w:shd w:val="clear" w:color="auto" w:fill="auto"/>
            <w:vAlign w:val="center"/>
            <w:hideMark/>
          </w:tcPr>
          <w:p w14:paraId="63C9A9F1" w14:textId="77777777" w:rsidR="008A0B88" w:rsidRPr="00701F32" w:rsidRDefault="008A0B88" w:rsidP="00A7675A">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3</w:t>
            </w:r>
            <w:r w:rsidR="00A7675A" w:rsidRPr="00701F32">
              <w:rPr>
                <w:rFonts w:ascii="Arial" w:hAnsi="Arial" w:cs="Arial"/>
                <w:b/>
                <w:color w:val="000000"/>
                <w:sz w:val="14"/>
                <w:szCs w:val="14"/>
                <w:lang w:eastAsia="es-AR"/>
              </w:rPr>
              <w:t>0</w:t>
            </w:r>
            <w:r w:rsidRPr="00701F32">
              <w:rPr>
                <w:rFonts w:ascii="Arial" w:hAnsi="Arial" w:cs="Arial"/>
                <w:b/>
                <w:color w:val="000000"/>
                <w:sz w:val="14"/>
                <w:szCs w:val="14"/>
                <w:lang w:eastAsia="es-AR"/>
              </w:rPr>
              <w:t>/0</w:t>
            </w:r>
            <w:r w:rsidR="00F53550" w:rsidRPr="00701F32">
              <w:rPr>
                <w:rFonts w:ascii="Arial" w:hAnsi="Arial" w:cs="Arial"/>
                <w:b/>
                <w:color w:val="000000"/>
                <w:sz w:val="14"/>
                <w:szCs w:val="14"/>
                <w:lang w:eastAsia="es-AR"/>
              </w:rPr>
              <w:t>9</w:t>
            </w:r>
            <w:r w:rsidRPr="00701F32">
              <w:rPr>
                <w:rFonts w:ascii="Arial" w:hAnsi="Arial" w:cs="Arial"/>
                <w:b/>
                <w:color w:val="000000"/>
                <w:sz w:val="14"/>
                <w:szCs w:val="14"/>
                <w:lang w:eastAsia="es-AR"/>
              </w:rPr>
              <w:t>/18</w:t>
            </w:r>
          </w:p>
        </w:tc>
        <w:tc>
          <w:tcPr>
            <w:tcW w:w="431" w:type="pct"/>
            <w:tcBorders>
              <w:top w:val="nil"/>
              <w:left w:val="nil"/>
              <w:bottom w:val="single" w:sz="8" w:space="0" w:color="auto"/>
              <w:right w:val="single" w:sz="8" w:space="0" w:color="auto"/>
            </w:tcBorders>
            <w:shd w:val="clear" w:color="auto" w:fill="auto"/>
            <w:vAlign w:val="center"/>
            <w:hideMark/>
          </w:tcPr>
          <w:p w14:paraId="4A896275"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31/12/17</w:t>
            </w:r>
          </w:p>
        </w:tc>
        <w:tc>
          <w:tcPr>
            <w:tcW w:w="432" w:type="pct"/>
            <w:tcBorders>
              <w:top w:val="nil"/>
              <w:left w:val="nil"/>
              <w:bottom w:val="single" w:sz="8" w:space="0" w:color="auto"/>
              <w:right w:val="single" w:sz="8" w:space="0" w:color="auto"/>
            </w:tcBorders>
            <w:vAlign w:val="center"/>
          </w:tcPr>
          <w:p w14:paraId="13930F87" w14:textId="77777777" w:rsidR="008A0B88" w:rsidRPr="00701F32" w:rsidRDefault="008A0B88" w:rsidP="0013666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01/01/17</w:t>
            </w:r>
          </w:p>
        </w:tc>
      </w:tr>
      <w:tr w:rsidR="008A0B88" w:rsidRPr="00701F32" w14:paraId="20E39B93" w14:textId="77777777" w:rsidTr="00136660">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tcPr>
          <w:p w14:paraId="7C9B89F9"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6"/>
                <w:lang w:eastAsia="es-AR"/>
              </w:rPr>
              <w:t>20/11/15</w:t>
            </w:r>
          </w:p>
        </w:tc>
        <w:tc>
          <w:tcPr>
            <w:tcW w:w="362" w:type="pct"/>
            <w:tcBorders>
              <w:top w:val="nil"/>
              <w:left w:val="nil"/>
              <w:bottom w:val="single" w:sz="8" w:space="0" w:color="auto"/>
              <w:right w:val="single" w:sz="8" w:space="0" w:color="auto"/>
            </w:tcBorders>
            <w:shd w:val="clear" w:color="auto" w:fill="auto"/>
            <w:noWrap/>
            <w:vAlign w:val="center"/>
          </w:tcPr>
          <w:p w14:paraId="76091D39"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nil"/>
              <w:left w:val="nil"/>
              <w:bottom w:val="single" w:sz="8" w:space="0" w:color="auto"/>
              <w:right w:val="single" w:sz="8" w:space="0" w:color="auto"/>
            </w:tcBorders>
            <w:shd w:val="clear" w:color="auto" w:fill="auto"/>
            <w:noWrap/>
            <w:vAlign w:val="center"/>
          </w:tcPr>
          <w:p w14:paraId="56B31901"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V</w:t>
            </w:r>
          </w:p>
        </w:tc>
        <w:tc>
          <w:tcPr>
            <w:tcW w:w="431" w:type="pct"/>
            <w:tcBorders>
              <w:top w:val="nil"/>
              <w:left w:val="nil"/>
              <w:bottom w:val="single" w:sz="8" w:space="0" w:color="auto"/>
              <w:right w:val="single" w:sz="8" w:space="0" w:color="auto"/>
            </w:tcBorders>
            <w:shd w:val="clear" w:color="auto" w:fill="auto"/>
            <w:noWrap/>
            <w:vAlign w:val="center"/>
          </w:tcPr>
          <w:p w14:paraId="2FD31A9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340.100</w:t>
            </w:r>
          </w:p>
        </w:tc>
        <w:tc>
          <w:tcPr>
            <w:tcW w:w="574" w:type="pct"/>
            <w:tcBorders>
              <w:top w:val="nil"/>
              <w:left w:val="nil"/>
              <w:bottom w:val="single" w:sz="8" w:space="0" w:color="auto"/>
              <w:right w:val="single" w:sz="8" w:space="0" w:color="auto"/>
            </w:tcBorders>
            <w:shd w:val="clear" w:color="auto" w:fill="auto"/>
            <w:vAlign w:val="center"/>
          </w:tcPr>
          <w:p w14:paraId="50B03440"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nil"/>
              <w:left w:val="nil"/>
              <w:bottom w:val="single" w:sz="8" w:space="0" w:color="auto"/>
              <w:right w:val="single" w:sz="8" w:space="0" w:color="auto"/>
            </w:tcBorders>
            <w:shd w:val="clear" w:color="auto" w:fill="auto"/>
            <w:noWrap/>
            <w:vAlign w:val="center"/>
          </w:tcPr>
          <w:p w14:paraId="12D15ED5"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18 Meses</w:t>
            </w:r>
          </w:p>
        </w:tc>
        <w:tc>
          <w:tcPr>
            <w:tcW w:w="507" w:type="pct"/>
            <w:tcBorders>
              <w:top w:val="nil"/>
              <w:left w:val="nil"/>
              <w:bottom w:val="single" w:sz="8" w:space="0" w:color="auto"/>
              <w:right w:val="single" w:sz="8" w:space="0" w:color="auto"/>
            </w:tcBorders>
            <w:shd w:val="clear" w:color="auto" w:fill="auto"/>
            <w:noWrap/>
            <w:vAlign w:val="center"/>
          </w:tcPr>
          <w:p w14:paraId="052FD438"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20/05/2017</w:t>
            </w:r>
          </w:p>
        </w:tc>
        <w:tc>
          <w:tcPr>
            <w:tcW w:w="642" w:type="pct"/>
            <w:tcBorders>
              <w:top w:val="nil"/>
              <w:left w:val="nil"/>
              <w:bottom w:val="single" w:sz="8" w:space="0" w:color="auto"/>
              <w:right w:val="single" w:sz="8" w:space="0" w:color="auto"/>
            </w:tcBorders>
            <w:shd w:val="clear" w:color="auto" w:fill="auto"/>
            <w:vAlign w:val="center"/>
          </w:tcPr>
          <w:p w14:paraId="16ED1CB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Flotante Badlar de Bancos Privados + 4.50%</w:t>
            </w:r>
          </w:p>
        </w:tc>
        <w:tc>
          <w:tcPr>
            <w:tcW w:w="431" w:type="pct"/>
            <w:tcBorders>
              <w:top w:val="nil"/>
              <w:left w:val="nil"/>
              <w:bottom w:val="single" w:sz="8" w:space="0" w:color="auto"/>
              <w:right w:val="single" w:sz="8" w:space="0" w:color="auto"/>
            </w:tcBorders>
            <w:shd w:val="clear" w:color="auto" w:fill="auto"/>
            <w:noWrap/>
            <w:vAlign w:val="center"/>
          </w:tcPr>
          <w:p w14:paraId="2173976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1" w:type="pct"/>
            <w:tcBorders>
              <w:top w:val="nil"/>
              <w:left w:val="nil"/>
              <w:bottom w:val="single" w:sz="8" w:space="0" w:color="auto"/>
              <w:right w:val="single" w:sz="8" w:space="0" w:color="auto"/>
            </w:tcBorders>
            <w:shd w:val="clear" w:color="auto" w:fill="auto"/>
            <w:noWrap/>
            <w:vAlign w:val="center"/>
          </w:tcPr>
          <w:p w14:paraId="6A846571"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2" w:type="pct"/>
            <w:tcBorders>
              <w:top w:val="nil"/>
              <w:left w:val="nil"/>
              <w:bottom w:val="single" w:sz="8" w:space="0" w:color="auto"/>
              <w:right w:val="single" w:sz="8" w:space="0" w:color="auto"/>
            </w:tcBorders>
            <w:vAlign w:val="center"/>
          </w:tcPr>
          <w:p w14:paraId="74349922"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349.461</w:t>
            </w:r>
          </w:p>
        </w:tc>
      </w:tr>
      <w:tr w:rsidR="008A0B88" w:rsidRPr="00701F32" w14:paraId="533CA799" w14:textId="77777777" w:rsidTr="00136660">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56D4115F"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4"/>
                <w:lang w:eastAsia="es-AR"/>
              </w:rPr>
              <w:t>12/10/16</w:t>
            </w:r>
          </w:p>
        </w:tc>
        <w:tc>
          <w:tcPr>
            <w:tcW w:w="362" w:type="pct"/>
            <w:tcBorders>
              <w:top w:val="nil"/>
              <w:left w:val="nil"/>
              <w:bottom w:val="single" w:sz="8" w:space="0" w:color="auto"/>
              <w:right w:val="single" w:sz="8" w:space="0" w:color="auto"/>
            </w:tcBorders>
            <w:shd w:val="clear" w:color="auto" w:fill="auto"/>
            <w:noWrap/>
            <w:vAlign w:val="center"/>
            <w:hideMark/>
          </w:tcPr>
          <w:p w14:paraId="20AB417B"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64FBC899"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VI</w:t>
            </w:r>
          </w:p>
        </w:tc>
        <w:tc>
          <w:tcPr>
            <w:tcW w:w="431" w:type="pct"/>
            <w:tcBorders>
              <w:top w:val="nil"/>
              <w:left w:val="nil"/>
              <w:bottom w:val="single" w:sz="8" w:space="0" w:color="auto"/>
              <w:right w:val="single" w:sz="8" w:space="0" w:color="auto"/>
            </w:tcBorders>
            <w:shd w:val="clear" w:color="auto" w:fill="auto"/>
            <w:noWrap/>
            <w:vAlign w:val="center"/>
            <w:hideMark/>
          </w:tcPr>
          <w:p w14:paraId="2A4B8946"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422.000</w:t>
            </w:r>
          </w:p>
        </w:tc>
        <w:tc>
          <w:tcPr>
            <w:tcW w:w="574" w:type="pct"/>
            <w:tcBorders>
              <w:top w:val="nil"/>
              <w:left w:val="nil"/>
              <w:bottom w:val="single" w:sz="8" w:space="0" w:color="auto"/>
              <w:right w:val="single" w:sz="8" w:space="0" w:color="auto"/>
            </w:tcBorders>
            <w:shd w:val="clear" w:color="auto" w:fill="auto"/>
            <w:vAlign w:val="center"/>
            <w:hideMark/>
          </w:tcPr>
          <w:p w14:paraId="2EDE074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16CA78F4"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24 Meses</w:t>
            </w:r>
          </w:p>
        </w:tc>
        <w:tc>
          <w:tcPr>
            <w:tcW w:w="507" w:type="pct"/>
            <w:tcBorders>
              <w:top w:val="nil"/>
              <w:left w:val="nil"/>
              <w:bottom w:val="single" w:sz="8" w:space="0" w:color="auto"/>
              <w:right w:val="single" w:sz="8" w:space="0" w:color="auto"/>
            </w:tcBorders>
            <w:shd w:val="clear" w:color="auto" w:fill="auto"/>
            <w:noWrap/>
            <w:vAlign w:val="center"/>
            <w:hideMark/>
          </w:tcPr>
          <w:p w14:paraId="708EDEA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12/10/2018</w:t>
            </w:r>
          </w:p>
        </w:tc>
        <w:tc>
          <w:tcPr>
            <w:tcW w:w="642" w:type="pct"/>
            <w:tcBorders>
              <w:top w:val="nil"/>
              <w:left w:val="nil"/>
              <w:bottom w:val="single" w:sz="8" w:space="0" w:color="auto"/>
              <w:right w:val="single" w:sz="8" w:space="0" w:color="auto"/>
            </w:tcBorders>
            <w:shd w:val="clear" w:color="auto" w:fill="auto"/>
            <w:vAlign w:val="center"/>
            <w:hideMark/>
          </w:tcPr>
          <w:p w14:paraId="3400F82D"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+ 3.50%</w:t>
            </w:r>
          </w:p>
        </w:tc>
        <w:tc>
          <w:tcPr>
            <w:tcW w:w="431" w:type="pct"/>
            <w:tcBorders>
              <w:top w:val="nil"/>
              <w:left w:val="nil"/>
              <w:bottom w:val="single" w:sz="8" w:space="0" w:color="auto"/>
              <w:right w:val="single" w:sz="8" w:space="0" w:color="auto"/>
            </w:tcBorders>
            <w:shd w:val="clear" w:color="auto" w:fill="auto"/>
            <w:noWrap/>
            <w:vAlign w:val="center"/>
            <w:hideMark/>
          </w:tcPr>
          <w:p w14:paraId="243D96B7" w14:textId="2A9FAEAB" w:rsidR="008A0B88" w:rsidRPr="00701F32" w:rsidRDefault="008F0273" w:rsidP="00A7675A">
            <w:pPr>
              <w:jc w:val="right"/>
              <w:rPr>
                <w:rFonts w:ascii="Arial" w:hAnsi="Arial" w:cs="Arial"/>
                <w:color w:val="000000"/>
                <w:sz w:val="14"/>
                <w:szCs w:val="14"/>
                <w:lang w:eastAsia="es-AR"/>
              </w:rPr>
            </w:pPr>
            <w:r w:rsidRPr="00701F32">
              <w:rPr>
                <w:rFonts w:ascii="Arial" w:hAnsi="Arial" w:cs="Arial"/>
                <w:color w:val="000000"/>
                <w:sz w:val="14"/>
                <w:szCs w:val="14"/>
                <w:lang w:eastAsia="es-AR"/>
              </w:rPr>
              <w:t>454.790</w:t>
            </w:r>
          </w:p>
        </w:tc>
        <w:tc>
          <w:tcPr>
            <w:tcW w:w="431" w:type="pct"/>
            <w:tcBorders>
              <w:top w:val="nil"/>
              <w:left w:val="nil"/>
              <w:bottom w:val="single" w:sz="8" w:space="0" w:color="auto"/>
              <w:right w:val="single" w:sz="8" w:space="0" w:color="auto"/>
            </w:tcBorders>
            <w:shd w:val="clear" w:color="auto" w:fill="auto"/>
            <w:noWrap/>
            <w:vAlign w:val="center"/>
            <w:hideMark/>
          </w:tcPr>
          <w:p w14:paraId="69CB9F1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445.673</w:t>
            </w:r>
          </w:p>
        </w:tc>
        <w:tc>
          <w:tcPr>
            <w:tcW w:w="432" w:type="pct"/>
            <w:tcBorders>
              <w:top w:val="nil"/>
              <w:left w:val="nil"/>
              <w:bottom w:val="single" w:sz="8" w:space="0" w:color="auto"/>
              <w:right w:val="single" w:sz="8" w:space="0" w:color="auto"/>
            </w:tcBorders>
            <w:vAlign w:val="center"/>
          </w:tcPr>
          <w:p w14:paraId="43A2AFBC"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443.574</w:t>
            </w:r>
          </w:p>
        </w:tc>
      </w:tr>
      <w:tr w:rsidR="008A0B88" w:rsidRPr="00701F32" w14:paraId="1336CA7E" w14:textId="77777777" w:rsidTr="00136660">
        <w:trPr>
          <w:trHeight w:val="538"/>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8F66C6D"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6"/>
                <w:lang w:eastAsia="es-AR"/>
              </w:rPr>
              <w:t>17/11/16</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00AA7542"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2661086B"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VII</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738CC77D"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269.100</w:t>
            </w:r>
          </w:p>
        </w:tc>
        <w:tc>
          <w:tcPr>
            <w:tcW w:w="574" w:type="pct"/>
            <w:tcBorders>
              <w:top w:val="single" w:sz="8" w:space="0" w:color="auto"/>
              <w:left w:val="nil"/>
              <w:bottom w:val="single" w:sz="8" w:space="0" w:color="auto"/>
              <w:right w:val="single" w:sz="8" w:space="0" w:color="auto"/>
            </w:tcBorders>
            <w:shd w:val="clear" w:color="auto" w:fill="auto"/>
            <w:vAlign w:val="center"/>
          </w:tcPr>
          <w:p w14:paraId="7ACDEAD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48B786B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12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43B8B68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17/11/2017</w:t>
            </w:r>
          </w:p>
        </w:tc>
        <w:tc>
          <w:tcPr>
            <w:tcW w:w="642" w:type="pct"/>
            <w:tcBorders>
              <w:top w:val="single" w:sz="8" w:space="0" w:color="auto"/>
              <w:left w:val="nil"/>
              <w:bottom w:val="single" w:sz="8" w:space="0" w:color="auto"/>
              <w:right w:val="single" w:sz="8" w:space="0" w:color="auto"/>
            </w:tcBorders>
            <w:shd w:val="clear" w:color="auto" w:fill="auto"/>
            <w:vAlign w:val="center"/>
          </w:tcPr>
          <w:p w14:paraId="203F7040"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Flotante Badlar, de Bancos Privados + 3.50%</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3CC20FDB"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7BE71EC5"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2" w:type="pct"/>
            <w:tcBorders>
              <w:top w:val="single" w:sz="8" w:space="0" w:color="auto"/>
              <w:left w:val="nil"/>
              <w:bottom w:val="single" w:sz="8" w:space="0" w:color="auto"/>
              <w:right w:val="single" w:sz="8" w:space="0" w:color="auto"/>
            </w:tcBorders>
            <w:vAlign w:val="center"/>
          </w:tcPr>
          <w:p w14:paraId="6C94601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276.816</w:t>
            </w:r>
          </w:p>
        </w:tc>
      </w:tr>
      <w:tr w:rsidR="008A0B88" w:rsidRPr="00701F32" w14:paraId="7C2B9FEB" w14:textId="77777777" w:rsidTr="00136660">
        <w:trPr>
          <w:trHeight w:val="538"/>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802F48D"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6"/>
                <w:lang w:eastAsia="es-AR"/>
              </w:rPr>
              <w:t>06/10/15</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646CA893"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378C0A10"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IX</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126AC88E"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88.750</w:t>
            </w:r>
          </w:p>
        </w:tc>
        <w:tc>
          <w:tcPr>
            <w:tcW w:w="574" w:type="pct"/>
            <w:tcBorders>
              <w:top w:val="single" w:sz="8" w:space="0" w:color="auto"/>
              <w:left w:val="nil"/>
              <w:bottom w:val="single" w:sz="8" w:space="0" w:color="auto"/>
              <w:right w:val="single" w:sz="8" w:space="0" w:color="auto"/>
            </w:tcBorders>
            <w:shd w:val="clear" w:color="auto" w:fill="auto"/>
            <w:vAlign w:val="center"/>
          </w:tcPr>
          <w:p w14:paraId="259CA0A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04CC72A0"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18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325627F0"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06/04/2017</w:t>
            </w:r>
          </w:p>
        </w:tc>
        <w:tc>
          <w:tcPr>
            <w:tcW w:w="642" w:type="pct"/>
            <w:tcBorders>
              <w:top w:val="single" w:sz="8" w:space="0" w:color="auto"/>
              <w:left w:val="nil"/>
              <w:bottom w:val="single" w:sz="8" w:space="0" w:color="auto"/>
              <w:right w:val="single" w:sz="8" w:space="0" w:color="auto"/>
            </w:tcBorders>
            <w:shd w:val="clear" w:color="auto" w:fill="auto"/>
            <w:vAlign w:val="center"/>
          </w:tcPr>
          <w:p w14:paraId="2E46E46D"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Variable TNA 5,95% + BADLAR</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70B5F2F3"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0F364DD0"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2" w:type="pct"/>
            <w:tcBorders>
              <w:top w:val="single" w:sz="8" w:space="0" w:color="auto"/>
              <w:left w:val="nil"/>
              <w:bottom w:val="single" w:sz="8" w:space="0" w:color="auto"/>
              <w:right w:val="single" w:sz="8" w:space="0" w:color="auto"/>
            </w:tcBorders>
            <w:vAlign w:val="center"/>
          </w:tcPr>
          <w:p w14:paraId="3153F00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94.484</w:t>
            </w:r>
          </w:p>
        </w:tc>
      </w:tr>
      <w:tr w:rsidR="008A0B88" w:rsidRPr="00701F32" w14:paraId="1003B7C9" w14:textId="77777777" w:rsidTr="00136660">
        <w:trPr>
          <w:trHeight w:val="538"/>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0A2EBBD"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6"/>
                <w:lang w:eastAsia="es-AR"/>
              </w:rPr>
              <w:t>19/05/16</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753A84C1"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6103CACF"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X</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69885A36"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199.000</w:t>
            </w:r>
          </w:p>
        </w:tc>
        <w:tc>
          <w:tcPr>
            <w:tcW w:w="574" w:type="pct"/>
            <w:tcBorders>
              <w:top w:val="single" w:sz="8" w:space="0" w:color="auto"/>
              <w:left w:val="nil"/>
              <w:bottom w:val="single" w:sz="8" w:space="0" w:color="auto"/>
              <w:right w:val="single" w:sz="8" w:space="0" w:color="auto"/>
            </w:tcBorders>
            <w:shd w:val="clear" w:color="auto" w:fill="auto"/>
            <w:vAlign w:val="center"/>
          </w:tcPr>
          <w:p w14:paraId="2EF9C2D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3EB4FAFD"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18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400D94ED"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19/11/2017</w:t>
            </w:r>
          </w:p>
        </w:tc>
        <w:tc>
          <w:tcPr>
            <w:tcW w:w="642" w:type="pct"/>
            <w:tcBorders>
              <w:top w:val="single" w:sz="8" w:space="0" w:color="auto"/>
              <w:left w:val="nil"/>
              <w:bottom w:val="single" w:sz="8" w:space="0" w:color="auto"/>
              <w:right w:val="single" w:sz="8" w:space="0" w:color="auto"/>
            </w:tcBorders>
            <w:shd w:val="clear" w:color="auto" w:fill="auto"/>
            <w:vAlign w:val="center"/>
          </w:tcPr>
          <w:p w14:paraId="641719D8"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Variable TNA 5,50% + BADLAR</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654753D3"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7C67B61E"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2" w:type="pct"/>
            <w:tcBorders>
              <w:top w:val="single" w:sz="8" w:space="0" w:color="auto"/>
              <w:left w:val="nil"/>
              <w:bottom w:val="single" w:sz="8" w:space="0" w:color="auto"/>
              <w:right w:val="single" w:sz="8" w:space="0" w:color="auto"/>
            </w:tcBorders>
            <w:vAlign w:val="center"/>
          </w:tcPr>
          <w:p w14:paraId="31C28F6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197.678</w:t>
            </w:r>
          </w:p>
        </w:tc>
      </w:tr>
      <w:tr w:rsidR="008A0B88" w:rsidRPr="00701F32" w14:paraId="04FAA128" w14:textId="77777777" w:rsidTr="00136660">
        <w:trPr>
          <w:trHeight w:val="538"/>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AE664B"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4"/>
                <w:lang w:eastAsia="es-AR"/>
              </w:rPr>
              <w:t>25/10/16</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2974801"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hideMark/>
          </w:tcPr>
          <w:p w14:paraId="70B21278"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XI</w:t>
            </w:r>
          </w:p>
        </w:tc>
        <w:tc>
          <w:tcPr>
            <w:tcW w:w="431" w:type="pct"/>
            <w:tcBorders>
              <w:top w:val="single" w:sz="8" w:space="0" w:color="auto"/>
              <w:left w:val="nil"/>
              <w:bottom w:val="single" w:sz="8" w:space="0" w:color="auto"/>
              <w:right w:val="single" w:sz="8" w:space="0" w:color="auto"/>
            </w:tcBorders>
            <w:shd w:val="clear" w:color="auto" w:fill="auto"/>
            <w:noWrap/>
            <w:vAlign w:val="center"/>
            <w:hideMark/>
          </w:tcPr>
          <w:p w14:paraId="7A7B8A10"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200.000</w:t>
            </w:r>
          </w:p>
        </w:tc>
        <w:tc>
          <w:tcPr>
            <w:tcW w:w="574" w:type="pct"/>
            <w:tcBorders>
              <w:top w:val="single" w:sz="8" w:space="0" w:color="auto"/>
              <w:left w:val="nil"/>
              <w:bottom w:val="single" w:sz="8" w:space="0" w:color="auto"/>
              <w:right w:val="single" w:sz="8" w:space="0" w:color="auto"/>
            </w:tcBorders>
            <w:shd w:val="clear" w:color="auto" w:fill="auto"/>
            <w:vAlign w:val="center"/>
            <w:hideMark/>
          </w:tcPr>
          <w:p w14:paraId="706C8D68"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hideMark/>
          </w:tcPr>
          <w:p w14:paraId="0F79C9E4"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17 Meses</w:t>
            </w:r>
          </w:p>
        </w:tc>
        <w:tc>
          <w:tcPr>
            <w:tcW w:w="507" w:type="pct"/>
            <w:tcBorders>
              <w:top w:val="single" w:sz="8" w:space="0" w:color="auto"/>
              <w:left w:val="nil"/>
              <w:bottom w:val="single" w:sz="8" w:space="0" w:color="auto"/>
              <w:right w:val="single" w:sz="8" w:space="0" w:color="auto"/>
            </w:tcBorders>
            <w:shd w:val="clear" w:color="auto" w:fill="auto"/>
            <w:noWrap/>
            <w:vAlign w:val="center"/>
            <w:hideMark/>
          </w:tcPr>
          <w:p w14:paraId="4E42F416"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24/04/2018</w:t>
            </w:r>
          </w:p>
        </w:tc>
        <w:tc>
          <w:tcPr>
            <w:tcW w:w="642" w:type="pct"/>
            <w:tcBorders>
              <w:top w:val="single" w:sz="8" w:space="0" w:color="auto"/>
              <w:left w:val="nil"/>
              <w:bottom w:val="single" w:sz="8" w:space="0" w:color="auto"/>
              <w:right w:val="single" w:sz="8" w:space="0" w:color="auto"/>
            </w:tcBorders>
            <w:shd w:val="clear" w:color="auto" w:fill="auto"/>
            <w:vAlign w:val="center"/>
            <w:hideMark/>
          </w:tcPr>
          <w:p w14:paraId="799ADC0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Variable TNA 3,57% + BADLAR</w:t>
            </w:r>
          </w:p>
        </w:tc>
        <w:tc>
          <w:tcPr>
            <w:tcW w:w="431" w:type="pct"/>
            <w:tcBorders>
              <w:top w:val="single" w:sz="8" w:space="0" w:color="auto"/>
              <w:left w:val="nil"/>
              <w:bottom w:val="single" w:sz="8" w:space="0" w:color="auto"/>
              <w:right w:val="single" w:sz="8" w:space="0" w:color="auto"/>
            </w:tcBorders>
            <w:shd w:val="clear" w:color="auto" w:fill="auto"/>
            <w:noWrap/>
            <w:vAlign w:val="center"/>
            <w:hideMark/>
          </w:tcPr>
          <w:p w14:paraId="44F842A0" w14:textId="77777777" w:rsidR="008A0B88" w:rsidRPr="00701F32" w:rsidRDefault="00A7675A"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hideMark/>
          </w:tcPr>
          <w:p w14:paraId="0320C99F"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209.782</w:t>
            </w:r>
          </w:p>
        </w:tc>
        <w:tc>
          <w:tcPr>
            <w:tcW w:w="432" w:type="pct"/>
            <w:tcBorders>
              <w:top w:val="single" w:sz="8" w:space="0" w:color="auto"/>
              <w:left w:val="nil"/>
              <w:bottom w:val="single" w:sz="8" w:space="0" w:color="auto"/>
              <w:right w:val="single" w:sz="8" w:space="0" w:color="auto"/>
            </w:tcBorders>
            <w:vAlign w:val="center"/>
          </w:tcPr>
          <w:p w14:paraId="1BE395E8"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209.967</w:t>
            </w:r>
          </w:p>
        </w:tc>
      </w:tr>
      <w:tr w:rsidR="008A0B88" w:rsidRPr="00701F32" w14:paraId="5853EF43" w14:textId="77777777" w:rsidTr="00393CEB">
        <w:trPr>
          <w:trHeight w:val="492"/>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E0524AB"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6"/>
                <w:lang w:eastAsia="es-AR"/>
              </w:rPr>
              <w:t>23/12</w:t>
            </w:r>
            <w:r w:rsidR="00E90D28" w:rsidRPr="00701F32">
              <w:rPr>
                <w:rFonts w:ascii="Arial" w:hAnsi="Arial" w:cs="Arial"/>
                <w:color w:val="000000"/>
                <w:sz w:val="14"/>
                <w:szCs w:val="16"/>
                <w:lang w:eastAsia="es-AR"/>
              </w:rPr>
              <w:t>/</w:t>
            </w:r>
            <w:r w:rsidRPr="00701F32">
              <w:rPr>
                <w:rFonts w:ascii="Arial" w:hAnsi="Arial" w:cs="Arial"/>
                <w:color w:val="000000"/>
                <w:sz w:val="14"/>
                <w:szCs w:val="16"/>
                <w:lang w:eastAsia="es-AR"/>
              </w:rPr>
              <w:t>16</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465C833F"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6623DA88"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6"/>
                <w:lang w:eastAsia="es-AR"/>
              </w:rPr>
              <w:t>XII</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08837AA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154.214</w:t>
            </w:r>
          </w:p>
        </w:tc>
        <w:tc>
          <w:tcPr>
            <w:tcW w:w="574" w:type="pct"/>
            <w:tcBorders>
              <w:top w:val="single" w:sz="8" w:space="0" w:color="auto"/>
              <w:left w:val="nil"/>
              <w:bottom w:val="single" w:sz="8" w:space="0" w:color="auto"/>
              <w:right w:val="single" w:sz="8" w:space="0" w:color="auto"/>
            </w:tcBorders>
            <w:shd w:val="clear" w:color="auto" w:fill="auto"/>
            <w:vAlign w:val="center"/>
          </w:tcPr>
          <w:p w14:paraId="3705646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64E9E0C4"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12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7B60AA1F"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23/12/2017</w:t>
            </w:r>
          </w:p>
        </w:tc>
        <w:tc>
          <w:tcPr>
            <w:tcW w:w="642" w:type="pct"/>
            <w:tcBorders>
              <w:top w:val="single" w:sz="8" w:space="0" w:color="auto"/>
              <w:left w:val="nil"/>
              <w:bottom w:val="single" w:sz="8" w:space="0" w:color="auto"/>
              <w:right w:val="single" w:sz="8" w:space="0" w:color="auto"/>
            </w:tcBorders>
            <w:shd w:val="clear" w:color="auto" w:fill="auto"/>
            <w:vAlign w:val="center"/>
          </w:tcPr>
          <w:p w14:paraId="466B6F2E"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6"/>
                <w:lang w:eastAsia="es-AR"/>
              </w:rPr>
              <w:t>Fija 24,90%</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229524BC"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4EAEFEC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432" w:type="pct"/>
            <w:tcBorders>
              <w:top w:val="single" w:sz="8" w:space="0" w:color="auto"/>
              <w:left w:val="nil"/>
              <w:bottom w:val="single" w:sz="8" w:space="0" w:color="auto"/>
              <w:right w:val="single" w:sz="8" w:space="0" w:color="auto"/>
            </w:tcBorders>
            <w:vAlign w:val="center"/>
          </w:tcPr>
          <w:p w14:paraId="2A715198"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6"/>
                <w:lang w:eastAsia="es-AR"/>
              </w:rPr>
              <w:t>155.897</w:t>
            </w:r>
          </w:p>
        </w:tc>
      </w:tr>
      <w:tr w:rsidR="008A0B88" w:rsidRPr="00701F32" w14:paraId="14F339B0" w14:textId="77777777" w:rsidTr="00393CEB">
        <w:trPr>
          <w:trHeight w:val="414"/>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70EBC47" w14:textId="77777777" w:rsidR="008A0B88" w:rsidRPr="00701F32" w:rsidRDefault="008A0B88" w:rsidP="005819B2">
            <w:pPr>
              <w:jc w:val="center"/>
              <w:rPr>
                <w:rFonts w:ascii="Arial" w:hAnsi="Arial" w:cs="Arial"/>
                <w:color w:val="000000"/>
                <w:sz w:val="14"/>
                <w:szCs w:val="14"/>
                <w:lang w:eastAsia="es-AR"/>
              </w:rPr>
            </w:pPr>
            <w:r w:rsidRPr="00701F32">
              <w:rPr>
                <w:rFonts w:ascii="Arial" w:hAnsi="Arial" w:cs="Arial"/>
                <w:color w:val="000000"/>
                <w:sz w:val="14"/>
                <w:szCs w:val="14"/>
                <w:lang w:eastAsia="es-AR"/>
              </w:rPr>
              <w:t>23/12/16</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7B59A896"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39A5768F"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XIII</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1BC20D5D"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151.429</w:t>
            </w:r>
          </w:p>
        </w:tc>
        <w:tc>
          <w:tcPr>
            <w:tcW w:w="574" w:type="pct"/>
            <w:tcBorders>
              <w:top w:val="single" w:sz="8" w:space="0" w:color="auto"/>
              <w:left w:val="nil"/>
              <w:bottom w:val="single" w:sz="8" w:space="0" w:color="auto"/>
              <w:right w:val="single" w:sz="8" w:space="0" w:color="auto"/>
            </w:tcBorders>
            <w:shd w:val="clear" w:color="auto" w:fill="auto"/>
            <w:vAlign w:val="center"/>
          </w:tcPr>
          <w:p w14:paraId="7E877236"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2D35821F"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18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78CDA684"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23/06/2018</w:t>
            </w:r>
          </w:p>
        </w:tc>
        <w:tc>
          <w:tcPr>
            <w:tcW w:w="642" w:type="pct"/>
            <w:tcBorders>
              <w:top w:val="single" w:sz="8" w:space="0" w:color="auto"/>
              <w:left w:val="nil"/>
              <w:bottom w:val="single" w:sz="8" w:space="0" w:color="auto"/>
              <w:right w:val="single" w:sz="8" w:space="0" w:color="auto"/>
            </w:tcBorders>
            <w:shd w:val="clear" w:color="auto" w:fill="auto"/>
            <w:vAlign w:val="center"/>
          </w:tcPr>
          <w:p w14:paraId="047A0C32"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Variable TNA 4,00% + BADLAR</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59327F8D" w14:textId="77777777" w:rsidR="008A0B88" w:rsidRPr="00701F32" w:rsidRDefault="00A7675A"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01543691"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152.451</w:t>
            </w:r>
          </w:p>
        </w:tc>
        <w:tc>
          <w:tcPr>
            <w:tcW w:w="432" w:type="pct"/>
            <w:tcBorders>
              <w:top w:val="single" w:sz="8" w:space="0" w:color="auto"/>
              <w:left w:val="nil"/>
              <w:bottom w:val="single" w:sz="8" w:space="0" w:color="auto"/>
              <w:right w:val="single" w:sz="8" w:space="0" w:color="auto"/>
            </w:tcBorders>
            <w:vAlign w:val="center"/>
          </w:tcPr>
          <w:p w14:paraId="16BE1333"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153.105</w:t>
            </w:r>
          </w:p>
        </w:tc>
      </w:tr>
      <w:tr w:rsidR="008A0B88" w:rsidRPr="00701F32" w14:paraId="6B1947D0" w14:textId="77777777" w:rsidTr="0013666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51F8CFB8" w14:textId="77777777" w:rsidR="008A0B88" w:rsidRPr="00701F32" w:rsidRDefault="008A0B88">
            <w:pPr>
              <w:jc w:val="center"/>
              <w:rPr>
                <w:rFonts w:ascii="Arial" w:hAnsi="Arial" w:cs="Arial"/>
                <w:color w:val="000000"/>
                <w:sz w:val="14"/>
                <w:szCs w:val="14"/>
                <w:lang w:eastAsia="es-AR"/>
              </w:rPr>
            </w:pPr>
            <w:r w:rsidRPr="00701F32">
              <w:rPr>
                <w:rFonts w:ascii="Arial" w:hAnsi="Arial" w:cs="Arial"/>
                <w:color w:val="000000"/>
                <w:sz w:val="14"/>
                <w:szCs w:val="14"/>
                <w:lang w:eastAsia="es-AR"/>
              </w:rPr>
              <w:t>11/05/17</w:t>
            </w:r>
          </w:p>
        </w:tc>
        <w:tc>
          <w:tcPr>
            <w:tcW w:w="362" w:type="pct"/>
            <w:tcBorders>
              <w:top w:val="nil"/>
              <w:left w:val="nil"/>
              <w:bottom w:val="single" w:sz="8" w:space="0" w:color="auto"/>
              <w:right w:val="single" w:sz="8" w:space="0" w:color="auto"/>
            </w:tcBorders>
            <w:shd w:val="clear" w:color="auto" w:fill="auto"/>
            <w:noWrap/>
            <w:vAlign w:val="center"/>
            <w:hideMark/>
          </w:tcPr>
          <w:p w14:paraId="51459F92"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77077E66"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XIV</w:t>
            </w:r>
          </w:p>
        </w:tc>
        <w:tc>
          <w:tcPr>
            <w:tcW w:w="431" w:type="pct"/>
            <w:tcBorders>
              <w:top w:val="nil"/>
              <w:left w:val="nil"/>
              <w:bottom w:val="single" w:sz="8" w:space="0" w:color="auto"/>
              <w:right w:val="single" w:sz="8" w:space="0" w:color="auto"/>
            </w:tcBorders>
            <w:shd w:val="clear" w:color="auto" w:fill="auto"/>
            <w:noWrap/>
            <w:vAlign w:val="center"/>
            <w:hideMark/>
          </w:tcPr>
          <w:p w14:paraId="75891180" w14:textId="24B74C04" w:rsidR="008A0B88" w:rsidRPr="00701F32" w:rsidRDefault="009F020F"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440.000</w:t>
            </w:r>
          </w:p>
        </w:tc>
        <w:tc>
          <w:tcPr>
            <w:tcW w:w="574" w:type="pct"/>
            <w:tcBorders>
              <w:top w:val="nil"/>
              <w:left w:val="nil"/>
              <w:bottom w:val="single" w:sz="8" w:space="0" w:color="auto"/>
              <w:right w:val="single" w:sz="8" w:space="0" w:color="auto"/>
            </w:tcBorders>
            <w:shd w:val="clear" w:color="auto" w:fill="auto"/>
            <w:vAlign w:val="center"/>
            <w:hideMark/>
          </w:tcPr>
          <w:p w14:paraId="267164D8"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67368A5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24 Meses</w:t>
            </w:r>
          </w:p>
        </w:tc>
        <w:tc>
          <w:tcPr>
            <w:tcW w:w="507" w:type="pct"/>
            <w:tcBorders>
              <w:top w:val="nil"/>
              <w:left w:val="nil"/>
              <w:bottom w:val="single" w:sz="8" w:space="0" w:color="auto"/>
              <w:right w:val="single" w:sz="8" w:space="0" w:color="auto"/>
            </w:tcBorders>
            <w:shd w:val="clear" w:color="auto" w:fill="auto"/>
            <w:noWrap/>
            <w:vAlign w:val="center"/>
            <w:hideMark/>
          </w:tcPr>
          <w:p w14:paraId="3266C7B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11/05/2019</w:t>
            </w:r>
          </w:p>
        </w:tc>
        <w:tc>
          <w:tcPr>
            <w:tcW w:w="642" w:type="pct"/>
            <w:tcBorders>
              <w:top w:val="nil"/>
              <w:left w:val="nil"/>
              <w:bottom w:val="single" w:sz="8" w:space="0" w:color="auto"/>
              <w:right w:val="single" w:sz="8" w:space="0" w:color="auto"/>
            </w:tcBorders>
            <w:shd w:val="clear" w:color="auto" w:fill="auto"/>
            <w:vAlign w:val="center"/>
            <w:hideMark/>
          </w:tcPr>
          <w:p w14:paraId="2C0948BF"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 xml:space="preserve">Variable TNA 3,50% + BADLAR </w:t>
            </w:r>
          </w:p>
        </w:tc>
        <w:tc>
          <w:tcPr>
            <w:tcW w:w="431" w:type="pct"/>
            <w:tcBorders>
              <w:top w:val="nil"/>
              <w:left w:val="nil"/>
              <w:bottom w:val="single" w:sz="8" w:space="0" w:color="auto"/>
              <w:right w:val="single" w:sz="8" w:space="0" w:color="auto"/>
            </w:tcBorders>
            <w:shd w:val="clear" w:color="auto" w:fill="auto"/>
            <w:noWrap/>
            <w:vAlign w:val="center"/>
            <w:hideMark/>
          </w:tcPr>
          <w:p w14:paraId="7B388BDE" w14:textId="4AFC9BBB" w:rsidR="008A0B88" w:rsidRPr="00701F32" w:rsidRDefault="008F0273" w:rsidP="006912D8">
            <w:pPr>
              <w:ind w:left="709" w:hanging="709"/>
              <w:jc w:val="right"/>
              <w:rPr>
                <w:rFonts w:ascii="Arial" w:hAnsi="Arial" w:cs="Arial"/>
                <w:color w:val="000000"/>
                <w:sz w:val="14"/>
                <w:szCs w:val="14"/>
                <w:lang w:eastAsia="es-AR"/>
              </w:rPr>
            </w:pPr>
            <w:r w:rsidRPr="00701F32">
              <w:rPr>
                <w:rFonts w:ascii="Arial" w:hAnsi="Arial" w:cs="Arial"/>
                <w:color w:val="000000"/>
                <w:sz w:val="14"/>
                <w:szCs w:val="14"/>
                <w:lang w:eastAsia="es-AR"/>
              </w:rPr>
              <w:t>450</w:t>
            </w:r>
            <w:r w:rsidR="006470AD" w:rsidRPr="00701F32">
              <w:rPr>
                <w:rFonts w:ascii="Arial" w:hAnsi="Arial" w:cs="Arial"/>
                <w:color w:val="000000"/>
                <w:sz w:val="14"/>
                <w:szCs w:val="14"/>
                <w:lang w:eastAsia="es-AR"/>
              </w:rPr>
              <w:t>.</w:t>
            </w:r>
            <w:r w:rsidRPr="00701F32">
              <w:rPr>
                <w:rFonts w:ascii="Arial" w:hAnsi="Arial" w:cs="Arial"/>
                <w:color w:val="000000"/>
                <w:sz w:val="14"/>
                <w:szCs w:val="14"/>
                <w:lang w:eastAsia="es-AR"/>
              </w:rPr>
              <w:t>865</w:t>
            </w:r>
          </w:p>
        </w:tc>
        <w:tc>
          <w:tcPr>
            <w:tcW w:w="431" w:type="pct"/>
            <w:tcBorders>
              <w:top w:val="nil"/>
              <w:left w:val="nil"/>
              <w:bottom w:val="single" w:sz="8" w:space="0" w:color="auto"/>
              <w:right w:val="single" w:sz="8" w:space="0" w:color="auto"/>
            </w:tcBorders>
            <w:shd w:val="clear" w:color="auto" w:fill="auto"/>
            <w:noWrap/>
            <w:vAlign w:val="center"/>
            <w:hideMark/>
          </w:tcPr>
          <w:p w14:paraId="435AC49A"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576.146</w:t>
            </w:r>
          </w:p>
        </w:tc>
        <w:tc>
          <w:tcPr>
            <w:tcW w:w="432" w:type="pct"/>
            <w:tcBorders>
              <w:top w:val="single" w:sz="4" w:space="0" w:color="auto"/>
              <w:left w:val="nil"/>
              <w:bottom w:val="single" w:sz="8" w:space="0" w:color="auto"/>
              <w:right w:val="single" w:sz="8" w:space="0" w:color="auto"/>
            </w:tcBorders>
            <w:vAlign w:val="center"/>
          </w:tcPr>
          <w:p w14:paraId="0C3512A7"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47774FEC" w14:textId="77777777" w:rsidTr="0013666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43E4EAC7" w14:textId="77777777" w:rsidR="008A0B88" w:rsidRPr="00701F32" w:rsidRDefault="008A0B88">
            <w:pPr>
              <w:jc w:val="center"/>
              <w:rPr>
                <w:rFonts w:ascii="Arial" w:hAnsi="Arial" w:cs="Arial"/>
                <w:color w:val="000000"/>
                <w:sz w:val="14"/>
                <w:szCs w:val="14"/>
                <w:lang w:eastAsia="es-AR"/>
              </w:rPr>
            </w:pPr>
            <w:r w:rsidRPr="00701F32">
              <w:rPr>
                <w:rFonts w:ascii="Arial" w:hAnsi="Arial" w:cs="Arial"/>
                <w:color w:val="000000"/>
                <w:sz w:val="14"/>
                <w:szCs w:val="14"/>
                <w:lang w:eastAsia="es-AR"/>
              </w:rPr>
              <w:t>24/08/17</w:t>
            </w:r>
          </w:p>
        </w:tc>
        <w:tc>
          <w:tcPr>
            <w:tcW w:w="362" w:type="pct"/>
            <w:tcBorders>
              <w:top w:val="nil"/>
              <w:left w:val="nil"/>
              <w:bottom w:val="single" w:sz="8" w:space="0" w:color="auto"/>
              <w:right w:val="single" w:sz="8" w:space="0" w:color="auto"/>
            </w:tcBorders>
            <w:shd w:val="clear" w:color="auto" w:fill="auto"/>
            <w:noWrap/>
            <w:vAlign w:val="center"/>
            <w:hideMark/>
          </w:tcPr>
          <w:p w14:paraId="400FA3A4"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3305B221"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XV</w:t>
            </w:r>
          </w:p>
        </w:tc>
        <w:tc>
          <w:tcPr>
            <w:tcW w:w="431" w:type="pct"/>
            <w:tcBorders>
              <w:top w:val="nil"/>
              <w:left w:val="nil"/>
              <w:bottom w:val="single" w:sz="8" w:space="0" w:color="auto"/>
              <w:right w:val="single" w:sz="8" w:space="0" w:color="auto"/>
            </w:tcBorders>
            <w:shd w:val="clear" w:color="auto" w:fill="auto"/>
            <w:noWrap/>
            <w:vAlign w:val="center"/>
            <w:hideMark/>
          </w:tcPr>
          <w:p w14:paraId="7C8F76DF"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413.500</w:t>
            </w:r>
          </w:p>
        </w:tc>
        <w:tc>
          <w:tcPr>
            <w:tcW w:w="574" w:type="pct"/>
            <w:tcBorders>
              <w:top w:val="nil"/>
              <w:left w:val="nil"/>
              <w:bottom w:val="single" w:sz="8" w:space="0" w:color="auto"/>
              <w:right w:val="single" w:sz="8" w:space="0" w:color="auto"/>
            </w:tcBorders>
            <w:shd w:val="clear" w:color="auto" w:fill="auto"/>
            <w:vAlign w:val="center"/>
            <w:hideMark/>
          </w:tcPr>
          <w:p w14:paraId="26D055E1"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217B5EC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17 Meses</w:t>
            </w:r>
          </w:p>
        </w:tc>
        <w:tc>
          <w:tcPr>
            <w:tcW w:w="507" w:type="pct"/>
            <w:tcBorders>
              <w:top w:val="nil"/>
              <w:left w:val="nil"/>
              <w:bottom w:val="single" w:sz="8" w:space="0" w:color="auto"/>
              <w:right w:val="single" w:sz="8" w:space="0" w:color="auto"/>
            </w:tcBorders>
            <w:shd w:val="clear" w:color="auto" w:fill="auto"/>
            <w:noWrap/>
            <w:vAlign w:val="center"/>
            <w:hideMark/>
          </w:tcPr>
          <w:p w14:paraId="14F08B95"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23/02/2019</w:t>
            </w:r>
          </w:p>
        </w:tc>
        <w:tc>
          <w:tcPr>
            <w:tcW w:w="642" w:type="pct"/>
            <w:tcBorders>
              <w:top w:val="nil"/>
              <w:left w:val="nil"/>
              <w:bottom w:val="single" w:sz="8" w:space="0" w:color="auto"/>
              <w:right w:val="single" w:sz="8" w:space="0" w:color="auto"/>
            </w:tcBorders>
            <w:shd w:val="clear" w:color="auto" w:fill="auto"/>
            <w:vAlign w:val="center"/>
            <w:hideMark/>
          </w:tcPr>
          <w:p w14:paraId="6B2793F1"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 xml:space="preserve">Variable TNA 3,75% + BADLAR </w:t>
            </w:r>
          </w:p>
        </w:tc>
        <w:tc>
          <w:tcPr>
            <w:tcW w:w="431" w:type="pct"/>
            <w:tcBorders>
              <w:top w:val="nil"/>
              <w:left w:val="nil"/>
              <w:bottom w:val="single" w:sz="8" w:space="0" w:color="auto"/>
              <w:right w:val="single" w:sz="8" w:space="0" w:color="auto"/>
            </w:tcBorders>
            <w:shd w:val="clear" w:color="auto" w:fill="auto"/>
            <w:noWrap/>
            <w:vAlign w:val="center"/>
            <w:hideMark/>
          </w:tcPr>
          <w:p w14:paraId="686362F5" w14:textId="57EF24F5" w:rsidR="008A0B88" w:rsidRPr="00701F32" w:rsidRDefault="008F0273"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432.360</w:t>
            </w:r>
          </w:p>
        </w:tc>
        <w:tc>
          <w:tcPr>
            <w:tcW w:w="431" w:type="pct"/>
            <w:tcBorders>
              <w:top w:val="nil"/>
              <w:left w:val="nil"/>
              <w:bottom w:val="single" w:sz="8" w:space="0" w:color="auto"/>
              <w:right w:val="single" w:sz="8" w:space="0" w:color="auto"/>
            </w:tcBorders>
            <w:shd w:val="clear" w:color="auto" w:fill="auto"/>
            <w:noWrap/>
            <w:vAlign w:val="center"/>
            <w:hideMark/>
          </w:tcPr>
          <w:p w14:paraId="47D84C1C"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423.453</w:t>
            </w:r>
          </w:p>
        </w:tc>
        <w:tc>
          <w:tcPr>
            <w:tcW w:w="432" w:type="pct"/>
            <w:tcBorders>
              <w:top w:val="nil"/>
              <w:left w:val="nil"/>
              <w:bottom w:val="single" w:sz="8" w:space="0" w:color="auto"/>
              <w:right w:val="single" w:sz="8" w:space="0" w:color="auto"/>
            </w:tcBorders>
            <w:vAlign w:val="center"/>
          </w:tcPr>
          <w:p w14:paraId="4FECB8B8"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68AE19FD" w14:textId="77777777" w:rsidTr="0013666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4741EBD9"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22/11/17</w:t>
            </w:r>
          </w:p>
        </w:tc>
        <w:tc>
          <w:tcPr>
            <w:tcW w:w="362" w:type="pct"/>
            <w:tcBorders>
              <w:top w:val="nil"/>
              <w:left w:val="nil"/>
              <w:bottom w:val="single" w:sz="8" w:space="0" w:color="auto"/>
              <w:right w:val="single" w:sz="8" w:space="0" w:color="auto"/>
            </w:tcBorders>
            <w:shd w:val="clear" w:color="auto" w:fill="auto"/>
            <w:noWrap/>
            <w:vAlign w:val="center"/>
            <w:hideMark/>
          </w:tcPr>
          <w:p w14:paraId="4701B8E0"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281E496F"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XVI</w:t>
            </w:r>
          </w:p>
        </w:tc>
        <w:tc>
          <w:tcPr>
            <w:tcW w:w="431" w:type="pct"/>
            <w:tcBorders>
              <w:top w:val="nil"/>
              <w:left w:val="nil"/>
              <w:bottom w:val="single" w:sz="8" w:space="0" w:color="auto"/>
              <w:right w:val="single" w:sz="8" w:space="0" w:color="auto"/>
            </w:tcBorders>
            <w:shd w:val="clear" w:color="auto" w:fill="auto"/>
            <w:noWrap/>
            <w:vAlign w:val="center"/>
            <w:hideMark/>
          </w:tcPr>
          <w:p w14:paraId="2CF3FBEB" w14:textId="26EBFECF" w:rsidR="008A0B88" w:rsidRPr="00701F32" w:rsidRDefault="009F020F"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510.500</w:t>
            </w:r>
          </w:p>
        </w:tc>
        <w:tc>
          <w:tcPr>
            <w:tcW w:w="574" w:type="pct"/>
            <w:tcBorders>
              <w:top w:val="nil"/>
              <w:left w:val="nil"/>
              <w:bottom w:val="single" w:sz="8" w:space="0" w:color="auto"/>
              <w:right w:val="single" w:sz="8" w:space="0" w:color="auto"/>
            </w:tcBorders>
            <w:shd w:val="clear" w:color="auto" w:fill="auto"/>
            <w:vAlign w:val="center"/>
            <w:hideMark/>
          </w:tcPr>
          <w:p w14:paraId="271442F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4F5A8481"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23 Meses</w:t>
            </w:r>
          </w:p>
        </w:tc>
        <w:tc>
          <w:tcPr>
            <w:tcW w:w="507" w:type="pct"/>
            <w:tcBorders>
              <w:top w:val="nil"/>
              <w:left w:val="nil"/>
              <w:bottom w:val="single" w:sz="8" w:space="0" w:color="auto"/>
              <w:right w:val="single" w:sz="8" w:space="0" w:color="auto"/>
            </w:tcBorders>
            <w:shd w:val="clear" w:color="auto" w:fill="auto"/>
            <w:noWrap/>
            <w:vAlign w:val="center"/>
            <w:hideMark/>
          </w:tcPr>
          <w:p w14:paraId="5E9A233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21/11/2019</w:t>
            </w:r>
          </w:p>
        </w:tc>
        <w:tc>
          <w:tcPr>
            <w:tcW w:w="642" w:type="pct"/>
            <w:tcBorders>
              <w:top w:val="nil"/>
              <w:left w:val="nil"/>
              <w:bottom w:val="single" w:sz="8" w:space="0" w:color="auto"/>
              <w:right w:val="single" w:sz="8" w:space="0" w:color="auto"/>
            </w:tcBorders>
            <w:shd w:val="clear" w:color="auto" w:fill="auto"/>
            <w:vAlign w:val="center"/>
            <w:hideMark/>
          </w:tcPr>
          <w:p w14:paraId="5A464428"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 xml:space="preserve">Variable TNA 4,25%+TM20 </w:t>
            </w:r>
          </w:p>
        </w:tc>
        <w:tc>
          <w:tcPr>
            <w:tcW w:w="431" w:type="pct"/>
            <w:tcBorders>
              <w:top w:val="nil"/>
              <w:left w:val="nil"/>
              <w:bottom w:val="single" w:sz="8" w:space="0" w:color="auto"/>
              <w:right w:val="single" w:sz="8" w:space="0" w:color="auto"/>
            </w:tcBorders>
            <w:shd w:val="clear" w:color="auto" w:fill="auto"/>
            <w:noWrap/>
            <w:vAlign w:val="center"/>
            <w:hideMark/>
          </w:tcPr>
          <w:p w14:paraId="54B19570" w14:textId="0C69A48C" w:rsidR="008A0B88" w:rsidRPr="00701F32" w:rsidRDefault="008F0273"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534.051</w:t>
            </w:r>
          </w:p>
        </w:tc>
        <w:tc>
          <w:tcPr>
            <w:tcW w:w="431" w:type="pct"/>
            <w:tcBorders>
              <w:top w:val="nil"/>
              <w:left w:val="nil"/>
              <w:bottom w:val="single" w:sz="8" w:space="0" w:color="auto"/>
              <w:right w:val="single" w:sz="8" w:space="0" w:color="auto"/>
            </w:tcBorders>
            <w:shd w:val="clear" w:color="auto" w:fill="auto"/>
            <w:noWrap/>
            <w:vAlign w:val="center"/>
            <w:hideMark/>
          </w:tcPr>
          <w:p w14:paraId="3BBEBA8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549.620</w:t>
            </w:r>
          </w:p>
        </w:tc>
        <w:tc>
          <w:tcPr>
            <w:tcW w:w="432" w:type="pct"/>
            <w:tcBorders>
              <w:top w:val="nil"/>
              <w:left w:val="nil"/>
              <w:bottom w:val="single" w:sz="8" w:space="0" w:color="auto"/>
              <w:right w:val="single" w:sz="8" w:space="0" w:color="auto"/>
            </w:tcBorders>
            <w:vAlign w:val="center"/>
          </w:tcPr>
          <w:p w14:paraId="1F06F33C"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15D18E11" w14:textId="77777777" w:rsidTr="0013666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tcPr>
          <w:p w14:paraId="7A27ECE7"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09/02/17</w:t>
            </w:r>
          </w:p>
        </w:tc>
        <w:tc>
          <w:tcPr>
            <w:tcW w:w="362" w:type="pct"/>
            <w:tcBorders>
              <w:top w:val="nil"/>
              <w:left w:val="nil"/>
              <w:bottom w:val="single" w:sz="8" w:space="0" w:color="auto"/>
              <w:right w:val="single" w:sz="8" w:space="0" w:color="auto"/>
            </w:tcBorders>
            <w:shd w:val="clear" w:color="auto" w:fill="auto"/>
            <w:noWrap/>
            <w:vAlign w:val="center"/>
          </w:tcPr>
          <w:p w14:paraId="68B84CA2"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tcPr>
          <w:p w14:paraId="0160C04B"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A</w:t>
            </w:r>
          </w:p>
        </w:tc>
        <w:tc>
          <w:tcPr>
            <w:tcW w:w="431" w:type="pct"/>
            <w:tcBorders>
              <w:top w:val="nil"/>
              <w:left w:val="nil"/>
              <w:bottom w:val="single" w:sz="8" w:space="0" w:color="auto"/>
              <w:right w:val="single" w:sz="8" w:space="0" w:color="auto"/>
            </w:tcBorders>
            <w:shd w:val="clear" w:color="auto" w:fill="auto"/>
            <w:noWrap/>
            <w:vAlign w:val="center"/>
          </w:tcPr>
          <w:p w14:paraId="77BD9DC3" w14:textId="469B1E5F" w:rsidR="008A0B88" w:rsidRPr="00701F32" w:rsidRDefault="009F020F"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4.150.140</w:t>
            </w:r>
          </w:p>
        </w:tc>
        <w:tc>
          <w:tcPr>
            <w:tcW w:w="574" w:type="pct"/>
            <w:tcBorders>
              <w:top w:val="nil"/>
              <w:left w:val="nil"/>
              <w:bottom w:val="single" w:sz="8" w:space="0" w:color="auto"/>
              <w:right w:val="single" w:sz="8" w:space="0" w:color="auto"/>
            </w:tcBorders>
            <w:shd w:val="clear" w:color="auto" w:fill="auto"/>
            <w:vAlign w:val="center"/>
          </w:tcPr>
          <w:p w14:paraId="405A3B9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50% el 9-2-2020 y 50% al vencimiento el 9-8-2020</w:t>
            </w:r>
          </w:p>
        </w:tc>
        <w:tc>
          <w:tcPr>
            <w:tcW w:w="431" w:type="pct"/>
            <w:tcBorders>
              <w:top w:val="nil"/>
              <w:left w:val="nil"/>
              <w:bottom w:val="single" w:sz="8" w:space="0" w:color="auto"/>
              <w:right w:val="single" w:sz="8" w:space="0" w:color="auto"/>
            </w:tcBorders>
            <w:shd w:val="clear" w:color="auto" w:fill="auto"/>
            <w:noWrap/>
            <w:vAlign w:val="center"/>
          </w:tcPr>
          <w:p w14:paraId="60AD4867"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42 Meses</w:t>
            </w:r>
          </w:p>
        </w:tc>
        <w:tc>
          <w:tcPr>
            <w:tcW w:w="507" w:type="pct"/>
            <w:tcBorders>
              <w:top w:val="nil"/>
              <w:left w:val="nil"/>
              <w:bottom w:val="single" w:sz="8" w:space="0" w:color="auto"/>
              <w:right w:val="single" w:sz="8" w:space="0" w:color="auto"/>
            </w:tcBorders>
            <w:shd w:val="clear" w:color="auto" w:fill="auto"/>
            <w:noWrap/>
            <w:vAlign w:val="center"/>
          </w:tcPr>
          <w:p w14:paraId="72BF7FDE"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09/08/2020</w:t>
            </w:r>
          </w:p>
        </w:tc>
        <w:tc>
          <w:tcPr>
            <w:tcW w:w="642" w:type="pct"/>
            <w:tcBorders>
              <w:top w:val="nil"/>
              <w:left w:val="nil"/>
              <w:bottom w:val="single" w:sz="8" w:space="0" w:color="auto"/>
              <w:right w:val="single" w:sz="8" w:space="0" w:color="auto"/>
            </w:tcBorders>
            <w:shd w:val="clear" w:color="auto" w:fill="auto"/>
            <w:vAlign w:val="center"/>
          </w:tcPr>
          <w:p w14:paraId="3799496E"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+ 4,50%, con un mínimo del 18% nominal anual</w:t>
            </w:r>
          </w:p>
        </w:tc>
        <w:tc>
          <w:tcPr>
            <w:tcW w:w="431" w:type="pct"/>
            <w:tcBorders>
              <w:top w:val="nil"/>
              <w:left w:val="nil"/>
              <w:bottom w:val="single" w:sz="8" w:space="0" w:color="auto"/>
              <w:right w:val="single" w:sz="8" w:space="0" w:color="auto"/>
            </w:tcBorders>
            <w:shd w:val="clear" w:color="auto" w:fill="auto"/>
            <w:noWrap/>
            <w:vAlign w:val="center"/>
          </w:tcPr>
          <w:p w14:paraId="0EA2DC74" w14:textId="0F88CAE9" w:rsidR="008A0B88" w:rsidRPr="00701F32" w:rsidRDefault="008F0273" w:rsidP="00A7675A">
            <w:pPr>
              <w:jc w:val="right"/>
              <w:rPr>
                <w:rFonts w:ascii="Arial" w:hAnsi="Arial" w:cs="Arial"/>
                <w:color w:val="000000"/>
                <w:sz w:val="14"/>
                <w:szCs w:val="14"/>
                <w:lang w:eastAsia="es-AR"/>
              </w:rPr>
            </w:pPr>
            <w:r w:rsidRPr="00701F32">
              <w:rPr>
                <w:rFonts w:ascii="Arial" w:hAnsi="Arial" w:cs="Arial"/>
                <w:color w:val="000000"/>
                <w:sz w:val="14"/>
                <w:szCs w:val="14"/>
                <w:lang w:eastAsia="es-AR"/>
              </w:rPr>
              <w:t>4.401.202</w:t>
            </w:r>
          </w:p>
        </w:tc>
        <w:tc>
          <w:tcPr>
            <w:tcW w:w="431" w:type="pct"/>
            <w:tcBorders>
              <w:top w:val="nil"/>
              <w:left w:val="nil"/>
              <w:bottom w:val="single" w:sz="8" w:space="0" w:color="auto"/>
              <w:right w:val="single" w:sz="8" w:space="0" w:color="auto"/>
            </w:tcBorders>
            <w:shd w:val="clear" w:color="auto" w:fill="auto"/>
            <w:noWrap/>
            <w:vAlign w:val="center"/>
          </w:tcPr>
          <w:p w14:paraId="18EFF94D"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4.914.856</w:t>
            </w:r>
          </w:p>
        </w:tc>
        <w:tc>
          <w:tcPr>
            <w:tcW w:w="432" w:type="pct"/>
            <w:tcBorders>
              <w:top w:val="nil"/>
              <w:left w:val="nil"/>
              <w:bottom w:val="single" w:sz="8" w:space="0" w:color="auto"/>
              <w:right w:val="single" w:sz="8" w:space="0" w:color="auto"/>
            </w:tcBorders>
            <w:vAlign w:val="center"/>
          </w:tcPr>
          <w:p w14:paraId="493BCA6D"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72324D37" w14:textId="77777777" w:rsidTr="0013666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2343ED2E"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22/12/17</w:t>
            </w:r>
          </w:p>
        </w:tc>
        <w:tc>
          <w:tcPr>
            <w:tcW w:w="362" w:type="pct"/>
            <w:tcBorders>
              <w:top w:val="nil"/>
              <w:left w:val="nil"/>
              <w:bottom w:val="single" w:sz="8" w:space="0" w:color="auto"/>
              <w:right w:val="single" w:sz="8" w:space="0" w:color="auto"/>
            </w:tcBorders>
            <w:shd w:val="clear" w:color="auto" w:fill="auto"/>
            <w:noWrap/>
            <w:vAlign w:val="center"/>
            <w:hideMark/>
          </w:tcPr>
          <w:p w14:paraId="7FEED0BA"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07CA79AB"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B</w:t>
            </w:r>
          </w:p>
        </w:tc>
        <w:tc>
          <w:tcPr>
            <w:tcW w:w="431" w:type="pct"/>
            <w:tcBorders>
              <w:top w:val="nil"/>
              <w:left w:val="nil"/>
              <w:bottom w:val="single" w:sz="8" w:space="0" w:color="auto"/>
              <w:right w:val="single" w:sz="8" w:space="0" w:color="auto"/>
            </w:tcBorders>
            <w:shd w:val="clear" w:color="auto" w:fill="auto"/>
            <w:noWrap/>
            <w:vAlign w:val="center"/>
            <w:hideMark/>
          </w:tcPr>
          <w:p w14:paraId="7DAA3F9A"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629.000</w:t>
            </w:r>
          </w:p>
        </w:tc>
        <w:tc>
          <w:tcPr>
            <w:tcW w:w="574" w:type="pct"/>
            <w:tcBorders>
              <w:top w:val="nil"/>
              <w:left w:val="nil"/>
              <w:bottom w:val="single" w:sz="8" w:space="0" w:color="auto"/>
              <w:right w:val="single" w:sz="8" w:space="0" w:color="auto"/>
            </w:tcBorders>
            <w:shd w:val="clear" w:color="auto" w:fill="auto"/>
            <w:vAlign w:val="center"/>
            <w:hideMark/>
          </w:tcPr>
          <w:p w14:paraId="0756F6C7"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2E45DF46"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24 Meses</w:t>
            </w:r>
          </w:p>
        </w:tc>
        <w:tc>
          <w:tcPr>
            <w:tcW w:w="507" w:type="pct"/>
            <w:tcBorders>
              <w:top w:val="nil"/>
              <w:left w:val="nil"/>
              <w:bottom w:val="single" w:sz="8" w:space="0" w:color="auto"/>
              <w:right w:val="single" w:sz="8" w:space="0" w:color="auto"/>
            </w:tcBorders>
            <w:shd w:val="clear" w:color="auto" w:fill="auto"/>
            <w:noWrap/>
            <w:vAlign w:val="center"/>
            <w:hideMark/>
          </w:tcPr>
          <w:p w14:paraId="499355FF"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22/12/2019</w:t>
            </w:r>
          </w:p>
        </w:tc>
        <w:tc>
          <w:tcPr>
            <w:tcW w:w="642" w:type="pct"/>
            <w:tcBorders>
              <w:top w:val="nil"/>
              <w:left w:val="nil"/>
              <w:bottom w:val="single" w:sz="8" w:space="0" w:color="auto"/>
              <w:right w:val="single" w:sz="8" w:space="0" w:color="auto"/>
            </w:tcBorders>
            <w:shd w:val="clear" w:color="auto" w:fill="auto"/>
            <w:vAlign w:val="center"/>
            <w:hideMark/>
          </w:tcPr>
          <w:p w14:paraId="3457021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TM20 + 3,25%</w:t>
            </w:r>
          </w:p>
        </w:tc>
        <w:tc>
          <w:tcPr>
            <w:tcW w:w="431" w:type="pct"/>
            <w:tcBorders>
              <w:top w:val="nil"/>
              <w:left w:val="nil"/>
              <w:bottom w:val="single" w:sz="8" w:space="0" w:color="auto"/>
              <w:right w:val="single" w:sz="8" w:space="0" w:color="auto"/>
            </w:tcBorders>
            <w:shd w:val="clear" w:color="auto" w:fill="auto"/>
            <w:noWrap/>
            <w:vAlign w:val="center"/>
            <w:hideMark/>
          </w:tcPr>
          <w:p w14:paraId="08F8CA49" w14:textId="0DDCF303" w:rsidR="008A0B88" w:rsidRPr="00701F32" w:rsidRDefault="008F0273"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598.342</w:t>
            </w:r>
          </w:p>
        </w:tc>
        <w:tc>
          <w:tcPr>
            <w:tcW w:w="431" w:type="pct"/>
            <w:tcBorders>
              <w:top w:val="nil"/>
              <w:left w:val="nil"/>
              <w:bottom w:val="single" w:sz="8" w:space="0" w:color="auto"/>
              <w:right w:val="single" w:sz="8" w:space="0" w:color="auto"/>
            </w:tcBorders>
            <w:shd w:val="clear" w:color="auto" w:fill="auto"/>
            <w:noWrap/>
            <w:vAlign w:val="center"/>
            <w:hideMark/>
          </w:tcPr>
          <w:p w14:paraId="4B750B6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630.312</w:t>
            </w:r>
          </w:p>
        </w:tc>
        <w:tc>
          <w:tcPr>
            <w:tcW w:w="432" w:type="pct"/>
            <w:tcBorders>
              <w:top w:val="nil"/>
              <w:left w:val="nil"/>
              <w:bottom w:val="single" w:sz="8" w:space="0" w:color="auto"/>
              <w:right w:val="single" w:sz="8" w:space="0" w:color="auto"/>
            </w:tcBorders>
            <w:vAlign w:val="center"/>
          </w:tcPr>
          <w:p w14:paraId="6442CFFF"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143D10ED" w14:textId="77777777" w:rsidTr="00393CEB">
        <w:trPr>
          <w:trHeight w:val="174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0EC9202F"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22/12/17</w:t>
            </w:r>
          </w:p>
        </w:tc>
        <w:tc>
          <w:tcPr>
            <w:tcW w:w="362" w:type="pct"/>
            <w:tcBorders>
              <w:top w:val="nil"/>
              <w:left w:val="nil"/>
              <w:bottom w:val="single" w:sz="8" w:space="0" w:color="auto"/>
              <w:right w:val="single" w:sz="8" w:space="0" w:color="auto"/>
            </w:tcBorders>
            <w:shd w:val="clear" w:color="auto" w:fill="auto"/>
            <w:noWrap/>
            <w:vAlign w:val="center"/>
            <w:hideMark/>
          </w:tcPr>
          <w:p w14:paraId="54E45F73"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582E9757"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C</w:t>
            </w:r>
          </w:p>
        </w:tc>
        <w:tc>
          <w:tcPr>
            <w:tcW w:w="431" w:type="pct"/>
            <w:tcBorders>
              <w:top w:val="nil"/>
              <w:left w:val="nil"/>
              <w:bottom w:val="single" w:sz="8" w:space="0" w:color="auto"/>
              <w:right w:val="single" w:sz="8" w:space="0" w:color="auto"/>
            </w:tcBorders>
            <w:shd w:val="clear" w:color="auto" w:fill="auto"/>
            <w:noWrap/>
            <w:vAlign w:val="center"/>
            <w:hideMark/>
          </w:tcPr>
          <w:p w14:paraId="0E70D946"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659.750</w:t>
            </w:r>
          </w:p>
        </w:tc>
        <w:tc>
          <w:tcPr>
            <w:tcW w:w="574" w:type="pct"/>
            <w:tcBorders>
              <w:top w:val="nil"/>
              <w:left w:val="nil"/>
              <w:bottom w:val="single" w:sz="8" w:space="0" w:color="auto"/>
              <w:right w:val="single" w:sz="8" w:space="0" w:color="auto"/>
            </w:tcBorders>
            <w:shd w:val="clear" w:color="auto" w:fill="auto"/>
            <w:vAlign w:val="center"/>
            <w:hideMark/>
          </w:tcPr>
          <w:p w14:paraId="1A4BFECA"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3 cuotas:</w:t>
            </w:r>
          </w:p>
          <w:p w14:paraId="707A533D" w14:textId="77777777" w:rsidR="008A0B88" w:rsidRPr="00701F32" w:rsidRDefault="008A0B88" w:rsidP="00136660">
            <w:pPr>
              <w:jc w:val="both"/>
              <w:rPr>
                <w:rFonts w:ascii="Arial" w:hAnsi="Arial" w:cs="Arial"/>
                <w:color w:val="000000"/>
                <w:sz w:val="14"/>
                <w:szCs w:val="14"/>
                <w:lang w:eastAsia="es-AR"/>
              </w:rPr>
            </w:pPr>
          </w:p>
          <w:p w14:paraId="1FD82C6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22-12-2020 33,33%,</w:t>
            </w:r>
          </w:p>
          <w:p w14:paraId="432CD605" w14:textId="77777777" w:rsidR="008A0B88" w:rsidRPr="00701F32" w:rsidRDefault="008A0B88" w:rsidP="00136660">
            <w:pPr>
              <w:jc w:val="both"/>
              <w:rPr>
                <w:rFonts w:ascii="Arial" w:hAnsi="Arial" w:cs="Arial"/>
                <w:color w:val="000000"/>
                <w:sz w:val="14"/>
                <w:szCs w:val="14"/>
                <w:lang w:eastAsia="es-AR"/>
              </w:rPr>
            </w:pPr>
          </w:p>
          <w:p w14:paraId="2A1B4CC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22-06-2021 33,33%,</w:t>
            </w:r>
          </w:p>
          <w:p w14:paraId="745DCC74" w14:textId="77777777" w:rsidR="008A0B88" w:rsidRPr="00701F32" w:rsidRDefault="008A0B88" w:rsidP="00136660">
            <w:pPr>
              <w:jc w:val="both"/>
              <w:rPr>
                <w:rFonts w:ascii="Arial" w:hAnsi="Arial" w:cs="Arial"/>
                <w:color w:val="000000"/>
                <w:sz w:val="14"/>
                <w:szCs w:val="14"/>
                <w:lang w:eastAsia="es-AR"/>
              </w:rPr>
            </w:pPr>
          </w:p>
          <w:p w14:paraId="4D796DA2"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 xml:space="preserve"> y en la fecha de vencimiento 33,34%.</w:t>
            </w:r>
          </w:p>
        </w:tc>
        <w:tc>
          <w:tcPr>
            <w:tcW w:w="431" w:type="pct"/>
            <w:tcBorders>
              <w:top w:val="nil"/>
              <w:left w:val="nil"/>
              <w:bottom w:val="single" w:sz="8" w:space="0" w:color="auto"/>
              <w:right w:val="single" w:sz="8" w:space="0" w:color="auto"/>
            </w:tcBorders>
            <w:shd w:val="clear" w:color="auto" w:fill="auto"/>
            <w:noWrap/>
            <w:vAlign w:val="center"/>
            <w:hideMark/>
          </w:tcPr>
          <w:p w14:paraId="466FC47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48 Meses</w:t>
            </w:r>
          </w:p>
        </w:tc>
        <w:tc>
          <w:tcPr>
            <w:tcW w:w="507" w:type="pct"/>
            <w:tcBorders>
              <w:top w:val="nil"/>
              <w:left w:val="nil"/>
              <w:bottom w:val="single" w:sz="8" w:space="0" w:color="auto"/>
              <w:right w:val="single" w:sz="8" w:space="0" w:color="auto"/>
            </w:tcBorders>
            <w:shd w:val="clear" w:color="auto" w:fill="auto"/>
            <w:noWrap/>
            <w:vAlign w:val="center"/>
            <w:hideMark/>
          </w:tcPr>
          <w:p w14:paraId="48D17A5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22/12/2021</w:t>
            </w:r>
          </w:p>
        </w:tc>
        <w:tc>
          <w:tcPr>
            <w:tcW w:w="642" w:type="pct"/>
            <w:tcBorders>
              <w:top w:val="nil"/>
              <w:left w:val="nil"/>
              <w:bottom w:val="single" w:sz="8" w:space="0" w:color="auto"/>
              <w:right w:val="single" w:sz="8" w:space="0" w:color="auto"/>
            </w:tcBorders>
            <w:shd w:val="clear" w:color="auto" w:fill="auto"/>
            <w:vAlign w:val="center"/>
            <w:hideMark/>
          </w:tcPr>
          <w:p w14:paraId="274F961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+ 4,25%</w:t>
            </w:r>
          </w:p>
        </w:tc>
        <w:tc>
          <w:tcPr>
            <w:tcW w:w="431" w:type="pct"/>
            <w:tcBorders>
              <w:top w:val="nil"/>
              <w:left w:val="nil"/>
              <w:bottom w:val="single" w:sz="8" w:space="0" w:color="auto"/>
              <w:right w:val="single" w:sz="8" w:space="0" w:color="auto"/>
            </w:tcBorders>
            <w:shd w:val="clear" w:color="auto" w:fill="auto"/>
            <w:noWrap/>
            <w:vAlign w:val="center"/>
            <w:hideMark/>
          </w:tcPr>
          <w:p w14:paraId="333E4142" w14:textId="70636D90" w:rsidR="008A0B88" w:rsidRPr="00701F32" w:rsidRDefault="008F0273"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665.036</w:t>
            </w:r>
          </w:p>
        </w:tc>
        <w:tc>
          <w:tcPr>
            <w:tcW w:w="431" w:type="pct"/>
            <w:tcBorders>
              <w:top w:val="nil"/>
              <w:left w:val="nil"/>
              <w:bottom w:val="single" w:sz="8" w:space="0" w:color="auto"/>
              <w:right w:val="single" w:sz="8" w:space="0" w:color="auto"/>
            </w:tcBorders>
            <w:shd w:val="clear" w:color="auto" w:fill="auto"/>
            <w:noWrap/>
            <w:vAlign w:val="center"/>
            <w:hideMark/>
          </w:tcPr>
          <w:p w14:paraId="765A4456"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661.079</w:t>
            </w:r>
          </w:p>
        </w:tc>
        <w:tc>
          <w:tcPr>
            <w:tcW w:w="432" w:type="pct"/>
            <w:tcBorders>
              <w:top w:val="nil"/>
              <w:left w:val="nil"/>
              <w:bottom w:val="single" w:sz="8" w:space="0" w:color="auto"/>
              <w:right w:val="single" w:sz="8" w:space="0" w:color="auto"/>
            </w:tcBorders>
            <w:vAlign w:val="center"/>
          </w:tcPr>
          <w:p w14:paraId="7FFC7C64"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230AC3FC" w14:textId="77777777" w:rsidTr="00136660">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05BF0CAC"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14/02/18</w:t>
            </w:r>
          </w:p>
        </w:tc>
        <w:tc>
          <w:tcPr>
            <w:tcW w:w="362" w:type="pct"/>
            <w:tcBorders>
              <w:top w:val="nil"/>
              <w:left w:val="nil"/>
              <w:bottom w:val="single" w:sz="8" w:space="0" w:color="auto"/>
              <w:right w:val="single" w:sz="8" w:space="0" w:color="auto"/>
            </w:tcBorders>
            <w:shd w:val="clear" w:color="auto" w:fill="auto"/>
            <w:noWrap/>
            <w:vAlign w:val="center"/>
            <w:hideMark/>
          </w:tcPr>
          <w:p w14:paraId="0D55DB49"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31CA26DC"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D</w:t>
            </w:r>
          </w:p>
        </w:tc>
        <w:tc>
          <w:tcPr>
            <w:tcW w:w="431" w:type="pct"/>
            <w:tcBorders>
              <w:top w:val="nil"/>
              <w:left w:val="nil"/>
              <w:bottom w:val="single" w:sz="8" w:space="0" w:color="auto"/>
              <w:right w:val="single" w:sz="8" w:space="0" w:color="auto"/>
            </w:tcBorders>
            <w:shd w:val="clear" w:color="auto" w:fill="auto"/>
            <w:noWrap/>
            <w:vAlign w:val="center"/>
            <w:hideMark/>
          </w:tcPr>
          <w:p w14:paraId="33418743"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748.889</w:t>
            </w:r>
          </w:p>
        </w:tc>
        <w:tc>
          <w:tcPr>
            <w:tcW w:w="574" w:type="pct"/>
            <w:tcBorders>
              <w:top w:val="nil"/>
              <w:left w:val="nil"/>
              <w:bottom w:val="single" w:sz="8" w:space="0" w:color="auto"/>
              <w:right w:val="single" w:sz="8" w:space="0" w:color="auto"/>
            </w:tcBorders>
            <w:shd w:val="clear" w:color="auto" w:fill="auto"/>
            <w:vAlign w:val="center"/>
            <w:hideMark/>
          </w:tcPr>
          <w:p w14:paraId="73EED7C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2CD9B1BC"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18 Meses</w:t>
            </w:r>
          </w:p>
        </w:tc>
        <w:tc>
          <w:tcPr>
            <w:tcW w:w="507" w:type="pct"/>
            <w:tcBorders>
              <w:top w:val="nil"/>
              <w:left w:val="nil"/>
              <w:bottom w:val="single" w:sz="8" w:space="0" w:color="auto"/>
              <w:right w:val="single" w:sz="8" w:space="0" w:color="auto"/>
            </w:tcBorders>
            <w:shd w:val="clear" w:color="auto" w:fill="auto"/>
            <w:noWrap/>
            <w:vAlign w:val="center"/>
            <w:hideMark/>
          </w:tcPr>
          <w:p w14:paraId="36844041"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14/08/2019</w:t>
            </w:r>
          </w:p>
        </w:tc>
        <w:tc>
          <w:tcPr>
            <w:tcW w:w="642" w:type="pct"/>
            <w:tcBorders>
              <w:top w:val="nil"/>
              <w:left w:val="nil"/>
              <w:bottom w:val="single" w:sz="8" w:space="0" w:color="auto"/>
              <w:right w:val="single" w:sz="8" w:space="0" w:color="auto"/>
            </w:tcBorders>
            <w:shd w:val="clear" w:color="auto" w:fill="auto"/>
            <w:vAlign w:val="center"/>
            <w:hideMark/>
          </w:tcPr>
          <w:p w14:paraId="0AA1D7F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+ 3,5%</w:t>
            </w:r>
          </w:p>
        </w:tc>
        <w:tc>
          <w:tcPr>
            <w:tcW w:w="431" w:type="pct"/>
            <w:tcBorders>
              <w:top w:val="nil"/>
              <w:left w:val="nil"/>
              <w:bottom w:val="single" w:sz="8" w:space="0" w:color="auto"/>
              <w:right w:val="single" w:sz="8" w:space="0" w:color="auto"/>
            </w:tcBorders>
            <w:shd w:val="clear" w:color="auto" w:fill="auto"/>
            <w:noWrap/>
            <w:vAlign w:val="center"/>
            <w:hideMark/>
          </w:tcPr>
          <w:p w14:paraId="7DE76DE7" w14:textId="316F2559" w:rsidR="008A0B88" w:rsidRPr="00701F32" w:rsidRDefault="008F0273"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759.183</w:t>
            </w:r>
          </w:p>
        </w:tc>
        <w:tc>
          <w:tcPr>
            <w:tcW w:w="431" w:type="pct"/>
            <w:tcBorders>
              <w:top w:val="nil"/>
              <w:left w:val="nil"/>
              <w:bottom w:val="single" w:sz="8" w:space="0" w:color="auto"/>
              <w:right w:val="single" w:sz="8" w:space="0" w:color="auto"/>
            </w:tcBorders>
            <w:shd w:val="clear" w:color="auto" w:fill="auto"/>
            <w:noWrap/>
            <w:vAlign w:val="center"/>
            <w:hideMark/>
          </w:tcPr>
          <w:p w14:paraId="32704030"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 </w:t>
            </w:r>
          </w:p>
        </w:tc>
        <w:tc>
          <w:tcPr>
            <w:tcW w:w="432" w:type="pct"/>
            <w:tcBorders>
              <w:top w:val="nil"/>
              <w:left w:val="nil"/>
              <w:bottom w:val="single" w:sz="8" w:space="0" w:color="auto"/>
              <w:right w:val="single" w:sz="8" w:space="0" w:color="auto"/>
            </w:tcBorders>
            <w:vAlign w:val="center"/>
          </w:tcPr>
          <w:p w14:paraId="175B424A"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65E54E5E" w14:textId="77777777" w:rsidTr="00393CEB">
        <w:trPr>
          <w:trHeight w:val="1327"/>
        </w:trPr>
        <w:tc>
          <w:tcPr>
            <w:tcW w:w="4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0D6FBD"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14/02/18</w:t>
            </w:r>
          </w:p>
        </w:tc>
        <w:tc>
          <w:tcPr>
            <w:tcW w:w="362" w:type="pct"/>
            <w:tcBorders>
              <w:top w:val="single" w:sz="8" w:space="0" w:color="auto"/>
              <w:left w:val="nil"/>
              <w:bottom w:val="single" w:sz="4" w:space="0" w:color="auto"/>
              <w:right w:val="single" w:sz="8" w:space="0" w:color="auto"/>
            </w:tcBorders>
            <w:shd w:val="clear" w:color="auto" w:fill="auto"/>
            <w:noWrap/>
            <w:vAlign w:val="center"/>
            <w:hideMark/>
          </w:tcPr>
          <w:p w14:paraId="718493A7"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single" w:sz="8" w:space="0" w:color="auto"/>
              <w:left w:val="nil"/>
              <w:bottom w:val="single" w:sz="4" w:space="0" w:color="auto"/>
              <w:right w:val="single" w:sz="8" w:space="0" w:color="auto"/>
            </w:tcBorders>
            <w:shd w:val="clear" w:color="auto" w:fill="auto"/>
            <w:noWrap/>
            <w:vAlign w:val="center"/>
            <w:hideMark/>
          </w:tcPr>
          <w:p w14:paraId="06216063" w14:textId="77777777" w:rsidR="008A0B88" w:rsidRPr="00701F32" w:rsidRDefault="008A0B88" w:rsidP="00136660">
            <w:pPr>
              <w:jc w:val="center"/>
              <w:rPr>
                <w:rFonts w:ascii="Arial" w:hAnsi="Arial" w:cs="Arial"/>
                <w:color w:val="000000"/>
                <w:sz w:val="14"/>
                <w:szCs w:val="14"/>
                <w:lang w:eastAsia="es-AR"/>
              </w:rPr>
            </w:pPr>
            <w:r w:rsidRPr="00701F32">
              <w:rPr>
                <w:rFonts w:ascii="Arial" w:hAnsi="Arial" w:cs="Arial"/>
                <w:color w:val="000000"/>
                <w:sz w:val="14"/>
                <w:szCs w:val="14"/>
                <w:lang w:eastAsia="es-AR"/>
              </w:rPr>
              <w:t>E</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497B6D09"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1.607.667</w:t>
            </w:r>
          </w:p>
        </w:tc>
        <w:tc>
          <w:tcPr>
            <w:tcW w:w="574" w:type="pct"/>
            <w:tcBorders>
              <w:top w:val="single" w:sz="8" w:space="0" w:color="auto"/>
              <w:left w:val="nil"/>
              <w:bottom w:val="single" w:sz="4" w:space="0" w:color="auto"/>
              <w:right w:val="single" w:sz="8" w:space="0" w:color="auto"/>
            </w:tcBorders>
            <w:shd w:val="clear" w:color="auto" w:fill="auto"/>
            <w:vAlign w:val="center"/>
            <w:hideMark/>
          </w:tcPr>
          <w:p w14:paraId="1F12DF84"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3 cuotas iguales anuales y consecutivas, 1° 14-02-21</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32159E59"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60 Meses</w:t>
            </w:r>
          </w:p>
        </w:tc>
        <w:tc>
          <w:tcPr>
            <w:tcW w:w="507" w:type="pct"/>
            <w:tcBorders>
              <w:top w:val="single" w:sz="8" w:space="0" w:color="auto"/>
              <w:left w:val="nil"/>
              <w:bottom w:val="single" w:sz="4" w:space="0" w:color="auto"/>
              <w:right w:val="single" w:sz="8" w:space="0" w:color="auto"/>
            </w:tcBorders>
            <w:shd w:val="clear" w:color="auto" w:fill="auto"/>
            <w:noWrap/>
            <w:vAlign w:val="center"/>
            <w:hideMark/>
          </w:tcPr>
          <w:p w14:paraId="02689C8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14/02/2023</w:t>
            </w:r>
          </w:p>
        </w:tc>
        <w:tc>
          <w:tcPr>
            <w:tcW w:w="642" w:type="pct"/>
            <w:tcBorders>
              <w:top w:val="single" w:sz="8" w:space="0" w:color="auto"/>
              <w:left w:val="nil"/>
              <w:bottom w:val="single" w:sz="4" w:space="0" w:color="auto"/>
              <w:right w:val="single" w:sz="8" w:space="0" w:color="auto"/>
            </w:tcBorders>
            <w:shd w:val="clear" w:color="auto" w:fill="auto"/>
            <w:vAlign w:val="center"/>
            <w:hideMark/>
          </w:tcPr>
          <w:p w14:paraId="024A3CAB" w14:textId="77777777" w:rsidR="008A0B88" w:rsidRPr="00701F32" w:rsidRDefault="008A0B88" w:rsidP="0013666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+ 4,05%</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75061A20" w14:textId="47E8EDD1" w:rsidR="008A0B88" w:rsidRPr="00701F32" w:rsidRDefault="008F0273">
            <w:pPr>
              <w:jc w:val="right"/>
              <w:rPr>
                <w:rFonts w:ascii="Arial" w:hAnsi="Arial" w:cs="Arial"/>
                <w:color w:val="000000"/>
                <w:sz w:val="14"/>
                <w:szCs w:val="14"/>
                <w:lang w:eastAsia="es-AR"/>
              </w:rPr>
            </w:pPr>
            <w:r w:rsidRPr="00701F32">
              <w:rPr>
                <w:rFonts w:ascii="Arial" w:hAnsi="Arial" w:cs="Arial"/>
                <w:color w:val="000000"/>
                <w:sz w:val="14"/>
                <w:szCs w:val="14"/>
                <w:lang w:eastAsia="es-AR"/>
              </w:rPr>
              <w:t>1.664.</w:t>
            </w:r>
            <w:r w:rsidR="0006083D" w:rsidRPr="00701F32">
              <w:rPr>
                <w:rFonts w:ascii="Arial" w:hAnsi="Arial" w:cs="Arial"/>
                <w:color w:val="000000"/>
                <w:sz w:val="14"/>
                <w:szCs w:val="14"/>
                <w:lang w:eastAsia="es-AR"/>
              </w:rPr>
              <w:t>369</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062542B2"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 </w:t>
            </w:r>
          </w:p>
        </w:tc>
        <w:tc>
          <w:tcPr>
            <w:tcW w:w="432" w:type="pct"/>
            <w:tcBorders>
              <w:top w:val="single" w:sz="8" w:space="0" w:color="auto"/>
              <w:left w:val="nil"/>
              <w:bottom w:val="single" w:sz="4" w:space="0" w:color="auto"/>
              <w:right w:val="single" w:sz="8" w:space="0" w:color="auto"/>
            </w:tcBorders>
            <w:vAlign w:val="center"/>
          </w:tcPr>
          <w:p w14:paraId="5E7C696C" w14:textId="77777777" w:rsidR="008A0B88" w:rsidRPr="00701F32" w:rsidRDefault="008A0B88" w:rsidP="0013666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8A0B88" w:rsidRPr="00701F32" w14:paraId="0EB8E491" w14:textId="77777777" w:rsidTr="00136660">
        <w:trPr>
          <w:trHeight w:val="323"/>
        </w:trPr>
        <w:tc>
          <w:tcPr>
            <w:tcW w:w="3064" w:type="pct"/>
            <w:gridSpan w:val="7"/>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8FC48D6" w14:textId="77777777" w:rsidR="008A0B88" w:rsidRPr="00701F32" w:rsidRDefault="008A0B88" w:rsidP="00136660">
            <w:pPr>
              <w:jc w:val="both"/>
              <w:rPr>
                <w:rFonts w:ascii="Arial" w:hAnsi="Arial" w:cs="Arial"/>
                <w:color w:val="000000"/>
                <w:sz w:val="14"/>
                <w:szCs w:val="14"/>
                <w:lang w:eastAsia="es-AR"/>
              </w:rPr>
            </w:pPr>
          </w:p>
        </w:tc>
        <w:tc>
          <w:tcPr>
            <w:tcW w:w="642" w:type="pct"/>
            <w:tcBorders>
              <w:top w:val="single" w:sz="4" w:space="0" w:color="auto"/>
              <w:left w:val="nil"/>
              <w:bottom w:val="single" w:sz="4" w:space="0" w:color="auto"/>
              <w:right w:val="single" w:sz="8" w:space="0" w:color="auto"/>
            </w:tcBorders>
            <w:shd w:val="clear" w:color="auto" w:fill="auto"/>
            <w:noWrap/>
            <w:vAlign w:val="center"/>
            <w:hideMark/>
          </w:tcPr>
          <w:p w14:paraId="718307AA" w14:textId="77777777" w:rsidR="008A0B88" w:rsidRPr="00701F32" w:rsidRDefault="008A0B88" w:rsidP="00136660">
            <w:pPr>
              <w:jc w:val="both"/>
              <w:rPr>
                <w:rFonts w:ascii="Arial" w:hAnsi="Arial" w:cs="Arial"/>
                <w:b/>
                <w:bCs/>
                <w:color w:val="000000"/>
                <w:sz w:val="14"/>
                <w:szCs w:val="14"/>
                <w:lang w:eastAsia="es-AR"/>
              </w:rPr>
            </w:pPr>
            <w:r w:rsidRPr="00701F32">
              <w:rPr>
                <w:rFonts w:ascii="Arial" w:hAnsi="Arial" w:cs="Arial"/>
                <w:b/>
                <w:bCs/>
                <w:color w:val="000000"/>
                <w:sz w:val="14"/>
                <w:szCs w:val="14"/>
                <w:lang w:eastAsia="es-AR"/>
              </w:rPr>
              <w:t>Total</w:t>
            </w:r>
          </w:p>
        </w:tc>
        <w:tc>
          <w:tcPr>
            <w:tcW w:w="431" w:type="pct"/>
            <w:tcBorders>
              <w:top w:val="single" w:sz="4" w:space="0" w:color="auto"/>
              <w:left w:val="nil"/>
              <w:bottom w:val="single" w:sz="4" w:space="0" w:color="auto"/>
              <w:right w:val="single" w:sz="8" w:space="0" w:color="auto"/>
            </w:tcBorders>
            <w:shd w:val="clear" w:color="auto" w:fill="auto"/>
            <w:noWrap/>
            <w:vAlign w:val="center"/>
            <w:hideMark/>
          </w:tcPr>
          <w:p w14:paraId="4ACA015D" w14:textId="45DAE2C0" w:rsidR="008A0B88" w:rsidRPr="00701F32" w:rsidRDefault="008F0273">
            <w:pPr>
              <w:jc w:val="right"/>
              <w:rPr>
                <w:rFonts w:ascii="Arial" w:hAnsi="Arial" w:cs="Arial"/>
                <w:b/>
                <w:bCs/>
                <w:color w:val="000000"/>
                <w:sz w:val="14"/>
                <w:szCs w:val="14"/>
                <w:lang w:val="es-ES_tradnl" w:eastAsia="es-AR"/>
              </w:rPr>
            </w:pPr>
            <w:r w:rsidRPr="00701F32">
              <w:rPr>
                <w:rFonts w:ascii="Arial" w:hAnsi="Arial" w:cs="Arial"/>
                <w:b/>
                <w:bCs/>
                <w:color w:val="000000"/>
                <w:sz w:val="14"/>
                <w:szCs w:val="14"/>
                <w:lang w:eastAsia="es-AR"/>
              </w:rPr>
              <w:t>9.960.</w:t>
            </w:r>
            <w:r w:rsidR="001F1DF6" w:rsidRPr="00701F32">
              <w:rPr>
                <w:rFonts w:ascii="Arial" w:hAnsi="Arial" w:cs="Arial"/>
                <w:b/>
                <w:bCs/>
                <w:color w:val="000000"/>
                <w:sz w:val="14"/>
                <w:szCs w:val="14"/>
                <w:lang w:eastAsia="es-AR"/>
              </w:rPr>
              <w:t>19</w:t>
            </w:r>
            <w:r w:rsidR="0006083D" w:rsidRPr="00701F32">
              <w:rPr>
                <w:rFonts w:ascii="Arial" w:hAnsi="Arial" w:cs="Arial"/>
                <w:b/>
                <w:bCs/>
                <w:color w:val="000000"/>
                <w:sz w:val="14"/>
                <w:szCs w:val="14"/>
                <w:lang w:eastAsia="es-AR"/>
              </w:rPr>
              <w:t>8</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42A32952" w14:textId="77777777" w:rsidR="008A0B88" w:rsidRPr="00701F32" w:rsidRDefault="008A0B88" w:rsidP="00136660">
            <w:pPr>
              <w:jc w:val="right"/>
              <w:rPr>
                <w:rFonts w:ascii="Arial" w:hAnsi="Arial" w:cs="Arial"/>
                <w:b/>
                <w:bCs/>
                <w:color w:val="000000"/>
                <w:sz w:val="14"/>
                <w:szCs w:val="14"/>
                <w:lang w:eastAsia="es-AR"/>
              </w:rPr>
            </w:pPr>
            <w:r w:rsidRPr="00701F32">
              <w:rPr>
                <w:rFonts w:ascii="Arial" w:hAnsi="Arial" w:cs="Arial"/>
                <w:b/>
                <w:bCs/>
                <w:color w:val="000000"/>
                <w:sz w:val="14"/>
                <w:szCs w:val="14"/>
                <w:lang w:eastAsia="es-AR"/>
              </w:rPr>
              <w:t>8.563.372</w:t>
            </w:r>
          </w:p>
        </w:tc>
        <w:tc>
          <w:tcPr>
            <w:tcW w:w="432" w:type="pct"/>
            <w:tcBorders>
              <w:top w:val="single" w:sz="4" w:space="0" w:color="auto"/>
              <w:left w:val="nil"/>
              <w:bottom w:val="single" w:sz="4" w:space="0" w:color="auto"/>
              <w:right w:val="single" w:sz="4" w:space="0" w:color="auto"/>
            </w:tcBorders>
            <w:vAlign w:val="center"/>
          </w:tcPr>
          <w:p w14:paraId="08751525" w14:textId="77777777" w:rsidR="008A0B88" w:rsidRPr="00701F32" w:rsidRDefault="008A0B88" w:rsidP="00136660">
            <w:pPr>
              <w:jc w:val="right"/>
              <w:rPr>
                <w:rFonts w:ascii="Arial" w:hAnsi="Arial" w:cs="Arial"/>
                <w:b/>
                <w:bCs/>
                <w:color w:val="000000"/>
                <w:sz w:val="14"/>
                <w:szCs w:val="14"/>
                <w:lang w:eastAsia="es-AR"/>
              </w:rPr>
            </w:pPr>
            <w:r w:rsidRPr="00701F32">
              <w:rPr>
                <w:rFonts w:ascii="Arial" w:hAnsi="Arial" w:cs="Arial"/>
                <w:b/>
                <w:bCs/>
                <w:color w:val="000000"/>
                <w:sz w:val="14"/>
                <w:szCs w:val="14"/>
                <w:lang w:eastAsia="es-AR"/>
              </w:rPr>
              <w:t>1.880.982</w:t>
            </w:r>
          </w:p>
        </w:tc>
      </w:tr>
    </w:tbl>
    <w:p w14:paraId="66254406" w14:textId="77777777" w:rsidR="00A06BE9" w:rsidRPr="00701F32" w:rsidRDefault="00A06BE9" w:rsidP="00A06BE9">
      <w:pPr>
        <w:pStyle w:val="PrimerNivel"/>
        <w:numPr>
          <w:ilvl w:val="0"/>
          <w:numId w:val="0"/>
        </w:numPr>
        <w:rPr>
          <w:rFonts w:ascii="Arial" w:hAnsi="Arial" w:cs="Arial"/>
          <w:b/>
          <w:sz w:val="20"/>
        </w:rPr>
      </w:pPr>
    </w:p>
    <w:p w14:paraId="70C1986E" w14:textId="77777777" w:rsidR="001854C2" w:rsidRPr="00701F32" w:rsidRDefault="001854C2" w:rsidP="001854C2">
      <w:pPr>
        <w:jc w:val="both"/>
        <w:rPr>
          <w:rFonts w:ascii="Arial" w:hAnsi="Arial" w:cs="Arial"/>
          <w:sz w:val="20"/>
        </w:rPr>
      </w:pPr>
      <w:r w:rsidRPr="00701F32">
        <w:rPr>
          <w:rFonts w:ascii="Arial" w:hAnsi="Arial" w:cs="Arial"/>
          <w:sz w:val="20"/>
        </w:rPr>
        <w:t>Con fecha 18 de septiembre de 2018 se redujo en un valor nominal en pesos de $ 618.030.000 (seiscientos dieciocho millones treinta mil) el monto total en circulación de las Obligaciones Negociables Clase A. El nuevo monto total de circulación en pesos es de $ 4.150.140.000 (cuatro mil ciento cincuenta millones ciento cuarenta mil).</w:t>
      </w:r>
    </w:p>
    <w:p w14:paraId="4E01AAB9" w14:textId="77777777" w:rsidR="001854C2" w:rsidRPr="00701F32" w:rsidRDefault="001854C2" w:rsidP="001854C2">
      <w:pPr>
        <w:tabs>
          <w:tab w:val="left" w:pos="142"/>
          <w:tab w:val="left" w:pos="9923"/>
        </w:tabs>
        <w:jc w:val="both"/>
        <w:rPr>
          <w:rFonts w:ascii="Arial" w:hAnsi="Arial" w:cs="Arial"/>
          <w:sz w:val="20"/>
        </w:rPr>
      </w:pPr>
    </w:p>
    <w:p w14:paraId="30FF514D" w14:textId="77777777" w:rsidR="001854C2" w:rsidRPr="00701F32" w:rsidRDefault="001854C2" w:rsidP="001854C2">
      <w:pPr>
        <w:tabs>
          <w:tab w:val="left" w:pos="142"/>
          <w:tab w:val="left" w:pos="9923"/>
        </w:tabs>
        <w:jc w:val="both"/>
        <w:rPr>
          <w:rFonts w:ascii="Arial" w:hAnsi="Arial" w:cs="Arial"/>
          <w:sz w:val="20"/>
        </w:rPr>
      </w:pPr>
      <w:r w:rsidRPr="00701F32">
        <w:rPr>
          <w:rFonts w:ascii="Arial" w:hAnsi="Arial" w:cs="Arial"/>
          <w:sz w:val="20"/>
        </w:rPr>
        <w:t>Con fecha 22 de agosto de 2018 y 13 de septiembre de 2018, se recompraron $ 15.000.000 VN y $ 10.000.000 VN, respectivamente, correspondiente a la ON Clase XVI.</w:t>
      </w:r>
    </w:p>
    <w:p w14:paraId="4DDEC57F" w14:textId="77777777" w:rsidR="001854C2" w:rsidRPr="00701F32" w:rsidRDefault="001854C2" w:rsidP="001854C2">
      <w:pPr>
        <w:tabs>
          <w:tab w:val="left" w:pos="142"/>
          <w:tab w:val="left" w:pos="9923"/>
        </w:tabs>
        <w:jc w:val="both"/>
        <w:rPr>
          <w:rFonts w:ascii="Arial" w:hAnsi="Arial" w:cs="Arial"/>
          <w:sz w:val="20"/>
        </w:rPr>
      </w:pPr>
    </w:p>
    <w:p w14:paraId="49979AB2" w14:textId="7939B205" w:rsidR="001854C2" w:rsidRPr="00701F32" w:rsidRDefault="001854C2" w:rsidP="001854C2">
      <w:pPr>
        <w:pStyle w:val="PrimerNivel"/>
        <w:numPr>
          <w:ilvl w:val="0"/>
          <w:numId w:val="0"/>
        </w:numPr>
        <w:rPr>
          <w:rFonts w:ascii="Arial" w:hAnsi="Arial" w:cs="Arial"/>
          <w:b/>
          <w:sz w:val="20"/>
          <w:szCs w:val="20"/>
        </w:rPr>
      </w:pPr>
      <w:r w:rsidRPr="00701F32">
        <w:rPr>
          <w:rFonts w:ascii="Arial" w:hAnsi="Arial" w:cs="Arial"/>
          <w:sz w:val="20"/>
        </w:rPr>
        <w:t>Con fecha 4 de septiembre de 2018, 19 de septiembre de 2018 y 21 de septiembre de 2018 se recompraron $ 20.000.000 VN, $ 60.000.000 VN y $ 38.000.000 VN, respectivamente, correspondiente a la ON Clase XIV.</w:t>
      </w:r>
    </w:p>
    <w:p w14:paraId="2435F7B6" w14:textId="77777777" w:rsidR="00413157" w:rsidRPr="00701F32" w:rsidRDefault="00413157" w:rsidP="00A06BE9">
      <w:pPr>
        <w:pStyle w:val="PrimerNivel"/>
        <w:numPr>
          <w:ilvl w:val="0"/>
          <w:numId w:val="0"/>
        </w:numPr>
        <w:rPr>
          <w:rFonts w:ascii="Arial" w:hAnsi="Arial" w:cs="Arial"/>
          <w:b/>
          <w:sz w:val="20"/>
          <w:szCs w:val="20"/>
        </w:rPr>
      </w:pPr>
    </w:p>
    <w:p w14:paraId="1D2ED36F" w14:textId="77777777" w:rsidR="00A06BE9" w:rsidRPr="00701F32" w:rsidRDefault="00A06BE9" w:rsidP="00A06BE9">
      <w:pPr>
        <w:pStyle w:val="PrimerNivel"/>
        <w:numPr>
          <w:ilvl w:val="0"/>
          <w:numId w:val="0"/>
        </w:numPr>
        <w:rPr>
          <w:rFonts w:ascii="Arial" w:hAnsi="Arial" w:cs="Arial"/>
          <w:b/>
          <w:sz w:val="20"/>
          <w:szCs w:val="20"/>
        </w:rPr>
      </w:pPr>
      <w:r w:rsidRPr="00701F32">
        <w:rPr>
          <w:rFonts w:ascii="Arial" w:hAnsi="Arial" w:cs="Arial"/>
          <w:b/>
          <w:sz w:val="20"/>
          <w:szCs w:val="20"/>
        </w:rPr>
        <w:t>Obligaciones Negociables subordinadas</w:t>
      </w:r>
    </w:p>
    <w:p w14:paraId="287209D7" w14:textId="77777777" w:rsidR="00A06BE9" w:rsidRPr="00701F32" w:rsidRDefault="00A06BE9" w:rsidP="00A06BE9">
      <w:pPr>
        <w:pStyle w:val="PrimerNivel"/>
        <w:numPr>
          <w:ilvl w:val="0"/>
          <w:numId w:val="0"/>
        </w:numPr>
        <w:ind w:left="66"/>
        <w:rPr>
          <w:rFonts w:ascii="Arial" w:hAnsi="Arial" w:cs="Arial"/>
          <w:b/>
          <w:sz w:val="20"/>
          <w:szCs w:val="20"/>
        </w:rPr>
      </w:pPr>
    </w:p>
    <w:p w14:paraId="39F03FA4" w14:textId="77777777" w:rsidR="00A06BE9" w:rsidRPr="00701F32" w:rsidRDefault="00A06BE9" w:rsidP="00A06BE9">
      <w:pPr>
        <w:tabs>
          <w:tab w:val="left" w:pos="142"/>
          <w:tab w:val="left" w:pos="9923"/>
        </w:tabs>
        <w:jc w:val="both"/>
        <w:rPr>
          <w:rFonts w:ascii="Arial" w:hAnsi="Arial" w:cs="Arial"/>
          <w:b/>
          <w:sz w:val="20"/>
        </w:rPr>
      </w:pPr>
      <w:r w:rsidRPr="00701F32">
        <w:rPr>
          <w:rFonts w:ascii="Arial" w:hAnsi="Arial" w:cs="Arial"/>
          <w:b/>
          <w:sz w:val="20"/>
        </w:rPr>
        <w:t xml:space="preserve">Programa Global de Emisión de Obligaciones Negociables por hasta V/N $ 750.000.000 (ampliado a V/N $2.000.000.000). </w:t>
      </w:r>
    </w:p>
    <w:p w14:paraId="50C65BCE" w14:textId="77777777" w:rsidR="00A06BE9" w:rsidRPr="00701F32" w:rsidRDefault="00A06BE9" w:rsidP="00A06BE9">
      <w:pPr>
        <w:pStyle w:val="Sinespaciado"/>
        <w:jc w:val="both"/>
        <w:rPr>
          <w:rFonts w:ascii="Arial" w:hAnsi="Arial" w:cs="Arial"/>
          <w:sz w:val="20"/>
          <w:szCs w:val="20"/>
        </w:rPr>
      </w:pPr>
    </w:p>
    <w:p w14:paraId="06B55A57" w14:textId="68A3C199" w:rsidR="005C4329" w:rsidRPr="00701F32" w:rsidRDefault="005C4329" w:rsidP="00A06BE9">
      <w:pPr>
        <w:pStyle w:val="Sinespaciado"/>
        <w:jc w:val="both"/>
        <w:rPr>
          <w:rFonts w:ascii="Arial" w:hAnsi="Arial" w:cs="Arial"/>
          <w:sz w:val="20"/>
          <w:szCs w:val="20"/>
        </w:rPr>
      </w:pPr>
      <w:r w:rsidRPr="00701F32">
        <w:rPr>
          <w:rFonts w:ascii="Arial" w:hAnsi="Arial" w:cs="Arial"/>
          <w:sz w:val="20"/>
          <w:szCs w:val="20"/>
        </w:rPr>
        <w:t>Con fecha 25 de marzo de 2013, la Asamblea General Extraordinaria de Accionistas resolvió aprobar la creación de un Programa Global de Emisión de Obligaciones Negociables por hasta un monto máximo en circulación en cualquier momento durante la vigencia del programa de pesos 750.000.000. Al respecto, cabe mencionar que en fecha 15 de abril de 2016 la Asamblea General Ordinaria y Extraordinaria de Accionistas resolvió incrementar el monto máximo de dicho programa hasta un valor nominal de pesos 2.000.000.000 o su equivalente en otras monedas, el cual fue aprobado por CNV mediante resolución N° 18.224 con fecha 22 de septiembre de 2016.</w:t>
      </w:r>
    </w:p>
    <w:p w14:paraId="5070EA2C" w14:textId="77777777" w:rsidR="00A06BE9" w:rsidRPr="00701F32" w:rsidRDefault="00A06BE9" w:rsidP="00A06BE9">
      <w:pPr>
        <w:pStyle w:val="Sinespaciado"/>
        <w:jc w:val="both"/>
        <w:rPr>
          <w:rFonts w:ascii="Arial" w:hAnsi="Arial" w:cs="Arial"/>
          <w:sz w:val="20"/>
          <w:szCs w:val="20"/>
        </w:rPr>
      </w:pPr>
    </w:p>
    <w:p w14:paraId="16D4777F" w14:textId="77777777" w:rsidR="00A06BE9" w:rsidRPr="00701F32" w:rsidRDefault="00A06BE9" w:rsidP="00A06BE9">
      <w:pPr>
        <w:pStyle w:val="PrimerNivel"/>
        <w:numPr>
          <w:ilvl w:val="0"/>
          <w:numId w:val="0"/>
        </w:numPr>
        <w:rPr>
          <w:rFonts w:ascii="Arial" w:hAnsi="Arial" w:cs="Arial"/>
          <w:sz w:val="20"/>
          <w:szCs w:val="20"/>
        </w:rPr>
      </w:pPr>
      <w:r w:rsidRPr="00701F32">
        <w:rPr>
          <w:rFonts w:ascii="Arial" w:hAnsi="Arial" w:cs="Arial"/>
          <w:sz w:val="20"/>
          <w:szCs w:val="20"/>
        </w:rPr>
        <w:t>A continuación, se detallan los principales términos y condiciones de las emisiones vigentes al 3</w:t>
      </w:r>
      <w:r w:rsidR="003E43C5" w:rsidRPr="00701F32">
        <w:rPr>
          <w:rFonts w:ascii="Arial" w:hAnsi="Arial" w:cs="Arial"/>
          <w:sz w:val="20"/>
          <w:szCs w:val="20"/>
        </w:rPr>
        <w:t>0</w:t>
      </w:r>
      <w:r w:rsidRPr="00701F32">
        <w:rPr>
          <w:rFonts w:ascii="Arial" w:hAnsi="Arial" w:cs="Arial"/>
          <w:sz w:val="20"/>
          <w:szCs w:val="20"/>
        </w:rPr>
        <w:t xml:space="preserve"> de </w:t>
      </w:r>
      <w:r w:rsidR="008B64DB" w:rsidRPr="00701F32">
        <w:rPr>
          <w:rFonts w:ascii="Arial" w:hAnsi="Arial" w:cs="Arial"/>
          <w:sz w:val="20"/>
          <w:szCs w:val="20"/>
        </w:rPr>
        <w:t>septiembre</w:t>
      </w:r>
      <w:r w:rsidRPr="00701F32">
        <w:rPr>
          <w:rFonts w:ascii="Arial" w:hAnsi="Arial" w:cs="Arial"/>
          <w:sz w:val="20"/>
          <w:szCs w:val="20"/>
        </w:rPr>
        <w:t xml:space="preserve"> de 2018</w:t>
      </w:r>
      <w:r w:rsidR="006B05D4" w:rsidRPr="00701F32">
        <w:rPr>
          <w:rFonts w:ascii="Arial" w:hAnsi="Arial" w:cs="Arial"/>
          <w:sz w:val="20"/>
          <w:szCs w:val="20"/>
        </w:rPr>
        <w:t xml:space="preserve">, </w:t>
      </w:r>
      <w:r w:rsidRPr="00701F32">
        <w:rPr>
          <w:rFonts w:ascii="Arial" w:hAnsi="Arial" w:cs="Arial"/>
          <w:sz w:val="20"/>
          <w:szCs w:val="20"/>
        </w:rPr>
        <w:t xml:space="preserve">31 de diciembre </w:t>
      </w:r>
      <w:r w:rsidR="006B05D4" w:rsidRPr="00701F32">
        <w:rPr>
          <w:rFonts w:ascii="Arial" w:hAnsi="Arial" w:cs="Arial"/>
          <w:sz w:val="20"/>
          <w:szCs w:val="20"/>
        </w:rPr>
        <w:t xml:space="preserve">y 1 de enero </w:t>
      </w:r>
      <w:r w:rsidRPr="00701F32">
        <w:rPr>
          <w:rFonts w:ascii="Arial" w:hAnsi="Arial" w:cs="Arial"/>
          <w:sz w:val="20"/>
          <w:szCs w:val="20"/>
        </w:rPr>
        <w:t>de 2017:</w:t>
      </w:r>
    </w:p>
    <w:p w14:paraId="6FF910FC" w14:textId="77777777" w:rsidR="00A06BE9" w:rsidRPr="00701F32" w:rsidRDefault="00A06BE9" w:rsidP="00A06BE9">
      <w:pPr>
        <w:pStyle w:val="Sinespaciado"/>
        <w:jc w:val="both"/>
        <w:rPr>
          <w:rFonts w:ascii="Arial" w:hAnsi="Arial" w:cs="Arial"/>
          <w:sz w:val="20"/>
          <w:szCs w:val="20"/>
          <w:lang w:val="es-PE"/>
        </w:rPr>
      </w:pPr>
    </w:p>
    <w:tbl>
      <w:tblPr>
        <w:tblW w:w="9796" w:type="dxa"/>
        <w:tblInd w:w="55" w:type="dxa"/>
        <w:tblLayout w:type="fixed"/>
        <w:tblCellMar>
          <w:left w:w="70" w:type="dxa"/>
          <w:right w:w="70" w:type="dxa"/>
        </w:tblCellMar>
        <w:tblLook w:val="04A0" w:firstRow="1" w:lastRow="0" w:firstColumn="1" w:lastColumn="0" w:noHBand="0" w:noVBand="1"/>
      </w:tblPr>
      <w:tblGrid>
        <w:gridCol w:w="950"/>
        <w:gridCol w:w="726"/>
        <w:gridCol w:w="554"/>
        <w:gridCol w:w="841"/>
        <w:gridCol w:w="1183"/>
        <w:gridCol w:w="746"/>
        <w:gridCol w:w="1004"/>
        <w:gridCol w:w="815"/>
        <w:gridCol w:w="1134"/>
        <w:gridCol w:w="993"/>
        <w:gridCol w:w="850"/>
      </w:tblGrid>
      <w:tr w:rsidR="006B05D4" w:rsidRPr="00701F32" w14:paraId="5EAFF631" w14:textId="77777777" w:rsidTr="00393CEB">
        <w:trPr>
          <w:trHeight w:val="315"/>
        </w:trPr>
        <w:tc>
          <w:tcPr>
            <w:tcW w:w="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0D892F"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Fecha de colocación</w:t>
            </w:r>
          </w:p>
        </w:tc>
        <w:tc>
          <w:tcPr>
            <w:tcW w:w="7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54B0CF" w14:textId="77777777" w:rsidR="006B05D4" w:rsidRPr="00701F32" w:rsidRDefault="006B05D4" w:rsidP="00464C0F">
            <w:pPr>
              <w:jc w:val="center"/>
              <w:rPr>
                <w:rFonts w:ascii="Arial" w:hAnsi="Arial" w:cs="Arial"/>
                <w:color w:val="000000"/>
                <w:sz w:val="14"/>
                <w:szCs w:val="16"/>
                <w:lang w:eastAsia="es-AR"/>
              </w:rPr>
            </w:pPr>
            <w:r w:rsidRPr="00701F32">
              <w:rPr>
                <w:rFonts w:ascii="Arial" w:hAnsi="Arial" w:cs="Arial"/>
                <w:color w:val="000000"/>
                <w:sz w:val="14"/>
                <w:szCs w:val="16"/>
                <w:lang w:eastAsia="es-AR"/>
              </w:rPr>
              <w:t>Moneda</w:t>
            </w:r>
          </w:p>
        </w:tc>
        <w:tc>
          <w:tcPr>
            <w:tcW w:w="5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0FBBC8"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Nro. de Clase</w:t>
            </w:r>
          </w:p>
        </w:tc>
        <w:tc>
          <w:tcPr>
            <w:tcW w:w="8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A3C58C"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Monto</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DE2FD3"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Amortización</w:t>
            </w:r>
          </w:p>
        </w:tc>
        <w:tc>
          <w:tcPr>
            <w:tcW w:w="7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DD92AF"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Plazo</w:t>
            </w:r>
          </w:p>
        </w:tc>
        <w:tc>
          <w:tcPr>
            <w:tcW w:w="10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51261C"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Fecha de vencimiento</w:t>
            </w:r>
          </w:p>
        </w:tc>
        <w:tc>
          <w:tcPr>
            <w:tcW w:w="8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2FAE2E"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Tasa</w:t>
            </w:r>
          </w:p>
        </w:tc>
        <w:tc>
          <w:tcPr>
            <w:tcW w:w="2977" w:type="dxa"/>
            <w:gridSpan w:val="3"/>
            <w:tcBorders>
              <w:top w:val="single" w:sz="8" w:space="0" w:color="auto"/>
              <w:left w:val="nil"/>
              <w:bottom w:val="single" w:sz="8" w:space="0" w:color="auto"/>
              <w:right w:val="single" w:sz="8" w:space="0" w:color="000000"/>
            </w:tcBorders>
            <w:shd w:val="clear" w:color="auto" w:fill="auto"/>
            <w:vAlign w:val="center"/>
            <w:hideMark/>
          </w:tcPr>
          <w:p w14:paraId="0339E26C" w14:textId="77777777" w:rsidR="006B05D4" w:rsidRPr="00701F32" w:rsidRDefault="006B05D4" w:rsidP="00464C0F">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Valor Libros</w:t>
            </w:r>
          </w:p>
        </w:tc>
      </w:tr>
      <w:tr w:rsidR="006B05D4" w:rsidRPr="00701F32" w14:paraId="6F01B466" w14:textId="77777777" w:rsidTr="00393CEB">
        <w:trPr>
          <w:trHeight w:val="315"/>
        </w:trPr>
        <w:tc>
          <w:tcPr>
            <w:tcW w:w="950" w:type="dxa"/>
            <w:vMerge/>
            <w:tcBorders>
              <w:top w:val="single" w:sz="8" w:space="0" w:color="auto"/>
              <w:left w:val="single" w:sz="8" w:space="0" w:color="auto"/>
              <w:bottom w:val="single" w:sz="8" w:space="0" w:color="000000"/>
              <w:right w:val="single" w:sz="8" w:space="0" w:color="auto"/>
            </w:tcBorders>
            <w:vAlign w:val="center"/>
            <w:hideMark/>
          </w:tcPr>
          <w:p w14:paraId="1F848F0C" w14:textId="77777777" w:rsidR="006B05D4" w:rsidRPr="00701F32" w:rsidRDefault="006B05D4" w:rsidP="006B05D4">
            <w:pPr>
              <w:jc w:val="center"/>
              <w:rPr>
                <w:rFonts w:ascii="Arial" w:hAnsi="Arial" w:cs="Arial"/>
                <w:b/>
                <w:color w:val="000000"/>
                <w:sz w:val="14"/>
                <w:szCs w:val="16"/>
                <w:lang w:eastAsia="es-AR"/>
              </w:rPr>
            </w:pPr>
          </w:p>
        </w:tc>
        <w:tc>
          <w:tcPr>
            <w:tcW w:w="726" w:type="dxa"/>
            <w:vMerge/>
            <w:tcBorders>
              <w:top w:val="single" w:sz="8" w:space="0" w:color="auto"/>
              <w:left w:val="single" w:sz="8" w:space="0" w:color="auto"/>
              <w:bottom w:val="single" w:sz="8" w:space="0" w:color="000000"/>
              <w:right w:val="single" w:sz="8" w:space="0" w:color="auto"/>
            </w:tcBorders>
            <w:vAlign w:val="center"/>
            <w:hideMark/>
          </w:tcPr>
          <w:p w14:paraId="3B70704A" w14:textId="77777777" w:rsidR="006B05D4" w:rsidRPr="00701F32" w:rsidRDefault="006B05D4" w:rsidP="006B05D4">
            <w:pPr>
              <w:jc w:val="center"/>
              <w:rPr>
                <w:rFonts w:ascii="Arial" w:hAnsi="Arial" w:cs="Arial"/>
                <w:b/>
                <w:color w:val="000000"/>
                <w:sz w:val="14"/>
                <w:szCs w:val="16"/>
                <w:lang w:eastAsia="es-AR"/>
              </w:rPr>
            </w:pPr>
          </w:p>
        </w:tc>
        <w:tc>
          <w:tcPr>
            <w:tcW w:w="554" w:type="dxa"/>
            <w:vMerge/>
            <w:tcBorders>
              <w:top w:val="single" w:sz="8" w:space="0" w:color="auto"/>
              <w:left w:val="single" w:sz="8" w:space="0" w:color="auto"/>
              <w:bottom w:val="single" w:sz="8" w:space="0" w:color="000000"/>
              <w:right w:val="single" w:sz="8" w:space="0" w:color="auto"/>
            </w:tcBorders>
            <w:vAlign w:val="center"/>
            <w:hideMark/>
          </w:tcPr>
          <w:p w14:paraId="639091CF" w14:textId="77777777" w:rsidR="006B05D4" w:rsidRPr="00701F32" w:rsidRDefault="006B05D4" w:rsidP="006B05D4">
            <w:pPr>
              <w:jc w:val="center"/>
              <w:rPr>
                <w:rFonts w:ascii="Arial" w:hAnsi="Arial" w:cs="Arial"/>
                <w:b/>
                <w:color w:val="000000"/>
                <w:sz w:val="14"/>
                <w:szCs w:val="16"/>
                <w:lang w:eastAsia="es-AR"/>
              </w:rPr>
            </w:pPr>
          </w:p>
        </w:tc>
        <w:tc>
          <w:tcPr>
            <w:tcW w:w="841" w:type="dxa"/>
            <w:vMerge/>
            <w:tcBorders>
              <w:top w:val="single" w:sz="8" w:space="0" w:color="auto"/>
              <w:left w:val="single" w:sz="8" w:space="0" w:color="auto"/>
              <w:bottom w:val="single" w:sz="8" w:space="0" w:color="000000"/>
              <w:right w:val="single" w:sz="8" w:space="0" w:color="auto"/>
            </w:tcBorders>
            <w:vAlign w:val="center"/>
            <w:hideMark/>
          </w:tcPr>
          <w:p w14:paraId="3C36A49E" w14:textId="77777777" w:rsidR="006B05D4" w:rsidRPr="00701F32" w:rsidRDefault="006B05D4" w:rsidP="006B05D4">
            <w:pPr>
              <w:jc w:val="center"/>
              <w:rPr>
                <w:rFonts w:ascii="Arial" w:hAnsi="Arial" w:cs="Arial"/>
                <w:b/>
                <w:color w:val="000000"/>
                <w:sz w:val="14"/>
                <w:szCs w:val="16"/>
                <w:lang w:eastAsia="es-AR"/>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14:paraId="175602E3" w14:textId="77777777" w:rsidR="006B05D4" w:rsidRPr="00701F32" w:rsidRDefault="006B05D4" w:rsidP="006B05D4">
            <w:pPr>
              <w:jc w:val="center"/>
              <w:rPr>
                <w:rFonts w:ascii="Arial" w:hAnsi="Arial" w:cs="Arial"/>
                <w:b/>
                <w:color w:val="000000"/>
                <w:sz w:val="14"/>
                <w:szCs w:val="16"/>
                <w:lang w:eastAsia="es-AR"/>
              </w:rPr>
            </w:pPr>
          </w:p>
        </w:tc>
        <w:tc>
          <w:tcPr>
            <w:tcW w:w="746" w:type="dxa"/>
            <w:vMerge/>
            <w:tcBorders>
              <w:top w:val="single" w:sz="8" w:space="0" w:color="auto"/>
              <w:left w:val="single" w:sz="8" w:space="0" w:color="auto"/>
              <w:bottom w:val="single" w:sz="8" w:space="0" w:color="000000"/>
              <w:right w:val="single" w:sz="8" w:space="0" w:color="auto"/>
            </w:tcBorders>
            <w:vAlign w:val="center"/>
            <w:hideMark/>
          </w:tcPr>
          <w:p w14:paraId="59B98EDD" w14:textId="77777777" w:rsidR="006B05D4" w:rsidRPr="00701F32" w:rsidRDefault="006B05D4" w:rsidP="006B05D4">
            <w:pPr>
              <w:jc w:val="center"/>
              <w:rPr>
                <w:rFonts w:ascii="Arial" w:hAnsi="Arial" w:cs="Arial"/>
                <w:b/>
                <w:color w:val="000000"/>
                <w:sz w:val="14"/>
                <w:szCs w:val="16"/>
                <w:lang w:eastAsia="es-AR"/>
              </w:rPr>
            </w:pPr>
          </w:p>
        </w:tc>
        <w:tc>
          <w:tcPr>
            <w:tcW w:w="1004" w:type="dxa"/>
            <w:vMerge/>
            <w:tcBorders>
              <w:top w:val="single" w:sz="8" w:space="0" w:color="auto"/>
              <w:left w:val="single" w:sz="8" w:space="0" w:color="auto"/>
              <w:bottom w:val="single" w:sz="8" w:space="0" w:color="000000"/>
              <w:right w:val="single" w:sz="8" w:space="0" w:color="auto"/>
            </w:tcBorders>
            <w:vAlign w:val="center"/>
            <w:hideMark/>
          </w:tcPr>
          <w:p w14:paraId="3EAA8A4E" w14:textId="77777777" w:rsidR="006B05D4" w:rsidRPr="00701F32" w:rsidRDefault="006B05D4" w:rsidP="006B05D4">
            <w:pPr>
              <w:jc w:val="center"/>
              <w:rPr>
                <w:rFonts w:ascii="Arial" w:hAnsi="Arial" w:cs="Arial"/>
                <w:b/>
                <w:color w:val="000000"/>
                <w:sz w:val="14"/>
                <w:szCs w:val="16"/>
                <w:lang w:eastAsia="es-AR"/>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14:paraId="2F8899E5" w14:textId="77777777" w:rsidR="006B05D4" w:rsidRPr="00701F32" w:rsidRDefault="006B05D4" w:rsidP="006B05D4">
            <w:pPr>
              <w:jc w:val="center"/>
              <w:rPr>
                <w:rFonts w:ascii="Arial" w:hAnsi="Arial" w:cs="Arial"/>
                <w:b/>
                <w:color w:val="000000"/>
                <w:sz w:val="14"/>
                <w:szCs w:val="16"/>
                <w:lang w:eastAsia="es-AR"/>
              </w:rPr>
            </w:pPr>
          </w:p>
        </w:tc>
        <w:tc>
          <w:tcPr>
            <w:tcW w:w="1134" w:type="dxa"/>
            <w:tcBorders>
              <w:top w:val="nil"/>
              <w:left w:val="nil"/>
              <w:bottom w:val="single" w:sz="8" w:space="0" w:color="auto"/>
              <w:right w:val="single" w:sz="8" w:space="0" w:color="auto"/>
            </w:tcBorders>
            <w:shd w:val="clear" w:color="auto" w:fill="auto"/>
            <w:vAlign w:val="center"/>
            <w:hideMark/>
          </w:tcPr>
          <w:p w14:paraId="2684AB94" w14:textId="77777777" w:rsidR="006B05D4" w:rsidRPr="00701F32" w:rsidRDefault="000F3C06" w:rsidP="006B05D4">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30/0</w:t>
            </w:r>
            <w:r w:rsidR="008B64DB" w:rsidRPr="00701F32">
              <w:rPr>
                <w:rFonts w:ascii="Arial" w:hAnsi="Arial" w:cs="Arial"/>
                <w:b/>
                <w:color w:val="000000"/>
                <w:sz w:val="14"/>
                <w:szCs w:val="16"/>
                <w:lang w:eastAsia="es-AR"/>
              </w:rPr>
              <w:t>9</w:t>
            </w:r>
            <w:r w:rsidRPr="00701F32">
              <w:rPr>
                <w:rFonts w:ascii="Arial" w:hAnsi="Arial" w:cs="Arial"/>
                <w:b/>
                <w:color w:val="000000"/>
                <w:sz w:val="14"/>
                <w:szCs w:val="16"/>
                <w:lang w:eastAsia="es-AR"/>
              </w:rPr>
              <w:t>/2018</w:t>
            </w:r>
          </w:p>
        </w:tc>
        <w:tc>
          <w:tcPr>
            <w:tcW w:w="993" w:type="dxa"/>
            <w:tcBorders>
              <w:top w:val="nil"/>
              <w:left w:val="nil"/>
              <w:bottom w:val="single" w:sz="8" w:space="0" w:color="auto"/>
              <w:right w:val="single" w:sz="8" w:space="0" w:color="auto"/>
            </w:tcBorders>
            <w:shd w:val="clear" w:color="auto" w:fill="auto"/>
            <w:vAlign w:val="center"/>
            <w:hideMark/>
          </w:tcPr>
          <w:p w14:paraId="4AB707E2" w14:textId="77777777" w:rsidR="006B05D4" w:rsidRPr="00701F32" w:rsidRDefault="006B05D4" w:rsidP="006B05D4">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31/12/2017</w:t>
            </w:r>
          </w:p>
        </w:tc>
        <w:tc>
          <w:tcPr>
            <w:tcW w:w="850" w:type="dxa"/>
            <w:tcBorders>
              <w:top w:val="nil"/>
              <w:left w:val="nil"/>
              <w:bottom w:val="single" w:sz="8" w:space="0" w:color="auto"/>
              <w:right w:val="single" w:sz="8" w:space="0" w:color="auto"/>
            </w:tcBorders>
            <w:vAlign w:val="center"/>
          </w:tcPr>
          <w:p w14:paraId="6AB64F00" w14:textId="77777777" w:rsidR="006B05D4" w:rsidRPr="00701F32" w:rsidRDefault="006B05D4" w:rsidP="006B05D4">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01/01/2017</w:t>
            </w:r>
          </w:p>
        </w:tc>
      </w:tr>
      <w:tr w:rsidR="006B05D4" w:rsidRPr="00701F32" w14:paraId="19E47A00" w14:textId="77777777" w:rsidTr="00393CEB">
        <w:trPr>
          <w:trHeight w:val="315"/>
        </w:trPr>
        <w:tc>
          <w:tcPr>
            <w:tcW w:w="950" w:type="dxa"/>
            <w:tcBorders>
              <w:top w:val="nil"/>
              <w:left w:val="single" w:sz="8" w:space="0" w:color="auto"/>
              <w:bottom w:val="single" w:sz="8" w:space="0" w:color="auto"/>
              <w:right w:val="single" w:sz="8" w:space="0" w:color="auto"/>
            </w:tcBorders>
            <w:shd w:val="clear" w:color="auto" w:fill="auto"/>
            <w:noWrap/>
            <w:vAlign w:val="center"/>
          </w:tcPr>
          <w:p w14:paraId="2F72A17F"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4"/>
                <w:lang w:eastAsia="es-AR"/>
              </w:rPr>
              <w:t>11/11/10</w:t>
            </w:r>
          </w:p>
        </w:tc>
        <w:tc>
          <w:tcPr>
            <w:tcW w:w="726" w:type="dxa"/>
            <w:tcBorders>
              <w:top w:val="nil"/>
              <w:left w:val="nil"/>
              <w:bottom w:val="single" w:sz="8" w:space="0" w:color="auto"/>
              <w:right w:val="single" w:sz="8" w:space="0" w:color="auto"/>
            </w:tcBorders>
            <w:shd w:val="clear" w:color="auto" w:fill="auto"/>
            <w:noWrap/>
            <w:vAlign w:val="center"/>
          </w:tcPr>
          <w:p w14:paraId="5BAA431A"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4"/>
                <w:lang w:eastAsia="es-AR"/>
              </w:rPr>
              <w:t>u$s</w:t>
            </w:r>
          </w:p>
        </w:tc>
        <w:tc>
          <w:tcPr>
            <w:tcW w:w="554" w:type="dxa"/>
            <w:tcBorders>
              <w:top w:val="nil"/>
              <w:left w:val="nil"/>
              <w:bottom w:val="single" w:sz="8" w:space="0" w:color="auto"/>
              <w:right w:val="single" w:sz="8" w:space="0" w:color="auto"/>
            </w:tcBorders>
            <w:shd w:val="clear" w:color="auto" w:fill="auto"/>
            <w:noWrap/>
            <w:vAlign w:val="center"/>
          </w:tcPr>
          <w:p w14:paraId="2DDD1E9A"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4"/>
                <w:lang w:eastAsia="es-AR"/>
              </w:rPr>
              <w:t xml:space="preserve">I </w:t>
            </w:r>
          </w:p>
        </w:tc>
        <w:tc>
          <w:tcPr>
            <w:tcW w:w="841" w:type="dxa"/>
            <w:tcBorders>
              <w:top w:val="nil"/>
              <w:left w:val="nil"/>
              <w:bottom w:val="single" w:sz="8" w:space="0" w:color="auto"/>
              <w:right w:val="single" w:sz="8" w:space="0" w:color="auto"/>
            </w:tcBorders>
            <w:shd w:val="clear" w:color="auto" w:fill="auto"/>
            <w:noWrap/>
            <w:vAlign w:val="center"/>
          </w:tcPr>
          <w:p w14:paraId="16EBD1D7"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50.000</w:t>
            </w:r>
          </w:p>
        </w:tc>
        <w:tc>
          <w:tcPr>
            <w:tcW w:w="1183" w:type="dxa"/>
            <w:tcBorders>
              <w:top w:val="nil"/>
              <w:left w:val="nil"/>
              <w:bottom w:val="single" w:sz="8" w:space="0" w:color="auto"/>
              <w:right w:val="single" w:sz="8" w:space="0" w:color="auto"/>
            </w:tcBorders>
            <w:shd w:val="clear" w:color="auto" w:fill="auto"/>
            <w:vAlign w:val="center"/>
          </w:tcPr>
          <w:p w14:paraId="6FDDDB0D"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4"/>
                <w:lang w:eastAsia="es-AR"/>
              </w:rPr>
              <w:t>100% al vto.</w:t>
            </w:r>
          </w:p>
        </w:tc>
        <w:tc>
          <w:tcPr>
            <w:tcW w:w="746" w:type="dxa"/>
            <w:tcBorders>
              <w:top w:val="nil"/>
              <w:left w:val="nil"/>
              <w:bottom w:val="single" w:sz="8" w:space="0" w:color="auto"/>
              <w:right w:val="single" w:sz="8" w:space="0" w:color="auto"/>
            </w:tcBorders>
            <w:shd w:val="clear" w:color="auto" w:fill="auto"/>
            <w:noWrap/>
            <w:vAlign w:val="center"/>
          </w:tcPr>
          <w:p w14:paraId="2D297989" w14:textId="77777777" w:rsidR="006B05D4" w:rsidRPr="00701F32" w:rsidRDefault="006B05D4" w:rsidP="005819B2">
            <w:pPr>
              <w:jc w:val="center"/>
              <w:rPr>
                <w:rFonts w:ascii="Arial" w:hAnsi="Arial" w:cs="Arial"/>
                <w:color w:val="000000"/>
                <w:sz w:val="14"/>
                <w:szCs w:val="16"/>
                <w:lang w:eastAsia="es-AR"/>
              </w:rPr>
            </w:pPr>
            <w:r w:rsidRPr="00701F32">
              <w:rPr>
                <w:rFonts w:ascii="Arial" w:hAnsi="Arial" w:cs="Arial"/>
                <w:color w:val="000000"/>
                <w:sz w:val="14"/>
                <w:szCs w:val="14"/>
                <w:lang w:eastAsia="es-AR"/>
              </w:rPr>
              <w:t>84 Meses</w:t>
            </w:r>
          </w:p>
        </w:tc>
        <w:tc>
          <w:tcPr>
            <w:tcW w:w="1004" w:type="dxa"/>
            <w:tcBorders>
              <w:top w:val="nil"/>
              <w:left w:val="nil"/>
              <w:bottom w:val="single" w:sz="8" w:space="0" w:color="auto"/>
              <w:right w:val="single" w:sz="8" w:space="0" w:color="auto"/>
            </w:tcBorders>
            <w:shd w:val="clear" w:color="auto" w:fill="auto"/>
            <w:noWrap/>
            <w:vAlign w:val="center"/>
          </w:tcPr>
          <w:p w14:paraId="2B284155"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11/11/17</w:t>
            </w:r>
          </w:p>
        </w:tc>
        <w:tc>
          <w:tcPr>
            <w:tcW w:w="815" w:type="dxa"/>
            <w:tcBorders>
              <w:top w:val="nil"/>
              <w:left w:val="nil"/>
              <w:bottom w:val="single" w:sz="8" w:space="0" w:color="auto"/>
              <w:right w:val="single" w:sz="8" w:space="0" w:color="auto"/>
            </w:tcBorders>
            <w:shd w:val="clear" w:color="auto" w:fill="auto"/>
            <w:noWrap/>
            <w:vAlign w:val="center"/>
          </w:tcPr>
          <w:p w14:paraId="425F1513"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11,375</w:t>
            </w:r>
          </w:p>
        </w:tc>
        <w:tc>
          <w:tcPr>
            <w:tcW w:w="1134" w:type="dxa"/>
            <w:tcBorders>
              <w:top w:val="nil"/>
              <w:left w:val="nil"/>
              <w:bottom w:val="single" w:sz="8" w:space="0" w:color="auto"/>
              <w:right w:val="single" w:sz="8" w:space="0" w:color="auto"/>
            </w:tcBorders>
            <w:shd w:val="clear" w:color="auto" w:fill="auto"/>
            <w:noWrap/>
            <w:vAlign w:val="center"/>
          </w:tcPr>
          <w:p w14:paraId="54B84069" w14:textId="77777777" w:rsidR="006B05D4" w:rsidRPr="00701F32" w:rsidRDefault="006B05D4" w:rsidP="006B05D4">
            <w:pPr>
              <w:jc w:val="right"/>
              <w:rPr>
                <w:rFonts w:ascii="Arial" w:hAnsi="Arial" w:cs="Arial"/>
                <w:color w:val="000000"/>
                <w:sz w:val="14"/>
                <w:szCs w:val="16"/>
                <w:lang w:eastAsia="es-AR"/>
              </w:rPr>
            </w:pPr>
          </w:p>
        </w:tc>
        <w:tc>
          <w:tcPr>
            <w:tcW w:w="993" w:type="dxa"/>
            <w:tcBorders>
              <w:top w:val="nil"/>
              <w:left w:val="nil"/>
              <w:bottom w:val="single" w:sz="8" w:space="0" w:color="auto"/>
              <w:right w:val="single" w:sz="8" w:space="0" w:color="auto"/>
            </w:tcBorders>
            <w:shd w:val="clear" w:color="auto" w:fill="auto"/>
            <w:noWrap/>
            <w:vAlign w:val="center"/>
          </w:tcPr>
          <w:p w14:paraId="3B8BD310"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6"/>
                <w:lang w:eastAsia="es-AR"/>
              </w:rPr>
              <w:t>-</w:t>
            </w:r>
          </w:p>
        </w:tc>
        <w:tc>
          <w:tcPr>
            <w:tcW w:w="850" w:type="dxa"/>
            <w:tcBorders>
              <w:top w:val="nil"/>
              <w:left w:val="nil"/>
              <w:bottom w:val="single" w:sz="8" w:space="0" w:color="auto"/>
              <w:right w:val="single" w:sz="8" w:space="0" w:color="auto"/>
            </w:tcBorders>
            <w:vAlign w:val="center"/>
          </w:tcPr>
          <w:p w14:paraId="7E2CDB42"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800.674</w:t>
            </w:r>
          </w:p>
        </w:tc>
      </w:tr>
      <w:tr w:rsidR="006B05D4" w:rsidRPr="00701F32" w14:paraId="765E60A5" w14:textId="77777777" w:rsidTr="00941382">
        <w:trPr>
          <w:trHeight w:val="315"/>
        </w:trPr>
        <w:tc>
          <w:tcPr>
            <w:tcW w:w="950" w:type="dxa"/>
            <w:tcBorders>
              <w:top w:val="nil"/>
              <w:left w:val="single" w:sz="8" w:space="0" w:color="auto"/>
              <w:bottom w:val="single" w:sz="8" w:space="0" w:color="auto"/>
              <w:right w:val="single" w:sz="8" w:space="0" w:color="auto"/>
            </w:tcBorders>
            <w:shd w:val="clear" w:color="auto" w:fill="auto"/>
            <w:noWrap/>
            <w:vAlign w:val="center"/>
            <w:hideMark/>
          </w:tcPr>
          <w:p w14:paraId="6D2911C3"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20/08/13</w:t>
            </w:r>
          </w:p>
        </w:tc>
        <w:tc>
          <w:tcPr>
            <w:tcW w:w="726" w:type="dxa"/>
            <w:tcBorders>
              <w:top w:val="nil"/>
              <w:left w:val="nil"/>
              <w:bottom w:val="single" w:sz="8" w:space="0" w:color="auto"/>
              <w:right w:val="single" w:sz="8" w:space="0" w:color="auto"/>
            </w:tcBorders>
            <w:shd w:val="clear" w:color="auto" w:fill="auto"/>
            <w:noWrap/>
            <w:vAlign w:val="center"/>
            <w:hideMark/>
          </w:tcPr>
          <w:p w14:paraId="5B9B55C8"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u$s</w:t>
            </w:r>
          </w:p>
        </w:tc>
        <w:tc>
          <w:tcPr>
            <w:tcW w:w="554" w:type="dxa"/>
            <w:tcBorders>
              <w:top w:val="nil"/>
              <w:left w:val="nil"/>
              <w:bottom w:val="single" w:sz="8" w:space="0" w:color="auto"/>
              <w:right w:val="single" w:sz="8" w:space="0" w:color="auto"/>
            </w:tcBorders>
            <w:shd w:val="clear" w:color="auto" w:fill="auto"/>
            <w:noWrap/>
            <w:vAlign w:val="center"/>
            <w:hideMark/>
          </w:tcPr>
          <w:p w14:paraId="7136C1E1"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III</w:t>
            </w:r>
          </w:p>
        </w:tc>
        <w:tc>
          <w:tcPr>
            <w:tcW w:w="841" w:type="dxa"/>
            <w:tcBorders>
              <w:top w:val="nil"/>
              <w:left w:val="nil"/>
              <w:bottom w:val="single" w:sz="8" w:space="0" w:color="auto"/>
              <w:right w:val="single" w:sz="8" w:space="0" w:color="auto"/>
            </w:tcBorders>
            <w:shd w:val="clear" w:color="auto" w:fill="auto"/>
            <w:noWrap/>
            <w:vAlign w:val="center"/>
            <w:hideMark/>
          </w:tcPr>
          <w:p w14:paraId="5CB8C7FA"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22.500</w:t>
            </w:r>
          </w:p>
        </w:tc>
        <w:tc>
          <w:tcPr>
            <w:tcW w:w="1183" w:type="dxa"/>
            <w:tcBorders>
              <w:top w:val="nil"/>
              <w:left w:val="nil"/>
              <w:bottom w:val="single" w:sz="8" w:space="0" w:color="auto"/>
              <w:right w:val="single" w:sz="8" w:space="0" w:color="auto"/>
            </w:tcBorders>
            <w:shd w:val="clear" w:color="auto" w:fill="auto"/>
            <w:vAlign w:val="center"/>
            <w:hideMark/>
          </w:tcPr>
          <w:p w14:paraId="37DCA9BF"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100% al vto.</w:t>
            </w:r>
          </w:p>
        </w:tc>
        <w:tc>
          <w:tcPr>
            <w:tcW w:w="746" w:type="dxa"/>
            <w:tcBorders>
              <w:top w:val="nil"/>
              <w:left w:val="nil"/>
              <w:bottom w:val="single" w:sz="8" w:space="0" w:color="auto"/>
              <w:right w:val="single" w:sz="8" w:space="0" w:color="auto"/>
            </w:tcBorders>
            <w:shd w:val="clear" w:color="auto" w:fill="auto"/>
            <w:noWrap/>
            <w:vAlign w:val="center"/>
            <w:hideMark/>
          </w:tcPr>
          <w:p w14:paraId="2768DBC1" w14:textId="77777777" w:rsidR="006B05D4" w:rsidRPr="00701F32" w:rsidRDefault="006B05D4">
            <w:pPr>
              <w:jc w:val="center"/>
              <w:rPr>
                <w:rFonts w:ascii="Arial" w:hAnsi="Arial" w:cs="Arial"/>
                <w:color w:val="000000"/>
                <w:sz w:val="14"/>
                <w:szCs w:val="16"/>
                <w:lang w:eastAsia="es-AR"/>
              </w:rPr>
            </w:pPr>
            <w:r w:rsidRPr="00701F32">
              <w:rPr>
                <w:rFonts w:ascii="Arial" w:hAnsi="Arial" w:cs="Arial"/>
                <w:color w:val="000000"/>
                <w:sz w:val="14"/>
                <w:szCs w:val="16"/>
                <w:lang w:eastAsia="es-AR"/>
              </w:rPr>
              <w:t>84 Meses</w:t>
            </w:r>
          </w:p>
        </w:tc>
        <w:tc>
          <w:tcPr>
            <w:tcW w:w="1004" w:type="dxa"/>
            <w:tcBorders>
              <w:top w:val="nil"/>
              <w:left w:val="nil"/>
              <w:bottom w:val="single" w:sz="8" w:space="0" w:color="auto"/>
              <w:right w:val="single" w:sz="8" w:space="0" w:color="auto"/>
            </w:tcBorders>
            <w:shd w:val="clear" w:color="auto" w:fill="auto"/>
            <w:noWrap/>
            <w:vAlign w:val="center"/>
            <w:hideMark/>
          </w:tcPr>
          <w:p w14:paraId="7CC34D02"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20/08/20</w:t>
            </w:r>
          </w:p>
        </w:tc>
        <w:tc>
          <w:tcPr>
            <w:tcW w:w="815" w:type="dxa"/>
            <w:tcBorders>
              <w:top w:val="nil"/>
              <w:left w:val="nil"/>
              <w:bottom w:val="single" w:sz="8" w:space="0" w:color="auto"/>
              <w:right w:val="single" w:sz="8" w:space="0" w:color="auto"/>
            </w:tcBorders>
            <w:shd w:val="clear" w:color="auto" w:fill="auto"/>
            <w:noWrap/>
            <w:vAlign w:val="center"/>
            <w:hideMark/>
          </w:tcPr>
          <w:p w14:paraId="6B6E3405"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7</w:t>
            </w:r>
          </w:p>
        </w:tc>
        <w:tc>
          <w:tcPr>
            <w:tcW w:w="1134" w:type="dxa"/>
            <w:tcBorders>
              <w:top w:val="nil"/>
              <w:left w:val="nil"/>
              <w:bottom w:val="single" w:sz="8" w:space="0" w:color="auto"/>
              <w:right w:val="single" w:sz="8" w:space="0" w:color="auto"/>
            </w:tcBorders>
            <w:shd w:val="clear" w:color="auto" w:fill="auto"/>
            <w:noWrap/>
            <w:vAlign w:val="center"/>
          </w:tcPr>
          <w:p w14:paraId="7DCE8C0A" w14:textId="4A1E6E17" w:rsidR="006B05D4" w:rsidRPr="00701F32" w:rsidRDefault="001E6D8B"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val="es-ES_tradnl" w:eastAsia="es-AR"/>
              </w:rPr>
              <w:t>926.460</w:t>
            </w:r>
          </w:p>
        </w:tc>
        <w:tc>
          <w:tcPr>
            <w:tcW w:w="993" w:type="dxa"/>
            <w:tcBorders>
              <w:top w:val="nil"/>
              <w:left w:val="nil"/>
              <w:bottom w:val="single" w:sz="8" w:space="0" w:color="auto"/>
              <w:right w:val="single" w:sz="8" w:space="0" w:color="auto"/>
            </w:tcBorders>
            <w:shd w:val="clear" w:color="auto" w:fill="auto"/>
            <w:noWrap/>
            <w:vAlign w:val="center"/>
            <w:hideMark/>
          </w:tcPr>
          <w:p w14:paraId="77DF4EF2"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431.701</w:t>
            </w:r>
          </w:p>
        </w:tc>
        <w:tc>
          <w:tcPr>
            <w:tcW w:w="850" w:type="dxa"/>
            <w:tcBorders>
              <w:top w:val="nil"/>
              <w:left w:val="nil"/>
              <w:bottom w:val="single" w:sz="8" w:space="0" w:color="auto"/>
              <w:right w:val="single" w:sz="8" w:space="0" w:color="auto"/>
            </w:tcBorders>
            <w:vAlign w:val="center"/>
          </w:tcPr>
          <w:p w14:paraId="4CE488BC"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363.623</w:t>
            </w:r>
          </w:p>
        </w:tc>
      </w:tr>
      <w:tr w:rsidR="006B05D4" w:rsidRPr="00701F32" w14:paraId="1C53E9A0" w14:textId="77777777" w:rsidTr="00941382">
        <w:trPr>
          <w:trHeight w:val="315"/>
        </w:trPr>
        <w:tc>
          <w:tcPr>
            <w:tcW w:w="950" w:type="dxa"/>
            <w:tcBorders>
              <w:top w:val="nil"/>
              <w:left w:val="single" w:sz="8" w:space="0" w:color="auto"/>
              <w:bottom w:val="single" w:sz="8" w:space="0" w:color="auto"/>
              <w:right w:val="single" w:sz="8" w:space="0" w:color="auto"/>
            </w:tcBorders>
            <w:shd w:val="clear" w:color="auto" w:fill="auto"/>
            <w:noWrap/>
            <w:vAlign w:val="center"/>
            <w:hideMark/>
          </w:tcPr>
          <w:p w14:paraId="1DAE9DAB"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18/11/14</w:t>
            </w:r>
          </w:p>
        </w:tc>
        <w:tc>
          <w:tcPr>
            <w:tcW w:w="726" w:type="dxa"/>
            <w:tcBorders>
              <w:top w:val="nil"/>
              <w:left w:val="nil"/>
              <w:bottom w:val="single" w:sz="8" w:space="0" w:color="auto"/>
              <w:right w:val="single" w:sz="8" w:space="0" w:color="auto"/>
            </w:tcBorders>
            <w:shd w:val="clear" w:color="auto" w:fill="auto"/>
            <w:noWrap/>
            <w:vAlign w:val="center"/>
            <w:hideMark/>
          </w:tcPr>
          <w:p w14:paraId="4EE3692F"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u$s</w:t>
            </w:r>
          </w:p>
        </w:tc>
        <w:tc>
          <w:tcPr>
            <w:tcW w:w="554" w:type="dxa"/>
            <w:tcBorders>
              <w:top w:val="nil"/>
              <w:left w:val="nil"/>
              <w:bottom w:val="single" w:sz="8" w:space="0" w:color="auto"/>
              <w:right w:val="single" w:sz="8" w:space="0" w:color="auto"/>
            </w:tcBorders>
            <w:shd w:val="clear" w:color="auto" w:fill="auto"/>
            <w:noWrap/>
            <w:vAlign w:val="center"/>
            <w:hideMark/>
          </w:tcPr>
          <w:p w14:paraId="05471588"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IV</w:t>
            </w:r>
          </w:p>
        </w:tc>
        <w:tc>
          <w:tcPr>
            <w:tcW w:w="841" w:type="dxa"/>
            <w:tcBorders>
              <w:top w:val="nil"/>
              <w:left w:val="nil"/>
              <w:bottom w:val="single" w:sz="8" w:space="0" w:color="auto"/>
              <w:right w:val="single" w:sz="8" w:space="0" w:color="auto"/>
            </w:tcBorders>
            <w:shd w:val="clear" w:color="auto" w:fill="auto"/>
            <w:noWrap/>
            <w:vAlign w:val="center"/>
            <w:hideMark/>
          </w:tcPr>
          <w:p w14:paraId="1311B3A3"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13.441</w:t>
            </w:r>
          </w:p>
        </w:tc>
        <w:tc>
          <w:tcPr>
            <w:tcW w:w="1183" w:type="dxa"/>
            <w:tcBorders>
              <w:top w:val="nil"/>
              <w:left w:val="nil"/>
              <w:bottom w:val="single" w:sz="8" w:space="0" w:color="auto"/>
              <w:right w:val="single" w:sz="8" w:space="0" w:color="auto"/>
            </w:tcBorders>
            <w:shd w:val="clear" w:color="auto" w:fill="auto"/>
            <w:vAlign w:val="center"/>
            <w:hideMark/>
          </w:tcPr>
          <w:p w14:paraId="292534A8" w14:textId="77777777" w:rsidR="006B05D4" w:rsidRPr="00701F32" w:rsidRDefault="006B05D4" w:rsidP="006B05D4">
            <w:pPr>
              <w:jc w:val="both"/>
              <w:rPr>
                <w:rFonts w:ascii="Arial" w:hAnsi="Arial" w:cs="Arial"/>
                <w:color w:val="000000"/>
                <w:sz w:val="14"/>
                <w:szCs w:val="16"/>
                <w:lang w:eastAsia="es-AR"/>
              </w:rPr>
            </w:pPr>
            <w:r w:rsidRPr="00701F32">
              <w:rPr>
                <w:rFonts w:ascii="Arial" w:hAnsi="Arial" w:cs="Arial"/>
                <w:color w:val="000000"/>
                <w:sz w:val="14"/>
                <w:szCs w:val="16"/>
                <w:lang w:eastAsia="es-AR"/>
              </w:rPr>
              <w:t>100% al vto.</w:t>
            </w:r>
          </w:p>
        </w:tc>
        <w:tc>
          <w:tcPr>
            <w:tcW w:w="746" w:type="dxa"/>
            <w:tcBorders>
              <w:top w:val="nil"/>
              <w:left w:val="nil"/>
              <w:bottom w:val="single" w:sz="8" w:space="0" w:color="auto"/>
              <w:right w:val="single" w:sz="8" w:space="0" w:color="auto"/>
            </w:tcBorders>
            <w:shd w:val="clear" w:color="auto" w:fill="auto"/>
            <w:noWrap/>
            <w:vAlign w:val="center"/>
            <w:hideMark/>
          </w:tcPr>
          <w:p w14:paraId="1361CC9A" w14:textId="77777777" w:rsidR="006B05D4" w:rsidRPr="00701F32" w:rsidRDefault="006B05D4" w:rsidP="0086282C">
            <w:pPr>
              <w:jc w:val="center"/>
              <w:rPr>
                <w:rFonts w:ascii="Arial" w:hAnsi="Arial" w:cs="Arial"/>
                <w:color w:val="000000"/>
                <w:sz w:val="14"/>
                <w:szCs w:val="16"/>
                <w:lang w:eastAsia="es-AR"/>
              </w:rPr>
            </w:pPr>
            <w:r w:rsidRPr="00701F32">
              <w:rPr>
                <w:rFonts w:ascii="Arial" w:hAnsi="Arial" w:cs="Arial"/>
                <w:color w:val="000000"/>
                <w:sz w:val="14"/>
                <w:szCs w:val="16"/>
                <w:lang w:eastAsia="es-AR"/>
              </w:rPr>
              <w:t>84 Meses</w:t>
            </w:r>
          </w:p>
        </w:tc>
        <w:tc>
          <w:tcPr>
            <w:tcW w:w="1004" w:type="dxa"/>
            <w:tcBorders>
              <w:top w:val="nil"/>
              <w:left w:val="nil"/>
              <w:bottom w:val="single" w:sz="8" w:space="0" w:color="auto"/>
              <w:right w:val="single" w:sz="8" w:space="0" w:color="auto"/>
            </w:tcBorders>
            <w:shd w:val="clear" w:color="auto" w:fill="auto"/>
            <w:noWrap/>
            <w:vAlign w:val="center"/>
            <w:hideMark/>
          </w:tcPr>
          <w:p w14:paraId="29F2F2EF"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18/11/21</w:t>
            </w:r>
          </w:p>
        </w:tc>
        <w:tc>
          <w:tcPr>
            <w:tcW w:w="815" w:type="dxa"/>
            <w:tcBorders>
              <w:top w:val="nil"/>
              <w:left w:val="nil"/>
              <w:bottom w:val="single" w:sz="8" w:space="0" w:color="auto"/>
              <w:right w:val="single" w:sz="8" w:space="0" w:color="auto"/>
            </w:tcBorders>
            <w:shd w:val="clear" w:color="auto" w:fill="auto"/>
            <w:noWrap/>
            <w:vAlign w:val="center"/>
            <w:hideMark/>
          </w:tcPr>
          <w:p w14:paraId="685E7D22"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7</w:t>
            </w:r>
          </w:p>
        </w:tc>
        <w:tc>
          <w:tcPr>
            <w:tcW w:w="1134" w:type="dxa"/>
            <w:tcBorders>
              <w:top w:val="nil"/>
              <w:left w:val="nil"/>
              <w:bottom w:val="single" w:sz="8" w:space="0" w:color="auto"/>
              <w:right w:val="single" w:sz="8" w:space="0" w:color="auto"/>
            </w:tcBorders>
            <w:shd w:val="clear" w:color="auto" w:fill="auto"/>
            <w:noWrap/>
            <w:vAlign w:val="center"/>
          </w:tcPr>
          <w:p w14:paraId="0BF3780B" w14:textId="0C725049" w:rsidR="006B05D4" w:rsidRPr="00701F32" w:rsidRDefault="001E6D8B"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val="es-ES_tradnl" w:eastAsia="es-AR"/>
              </w:rPr>
              <w:t>563.786</w:t>
            </w:r>
          </w:p>
        </w:tc>
        <w:tc>
          <w:tcPr>
            <w:tcW w:w="993" w:type="dxa"/>
            <w:tcBorders>
              <w:top w:val="nil"/>
              <w:left w:val="nil"/>
              <w:bottom w:val="single" w:sz="8" w:space="0" w:color="auto"/>
              <w:right w:val="single" w:sz="8" w:space="0" w:color="auto"/>
            </w:tcBorders>
            <w:shd w:val="clear" w:color="auto" w:fill="auto"/>
            <w:noWrap/>
            <w:vAlign w:val="center"/>
            <w:hideMark/>
          </w:tcPr>
          <w:p w14:paraId="1650E6AF" w14:textId="77777777" w:rsidR="006B05D4" w:rsidRPr="00701F32" w:rsidRDefault="006B05D4" w:rsidP="0086282C">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254.172</w:t>
            </w:r>
          </w:p>
        </w:tc>
        <w:tc>
          <w:tcPr>
            <w:tcW w:w="850" w:type="dxa"/>
            <w:tcBorders>
              <w:top w:val="nil"/>
              <w:left w:val="nil"/>
              <w:bottom w:val="single" w:sz="8" w:space="0" w:color="auto"/>
              <w:right w:val="single" w:sz="8" w:space="0" w:color="auto"/>
            </w:tcBorders>
            <w:vAlign w:val="center"/>
          </w:tcPr>
          <w:p w14:paraId="38AE9341" w14:textId="77777777" w:rsidR="006B05D4" w:rsidRPr="00701F32" w:rsidRDefault="006B05D4" w:rsidP="006B05D4">
            <w:pPr>
              <w:jc w:val="right"/>
              <w:rPr>
                <w:rFonts w:ascii="Arial" w:hAnsi="Arial" w:cs="Arial"/>
                <w:color w:val="000000"/>
                <w:sz w:val="14"/>
                <w:szCs w:val="16"/>
                <w:lang w:eastAsia="es-AR"/>
              </w:rPr>
            </w:pPr>
            <w:r w:rsidRPr="00701F32">
              <w:rPr>
                <w:rFonts w:ascii="Arial" w:hAnsi="Arial" w:cs="Arial"/>
                <w:color w:val="000000"/>
                <w:sz w:val="14"/>
                <w:szCs w:val="14"/>
                <w:lang w:eastAsia="es-AR"/>
              </w:rPr>
              <w:t>214.461</w:t>
            </w:r>
          </w:p>
        </w:tc>
      </w:tr>
      <w:tr w:rsidR="006B05D4" w:rsidRPr="00701F32" w14:paraId="050D4A6B" w14:textId="77777777" w:rsidTr="00941382">
        <w:trPr>
          <w:trHeight w:val="315"/>
        </w:trPr>
        <w:tc>
          <w:tcPr>
            <w:tcW w:w="6004" w:type="dxa"/>
            <w:gridSpan w:val="7"/>
            <w:tcBorders>
              <w:top w:val="single" w:sz="8" w:space="0" w:color="auto"/>
              <w:left w:val="nil"/>
              <w:bottom w:val="nil"/>
              <w:right w:val="single" w:sz="8" w:space="0" w:color="000000"/>
            </w:tcBorders>
            <w:shd w:val="clear" w:color="auto" w:fill="auto"/>
            <w:noWrap/>
            <w:vAlign w:val="center"/>
          </w:tcPr>
          <w:p w14:paraId="5A365DC4" w14:textId="77777777" w:rsidR="006B05D4" w:rsidRPr="00701F32" w:rsidRDefault="006B05D4" w:rsidP="006B05D4">
            <w:pPr>
              <w:jc w:val="both"/>
              <w:rPr>
                <w:rFonts w:ascii="Arial" w:hAnsi="Arial" w:cs="Arial"/>
                <w:color w:val="000000"/>
                <w:sz w:val="14"/>
                <w:szCs w:val="16"/>
                <w:lang w:eastAsia="es-AR"/>
              </w:rPr>
            </w:pPr>
          </w:p>
        </w:tc>
        <w:tc>
          <w:tcPr>
            <w:tcW w:w="815" w:type="dxa"/>
            <w:tcBorders>
              <w:top w:val="nil"/>
              <w:left w:val="nil"/>
              <w:bottom w:val="single" w:sz="8" w:space="0" w:color="auto"/>
              <w:right w:val="single" w:sz="8" w:space="0" w:color="auto"/>
            </w:tcBorders>
            <w:shd w:val="clear" w:color="auto" w:fill="auto"/>
            <w:noWrap/>
            <w:vAlign w:val="center"/>
            <w:hideMark/>
          </w:tcPr>
          <w:p w14:paraId="72B7FC58" w14:textId="77777777" w:rsidR="006B05D4" w:rsidRPr="00701F32" w:rsidRDefault="006B05D4" w:rsidP="006B05D4">
            <w:pPr>
              <w:jc w:val="both"/>
              <w:rPr>
                <w:rFonts w:ascii="Arial" w:hAnsi="Arial" w:cs="Arial"/>
                <w:b/>
                <w:bCs/>
                <w:color w:val="000000"/>
                <w:sz w:val="14"/>
                <w:szCs w:val="16"/>
                <w:lang w:eastAsia="es-AR"/>
              </w:rPr>
            </w:pPr>
            <w:r w:rsidRPr="00701F32">
              <w:rPr>
                <w:rFonts w:ascii="Arial" w:hAnsi="Arial" w:cs="Arial"/>
                <w:b/>
                <w:bCs/>
                <w:color w:val="000000"/>
                <w:sz w:val="14"/>
                <w:szCs w:val="16"/>
                <w:lang w:eastAsia="es-AR"/>
              </w:rPr>
              <w:t>Total</w:t>
            </w:r>
          </w:p>
        </w:tc>
        <w:tc>
          <w:tcPr>
            <w:tcW w:w="1134" w:type="dxa"/>
            <w:tcBorders>
              <w:top w:val="nil"/>
              <w:left w:val="nil"/>
              <w:bottom w:val="single" w:sz="8" w:space="0" w:color="auto"/>
              <w:right w:val="single" w:sz="8" w:space="0" w:color="auto"/>
            </w:tcBorders>
            <w:shd w:val="clear" w:color="auto" w:fill="auto"/>
            <w:noWrap/>
            <w:vAlign w:val="center"/>
          </w:tcPr>
          <w:p w14:paraId="1758BB80" w14:textId="187EB186" w:rsidR="006B05D4" w:rsidRPr="00701F32" w:rsidRDefault="001E6D8B" w:rsidP="0086282C">
            <w:pPr>
              <w:jc w:val="right"/>
              <w:rPr>
                <w:rFonts w:ascii="Arial" w:hAnsi="Arial" w:cs="Arial"/>
                <w:b/>
                <w:bCs/>
                <w:color w:val="000000"/>
                <w:sz w:val="14"/>
                <w:szCs w:val="16"/>
                <w:lang w:val="es-ES_tradnl" w:eastAsia="es-AR"/>
              </w:rPr>
            </w:pPr>
            <w:r w:rsidRPr="00701F32">
              <w:rPr>
                <w:rFonts w:ascii="Arial" w:hAnsi="Arial" w:cs="Arial"/>
                <w:b/>
                <w:bCs/>
                <w:color w:val="000000"/>
                <w:sz w:val="14"/>
                <w:szCs w:val="16"/>
                <w:lang w:val="es-ES_tradnl" w:eastAsia="es-AR"/>
              </w:rPr>
              <w:t>1.490.246</w:t>
            </w:r>
          </w:p>
        </w:tc>
        <w:tc>
          <w:tcPr>
            <w:tcW w:w="993" w:type="dxa"/>
            <w:tcBorders>
              <w:top w:val="nil"/>
              <w:left w:val="nil"/>
              <w:bottom w:val="single" w:sz="8" w:space="0" w:color="auto"/>
              <w:right w:val="single" w:sz="8" w:space="0" w:color="auto"/>
            </w:tcBorders>
            <w:shd w:val="clear" w:color="auto" w:fill="auto"/>
            <w:noWrap/>
            <w:vAlign w:val="center"/>
            <w:hideMark/>
          </w:tcPr>
          <w:p w14:paraId="421DD6F8" w14:textId="77777777" w:rsidR="006B05D4" w:rsidRPr="00701F32" w:rsidRDefault="006B05D4" w:rsidP="0086282C">
            <w:pPr>
              <w:jc w:val="right"/>
              <w:rPr>
                <w:rFonts w:ascii="Arial" w:hAnsi="Arial" w:cs="Arial"/>
                <w:b/>
                <w:bCs/>
                <w:color w:val="000000"/>
                <w:sz w:val="14"/>
                <w:szCs w:val="16"/>
                <w:lang w:val="es-ES_tradnl" w:eastAsia="es-AR"/>
              </w:rPr>
            </w:pPr>
            <w:r w:rsidRPr="00701F32">
              <w:rPr>
                <w:rFonts w:ascii="Arial" w:hAnsi="Arial" w:cs="Arial"/>
                <w:b/>
                <w:bCs/>
                <w:color w:val="000000"/>
                <w:sz w:val="14"/>
                <w:szCs w:val="16"/>
                <w:lang w:eastAsia="es-AR"/>
              </w:rPr>
              <w:t>685.873</w:t>
            </w:r>
          </w:p>
        </w:tc>
        <w:tc>
          <w:tcPr>
            <w:tcW w:w="850" w:type="dxa"/>
            <w:tcBorders>
              <w:top w:val="nil"/>
              <w:left w:val="nil"/>
              <w:bottom w:val="single" w:sz="8" w:space="0" w:color="auto"/>
              <w:right w:val="single" w:sz="8" w:space="0" w:color="auto"/>
            </w:tcBorders>
            <w:vAlign w:val="center"/>
          </w:tcPr>
          <w:p w14:paraId="0DCCCE26" w14:textId="77777777" w:rsidR="006B05D4" w:rsidRPr="00701F32" w:rsidRDefault="006B05D4">
            <w:pPr>
              <w:jc w:val="right"/>
              <w:rPr>
                <w:rFonts w:ascii="Arial" w:hAnsi="Arial" w:cs="Arial"/>
                <w:b/>
                <w:bCs/>
                <w:color w:val="000000"/>
                <w:sz w:val="14"/>
                <w:szCs w:val="16"/>
                <w:lang w:eastAsia="es-AR"/>
              </w:rPr>
            </w:pPr>
            <w:r w:rsidRPr="00701F32">
              <w:rPr>
                <w:rFonts w:ascii="Arial" w:hAnsi="Arial" w:cs="Arial"/>
                <w:b/>
                <w:bCs/>
                <w:color w:val="000000"/>
                <w:sz w:val="14"/>
                <w:szCs w:val="16"/>
                <w:lang w:eastAsia="es-AR"/>
              </w:rPr>
              <w:t>1.378.758</w:t>
            </w:r>
          </w:p>
        </w:tc>
      </w:tr>
    </w:tbl>
    <w:p w14:paraId="69ECB0B4" w14:textId="77777777" w:rsidR="00A06BE9" w:rsidRPr="00701F32" w:rsidRDefault="00A06BE9" w:rsidP="00A06BE9">
      <w:pPr>
        <w:tabs>
          <w:tab w:val="left" w:pos="142"/>
        </w:tabs>
        <w:jc w:val="both"/>
        <w:rPr>
          <w:rFonts w:ascii="Arial" w:hAnsi="Arial" w:cs="Arial"/>
          <w:b/>
          <w:sz w:val="20"/>
        </w:rPr>
      </w:pPr>
    </w:p>
    <w:p w14:paraId="21923315" w14:textId="1687DE32" w:rsidR="00CC58AD" w:rsidRPr="00701F32" w:rsidRDefault="00CC58AD" w:rsidP="00A06BE9">
      <w:pPr>
        <w:tabs>
          <w:tab w:val="left" w:pos="142"/>
        </w:tabs>
        <w:jc w:val="both"/>
        <w:rPr>
          <w:rFonts w:ascii="Arial" w:hAnsi="Arial" w:cs="Arial"/>
          <w:sz w:val="20"/>
        </w:rPr>
      </w:pPr>
      <w:r w:rsidRPr="00701F32">
        <w:rPr>
          <w:rFonts w:ascii="Arial" w:hAnsi="Arial" w:cs="Arial"/>
          <w:sz w:val="20"/>
        </w:rPr>
        <w:t>Con fecha 6 de agosto de 2018 el Directorio resolvió solicitar a la CNV el registro del Banco como emisor frecuente de obligaciones negociables, y la consecuente autorización de oferta pública para emitir obligaciones negociables bajo el régimen referido, en los términos previstos en la Resolución y presentando ante el mencionado organismo toda la documentación necesaria a tales fines.</w:t>
      </w:r>
    </w:p>
    <w:p w14:paraId="00BE705E" w14:textId="77777777" w:rsidR="00CC58AD" w:rsidRPr="00701F32" w:rsidRDefault="00CC58AD" w:rsidP="00A06BE9">
      <w:pPr>
        <w:tabs>
          <w:tab w:val="left" w:pos="142"/>
        </w:tabs>
        <w:jc w:val="both"/>
        <w:rPr>
          <w:rFonts w:ascii="Arial" w:hAnsi="Arial" w:cs="Arial"/>
          <w:b/>
          <w:sz w:val="20"/>
        </w:rPr>
      </w:pPr>
    </w:p>
    <w:p w14:paraId="3843CE52" w14:textId="77777777" w:rsidR="00A06BE9" w:rsidRPr="00701F32" w:rsidRDefault="00AF3A00" w:rsidP="00A06BE9">
      <w:pPr>
        <w:tabs>
          <w:tab w:val="left" w:pos="142"/>
        </w:tabs>
        <w:jc w:val="both"/>
        <w:rPr>
          <w:rFonts w:ascii="Arial" w:hAnsi="Arial" w:cs="Arial"/>
          <w:b/>
          <w:sz w:val="20"/>
        </w:rPr>
      </w:pPr>
      <w:r w:rsidRPr="00701F32">
        <w:rPr>
          <w:rFonts w:ascii="Arial" w:hAnsi="Arial" w:cs="Arial"/>
          <w:b/>
          <w:sz w:val="20"/>
        </w:rPr>
        <w:t>15</w:t>
      </w:r>
      <w:r w:rsidR="00A06BE9" w:rsidRPr="00701F32">
        <w:rPr>
          <w:rFonts w:ascii="Arial" w:hAnsi="Arial" w:cs="Arial"/>
          <w:b/>
          <w:sz w:val="20"/>
        </w:rPr>
        <w:t>.9 Restricciones para la distribución de utilidades</w:t>
      </w:r>
    </w:p>
    <w:p w14:paraId="1C4EECF8" w14:textId="77777777" w:rsidR="00A06BE9" w:rsidRPr="00701F32" w:rsidRDefault="00A06BE9" w:rsidP="00A06BE9">
      <w:pPr>
        <w:tabs>
          <w:tab w:val="left" w:pos="142"/>
        </w:tabs>
        <w:jc w:val="both"/>
        <w:rPr>
          <w:rFonts w:ascii="Arial" w:hAnsi="Arial" w:cs="Arial"/>
          <w:b/>
          <w:sz w:val="20"/>
        </w:rPr>
      </w:pPr>
    </w:p>
    <w:p w14:paraId="1AE59D05"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Conforme a las regulaciones establecidas por el B.C.R.A., corresponde asignar a reserva legal el 20% de las utilidades del ejercicio netas de los eventuales ajustes de ejercicios anteriores, en caso de corresponder.</w:t>
      </w:r>
    </w:p>
    <w:p w14:paraId="75C581C2" w14:textId="77777777" w:rsidR="00A06BE9" w:rsidRPr="00701F32" w:rsidRDefault="00A06BE9" w:rsidP="00A06BE9">
      <w:pPr>
        <w:tabs>
          <w:tab w:val="left" w:pos="142"/>
        </w:tabs>
        <w:jc w:val="both"/>
        <w:rPr>
          <w:rFonts w:ascii="Arial" w:hAnsi="Arial" w:cs="Arial"/>
          <w:sz w:val="20"/>
        </w:rPr>
      </w:pPr>
    </w:p>
    <w:p w14:paraId="350FF17A"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Según lo estipulado en el texto ordenado sobre distribución de resultados, las entidades financieras deberán dar cumplimiento a una serie de requerimientos entre los que se destacan: i) No encontrarse alcanzada por las disposiciones de los artículos 34 y 35 bis de la Ley de Entidades Financieras, ii) No registrar asistencia por iliquidez, iii) No presentar atrasos o incumplimientos en los regímenes informativos, iv) No registrar deficiencias de integración de capital mínimo (sin computar a tales fines los efectos de las franquicias otorgadas por la Superintendencia de Entidades Financieras y Cambiarias) o de efectivo mínimo, v) haber dado cumplimiento a los márgenes adicionales de capital que les sean de aplicación.</w:t>
      </w:r>
    </w:p>
    <w:p w14:paraId="3FAFB4DB" w14:textId="77777777" w:rsidR="00A06BE9" w:rsidRPr="00701F32" w:rsidRDefault="00A06BE9" w:rsidP="00A06BE9">
      <w:pPr>
        <w:tabs>
          <w:tab w:val="left" w:pos="142"/>
        </w:tabs>
        <w:jc w:val="both"/>
        <w:rPr>
          <w:rFonts w:ascii="Arial" w:hAnsi="Arial" w:cs="Arial"/>
          <w:sz w:val="20"/>
        </w:rPr>
      </w:pPr>
    </w:p>
    <w:p w14:paraId="52B9FFBD"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Las entidades no comprendidas en algunas de estas situaciones podrán distribuir resultados con arreglo a las regulaciones establecidas en dicho texto ordenado, siempre y cuando no se comprometa la liquidez y solvencia de la entidad.</w:t>
      </w:r>
    </w:p>
    <w:p w14:paraId="4494C8C1" w14:textId="77777777" w:rsidR="00A06BE9" w:rsidRPr="00701F32" w:rsidRDefault="00A06BE9" w:rsidP="00A06BE9">
      <w:pPr>
        <w:tabs>
          <w:tab w:val="left" w:pos="142"/>
        </w:tabs>
        <w:jc w:val="both"/>
        <w:rPr>
          <w:rFonts w:ascii="Arial" w:hAnsi="Arial" w:cs="Arial"/>
          <w:sz w:val="20"/>
        </w:rPr>
      </w:pPr>
    </w:p>
    <w:p w14:paraId="1AE67ED0" w14:textId="77777777" w:rsidR="00A06BE9" w:rsidRPr="00701F32" w:rsidRDefault="00A06BE9" w:rsidP="00A06BE9">
      <w:pPr>
        <w:tabs>
          <w:tab w:val="left" w:pos="142"/>
        </w:tabs>
        <w:jc w:val="both"/>
        <w:rPr>
          <w:rFonts w:ascii="Arial" w:hAnsi="Arial" w:cs="Arial"/>
          <w:sz w:val="20"/>
        </w:rPr>
      </w:pPr>
      <w:r w:rsidRPr="00701F32">
        <w:rPr>
          <w:rFonts w:ascii="Arial" w:hAnsi="Arial" w:cs="Arial"/>
          <w:sz w:val="20"/>
        </w:rPr>
        <w:t>Cabe aclarar que a través de la Comunicación “A” 6464 el B.C.R.A. estableció que hasta el 31 de marzo de 2020 deberán contar con la autorización previa de la SEFyC para la distribución de resultados las entidades financieras que, para determinar el resultado distribuible, no hayan incrementado los márgenes de conservación de capital en 1 punto porcentual adicional a lo establecido en las normas.</w:t>
      </w:r>
    </w:p>
    <w:p w14:paraId="179BBE38" w14:textId="77777777" w:rsidR="00A06BE9" w:rsidRPr="00701F32" w:rsidRDefault="00A06BE9" w:rsidP="00A06BE9">
      <w:pPr>
        <w:tabs>
          <w:tab w:val="left" w:pos="142"/>
        </w:tabs>
        <w:jc w:val="both"/>
        <w:rPr>
          <w:rFonts w:ascii="Arial" w:hAnsi="Arial" w:cs="Arial"/>
          <w:b/>
          <w:color w:val="FF0000"/>
          <w:sz w:val="20"/>
        </w:rPr>
      </w:pPr>
    </w:p>
    <w:p w14:paraId="58C27EFD" w14:textId="77777777" w:rsidR="00C15C75" w:rsidRPr="00701F32" w:rsidRDefault="00AF3A00" w:rsidP="00712ADC">
      <w:pPr>
        <w:spacing w:after="200" w:line="276" w:lineRule="auto"/>
        <w:contextualSpacing/>
        <w:jc w:val="both"/>
        <w:rPr>
          <w:rFonts w:ascii="Arial" w:hAnsi="Arial" w:cs="Arial"/>
          <w:b/>
          <w:sz w:val="20"/>
        </w:rPr>
      </w:pPr>
      <w:r w:rsidRPr="00701F32">
        <w:rPr>
          <w:rFonts w:ascii="Arial" w:hAnsi="Arial" w:cs="Arial"/>
          <w:b/>
          <w:sz w:val="20"/>
        </w:rPr>
        <w:t>16</w:t>
      </w:r>
      <w:r w:rsidR="00C15C75" w:rsidRPr="00701F32">
        <w:rPr>
          <w:rFonts w:ascii="Arial" w:hAnsi="Arial" w:cs="Arial"/>
          <w:b/>
          <w:sz w:val="20"/>
        </w:rPr>
        <w:t>. RESCISION DEL CONTRATO COMO AGENTE FINANCIERO POR PARTE DE LA PROVINCIA DE SAN LUIS</w:t>
      </w:r>
    </w:p>
    <w:p w14:paraId="388E88ED" w14:textId="77777777" w:rsidR="00582EAB" w:rsidRPr="00701F32" w:rsidRDefault="00582EAB" w:rsidP="00712ADC">
      <w:pPr>
        <w:spacing w:after="200" w:line="276" w:lineRule="auto"/>
        <w:contextualSpacing/>
        <w:jc w:val="both"/>
        <w:rPr>
          <w:rFonts w:ascii="Arial" w:hAnsi="Arial" w:cs="Arial"/>
          <w:b/>
          <w:sz w:val="20"/>
        </w:rPr>
      </w:pPr>
    </w:p>
    <w:p w14:paraId="4F27BDD8" w14:textId="77777777" w:rsidR="00004B94" w:rsidRPr="00701F32" w:rsidRDefault="00004B94" w:rsidP="00004B94">
      <w:pPr>
        <w:jc w:val="both"/>
        <w:rPr>
          <w:rFonts w:ascii="Arial" w:hAnsi="Arial" w:cs="Arial"/>
          <w:sz w:val="20"/>
        </w:rPr>
      </w:pPr>
      <w:r w:rsidRPr="00701F32">
        <w:rPr>
          <w:rFonts w:ascii="Arial" w:hAnsi="Arial" w:cs="Arial"/>
          <w:sz w:val="20"/>
        </w:rPr>
        <w:t>En fecha 17 de enero de 2017 se recibió una comunicación fehaciente del Ministerio de Hacienda Pública de la Provincia de San Luis mediante la cual se comunica a Banco Supervielle S.A. que a partir del 28 de febrero de 2017 hace uso del derecho a rescindir el Contrato de Vinculación mediante el cual la Entidad cumple el rol de Agente Financiero de esa provincia. Dicho Ministerio también manifiesta que, sin perjuicio del ejercicio del derecho a rescindir el contrato, el Estado Provincial podrá continuar operando con el Banco hasta tanto se seleccione un nuevo agente financiero.</w:t>
      </w:r>
    </w:p>
    <w:p w14:paraId="42AAE7D4" w14:textId="77777777" w:rsidR="00004B94" w:rsidRPr="00701F32" w:rsidRDefault="00004B94" w:rsidP="00004B94">
      <w:pPr>
        <w:jc w:val="both"/>
        <w:rPr>
          <w:rFonts w:ascii="Arial" w:hAnsi="Arial" w:cs="Arial"/>
          <w:sz w:val="20"/>
        </w:rPr>
      </w:pPr>
    </w:p>
    <w:p w14:paraId="318C7A1F" w14:textId="77777777" w:rsidR="00004B94" w:rsidRPr="00701F32" w:rsidRDefault="00004B94" w:rsidP="00004B94">
      <w:pPr>
        <w:jc w:val="both"/>
        <w:rPr>
          <w:rFonts w:ascii="Arial" w:hAnsi="Arial" w:cs="Arial"/>
          <w:sz w:val="20"/>
        </w:rPr>
      </w:pPr>
      <w:r w:rsidRPr="00701F32">
        <w:rPr>
          <w:rFonts w:ascii="Arial" w:hAnsi="Arial" w:cs="Arial"/>
          <w:sz w:val="20"/>
        </w:rPr>
        <w:t>Desde febrero de 2017, el Banco ha continuado brindando servicios financieros al gobierno de la Provincia de San Luis y a sus empleados a pesar de la terminación del acuerdo en febrero de 2017.</w:t>
      </w:r>
    </w:p>
    <w:p w14:paraId="7535C363" w14:textId="77777777" w:rsidR="00004B94" w:rsidRPr="00701F32" w:rsidRDefault="00004B94" w:rsidP="00004B94">
      <w:pPr>
        <w:jc w:val="both"/>
        <w:rPr>
          <w:rFonts w:ascii="Arial" w:hAnsi="Arial" w:cs="Arial"/>
          <w:sz w:val="20"/>
        </w:rPr>
      </w:pPr>
    </w:p>
    <w:p w14:paraId="2A959BC9" w14:textId="77777777" w:rsidR="00004B94" w:rsidRPr="00701F32" w:rsidRDefault="00004B94" w:rsidP="00004B94">
      <w:pPr>
        <w:jc w:val="both"/>
        <w:rPr>
          <w:rFonts w:ascii="Arial" w:hAnsi="Arial" w:cs="Arial"/>
          <w:sz w:val="20"/>
        </w:rPr>
      </w:pPr>
      <w:r w:rsidRPr="00701F32">
        <w:rPr>
          <w:rFonts w:ascii="Arial" w:hAnsi="Arial" w:cs="Arial"/>
          <w:sz w:val="20"/>
        </w:rPr>
        <w:t>El 23 de mayo de 2018, la Municipalidad de la ciudad de San Luis designó al Banco Supervielle (el “Banco”) como agente financiero por un período de 2 años, con renovación automática por 2 años adicionales, comenzando con el primer pago de sueldos el 29 de junio del año en curso. Con esta designación, el Banco se convirtió en agente financiero de todos los municipios de la Provincia.</w:t>
      </w:r>
    </w:p>
    <w:p w14:paraId="48863A5F" w14:textId="77777777" w:rsidR="00004B94" w:rsidRPr="00701F32" w:rsidRDefault="00004B94" w:rsidP="00004B94">
      <w:pPr>
        <w:jc w:val="both"/>
        <w:rPr>
          <w:rFonts w:ascii="Arial" w:hAnsi="Arial" w:cs="Arial"/>
          <w:sz w:val="20"/>
        </w:rPr>
      </w:pPr>
    </w:p>
    <w:p w14:paraId="607A2BDF" w14:textId="74253A24" w:rsidR="00C15C75" w:rsidRPr="00701F32" w:rsidRDefault="00E67865" w:rsidP="00C15C75">
      <w:pPr>
        <w:jc w:val="both"/>
        <w:rPr>
          <w:rFonts w:ascii="Arial" w:hAnsi="Arial" w:cs="Arial"/>
          <w:sz w:val="20"/>
        </w:rPr>
      </w:pPr>
      <w:r w:rsidRPr="00701F32">
        <w:rPr>
          <w:rFonts w:ascii="Arial" w:hAnsi="Arial" w:cs="Arial"/>
          <w:sz w:val="20"/>
        </w:rPr>
        <w:t>El 7 de junio de 2018, la Provincia ratificó el convenio firmado con el Banco por un plazo de 12 meses formalizando su rol de agente de servicios financieros exclusivo que ha continuado ejerciendo desde hace más de 20 años.</w:t>
      </w:r>
      <w:r w:rsidR="00C15C75" w:rsidRPr="00701F32">
        <w:rPr>
          <w:rFonts w:ascii="Arial" w:hAnsi="Arial" w:cs="Arial"/>
          <w:sz w:val="20"/>
        </w:rPr>
        <w:t xml:space="preserve"> </w:t>
      </w:r>
    </w:p>
    <w:p w14:paraId="49F1F04A" w14:textId="77777777" w:rsidR="00C15C75" w:rsidRPr="00701F32" w:rsidRDefault="00C15C75" w:rsidP="006D16A7">
      <w:pPr>
        <w:ind w:right="51"/>
        <w:rPr>
          <w:rFonts w:ascii="Arial" w:hAnsi="Arial" w:cs="Arial"/>
          <w:sz w:val="20"/>
        </w:rPr>
      </w:pPr>
    </w:p>
    <w:p w14:paraId="6A130084" w14:textId="77777777" w:rsidR="00E07294" w:rsidRPr="00701F32" w:rsidRDefault="00AF3A00" w:rsidP="00E311C9">
      <w:pPr>
        <w:rPr>
          <w:rFonts w:ascii="Arial" w:hAnsi="Arial" w:cs="Arial"/>
          <w:b/>
          <w:noProof/>
          <w:sz w:val="20"/>
        </w:rPr>
      </w:pPr>
      <w:r w:rsidRPr="00701F32">
        <w:rPr>
          <w:rFonts w:ascii="Arial" w:hAnsi="Arial" w:cs="Arial"/>
          <w:b/>
          <w:noProof/>
          <w:sz w:val="20"/>
        </w:rPr>
        <w:t>17</w:t>
      </w:r>
      <w:r w:rsidR="00E07294" w:rsidRPr="00701F32">
        <w:rPr>
          <w:rFonts w:ascii="Arial" w:hAnsi="Arial" w:cs="Arial"/>
          <w:b/>
          <w:noProof/>
          <w:sz w:val="20"/>
        </w:rPr>
        <w:t xml:space="preserve">. </w:t>
      </w:r>
      <w:r w:rsidR="00582EAB" w:rsidRPr="00701F32">
        <w:rPr>
          <w:rFonts w:ascii="Arial" w:hAnsi="Arial" w:cs="Arial"/>
          <w:b/>
          <w:noProof/>
          <w:sz w:val="20"/>
        </w:rPr>
        <w:t>INFORMACION ADICIONAL AL 31 DE DICIEMBRE DE 2017 PARA LOS ESTADOS FINANCIEROS CONDENSADOS CONSOLIDADOS INTERMEDIOS</w:t>
      </w:r>
    </w:p>
    <w:p w14:paraId="7607B0ED" w14:textId="77777777" w:rsidR="00E07294" w:rsidRPr="00701F32" w:rsidRDefault="00E07294" w:rsidP="00E07294">
      <w:pPr>
        <w:widowControl w:val="0"/>
        <w:autoSpaceDE w:val="0"/>
        <w:autoSpaceDN w:val="0"/>
        <w:adjustRightInd w:val="0"/>
        <w:jc w:val="both"/>
        <w:rPr>
          <w:rFonts w:ascii="Arial" w:hAnsi="Arial" w:cs="Arial"/>
          <w:noProof/>
          <w:sz w:val="20"/>
        </w:rPr>
      </w:pPr>
    </w:p>
    <w:p w14:paraId="554A022C" w14:textId="14949C51" w:rsidR="00E07294" w:rsidRPr="00701F32" w:rsidRDefault="00E07294" w:rsidP="00E07294">
      <w:pPr>
        <w:widowControl w:val="0"/>
        <w:autoSpaceDE w:val="0"/>
        <w:autoSpaceDN w:val="0"/>
        <w:adjustRightInd w:val="0"/>
        <w:jc w:val="both"/>
        <w:rPr>
          <w:rFonts w:ascii="Arial" w:hAnsi="Arial" w:cs="Arial"/>
          <w:b/>
          <w:noProof/>
          <w:sz w:val="20"/>
        </w:rPr>
      </w:pPr>
      <w:r w:rsidRPr="00701F32">
        <w:rPr>
          <w:rFonts w:ascii="Arial" w:hAnsi="Arial" w:cs="Arial"/>
          <w:noProof/>
          <w:sz w:val="20"/>
        </w:rPr>
        <w:t>La siguiente información preparada de acuerdo al marco contable establecido por el BCRA, relativa al ejercicio finalizado al 31 de diciembre de 2017, es necesaria para el entendimiento de los presentes estados financieros consolidados condensados intermedios.</w:t>
      </w:r>
    </w:p>
    <w:p w14:paraId="13424587" w14:textId="77777777" w:rsidR="00D766AC" w:rsidRPr="00701F32" w:rsidRDefault="00D766AC" w:rsidP="00E07294">
      <w:pPr>
        <w:widowControl w:val="0"/>
        <w:autoSpaceDE w:val="0"/>
        <w:autoSpaceDN w:val="0"/>
        <w:adjustRightInd w:val="0"/>
        <w:jc w:val="both"/>
        <w:rPr>
          <w:rFonts w:ascii="Arial" w:hAnsi="Arial" w:cs="Arial"/>
          <w:b/>
          <w:noProof/>
          <w:sz w:val="20"/>
        </w:rPr>
      </w:pPr>
    </w:p>
    <w:p w14:paraId="707202F6" w14:textId="77777777" w:rsidR="00E07294" w:rsidRPr="00701F32" w:rsidRDefault="00AF3A00" w:rsidP="00E07294">
      <w:pPr>
        <w:jc w:val="both"/>
        <w:rPr>
          <w:rFonts w:ascii="Arial" w:eastAsia="Calibri" w:hAnsi="Arial" w:cs="Arial"/>
          <w:b/>
          <w:sz w:val="20"/>
          <w:lang w:val="es-PE" w:eastAsia="es-PE"/>
        </w:rPr>
      </w:pPr>
      <w:r w:rsidRPr="00701F32">
        <w:rPr>
          <w:rFonts w:ascii="Arial" w:eastAsia="Calibri" w:hAnsi="Arial" w:cs="Arial"/>
          <w:b/>
          <w:sz w:val="20"/>
          <w:lang w:val="es-PE" w:eastAsia="es-PE"/>
        </w:rPr>
        <w:t>17</w:t>
      </w:r>
      <w:r w:rsidR="00E07294" w:rsidRPr="00701F32">
        <w:rPr>
          <w:rFonts w:ascii="Arial" w:eastAsia="Calibri" w:hAnsi="Arial" w:cs="Arial"/>
          <w:b/>
          <w:sz w:val="20"/>
          <w:lang w:val="es-PE" w:eastAsia="es-PE"/>
        </w:rPr>
        <w:t xml:space="preserve">.1 Efectivo y Depósitos en Bancos </w:t>
      </w:r>
    </w:p>
    <w:p w14:paraId="60E89D0A" w14:textId="77777777" w:rsidR="00E07294" w:rsidRPr="00701F32" w:rsidRDefault="00E07294" w:rsidP="00E07294">
      <w:pPr>
        <w:jc w:val="both"/>
        <w:rPr>
          <w:rFonts w:ascii="Arial" w:eastAsia="Calibri" w:hAnsi="Arial" w:cs="Arial"/>
          <w:b/>
          <w:sz w:val="20"/>
          <w:lang w:val="es-PE" w:eastAsia="es-PE"/>
        </w:rPr>
      </w:pPr>
    </w:p>
    <w:p w14:paraId="56DD6445" w14:textId="77777777" w:rsidR="00E07294" w:rsidRPr="00701F32" w:rsidRDefault="00E07294" w:rsidP="00E07294">
      <w:pPr>
        <w:jc w:val="both"/>
        <w:rPr>
          <w:rFonts w:ascii="Arial" w:eastAsia="Calibri" w:hAnsi="Arial" w:cs="Arial"/>
          <w:sz w:val="20"/>
          <w:lang w:eastAsia="es-PE"/>
        </w:rPr>
      </w:pPr>
      <w:r w:rsidRPr="00701F32">
        <w:rPr>
          <w:rFonts w:ascii="Arial" w:eastAsia="Calibri" w:hAnsi="Arial" w:cs="Arial"/>
          <w:sz w:val="20"/>
          <w:lang w:eastAsia="es-PE"/>
        </w:rPr>
        <w:t>Los equivalentes al efectivo se tienen, más que para propósitos de inversión o similares, para cumplir los compromisos de pago a corto plazo. Para que una inversión financiera pueda ser calificada como equivalente al efectivo, debe poder ser fácilmente convertible en una cantidad determinada de efectivo y estar sujeta a un riesgo insignificante de cambios en su valor. Por tanto, una inversión así será equivalente al efectivo cuando tenga vencimiento próximo, tres meses o menos desde la fecha de adquisición. Las participaciones en el capital de otras entidades están excluidas de los equivalentes al efectivo</w:t>
      </w:r>
    </w:p>
    <w:p w14:paraId="065C8A87" w14:textId="77777777" w:rsidR="00E07294" w:rsidRPr="00701F32" w:rsidRDefault="00E07294" w:rsidP="00E07294">
      <w:pPr>
        <w:jc w:val="both"/>
        <w:rPr>
          <w:rFonts w:ascii="Arial" w:eastAsia="Calibri" w:hAnsi="Arial" w:cs="Arial"/>
          <w:sz w:val="20"/>
          <w:lang w:eastAsia="es-PE"/>
        </w:rPr>
      </w:pPr>
    </w:p>
    <w:p w14:paraId="273B2041" w14:textId="77777777" w:rsidR="00E07294" w:rsidRPr="00701F32" w:rsidRDefault="00E07294" w:rsidP="00E07294">
      <w:pPr>
        <w:jc w:val="both"/>
        <w:rPr>
          <w:rFonts w:ascii="Arial" w:eastAsia="Calibri" w:hAnsi="Arial" w:cs="Arial"/>
          <w:sz w:val="20"/>
          <w:lang w:eastAsia="es-PE"/>
        </w:rPr>
      </w:pPr>
      <w:r w:rsidRPr="00701F32">
        <w:rPr>
          <w:rFonts w:ascii="Arial" w:eastAsia="Calibri" w:hAnsi="Arial" w:cs="Arial"/>
          <w:sz w:val="20"/>
          <w:lang w:eastAsia="es-PE"/>
        </w:rPr>
        <w:t>Se detallan a continuación los componentes del efectivo y sus equivalentes:</w:t>
      </w:r>
    </w:p>
    <w:p w14:paraId="225134D5" w14:textId="77777777" w:rsidR="00E07294" w:rsidRPr="00701F32" w:rsidRDefault="00E07294" w:rsidP="00E07294">
      <w:pPr>
        <w:jc w:val="both"/>
        <w:rPr>
          <w:rFonts w:ascii="Arial" w:eastAsia="Calibri" w:hAnsi="Arial" w:cs="Arial"/>
          <w:sz w:val="20"/>
          <w:lang w:eastAsia="es-PE"/>
        </w:rPr>
      </w:pPr>
    </w:p>
    <w:tbl>
      <w:tblPr>
        <w:tblW w:w="3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9"/>
        <w:gridCol w:w="2230"/>
      </w:tblGrid>
      <w:tr w:rsidR="00E07294" w:rsidRPr="00701F32" w14:paraId="2642F9C5" w14:textId="77777777" w:rsidTr="0086282C">
        <w:trPr>
          <w:trHeight w:val="275"/>
          <w:tblHeader/>
          <w:jc w:val="center"/>
        </w:trPr>
        <w:tc>
          <w:tcPr>
            <w:tcW w:w="3077" w:type="pct"/>
            <w:shd w:val="clear" w:color="auto" w:fill="auto"/>
            <w:noWrap/>
            <w:vAlign w:val="bottom"/>
            <w:hideMark/>
          </w:tcPr>
          <w:p w14:paraId="20649357" w14:textId="77777777" w:rsidR="00E07294" w:rsidRPr="00701F32" w:rsidRDefault="00E07294" w:rsidP="00464C0F">
            <w:pPr>
              <w:spacing w:line="259" w:lineRule="auto"/>
              <w:jc w:val="both"/>
              <w:rPr>
                <w:rFonts w:ascii="Arial" w:hAnsi="Arial" w:cs="Arial"/>
                <w:color w:val="000000"/>
                <w:sz w:val="20"/>
                <w:lang w:eastAsia="es-AR"/>
              </w:rPr>
            </w:pPr>
            <w:r w:rsidRPr="00701F32">
              <w:rPr>
                <w:rFonts w:ascii="Arial" w:hAnsi="Arial" w:cs="Arial"/>
                <w:color w:val="000000"/>
                <w:sz w:val="20"/>
                <w:lang w:eastAsia="es-AR"/>
              </w:rPr>
              <w:t> </w:t>
            </w:r>
          </w:p>
        </w:tc>
        <w:tc>
          <w:tcPr>
            <w:tcW w:w="1923" w:type="pct"/>
            <w:shd w:val="clear" w:color="auto" w:fill="auto"/>
            <w:noWrap/>
            <w:vAlign w:val="bottom"/>
            <w:hideMark/>
          </w:tcPr>
          <w:p w14:paraId="4D7540C7" w14:textId="77777777" w:rsidR="00E07294" w:rsidRPr="00701F32" w:rsidRDefault="00E07294" w:rsidP="0086282C">
            <w:pPr>
              <w:spacing w:line="259" w:lineRule="auto"/>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C15C75" w:rsidRPr="00701F32" w14:paraId="6E3D6D3D" w14:textId="77777777" w:rsidTr="0086282C">
        <w:trPr>
          <w:trHeight w:val="275"/>
          <w:jc w:val="center"/>
        </w:trPr>
        <w:tc>
          <w:tcPr>
            <w:tcW w:w="3077" w:type="pct"/>
            <w:shd w:val="clear" w:color="auto" w:fill="auto"/>
            <w:noWrap/>
            <w:vAlign w:val="bottom"/>
            <w:hideMark/>
          </w:tcPr>
          <w:p w14:paraId="7274CE7C" w14:textId="77777777" w:rsidR="00C15C75" w:rsidRPr="00701F32" w:rsidRDefault="00C16CC3" w:rsidP="0086282C">
            <w:pPr>
              <w:spacing w:line="259" w:lineRule="auto"/>
              <w:jc w:val="both"/>
              <w:rPr>
                <w:rFonts w:ascii="Arial" w:hAnsi="Arial" w:cs="Arial"/>
                <w:color w:val="000000"/>
                <w:sz w:val="20"/>
                <w:lang w:eastAsia="es-AR"/>
              </w:rPr>
            </w:pPr>
            <w:r w:rsidRPr="00701F32">
              <w:rPr>
                <w:rFonts w:ascii="Arial" w:hAnsi="Arial" w:cs="Arial"/>
                <w:color w:val="000000"/>
                <w:sz w:val="20"/>
                <w:lang w:eastAsia="es-AR"/>
              </w:rPr>
              <w:t>Efectivo y depósitos en Bancos</w:t>
            </w:r>
          </w:p>
        </w:tc>
        <w:tc>
          <w:tcPr>
            <w:tcW w:w="1923" w:type="pct"/>
            <w:shd w:val="clear" w:color="auto" w:fill="auto"/>
            <w:noWrap/>
            <w:vAlign w:val="bottom"/>
            <w:hideMark/>
          </w:tcPr>
          <w:p w14:paraId="062255AC" w14:textId="77777777" w:rsidR="00C15C75" w:rsidRPr="00701F32" w:rsidRDefault="00C15C75" w:rsidP="00464C0F">
            <w:pPr>
              <w:spacing w:line="259" w:lineRule="auto"/>
              <w:jc w:val="right"/>
              <w:rPr>
                <w:rFonts w:ascii="Arial" w:hAnsi="Arial" w:cs="Arial"/>
                <w:color w:val="000000"/>
                <w:sz w:val="20"/>
                <w:lang w:eastAsia="es-AR"/>
              </w:rPr>
            </w:pPr>
            <w:r w:rsidRPr="00701F32">
              <w:rPr>
                <w:rFonts w:ascii="Arial" w:hAnsi="Arial" w:cs="Arial"/>
                <w:color w:val="000000"/>
                <w:sz w:val="20"/>
                <w:lang w:eastAsia="es-AR"/>
              </w:rPr>
              <w:t xml:space="preserve">   11.046.642 </w:t>
            </w:r>
          </w:p>
        </w:tc>
      </w:tr>
      <w:tr w:rsidR="00C16CC3" w:rsidRPr="00701F32" w14:paraId="11F463A0" w14:textId="77777777" w:rsidTr="00C16CC3">
        <w:trPr>
          <w:trHeight w:val="275"/>
          <w:jc w:val="center"/>
        </w:trPr>
        <w:tc>
          <w:tcPr>
            <w:tcW w:w="3077" w:type="pct"/>
            <w:shd w:val="clear" w:color="auto" w:fill="auto"/>
            <w:noWrap/>
            <w:vAlign w:val="bottom"/>
            <w:hideMark/>
          </w:tcPr>
          <w:p w14:paraId="4594C17C" w14:textId="77777777" w:rsidR="00C15C75" w:rsidRPr="00701F32" w:rsidRDefault="00451816" w:rsidP="00464C0F">
            <w:pPr>
              <w:spacing w:line="259" w:lineRule="auto"/>
              <w:jc w:val="both"/>
              <w:rPr>
                <w:rFonts w:ascii="Arial" w:hAnsi="Arial" w:cs="Arial"/>
                <w:color w:val="000000"/>
                <w:sz w:val="20"/>
                <w:lang w:eastAsia="es-AR"/>
              </w:rPr>
            </w:pPr>
            <w:r w:rsidRPr="00701F32">
              <w:rPr>
                <w:rFonts w:ascii="Arial" w:hAnsi="Arial" w:cs="Arial"/>
                <w:color w:val="000000"/>
                <w:sz w:val="20"/>
                <w:lang w:eastAsia="es-AR"/>
              </w:rPr>
              <w:t>Títulos de deuda a valor razonable</w:t>
            </w:r>
          </w:p>
        </w:tc>
        <w:tc>
          <w:tcPr>
            <w:tcW w:w="1923" w:type="pct"/>
            <w:shd w:val="clear" w:color="auto" w:fill="auto"/>
            <w:noWrap/>
            <w:vAlign w:val="bottom"/>
            <w:hideMark/>
          </w:tcPr>
          <w:p w14:paraId="76CF837E" w14:textId="77777777" w:rsidR="00C15C75" w:rsidRPr="00701F32" w:rsidRDefault="006A2CF7">
            <w:pPr>
              <w:spacing w:line="259" w:lineRule="auto"/>
              <w:jc w:val="right"/>
              <w:rPr>
                <w:rFonts w:ascii="Arial" w:hAnsi="Arial" w:cs="Arial"/>
                <w:color w:val="000000"/>
                <w:sz w:val="20"/>
                <w:lang w:eastAsia="es-AR"/>
              </w:rPr>
            </w:pPr>
            <w:r w:rsidRPr="00701F32">
              <w:rPr>
                <w:rFonts w:ascii="Arial" w:hAnsi="Arial" w:cs="Arial"/>
                <w:color w:val="000000"/>
                <w:sz w:val="20"/>
                <w:lang w:eastAsia="es-AR"/>
              </w:rPr>
              <w:t>9.732.430</w:t>
            </w:r>
          </w:p>
        </w:tc>
      </w:tr>
      <w:tr w:rsidR="00C15C75" w:rsidRPr="00701F32" w14:paraId="4D1C727A" w14:textId="77777777" w:rsidTr="0086282C">
        <w:trPr>
          <w:trHeight w:val="275"/>
          <w:jc w:val="center"/>
        </w:trPr>
        <w:tc>
          <w:tcPr>
            <w:tcW w:w="3077" w:type="pct"/>
            <w:shd w:val="clear" w:color="auto" w:fill="auto"/>
            <w:noWrap/>
            <w:vAlign w:val="bottom"/>
            <w:hideMark/>
          </w:tcPr>
          <w:p w14:paraId="679EA57F" w14:textId="77777777" w:rsidR="00C15C75" w:rsidRPr="00701F32" w:rsidRDefault="00C15C75" w:rsidP="00464C0F">
            <w:pPr>
              <w:spacing w:line="259" w:lineRule="auto"/>
              <w:jc w:val="both"/>
              <w:rPr>
                <w:rFonts w:ascii="Arial" w:hAnsi="Arial" w:cs="Arial"/>
                <w:b/>
                <w:bCs/>
                <w:color w:val="000000"/>
                <w:sz w:val="20"/>
                <w:lang w:eastAsia="es-AR"/>
              </w:rPr>
            </w:pPr>
            <w:r w:rsidRPr="00701F32">
              <w:rPr>
                <w:rFonts w:ascii="Arial" w:hAnsi="Arial" w:cs="Arial"/>
                <w:b/>
                <w:bCs/>
                <w:color w:val="000000"/>
                <w:sz w:val="20"/>
                <w:lang w:eastAsia="es-AR"/>
              </w:rPr>
              <w:t>Total</w:t>
            </w:r>
          </w:p>
        </w:tc>
        <w:tc>
          <w:tcPr>
            <w:tcW w:w="1923" w:type="pct"/>
            <w:shd w:val="clear" w:color="auto" w:fill="auto"/>
            <w:noWrap/>
            <w:vAlign w:val="bottom"/>
            <w:hideMark/>
          </w:tcPr>
          <w:p w14:paraId="4C3FF811" w14:textId="77777777" w:rsidR="00C15C75" w:rsidRPr="00701F32" w:rsidRDefault="006A2CF7" w:rsidP="00464C0F">
            <w:pPr>
              <w:spacing w:line="259" w:lineRule="auto"/>
              <w:jc w:val="right"/>
              <w:rPr>
                <w:rFonts w:ascii="Arial" w:hAnsi="Arial" w:cs="Arial"/>
                <w:b/>
                <w:color w:val="000000"/>
                <w:sz w:val="20"/>
                <w:lang w:eastAsia="es-AR"/>
              </w:rPr>
            </w:pPr>
            <w:r w:rsidRPr="00701F32">
              <w:rPr>
                <w:rFonts w:ascii="Arial" w:hAnsi="Arial" w:cs="Arial"/>
                <w:b/>
                <w:color w:val="000000"/>
                <w:sz w:val="20"/>
                <w:lang w:eastAsia="es-AR"/>
              </w:rPr>
              <w:t>20.779.072</w:t>
            </w:r>
          </w:p>
        </w:tc>
      </w:tr>
    </w:tbl>
    <w:p w14:paraId="5760850A" w14:textId="77777777" w:rsidR="00E07294" w:rsidRPr="00701F32" w:rsidRDefault="00E07294" w:rsidP="00E07294">
      <w:pPr>
        <w:jc w:val="both"/>
        <w:rPr>
          <w:rFonts w:ascii="Arial" w:eastAsia="Calibri" w:hAnsi="Arial" w:cs="Arial"/>
          <w:sz w:val="20"/>
          <w:lang w:eastAsia="es-PE"/>
        </w:rPr>
      </w:pPr>
    </w:p>
    <w:p w14:paraId="2CDCBEDB" w14:textId="77777777" w:rsidR="00E07294" w:rsidRPr="00701F32" w:rsidRDefault="00E07294" w:rsidP="00E07294">
      <w:pPr>
        <w:jc w:val="both"/>
        <w:rPr>
          <w:rFonts w:ascii="Arial" w:eastAsia="Calibri" w:hAnsi="Arial" w:cs="Arial"/>
          <w:sz w:val="20"/>
          <w:lang w:eastAsia="es-PE"/>
        </w:rPr>
      </w:pPr>
      <w:r w:rsidRPr="00701F32">
        <w:rPr>
          <w:rFonts w:ascii="Arial" w:eastAsia="Calibri" w:hAnsi="Arial" w:cs="Arial"/>
          <w:sz w:val="20"/>
          <w:lang w:eastAsia="es-PE"/>
        </w:rPr>
        <w:t>Por su parte, se exponen a continuación las conciliaciones entre los saldos de aquellas partidas consideradas equivalentes de efectivo en el Estado de Flujo de Efectivo y las reportadas en el Estado de Situación Financiera al cierre del ejercicio:</w:t>
      </w:r>
    </w:p>
    <w:p w14:paraId="31093D24" w14:textId="77777777" w:rsidR="00E07294" w:rsidRPr="00701F32" w:rsidRDefault="00E07294" w:rsidP="00E07294">
      <w:pPr>
        <w:jc w:val="both"/>
        <w:rPr>
          <w:rFonts w:ascii="Arial" w:eastAsia="Calibri" w:hAnsi="Arial" w:cs="Arial"/>
          <w:sz w:val="20"/>
          <w:lang w:eastAsia="es-PE"/>
        </w:rPr>
      </w:pPr>
    </w:p>
    <w:tbl>
      <w:tblPr>
        <w:tblW w:w="4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3"/>
        <w:gridCol w:w="1746"/>
      </w:tblGrid>
      <w:tr w:rsidR="00E07294" w:rsidRPr="00701F32" w14:paraId="76BBB993" w14:textId="77777777" w:rsidTr="0086282C">
        <w:trPr>
          <w:trHeight w:val="278"/>
          <w:tblHeader/>
          <w:jc w:val="center"/>
        </w:trPr>
        <w:tc>
          <w:tcPr>
            <w:tcW w:w="3860" w:type="pct"/>
            <w:shd w:val="clear" w:color="auto" w:fill="auto"/>
            <w:noWrap/>
            <w:vAlign w:val="bottom"/>
            <w:hideMark/>
          </w:tcPr>
          <w:p w14:paraId="4A7B4F1E" w14:textId="77777777" w:rsidR="00E07294" w:rsidRPr="00701F32" w:rsidRDefault="00E07294" w:rsidP="00464C0F">
            <w:pPr>
              <w:spacing w:line="259" w:lineRule="auto"/>
              <w:jc w:val="center"/>
              <w:rPr>
                <w:rFonts w:ascii="Arial" w:hAnsi="Arial" w:cs="Arial"/>
                <w:color w:val="000000"/>
                <w:sz w:val="20"/>
                <w:lang w:eastAsia="es-AR"/>
              </w:rPr>
            </w:pPr>
          </w:p>
        </w:tc>
        <w:tc>
          <w:tcPr>
            <w:tcW w:w="1140" w:type="pct"/>
            <w:shd w:val="clear" w:color="auto" w:fill="auto"/>
            <w:noWrap/>
            <w:vAlign w:val="bottom"/>
            <w:hideMark/>
          </w:tcPr>
          <w:p w14:paraId="7796FED9" w14:textId="77777777" w:rsidR="00E07294" w:rsidRPr="00701F32" w:rsidRDefault="00E07294" w:rsidP="0086282C">
            <w:pPr>
              <w:spacing w:line="259" w:lineRule="auto"/>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9B4431" w:rsidRPr="00701F32" w14:paraId="7EFCEF2E" w14:textId="77777777" w:rsidTr="0086282C">
        <w:trPr>
          <w:trHeight w:val="278"/>
          <w:jc w:val="center"/>
        </w:trPr>
        <w:tc>
          <w:tcPr>
            <w:tcW w:w="3860" w:type="pct"/>
            <w:shd w:val="clear" w:color="auto" w:fill="auto"/>
            <w:noWrap/>
            <w:vAlign w:val="bottom"/>
            <w:hideMark/>
          </w:tcPr>
          <w:p w14:paraId="1ACB283A" w14:textId="77777777" w:rsidR="009B4431" w:rsidRPr="00701F32" w:rsidRDefault="009B4431" w:rsidP="0086282C">
            <w:pPr>
              <w:spacing w:line="259" w:lineRule="auto"/>
              <w:rPr>
                <w:rFonts w:ascii="Arial" w:hAnsi="Arial" w:cs="Arial"/>
                <w:color w:val="000000"/>
                <w:sz w:val="20"/>
                <w:lang w:eastAsia="es-AR"/>
              </w:rPr>
            </w:pPr>
            <w:r w:rsidRPr="00701F32">
              <w:rPr>
                <w:rFonts w:ascii="Arial" w:hAnsi="Arial" w:cs="Arial"/>
                <w:color w:val="000000"/>
                <w:sz w:val="20"/>
                <w:lang w:eastAsia="es-AR"/>
              </w:rPr>
              <w:t>Títulos valores a valor razonable s/Estado de Sit.Financiera</w:t>
            </w:r>
          </w:p>
        </w:tc>
        <w:tc>
          <w:tcPr>
            <w:tcW w:w="1140" w:type="pct"/>
            <w:shd w:val="clear" w:color="auto" w:fill="auto"/>
            <w:noWrap/>
            <w:vAlign w:val="bottom"/>
            <w:hideMark/>
          </w:tcPr>
          <w:p w14:paraId="7ED2FB3A" w14:textId="77777777" w:rsidR="009B4431" w:rsidRPr="00701F32" w:rsidRDefault="009B4431">
            <w:pPr>
              <w:jc w:val="right"/>
              <w:rPr>
                <w:rFonts w:ascii="Arial" w:hAnsi="Arial" w:cs="Arial"/>
                <w:color w:val="000000"/>
                <w:sz w:val="20"/>
              </w:rPr>
            </w:pPr>
            <w:r w:rsidRPr="00701F32">
              <w:rPr>
                <w:rFonts w:ascii="Arial" w:hAnsi="Arial" w:cs="Arial"/>
                <w:color w:val="000000"/>
                <w:sz w:val="20"/>
                <w:lang w:val="es-ES" w:eastAsia="es-ES"/>
              </w:rPr>
              <w:t>11.404.286</w:t>
            </w:r>
          </w:p>
        </w:tc>
      </w:tr>
      <w:tr w:rsidR="00E07294" w:rsidRPr="00701F32" w14:paraId="6EE858F8" w14:textId="77777777" w:rsidTr="0086282C">
        <w:trPr>
          <w:trHeight w:val="278"/>
          <w:jc w:val="center"/>
        </w:trPr>
        <w:tc>
          <w:tcPr>
            <w:tcW w:w="3860" w:type="pct"/>
            <w:shd w:val="clear" w:color="auto" w:fill="auto"/>
            <w:noWrap/>
            <w:vAlign w:val="bottom"/>
            <w:hideMark/>
          </w:tcPr>
          <w:p w14:paraId="4870B584" w14:textId="77777777" w:rsidR="00E07294" w:rsidRPr="00701F32" w:rsidRDefault="00E07294" w:rsidP="00464C0F">
            <w:pPr>
              <w:jc w:val="both"/>
              <w:rPr>
                <w:rFonts w:ascii="Arial" w:hAnsi="Arial" w:cs="Arial"/>
                <w:color w:val="000000"/>
                <w:sz w:val="20"/>
              </w:rPr>
            </w:pPr>
            <w:r w:rsidRPr="00701F32">
              <w:rPr>
                <w:rFonts w:ascii="Arial" w:hAnsi="Arial" w:cs="Arial"/>
                <w:color w:val="000000"/>
                <w:sz w:val="20"/>
              </w:rPr>
              <w:t>-Letras del BCRA hasta 90 días</w:t>
            </w:r>
          </w:p>
        </w:tc>
        <w:tc>
          <w:tcPr>
            <w:tcW w:w="1140" w:type="pct"/>
            <w:shd w:val="clear" w:color="auto" w:fill="auto"/>
            <w:noWrap/>
            <w:vAlign w:val="bottom"/>
            <w:hideMark/>
          </w:tcPr>
          <w:p w14:paraId="26F061E5" w14:textId="77777777" w:rsidR="00E07294" w:rsidRPr="00701F32" w:rsidRDefault="006A2CF7" w:rsidP="00464C0F">
            <w:pPr>
              <w:jc w:val="right"/>
              <w:rPr>
                <w:rFonts w:ascii="Arial" w:hAnsi="Arial" w:cs="Arial"/>
                <w:color w:val="000000"/>
                <w:sz w:val="20"/>
              </w:rPr>
            </w:pPr>
            <w:r w:rsidRPr="00701F32">
              <w:rPr>
                <w:rFonts w:ascii="Arial" w:hAnsi="Arial" w:cs="Arial"/>
                <w:color w:val="000000"/>
                <w:sz w:val="20"/>
              </w:rPr>
              <w:t xml:space="preserve">       9.280.611</w:t>
            </w:r>
          </w:p>
        </w:tc>
      </w:tr>
      <w:tr w:rsidR="00E07294" w:rsidRPr="00701F32" w14:paraId="19AD6AE0" w14:textId="77777777" w:rsidTr="0086282C">
        <w:trPr>
          <w:trHeight w:val="278"/>
          <w:jc w:val="center"/>
        </w:trPr>
        <w:tc>
          <w:tcPr>
            <w:tcW w:w="3860" w:type="pct"/>
            <w:shd w:val="clear" w:color="auto" w:fill="auto"/>
            <w:noWrap/>
            <w:vAlign w:val="bottom"/>
            <w:hideMark/>
          </w:tcPr>
          <w:p w14:paraId="62AA0692" w14:textId="77777777" w:rsidR="00E07294" w:rsidRPr="00701F32" w:rsidRDefault="00E07294" w:rsidP="00464C0F">
            <w:pPr>
              <w:jc w:val="both"/>
              <w:rPr>
                <w:rFonts w:ascii="Arial" w:hAnsi="Arial" w:cs="Arial"/>
                <w:color w:val="000000"/>
                <w:sz w:val="20"/>
              </w:rPr>
            </w:pPr>
            <w:r w:rsidRPr="00701F32">
              <w:rPr>
                <w:rFonts w:ascii="Arial" w:hAnsi="Arial" w:cs="Arial"/>
                <w:color w:val="000000"/>
                <w:sz w:val="20"/>
              </w:rPr>
              <w:t>-Letras del Tesoro Nacional hasta 90 días</w:t>
            </w:r>
          </w:p>
        </w:tc>
        <w:tc>
          <w:tcPr>
            <w:tcW w:w="1140" w:type="pct"/>
            <w:shd w:val="clear" w:color="auto" w:fill="auto"/>
            <w:noWrap/>
            <w:vAlign w:val="bottom"/>
            <w:hideMark/>
          </w:tcPr>
          <w:p w14:paraId="2FCAFF35"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375.976</w:t>
            </w:r>
          </w:p>
        </w:tc>
      </w:tr>
      <w:tr w:rsidR="00C15C75" w:rsidRPr="00701F32" w14:paraId="2489A95A" w14:textId="77777777" w:rsidTr="0086282C">
        <w:trPr>
          <w:trHeight w:val="278"/>
          <w:jc w:val="center"/>
        </w:trPr>
        <w:tc>
          <w:tcPr>
            <w:tcW w:w="3860" w:type="pct"/>
            <w:shd w:val="clear" w:color="auto" w:fill="auto"/>
            <w:noWrap/>
            <w:vAlign w:val="bottom"/>
          </w:tcPr>
          <w:p w14:paraId="2CE9C5F4" w14:textId="77777777" w:rsidR="00C15C75" w:rsidRPr="00701F32" w:rsidRDefault="00C15C75" w:rsidP="00464C0F">
            <w:pPr>
              <w:spacing w:line="259" w:lineRule="auto"/>
              <w:jc w:val="both"/>
              <w:rPr>
                <w:rFonts w:ascii="Arial" w:hAnsi="Arial" w:cs="Arial"/>
                <w:color w:val="000000"/>
                <w:sz w:val="20"/>
                <w:lang w:eastAsia="es-AR"/>
              </w:rPr>
            </w:pPr>
            <w:r w:rsidRPr="00701F32">
              <w:rPr>
                <w:rFonts w:ascii="Arial" w:hAnsi="Arial" w:cs="Arial"/>
                <w:color w:val="000000"/>
                <w:sz w:val="20"/>
                <w:lang w:eastAsia="es-AR"/>
              </w:rPr>
              <w:t>-Fondos comunes de inversión en Lebacs hasta 90 días</w:t>
            </w:r>
          </w:p>
        </w:tc>
        <w:tc>
          <w:tcPr>
            <w:tcW w:w="1140" w:type="pct"/>
            <w:shd w:val="clear" w:color="auto" w:fill="auto"/>
            <w:noWrap/>
            <w:vAlign w:val="bottom"/>
          </w:tcPr>
          <w:p w14:paraId="1F5BEC6C" w14:textId="77777777" w:rsidR="00C15C75" w:rsidRPr="00701F32" w:rsidRDefault="00C15C75" w:rsidP="00464C0F">
            <w:pPr>
              <w:jc w:val="right"/>
              <w:rPr>
                <w:rFonts w:ascii="Arial" w:hAnsi="Arial" w:cs="Arial"/>
                <w:b/>
                <w:bCs/>
                <w:color w:val="000000"/>
                <w:sz w:val="20"/>
              </w:rPr>
            </w:pPr>
            <w:r w:rsidRPr="00701F32">
              <w:rPr>
                <w:rFonts w:ascii="Arial" w:hAnsi="Arial" w:cs="Arial"/>
                <w:bCs/>
                <w:color w:val="000000"/>
                <w:sz w:val="20"/>
              </w:rPr>
              <w:t>75.843</w:t>
            </w:r>
          </w:p>
        </w:tc>
      </w:tr>
      <w:tr w:rsidR="00E07294" w:rsidRPr="00701F32" w14:paraId="3D3201F3" w14:textId="77777777" w:rsidTr="0086282C">
        <w:trPr>
          <w:trHeight w:val="278"/>
          <w:jc w:val="center"/>
        </w:trPr>
        <w:tc>
          <w:tcPr>
            <w:tcW w:w="3860" w:type="pct"/>
            <w:shd w:val="clear" w:color="auto" w:fill="auto"/>
            <w:noWrap/>
            <w:vAlign w:val="bottom"/>
            <w:hideMark/>
          </w:tcPr>
          <w:p w14:paraId="5032AB6D" w14:textId="77777777" w:rsidR="00E07294" w:rsidRPr="00701F32" w:rsidRDefault="00E07294">
            <w:pPr>
              <w:spacing w:line="259" w:lineRule="auto"/>
              <w:jc w:val="both"/>
              <w:rPr>
                <w:rFonts w:ascii="Arial" w:hAnsi="Arial" w:cs="Arial"/>
                <w:color w:val="000000"/>
                <w:sz w:val="20"/>
                <w:lang w:eastAsia="es-AR"/>
              </w:rPr>
            </w:pPr>
            <w:r w:rsidRPr="00701F32">
              <w:rPr>
                <w:rFonts w:ascii="Arial" w:hAnsi="Arial" w:cs="Arial"/>
                <w:color w:val="000000"/>
                <w:sz w:val="20"/>
                <w:lang w:eastAsia="es-AR"/>
              </w:rPr>
              <w:t>Títulos Públicos y Privados s/E</w:t>
            </w:r>
            <w:r w:rsidR="00075BC5" w:rsidRPr="00701F32">
              <w:rPr>
                <w:rFonts w:ascii="Arial" w:hAnsi="Arial" w:cs="Arial"/>
                <w:color w:val="000000"/>
                <w:sz w:val="20"/>
                <w:lang w:eastAsia="es-AR"/>
              </w:rPr>
              <w:t>stado de Flujo de Efectivo</w:t>
            </w:r>
          </w:p>
        </w:tc>
        <w:tc>
          <w:tcPr>
            <w:tcW w:w="1140" w:type="pct"/>
            <w:shd w:val="clear" w:color="auto" w:fill="auto"/>
            <w:noWrap/>
            <w:vAlign w:val="bottom"/>
            <w:hideMark/>
          </w:tcPr>
          <w:p w14:paraId="42E7443F" w14:textId="77777777" w:rsidR="00E07294" w:rsidRPr="00701F32" w:rsidRDefault="006A2CF7" w:rsidP="00464C0F">
            <w:pPr>
              <w:jc w:val="right"/>
              <w:rPr>
                <w:rFonts w:ascii="Arial" w:hAnsi="Arial" w:cs="Arial"/>
                <w:b/>
                <w:bCs/>
                <w:color w:val="000000"/>
                <w:sz w:val="20"/>
              </w:rPr>
            </w:pPr>
            <w:r w:rsidRPr="00701F32">
              <w:rPr>
                <w:rFonts w:ascii="Arial" w:hAnsi="Arial" w:cs="Arial"/>
                <w:b/>
                <w:bCs/>
                <w:color w:val="000000"/>
                <w:sz w:val="20"/>
              </w:rPr>
              <w:t>9.732.430</w:t>
            </w:r>
          </w:p>
        </w:tc>
      </w:tr>
    </w:tbl>
    <w:p w14:paraId="428191AE" w14:textId="77777777" w:rsidR="00E07294" w:rsidRPr="00701F32" w:rsidRDefault="00E07294" w:rsidP="00E07294">
      <w:pPr>
        <w:spacing w:after="160" w:line="259" w:lineRule="auto"/>
        <w:jc w:val="both"/>
        <w:rPr>
          <w:rFonts w:ascii="Arial" w:eastAsia="Arial" w:hAnsi="Arial" w:cs="Arial"/>
          <w:b/>
          <w:sz w:val="20"/>
        </w:rPr>
      </w:pPr>
    </w:p>
    <w:p w14:paraId="5047FDF4" w14:textId="77777777" w:rsidR="00E07294" w:rsidRPr="00701F32" w:rsidRDefault="00B225FD" w:rsidP="00701F32">
      <w:pPr>
        <w:rPr>
          <w:rFonts w:ascii="Arial" w:eastAsia="Calibri" w:hAnsi="Arial" w:cs="Arial"/>
          <w:b/>
          <w:bCs/>
          <w:sz w:val="20"/>
        </w:rPr>
      </w:pPr>
      <w:r w:rsidRPr="00701F32">
        <w:rPr>
          <w:rFonts w:ascii="Arial" w:eastAsia="Calibri" w:hAnsi="Arial" w:cs="Arial"/>
          <w:b/>
          <w:bCs/>
          <w:sz w:val="20"/>
        </w:rPr>
        <w:t>17.2. Instrumentos Financieros</w:t>
      </w:r>
      <w:r w:rsidR="00E07294" w:rsidRPr="00701F32">
        <w:rPr>
          <w:rFonts w:ascii="Arial" w:eastAsia="Calibri" w:hAnsi="Arial" w:cs="Arial"/>
          <w:b/>
          <w:bCs/>
          <w:sz w:val="20"/>
        </w:rPr>
        <w:t xml:space="preserve"> </w:t>
      </w:r>
    </w:p>
    <w:p w14:paraId="59384D33" w14:textId="676EE29B" w:rsidR="005C4329" w:rsidRPr="00701F32" w:rsidRDefault="00E07294" w:rsidP="00E07294">
      <w:pPr>
        <w:spacing w:line="259" w:lineRule="auto"/>
        <w:jc w:val="both"/>
        <w:rPr>
          <w:rFonts w:ascii="Arial" w:eastAsia="Calibri" w:hAnsi="Arial" w:cs="Arial"/>
          <w:sz w:val="20"/>
        </w:rPr>
      </w:pPr>
      <w:r w:rsidRPr="00701F32">
        <w:rPr>
          <w:rFonts w:ascii="Arial" w:eastAsia="Calibri" w:hAnsi="Arial" w:cs="Arial"/>
          <w:sz w:val="20"/>
        </w:rPr>
        <w:t>Al cierre del ejercicio la Entidad mantiene los siguientes instrumentos financieros:</w:t>
      </w:r>
    </w:p>
    <w:p w14:paraId="41517C0C" w14:textId="77777777" w:rsidR="004D77FC" w:rsidRPr="00701F32" w:rsidRDefault="004D77FC" w:rsidP="00701F32">
      <w:pPr>
        <w:spacing w:line="259" w:lineRule="auto"/>
        <w:jc w:val="both"/>
        <w:rPr>
          <w:rFonts w:ascii="Arial" w:eastAsia="Calibri" w:hAnsi="Arial" w:cs="Arial"/>
          <w:bCs/>
          <w:sz w:val="20"/>
        </w:rPr>
      </w:pPr>
    </w:p>
    <w:tbl>
      <w:tblPr>
        <w:tblW w:w="5000" w:type="pct"/>
        <w:tblLayout w:type="fixed"/>
        <w:tblCellMar>
          <w:left w:w="70" w:type="dxa"/>
          <w:right w:w="70" w:type="dxa"/>
        </w:tblCellMar>
        <w:tblLook w:val="04A0" w:firstRow="1" w:lastRow="0" w:firstColumn="1" w:lastColumn="0" w:noHBand="0" w:noVBand="1"/>
      </w:tblPr>
      <w:tblGrid>
        <w:gridCol w:w="3924"/>
        <w:gridCol w:w="1241"/>
        <w:gridCol w:w="1355"/>
        <w:gridCol w:w="1275"/>
        <w:gridCol w:w="1275"/>
      </w:tblGrid>
      <w:tr w:rsidR="009976D2" w:rsidRPr="00701F32" w14:paraId="22B10E18" w14:textId="77777777" w:rsidTr="0086282C">
        <w:trPr>
          <w:trHeight w:val="228"/>
          <w:tblHeader/>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B917"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Cartera de instrumentos al 31/12/2017</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14:paraId="1299944E"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Costo Amortizado</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14:paraId="28DB2C02"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Valor Razonable - Resultados</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14:paraId="7B3420FD"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Valor Razonable - ORI</w:t>
            </w:r>
          </w:p>
        </w:tc>
        <w:tc>
          <w:tcPr>
            <w:tcW w:w="703" w:type="pct"/>
            <w:tcBorders>
              <w:top w:val="single" w:sz="4" w:space="0" w:color="auto"/>
              <w:left w:val="nil"/>
              <w:bottom w:val="single" w:sz="4" w:space="0" w:color="auto"/>
              <w:right w:val="single" w:sz="4" w:space="0" w:color="auto"/>
            </w:tcBorders>
            <w:vAlign w:val="center"/>
          </w:tcPr>
          <w:p w14:paraId="19E28911"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Total</w:t>
            </w:r>
          </w:p>
        </w:tc>
      </w:tr>
      <w:tr w:rsidR="009976D2" w:rsidRPr="00701F32" w14:paraId="792A104A" w14:textId="77777777" w:rsidTr="00AD40A3">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D767C0B" w14:textId="77777777" w:rsidR="009976D2" w:rsidRPr="00701F32" w:rsidRDefault="009976D2" w:rsidP="00AD40A3">
            <w:pPr>
              <w:rPr>
                <w:rFonts w:ascii="Arial" w:hAnsi="Arial" w:cs="Arial"/>
                <w:b/>
                <w:bCs/>
                <w:color w:val="000000"/>
                <w:sz w:val="18"/>
                <w:szCs w:val="18"/>
                <w:lang w:eastAsia="es-AR"/>
              </w:rPr>
            </w:pPr>
            <w:r w:rsidRPr="00701F32">
              <w:rPr>
                <w:rFonts w:ascii="Arial" w:hAnsi="Arial" w:cs="Arial"/>
                <w:b/>
                <w:bCs/>
                <w:color w:val="000000"/>
                <w:sz w:val="18"/>
                <w:szCs w:val="18"/>
                <w:lang w:eastAsia="es-AR"/>
              </w:rPr>
              <w:t>Activos</w:t>
            </w:r>
          </w:p>
        </w:tc>
        <w:tc>
          <w:tcPr>
            <w:tcW w:w="684" w:type="pct"/>
            <w:tcBorders>
              <w:top w:val="nil"/>
              <w:left w:val="nil"/>
              <w:bottom w:val="single" w:sz="4" w:space="0" w:color="auto"/>
              <w:right w:val="single" w:sz="4" w:space="0" w:color="auto"/>
            </w:tcBorders>
            <w:shd w:val="clear" w:color="auto" w:fill="auto"/>
            <w:noWrap/>
            <w:vAlign w:val="bottom"/>
            <w:hideMark/>
          </w:tcPr>
          <w:p w14:paraId="45819D38" w14:textId="77777777" w:rsidR="009976D2" w:rsidRPr="00701F32" w:rsidRDefault="009976D2" w:rsidP="00AD40A3">
            <w:pPr>
              <w:jc w:val="right"/>
              <w:rPr>
                <w:rFonts w:ascii="Arial" w:hAnsi="Arial" w:cs="Arial"/>
                <w:b/>
                <w:bCs/>
                <w:color w:val="000000"/>
                <w:sz w:val="18"/>
                <w:szCs w:val="18"/>
                <w:lang w:eastAsia="es-AR"/>
              </w:rPr>
            </w:pPr>
          </w:p>
        </w:tc>
        <w:tc>
          <w:tcPr>
            <w:tcW w:w="747" w:type="pct"/>
            <w:tcBorders>
              <w:top w:val="nil"/>
              <w:left w:val="nil"/>
              <w:bottom w:val="single" w:sz="4" w:space="0" w:color="auto"/>
              <w:right w:val="single" w:sz="4" w:space="0" w:color="auto"/>
            </w:tcBorders>
            <w:shd w:val="clear" w:color="auto" w:fill="auto"/>
            <w:noWrap/>
            <w:vAlign w:val="bottom"/>
            <w:hideMark/>
          </w:tcPr>
          <w:p w14:paraId="1879447D" w14:textId="77777777" w:rsidR="009976D2" w:rsidRPr="00701F32" w:rsidRDefault="009976D2" w:rsidP="00AD40A3">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shd w:val="clear" w:color="auto" w:fill="auto"/>
            <w:noWrap/>
            <w:vAlign w:val="bottom"/>
            <w:hideMark/>
          </w:tcPr>
          <w:p w14:paraId="7F452C66" w14:textId="77777777" w:rsidR="009976D2" w:rsidRPr="00701F32" w:rsidRDefault="009976D2" w:rsidP="00AD40A3">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tcPr>
          <w:p w14:paraId="1BC53FB7" w14:textId="77777777" w:rsidR="009976D2" w:rsidRPr="00701F32" w:rsidRDefault="009976D2" w:rsidP="00AD40A3">
            <w:pPr>
              <w:jc w:val="right"/>
              <w:rPr>
                <w:rFonts w:ascii="Arial" w:hAnsi="Arial" w:cs="Arial"/>
                <w:b/>
                <w:bCs/>
                <w:color w:val="000000"/>
                <w:sz w:val="18"/>
                <w:szCs w:val="18"/>
                <w:lang w:eastAsia="es-AR"/>
              </w:rPr>
            </w:pPr>
          </w:p>
        </w:tc>
      </w:tr>
      <w:tr w:rsidR="009976D2" w:rsidRPr="00701F32" w14:paraId="7D0AFDA9"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5DBFEBA7"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Títulos de deuda a valor razonable con cambios en resultados</w:t>
            </w:r>
          </w:p>
        </w:tc>
        <w:tc>
          <w:tcPr>
            <w:tcW w:w="684" w:type="pct"/>
            <w:tcBorders>
              <w:top w:val="nil"/>
              <w:left w:val="nil"/>
              <w:bottom w:val="single" w:sz="4" w:space="0" w:color="auto"/>
              <w:right w:val="single" w:sz="4" w:space="0" w:color="auto"/>
            </w:tcBorders>
            <w:shd w:val="clear" w:color="auto" w:fill="auto"/>
            <w:noWrap/>
            <w:vAlign w:val="center"/>
            <w:hideMark/>
          </w:tcPr>
          <w:p w14:paraId="26C060C7"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3D4D767A"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11.404.286</w:t>
            </w:r>
          </w:p>
        </w:tc>
        <w:tc>
          <w:tcPr>
            <w:tcW w:w="703" w:type="pct"/>
            <w:tcBorders>
              <w:top w:val="nil"/>
              <w:left w:val="nil"/>
              <w:bottom w:val="single" w:sz="4" w:space="0" w:color="auto"/>
              <w:right w:val="single" w:sz="4" w:space="0" w:color="auto"/>
            </w:tcBorders>
            <w:shd w:val="clear" w:color="auto" w:fill="auto"/>
            <w:noWrap/>
            <w:vAlign w:val="center"/>
            <w:hideMark/>
          </w:tcPr>
          <w:p w14:paraId="5FC70B6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720D232A" w14:textId="77777777" w:rsidR="009976D2" w:rsidRPr="00701F32" w:rsidRDefault="009976D2">
            <w:pPr>
              <w:jc w:val="right"/>
              <w:rPr>
                <w:rFonts w:ascii="Arial" w:hAnsi="Arial" w:cs="Arial"/>
                <w:sz w:val="18"/>
                <w:szCs w:val="18"/>
              </w:rPr>
            </w:pPr>
            <w:r w:rsidRPr="00701F32">
              <w:rPr>
                <w:rFonts w:ascii="Arial" w:hAnsi="Arial" w:cs="Arial"/>
                <w:sz w:val="18"/>
                <w:szCs w:val="18"/>
              </w:rPr>
              <w:t>11.404.286</w:t>
            </w:r>
          </w:p>
        </w:tc>
      </w:tr>
      <w:tr w:rsidR="009976D2" w:rsidRPr="00701F32" w14:paraId="2D0B3629"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29B242E4"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684" w:type="pct"/>
            <w:tcBorders>
              <w:top w:val="nil"/>
              <w:left w:val="nil"/>
              <w:bottom w:val="single" w:sz="4" w:space="0" w:color="auto"/>
              <w:right w:val="single" w:sz="4" w:space="0" w:color="auto"/>
            </w:tcBorders>
            <w:shd w:val="clear" w:color="auto" w:fill="auto"/>
            <w:noWrap/>
            <w:vAlign w:val="center"/>
            <w:hideMark/>
          </w:tcPr>
          <w:p w14:paraId="36BD0077"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0BC7B4B1"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26.916</w:t>
            </w:r>
          </w:p>
        </w:tc>
        <w:tc>
          <w:tcPr>
            <w:tcW w:w="703" w:type="pct"/>
            <w:tcBorders>
              <w:top w:val="nil"/>
              <w:left w:val="nil"/>
              <w:bottom w:val="single" w:sz="4" w:space="0" w:color="auto"/>
              <w:right w:val="single" w:sz="4" w:space="0" w:color="auto"/>
            </w:tcBorders>
            <w:shd w:val="clear" w:color="auto" w:fill="auto"/>
            <w:noWrap/>
            <w:vAlign w:val="center"/>
            <w:hideMark/>
          </w:tcPr>
          <w:p w14:paraId="076BAD8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48EC51CE" w14:textId="77777777" w:rsidR="009976D2" w:rsidRPr="00701F32" w:rsidRDefault="009976D2">
            <w:pPr>
              <w:jc w:val="right"/>
              <w:rPr>
                <w:rFonts w:ascii="Arial" w:hAnsi="Arial" w:cs="Arial"/>
                <w:sz w:val="18"/>
                <w:szCs w:val="18"/>
              </w:rPr>
            </w:pPr>
            <w:r w:rsidRPr="00701F32">
              <w:rPr>
                <w:rFonts w:ascii="Arial" w:hAnsi="Arial" w:cs="Arial"/>
                <w:sz w:val="18"/>
                <w:szCs w:val="18"/>
              </w:rPr>
              <w:t>26.916</w:t>
            </w:r>
          </w:p>
        </w:tc>
      </w:tr>
      <w:tr w:rsidR="009976D2" w:rsidRPr="00701F32" w14:paraId="553F47FE"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22299312"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Operaciones de pases</w:t>
            </w:r>
          </w:p>
        </w:tc>
        <w:tc>
          <w:tcPr>
            <w:tcW w:w="684" w:type="pct"/>
            <w:tcBorders>
              <w:top w:val="nil"/>
              <w:left w:val="nil"/>
              <w:bottom w:val="single" w:sz="4" w:space="0" w:color="auto"/>
              <w:right w:val="single" w:sz="4" w:space="0" w:color="auto"/>
            </w:tcBorders>
            <w:shd w:val="clear" w:color="auto" w:fill="auto"/>
            <w:noWrap/>
            <w:vAlign w:val="center"/>
            <w:hideMark/>
          </w:tcPr>
          <w:p w14:paraId="2FFBDAA7"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3.349.822</w:t>
            </w:r>
          </w:p>
        </w:tc>
        <w:tc>
          <w:tcPr>
            <w:tcW w:w="747" w:type="pct"/>
            <w:tcBorders>
              <w:top w:val="nil"/>
              <w:left w:val="nil"/>
              <w:bottom w:val="single" w:sz="4" w:space="0" w:color="auto"/>
              <w:right w:val="single" w:sz="4" w:space="0" w:color="auto"/>
            </w:tcBorders>
            <w:shd w:val="clear" w:color="auto" w:fill="auto"/>
            <w:noWrap/>
            <w:vAlign w:val="center"/>
            <w:hideMark/>
          </w:tcPr>
          <w:p w14:paraId="6C000C9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hideMark/>
          </w:tcPr>
          <w:p w14:paraId="58EFC11D"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00D061A9" w14:textId="77777777" w:rsidR="009976D2" w:rsidRPr="00701F32" w:rsidRDefault="009976D2">
            <w:pPr>
              <w:jc w:val="right"/>
              <w:rPr>
                <w:rFonts w:ascii="Arial" w:hAnsi="Arial" w:cs="Arial"/>
                <w:sz w:val="18"/>
                <w:szCs w:val="18"/>
              </w:rPr>
            </w:pPr>
            <w:r w:rsidRPr="00701F32">
              <w:rPr>
                <w:rFonts w:ascii="Arial" w:hAnsi="Arial" w:cs="Arial"/>
                <w:sz w:val="18"/>
                <w:szCs w:val="18"/>
              </w:rPr>
              <w:t>3.349.822</w:t>
            </w:r>
          </w:p>
        </w:tc>
      </w:tr>
      <w:tr w:rsidR="009976D2" w:rsidRPr="00701F32" w14:paraId="47E3292D"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7B9AC92"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activos financieros</w:t>
            </w:r>
          </w:p>
        </w:tc>
        <w:tc>
          <w:tcPr>
            <w:tcW w:w="684" w:type="pct"/>
            <w:tcBorders>
              <w:top w:val="nil"/>
              <w:left w:val="nil"/>
              <w:bottom w:val="single" w:sz="4" w:space="0" w:color="auto"/>
              <w:right w:val="single" w:sz="4" w:space="0" w:color="auto"/>
            </w:tcBorders>
            <w:shd w:val="clear" w:color="auto" w:fill="auto"/>
            <w:noWrap/>
            <w:vAlign w:val="center"/>
            <w:hideMark/>
          </w:tcPr>
          <w:p w14:paraId="291E456A"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670.719</w:t>
            </w:r>
          </w:p>
        </w:tc>
        <w:tc>
          <w:tcPr>
            <w:tcW w:w="747" w:type="pct"/>
            <w:tcBorders>
              <w:top w:val="nil"/>
              <w:left w:val="nil"/>
              <w:bottom w:val="single" w:sz="4" w:space="0" w:color="auto"/>
              <w:right w:val="single" w:sz="4" w:space="0" w:color="auto"/>
            </w:tcBorders>
            <w:shd w:val="clear" w:color="auto" w:fill="auto"/>
            <w:noWrap/>
            <w:vAlign w:val="center"/>
            <w:hideMark/>
          </w:tcPr>
          <w:p w14:paraId="0959CE6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26.264</w:t>
            </w:r>
          </w:p>
        </w:tc>
        <w:tc>
          <w:tcPr>
            <w:tcW w:w="703" w:type="pct"/>
            <w:tcBorders>
              <w:top w:val="nil"/>
              <w:left w:val="nil"/>
              <w:bottom w:val="single" w:sz="4" w:space="0" w:color="auto"/>
              <w:right w:val="single" w:sz="4" w:space="0" w:color="auto"/>
            </w:tcBorders>
            <w:shd w:val="clear" w:color="auto" w:fill="auto"/>
            <w:noWrap/>
            <w:vAlign w:val="center"/>
            <w:hideMark/>
          </w:tcPr>
          <w:p w14:paraId="554FDF31"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74324738" w14:textId="77777777" w:rsidR="009976D2" w:rsidRPr="00701F32" w:rsidRDefault="009976D2">
            <w:pPr>
              <w:jc w:val="right"/>
              <w:rPr>
                <w:rFonts w:ascii="Arial" w:hAnsi="Arial" w:cs="Arial"/>
                <w:sz w:val="18"/>
                <w:szCs w:val="18"/>
              </w:rPr>
            </w:pPr>
            <w:r w:rsidRPr="00701F32">
              <w:rPr>
                <w:rFonts w:ascii="Arial" w:hAnsi="Arial" w:cs="Arial"/>
                <w:sz w:val="18"/>
                <w:szCs w:val="18"/>
              </w:rPr>
              <w:t>696.983</w:t>
            </w:r>
          </w:p>
        </w:tc>
      </w:tr>
      <w:tr w:rsidR="009976D2" w:rsidRPr="00701F32" w14:paraId="44E1C602"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0AF8AAC"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Préstamos y otras financiaciones</w:t>
            </w:r>
          </w:p>
        </w:tc>
        <w:tc>
          <w:tcPr>
            <w:tcW w:w="684" w:type="pct"/>
            <w:tcBorders>
              <w:top w:val="nil"/>
              <w:left w:val="nil"/>
              <w:bottom w:val="single" w:sz="4" w:space="0" w:color="auto"/>
              <w:right w:val="single" w:sz="4" w:space="0" w:color="auto"/>
            </w:tcBorders>
            <w:shd w:val="clear" w:color="auto" w:fill="auto"/>
            <w:noWrap/>
            <w:vAlign w:val="center"/>
            <w:hideMark/>
          </w:tcPr>
          <w:p w14:paraId="1967D4D5"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60.138.805</w:t>
            </w:r>
          </w:p>
        </w:tc>
        <w:tc>
          <w:tcPr>
            <w:tcW w:w="747" w:type="pct"/>
            <w:tcBorders>
              <w:top w:val="nil"/>
              <w:left w:val="nil"/>
              <w:bottom w:val="single" w:sz="4" w:space="0" w:color="auto"/>
              <w:right w:val="single" w:sz="4" w:space="0" w:color="auto"/>
            </w:tcBorders>
            <w:shd w:val="clear" w:color="auto" w:fill="auto"/>
            <w:noWrap/>
            <w:vAlign w:val="center"/>
            <w:hideMark/>
          </w:tcPr>
          <w:p w14:paraId="3F5CBC08"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hideMark/>
          </w:tcPr>
          <w:p w14:paraId="63A651C6" w14:textId="77777777" w:rsidR="009976D2" w:rsidRPr="00701F32" w:rsidRDefault="009976D2">
            <w:pPr>
              <w:jc w:val="right"/>
              <w:rPr>
                <w:rFonts w:ascii="Arial" w:hAnsi="Arial" w:cs="Arial"/>
                <w:color w:val="000000"/>
                <w:sz w:val="18"/>
                <w:szCs w:val="18"/>
                <w:lang w:eastAsia="es-AR"/>
              </w:rPr>
            </w:pPr>
            <w:r w:rsidRPr="00701F32">
              <w:rPr>
                <w:rFonts w:ascii="Arial" w:hAnsi="Arial" w:cs="Arial"/>
                <w:color w:val="000000"/>
                <w:sz w:val="18"/>
                <w:szCs w:val="18"/>
                <w:lang w:eastAsia="es-AR"/>
              </w:rPr>
              <w:t>-</w:t>
            </w:r>
          </w:p>
        </w:tc>
        <w:tc>
          <w:tcPr>
            <w:tcW w:w="703" w:type="pct"/>
            <w:tcBorders>
              <w:top w:val="nil"/>
              <w:left w:val="nil"/>
              <w:bottom w:val="single" w:sz="4" w:space="0" w:color="auto"/>
              <w:right w:val="single" w:sz="4" w:space="0" w:color="auto"/>
            </w:tcBorders>
            <w:vAlign w:val="center"/>
          </w:tcPr>
          <w:p w14:paraId="7E9C1515" w14:textId="77777777" w:rsidR="009976D2" w:rsidRPr="00701F32" w:rsidRDefault="009976D2">
            <w:pPr>
              <w:jc w:val="right"/>
              <w:rPr>
                <w:rFonts w:ascii="Arial" w:hAnsi="Arial" w:cs="Arial"/>
                <w:color w:val="000000"/>
                <w:sz w:val="18"/>
                <w:szCs w:val="18"/>
                <w:lang w:eastAsia="es-AR"/>
              </w:rPr>
            </w:pPr>
            <w:r w:rsidRPr="00701F32">
              <w:rPr>
                <w:rFonts w:ascii="Arial" w:hAnsi="Arial" w:cs="Arial"/>
                <w:color w:val="000000"/>
                <w:sz w:val="18"/>
                <w:szCs w:val="18"/>
                <w:lang w:eastAsia="es-AR"/>
              </w:rPr>
              <w:t>60.138.805</w:t>
            </w:r>
          </w:p>
        </w:tc>
      </w:tr>
      <w:tr w:rsidR="009976D2" w:rsidRPr="00701F32" w14:paraId="1631415A"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24760C7A"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títulos de deuda</w:t>
            </w:r>
          </w:p>
        </w:tc>
        <w:tc>
          <w:tcPr>
            <w:tcW w:w="684" w:type="pct"/>
            <w:tcBorders>
              <w:top w:val="nil"/>
              <w:left w:val="nil"/>
              <w:bottom w:val="single" w:sz="4" w:space="0" w:color="auto"/>
              <w:right w:val="single" w:sz="4" w:space="0" w:color="auto"/>
            </w:tcBorders>
            <w:shd w:val="clear" w:color="auto" w:fill="auto"/>
            <w:noWrap/>
            <w:vAlign w:val="center"/>
            <w:hideMark/>
          </w:tcPr>
          <w:p w14:paraId="5FC95E50"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256.971</w:t>
            </w:r>
          </w:p>
        </w:tc>
        <w:tc>
          <w:tcPr>
            <w:tcW w:w="747" w:type="pct"/>
            <w:tcBorders>
              <w:top w:val="nil"/>
              <w:left w:val="nil"/>
              <w:bottom w:val="single" w:sz="4" w:space="0" w:color="auto"/>
              <w:right w:val="single" w:sz="4" w:space="0" w:color="auto"/>
            </w:tcBorders>
            <w:shd w:val="clear" w:color="auto" w:fill="auto"/>
            <w:noWrap/>
            <w:vAlign w:val="center"/>
            <w:hideMark/>
          </w:tcPr>
          <w:p w14:paraId="4B341388"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hideMark/>
          </w:tcPr>
          <w:p w14:paraId="27DE1489"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32</w:t>
            </w:r>
          </w:p>
        </w:tc>
        <w:tc>
          <w:tcPr>
            <w:tcW w:w="703" w:type="pct"/>
            <w:tcBorders>
              <w:top w:val="nil"/>
              <w:left w:val="nil"/>
              <w:bottom w:val="single" w:sz="4" w:space="0" w:color="auto"/>
              <w:right w:val="single" w:sz="4" w:space="0" w:color="auto"/>
            </w:tcBorders>
            <w:vAlign w:val="center"/>
          </w:tcPr>
          <w:p w14:paraId="0DC6943B" w14:textId="77777777" w:rsidR="009976D2" w:rsidRPr="00701F32" w:rsidRDefault="009976D2">
            <w:pPr>
              <w:jc w:val="right"/>
              <w:rPr>
                <w:rFonts w:ascii="Arial" w:hAnsi="Arial" w:cs="Arial"/>
                <w:sz w:val="18"/>
                <w:szCs w:val="18"/>
              </w:rPr>
            </w:pPr>
            <w:r w:rsidRPr="00701F32">
              <w:rPr>
                <w:rFonts w:ascii="Arial" w:hAnsi="Arial" w:cs="Arial"/>
                <w:sz w:val="18"/>
                <w:szCs w:val="18"/>
              </w:rPr>
              <w:t>257.003</w:t>
            </w:r>
          </w:p>
        </w:tc>
      </w:tr>
      <w:tr w:rsidR="009976D2" w:rsidRPr="00701F32" w14:paraId="0C27F0CA"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AA4C9B9"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Activos financieros entregados en garantía</w:t>
            </w:r>
          </w:p>
        </w:tc>
        <w:tc>
          <w:tcPr>
            <w:tcW w:w="684" w:type="pct"/>
            <w:tcBorders>
              <w:top w:val="nil"/>
              <w:left w:val="nil"/>
              <w:bottom w:val="single" w:sz="4" w:space="0" w:color="auto"/>
              <w:right w:val="single" w:sz="4" w:space="0" w:color="auto"/>
            </w:tcBorders>
            <w:shd w:val="clear" w:color="auto" w:fill="auto"/>
            <w:noWrap/>
            <w:vAlign w:val="center"/>
            <w:hideMark/>
          </w:tcPr>
          <w:p w14:paraId="1EDBA89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119.017</w:t>
            </w:r>
          </w:p>
        </w:tc>
        <w:tc>
          <w:tcPr>
            <w:tcW w:w="747" w:type="pct"/>
            <w:tcBorders>
              <w:top w:val="nil"/>
              <w:left w:val="nil"/>
              <w:bottom w:val="single" w:sz="4" w:space="0" w:color="auto"/>
              <w:right w:val="single" w:sz="4" w:space="0" w:color="auto"/>
            </w:tcBorders>
            <w:shd w:val="clear" w:color="auto" w:fill="auto"/>
            <w:noWrap/>
            <w:vAlign w:val="center"/>
            <w:hideMark/>
          </w:tcPr>
          <w:p w14:paraId="6BE01973"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1.180.087</w:t>
            </w:r>
          </w:p>
        </w:tc>
        <w:tc>
          <w:tcPr>
            <w:tcW w:w="703" w:type="pct"/>
            <w:tcBorders>
              <w:top w:val="nil"/>
              <w:left w:val="nil"/>
              <w:bottom w:val="single" w:sz="4" w:space="0" w:color="auto"/>
              <w:right w:val="single" w:sz="4" w:space="0" w:color="auto"/>
            </w:tcBorders>
            <w:shd w:val="clear" w:color="auto" w:fill="auto"/>
            <w:noWrap/>
            <w:vAlign w:val="center"/>
            <w:hideMark/>
          </w:tcPr>
          <w:p w14:paraId="0F3D3423"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3A05D0CC" w14:textId="77777777" w:rsidR="009976D2" w:rsidRPr="00701F32" w:rsidRDefault="009976D2">
            <w:pPr>
              <w:jc w:val="right"/>
              <w:rPr>
                <w:rFonts w:ascii="Arial" w:hAnsi="Arial" w:cs="Arial"/>
                <w:sz w:val="18"/>
                <w:szCs w:val="18"/>
              </w:rPr>
            </w:pPr>
            <w:r w:rsidRPr="00701F32">
              <w:rPr>
                <w:rFonts w:ascii="Arial" w:hAnsi="Arial" w:cs="Arial"/>
                <w:sz w:val="18"/>
                <w:szCs w:val="18"/>
              </w:rPr>
              <w:t>1.299.104</w:t>
            </w:r>
          </w:p>
        </w:tc>
      </w:tr>
      <w:tr w:rsidR="009976D2" w:rsidRPr="00701F32" w14:paraId="2CE485BA"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34D1E37"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Inversiones en Instrumentos de Patrimonio</w:t>
            </w:r>
          </w:p>
        </w:tc>
        <w:tc>
          <w:tcPr>
            <w:tcW w:w="684" w:type="pct"/>
            <w:tcBorders>
              <w:top w:val="nil"/>
              <w:left w:val="nil"/>
              <w:bottom w:val="single" w:sz="4" w:space="0" w:color="auto"/>
              <w:right w:val="single" w:sz="4" w:space="0" w:color="auto"/>
            </w:tcBorders>
            <w:shd w:val="clear" w:color="auto" w:fill="auto"/>
            <w:noWrap/>
            <w:vAlign w:val="center"/>
            <w:hideMark/>
          </w:tcPr>
          <w:p w14:paraId="708D23F5"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71A95122"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38.001</w:t>
            </w:r>
          </w:p>
        </w:tc>
        <w:tc>
          <w:tcPr>
            <w:tcW w:w="703" w:type="pct"/>
            <w:tcBorders>
              <w:top w:val="nil"/>
              <w:left w:val="nil"/>
              <w:bottom w:val="single" w:sz="4" w:space="0" w:color="auto"/>
              <w:right w:val="single" w:sz="4" w:space="0" w:color="auto"/>
            </w:tcBorders>
            <w:shd w:val="clear" w:color="auto" w:fill="auto"/>
            <w:noWrap/>
            <w:vAlign w:val="center"/>
            <w:hideMark/>
          </w:tcPr>
          <w:p w14:paraId="079A6B2F"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7.918</w:t>
            </w:r>
          </w:p>
        </w:tc>
        <w:tc>
          <w:tcPr>
            <w:tcW w:w="703" w:type="pct"/>
            <w:tcBorders>
              <w:top w:val="nil"/>
              <w:left w:val="nil"/>
              <w:bottom w:val="single" w:sz="4" w:space="0" w:color="auto"/>
              <w:right w:val="single" w:sz="4" w:space="0" w:color="auto"/>
            </w:tcBorders>
            <w:vAlign w:val="center"/>
          </w:tcPr>
          <w:p w14:paraId="4A0E97DB" w14:textId="77777777" w:rsidR="009976D2" w:rsidRPr="00701F32" w:rsidRDefault="009976D2">
            <w:pPr>
              <w:jc w:val="right"/>
              <w:rPr>
                <w:rFonts w:ascii="Arial" w:hAnsi="Arial" w:cs="Arial"/>
                <w:sz w:val="18"/>
                <w:szCs w:val="18"/>
              </w:rPr>
            </w:pPr>
            <w:r w:rsidRPr="00701F32">
              <w:rPr>
                <w:rFonts w:ascii="Arial" w:hAnsi="Arial" w:cs="Arial"/>
                <w:sz w:val="18"/>
                <w:szCs w:val="18"/>
              </w:rPr>
              <w:t>45.919</w:t>
            </w:r>
          </w:p>
        </w:tc>
      </w:tr>
      <w:tr w:rsidR="009976D2" w:rsidRPr="00701F32" w14:paraId="029A46D2"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55EAE9E4" w14:textId="77777777" w:rsidR="009976D2" w:rsidRPr="00701F32" w:rsidRDefault="009976D2" w:rsidP="00AD40A3">
            <w:pPr>
              <w:jc w:val="both"/>
              <w:rPr>
                <w:rFonts w:ascii="Arial" w:hAnsi="Arial" w:cs="Arial"/>
                <w:b/>
                <w:color w:val="000000"/>
                <w:sz w:val="18"/>
                <w:szCs w:val="18"/>
                <w:lang w:eastAsia="es-AR"/>
              </w:rPr>
            </w:pPr>
            <w:r w:rsidRPr="00701F32">
              <w:rPr>
                <w:rFonts w:ascii="Arial" w:hAnsi="Arial" w:cs="Arial"/>
                <w:b/>
                <w:color w:val="000000"/>
                <w:sz w:val="18"/>
                <w:szCs w:val="18"/>
                <w:lang w:eastAsia="es-AR"/>
              </w:rPr>
              <w:t>Total Activos</w:t>
            </w:r>
          </w:p>
        </w:tc>
        <w:tc>
          <w:tcPr>
            <w:tcW w:w="684" w:type="pct"/>
            <w:tcBorders>
              <w:top w:val="nil"/>
              <w:left w:val="nil"/>
              <w:bottom w:val="single" w:sz="4" w:space="0" w:color="auto"/>
              <w:right w:val="single" w:sz="4" w:space="0" w:color="auto"/>
            </w:tcBorders>
            <w:shd w:val="clear" w:color="auto" w:fill="auto"/>
            <w:noWrap/>
            <w:vAlign w:val="center"/>
          </w:tcPr>
          <w:p w14:paraId="301BA7F2" w14:textId="77777777" w:rsidR="009976D2" w:rsidRPr="00701F32" w:rsidRDefault="009976D2">
            <w:pPr>
              <w:jc w:val="right"/>
              <w:rPr>
                <w:rFonts w:ascii="Arial" w:hAnsi="Arial" w:cs="Arial"/>
                <w:b/>
                <w:sz w:val="18"/>
                <w:szCs w:val="18"/>
              </w:rPr>
            </w:pPr>
            <w:r w:rsidRPr="00701F32">
              <w:rPr>
                <w:rFonts w:ascii="Arial" w:hAnsi="Arial" w:cs="Arial"/>
                <w:b/>
                <w:sz w:val="18"/>
                <w:szCs w:val="18"/>
              </w:rPr>
              <w:t>64.</w:t>
            </w:r>
            <w:r w:rsidR="00451816" w:rsidRPr="00701F32">
              <w:rPr>
                <w:rFonts w:ascii="Arial" w:hAnsi="Arial" w:cs="Arial"/>
                <w:b/>
                <w:sz w:val="18"/>
                <w:szCs w:val="18"/>
              </w:rPr>
              <w:t>535.334</w:t>
            </w:r>
          </w:p>
        </w:tc>
        <w:tc>
          <w:tcPr>
            <w:tcW w:w="747" w:type="pct"/>
            <w:tcBorders>
              <w:top w:val="nil"/>
              <w:left w:val="nil"/>
              <w:bottom w:val="single" w:sz="4" w:space="0" w:color="auto"/>
              <w:right w:val="single" w:sz="4" w:space="0" w:color="auto"/>
            </w:tcBorders>
            <w:shd w:val="clear" w:color="auto" w:fill="auto"/>
            <w:noWrap/>
            <w:vAlign w:val="center"/>
          </w:tcPr>
          <w:p w14:paraId="3006B9C5" w14:textId="77777777" w:rsidR="009976D2" w:rsidRPr="00701F32" w:rsidRDefault="009976D2">
            <w:pPr>
              <w:jc w:val="right"/>
              <w:rPr>
                <w:rFonts w:ascii="Arial" w:hAnsi="Arial" w:cs="Arial"/>
                <w:b/>
                <w:sz w:val="18"/>
                <w:szCs w:val="18"/>
              </w:rPr>
            </w:pPr>
            <w:r w:rsidRPr="00701F32">
              <w:rPr>
                <w:rFonts w:ascii="Arial" w:hAnsi="Arial" w:cs="Arial"/>
                <w:b/>
                <w:sz w:val="18"/>
                <w:szCs w:val="18"/>
              </w:rPr>
              <w:t>12.</w:t>
            </w:r>
            <w:r w:rsidR="00451816" w:rsidRPr="00701F32">
              <w:rPr>
                <w:rFonts w:ascii="Arial" w:hAnsi="Arial" w:cs="Arial"/>
                <w:b/>
                <w:sz w:val="18"/>
                <w:szCs w:val="18"/>
              </w:rPr>
              <w:t>675.554</w:t>
            </w:r>
          </w:p>
        </w:tc>
        <w:tc>
          <w:tcPr>
            <w:tcW w:w="703" w:type="pct"/>
            <w:tcBorders>
              <w:top w:val="nil"/>
              <w:left w:val="nil"/>
              <w:bottom w:val="single" w:sz="4" w:space="0" w:color="auto"/>
              <w:right w:val="single" w:sz="4" w:space="0" w:color="auto"/>
            </w:tcBorders>
            <w:shd w:val="clear" w:color="auto" w:fill="auto"/>
            <w:noWrap/>
            <w:vAlign w:val="center"/>
          </w:tcPr>
          <w:p w14:paraId="0D117FA7" w14:textId="77777777" w:rsidR="009976D2" w:rsidRPr="00701F32" w:rsidRDefault="009976D2">
            <w:pPr>
              <w:jc w:val="right"/>
              <w:rPr>
                <w:rFonts w:ascii="Arial" w:hAnsi="Arial" w:cs="Arial"/>
                <w:b/>
                <w:sz w:val="18"/>
                <w:szCs w:val="18"/>
              </w:rPr>
            </w:pPr>
            <w:r w:rsidRPr="00701F32">
              <w:rPr>
                <w:rFonts w:ascii="Arial" w:hAnsi="Arial" w:cs="Arial"/>
                <w:b/>
                <w:sz w:val="18"/>
                <w:szCs w:val="18"/>
              </w:rPr>
              <w:t>7.950</w:t>
            </w:r>
          </w:p>
        </w:tc>
        <w:tc>
          <w:tcPr>
            <w:tcW w:w="703" w:type="pct"/>
            <w:tcBorders>
              <w:top w:val="nil"/>
              <w:left w:val="nil"/>
              <w:bottom w:val="single" w:sz="4" w:space="0" w:color="auto"/>
              <w:right w:val="single" w:sz="4" w:space="0" w:color="auto"/>
            </w:tcBorders>
            <w:vAlign w:val="center"/>
          </w:tcPr>
          <w:p w14:paraId="735AEF46" w14:textId="77777777" w:rsidR="009976D2" w:rsidRPr="00701F32" w:rsidRDefault="00451816">
            <w:pPr>
              <w:jc w:val="right"/>
              <w:rPr>
                <w:rFonts w:ascii="Arial" w:hAnsi="Arial" w:cs="Arial"/>
                <w:b/>
                <w:sz w:val="18"/>
                <w:szCs w:val="18"/>
              </w:rPr>
            </w:pPr>
            <w:r w:rsidRPr="00701F32">
              <w:rPr>
                <w:rFonts w:ascii="Arial" w:hAnsi="Arial" w:cs="Arial"/>
                <w:b/>
                <w:sz w:val="18"/>
                <w:szCs w:val="18"/>
              </w:rPr>
              <w:t>77.218.838</w:t>
            </w:r>
          </w:p>
        </w:tc>
      </w:tr>
      <w:tr w:rsidR="009976D2" w:rsidRPr="00701F32" w14:paraId="46C4B249"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39B9976" w14:textId="77777777" w:rsidR="009976D2" w:rsidRPr="00701F32" w:rsidRDefault="009976D2" w:rsidP="00AD40A3">
            <w:pPr>
              <w:rPr>
                <w:rFonts w:ascii="Arial" w:hAnsi="Arial" w:cs="Arial"/>
                <w:b/>
                <w:bCs/>
                <w:color w:val="000000"/>
                <w:sz w:val="18"/>
                <w:szCs w:val="18"/>
                <w:lang w:eastAsia="es-AR"/>
              </w:rPr>
            </w:pPr>
            <w:r w:rsidRPr="00701F32">
              <w:rPr>
                <w:rFonts w:ascii="Arial" w:hAnsi="Arial" w:cs="Arial"/>
                <w:b/>
                <w:bCs/>
                <w:color w:val="000000"/>
                <w:sz w:val="18"/>
                <w:szCs w:val="18"/>
                <w:lang w:eastAsia="es-AR"/>
              </w:rPr>
              <w:t>Pasivos</w:t>
            </w:r>
          </w:p>
        </w:tc>
        <w:tc>
          <w:tcPr>
            <w:tcW w:w="684" w:type="pct"/>
            <w:tcBorders>
              <w:top w:val="nil"/>
              <w:left w:val="nil"/>
              <w:bottom w:val="single" w:sz="4" w:space="0" w:color="auto"/>
              <w:right w:val="single" w:sz="4" w:space="0" w:color="auto"/>
            </w:tcBorders>
            <w:shd w:val="clear" w:color="auto" w:fill="auto"/>
            <w:noWrap/>
            <w:vAlign w:val="center"/>
            <w:hideMark/>
          </w:tcPr>
          <w:p w14:paraId="335B4665" w14:textId="77777777" w:rsidR="009976D2" w:rsidRPr="00701F32" w:rsidRDefault="009976D2">
            <w:pPr>
              <w:jc w:val="right"/>
              <w:rPr>
                <w:rFonts w:ascii="Arial" w:hAnsi="Arial" w:cs="Arial"/>
                <w:b/>
                <w:bCs/>
                <w:color w:val="000000"/>
                <w:sz w:val="18"/>
                <w:szCs w:val="18"/>
                <w:lang w:eastAsia="es-AR"/>
              </w:rPr>
            </w:pPr>
          </w:p>
        </w:tc>
        <w:tc>
          <w:tcPr>
            <w:tcW w:w="747" w:type="pct"/>
            <w:tcBorders>
              <w:top w:val="nil"/>
              <w:left w:val="nil"/>
              <w:bottom w:val="single" w:sz="4" w:space="0" w:color="auto"/>
              <w:right w:val="single" w:sz="4" w:space="0" w:color="auto"/>
            </w:tcBorders>
            <w:shd w:val="clear" w:color="auto" w:fill="auto"/>
            <w:noWrap/>
            <w:vAlign w:val="center"/>
            <w:hideMark/>
          </w:tcPr>
          <w:p w14:paraId="4FA86B47" w14:textId="77777777" w:rsidR="009976D2" w:rsidRPr="00701F32" w:rsidRDefault="009976D2">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shd w:val="clear" w:color="auto" w:fill="auto"/>
            <w:noWrap/>
            <w:vAlign w:val="center"/>
            <w:hideMark/>
          </w:tcPr>
          <w:p w14:paraId="0B2873CA" w14:textId="77777777" w:rsidR="009976D2" w:rsidRPr="00701F32" w:rsidRDefault="009976D2">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vAlign w:val="center"/>
          </w:tcPr>
          <w:p w14:paraId="29EEBC90" w14:textId="77777777" w:rsidR="009976D2" w:rsidRPr="00701F32" w:rsidRDefault="009976D2">
            <w:pPr>
              <w:jc w:val="right"/>
              <w:rPr>
                <w:rFonts w:ascii="Arial" w:hAnsi="Arial" w:cs="Arial"/>
                <w:b/>
                <w:bCs/>
                <w:color w:val="000000"/>
                <w:sz w:val="18"/>
                <w:szCs w:val="18"/>
                <w:lang w:eastAsia="es-AR"/>
              </w:rPr>
            </w:pPr>
          </w:p>
        </w:tc>
      </w:tr>
      <w:tr w:rsidR="009976D2" w:rsidRPr="00701F32" w14:paraId="797A1244"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02F8696C"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Pasivos a valor razonable con cambios en resultados</w:t>
            </w:r>
          </w:p>
        </w:tc>
        <w:tc>
          <w:tcPr>
            <w:tcW w:w="684" w:type="pct"/>
            <w:tcBorders>
              <w:top w:val="nil"/>
              <w:left w:val="nil"/>
              <w:bottom w:val="single" w:sz="4" w:space="0" w:color="auto"/>
              <w:right w:val="single" w:sz="4" w:space="0" w:color="auto"/>
            </w:tcBorders>
            <w:shd w:val="clear" w:color="auto" w:fill="auto"/>
            <w:noWrap/>
            <w:vAlign w:val="center"/>
            <w:hideMark/>
          </w:tcPr>
          <w:p w14:paraId="0EF111FB"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514B7113"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4.176.040</w:t>
            </w:r>
          </w:p>
        </w:tc>
        <w:tc>
          <w:tcPr>
            <w:tcW w:w="703" w:type="pct"/>
            <w:tcBorders>
              <w:top w:val="nil"/>
              <w:left w:val="nil"/>
              <w:bottom w:val="single" w:sz="4" w:space="0" w:color="auto"/>
              <w:right w:val="single" w:sz="4" w:space="0" w:color="auto"/>
            </w:tcBorders>
            <w:shd w:val="clear" w:color="auto" w:fill="auto"/>
            <w:noWrap/>
            <w:vAlign w:val="center"/>
            <w:hideMark/>
          </w:tcPr>
          <w:p w14:paraId="563DBAC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1933F63C" w14:textId="77777777" w:rsidR="009976D2" w:rsidRPr="00701F32" w:rsidRDefault="009976D2">
            <w:pPr>
              <w:jc w:val="right"/>
              <w:rPr>
                <w:rFonts w:ascii="Arial" w:hAnsi="Arial" w:cs="Arial"/>
                <w:sz w:val="18"/>
                <w:szCs w:val="18"/>
              </w:rPr>
            </w:pPr>
            <w:r w:rsidRPr="00701F32">
              <w:rPr>
                <w:rFonts w:ascii="Arial" w:hAnsi="Arial" w:cs="Arial"/>
                <w:sz w:val="18"/>
                <w:szCs w:val="18"/>
              </w:rPr>
              <w:t>4.176.040</w:t>
            </w:r>
          </w:p>
        </w:tc>
      </w:tr>
      <w:tr w:rsidR="009976D2" w:rsidRPr="00701F32" w14:paraId="3507FADF"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5B1BBCED"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pasivos financieros</w:t>
            </w:r>
          </w:p>
        </w:tc>
        <w:tc>
          <w:tcPr>
            <w:tcW w:w="684" w:type="pct"/>
            <w:tcBorders>
              <w:top w:val="nil"/>
              <w:left w:val="nil"/>
              <w:bottom w:val="single" w:sz="4" w:space="0" w:color="auto"/>
              <w:right w:val="single" w:sz="4" w:space="0" w:color="auto"/>
            </w:tcBorders>
            <w:shd w:val="clear" w:color="auto" w:fill="auto"/>
            <w:noWrap/>
            <w:vAlign w:val="center"/>
          </w:tcPr>
          <w:p w14:paraId="522BC49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1.199.859</w:t>
            </w:r>
          </w:p>
        </w:tc>
        <w:tc>
          <w:tcPr>
            <w:tcW w:w="747" w:type="pct"/>
            <w:tcBorders>
              <w:top w:val="nil"/>
              <w:left w:val="nil"/>
              <w:bottom w:val="single" w:sz="4" w:space="0" w:color="auto"/>
              <w:right w:val="single" w:sz="4" w:space="0" w:color="auto"/>
            </w:tcBorders>
            <w:shd w:val="clear" w:color="auto" w:fill="auto"/>
            <w:noWrap/>
            <w:vAlign w:val="center"/>
          </w:tcPr>
          <w:p w14:paraId="74227FD1"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2.672.833</w:t>
            </w:r>
          </w:p>
        </w:tc>
        <w:tc>
          <w:tcPr>
            <w:tcW w:w="703" w:type="pct"/>
            <w:tcBorders>
              <w:top w:val="nil"/>
              <w:left w:val="nil"/>
              <w:bottom w:val="single" w:sz="4" w:space="0" w:color="auto"/>
              <w:right w:val="single" w:sz="4" w:space="0" w:color="auto"/>
            </w:tcBorders>
            <w:shd w:val="clear" w:color="auto" w:fill="auto"/>
            <w:noWrap/>
            <w:vAlign w:val="center"/>
          </w:tcPr>
          <w:p w14:paraId="6A8E6B63"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74BA958B" w14:textId="77777777" w:rsidR="009976D2" w:rsidRPr="00701F32" w:rsidRDefault="009976D2">
            <w:pPr>
              <w:jc w:val="right"/>
              <w:rPr>
                <w:rFonts w:ascii="Arial" w:hAnsi="Arial" w:cs="Arial"/>
                <w:sz w:val="18"/>
                <w:szCs w:val="18"/>
              </w:rPr>
            </w:pPr>
            <w:r w:rsidRPr="00701F32">
              <w:rPr>
                <w:rFonts w:ascii="Arial" w:hAnsi="Arial" w:cs="Arial"/>
                <w:sz w:val="18"/>
                <w:szCs w:val="18"/>
              </w:rPr>
              <w:t>3.872.692</w:t>
            </w:r>
          </w:p>
        </w:tc>
      </w:tr>
      <w:tr w:rsidR="009976D2" w:rsidRPr="00701F32" w14:paraId="47D24162" w14:textId="77777777" w:rsidTr="0086282C">
        <w:trPr>
          <w:trHeight w:val="228"/>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2FFCC7"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Financiaciones recibidas del BCRA y otras instituciones financieras</w:t>
            </w:r>
          </w:p>
        </w:tc>
        <w:tc>
          <w:tcPr>
            <w:tcW w:w="684" w:type="pct"/>
            <w:tcBorders>
              <w:top w:val="single" w:sz="4" w:space="0" w:color="auto"/>
              <w:left w:val="nil"/>
              <w:bottom w:val="single" w:sz="4" w:space="0" w:color="auto"/>
              <w:right w:val="single" w:sz="4" w:space="0" w:color="auto"/>
            </w:tcBorders>
            <w:shd w:val="clear" w:color="auto" w:fill="auto"/>
            <w:noWrap/>
            <w:vAlign w:val="center"/>
          </w:tcPr>
          <w:p w14:paraId="620127DF"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3.386.333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61637E1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50.105</w:t>
            </w:r>
          </w:p>
        </w:tc>
        <w:tc>
          <w:tcPr>
            <w:tcW w:w="703" w:type="pct"/>
            <w:tcBorders>
              <w:top w:val="single" w:sz="4" w:space="0" w:color="auto"/>
              <w:left w:val="nil"/>
              <w:bottom w:val="single" w:sz="4" w:space="0" w:color="auto"/>
              <w:right w:val="single" w:sz="4" w:space="0" w:color="auto"/>
            </w:tcBorders>
            <w:shd w:val="clear" w:color="auto" w:fill="auto"/>
            <w:noWrap/>
            <w:vAlign w:val="center"/>
          </w:tcPr>
          <w:p w14:paraId="40E8F74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single" w:sz="4" w:space="0" w:color="auto"/>
              <w:left w:val="nil"/>
              <w:bottom w:val="single" w:sz="4" w:space="0" w:color="auto"/>
              <w:right w:val="single" w:sz="4" w:space="0" w:color="auto"/>
            </w:tcBorders>
            <w:vAlign w:val="center"/>
          </w:tcPr>
          <w:p w14:paraId="4463E844" w14:textId="77777777" w:rsidR="009976D2" w:rsidRPr="00701F32" w:rsidRDefault="009976D2">
            <w:pPr>
              <w:jc w:val="right"/>
              <w:rPr>
                <w:rFonts w:ascii="Arial" w:hAnsi="Arial" w:cs="Arial"/>
                <w:sz w:val="18"/>
                <w:szCs w:val="18"/>
              </w:rPr>
            </w:pPr>
            <w:r w:rsidRPr="00701F32">
              <w:rPr>
                <w:rFonts w:ascii="Arial" w:hAnsi="Arial" w:cs="Arial"/>
                <w:sz w:val="18"/>
                <w:szCs w:val="18"/>
              </w:rPr>
              <w:t>3.436.438</w:t>
            </w:r>
          </w:p>
        </w:tc>
      </w:tr>
      <w:tr w:rsidR="009976D2" w:rsidRPr="00701F32" w14:paraId="1F152474"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68232DC8"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emitidas</w:t>
            </w:r>
          </w:p>
        </w:tc>
        <w:tc>
          <w:tcPr>
            <w:tcW w:w="684" w:type="pct"/>
            <w:tcBorders>
              <w:top w:val="nil"/>
              <w:left w:val="nil"/>
              <w:bottom w:val="single" w:sz="4" w:space="0" w:color="auto"/>
              <w:right w:val="single" w:sz="4" w:space="0" w:color="auto"/>
            </w:tcBorders>
            <w:shd w:val="clear" w:color="auto" w:fill="auto"/>
            <w:noWrap/>
            <w:vAlign w:val="center"/>
          </w:tcPr>
          <w:p w14:paraId="28A0420D"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8.563.372</w:t>
            </w:r>
          </w:p>
        </w:tc>
        <w:tc>
          <w:tcPr>
            <w:tcW w:w="747" w:type="pct"/>
            <w:tcBorders>
              <w:top w:val="nil"/>
              <w:left w:val="nil"/>
              <w:bottom w:val="single" w:sz="4" w:space="0" w:color="auto"/>
              <w:right w:val="single" w:sz="4" w:space="0" w:color="auto"/>
            </w:tcBorders>
            <w:shd w:val="clear" w:color="auto" w:fill="auto"/>
            <w:noWrap/>
            <w:vAlign w:val="center"/>
          </w:tcPr>
          <w:p w14:paraId="2712B1E2"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tcPr>
          <w:p w14:paraId="133EF7AE"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71B09A1C" w14:textId="77777777" w:rsidR="009976D2" w:rsidRPr="00701F32" w:rsidRDefault="009976D2">
            <w:pPr>
              <w:jc w:val="right"/>
              <w:rPr>
                <w:rFonts w:ascii="Arial" w:hAnsi="Arial" w:cs="Arial"/>
                <w:sz w:val="18"/>
                <w:szCs w:val="18"/>
              </w:rPr>
            </w:pPr>
            <w:r w:rsidRPr="00701F32">
              <w:rPr>
                <w:rFonts w:ascii="Arial" w:hAnsi="Arial" w:cs="Arial"/>
                <w:sz w:val="18"/>
                <w:szCs w:val="18"/>
              </w:rPr>
              <w:t>8.563.372</w:t>
            </w:r>
          </w:p>
        </w:tc>
      </w:tr>
      <w:tr w:rsidR="009976D2" w:rsidRPr="00701F32" w14:paraId="436655C6"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0924286C"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subordinadas</w:t>
            </w:r>
          </w:p>
        </w:tc>
        <w:tc>
          <w:tcPr>
            <w:tcW w:w="684" w:type="pct"/>
            <w:tcBorders>
              <w:top w:val="nil"/>
              <w:left w:val="nil"/>
              <w:bottom w:val="single" w:sz="4" w:space="0" w:color="auto"/>
              <w:right w:val="single" w:sz="4" w:space="0" w:color="auto"/>
            </w:tcBorders>
            <w:shd w:val="clear" w:color="auto" w:fill="auto"/>
            <w:noWrap/>
            <w:vAlign w:val="center"/>
          </w:tcPr>
          <w:p w14:paraId="4B2F662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685.873</w:t>
            </w:r>
          </w:p>
        </w:tc>
        <w:tc>
          <w:tcPr>
            <w:tcW w:w="747" w:type="pct"/>
            <w:tcBorders>
              <w:top w:val="nil"/>
              <w:left w:val="nil"/>
              <w:bottom w:val="single" w:sz="4" w:space="0" w:color="auto"/>
              <w:right w:val="single" w:sz="4" w:space="0" w:color="auto"/>
            </w:tcBorders>
            <w:shd w:val="clear" w:color="auto" w:fill="auto"/>
            <w:noWrap/>
            <w:vAlign w:val="center"/>
          </w:tcPr>
          <w:p w14:paraId="746E41AD"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tcPr>
          <w:p w14:paraId="44DA7871"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0C4B64CA" w14:textId="77777777" w:rsidR="009976D2" w:rsidRPr="00701F32" w:rsidRDefault="009976D2">
            <w:pPr>
              <w:jc w:val="right"/>
              <w:rPr>
                <w:rFonts w:ascii="Arial" w:hAnsi="Arial" w:cs="Arial"/>
                <w:sz w:val="18"/>
                <w:szCs w:val="18"/>
              </w:rPr>
            </w:pPr>
            <w:r w:rsidRPr="00701F32">
              <w:rPr>
                <w:rFonts w:ascii="Arial" w:hAnsi="Arial" w:cs="Arial"/>
                <w:sz w:val="18"/>
                <w:szCs w:val="18"/>
              </w:rPr>
              <w:t>685.873</w:t>
            </w:r>
          </w:p>
        </w:tc>
      </w:tr>
      <w:tr w:rsidR="009976D2" w:rsidRPr="00701F32" w14:paraId="54349C1C"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47F57634" w14:textId="77777777" w:rsidR="009976D2" w:rsidRPr="00701F32" w:rsidRDefault="009976D2" w:rsidP="00AD40A3">
            <w:pPr>
              <w:rPr>
                <w:rFonts w:ascii="Arial" w:hAnsi="Arial" w:cs="Arial"/>
                <w:color w:val="000000"/>
                <w:sz w:val="18"/>
                <w:szCs w:val="18"/>
                <w:lang w:eastAsia="es-AR"/>
              </w:rPr>
            </w:pPr>
            <w:r w:rsidRPr="00701F32">
              <w:rPr>
                <w:rFonts w:ascii="Arial" w:hAnsi="Arial" w:cs="Arial"/>
                <w:b/>
                <w:bCs/>
                <w:color w:val="000000"/>
                <w:sz w:val="18"/>
                <w:szCs w:val="18"/>
                <w:lang w:eastAsia="es-AR"/>
              </w:rPr>
              <w:t>Total Pasivos</w:t>
            </w:r>
          </w:p>
        </w:tc>
        <w:tc>
          <w:tcPr>
            <w:tcW w:w="684" w:type="pct"/>
            <w:tcBorders>
              <w:top w:val="nil"/>
              <w:left w:val="nil"/>
              <w:bottom w:val="single" w:sz="4" w:space="0" w:color="auto"/>
              <w:right w:val="single" w:sz="4" w:space="0" w:color="auto"/>
            </w:tcBorders>
            <w:shd w:val="clear" w:color="auto" w:fill="auto"/>
            <w:noWrap/>
            <w:vAlign w:val="center"/>
          </w:tcPr>
          <w:p w14:paraId="2EC48A99" w14:textId="77777777" w:rsidR="009976D2" w:rsidRPr="00701F32" w:rsidRDefault="009976D2">
            <w:pPr>
              <w:jc w:val="right"/>
              <w:rPr>
                <w:rFonts w:ascii="Arial" w:hAnsi="Arial" w:cs="Arial"/>
                <w:b/>
                <w:color w:val="000000"/>
                <w:sz w:val="18"/>
                <w:szCs w:val="18"/>
                <w:lang w:eastAsia="es-AR"/>
              </w:rPr>
            </w:pPr>
            <w:r w:rsidRPr="00701F32">
              <w:rPr>
                <w:rFonts w:ascii="Arial" w:hAnsi="Arial" w:cs="Arial"/>
                <w:b/>
                <w:sz w:val="18"/>
                <w:szCs w:val="18"/>
              </w:rPr>
              <w:t>13.835.437</w:t>
            </w:r>
          </w:p>
        </w:tc>
        <w:tc>
          <w:tcPr>
            <w:tcW w:w="747" w:type="pct"/>
            <w:tcBorders>
              <w:top w:val="nil"/>
              <w:left w:val="nil"/>
              <w:bottom w:val="single" w:sz="4" w:space="0" w:color="auto"/>
              <w:right w:val="single" w:sz="4" w:space="0" w:color="auto"/>
            </w:tcBorders>
            <w:shd w:val="clear" w:color="auto" w:fill="auto"/>
            <w:noWrap/>
            <w:vAlign w:val="center"/>
          </w:tcPr>
          <w:p w14:paraId="4505E407" w14:textId="77777777" w:rsidR="009976D2" w:rsidRPr="00701F32" w:rsidRDefault="009976D2">
            <w:pPr>
              <w:jc w:val="right"/>
              <w:rPr>
                <w:rFonts w:ascii="Arial" w:hAnsi="Arial" w:cs="Arial"/>
                <w:b/>
                <w:color w:val="000000"/>
                <w:sz w:val="18"/>
                <w:szCs w:val="18"/>
                <w:lang w:eastAsia="es-AR"/>
              </w:rPr>
            </w:pPr>
            <w:r w:rsidRPr="00701F32">
              <w:rPr>
                <w:rFonts w:ascii="Arial" w:hAnsi="Arial" w:cs="Arial"/>
                <w:b/>
                <w:sz w:val="18"/>
                <w:szCs w:val="18"/>
              </w:rPr>
              <w:t>6.898.978</w:t>
            </w:r>
          </w:p>
        </w:tc>
        <w:tc>
          <w:tcPr>
            <w:tcW w:w="703" w:type="pct"/>
            <w:tcBorders>
              <w:top w:val="nil"/>
              <w:left w:val="nil"/>
              <w:bottom w:val="single" w:sz="4" w:space="0" w:color="auto"/>
              <w:right w:val="single" w:sz="4" w:space="0" w:color="auto"/>
            </w:tcBorders>
            <w:shd w:val="clear" w:color="auto" w:fill="auto"/>
            <w:noWrap/>
            <w:vAlign w:val="center"/>
          </w:tcPr>
          <w:p w14:paraId="0E09AF39" w14:textId="77777777" w:rsidR="009976D2" w:rsidRPr="00701F32" w:rsidRDefault="009976D2">
            <w:pPr>
              <w:jc w:val="right"/>
              <w:rPr>
                <w:rFonts w:ascii="Arial" w:hAnsi="Arial" w:cs="Arial"/>
                <w:b/>
                <w:color w:val="000000"/>
                <w:sz w:val="18"/>
                <w:szCs w:val="18"/>
                <w:lang w:eastAsia="es-AR"/>
              </w:rPr>
            </w:pPr>
            <w:r w:rsidRPr="00701F32">
              <w:rPr>
                <w:rFonts w:ascii="Arial" w:hAnsi="Arial" w:cs="Arial"/>
                <w:b/>
                <w:sz w:val="18"/>
                <w:szCs w:val="18"/>
              </w:rPr>
              <w:t>-</w:t>
            </w:r>
          </w:p>
        </w:tc>
        <w:tc>
          <w:tcPr>
            <w:tcW w:w="703" w:type="pct"/>
            <w:tcBorders>
              <w:top w:val="nil"/>
              <w:left w:val="nil"/>
              <w:bottom w:val="single" w:sz="4" w:space="0" w:color="auto"/>
              <w:right w:val="single" w:sz="4" w:space="0" w:color="auto"/>
            </w:tcBorders>
            <w:vAlign w:val="center"/>
          </w:tcPr>
          <w:p w14:paraId="2493C68C" w14:textId="77777777" w:rsidR="009976D2" w:rsidRPr="00701F32" w:rsidRDefault="009976D2">
            <w:pPr>
              <w:jc w:val="right"/>
              <w:rPr>
                <w:rFonts w:ascii="Arial" w:hAnsi="Arial" w:cs="Arial"/>
                <w:b/>
                <w:sz w:val="18"/>
                <w:szCs w:val="18"/>
              </w:rPr>
            </w:pPr>
            <w:r w:rsidRPr="00701F32">
              <w:rPr>
                <w:rFonts w:ascii="Arial" w:hAnsi="Arial" w:cs="Arial"/>
                <w:b/>
                <w:sz w:val="18"/>
                <w:szCs w:val="18"/>
              </w:rPr>
              <w:t>20.734.415</w:t>
            </w:r>
          </w:p>
        </w:tc>
      </w:tr>
    </w:tbl>
    <w:p w14:paraId="0155C14E" w14:textId="77777777" w:rsidR="009976D2" w:rsidRPr="00701F32" w:rsidRDefault="009976D2" w:rsidP="00E07294">
      <w:pPr>
        <w:spacing w:after="160" w:line="259" w:lineRule="auto"/>
        <w:jc w:val="both"/>
        <w:rPr>
          <w:rFonts w:ascii="Arial" w:eastAsia="Calibri" w:hAnsi="Arial" w:cs="Arial"/>
          <w:bCs/>
          <w:sz w:val="20"/>
        </w:rPr>
      </w:pPr>
    </w:p>
    <w:p w14:paraId="51E58CB9" w14:textId="77777777" w:rsidR="00E23DFF" w:rsidRPr="00701F32" w:rsidRDefault="00E23DFF" w:rsidP="00E23DFF">
      <w:pPr>
        <w:spacing w:after="160" w:line="259" w:lineRule="auto"/>
        <w:jc w:val="both"/>
        <w:rPr>
          <w:rFonts w:ascii="Arial" w:eastAsia="Calibri" w:hAnsi="Arial" w:cs="Arial"/>
          <w:b/>
          <w:bCs/>
          <w:color w:val="FF0000"/>
          <w:sz w:val="20"/>
        </w:rPr>
      </w:pPr>
      <w:r w:rsidRPr="00701F32">
        <w:rPr>
          <w:rFonts w:ascii="Arial" w:eastAsia="Calibri" w:hAnsi="Arial" w:cs="Arial"/>
          <w:b/>
          <w:bCs/>
          <w:sz w:val="20"/>
        </w:rPr>
        <w:t xml:space="preserve">Valores Razonables   </w:t>
      </w:r>
    </w:p>
    <w:p w14:paraId="6E5488AC" w14:textId="77777777" w:rsidR="00E23DFF" w:rsidRPr="00701F32" w:rsidRDefault="00E23DFF" w:rsidP="00E23DFF">
      <w:pPr>
        <w:spacing w:after="160" w:line="259" w:lineRule="auto"/>
        <w:jc w:val="both"/>
        <w:rPr>
          <w:rFonts w:ascii="Arial" w:eastAsia="Calibri" w:hAnsi="Arial" w:cs="Arial"/>
          <w:bCs/>
          <w:sz w:val="20"/>
        </w:rPr>
      </w:pPr>
      <w:r w:rsidRPr="00701F32">
        <w:rPr>
          <w:rFonts w:ascii="Arial" w:eastAsia="Calibri" w:hAnsi="Arial" w:cs="Arial"/>
          <w:bCs/>
          <w:sz w:val="20"/>
        </w:rPr>
        <w:t xml:space="preserve">El Banco clasifica los valores razonables de los instrumentos financieros en 3 niveles, de acuerdo a la calidad de los datos utilizados para su determinación. </w:t>
      </w:r>
    </w:p>
    <w:p w14:paraId="5FF68321" w14:textId="5107CFA3" w:rsidR="005C4329" w:rsidRPr="00701F32" w:rsidRDefault="00E23DFF" w:rsidP="00E23DFF">
      <w:pPr>
        <w:spacing w:after="160" w:line="259" w:lineRule="auto"/>
        <w:jc w:val="both"/>
        <w:rPr>
          <w:rFonts w:ascii="Arial" w:eastAsia="Calibri" w:hAnsi="Arial" w:cs="Arial"/>
          <w:bCs/>
          <w:sz w:val="20"/>
        </w:rPr>
      </w:pPr>
      <w:r w:rsidRPr="00701F32">
        <w:rPr>
          <w:rFonts w:ascii="Arial" w:eastAsia="Calibri" w:hAnsi="Arial" w:cs="Arial"/>
          <w:bCs/>
          <w:sz w:val="20"/>
        </w:rPr>
        <w:t>Se detallan a continuación los instrumentos financieros del grupo medidos a valor razonable al cierre del ejercicio:</w:t>
      </w:r>
    </w:p>
    <w:tbl>
      <w:tblPr>
        <w:tblW w:w="5012" w:type="pct"/>
        <w:tblLayout w:type="fixed"/>
        <w:tblCellMar>
          <w:left w:w="70" w:type="dxa"/>
          <w:right w:w="70" w:type="dxa"/>
        </w:tblCellMar>
        <w:tblLook w:val="04A0" w:firstRow="1" w:lastRow="0" w:firstColumn="1" w:lastColumn="0" w:noHBand="0" w:noVBand="1"/>
      </w:tblPr>
      <w:tblGrid>
        <w:gridCol w:w="3884"/>
        <w:gridCol w:w="1467"/>
        <w:gridCol w:w="1317"/>
        <w:gridCol w:w="1178"/>
        <w:gridCol w:w="1246"/>
      </w:tblGrid>
      <w:tr w:rsidR="009976D2" w:rsidRPr="00701F32" w14:paraId="05E5DB60" w14:textId="77777777" w:rsidTr="00E311C9">
        <w:trPr>
          <w:trHeight w:val="315"/>
          <w:tblHeader/>
        </w:trPr>
        <w:tc>
          <w:tcPr>
            <w:tcW w:w="2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DC31"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Cartera de instrumentos al 31/12/2017</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5B841552"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1</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532DC9A"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2</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3B45FCC7"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3</w:t>
            </w:r>
          </w:p>
        </w:tc>
        <w:tc>
          <w:tcPr>
            <w:tcW w:w="686" w:type="pct"/>
            <w:tcBorders>
              <w:top w:val="single" w:sz="4" w:space="0" w:color="auto"/>
              <w:left w:val="nil"/>
              <w:bottom w:val="single" w:sz="4" w:space="0" w:color="auto"/>
              <w:right w:val="single" w:sz="4" w:space="0" w:color="auto"/>
            </w:tcBorders>
            <w:vAlign w:val="center"/>
          </w:tcPr>
          <w:p w14:paraId="06FF2973" w14:textId="77777777" w:rsidR="009976D2" w:rsidRPr="00701F32" w:rsidRDefault="009976D2" w:rsidP="00AD40A3">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Total</w:t>
            </w:r>
          </w:p>
        </w:tc>
      </w:tr>
      <w:tr w:rsidR="009976D2" w:rsidRPr="00701F32" w14:paraId="3A31E144"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5E1DA6FF" w14:textId="77777777" w:rsidR="009976D2" w:rsidRPr="00701F32" w:rsidRDefault="009976D2" w:rsidP="00AD40A3">
            <w:pPr>
              <w:rPr>
                <w:rFonts w:ascii="Arial" w:hAnsi="Arial" w:cs="Arial"/>
                <w:b/>
                <w:bCs/>
                <w:color w:val="000000"/>
                <w:sz w:val="18"/>
                <w:szCs w:val="18"/>
                <w:lang w:eastAsia="es-AR"/>
              </w:rPr>
            </w:pPr>
            <w:r w:rsidRPr="00701F32">
              <w:rPr>
                <w:rFonts w:ascii="Arial" w:hAnsi="Arial" w:cs="Arial"/>
                <w:b/>
                <w:bCs/>
                <w:color w:val="000000"/>
                <w:sz w:val="18"/>
                <w:szCs w:val="18"/>
                <w:lang w:eastAsia="es-AR"/>
              </w:rPr>
              <w:t>Activos</w:t>
            </w:r>
          </w:p>
        </w:tc>
        <w:tc>
          <w:tcPr>
            <w:tcW w:w="807" w:type="pct"/>
            <w:tcBorders>
              <w:top w:val="nil"/>
              <w:left w:val="nil"/>
              <w:bottom w:val="single" w:sz="4" w:space="0" w:color="auto"/>
              <w:right w:val="single" w:sz="4" w:space="0" w:color="auto"/>
            </w:tcBorders>
            <w:shd w:val="clear" w:color="auto" w:fill="auto"/>
            <w:noWrap/>
            <w:vAlign w:val="bottom"/>
            <w:hideMark/>
          </w:tcPr>
          <w:p w14:paraId="329C7C86" w14:textId="77777777" w:rsidR="009976D2" w:rsidRPr="00701F32" w:rsidRDefault="009976D2"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724" w:type="pct"/>
            <w:tcBorders>
              <w:top w:val="nil"/>
              <w:left w:val="nil"/>
              <w:bottom w:val="single" w:sz="4" w:space="0" w:color="auto"/>
              <w:right w:val="single" w:sz="4" w:space="0" w:color="auto"/>
            </w:tcBorders>
            <w:shd w:val="clear" w:color="auto" w:fill="auto"/>
            <w:noWrap/>
            <w:vAlign w:val="bottom"/>
            <w:hideMark/>
          </w:tcPr>
          <w:p w14:paraId="3861EC22" w14:textId="77777777" w:rsidR="009976D2" w:rsidRPr="00701F32" w:rsidRDefault="009976D2"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48" w:type="pct"/>
            <w:tcBorders>
              <w:top w:val="nil"/>
              <w:left w:val="nil"/>
              <w:bottom w:val="single" w:sz="4" w:space="0" w:color="auto"/>
              <w:right w:val="single" w:sz="4" w:space="0" w:color="auto"/>
            </w:tcBorders>
            <w:shd w:val="clear" w:color="auto" w:fill="auto"/>
            <w:noWrap/>
            <w:vAlign w:val="bottom"/>
            <w:hideMark/>
          </w:tcPr>
          <w:p w14:paraId="1FACAAD2" w14:textId="77777777" w:rsidR="009976D2" w:rsidRPr="00701F32" w:rsidRDefault="009976D2" w:rsidP="00AD40A3">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86" w:type="pct"/>
            <w:tcBorders>
              <w:top w:val="nil"/>
              <w:left w:val="nil"/>
              <w:bottom w:val="single" w:sz="4" w:space="0" w:color="auto"/>
              <w:right w:val="single" w:sz="4" w:space="0" w:color="auto"/>
            </w:tcBorders>
          </w:tcPr>
          <w:p w14:paraId="3E22054B" w14:textId="77777777" w:rsidR="009976D2" w:rsidRPr="00701F32" w:rsidRDefault="009976D2" w:rsidP="00AD40A3">
            <w:pPr>
              <w:jc w:val="right"/>
              <w:rPr>
                <w:rFonts w:ascii="Arial" w:hAnsi="Arial" w:cs="Arial"/>
                <w:b/>
                <w:bCs/>
                <w:color w:val="000000"/>
                <w:sz w:val="18"/>
                <w:szCs w:val="18"/>
                <w:lang w:eastAsia="es-AR"/>
              </w:rPr>
            </w:pPr>
          </w:p>
        </w:tc>
      </w:tr>
      <w:tr w:rsidR="009976D2" w:rsidRPr="00701F32" w14:paraId="4252446A"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269BD16F"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Títulos de deuda a valor razonable con cambios en resultados</w:t>
            </w:r>
          </w:p>
        </w:tc>
        <w:tc>
          <w:tcPr>
            <w:tcW w:w="807" w:type="pct"/>
            <w:tcBorders>
              <w:top w:val="nil"/>
              <w:left w:val="nil"/>
              <w:bottom w:val="single" w:sz="4" w:space="0" w:color="auto"/>
              <w:right w:val="single" w:sz="4" w:space="0" w:color="auto"/>
            </w:tcBorders>
            <w:shd w:val="clear" w:color="auto" w:fill="auto"/>
            <w:noWrap/>
            <w:vAlign w:val="center"/>
            <w:hideMark/>
          </w:tcPr>
          <w:p w14:paraId="42BE6019"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10.911.616</w:t>
            </w:r>
          </w:p>
        </w:tc>
        <w:tc>
          <w:tcPr>
            <w:tcW w:w="724" w:type="pct"/>
            <w:tcBorders>
              <w:top w:val="nil"/>
              <w:left w:val="nil"/>
              <w:bottom w:val="single" w:sz="4" w:space="0" w:color="auto"/>
              <w:right w:val="single" w:sz="4" w:space="0" w:color="auto"/>
            </w:tcBorders>
            <w:shd w:val="clear" w:color="auto" w:fill="auto"/>
            <w:noWrap/>
            <w:vAlign w:val="center"/>
            <w:hideMark/>
          </w:tcPr>
          <w:p w14:paraId="1C797195"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492.670 </w:t>
            </w:r>
          </w:p>
        </w:tc>
        <w:tc>
          <w:tcPr>
            <w:tcW w:w="648" w:type="pct"/>
            <w:tcBorders>
              <w:top w:val="nil"/>
              <w:left w:val="nil"/>
              <w:bottom w:val="single" w:sz="4" w:space="0" w:color="auto"/>
              <w:right w:val="single" w:sz="4" w:space="0" w:color="auto"/>
            </w:tcBorders>
            <w:shd w:val="clear" w:color="auto" w:fill="auto"/>
            <w:noWrap/>
            <w:vAlign w:val="center"/>
            <w:hideMark/>
          </w:tcPr>
          <w:p w14:paraId="7A07141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7C9A30E2" w14:textId="77777777" w:rsidR="009976D2" w:rsidRPr="00701F32" w:rsidRDefault="009976D2">
            <w:pPr>
              <w:jc w:val="right"/>
              <w:rPr>
                <w:rFonts w:ascii="Arial" w:hAnsi="Arial" w:cs="Arial"/>
                <w:sz w:val="18"/>
                <w:szCs w:val="18"/>
              </w:rPr>
            </w:pPr>
            <w:r w:rsidRPr="00701F32">
              <w:rPr>
                <w:rFonts w:ascii="Arial" w:hAnsi="Arial" w:cs="Arial"/>
                <w:sz w:val="18"/>
                <w:szCs w:val="18"/>
              </w:rPr>
              <w:t>11.404.286</w:t>
            </w:r>
          </w:p>
        </w:tc>
      </w:tr>
      <w:tr w:rsidR="009976D2" w:rsidRPr="00701F32" w14:paraId="2DB53C62"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69176927"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807" w:type="pct"/>
            <w:tcBorders>
              <w:top w:val="nil"/>
              <w:left w:val="nil"/>
              <w:bottom w:val="single" w:sz="4" w:space="0" w:color="auto"/>
              <w:right w:val="single" w:sz="4" w:space="0" w:color="auto"/>
            </w:tcBorders>
            <w:shd w:val="clear" w:color="auto" w:fill="auto"/>
            <w:noWrap/>
            <w:vAlign w:val="center"/>
            <w:hideMark/>
          </w:tcPr>
          <w:p w14:paraId="4229E46B"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26.916 </w:t>
            </w:r>
          </w:p>
        </w:tc>
        <w:tc>
          <w:tcPr>
            <w:tcW w:w="724" w:type="pct"/>
            <w:tcBorders>
              <w:top w:val="nil"/>
              <w:left w:val="nil"/>
              <w:bottom w:val="single" w:sz="4" w:space="0" w:color="auto"/>
              <w:right w:val="single" w:sz="4" w:space="0" w:color="auto"/>
            </w:tcBorders>
            <w:shd w:val="clear" w:color="auto" w:fill="auto"/>
            <w:noWrap/>
            <w:vAlign w:val="center"/>
            <w:hideMark/>
          </w:tcPr>
          <w:p w14:paraId="5C2CC23F"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3C24E1E0"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6DFA12EF" w14:textId="77777777" w:rsidR="009976D2" w:rsidRPr="00701F32" w:rsidRDefault="009976D2">
            <w:pPr>
              <w:jc w:val="right"/>
              <w:rPr>
                <w:rFonts w:ascii="Arial" w:hAnsi="Arial" w:cs="Arial"/>
                <w:sz w:val="18"/>
                <w:szCs w:val="18"/>
              </w:rPr>
            </w:pPr>
            <w:r w:rsidRPr="00701F32">
              <w:rPr>
                <w:rFonts w:ascii="Arial" w:hAnsi="Arial" w:cs="Arial"/>
                <w:sz w:val="18"/>
                <w:szCs w:val="18"/>
              </w:rPr>
              <w:t>26.916</w:t>
            </w:r>
          </w:p>
        </w:tc>
      </w:tr>
      <w:tr w:rsidR="009976D2" w:rsidRPr="00701F32" w14:paraId="360D8C76"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1CDA4243"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activos financieros</w:t>
            </w:r>
          </w:p>
        </w:tc>
        <w:tc>
          <w:tcPr>
            <w:tcW w:w="807" w:type="pct"/>
            <w:tcBorders>
              <w:top w:val="nil"/>
              <w:left w:val="nil"/>
              <w:bottom w:val="single" w:sz="4" w:space="0" w:color="auto"/>
              <w:right w:val="single" w:sz="4" w:space="0" w:color="auto"/>
            </w:tcBorders>
            <w:shd w:val="clear" w:color="auto" w:fill="auto"/>
            <w:noWrap/>
            <w:vAlign w:val="center"/>
            <w:hideMark/>
          </w:tcPr>
          <w:p w14:paraId="7C2CC2D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26.264 </w:t>
            </w:r>
          </w:p>
        </w:tc>
        <w:tc>
          <w:tcPr>
            <w:tcW w:w="724" w:type="pct"/>
            <w:tcBorders>
              <w:top w:val="nil"/>
              <w:left w:val="nil"/>
              <w:bottom w:val="single" w:sz="4" w:space="0" w:color="auto"/>
              <w:right w:val="single" w:sz="4" w:space="0" w:color="auto"/>
            </w:tcBorders>
            <w:shd w:val="clear" w:color="auto" w:fill="auto"/>
            <w:noWrap/>
            <w:vAlign w:val="center"/>
            <w:hideMark/>
          </w:tcPr>
          <w:p w14:paraId="5C3B2B9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6503FAF9"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64C0085C" w14:textId="77777777" w:rsidR="009976D2" w:rsidRPr="00701F32" w:rsidRDefault="009976D2">
            <w:pPr>
              <w:jc w:val="right"/>
              <w:rPr>
                <w:rFonts w:ascii="Arial" w:hAnsi="Arial" w:cs="Arial"/>
                <w:sz w:val="18"/>
                <w:szCs w:val="18"/>
              </w:rPr>
            </w:pPr>
            <w:r w:rsidRPr="00701F32">
              <w:rPr>
                <w:rFonts w:ascii="Arial" w:hAnsi="Arial" w:cs="Arial"/>
                <w:sz w:val="18"/>
                <w:szCs w:val="18"/>
              </w:rPr>
              <w:t>26.264</w:t>
            </w:r>
          </w:p>
        </w:tc>
      </w:tr>
      <w:tr w:rsidR="009976D2" w:rsidRPr="00701F32" w14:paraId="63671468"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40D258F1"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títulos de deuda</w:t>
            </w:r>
          </w:p>
        </w:tc>
        <w:tc>
          <w:tcPr>
            <w:tcW w:w="807" w:type="pct"/>
            <w:tcBorders>
              <w:top w:val="nil"/>
              <w:left w:val="nil"/>
              <w:bottom w:val="single" w:sz="4" w:space="0" w:color="auto"/>
              <w:right w:val="single" w:sz="4" w:space="0" w:color="auto"/>
            </w:tcBorders>
            <w:shd w:val="clear" w:color="auto" w:fill="auto"/>
            <w:noWrap/>
            <w:vAlign w:val="center"/>
            <w:hideMark/>
          </w:tcPr>
          <w:p w14:paraId="60AAF9BA"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32 </w:t>
            </w:r>
          </w:p>
        </w:tc>
        <w:tc>
          <w:tcPr>
            <w:tcW w:w="724" w:type="pct"/>
            <w:tcBorders>
              <w:top w:val="nil"/>
              <w:left w:val="nil"/>
              <w:bottom w:val="single" w:sz="4" w:space="0" w:color="auto"/>
              <w:right w:val="single" w:sz="4" w:space="0" w:color="auto"/>
            </w:tcBorders>
            <w:shd w:val="clear" w:color="auto" w:fill="auto"/>
            <w:noWrap/>
            <w:vAlign w:val="center"/>
            <w:hideMark/>
          </w:tcPr>
          <w:p w14:paraId="1A3B4F28"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70586B4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0B19448A" w14:textId="77777777" w:rsidR="009976D2" w:rsidRPr="00701F32" w:rsidRDefault="009976D2">
            <w:pPr>
              <w:jc w:val="right"/>
              <w:rPr>
                <w:rFonts w:ascii="Arial" w:hAnsi="Arial" w:cs="Arial"/>
                <w:sz w:val="18"/>
                <w:szCs w:val="18"/>
              </w:rPr>
            </w:pPr>
            <w:r w:rsidRPr="00701F32">
              <w:rPr>
                <w:rFonts w:ascii="Arial" w:hAnsi="Arial" w:cs="Arial"/>
                <w:sz w:val="18"/>
                <w:szCs w:val="18"/>
              </w:rPr>
              <w:t>32</w:t>
            </w:r>
          </w:p>
        </w:tc>
      </w:tr>
      <w:tr w:rsidR="009976D2" w:rsidRPr="00701F32" w14:paraId="7B32E228"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0486D56B"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Activos financieros entregados en garantía</w:t>
            </w:r>
          </w:p>
        </w:tc>
        <w:tc>
          <w:tcPr>
            <w:tcW w:w="807" w:type="pct"/>
            <w:tcBorders>
              <w:top w:val="nil"/>
              <w:left w:val="nil"/>
              <w:bottom w:val="single" w:sz="4" w:space="0" w:color="auto"/>
              <w:right w:val="single" w:sz="4" w:space="0" w:color="auto"/>
            </w:tcBorders>
            <w:shd w:val="clear" w:color="auto" w:fill="auto"/>
            <w:noWrap/>
            <w:vAlign w:val="center"/>
            <w:hideMark/>
          </w:tcPr>
          <w:p w14:paraId="43B6121C"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1.180.087 </w:t>
            </w:r>
          </w:p>
        </w:tc>
        <w:tc>
          <w:tcPr>
            <w:tcW w:w="724" w:type="pct"/>
            <w:tcBorders>
              <w:top w:val="nil"/>
              <w:left w:val="nil"/>
              <w:bottom w:val="single" w:sz="4" w:space="0" w:color="auto"/>
              <w:right w:val="single" w:sz="4" w:space="0" w:color="auto"/>
            </w:tcBorders>
            <w:shd w:val="clear" w:color="auto" w:fill="auto"/>
            <w:noWrap/>
            <w:vAlign w:val="center"/>
            <w:hideMark/>
          </w:tcPr>
          <w:p w14:paraId="3AE18467"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78A1412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5D4D57EC" w14:textId="77777777" w:rsidR="009976D2" w:rsidRPr="00701F32" w:rsidRDefault="009976D2">
            <w:pPr>
              <w:jc w:val="right"/>
              <w:rPr>
                <w:rFonts w:ascii="Arial" w:hAnsi="Arial" w:cs="Arial"/>
                <w:sz w:val="18"/>
                <w:szCs w:val="18"/>
              </w:rPr>
            </w:pPr>
            <w:r w:rsidRPr="00701F32">
              <w:rPr>
                <w:rFonts w:ascii="Arial" w:hAnsi="Arial" w:cs="Arial"/>
                <w:sz w:val="18"/>
                <w:szCs w:val="18"/>
              </w:rPr>
              <w:t>1.180.087</w:t>
            </w:r>
          </w:p>
        </w:tc>
      </w:tr>
      <w:tr w:rsidR="009976D2" w:rsidRPr="00701F32" w14:paraId="175DD778"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6A1B082C"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Inversiones en Instrumentos de Patrimonio</w:t>
            </w:r>
          </w:p>
        </w:tc>
        <w:tc>
          <w:tcPr>
            <w:tcW w:w="807" w:type="pct"/>
            <w:tcBorders>
              <w:top w:val="nil"/>
              <w:left w:val="nil"/>
              <w:bottom w:val="single" w:sz="4" w:space="0" w:color="auto"/>
              <w:right w:val="single" w:sz="4" w:space="0" w:color="auto"/>
            </w:tcBorders>
            <w:shd w:val="clear" w:color="auto" w:fill="auto"/>
            <w:noWrap/>
            <w:vAlign w:val="center"/>
            <w:hideMark/>
          </w:tcPr>
          <w:p w14:paraId="2A1572B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38.001 </w:t>
            </w:r>
          </w:p>
        </w:tc>
        <w:tc>
          <w:tcPr>
            <w:tcW w:w="724" w:type="pct"/>
            <w:tcBorders>
              <w:top w:val="nil"/>
              <w:left w:val="nil"/>
              <w:bottom w:val="single" w:sz="4" w:space="0" w:color="auto"/>
              <w:right w:val="single" w:sz="4" w:space="0" w:color="auto"/>
            </w:tcBorders>
            <w:shd w:val="clear" w:color="auto" w:fill="auto"/>
            <w:noWrap/>
            <w:vAlign w:val="center"/>
            <w:hideMark/>
          </w:tcPr>
          <w:p w14:paraId="13DE1A64"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7.918 </w:t>
            </w:r>
          </w:p>
        </w:tc>
        <w:tc>
          <w:tcPr>
            <w:tcW w:w="648" w:type="pct"/>
            <w:tcBorders>
              <w:top w:val="nil"/>
              <w:left w:val="nil"/>
              <w:bottom w:val="single" w:sz="4" w:space="0" w:color="auto"/>
              <w:right w:val="single" w:sz="4" w:space="0" w:color="auto"/>
            </w:tcBorders>
            <w:shd w:val="clear" w:color="auto" w:fill="auto"/>
            <w:noWrap/>
            <w:vAlign w:val="center"/>
            <w:hideMark/>
          </w:tcPr>
          <w:p w14:paraId="4AA72E3E"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0AA5D80B" w14:textId="77777777" w:rsidR="009976D2" w:rsidRPr="00701F32" w:rsidRDefault="009976D2">
            <w:pPr>
              <w:jc w:val="right"/>
              <w:rPr>
                <w:rFonts w:ascii="Arial" w:hAnsi="Arial" w:cs="Arial"/>
                <w:sz w:val="18"/>
                <w:szCs w:val="18"/>
              </w:rPr>
            </w:pPr>
            <w:r w:rsidRPr="00701F32">
              <w:rPr>
                <w:rFonts w:ascii="Arial" w:hAnsi="Arial" w:cs="Arial"/>
                <w:sz w:val="18"/>
                <w:szCs w:val="18"/>
              </w:rPr>
              <w:t>45.919</w:t>
            </w:r>
          </w:p>
        </w:tc>
      </w:tr>
      <w:tr w:rsidR="009976D2" w:rsidRPr="00701F32" w14:paraId="648AB94A"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tcPr>
          <w:p w14:paraId="061FD649" w14:textId="77777777" w:rsidR="009976D2" w:rsidRPr="00701F32" w:rsidRDefault="009976D2" w:rsidP="00AD40A3">
            <w:pPr>
              <w:jc w:val="both"/>
              <w:rPr>
                <w:rFonts w:ascii="Arial" w:hAnsi="Arial" w:cs="Arial"/>
                <w:b/>
                <w:color w:val="000000"/>
                <w:sz w:val="18"/>
                <w:szCs w:val="18"/>
                <w:lang w:eastAsia="es-AR"/>
              </w:rPr>
            </w:pPr>
            <w:r w:rsidRPr="00701F32">
              <w:rPr>
                <w:rFonts w:ascii="Arial" w:hAnsi="Arial" w:cs="Arial"/>
                <w:b/>
                <w:color w:val="000000"/>
                <w:sz w:val="18"/>
                <w:szCs w:val="18"/>
                <w:lang w:eastAsia="es-AR"/>
              </w:rPr>
              <w:t>Total Activos</w:t>
            </w:r>
          </w:p>
        </w:tc>
        <w:tc>
          <w:tcPr>
            <w:tcW w:w="807" w:type="pct"/>
            <w:tcBorders>
              <w:top w:val="nil"/>
              <w:left w:val="nil"/>
              <w:bottom w:val="single" w:sz="4" w:space="0" w:color="auto"/>
              <w:right w:val="single" w:sz="4" w:space="0" w:color="auto"/>
            </w:tcBorders>
            <w:shd w:val="clear" w:color="auto" w:fill="auto"/>
            <w:noWrap/>
            <w:vAlign w:val="center"/>
          </w:tcPr>
          <w:p w14:paraId="0E6C7122" w14:textId="77777777" w:rsidR="009976D2" w:rsidRPr="00701F32" w:rsidRDefault="00327E92">
            <w:pPr>
              <w:jc w:val="right"/>
              <w:rPr>
                <w:rFonts w:ascii="Arial" w:hAnsi="Arial" w:cs="Arial"/>
                <w:b/>
                <w:sz w:val="18"/>
                <w:szCs w:val="18"/>
              </w:rPr>
            </w:pPr>
            <w:r w:rsidRPr="00701F32">
              <w:rPr>
                <w:rFonts w:ascii="Arial" w:hAnsi="Arial" w:cs="Arial"/>
                <w:b/>
                <w:sz w:val="18"/>
                <w:szCs w:val="18"/>
              </w:rPr>
              <w:t>12.182.916</w:t>
            </w:r>
          </w:p>
        </w:tc>
        <w:tc>
          <w:tcPr>
            <w:tcW w:w="724" w:type="pct"/>
            <w:tcBorders>
              <w:top w:val="nil"/>
              <w:left w:val="nil"/>
              <w:bottom w:val="single" w:sz="4" w:space="0" w:color="auto"/>
              <w:right w:val="single" w:sz="4" w:space="0" w:color="auto"/>
            </w:tcBorders>
            <w:shd w:val="clear" w:color="auto" w:fill="auto"/>
            <w:noWrap/>
            <w:vAlign w:val="center"/>
          </w:tcPr>
          <w:p w14:paraId="713CEB2F" w14:textId="77777777" w:rsidR="009976D2" w:rsidRPr="00701F32" w:rsidRDefault="009976D2">
            <w:pPr>
              <w:jc w:val="right"/>
              <w:rPr>
                <w:rFonts w:ascii="Arial" w:hAnsi="Arial" w:cs="Arial"/>
                <w:b/>
                <w:sz w:val="18"/>
                <w:szCs w:val="18"/>
              </w:rPr>
            </w:pPr>
            <w:r w:rsidRPr="00701F32">
              <w:rPr>
                <w:rFonts w:ascii="Arial" w:hAnsi="Arial" w:cs="Arial"/>
                <w:b/>
                <w:sz w:val="18"/>
                <w:szCs w:val="18"/>
              </w:rPr>
              <w:t>500.588</w:t>
            </w:r>
          </w:p>
        </w:tc>
        <w:tc>
          <w:tcPr>
            <w:tcW w:w="648" w:type="pct"/>
            <w:tcBorders>
              <w:top w:val="nil"/>
              <w:left w:val="nil"/>
              <w:bottom w:val="single" w:sz="4" w:space="0" w:color="auto"/>
              <w:right w:val="single" w:sz="4" w:space="0" w:color="auto"/>
            </w:tcBorders>
            <w:shd w:val="clear" w:color="auto" w:fill="auto"/>
            <w:noWrap/>
            <w:vAlign w:val="center"/>
          </w:tcPr>
          <w:p w14:paraId="49174F01" w14:textId="77777777" w:rsidR="009976D2" w:rsidRPr="00701F32" w:rsidRDefault="009976D2">
            <w:pPr>
              <w:jc w:val="right"/>
              <w:rPr>
                <w:rFonts w:ascii="Arial" w:hAnsi="Arial" w:cs="Arial"/>
                <w:b/>
                <w:sz w:val="18"/>
                <w:szCs w:val="18"/>
              </w:rPr>
            </w:pPr>
            <w:r w:rsidRPr="00701F32">
              <w:rPr>
                <w:rFonts w:ascii="Arial" w:hAnsi="Arial" w:cs="Arial"/>
                <w:b/>
                <w:sz w:val="18"/>
                <w:szCs w:val="18"/>
              </w:rPr>
              <w:t>-</w:t>
            </w:r>
          </w:p>
        </w:tc>
        <w:tc>
          <w:tcPr>
            <w:tcW w:w="686" w:type="pct"/>
            <w:tcBorders>
              <w:top w:val="nil"/>
              <w:left w:val="nil"/>
              <w:bottom w:val="single" w:sz="4" w:space="0" w:color="auto"/>
              <w:right w:val="single" w:sz="4" w:space="0" w:color="auto"/>
            </w:tcBorders>
            <w:vAlign w:val="center"/>
          </w:tcPr>
          <w:p w14:paraId="1E3EA69E" w14:textId="77777777" w:rsidR="009976D2" w:rsidRPr="00701F32" w:rsidRDefault="009976D2">
            <w:pPr>
              <w:jc w:val="right"/>
              <w:rPr>
                <w:rFonts w:ascii="Arial" w:hAnsi="Arial" w:cs="Arial"/>
                <w:b/>
                <w:sz w:val="18"/>
                <w:szCs w:val="18"/>
              </w:rPr>
            </w:pPr>
            <w:r w:rsidRPr="00701F32">
              <w:rPr>
                <w:rFonts w:ascii="Arial" w:hAnsi="Arial" w:cs="Arial"/>
                <w:b/>
                <w:sz w:val="18"/>
                <w:szCs w:val="18"/>
              </w:rPr>
              <w:t>12.</w:t>
            </w:r>
            <w:r w:rsidR="00327E92" w:rsidRPr="00701F32">
              <w:rPr>
                <w:rFonts w:ascii="Arial" w:hAnsi="Arial" w:cs="Arial"/>
                <w:b/>
                <w:sz w:val="18"/>
                <w:szCs w:val="18"/>
              </w:rPr>
              <w:t>683.504</w:t>
            </w:r>
          </w:p>
        </w:tc>
      </w:tr>
      <w:tr w:rsidR="009976D2" w:rsidRPr="00701F32" w14:paraId="5A187197"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38F32712" w14:textId="77777777" w:rsidR="009976D2" w:rsidRPr="00701F32" w:rsidRDefault="009976D2" w:rsidP="00AD40A3">
            <w:pPr>
              <w:rPr>
                <w:rFonts w:ascii="Arial" w:hAnsi="Arial" w:cs="Arial"/>
                <w:b/>
                <w:bCs/>
                <w:color w:val="000000"/>
                <w:sz w:val="18"/>
                <w:szCs w:val="18"/>
                <w:lang w:eastAsia="es-AR"/>
              </w:rPr>
            </w:pPr>
            <w:r w:rsidRPr="00701F32">
              <w:rPr>
                <w:rFonts w:ascii="Arial" w:hAnsi="Arial" w:cs="Arial"/>
                <w:b/>
                <w:bCs/>
                <w:color w:val="000000"/>
                <w:sz w:val="18"/>
                <w:szCs w:val="18"/>
                <w:lang w:eastAsia="es-AR"/>
              </w:rPr>
              <w:t>Pasivos</w:t>
            </w:r>
          </w:p>
        </w:tc>
        <w:tc>
          <w:tcPr>
            <w:tcW w:w="807" w:type="pct"/>
            <w:tcBorders>
              <w:top w:val="nil"/>
              <w:left w:val="nil"/>
              <w:bottom w:val="single" w:sz="4" w:space="0" w:color="auto"/>
              <w:right w:val="single" w:sz="4" w:space="0" w:color="auto"/>
            </w:tcBorders>
            <w:shd w:val="clear" w:color="auto" w:fill="auto"/>
            <w:noWrap/>
            <w:vAlign w:val="center"/>
            <w:hideMark/>
          </w:tcPr>
          <w:p w14:paraId="632EB98D"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724" w:type="pct"/>
            <w:tcBorders>
              <w:top w:val="nil"/>
              <w:left w:val="nil"/>
              <w:bottom w:val="single" w:sz="4" w:space="0" w:color="auto"/>
              <w:right w:val="single" w:sz="4" w:space="0" w:color="auto"/>
            </w:tcBorders>
            <w:shd w:val="clear" w:color="auto" w:fill="auto"/>
            <w:noWrap/>
            <w:vAlign w:val="center"/>
            <w:hideMark/>
          </w:tcPr>
          <w:p w14:paraId="1291322A"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48" w:type="pct"/>
            <w:tcBorders>
              <w:top w:val="nil"/>
              <w:left w:val="nil"/>
              <w:bottom w:val="single" w:sz="4" w:space="0" w:color="auto"/>
              <w:right w:val="single" w:sz="4" w:space="0" w:color="auto"/>
            </w:tcBorders>
            <w:shd w:val="clear" w:color="auto" w:fill="auto"/>
            <w:noWrap/>
            <w:vAlign w:val="center"/>
            <w:hideMark/>
          </w:tcPr>
          <w:p w14:paraId="673E23DC"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86" w:type="pct"/>
            <w:tcBorders>
              <w:top w:val="nil"/>
              <w:left w:val="nil"/>
              <w:bottom w:val="single" w:sz="4" w:space="0" w:color="auto"/>
              <w:right w:val="single" w:sz="4" w:space="0" w:color="auto"/>
            </w:tcBorders>
            <w:vAlign w:val="center"/>
          </w:tcPr>
          <w:p w14:paraId="55F2AE60" w14:textId="77777777" w:rsidR="009976D2" w:rsidRPr="00701F32" w:rsidRDefault="009976D2">
            <w:pPr>
              <w:jc w:val="right"/>
              <w:rPr>
                <w:rFonts w:ascii="Arial" w:hAnsi="Arial" w:cs="Arial"/>
                <w:b/>
                <w:bCs/>
                <w:color w:val="000000"/>
                <w:sz w:val="18"/>
                <w:szCs w:val="18"/>
                <w:lang w:eastAsia="es-AR"/>
              </w:rPr>
            </w:pPr>
          </w:p>
        </w:tc>
      </w:tr>
      <w:tr w:rsidR="009976D2" w:rsidRPr="00701F32" w14:paraId="12DF4A49"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76CA8A17"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Pasivos a valor razonable con cambios en resultados</w:t>
            </w:r>
          </w:p>
        </w:tc>
        <w:tc>
          <w:tcPr>
            <w:tcW w:w="807" w:type="pct"/>
            <w:tcBorders>
              <w:top w:val="nil"/>
              <w:left w:val="nil"/>
              <w:bottom w:val="single" w:sz="4" w:space="0" w:color="auto"/>
              <w:right w:val="single" w:sz="4" w:space="0" w:color="auto"/>
            </w:tcBorders>
            <w:shd w:val="clear" w:color="auto" w:fill="auto"/>
            <w:noWrap/>
            <w:vAlign w:val="center"/>
            <w:hideMark/>
          </w:tcPr>
          <w:p w14:paraId="53208532"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4.176.040 </w:t>
            </w:r>
          </w:p>
        </w:tc>
        <w:tc>
          <w:tcPr>
            <w:tcW w:w="724" w:type="pct"/>
            <w:tcBorders>
              <w:top w:val="nil"/>
              <w:left w:val="nil"/>
              <w:bottom w:val="single" w:sz="4" w:space="0" w:color="auto"/>
              <w:right w:val="single" w:sz="4" w:space="0" w:color="auto"/>
            </w:tcBorders>
            <w:shd w:val="clear" w:color="auto" w:fill="auto"/>
            <w:noWrap/>
            <w:vAlign w:val="center"/>
            <w:hideMark/>
          </w:tcPr>
          <w:p w14:paraId="21A2BE49"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7B6AB84E"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482D749B" w14:textId="77777777" w:rsidR="009976D2" w:rsidRPr="00701F32" w:rsidRDefault="009976D2">
            <w:pPr>
              <w:jc w:val="right"/>
              <w:rPr>
                <w:rFonts w:ascii="Arial" w:hAnsi="Arial" w:cs="Arial"/>
                <w:sz w:val="18"/>
                <w:szCs w:val="18"/>
              </w:rPr>
            </w:pPr>
            <w:r w:rsidRPr="00701F32">
              <w:rPr>
                <w:rFonts w:ascii="Arial" w:hAnsi="Arial" w:cs="Arial"/>
                <w:sz w:val="18"/>
                <w:szCs w:val="18"/>
              </w:rPr>
              <w:t>4.176.040</w:t>
            </w:r>
          </w:p>
        </w:tc>
      </w:tr>
      <w:tr w:rsidR="009976D2" w:rsidRPr="00701F32" w14:paraId="2E9A0956"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tcPr>
          <w:p w14:paraId="1B317C2F"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Otros pasivos financieros</w:t>
            </w:r>
          </w:p>
        </w:tc>
        <w:tc>
          <w:tcPr>
            <w:tcW w:w="807" w:type="pct"/>
            <w:tcBorders>
              <w:top w:val="nil"/>
              <w:left w:val="nil"/>
              <w:bottom w:val="single" w:sz="4" w:space="0" w:color="auto"/>
              <w:right w:val="single" w:sz="4" w:space="0" w:color="auto"/>
            </w:tcBorders>
            <w:shd w:val="clear" w:color="auto" w:fill="auto"/>
            <w:noWrap/>
            <w:vAlign w:val="center"/>
          </w:tcPr>
          <w:p w14:paraId="5475CA40"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2.672.833 </w:t>
            </w:r>
          </w:p>
        </w:tc>
        <w:tc>
          <w:tcPr>
            <w:tcW w:w="724" w:type="pct"/>
            <w:tcBorders>
              <w:top w:val="nil"/>
              <w:left w:val="nil"/>
              <w:bottom w:val="single" w:sz="4" w:space="0" w:color="auto"/>
              <w:right w:val="single" w:sz="4" w:space="0" w:color="auto"/>
            </w:tcBorders>
            <w:shd w:val="clear" w:color="auto" w:fill="auto"/>
            <w:noWrap/>
            <w:vAlign w:val="center"/>
          </w:tcPr>
          <w:p w14:paraId="45DCD569"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tcPr>
          <w:p w14:paraId="43F40705"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03BE178C" w14:textId="77777777" w:rsidR="009976D2" w:rsidRPr="00701F32" w:rsidRDefault="009976D2">
            <w:pPr>
              <w:jc w:val="right"/>
              <w:rPr>
                <w:rFonts w:ascii="Arial" w:hAnsi="Arial" w:cs="Arial"/>
                <w:sz w:val="18"/>
                <w:szCs w:val="18"/>
              </w:rPr>
            </w:pPr>
            <w:r w:rsidRPr="00701F32">
              <w:rPr>
                <w:rFonts w:ascii="Arial" w:hAnsi="Arial" w:cs="Arial"/>
                <w:sz w:val="18"/>
                <w:szCs w:val="18"/>
              </w:rPr>
              <w:t>2.672.833</w:t>
            </w:r>
          </w:p>
        </w:tc>
      </w:tr>
      <w:tr w:rsidR="009976D2" w:rsidRPr="00701F32" w14:paraId="4221D1A5"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tcPr>
          <w:p w14:paraId="6664F9E9" w14:textId="77777777" w:rsidR="009976D2" w:rsidRPr="00701F32" w:rsidRDefault="009976D2" w:rsidP="00AD40A3">
            <w:pPr>
              <w:rPr>
                <w:rFonts w:ascii="Arial" w:hAnsi="Arial" w:cs="Arial"/>
                <w:color w:val="000000"/>
                <w:sz w:val="18"/>
                <w:szCs w:val="18"/>
                <w:lang w:eastAsia="es-AR"/>
              </w:rPr>
            </w:pPr>
            <w:r w:rsidRPr="00701F32">
              <w:rPr>
                <w:rFonts w:ascii="Arial" w:hAnsi="Arial" w:cs="Arial"/>
                <w:color w:val="000000"/>
                <w:sz w:val="18"/>
                <w:szCs w:val="18"/>
                <w:lang w:eastAsia="es-AR"/>
              </w:rPr>
              <w:t>- Financiaciones recibidas del BCRA y otras instituciones financieras</w:t>
            </w:r>
          </w:p>
        </w:tc>
        <w:tc>
          <w:tcPr>
            <w:tcW w:w="807" w:type="pct"/>
            <w:tcBorders>
              <w:top w:val="nil"/>
              <w:left w:val="nil"/>
              <w:bottom w:val="single" w:sz="4" w:space="0" w:color="auto"/>
              <w:right w:val="single" w:sz="4" w:space="0" w:color="auto"/>
            </w:tcBorders>
            <w:shd w:val="clear" w:color="auto" w:fill="auto"/>
            <w:noWrap/>
            <w:vAlign w:val="center"/>
          </w:tcPr>
          <w:p w14:paraId="4AD45F66"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50.105 </w:t>
            </w:r>
          </w:p>
        </w:tc>
        <w:tc>
          <w:tcPr>
            <w:tcW w:w="724" w:type="pct"/>
            <w:tcBorders>
              <w:top w:val="nil"/>
              <w:left w:val="nil"/>
              <w:bottom w:val="single" w:sz="4" w:space="0" w:color="auto"/>
              <w:right w:val="single" w:sz="4" w:space="0" w:color="auto"/>
            </w:tcBorders>
            <w:shd w:val="clear" w:color="auto" w:fill="auto"/>
            <w:noWrap/>
            <w:vAlign w:val="center"/>
          </w:tcPr>
          <w:p w14:paraId="505C9A47"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tcPr>
          <w:p w14:paraId="0B9787EA" w14:textId="77777777" w:rsidR="009976D2" w:rsidRPr="00701F32" w:rsidRDefault="009976D2">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86" w:type="pct"/>
            <w:tcBorders>
              <w:top w:val="nil"/>
              <w:left w:val="nil"/>
              <w:bottom w:val="single" w:sz="4" w:space="0" w:color="auto"/>
              <w:right w:val="single" w:sz="4" w:space="0" w:color="auto"/>
            </w:tcBorders>
            <w:vAlign w:val="center"/>
          </w:tcPr>
          <w:p w14:paraId="4F45C19F" w14:textId="77777777" w:rsidR="009976D2" w:rsidRPr="00701F32" w:rsidRDefault="009976D2">
            <w:pPr>
              <w:jc w:val="right"/>
              <w:rPr>
                <w:rFonts w:ascii="Arial" w:hAnsi="Arial" w:cs="Arial"/>
                <w:sz w:val="18"/>
                <w:szCs w:val="18"/>
              </w:rPr>
            </w:pPr>
            <w:r w:rsidRPr="00701F32">
              <w:rPr>
                <w:rFonts w:ascii="Arial" w:hAnsi="Arial" w:cs="Arial"/>
                <w:sz w:val="18"/>
                <w:szCs w:val="18"/>
              </w:rPr>
              <w:t>50.105</w:t>
            </w:r>
          </w:p>
        </w:tc>
      </w:tr>
      <w:tr w:rsidR="009976D2" w:rsidRPr="00701F32" w14:paraId="41605FAD" w14:textId="77777777" w:rsidTr="00E311C9">
        <w:trPr>
          <w:trHeight w:val="205"/>
        </w:trPr>
        <w:tc>
          <w:tcPr>
            <w:tcW w:w="2136" w:type="pct"/>
            <w:tcBorders>
              <w:top w:val="nil"/>
              <w:left w:val="single" w:sz="4" w:space="0" w:color="auto"/>
              <w:bottom w:val="single" w:sz="4" w:space="0" w:color="auto"/>
              <w:right w:val="single" w:sz="4" w:space="0" w:color="auto"/>
            </w:tcBorders>
            <w:shd w:val="clear" w:color="auto" w:fill="auto"/>
            <w:noWrap/>
            <w:vAlign w:val="bottom"/>
            <w:hideMark/>
          </w:tcPr>
          <w:p w14:paraId="26747B76" w14:textId="77777777" w:rsidR="009976D2" w:rsidRPr="00701F32" w:rsidRDefault="009976D2" w:rsidP="00AD40A3">
            <w:pPr>
              <w:rPr>
                <w:rFonts w:ascii="Arial" w:hAnsi="Arial" w:cs="Arial"/>
                <w:b/>
                <w:bCs/>
                <w:color w:val="000000"/>
                <w:sz w:val="18"/>
                <w:szCs w:val="18"/>
                <w:lang w:eastAsia="es-AR"/>
              </w:rPr>
            </w:pPr>
            <w:r w:rsidRPr="00701F32">
              <w:rPr>
                <w:rFonts w:ascii="Arial" w:hAnsi="Arial" w:cs="Arial"/>
                <w:b/>
                <w:bCs/>
                <w:color w:val="000000"/>
                <w:sz w:val="18"/>
                <w:szCs w:val="18"/>
                <w:lang w:eastAsia="es-AR"/>
              </w:rPr>
              <w:t>Total Pasivos</w:t>
            </w:r>
          </w:p>
        </w:tc>
        <w:tc>
          <w:tcPr>
            <w:tcW w:w="807" w:type="pct"/>
            <w:tcBorders>
              <w:top w:val="nil"/>
              <w:left w:val="nil"/>
              <w:bottom w:val="single" w:sz="4" w:space="0" w:color="auto"/>
              <w:right w:val="single" w:sz="4" w:space="0" w:color="auto"/>
            </w:tcBorders>
            <w:shd w:val="clear" w:color="auto" w:fill="auto"/>
            <w:noWrap/>
            <w:vAlign w:val="center"/>
            <w:hideMark/>
          </w:tcPr>
          <w:p w14:paraId="5DB13382"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sz w:val="18"/>
                <w:szCs w:val="18"/>
              </w:rPr>
              <w:t xml:space="preserve"> 6.898.978</w:t>
            </w:r>
          </w:p>
        </w:tc>
        <w:tc>
          <w:tcPr>
            <w:tcW w:w="724" w:type="pct"/>
            <w:tcBorders>
              <w:top w:val="nil"/>
              <w:left w:val="nil"/>
              <w:bottom w:val="single" w:sz="4" w:space="0" w:color="auto"/>
              <w:right w:val="single" w:sz="4" w:space="0" w:color="auto"/>
            </w:tcBorders>
            <w:shd w:val="clear" w:color="auto" w:fill="auto"/>
            <w:noWrap/>
            <w:vAlign w:val="center"/>
            <w:hideMark/>
          </w:tcPr>
          <w:p w14:paraId="7211F3AA"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sz w:val="18"/>
                <w:szCs w:val="18"/>
              </w:rPr>
              <w:t xml:space="preserve"> -   </w:t>
            </w:r>
          </w:p>
        </w:tc>
        <w:tc>
          <w:tcPr>
            <w:tcW w:w="648" w:type="pct"/>
            <w:tcBorders>
              <w:top w:val="nil"/>
              <w:left w:val="nil"/>
              <w:bottom w:val="single" w:sz="4" w:space="0" w:color="auto"/>
              <w:right w:val="single" w:sz="4" w:space="0" w:color="auto"/>
            </w:tcBorders>
            <w:shd w:val="clear" w:color="auto" w:fill="auto"/>
            <w:noWrap/>
            <w:vAlign w:val="center"/>
            <w:hideMark/>
          </w:tcPr>
          <w:p w14:paraId="35BDC11C"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w:t>
            </w:r>
          </w:p>
        </w:tc>
        <w:tc>
          <w:tcPr>
            <w:tcW w:w="686" w:type="pct"/>
            <w:tcBorders>
              <w:top w:val="nil"/>
              <w:left w:val="nil"/>
              <w:bottom w:val="single" w:sz="4" w:space="0" w:color="auto"/>
              <w:right w:val="single" w:sz="4" w:space="0" w:color="auto"/>
            </w:tcBorders>
            <w:vAlign w:val="center"/>
          </w:tcPr>
          <w:p w14:paraId="4BA62EDB" w14:textId="77777777" w:rsidR="009976D2" w:rsidRPr="00701F32" w:rsidRDefault="009976D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6.898.978</w:t>
            </w:r>
          </w:p>
        </w:tc>
      </w:tr>
    </w:tbl>
    <w:p w14:paraId="29433AB4" w14:textId="77777777" w:rsidR="009976D2" w:rsidRPr="00701F32" w:rsidRDefault="009976D2" w:rsidP="00E07294">
      <w:pPr>
        <w:spacing w:after="160" w:line="259" w:lineRule="auto"/>
        <w:jc w:val="both"/>
        <w:rPr>
          <w:rFonts w:ascii="Arial" w:eastAsia="Calibri" w:hAnsi="Arial" w:cs="Arial"/>
          <w:bCs/>
          <w:sz w:val="20"/>
        </w:rPr>
      </w:pPr>
    </w:p>
    <w:p w14:paraId="132FD07A" w14:textId="77777777" w:rsidR="00E07294" w:rsidRPr="00701F32" w:rsidRDefault="00E07294" w:rsidP="00E07294">
      <w:pPr>
        <w:spacing w:after="160" w:line="259" w:lineRule="auto"/>
        <w:jc w:val="both"/>
        <w:rPr>
          <w:rFonts w:ascii="Arial" w:eastAsia="Calibri" w:hAnsi="Arial" w:cs="Arial"/>
          <w:bCs/>
          <w:sz w:val="20"/>
        </w:rPr>
      </w:pPr>
      <w:r w:rsidRPr="00701F32">
        <w:rPr>
          <w:rFonts w:ascii="Arial" w:eastAsia="Calibri" w:hAnsi="Arial" w:cs="Arial"/>
          <w:bCs/>
          <w:sz w:val="20"/>
        </w:rPr>
        <w:t>La política del Banco es reconocer transferencias entre los niveles de Valores Razonables solo a las fechas de cierre de ejercicio, no existiendo modificaciones en relación a los instrumentos financieros mantenidos en cartera al 31 de diciembre de 2017.</w:t>
      </w:r>
    </w:p>
    <w:p w14:paraId="2C5D9DEE" w14:textId="77777777" w:rsidR="00E07294" w:rsidRPr="00701F32" w:rsidRDefault="00E07294" w:rsidP="00E07294">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Valor Razonable nivel 1: El</w:t>
      </w:r>
      <w:r w:rsidRPr="00701F32">
        <w:rPr>
          <w:rFonts w:ascii="Arial" w:eastAsia="Calibri" w:hAnsi="Arial" w:cs="Arial"/>
          <w:color w:val="000000"/>
          <w:sz w:val="20"/>
        </w:rPr>
        <w:t xml:space="preserve"> valor razonable de los instrumentos financieros negociados en mercados activos (como derivados negociados públicamente, inversiones negociables o disponibles para la venta) se basa en los precios de cotización de los mercados a la fecha del periodo de reporte. El precio de mercado utilizado en los activos financieros mantenidos por el Grupo es el precio de compra actual. Estos instrumentos se incluyen en el nivel 1. </w:t>
      </w:r>
    </w:p>
    <w:p w14:paraId="1E80837D" w14:textId="77777777" w:rsidR="00E07294" w:rsidRPr="00701F32" w:rsidRDefault="00E07294" w:rsidP="00E07294">
      <w:pPr>
        <w:autoSpaceDE w:val="0"/>
        <w:autoSpaceDN w:val="0"/>
        <w:adjustRightInd w:val="0"/>
        <w:jc w:val="both"/>
        <w:rPr>
          <w:rFonts w:ascii="Arial" w:eastAsia="Calibri" w:hAnsi="Arial" w:cs="Arial"/>
          <w:bCs/>
          <w:color w:val="000000"/>
          <w:sz w:val="20"/>
        </w:rPr>
      </w:pPr>
    </w:p>
    <w:p w14:paraId="43410596" w14:textId="77777777" w:rsidR="00E07294" w:rsidRPr="00701F32" w:rsidRDefault="00E07294" w:rsidP="00E07294">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2: </w:t>
      </w:r>
      <w:r w:rsidRPr="00701F32">
        <w:rPr>
          <w:rFonts w:ascii="Arial" w:eastAsia="Calibri" w:hAnsi="Arial" w:cs="Arial"/>
          <w:color w:val="000000"/>
          <w:sz w:val="20"/>
        </w:rPr>
        <w:t xml:space="preserve">El valor razonable de instrumentos financieros que no se negocian en mercados activos, por ejemplo, los derivados disponibles fuera de bolsa (over-the-counter), se determina utilizando técnicas de valuación que maximizan el uso de información observable y deposita la menor confianza posible en estimados específicos del Grupo. Si todas las variables relevantes para establecer el valor razonable de un instrumento financiero son observables, el instrumento se incluye en el nivel 2. </w:t>
      </w:r>
    </w:p>
    <w:p w14:paraId="308027A8" w14:textId="77777777" w:rsidR="00E07294" w:rsidRPr="00701F32" w:rsidRDefault="00E07294" w:rsidP="00E07294">
      <w:pPr>
        <w:autoSpaceDE w:val="0"/>
        <w:autoSpaceDN w:val="0"/>
        <w:adjustRightInd w:val="0"/>
        <w:jc w:val="both"/>
        <w:rPr>
          <w:rFonts w:ascii="Arial" w:eastAsia="Calibri" w:hAnsi="Arial" w:cs="Arial"/>
          <w:bCs/>
          <w:color w:val="000000"/>
          <w:sz w:val="20"/>
        </w:rPr>
      </w:pPr>
    </w:p>
    <w:p w14:paraId="3F7E1B8B" w14:textId="77777777" w:rsidR="00E07294" w:rsidRPr="00701F32" w:rsidRDefault="00E07294" w:rsidP="00E07294">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3: </w:t>
      </w:r>
      <w:r w:rsidRPr="00701F32">
        <w:rPr>
          <w:rFonts w:ascii="Arial" w:eastAsia="Calibri" w:hAnsi="Arial" w:cs="Arial"/>
          <w:color w:val="000000"/>
          <w:sz w:val="20"/>
        </w:rPr>
        <w:t xml:space="preserve">Si una o más variables relevantes no se basan en información observable de mercado, el instrumento se incluye en el nivel 3. Este es el caso de los instrumentos de capital sin cotización. </w:t>
      </w:r>
    </w:p>
    <w:p w14:paraId="63F37039" w14:textId="77777777" w:rsidR="00E07294" w:rsidRPr="00701F32" w:rsidRDefault="00E07294" w:rsidP="00E07294">
      <w:pPr>
        <w:spacing w:line="259" w:lineRule="auto"/>
        <w:jc w:val="both"/>
        <w:rPr>
          <w:rFonts w:ascii="Arial" w:eastAsia="Calibri" w:hAnsi="Arial" w:cs="Arial"/>
          <w:b/>
          <w:bCs/>
          <w:sz w:val="20"/>
        </w:rPr>
      </w:pPr>
    </w:p>
    <w:p w14:paraId="62921088" w14:textId="77777777" w:rsidR="00E07294" w:rsidRPr="00701F32" w:rsidRDefault="00E07294" w:rsidP="00E07294">
      <w:pPr>
        <w:spacing w:after="160" w:line="259" w:lineRule="auto"/>
        <w:jc w:val="both"/>
        <w:rPr>
          <w:rFonts w:ascii="Arial" w:eastAsia="Calibri" w:hAnsi="Arial" w:cs="Arial"/>
          <w:b/>
          <w:bCs/>
          <w:sz w:val="20"/>
        </w:rPr>
      </w:pPr>
      <w:r w:rsidRPr="00701F32">
        <w:rPr>
          <w:rFonts w:ascii="Arial" w:eastAsia="Calibri" w:hAnsi="Arial" w:cs="Arial"/>
          <w:b/>
          <w:bCs/>
          <w:sz w:val="20"/>
        </w:rPr>
        <w:t>Valor Razonable de Otros Instrumentos Financieros</w:t>
      </w:r>
    </w:p>
    <w:p w14:paraId="03DDA73C" w14:textId="23F83558" w:rsidR="008D246D" w:rsidRPr="00701F32" w:rsidRDefault="00E07294" w:rsidP="00E07294">
      <w:pPr>
        <w:spacing w:after="160" w:line="259" w:lineRule="auto"/>
        <w:jc w:val="both"/>
        <w:rPr>
          <w:rFonts w:ascii="Arial" w:eastAsia="Calibri" w:hAnsi="Arial" w:cs="Arial"/>
          <w:bCs/>
          <w:sz w:val="20"/>
        </w:rPr>
      </w:pPr>
      <w:r w:rsidRPr="00701F32">
        <w:rPr>
          <w:rFonts w:ascii="Arial" w:eastAsia="Calibri" w:hAnsi="Arial" w:cs="Arial"/>
          <w:bCs/>
          <w:sz w:val="20"/>
        </w:rPr>
        <w:t>La Entidad cuenta</w:t>
      </w:r>
      <w:r w:rsidR="001D707E" w:rsidRPr="00701F32">
        <w:rPr>
          <w:rFonts w:ascii="Arial" w:eastAsia="Calibri" w:hAnsi="Arial" w:cs="Arial"/>
          <w:bCs/>
          <w:sz w:val="20"/>
        </w:rPr>
        <w:t xml:space="preserve"> con </w:t>
      </w:r>
      <w:r w:rsidRPr="00701F32">
        <w:rPr>
          <w:rFonts w:ascii="Arial" w:eastAsia="Calibri" w:hAnsi="Arial" w:cs="Arial"/>
          <w:bCs/>
          <w:sz w:val="20"/>
        </w:rPr>
        <w:t>instrumentos financieros que no son valuados a su valor razonable. Para la mayoría de los mismos, el valor razonable no difiere sustancialmente de su valor residual, debido a que la tasa de interés a pagar o cobrar es similar a las tasas de mercado, o bien el instrumento es de corta duración. Al 31/12/2017 no se han registrado diferencias sustanciales.</w:t>
      </w:r>
    </w:p>
    <w:p w14:paraId="0F580256" w14:textId="77777777" w:rsidR="00E07294" w:rsidRPr="00701F32" w:rsidRDefault="00E07294" w:rsidP="00E07294">
      <w:pPr>
        <w:spacing w:after="160" w:line="259" w:lineRule="auto"/>
        <w:jc w:val="both"/>
        <w:rPr>
          <w:rFonts w:ascii="Arial" w:eastAsia="Calibri" w:hAnsi="Arial" w:cs="Arial"/>
          <w:sz w:val="20"/>
          <w:u w:val="single"/>
        </w:rPr>
      </w:pPr>
      <w:r w:rsidRPr="00701F32">
        <w:rPr>
          <w:rFonts w:ascii="Arial" w:eastAsia="Calibri" w:hAnsi="Arial" w:cs="Arial"/>
          <w:sz w:val="20"/>
          <w:u w:val="single"/>
        </w:rPr>
        <w:t xml:space="preserve">Instrumentos de Patrimonio </w:t>
      </w:r>
    </w:p>
    <w:p w14:paraId="3E5E68FF" w14:textId="77777777" w:rsidR="00E07294"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Se detallan a continuación los instrumentos de patrimonio medidos a valor razonable con cambios en otros resultados Integrales al cierre del período:</w:t>
      </w:r>
    </w:p>
    <w:p w14:paraId="467546F3" w14:textId="77777777" w:rsidR="00576023" w:rsidRPr="00701F32" w:rsidRDefault="00576023" w:rsidP="00E07294">
      <w:pPr>
        <w:spacing w:after="160" w:line="259" w:lineRule="auto"/>
        <w:jc w:val="both"/>
        <w:rPr>
          <w:rFonts w:ascii="Arial" w:eastAsia="Calibri" w:hAnsi="Arial" w:cs="Arial"/>
          <w:sz w:val="20"/>
        </w:rPr>
      </w:pPr>
    </w:p>
    <w:tbl>
      <w:tblPr>
        <w:tblW w:w="9776" w:type="dxa"/>
        <w:tblInd w:w="75" w:type="dxa"/>
        <w:tblLayout w:type="fixed"/>
        <w:tblCellMar>
          <w:left w:w="70" w:type="dxa"/>
          <w:right w:w="70" w:type="dxa"/>
        </w:tblCellMar>
        <w:tblLook w:val="04A0" w:firstRow="1" w:lastRow="0" w:firstColumn="1" w:lastColumn="0" w:noHBand="0" w:noVBand="1"/>
      </w:tblPr>
      <w:tblGrid>
        <w:gridCol w:w="1875"/>
        <w:gridCol w:w="1522"/>
        <w:gridCol w:w="1560"/>
        <w:gridCol w:w="1417"/>
        <w:gridCol w:w="1559"/>
        <w:gridCol w:w="1843"/>
      </w:tblGrid>
      <w:tr w:rsidR="009976D2" w:rsidRPr="00701F32" w14:paraId="666C6F95" w14:textId="77777777" w:rsidTr="00701F32">
        <w:trPr>
          <w:trHeight w:val="444"/>
          <w:tblHeader/>
        </w:trPr>
        <w:tc>
          <w:tcPr>
            <w:tcW w:w="18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EECA9D" w14:textId="77777777" w:rsidR="009976D2" w:rsidRPr="00701F32" w:rsidRDefault="009976D2" w:rsidP="00AD40A3">
            <w:pPr>
              <w:jc w:val="center"/>
              <w:rPr>
                <w:rFonts w:ascii="Arial" w:hAnsi="Arial" w:cs="Arial"/>
                <w:b/>
                <w:bCs/>
                <w:color w:val="000000"/>
                <w:sz w:val="18"/>
                <w:szCs w:val="18"/>
                <w:lang w:eastAsia="es-AR"/>
              </w:rPr>
            </w:pPr>
            <w:r w:rsidRPr="00701F32">
              <w:rPr>
                <w:rFonts w:ascii="Arial" w:hAnsi="Arial" w:cs="Arial"/>
                <w:b/>
                <w:bCs/>
                <w:color w:val="000000"/>
                <w:sz w:val="18"/>
                <w:szCs w:val="18"/>
              </w:rPr>
              <w:t> </w:t>
            </w:r>
          </w:p>
        </w:tc>
        <w:tc>
          <w:tcPr>
            <w:tcW w:w="15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DFC9EB"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 xml:space="preserve">VR al </w:t>
            </w:r>
          </w:p>
          <w:p w14:paraId="115210E5"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01/01/2017</w:t>
            </w: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14:paraId="145ED079"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Dividendos de</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07D0A"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Transferencias a ORI</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99C42"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VR 31/12/2017</w:t>
            </w:r>
          </w:p>
        </w:tc>
      </w:tr>
      <w:tr w:rsidR="009976D2" w:rsidRPr="00701F32" w14:paraId="2DFFADD5" w14:textId="77777777" w:rsidTr="00AD40A3">
        <w:trPr>
          <w:trHeight w:val="666"/>
        </w:trPr>
        <w:tc>
          <w:tcPr>
            <w:tcW w:w="1875" w:type="dxa"/>
            <w:vMerge/>
            <w:tcBorders>
              <w:top w:val="single" w:sz="4" w:space="0" w:color="auto"/>
              <w:left w:val="single" w:sz="4" w:space="0" w:color="auto"/>
              <w:bottom w:val="single" w:sz="4" w:space="0" w:color="000000"/>
              <w:right w:val="single" w:sz="4" w:space="0" w:color="auto"/>
            </w:tcBorders>
            <w:vAlign w:val="center"/>
            <w:hideMark/>
          </w:tcPr>
          <w:p w14:paraId="69019EA3" w14:textId="77777777" w:rsidR="009976D2" w:rsidRPr="00701F32" w:rsidRDefault="009976D2" w:rsidP="00AD40A3">
            <w:pPr>
              <w:rPr>
                <w:rFonts w:ascii="Arial" w:hAnsi="Arial" w:cs="Arial"/>
                <w:b/>
                <w:bCs/>
                <w:color w:val="000000"/>
                <w:sz w:val="18"/>
                <w:szCs w:val="18"/>
              </w:rPr>
            </w:pPr>
          </w:p>
        </w:tc>
        <w:tc>
          <w:tcPr>
            <w:tcW w:w="1522" w:type="dxa"/>
            <w:vMerge/>
            <w:tcBorders>
              <w:top w:val="single" w:sz="4" w:space="0" w:color="auto"/>
              <w:left w:val="single" w:sz="4" w:space="0" w:color="auto"/>
              <w:bottom w:val="single" w:sz="4" w:space="0" w:color="000000"/>
              <w:right w:val="single" w:sz="4" w:space="0" w:color="auto"/>
            </w:tcBorders>
            <w:vAlign w:val="center"/>
            <w:hideMark/>
          </w:tcPr>
          <w:p w14:paraId="7E2FC88D" w14:textId="77777777" w:rsidR="009976D2" w:rsidRPr="00701F32" w:rsidRDefault="009976D2" w:rsidP="00AD40A3">
            <w:pPr>
              <w:rPr>
                <w:rFonts w:ascii="Arial"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0A2DB44C"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Instrumentos mantenidos al cierre</w:t>
            </w:r>
          </w:p>
        </w:tc>
        <w:tc>
          <w:tcPr>
            <w:tcW w:w="1417" w:type="dxa"/>
            <w:tcBorders>
              <w:top w:val="nil"/>
              <w:left w:val="nil"/>
              <w:bottom w:val="single" w:sz="4" w:space="0" w:color="auto"/>
              <w:right w:val="single" w:sz="4" w:space="0" w:color="auto"/>
            </w:tcBorders>
            <w:shd w:val="clear" w:color="auto" w:fill="auto"/>
            <w:vAlign w:val="center"/>
            <w:hideMark/>
          </w:tcPr>
          <w:p w14:paraId="166A90D1" w14:textId="77777777" w:rsidR="009976D2" w:rsidRPr="00701F32" w:rsidRDefault="009976D2" w:rsidP="00AD40A3">
            <w:pPr>
              <w:jc w:val="center"/>
              <w:rPr>
                <w:rFonts w:ascii="Arial" w:hAnsi="Arial" w:cs="Arial"/>
                <w:b/>
                <w:bCs/>
                <w:color w:val="000000"/>
                <w:sz w:val="18"/>
                <w:szCs w:val="18"/>
              </w:rPr>
            </w:pPr>
            <w:r w:rsidRPr="00701F32">
              <w:rPr>
                <w:rFonts w:ascii="Arial" w:hAnsi="Arial" w:cs="Arial"/>
                <w:b/>
                <w:bCs/>
                <w:color w:val="000000"/>
                <w:sz w:val="18"/>
                <w:szCs w:val="18"/>
              </w:rPr>
              <w:t>Instrumentos dados de baja</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142672A" w14:textId="77777777" w:rsidR="009976D2" w:rsidRPr="00701F32" w:rsidRDefault="009976D2" w:rsidP="00AD40A3">
            <w:pPr>
              <w:rPr>
                <w:rFonts w:ascii="Arial" w:hAnsi="Arial" w:cs="Arial"/>
                <w:b/>
                <w:bCs/>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7C6371" w14:textId="77777777" w:rsidR="009976D2" w:rsidRPr="00701F32" w:rsidRDefault="009976D2" w:rsidP="00AD40A3">
            <w:pPr>
              <w:rPr>
                <w:rFonts w:ascii="Arial" w:hAnsi="Arial" w:cs="Arial"/>
                <w:b/>
                <w:bCs/>
                <w:color w:val="000000"/>
                <w:sz w:val="18"/>
                <w:szCs w:val="18"/>
              </w:rPr>
            </w:pPr>
          </w:p>
        </w:tc>
      </w:tr>
      <w:tr w:rsidR="009976D2" w:rsidRPr="00701F32" w14:paraId="58607CA4"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4BC9EAB"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MAE</w:t>
            </w:r>
          </w:p>
        </w:tc>
        <w:tc>
          <w:tcPr>
            <w:tcW w:w="1522" w:type="dxa"/>
            <w:tcBorders>
              <w:top w:val="nil"/>
              <w:left w:val="nil"/>
              <w:bottom w:val="single" w:sz="4" w:space="0" w:color="auto"/>
              <w:right w:val="single" w:sz="4" w:space="0" w:color="auto"/>
            </w:tcBorders>
            <w:shd w:val="clear" w:color="auto" w:fill="auto"/>
            <w:noWrap/>
            <w:vAlign w:val="center"/>
            <w:hideMark/>
          </w:tcPr>
          <w:p w14:paraId="131FDB3E"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61 </w:t>
            </w:r>
          </w:p>
        </w:tc>
        <w:tc>
          <w:tcPr>
            <w:tcW w:w="1560" w:type="dxa"/>
            <w:tcBorders>
              <w:top w:val="nil"/>
              <w:left w:val="nil"/>
              <w:bottom w:val="single" w:sz="4" w:space="0" w:color="auto"/>
              <w:right w:val="single" w:sz="4" w:space="0" w:color="auto"/>
            </w:tcBorders>
            <w:shd w:val="clear" w:color="auto" w:fill="auto"/>
            <w:noWrap/>
            <w:vAlign w:val="center"/>
            <w:hideMark/>
          </w:tcPr>
          <w:p w14:paraId="482A9A30"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2569F3EA"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CBF0EA1"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4.549 </w:t>
            </w:r>
          </w:p>
        </w:tc>
        <w:tc>
          <w:tcPr>
            <w:tcW w:w="1843" w:type="dxa"/>
            <w:tcBorders>
              <w:top w:val="nil"/>
              <w:left w:val="nil"/>
              <w:bottom w:val="single" w:sz="4" w:space="0" w:color="auto"/>
              <w:right w:val="single" w:sz="4" w:space="0" w:color="auto"/>
            </w:tcBorders>
            <w:shd w:val="clear" w:color="auto" w:fill="auto"/>
            <w:noWrap/>
            <w:vAlign w:val="center"/>
            <w:hideMark/>
          </w:tcPr>
          <w:p w14:paraId="78A12049"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4.610 </w:t>
            </w:r>
          </w:p>
        </w:tc>
      </w:tr>
      <w:tr w:rsidR="009976D2" w:rsidRPr="00701F32" w14:paraId="4AB3BC37"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89A7D9E"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SEDESA</w:t>
            </w:r>
          </w:p>
        </w:tc>
        <w:tc>
          <w:tcPr>
            <w:tcW w:w="1522" w:type="dxa"/>
            <w:tcBorders>
              <w:top w:val="nil"/>
              <w:left w:val="nil"/>
              <w:bottom w:val="single" w:sz="4" w:space="0" w:color="auto"/>
              <w:right w:val="single" w:sz="4" w:space="0" w:color="auto"/>
            </w:tcBorders>
            <w:shd w:val="clear" w:color="auto" w:fill="auto"/>
            <w:noWrap/>
            <w:vAlign w:val="center"/>
            <w:hideMark/>
          </w:tcPr>
          <w:p w14:paraId="29D1C84D"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39 </w:t>
            </w:r>
          </w:p>
        </w:tc>
        <w:tc>
          <w:tcPr>
            <w:tcW w:w="1560" w:type="dxa"/>
            <w:tcBorders>
              <w:top w:val="nil"/>
              <w:left w:val="nil"/>
              <w:bottom w:val="single" w:sz="4" w:space="0" w:color="auto"/>
              <w:right w:val="single" w:sz="4" w:space="0" w:color="auto"/>
            </w:tcBorders>
            <w:shd w:val="clear" w:color="auto" w:fill="auto"/>
            <w:noWrap/>
            <w:vAlign w:val="center"/>
            <w:hideMark/>
          </w:tcPr>
          <w:p w14:paraId="6FFE0AC3"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7FEFBE0B"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B5A98B8"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1.575 </w:t>
            </w:r>
          </w:p>
        </w:tc>
        <w:tc>
          <w:tcPr>
            <w:tcW w:w="1843" w:type="dxa"/>
            <w:tcBorders>
              <w:top w:val="nil"/>
              <w:left w:val="nil"/>
              <w:bottom w:val="single" w:sz="4" w:space="0" w:color="auto"/>
              <w:right w:val="single" w:sz="4" w:space="0" w:color="auto"/>
            </w:tcBorders>
            <w:shd w:val="clear" w:color="auto" w:fill="auto"/>
            <w:noWrap/>
            <w:vAlign w:val="center"/>
            <w:hideMark/>
          </w:tcPr>
          <w:p w14:paraId="4DA193E6"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1.614 </w:t>
            </w:r>
          </w:p>
        </w:tc>
      </w:tr>
      <w:tr w:rsidR="009976D2" w:rsidRPr="00701F32" w14:paraId="4437CBA4"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6C4865C4"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COELSA</w:t>
            </w:r>
          </w:p>
        </w:tc>
        <w:tc>
          <w:tcPr>
            <w:tcW w:w="1522" w:type="dxa"/>
            <w:tcBorders>
              <w:top w:val="nil"/>
              <w:left w:val="nil"/>
              <w:bottom w:val="single" w:sz="4" w:space="0" w:color="auto"/>
              <w:right w:val="single" w:sz="4" w:space="0" w:color="auto"/>
            </w:tcBorders>
            <w:shd w:val="clear" w:color="auto" w:fill="auto"/>
            <w:noWrap/>
            <w:vAlign w:val="center"/>
            <w:hideMark/>
          </w:tcPr>
          <w:p w14:paraId="3074FD9A"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54 </w:t>
            </w:r>
          </w:p>
        </w:tc>
        <w:tc>
          <w:tcPr>
            <w:tcW w:w="1560" w:type="dxa"/>
            <w:tcBorders>
              <w:top w:val="nil"/>
              <w:left w:val="nil"/>
              <w:bottom w:val="single" w:sz="4" w:space="0" w:color="auto"/>
              <w:right w:val="single" w:sz="4" w:space="0" w:color="auto"/>
            </w:tcBorders>
            <w:shd w:val="clear" w:color="auto" w:fill="auto"/>
            <w:noWrap/>
            <w:vAlign w:val="center"/>
            <w:hideMark/>
          </w:tcPr>
          <w:p w14:paraId="1331B7EB"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756963F8"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72D2ABC"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865 </w:t>
            </w:r>
          </w:p>
        </w:tc>
        <w:tc>
          <w:tcPr>
            <w:tcW w:w="1843" w:type="dxa"/>
            <w:tcBorders>
              <w:top w:val="nil"/>
              <w:left w:val="nil"/>
              <w:bottom w:val="single" w:sz="4" w:space="0" w:color="auto"/>
              <w:right w:val="single" w:sz="4" w:space="0" w:color="auto"/>
            </w:tcBorders>
            <w:shd w:val="clear" w:color="auto" w:fill="auto"/>
            <w:noWrap/>
            <w:vAlign w:val="center"/>
            <w:hideMark/>
          </w:tcPr>
          <w:p w14:paraId="4ACD6210"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919 </w:t>
            </w:r>
          </w:p>
        </w:tc>
      </w:tr>
      <w:tr w:rsidR="009976D2" w:rsidRPr="00701F32" w14:paraId="6CBC40A2"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B8C2586"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PROVINCANJE</w:t>
            </w:r>
          </w:p>
        </w:tc>
        <w:tc>
          <w:tcPr>
            <w:tcW w:w="1522" w:type="dxa"/>
            <w:tcBorders>
              <w:top w:val="nil"/>
              <w:left w:val="nil"/>
              <w:bottom w:val="single" w:sz="4" w:space="0" w:color="auto"/>
              <w:right w:val="single" w:sz="4" w:space="0" w:color="auto"/>
            </w:tcBorders>
            <w:shd w:val="clear" w:color="auto" w:fill="auto"/>
            <w:noWrap/>
            <w:vAlign w:val="center"/>
            <w:hideMark/>
          </w:tcPr>
          <w:p w14:paraId="3A886271"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504 </w:t>
            </w:r>
          </w:p>
        </w:tc>
        <w:tc>
          <w:tcPr>
            <w:tcW w:w="1560" w:type="dxa"/>
            <w:tcBorders>
              <w:top w:val="nil"/>
              <w:left w:val="nil"/>
              <w:bottom w:val="single" w:sz="4" w:space="0" w:color="auto"/>
              <w:right w:val="single" w:sz="4" w:space="0" w:color="auto"/>
            </w:tcBorders>
            <w:shd w:val="clear" w:color="auto" w:fill="auto"/>
            <w:noWrap/>
            <w:vAlign w:val="center"/>
            <w:hideMark/>
          </w:tcPr>
          <w:p w14:paraId="1D355DF2"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2361DF0A"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7CB6391A"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-232 </w:t>
            </w:r>
          </w:p>
        </w:tc>
        <w:tc>
          <w:tcPr>
            <w:tcW w:w="1843" w:type="dxa"/>
            <w:tcBorders>
              <w:top w:val="nil"/>
              <w:left w:val="nil"/>
              <w:bottom w:val="single" w:sz="4" w:space="0" w:color="auto"/>
              <w:right w:val="single" w:sz="4" w:space="0" w:color="auto"/>
            </w:tcBorders>
            <w:shd w:val="clear" w:color="auto" w:fill="auto"/>
            <w:noWrap/>
            <w:vAlign w:val="center"/>
            <w:hideMark/>
          </w:tcPr>
          <w:p w14:paraId="75B99CAB" w14:textId="77777777" w:rsidR="009976D2" w:rsidRPr="00701F32" w:rsidRDefault="009976D2">
            <w:pPr>
              <w:jc w:val="right"/>
              <w:rPr>
                <w:rFonts w:ascii="Arial" w:hAnsi="Arial" w:cs="Arial"/>
                <w:color w:val="000000"/>
                <w:sz w:val="18"/>
                <w:szCs w:val="18"/>
              </w:rPr>
            </w:pPr>
            <w:r w:rsidRPr="00701F32">
              <w:rPr>
                <w:rFonts w:ascii="Arial" w:hAnsi="Arial" w:cs="Arial"/>
                <w:color w:val="000000"/>
                <w:sz w:val="18"/>
                <w:szCs w:val="18"/>
              </w:rPr>
              <w:t xml:space="preserve">                          </w:t>
            </w:r>
            <w:r w:rsidR="00ED7845" w:rsidRPr="00701F32">
              <w:rPr>
                <w:rFonts w:ascii="Arial" w:hAnsi="Arial" w:cs="Arial"/>
                <w:color w:val="000000"/>
                <w:sz w:val="18"/>
                <w:szCs w:val="18"/>
              </w:rPr>
              <w:t>272</w:t>
            </w:r>
          </w:p>
        </w:tc>
      </w:tr>
      <w:tr w:rsidR="009976D2" w:rsidRPr="00701F32" w14:paraId="5B5DB045"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D087214"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CUYO AVAL SGR</w:t>
            </w:r>
          </w:p>
        </w:tc>
        <w:tc>
          <w:tcPr>
            <w:tcW w:w="1522" w:type="dxa"/>
            <w:tcBorders>
              <w:top w:val="nil"/>
              <w:left w:val="nil"/>
              <w:bottom w:val="single" w:sz="4" w:space="0" w:color="auto"/>
              <w:right w:val="single" w:sz="4" w:space="0" w:color="auto"/>
            </w:tcBorders>
            <w:shd w:val="clear" w:color="auto" w:fill="auto"/>
            <w:noWrap/>
            <w:vAlign w:val="center"/>
            <w:hideMark/>
          </w:tcPr>
          <w:p w14:paraId="180D1A0C"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10 </w:t>
            </w:r>
          </w:p>
        </w:tc>
        <w:tc>
          <w:tcPr>
            <w:tcW w:w="1560" w:type="dxa"/>
            <w:tcBorders>
              <w:top w:val="nil"/>
              <w:left w:val="nil"/>
              <w:bottom w:val="single" w:sz="4" w:space="0" w:color="auto"/>
              <w:right w:val="single" w:sz="4" w:space="0" w:color="auto"/>
            </w:tcBorders>
            <w:shd w:val="clear" w:color="auto" w:fill="auto"/>
            <w:noWrap/>
            <w:vAlign w:val="center"/>
            <w:hideMark/>
          </w:tcPr>
          <w:p w14:paraId="49ACFB5A"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0C337FFE"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EC1F403"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212 </w:t>
            </w:r>
          </w:p>
        </w:tc>
        <w:tc>
          <w:tcPr>
            <w:tcW w:w="1843" w:type="dxa"/>
            <w:tcBorders>
              <w:top w:val="nil"/>
              <w:left w:val="nil"/>
              <w:bottom w:val="single" w:sz="4" w:space="0" w:color="auto"/>
              <w:right w:val="single" w:sz="4" w:space="0" w:color="auto"/>
            </w:tcBorders>
            <w:shd w:val="clear" w:color="auto" w:fill="auto"/>
            <w:noWrap/>
            <w:vAlign w:val="center"/>
            <w:hideMark/>
          </w:tcPr>
          <w:p w14:paraId="61BAEE88"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222 </w:t>
            </w:r>
          </w:p>
        </w:tc>
      </w:tr>
      <w:tr w:rsidR="009976D2" w:rsidRPr="00701F32" w14:paraId="29066093"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3440313E"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ARGENCONTROL</w:t>
            </w:r>
          </w:p>
        </w:tc>
        <w:tc>
          <w:tcPr>
            <w:tcW w:w="1522" w:type="dxa"/>
            <w:tcBorders>
              <w:top w:val="nil"/>
              <w:left w:val="nil"/>
              <w:bottom w:val="single" w:sz="4" w:space="0" w:color="auto"/>
              <w:right w:val="single" w:sz="4" w:space="0" w:color="auto"/>
            </w:tcBorders>
            <w:shd w:val="clear" w:color="auto" w:fill="auto"/>
            <w:noWrap/>
            <w:vAlign w:val="center"/>
            <w:hideMark/>
          </w:tcPr>
          <w:p w14:paraId="1DADD9C3"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25 </w:t>
            </w:r>
          </w:p>
        </w:tc>
        <w:tc>
          <w:tcPr>
            <w:tcW w:w="1560" w:type="dxa"/>
            <w:tcBorders>
              <w:top w:val="nil"/>
              <w:left w:val="nil"/>
              <w:bottom w:val="single" w:sz="4" w:space="0" w:color="auto"/>
              <w:right w:val="single" w:sz="4" w:space="0" w:color="auto"/>
            </w:tcBorders>
            <w:shd w:val="clear" w:color="auto" w:fill="auto"/>
            <w:noWrap/>
            <w:vAlign w:val="center"/>
            <w:hideMark/>
          </w:tcPr>
          <w:p w14:paraId="3187D732"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43576C56"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0BE3EA8C"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100 </w:t>
            </w:r>
          </w:p>
        </w:tc>
        <w:tc>
          <w:tcPr>
            <w:tcW w:w="1843" w:type="dxa"/>
            <w:tcBorders>
              <w:top w:val="nil"/>
              <w:left w:val="nil"/>
              <w:bottom w:val="single" w:sz="4" w:space="0" w:color="auto"/>
              <w:right w:val="single" w:sz="4" w:space="0" w:color="auto"/>
            </w:tcBorders>
            <w:shd w:val="clear" w:color="auto" w:fill="auto"/>
            <w:noWrap/>
            <w:vAlign w:val="center"/>
            <w:hideMark/>
          </w:tcPr>
          <w:p w14:paraId="41A9C564"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125 </w:t>
            </w:r>
          </w:p>
        </w:tc>
      </w:tr>
      <w:tr w:rsidR="009976D2" w:rsidRPr="00701F32" w14:paraId="630D2EF0"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74B3B9AC"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LOS GROBO SGR</w:t>
            </w:r>
          </w:p>
        </w:tc>
        <w:tc>
          <w:tcPr>
            <w:tcW w:w="1522" w:type="dxa"/>
            <w:tcBorders>
              <w:top w:val="nil"/>
              <w:left w:val="nil"/>
              <w:bottom w:val="single" w:sz="4" w:space="0" w:color="auto"/>
              <w:right w:val="single" w:sz="4" w:space="0" w:color="auto"/>
            </w:tcBorders>
            <w:shd w:val="clear" w:color="auto" w:fill="auto"/>
            <w:noWrap/>
            <w:vAlign w:val="center"/>
            <w:hideMark/>
          </w:tcPr>
          <w:p w14:paraId="2DE6E642"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   </w:t>
            </w:r>
          </w:p>
        </w:tc>
        <w:tc>
          <w:tcPr>
            <w:tcW w:w="1560" w:type="dxa"/>
            <w:tcBorders>
              <w:top w:val="nil"/>
              <w:left w:val="nil"/>
              <w:bottom w:val="single" w:sz="4" w:space="0" w:color="auto"/>
              <w:right w:val="single" w:sz="4" w:space="0" w:color="auto"/>
            </w:tcBorders>
            <w:shd w:val="clear" w:color="auto" w:fill="auto"/>
            <w:noWrap/>
            <w:vAlign w:val="center"/>
            <w:hideMark/>
          </w:tcPr>
          <w:p w14:paraId="0E1C45AD"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6DA9AD33"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16675F0"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68 </w:t>
            </w:r>
          </w:p>
        </w:tc>
        <w:tc>
          <w:tcPr>
            <w:tcW w:w="1843" w:type="dxa"/>
            <w:tcBorders>
              <w:top w:val="nil"/>
              <w:left w:val="nil"/>
              <w:bottom w:val="single" w:sz="4" w:space="0" w:color="auto"/>
              <w:right w:val="single" w:sz="4" w:space="0" w:color="auto"/>
            </w:tcBorders>
            <w:shd w:val="clear" w:color="auto" w:fill="auto"/>
            <w:noWrap/>
            <w:vAlign w:val="center"/>
            <w:hideMark/>
          </w:tcPr>
          <w:p w14:paraId="72C74E21"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68 </w:t>
            </w:r>
          </w:p>
        </w:tc>
      </w:tr>
      <w:tr w:rsidR="009976D2" w:rsidRPr="00701F32" w14:paraId="2B5515A6"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BCE9D35"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IEBA SA</w:t>
            </w:r>
          </w:p>
        </w:tc>
        <w:tc>
          <w:tcPr>
            <w:tcW w:w="1522" w:type="dxa"/>
            <w:tcBorders>
              <w:top w:val="nil"/>
              <w:left w:val="nil"/>
              <w:bottom w:val="single" w:sz="4" w:space="0" w:color="auto"/>
              <w:right w:val="single" w:sz="4" w:space="0" w:color="auto"/>
            </w:tcBorders>
            <w:shd w:val="clear" w:color="auto" w:fill="auto"/>
            <w:noWrap/>
            <w:vAlign w:val="center"/>
            <w:hideMark/>
          </w:tcPr>
          <w:p w14:paraId="1071C2F0"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   </w:t>
            </w:r>
          </w:p>
        </w:tc>
        <w:tc>
          <w:tcPr>
            <w:tcW w:w="1560" w:type="dxa"/>
            <w:tcBorders>
              <w:top w:val="nil"/>
              <w:left w:val="nil"/>
              <w:bottom w:val="single" w:sz="4" w:space="0" w:color="auto"/>
              <w:right w:val="single" w:sz="4" w:space="0" w:color="auto"/>
            </w:tcBorders>
            <w:shd w:val="clear" w:color="auto" w:fill="auto"/>
            <w:noWrap/>
            <w:vAlign w:val="center"/>
            <w:hideMark/>
          </w:tcPr>
          <w:p w14:paraId="77502C01"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59B512C1"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129D61A3"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61 </w:t>
            </w:r>
          </w:p>
        </w:tc>
        <w:tc>
          <w:tcPr>
            <w:tcW w:w="1843" w:type="dxa"/>
            <w:tcBorders>
              <w:top w:val="nil"/>
              <w:left w:val="nil"/>
              <w:bottom w:val="single" w:sz="4" w:space="0" w:color="auto"/>
              <w:right w:val="single" w:sz="4" w:space="0" w:color="auto"/>
            </w:tcBorders>
            <w:shd w:val="clear" w:color="auto" w:fill="auto"/>
            <w:noWrap/>
            <w:vAlign w:val="center"/>
            <w:hideMark/>
          </w:tcPr>
          <w:p w14:paraId="3AB776CB"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61 </w:t>
            </w:r>
          </w:p>
        </w:tc>
      </w:tr>
      <w:tr w:rsidR="009976D2" w:rsidRPr="00701F32" w14:paraId="7C249661"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7A2C5B37" w14:textId="77777777" w:rsidR="009976D2" w:rsidRPr="00701F32" w:rsidRDefault="009976D2" w:rsidP="00AD40A3">
            <w:pPr>
              <w:jc w:val="both"/>
              <w:rPr>
                <w:rFonts w:ascii="Arial" w:hAnsi="Arial" w:cs="Arial"/>
                <w:color w:val="000000"/>
                <w:sz w:val="18"/>
                <w:szCs w:val="18"/>
              </w:rPr>
            </w:pPr>
            <w:r w:rsidRPr="00701F32">
              <w:rPr>
                <w:rFonts w:ascii="Arial" w:hAnsi="Arial" w:cs="Arial"/>
                <w:color w:val="000000"/>
                <w:sz w:val="18"/>
                <w:szCs w:val="18"/>
              </w:rPr>
              <w:t>Otras SGR</w:t>
            </w:r>
          </w:p>
        </w:tc>
        <w:tc>
          <w:tcPr>
            <w:tcW w:w="1522" w:type="dxa"/>
            <w:tcBorders>
              <w:top w:val="nil"/>
              <w:left w:val="nil"/>
              <w:bottom w:val="single" w:sz="4" w:space="0" w:color="auto"/>
              <w:right w:val="single" w:sz="4" w:space="0" w:color="auto"/>
            </w:tcBorders>
            <w:shd w:val="clear" w:color="auto" w:fill="auto"/>
            <w:noWrap/>
            <w:vAlign w:val="center"/>
            <w:hideMark/>
          </w:tcPr>
          <w:p w14:paraId="12B44BFD"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42 </w:t>
            </w:r>
          </w:p>
        </w:tc>
        <w:tc>
          <w:tcPr>
            <w:tcW w:w="1560" w:type="dxa"/>
            <w:tcBorders>
              <w:top w:val="nil"/>
              <w:left w:val="nil"/>
              <w:bottom w:val="single" w:sz="4" w:space="0" w:color="auto"/>
              <w:right w:val="single" w:sz="4" w:space="0" w:color="auto"/>
            </w:tcBorders>
            <w:shd w:val="clear" w:color="auto" w:fill="auto"/>
            <w:noWrap/>
            <w:vAlign w:val="center"/>
            <w:hideMark/>
          </w:tcPr>
          <w:p w14:paraId="29D3D7E4"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3F0E1B66"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1B3DDC2B"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-14 </w:t>
            </w:r>
          </w:p>
        </w:tc>
        <w:tc>
          <w:tcPr>
            <w:tcW w:w="1843" w:type="dxa"/>
            <w:tcBorders>
              <w:top w:val="nil"/>
              <w:left w:val="nil"/>
              <w:bottom w:val="single" w:sz="4" w:space="0" w:color="auto"/>
              <w:right w:val="single" w:sz="4" w:space="0" w:color="auto"/>
            </w:tcBorders>
            <w:shd w:val="clear" w:color="auto" w:fill="auto"/>
            <w:noWrap/>
            <w:vAlign w:val="center"/>
            <w:hideMark/>
          </w:tcPr>
          <w:p w14:paraId="2F34155E" w14:textId="77777777" w:rsidR="009976D2" w:rsidRPr="00701F32" w:rsidRDefault="009976D2" w:rsidP="00AD40A3">
            <w:pPr>
              <w:jc w:val="right"/>
              <w:rPr>
                <w:rFonts w:ascii="Arial" w:hAnsi="Arial" w:cs="Arial"/>
                <w:color w:val="000000"/>
                <w:sz w:val="18"/>
                <w:szCs w:val="18"/>
              </w:rPr>
            </w:pPr>
            <w:r w:rsidRPr="00701F32">
              <w:rPr>
                <w:rFonts w:ascii="Arial" w:hAnsi="Arial" w:cs="Arial"/>
                <w:color w:val="000000"/>
                <w:sz w:val="18"/>
                <w:szCs w:val="18"/>
              </w:rPr>
              <w:t xml:space="preserve">                            28 </w:t>
            </w:r>
          </w:p>
        </w:tc>
      </w:tr>
      <w:tr w:rsidR="009976D2" w:rsidRPr="00701F32" w14:paraId="08FBEDD8" w14:textId="77777777" w:rsidTr="00AD40A3">
        <w:trPr>
          <w:trHeight w:val="235"/>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2AA0246" w14:textId="77777777" w:rsidR="009976D2" w:rsidRPr="00701F32" w:rsidRDefault="009976D2" w:rsidP="00AD40A3">
            <w:pPr>
              <w:jc w:val="both"/>
              <w:rPr>
                <w:rFonts w:ascii="Arial" w:hAnsi="Arial" w:cs="Arial"/>
                <w:b/>
                <w:bCs/>
                <w:color w:val="000000"/>
                <w:sz w:val="18"/>
                <w:szCs w:val="18"/>
              </w:rPr>
            </w:pPr>
            <w:r w:rsidRPr="00701F32">
              <w:rPr>
                <w:rFonts w:ascii="Arial" w:hAnsi="Arial" w:cs="Arial"/>
                <w:b/>
                <w:bCs/>
                <w:color w:val="000000"/>
                <w:sz w:val="18"/>
                <w:szCs w:val="18"/>
              </w:rPr>
              <w:t>Total</w:t>
            </w:r>
          </w:p>
        </w:tc>
        <w:tc>
          <w:tcPr>
            <w:tcW w:w="1522" w:type="dxa"/>
            <w:tcBorders>
              <w:top w:val="nil"/>
              <w:left w:val="nil"/>
              <w:bottom w:val="single" w:sz="4" w:space="0" w:color="auto"/>
              <w:right w:val="single" w:sz="4" w:space="0" w:color="auto"/>
            </w:tcBorders>
            <w:shd w:val="clear" w:color="auto" w:fill="auto"/>
            <w:noWrap/>
            <w:vAlign w:val="center"/>
            <w:hideMark/>
          </w:tcPr>
          <w:p w14:paraId="6F25F4CB"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73</w:t>
            </w:r>
            <w:r w:rsidR="00384693" w:rsidRPr="00701F32">
              <w:rPr>
                <w:rFonts w:ascii="Arial" w:hAnsi="Arial" w:cs="Arial"/>
                <w:b/>
                <w:bCs/>
                <w:color w:val="000000"/>
                <w:sz w:val="18"/>
                <w:szCs w:val="18"/>
              </w:rPr>
              <w:t>5</w:t>
            </w:r>
            <w:r w:rsidRPr="00701F32">
              <w:rPr>
                <w:rFonts w:ascii="Arial" w:hAnsi="Arial" w:cs="Arial"/>
                <w:b/>
                <w:bCs/>
                <w:color w:val="000000"/>
                <w:sz w:val="18"/>
                <w:szCs w:val="18"/>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E2D06E2"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14:paraId="406DDEBF"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2072CA3" w14:textId="77777777" w:rsidR="009976D2" w:rsidRPr="00701F32" w:rsidRDefault="009976D2" w:rsidP="00AD40A3">
            <w:pPr>
              <w:jc w:val="right"/>
              <w:rPr>
                <w:rFonts w:ascii="Arial" w:hAnsi="Arial" w:cs="Arial"/>
                <w:b/>
                <w:bCs/>
                <w:color w:val="000000"/>
                <w:sz w:val="18"/>
                <w:szCs w:val="18"/>
              </w:rPr>
            </w:pPr>
            <w:r w:rsidRPr="00701F32">
              <w:rPr>
                <w:rFonts w:ascii="Arial" w:hAnsi="Arial" w:cs="Arial"/>
                <w:b/>
                <w:bCs/>
                <w:color w:val="000000"/>
                <w:sz w:val="18"/>
                <w:szCs w:val="18"/>
              </w:rPr>
              <w:t>7.184</w:t>
            </w:r>
          </w:p>
        </w:tc>
        <w:tc>
          <w:tcPr>
            <w:tcW w:w="1843" w:type="dxa"/>
            <w:tcBorders>
              <w:top w:val="nil"/>
              <w:left w:val="nil"/>
              <w:bottom w:val="single" w:sz="4" w:space="0" w:color="auto"/>
              <w:right w:val="single" w:sz="4" w:space="0" w:color="auto"/>
            </w:tcBorders>
            <w:shd w:val="clear" w:color="auto" w:fill="auto"/>
            <w:noWrap/>
            <w:vAlign w:val="center"/>
            <w:hideMark/>
          </w:tcPr>
          <w:p w14:paraId="78484E97" w14:textId="77777777" w:rsidR="009976D2" w:rsidRPr="00701F32" w:rsidRDefault="009976D2">
            <w:pPr>
              <w:jc w:val="right"/>
              <w:rPr>
                <w:rFonts w:ascii="Arial" w:hAnsi="Arial" w:cs="Arial"/>
                <w:b/>
                <w:bCs/>
                <w:color w:val="000000"/>
                <w:sz w:val="18"/>
                <w:szCs w:val="18"/>
              </w:rPr>
            </w:pPr>
            <w:r w:rsidRPr="00701F32">
              <w:rPr>
                <w:rFonts w:ascii="Arial" w:hAnsi="Arial" w:cs="Arial"/>
                <w:b/>
                <w:bCs/>
                <w:color w:val="000000"/>
                <w:sz w:val="18"/>
                <w:szCs w:val="18"/>
              </w:rPr>
              <w:t xml:space="preserve">                       7</w:t>
            </w:r>
            <w:r w:rsidR="00223B86" w:rsidRPr="00701F32">
              <w:rPr>
                <w:rFonts w:ascii="Arial" w:hAnsi="Arial" w:cs="Arial"/>
                <w:b/>
                <w:bCs/>
                <w:color w:val="000000"/>
                <w:sz w:val="18"/>
                <w:szCs w:val="18"/>
              </w:rPr>
              <w:t>.</w:t>
            </w:r>
            <w:r w:rsidRPr="00701F32">
              <w:rPr>
                <w:rFonts w:ascii="Arial" w:hAnsi="Arial" w:cs="Arial"/>
                <w:b/>
                <w:bCs/>
                <w:color w:val="000000"/>
                <w:sz w:val="18"/>
                <w:szCs w:val="18"/>
              </w:rPr>
              <w:t>91</w:t>
            </w:r>
            <w:r w:rsidR="00ED7845" w:rsidRPr="00701F32">
              <w:rPr>
                <w:rFonts w:ascii="Arial" w:hAnsi="Arial" w:cs="Arial"/>
                <w:b/>
                <w:bCs/>
                <w:color w:val="000000"/>
                <w:sz w:val="18"/>
                <w:szCs w:val="18"/>
              </w:rPr>
              <w:t>9</w:t>
            </w:r>
            <w:r w:rsidRPr="00701F32">
              <w:rPr>
                <w:rFonts w:ascii="Arial" w:hAnsi="Arial" w:cs="Arial"/>
                <w:b/>
                <w:bCs/>
                <w:color w:val="000000"/>
                <w:sz w:val="18"/>
                <w:szCs w:val="18"/>
              </w:rPr>
              <w:t xml:space="preserve"> </w:t>
            </w:r>
          </w:p>
        </w:tc>
      </w:tr>
    </w:tbl>
    <w:p w14:paraId="43E03C07" w14:textId="77777777" w:rsidR="00E07294" w:rsidRPr="00701F32" w:rsidRDefault="00E07294" w:rsidP="00E07294">
      <w:pPr>
        <w:widowControl w:val="0"/>
        <w:autoSpaceDE w:val="0"/>
        <w:autoSpaceDN w:val="0"/>
        <w:adjustRightInd w:val="0"/>
        <w:jc w:val="both"/>
        <w:rPr>
          <w:rFonts w:ascii="Arial" w:hAnsi="Arial" w:cs="Arial"/>
          <w:b/>
          <w:noProof/>
          <w:sz w:val="20"/>
        </w:rPr>
      </w:pPr>
    </w:p>
    <w:p w14:paraId="0C6BBA1A" w14:textId="51F4DB01" w:rsidR="00E07294" w:rsidRPr="00701F32" w:rsidRDefault="00AF3A00" w:rsidP="00E07294">
      <w:pPr>
        <w:autoSpaceDE w:val="0"/>
        <w:autoSpaceDN w:val="0"/>
        <w:adjustRightInd w:val="0"/>
        <w:jc w:val="both"/>
        <w:rPr>
          <w:rFonts w:ascii="Arial" w:hAnsi="Arial" w:cs="Arial"/>
          <w:b/>
          <w:bCs/>
          <w:color w:val="000000"/>
          <w:sz w:val="20"/>
        </w:rPr>
      </w:pPr>
      <w:r w:rsidRPr="00701F32">
        <w:rPr>
          <w:rFonts w:ascii="Arial" w:hAnsi="Arial" w:cs="Arial"/>
          <w:b/>
          <w:bCs/>
          <w:color w:val="000000"/>
          <w:sz w:val="20"/>
        </w:rPr>
        <w:t>17</w:t>
      </w:r>
      <w:r w:rsidR="00E07294" w:rsidRPr="00701F32">
        <w:rPr>
          <w:rFonts w:ascii="Arial" w:hAnsi="Arial" w:cs="Arial"/>
          <w:b/>
          <w:bCs/>
          <w:color w:val="000000"/>
          <w:sz w:val="20"/>
        </w:rPr>
        <w:t>.3  Préstamos y otras Financiaciones</w:t>
      </w:r>
    </w:p>
    <w:p w14:paraId="1BCF3DF5" w14:textId="77777777" w:rsidR="00E07294" w:rsidRPr="00701F32" w:rsidRDefault="00E07294" w:rsidP="00E07294">
      <w:pPr>
        <w:pStyle w:val="Textodebloque"/>
        <w:widowControl w:val="0"/>
        <w:tabs>
          <w:tab w:val="left" w:pos="9356"/>
        </w:tabs>
        <w:spacing w:after="240"/>
        <w:ind w:left="0" w:right="4"/>
        <w:contextualSpacing/>
        <w:jc w:val="both"/>
        <w:rPr>
          <w:rFonts w:ascii="Arial" w:eastAsia="MS Mincho" w:hAnsi="Arial" w:cs="Arial"/>
          <w:b/>
          <w:bCs/>
          <w:iCs/>
          <w:color w:val="000000"/>
          <w:kern w:val="28"/>
          <w:sz w:val="20"/>
        </w:rPr>
      </w:pPr>
    </w:p>
    <w:p w14:paraId="7888908E" w14:textId="3C940925"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 xml:space="preserve">La reglamentación establecida por el B.C.R.A sobre clasificación de deuda están destinadas a establecer pautas claras para identificar y clasificar la calidad de los activos, como también evaluar el riesgo real o potencial de pérdidas sobre el capital o los intereses, para determinar (tomando en cuenta las garantías), si las previsiones afectadas a tales contingencias son adecuadas. La Entidad debe clasificar su cartera de préstamos en dos categorías diferentes: (i) préstamos para el consumo o la vivienda, y (ii) préstamos comerciales. </w:t>
      </w:r>
      <w:bookmarkStart w:id="6" w:name="OLE_LINK54"/>
      <w:bookmarkStart w:id="7" w:name="OLE_LINK55"/>
      <w:bookmarkStart w:id="8" w:name="OLE_LINK56"/>
      <w:bookmarkStart w:id="9" w:name="OLE_LINK57"/>
      <w:r w:rsidRPr="00701F32">
        <w:rPr>
          <w:rFonts w:ascii="Arial" w:hAnsi="Arial" w:cs="Arial"/>
          <w:color w:val="000000"/>
          <w:sz w:val="20"/>
        </w:rPr>
        <w:t xml:space="preserve">Los préstamos para el consumo o la vivienda incluyen préstamos para la vivienda, préstamos para el consumo (incluyendo financiamientos a través de tarjetas de crédito), préstamos de hasta </w:t>
      </w:r>
      <w:r w:rsidR="00E71E06" w:rsidRPr="00701F32">
        <w:rPr>
          <w:rFonts w:ascii="Arial" w:hAnsi="Arial" w:cs="Arial"/>
          <w:color w:val="000000"/>
          <w:sz w:val="20"/>
        </w:rPr>
        <w:t>5</w:t>
      </w:r>
      <w:r w:rsidRPr="00701F32">
        <w:rPr>
          <w:rFonts w:ascii="Arial" w:hAnsi="Arial" w:cs="Arial"/>
          <w:color w:val="000000"/>
          <w:sz w:val="20"/>
        </w:rPr>
        <w:t>.</w:t>
      </w:r>
      <w:r w:rsidR="00E71E06" w:rsidRPr="00701F32">
        <w:rPr>
          <w:rFonts w:ascii="Arial" w:hAnsi="Arial" w:cs="Arial"/>
          <w:color w:val="000000"/>
          <w:sz w:val="20"/>
        </w:rPr>
        <w:t>0</w:t>
      </w:r>
      <w:r w:rsidRPr="00701F32">
        <w:rPr>
          <w:rFonts w:ascii="Arial" w:hAnsi="Arial" w:cs="Arial"/>
          <w:color w:val="000000"/>
          <w:sz w:val="20"/>
        </w:rPr>
        <w:t xml:space="preserve">00 a Instituciones de Microcrédito y microemprendedores, y otros tipos de préstamos comerciales de hasta </w:t>
      </w:r>
      <w:r w:rsidR="00E71E06" w:rsidRPr="00701F32">
        <w:rPr>
          <w:rFonts w:ascii="Arial" w:hAnsi="Arial" w:cs="Arial"/>
          <w:color w:val="000000"/>
          <w:sz w:val="20"/>
        </w:rPr>
        <w:t xml:space="preserve">5.000 </w:t>
      </w:r>
      <w:r w:rsidRPr="00701F32">
        <w:rPr>
          <w:rFonts w:ascii="Arial" w:hAnsi="Arial" w:cs="Arial"/>
          <w:color w:val="000000"/>
          <w:sz w:val="20"/>
        </w:rPr>
        <w:t xml:space="preserve">con o sin garantías. Todos los demás préstamos son considerados préstamos comerciales. Los préstamos para el consumo o la vivienda superiores a </w:t>
      </w:r>
      <w:r w:rsidR="00E71E06" w:rsidRPr="00701F32">
        <w:rPr>
          <w:rFonts w:ascii="Arial" w:hAnsi="Arial" w:cs="Arial"/>
          <w:color w:val="000000"/>
          <w:sz w:val="20"/>
        </w:rPr>
        <w:t xml:space="preserve">5.000 </w:t>
      </w:r>
      <w:r w:rsidRPr="00701F32">
        <w:rPr>
          <w:rFonts w:ascii="Arial" w:hAnsi="Arial" w:cs="Arial"/>
          <w:color w:val="000000"/>
          <w:sz w:val="20"/>
        </w:rPr>
        <w:t xml:space="preserve">cuyo repago se encuentre vinculado a la evolución de su actividad productiva o comercial, son clasificados como préstamos comerciales. </w:t>
      </w:r>
    </w:p>
    <w:p w14:paraId="2A1E8C67"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p>
    <w:p w14:paraId="70FD05C9" w14:textId="162FAD48"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 xml:space="preserve">A opción de la Entidad, las financiaciones de naturaleza comercial de hasta </w:t>
      </w:r>
      <w:r w:rsidR="00E71E06" w:rsidRPr="00701F32">
        <w:rPr>
          <w:rFonts w:ascii="Arial" w:hAnsi="Arial" w:cs="Arial"/>
          <w:color w:val="000000"/>
          <w:sz w:val="20"/>
        </w:rPr>
        <w:t>5.000</w:t>
      </w:r>
      <w:r w:rsidRPr="00701F32">
        <w:rPr>
          <w:rFonts w:ascii="Arial" w:hAnsi="Arial" w:cs="Arial"/>
          <w:color w:val="000000"/>
          <w:sz w:val="20"/>
        </w:rPr>
        <w:t>, que cuenten o no con garantías preferidas, pueden agruparse junto con los créditos para consumo o vivienda, en cuyo caso reciben el tratamiento previsto para estos últimos.</w:t>
      </w:r>
      <w:bookmarkEnd w:id="6"/>
      <w:bookmarkEnd w:id="7"/>
      <w:bookmarkEnd w:id="8"/>
      <w:bookmarkEnd w:id="9"/>
      <w:r w:rsidRPr="00701F32">
        <w:rPr>
          <w:rFonts w:ascii="Arial" w:hAnsi="Arial" w:cs="Arial"/>
          <w:color w:val="000000"/>
          <w:sz w:val="20"/>
        </w:rPr>
        <w:t xml:space="preserve"> Si un cliente tiene ambas clases de préstamos (préstamos comerciales y para el consumo o la vivienda), los préstamos para el consumo o vivienda se incorporan a la cartera comercial para determinar bajo qué cartera deben ser clasificados basados en el monto indicado. En estos casos, los préstamos garantizados con garantías preferidas se ponderan al 50% de su valor nominal. </w:t>
      </w:r>
    </w:p>
    <w:p w14:paraId="35D3DCF7"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p>
    <w:p w14:paraId="1BD0CDC5" w14:textId="0F116E85" w:rsidR="00E07294" w:rsidRPr="00701F32" w:rsidRDefault="00E07294" w:rsidP="00E07294">
      <w:pPr>
        <w:pStyle w:val="Textodebloque"/>
        <w:widowControl w:val="0"/>
        <w:spacing w:after="240"/>
        <w:ind w:left="0" w:right="4"/>
        <w:contextualSpacing/>
        <w:jc w:val="both"/>
        <w:rPr>
          <w:rFonts w:ascii="Arial" w:hAnsi="Arial" w:cs="Arial"/>
          <w:i/>
          <w:color w:val="000000"/>
          <w:sz w:val="20"/>
        </w:rPr>
      </w:pPr>
      <w:r w:rsidRPr="00701F32">
        <w:rPr>
          <w:rFonts w:ascii="Arial" w:hAnsi="Arial" w:cs="Arial"/>
          <w:color w:val="000000"/>
          <w:sz w:val="20"/>
        </w:rPr>
        <w:t>Bajo este sistema de clasificación, cada cliente, como también sus deudas pendientes, son incluidos dentro de una de seis sub-categorías. Los criterios de clasificación de deuda aplicados a la cartera de préstamos para el consumo están basados primordialmente en factores objetivos relacionados con el cumplimiento de las obligaciones por parte del cliente o en su situación legal, mientras que el criterio clave para clasificar la cartera de préstamo</w:t>
      </w:r>
      <w:r w:rsidR="005C4329" w:rsidRPr="00701F32">
        <w:rPr>
          <w:rFonts w:ascii="Arial" w:hAnsi="Arial" w:cs="Arial"/>
          <w:color w:val="000000"/>
          <w:sz w:val="20"/>
        </w:rPr>
        <w:t>s</w:t>
      </w:r>
      <w:r w:rsidR="001040CA" w:rsidRPr="00701F32">
        <w:rPr>
          <w:rFonts w:ascii="Arial" w:hAnsi="Arial" w:cs="Arial"/>
          <w:color w:val="000000"/>
          <w:sz w:val="20"/>
        </w:rPr>
        <w:t xml:space="preserve"> de naturaleza</w:t>
      </w:r>
      <w:r w:rsidRPr="00701F32">
        <w:rPr>
          <w:rFonts w:ascii="Arial" w:hAnsi="Arial" w:cs="Arial"/>
          <w:color w:val="000000"/>
          <w:sz w:val="20"/>
        </w:rPr>
        <w:t xml:space="preserve"> comercial lo constituye la capacidad de pago de cada cliente, basado en su flujo de efectivo futuro.</w:t>
      </w:r>
    </w:p>
    <w:p w14:paraId="3472B078" w14:textId="77777777" w:rsidR="00E07294" w:rsidRPr="00701F32" w:rsidRDefault="00E07294" w:rsidP="00E07294">
      <w:pPr>
        <w:pStyle w:val="Textodebloque"/>
        <w:widowControl w:val="0"/>
        <w:spacing w:after="240"/>
        <w:ind w:left="0" w:right="4"/>
        <w:contextualSpacing/>
        <w:jc w:val="both"/>
        <w:rPr>
          <w:rFonts w:ascii="Arial" w:hAnsi="Arial" w:cs="Arial"/>
          <w:i/>
          <w:color w:val="000000"/>
          <w:sz w:val="20"/>
        </w:rPr>
      </w:pPr>
    </w:p>
    <w:p w14:paraId="2EE8C463"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b/>
          <w:color w:val="000000"/>
          <w:sz w:val="20"/>
        </w:rPr>
      </w:pPr>
      <w:r w:rsidRPr="00701F32">
        <w:rPr>
          <w:rFonts w:ascii="Arial" w:hAnsi="Arial" w:cs="Arial"/>
          <w:b/>
          <w:color w:val="000000"/>
          <w:sz w:val="20"/>
        </w:rPr>
        <w:t>Clasificación de préstamos comerciales</w:t>
      </w:r>
    </w:p>
    <w:p w14:paraId="32C2C6CF"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b/>
          <w:color w:val="000000"/>
          <w:sz w:val="20"/>
        </w:rPr>
      </w:pPr>
    </w:p>
    <w:p w14:paraId="7551B98E"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El criterio principal utilizado por la Entidad para evaluar un préstamo perteneciente a la cartera comercial es la capacidad de su prestatario para reembolsarlo, la cual se mide principalmente por el flujo de efectivo futuro de dicho prestatario. De acuerdo con las normas B.C.R.A, los préstamos comerciales son clasificados del siguiente modo:</w:t>
      </w:r>
    </w:p>
    <w:p w14:paraId="5B486BEE" w14:textId="77777777" w:rsidR="00E07294" w:rsidRPr="00701F32" w:rsidRDefault="00E07294" w:rsidP="00E07294">
      <w:pPr>
        <w:pStyle w:val="Textodebloque"/>
        <w:widowControl w:val="0"/>
        <w:tabs>
          <w:tab w:val="left" w:pos="9356"/>
        </w:tabs>
        <w:spacing w:after="240"/>
        <w:ind w:left="0" w:right="4"/>
        <w:contextualSpacing/>
        <w:jc w:val="both"/>
        <w:rPr>
          <w:rFonts w:ascii="Arial" w:hAnsi="Arial" w:cs="Arial"/>
          <w:i/>
          <w:color w:val="000000"/>
          <w:sz w:val="20"/>
        </w:rPr>
      </w:pPr>
    </w:p>
    <w:tbl>
      <w:tblPr>
        <w:tblW w:w="8405" w:type="dxa"/>
        <w:jc w:val="center"/>
        <w:tblLayout w:type="fixed"/>
        <w:tblLook w:val="0000" w:firstRow="0" w:lastRow="0" w:firstColumn="0" w:lastColumn="0" w:noHBand="0" w:noVBand="0"/>
      </w:tblPr>
      <w:tblGrid>
        <w:gridCol w:w="2158"/>
        <w:gridCol w:w="6247"/>
      </w:tblGrid>
      <w:tr w:rsidR="00E07294" w:rsidRPr="00701F32" w14:paraId="090DD1B5" w14:textId="77777777" w:rsidTr="00464C0F">
        <w:trPr>
          <w:tblHeader/>
          <w:jc w:val="center"/>
        </w:trPr>
        <w:tc>
          <w:tcPr>
            <w:tcW w:w="2158" w:type="dxa"/>
            <w:tcBorders>
              <w:bottom w:val="single" w:sz="4" w:space="0" w:color="auto"/>
            </w:tcBorders>
          </w:tcPr>
          <w:p w14:paraId="0461604F" w14:textId="77777777" w:rsidR="00E07294" w:rsidRPr="00701F32" w:rsidRDefault="00E07294" w:rsidP="00464C0F">
            <w:pPr>
              <w:widowControl w:val="0"/>
              <w:contextualSpacing/>
              <w:jc w:val="both"/>
              <w:rPr>
                <w:rFonts w:ascii="Arial" w:hAnsi="Arial" w:cs="Arial"/>
                <w:b/>
                <w:color w:val="000000"/>
                <w:sz w:val="20"/>
              </w:rPr>
            </w:pPr>
            <w:r w:rsidRPr="00701F32">
              <w:rPr>
                <w:rFonts w:ascii="Arial" w:hAnsi="Arial" w:cs="Arial"/>
                <w:b/>
                <w:color w:val="000000"/>
                <w:sz w:val="20"/>
              </w:rPr>
              <w:t>Clasificación</w:t>
            </w:r>
          </w:p>
        </w:tc>
        <w:tc>
          <w:tcPr>
            <w:tcW w:w="6247" w:type="dxa"/>
            <w:tcBorders>
              <w:bottom w:val="single" w:sz="4" w:space="0" w:color="auto"/>
            </w:tcBorders>
          </w:tcPr>
          <w:p w14:paraId="26B857D2" w14:textId="77777777" w:rsidR="00E07294" w:rsidRPr="00701F32" w:rsidRDefault="00E07294" w:rsidP="00464C0F">
            <w:pPr>
              <w:widowControl w:val="0"/>
              <w:contextualSpacing/>
              <w:jc w:val="both"/>
              <w:rPr>
                <w:rFonts w:ascii="Arial" w:hAnsi="Arial" w:cs="Arial"/>
                <w:b/>
                <w:color w:val="000000"/>
                <w:sz w:val="20"/>
              </w:rPr>
            </w:pPr>
            <w:r w:rsidRPr="00701F32">
              <w:rPr>
                <w:rFonts w:ascii="Arial" w:hAnsi="Arial" w:cs="Arial"/>
                <w:b/>
                <w:color w:val="000000"/>
                <w:sz w:val="20"/>
              </w:rPr>
              <w:t>Criterios</w:t>
            </w:r>
          </w:p>
        </w:tc>
      </w:tr>
      <w:tr w:rsidR="00E07294" w:rsidRPr="00701F32" w14:paraId="68A09836" w14:textId="77777777" w:rsidTr="00464C0F">
        <w:trPr>
          <w:jc w:val="center"/>
        </w:trPr>
        <w:tc>
          <w:tcPr>
            <w:tcW w:w="2158" w:type="dxa"/>
            <w:tcBorders>
              <w:top w:val="single" w:sz="4" w:space="0" w:color="auto"/>
            </w:tcBorders>
          </w:tcPr>
          <w:p w14:paraId="7232CBFE" w14:textId="77777777" w:rsidR="00E07294" w:rsidRPr="00701F32" w:rsidRDefault="00E07294" w:rsidP="00464C0F">
            <w:pPr>
              <w:widowControl w:val="0"/>
              <w:contextualSpacing/>
              <w:jc w:val="both"/>
              <w:rPr>
                <w:rFonts w:ascii="Arial" w:hAnsi="Arial" w:cs="Arial"/>
                <w:color w:val="000000"/>
                <w:sz w:val="20"/>
              </w:rPr>
            </w:pPr>
          </w:p>
          <w:p w14:paraId="21C8B4CE"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En situación normal</w:t>
            </w:r>
          </w:p>
        </w:tc>
        <w:tc>
          <w:tcPr>
            <w:tcW w:w="6247" w:type="dxa"/>
            <w:tcBorders>
              <w:top w:val="single" w:sz="4" w:space="0" w:color="auto"/>
            </w:tcBorders>
          </w:tcPr>
          <w:p w14:paraId="2BCCFB1C" w14:textId="77777777" w:rsidR="00E07294" w:rsidRPr="00701F32" w:rsidRDefault="00E07294" w:rsidP="00464C0F">
            <w:pPr>
              <w:widowControl w:val="0"/>
              <w:contextualSpacing/>
              <w:jc w:val="both"/>
              <w:rPr>
                <w:rFonts w:ascii="Arial" w:hAnsi="Arial" w:cs="Arial"/>
                <w:color w:val="000000"/>
                <w:sz w:val="20"/>
              </w:rPr>
            </w:pPr>
          </w:p>
          <w:p w14:paraId="71CA2474"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Deudores respecto de los que no existen dudas respecto de su capacidad para cumplir con sus obligaciones de pago.</w:t>
            </w:r>
          </w:p>
          <w:p w14:paraId="72E57AB0"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779B749E" w14:textId="77777777" w:rsidTr="00464C0F">
        <w:trPr>
          <w:jc w:val="center"/>
        </w:trPr>
        <w:tc>
          <w:tcPr>
            <w:tcW w:w="2158" w:type="dxa"/>
          </w:tcPr>
          <w:p w14:paraId="73FC4D92"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Con seguimiento especial /En observación</w:t>
            </w:r>
          </w:p>
        </w:tc>
        <w:tc>
          <w:tcPr>
            <w:tcW w:w="6247" w:type="dxa"/>
          </w:tcPr>
          <w:p w14:paraId="3138C0D8"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Los deudores cuya mora supera los 90 días, entre otros criterios, aunque son considerados capaces de hacer frente a todas sus obligaciones financieras, son sensibles a los cambios que puedan comprometer su capacidad para honrar deudas en ausencia de medidas correctivas oportunas.</w:t>
            </w:r>
          </w:p>
          <w:p w14:paraId="694ADA09"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67B4ADD4" w14:textId="77777777" w:rsidTr="00464C0F">
        <w:trPr>
          <w:jc w:val="center"/>
        </w:trPr>
        <w:tc>
          <w:tcPr>
            <w:tcW w:w="2158" w:type="dxa"/>
          </w:tcPr>
          <w:p w14:paraId="21D5BA13"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Bajo seguimiento especial / en negociación o con acuerdos de refinanciación.</w:t>
            </w:r>
          </w:p>
        </w:tc>
        <w:tc>
          <w:tcPr>
            <w:tcW w:w="6247" w:type="dxa"/>
          </w:tcPr>
          <w:p w14:paraId="1F503B4D"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sz w:val="20"/>
              </w:rPr>
              <w:t xml:space="preserve">Incluye aquellos clientes que ante la imposibilidad de hacer frente al pago de sus obligaciones en las condiciones pactadas, manifiesten fehacientemente antes de los 60 días contados desde la fecha en que se verificó la mora en el pago de las obligaciones, la intención de refinanciar sus deudas. </w:t>
            </w:r>
            <w:r w:rsidRPr="00701F32">
              <w:rPr>
                <w:rFonts w:ascii="Arial" w:eastAsia="Calibri" w:hAnsi="Arial" w:cs="Arial"/>
                <w:sz w:val="20"/>
              </w:rPr>
              <w:t>De no haberse alcanzado el acuerdo dentro de los 90 días (si estuvieran involucrados dos entidades prestamistas) o 180 días calendarios (si estuvieran involucrados más de dos entidades prestamistas) después de la fecha de incumplimiento de pago, deberá reclasificarse al deudor en la categoría inferior que corresponda, de acuerdo con los indicadores establecidos para cada nivel.</w:t>
            </w:r>
          </w:p>
          <w:p w14:paraId="63FFCEFD" w14:textId="77777777" w:rsidR="00E07294" w:rsidRPr="00701F32" w:rsidRDefault="00E07294" w:rsidP="00464C0F">
            <w:pPr>
              <w:widowControl w:val="0"/>
              <w:contextualSpacing/>
              <w:jc w:val="both"/>
              <w:rPr>
                <w:rFonts w:ascii="Arial" w:hAnsi="Arial" w:cs="Arial"/>
                <w:color w:val="000000"/>
                <w:sz w:val="20"/>
              </w:rPr>
            </w:pPr>
          </w:p>
        </w:tc>
      </w:tr>
      <w:tr w:rsidR="00E07294" w:rsidRPr="00701F32" w14:paraId="7D038B56" w14:textId="77777777" w:rsidTr="00464C0F">
        <w:trPr>
          <w:jc w:val="center"/>
        </w:trPr>
        <w:tc>
          <w:tcPr>
            <w:tcW w:w="2158" w:type="dxa"/>
          </w:tcPr>
          <w:p w14:paraId="197D89C4"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Con problemas</w:t>
            </w:r>
          </w:p>
        </w:tc>
        <w:tc>
          <w:tcPr>
            <w:tcW w:w="6247" w:type="dxa"/>
          </w:tcPr>
          <w:p w14:paraId="001ADF53"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Deudores con dificultades para cumplir con sus obligaciones financieras en forma regular que, de no ser corregidas, pueden dar como resultado pérdidas para el banco o que mantengan convenios de pago resultantes de concordatos judiciales o extrajudiciales homologados (incluyendo los acuerdos preventivos extrajudiciales homologados) a vencer.</w:t>
            </w:r>
          </w:p>
          <w:p w14:paraId="21F632B2"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132302B5" w14:textId="77777777" w:rsidTr="00464C0F">
        <w:trPr>
          <w:jc w:val="center"/>
        </w:trPr>
        <w:tc>
          <w:tcPr>
            <w:tcW w:w="2158" w:type="dxa"/>
          </w:tcPr>
          <w:p w14:paraId="0C056512"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Con alto riesgo de insolvencia</w:t>
            </w:r>
          </w:p>
        </w:tc>
        <w:tc>
          <w:tcPr>
            <w:tcW w:w="6247" w:type="dxa"/>
          </w:tcPr>
          <w:p w14:paraId="46031CB6"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 xml:space="preserve">Deudores con una alta probabilidad de que no cumplan con sus compromisos financieros o hayan solicitado acuerdo preventivo, celebrado un acuerdo preventivo extrajudicial aún no homologado o hayan requerido su quiebra, en tanto no hubiere sido declarada </w:t>
            </w:r>
          </w:p>
          <w:p w14:paraId="00713C4D"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534A8187" w14:textId="77777777" w:rsidTr="00464C0F">
        <w:trPr>
          <w:jc w:val="center"/>
        </w:trPr>
        <w:tc>
          <w:tcPr>
            <w:tcW w:w="2158" w:type="dxa"/>
          </w:tcPr>
          <w:p w14:paraId="412B9E17"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Irrecuperable</w:t>
            </w:r>
          </w:p>
        </w:tc>
        <w:tc>
          <w:tcPr>
            <w:tcW w:w="6247" w:type="dxa"/>
          </w:tcPr>
          <w:p w14:paraId="415CB082"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Préstamos clasificados como incobrables al momento del análisis (aunque podría existir la posibilidad de que tales préstamos se cobraran en el futuro). Se sostiene que el deudor no cumplirá sus obligaciones financ</w:t>
            </w:r>
            <w:r w:rsidR="001A3DB9" w:rsidRPr="00701F32">
              <w:rPr>
                <w:rFonts w:ascii="Arial" w:hAnsi="Arial" w:cs="Arial"/>
                <w:color w:val="000000"/>
                <w:sz w:val="20"/>
              </w:rPr>
              <w:t>ieras con la entidad financiera i</w:t>
            </w:r>
            <w:r w:rsidRPr="00701F32">
              <w:rPr>
                <w:rFonts w:ascii="Arial" w:hAnsi="Arial" w:cs="Arial"/>
                <w:color w:val="000000"/>
                <w:sz w:val="20"/>
              </w:rPr>
              <w:t>ncluye prestamos a deudores insolventes o en quiebra declarada.</w:t>
            </w:r>
          </w:p>
          <w:p w14:paraId="1BEC4CC9"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69592FA8" w14:textId="77777777" w:rsidTr="00464C0F">
        <w:trPr>
          <w:jc w:val="center"/>
        </w:trPr>
        <w:tc>
          <w:tcPr>
            <w:tcW w:w="2158" w:type="dxa"/>
          </w:tcPr>
          <w:p w14:paraId="6C57EEF5"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Irrecuperable por disposición técnica</w:t>
            </w:r>
          </w:p>
        </w:tc>
        <w:tc>
          <w:tcPr>
            <w:tcW w:w="6247" w:type="dxa"/>
          </w:tcPr>
          <w:p w14:paraId="047721D2" w14:textId="77777777" w:rsidR="00E07294" w:rsidRPr="00701F32" w:rsidRDefault="00E07294" w:rsidP="00464C0F">
            <w:pPr>
              <w:pStyle w:val="BodyBullet"/>
              <w:widowControl w:val="0"/>
              <w:jc w:val="both"/>
              <w:rPr>
                <w:rFonts w:ascii="Arial" w:hAnsi="Arial" w:cs="Arial"/>
                <w:color w:val="000000"/>
                <w:lang w:val="es-AR"/>
              </w:rPr>
            </w:pPr>
            <w:r w:rsidRPr="00701F32">
              <w:rPr>
                <w:rFonts w:ascii="Arial" w:hAnsi="Arial" w:cs="Arial"/>
                <w:color w:val="000000"/>
                <w:lang w:val="es-AR"/>
              </w:rPr>
              <w:t>(a) Un deudor que no ha cumplido con sus obligaciones de pago de un préstamo durante más de 180 días calendario según el informe correspondiente suministrado por el</w:t>
            </w:r>
            <w:r w:rsidR="00223B86" w:rsidRPr="00701F32">
              <w:rPr>
                <w:rFonts w:ascii="Arial" w:hAnsi="Arial" w:cs="Arial"/>
                <w:color w:val="000000"/>
                <w:lang w:val="es-AR"/>
              </w:rPr>
              <w:t xml:space="preserve"> </w:t>
            </w:r>
            <w:r w:rsidRPr="00701F32">
              <w:rPr>
                <w:rFonts w:ascii="Arial" w:hAnsi="Arial" w:cs="Arial"/>
                <w:color w:val="000000"/>
                <w:lang w:val="es-AR"/>
              </w:rPr>
              <w:t>B.C.R.A, incluye (1) las entidades financieras liquidadas por el B.C.R.A, (2) entidades residuales creadas como resultado de la privatización de entidades financieras públicas, o en procesos de privatización o disolución, (3) entidades financieras cuya licencia ha sido revocada por el B.C.R.A y que se encuentran sujetas a liquidación judicial o procedimientos de quiebra, y (4) fideicomisos en los que SEDESA sea beneficiario; o (b) determinada clase de prestatario extranjero (incluyendo bancos u otras entidades financieras que no están sujetos a la supervisión del B.C.R.A o autoridad similar del país en el cual están constituidos) que no cuentan con la calificación internacional de “</w:t>
            </w:r>
            <w:r w:rsidRPr="00701F32">
              <w:rPr>
                <w:rFonts w:ascii="Arial" w:hAnsi="Arial" w:cs="Arial"/>
                <w:i/>
                <w:color w:val="000000"/>
                <w:lang w:val="es-AR"/>
              </w:rPr>
              <w:t>investment grade</w:t>
            </w:r>
            <w:r w:rsidRPr="00701F32">
              <w:rPr>
                <w:rFonts w:ascii="Arial" w:hAnsi="Arial" w:cs="Arial"/>
                <w:color w:val="000000"/>
                <w:lang w:val="es-AR"/>
              </w:rPr>
              <w:t>” de cualquiera de las agencias calificadoras de riesgo reconocidas por el B.C.R.A</w:t>
            </w:r>
          </w:p>
        </w:tc>
      </w:tr>
    </w:tbl>
    <w:p w14:paraId="1ACC8758" w14:textId="77777777" w:rsidR="005C4329" w:rsidRPr="00701F32" w:rsidRDefault="005C4329" w:rsidP="00E07294">
      <w:pPr>
        <w:pStyle w:val="Textodebloque"/>
        <w:widowControl w:val="0"/>
        <w:tabs>
          <w:tab w:val="left" w:pos="9356"/>
        </w:tabs>
        <w:spacing w:after="240"/>
        <w:ind w:left="0" w:right="6"/>
        <w:contextualSpacing/>
        <w:jc w:val="both"/>
        <w:rPr>
          <w:rFonts w:ascii="Arial" w:hAnsi="Arial" w:cs="Arial"/>
          <w:b/>
          <w:color w:val="000000"/>
          <w:sz w:val="20"/>
        </w:rPr>
      </w:pPr>
    </w:p>
    <w:p w14:paraId="1D862CFB" w14:textId="77777777" w:rsidR="00E07294" w:rsidRPr="00701F32" w:rsidRDefault="00E07294" w:rsidP="00E07294">
      <w:pPr>
        <w:pStyle w:val="Textodebloque"/>
        <w:widowControl w:val="0"/>
        <w:tabs>
          <w:tab w:val="left" w:pos="9356"/>
        </w:tabs>
        <w:spacing w:after="240"/>
        <w:ind w:left="0" w:right="6"/>
        <w:contextualSpacing/>
        <w:jc w:val="both"/>
        <w:rPr>
          <w:rFonts w:ascii="Arial" w:hAnsi="Arial" w:cs="Arial"/>
          <w:b/>
          <w:color w:val="000000"/>
          <w:sz w:val="20"/>
        </w:rPr>
      </w:pPr>
      <w:r w:rsidRPr="00701F32">
        <w:rPr>
          <w:rFonts w:ascii="Arial" w:hAnsi="Arial" w:cs="Arial"/>
          <w:b/>
          <w:color w:val="000000"/>
          <w:sz w:val="20"/>
        </w:rPr>
        <w:t>Clasificación de préstamos para el consumo y la vivienda</w:t>
      </w:r>
    </w:p>
    <w:p w14:paraId="3F7850B5" w14:textId="77777777" w:rsidR="00E07294" w:rsidRPr="00701F32" w:rsidRDefault="00E07294" w:rsidP="00E07294">
      <w:pPr>
        <w:pStyle w:val="Textodebloque"/>
        <w:widowControl w:val="0"/>
        <w:tabs>
          <w:tab w:val="left" w:pos="9356"/>
        </w:tabs>
        <w:spacing w:after="240"/>
        <w:ind w:left="0" w:right="6"/>
        <w:contextualSpacing/>
        <w:jc w:val="both"/>
        <w:rPr>
          <w:rFonts w:ascii="Arial" w:hAnsi="Arial" w:cs="Arial"/>
          <w:b/>
          <w:color w:val="000000"/>
          <w:sz w:val="20"/>
        </w:rPr>
      </w:pPr>
    </w:p>
    <w:p w14:paraId="3DD2D8A9" w14:textId="237B2F75" w:rsidR="00E07294" w:rsidRPr="00701F32" w:rsidRDefault="00E07294" w:rsidP="00E07294">
      <w:pPr>
        <w:pStyle w:val="Textodebloque"/>
        <w:widowControl w:val="0"/>
        <w:tabs>
          <w:tab w:val="left" w:pos="9356"/>
        </w:tabs>
        <w:spacing w:after="240"/>
        <w:ind w:left="0" w:right="6"/>
        <w:contextualSpacing/>
        <w:jc w:val="both"/>
        <w:rPr>
          <w:rFonts w:ascii="Arial" w:hAnsi="Arial" w:cs="Arial"/>
          <w:i/>
          <w:color w:val="000000"/>
          <w:sz w:val="20"/>
        </w:rPr>
      </w:pPr>
      <w:r w:rsidRPr="00701F32">
        <w:rPr>
          <w:rFonts w:ascii="Arial" w:hAnsi="Arial" w:cs="Arial"/>
          <w:color w:val="000000"/>
          <w:sz w:val="20"/>
        </w:rPr>
        <w:t>El principal criterio utilizado en la evaluación de los préstamos en la cartera de préstamos de consumo y la vivienda es el plazo de los incumplimientos. Según las Normas del B.C.R.A, los deudores son clasificados del siguiente modo:</w:t>
      </w:r>
    </w:p>
    <w:tbl>
      <w:tblPr>
        <w:tblW w:w="8405" w:type="dxa"/>
        <w:jc w:val="center"/>
        <w:tblLayout w:type="fixed"/>
        <w:tblLook w:val="0000" w:firstRow="0" w:lastRow="0" w:firstColumn="0" w:lastColumn="0" w:noHBand="0" w:noVBand="0"/>
      </w:tblPr>
      <w:tblGrid>
        <w:gridCol w:w="2158"/>
        <w:gridCol w:w="25"/>
        <w:gridCol w:w="6189"/>
        <w:gridCol w:w="33"/>
      </w:tblGrid>
      <w:tr w:rsidR="00E07294" w:rsidRPr="00701F32" w14:paraId="41772669" w14:textId="77777777" w:rsidTr="00464C0F">
        <w:trPr>
          <w:gridAfter w:val="1"/>
          <w:wAfter w:w="33" w:type="dxa"/>
          <w:tblHeader/>
          <w:jc w:val="center"/>
        </w:trPr>
        <w:tc>
          <w:tcPr>
            <w:tcW w:w="2183" w:type="dxa"/>
            <w:gridSpan w:val="2"/>
            <w:tcBorders>
              <w:bottom w:val="single" w:sz="4" w:space="0" w:color="auto"/>
            </w:tcBorders>
          </w:tcPr>
          <w:p w14:paraId="5CCEADD9" w14:textId="77777777" w:rsidR="00E07294" w:rsidRPr="00701F32" w:rsidRDefault="00E07294" w:rsidP="00464C0F">
            <w:pPr>
              <w:widowControl w:val="0"/>
              <w:contextualSpacing/>
              <w:jc w:val="both"/>
              <w:rPr>
                <w:rFonts w:ascii="Arial" w:hAnsi="Arial" w:cs="Arial"/>
                <w:b/>
                <w:color w:val="000000"/>
                <w:sz w:val="20"/>
              </w:rPr>
            </w:pPr>
            <w:r w:rsidRPr="00701F32">
              <w:rPr>
                <w:rFonts w:ascii="Arial" w:hAnsi="Arial" w:cs="Arial"/>
                <w:b/>
                <w:color w:val="000000"/>
                <w:sz w:val="20"/>
              </w:rPr>
              <w:t>Clasificación</w:t>
            </w:r>
          </w:p>
        </w:tc>
        <w:tc>
          <w:tcPr>
            <w:tcW w:w="6189" w:type="dxa"/>
            <w:tcBorders>
              <w:bottom w:val="single" w:sz="4" w:space="0" w:color="auto"/>
            </w:tcBorders>
          </w:tcPr>
          <w:p w14:paraId="7FF05198" w14:textId="77777777" w:rsidR="00E07294" w:rsidRPr="00701F32" w:rsidRDefault="00E07294" w:rsidP="00464C0F">
            <w:pPr>
              <w:widowControl w:val="0"/>
              <w:contextualSpacing/>
              <w:jc w:val="both"/>
              <w:rPr>
                <w:rFonts w:ascii="Arial" w:hAnsi="Arial" w:cs="Arial"/>
                <w:b/>
                <w:color w:val="000000"/>
                <w:sz w:val="20"/>
              </w:rPr>
            </w:pPr>
            <w:r w:rsidRPr="00701F32">
              <w:rPr>
                <w:rFonts w:ascii="Arial" w:hAnsi="Arial" w:cs="Arial"/>
                <w:b/>
                <w:color w:val="000000"/>
                <w:sz w:val="20"/>
              </w:rPr>
              <w:t>Criterios</w:t>
            </w:r>
          </w:p>
        </w:tc>
      </w:tr>
      <w:tr w:rsidR="00E07294" w:rsidRPr="00701F32" w14:paraId="4F0289E9" w14:textId="77777777" w:rsidTr="00464C0F">
        <w:trPr>
          <w:gridAfter w:val="1"/>
          <w:wAfter w:w="33" w:type="dxa"/>
          <w:jc w:val="center"/>
        </w:trPr>
        <w:tc>
          <w:tcPr>
            <w:tcW w:w="2183" w:type="dxa"/>
            <w:gridSpan w:val="2"/>
            <w:tcBorders>
              <w:top w:val="single" w:sz="4" w:space="0" w:color="auto"/>
            </w:tcBorders>
          </w:tcPr>
          <w:p w14:paraId="13095D18" w14:textId="77777777" w:rsidR="00E07294" w:rsidRPr="00701F32" w:rsidRDefault="00E07294" w:rsidP="00464C0F">
            <w:pPr>
              <w:widowControl w:val="0"/>
              <w:contextualSpacing/>
              <w:jc w:val="both"/>
              <w:rPr>
                <w:rFonts w:ascii="Arial" w:hAnsi="Arial" w:cs="Arial"/>
                <w:color w:val="000000"/>
                <w:sz w:val="20"/>
              </w:rPr>
            </w:pPr>
          </w:p>
          <w:p w14:paraId="6945181D"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Situación normal</w:t>
            </w:r>
          </w:p>
        </w:tc>
        <w:tc>
          <w:tcPr>
            <w:tcW w:w="6189" w:type="dxa"/>
            <w:tcBorders>
              <w:top w:val="single" w:sz="4" w:space="0" w:color="auto"/>
            </w:tcBorders>
          </w:tcPr>
          <w:p w14:paraId="1ABB0BCB" w14:textId="77777777" w:rsidR="00E07294" w:rsidRPr="00701F32" w:rsidRDefault="00E07294" w:rsidP="00464C0F">
            <w:pPr>
              <w:widowControl w:val="0"/>
              <w:contextualSpacing/>
              <w:jc w:val="both"/>
              <w:rPr>
                <w:rFonts w:ascii="Arial" w:hAnsi="Arial" w:cs="Arial"/>
                <w:color w:val="000000"/>
                <w:sz w:val="20"/>
              </w:rPr>
            </w:pPr>
          </w:p>
          <w:p w14:paraId="14C03CDF"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cuando existe un cumplimiento puntual o mora menor a  31 días y, en caso de adelantos en cuentas corrientes, mora menor a 61 días.</w:t>
            </w:r>
          </w:p>
          <w:p w14:paraId="2DEBED7C"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0EE84AFD" w14:textId="77777777" w:rsidTr="00464C0F">
        <w:trPr>
          <w:gridAfter w:val="1"/>
          <w:wAfter w:w="33" w:type="dxa"/>
          <w:jc w:val="center"/>
        </w:trPr>
        <w:tc>
          <w:tcPr>
            <w:tcW w:w="2183" w:type="dxa"/>
            <w:gridSpan w:val="2"/>
          </w:tcPr>
          <w:p w14:paraId="2F717DA5"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Riesgo Bajo</w:t>
            </w:r>
          </w:p>
        </w:tc>
        <w:tc>
          <w:tcPr>
            <w:tcW w:w="6189" w:type="dxa"/>
          </w:tcPr>
          <w:p w14:paraId="2FEE0027" w14:textId="77777777" w:rsidR="00E07294" w:rsidRPr="00701F32" w:rsidRDefault="00E07294" w:rsidP="00464C0F">
            <w:pPr>
              <w:widowControl w:val="0"/>
              <w:contextualSpacing/>
              <w:rPr>
                <w:rFonts w:ascii="Arial" w:hAnsi="Arial" w:cs="Arial"/>
                <w:color w:val="000000"/>
                <w:sz w:val="20"/>
              </w:rPr>
            </w:pPr>
            <w:r w:rsidRPr="00701F32">
              <w:rPr>
                <w:rFonts w:ascii="Arial" w:eastAsia="Calibri" w:hAnsi="Arial" w:cs="Arial"/>
                <w:sz w:val="20"/>
              </w:rPr>
              <w:t xml:space="preserve">Préstamos de clientes que registran incumplimientos ocasionales en la atención de sus obligaciones, con atrasos de más de 31 hasta 90 días. </w:t>
            </w:r>
          </w:p>
          <w:p w14:paraId="5888B082" w14:textId="77777777" w:rsidR="00E07294" w:rsidRPr="00701F32" w:rsidRDefault="00E07294" w:rsidP="00464C0F">
            <w:pPr>
              <w:widowControl w:val="0"/>
              <w:contextualSpacing/>
              <w:jc w:val="both"/>
              <w:rPr>
                <w:rFonts w:ascii="Arial" w:hAnsi="Arial" w:cs="Arial"/>
                <w:color w:val="000000"/>
                <w:sz w:val="20"/>
              </w:rPr>
            </w:pPr>
          </w:p>
        </w:tc>
      </w:tr>
      <w:tr w:rsidR="00E07294" w:rsidRPr="00701F32" w14:paraId="0E010A32" w14:textId="77777777" w:rsidTr="00464C0F">
        <w:trPr>
          <w:gridAfter w:val="1"/>
          <w:wAfter w:w="33" w:type="dxa"/>
          <w:jc w:val="center"/>
        </w:trPr>
        <w:tc>
          <w:tcPr>
            <w:tcW w:w="2183" w:type="dxa"/>
            <w:gridSpan w:val="2"/>
          </w:tcPr>
          <w:p w14:paraId="009184A3"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Riesgo Medio</w:t>
            </w:r>
          </w:p>
        </w:tc>
        <w:tc>
          <w:tcPr>
            <w:tcW w:w="6189" w:type="dxa"/>
          </w:tcPr>
          <w:p w14:paraId="699A0195"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Préstamos en los cuales sus obligaciones de pago están en mora por un período de más de 90 días pero menos de 180 días.</w:t>
            </w:r>
          </w:p>
          <w:p w14:paraId="543B9CF3"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55192D99" w14:textId="77777777" w:rsidTr="00464C0F">
        <w:trPr>
          <w:gridAfter w:val="1"/>
          <w:wAfter w:w="33" w:type="dxa"/>
          <w:jc w:val="center"/>
        </w:trPr>
        <w:tc>
          <w:tcPr>
            <w:tcW w:w="2183" w:type="dxa"/>
            <w:gridSpan w:val="2"/>
          </w:tcPr>
          <w:p w14:paraId="58F0D390"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Riesgo Alto</w:t>
            </w:r>
          </w:p>
        </w:tc>
        <w:tc>
          <w:tcPr>
            <w:tcW w:w="6189" w:type="dxa"/>
          </w:tcPr>
          <w:p w14:paraId="29F12C62"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Préstamos en cuyo respecto se ha entablado una acción judicial de cobro, o préstamos que tengan obligaciones de pago en mora durante más de 180 días pero menos de 365 días.</w:t>
            </w:r>
          </w:p>
          <w:p w14:paraId="244062C0"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41F178F0" w14:textId="77777777" w:rsidTr="00464C0F">
        <w:trPr>
          <w:jc w:val="center"/>
        </w:trPr>
        <w:tc>
          <w:tcPr>
            <w:tcW w:w="2158" w:type="dxa"/>
          </w:tcPr>
          <w:p w14:paraId="41F73C38" w14:textId="77777777" w:rsidR="00E07294" w:rsidRPr="00701F32" w:rsidRDefault="00E07294" w:rsidP="00464C0F">
            <w:pPr>
              <w:widowControl w:val="0"/>
              <w:contextualSpacing/>
              <w:rPr>
                <w:rFonts w:ascii="Arial" w:hAnsi="Arial" w:cs="Arial"/>
                <w:color w:val="000000"/>
                <w:sz w:val="20"/>
              </w:rPr>
            </w:pPr>
            <w:r w:rsidRPr="00701F32">
              <w:rPr>
                <w:rFonts w:ascii="Arial" w:hAnsi="Arial" w:cs="Arial"/>
                <w:color w:val="000000"/>
                <w:sz w:val="20"/>
              </w:rPr>
              <w:t>Irrecuperable</w:t>
            </w:r>
          </w:p>
        </w:tc>
        <w:tc>
          <w:tcPr>
            <w:tcW w:w="6247" w:type="dxa"/>
            <w:gridSpan w:val="3"/>
          </w:tcPr>
          <w:p w14:paraId="44CE10ED"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Préstamos a clientes insolventes, en gestión judicial o quiebra, con nula o escasa posibilidad de recuperación o con mora superior a 365 dias.</w:t>
            </w:r>
          </w:p>
          <w:p w14:paraId="306C331C" w14:textId="77777777" w:rsidR="00E07294" w:rsidRPr="00701F32" w:rsidRDefault="00E07294" w:rsidP="00464C0F">
            <w:pPr>
              <w:widowControl w:val="0"/>
              <w:contextualSpacing/>
              <w:jc w:val="both"/>
              <w:outlineLvl w:val="2"/>
              <w:rPr>
                <w:rFonts w:ascii="Arial" w:hAnsi="Arial" w:cs="Arial"/>
                <w:color w:val="000000"/>
                <w:sz w:val="20"/>
              </w:rPr>
            </w:pPr>
          </w:p>
        </w:tc>
      </w:tr>
      <w:tr w:rsidR="00E07294" w:rsidRPr="00701F32" w14:paraId="4FEEC4BC" w14:textId="77777777" w:rsidTr="00464C0F">
        <w:trPr>
          <w:gridAfter w:val="1"/>
          <w:wAfter w:w="33" w:type="dxa"/>
          <w:jc w:val="center"/>
        </w:trPr>
        <w:tc>
          <w:tcPr>
            <w:tcW w:w="2183" w:type="dxa"/>
            <w:gridSpan w:val="2"/>
          </w:tcPr>
          <w:p w14:paraId="67B958C4"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 xml:space="preserve">Irrecuperable </w:t>
            </w:r>
          </w:p>
          <w:p w14:paraId="4C8F3F47"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 xml:space="preserve">por disposición técnica </w:t>
            </w:r>
          </w:p>
        </w:tc>
        <w:tc>
          <w:tcPr>
            <w:tcW w:w="6189" w:type="dxa"/>
          </w:tcPr>
          <w:p w14:paraId="2E7B6C19"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 xml:space="preserve">Se aplican los mismos criterios que para los préstamos comerciales en estado de técnicamente irrecuperables según los Normas B.C.R.A </w:t>
            </w:r>
          </w:p>
        </w:tc>
      </w:tr>
    </w:tbl>
    <w:p w14:paraId="58369DC9" w14:textId="77777777" w:rsidR="00F9498A" w:rsidRPr="00701F32" w:rsidRDefault="00F9498A" w:rsidP="00E07294">
      <w:pPr>
        <w:pStyle w:val="Textodebloque"/>
        <w:widowControl w:val="0"/>
        <w:spacing w:after="240"/>
        <w:ind w:left="0"/>
        <w:contextualSpacing/>
        <w:jc w:val="both"/>
        <w:rPr>
          <w:rFonts w:ascii="Arial" w:hAnsi="Arial" w:cs="Arial"/>
          <w:i/>
          <w:color w:val="000000"/>
          <w:sz w:val="20"/>
        </w:rPr>
      </w:pPr>
    </w:p>
    <w:p w14:paraId="4250186A" w14:textId="77777777" w:rsidR="00E07294" w:rsidRPr="00701F32" w:rsidRDefault="00E07294" w:rsidP="00E07294">
      <w:pPr>
        <w:pStyle w:val="TitleLItal"/>
        <w:keepNext w:val="0"/>
        <w:widowControl w:val="0"/>
        <w:contextualSpacing/>
        <w:rPr>
          <w:rFonts w:ascii="Arial" w:hAnsi="Arial" w:cs="Arial"/>
          <w:b/>
          <w:i w:val="0"/>
          <w:color w:val="000000"/>
          <w:lang w:val="es-AR"/>
        </w:rPr>
      </w:pPr>
      <w:r w:rsidRPr="00701F32">
        <w:rPr>
          <w:rFonts w:ascii="Arial" w:hAnsi="Arial" w:cs="Arial"/>
          <w:b/>
          <w:i w:val="0"/>
          <w:color w:val="000000"/>
          <w:lang w:val="es-AR"/>
        </w:rPr>
        <w:t>Previsiones mínimas por riesgos de incobrabilidad</w:t>
      </w:r>
    </w:p>
    <w:p w14:paraId="15C55FAB" w14:textId="77777777" w:rsidR="00E07294" w:rsidRPr="00701F32" w:rsidRDefault="00E07294" w:rsidP="00E07294">
      <w:pPr>
        <w:pStyle w:val="Textodebloque"/>
        <w:widowControl w:val="0"/>
        <w:spacing w:after="240"/>
        <w:ind w:left="0" w:right="4"/>
        <w:contextualSpacing/>
        <w:jc w:val="both"/>
        <w:rPr>
          <w:rFonts w:ascii="Arial" w:hAnsi="Arial" w:cs="Arial"/>
          <w:i/>
          <w:color w:val="000000"/>
          <w:sz w:val="20"/>
        </w:rPr>
      </w:pPr>
      <w:r w:rsidRPr="00701F32">
        <w:rPr>
          <w:rFonts w:ascii="Arial" w:hAnsi="Arial" w:cs="Arial"/>
          <w:color w:val="000000"/>
          <w:sz w:val="20"/>
        </w:rPr>
        <w:t>El B.C.R.A ha establecido las siguientes previsiones de crédito mínimas en relación con la categoría de cartera de crédito y existencia de garantías</w:t>
      </w:r>
    </w:p>
    <w:tbl>
      <w:tblPr>
        <w:tblW w:w="8490" w:type="dxa"/>
        <w:jc w:val="center"/>
        <w:tblLayout w:type="fixed"/>
        <w:tblLook w:val="0000" w:firstRow="0" w:lastRow="0" w:firstColumn="0" w:lastColumn="0" w:noHBand="0" w:noVBand="0"/>
      </w:tblPr>
      <w:tblGrid>
        <w:gridCol w:w="5573"/>
        <w:gridCol w:w="1440"/>
        <w:gridCol w:w="1477"/>
      </w:tblGrid>
      <w:tr w:rsidR="00E07294" w:rsidRPr="00701F32" w14:paraId="66818A4E" w14:textId="77777777" w:rsidTr="00464C0F">
        <w:trPr>
          <w:trHeight w:val="70"/>
          <w:jc w:val="center"/>
        </w:trPr>
        <w:tc>
          <w:tcPr>
            <w:tcW w:w="5573" w:type="dxa"/>
            <w:tcBorders>
              <w:top w:val="single" w:sz="4" w:space="0" w:color="auto"/>
            </w:tcBorders>
          </w:tcPr>
          <w:p w14:paraId="09029161" w14:textId="77777777" w:rsidR="00E07294" w:rsidRPr="00701F32" w:rsidRDefault="00E07294" w:rsidP="00464C0F">
            <w:pPr>
              <w:widowControl w:val="0"/>
              <w:contextualSpacing/>
              <w:jc w:val="center"/>
              <w:rPr>
                <w:rFonts w:ascii="Arial" w:hAnsi="Arial" w:cs="Arial"/>
                <w:b/>
                <w:color w:val="000000"/>
                <w:sz w:val="20"/>
              </w:rPr>
            </w:pPr>
            <w:r w:rsidRPr="00701F32">
              <w:rPr>
                <w:rFonts w:ascii="Arial" w:hAnsi="Arial" w:cs="Arial"/>
                <w:b/>
                <w:color w:val="000000"/>
                <w:sz w:val="20"/>
              </w:rPr>
              <w:t>Categoría</w:t>
            </w:r>
          </w:p>
        </w:tc>
        <w:tc>
          <w:tcPr>
            <w:tcW w:w="1440" w:type="dxa"/>
            <w:tcBorders>
              <w:top w:val="single" w:sz="4" w:space="0" w:color="auto"/>
            </w:tcBorders>
          </w:tcPr>
          <w:p w14:paraId="428FE884" w14:textId="77777777" w:rsidR="00E07294" w:rsidRPr="00701F32" w:rsidRDefault="00E07294" w:rsidP="00464C0F">
            <w:pPr>
              <w:widowControl w:val="0"/>
              <w:tabs>
                <w:tab w:val="center" w:pos="1125"/>
              </w:tabs>
              <w:contextualSpacing/>
              <w:jc w:val="center"/>
              <w:rPr>
                <w:rFonts w:ascii="Arial" w:hAnsi="Arial" w:cs="Arial"/>
                <w:b/>
                <w:color w:val="000000"/>
                <w:sz w:val="20"/>
              </w:rPr>
            </w:pPr>
            <w:r w:rsidRPr="00701F32">
              <w:rPr>
                <w:rFonts w:ascii="Arial" w:hAnsi="Arial" w:cs="Arial"/>
                <w:b/>
                <w:color w:val="000000"/>
                <w:sz w:val="20"/>
              </w:rPr>
              <w:t>Con Garantías Preferidas</w:t>
            </w:r>
          </w:p>
        </w:tc>
        <w:tc>
          <w:tcPr>
            <w:tcW w:w="1477" w:type="dxa"/>
            <w:tcBorders>
              <w:top w:val="single" w:sz="4" w:space="0" w:color="auto"/>
            </w:tcBorders>
          </w:tcPr>
          <w:p w14:paraId="25D7E539" w14:textId="77777777" w:rsidR="00E07294" w:rsidRPr="00701F32" w:rsidRDefault="00E07294" w:rsidP="00464C0F">
            <w:pPr>
              <w:pStyle w:val="CG-Title-Center"/>
              <w:widowControl w:val="0"/>
              <w:contextualSpacing/>
              <w:rPr>
                <w:rFonts w:ascii="Arial" w:hAnsi="Arial" w:cs="Arial"/>
                <w:b/>
                <w:color w:val="000000"/>
                <w:lang w:val="es-AR"/>
              </w:rPr>
            </w:pPr>
            <w:r w:rsidRPr="00701F32">
              <w:rPr>
                <w:rFonts w:ascii="Arial" w:hAnsi="Arial" w:cs="Arial"/>
                <w:b/>
                <w:color w:val="000000"/>
                <w:lang w:val="es-AR"/>
              </w:rPr>
              <w:t>Sin Garantías Preferidas</w:t>
            </w:r>
          </w:p>
        </w:tc>
      </w:tr>
      <w:tr w:rsidR="00E07294" w:rsidRPr="00701F32" w14:paraId="288C88A6" w14:textId="77777777" w:rsidTr="00464C0F">
        <w:trPr>
          <w:trHeight w:val="70"/>
          <w:jc w:val="center"/>
        </w:trPr>
        <w:tc>
          <w:tcPr>
            <w:tcW w:w="5573" w:type="dxa"/>
            <w:tcBorders>
              <w:top w:val="single" w:sz="4" w:space="0" w:color="auto"/>
            </w:tcBorders>
          </w:tcPr>
          <w:p w14:paraId="12A3C0EF"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 xml:space="preserve">“En situación normal” </w:t>
            </w:r>
          </w:p>
        </w:tc>
        <w:tc>
          <w:tcPr>
            <w:tcW w:w="1440" w:type="dxa"/>
            <w:tcBorders>
              <w:top w:val="single" w:sz="4" w:space="0" w:color="auto"/>
            </w:tcBorders>
          </w:tcPr>
          <w:p w14:paraId="2F2D4833"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w:t>
            </w:r>
          </w:p>
        </w:tc>
        <w:tc>
          <w:tcPr>
            <w:tcW w:w="1477" w:type="dxa"/>
            <w:tcBorders>
              <w:top w:val="single" w:sz="4" w:space="0" w:color="auto"/>
            </w:tcBorders>
            <w:vAlign w:val="bottom"/>
          </w:tcPr>
          <w:p w14:paraId="773788EB" w14:textId="77777777" w:rsidR="00E07294" w:rsidRPr="00701F32" w:rsidRDefault="00E07294" w:rsidP="00464C0F">
            <w:pPr>
              <w:pStyle w:val="Tax"/>
              <w:widowControl w:val="0"/>
              <w:contextualSpacing/>
              <w:jc w:val="center"/>
              <w:rPr>
                <w:rFonts w:ascii="Arial" w:hAnsi="Arial" w:cs="Arial"/>
                <w:color w:val="000000"/>
                <w:sz w:val="20"/>
                <w:szCs w:val="20"/>
                <w:lang w:val="es-AR"/>
              </w:rPr>
            </w:pPr>
            <w:r w:rsidRPr="00701F32">
              <w:rPr>
                <w:rFonts w:ascii="Arial" w:hAnsi="Arial" w:cs="Arial"/>
                <w:color w:val="000000"/>
                <w:sz w:val="20"/>
                <w:szCs w:val="20"/>
                <w:lang w:val="es-AR"/>
              </w:rPr>
              <w:t>1%</w:t>
            </w:r>
          </w:p>
        </w:tc>
      </w:tr>
      <w:tr w:rsidR="00E07294" w:rsidRPr="00701F32" w14:paraId="6A419BFF" w14:textId="77777777" w:rsidTr="00464C0F">
        <w:trPr>
          <w:jc w:val="center"/>
        </w:trPr>
        <w:tc>
          <w:tcPr>
            <w:tcW w:w="5573" w:type="dxa"/>
          </w:tcPr>
          <w:p w14:paraId="326303B9"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“En observación” y “de Riesgo Bajo”</w:t>
            </w:r>
          </w:p>
        </w:tc>
        <w:tc>
          <w:tcPr>
            <w:tcW w:w="1440" w:type="dxa"/>
          </w:tcPr>
          <w:p w14:paraId="1B92AB9F"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3%</w:t>
            </w:r>
          </w:p>
        </w:tc>
        <w:tc>
          <w:tcPr>
            <w:tcW w:w="1477" w:type="dxa"/>
            <w:vAlign w:val="bottom"/>
          </w:tcPr>
          <w:p w14:paraId="64CEBD50"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5%</w:t>
            </w:r>
          </w:p>
        </w:tc>
      </w:tr>
      <w:tr w:rsidR="00E07294" w:rsidRPr="00701F32" w14:paraId="083F26AA" w14:textId="77777777" w:rsidTr="00464C0F">
        <w:trPr>
          <w:jc w:val="center"/>
        </w:trPr>
        <w:tc>
          <w:tcPr>
            <w:tcW w:w="5573" w:type="dxa"/>
          </w:tcPr>
          <w:p w14:paraId="720A8217"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“Bajo negociación o con acuerdos de refinanciación”</w:t>
            </w:r>
          </w:p>
        </w:tc>
        <w:tc>
          <w:tcPr>
            <w:tcW w:w="1440" w:type="dxa"/>
          </w:tcPr>
          <w:p w14:paraId="182DA13F"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6%</w:t>
            </w:r>
          </w:p>
        </w:tc>
        <w:tc>
          <w:tcPr>
            <w:tcW w:w="1477" w:type="dxa"/>
            <w:vAlign w:val="bottom"/>
          </w:tcPr>
          <w:p w14:paraId="298FAF27"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12%</w:t>
            </w:r>
          </w:p>
        </w:tc>
      </w:tr>
      <w:tr w:rsidR="00E07294" w:rsidRPr="00701F32" w14:paraId="258ABAE4" w14:textId="77777777" w:rsidTr="00464C0F">
        <w:trPr>
          <w:jc w:val="center"/>
        </w:trPr>
        <w:tc>
          <w:tcPr>
            <w:tcW w:w="5573" w:type="dxa"/>
          </w:tcPr>
          <w:p w14:paraId="79BB03C6"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“Con Problemas” y “de Riesgo Medio”</w:t>
            </w:r>
          </w:p>
        </w:tc>
        <w:tc>
          <w:tcPr>
            <w:tcW w:w="1440" w:type="dxa"/>
          </w:tcPr>
          <w:p w14:paraId="168CAFBA"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12%</w:t>
            </w:r>
          </w:p>
        </w:tc>
        <w:tc>
          <w:tcPr>
            <w:tcW w:w="1477" w:type="dxa"/>
            <w:vAlign w:val="bottom"/>
          </w:tcPr>
          <w:p w14:paraId="2E3E4285"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25%</w:t>
            </w:r>
          </w:p>
        </w:tc>
      </w:tr>
      <w:tr w:rsidR="00E07294" w:rsidRPr="00701F32" w14:paraId="30C94E90" w14:textId="77777777" w:rsidTr="00464C0F">
        <w:trPr>
          <w:jc w:val="center"/>
        </w:trPr>
        <w:tc>
          <w:tcPr>
            <w:tcW w:w="5573" w:type="dxa"/>
          </w:tcPr>
          <w:p w14:paraId="563076BF" w14:textId="77777777" w:rsidR="00E07294" w:rsidRPr="00701F32" w:rsidRDefault="00E07294" w:rsidP="00464C0F">
            <w:pPr>
              <w:pStyle w:val="AOHeadings"/>
              <w:widowControl w:val="0"/>
              <w:spacing w:before="0"/>
              <w:contextualSpacing/>
              <w:rPr>
                <w:rFonts w:ascii="Arial" w:hAnsi="Arial" w:cs="Arial"/>
                <w:color w:val="000000"/>
                <w:lang w:val="es-AR"/>
              </w:rPr>
            </w:pPr>
            <w:r w:rsidRPr="00701F32">
              <w:rPr>
                <w:rFonts w:ascii="Arial" w:hAnsi="Arial" w:cs="Arial"/>
                <w:color w:val="000000"/>
                <w:lang w:val="es-AR"/>
              </w:rPr>
              <w:t>“Con alto riesgo de insolvencia” y “de Riesgo Alto”</w:t>
            </w:r>
          </w:p>
        </w:tc>
        <w:tc>
          <w:tcPr>
            <w:tcW w:w="1440" w:type="dxa"/>
          </w:tcPr>
          <w:p w14:paraId="1C4866E3"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25%</w:t>
            </w:r>
          </w:p>
        </w:tc>
        <w:tc>
          <w:tcPr>
            <w:tcW w:w="1477" w:type="dxa"/>
            <w:vAlign w:val="bottom"/>
          </w:tcPr>
          <w:p w14:paraId="209FE2B7"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50%</w:t>
            </w:r>
          </w:p>
        </w:tc>
      </w:tr>
      <w:tr w:rsidR="00E07294" w:rsidRPr="00701F32" w14:paraId="3AD58D31" w14:textId="77777777" w:rsidTr="00464C0F">
        <w:trPr>
          <w:jc w:val="center"/>
        </w:trPr>
        <w:tc>
          <w:tcPr>
            <w:tcW w:w="5573" w:type="dxa"/>
          </w:tcPr>
          <w:p w14:paraId="35D7BA1D"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“Irrecuperable”</w:t>
            </w:r>
          </w:p>
        </w:tc>
        <w:tc>
          <w:tcPr>
            <w:tcW w:w="1440" w:type="dxa"/>
          </w:tcPr>
          <w:p w14:paraId="300BAF2C"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50%</w:t>
            </w:r>
          </w:p>
        </w:tc>
        <w:tc>
          <w:tcPr>
            <w:tcW w:w="1477" w:type="dxa"/>
            <w:vAlign w:val="bottom"/>
          </w:tcPr>
          <w:p w14:paraId="4B4BED25"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r>
      <w:tr w:rsidR="00E07294" w:rsidRPr="00701F32" w14:paraId="6276C9FB" w14:textId="77777777" w:rsidTr="00464C0F">
        <w:trPr>
          <w:jc w:val="center"/>
        </w:trPr>
        <w:tc>
          <w:tcPr>
            <w:tcW w:w="5573" w:type="dxa"/>
          </w:tcPr>
          <w:p w14:paraId="2D966818" w14:textId="77777777" w:rsidR="00E07294" w:rsidRPr="00701F32" w:rsidRDefault="00E07294" w:rsidP="00464C0F">
            <w:pPr>
              <w:widowControl w:val="0"/>
              <w:contextualSpacing/>
              <w:jc w:val="both"/>
              <w:rPr>
                <w:rFonts w:ascii="Arial" w:hAnsi="Arial" w:cs="Arial"/>
                <w:color w:val="000000"/>
                <w:sz w:val="20"/>
              </w:rPr>
            </w:pPr>
            <w:r w:rsidRPr="00701F32">
              <w:rPr>
                <w:rFonts w:ascii="Arial" w:hAnsi="Arial" w:cs="Arial"/>
                <w:color w:val="000000"/>
                <w:sz w:val="20"/>
              </w:rPr>
              <w:t>“Irrecuperable por disposición técnica”</w:t>
            </w:r>
          </w:p>
        </w:tc>
        <w:tc>
          <w:tcPr>
            <w:tcW w:w="1440" w:type="dxa"/>
          </w:tcPr>
          <w:p w14:paraId="7E242BA5"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c>
          <w:tcPr>
            <w:tcW w:w="1477" w:type="dxa"/>
            <w:vAlign w:val="bottom"/>
          </w:tcPr>
          <w:p w14:paraId="4CAB4B5B" w14:textId="77777777" w:rsidR="00E07294" w:rsidRPr="00701F32" w:rsidRDefault="00E07294"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r>
    </w:tbl>
    <w:p w14:paraId="022F9FEB" w14:textId="77777777" w:rsidR="00E07294" w:rsidRPr="00701F32" w:rsidRDefault="00E07294" w:rsidP="00E07294">
      <w:pPr>
        <w:widowControl w:val="0"/>
        <w:spacing w:after="240"/>
        <w:contextualSpacing/>
        <w:jc w:val="both"/>
        <w:rPr>
          <w:rFonts w:asciiTheme="minorHAnsi" w:hAnsiTheme="minorHAnsi" w:cstheme="minorHAnsi"/>
          <w:color w:val="000000"/>
          <w:sz w:val="20"/>
        </w:rPr>
      </w:pPr>
    </w:p>
    <w:p w14:paraId="40E247ED" w14:textId="77777777" w:rsidR="005C4329" w:rsidRPr="00701F32" w:rsidRDefault="005C4329" w:rsidP="00E07294">
      <w:pPr>
        <w:widowControl w:val="0"/>
        <w:spacing w:after="240"/>
        <w:contextualSpacing/>
        <w:jc w:val="both"/>
        <w:rPr>
          <w:rFonts w:ascii="Arial" w:hAnsi="Arial" w:cs="Arial"/>
          <w:color w:val="000000"/>
          <w:sz w:val="20"/>
        </w:rPr>
      </w:pPr>
      <w:r w:rsidRPr="00701F32">
        <w:rPr>
          <w:rFonts w:ascii="Arial" w:hAnsi="Arial" w:cs="Arial"/>
          <w:color w:val="000000"/>
          <w:sz w:val="20"/>
        </w:rPr>
        <w:t>Los porcentajes, antes descriptos, se aplican sobre la totalidad de los compromisos del cliente, considerando tanto el capital como los intereses. La previsión sobre la cartera normal es de carácter global, en tanto que la correspondiente a las demás categorías es de imputación individual. Asimismo, las normas establecen la suspensión del devengamiento o la constitución de previsiones por el 100% de los intereses correspondientes a clientes clasificados como “Con Problemas y Riesgo Medio” o en categorías de inferior calidad.</w:t>
      </w:r>
    </w:p>
    <w:p w14:paraId="17E77D38" w14:textId="77777777" w:rsidR="00E07294" w:rsidRPr="00701F32" w:rsidRDefault="00E07294" w:rsidP="00E07294">
      <w:pPr>
        <w:widowControl w:val="0"/>
        <w:spacing w:after="240"/>
        <w:contextualSpacing/>
        <w:jc w:val="both"/>
        <w:rPr>
          <w:rFonts w:ascii="Arial" w:hAnsi="Arial" w:cs="Arial"/>
          <w:color w:val="000000"/>
          <w:sz w:val="20"/>
        </w:rPr>
      </w:pPr>
    </w:p>
    <w:p w14:paraId="26BB7FEC" w14:textId="77777777" w:rsidR="00E07294" w:rsidRPr="00701F32" w:rsidRDefault="00E07294" w:rsidP="00E07294">
      <w:pPr>
        <w:widowControl w:val="0"/>
        <w:spacing w:after="240"/>
        <w:contextualSpacing/>
        <w:jc w:val="both"/>
        <w:rPr>
          <w:rFonts w:ascii="Arial" w:hAnsi="Arial" w:cs="Arial"/>
          <w:color w:val="000000"/>
          <w:sz w:val="20"/>
        </w:rPr>
      </w:pPr>
      <w:r w:rsidRPr="00701F32">
        <w:rPr>
          <w:rFonts w:ascii="Arial" w:hAnsi="Arial" w:cs="Arial"/>
          <w:color w:val="000000"/>
          <w:sz w:val="20"/>
        </w:rPr>
        <w:t>No obstante, las financiaciones que se encuentren cubiertas con garantías preferidas “A” se previsionarán al 1% independientemente de la categoría del cliente.</w:t>
      </w:r>
    </w:p>
    <w:p w14:paraId="02274B84" w14:textId="77777777" w:rsidR="00E07294" w:rsidRPr="00701F32" w:rsidRDefault="00E07294" w:rsidP="00E07294">
      <w:pPr>
        <w:widowControl w:val="0"/>
        <w:spacing w:after="240"/>
        <w:contextualSpacing/>
        <w:jc w:val="both"/>
        <w:rPr>
          <w:rFonts w:ascii="Arial" w:hAnsi="Arial" w:cs="Arial"/>
          <w:color w:val="000000"/>
          <w:sz w:val="20"/>
        </w:rPr>
      </w:pPr>
    </w:p>
    <w:p w14:paraId="3888C512" w14:textId="77777777" w:rsidR="00E07294" w:rsidRPr="00701F32" w:rsidRDefault="00E07294" w:rsidP="00E07294">
      <w:pPr>
        <w:widowControl w:val="0"/>
        <w:spacing w:after="240"/>
        <w:contextualSpacing/>
        <w:jc w:val="both"/>
        <w:rPr>
          <w:rFonts w:ascii="Arial" w:hAnsi="Arial" w:cs="Arial"/>
          <w:color w:val="000000"/>
          <w:sz w:val="20"/>
        </w:rPr>
      </w:pPr>
      <w:r w:rsidRPr="00701F32">
        <w:rPr>
          <w:rFonts w:ascii="Arial" w:hAnsi="Arial" w:cs="Arial"/>
          <w:color w:val="000000"/>
          <w:sz w:val="20"/>
        </w:rPr>
        <w:t>Las entidades financieras tienen derecho a registrar previsiones por incobrabilidad por montos superiores a los exigidos por las Normas del B.C.R.A. En tales casos y sin perjuicio de la existencia de determinadas excepciones, el hecho de registrar una previsión mayor para un crédito comercial, en la medida en que el monto de la previsión registrada quede comprendido en la siguiente categoría de la cartera de créditos establecida por la normativa vigente, tendrá como resultado automático que el deudor quede recategorizado consecuentemente.</w:t>
      </w:r>
    </w:p>
    <w:p w14:paraId="13F2F6B9" w14:textId="77777777" w:rsidR="00E07294" w:rsidRPr="00701F32" w:rsidRDefault="00E07294" w:rsidP="00E07294">
      <w:pPr>
        <w:pStyle w:val="Textodebloque"/>
        <w:widowControl w:val="0"/>
        <w:tabs>
          <w:tab w:val="left" w:pos="9356"/>
        </w:tabs>
        <w:spacing w:after="240"/>
        <w:ind w:left="0"/>
        <w:contextualSpacing/>
        <w:jc w:val="both"/>
        <w:rPr>
          <w:rFonts w:ascii="Arial" w:hAnsi="Arial" w:cs="Arial"/>
          <w:b/>
          <w:color w:val="000000"/>
          <w:sz w:val="20"/>
        </w:rPr>
      </w:pPr>
      <w:r w:rsidRPr="00701F32">
        <w:rPr>
          <w:rFonts w:ascii="Arial" w:hAnsi="Arial" w:cs="Arial"/>
          <w:b/>
          <w:color w:val="000000"/>
          <w:sz w:val="20"/>
        </w:rPr>
        <w:t>Frecuencia mínima para revisión de clasificación</w:t>
      </w:r>
    </w:p>
    <w:p w14:paraId="6AEFC4FC" w14:textId="77777777" w:rsidR="00E07294" w:rsidRPr="00701F32" w:rsidRDefault="00E07294" w:rsidP="00E07294">
      <w:pPr>
        <w:pStyle w:val="Textodebloque"/>
        <w:widowControl w:val="0"/>
        <w:tabs>
          <w:tab w:val="left" w:pos="9356"/>
        </w:tabs>
        <w:spacing w:after="240"/>
        <w:ind w:left="0"/>
        <w:contextualSpacing/>
        <w:jc w:val="both"/>
        <w:rPr>
          <w:rFonts w:ascii="Arial" w:hAnsi="Arial" w:cs="Arial"/>
          <w:b/>
          <w:color w:val="000000"/>
          <w:sz w:val="20"/>
        </w:rPr>
      </w:pPr>
    </w:p>
    <w:p w14:paraId="2DDC0B53"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i/>
          <w:sz w:val="20"/>
        </w:rPr>
      </w:pPr>
      <w:r w:rsidRPr="00701F32">
        <w:rPr>
          <w:rFonts w:ascii="Arial" w:hAnsi="Arial" w:cs="Arial"/>
          <w:color w:val="000000"/>
          <w:sz w:val="20"/>
        </w:rPr>
        <w:t xml:space="preserve">Las entidades financieras </w:t>
      </w:r>
      <w:r w:rsidRPr="00701F32">
        <w:rPr>
          <w:rFonts w:ascii="Arial" w:hAnsi="Arial" w:cs="Arial"/>
          <w:sz w:val="20"/>
        </w:rPr>
        <w:t>deberán desarrollar procedimientos de análisis de cartera que aseguren un análisis adecuado de la situación económica y financiera del deudor y una revisión periódica de su situación en cuanto a las condiciones objetivas y subjetivas de todos los riesgos asumidos. Los procedimientos establecidos se deberán detallar en un manual denominado “Manual de Procedimientos de Clasificación y Previsión” que deberá estar a disposición permanente de la SEFyC para su revisión. El análisis de clasificación debe estar debidamente documentado.</w:t>
      </w:r>
    </w:p>
    <w:p w14:paraId="6DAB2C11"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i/>
          <w:color w:val="000000"/>
          <w:sz w:val="20"/>
        </w:rPr>
      </w:pPr>
    </w:p>
    <w:p w14:paraId="5AC67BDD"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i/>
          <w:sz w:val="20"/>
        </w:rPr>
      </w:pPr>
      <w:r w:rsidRPr="00701F32">
        <w:rPr>
          <w:rFonts w:ascii="Arial" w:hAnsi="Arial" w:cs="Arial"/>
          <w:color w:val="000000"/>
          <w:sz w:val="20"/>
        </w:rPr>
        <w:t xml:space="preserve">En el caso de préstamos comerciales, las normas aplicables también requieren una frecuencia mínima de revisión. Dicha revisión deberá tener lugar (i) trimestralmente para </w:t>
      </w:r>
      <w:r w:rsidRPr="00701F32">
        <w:rPr>
          <w:rFonts w:ascii="Arial" w:hAnsi="Arial" w:cs="Arial"/>
          <w:sz w:val="20"/>
        </w:rPr>
        <w:t xml:space="preserve">clientes cuyas financiaciones sean equivalentes al 5,0% o más de la RPC del mes anterior a la finalización de dicho período y (ii) semestralmente, respecto de clientes cuyas financiaciones sumen (A) en algún momento entre el 1% -o el equivalente a 19,8 millones, de ambos el menor (B) y menos del 5,0% de la RPC de la entidad financiera respecto del mes anterior a la finalización de dicho período. Al cierre del primer semestre, la revisión íntegra conforme al punto (i) y (ii) deberá haber alcanzado no menos del 50% del importe total de la cartera comercial comprendida, y de resultar inferior, será completada incorporando clientes (en orden descendente) cuyo endeudamiento total resulte inferior al 1% de la RPC mencionada. Asimismo, </w:t>
      </w:r>
      <w:r w:rsidRPr="00701F32">
        <w:rPr>
          <w:rFonts w:ascii="Arial" w:hAnsi="Arial" w:cs="Arial"/>
          <w:color w:val="000000"/>
          <w:sz w:val="20"/>
        </w:rPr>
        <w:t>a la finalización del ejercicio económico la revisión debe haber alcanzado a la totalidad de la cartera comercial comprendida.</w:t>
      </w:r>
    </w:p>
    <w:p w14:paraId="0B8AB883"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i/>
          <w:color w:val="000000"/>
          <w:sz w:val="20"/>
        </w:rPr>
      </w:pPr>
    </w:p>
    <w:p w14:paraId="63D52A4B"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color w:val="000000"/>
          <w:sz w:val="20"/>
        </w:rPr>
      </w:pPr>
      <w:r w:rsidRPr="00701F32">
        <w:rPr>
          <w:rFonts w:ascii="Arial" w:hAnsi="Arial" w:cs="Arial"/>
          <w:color w:val="000000"/>
          <w:sz w:val="20"/>
        </w:rPr>
        <w:t xml:space="preserve">Asimismo, las entidades financieras deben revisar la clasificación asignada a un deudor cada vez que tenga lugar alguna de las siguientes circunstancias: </w:t>
      </w:r>
    </w:p>
    <w:p w14:paraId="7FB3EBAB"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color w:val="000000"/>
          <w:sz w:val="20"/>
        </w:rPr>
      </w:pPr>
    </w:p>
    <w:p w14:paraId="03C45BA3"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color w:val="000000"/>
          <w:sz w:val="20"/>
        </w:rPr>
      </w:pPr>
    </w:p>
    <w:p w14:paraId="1EFC2E45" w14:textId="3A3EB541"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color w:val="000000"/>
          <w:sz w:val="20"/>
        </w:rPr>
        <w:t>- Modificacion en forma negativa de la clasificación del deudor en la “</w:t>
      </w:r>
      <w:r w:rsidRPr="00701F32">
        <w:rPr>
          <w:rFonts w:ascii="Arial" w:hAnsi="Arial" w:cs="Arial"/>
          <w:sz w:val="20"/>
        </w:rPr>
        <w:t>Central de Deudores del Sistema Financiero” llevándola a un grado inferior al de la Entidad, por al menos otra entidad cuyas acreencias representen como mínimo el 10% del total informado en el sistema financiero.</w:t>
      </w:r>
    </w:p>
    <w:p w14:paraId="4B87CD6E"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p>
    <w:p w14:paraId="33E0CFED"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 Modificación de alguno de los criterior objetivos de clasificación.</w:t>
      </w:r>
    </w:p>
    <w:p w14:paraId="52957E34"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p>
    <w:p w14:paraId="4C177931" w14:textId="002DFF9D"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 Cuando exista una discrepancia de más de un nivel entre la clasificación dada por la Entidad y la otorgada por al menos otras dos entidades en categorías inferiores a la asignada, cuyas acreencias en conjunto representen por lo menos el 20 % y sean inferiores al 40 % del total informado por todas las entidades según la última información disponible en la "Central de deudores del sistema financiero".</w:t>
      </w:r>
    </w:p>
    <w:p w14:paraId="3B9120A5"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p>
    <w:p w14:paraId="499E3D99" w14:textId="77777777" w:rsidR="005C4329" w:rsidRPr="00701F32" w:rsidRDefault="005C4329" w:rsidP="005C4329">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La reevaluación será inmediata cuando se trate de clientes cuyas financiaciones comprendidas igualen o superen el 1 % de la RPC de la entidad o del activo del fideicomiso financiero, del mes anterior al de presentación de alguna de las circunstancias mencionadas o el equivalente a 19,8 millones, de ambos el menor, y dentro de los tres meses respecto de los demás clientes comprendidos.</w:t>
      </w:r>
    </w:p>
    <w:p w14:paraId="64492C28" w14:textId="77777777" w:rsidR="00BE44A0" w:rsidRPr="00701F32" w:rsidRDefault="00BE44A0" w:rsidP="00E07294">
      <w:pPr>
        <w:pStyle w:val="Textodebloque"/>
        <w:widowControl w:val="0"/>
        <w:tabs>
          <w:tab w:val="left" w:pos="9356"/>
        </w:tabs>
        <w:spacing w:after="240"/>
        <w:ind w:left="0" w:right="4"/>
        <w:contextualSpacing/>
        <w:jc w:val="both"/>
        <w:rPr>
          <w:rFonts w:ascii="Arial" w:hAnsi="Arial" w:cs="Arial"/>
          <w:sz w:val="20"/>
        </w:rPr>
      </w:pPr>
    </w:p>
    <w:p w14:paraId="34546920" w14:textId="77777777" w:rsidR="00E07294" w:rsidRPr="00701F32" w:rsidRDefault="00AF3A00" w:rsidP="00E07294">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E07294" w:rsidRPr="00701F32">
        <w:rPr>
          <w:rFonts w:ascii="Arial" w:hAnsi="Arial" w:cs="Arial"/>
          <w:b/>
          <w:noProof/>
          <w:sz w:val="20"/>
        </w:rPr>
        <w:t>.4 Obligaciones por arrendamientos financieros</w:t>
      </w:r>
    </w:p>
    <w:p w14:paraId="2551C0CD" w14:textId="77777777" w:rsidR="00E07294" w:rsidRPr="00701F32" w:rsidRDefault="00E07294" w:rsidP="00E07294">
      <w:pPr>
        <w:widowControl w:val="0"/>
        <w:autoSpaceDE w:val="0"/>
        <w:autoSpaceDN w:val="0"/>
        <w:adjustRightInd w:val="0"/>
        <w:jc w:val="both"/>
        <w:rPr>
          <w:rFonts w:ascii="Arial" w:hAnsi="Arial" w:cs="Arial"/>
          <w:b/>
          <w:noProof/>
          <w:sz w:val="20"/>
        </w:rPr>
      </w:pPr>
    </w:p>
    <w:p w14:paraId="4C5E3996" w14:textId="77777777" w:rsidR="00E07294" w:rsidRPr="00701F32" w:rsidRDefault="00E07294" w:rsidP="00E07294">
      <w:pPr>
        <w:spacing w:after="160" w:line="259" w:lineRule="auto"/>
        <w:jc w:val="both"/>
        <w:rPr>
          <w:rFonts w:ascii="Arial" w:eastAsia="Arial" w:hAnsi="Arial" w:cs="Arial"/>
          <w:sz w:val="20"/>
        </w:rPr>
      </w:pPr>
      <w:r w:rsidRPr="00701F32">
        <w:rPr>
          <w:rFonts w:ascii="Arial" w:eastAsia="Arial" w:hAnsi="Arial" w:cs="Arial"/>
          <w:sz w:val="20"/>
        </w:rPr>
        <w:t>A continuación, se realiza un detalle de los vencimientos de los arrendamientos por cobrar del Banco y de los valores actuales al 31 de diciembre de 2017:</w:t>
      </w:r>
    </w:p>
    <w:tbl>
      <w:tblPr>
        <w:tblW w:w="8234" w:type="dxa"/>
        <w:tblInd w:w="70" w:type="dxa"/>
        <w:tblCellMar>
          <w:left w:w="70" w:type="dxa"/>
          <w:right w:w="70" w:type="dxa"/>
        </w:tblCellMar>
        <w:tblLook w:val="04A0" w:firstRow="1" w:lastRow="0" w:firstColumn="1" w:lastColumn="0" w:noHBand="0" w:noVBand="1"/>
      </w:tblPr>
      <w:tblGrid>
        <w:gridCol w:w="5951"/>
        <w:gridCol w:w="2283"/>
      </w:tblGrid>
      <w:tr w:rsidR="00E07294" w:rsidRPr="00701F32" w14:paraId="5BE3F440" w14:textId="77777777" w:rsidTr="00464C0F">
        <w:trPr>
          <w:trHeight w:val="256"/>
          <w:tblHeader/>
        </w:trPr>
        <w:tc>
          <w:tcPr>
            <w:tcW w:w="59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40369" w14:textId="77777777" w:rsidR="00E07294" w:rsidRPr="00701F32" w:rsidRDefault="00E07294" w:rsidP="00464C0F">
            <w:pPr>
              <w:ind w:firstLine="10"/>
              <w:jc w:val="both"/>
              <w:rPr>
                <w:rFonts w:ascii="Arial" w:hAnsi="Arial" w:cs="Arial"/>
                <w:b/>
                <w:bCs/>
                <w:color w:val="000000"/>
                <w:sz w:val="20"/>
                <w:lang w:eastAsia="es-AR"/>
              </w:rPr>
            </w:pPr>
            <w:r w:rsidRPr="00701F32">
              <w:rPr>
                <w:rFonts w:ascii="Arial" w:hAnsi="Arial" w:cs="Arial"/>
                <w:b/>
                <w:bCs/>
                <w:color w:val="000000"/>
                <w:sz w:val="20"/>
                <w:lang w:eastAsia="es-AR"/>
              </w:rPr>
              <w:t>Canones a cobrar</w:t>
            </w:r>
          </w:p>
        </w:tc>
        <w:tc>
          <w:tcPr>
            <w:tcW w:w="2283" w:type="dxa"/>
            <w:tcBorders>
              <w:top w:val="single" w:sz="8" w:space="0" w:color="auto"/>
              <w:left w:val="nil"/>
              <w:bottom w:val="single" w:sz="8" w:space="0" w:color="auto"/>
              <w:right w:val="single" w:sz="8" w:space="0" w:color="auto"/>
            </w:tcBorders>
            <w:shd w:val="clear" w:color="auto" w:fill="auto"/>
            <w:vAlign w:val="bottom"/>
            <w:hideMark/>
          </w:tcPr>
          <w:p w14:paraId="4193BDC5" w14:textId="77777777" w:rsidR="00E07294" w:rsidRPr="00701F32" w:rsidRDefault="00E07294" w:rsidP="00464C0F">
            <w:pPr>
              <w:ind w:firstLine="10"/>
              <w:jc w:val="right"/>
              <w:rPr>
                <w:rFonts w:ascii="Arial" w:hAnsi="Arial" w:cs="Arial"/>
                <w:b/>
                <w:bCs/>
                <w:color w:val="000000"/>
                <w:sz w:val="20"/>
                <w:lang w:eastAsia="es-AR"/>
              </w:rPr>
            </w:pPr>
            <w:r w:rsidRPr="00701F32">
              <w:rPr>
                <w:rFonts w:ascii="Arial" w:hAnsi="Arial" w:cs="Arial"/>
                <w:b/>
                <w:bCs/>
                <w:color w:val="000000"/>
                <w:sz w:val="20"/>
                <w:lang w:eastAsia="es-AR"/>
              </w:rPr>
              <w:t>31/12/2017</w:t>
            </w:r>
          </w:p>
        </w:tc>
      </w:tr>
      <w:tr w:rsidR="00E07294" w:rsidRPr="00701F32" w14:paraId="1EBA5F17"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531E123E" w14:textId="77777777" w:rsidR="00E07294" w:rsidRPr="00701F32" w:rsidRDefault="00E07294" w:rsidP="00464C0F">
            <w:pPr>
              <w:ind w:firstLine="10"/>
              <w:jc w:val="both"/>
              <w:rPr>
                <w:rFonts w:ascii="Arial" w:hAnsi="Arial" w:cs="Arial"/>
                <w:color w:val="000000"/>
                <w:sz w:val="20"/>
                <w:lang w:eastAsia="es-AR"/>
              </w:rPr>
            </w:pPr>
            <w:r w:rsidRPr="00701F32">
              <w:rPr>
                <w:rFonts w:ascii="Arial" w:hAnsi="Arial" w:cs="Arial"/>
                <w:color w:val="000000"/>
                <w:sz w:val="20"/>
                <w:lang w:eastAsia="es-AR"/>
              </w:rPr>
              <w:t>Hasta un año</w:t>
            </w:r>
          </w:p>
        </w:tc>
        <w:tc>
          <w:tcPr>
            <w:tcW w:w="2283" w:type="dxa"/>
            <w:tcBorders>
              <w:top w:val="nil"/>
              <w:left w:val="nil"/>
              <w:bottom w:val="single" w:sz="8" w:space="0" w:color="auto"/>
              <w:right w:val="single" w:sz="8" w:space="0" w:color="auto"/>
            </w:tcBorders>
            <w:shd w:val="clear" w:color="auto" w:fill="auto"/>
            <w:vAlign w:val="center"/>
            <w:hideMark/>
          </w:tcPr>
          <w:p w14:paraId="43AEA9F1" w14:textId="77777777" w:rsidR="00E07294" w:rsidRPr="00701F32" w:rsidRDefault="00E07294"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1.358.464 </w:t>
            </w:r>
          </w:p>
        </w:tc>
      </w:tr>
      <w:tr w:rsidR="00E07294" w:rsidRPr="00701F32" w14:paraId="552670ED"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6EDEB557" w14:textId="77777777" w:rsidR="00E07294" w:rsidRPr="00701F32" w:rsidRDefault="00E07294" w:rsidP="00464C0F">
            <w:pPr>
              <w:ind w:firstLine="10"/>
              <w:jc w:val="both"/>
              <w:rPr>
                <w:rFonts w:ascii="Arial" w:hAnsi="Arial" w:cs="Arial"/>
                <w:color w:val="000000"/>
                <w:sz w:val="20"/>
                <w:lang w:eastAsia="es-AR"/>
              </w:rPr>
            </w:pPr>
            <w:r w:rsidRPr="00701F32">
              <w:rPr>
                <w:rFonts w:ascii="Arial" w:hAnsi="Arial" w:cs="Arial"/>
                <w:color w:val="000000"/>
                <w:sz w:val="20"/>
                <w:lang w:eastAsia="es-AR"/>
              </w:rPr>
              <w:t>Más de uno a dos años</w:t>
            </w:r>
          </w:p>
        </w:tc>
        <w:tc>
          <w:tcPr>
            <w:tcW w:w="2283" w:type="dxa"/>
            <w:tcBorders>
              <w:top w:val="nil"/>
              <w:left w:val="nil"/>
              <w:bottom w:val="single" w:sz="8" w:space="0" w:color="auto"/>
              <w:right w:val="single" w:sz="8" w:space="0" w:color="auto"/>
            </w:tcBorders>
            <w:shd w:val="clear" w:color="auto" w:fill="auto"/>
            <w:vAlign w:val="center"/>
            <w:hideMark/>
          </w:tcPr>
          <w:p w14:paraId="70DFCF73" w14:textId="77777777" w:rsidR="00E07294" w:rsidRPr="00701F32" w:rsidRDefault="00E07294"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1.113.691 </w:t>
            </w:r>
          </w:p>
        </w:tc>
      </w:tr>
      <w:tr w:rsidR="00E07294" w:rsidRPr="00701F32" w14:paraId="07890DAB"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3EC72191" w14:textId="77777777" w:rsidR="00E07294" w:rsidRPr="00701F32" w:rsidRDefault="00E07294"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De dos a tres años</w:t>
            </w:r>
          </w:p>
        </w:tc>
        <w:tc>
          <w:tcPr>
            <w:tcW w:w="2283" w:type="dxa"/>
            <w:tcBorders>
              <w:top w:val="nil"/>
              <w:left w:val="nil"/>
              <w:bottom w:val="single" w:sz="8" w:space="0" w:color="auto"/>
              <w:right w:val="single" w:sz="8" w:space="0" w:color="auto"/>
            </w:tcBorders>
            <w:shd w:val="clear" w:color="auto" w:fill="auto"/>
            <w:vAlign w:val="center"/>
            <w:hideMark/>
          </w:tcPr>
          <w:p w14:paraId="785F9FF9" w14:textId="77777777" w:rsidR="00E07294" w:rsidRPr="00701F32" w:rsidRDefault="00E07294"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704.272 </w:t>
            </w:r>
          </w:p>
        </w:tc>
      </w:tr>
      <w:tr w:rsidR="00E07294" w:rsidRPr="00701F32" w14:paraId="19EEFF93"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2FDE167D" w14:textId="77777777" w:rsidR="00E07294" w:rsidRPr="00701F32" w:rsidRDefault="00E07294"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De tres a cinco años</w:t>
            </w:r>
          </w:p>
        </w:tc>
        <w:tc>
          <w:tcPr>
            <w:tcW w:w="2283" w:type="dxa"/>
            <w:tcBorders>
              <w:top w:val="nil"/>
              <w:left w:val="nil"/>
              <w:bottom w:val="single" w:sz="8" w:space="0" w:color="auto"/>
              <w:right w:val="single" w:sz="8" w:space="0" w:color="auto"/>
            </w:tcBorders>
            <w:shd w:val="clear" w:color="auto" w:fill="auto"/>
            <w:vAlign w:val="center"/>
            <w:hideMark/>
          </w:tcPr>
          <w:p w14:paraId="76118A2E" w14:textId="77777777" w:rsidR="00E07294" w:rsidRPr="00701F32" w:rsidRDefault="00E07294"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427.456 </w:t>
            </w:r>
          </w:p>
        </w:tc>
      </w:tr>
      <w:tr w:rsidR="00E07294" w:rsidRPr="00701F32" w14:paraId="6B2CE430"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00CF5D6F" w14:textId="77777777" w:rsidR="00E07294" w:rsidRPr="00701F32" w:rsidRDefault="00E07294"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Más de cinco años</w:t>
            </w:r>
          </w:p>
        </w:tc>
        <w:tc>
          <w:tcPr>
            <w:tcW w:w="2283" w:type="dxa"/>
            <w:tcBorders>
              <w:top w:val="nil"/>
              <w:left w:val="nil"/>
              <w:bottom w:val="single" w:sz="8" w:space="0" w:color="auto"/>
              <w:right w:val="single" w:sz="8" w:space="0" w:color="auto"/>
            </w:tcBorders>
            <w:shd w:val="clear" w:color="auto" w:fill="auto"/>
            <w:vAlign w:val="center"/>
            <w:hideMark/>
          </w:tcPr>
          <w:p w14:paraId="2E401330" w14:textId="77777777" w:rsidR="00E07294" w:rsidRPr="00701F32" w:rsidRDefault="00E07294"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6.022 </w:t>
            </w:r>
          </w:p>
        </w:tc>
      </w:tr>
      <w:tr w:rsidR="00E07294" w:rsidRPr="00701F32" w14:paraId="43097705" w14:textId="77777777" w:rsidTr="00464C0F">
        <w:trPr>
          <w:trHeight w:val="256"/>
        </w:trPr>
        <w:tc>
          <w:tcPr>
            <w:tcW w:w="5951" w:type="dxa"/>
            <w:tcBorders>
              <w:top w:val="nil"/>
              <w:left w:val="single" w:sz="8" w:space="0" w:color="auto"/>
              <w:bottom w:val="single" w:sz="8" w:space="0" w:color="auto"/>
              <w:right w:val="single" w:sz="8" w:space="0" w:color="auto"/>
            </w:tcBorders>
            <w:shd w:val="clear" w:color="auto" w:fill="auto"/>
            <w:vAlign w:val="center"/>
            <w:hideMark/>
          </w:tcPr>
          <w:p w14:paraId="343B0348" w14:textId="77777777" w:rsidR="00E07294" w:rsidRPr="00701F32" w:rsidRDefault="00E07294" w:rsidP="00464C0F">
            <w:pPr>
              <w:ind w:firstLine="10"/>
              <w:jc w:val="both"/>
              <w:rPr>
                <w:rFonts w:ascii="Arial" w:hAnsi="Arial" w:cs="Arial"/>
                <w:b/>
                <w:bCs/>
                <w:color w:val="000000"/>
                <w:sz w:val="20"/>
                <w:lang w:eastAsia="es-AR"/>
              </w:rPr>
            </w:pPr>
            <w:r w:rsidRPr="00701F32">
              <w:rPr>
                <w:rFonts w:ascii="Arial" w:hAnsi="Arial" w:cs="Arial"/>
                <w:b/>
                <w:bCs/>
                <w:color w:val="000000"/>
                <w:sz w:val="20"/>
                <w:lang w:eastAsia="es-AR"/>
              </w:rPr>
              <w:t>Valores residuales</w:t>
            </w:r>
          </w:p>
        </w:tc>
        <w:tc>
          <w:tcPr>
            <w:tcW w:w="2283" w:type="dxa"/>
            <w:tcBorders>
              <w:top w:val="nil"/>
              <w:left w:val="nil"/>
              <w:bottom w:val="single" w:sz="8" w:space="0" w:color="auto"/>
              <w:right w:val="single" w:sz="8" w:space="0" w:color="auto"/>
            </w:tcBorders>
            <w:shd w:val="clear" w:color="auto" w:fill="auto"/>
            <w:vAlign w:val="center"/>
            <w:hideMark/>
          </w:tcPr>
          <w:p w14:paraId="56F9AA5C" w14:textId="77777777" w:rsidR="00E07294" w:rsidRPr="00701F32" w:rsidRDefault="00AD1D17" w:rsidP="00464C0F">
            <w:pPr>
              <w:ind w:firstLine="10"/>
              <w:jc w:val="right"/>
              <w:rPr>
                <w:rFonts w:ascii="Arial" w:hAnsi="Arial" w:cs="Arial"/>
                <w:b/>
                <w:bCs/>
                <w:color w:val="000000"/>
                <w:sz w:val="20"/>
                <w:lang w:eastAsia="es-AR"/>
              </w:rPr>
            </w:pPr>
            <w:r w:rsidRPr="00701F32">
              <w:rPr>
                <w:rFonts w:ascii="Arial" w:hAnsi="Arial" w:cs="Arial"/>
                <w:b/>
                <w:bCs/>
                <w:color w:val="000000"/>
                <w:sz w:val="20"/>
                <w:lang w:eastAsia="es-AR"/>
              </w:rPr>
              <w:t>2</w:t>
            </w:r>
            <w:r w:rsidR="00A83330" w:rsidRPr="00701F32">
              <w:rPr>
                <w:rFonts w:ascii="Arial" w:hAnsi="Arial" w:cs="Arial"/>
                <w:b/>
                <w:bCs/>
                <w:color w:val="000000"/>
                <w:sz w:val="20"/>
                <w:lang w:eastAsia="es-AR"/>
              </w:rPr>
              <w:t>.</w:t>
            </w:r>
            <w:r w:rsidRPr="00701F32">
              <w:rPr>
                <w:rFonts w:ascii="Arial" w:hAnsi="Arial" w:cs="Arial"/>
                <w:b/>
                <w:bCs/>
                <w:color w:val="000000"/>
                <w:sz w:val="20"/>
                <w:lang w:eastAsia="es-AR"/>
              </w:rPr>
              <w:t>512</w:t>
            </w:r>
            <w:r w:rsidR="00A83330" w:rsidRPr="00701F32">
              <w:rPr>
                <w:rFonts w:ascii="Arial" w:hAnsi="Arial" w:cs="Arial"/>
                <w:b/>
                <w:bCs/>
                <w:color w:val="000000"/>
                <w:sz w:val="20"/>
                <w:lang w:eastAsia="es-AR"/>
              </w:rPr>
              <w:t>.</w:t>
            </w:r>
            <w:r w:rsidRPr="00701F32">
              <w:rPr>
                <w:rFonts w:ascii="Arial" w:hAnsi="Arial" w:cs="Arial"/>
                <w:b/>
                <w:bCs/>
                <w:color w:val="000000"/>
                <w:sz w:val="20"/>
                <w:lang w:eastAsia="es-AR"/>
              </w:rPr>
              <w:t>388</w:t>
            </w:r>
            <w:r w:rsidR="00E07294" w:rsidRPr="00701F32">
              <w:rPr>
                <w:rFonts w:ascii="Arial" w:hAnsi="Arial" w:cs="Arial"/>
                <w:b/>
                <w:bCs/>
                <w:color w:val="000000"/>
                <w:sz w:val="20"/>
                <w:lang w:eastAsia="es-AR"/>
              </w:rPr>
              <w:t xml:space="preserve"> </w:t>
            </w:r>
          </w:p>
        </w:tc>
      </w:tr>
    </w:tbl>
    <w:p w14:paraId="5D27CE5C" w14:textId="77777777" w:rsidR="00E07294" w:rsidRPr="00701F32" w:rsidRDefault="00E07294" w:rsidP="00E07294">
      <w:pPr>
        <w:widowControl w:val="0"/>
        <w:autoSpaceDE w:val="0"/>
        <w:autoSpaceDN w:val="0"/>
        <w:adjustRightInd w:val="0"/>
        <w:jc w:val="both"/>
        <w:rPr>
          <w:rFonts w:ascii="Arial" w:hAnsi="Arial" w:cs="Arial"/>
          <w:noProof/>
          <w:color w:val="FF0000"/>
          <w:sz w:val="20"/>
        </w:rPr>
      </w:pPr>
    </w:p>
    <w:p w14:paraId="5B248D91" w14:textId="77777777" w:rsidR="00E07294" w:rsidRPr="00701F32" w:rsidRDefault="00E07294" w:rsidP="00E07294">
      <w:pPr>
        <w:widowControl w:val="0"/>
        <w:autoSpaceDE w:val="0"/>
        <w:autoSpaceDN w:val="0"/>
        <w:adjustRightInd w:val="0"/>
        <w:jc w:val="both"/>
        <w:rPr>
          <w:rFonts w:ascii="Arial" w:hAnsi="Arial" w:cs="Arial"/>
          <w:noProof/>
          <w:sz w:val="20"/>
        </w:rPr>
      </w:pPr>
      <w:r w:rsidRPr="00701F32">
        <w:rPr>
          <w:rFonts w:ascii="Arial" w:hAnsi="Arial" w:cs="Arial"/>
          <w:noProof/>
          <w:sz w:val="20"/>
        </w:rPr>
        <w:t>El saldo de las previsiones por riesgo de incobrabilidad asociadas a arrendamientos financieros asciende a  25.356 al cierre del ejercicio.</w:t>
      </w:r>
    </w:p>
    <w:p w14:paraId="2457CDF7" w14:textId="77777777" w:rsidR="00E07294" w:rsidRPr="00701F32" w:rsidRDefault="00E07294" w:rsidP="00E07294">
      <w:pPr>
        <w:widowControl w:val="0"/>
        <w:autoSpaceDE w:val="0"/>
        <w:autoSpaceDN w:val="0"/>
        <w:adjustRightInd w:val="0"/>
        <w:jc w:val="both"/>
        <w:rPr>
          <w:rFonts w:ascii="Arial" w:hAnsi="Arial" w:cs="Arial"/>
          <w:b/>
          <w:noProof/>
          <w:sz w:val="20"/>
        </w:rPr>
      </w:pPr>
    </w:p>
    <w:p w14:paraId="578551D9" w14:textId="77777777" w:rsidR="00E07294" w:rsidRPr="00701F32" w:rsidRDefault="00AF3A00" w:rsidP="00E07294">
      <w:pPr>
        <w:spacing w:after="160" w:line="259" w:lineRule="auto"/>
        <w:jc w:val="both"/>
        <w:rPr>
          <w:rFonts w:ascii="Arial" w:eastAsiaTheme="minorHAnsi" w:hAnsi="Arial" w:cs="Arial"/>
          <w:b/>
          <w:sz w:val="20"/>
        </w:rPr>
      </w:pPr>
      <w:r w:rsidRPr="00701F32">
        <w:rPr>
          <w:rFonts w:ascii="Arial" w:eastAsiaTheme="minorHAnsi" w:hAnsi="Arial" w:cs="Arial"/>
          <w:b/>
          <w:sz w:val="20"/>
        </w:rPr>
        <w:t>17</w:t>
      </w:r>
      <w:r w:rsidR="00E07294" w:rsidRPr="00701F32">
        <w:rPr>
          <w:rFonts w:ascii="Arial" w:eastAsiaTheme="minorHAnsi" w:hAnsi="Arial" w:cs="Arial"/>
          <w:b/>
          <w:sz w:val="20"/>
        </w:rPr>
        <w:t>.</w:t>
      </w:r>
      <w:r w:rsidR="00D2026A" w:rsidRPr="00701F32">
        <w:rPr>
          <w:rFonts w:ascii="Arial" w:eastAsiaTheme="minorHAnsi" w:hAnsi="Arial" w:cs="Arial"/>
          <w:b/>
          <w:sz w:val="20"/>
        </w:rPr>
        <w:t>5</w:t>
      </w:r>
      <w:r w:rsidR="00E07294" w:rsidRPr="00701F32">
        <w:rPr>
          <w:rFonts w:ascii="Arial" w:eastAsiaTheme="minorHAnsi" w:hAnsi="Arial" w:cs="Arial"/>
          <w:b/>
          <w:sz w:val="20"/>
        </w:rPr>
        <w:t xml:space="preserve"> Transferencia de Activos Financieros </w:t>
      </w:r>
    </w:p>
    <w:p w14:paraId="30A1D8DC" w14:textId="77777777" w:rsidR="00E07294" w:rsidRPr="00701F32" w:rsidRDefault="00E07294" w:rsidP="00E07294">
      <w:pPr>
        <w:pStyle w:val="Style1"/>
        <w:jc w:val="both"/>
        <w:rPr>
          <w:rFonts w:ascii="Arial" w:hAnsi="Arial" w:cs="Arial"/>
          <w:szCs w:val="20"/>
        </w:rPr>
      </w:pPr>
      <w:r w:rsidRPr="00701F32">
        <w:rPr>
          <w:rFonts w:ascii="Arial" w:hAnsi="Arial" w:cs="Arial"/>
          <w:szCs w:val="20"/>
        </w:rPr>
        <w:t xml:space="preserve">Cuando el Banco realiza la transferencia de un activo financiero bajo un acuerdo que cumple con los requisitos para dar de baja dicho activo pero aún continúa con el derecho de administración a cambio de una comisión, se reconoce el activo o pasivo por la comisión establecida en el contrato. </w:t>
      </w:r>
    </w:p>
    <w:p w14:paraId="4C094065" w14:textId="77777777" w:rsidR="00E07294" w:rsidRPr="00701F32" w:rsidRDefault="00E07294" w:rsidP="00E07294">
      <w:pPr>
        <w:pStyle w:val="Style1"/>
        <w:jc w:val="both"/>
        <w:rPr>
          <w:rFonts w:ascii="Arial" w:hAnsi="Arial" w:cs="Arial"/>
          <w:szCs w:val="20"/>
        </w:rPr>
      </w:pPr>
    </w:p>
    <w:p w14:paraId="19F83FAE" w14:textId="77777777" w:rsidR="00E07294" w:rsidRPr="00701F32" w:rsidRDefault="00E07294" w:rsidP="00E07294">
      <w:pPr>
        <w:pStyle w:val="Style1"/>
        <w:jc w:val="both"/>
        <w:rPr>
          <w:rFonts w:ascii="Arial" w:hAnsi="Arial" w:cs="Arial"/>
          <w:szCs w:val="20"/>
        </w:rPr>
      </w:pPr>
      <w:r w:rsidRPr="00701F32">
        <w:rPr>
          <w:rFonts w:ascii="Arial" w:hAnsi="Arial" w:cs="Arial"/>
          <w:szCs w:val="20"/>
        </w:rPr>
        <w:t xml:space="preserve">Al realizar la baja del activo financiero, la diferencia entre el valor de libros y el recibido en contrapartida es imputado a resultados. </w:t>
      </w:r>
    </w:p>
    <w:p w14:paraId="63AFB9A5" w14:textId="77777777" w:rsidR="00E07294" w:rsidRPr="00701F32" w:rsidRDefault="00E07294" w:rsidP="00E07294">
      <w:pPr>
        <w:pStyle w:val="Style1"/>
        <w:jc w:val="both"/>
        <w:rPr>
          <w:rFonts w:ascii="Arial" w:hAnsi="Arial" w:cs="Arial"/>
          <w:szCs w:val="20"/>
        </w:rPr>
      </w:pPr>
    </w:p>
    <w:p w14:paraId="6771DB10" w14:textId="77777777" w:rsidR="00E07294" w:rsidRPr="00701F32" w:rsidRDefault="00E07294" w:rsidP="00E07294">
      <w:pPr>
        <w:pStyle w:val="Style1"/>
        <w:jc w:val="both"/>
        <w:rPr>
          <w:rFonts w:ascii="Arial" w:hAnsi="Arial" w:cs="Arial"/>
          <w:szCs w:val="20"/>
          <w:u w:val="single"/>
        </w:rPr>
      </w:pPr>
      <w:r w:rsidRPr="00701F32">
        <w:rPr>
          <w:rFonts w:ascii="Arial" w:hAnsi="Arial" w:cs="Arial"/>
          <w:szCs w:val="20"/>
          <w:u w:val="single"/>
        </w:rPr>
        <w:t>Transferencias que no cumplen con los requisitos para dar de baja los activos financieros cedidos</w:t>
      </w:r>
    </w:p>
    <w:p w14:paraId="15EDD2C7" w14:textId="77777777" w:rsidR="00E07294" w:rsidRPr="00701F32" w:rsidRDefault="00E07294" w:rsidP="00E07294">
      <w:pPr>
        <w:pStyle w:val="Style1"/>
        <w:jc w:val="both"/>
        <w:rPr>
          <w:rFonts w:ascii="Arial" w:hAnsi="Arial" w:cs="Arial"/>
          <w:szCs w:val="20"/>
        </w:rPr>
      </w:pPr>
    </w:p>
    <w:p w14:paraId="5FBBC73A" w14:textId="77777777" w:rsidR="00E07294" w:rsidRPr="00701F32" w:rsidRDefault="00E07294" w:rsidP="00E07294">
      <w:pPr>
        <w:pStyle w:val="Style1"/>
        <w:jc w:val="both"/>
        <w:rPr>
          <w:rFonts w:ascii="Arial" w:hAnsi="Arial" w:cs="Arial"/>
          <w:szCs w:val="20"/>
        </w:rPr>
      </w:pPr>
      <w:r w:rsidRPr="00701F32">
        <w:rPr>
          <w:rFonts w:ascii="Arial" w:hAnsi="Arial" w:cs="Arial"/>
          <w:szCs w:val="20"/>
        </w:rPr>
        <w:t xml:space="preserve">A continuación se detallan los activos financieros transferidos por el </w:t>
      </w:r>
      <w:r w:rsidR="00223B86" w:rsidRPr="00701F32">
        <w:rPr>
          <w:rFonts w:ascii="Arial" w:hAnsi="Arial" w:cs="Arial"/>
          <w:szCs w:val="20"/>
        </w:rPr>
        <w:t xml:space="preserve">Banco </w:t>
      </w:r>
      <w:r w:rsidRPr="00701F32">
        <w:rPr>
          <w:rFonts w:ascii="Arial" w:hAnsi="Arial" w:cs="Arial"/>
          <w:szCs w:val="20"/>
        </w:rPr>
        <w:t>que se continuan reconociendo en sus estados financieros consolidados:</w:t>
      </w:r>
    </w:p>
    <w:p w14:paraId="1C2FC0F4" w14:textId="77777777" w:rsidR="00576023" w:rsidRPr="00701F32" w:rsidRDefault="00576023" w:rsidP="00E07294">
      <w:pPr>
        <w:pStyle w:val="Style1"/>
        <w:jc w:val="both"/>
        <w:rPr>
          <w:rFonts w:ascii="Arial" w:hAnsi="Arial" w:cs="Arial"/>
          <w:szCs w:val="20"/>
        </w:rPr>
      </w:pPr>
    </w:p>
    <w:tbl>
      <w:tblPr>
        <w:tblStyle w:val="Tablaconcuadrcula"/>
        <w:tblW w:w="8803" w:type="dxa"/>
        <w:tblLook w:val="04A0" w:firstRow="1" w:lastRow="0" w:firstColumn="1" w:lastColumn="0" w:noHBand="0" w:noVBand="1"/>
      </w:tblPr>
      <w:tblGrid>
        <w:gridCol w:w="2933"/>
        <w:gridCol w:w="2933"/>
        <w:gridCol w:w="2937"/>
      </w:tblGrid>
      <w:tr w:rsidR="00E07294" w:rsidRPr="00701F32" w14:paraId="38C14977" w14:textId="77777777" w:rsidTr="00464C0F">
        <w:trPr>
          <w:trHeight w:val="274"/>
          <w:tblHeader/>
        </w:trPr>
        <w:tc>
          <w:tcPr>
            <w:tcW w:w="2933" w:type="dxa"/>
            <w:vMerge w:val="restart"/>
            <w:vAlign w:val="center"/>
          </w:tcPr>
          <w:p w14:paraId="6A4EF803" w14:textId="77777777" w:rsidR="00E07294" w:rsidRPr="00701F32" w:rsidRDefault="00E07294" w:rsidP="00464C0F">
            <w:pPr>
              <w:pStyle w:val="Style1"/>
              <w:jc w:val="both"/>
              <w:rPr>
                <w:rFonts w:ascii="Arial" w:hAnsi="Arial" w:cs="Arial"/>
                <w:b/>
                <w:sz w:val="18"/>
                <w:szCs w:val="20"/>
              </w:rPr>
            </w:pPr>
          </w:p>
        </w:tc>
        <w:tc>
          <w:tcPr>
            <w:tcW w:w="5870" w:type="dxa"/>
            <w:gridSpan w:val="2"/>
            <w:vAlign w:val="center"/>
          </w:tcPr>
          <w:p w14:paraId="728D7B54" w14:textId="77777777" w:rsidR="00E07294" w:rsidRPr="00701F32" w:rsidRDefault="00E07294" w:rsidP="00464C0F">
            <w:pPr>
              <w:pStyle w:val="Style1"/>
              <w:jc w:val="center"/>
              <w:rPr>
                <w:rFonts w:ascii="Arial" w:hAnsi="Arial" w:cs="Arial"/>
                <w:b/>
                <w:sz w:val="18"/>
                <w:szCs w:val="20"/>
              </w:rPr>
            </w:pPr>
            <w:r w:rsidRPr="00701F32">
              <w:rPr>
                <w:rFonts w:ascii="Arial" w:hAnsi="Arial" w:cs="Arial"/>
                <w:b/>
                <w:sz w:val="18"/>
                <w:szCs w:val="20"/>
              </w:rPr>
              <w:t>Al 31 de diciembre de 2017</w:t>
            </w:r>
          </w:p>
        </w:tc>
      </w:tr>
      <w:tr w:rsidR="00E07294" w:rsidRPr="00701F32" w14:paraId="5AE1A291" w14:textId="77777777" w:rsidTr="00464C0F">
        <w:trPr>
          <w:trHeight w:val="408"/>
          <w:tblHeader/>
        </w:trPr>
        <w:tc>
          <w:tcPr>
            <w:tcW w:w="2933" w:type="dxa"/>
            <w:vMerge/>
            <w:vAlign w:val="center"/>
          </w:tcPr>
          <w:p w14:paraId="6A2C2F1F" w14:textId="77777777" w:rsidR="00E07294" w:rsidRPr="00701F32" w:rsidRDefault="00E07294" w:rsidP="00464C0F">
            <w:pPr>
              <w:pStyle w:val="Style1"/>
              <w:jc w:val="both"/>
              <w:rPr>
                <w:rFonts w:ascii="Arial" w:hAnsi="Arial" w:cs="Arial"/>
                <w:b/>
                <w:sz w:val="18"/>
                <w:szCs w:val="20"/>
              </w:rPr>
            </w:pPr>
          </w:p>
        </w:tc>
        <w:tc>
          <w:tcPr>
            <w:tcW w:w="2933" w:type="dxa"/>
            <w:vAlign w:val="center"/>
          </w:tcPr>
          <w:p w14:paraId="3C18B0BF" w14:textId="77777777" w:rsidR="00E07294" w:rsidRPr="00701F32" w:rsidRDefault="00E07294" w:rsidP="00464C0F">
            <w:pPr>
              <w:pStyle w:val="Style1"/>
              <w:jc w:val="center"/>
              <w:rPr>
                <w:rFonts w:ascii="Arial" w:hAnsi="Arial" w:cs="Arial"/>
                <w:b/>
                <w:sz w:val="18"/>
                <w:szCs w:val="20"/>
              </w:rPr>
            </w:pPr>
            <w:r w:rsidRPr="00701F32">
              <w:rPr>
                <w:rFonts w:ascii="Arial" w:hAnsi="Arial" w:cs="Arial"/>
                <w:b/>
                <w:sz w:val="18"/>
                <w:szCs w:val="20"/>
              </w:rPr>
              <w:t>Valor libro de activos</w:t>
            </w:r>
          </w:p>
        </w:tc>
        <w:tc>
          <w:tcPr>
            <w:tcW w:w="2937" w:type="dxa"/>
            <w:vAlign w:val="center"/>
          </w:tcPr>
          <w:p w14:paraId="1A416C3A" w14:textId="77777777" w:rsidR="00E07294" w:rsidRPr="00701F32" w:rsidRDefault="00E07294" w:rsidP="00464C0F">
            <w:pPr>
              <w:pStyle w:val="Style1"/>
              <w:jc w:val="center"/>
              <w:rPr>
                <w:rFonts w:ascii="Arial" w:hAnsi="Arial" w:cs="Arial"/>
                <w:b/>
                <w:sz w:val="18"/>
                <w:szCs w:val="20"/>
              </w:rPr>
            </w:pPr>
            <w:r w:rsidRPr="00701F32">
              <w:rPr>
                <w:rFonts w:ascii="Arial" w:hAnsi="Arial" w:cs="Arial"/>
                <w:b/>
                <w:sz w:val="18"/>
                <w:szCs w:val="20"/>
              </w:rPr>
              <w:t>Valor libro de los pasivos asociados</w:t>
            </w:r>
          </w:p>
        </w:tc>
      </w:tr>
      <w:tr w:rsidR="00E07294" w:rsidRPr="00701F32" w14:paraId="44976BF5" w14:textId="77777777" w:rsidTr="0086282C">
        <w:trPr>
          <w:trHeight w:val="141"/>
        </w:trPr>
        <w:tc>
          <w:tcPr>
            <w:tcW w:w="2933" w:type="dxa"/>
          </w:tcPr>
          <w:p w14:paraId="1D26890B" w14:textId="77777777" w:rsidR="00E07294" w:rsidRPr="00701F32" w:rsidRDefault="00223B86" w:rsidP="00464C0F">
            <w:pPr>
              <w:pStyle w:val="Style1"/>
              <w:jc w:val="both"/>
              <w:rPr>
                <w:rFonts w:ascii="Arial" w:hAnsi="Arial" w:cs="Arial"/>
                <w:sz w:val="18"/>
                <w:szCs w:val="20"/>
              </w:rPr>
            </w:pPr>
            <w:r w:rsidRPr="00701F32">
              <w:rPr>
                <w:rFonts w:ascii="Arial" w:hAnsi="Arial" w:cs="Arial"/>
                <w:sz w:val="18"/>
                <w:szCs w:val="20"/>
              </w:rPr>
              <w:t>Préstamos personales cedidos a fideicomisos financieros</w:t>
            </w:r>
          </w:p>
        </w:tc>
        <w:tc>
          <w:tcPr>
            <w:tcW w:w="2933" w:type="dxa"/>
            <w:vAlign w:val="center"/>
          </w:tcPr>
          <w:p w14:paraId="6A6421D7" w14:textId="77777777" w:rsidR="00E07294" w:rsidRPr="00701F32" w:rsidRDefault="00A923F6">
            <w:pPr>
              <w:pStyle w:val="Style1"/>
              <w:jc w:val="right"/>
              <w:rPr>
                <w:rFonts w:ascii="Arial" w:hAnsi="Arial" w:cs="Arial"/>
                <w:sz w:val="18"/>
                <w:szCs w:val="20"/>
              </w:rPr>
            </w:pPr>
            <w:r w:rsidRPr="00701F32">
              <w:rPr>
                <w:rFonts w:ascii="Arial" w:hAnsi="Arial" w:cs="Arial"/>
                <w:sz w:val="18"/>
                <w:szCs w:val="20"/>
              </w:rPr>
              <w:t>1.345.522</w:t>
            </w:r>
          </w:p>
        </w:tc>
        <w:tc>
          <w:tcPr>
            <w:tcW w:w="2937" w:type="dxa"/>
            <w:vAlign w:val="center"/>
          </w:tcPr>
          <w:p w14:paraId="1E7333D0" w14:textId="77777777" w:rsidR="00E07294" w:rsidRPr="00701F32" w:rsidRDefault="00A923F6">
            <w:pPr>
              <w:pStyle w:val="Style1"/>
              <w:jc w:val="right"/>
              <w:rPr>
                <w:rFonts w:ascii="Arial" w:hAnsi="Arial" w:cs="Arial"/>
                <w:sz w:val="18"/>
                <w:szCs w:val="20"/>
              </w:rPr>
            </w:pPr>
            <w:r w:rsidRPr="00701F32">
              <w:rPr>
                <w:rFonts w:ascii="Arial" w:hAnsi="Arial" w:cs="Arial"/>
                <w:sz w:val="18"/>
                <w:szCs w:val="20"/>
              </w:rPr>
              <w:t>900.544</w:t>
            </w:r>
          </w:p>
        </w:tc>
      </w:tr>
      <w:tr w:rsidR="00A923F6" w:rsidRPr="00701F32" w14:paraId="4BDF26A6" w14:textId="77777777" w:rsidTr="00223B86">
        <w:trPr>
          <w:trHeight w:val="141"/>
        </w:trPr>
        <w:tc>
          <w:tcPr>
            <w:tcW w:w="2933" w:type="dxa"/>
          </w:tcPr>
          <w:p w14:paraId="00157518" w14:textId="77777777" w:rsidR="00A923F6" w:rsidRPr="00701F32" w:rsidDel="00223B86" w:rsidRDefault="00A923F6" w:rsidP="00464C0F">
            <w:pPr>
              <w:pStyle w:val="Style1"/>
              <w:jc w:val="both"/>
              <w:rPr>
                <w:rFonts w:ascii="Arial" w:hAnsi="Arial" w:cs="Arial"/>
                <w:sz w:val="18"/>
                <w:szCs w:val="20"/>
              </w:rPr>
            </w:pPr>
            <w:r w:rsidRPr="00701F32">
              <w:rPr>
                <w:rFonts w:ascii="Arial" w:hAnsi="Arial" w:cs="Arial"/>
                <w:sz w:val="18"/>
                <w:szCs w:val="20"/>
              </w:rPr>
              <w:t>Cartera cedida con recurso</w:t>
            </w:r>
          </w:p>
        </w:tc>
        <w:tc>
          <w:tcPr>
            <w:tcW w:w="2933" w:type="dxa"/>
            <w:vAlign w:val="center"/>
          </w:tcPr>
          <w:p w14:paraId="5239BA16" w14:textId="77777777" w:rsidR="00A923F6" w:rsidRPr="00701F32" w:rsidRDefault="00A923F6">
            <w:pPr>
              <w:pStyle w:val="Style1"/>
              <w:jc w:val="right"/>
              <w:rPr>
                <w:rFonts w:ascii="Arial" w:hAnsi="Arial" w:cs="Arial"/>
                <w:sz w:val="18"/>
                <w:szCs w:val="20"/>
              </w:rPr>
            </w:pPr>
            <w:r w:rsidRPr="00701F32">
              <w:rPr>
                <w:rFonts w:ascii="Arial" w:hAnsi="Arial" w:cs="Arial"/>
                <w:sz w:val="18"/>
                <w:szCs w:val="20"/>
              </w:rPr>
              <w:t>570.803</w:t>
            </w:r>
          </w:p>
        </w:tc>
        <w:tc>
          <w:tcPr>
            <w:tcW w:w="2937" w:type="dxa"/>
            <w:vAlign w:val="center"/>
          </w:tcPr>
          <w:p w14:paraId="0BA4C9D2" w14:textId="77777777" w:rsidR="00A923F6" w:rsidRPr="00701F32" w:rsidRDefault="00A923F6">
            <w:pPr>
              <w:pStyle w:val="Style1"/>
              <w:jc w:val="right"/>
              <w:rPr>
                <w:rFonts w:ascii="Arial" w:hAnsi="Arial" w:cs="Arial"/>
                <w:sz w:val="18"/>
                <w:szCs w:val="20"/>
              </w:rPr>
            </w:pPr>
            <w:r w:rsidRPr="00701F32">
              <w:rPr>
                <w:rFonts w:ascii="Arial" w:hAnsi="Arial" w:cs="Arial"/>
                <w:sz w:val="18"/>
                <w:szCs w:val="20"/>
              </w:rPr>
              <w:t>570.803</w:t>
            </w:r>
          </w:p>
        </w:tc>
      </w:tr>
    </w:tbl>
    <w:p w14:paraId="4ADA9255" w14:textId="77777777" w:rsidR="00E07294" w:rsidRPr="00701F32" w:rsidRDefault="00E07294" w:rsidP="00E07294">
      <w:pPr>
        <w:pStyle w:val="Style1"/>
        <w:jc w:val="both"/>
        <w:rPr>
          <w:rFonts w:ascii="Arial" w:hAnsi="Arial" w:cs="Arial"/>
          <w:szCs w:val="20"/>
        </w:rPr>
      </w:pPr>
    </w:p>
    <w:p w14:paraId="3E2CB386" w14:textId="77777777" w:rsidR="00E07294" w:rsidRPr="00701F32" w:rsidRDefault="00E07294" w:rsidP="00E07294">
      <w:pPr>
        <w:pStyle w:val="Style1"/>
        <w:jc w:val="both"/>
        <w:rPr>
          <w:rFonts w:ascii="Arial" w:hAnsi="Arial" w:cs="Arial"/>
          <w:szCs w:val="20"/>
        </w:rPr>
      </w:pPr>
      <w:r w:rsidRPr="00701F32">
        <w:rPr>
          <w:rFonts w:ascii="Arial" w:hAnsi="Arial" w:cs="Arial"/>
          <w:szCs w:val="20"/>
        </w:rPr>
        <w:t xml:space="preserve">Se detallan a continuación aquellas transferencias en las cuales </w:t>
      </w:r>
      <w:r w:rsidR="00223B86" w:rsidRPr="00701F32">
        <w:rPr>
          <w:rFonts w:ascii="Arial" w:hAnsi="Arial" w:cs="Arial"/>
          <w:szCs w:val="20"/>
        </w:rPr>
        <w:t>la Entidad</w:t>
      </w:r>
      <w:r w:rsidRPr="00701F32">
        <w:rPr>
          <w:rFonts w:ascii="Arial" w:hAnsi="Arial" w:cs="Arial"/>
          <w:szCs w:val="20"/>
        </w:rPr>
        <w:t xml:space="preserve"> continúa administrado los activos financieros cedidos:</w:t>
      </w:r>
    </w:p>
    <w:p w14:paraId="53F0040E" w14:textId="77777777" w:rsidR="00E07294" w:rsidRPr="00701F32" w:rsidRDefault="00E07294" w:rsidP="00E07294">
      <w:pPr>
        <w:pStyle w:val="Style1"/>
        <w:jc w:val="both"/>
        <w:rPr>
          <w:rFonts w:ascii="Arial" w:hAnsi="Arial" w:cs="Arial"/>
          <w:szCs w:val="20"/>
        </w:rPr>
      </w:pPr>
    </w:p>
    <w:p w14:paraId="39D867E6" w14:textId="77777777" w:rsidR="00A923F6" w:rsidRPr="00701F32" w:rsidRDefault="00A923F6" w:rsidP="00E07294">
      <w:pPr>
        <w:pStyle w:val="Style1"/>
        <w:jc w:val="both"/>
        <w:rPr>
          <w:rFonts w:ascii="Arial" w:hAnsi="Arial" w:cs="Arial"/>
          <w:szCs w:val="20"/>
        </w:rPr>
      </w:pPr>
      <w:r w:rsidRPr="00701F32">
        <w:rPr>
          <w:rFonts w:ascii="Arial" w:hAnsi="Arial" w:cs="Arial"/>
          <w:szCs w:val="20"/>
        </w:rPr>
        <w:t>El Banco puede vender en determinadas oportunidades, cartera con mora significativa sin recurso para el comprador. En estos casos, La entidad no retiene ningún riesgo ni beneficio sustancial sobre la cartera cedida, y por lo tanto la misma califica para su baja en cuentas</w:t>
      </w:r>
    </w:p>
    <w:p w14:paraId="3E16C217" w14:textId="77777777" w:rsidR="00E07294" w:rsidRPr="00701F32" w:rsidRDefault="00E07294" w:rsidP="00E07294">
      <w:pPr>
        <w:jc w:val="both"/>
        <w:rPr>
          <w:rFonts w:ascii="Arial" w:eastAsia="Arial" w:hAnsi="Arial" w:cs="Arial"/>
          <w:bCs/>
          <w:noProof/>
          <w:color w:val="000000"/>
          <w:sz w:val="20"/>
        </w:rPr>
      </w:pPr>
    </w:p>
    <w:p w14:paraId="240778DE" w14:textId="77777777" w:rsidR="00E07294" w:rsidRPr="00701F32" w:rsidRDefault="00AF3A00" w:rsidP="00E311C9">
      <w:pPr>
        <w:rPr>
          <w:rFonts w:ascii="Arial" w:hAnsi="Arial" w:cs="Arial"/>
          <w:b/>
          <w:lang w:eastAsia="es-ES"/>
        </w:rPr>
      </w:pPr>
      <w:r w:rsidRPr="00701F32">
        <w:rPr>
          <w:rFonts w:ascii="Arial" w:hAnsi="Arial" w:cs="Arial"/>
          <w:b/>
          <w:sz w:val="20"/>
          <w:lang w:eastAsia="es-ES"/>
        </w:rPr>
        <w:t>17</w:t>
      </w:r>
      <w:r w:rsidR="00E07294" w:rsidRPr="00701F32">
        <w:rPr>
          <w:rFonts w:ascii="Arial" w:hAnsi="Arial" w:cs="Arial"/>
          <w:b/>
          <w:sz w:val="20"/>
          <w:lang w:eastAsia="es-ES"/>
        </w:rPr>
        <w:t>.</w:t>
      </w:r>
      <w:r w:rsidR="00D2026A" w:rsidRPr="00701F32">
        <w:rPr>
          <w:rFonts w:ascii="Arial" w:hAnsi="Arial" w:cs="Arial"/>
          <w:b/>
          <w:sz w:val="20"/>
          <w:lang w:eastAsia="es-ES"/>
        </w:rPr>
        <w:t>6</w:t>
      </w:r>
      <w:r w:rsidR="00E07294" w:rsidRPr="00701F32">
        <w:rPr>
          <w:rFonts w:ascii="Arial" w:hAnsi="Arial" w:cs="Arial"/>
          <w:b/>
          <w:sz w:val="20"/>
          <w:lang w:eastAsia="es-ES"/>
        </w:rPr>
        <w:t xml:space="preserve"> Inversión en Otras Sociedades </w:t>
      </w:r>
    </w:p>
    <w:p w14:paraId="4DB4A0FC" w14:textId="77777777" w:rsidR="00E07294" w:rsidRPr="00701F32" w:rsidRDefault="00E07294" w:rsidP="00E07294">
      <w:pPr>
        <w:pStyle w:val="Lista"/>
        <w:ind w:left="502" w:hanging="502"/>
        <w:jc w:val="both"/>
        <w:rPr>
          <w:rFonts w:ascii="Arial" w:hAnsi="Arial" w:cs="Arial"/>
          <w:b/>
          <w:sz w:val="20"/>
          <w:szCs w:val="20"/>
          <w:u w:val="single"/>
          <w:lang w:val="es-AR"/>
        </w:rPr>
      </w:pPr>
    </w:p>
    <w:p w14:paraId="2590B033" w14:textId="77777777" w:rsidR="00E07294" w:rsidRPr="00701F32" w:rsidRDefault="00E07294" w:rsidP="00E07294">
      <w:pPr>
        <w:pStyle w:val="Lista"/>
        <w:ind w:left="502" w:hanging="502"/>
        <w:jc w:val="both"/>
        <w:rPr>
          <w:rFonts w:ascii="Arial" w:hAnsi="Arial" w:cs="Arial"/>
          <w:sz w:val="20"/>
          <w:szCs w:val="20"/>
          <w:lang w:val="es-AR"/>
        </w:rPr>
      </w:pPr>
      <w:r w:rsidRPr="00701F32">
        <w:rPr>
          <w:rFonts w:ascii="Arial" w:hAnsi="Arial" w:cs="Arial"/>
          <w:sz w:val="20"/>
          <w:szCs w:val="20"/>
          <w:lang w:val="es-AR"/>
        </w:rPr>
        <w:t xml:space="preserve">Las inversiones en otras sociedades al 31 de diciembre de 2017 son las siguientes: </w:t>
      </w:r>
    </w:p>
    <w:p w14:paraId="3AC46766" w14:textId="77777777" w:rsidR="00E07294" w:rsidRPr="00701F32" w:rsidRDefault="00E07294" w:rsidP="00E07294">
      <w:pPr>
        <w:pStyle w:val="Lista"/>
        <w:ind w:left="502" w:hanging="502"/>
        <w:jc w:val="both"/>
        <w:rPr>
          <w:rFonts w:ascii="Arial" w:hAnsi="Arial" w:cs="Arial"/>
          <w:sz w:val="20"/>
          <w:szCs w:val="20"/>
          <w:lang w:val="es-AR"/>
        </w:rPr>
      </w:pPr>
    </w:p>
    <w:tbl>
      <w:tblPr>
        <w:tblW w:w="7575" w:type="dxa"/>
        <w:tblInd w:w="75" w:type="dxa"/>
        <w:tblLayout w:type="fixed"/>
        <w:tblCellMar>
          <w:left w:w="70" w:type="dxa"/>
          <w:right w:w="70" w:type="dxa"/>
        </w:tblCellMar>
        <w:tblLook w:val="04A0" w:firstRow="1" w:lastRow="0" w:firstColumn="1" w:lastColumn="0" w:noHBand="0" w:noVBand="1"/>
      </w:tblPr>
      <w:tblGrid>
        <w:gridCol w:w="5590"/>
        <w:gridCol w:w="1985"/>
      </w:tblGrid>
      <w:tr w:rsidR="003A594F" w:rsidRPr="00701F32" w14:paraId="1EFDB095" w14:textId="77777777" w:rsidTr="000B2ED3">
        <w:trPr>
          <w:trHeight w:val="235"/>
        </w:trPr>
        <w:tc>
          <w:tcPr>
            <w:tcW w:w="5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F89DA" w14:textId="77777777" w:rsidR="003A594F" w:rsidRPr="00701F32" w:rsidRDefault="003A594F" w:rsidP="000B2ED3">
            <w:pPr>
              <w:jc w:val="both"/>
              <w:rPr>
                <w:rFonts w:ascii="Arial" w:hAnsi="Arial" w:cs="Arial"/>
                <w:b/>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E1822D9" w14:textId="77777777" w:rsidR="003A594F" w:rsidRPr="00701F32" w:rsidRDefault="003A594F" w:rsidP="000B2ED3">
            <w:pPr>
              <w:jc w:val="center"/>
              <w:rPr>
                <w:rFonts w:ascii="Arial" w:hAnsi="Arial" w:cs="Arial"/>
                <w:b/>
                <w:color w:val="000000"/>
                <w:sz w:val="18"/>
                <w:szCs w:val="18"/>
              </w:rPr>
            </w:pPr>
            <w:r w:rsidRPr="00701F32">
              <w:rPr>
                <w:rFonts w:ascii="Arial" w:hAnsi="Arial" w:cs="Arial"/>
                <w:b/>
                <w:color w:val="000000"/>
                <w:sz w:val="18"/>
                <w:szCs w:val="18"/>
              </w:rPr>
              <w:t>31/12/2017</w:t>
            </w:r>
          </w:p>
        </w:tc>
      </w:tr>
      <w:tr w:rsidR="003A594F" w:rsidRPr="00701F32" w14:paraId="0AFA6110"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056BFE21"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Mercado Abierto Electrónico S.A.</w:t>
            </w:r>
          </w:p>
        </w:tc>
        <w:tc>
          <w:tcPr>
            <w:tcW w:w="1985" w:type="dxa"/>
            <w:tcBorders>
              <w:top w:val="nil"/>
              <w:left w:val="nil"/>
              <w:bottom w:val="single" w:sz="4" w:space="0" w:color="auto"/>
              <w:right w:val="single" w:sz="4" w:space="0" w:color="auto"/>
            </w:tcBorders>
            <w:shd w:val="clear" w:color="auto" w:fill="auto"/>
            <w:noWrap/>
            <w:vAlign w:val="center"/>
            <w:hideMark/>
          </w:tcPr>
          <w:p w14:paraId="1B00DBBB"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4.610 </w:t>
            </w:r>
          </w:p>
        </w:tc>
      </w:tr>
      <w:tr w:rsidR="003A594F" w:rsidRPr="00701F32" w14:paraId="6D40C05C"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26A6B45"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Seguro de Depósitos S.A</w:t>
            </w:r>
          </w:p>
        </w:tc>
        <w:tc>
          <w:tcPr>
            <w:tcW w:w="1985" w:type="dxa"/>
            <w:tcBorders>
              <w:top w:val="nil"/>
              <w:left w:val="nil"/>
              <w:bottom w:val="single" w:sz="4" w:space="0" w:color="auto"/>
              <w:right w:val="single" w:sz="4" w:space="0" w:color="auto"/>
            </w:tcBorders>
            <w:shd w:val="clear" w:color="auto" w:fill="auto"/>
            <w:noWrap/>
            <w:vAlign w:val="center"/>
            <w:hideMark/>
          </w:tcPr>
          <w:p w14:paraId="07A20259"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1.614 </w:t>
            </w:r>
          </w:p>
        </w:tc>
      </w:tr>
      <w:tr w:rsidR="003A594F" w:rsidRPr="00701F32" w14:paraId="11515D52"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682073D1"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Compensador Electrónica S.A.</w:t>
            </w:r>
          </w:p>
        </w:tc>
        <w:tc>
          <w:tcPr>
            <w:tcW w:w="1985" w:type="dxa"/>
            <w:tcBorders>
              <w:top w:val="nil"/>
              <w:left w:val="nil"/>
              <w:bottom w:val="single" w:sz="4" w:space="0" w:color="auto"/>
              <w:right w:val="single" w:sz="4" w:space="0" w:color="auto"/>
            </w:tcBorders>
            <w:shd w:val="clear" w:color="auto" w:fill="auto"/>
            <w:noWrap/>
            <w:vAlign w:val="center"/>
            <w:hideMark/>
          </w:tcPr>
          <w:p w14:paraId="4008166E"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919 </w:t>
            </w:r>
          </w:p>
        </w:tc>
      </w:tr>
      <w:tr w:rsidR="003A594F" w:rsidRPr="00701F32" w14:paraId="070ED05C"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975C0B8"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Provincanje S.A.</w:t>
            </w:r>
          </w:p>
        </w:tc>
        <w:tc>
          <w:tcPr>
            <w:tcW w:w="1985" w:type="dxa"/>
            <w:tcBorders>
              <w:top w:val="nil"/>
              <w:left w:val="nil"/>
              <w:bottom w:val="single" w:sz="4" w:space="0" w:color="auto"/>
              <w:right w:val="single" w:sz="4" w:space="0" w:color="auto"/>
            </w:tcBorders>
            <w:shd w:val="clear" w:color="auto" w:fill="auto"/>
            <w:noWrap/>
            <w:vAlign w:val="center"/>
            <w:hideMark/>
          </w:tcPr>
          <w:p w14:paraId="356F39F2"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271 </w:t>
            </w:r>
          </w:p>
        </w:tc>
      </w:tr>
      <w:tr w:rsidR="003A594F" w:rsidRPr="00701F32" w14:paraId="65A71AE1"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E5C0BEC"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Cuyo Aval Sociedad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0C4246E9"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222 </w:t>
            </w:r>
          </w:p>
        </w:tc>
      </w:tr>
      <w:tr w:rsidR="003A594F" w:rsidRPr="00701F32" w14:paraId="4F2F6826"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6BF1975"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Argencontrol S.A.</w:t>
            </w:r>
          </w:p>
        </w:tc>
        <w:tc>
          <w:tcPr>
            <w:tcW w:w="1985" w:type="dxa"/>
            <w:tcBorders>
              <w:top w:val="nil"/>
              <w:left w:val="nil"/>
              <w:bottom w:val="single" w:sz="4" w:space="0" w:color="auto"/>
              <w:right w:val="single" w:sz="4" w:space="0" w:color="auto"/>
            </w:tcBorders>
            <w:shd w:val="clear" w:color="auto" w:fill="auto"/>
            <w:noWrap/>
            <w:vAlign w:val="center"/>
            <w:hideMark/>
          </w:tcPr>
          <w:p w14:paraId="7C4070AC"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125 </w:t>
            </w:r>
          </w:p>
        </w:tc>
      </w:tr>
      <w:tr w:rsidR="003A594F" w:rsidRPr="00701F32" w14:paraId="7855AF97"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68BB68C5"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Los Grobo Sociedad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78AF4E24"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68 </w:t>
            </w:r>
          </w:p>
        </w:tc>
      </w:tr>
      <w:tr w:rsidR="003A594F" w:rsidRPr="00701F32" w14:paraId="524A8E23"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0A3E1F15"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IEBA S.A.</w:t>
            </w:r>
          </w:p>
        </w:tc>
        <w:tc>
          <w:tcPr>
            <w:tcW w:w="1985" w:type="dxa"/>
            <w:tcBorders>
              <w:top w:val="nil"/>
              <w:left w:val="nil"/>
              <w:bottom w:val="single" w:sz="4" w:space="0" w:color="auto"/>
              <w:right w:val="single" w:sz="4" w:space="0" w:color="auto"/>
            </w:tcBorders>
            <w:shd w:val="clear" w:color="auto" w:fill="auto"/>
            <w:noWrap/>
            <w:vAlign w:val="center"/>
            <w:hideMark/>
          </w:tcPr>
          <w:p w14:paraId="0C3B1969"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61 </w:t>
            </w:r>
          </w:p>
        </w:tc>
      </w:tr>
      <w:tr w:rsidR="003A594F" w:rsidRPr="00701F32" w14:paraId="0F26D476"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113BA903" w14:textId="77777777" w:rsidR="003A594F" w:rsidRPr="00701F32" w:rsidRDefault="003A594F" w:rsidP="000B2ED3">
            <w:pPr>
              <w:jc w:val="both"/>
              <w:rPr>
                <w:rFonts w:ascii="Arial" w:hAnsi="Arial" w:cs="Arial"/>
                <w:color w:val="000000"/>
                <w:sz w:val="18"/>
                <w:szCs w:val="18"/>
              </w:rPr>
            </w:pPr>
            <w:r w:rsidRPr="00701F32">
              <w:rPr>
                <w:rFonts w:ascii="Arial" w:hAnsi="Arial" w:cs="Arial"/>
                <w:color w:val="000000"/>
                <w:sz w:val="18"/>
                <w:szCs w:val="18"/>
              </w:rPr>
              <w:t>Otras Sociedades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38CF98D4" w14:textId="77777777" w:rsidR="003A594F" w:rsidRPr="00701F32" w:rsidRDefault="003A594F" w:rsidP="000B2ED3">
            <w:pPr>
              <w:jc w:val="right"/>
              <w:rPr>
                <w:rFonts w:ascii="Arial" w:hAnsi="Arial" w:cs="Arial"/>
                <w:color w:val="000000"/>
                <w:sz w:val="18"/>
                <w:szCs w:val="18"/>
              </w:rPr>
            </w:pPr>
            <w:r w:rsidRPr="00701F32">
              <w:rPr>
                <w:rFonts w:ascii="Arial" w:hAnsi="Arial" w:cs="Arial"/>
                <w:color w:val="000000"/>
                <w:sz w:val="18"/>
                <w:szCs w:val="18"/>
              </w:rPr>
              <w:t xml:space="preserve">                            28 </w:t>
            </w:r>
          </w:p>
        </w:tc>
      </w:tr>
      <w:tr w:rsidR="003A594F" w:rsidRPr="00701F32" w14:paraId="6AC17F63"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FB1655E" w14:textId="77777777" w:rsidR="003A594F" w:rsidRPr="00701F32" w:rsidRDefault="003A594F" w:rsidP="000B2ED3">
            <w:pPr>
              <w:jc w:val="both"/>
              <w:rPr>
                <w:rFonts w:ascii="Arial" w:hAnsi="Arial" w:cs="Arial"/>
                <w:b/>
                <w:bCs/>
                <w:color w:val="000000"/>
                <w:sz w:val="18"/>
                <w:szCs w:val="18"/>
              </w:rPr>
            </w:pPr>
            <w:r w:rsidRPr="00701F32">
              <w:rPr>
                <w:rFonts w:ascii="Arial" w:hAnsi="Arial" w:cs="Arial"/>
                <w:b/>
                <w:bCs/>
                <w:color w:val="000000"/>
                <w:sz w:val="18"/>
                <w:szCs w:val="18"/>
              </w:rPr>
              <w:t>Total</w:t>
            </w:r>
          </w:p>
        </w:tc>
        <w:tc>
          <w:tcPr>
            <w:tcW w:w="1985" w:type="dxa"/>
            <w:tcBorders>
              <w:top w:val="nil"/>
              <w:left w:val="nil"/>
              <w:bottom w:val="single" w:sz="4" w:space="0" w:color="auto"/>
              <w:right w:val="single" w:sz="4" w:space="0" w:color="auto"/>
            </w:tcBorders>
            <w:shd w:val="clear" w:color="auto" w:fill="auto"/>
            <w:noWrap/>
            <w:vAlign w:val="center"/>
            <w:hideMark/>
          </w:tcPr>
          <w:p w14:paraId="338AB153" w14:textId="77777777" w:rsidR="003A594F" w:rsidRPr="00701F32" w:rsidRDefault="003A594F" w:rsidP="000B2ED3">
            <w:pPr>
              <w:jc w:val="right"/>
              <w:rPr>
                <w:rFonts w:ascii="Arial" w:hAnsi="Arial" w:cs="Arial"/>
                <w:b/>
                <w:bCs/>
                <w:color w:val="000000"/>
                <w:sz w:val="18"/>
                <w:szCs w:val="18"/>
              </w:rPr>
            </w:pPr>
            <w:r w:rsidRPr="00701F32">
              <w:rPr>
                <w:rFonts w:ascii="Arial" w:hAnsi="Arial" w:cs="Arial"/>
                <w:b/>
                <w:bCs/>
                <w:color w:val="000000"/>
                <w:sz w:val="18"/>
                <w:szCs w:val="18"/>
              </w:rPr>
              <w:t xml:space="preserve">                       7.918 </w:t>
            </w:r>
          </w:p>
        </w:tc>
      </w:tr>
    </w:tbl>
    <w:p w14:paraId="0200B14A" w14:textId="77777777" w:rsidR="005C4329" w:rsidRPr="00701F32" w:rsidRDefault="005C4329" w:rsidP="00701F32">
      <w:pPr>
        <w:pStyle w:val="Lista"/>
        <w:jc w:val="both"/>
        <w:rPr>
          <w:rFonts w:ascii="Arial" w:hAnsi="Arial" w:cs="Arial"/>
          <w:sz w:val="20"/>
          <w:szCs w:val="20"/>
          <w:lang w:val="es-AR"/>
        </w:rPr>
      </w:pPr>
    </w:p>
    <w:p w14:paraId="765EEEB0" w14:textId="77777777" w:rsidR="00E07294" w:rsidRPr="00701F32" w:rsidRDefault="00E07294" w:rsidP="00E07294">
      <w:pPr>
        <w:pStyle w:val="Lista"/>
        <w:ind w:left="0" w:firstLine="0"/>
        <w:jc w:val="both"/>
        <w:rPr>
          <w:rFonts w:ascii="Arial" w:hAnsi="Arial" w:cs="Arial"/>
          <w:sz w:val="20"/>
          <w:szCs w:val="20"/>
          <w:lang w:val="es-AR"/>
        </w:rPr>
      </w:pPr>
      <w:r w:rsidRPr="00701F32">
        <w:rPr>
          <w:rFonts w:ascii="Arial" w:hAnsi="Arial" w:cs="Arial"/>
          <w:sz w:val="20"/>
          <w:szCs w:val="20"/>
          <w:lang w:val="es-AR"/>
        </w:rPr>
        <w:t>A continuación, se detallan los movimientos ocurridos durante el ejercicio al 31 de diciembre de 2017:</w:t>
      </w:r>
    </w:p>
    <w:p w14:paraId="2F19F9D2" w14:textId="77777777" w:rsidR="00112DBE" w:rsidRPr="00701F32" w:rsidRDefault="00112DBE" w:rsidP="00E07294">
      <w:pPr>
        <w:pStyle w:val="Lista"/>
        <w:ind w:left="502" w:hanging="502"/>
        <w:jc w:val="both"/>
        <w:rPr>
          <w:rFonts w:ascii="Arial" w:hAnsi="Arial" w:cs="Arial"/>
          <w:sz w:val="20"/>
          <w:szCs w:val="20"/>
          <w:lang w:val="es-AR"/>
        </w:rPr>
      </w:pPr>
    </w:p>
    <w:tbl>
      <w:tblPr>
        <w:tblW w:w="7575" w:type="dxa"/>
        <w:jc w:val="center"/>
        <w:tblLayout w:type="fixed"/>
        <w:tblCellMar>
          <w:left w:w="70" w:type="dxa"/>
          <w:right w:w="70" w:type="dxa"/>
        </w:tblCellMar>
        <w:tblLook w:val="04A0" w:firstRow="1" w:lastRow="0" w:firstColumn="1" w:lastColumn="0" w:noHBand="0" w:noVBand="1"/>
      </w:tblPr>
      <w:tblGrid>
        <w:gridCol w:w="4031"/>
        <w:gridCol w:w="1276"/>
        <w:gridCol w:w="1134"/>
        <w:gridCol w:w="1134"/>
      </w:tblGrid>
      <w:tr w:rsidR="000C735B" w:rsidRPr="00701F32" w14:paraId="7283192C" w14:textId="77777777" w:rsidTr="005819B2">
        <w:trPr>
          <w:trHeight w:val="444"/>
          <w:jc w:val="center"/>
        </w:trPr>
        <w:tc>
          <w:tcPr>
            <w:tcW w:w="40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46FE29" w14:textId="77777777" w:rsidR="000C735B" w:rsidRPr="00701F32" w:rsidRDefault="000C735B" w:rsidP="000B2ED3">
            <w:pPr>
              <w:jc w:val="center"/>
              <w:rPr>
                <w:rFonts w:ascii="Arial" w:hAnsi="Arial" w:cs="Arial"/>
                <w:b/>
                <w:bCs/>
                <w:color w:val="000000"/>
                <w:sz w:val="16"/>
                <w:szCs w:val="16"/>
                <w:lang w:eastAsia="es-AR"/>
              </w:rPr>
            </w:pPr>
            <w:r w:rsidRPr="00701F32">
              <w:rPr>
                <w:rFonts w:ascii="Arial" w:hAnsi="Arial" w:cs="Arial"/>
                <w:b/>
                <w:bCs/>
                <w:color w:val="000000"/>
                <w:sz w:val="16"/>
                <w:szCs w:val="16"/>
              </w:rPr>
              <w:t>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91627B" w14:textId="77777777" w:rsidR="000C735B" w:rsidRPr="00701F32" w:rsidRDefault="000C735B" w:rsidP="000B2ED3">
            <w:pPr>
              <w:jc w:val="center"/>
              <w:rPr>
                <w:rFonts w:ascii="Arial" w:hAnsi="Arial" w:cs="Arial"/>
                <w:b/>
                <w:bCs/>
                <w:color w:val="000000"/>
                <w:sz w:val="16"/>
                <w:szCs w:val="16"/>
              </w:rPr>
            </w:pPr>
            <w:r w:rsidRPr="00701F32">
              <w:rPr>
                <w:rFonts w:ascii="Arial" w:hAnsi="Arial" w:cs="Arial"/>
                <w:b/>
                <w:bCs/>
                <w:color w:val="000000"/>
                <w:sz w:val="16"/>
                <w:szCs w:val="16"/>
              </w:rPr>
              <w:t>Saldo al 01/01/2017</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7BDEA1" w14:textId="77777777" w:rsidR="000C735B" w:rsidRPr="00701F32" w:rsidRDefault="000C735B" w:rsidP="000B2ED3">
            <w:pPr>
              <w:jc w:val="center"/>
              <w:rPr>
                <w:rFonts w:ascii="Arial" w:hAnsi="Arial" w:cs="Arial"/>
                <w:b/>
                <w:bCs/>
                <w:color w:val="000000"/>
                <w:sz w:val="16"/>
                <w:szCs w:val="16"/>
              </w:rPr>
            </w:pPr>
            <w:r w:rsidRPr="00701F32">
              <w:rPr>
                <w:rFonts w:ascii="Arial" w:hAnsi="Arial" w:cs="Arial"/>
                <w:b/>
                <w:bCs/>
                <w:color w:val="000000"/>
                <w:sz w:val="16"/>
                <w:szCs w:val="16"/>
              </w:rPr>
              <w:t>Incremento</w:t>
            </w:r>
          </w:p>
          <w:p w14:paraId="2B188714" w14:textId="77777777" w:rsidR="000C735B" w:rsidRPr="00701F32" w:rsidRDefault="000C735B" w:rsidP="000B2ED3">
            <w:pPr>
              <w:jc w:val="center"/>
              <w:rPr>
                <w:rFonts w:ascii="Arial" w:hAnsi="Arial" w:cs="Arial"/>
                <w:b/>
                <w:bCs/>
                <w:color w:val="000000"/>
                <w:sz w:val="16"/>
                <w:szCs w:val="16"/>
              </w:rPr>
            </w:pPr>
            <w:r w:rsidRPr="00701F32">
              <w:rPr>
                <w:rFonts w:ascii="Arial" w:hAnsi="Arial" w:cs="Arial"/>
                <w:b/>
                <w:bCs/>
                <w:color w:val="000000"/>
                <w:sz w:val="16"/>
                <w:szCs w:val="16"/>
              </w:rPr>
              <w:t>en ORI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2D3C5" w14:textId="77777777" w:rsidR="000C735B" w:rsidRPr="00701F32" w:rsidRDefault="000C735B" w:rsidP="000B2ED3">
            <w:pPr>
              <w:jc w:val="center"/>
              <w:rPr>
                <w:rFonts w:ascii="Arial" w:hAnsi="Arial" w:cs="Arial"/>
                <w:b/>
                <w:bCs/>
                <w:color w:val="000000"/>
                <w:sz w:val="16"/>
                <w:szCs w:val="16"/>
              </w:rPr>
            </w:pPr>
            <w:r w:rsidRPr="00701F32">
              <w:rPr>
                <w:rFonts w:ascii="Arial" w:hAnsi="Arial" w:cs="Arial"/>
                <w:b/>
                <w:bCs/>
                <w:color w:val="000000"/>
                <w:sz w:val="16"/>
                <w:szCs w:val="16"/>
              </w:rPr>
              <w:t>Saldo al 31/12/2017</w:t>
            </w:r>
          </w:p>
        </w:tc>
      </w:tr>
      <w:tr w:rsidR="000C735B" w:rsidRPr="00701F32" w14:paraId="3765F012" w14:textId="77777777" w:rsidTr="005819B2">
        <w:trPr>
          <w:trHeight w:val="666"/>
          <w:jc w:val="center"/>
        </w:trPr>
        <w:tc>
          <w:tcPr>
            <w:tcW w:w="4031" w:type="dxa"/>
            <w:vMerge/>
            <w:tcBorders>
              <w:top w:val="single" w:sz="4" w:space="0" w:color="auto"/>
              <w:left w:val="single" w:sz="4" w:space="0" w:color="auto"/>
              <w:bottom w:val="single" w:sz="4" w:space="0" w:color="000000"/>
              <w:right w:val="single" w:sz="4" w:space="0" w:color="auto"/>
            </w:tcBorders>
            <w:vAlign w:val="center"/>
            <w:hideMark/>
          </w:tcPr>
          <w:p w14:paraId="2A69A505" w14:textId="77777777" w:rsidR="000C735B" w:rsidRPr="00701F32" w:rsidRDefault="000C735B" w:rsidP="000B2ED3">
            <w:pPr>
              <w:rPr>
                <w:rFonts w:ascii="Arial" w:hAnsi="Arial" w:cs="Arial"/>
                <w:b/>
                <w:bCs/>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1EC8A5B" w14:textId="77777777" w:rsidR="000C735B" w:rsidRPr="00701F32" w:rsidRDefault="000C735B" w:rsidP="000B2ED3">
            <w:pPr>
              <w:rPr>
                <w:rFonts w:ascii="Arial" w:hAnsi="Arial" w:cs="Arial"/>
                <w:b/>
                <w:bCs/>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A84A138" w14:textId="77777777" w:rsidR="000C735B" w:rsidRPr="00701F32" w:rsidRDefault="000C735B" w:rsidP="000B2ED3">
            <w:pPr>
              <w:rPr>
                <w:rFonts w:ascii="Arial" w:hAnsi="Arial" w:cs="Arial"/>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29CB38" w14:textId="77777777" w:rsidR="000C735B" w:rsidRPr="00701F32" w:rsidRDefault="000C735B" w:rsidP="000B2ED3">
            <w:pPr>
              <w:rPr>
                <w:rFonts w:ascii="Arial" w:hAnsi="Arial" w:cs="Arial"/>
                <w:b/>
                <w:bCs/>
                <w:color w:val="000000"/>
                <w:sz w:val="16"/>
                <w:szCs w:val="16"/>
              </w:rPr>
            </w:pPr>
          </w:p>
        </w:tc>
      </w:tr>
      <w:tr w:rsidR="000C735B" w:rsidRPr="00701F32" w14:paraId="13C020E4"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5CB7BC60"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Mercado Abierto Electrónico S.A.</w:t>
            </w:r>
          </w:p>
        </w:tc>
        <w:tc>
          <w:tcPr>
            <w:tcW w:w="1276" w:type="dxa"/>
            <w:tcBorders>
              <w:top w:val="nil"/>
              <w:left w:val="nil"/>
              <w:bottom w:val="single" w:sz="4" w:space="0" w:color="auto"/>
              <w:right w:val="single" w:sz="4" w:space="0" w:color="auto"/>
            </w:tcBorders>
            <w:shd w:val="clear" w:color="auto" w:fill="auto"/>
            <w:noWrap/>
            <w:vAlign w:val="center"/>
            <w:hideMark/>
          </w:tcPr>
          <w:p w14:paraId="0FC2A6EA"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61</w:t>
            </w:r>
          </w:p>
        </w:tc>
        <w:tc>
          <w:tcPr>
            <w:tcW w:w="1134" w:type="dxa"/>
            <w:tcBorders>
              <w:top w:val="nil"/>
              <w:left w:val="nil"/>
              <w:bottom w:val="single" w:sz="4" w:space="0" w:color="auto"/>
              <w:right w:val="single" w:sz="4" w:space="0" w:color="auto"/>
            </w:tcBorders>
            <w:shd w:val="clear" w:color="auto" w:fill="auto"/>
            <w:noWrap/>
            <w:vAlign w:val="center"/>
            <w:hideMark/>
          </w:tcPr>
          <w:p w14:paraId="398A1209"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4.549</w:t>
            </w:r>
          </w:p>
        </w:tc>
        <w:tc>
          <w:tcPr>
            <w:tcW w:w="1134" w:type="dxa"/>
            <w:tcBorders>
              <w:top w:val="nil"/>
              <w:left w:val="nil"/>
              <w:bottom w:val="single" w:sz="4" w:space="0" w:color="auto"/>
              <w:right w:val="single" w:sz="4" w:space="0" w:color="auto"/>
            </w:tcBorders>
            <w:shd w:val="clear" w:color="auto" w:fill="auto"/>
            <w:noWrap/>
            <w:vAlign w:val="center"/>
            <w:hideMark/>
          </w:tcPr>
          <w:p w14:paraId="00E2B180"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4.610</w:t>
            </w:r>
          </w:p>
        </w:tc>
      </w:tr>
      <w:tr w:rsidR="000C735B" w:rsidRPr="00701F32" w14:paraId="76FF341B"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4CBA96CE"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Seguro de Depósitos S.A</w:t>
            </w:r>
          </w:p>
        </w:tc>
        <w:tc>
          <w:tcPr>
            <w:tcW w:w="1276" w:type="dxa"/>
            <w:tcBorders>
              <w:top w:val="nil"/>
              <w:left w:val="nil"/>
              <w:bottom w:val="single" w:sz="4" w:space="0" w:color="auto"/>
              <w:right w:val="single" w:sz="4" w:space="0" w:color="auto"/>
            </w:tcBorders>
            <w:shd w:val="clear" w:color="auto" w:fill="auto"/>
            <w:noWrap/>
            <w:vAlign w:val="center"/>
            <w:hideMark/>
          </w:tcPr>
          <w:p w14:paraId="2D384939"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39</w:t>
            </w:r>
          </w:p>
        </w:tc>
        <w:tc>
          <w:tcPr>
            <w:tcW w:w="1134" w:type="dxa"/>
            <w:tcBorders>
              <w:top w:val="nil"/>
              <w:left w:val="nil"/>
              <w:bottom w:val="single" w:sz="4" w:space="0" w:color="auto"/>
              <w:right w:val="single" w:sz="4" w:space="0" w:color="auto"/>
            </w:tcBorders>
            <w:shd w:val="clear" w:color="auto" w:fill="auto"/>
            <w:noWrap/>
            <w:vAlign w:val="center"/>
            <w:hideMark/>
          </w:tcPr>
          <w:p w14:paraId="635DCC8C"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1.575</w:t>
            </w:r>
          </w:p>
        </w:tc>
        <w:tc>
          <w:tcPr>
            <w:tcW w:w="1134" w:type="dxa"/>
            <w:tcBorders>
              <w:top w:val="nil"/>
              <w:left w:val="nil"/>
              <w:bottom w:val="single" w:sz="4" w:space="0" w:color="auto"/>
              <w:right w:val="single" w:sz="4" w:space="0" w:color="auto"/>
            </w:tcBorders>
            <w:shd w:val="clear" w:color="auto" w:fill="auto"/>
            <w:noWrap/>
            <w:vAlign w:val="center"/>
            <w:hideMark/>
          </w:tcPr>
          <w:p w14:paraId="207D0395"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1.614</w:t>
            </w:r>
          </w:p>
        </w:tc>
      </w:tr>
      <w:tr w:rsidR="000C735B" w:rsidRPr="00701F32" w14:paraId="385070DA"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77EECDD"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Compensador Electrónica S.A.</w:t>
            </w:r>
          </w:p>
        </w:tc>
        <w:tc>
          <w:tcPr>
            <w:tcW w:w="1276" w:type="dxa"/>
            <w:tcBorders>
              <w:top w:val="nil"/>
              <w:left w:val="nil"/>
              <w:bottom w:val="single" w:sz="4" w:space="0" w:color="auto"/>
              <w:right w:val="single" w:sz="4" w:space="0" w:color="auto"/>
            </w:tcBorders>
            <w:shd w:val="clear" w:color="auto" w:fill="auto"/>
            <w:noWrap/>
            <w:vAlign w:val="center"/>
            <w:hideMark/>
          </w:tcPr>
          <w:p w14:paraId="1B51BA45"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54</w:t>
            </w:r>
          </w:p>
        </w:tc>
        <w:tc>
          <w:tcPr>
            <w:tcW w:w="1134" w:type="dxa"/>
            <w:tcBorders>
              <w:top w:val="nil"/>
              <w:left w:val="nil"/>
              <w:bottom w:val="single" w:sz="4" w:space="0" w:color="auto"/>
              <w:right w:val="single" w:sz="4" w:space="0" w:color="auto"/>
            </w:tcBorders>
            <w:shd w:val="clear" w:color="auto" w:fill="auto"/>
            <w:noWrap/>
            <w:vAlign w:val="center"/>
            <w:hideMark/>
          </w:tcPr>
          <w:p w14:paraId="2963B6B2"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865</w:t>
            </w:r>
          </w:p>
        </w:tc>
        <w:tc>
          <w:tcPr>
            <w:tcW w:w="1134" w:type="dxa"/>
            <w:tcBorders>
              <w:top w:val="nil"/>
              <w:left w:val="nil"/>
              <w:bottom w:val="single" w:sz="4" w:space="0" w:color="auto"/>
              <w:right w:val="single" w:sz="4" w:space="0" w:color="auto"/>
            </w:tcBorders>
            <w:shd w:val="clear" w:color="auto" w:fill="auto"/>
            <w:noWrap/>
            <w:vAlign w:val="center"/>
            <w:hideMark/>
          </w:tcPr>
          <w:p w14:paraId="71648508"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919</w:t>
            </w:r>
          </w:p>
        </w:tc>
      </w:tr>
      <w:tr w:rsidR="000C735B" w:rsidRPr="00701F32" w14:paraId="684322EC"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0106393C"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Provincanje S.A.</w:t>
            </w:r>
          </w:p>
        </w:tc>
        <w:tc>
          <w:tcPr>
            <w:tcW w:w="1276" w:type="dxa"/>
            <w:tcBorders>
              <w:top w:val="nil"/>
              <w:left w:val="nil"/>
              <w:bottom w:val="single" w:sz="4" w:space="0" w:color="auto"/>
              <w:right w:val="single" w:sz="4" w:space="0" w:color="auto"/>
            </w:tcBorders>
            <w:shd w:val="clear" w:color="auto" w:fill="auto"/>
            <w:noWrap/>
            <w:vAlign w:val="center"/>
            <w:hideMark/>
          </w:tcPr>
          <w:p w14:paraId="66CE64B2"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504</w:t>
            </w:r>
          </w:p>
        </w:tc>
        <w:tc>
          <w:tcPr>
            <w:tcW w:w="1134" w:type="dxa"/>
            <w:tcBorders>
              <w:top w:val="nil"/>
              <w:left w:val="nil"/>
              <w:bottom w:val="single" w:sz="4" w:space="0" w:color="auto"/>
              <w:right w:val="single" w:sz="4" w:space="0" w:color="auto"/>
            </w:tcBorders>
            <w:shd w:val="clear" w:color="auto" w:fill="auto"/>
            <w:noWrap/>
            <w:vAlign w:val="center"/>
            <w:hideMark/>
          </w:tcPr>
          <w:p w14:paraId="16F9FFD2"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-232</w:t>
            </w:r>
          </w:p>
        </w:tc>
        <w:tc>
          <w:tcPr>
            <w:tcW w:w="1134" w:type="dxa"/>
            <w:tcBorders>
              <w:top w:val="nil"/>
              <w:left w:val="nil"/>
              <w:bottom w:val="single" w:sz="4" w:space="0" w:color="auto"/>
              <w:right w:val="single" w:sz="4" w:space="0" w:color="auto"/>
            </w:tcBorders>
            <w:shd w:val="clear" w:color="auto" w:fill="auto"/>
            <w:noWrap/>
            <w:vAlign w:val="center"/>
            <w:hideMark/>
          </w:tcPr>
          <w:p w14:paraId="0FD7E399"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27</w:t>
            </w:r>
            <w:r w:rsidR="00ED7845" w:rsidRPr="00701F32">
              <w:rPr>
                <w:rFonts w:ascii="Arial" w:hAnsi="Arial" w:cs="Arial"/>
                <w:color w:val="000000"/>
                <w:sz w:val="16"/>
                <w:szCs w:val="16"/>
              </w:rPr>
              <w:t>2</w:t>
            </w:r>
          </w:p>
        </w:tc>
      </w:tr>
      <w:tr w:rsidR="000C735B" w:rsidRPr="00701F32" w14:paraId="30D1D7FB"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729F965E"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Cuyo Aval Sociedad de Garantía Recíproca</w:t>
            </w:r>
          </w:p>
        </w:tc>
        <w:tc>
          <w:tcPr>
            <w:tcW w:w="1276" w:type="dxa"/>
            <w:tcBorders>
              <w:top w:val="nil"/>
              <w:left w:val="nil"/>
              <w:bottom w:val="single" w:sz="4" w:space="0" w:color="auto"/>
              <w:right w:val="single" w:sz="4" w:space="0" w:color="auto"/>
            </w:tcBorders>
            <w:shd w:val="clear" w:color="auto" w:fill="auto"/>
            <w:noWrap/>
            <w:vAlign w:val="center"/>
            <w:hideMark/>
          </w:tcPr>
          <w:p w14:paraId="6F587DCB"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0DED972"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212</w:t>
            </w:r>
          </w:p>
        </w:tc>
        <w:tc>
          <w:tcPr>
            <w:tcW w:w="1134" w:type="dxa"/>
            <w:tcBorders>
              <w:top w:val="nil"/>
              <w:left w:val="nil"/>
              <w:bottom w:val="single" w:sz="4" w:space="0" w:color="auto"/>
              <w:right w:val="single" w:sz="4" w:space="0" w:color="auto"/>
            </w:tcBorders>
            <w:shd w:val="clear" w:color="auto" w:fill="auto"/>
            <w:noWrap/>
            <w:vAlign w:val="center"/>
            <w:hideMark/>
          </w:tcPr>
          <w:p w14:paraId="7048B843"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222</w:t>
            </w:r>
          </w:p>
        </w:tc>
      </w:tr>
      <w:tr w:rsidR="000C735B" w:rsidRPr="00701F32" w14:paraId="00FE6C67"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7D57728D"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Argencontrol S.A.</w:t>
            </w:r>
          </w:p>
        </w:tc>
        <w:tc>
          <w:tcPr>
            <w:tcW w:w="1276" w:type="dxa"/>
            <w:tcBorders>
              <w:top w:val="nil"/>
              <w:left w:val="nil"/>
              <w:bottom w:val="single" w:sz="4" w:space="0" w:color="auto"/>
              <w:right w:val="single" w:sz="4" w:space="0" w:color="auto"/>
            </w:tcBorders>
            <w:shd w:val="clear" w:color="auto" w:fill="auto"/>
            <w:noWrap/>
            <w:vAlign w:val="center"/>
            <w:hideMark/>
          </w:tcPr>
          <w:p w14:paraId="1ED2782C"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B58E7A9"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6CBBF04B"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125</w:t>
            </w:r>
          </w:p>
        </w:tc>
      </w:tr>
      <w:tr w:rsidR="000C735B" w:rsidRPr="00701F32" w14:paraId="3190347F"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B916856"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Los Grobo Sociedad de Garantía Recíproca</w:t>
            </w:r>
          </w:p>
        </w:tc>
        <w:tc>
          <w:tcPr>
            <w:tcW w:w="1276" w:type="dxa"/>
            <w:tcBorders>
              <w:top w:val="nil"/>
              <w:left w:val="nil"/>
              <w:bottom w:val="single" w:sz="4" w:space="0" w:color="auto"/>
              <w:right w:val="single" w:sz="4" w:space="0" w:color="auto"/>
            </w:tcBorders>
            <w:shd w:val="clear" w:color="auto" w:fill="auto"/>
            <w:noWrap/>
            <w:vAlign w:val="center"/>
            <w:hideMark/>
          </w:tcPr>
          <w:p w14:paraId="545C7892"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14:paraId="7A8A495C"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68</w:t>
            </w:r>
          </w:p>
        </w:tc>
        <w:tc>
          <w:tcPr>
            <w:tcW w:w="1134" w:type="dxa"/>
            <w:tcBorders>
              <w:top w:val="nil"/>
              <w:left w:val="nil"/>
              <w:bottom w:val="single" w:sz="4" w:space="0" w:color="auto"/>
              <w:right w:val="single" w:sz="4" w:space="0" w:color="auto"/>
            </w:tcBorders>
            <w:shd w:val="clear" w:color="auto" w:fill="auto"/>
            <w:noWrap/>
            <w:vAlign w:val="center"/>
            <w:hideMark/>
          </w:tcPr>
          <w:p w14:paraId="262D43D6"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68</w:t>
            </w:r>
          </w:p>
        </w:tc>
      </w:tr>
      <w:tr w:rsidR="000C735B" w:rsidRPr="00701F32" w14:paraId="1BFBE29D"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043AB81E"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IEBA S.A.</w:t>
            </w:r>
          </w:p>
        </w:tc>
        <w:tc>
          <w:tcPr>
            <w:tcW w:w="1276" w:type="dxa"/>
            <w:tcBorders>
              <w:top w:val="nil"/>
              <w:left w:val="nil"/>
              <w:bottom w:val="single" w:sz="4" w:space="0" w:color="auto"/>
              <w:right w:val="single" w:sz="4" w:space="0" w:color="auto"/>
            </w:tcBorders>
            <w:shd w:val="clear" w:color="auto" w:fill="auto"/>
            <w:noWrap/>
            <w:vAlign w:val="center"/>
            <w:hideMark/>
          </w:tcPr>
          <w:p w14:paraId="5BB6116B"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14:paraId="72C70A63"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61</w:t>
            </w:r>
          </w:p>
        </w:tc>
        <w:tc>
          <w:tcPr>
            <w:tcW w:w="1134" w:type="dxa"/>
            <w:tcBorders>
              <w:top w:val="nil"/>
              <w:left w:val="nil"/>
              <w:bottom w:val="single" w:sz="4" w:space="0" w:color="auto"/>
              <w:right w:val="single" w:sz="4" w:space="0" w:color="auto"/>
            </w:tcBorders>
            <w:shd w:val="clear" w:color="auto" w:fill="auto"/>
            <w:noWrap/>
            <w:vAlign w:val="center"/>
            <w:hideMark/>
          </w:tcPr>
          <w:p w14:paraId="58E673F8"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61</w:t>
            </w:r>
          </w:p>
        </w:tc>
      </w:tr>
      <w:tr w:rsidR="000C735B" w:rsidRPr="00701F32" w14:paraId="2A2AEEB4"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9315BA1"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Otras Sociedades de Garantía Recíproca</w:t>
            </w:r>
          </w:p>
        </w:tc>
        <w:tc>
          <w:tcPr>
            <w:tcW w:w="1276" w:type="dxa"/>
            <w:tcBorders>
              <w:top w:val="nil"/>
              <w:left w:val="nil"/>
              <w:bottom w:val="single" w:sz="4" w:space="0" w:color="auto"/>
              <w:right w:val="single" w:sz="4" w:space="0" w:color="auto"/>
            </w:tcBorders>
            <w:shd w:val="clear" w:color="auto" w:fill="auto"/>
            <w:noWrap/>
            <w:vAlign w:val="center"/>
            <w:hideMark/>
          </w:tcPr>
          <w:p w14:paraId="65950AF9"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42</w:t>
            </w:r>
          </w:p>
        </w:tc>
        <w:tc>
          <w:tcPr>
            <w:tcW w:w="1134" w:type="dxa"/>
            <w:tcBorders>
              <w:top w:val="nil"/>
              <w:left w:val="nil"/>
              <w:bottom w:val="single" w:sz="4" w:space="0" w:color="auto"/>
              <w:right w:val="single" w:sz="4" w:space="0" w:color="auto"/>
            </w:tcBorders>
            <w:shd w:val="clear" w:color="auto" w:fill="auto"/>
            <w:noWrap/>
            <w:vAlign w:val="center"/>
            <w:hideMark/>
          </w:tcPr>
          <w:p w14:paraId="21D2EA58"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3374FD6C" w14:textId="77777777" w:rsidR="000C735B" w:rsidRPr="00701F32" w:rsidRDefault="000C735B" w:rsidP="00941382">
            <w:pPr>
              <w:jc w:val="right"/>
              <w:rPr>
                <w:rFonts w:ascii="Arial" w:hAnsi="Arial" w:cs="Arial"/>
                <w:color w:val="000000"/>
                <w:sz w:val="16"/>
                <w:szCs w:val="16"/>
              </w:rPr>
            </w:pPr>
            <w:r w:rsidRPr="00701F32">
              <w:rPr>
                <w:rFonts w:ascii="Arial" w:hAnsi="Arial" w:cs="Arial"/>
                <w:color w:val="000000"/>
                <w:sz w:val="16"/>
                <w:szCs w:val="16"/>
              </w:rPr>
              <w:t>28</w:t>
            </w:r>
          </w:p>
        </w:tc>
      </w:tr>
      <w:tr w:rsidR="000C735B" w:rsidRPr="00701F32" w14:paraId="12D441CF" w14:textId="77777777" w:rsidTr="00941382">
        <w:trPr>
          <w:trHeight w:val="23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4C143A65" w14:textId="77777777" w:rsidR="000C735B" w:rsidRPr="00701F32" w:rsidRDefault="000C735B" w:rsidP="000B2ED3">
            <w:pPr>
              <w:jc w:val="both"/>
              <w:rPr>
                <w:rFonts w:ascii="Arial" w:hAnsi="Arial" w:cs="Arial"/>
                <w:b/>
                <w:bCs/>
                <w:color w:val="000000"/>
                <w:sz w:val="16"/>
                <w:szCs w:val="16"/>
              </w:rPr>
            </w:pPr>
            <w:r w:rsidRPr="00701F32">
              <w:rPr>
                <w:rFonts w:ascii="Arial" w:hAnsi="Arial" w:cs="Arial"/>
                <w:b/>
                <w:bCs/>
                <w:color w:val="000000"/>
                <w:sz w:val="16"/>
                <w:szCs w:val="16"/>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3F1107B6" w14:textId="77777777" w:rsidR="000C735B" w:rsidRPr="00701F32" w:rsidRDefault="00ED7845" w:rsidP="00941382">
            <w:pPr>
              <w:jc w:val="right"/>
              <w:rPr>
                <w:rFonts w:ascii="Arial" w:hAnsi="Arial" w:cs="Arial"/>
                <w:b/>
                <w:bCs/>
                <w:color w:val="000000"/>
                <w:sz w:val="16"/>
                <w:szCs w:val="16"/>
              </w:rPr>
            </w:pPr>
            <w:r w:rsidRPr="00701F32">
              <w:rPr>
                <w:rFonts w:ascii="Arial" w:hAnsi="Arial" w:cs="Arial"/>
                <w:b/>
                <w:bCs/>
                <w:color w:val="000000"/>
                <w:sz w:val="16"/>
                <w:szCs w:val="16"/>
              </w:rPr>
              <w:t>735</w:t>
            </w:r>
          </w:p>
        </w:tc>
        <w:tc>
          <w:tcPr>
            <w:tcW w:w="1134" w:type="dxa"/>
            <w:tcBorders>
              <w:top w:val="nil"/>
              <w:left w:val="nil"/>
              <w:bottom w:val="single" w:sz="4" w:space="0" w:color="auto"/>
              <w:right w:val="single" w:sz="4" w:space="0" w:color="auto"/>
            </w:tcBorders>
            <w:shd w:val="clear" w:color="auto" w:fill="auto"/>
            <w:noWrap/>
            <w:vAlign w:val="center"/>
            <w:hideMark/>
          </w:tcPr>
          <w:p w14:paraId="0B61B4DA" w14:textId="77777777" w:rsidR="000C735B" w:rsidRPr="00701F32" w:rsidRDefault="000C735B" w:rsidP="00941382">
            <w:pPr>
              <w:jc w:val="right"/>
              <w:rPr>
                <w:rFonts w:ascii="Arial" w:hAnsi="Arial" w:cs="Arial"/>
                <w:b/>
                <w:bCs/>
                <w:color w:val="000000"/>
                <w:sz w:val="16"/>
                <w:szCs w:val="16"/>
              </w:rPr>
            </w:pPr>
            <w:r w:rsidRPr="00701F32">
              <w:rPr>
                <w:rFonts w:ascii="Arial" w:hAnsi="Arial" w:cs="Arial"/>
                <w:b/>
                <w:bCs/>
                <w:color w:val="000000"/>
                <w:sz w:val="16"/>
                <w:szCs w:val="16"/>
              </w:rPr>
              <w:t>7.184</w:t>
            </w:r>
          </w:p>
        </w:tc>
        <w:tc>
          <w:tcPr>
            <w:tcW w:w="1134" w:type="dxa"/>
            <w:tcBorders>
              <w:top w:val="nil"/>
              <w:left w:val="nil"/>
              <w:bottom w:val="single" w:sz="4" w:space="0" w:color="auto"/>
              <w:right w:val="single" w:sz="4" w:space="0" w:color="auto"/>
            </w:tcBorders>
            <w:shd w:val="clear" w:color="auto" w:fill="auto"/>
            <w:noWrap/>
            <w:vAlign w:val="center"/>
            <w:hideMark/>
          </w:tcPr>
          <w:p w14:paraId="3E63B99B" w14:textId="77777777" w:rsidR="000C735B" w:rsidRPr="00701F32" w:rsidRDefault="000C735B" w:rsidP="00941382">
            <w:pPr>
              <w:jc w:val="right"/>
              <w:rPr>
                <w:rFonts w:ascii="Arial" w:hAnsi="Arial" w:cs="Arial"/>
                <w:b/>
                <w:bCs/>
                <w:color w:val="000000"/>
                <w:sz w:val="16"/>
                <w:szCs w:val="16"/>
              </w:rPr>
            </w:pPr>
            <w:r w:rsidRPr="00701F32">
              <w:rPr>
                <w:rFonts w:ascii="Arial" w:hAnsi="Arial" w:cs="Arial"/>
                <w:b/>
                <w:bCs/>
                <w:color w:val="000000"/>
                <w:sz w:val="16"/>
                <w:szCs w:val="16"/>
              </w:rPr>
              <w:t>7.91</w:t>
            </w:r>
            <w:r w:rsidR="00ED7845" w:rsidRPr="00701F32">
              <w:rPr>
                <w:rFonts w:ascii="Arial" w:hAnsi="Arial" w:cs="Arial"/>
                <w:b/>
                <w:bCs/>
                <w:color w:val="000000"/>
                <w:sz w:val="16"/>
                <w:szCs w:val="16"/>
              </w:rPr>
              <w:t>9</w:t>
            </w:r>
          </w:p>
        </w:tc>
      </w:tr>
    </w:tbl>
    <w:p w14:paraId="73ED5526" w14:textId="77777777" w:rsidR="00E07294" w:rsidRPr="00701F32" w:rsidRDefault="00E07294" w:rsidP="00E07294">
      <w:pPr>
        <w:jc w:val="both"/>
        <w:rPr>
          <w:rFonts w:ascii="Arial" w:eastAsia="Arial" w:hAnsi="Arial" w:cs="Arial"/>
          <w:bCs/>
          <w:noProof/>
          <w:color w:val="000000"/>
          <w:sz w:val="20"/>
        </w:rPr>
      </w:pPr>
    </w:p>
    <w:p w14:paraId="58FCE1D8" w14:textId="77777777" w:rsidR="004437AA" w:rsidRDefault="004437AA" w:rsidP="00E311C9">
      <w:pPr>
        <w:rPr>
          <w:rFonts w:ascii="Arial" w:eastAsiaTheme="minorHAnsi" w:hAnsi="Arial" w:cs="Arial"/>
          <w:b/>
          <w:sz w:val="20"/>
        </w:rPr>
      </w:pPr>
    </w:p>
    <w:p w14:paraId="33C193B4" w14:textId="77777777" w:rsidR="004437AA" w:rsidRDefault="004437AA" w:rsidP="00E311C9">
      <w:pPr>
        <w:rPr>
          <w:rFonts w:ascii="Arial" w:eastAsiaTheme="minorHAnsi" w:hAnsi="Arial" w:cs="Arial"/>
          <w:b/>
          <w:sz w:val="20"/>
        </w:rPr>
      </w:pPr>
    </w:p>
    <w:p w14:paraId="2E537573" w14:textId="77777777" w:rsidR="004437AA" w:rsidRDefault="004437AA" w:rsidP="00E311C9">
      <w:pPr>
        <w:rPr>
          <w:rFonts w:ascii="Arial" w:eastAsiaTheme="minorHAnsi" w:hAnsi="Arial" w:cs="Arial"/>
          <w:b/>
          <w:sz w:val="20"/>
        </w:rPr>
      </w:pPr>
    </w:p>
    <w:p w14:paraId="0254E4BA" w14:textId="77777777" w:rsidR="004437AA" w:rsidRDefault="004437AA" w:rsidP="00E311C9">
      <w:pPr>
        <w:rPr>
          <w:rFonts w:ascii="Arial" w:eastAsiaTheme="minorHAnsi" w:hAnsi="Arial" w:cs="Arial"/>
          <w:b/>
          <w:sz w:val="20"/>
        </w:rPr>
      </w:pPr>
    </w:p>
    <w:p w14:paraId="2742BE82" w14:textId="1DFCB267" w:rsidR="00E07294" w:rsidRPr="00701F32" w:rsidRDefault="006470AD" w:rsidP="00E311C9">
      <w:pPr>
        <w:rPr>
          <w:rFonts w:ascii="Arial" w:eastAsiaTheme="minorHAnsi" w:hAnsi="Arial" w:cs="Arial"/>
          <w:b/>
          <w:sz w:val="20"/>
        </w:rPr>
      </w:pPr>
      <w:r w:rsidRPr="00701F32">
        <w:rPr>
          <w:rFonts w:ascii="Arial" w:eastAsiaTheme="minorHAnsi" w:hAnsi="Arial" w:cs="Arial"/>
          <w:b/>
          <w:sz w:val="20"/>
        </w:rPr>
        <w:t>1</w:t>
      </w:r>
      <w:r w:rsidR="00AF3A00" w:rsidRPr="00701F32">
        <w:rPr>
          <w:rFonts w:ascii="Arial" w:eastAsiaTheme="minorHAnsi" w:hAnsi="Arial" w:cs="Arial"/>
          <w:b/>
          <w:sz w:val="20"/>
        </w:rPr>
        <w:t>7</w:t>
      </w:r>
      <w:r w:rsidR="00E07294" w:rsidRPr="00701F32">
        <w:rPr>
          <w:rFonts w:ascii="Arial" w:eastAsiaTheme="minorHAnsi" w:hAnsi="Arial" w:cs="Arial"/>
          <w:b/>
          <w:sz w:val="20"/>
        </w:rPr>
        <w:t>.</w:t>
      </w:r>
      <w:r w:rsidR="00D2026A" w:rsidRPr="00701F32">
        <w:rPr>
          <w:rFonts w:ascii="Arial" w:eastAsiaTheme="minorHAnsi" w:hAnsi="Arial" w:cs="Arial"/>
          <w:b/>
          <w:sz w:val="20"/>
        </w:rPr>
        <w:t>7</w:t>
      </w:r>
      <w:r w:rsidR="00E07294" w:rsidRPr="00701F32">
        <w:rPr>
          <w:rFonts w:ascii="Arial" w:eastAsiaTheme="minorHAnsi" w:hAnsi="Arial" w:cs="Arial"/>
          <w:sz w:val="20"/>
        </w:rPr>
        <w:t xml:space="preserve"> </w:t>
      </w:r>
      <w:r w:rsidR="00E07294" w:rsidRPr="00701F32">
        <w:rPr>
          <w:rFonts w:ascii="Arial" w:eastAsiaTheme="minorHAnsi" w:hAnsi="Arial" w:cs="Arial"/>
          <w:b/>
          <w:sz w:val="20"/>
        </w:rPr>
        <w:t xml:space="preserve">Inversión en Entidades Estructuradas </w:t>
      </w:r>
    </w:p>
    <w:p w14:paraId="5EDACE98" w14:textId="77777777" w:rsidR="00711FF0" w:rsidRPr="00701F32" w:rsidRDefault="00711FF0" w:rsidP="00E311C9">
      <w:pPr>
        <w:rPr>
          <w:rFonts w:ascii="Arial" w:eastAsiaTheme="minorHAnsi" w:hAnsi="Arial" w:cs="Arial"/>
          <w:b/>
          <w:color w:val="943634" w:themeColor="accent2" w:themeShade="BF"/>
          <w:sz w:val="20"/>
        </w:rPr>
      </w:pPr>
    </w:p>
    <w:p w14:paraId="4693421D" w14:textId="77777777" w:rsidR="00E07294" w:rsidRPr="00701F32" w:rsidRDefault="00E07294" w:rsidP="00E07294">
      <w:pPr>
        <w:spacing w:after="160"/>
        <w:jc w:val="both"/>
        <w:rPr>
          <w:rFonts w:ascii="Arial" w:eastAsiaTheme="minorHAnsi" w:hAnsi="Arial" w:cs="Arial"/>
          <w:sz w:val="20"/>
          <w:u w:val="single"/>
        </w:rPr>
      </w:pPr>
      <w:r w:rsidRPr="00701F32">
        <w:rPr>
          <w:rFonts w:ascii="Arial" w:eastAsiaTheme="minorHAnsi" w:hAnsi="Arial" w:cs="Arial"/>
          <w:sz w:val="20"/>
          <w:u w:val="single"/>
        </w:rPr>
        <w:t>Entidades Estructuradas Consolidadas</w:t>
      </w:r>
    </w:p>
    <w:p w14:paraId="1A5C37EA" w14:textId="77777777" w:rsidR="00E07294" w:rsidRPr="00701F32" w:rsidRDefault="00976052" w:rsidP="00E07294">
      <w:pPr>
        <w:spacing w:after="160"/>
        <w:jc w:val="both"/>
        <w:rPr>
          <w:rFonts w:ascii="Arial" w:eastAsiaTheme="minorHAnsi" w:hAnsi="Arial" w:cs="Arial"/>
          <w:sz w:val="20"/>
        </w:rPr>
      </w:pPr>
      <w:r w:rsidRPr="00701F32">
        <w:rPr>
          <w:rFonts w:ascii="Arial" w:eastAsiaTheme="minorHAnsi" w:hAnsi="Arial" w:cs="Arial"/>
          <w:sz w:val="20"/>
        </w:rPr>
        <w:t>La Entidad</w:t>
      </w:r>
      <w:r w:rsidR="00E07294" w:rsidRPr="00701F32">
        <w:rPr>
          <w:rFonts w:ascii="Arial" w:eastAsiaTheme="minorHAnsi" w:hAnsi="Arial" w:cs="Arial"/>
          <w:sz w:val="20"/>
        </w:rPr>
        <w:t xml:space="preserve"> controla una entidad estructurada cuando tiene los derechos sobre los resultados de las inversiones y además posee la capacidad de afectar dichos resultados mediante la administración de la entidad.</w:t>
      </w:r>
    </w:p>
    <w:p w14:paraId="5ED9DCA1" w14:textId="77777777" w:rsidR="00E07294" w:rsidRPr="00701F32" w:rsidRDefault="00E07294" w:rsidP="00E07294">
      <w:pPr>
        <w:spacing w:after="160"/>
        <w:jc w:val="both"/>
        <w:rPr>
          <w:rFonts w:ascii="Arial" w:eastAsiaTheme="minorHAnsi" w:hAnsi="Arial" w:cs="Arial"/>
          <w:sz w:val="20"/>
        </w:rPr>
      </w:pPr>
      <w:r w:rsidRPr="00701F32">
        <w:rPr>
          <w:rFonts w:ascii="Arial" w:eastAsiaTheme="minorHAnsi" w:hAnsi="Arial" w:cs="Arial"/>
          <w:sz w:val="20"/>
        </w:rPr>
        <w:t>Las entidades estructuradas son consolidadas desde el momento en que el Grupo posee el control sobre la misma.</w:t>
      </w:r>
    </w:p>
    <w:p w14:paraId="66F1F769" w14:textId="77777777" w:rsidR="00E07294" w:rsidRPr="00701F32" w:rsidRDefault="00E07294" w:rsidP="00E07294">
      <w:pPr>
        <w:spacing w:after="160"/>
        <w:jc w:val="both"/>
        <w:rPr>
          <w:rFonts w:ascii="Arial" w:eastAsiaTheme="minorHAnsi" w:hAnsi="Arial" w:cs="Arial"/>
          <w:sz w:val="20"/>
        </w:rPr>
      </w:pPr>
      <w:r w:rsidRPr="00701F32">
        <w:rPr>
          <w:rFonts w:ascii="Arial" w:eastAsiaTheme="minorHAnsi" w:hAnsi="Arial" w:cs="Arial"/>
          <w:sz w:val="20"/>
        </w:rPr>
        <w:t>La compañía evaluó los siguientes aspectos al momento de medir su participación:</w:t>
      </w:r>
    </w:p>
    <w:p w14:paraId="6BAD58B3"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La naturaleza y propósito de la relación</w:t>
      </w:r>
    </w:p>
    <w:p w14:paraId="7430B7E5"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Las actividades relevantes realizadas</w:t>
      </w:r>
    </w:p>
    <w:p w14:paraId="0C0BC98D"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La influencia en dichas actividades</w:t>
      </w:r>
    </w:p>
    <w:p w14:paraId="3B3FD55A"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El derecho que posee el inversor de definir las condiciones sobre las actividades relevantes</w:t>
      </w:r>
    </w:p>
    <w:p w14:paraId="1AE8C134"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Si el inversor está expuesto, o tiene derechos, a los rendimientos variables de su participación en la entidad estructurada</w:t>
      </w:r>
    </w:p>
    <w:p w14:paraId="6E48A3C1" w14:textId="77777777" w:rsidR="00E07294" w:rsidRPr="00701F32" w:rsidRDefault="00E07294" w:rsidP="00E07294">
      <w:pPr>
        <w:numPr>
          <w:ilvl w:val="0"/>
          <w:numId w:val="39"/>
        </w:numPr>
        <w:spacing w:after="160"/>
        <w:contextualSpacing/>
        <w:jc w:val="both"/>
        <w:rPr>
          <w:rFonts w:ascii="Arial" w:eastAsiaTheme="minorHAnsi" w:hAnsi="Arial" w:cs="Arial"/>
          <w:sz w:val="20"/>
        </w:rPr>
      </w:pPr>
      <w:r w:rsidRPr="00701F32">
        <w:rPr>
          <w:rFonts w:ascii="Arial" w:eastAsiaTheme="minorHAnsi" w:hAnsi="Arial" w:cs="Arial"/>
          <w:sz w:val="20"/>
        </w:rPr>
        <w:t>La influencia que puede ejercer el Grupo sobre los resultados de la entidad.</w:t>
      </w:r>
    </w:p>
    <w:p w14:paraId="1D5A1593" w14:textId="77777777" w:rsidR="008D246D" w:rsidRPr="00701F32" w:rsidRDefault="008D246D" w:rsidP="00E07294">
      <w:pPr>
        <w:spacing w:after="160"/>
        <w:jc w:val="both"/>
        <w:rPr>
          <w:rFonts w:ascii="Arial" w:eastAsiaTheme="minorHAnsi" w:hAnsi="Arial" w:cs="Arial"/>
          <w:sz w:val="20"/>
          <w:u w:val="single"/>
        </w:rPr>
      </w:pPr>
    </w:p>
    <w:p w14:paraId="077B4396" w14:textId="77777777" w:rsidR="00E07294" w:rsidRPr="00701F32" w:rsidRDefault="00E07294" w:rsidP="00E07294">
      <w:pPr>
        <w:spacing w:after="160"/>
        <w:jc w:val="both"/>
        <w:rPr>
          <w:rFonts w:ascii="Arial" w:eastAsiaTheme="minorHAnsi" w:hAnsi="Arial" w:cs="Arial"/>
          <w:sz w:val="20"/>
        </w:rPr>
      </w:pPr>
      <w:r w:rsidRPr="00701F32">
        <w:rPr>
          <w:rFonts w:ascii="Arial" w:eastAsiaTheme="minorHAnsi" w:hAnsi="Arial" w:cs="Arial"/>
          <w:sz w:val="20"/>
        </w:rPr>
        <w:t>Teniendo en cuenta lo mencionado anteriormente, las entidades estructuradas fueron consolidadas.</w:t>
      </w:r>
    </w:p>
    <w:p w14:paraId="1EDC8AF7" w14:textId="77777777" w:rsidR="00E07294" w:rsidRPr="00701F32" w:rsidRDefault="00E07294" w:rsidP="00E07294">
      <w:pPr>
        <w:spacing w:after="160"/>
        <w:jc w:val="both"/>
        <w:rPr>
          <w:rFonts w:ascii="Arial" w:eastAsiaTheme="minorHAnsi" w:hAnsi="Arial" w:cs="Arial"/>
          <w:sz w:val="20"/>
        </w:rPr>
      </w:pPr>
      <w:r w:rsidRPr="00701F32">
        <w:rPr>
          <w:rFonts w:ascii="Arial" w:eastAsiaTheme="minorHAnsi" w:hAnsi="Arial" w:cs="Arial"/>
          <w:sz w:val="20"/>
        </w:rPr>
        <w:t>Al 31 de diciembre de 2017 el valor contable de dichas participaciones fue el siguiente: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696"/>
      </w:tblGrid>
      <w:tr w:rsidR="00E07294" w:rsidRPr="00701F32" w14:paraId="789EA4A9" w14:textId="77777777" w:rsidTr="0086282C">
        <w:trPr>
          <w:trHeight w:val="265"/>
          <w:tblHeader/>
        </w:trPr>
        <w:tc>
          <w:tcPr>
            <w:tcW w:w="3116" w:type="dxa"/>
          </w:tcPr>
          <w:p w14:paraId="0DCBE56C" w14:textId="77777777" w:rsidR="00E07294" w:rsidRPr="00701F32" w:rsidRDefault="00E07294" w:rsidP="00464C0F">
            <w:pPr>
              <w:jc w:val="center"/>
              <w:rPr>
                <w:rFonts w:ascii="Arial" w:eastAsiaTheme="minorHAnsi" w:hAnsi="Arial" w:cs="Arial"/>
                <w:b/>
                <w:sz w:val="20"/>
              </w:rPr>
            </w:pPr>
          </w:p>
        </w:tc>
        <w:tc>
          <w:tcPr>
            <w:tcW w:w="2696" w:type="dxa"/>
          </w:tcPr>
          <w:p w14:paraId="622D22D8" w14:textId="77777777" w:rsidR="00E07294" w:rsidRPr="00701F32" w:rsidRDefault="00E07294" w:rsidP="00464C0F">
            <w:pPr>
              <w:jc w:val="right"/>
              <w:rPr>
                <w:rFonts w:ascii="Arial" w:eastAsiaTheme="minorHAnsi" w:hAnsi="Arial" w:cs="Arial"/>
                <w:b/>
                <w:sz w:val="20"/>
              </w:rPr>
            </w:pPr>
            <w:r w:rsidRPr="00701F32">
              <w:rPr>
                <w:rFonts w:ascii="Arial" w:eastAsiaTheme="minorHAnsi" w:hAnsi="Arial" w:cs="Arial"/>
                <w:b/>
                <w:sz w:val="20"/>
              </w:rPr>
              <w:t>31/12/2017</w:t>
            </w:r>
          </w:p>
        </w:tc>
      </w:tr>
      <w:tr w:rsidR="00E07294" w:rsidRPr="00701F32" w14:paraId="06BC70C5" w14:textId="77777777" w:rsidTr="0086282C">
        <w:trPr>
          <w:trHeight w:val="278"/>
        </w:trPr>
        <w:tc>
          <w:tcPr>
            <w:tcW w:w="3116" w:type="dxa"/>
          </w:tcPr>
          <w:p w14:paraId="791FF2AF"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Activo Corriente</w:t>
            </w:r>
          </w:p>
        </w:tc>
        <w:tc>
          <w:tcPr>
            <w:tcW w:w="2696" w:type="dxa"/>
          </w:tcPr>
          <w:p w14:paraId="59AE1730" w14:textId="77777777" w:rsidR="00E07294" w:rsidRPr="00701F32" w:rsidRDefault="008A7E29" w:rsidP="00464C0F">
            <w:pPr>
              <w:jc w:val="right"/>
              <w:rPr>
                <w:rFonts w:ascii="Arial" w:hAnsi="Arial" w:cs="Arial"/>
                <w:sz w:val="20"/>
              </w:rPr>
            </w:pPr>
            <w:r w:rsidRPr="00701F32">
              <w:rPr>
                <w:rFonts w:ascii="Arial" w:hAnsi="Arial" w:cs="Arial"/>
                <w:sz w:val="20"/>
              </w:rPr>
              <w:t>1.507.188</w:t>
            </w:r>
          </w:p>
        </w:tc>
      </w:tr>
      <w:tr w:rsidR="00E07294" w:rsidRPr="00701F32" w14:paraId="16038F61" w14:textId="77777777" w:rsidTr="0086282C">
        <w:trPr>
          <w:trHeight w:val="265"/>
        </w:trPr>
        <w:tc>
          <w:tcPr>
            <w:tcW w:w="3116" w:type="dxa"/>
          </w:tcPr>
          <w:p w14:paraId="063EF15D"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Activo No Corriente</w:t>
            </w:r>
          </w:p>
        </w:tc>
        <w:tc>
          <w:tcPr>
            <w:tcW w:w="2696" w:type="dxa"/>
          </w:tcPr>
          <w:p w14:paraId="37BE2E50" w14:textId="77777777" w:rsidR="00E07294" w:rsidRPr="00701F32" w:rsidRDefault="00E07294" w:rsidP="00464C0F">
            <w:pPr>
              <w:jc w:val="right"/>
              <w:rPr>
                <w:rFonts w:ascii="Arial" w:hAnsi="Arial" w:cs="Arial"/>
                <w:sz w:val="20"/>
              </w:rPr>
            </w:pPr>
            <w:r w:rsidRPr="00701F32">
              <w:rPr>
                <w:rFonts w:ascii="Arial" w:hAnsi="Arial" w:cs="Arial"/>
                <w:sz w:val="20"/>
              </w:rPr>
              <w:t>-</w:t>
            </w:r>
          </w:p>
        </w:tc>
      </w:tr>
      <w:tr w:rsidR="00E07294" w:rsidRPr="00701F32" w14:paraId="6D8ECACD" w14:textId="77777777" w:rsidTr="0086282C">
        <w:trPr>
          <w:trHeight w:val="278"/>
        </w:trPr>
        <w:tc>
          <w:tcPr>
            <w:tcW w:w="3116" w:type="dxa"/>
          </w:tcPr>
          <w:p w14:paraId="21A02753"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Activo Total</w:t>
            </w:r>
          </w:p>
        </w:tc>
        <w:tc>
          <w:tcPr>
            <w:tcW w:w="2696" w:type="dxa"/>
          </w:tcPr>
          <w:p w14:paraId="18115FA4" w14:textId="77777777" w:rsidR="00E07294" w:rsidRPr="00701F32" w:rsidRDefault="008A7E29" w:rsidP="00464C0F">
            <w:pPr>
              <w:jc w:val="right"/>
              <w:rPr>
                <w:rFonts w:ascii="Arial" w:hAnsi="Arial" w:cs="Arial"/>
                <w:sz w:val="20"/>
              </w:rPr>
            </w:pPr>
            <w:r w:rsidRPr="00701F32">
              <w:rPr>
                <w:rFonts w:ascii="Arial" w:hAnsi="Arial" w:cs="Arial"/>
                <w:sz w:val="20"/>
              </w:rPr>
              <w:t>1.507.188</w:t>
            </w:r>
          </w:p>
        </w:tc>
      </w:tr>
      <w:tr w:rsidR="00E07294" w:rsidRPr="00701F32" w14:paraId="5A573FE6" w14:textId="77777777" w:rsidTr="0086282C">
        <w:trPr>
          <w:trHeight w:val="265"/>
        </w:trPr>
        <w:tc>
          <w:tcPr>
            <w:tcW w:w="3116" w:type="dxa"/>
          </w:tcPr>
          <w:p w14:paraId="1A070B78"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Pasivo Corriente</w:t>
            </w:r>
          </w:p>
        </w:tc>
        <w:tc>
          <w:tcPr>
            <w:tcW w:w="2696" w:type="dxa"/>
          </w:tcPr>
          <w:p w14:paraId="1B4FAAC6" w14:textId="77777777" w:rsidR="00E07294" w:rsidRPr="00701F32" w:rsidRDefault="008A7E29" w:rsidP="00464C0F">
            <w:pPr>
              <w:jc w:val="right"/>
              <w:rPr>
                <w:rFonts w:ascii="Arial" w:hAnsi="Arial" w:cs="Arial"/>
                <w:sz w:val="20"/>
              </w:rPr>
            </w:pPr>
            <w:r w:rsidRPr="00701F32">
              <w:rPr>
                <w:rFonts w:ascii="Arial" w:hAnsi="Arial" w:cs="Arial"/>
                <w:sz w:val="20"/>
              </w:rPr>
              <w:t>899.974</w:t>
            </w:r>
          </w:p>
        </w:tc>
      </w:tr>
      <w:tr w:rsidR="00E07294" w:rsidRPr="00701F32" w14:paraId="5305A528" w14:textId="77777777" w:rsidTr="0086282C">
        <w:trPr>
          <w:trHeight w:val="265"/>
        </w:trPr>
        <w:tc>
          <w:tcPr>
            <w:tcW w:w="3116" w:type="dxa"/>
          </w:tcPr>
          <w:p w14:paraId="603B4FD1"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Pasivo No Corriente</w:t>
            </w:r>
          </w:p>
        </w:tc>
        <w:tc>
          <w:tcPr>
            <w:tcW w:w="2696" w:type="dxa"/>
          </w:tcPr>
          <w:p w14:paraId="5E71E907" w14:textId="77777777" w:rsidR="00E07294" w:rsidRPr="00701F32" w:rsidRDefault="00E07294" w:rsidP="00464C0F">
            <w:pPr>
              <w:jc w:val="right"/>
              <w:rPr>
                <w:rFonts w:ascii="Arial" w:hAnsi="Arial" w:cs="Arial"/>
                <w:sz w:val="20"/>
              </w:rPr>
            </w:pPr>
            <w:r w:rsidRPr="00701F32">
              <w:rPr>
                <w:rFonts w:ascii="Arial" w:hAnsi="Arial" w:cs="Arial"/>
                <w:sz w:val="20"/>
              </w:rPr>
              <w:t>-</w:t>
            </w:r>
          </w:p>
        </w:tc>
      </w:tr>
      <w:tr w:rsidR="00E07294" w:rsidRPr="00701F32" w14:paraId="327F4A44" w14:textId="77777777" w:rsidTr="0086282C">
        <w:trPr>
          <w:trHeight w:val="278"/>
        </w:trPr>
        <w:tc>
          <w:tcPr>
            <w:tcW w:w="3116" w:type="dxa"/>
          </w:tcPr>
          <w:p w14:paraId="1A9DD3CA"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Pasivo Total</w:t>
            </w:r>
          </w:p>
        </w:tc>
        <w:tc>
          <w:tcPr>
            <w:tcW w:w="2696" w:type="dxa"/>
          </w:tcPr>
          <w:p w14:paraId="33D2A135" w14:textId="77777777" w:rsidR="00E07294" w:rsidRPr="00701F32" w:rsidRDefault="008A7E29" w:rsidP="00464C0F">
            <w:pPr>
              <w:jc w:val="right"/>
              <w:rPr>
                <w:rFonts w:ascii="Arial" w:hAnsi="Arial" w:cs="Arial"/>
                <w:sz w:val="20"/>
              </w:rPr>
            </w:pPr>
            <w:r w:rsidRPr="00701F32">
              <w:rPr>
                <w:rFonts w:ascii="Arial" w:hAnsi="Arial" w:cs="Arial"/>
                <w:sz w:val="20"/>
              </w:rPr>
              <w:t>899.974</w:t>
            </w:r>
          </w:p>
        </w:tc>
      </w:tr>
      <w:tr w:rsidR="00E07294" w:rsidRPr="00701F32" w14:paraId="2E6979F3" w14:textId="77777777" w:rsidTr="0086282C">
        <w:trPr>
          <w:trHeight w:val="265"/>
        </w:trPr>
        <w:tc>
          <w:tcPr>
            <w:tcW w:w="3116" w:type="dxa"/>
          </w:tcPr>
          <w:p w14:paraId="5850EEA4"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Patrimonio Neto</w:t>
            </w:r>
          </w:p>
        </w:tc>
        <w:tc>
          <w:tcPr>
            <w:tcW w:w="2696" w:type="dxa"/>
          </w:tcPr>
          <w:p w14:paraId="33DFDE8C" w14:textId="77777777" w:rsidR="00E07294" w:rsidRPr="00701F32" w:rsidRDefault="008A7E29" w:rsidP="00464C0F">
            <w:pPr>
              <w:jc w:val="right"/>
              <w:rPr>
                <w:rFonts w:ascii="Arial" w:hAnsi="Arial" w:cs="Arial"/>
                <w:sz w:val="20"/>
              </w:rPr>
            </w:pPr>
            <w:r w:rsidRPr="00701F32">
              <w:rPr>
                <w:rFonts w:ascii="Arial" w:hAnsi="Arial" w:cs="Arial"/>
                <w:sz w:val="20"/>
              </w:rPr>
              <w:t>607.214</w:t>
            </w:r>
          </w:p>
        </w:tc>
      </w:tr>
      <w:tr w:rsidR="00E07294" w:rsidRPr="00701F32" w14:paraId="0AA65712" w14:textId="77777777" w:rsidTr="0086282C">
        <w:trPr>
          <w:trHeight w:val="265"/>
        </w:trPr>
        <w:tc>
          <w:tcPr>
            <w:tcW w:w="3116" w:type="dxa"/>
          </w:tcPr>
          <w:p w14:paraId="1F7837FF" w14:textId="77777777" w:rsidR="00E07294" w:rsidRPr="00701F32" w:rsidRDefault="00E07294" w:rsidP="00464C0F">
            <w:pPr>
              <w:jc w:val="both"/>
              <w:rPr>
                <w:rFonts w:ascii="Arial" w:eastAsiaTheme="minorHAnsi" w:hAnsi="Arial" w:cs="Arial"/>
                <w:sz w:val="20"/>
              </w:rPr>
            </w:pPr>
            <w:r w:rsidRPr="00701F32">
              <w:rPr>
                <w:rFonts w:ascii="Arial" w:eastAsiaTheme="minorHAnsi" w:hAnsi="Arial" w:cs="Arial"/>
                <w:sz w:val="20"/>
              </w:rPr>
              <w:t>Resultado</w:t>
            </w:r>
          </w:p>
        </w:tc>
        <w:tc>
          <w:tcPr>
            <w:tcW w:w="2696" w:type="dxa"/>
          </w:tcPr>
          <w:p w14:paraId="6208E782" w14:textId="77777777" w:rsidR="00E07294" w:rsidRPr="00701F32" w:rsidRDefault="00E07294" w:rsidP="00464C0F">
            <w:pPr>
              <w:jc w:val="right"/>
              <w:rPr>
                <w:rFonts w:ascii="Arial" w:hAnsi="Arial" w:cs="Arial"/>
                <w:sz w:val="20"/>
              </w:rPr>
            </w:pPr>
            <w:r w:rsidRPr="00701F32">
              <w:rPr>
                <w:rFonts w:ascii="Arial" w:hAnsi="Arial" w:cs="Arial"/>
                <w:sz w:val="20"/>
              </w:rPr>
              <w:t>51.953</w:t>
            </w:r>
          </w:p>
        </w:tc>
      </w:tr>
    </w:tbl>
    <w:p w14:paraId="2A671625" w14:textId="77777777" w:rsidR="00E07294" w:rsidRPr="00701F32" w:rsidRDefault="00E07294" w:rsidP="00E07294">
      <w:pPr>
        <w:spacing w:after="160"/>
        <w:jc w:val="both"/>
        <w:rPr>
          <w:rFonts w:ascii="Arial" w:eastAsiaTheme="minorHAnsi" w:hAnsi="Arial" w:cs="Arial"/>
          <w:sz w:val="20"/>
        </w:rPr>
      </w:pPr>
    </w:p>
    <w:p w14:paraId="4FC963A8" w14:textId="5B2D24E2" w:rsidR="00E07294" w:rsidRPr="00701F32" w:rsidRDefault="00AF3A00" w:rsidP="00E07294">
      <w:pPr>
        <w:spacing w:after="160" w:line="259" w:lineRule="auto"/>
        <w:jc w:val="both"/>
        <w:rPr>
          <w:rFonts w:ascii="Arial" w:eastAsia="Calibri" w:hAnsi="Arial" w:cs="Arial"/>
          <w:b/>
          <w:sz w:val="20"/>
        </w:rPr>
      </w:pPr>
      <w:r w:rsidRPr="00701F32">
        <w:rPr>
          <w:rFonts w:ascii="Arial" w:eastAsia="Calibri" w:hAnsi="Arial" w:cs="Arial"/>
          <w:b/>
          <w:sz w:val="20"/>
        </w:rPr>
        <w:t>17</w:t>
      </w:r>
      <w:r w:rsidR="00E07294" w:rsidRPr="00701F32">
        <w:rPr>
          <w:rFonts w:ascii="Arial" w:eastAsia="Calibri" w:hAnsi="Arial" w:cs="Arial"/>
          <w:b/>
          <w:sz w:val="20"/>
        </w:rPr>
        <w:t>.</w:t>
      </w:r>
      <w:r w:rsidR="00D2026A" w:rsidRPr="00701F32">
        <w:rPr>
          <w:rFonts w:ascii="Arial" w:eastAsia="Calibri" w:hAnsi="Arial" w:cs="Arial"/>
          <w:b/>
          <w:sz w:val="20"/>
        </w:rPr>
        <w:t>8</w:t>
      </w:r>
      <w:r w:rsidR="00E07294" w:rsidRPr="00701F32">
        <w:rPr>
          <w:rFonts w:ascii="Arial" w:eastAsia="Calibri" w:hAnsi="Arial" w:cs="Arial"/>
          <w:b/>
          <w:sz w:val="20"/>
        </w:rPr>
        <w:t xml:space="preserve"> Propiedad, planta y equipo</w:t>
      </w:r>
    </w:p>
    <w:p w14:paraId="4B57B9DC" w14:textId="39B67E55" w:rsidR="008B64DB"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propiedad, planta y equipo para </w:t>
      </w:r>
      <w:r w:rsidR="00976052" w:rsidRPr="00701F32">
        <w:rPr>
          <w:rFonts w:ascii="Arial" w:eastAsia="Calibri" w:hAnsi="Arial" w:cs="Arial"/>
          <w:sz w:val="20"/>
        </w:rPr>
        <w:t xml:space="preserve">el </w:t>
      </w:r>
      <w:r w:rsidRPr="00701F32">
        <w:rPr>
          <w:rFonts w:ascii="Arial" w:eastAsia="Calibri" w:hAnsi="Arial" w:cs="Arial"/>
          <w:sz w:val="20"/>
        </w:rPr>
        <w:t>ejercicio finalizado el 31 de diciembre 2017 fueron los siguientes</w:t>
      </w:r>
      <w:r w:rsidR="00B1569B" w:rsidRPr="00701F32">
        <w:rPr>
          <w:rFonts w:ascii="Arial" w:eastAsia="Calibri" w:hAnsi="Arial" w:cs="Arial"/>
          <w:sz w:val="20"/>
        </w:rPr>
        <w:t>:</w:t>
      </w:r>
    </w:p>
    <w:p w14:paraId="104BEA58" w14:textId="77777777" w:rsidR="002C3A48" w:rsidRPr="00701F32" w:rsidRDefault="002C3A48" w:rsidP="00E07294">
      <w:pPr>
        <w:spacing w:after="160" w:line="259" w:lineRule="auto"/>
        <w:jc w:val="both"/>
        <w:rPr>
          <w:rFonts w:ascii="Arial" w:eastAsia="Calibri" w:hAnsi="Arial" w:cs="Arial"/>
          <w:sz w:val="20"/>
        </w:rPr>
      </w:pPr>
    </w:p>
    <w:p w14:paraId="4B69FCF9" w14:textId="77777777" w:rsidR="002C3A48" w:rsidRPr="00701F32" w:rsidRDefault="002C3A48" w:rsidP="00E07294">
      <w:pPr>
        <w:spacing w:after="160" w:line="259" w:lineRule="auto"/>
        <w:jc w:val="both"/>
        <w:rPr>
          <w:rFonts w:ascii="Arial" w:eastAsia="Calibri" w:hAnsi="Arial" w:cs="Arial"/>
          <w:sz w:val="20"/>
        </w:rPr>
      </w:pPr>
    </w:p>
    <w:p w14:paraId="3C1AAF7A" w14:textId="77777777" w:rsidR="002C3A48" w:rsidRPr="00701F32" w:rsidRDefault="002C3A48" w:rsidP="00E07294">
      <w:pPr>
        <w:spacing w:after="160" w:line="259" w:lineRule="auto"/>
        <w:jc w:val="both"/>
        <w:rPr>
          <w:rFonts w:ascii="Arial" w:eastAsia="Calibri" w:hAnsi="Arial" w:cs="Arial"/>
          <w:sz w:val="20"/>
        </w:rPr>
      </w:pPr>
    </w:p>
    <w:tbl>
      <w:tblPr>
        <w:tblW w:w="10042" w:type="dxa"/>
        <w:tblInd w:w="-497" w:type="dxa"/>
        <w:tblLayout w:type="fixed"/>
        <w:tblCellMar>
          <w:left w:w="70" w:type="dxa"/>
          <w:right w:w="70" w:type="dxa"/>
        </w:tblCellMar>
        <w:tblLook w:val="04A0" w:firstRow="1" w:lastRow="0" w:firstColumn="1" w:lastColumn="0" w:noHBand="0" w:noVBand="1"/>
      </w:tblPr>
      <w:tblGrid>
        <w:gridCol w:w="2647"/>
        <w:gridCol w:w="904"/>
        <w:gridCol w:w="685"/>
        <w:gridCol w:w="822"/>
        <w:gridCol w:w="674"/>
        <w:gridCol w:w="677"/>
        <w:gridCol w:w="33"/>
        <w:gridCol w:w="1044"/>
        <w:gridCol w:w="782"/>
        <w:gridCol w:w="33"/>
        <w:gridCol w:w="883"/>
        <w:gridCol w:w="858"/>
      </w:tblGrid>
      <w:tr w:rsidR="00B1569B" w:rsidRPr="00701F32" w14:paraId="16537774" w14:textId="77777777" w:rsidTr="00FF7CC8">
        <w:trPr>
          <w:trHeight w:val="132"/>
          <w:tblHeader/>
        </w:trPr>
        <w:tc>
          <w:tcPr>
            <w:tcW w:w="2647" w:type="dxa"/>
            <w:tcBorders>
              <w:bottom w:val="single" w:sz="4" w:space="0" w:color="auto"/>
            </w:tcBorders>
            <w:vAlign w:val="center"/>
          </w:tcPr>
          <w:p w14:paraId="7F81FD2B" w14:textId="77777777" w:rsidR="00B1569B" w:rsidRPr="00701F32" w:rsidRDefault="00B1569B" w:rsidP="00B84B6F">
            <w:pPr>
              <w:jc w:val="center"/>
              <w:rPr>
                <w:rFonts w:ascii="Arial" w:hAnsi="Arial" w:cs="Arial"/>
                <w:b/>
                <w:bCs/>
                <w:color w:val="363639"/>
                <w:sz w:val="14"/>
                <w:szCs w:val="12"/>
                <w:lang w:eastAsia="es-AR"/>
              </w:rPr>
            </w:pPr>
          </w:p>
        </w:tc>
        <w:tc>
          <w:tcPr>
            <w:tcW w:w="904" w:type="dxa"/>
            <w:tcBorders>
              <w:bottom w:val="single" w:sz="4" w:space="0" w:color="auto"/>
            </w:tcBorders>
            <w:vAlign w:val="center"/>
          </w:tcPr>
          <w:p w14:paraId="38DA4911" w14:textId="77777777" w:rsidR="00B1569B" w:rsidRPr="00701F32" w:rsidRDefault="00B1569B" w:rsidP="00B84B6F">
            <w:pPr>
              <w:jc w:val="center"/>
              <w:rPr>
                <w:rFonts w:ascii="Arial" w:hAnsi="Arial" w:cs="Arial"/>
                <w:b/>
                <w:bCs/>
                <w:sz w:val="14"/>
                <w:szCs w:val="12"/>
                <w:lang w:eastAsia="es-AR"/>
              </w:rPr>
            </w:pPr>
          </w:p>
        </w:tc>
        <w:tc>
          <w:tcPr>
            <w:tcW w:w="685" w:type="dxa"/>
            <w:tcBorders>
              <w:bottom w:val="single" w:sz="4" w:space="0" w:color="auto"/>
            </w:tcBorders>
            <w:vAlign w:val="center"/>
          </w:tcPr>
          <w:p w14:paraId="2931E120" w14:textId="77777777" w:rsidR="00B1569B" w:rsidRPr="00701F32" w:rsidRDefault="00B1569B" w:rsidP="00B84B6F">
            <w:pPr>
              <w:jc w:val="center"/>
              <w:rPr>
                <w:rFonts w:ascii="Arial" w:hAnsi="Arial" w:cs="Arial"/>
                <w:b/>
                <w:bCs/>
                <w:sz w:val="14"/>
                <w:szCs w:val="12"/>
                <w:lang w:eastAsia="es-AR"/>
              </w:rPr>
            </w:pPr>
          </w:p>
        </w:tc>
        <w:tc>
          <w:tcPr>
            <w:tcW w:w="822" w:type="dxa"/>
            <w:tcBorders>
              <w:bottom w:val="single" w:sz="4" w:space="0" w:color="auto"/>
            </w:tcBorders>
            <w:shd w:val="clear" w:color="auto" w:fill="auto"/>
            <w:vAlign w:val="center"/>
          </w:tcPr>
          <w:p w14:paraId="79965B31" w14:textId="77777777" w:rsidR="00B1569B" w:rsidRPr="00701F32" w:rsidRDefault="00B1569B" w:rsidP="00B84B6F">
            <w:pPr>
              <w:jc w:val="center"/>
              <w:rPr>
                <w:rFonts w:ascii="Arial" w:hAnsi="Arial" w:cs="Arial"/>
                <w:b/>
                <w:bCs/>
                <w:sz w:val="14"/>
                <w:szCs w:val="12"/>
                <w:lang w:eastAsia="es-AR"/>
              </w:rPr>
            </w:pPr>
          </w:p>
        </w:tc>
        <w:tc>
          <w:tcPr>
            <w:tcW w:w="674" w:type="dxa"/>
            <w:tcBorders>
              <w:bottom w:val="single" w:sz="4" w:space="0" w:color="auto"/>
            </w:tcBorders>
            <w:vAlign w:val="center"/>
          </w:tcPr>
          <w:p w14:paraId="18356D73" w14:textId="77777777" w:rsidR="00B1569B" w:rsidRPr="00701F32" w:rsidRDefault="00B1569B" w:rsidP="00B84B6F">
            <w:pPr>
              <w:jc w:val="center"/>
              <w:rPr>
                <w:rFonts w:ascii="Arial" w:hAnsi="Arial" w:cs="Arial"/>
                <w:b/>
                <w:bCs/>
                <w:color w:val="363639"/>
                <w:sz w:val="14"/>
                <w:szCs w:val="12"/>
                <w:lang w:eastAsia="es-AR"/>
              </w:rPr>
            </w:pPr>
          </w:p>
        </w:tc>
        <w:tc>
          <w:tcPr>
            <w:tcW w:w="710" w:type="dxa"/>
            <w:gridSpan w:val="2"/>
            <w:tcBorders>
              <w:bottom w:val="single" w:sz="4" w:space="0" w:color="auto"/>
              <w:right w:val="single" w:sz="4" w:space="0" w:color="auto"/>
            </w:tcBorders>
            <w:vAlign w:val="center"/>
          </w:tcPr>
          <w:p w14:paraId="54B497FD" w14:textId="77777777" w:rsidR="00B1569B" w:rsidRPr="00701F32" w:rsidRDefault="00B1569B" w:rsidP="00B84B6F">
            <w:pPr>
              <w:jc w:val="center"/>
              <w:rPr>
                <w:rFonts w:ascii="Arial" w:hAnsi="Arial" w:cs="Arial"/>
                <w:b/>
                <w:bCs/>
                <w:sz w:val="14"/>
                <w:szCs w:val="12"/>
                <w:lang w:eastAsia="es-AR"/>
              </w:rPr>
            </w:pPr>
          </w:p>
        </w:tc>
        <w:tc>
          <w:tcPr>
            <w:tcW w:w="2742" w:type="dxa"/>
            <w:gridSpan w:val="4"/>
            <w:tcBorders>
              <w:top w:val="single" w:sz="4" w:space="0" w:color="auto"/>
              <w:left w:val="single" w:sz="4" w:space="0" w:color="auto"/>
              <w:bottom w:val="single" w:sz="4" w:space="0" w:color="auto"/>
              <w:right w:val="single" w:sz="4" w:space="0" w:color="auto"/>
            </w:tcBorders>
            <w:vAlign w:val="center"/>
          </w:tcPr>
          <w:p w14:paraId="2F379C21"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Depreciación</w:t>
            </w:r>
          </w:p>
        </w:tc>
        <w:tc>
          <w:tcPr>
            <w:tcW w:w="858" w:type="dxa"/>
            <w:tcBorders>
              <w:left w:val="single" w:sz="4" w:space="0" w:color="auto"/>
              <w:bottom w:val="single" w:sz="4" w:space="0" w:color="auto"/>
            </w:tcBorders>
            <w:shd w:val="clear" w:color="auto" w:fill="auto"/>
            <w:vAlign w:val="center"/>
          </w:tcPr>
          <w:p w14:paraId="036D61F4" w14:textId="77777777" w:rsidR="00B1569B" w:rsidRPr="00701F32" w:rsidRDefault="00B1569B" w:rsidP="00B84B6F">
            <w:pPr>
              <w:jc w:val="center"/>
              <w:rPr>
                <w:rFonts w:ascii="Arial" w:hAnsi="Arial" w:cs="Arial"/>
                <w:b/>
                <w:bCs/>
                <w:color w:val="363639"/>
                <w:sz w:val="14"/>
                <w:szCs w:val="12"/>
                <w:lang w:eastAsia="es-AR"/>
              </w:rPr>
            </w:pPr>
          </w:p>
        </w:tc>
      </w:tr>
      <w:tr w:rsidR="00B1569B" w:rsidRPr="00701F32" w14:paraId="7FD27089" w14:textId="77777777" w:rsidTr="00FF7CC8">
        <w:trPr>
          <w:trHeight w:val="506"/>
          <w:tblHeader/>
        </w:trPr>
        <w:tc>
          <w:tcPr>
            <w:tcW w:w="2647" w:type="dxa"/>
            <w:tcBorders>
              <w:top w:val="single" w:sz="4" w:space="0" w:color="auto"/>
              <w:left w:val="single" w:sz="4" w:space="0" w:color="auto"/>
              <w:bottom w:val="single" w:sz="4" w:space="0" w:color="auto"/>
              <w:right w:val="single" w:sz="4" w:space="0" w:color="363639"/>
            </w:tcBorders>
            <w:vAlign w:val="center"/>
          </w:tcPr>
          <w:p w14:paraId="1B1A5E42"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Concepto</w:t>
            </w:r>
          </w:p>
        </w:tc>
        <w:tc>
          <w:tcPr>
            <w:tcW w:w="904" w:type="dxa"/>
            <w:tcBorders>
              <w:top w:val="single" w:sz="4" w:space="0" w:color="auto"/>
              <w:left w:val="single" w:sz="4" w:space="0" w:color="363639"/>
              <w:bottom w:val="single" w:sz="4" w:space="0" w:color="auto"/>
              <w:right w:val="single" w:sz="4" w:space="0" w:color="363639"/>
            </w:tcBorders>
            <w:vAlign w:val="center"/>
          </w:tcPr>
          <w:p w14:paraId="5D9EB788"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Valor de origen al inicio del ejercicio</w:t>
            </w:r>
          </w:p>
        </w:tc>
        <w:tc>
          <w:tcPr>
            <w:tcW w:w="685" w:type="dxa"/>
            <w:tcBorders>
              <w:top w:val="single" w:sz="4" w:space="0" w:color="auto"/>
              <w:left w:val="single" w:sz="4" w:space="0" w:color="363639"/>
              <w:bottom w:val="single" w:sz="4" w:space="0" w:color="auto"/>
              <w:right w:val="single" w:sz="4" w:space="0" w:color="363639"/>
            </w:tcBorders>
            <w:vAlign w:val="center"/>
          </w:tcPr>
          <w:p w14:paraId="2CF3C708"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Vida Útil total estimada en años</w:t>
            </w:r>
          </w:p>
        </w:tc>
        <w:tc>
          <w:tcPr>
            <w:tcW w:w="822" w:type="dxa"/>
            <w:tcBorders>
              <w:top w:val="single" w:sz="4" w:space="0" w:color="auto"/>
              <w:left w:val="nil"/>
              <w:bottom w:val="single" w:sz="4" w:space="0" w:color="auto"/>
              <w:right w:val="single" w:sz="4" w:space="0" w:color="363639"/>
            </w:tcBorders>
            <w:shd w:val="clear" w:color="auto" w:fill="auto"/>
            <w:vAlign w:val="center"/>
          </w:tcPr>
          <w:p w14:paraId="1F274398"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Revaluación</w:t>
            </w:r>
          </w:p>
        </w:tc>
        <w:tc>
          <w:tcPr>
            <w:tcW w:w="674" w:type="dxa"/>
            <w:tcBorders>
              <w:top w:val="single" w:sz="4" w:space="0" w:color="auto"/>
              <w:left w:val="single" w:sz="4" w:space="0" w:color="363639"/>
              <w:bottom w:val="single" w:sz="4" w:space="0" w:color="auto"/>
              <w:right w:val="single" w:sz="4" w:space="0" w:color="363639"/>
            </w:tcBorders>
            <w:vAlign w:val="center"/>
          </w:tcPr>
          <w:p w14:paraId="4058CED9"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Altas</w:t>
            </w:r>
          </w:p>
        </w:tc>
        <w:tc>
          <w:tcPr>
            <w:tcW w:w="710" w:type="dxa"/>
            <w:gridSpan w:val="2"/>
            <w:tcBorders>
              <w:top w:val="single" w:sz="4" w:space="0" w:color="auto"/>
              <w:left w:val="single" w:sz="4" w:space="0" w:color="363639"/>
              <w:bottom w:val="single" w:sz="4" w:space="0" w:color="auto"/>
              <w:right w:val="single" w:sz="4" w:space="0" w:color="363639"/>
            </w:tcBorders>
            <w:vAlign w:val="center"/>
          </w:tcPr>
          <w:p w14:paraId="2A043040"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Bajas</w:t>
            </w:r>
          </w:p>
        </w:tc>
        <w:tc>
          <w:tcPr>
            <w:tcW w:w="1044" w:type="dxa"/>
            <w:tcBorders>
              <w:top w:val="single" w:sz="4" w:space="0" w:color="auto"/>
              <w:left w:val="single" w:sz="4" w:space="0" w:color="363639"/>
              <w:bottom w:val="single" w:sz="4" w:space="0" w:color="auto"/>
              <w:right w:val="single" w:sz="4" w:space="0" w:color="363639"/>
            </w:tcBorders>
            <w:vAlign w:val="center"/>
          </w:tcPr>
          <w:p w14:paraId="7DBBE3C8"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Acumulada</w:t>
            </w:r>
          </w:p>
        </w:tc>
        <w:tc>
          <w:tcPr>
            <w:tcW w:w="782" w:type="dxa"/>
            <w:tcBorders>
              <w:top w:val="single" w:sz="4" w:space="0" w:color="auto"/>
              <w:left w:val="nil"/>
              <w:bottom w:val="single" w:sz="4" w:space="0" w:color="auto"/>
              <w:right w:val="single" w:sz="4" w:space="0" w:color="363639"/>
            </w:tcBorders>
            <w:shd w:val="clear" w:color="auto" w:fill="auto"/>
            <w:vAlign w:val="center"/>
          </w:tcPr>
          <w:p w14:paraId="2C1E7C60"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Del período</w:t>
            </w:r>
          </w:p>
        </w:tc>
        <w:tc>
          <w:tcPr>
            <w:tcW w:w="916" w:type="dxa"/>
            <w:gridSpan w:val="2"/>
            <w:tcBorders>
              <w:top w:val="single" w:sz="4" w:space="0" w:color="auto"/>
              <w:left w:val="nil"/>
              <w:bottom w:val="single" w:sz="4" w:space="0" w:color="auto"/>
              <w:right w:val="single" w:sz="4" w:space="0" w:color="363639"/>
            </w:tcBorders>
            <w:shd w:val="clear" w:color="auto" w:fill="auto"/>
            <w:vAlign w:val="center"/>
          </w:tcPr>
          <w:p w14:paraId="28962726"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Al cierre</w:t>
            </w:r>
          </w:p>
        </w:tc>
        <w:tc>
          <w:tcPr>
            <w:tcW w:w="858" w:type="dxa"/>
            <w:tcBorders>
              <w:top w:val="single" w:sz="4" w:space="0" w:color="auto"/>
              <w:left w:val="nil"/>
              <w:bottom w:val="single" w:sz="4" w:space="0" w:color="auto"/>
              <w:right w:val="single" w:sz="4" w:space="0" w:color="auto"/>
            </w:tcBorders>
            <w:shd w:val="clear" w:color="auto" w:fill="auto"/>
            <w:vAlign w:val="center"/>
          </w:tcPr>
          <w:p w14:paraId="2368A018" w14:textId="77777777" w:rsidR="00B1569B" w:rsidRPr="00701F32" w:rsidRDefault="00B1569B" w:rsidP="00B84B6F">
            <w:pPr>
              <w:jc w:val="center"/>
              <w:rPr>
                <w:rFonts w:ascii="Arial" w:hAnsi="Arial" w:cs="Arial"/>
                <w:b/>
                <w:bCs/>
                <w:sz w:val="14"/>
                <w:szCs w:val="12"/>
                <w:lang w:eastAsia="es-AR"/>
              </w:rPr>
            </w:pPr>
            <w:r w:rsidRPr="00701F32">
              <w:rPr>
                <w:rFonts w:ascii="Arial" w:hAnsi="Arial" w:cs="Arial"/>
                <w:b/>
                <w:bCs/>
                <w:sz w:val="14"/>
                <w:szCs w:val="12"/>
                <w:lang w:eastAsia="es-AR"/>
              </w:rPr>
              <w:t>Valor residual al cierre del período</w:t>
            </w:r>
          </w:p>
        </w:tc>
      </w:tr>
      <w:tr w:rsidR="00B1569B" w:rsidRPr="00701F32" w14:paraId="3B2E67CA" w14:textId="77777777" w:rsidTr="00712ADC">
        <w:trPr>
          <w:trHeight w:val="249"/>
        </w:trPr>
        <w:tc>
          <w:tcPr>
            <w:tcW w:w="10042" w:type="dxa"/>
            <w:gridSpan w:val="12"/>
            <w:tcBorders>
              <w:top w:val="single" w:sz="4" w:space="0" w:color="auto"/>
              <w:left w:val="single" w:sz="4" w:space="0" w:color="auto"/>
              <w:bottom w:val="single" w:sz="4" w:space="0" w:color="auto"/>
              <w:right w:val="single" w:sz="4" w:space="0" w:color="auto"/>
            </w:tcBorders>
            <w:vAlign w:val="center"/>
          </w:tcPr>
          <w:p w14:paraId="47344456" w14:textId="77777777" w:rsidR="00B1569B" w:rsidRPr="00701F32" w:rsidRDefault="00B1569B" w:rsidP="00B84B6F">
            <w:pPr>
              <w:rPr>
                <w:rFonts w:ascii="Arial" w:hAnsi="Arial" w:cs="Arial"/>
                <w:b/>
                <w:bCs/>
                <w:sz w:val="14"/>
                <w:szCs w:val="12"/>
                <w:lang w:eastAsia="es-AR"/>
              </w:rPr>
            </w:pPr>
            <w:r w:rsidRPr="00701F32">
              <w:rPr>
                <w:rFonts w:ascii="Arial" w:hAnsi="Arial" w:cs="Arial"/>
                <w:b/>
                <w:bCs/>
                <w:sz w:val="14"/>
                <w:szCs w:val="12"/>
                <w:lang w:eastAsia="es-AR"/>
              </w:rPr>
              <w:t>Medición a costo</w:t>
            </w:r>
          </w:p>
        </w:tc>
      </w:tr>
      <w:tr w:rsidR="00B1569B" w:rsidRPr="00701F32" w14:paraId="05D13A2D" w14:textId="77777777" w:rsidTr="00FF7CC8">
        <w:trPr>
          <w:trHeight w:val="88"/>
        </w:trPr>
        <w:tc>
          <w:tcPr>
            <w:tcW w:w="2647" w:type="dxa"/>
            <w:tcBorders>
              <w:top w:val="nil"/>
              <w:left w:val="single" w:sz="4" w:space="0" w:color="auto"/>
              <w:bottom w:val="single" w:sz="4" w:space="0" w:color="363639"/>
              <w:right w:val="single" w:sz="4" w:space="0" w:color="363639"/>
            </w:tcBorders>
            <w:shd w:val="clear" w:color="auto" w:fill="auto"/>
            <w:hideMark/>
          </w:tcPr>
          <w:p w14:paraId="7E509455"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Mobiliario e Instalaciones</w:t>
            </w:r>
          </w:p>
        </w:tc>
        <w:tc>
          <w:tcPr>
            <w:tcW w:w="904" w:type="dxa"/>
            <w:tcBorders>
              <w:top w:val="nil"/>
              <w:left w:val="nil"/>
              <w:bottom w:val="single" w:sz="4" w:space="0" w:color="auto"/>
              <w:right w:val="single" w:sz="4" w:space="0" w:color="363639"/>
            </w:tcBorders>
            <w:shd w:val="clear" w:color="auto" w:fill="auto"/>
            <w:noWrap/>
            <w:vAlign w:val="center"/>
            <w:hideMark/>
          </w:tcPr>
          <w:p w14:paraId="74578CEB"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97.584 </w:t>
            </w:r>
          </w:p>
        </w:tc>
        <w:tc>
          <w:tcPr>
            <w:tcW w:w="685" w:type="dxa"/>
            <w:tcBorders>
              <w:top w:val="nil"/>
              <w:left w:val="nil"/>
              <w:bottom w:val="single" w:sz="4" w:space="0" w:color="auto"/>
              <w:right w:val="single" w:sz="4" w:space="0" w:color="363639"/>
            </w:tcBorders>
            <w:shd w:val="clear" w:color="auto" w:fill="auto"/>
            <w:noWrap/>
            <w:vAlign w:val="center"/>
            <w:hideMark/>
          </w:tcPr>
          <w:p w14:paraId="5DC5FFF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10 </w:t>
            </w:r>
          </w:p>
        </w:tc>
        <w:tc>
          <w:tcPr>
            <w:tcW w:w="822" w:type="dxa"/>
            <w:tcBorders>
              <w:top w:val="nil"/>
              <w:left w:val="nil"/>
              <w:bottom w:val="single" w:sz="4" w:space="0" w:color="363639"/>
              <w:right w:val="single" w:sz="4" w:space="0" w:color="363639"/>
            </w:tcBorders>
            <w:shd w:val="clear" w:color="auto" w:fill="auto"/>
            <w:vAlign w:val="center"/>
            <w:hideMark/>
          </w:tcPr>
          <w:p w14:paraId="0FF8A209"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506CF2CF"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14.499 </w:t>
            </w:r>
          </w:p>
        </w:tc>
        <w:tc>
          <w:tcPr>
            <w:tcW w:w="677" w:type="dxa"/>
            <w:tcBorders>
              <w:top w:val="nil"/>
              <w:left w:val="nil"/>
              <w:bottom w:val="single" w:sz="4" w:space="0" w:color="auto"/>
              <w:right w:val="single" w:sz="4" w:space="0" w:color="363639"/>
            </w:tcBorders>
            <w:shd w:val="clear" w:color="auto" w:fill="auto"/>
            <w:noWrap/>
            <w:vAlign w:val="center"/>
            <w:hideMark/>
          </w:tcPr>
          <w:p w14:paraId="7EABCA3C"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(117)</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1F7A543D"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(44.098)</w:t>
            </w:r>
          </w:p>
        </w:tc>
        <w:tc>
          <w:tcPr>
            <w:tcW w:w="782" w:type="dxa"/>
            <w:tcBorders>
              <w:top w:val="nil"/>
              <w:left w:val="nil"/>
              <w:bottom w:val="single" w:sz="4" w:space="0" w:color="auto"/>
              <w:right w:val="single" w:sz="4" w:space="0" w:color="363639"/>
            </w:tcBorders>
            <w:shd w:val="clear" w:color="auto" w:fill="auto"/>
            <w:noWrap/>
            <w:vAlign w:val="center"/>
            <w:hideMark/>
          </w:tcPr>
          <w:p w14:paraId="32FE662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(10.630)</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64A0BBC7"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(54.728)</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0550BF8D"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57.238 </w:t>
            </w:r>
          </w:p>
        </w:tc>
      </w:tr>
      <w:tr w:rsidR="00B1569B" w:rsidRPr="00701F32" w14:paraId="379A3AB5" w14:textId="77777777" w:rsidTr="00FF7CC8">
        <w:trPr>
          <w:trHeight w:val="88"/>
        </w:trPr>
        <w:tc>
          <w:tcPr>
            <w:tcW w:w="2647" w:type="dxa"/>
            <w:tcBorders>
              <w:top w:val="nil"/>
              <w:left w:val="single" w:sz="4" w:space="0" w:color="auto"/>
              <w:bottom w:val="single" w:sz="4" w:space="0" w:color="363639"/>
              <w:right w:val="single" w:sz="4" w:space="0" w:color="363639"/>
            </w:tcBorders>
            <w:shd w:val="clear" w:color="auto" w:fill="auto"/>
            <w:hideMark/>
          </w:tcPr>
          <w:p w14:paraId="46B17B6E"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Máquinas y equipos</w:t>
            </w:r>
          </w:p>
        </w:tc>
        <w:tc>
          <w:tcPr>
            <w:tcW w:w="904" w:type="dxa"/>
            <w:tcBorders>
              <w:top w:val="nil"/>
              <w:left w:val="nil"/>
              <w:bottom w:val="single" w:sz="4" w:space="0" w:color="auto"/>
              <w:right w:val="single" w:sz="4" w:space="0" w:color="363639"/>
            </w:tcBorders>
            <w:shd w:val="clear" w:color="auto" w:fill="auto"/>
            <w:noWrap/>
            <w:vAlign w:val="center"/>
            <w:hideMark/>
          </w:tcPr>
          <w:p w14:paraId="21D915D0"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364.302 </w:t>
            </w:r>
          </w:p>
        </w:tc>
        <w:tc>
          <w:tcPr>
            <w:tcW w:w="685" w:type="dxa"/>
            <w:tcBorders>
              <w:top w:val="nil"/>
              <w:left w:val="nil"/>
              <w:bottom w:val="single" w:sz="4" w:space="0" w:color="auto"/>
              <w:right w:val="single" w:sz="4" w:space="0" w:color="363639"/>
            </w:tcBorders>
            <w:shd w:val="clear" w:color="auto" w:fill="auto"/>
            <w:noWrap/>
            <w:vAlign w:val="center"/>
            <w:hideMark/>
          </w:tcPr>
          <w:p w14:paraId="202680CA"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 </w:t>
            </w:r>
          </w:p>
        </w:tc>
        <w:tc>
          <w:tcPr>
            <w:tcW w:w="822" w:type="dxa"/>
            <w:tcBorders>
              <w:top w:val="nil"/>
              <w:left w:val="nil"/>
              <w:bottom w:val="single" w:sz="4" w:space="0" w:color="363639"/>
              <w:right w:val="single" w:sz="4" w:space="0" w:color="363639"/>
            </w:tcBorders>
            <w:shd w:val="clear" w:color="auto" w:fill="auto"/>
            <w:vAlign w:val="center"/>
            <w:hideMark/>
          </w:tcPr>
          <w:p w14:paraId="00279004"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08CC99A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173.291 </w:t>
            </w:r>
          </w:p>
        </w:tc>
        <w:tc>
          <w:tcPr>
            <w:tcW w:w="677" w:type="dxa"/>
            <w:tcBorders>
              <w:top w:val="nil"/>
              <w:left w:val="nil"/>
              <w:bottom w:val="single" w:sz="4" w:space="0" w:color="auto"/>
              <w:right w:val="single" w:sz="4" w:space="0" w:color="363639"/>
            </w:tcBorders>
            <w:shd w:val="clear" w:color="auto" w:fill="auto"/>
            <w:noWrap/>
            <w:vAlign w:val="center"/>
            <w:hideMark/>
          </w:tcPr>
          <w:p w14:paraId="2C2EADD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(7.124)</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15CF54EE"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(200.015)</w:t>
            </w:r>
          </w:p>
        </w:tc>
        <w:tc>
          <w:tcPr>
            <w:tcW w:w="782" w:type="dxa"/>
            <w:tcBorders>
              <w:top w:val="nil"/>
              <w:left w:val="nil"/>
              <w:bottom w:val="single" w:sz="4" w:space="0" w:color="auto"/>
              <w:right w:val="single" w:sz="4" w:space="0" w:color="363639"/>
            </w:tcBorders>
            <w:shd w:val="clear" w:color="auto" w:fill="auto"/>
            <w:noWrap/>
            <w:vAlign w:val="center"/>
            <w:hideMark/>
          </w:tcPr>
          <w:p w14:paraId="4DF9FE85"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(86.557)</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0AA6248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(286.572)</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22D3EF90"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243.897 </w:t>
            </w:r>
          </w:p>
        </w:tc>
      </w:tr>
      <w:tr w:rsidR="00B1569B" w:rsidRPr="00701F32" w14:paraId="414AB581" w14:textId="77777777" w:rsidTr="00FF7CC8">
        <w:trPr>
          <w:trHeight w:val="88"/>
        </w:trPr>
        <w:tc>
          <w:tcPr>
            <w:tcW w:w="2647" w:type="dxa"/>
            <w:tcBorders>
              <w:top w:val="nil"/>
              <w:left w:val="single" w:sz="4" w:space="0" w:color="auto"/>
              <w:bottom w:val="single" w:sz="4" w:space="0" w:color="363639"/>
              <w:right w:val="single" w:sz="4" w:space="0" w:color="363639"/>
            </w:tcBorders>
            <w:shd w:val="clear" w:color="auto" w:fill="auto"/>
            <w:hideMark/>
          </w:tcPr>
          <w:p w14:paraId="32CB11F7"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Vehículos</w:t>
            </w:r>
          </w:p>
        </w:tc>
        <w:tc>
          <w:tcPr>
            <w:tcW w:w="904" w:type="dxa"/>
            <w:tcBorders>
              <w:top w:val="nil"/>
              <w:left w:val="nil"/>
              <w:bottom w:val="single" w:sz="4" w:space="0" w:color="auto"/>
              <w:right w:val="single" w:sz="4" w:space="0" w:color="363639"/>
            </w:tcBorders>
            <w:shd w:val="clear" w:color="auto" w:fill="auto"/>
            <w:noWrap/>
            <w:vAlign w:val="center"/>
            <w:hideMark/>
          </w:tcPr>
          <w:p w14:paraId="337CECE6"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31.642 </w:t>
            </w:r>
          </w:p>
        </w:tc>
        <w:tc>
          <w:tcPr>
            <w:tcW w:w="685" w:type="dxa"/>
            <w:tcBorders>
              <w:top w:val="nil"/>
              <w:left w:val="nil"/>
              <w:bottom w:val="single" w:sz="4" w:space="0" w:color="auto"/>
              <w:right w:val="single" w:sz="4" w:space="0" w:color="363639"/>
            </w:tcBorders>
            <w:shd w:val="clear" w:color="auto" w:fill="auto"/>
            <w:noWrap/>
            <w:vAlign w:val="center"/>
            <w:hideMark/>
          </w:tcPr>
          <w:p w14:paraId="5A9907EC"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 </w:t>
            </w:r>
          </w:p>
        </w:tc>
        <w:tc>
          <w:tcPr>
            <w:tcW w:w="822" w:type="dxa"/>
            <w:tcBorders>
              <w:top w:val="nil"/>
              <w:left w:val="nil"/>
              <w:bottom w:val="single" w:sz="4" w:space="0" w:color="363639"/>
              <w:right w:val="single" w:sz="4" w:space="0" w:color="363639"/>
            </w:tcBorders>
            <w:shd w:val="clear" w:color="auto" w:fill="auto"/>
            <w:vAlign w:val="center"/>
            <w:hideMark/>
          </w:tcPr>
          <w:p w14:paraId="3BD1D6CE"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7C2A7027"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12.469 </w:t>
            </w:r>
          </w:p>
        </w:tc>
        <w:tc>
          <w:tcPr>
            <w:tcW w:w="677" w:type="dxa"/>
            <w:tcBorders>
              <w:top w:val="nil"/>
              <w:left w:val="nil"/>
              <w:bottom w:val="single" w:sz="4" w:space="0" w:color="auto"/>
              <w:right w:val="single" w:sz="4" w:space="0" w:color="363639"/>
            </w:tcBorders>
            <w:shd w:val="clear" w:color="auto" w:fill="auto"/>
            <w:noWrap/>
            <w:vAlign w:val="center"/>
            <w:hideMark/>
          </w:tcPr>
          <w:p w14:paraId="031D87C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(1.620)</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1EEE774C"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(9.027)</w:t>
            </w:r>
          </w:p>
        </w:tc>
        <w:tc>
          <w:tcPr>
            <w:tcW w:w="782" w:type="dxa"/>
            <w:tcBorders>
              <w:top w:val="nil"/>
              <w:left w:val="nil"/>
              <w:bottom w:val="single" w:sz="4" w:space="0" w:color="auto"/>
              <w:right w:val="single" w:sz="4" w:space="0" w:color="363639"/>
            </w:tcBorders>
            <w:shd w:val="clear" w:color="auto" w:fill="auto"/>
            <w:noWrap/>
            <w:vAlign w:val="center"/>
            <w:hideMark/>
          </w:tcPr>
          <w:p w14:paraId="3D63533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(7.016)</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267C1CBB"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(16.043)</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0266EACF"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26.448 </w:t>
            </w:r>
          </w:p>
        </w:tc>
      </w:tr>
      <w:tr w:rsidR="00B1569B" w:rsidRPr="00701F32" w14:paraId="094397A8" w14:textId="77777777" w:rsidTr="00FF7CC8">
        <w:trPr>
          <w:trHeight w:val="152"/>
        </w:trPr>
        <w:tc>
          <w:tcPr>
            <w:tcW w:w="2647" w:type="dxa"/>
            <w:tcBorders>
              <w:top w:val="nil"/>
              <w:left w:val="single" w:sz="4" w:space="0" w:color="auto"/>
              <w:bottom w:val="single" w:sz="4" w:space="0" w:color="363639"/>
              <w:right w:val="single" w:sz="4" w:space="0" w:color="363639"/>
            </w:tcBorders>
            <w:shd w:val="clear" w:color="auto" w:fill="auto"/>
            <w:hideMark/>
          </w:tcPr>
          <w:p w14:paraId="6A21F971"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Inmuebles adquiridos por arrendamientos financieros</w:t>
            </w:r>
          </w:p>
        </w:tc>
        <w:tc>
          <w:tcPr>
            <w:tcW w:w="904" w:type="dxa"/>
            <w:tcBorders>
              <w:top w:val="nil"/>
              <w:left w:val="nil"/>
              <w:bottom w:val="single" w:sz="4" w:space="0" w:color="auto"/>
              <w:right w:val="single" w:sz="4" w:space="0" w:color="363639"/>
            </w:tcBorders>
            <w:shd w:val="clear" w:color="auto" w:fill="auto"/>
            <w:noWrap/>
            <w:vAlign w:val="center"/>
            <w:hideMark/>
          </w:tcPr>
          <w:p w14:paraId="346B6441"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   </w:t>
            </w:r>
          </w:p>
        </w:tc>
        <w:tc>
          <w:tcPr>
            <w:tcW w:w="685" w:type="dxa"/>
            <w:tcBorders>
              <w:top w:val="nil"/>
              <w:left w:val="nil"/>
              <w:bottom w:val="single" w:sz="4" w:space="0" w:color="auto"/>
              <w:right w:val="single" w:sz="4" w:space="0" w:color="363639"/>
            </w:tcBorders>
            <w:shd w:val="clear" w:color="auto" w:fill="auto"/>
            <w:noWrap/>
            <w:vAlign w:val="center"/>
            <w:hideMark/>
          </w:tcPr>
          <w:p w14:paraId="16F1E34A"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50 </w:t>
            </w:r>
          </w:p>
        </w:tc>
        <w:tc>
          <w:tcPr>
            <w:tcW w:w="822" w:type="dxa"/>
            <w:tcBorders>
              <w:top w:val="nil"/>
              <w:left w:val="nil"/>
              <w:bottom w:val="single" w:sz="4" w:space="0" w:color="363639"/>
              <w:right w:val="single" w:sz="4" w:space="0" w:color="363639"/>
            </w:tcBorders>
            <w:shd w:val="clear" w:color="auto" w:fill="auto"/>
            <w:vAlign w:val="center"/>
            <w:hideMark/>
          </w:tcPr>
          <w:p w14:paraId="58A940E8"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702BF8DE"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677" w:type="dxa"/>
            <w:tcBorders>
              <w:top w:val="nil"/>
              <w:left w:val="nil"/>
              <w:bottom w:val="single" w:sz="4" w:space="0" w:color="auto"/>
              <w:right w:val="single" w:sz="4" w:space="0" w:color="363639"/>
            </w:tcBorders>
            <w:shd w:val="clear" w:color="auto" w:fill="auto"/>
            <w:noWrap/>
            <w:vAlign w:val="center"/>
            <w:hideMark/>
          </w:tcPr>
          <w:p w14:paraId="61F74EC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6795814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782" w:type="dxa"/>
            <w:tcBorders>
              <w:top w:val="nil"/>
              <w:left w:val="nil"/>
              <w:bottom w:val="single" w:sz="4" w:space="0" w:color="auto"/>
              <w:right w:val="single" w:sz="4" w:space="0" w:color="363639"/>
            </w:tcBorders>
            <w:shd w:val="clear" w:color="auto" w:fill="auto"/>
            <w:noWrap/>
            <w:vAlign w:val="center"/>
            <w:hideMark/>
          </w:tcPr>
          <w:p w14:paraId="6D8C827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4275DFA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3F10F995"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   </w:t>
            </w:r>
          </w:p>
        </w:tc>
      </w:tr>
      <w:tr w:rsidR="00B1569B" w:rsidRPr="00701F32" w14:paraId="6D674571" w14:textId="77777777" w:rsidTr="00FF7CC8">
        <w:trPr>
          <w:trHeight w:val="158"/>
        </w:trPr>
        <w:tc>
          <w:tcPr>
            <w:tcW w:w="2647" w:type="dxa"/>
            <w:tcBorders>
              <w:top w:val="nil"/>
              <w:left w:val="single" w:sz="4" w:space="0" w:color="auto"/>
              <w:bottom w:val="single" w:sz="4" w:space="0" w:color="363639"/>
              <w:right w:val="single" w:sz="4" w:space="0" w:color="363639"/>
            </w:tcBorders>
            <w:shd w:val="clear" w:color="auto" w:fill="auto"/>
            <w:hideMark/>
          </w:tcPr>
          <w:p w14:paraId="011DC94C"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Muebles adquiridos por arrendamientos financieros</w:t>
            </w:r>
          </w:p>
        </w:tc>
        <w:tc>
          <w:tcPr>
            <w:tcW w:w="904" w:type="dxa"/>
            <w:tcBorders>
              <w:top w:val="nil"/>
              <w:left w:val="nil"/>
              <w:bottom w:val="single" w:sz="4" w:space="0" w:color="auto"/>
              <w:right w:val="single" w:sz="4" w:space="0" w:color="363639"/>
            </w:tcBorders>
            <w:shd w:val="clear" w:color="auto" w:fill="auto"/>
            <w:noWrap/>
            <w:vAlign w:val="center"/>
            <w:hideMark/>
          </w:tcPr>
          <w:p w14:paraId="6EC0241A"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   </w:t>
            </w:r>
          </w:p>
        </w:tc>
        <w:tc>
          <w:tcPr>
            <w:tcW w:w="685" w:type="dxa"/>
            <w:tcBorders>
              <w:top w:val="nil"/>
              <w:left w:val="nil"/>
              <w:bottom w:val="single" w:sz="4" w:space="0" w:color="auto"/>
              <w:right w:val="single" w:sz="4" w:space="0" w:color="363639"/>
            </w:tcBorders>
            <w:shd w:val="clear" w:color="auto" w:fill="auto"/>
            <w:noWrap/>
            <w:vAlign w:val="center"/>
            <w:hideMark/>
          </w:tcPr>
          <w:p w14:paraId="5C35DBD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 </w:t>
            </w:r>
          </w:p>
        </w:tc>
        <w:tc>
          <w:tcPr>
            <w:tcW w:w="822" w:type="dxa"/>
            <w:tcBorders>
              <w:top w:val="nil"/>
              <w:left w:val="nil"/>
              <w:bottom w:val="single" w:sz="4" w:space="0" w:color="363639"/>
              <w:right w:val="single" w:sz="4" w:space="0" w:color="363639"/>
            </w:tcBorders>
            <w:shd w:val="clear" w:color="auto" w:fill="auto"/>
            <w:vAlign w:val="center"/>
            <w:hideMark/>
          </w:tcPr>
          <w:p w14:paraId="193F261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26A409AF"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677" w:type="dxa"/>
            <w:tcBorders>
              <w:top w:val="nil"/>
              <w:left w:val="nil"/>
              <w:bottom w:val="single" w:sz="4" w:space="0" w:color="auto"/>
              <w:right w:val="single" w:sz="4" w:space="0" w:color="363639"/>
            </w:tcBorders>
            <w:shd w:val="clear" w:color="auto" w:fill="auto"/>
            <w:noWrap/>
            <w:vAlign w:val="center"/>
            <w:hideMark/>
          </w:tcPr>
          <w:p w14:paraId="7E14383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68BCA3CA"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782" w:type="dxa"/>
            <w:tcBorders>
              <w:top w:val="nil"/>
              <w:left w:val="nil"/>
              <w:bottom w:val="single" w:sz="4" w:space="0" w:color="auto"/>
              <w:right w:val="single" w:sz="4" w:space="0" w:color="363639"/>
            </w:tcBorders>
            <w:shd w:val="clear" w:color="auto" w:fill="auto"/>
            <w:noWrap/>
            <w:vAlign w:val="center"/>
            <w:hideMark/>
          </w:tcPr>
          <w:p w14:paraId="27E45D1E"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7ED50E7A"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4E996291"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   </w:t>
            </w:r>
          </w:p>
        </w:tc>
      </w:tr>
      <w:tr w:rsidR="00B1569B" w:rsidRPr="00701F32" w14:paraId="0F723B16" w14:textId="77777777" w:rsidTr="00FF7CC8">
        <w:trPr>
          <w:trHeight w:val="88"/>
        </w:trPr>
        <w:tc>
          <w:tcPr>
            <w:tcW w:w="2647" w:type="dxa"/>
            <w:tcBorders>
              <w:top w:val="nil"/>
              <w:left w:val="single" w:sz="4" w:space="0" w:color="auto"/>
              <w:bottom w:val="single" w:sz="4" w:space="0" w:color="auto"/>
              <w:right w:val="single" w:sz="4" w:space="0" w:color="363639"/>
            </w:tcBorders>
            <w:shd w:val="clear" w:color="auto" w:fill="auto"/>
            <w:hideMark/>
          </w:tcPr>
          <w:p w14:paraId="2DDFE80D"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Obras en curso</w:t>
            </w:r>
          </w:p>
        </w:tc>
        <w:tc>
          <w:tcPr>
            <w:tcW w:w="904" w:type="dxa"/>
            <w:tcBorders>
              <w:top w:val="nil"/>
              <w:left w:val="nil"/>
              <w:bottom w:val="single" w:sz="4" w:space="0" w:color="auto"/>
              <w:right w:val="single" w:sz="4" w:space="0" w:color="363639"/>
            </w:tcBorders>
            <w:shd w:val="clear" w:color="auto" w:fill="auto"/>
            <w:noWrap/>
            <w:vAlign w:val="center"/>
            <w:hideMark/>
          </w:tcPr>
          <w:p w14:paraId="01D61910"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22.266 </w:t>
            </w:r>
          </w:p>
        </w:tc>
        <w:tc>
          <w:tcPr>
            <w:tcW w:w="685" w:type="dxa"/>
            <w:tcBorders>
              <w:top w:val="nil"/>
              <w:left w:val="nil"/>
              <w:bottom w:val="single" w:sz="4" w:space="0" w:color="auto"/>
              <w:right w:val="single" w:sz="4" w:space="0" w:color="363639"/>
            </w:tcBorders>
            <w:shd w:val="clear" w:color="auto" w:fill="auto"/>
            <w:noWrap/>
            <w:vAlign w:val="center"/>
            <w:hideMark/>
          </w:tcPr>
          <w:p w14:paraId="0D8C223A"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822" w:type="dxa"/>
            <w:tcBorders>
              <w:top w:val="nil"/>
              <w:left w:val="nil"/>
              <w:bottom w:val="single" w:sz="4" w:space="0" w:color="auto"/>
              <w:right w:val="single" w:sz="4" w:space="0" w:color="363639"/>
            </w:tcBorders>
            <w:shd w:val="clear" w:color="auto" w:fill="auto"/>
            <w:vAlign w:val="center"/>
            <w:hideMark/>
          </w:tcPr>
          <w:p w14:paraId="5409D361"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674" w:type="dxa"/>
            <w:tcBorders>
              <w:top w:val="nil"/>
              <w:left w:val="nil"/>
              <w:bottom w:val="single" w:sz="4" w:space="0" w:color="auto"/>
              <w:right w:val="single" w:sz="4" w:space="0" w:color="363639"/>
            </w:tcBorders>
            <w:shd w:val="clear" w:color="auto" w:fill="auto"/>
            <w:noWrap/>
            <w:vAlign w:val="center"/>
            <w:hideMark/>
          </w:tcPr>
          <w:p w14:paraId="17FF059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271.111 </w:t>
            </w:r>
          </w:p>
        </w:tc>
        <w:tc>
          <w:tcPr>
            <w:tcW w:w="677" w:type="dxa"/>
            <w:tcBorders>
              <w:top w:val="nil"/>
              <w:left w:val="nil"/>
              <w:bottom w:val="single" w:sz="4" w:space="0" w:color="auto"/>
              <w:right w:val="single" w:sz="4" w:space="0" w:color="363639"/>
            </w:tcBorders>
            <w:shd w:val="clear" w:color="auto" w:fill="auto"/>
            <w:noWrap/>
            <w:vAlign w:val="center"/>
            <w:hideMark/>
          </w:tcPr>
          <w:p w14:paraId="2D85FAB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(13.719)</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07EF6924"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782" w:type="dxa"/>
            <w:tcBorders>
              <w:top w:val="nil"/>
              <w:left w:val="nil"/>
              <w:bottom w:val="single" w:sz="4" w:space="0" w:color="auto"/>
              <w:right w:val="single" w:sz="4" w:space="0" w:color="363639"/>
            </w:tcBorders>
            <w:shd w:val="clear" w:color="auto" w:fill="auto"/>
            <w:noWrap/>
            <w:vAlign w:val="center"/>
            <w:hideMark/>
          </w:tcPr>
          <w:p w14:paraId="06A141D4"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916" w:type="dxa"/>
            <w:gridSpan w:val="2"/>
            <w:tcBorders>
              <w:top w:val="single" w:sz="4" w:space="0" w:color="363639"/>
              <w:left w:val="nil"/>
              <w:bottom w:val="single" w:sz="4" w:space="0" w:color="auto"/>
              <w:right w:val="single" w:sz="4" w:space="0" w:color="363639"/>
            </w:tcBorders>
            <w:shd w:val="clear" w:color="auto" w:fill="auto"/>
            <w:noWrap/>
            <w:vAlign w:val="center"/>
            <w:hideMark/>
          </w:tcPr>
          <w:p w14:paraId="73671AE2"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858" w:type="dxa"/>
            <w:tcBorders>
              <w:top w:val="single" w:sz="4" w:space="0" w:color="363639"/>
              <w:left w:val="nil"/>
              <w:bottom w:val="single" w:sz="4" w:space="0" w:color="auto"/>
              <w:right w:val="single" w:sz="4" w:space="0" w:color="auto"/>
            </w:tcBorders>
            <w:shd w:val="clear" w:color="auto" w:fill="auto"/>
            <w:noWrap/>
            <w:vAlign w:val="center"/>
            <w:hideMark/>
          </w:tcPr>
          <w:p w14:paraId="557F4B22"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279.658 </w:t>
            </w:r>
          </w:p>
        </w:tc>
      </w:tr>
      <w:tr w:rsidR="00B1569B" w:rsidRPr="00701F32" w14:paraId="49ABF2EA" w14:textId="77777777" w:rsidTr="00712ADC">
        <w:trPr>
          <w:trHeight w:val="250"/>
        </w:trPr>
        <w:tc>
          <w:tcPr>
            <w:tcW w:w="10042"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2C516567" w14:textId="77777777" w:rsidR="00B1569B" w:rsidRPr="00701F32" w:rsidRDefault="00B1569B" w:rsidP="00B84B6F">
            <w:pPr>
              <w:rPr>
                <w:rFonts w:ascii="Arial" w:hAnsi="Arial" w:cs="Arial"/>
                <w:b/>
                <w:bCs/>
                <w:sz w:val="14"/>
                <w:szCs w:val="12"/>
                <w:lang w:eastAsia="es-AR"/>
              </w:rPr>
            </w:pPr>
            <w:r w:rsidRPr="00701F32">
              <w:rPr>
                <w:rFonts w:ascii="Arial" w:hAnsi="Arial" w:cs="Arial"/>
                <w:b/>
                <w:sz w:val="14"/>
                <w:szCs w:val="12"/>
                <w:lang w:eastAsia="es-AR"/>
              </w:rPr>
              <w:t>Modelo de revaluación</w:t>
            </w:r>
          </w:p>
        </w:tc>
      </w:tr>
      <w:tr w:rsidR="00B1569B" w:rsidRPr="00701F32" w14:paraId="6AA526C2" w14:textId="77777777" w:rsidTr="00FF7CC8">
        <w:trPr>
          <w:trHeight w:val="273"/>
        </w:trPr>
        <w:tc>
          <w:tcPr>
            <w:tcW w:w="2647" w:type="dxa"/>
            <w:tcBorders>
              <w:top w:val="single" w:sz="4" w:space="0" w:color="auto"/>
              <w:left w:val="single" w:sz="4" w:space="0" w:color="auto"/>
              <w:bottom w:val="single" w:sz="4" w:space="0" w:color="363639"/>
              <w:right w:val="single" w:sz="4" w:space="0" w:color="363639"/>
            </w:tcBorders>
            <w:shd w:val="clear" w:color="auto" w:fill="auto"/>
            <w:hideMark/>
          </w:tcPr>
          <w:p w14:paraId="6492D452" w14:textId="77777777" w:rsidR="00B1569B" w:rsidRPr="00701F32" w:rsidRDefault="00B1569B" w:rsidP="00B84B6F">
            <w:pPr>
              <w:rPr>
                <w:rFonts w:ascii="Arial" w:hAnsi="Arial" w:cs="Arial"/>
                <w:sz w:val="14"/>
                <w:szCs w:val="12"/>
                <w:lang w:eastAsia="es-AR"/>
              </w:rPr>
            </w:pPr>
            <w:r w:rsidRPr="00701F32">
              <w:rPr>
                <w:rFonts w:ascii="Arial" w:hAnsi="Arial" w:cs="Arial"/>
                <w:sz w:val="14"/>
                <w:szCs w:val="12"/>
                <w:lang w:eastAsia="es-AR"/>
              </w:rPr>
              <w:t>- Inmuebles</w:t>
            </w:r>
          </w:p>
        </w:tc>
        <w:tc>
          <w:tcPr>
            <w:tcW w:w="904" w:type="dxa"/>
            <w:tcBorders>
              <w:top w:val="single" w:sz="4" w:space="0" w:color="auto"/>
              <w:left w:val="nil"/>
              <w:bottom w:val="single" w:sz="4" w:space="0" w:color="auto"/>
              <w:right w:val="single" w:sz="4" w:space="0" w:color="363639"/>
            </w:tcBorders>
            <w:shd w:val="clear" w:color="auto" w:fill="auto"/>
            <w:noWrap/>
            <w:vAlign w:val="center"/>
            <w:hideMark/>
          </w:tcPr>
          <w:p w14:paraId="6FE83B68"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517.979 </w:t>
            </w:r>
          </w:p>
        </w:tc>
        <w:tc>
          <w:tcPr>
            <w:tcW w:w="685" w:type="dxa"/>
            <w:tcBorders>
              <w:top w:val="single" w:sz="4" w:space="0" w:color="auto"/>
              <w:left w:val="nil"/>
              <w:bottom w:val="single" w:sz="4" w:space="0" w:color="auto"/>
              <w:right w:val="single" w:sz="4" w:space="0" w:color="363639"/>
            </w:tcBorders>
            <w:shd w:val="clear" w:color="auto" w:fill="auto"/>
            <w:noWrap/>
            <w:vAlign w:val="center"/>
            <w:hideMark/>
          </w:tcPr>
          <w:p w14:paraId="3B3BFB05"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50 </w:t>
            </w:r>
          </w:p>
        </w:tc>
        <w:tc>
          <w:tcPr>
            <w:tcW w:w="822" w:type="dxa"/>
            <w:tcBorders>
              <w:top w:val="single" w:sz="4" w:space="0" w:color="auto"/>
              <w:left w:val="nil"/>
              <w:bottom w:val="single" w:sz="4" w:space="0" w:color="auto"/>
              <w:right w:val="single" w:sz="4" w:space="0" w:color="363639"/>
            </w:tcBorders>
            <w:shd w:val="clear" w:color="auto" w:fill="auto"/>
            <w:noWrap/>
            <w:vAlign w:val="center"/>
            <w:hideMark/>
          </w:tcPr>
          <w:p w14:paraId="0719BA93"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83.191 </w:t>
            </w:r>
          </w:p>
        </w:tc>
        <w:tc>
          <w:tcPr>
            <w:tcW w:w="674" w:type="dxa"/>
            <w:tcBorders>
              <w:top w:val="single" w:sz="4" w:space="0" w:color="auto"/>
              <w:left w:val="nil"/>
              <w:bottom w:val="single" w:sz="4" w:space="0" w:color="auto"/>
              <w:right w:val="single" w:sz="4" w:space="0" w:color="363639"/>
            </w:tcBorders>
            <w:shd w:val="clear" w:color="auto" w:fill="auto"/>
            <w:noWrap/>
            <w:vAlign w:val="center"/>
            <w:hideMark/>
          </w:tcPr>
          <w:p w14:paraId="01173F05"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   </w:t>
            </w:r>
          </w:p>
        </w:tc>
        <w:tc>
          <w:tcPr>
            <w:tcW w:w="677" w:type="dxa"/>
            <w:tcBorders>
              <w:top w:val="single" w:sz="4" w:space="0" w:color="auto"/>
              <w:left w:val="nil"/>
              <w:bottom w:val="single" w:sz="4" w:space="0" w:color="auto"/>
              <w:right w:val="single" w:sz="4" w:space="0" w:color="363639"/>
            </w:tcBorders>
            <w:shd w:val="clear" w:color="auto" w:fill="auto"/>
            <w:noWrap/>
            <w:vAlign w:val="center"/>
            <w:hideMark/>
          </w:tcPr>
          <w:p w14:paraId="73D95D55"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(8.982)</w:t>
            </w:r>
          </w:p>
        </w:tc>
        <w:tc>
          <w:tcPr>
            <w:tcW w:w="1077" w:type="dxa"/>
            <w:gridSpan w:val="2"/>
            <w:tcBorders>
              <w:top w:val="single" w:sz="4" w:space="0" w:color="auto"/>
              <w:left w:val="nil"/>
              <w:bottom w:val="single" w:sz="4" w:space="0" w:color="auto"/>
              <w:right w:val="single" w:sz="4" w:space="0" w:color="363639"/>
            </w:tcBorders>
            <w:shd w:val="clear" w:color="auto" w:fill="auto"/>
            <w:noWrap/>
            <w:vAlign w:val="center"/>
            <w:hideMark/>
          </w:tcPr>
          <w:p w14:paraId="74DE80C2"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(37.412)</w:t>
            </w:r>
          </w:p>
        </w:tc>
        <w:tc>
          <w:tcPr>
            <w:tcW w:w="815" w:type="dxa"/>
            <w:gridSpan w:val="2"/>
            <w:tcBorders>
              <w:top w:val="single" w:sz="4" w:space="0" w:color="auto"/>
              <w:left w:val="nil"/>
              <w:bottom w:val="single" w:sz="4" w:space="0" w:color="auto"/>
              <w:right w:val="single" w:sz="4" w:space="0" w:color="363639"/>
            </w:tcBorders>
            <w:shd w:val="clear" w:color="auto" w:fill="auto"/>
            <w:noWrap/>
            <w:vAlign w:val="center"/>
            <w:hideMark/>
          </w:tcPr>
          <w:p w14:paraId="16FE9A06"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(28.924)</w:t>
            </w:r>
          </w:p>
        </w:tc>
        <w:tc>
          <w:tcPr>
            <w:tcW w:w="883" w:type="dxa"/>
            <w:tcBorders>
              <w:top w:val="single" w:sz="4" w:space="0" w:color="auto"/>
              <w:left w:val="nil"/>
              <w:bottom w:val="single" w:sz="4" w:space="0" w:color="auto"/>
              <w:right w:val="single" w:sz="4" w:space="0" w:color="363639"/>
            </w:tcBorders>
            <w:shd w:val="clear" w:color="auto" w:fill="auto"/>
            <w:noWrap/>
            <w:vAlign w:val="center"/>
            <w:hideMark/>
          </w:tcPr>
          <w:p w14:paraId="4067A249"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xml:space="preserve">     (66.336)</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62C996A5"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525.852 </w:t>
            </w:r>
          </w:p>
        </w:tc>
      </w:tr>
      <w:tr w:rsidR="00B1569B" w:rsidRPr="00701F32" w14:paraId="77F2AE17" w14:textId="77777777" w:rsidTr="00FF7CC8">
        <w:trPr>
          <w:trHeight w:val="147"/>
        </w:trPr>
        <w:tc>
          <w:tcPr>
            <w:tcW w:w="2647" w:type="dxa"/>
            <w:tcBorders>
              <w:top w:val="nil"/>
              <w:left w:val="single" w:sz="4" w:space="0" w:color="auto"/>
              <w:bottom w:val="single" w:sz="4" w:space="0" w:color="auto"/>
              <w:right w:val="single" w:sz="4" w:space="0" w:color="363639"/>
            </w:tcBorders>
            <w:shd w:val="clear" w:color="auto" w:fill="auto"/>
            <w:hideMark/>
          </w:tcPr>
          <w:p w14:paraId="5CCCD31E" w14:textId="77777777" w:rsidR="00B1569B" w:rsidRPr="00701F32" w:rsidRDefault="00B1569B" w:rsidP="00B84B6F">
            <w:pPr>
              <w:rPr>
                <w:rFonts w:ascii="Arial" w:hAnsi="Arial" w:cs="Arial"/>
                <w:b/>
                <w:bCs/>
                <w:sz w:val="14"/>
                <w:szCs w:val="12"/>
                <w:lang w:eastAsia="es-AR"/>
              </w:rPr>
            </w:pPr>
            <w:r w:rsidRPr="00701F32">
              <w:rPr>
                <w:rFonts w:ascii="Arial" w:hAnsi="Arial" w:cs="Arial"/>
                <w:b/>
                <w:bCs/>
                <w:sz w:val="14"/>
                <w:szCs w:val="12"/>
                <w:lang w:eastAsia="es-AR"/>
              </w:rPr>
              <w:t>TOTAL PROPIEDAD PLANTA Y EQUIPO</w:t>
            </w:r>
          </w:p>
        </w:tc>
        <w:tc>
          <w:tcPr>
            <w:tcW w:w="904" w:type="dxa"/>
            <w:tcBorders>
              <w:top w:val="nil"/>
              <w:left w:val="nil"/>
              <w:bottom w:val="single" w:sz="4" w:space="0" w:color="auto"/>
              <w:right w:val="single" w:sz="4" w:space="0" w:color="363639"/>
            </w:tcBorders>
            <w:shd w:val="clear" w:color="auto" w:fill="auto"/>
            <w:noWrap/>
            <w:vAlign w:val="center"/>
            <w:hideMark/>
          </w:tcPr>
          <w:p w14:paraId="38CBFC4B"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1.033.773 </w:t>
            </w:r>
          </w:p>
        </w:tc>
        <w:tc>
          <w:tcPr>
            <w:tcW w:w="685" w:type="dxa"/>
            <w:tcBorders>
              <w:top w:val="single" w:sz="4" w:space="0" w:color="363639"/>
              <w:left w:val="nil"/>
              <w:bottom w:val="single" w:sz="4" w:space="0" w:color="auto"/>
              <w:right w:val="single" w:sz="4" w:space="0" w:color="363639"/>
            </w:tcBorders>
            <w:shd w:val="clear" w:color="auto" w:fill="auto"/>
            <w:vAlign w:val="center"/>
            <w:hideMark/>
          </w:tcPr>
          <w:p w14:paraId="049A8D49" w14:textId="77777777" w:rsidR="00B1569B" w:rsidRPr="00701F32" w:rsidRDefault="00B1569B">
            <w:pPr>
              <w:jc w:val="right"/>
              <w:rPr>
                <w:rFonts w:ascii="Arial" w:hAnsi="Arial" w:cs="Arial"/>
                <w:sz w:val="14"/>
                <w:szCs w:val="12"/>
                <w:lang w:eastAsia="es-AR"/>
              </w:rPr>
            </w:pPr>
            <w:r w:rsidRPr="00701F32">
              <w:rPr>
                <w:rFonts w:ascii="Arial" w:hAnsi="Arial" w:cs="Arial"/>
                <w:sz w:val="14"/>
                <w:szCs w:val="12"/>
                <w:lang w:eastAsia="es-AR"/>
              </w:rPr>
              <w:t> </w:t>
            </w:r>
          </w:p>
        </w:tc>
        <w:tc>
          <w:tcPr>
            <w:tcW w:w="822" w:type="dxa"/>
            <w:tcBorders>
              <w:top w:val="nil"/>
              <w:left w:val="nil"/>
              <w:bottom w:val="single" w:sz="4" w:space="0" w:color="auto"/>
              <w:right w:val="single" w:sz="4" w:space="0" w:color="363639"/>
            </w:tcBorders>
            <w:shd w:val="clear" w:color="auto" w:fill="auto"/>
            <w:noWrap/>
            <w:vAlign w:val="center"/>
            <w:hideMark/>
          </w:tcPr>
          <w:p w14:paraId="382ADA4C"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83.191 </w:t>
            </w:r>
          </w:p>
        </w:tc>
        <w:tc>
          <w:tcPr>
            <w:tcW w:w="674" w:type="dxa"/>
            <w:tcBorders>
              <w:top w:val="nil"/>
              <w:left w:val="nil"/>
              <w:bottom w:val="single" w:sz="4" w:space="0" w:color="auto"/>
              <w:right w:val="single" w:sz="4" w:space="0" w:color="363639"/>
            </w:tcBorders>
            <w:shd w:val="clear" w:color="auto" w:fill="auto"/>
            <w:noWrap/>
            <w:vAlign w:val="center"/>
            <w:hideMark/>
          </w:tcPr>
          <w:p w14:paraId="5F0578F6" w14:textId="77777777" w:rsidR="00B1569B" w:rsidRPr="00701F32" w:rsidRDefault="00F67954">
            <w:pPr>
              <w:jc w:val="right"/>
              <w:rPr>
                <w:rFonts w:ascii="Arial" w:hAnsi="Arial" w:cs="Arial"/>
                <w:b/>
                <w:bCs/>
                <w:sz w:val="14"/>
                <w:szCs w:val="12"/>
                <w:lang w:eastAsia="es-AR"/>
              </w:rPr>
            </w:pPr>
            <w:r w:rsidRPr="00701F32">
              <w:rPr>
                <w:rFonts w:ascii="Arial" w:hAnsi="Arial" w:cs="Arial"/>
                <w:b/>
                <w:bCs/>
                <w:sz w:val="14"/>
                <w:szCs w:val="12"/>
                <w:lang w:eastAsia="es-AR"/>
              </w:rPr>
              <w:t>4</w:t>
            </w:r>
            <w:r w:rsidR="00B1569B" w:rsidRPr="00701F32">
              <w:rPr>
                <w:rFonts w:ascii="Arial" w:hAnsi="Arial" w:cs="Arial"/>
                <w:b/>
                <w:bCs/>
                <w:sz w:val="14"/>
                <w:szCs w:val="12"/>
                <w:lang w:eastAsia="es-AR"/>
              </w:rPr>
              <w:t xml:space="preserve">71.370 </w:t>
            </w:r>
          </w:p>
        </w:tc>
        <w:tc>
          <w:tcPr>
            <w:tcW w:w="677" w:type="dxa"/>
            <w:tcBorders>
              <w:top w:val="nil"/>
              <w:left w:val="nil"/>
              <w:bottom w:val="single" w:sz="4" w:space="0" w:color="auto"/>
              <w:right w:val="single" w:sz="4" w:space="0" w:color="363639"/>
            </w:tcBorders>
            <w:shd w:val="clear" w:color="auto" w:fill="auto"/>
            <w:noWrap/>
            <w:vAlign w:val="center"/>
            <w:hideMark/>
          </w:tcPr>
          <w:p w14:paraId="6FFE7006"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(31.562)</w:t>
            </w:r>
          </w:p>
        </w:tc>
        <w:tc>
          <w:tcPr>
            <w:tcW w:w="1077" w:type="dxa"/>
            <w:gridSpan w:val="2"/>
            <w:tcBorders>
              <w:top w:val="nil"/>
              <w:left w:val="nil"/>
              <w:bottom w:val="single" w:sz="4" w:space="0" w:color="auto"/>
              <w:right w:val="single" w:sz="4" w:space="0" w:color="363639"/>
            </w:tcBorders>
            <w:shd w:val="clear" w:color="auto" w:fill="auto"/>
            <w:noWrap/>
            <w:vAlign w:val="center"/>
            <w:hideMark/>
          </w:tcPr>
          <w:p w14:paraId="0F1C7D49"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(290.552)</w:t>
            </w:r>
          </w:p>
        </w:tc>
        <w:tc>
          <w:tcPr>
            <w:tcW w:w="815" w:type="dxa"/>
            <w:gridSpan w:val="2"/>
            <w:tcBorders>
              <w:top w:val="nil"/>
              <w:left w:val="nil"/>
              <w:bottom w:val="single" w:sz="4" w:space="0" w:color="auto"/>
              <w:right w:val="single" w:sz="4" w:space="0" w:color="363639"/>
            </w:tcBorders>
            <w:shd w:val="clear" w:color="auto" w:fill="auto"/>
            <w:noWrap/>
            <w:vAlign w:val="center"/>
            <w:hideMark/>
          </w:tcPr>
          <w:p w14:paraId="52FF0A99"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(133.127)</w:t>
            </w:r>
          </w:p>
        </w:tc>
        <w:tc>
          <w:tcPr>
            <w:tcW w:w="883" w:type="dxa"/>
            <w:tcBorders>
              <w:top w:val="nil"/>
              <w:left w:val="nil"/>
              <w:bottom w:val="single" w:sz="4" w:space="0" w:color="auto"/>
              <w:right w:val="single" w:sz="4" w:space="0" w:color="363639"/>
            </w:tcBorders>
            <w:shd w:val="clear" w:color="auto" w:fill="auto"/>
            <w:noWrap/>
            <w:vAlign w:val="center"/>
            <w:hideMark/>
          </w:tcPr>
          <w:p w14:paraId="1D466873"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(423.679)</w:t>
            </w:r>
          </w:p>
        </w:tc>
        <w:tc>
          <w:tcPr>
            <w:tcW w:w="858" w:type="dxa"/>
            <w:tcBorders>
              <w:top w:val="nil"/>
              <w:left w:val="nil"/>
              <w:bottom w:val="single" w:sz="4" w:space="0" w:color="auto"/>
              <w:right w:val="single" w:sz="4" w:space="0" w:color="auto"/>
            </w:tcBorders>
            <w:shd w:val="clear" w:color="auto" w:fill="auto"/>
            <w:noWrap/>
            <w:vAlign w:val="center"/>
            <w:hideMark/>
          </w:tcPr>
          <w:p w14:paraId="3121C797" w14:textId="77777777" w:rsidR="00B1569B" w:rsidRPr="00701F32" w:rsidRDefault="00B1569B">
            <w:pPr>
              <w:jc w:val="right"/>
              <w:rPr>
                <w:rFonts w:ascii="Arial" w:hAnsi="Arial" w:cs="Arial"/>
                <w:b/>
                <w:bCs/>
                <w:sz w:val="14"/>
                <w:szCs w:val="12"/>
                <w:lang w:eastAsia="es-AR"/>
              </w:rPr>
            </w:pPr>
            <w:r w:rsidRPr="00701F32">
              <w:rPr>
                <w:rFonts w:ascii="Arial" w:hAnsi="Arial" w:cs="Arial"/>
                <w:b/>
                <w:bCs/>
                <w:sz w:val="14"/>
                <w:szCs w:val="12"/>
                <w:lang w:eastAsia="es-AR"/>
              </w:rPr>
              <w:t xml:space="preserve"> 1.133.093 </w:t>
            </w:r>
          </w:p>
        </w:tc>
      </w:tr>
    </w:tbl>
    <w:p w14:paraId="567E3A17" w14:textId="77777777" w:rsidR="008D246D" w:rsidRPr="00701F32" w:rsidRDefault="008D246D" w:rsidP="00E07294">
      <w:pPr>
        <w:spacing w:after="160" w:line="259" w:lineRule="auto"/>
        <w:jc w:val="both"/>
        <w:rPr>
          <w:rFonts w:ascii="Arial" w:eastAsia="Calibri" w:hAnsi="Arial" w:cs="Arial"/>
          <w:sz w:val="20"/>
        </w:rPr>
      </w:pPr>
    </w:p>
    <w:p w14:paraId="13305814" w14:textId="29195E25" w:rsidR="00E07294" w:rsidRPr="00701F32" w:rsidRDefault="00E07294" w:rsidP="005819B2">
      <w:pPr>
        <w:tabs>
          <w:tab w:val="left" w:pos="1567"/>
        </w:tabs>
        <w:rPr>
          <w:rFonts w:ascii="Arial" w:eastAsia="Calibri" w:hAnsi="Arial" w:cs="Arial"/>
          <w:b/>
          <w:sz w:val="20"/>
        </w:rPr>
      </w:pPr>
      <w:r w:rsidRPr="00701F32">
        <w:rPr>
          <w:rFonts w:ascii="Arial" w:eastAsia="Calibri" w:hAnsi="Arial" w:cs="Arial"/>
          <w:b/>
          <w:sz w:val="20"/>
        </w:rPr>
        <w:t xml:space="preserve">Información adicional al 31 de </w:t>
      </w:r>
      <w:r w:rsidR="00976052" w:rsidRPr="00701F32">
        <w:rPr>
          <w:rFonts w:ascii="Arial" w:eastAsia="Calibri" w:hAnsi="Arial" w:cs="Arial"/>
          <w:b/>
          <w:sz w:val="20"/>
        </w:rPr>
        <w:t xml:space="preserve">diciembre </w:t>
      </w:r>
      <w:r w:rsidRPr="00701F32">
        <w:rPr>
          <w:rFonts w:ascii="Arial" w:eastAsia="Calibri" w:hAnsi="Arial" w:cs="Arial"/>
          <w:b/>
          <w:sz w:val="20"/>
        </w:rPr>
        <w:t>de 2017</w:t>
      </w:r>
    </w:p>
    <w:p w14:paraId="40AFBBAD" w14:textId="77777777" w:rsidR="004D77FC" w:rsidRPr="00701F32" w:rsidRDefault="004D77FC" w:rsidP="005819B2">
      <w:pPr>
        <w:tabs>
          <w:tab w:val="left" w:pos="1567"/>
        </w:tabs>
        <w:rPr>
          <w:rFonts w:ascii="Arial" w:eastAsia="Calibri" w:hAnsi="Arial" w:cs="Arial"/>
          <w:b/>
          <w:sz w:val="20"/>
        </w:rPr>
      </w:pPr>
    </w:p>
    <w:tbl>
      <w:tblPr>
        <w:tblStyle w:val="GridTable1Light1"/>
        <w:tblW w:w="0" w:type="auto"/>
        <w:tblLook w:val="04A0" w:firstRow="1" w:lastRow="0" w:firstColumn="1" w:lastColumn="0" w:noHBand="0" w:noVBand="1"/>
      </w:tblPr>
      <w:tblGrid>
        <w:gridCol w:w="1507"/>
        <w:gridCol w:w="1471"/>
        <w:gridCol w:w="1471"/>
        <w:gridCol w:w="1471"/>
        <w:gridCol w:w="1472"/>
        <w:gridCol w:w="1472"/>
      </w:tblGrid>
      <w:tr w:rsidR="00E07294" w:rsidRPr="00701F32" w14:paraId="6EE079AF" w14:textId="77777777" w:rsidTr="00464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30BFAF78" w14:textId="77777777" w:rsidR="00E07294" w:rsidRPr="00701F32" w:rsidRDefault="00E07294" w:rsidP="00464C0F">
            <w:pPr>
              <w:jc w:val="center"/>
              <w:rPr>
                <w:rFonts w:ascii="Arial" w:hAnsi="Arial" w:cs="Arial"/>
                <w:sz w:val="18"/>
              </w:rPr>
            </w:pPr>
          </w:p>
        </w:tc>
        <w:tc>
          <w:tcPr>
            <w:tcW w:w="1471" w:type="dxa"/>
            <w:tcBorders>
              <w:top w:val="single" w:sz="4" w:space="0" w:color="auto"/>
              <w:left w:val="single" w:sz="4" w:space="0" w:color="auto"/>
              <w:bottom w:val="single" w:sz="4" w:space="0" w:color="auto"/>
              <w:right w:val="single" w:sz="4" w:space="0" w:color="auto"/>
            </w:tcBorders>
          </w:tcPr>
          <w:p w14:paraId="44BB5D58" w14:textId="77777777" w:rsidR="00E07294" w:rsidRPr="00701F32" w:rsidRDefault="00E0729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Mobiliario e Instalaciones</w:t>
            </w:r>
          </w:p>
        </w:tc>
        <w:tc>
          <w:tcPr>
            <w:tcW w:w="1471" w:type="dxa"/>
            <w:tcBorders>
              <w:top w:val="single" w:sz="4" w:space="0" w:color="auto"/>
              <w:left w:val="single" w:sz="4" w:space="0" w:color="auto"/>
              <w:bottom w:val="single" w:sz="4" w:space="0" w:color="auto"/>
              <w:right w:val="single" w:sz="4" w:space="0" w:color="auto"/>
            </w:tcBorders>
          </w:tcPr>
          <w:p w14:paraId="62F8CF22" w14:textId="77777777" w:rsidR="00E07294" w:rsidRPr="00701F32" w:rsidRDefault="00E0729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Máquinas y Equipos</w:t>
            </w:r>
          </w:p>
        </w:tc>
        <w:tc>
          <w:tcPr>
            <w:tcW w:w="1471" w:type="dxa"/>
            <w:tcBorders>
              <w:top w:val="single" w:sz="4" w:space="0" w:color="auto"/>
              <w:left w:val="single" w:sz="4" w:space="0" w:color="auto"/>
              <w:bottom w:val="single" w:sz="4" w:space="0" w:color="auto"/>
              <w:right w:val="single" w:sz="4" w:space="0" w:color="auto"/>
            </w:tcBorders>
          </w:tcPr>
          <w:p w14:paraId="7E2F4734" w14:textId="77777777" w:rsidR="00E07294" w:rsidRPr="00701F32" w:rsidRDefault="00E0729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Vehículos</w:t>
            </w:r>
          </w:p>
        </w:tc>
        <w:tc>
          <w:tcPr>
            <w:tcW w:w="1472" w:type="dxa"/>
            <w:tcBorders>
              <w:top w:val="single" w:sz="4" w:space="0" w:color="auto"/>
              <w:left w:val="single" w:sz="4" w:space="0" w:color="auto"/>
              <w:bottom w:val="single" w:sz="4" w:space="0" w:color="auto"/>
              <w:right w:val="single" w:sz="4" w:space="0" w:color="auto"/>
            </w:tcBorders>
          </w:tcPr>
          <w:p w14:paraId="76CB9FC1" w14:textId="77777777" w:rsidR="00E07294" w:rsidRPr="00701F32" w:rsidRDefault="00E0729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Inmuebles</w:t>
            </w:r>
          </w:p>
        </w:tc>
        <w:tc>
          <w:tcPr>
            <w:tcW w:w="1472" w:type="dxa"/>
            <w:tcBorders>
              <w:top w:val="single" w:sz="4" w:space="0" w:color="auto"/>
              <w:left w:val="single" w:sz="4" w:space="0" w:color="auto"/>
              <w:bottom w:val="single" w:sz="4" w:space="0" w:color="auto"/>
              <w:right w:val="single" w:sz="4" w:space="0" w:color="auto"/>
            </w:tcBorders>
          </w:tcPr>
          <w:p w14:paraId="7CBCB7B4" w14:textId="77777777" w:rsidR="00E07294" w:rsidRPr="00701F32" w:rsidRDefault="00E0729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Obras en Curso</w:t>
            </w:r>
          </w:p>
        </w:tc>
      </w:tr>
      <w:tr w:rsidR="00E07294" w:rsidRPr="00701F32" w14:paraId="0DF997C9" w14:textId="77777777" w:rsidTr="00464C0F">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34A9342C" w14:textId="77777777" w:rsidR="00E07294" w:rsidRPr="00701F32" w:rsidRDefault="00E07294" w:rsidP="00464C0F">
            <w:pPr>
              <w:jc w:val="both"/>
              <w:rPr>
                <w:rFonts w:ascii="Arial" w:hAnsi="Arial" w:cs="Arial"/>
                <w:sz w:val="18"/>
              </w:rPr>
            </w:pPr>
            <w:r w:rsidRPr="00701F32">
              <w:rPr>
                <w:rFonts w:ascii="Arial" w:hAnsi="Arial" w:cs="Arial"/>
                <w:sz w:val="18"/>
              </w:rPr>
              <w:t>Método de depreciación</w:t>
            </w:r>
          </w:p>
        </w:tc>
        <w:tc>
          <w:tcPr>
            <w:tcW w:w="1471" w:type="dxa"/>
            <w:tcBorders>
              <w:top w:val="single" w:sz="4" w:space="0" w:color="auto"/>
              <w:left w:val="single" w:sz="4" w:space="0" w:color="auto"/>
              <w:bottom w:val="single" w:sz="4" w:space="0" w:color="auto"/>
              <w:right w:val="single" w:sz="4" w:space="0" w:color="auto"/>
            </w:tcBorders>
          </w:tcPr>
          <w:p w14:paraId="5A4350BA"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1" w:type="dxa"/>
            <w:tcBorders>
              <w:top w:val="single" w:sz="4" w:space="0" w:color="auto"/>
              <w:left w:val="single" w:sz="4" w:space="0" w:color="auto"/>
              <w:bottom w:val="single" w:sz="4" w:space="0" w:color="auto"/>
              <w:right w:val="single" w:sz="4" w:space="0" w:color="auto"/>
            </w:tcBorders>
          </w:tcPr>
          <w:p w14:paraId="637CDA1E"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1" w:type="dxa"/>
            <w:tcBorders>
              <w:top w:val="single" w:sz="4" w:space="0" w:color="auto"/>
              <w:left w:val="single" w:sz="4" w:space="0" w:color="auto"/>
              <w:bottom w:val="single" w:sz="4" w:space="0" w:color="auto"/>
              <w:right w:val="single" w:sz="4" w:space="0" w:color="auto"/>
            </w:tcBorders>
          </w:tcPr>
          <w:p w14:paraId="47C895FA"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2" w:type="dxa"/>
            <w:tcBorders>
              <w:top w:val="single" w:sz="4" w:space="0" w:color="auto"/>
              <w:left w:val="single" w:sz="4" w:space="0" w:color="auto"/>
              <w:bottom w:val="single" w:sz="4" w:space="0" w:color="auto"/>
              <w:right w:val="single" w:sz="4" w:space="0" w:color="auto"/>
            </w:tcBorders>
          </w:tcPr>
          <w:p w14:paraId="752E72EE"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2" w:type="dxa"/>
            <w:tcBorders>
              <w:top w:val="single" w:sz="4" w:space="0" w:color="auto"/>
              <w:left w:val="single" w:sz="4" w:space="0" w:color="auto"/>
              <w:bottom w:val="single" w:sz="4" w:space="0" w:color="auto"/>
              <w:right w:val="single" w:sz="4" w:space="0" w:color="auto"/>
            </w:tcBorders>
          </w:tcPr>
          <w:p w14:paraId="11FC0FDF"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w:t>
            </w:r>
          </w:p>
        </w:tc>
      </w:tr>
      <w:tr w:rsidR="00E07294" w:rsidRPr="00701F32" w14:paraId="5639D73D" w14:textId="77777777" w:rsidTr="00464C0F">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3B40AF38" w14:textId="77777777" w:rsidR="00E07294" w:rsidRPr="00701F32" w:rsidRDefault="00E07294" w:rsidP="00464C0F">
            <w:pPr>
              <w:jc w:val="both"/>
              <w:rPr>
                <w:rFonts w:ascii="Arial" w:hAnsi="Arial" w:cs="Arial"/>
                <w:sz w:val="18"/>
              </w:rPr>
            </w:pPr>
            <w:r w:rsidRPr="00701F32">
              <w:rPr>
                <w:rFonts w:ascii="Arial" w:hAnsi="Arial" w:cs="Arial"/>
                <w:sz w:val="18"/>
              </w:rPr>
              <w:t>Vida útil</w:t>
            </w:r>
          </w:p>
        </w:tc>
        <w:tc>
          <w:tcPr>
            <w:tcW w:w="1471" w:type="dxa"/>
            <w:tcBorders>
              <w:top w:val="single" w:sz="4" w:space="0" w:color="auto"/>
              <w:left w:val="single" w:sz="4" w:space="0" w:color="auto"/>
              <w:bottom w:val="single" w:sz="4" w:space="0" w:color="auto"/>
              <w:right w:val="single" w:sz="4" w:space="0" w:color="auto"/>
            </w:tcBorders>
          </w:tcPr>
          <w:p w14:paraId="3B8ECFD6"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10 años</w:t>
            </w:r>
          </w:p>
        </w:tc>
        <w:tc>
          <w:tcPr>
            <w:tcW w:w="1471" w:type="dxa"/>
            <w:tcBorders>
              <w:top w:val="single" w:sz="4" w:space="0" w:color="auto"/>
              <w:left w:val="single" w:sz="4" w:space="0" w:color="auto"/>
              <w:bottom w:val="single" w:sz="4" w:space="0" w:color="auto"/>
              <w:right w:val="single" w:sz="4" w:space="0" w:color="auto"/>
            </w:tcBorders>
          </w:tcPr>
          <w:p w14:paraId="70C80C12"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c>
          <w:tcPr>
            <w:tcW w:w="1471" w:type="dxa"/>
            <w:tcBorders>
              <w:top w:val="single" w:sz="4" w:space="0" w:color="auto"/>
              <w:left w:val="single" w:sz="4" w:space="0" w:color="auto"/>
              <w:bottom w:val="single" w:sz="4" w:space="0" w:color="auto"/>
              <w:right w:val="single" w:sz="4" w:space="0" w:color="auto"/>
            </w:tcBorders>
          </w:tcPr>
          <w:p w14:paraId="45840BBF"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c>
          <w:tcPr>
            <w:tcW w:w="1472" w:type="dxa"/>
            <w:tcBorders>
              <w:top w:val="single" w:sz="4" w:space="0" w:color="auto"/>
              <w:left w:val="single" w:sz="4" w:space="0" w:color="auto"/>
              <w:bottom w:val="single" w:sz="4" w:space="0" w:color="auto"/>
              <w:right w:val="single" w:sz="4" w:space="0" w:color="auto"/>
            </w:tcBorders>
          </w:tcPr>
          <w:p w14:paraId="75C365F1"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50 años</w:t>
            </w:r>
          </w:p>
        </w:tc>
        <w:tc>
          <w:tcPr>
            <w:tcW w:w="1472" w:type="dxa"/>
            <w:tcBorders>
              <w:top w:val="single" w:sz="4" w:space="0" w:color="auto"/>
              <w:left w:val="single" w:sz="4" w:space="0" w:color="auto"/>
              <w:bottom w:val="single" w:sz="4" w:space="0" w:color="auto"/>
              <w:right w:val="single" w:sz="4" w:space="0" w:color="auto"/>
            </w:tcBorders>
          </w:tcPr>
          <w:p w14:paraId="642ABA4C" w14:textId="77777777" w:rsidR="00E07294" w:rsidRPr="00701F32" w:rsidRDefault="00E0729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w:t>
            </w:r>
          </w:p>
        </w:tc>
      </w:tr>
    </w:tbl>
    <w:p w14:paraId="04033301" w14:textId="77777777" w:rsidR="00E07294" w:rsidRPr="00701F32" w:rsidRDefault="00E07294" w:rsidP="00E07294">
      <w:pPr>
        <w:spacing w:after="160" w:line="259" w:lineRule="auto"/>
        <w:jc w:val="both"/>
        <w:rPr>
          <w:rFonts w:ascii="Arial" w:eastAsia="Calibri" w:hAnsi="Arial" w:cs="Arial"/>
          <w:b/>
          <w:sz w:val="20"/>
        </w:rPr>
      </w:pPr>
    </w:p>
    <w:p w14:paraId="09C859CD" w14:textId="77777777" w:rsidR="00E07294"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b/>
          <w:sz w:val="20"/>
        </w:rPr>
        <w:t>Revalúo de Propiedad, planta y equipo</w:t>
      </w:r>
    </w:p>
    <w:p w14:paraId="6629B5EF" w14:textId="77777777" w:rsidR="00E07294"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 xml:space="preserve">Al finalizar cada período, la Gerencia actualiza la valuación del valor razonable de terrenos y edificios (clasificados como propiedad, planta y equipo), teniendo en cuenta valoraciones independientes. La Gerencia determina el valor de una propiedad, planta y equipo dentro de una gama de estimaciones de su valor razonable. </w:t>
      </w:r>
    </w:p>
    <w:p w14:paraId="69356EF5" w14:textId="334C246D" w:rsidR="00E07294"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 xml:space="preserve">La última valuación se realizó </w:t>
      </w:r>
      <w:r w:rsidR="00B87F2D" w:rsidRPr="00701F32">
        <w:rPr>
          <w:rFonts w:ascii="Arial" w:eastAsia="Calibri" w:hAnsi="Arial" w:cs="Arial"/>
          <w:sz w:val="20"/>
        </w:rPr>
        <w:t>a</w:t>
      </w:r>
      <w:r w:rsidRPr="00701F32">
        <w:rPr>
          <w:rFonts w:ascii="Arial" w:eastAsia="Calibri" w:hAnsi="Arial" w:cs="Arial"/>
          <w:sz w:val="20"/>
        </w:rPr>
        <w:t xml:space="preserve">l 31 de diciembre de 2017. La misma fue realizada por un tasador independiente. </w:t>
      </w:r>
    </w:p>
    <w:p w14:paraId="41EEA4BD" w14:textId="77777777" w:rsidR="00E07294"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En el siguiente cuadro se revela la siguiente información relacionada al revalúo de los terrenos y edificios, como así también se presentan los valores en libros que se habrían reconocido si los activos revaluados hubieran sido contabilizados bajo modelo de costo:</w:t>
      </w:r>
    </w:p>
    <w:tbl>
      <w:tblPr>
        <w:tblW w:w="9543" w:type="dxa"/>
        <w:tblCellMar>
          <w:left w:w="70" w:type="dxa"/>
          <w:right w:w="70" w:type="dxa"/>
        </w:tblCellMar>
        <w:tblLook w:val="04A0" w:firstRow="1" w:lastRow="0" w:firstColumn="1" w:lastColumn="0" w:noHBand="0" w:noVBand="1"/>
      </w:tblPr>
      <w:tblGrid>
        <w:gridCol w:w="968"/>
        <w:gridCol w:w="1901"/>
        <w:gridCol w:w="1134"/>
        <w:gridCol w:w="1674"/>
        <w:gridCol w:w="924"/>
        <w:gridCol w:w="879"/>
        <w:gridCol w:w="1154"/>
        <w:gridCol w:w="909"/>
      </w:tblGrid>
      <w:tr w:rsidR="00A56CA6" w:rsidRPr="00701F32" w14:paraId="5F8C6971" w14:textId="77777777" w:rsidTr="0069179D">
        <w:trPr>
          <w:trHeight w:val="188"/>
        </w:trPr>
        <w:tc>
          <w:tcPr>
            <w:tcW w:w="988"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7B32CA89" w14:textId="77777777" w:rsidR="00A56CA6" w:rsidRPr="00701F32" w:rsidRDefault="00A56CA6">
            <w:pPr>
              <w:jc w:val="center"/>
              <w:rPr>
                <w:rFonts w:ascii="Arial" w:hAnsi="Arial" w:cs="Arial"/>
                <w:b/>
                <w:bCs/>
                <w:sz w:val="16"/>
                <w:szCs w:val="18"/>
                <w:lang w:eastAsia="es-AR"/>
              </w:rPr>
            </w:pPr>
            <w:r w:rsidRPr="00701F32">
              <w:rPr>
                <w:rFonts w:ascii="Arial" w:hAnsi="Arial" w:cs="Arial"/>
                <w:b/>
                <w:bCs/>
                <w:color w:val="363639"/>
                <w:sz w:val="16"/>
                <w:szCs w:val="18"/>
              </w:rPr>
              <w:t>Detalle de Clases</w:t>
            </w:r>
          </w:p>
        </w:tc>
        <w:tc>
          <w:tcPr>
            <w:tcW w:w="2126"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6690EED7"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Tasador</w:t>
            </w:r>
          </w:p>
        </w:tc>
        <w:tc>
          <w:tcPr>
            <w:tcW w:w="1134"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61279EB9"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Fecha de Revaluación</w:t>
            </w:r>
          </w:p>
        </w:tc>
        <w:tc>
          <w:tcPr>
            <w:tcW w:w="3477" w:type="dxa"/>
            <w:gridSpan w:val="3"/>
            <w:tcBorders>
              <w:top w:val="single" w:sz="4" w:space="0" w:color="363639"/>
              <w:left w:val="nil"/>
              <w:bottom w:val="single" w:sz="4" w:space="0" w:color="363639"/>
              <w:right w:val="single" w:sz="4" w:space="0" w:color="363639"/>
            </w:tcBorders>
            <w:shd w:val="clear" w:color="auto" w:fill="auto"/>
            <w:vAlign w:val="center"/>
            <w:hideMark/>
          </w:tcPr>
          <w:p w14:paraId="4800F945"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Ajuste por Revaluación - ORI acumulado</w:t>
            </w:r>
          </w:p>
        </w:tc>
        <w:tc>
          <w:tcPr>
            <w:tcW w:w="909" w:type="dxa"/>
            <w:vMerge w:val="restart"/>
            <w:tcBorders>
              <w:top w:val="single" w:sz="4" w:space="0" w:color="363639"/>
              <w:left w:val="single" w:sz="4" w:space="0" w:color="363639"/>
              <w:right w:val="single" w:sz="4" w:space="0" w:color="363639"/>
            </w:tcBorders>
            <w:vAlign w:val="center"/>
          </w:tcPr>
          <w:p w14:paraId="6867B2A4" w14:textId="77777777" w:rsidR="00A56CA6" w:rsidRPr="00701F32" w:rsidRDefault="00A56CA6">
            <w:pPr>
              <w:jc w:val="center"/>
              <w:rPr>
                <w:rFonts w:ascii="Arial" w:hAnsi="Arial" w:cs="Arial"/>
                <w:b/>
                <w:bCs/>
                <w:color w:val="363639"/>
                <w:sz w:val="16"/>
                <w:szCs w:val="18"/>
              </w:rPr>
            </w:pPr>
            <w:r w:rsidRPr="00701F32">
              <w:rPr>
                <w:rFonts w:ascii="Arial" w:hAnsi="Arial" w:cs="Arial"/>
                <w:b/>
                <w:bCs/>
                <w:color w:val="363639"/>
                <w:sz w:val="16"/>
                <w:szCs w:val="18"/>
              </w:rPr>
              <w:t>Amortización revaluo</w:t>
            </w:r>
          </w:p>
        </w:tc>
        <w:tc>
          <w:tcPr>
            <w:tcW w:w="909"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6D3D30F7"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Importe en libros s/ Modelo de costo</w:t>
            </w:r>
          </w:p>
        </w:tc>
      </w:tr>
      <w:tr w:rsidR="00A56CA6" w:rsidRPr="00701F32" w14:paraId="5C36EB9D" w14:textId="77777777" w:rsidTr="0069179D">
        <w:trPr>
          <w:trHeight w:val="566"/>
        </w:trPr>
        <w:tc>
          <w:tcPr>
            <w:tcW w:w="988" w:type="dxa"/>
            <w:vMerge/>
            <w:tcBorders>
              <w:top w:val="single" w:sz="4" w:space="0" w:color="363639"/>
              <w:left w:val="single" w:sz="4" w:space="0" w:color="363639"/>
              <w:bottom w:val="single" w:sz="4" w:space="0" w:color="363639"/>
              <w:right w:val="single" w:sz="4" w:space="0" w:color="363639"/>
            </w:tcBorders>
            <w:vAlign w:val="center"/>
            <w:hideMark/>
          </w:tcPr>
          <w:p w14:paraId="28B5FBAE" w14:textId="77777777" w:rsidR="00A56CA6" w:rsidRPr="00701F32" w:rsidRDefault="00A56CA6" w:rsidP="00464C0F">
            <w:pPr>
              <w:rPr>
                <w:rFonts w:ascii="Arial" w:hAnsi="Arial" w:cs="Arial"/>
                <w:b/>
                <w:bCs/>
                <w:sz w:val="16"/>
                <w:szCs w:val="18"/>
              </w:rPr>
            </w:pPr>
          </w:p>
        </w:tc>
        <w:tc>
          <w:tcPr>
            <w:tcW w:w="2126" w:type="dxa"/>
            <w:vMerge/>
            <w:tcBorders>
              <w:top w:val="single" w:sz="4" w:space="0" w:color="363639"/>
              <w:left w:val="single" w:sz="4" w:space="0" w:color="363639"/>
              <w:bottom w:val="single" w:sz="4" w:space="0" w:color="363639"/>
              <w:right w:val="single" w:sz="4" w:space="0" w:color="363639"/>
            </w:tcBorders>
            <w:vAlign w:val="center"/>
            <w:hideMark/>
          </w:tcPr>
          <w:p w14:paraId="6884FDB4" w14:textId="77777777" w:rsidR="00A56CA6" w:rsidRPr="00701F32" w:rsidRDefault="00A56CA6" w:rsidP="00464C0F">
            <w:pPr>
              <w:rPr>
                <w:rFonts w:ascii="Arial" w:hAnsi="Arial" w:cs="Arial"/>
                <w:b/>
                <w:bCs/>
                <w:sz w:val="16"/>
                <w:szCs w:val="18"/>
              </w:rPr>
            </w:pPr>
          </w:p>
        </w:tc>
        <w:tc>
          <w:tcPr>
            <w:tcW w:w="1134" w:type="dxa"/>
            <w:vMerge/>
            <w:tcBorders>
              <w:top w:val="single" w:sz="4" w:space="0" w:color="363639"/>
              <w:left w:val="single" w:sz="4" w:space="0" w:color="363639"/>
              <w:bottom w:val="single" w:sz="4" w:space="0" w:color="363639"/>
              <w:right w:val="single" w:sz="4" w:space="0" w:color="363639"/>
            </w:tcBorders>
            <w:vAlign w:val="center"/>
            <w:hideMark/>
          </w:tcPr>
          <w:p w14:paraId="5105C4C5" w14:textId="77777777" w:rsidR="00A56CA6" w:rsidRPr="00701F32" w:rsidRDefault="00A56CA6" w:rsidP="00464C0F">
            <w:pPr>
              <w:rPr>
                <w:rFonts w:ascii="Arial" w:hAnsi="Arial" w:cs="Arial"/>
                <w:b/>
                <w:bCs/>
                <w:sz w:val="16"/>
                <w:szCs w:val="18"/>
              </w:rPr>
            </w:pPr>
          </w:p>
        </w:tc>
        <w:tc>
          <w:tcPr>
            <w:tcW w:w="1674" w:type="dxa"/>
            <w:tcBorders>
              <w:top w:val="nil"/>
              <w:left w:val="nil"/>
              <w:bottom w:val="single" w:sz="4" w:space="0" w:color="363639"/>
              <w:right w:val="single" w:sz="4" w:space="0" w:color="363639"/>
            </w:tcBorders>
            <w:shd w:val="clear" w:color="auto" w:fill="auto"/>
            <w:vAlign w:val="center"/>
            <w:hideMark/>
          </w:tcPr>
          <w:p w14:paraId="655AA65C"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Saldo al inicio del período</w:t>
            </w:r>
          </w:p>
        </w:tc>
        <w:tc>
          <w:tcPr>
            <w:tcW w:w="924" w:type="dxa"/>
            <w:tcBorders>
              <w:top w:val="nil"/>
              <w:left w:val="nil"/>
              <w:bottom w:val="single" w:sz="4" w:space="0" w:color="363639"/>
              <w:right w:val="single" w:sz="4" w:space="0" w:color="363639"/>
            </w:tcBorders>
            <w:shd w:val="clear" w:color="auto" w:fill="auto"/>
            <w:vAlign w:val="center"/>
            <w:hideMark/>
          </w:tcPr>
          <w:p w14:paraId="61AD0DBB" w14:textId="77777777" w:rsidR="00A56CA6" w:rsidRPr="00701F32" w:rsidRDefault="00A56CA6">
            <w:pPr>
              <w:jc w:val="center"/>
              <w:rPr>
                <w:rFonts w:ascii="Arial" w:hAnsi="Arial" w:cs="Arial"/>
                <w:b/>
                <w:bCs/>
                <w:color w:val="363639"/>
                <w:sz w:val="16"/>
                <w:szCs w:val="18"/>
              </w:rPr>
            </w:pPr>
            <w:r w:rsidRPr="00701F32">
              <w:rPr>
                <w:rFonts w:ascii="Arial" w:hAnsi="Arial" w:cs="Arial"/>
                <w:b/>
                <w:bCs/>
                <w:color w:val="363639"/>
                <w:sz w:val="16"/>
                <w:szCs w:val="18"/>
              </w:rPr>
              <w:t>Cambio del período</w:t>
            </w:r>
          </w:p>
        </w:tc>
        <w:tc>
          <w:tcPr>
            <w:tcW w:w="879" w:type="dxa"/>
            <w:tcBorders>
              <w:top w:val="nil"/>
              <w:left w:val="nil"/>
              <w:bottom w:val="single" w:sz="4" w:space="0" w:color="363639"/>
              <w:right w:val="single" w:sz="4" w:space="0" w:color="363639"/>
            </w:tcBorders>
            <w:shd w:val="clear" w:color="auto" w:fill="auto"/>
            <w:vAlign w:val="center"/>
            <w:hideMark/>
          </w:tcPr>
          <w:p w14:paraId="46F4B7DE" w14:textId="77777777" w:rsidR="00A56CA6" w:rsidRPr="00701F32" w:rsidRDefault="00A56CA6">
            <w:pPr>
              <w:jc w:val="center"/>
              <w:rPr>
                <w:rFonts w:ascii="Arial" w:hAnsi="Arial" w:cs="Arial"/>
                <w:b/>
                <w:bCs/>
                <w:sz w:val="16"/>
                <w:szCs w:val="18"/>
              </w:rPr>
            </w:pPr>
            <w:r w:rsidRPr="00701F32">
              <w:rPr>
                <w:rFonts w:ascii="Arial" w:hAnsi="Arial" w:cs="Arial"/>
                <w:b/>
                <w:bCs/>
                <w:color w:val="363639"/>
                <w:sz w:val="16"/>
                <w:szCs w:val="18"/>
              </w:rPr>
              <w:t>Saldo al cierre del período</w:t>
            </w:r>
          </w:p>
        </w:tc>
        <w:tc>
          <w:tcPr>
            <w:tcW w:w="909" w:type="dxa"/>
            <w:vMerge/>
            <w:tcBorders>
              <w:left w:val="single" w:sz="4" w:space="0" w:color="363639"/>
              <w:bottom w:val="single" w:sz="4" w:space="0" w:color="363639"/>
              <w:right w:val="single" w:sz="4" w:space="0" w:color="363639"/>
            </w:tcBorders>
          </w:tcPr>
          <w:p w14:paraId="353E9FEF" w14:textId="77777777" w:rsidR="00A56CA6" w:rsidRPr="00701F32" w:rsidRDefault="00A56CA6" w:rsidP="00464C0F">
            <w:pPr>
              <w:rPr>
                <w:rFonts w:ascii="Arial" w:hAnsi="Arial" w:cs="Arial"/>
                <w:b/>
                <w:bCs/>
                <w:sz w:val="16"/>
                <w:szCs w:val="18"/>
              </w:rPr>
            </w:pPr>
          </w:p>
        </w:tc>
        <w:tc>
          <w:tcPr>
            <w:tcW w:w="909" w:type="dxa"/>
            <w:vMerge/>
            <w:tcBorders>
              <w:top w:val="single" w:sz="4" w:space="0" w:color="363639"/>
              <w:left w:val="single" w:sz="4" w:space="0" w:color="363639"/>
              <w:bottom w:val="single" w:sz="4" w:space="0" w:color="363639"/>
              <w:right w:val="single" w:sz="4" w:space="0" w:color="363639"/>
            </w:tcBorders>
            <w:vAlign w:val="center"/>
            <w:hideMark/>
          </w:tcPr>
          <w:p w14:paraId="3E8A56F6" w14:textId="77777777" w:rsidR="00A56CA6" w:rsidRPr="00701F32" w:rsidRDefault="00A56CA6" w:rsidP="00464C0F">
            <w:pPr>
              <w:rPr>
                <w:rFonts w:ascii="Arial" w:hAnsi="Arial" w:cs="Arial"/>
                <w:b/>
                <w:bCs/>
                <w:sz w:val="16"/>
                <w:szCs w:val="18"/>
              </w:rPr>
            </w:pPr>
          </w:p>
        </w:tc>
      </w:tr>
      <w:tr w:rsidR="001A1BB1" w:rsidRPr="00701F32" w14:paraId="2D44EB2F" w14:textId="77777777" w:rsidTr="00FF7CC8">
        <w:trPr>
          <w:trHeight w:val="188"/>
        </w:trPr>
        <w:tc>
          <w:tcPr>
            <w:tcW w:w="988" w:type="dxa"/>
            <w:vMerge w:val="restart"/>
            <w:tcBorders>
              <w:top w:val="nil"/>
              <w:left w:val="single" w:sz="4" w:space="0" w:color="363639"/>
              <w:bottom w:val="single" w:sz="4" w:space="0" w:color="363639"/>
              <w:right w:val="single" w:sz="4" w:space="0" w:color="363639"/>
            </w:tcBorders>
            <w:shd w:val="clear" w:color="auto" w:fill="auto"/>
            <w:vAlign w:val="center"/>
            <w:hideMark/>
          </w:tcPr>
          <w:p w14:paraId="41F9D47B" w14:textId="77777777" w:rsidR="001A1BB1" w:rsidRPr="00701F32" w:rsidRDefault="001A1BB1" w:rsidP="00464C0F">
            <w:pPr>
              <w:jc w:val="center"/>
              <w:rPr>
                <w:rFonts w:ascii="Arial" w:hAnsi="Arial" w:cs="Arial"/>
                <w:sz w:val="16"/>
                <w:szCs w:val="18"/>
              </w:rPr>
            </w:pPr>
            <w:r w:rsidRPr="00701F32">
              <w:rPr>
                <w:rFonts w:ascii="Arial" w:hAnsi="Arial" w:cs="Arial"/>
                <w:sz w:val="16"/>
                <w:szCs w:val="18"/>
              </w:rPr>
              <w:t>Inmuebles</w:t>
            </w:r>
          </w:p>
        </w:tc>
        <w:tc>
          <w:tcPr>
            <w:tcW w:w="2126" w:type="dxa"/>
            <w:tcBorders>
              <w:top w:val="nil"/>
              <w:left w:val="nil"/>
              <w:bottom w:val="nil"/>
              <w:right w:val="single" w:sz="4" w:space="0" w:color="363639"/>
            </w:tcBorders>
            <w:shd w:val="clear" w:color="auto" w:fill="auto"/>
            <w:hideMark/>
          </w:tcPr>
          <w:p w14:paraId="2859427C" w14:textId="77777777" w:rsidR="001A1BB1" w:rsidRPr="00701F32" w:rsidRDefault="001A1BB1" w:rsidP="00464C0F">
            <w:pPr>
              <w:jc w:val="center"/>
              <w:rPr>
                <w:rFonts w:ascii="Arial" w:hAnsi="Arial" w:cs="Arial"/>
                <w:sz w:val="16"/>
                <w:szCs w:val="16"/>
              </w:rPr>
            </w:pPr>
            <w:r w:rsidRPr="00701F32">
              <w:rPr>
                <w:rFonts w:ascii="Arial" w:hAnsi="Arial" w:cs="Arial"/>
                <w:sz w:val="16"/>
                <w:szCs w:val="16"/>
              </w:rPr>
              <w:t xml:space="preserve">Tribunal de Tasaciones de la Nación </w:t>
            </w:r>
          </w:p>
        </w:tc>
        <w:tc>
          <w:tcPr>
            <w:tcW w:w="1134"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035853AF" w14:textId="77777777" w:rsidR="001A1BB1" w:rsidRPr="00701F32" w:rsidRDefault="001A1BB1" w:rsidP="00464C0F">
            <w:pPr>
              <w:jc w:val="center"/>
              <w:rPr>
                <w:rFonts w:ascii="Arial" w:hAnsi="Arial" w:cs="Arial"/>
                <w:sz w:val="16"/>
                <w:szCs w:val="18"/>
              </w:rPr>
            </w:pPr>
            <w:r w:rsidRPr="00701F32">
              <w:rPr>
                <w:rFonts w:ascii="Arial" w:hAnsi="Arial" w:cs="Arial"/>
                <w:sz w:val="16"/>
                <w:szCs w:val="18"/>
              </w:rPr>
              <w:t>31/12/2017</w:t>
            </w:r>
          </w:p>
        </w:tc>
        <w:tc>
          <w:tcPr>
            <w:tcW w:w="1674"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6E8F22BC" w14:textId="77777777" w:rsidR="001A1BB1" w:rsidRPr="00701F32" w:rsidRDefault="001A1BB1" w:rsidP="00464C0F">
            <w:pPr>
              <w:jc w:val="right"/>
              <w:rPr>
                <w:rFonts w:ascii="Arial" w:hAnsi="Arial" w:cs="Arial"/>
                <w:sz w:val="16"/>
                <w:szCs w:val="18"/>
              </w:rPr>
            </w:pPr>
            <w:r w:rsidRPr="00701F32">
              <w:rPr>
                <w:rFonts w:ascii="Arial" w:hAnsi="Arial" w:cs="Arial"/>
                <w:sz w:val="16"/>
                <w:szCs w:val="18"/>
              </w:rPr>
              <w:t>119.688</w:t>
            </w:r>
          </w:p>
        </w:tc>
        <w:tc>
          <w:tcPr>
            <w:tcW w:w="924"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04346F0D" w14:textId="77777777" w:rsidR="001A1BB1" w:rsidRPr="00701F32" w:rsidRDefault="001A1BB1" w:rsidP="00464C0F">
            <w:pPr>
              <w:jc w:val="right"/>
              <w:rPr>
                <w:rFonts w:ascii="Arial" w:hAnsi="Arial" w:cs="Arial"/>
                <w:sz w:val="16"/>
                <w:szCs w:val="18"/>
              </w:rPr>
            </w:pPr>
            <w:r w:rsidRPr="00701F32">
              <w:rPr>
                <w:rFonts w:ascii="Arial" w:hAnsi="Arial" w:cs="Arial"/>
                <w:sz w:val="16"/>
                <w:szCs w:val="18"/>
              </w:rPr>
              <w:t>83.191</w:t>
            </w:r>
          </w:p>
        </w:tc>
        <w:tc>
          <w:tcPr>
            <w:tcW w:w="879"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6A94F6CC" w14:textId="77777777" w:rsidR="001A1BB1" w:rsidRPr="00701F32" w:rsidRDefault="001A1BB1" w:rsidP="00464C0F">
            <w:pPr>
              <w:jc w:val="right"/>
              <w:rPr>
                <w:rFonts w:ascii="Arial" w:hAnsi="Arial" w:cs="Arial"/>
                <w:sz w:val="16"/>
                <w:szCs w:val="18"/>
              </w:rPr>
            </w:pPr>
            <w:r w:rsidRPr="00701F32">
              <w:rPr>
                <w:rFonts w:ascii="Arial" w:hAnsi="Arial" w:cs="Arial"/>
                <w:sz w:val="16"/>
                <w:szCs w:val="18"/>
              </w:rPr>
              <w:t>202.879</w:t>
            </w:r>
          </w:p>
        </w:tc>
        <w:tc>
          <w:tcPr>
            <w:tcW w:w="909" w:type="dxa"/>
            <w:vMerge w:val="restart"/>
            <w:tcBorders>
              <w:top w:val="nil"/>
              <w:left w:val="single" w:sz="4" w:space="0" w:color="363639"/>
              <w:right w:val="single" w:sz="4" w:space="0" w:color="363639"/>
            </w:tcBorders>
            <w:vAlign w:val="center"/>
          </w:tcPr>
          <w:p w14:paraId="6FCCEF56" w14:textId="77777777" w:rsidR="001A1BB1" w:rsidRPr="00701F32" w:rsidRDefault="00A56CA6">
            <w:pPr>
              <w:jc w:val="right"/>
              <w:rPr>
                <w:rFonts w:ascii="Arial" w:hAnsi="Arial" w:cs="Arial"/>
                <w:sz w:val="16"/>
                <w:szCs w:val="18"/>
              </w:rPr>
            </w:pPr>
            <w:r w:rsidRPr="00701F32">
              <w:rPr>
                <w:rFonts w:ascii="Arial" w:hAnsi="Arial" w:cs="Arial"/>
                <w:sz w:val="16"/>
                <w:szCs w:val="18"/>
              </w:rPr>
              <w:t>(21.545)</w:t>
            </w:r>
          </w:p>
        </w:tc>
        <w:tc>
          <w:tcPr>
            <w:tcW w:w="909"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2406A06B" w14:textId="77777777" w:rsidR="001A1BB1" w:rsidRPr="00701F32" w:rsidRDefault="001A1BB1" w:rsidP="00464C0F">
            <w:pPr>
              <w:jc w:val="right"/>
              <w:rPr>
                <w:rFonts w:ascii="Arial" w:hAnsi="Arial" w:cs="Arial"/>
                <w:sz w:val="16"/>
                <w:szCs w:val="18"/>
              </w:rPr>
            </w:pPr>
            <w:r w:rsidRPr="00701F32">
              <w:rPr>
                <w:rFonts w:ascii="Arial" w:hAnsi="Arial" w:cs="Arial"/>
                <w:sz w:val="16"/>
                <w:szCs w:val="18"/>
              </w:rPr>
              <w:t>344.518</w:t>
            </w:r>
          </w:p>
        </w:tc>
      </w:tr>
      <w:tr w:rsidR="001A1BB1" w:rsidRPr="00701F32" w14:paraId="7325EA43" w14:textId="77777777" w:rsidTr="0069179D">
        <w:trPr>
          <w:trHeight w:val="188"/>
        </w:trPr>
        <w:tc>
          <w:tcPr>
            <w:tcW w:w="988" w:type="dxa"/>
            <w:vMerge/>
            <w:tcBorders>
              <w:top w:val="nil"/>
              <w:left w:val="single" w:sz="4" w:space="0" w:color="363639"/>
              <w:bottom w:val="single" w:sz="4" w:space="0" w:color="363639"/>
              <w:right w:val="single" w:sz="4" w:space="0" w:color="363639"/>
            </w:tcBorders>
            <w:vAlign w:val="center"/>
            <w:hideMark/>
          </w:tcPr>
          <w:p w14:paraId="47FF3A66" w14:textId="77777777" w:rsidR="001A1BB1" w:rsidRPr="00701F32" w:rsidRDefault="001A1BB1" w:rsidP="00464C0F">
            <w:pPr>
              <w:rPr>
                <w:rFonts w:ascii="Arial" w:hAnsi="Arial" w:cs="Arial"/>
                <w:sz w:val="16"/>
                <w:szCs w:val="18"/>
              </w:rPr>
            </w:pPr>
          </w:p>
        </w:tc>
        <w:tc>
          <w:tcPr>
            <w:tcW w:w="2126" w:type="dxa"/>
            <w:tcBorders>
              <w:top w:val="nil"/>
              <w:left w:val="nil"/>
              <w:bottom w:val="nil"/>
              <w:right w:val="single" w:sz="4" w:space="0" w:color="363639"/>
            </w:tcBorders>
            <w:shd w:val="clear" w:color="auto" w:fill="auto"/>
            <w:hideMark/>
          </w:tcPr>
          <w:p w14:paraId="25702A1B" w14:textId="77777777" w:rsidR="001A1BB1" w:rsidRPr="00701F32" w:rsidRDefault="001A1BB1" w:rsidP="00464C0F">
            <w:pPr>
              <w:jc w:val="center"/>
              <w:rPr>
                <w:rFonts w:ascii="Arial" w:hAnsi="Arial" w:cs="Arial"/>
                <w:sz w:val="16"/>
                <w:szCs w:val="16"/>
              </w:rPr>
            </w:pPr>
            <w:r w:rsidRPr="00701F32">
              <w:rPr>
                <w:rFonts w:ascii="Arial" w:hAnsi="Arial" w:cs="Arial"/>
                <w:sz w:val="16"/>
                <w:szCs w:val="16"/>
              </w:rPr>
              <w:t>CM Ingeniería en Valuaciones</w:t>
            </w:r>
          </w:p>
        </w:tc>
        <w:tc>
          <w:tcPr>
            <w:tcW w:w="1134" w:type="dxa"/>
            <w:vMerge/>
            <w:tcBorders>
              <w:top w:val="nil"/>
              <w:left w:val="single" w:sz="4" w:space="0" w:color="363639"/>
              <w:bottom w:val="single" w:sz="4" w:space="0" w:color="000000"/>
              <w:right w:val="single" w:sz="4" w:space="0" w:color="363639"/>
            </w:tcBorders>
            <w:vAlign w:val="center"/>
            <w:hideMark/>
          </w:tcPr>
          <w:p w14:paraId="5B0C197C" w14:textId="77777777" w:rsidR="001A1BB1" w:rsidRPr="00701F32" w:rsidRDefault="001A1BB1" w:rsidP="00464C0F">
            <w:pPr>
              <w:rPr>
                <w:rFonts w:ascii="Arial" w:hAnsi="Arial" w:cs="Arial"/>
                <w:sz w:val="16"/>
                <w:szCs w:val="18"/>
              </w:rPr>
            </w:pPr>
          </w:p>
        </w:tc>
        <w:tc>
          <w:tcPr>
            <w:tcW w:w="1674" w:type="dxa"/>
            <w:vMerge/>
            <w:tcBorders>
              <w:top w:val="nil"/>
              <w:left w:val="single" w:sz="4" w:space="0" w:color="363639"/>
              <w:bottom w:val="single" w:sz="4" w:space="0" w:color="000000"/>
              <w:right w:val="single" w:sz="4" w:space="0" w:color="363639"/>
            </w:tcBorders>
            <w:vAlign w:val="center"/>
            <w:hideMark/>
          </w:tcPr>
          <w:p w14:paraId="7A3A956A" w14:textId="77777777" w:rsidR="001A1BB1" w:rsidRPr="00701F32" w:rsidRDefault="001A1BB1" w:rsidP="00464C0F">
            <w:pPr>
              <w:rPr>
                <w:rFonts w:ascii="Arial" w:hAnsi="Arial" w:cs="Arial"/>
                <w:sz w:val="16"/>
                <w:szCs w:val="18"/>
              </w:rPr>
            </w:pPr>
          </w:p>
        </w:tc>
        <w:tc>
          <w:tcPr>
            <w:tcW w:w="924" w:type="dxa"/>
            <w:vMerge/>
            <w:tcBorders>
              <w:top w:val="nil"/>
              <w:left w:val="single" w:sz="4" w:space="0" w:color="363639"/>
              <w:bottom w:val="single" w:sz="4" w:space="0" w:color="000000"/>
              <w:right w:val="single" w:sz="4" w:space="0" w:color="363639"/>
            </w:tcBorders>
            <w:vAlign w:val="center"/>
            <w:hideMark/>
          </w:tcPr>
          <w:p w14:paraId="34830EE0" w14:textId="77777777" w:rsidR="001A1BB1" w:rsidRPr="00701F32" w:rsidRDefault="001A1BB1" w:rsidP="00464C0F">
            <w:pPr>
              <w:rPr>
                <w:rFonts w:ascii="Arial" w:hAnsi="Arial" w:cs="Arial"/>
                <w:sz w:val="16"/>
                <w:szCs w:val="18"/>
              </w:rPr>
            </w:pPr>
          </w:p>
        </w:tc>
        <w:tc>
          <w:tcPr>
            <w:tcW w:w="879" w:type="dxa"/>
            <w:vMerge/>
            <w:tcBorders>
              <w:top w:val="nil"/>
              <w:left w:val="single" w:sz="4" w:space="0" w:color="363639"/>
              <w:bottom w:val="single" w:sz="4" w:space="0" w:color="000000"/>
              <w:right w:val="single" w:sz="4" w:space="0" w:color="363639"/>
            </w:tcBorders>
            <w:vAlign w:val="center"/>
            <w:hideMark/>
          </w:tcPr>
          <w:p w14:paraId="22DE7B86" w14:textId="77777777" w:rsidR="001A1BB1" w:rsidRPr="00701F32" w:rsidRDefault="001A1BB1" w:rsidP="00464C0F">
            <w:pPr>
              <w:rPr>
                <w:rFonts w:ascii="Arial" w:hAnsi="Arial" w:cs="Arial"/>
                <w:sz w:val="16"/>
                <w:szCs w:val="18"/>
              </w:rPr>
            </w:pPr>
          </w:p>
        </w:tc>
        <w:tc>
          <w:tcPr>
            <w:tcW w:w="909" w:type="dxa"/>
            <w:vMerge/>
            <w:tcBorders>
              <w:left w:val="single" w:sz="4" w:space="0" w:color="363639"/>
              <w:right w:val="single" w:sz="4" w:space="0" w:color="363639"/>
            </w:tcBorders>
          </w:tcPr>
          <w:p w14:paraId="4C35767B" w14:textId="77777777" w:rsidR="001A1BB1" w:rsidRPr="00701F32" w:rsidRDefault="001A1BB1" w:rsidP="00464C0F">
            <w:pPr>
              <w:rPr>
                <w:rFonts w:ascii="Arial" w:hAnsi="Arial" w:cs="Arial"/>
                <w:sz w:val="16"/>
                <w:szCs w:val="18"/>
              </w:rPr>
            </w:pPr>
          </w:p>
        </w:tc>
        <w:tc>
          <w:tcPr>
            <w:tcW w:w="909" w:type="dxa"/>
            <w:vMerge/>
            <w:tcBorders>
              <w:top w:val="nil"/>
              <w:left w:val="single" w:sz="4" w:space="0" w:color="363639"/>
              <w:bottom w:val="single" w:sz="4" w:space="0" w:color="000000"/>
              <w:right w:val="single" w:sz="4" w:space="0" w:color="363639"/>
            </w:tcBorders>
            <w:vAlign w:val="center"/>
            <w:hideMark/>
          </w:tcPr>
          <w:p w14:paraId="3A0F2C5E" w14:textId="77777777" w:rsidR="001A1BB1" w:rsidRPr="00701F32" w:rsidRDefault="001A1BB1" w:rsidP="00464C0F">
            <w:pPr>
              <w:rPr>
                <w:rFonts w:ascii="Arial" w:hAnsi="Arial" w:cs="Arial"/>
                <w:sz w:val="16"/>
                <w:szCs w:val="18"/>
              </w:rPr>
            </w:pPr>
          </w:p>
        </w:tc>
      </w:tr>
      <w:tr w:rsidR="001A1BB1" w:rsidRPr="00701F32" w14:paraId="62F67F17" w14:textId="77777777" w:rsidTr="0069179D">
        <w:trPr>
          <w:trHeight w:val="188"/>
        </w:trPr>
        <w:tc>
          <w:tcPr>
            <w:tcW w:w="988" w:type="dxa"/>
            <w:vMerge/>
            <w:tcBorders>
              <w:top w:val="nil"/>
              <w:left w:val="single" w:sz="4" w:space="0" w:color="363639"/>
              <w:bottom w:val="single" w:sz="4" w:space="0" w:color="363639"/>
              <w:right w:val="single" w:sz="4" w:space="0" w:color="363639"/>
            </w:tcBorders>
            <w:vAlign w:val="center"/>
            <w:hideMark/>
          </w:tcPr>
          <w:p w14:paraId="1098FD8F" w14:textId="77777777" w:rsidR="001A1BB1" w:rsidRPr="00701F32" w:rsidRDefault="001A1BB1" w:rsidP="00464C0F">
            <w:pPr>
              <w:rPr>
                <w:rFonts w:ascii="Arial" w:hAnsi="Arial" w:cs="Arial"/>
                <w:sz w:val="16"/>
                <w:szCs w:val="18"/>
              </w:rPr>
            </w:pPr>
          </w:p>
        </w:tc>
        <w:tc>
          <w:tcPr>
            <w:tcW w:w="2126" w:type="dxa"/>
            <w:tcBorders>
              <w:top w:val="nil"/>
              <w:left w:val="nil"/>
              <w:bottom w:val="nil"/>
              <w:right w:val="single" w:sz="4" w:space="0" w:color="363639"/>
            </w:tcBorders>
            <w:shd w:val="clear" w:color="auto" w:fill="auto"/>
            <w:hideMark/>
          </w:tcPr>
          <w:p w14:paraId="58441C1B" w14:textId="77777777" w:rsidR="001A1BB1" w:rsidRPr="00701F32" w:rsidRDefault="001A1BB1" w:rsidP="00464C0F">
            <w:pPr>
              <w:jc w:val="center"/>
              <w:rPr>
                <w:rFonts w:ascii="Arial" w:hAnsi="Arial" w:cs="Arial"/>
                <w:sz w:val="16"/>
                <w:szCs w:val="16"/>
              </w:rPr>
            </w:pPr>
            <w:r w:rsidRPr="00701F32">
              <w:rPr>
                <w:rFonts w:ascii="Arial" w:hAnsi="Arial" w:cs="Arial"/>
                <w:sz w:val="16"/>
                <w:szCs w:val="16"/>
              </w:rPr>
              <w:t>Serinco</w:t>
            </w:r>
          </w:p>
        </w:tc>
        <w:tc>
          <w:tcPr>
            <w:tcW w:w="1134" w:type="dxa"/>
            <w:vMerge/>
            <w:tcBorders>
              <w:top w:val="nil"/>
              <w:left w:val="single" w:sz="4" w:space="0" w:color="363639"/>
              <w:bottom w:val="single" w:sz="4" w:space="0" w:color="000000"/>
              <w:right w:val="single" w:sz="4" w:space="0" w:color="363639"/>
            </w:tcBorders>
            <w:vAlign w:val="center"/>
            <w:hideMark/>
          </w:tcPr>
          <w:p w14:paraId="47F72AC0" w14:textId="77777777" w:rsidR="001A1BB1" w:rsidRPr="00701F32" w:rsidRDefault="001A1BB1" w:rsidP="00464C0F">
            <w:pPr>
              <w:rPr>
                <w:rFonts w:ascii="Arial" w:hAnsi="Arial" w:cs="Arial"/>
                <w:sz w:val="16"/>
                <w:szCs w:val="18"/>
              </w:rPr>
            </w:pPr>
          </w:p>
        </w:tc>
        <w:tc>
          <w:tcPr>
            <w:tcW w:w="1674" w:type="dxa"/>
            <w:vMerge/>
            <w:tcBorders>
              <w:top w:val="nil"/>
              <w:left w:val="single" w:sz="4" w:space="0" w:color="363639"/>
              <w:bottom w:val="single" w:sz="4" w:space="0" w:color="000000"/>
              <w:right w:val="single" w:sz="4" w:space="0" w:color="363639"/>
            </w:tcBorders>
            <w:vAlign w:val="center"/>
            <w:hideMark/>
          </w:tcPr>
          <w:p w14:paraId="702FD3A6" w14:textId="77777777" w:rsidR="001A1BB1" w:rsidRPr="00701F32" w:rsidRDefault="001A1BB1" w:rsidP="00464C0F">
            <w:pPr>
              <w:rPr>
                <w:rFonts w:ascii="Arial" w:hAnsi="Arial" w:cs="Arial"/>
                <w:sz w:val="16"/>
                <w:szCs w:val="18"/>
              </w:rPr>
            </w:pPr>
          </w:p>
        </w:tc>
        <w:tc>
          <w:tcPr>
            <w:tcW w:w="924" w:type="dxa"/>
            <w:vMerge/>
            <w:tcBorders>
              <w:top w:val="nil"/>
              <w:left w:val="single" w:sz="4" w:space="0" w:color="363639"/>
              <w:bottom w:val="single" w:sz="4" w:space="0" w:color="000000"/>
              <w:right w:val="single" w:sz="4" w:space="0" w:color="363639"/>
            </w:tcBorders>
            <w:vAlign w:val="center"/>
            <w:hideMark/>
          </w:tcPr>
          <w:p w14:paraId="75D78794" w14:textId="77777777" w:rsidR="001A1BB1" w:rsidRPr="00701F32" w:rsidRDefault="001A1BB1" w:rsidP="00464C0F">
            <w:pPr>
              <w:rPr>
                <w:rFonts w:ascii="Arial" w:hAnsi="Arial" w:cs="Arial"/>
                <w:sz w:val="16"/>
                <w:szCs w:val="18"/>
              </w:rPr>
            </w:pPr>
          </w:p>
        </w:tc>
        <w:tc>
          <w:tcPr>
            <w:tcW w:w="879" w:type="dxa"/>
            <w:vMerge/>
            <w:tcBorders>
              <w:top w:val="nil"/>
              <w:left w:val="single" w:sz="4" w:space="0" w:color="363639"/>
              <w:bottom w:val="single" w:sz="4" w:space="0" w:color="000000"/>
              <w:right w:val="single" w:sz="4" w:space="0" w:color="363639"/>
            </w:tcBorders>
            <w:vAlign w:val="center"/>
            <w:hideMark/>
          </w:tcPr>
          <w:p w14:paraId="687937C4" w14:textId="77777777" w:rsidR="001A1BB1" w:rsidRPr="00701F32" w:rsidRDefault="001A1BB1" w:rsidP="00464C0F">
            <w:pPr>
              <w:rPr>
                <w:rFonts w:ascii="Arial" w:hAnsi="Arial" w:cs="Arial"/>
                <w:sz w:val="16"/>
                <w:szCs w:val="18"/>
              </w:rPr>
            </w:pPr>
          </w:p>
        </w:tc>
        <w:tc>
          <w:tcPr>
            <w:tcW w:w="909" w:type="dxa"/>
            <w:vMerge/>
            <w:tcBorders>
              <w:left w:val="single" w:sz="4" w:space="0" w:color="363639"/>
              <w:right w:val="single" w:sz="4" w:space="0" w:color="363639"/>
            </w:tcBorders>
          </w:tcPr>
          <w:p w14:paraId="0D5D55EA" w14:textId="77777777" w:rsidR="001A1BB1" w:rsidRPr="00701F32" w:rsidRDefault="001A1BB1" w:rsidP="00464C0F">
            <w:pPr>
              <w:rPr>
                <w:rFonts w:ascii="Arial" w:hAnsi="Arial" w:cs="Arial"/>
                <w:sz w:val="16"/>
                <w:szCs w:val="18"/>
              </w:rPr>
            </w:pPr>
          </w:p>
        </w:tc>
        <w:tc>
          <w:tcPr>
            <w:tcW w:w="909" w:type="dxa"/>
            <w:vMerge/>
            <w:tcBorders>
              <w:top w:val="nil"/>
              <w:left w:val="single" w:sz="4" w:space="0" w:color="363639"/>
              <w:bottom w:val="single" w:sz="4" w:space="0" w:color="000000"/>
              <w:right w:val="single" w:sz="4" w:space="0" w:color="363639"/>
            </w:tcBorders>
            <w:vAlign w:val="center"/>
            <w:hideMark/>
          </w:tcPr>
          <w:p w14:paraId="50B5A136" w14:textId="77777777" w:rsidR="001A1BB1" w:rsidRPr="00701F32" w:rsidRDefault="001A1BB1" w:rsidP="00464C0F">
            <w:pPr>
              <w:rPr>
                <w:rFonts w:ascii="Arial" w:hAnsi="Arial" w:cs="Arial"/>
                <w:sz w:val="16"/>
                <w:szCs w:val="18"/>
              </w:rPr>
            </w:pPr>
          </w:p>
        </w:tc>
      </w:tr>
      <w:tr w:rsidR="001A1BB1" w:rsidRPr="00701F32" w14:paraId="0E6A0D59" w14:textId="77777777" w:rsidTr="00FF7CC8">
        <w:trPr>
          <w:trHeight w:val="188"/>
        </w:trPr>
        <w:tc>
          <w:tcPr>
            <w:tcW w:w="988" w:type="dxa"/>
            <w:vMerge/>
            <w:tcBorders>
              <w:top w:val="nil"/>
              <w:left w:val="single" w:sz="4" w:space="0" w:color="363639"/>
              <w:bottom w:val="single" w:sz="4" w:space="0" w:color="363639"/>
              <w:right w:val="single" w:sz="4" w:space="0" w:color="363639"/>
            </w:tcBorders>
            <w:vAlign w:val="center"/>
            <w:hideMark/>
          </w:tcPr>
          <w:p w14:paraId="25767378" w14:textId="77777777" w:rsidR="001A1BB1" w:rsidRPr="00701F32" w:rsidRDefault="001A1BB1" w:rsidP="00464C0F">
            <w:pPr>
              <w:rPr>
                <w:rFonts w:ascii="Arial" w:hAnsi="Arial" w:cs="Arial"/>
                <w:sz w:val="16"/>
                <w:szCs w:val="18"/>
              </w:rPr>
            </w:pPr>
          </w:p>
        </w:tc>
        <w:tc>
          <w:tcPr>
            <w:tcW w:w="2126" w:type="dxa"/>
            <w:tcBorders>
              <w:top w:val="nil"/>
              <w:left w:val="nil"/>
              <w:bottom w:val="single" w:sz="4" w:space="0" w:color="363639"/>
              <w:right w:val="single" w:sz="4" w:space="0" w:color="363639"/>
            </w:tcBorders>
            <w:shd w:val="clear" w:color="auto" w:fill="auto"/>
            <w:hideMark/>
          </w:tcPr>
          <w:p w14:paraId="4C387B77" w14:textId="77777777" w:rsidR="001A1BB1" w:rsidRPr="00701F32" w:rsidRDefault="001A1BB1" w:rsidP="00464C0F">
            <w:pPr>
              <w:jc w:val="center"/>
              <w:rPr>
                <w:rFonts w:ascii="Arial" w:hAnsi="Arial" w:cs="Arial"/>
                <w:sz w:val="16"/>
                <w:szCs w:val="16"/>
              </w:rPr>
            </w:pPr>
            <w:r w:rsidRPr="00701F32">
              <w:rPr>
                <w:rFonts w:ascii="Arial" w:hAnsi="Arial" w:cs="Arial"/>
                <w:sz w:val="16"/>
                <w:szCs w:val="16"/>
              </w:rPr>
              <w:t>Reporte Inmobiliario</w:t>
            </w:r>
          </w:p>
        </w:tc>
        <w:tc>
          <w:tcPr>
            <w:tcW w:w="1134" w:type="dxa"/>
            <w:vMerge/>
            <w:tcBorders>
              <w:top w:val="nil"/>
              <w:left w:val="single" w:sz="4" w:space="0" w:color="363639"/>
              <w:bottom w:val="single" w:sz="4" w:space="0" w:color="000000"/>
              <w:right w:val="single" w:sz="4" w:space="0" w:color="363639"/>
            </w:tcBorders>
            <w:vAlign w:val="center"/>
            <w:hideMark/>
          </w:tcPr>
          <w:p w14:paraId="2DE558E7" w14:textId="77777777" w:rsidR="001A1BB1" w:rsidRPr="00701F32" w:rsidRDefault="001A1BB1" w:rsidP="00464C0F">
            <w:pPr>
              <w:rPr>
                <w:rFonts w:ascii="Arial" w:hAnsi="Arial" w:cs="Arial"/>
                <w:sz w:val="16"/>
                <w:szCs w:val="18"/>
              </w:rPr>
            </w:pPr>
          </w:p>
        </w:tc>
        <w:tc>
          <w:tcPr>
            <w:tcW w:w="1674" w:type="dxa"/>
            <w:vMerge/>
            <w:tcBorders>
              <w:top w:val="nil"/>
              <w:left w:val="single" w:sz="4" w:space="0" w:color="363639"/>
              <w:bottom w:val="single" w:sz="4" w:space="0" w:color="000000"/>
              <w:right w:val="single" w:sz="4" w:space="0" w:color="363639"/>
            </w:tcBorders>
            <w:vAlign w:val="center"/>
            <w:hideMark/>
          </w:tcPr>
          <w:p w14:paraId="52905322" w14:textId="77777777" w:rsidR="001A1BB1" w:rsidRPr="00701F32" w:rsidRDefault="001A1BB1" w:rsidP="00464C0F">
            <w:pPr>
              <w:rPr>
                <w:rFonts w:ascii="Arial" w:hAnsi="Arial" w:cs="Arial"/>
                <w:sz w:val="16"/>
                <w:szCs w:val="18"/>
              </w:rPr>
            </w:pPr>
          </w:p>
        </w:tc>
        <w:tc>
          <w:tcPr>
            <w:tcW w:w="924" w:type="dxa"/>
            <w:vMerge/>
            <w:tcBorders>
              <w:top w:val="nil"/>
              <w:left w:val="single" w:sz="4" w:space="0" w:color="363639"/>
              <w:bottom w:val="single" w:sz="4" w:space="0" w:color="000000"/>
              <w:right w:val="single" w:sz="4" w:space="0" w:color="363639"/>
            </w:tcBorders>
            <w:vAlign w:val="center"/>
            <w:hideMark/>
          </w:tcPr>
          <w:p w14:paraId="05D2288E" w14:textId="77777777" w:rsidR="001A1BB1" w:rsidRPr="00701F32" w:rsidRDefault="001A1BB1" w:rsidP="00464C0F">
            <w:pPr>
              <w:rPr>
                <w:rFonts w:ascii="Arial" w:hAnsi="Arial" w:cs="Arial"/>
                <w:sz w:val="16"/>
                <w:szCs w:val="18"/>
              </w:rPr>
            </w:pPr>
          </w:p>
        </w:tc>
        <w:tc>
          <w:tcPr>
            <w:tcW w:w="879" w:type="dxa"/>
            <w:vMerge/>
            <w:tcBorders>
              <w:top w:val="nil"/>
              <w:left w:val="single" w:sz="4" w:space="0" w:color="363639"/>
              <w:bottom w:val="single" w:sz="4" w:space="0" w:color="000000"/>
              <w:right w:val="single" w:sz="4" w:space="0" w:color="363639"/>
            </w:tcBorders>
            <w:vAlign w:val="center"/>
            <w:hideMark/>
          </w:tcPr>
          <w:p w14:paraId="6A6A83F5" w14:textId="77777777" w:rsidR="001A1BB1" w:rsidRPr="00701F32" w:rsidRDefault="001A1BB1" w:rsidP="00464C0F">
            <w:pPr>
              <w:rPr>
                <w:rFonts w:ascii="Arial" w:hAnsi="Arial" w:cs="Arial"/>
                <w:sz w:val="16"/>
                <w:szCs w:val="18"/>
              </w:rPr>
            </w:pPr>
          </w:p>
        </w:tc>
        <w:tc>
          <w:tcPr>
            <w:tcW w:w="909" w:type="dxa"/>
            <w:vMerge/>
            <w:tcBorders>
              <w:left w:val="single" w:sz="4" w:space="0" w:color="363639"/>
              <w:bottom w:val="single" w:sz="4" w:space="0" w:color="auto"/>
              <w:right w:val="single" w:sz="4" w:space="0" w:color="363639"/>
            </w:tcBorders>
          </w:tcPr>
          <w:p w14:paraId="13554CEF" w14:textId="77777777" w:rsidR="001A1BB1" w:rsidRPr="00701F32" w:rsidRDefault="001A1BB1" w:rsidP="00464C0F">
            <w:pPr>
              <w:rPr>
                <w:rFonts w:ascii="Arial" w:hAnsi="Arial" w:cs="Arial"/>
                <w:sz w:val="16"/>
                <w:szCs w:val="18"/>
              </w:rPr>
            </w:pPr>
          </w:p>
        </w:tc>
        <w:tc>
          <w:tcPr>
            <w:tcW w:w="909" w:type="dxa"/>
            <w:vMerge/>
            <w:tcBorders>
              <w:top w:val="nil"/>
              <w:left w:val="single" w:sz="4" w:space="0" w:color="363639"/>
              <w:bottom w:val="single" w:sz="4" w:space="0" w:color="000000"/>
              <w:right w:val="single" w:sz="4" w:space="0" w:color="363639"/>
            </w:tcBorders>
            <w:vAlign w:val="center"/>
            <w:hideMark/>
          </w:tcPr>
          <w:p w14:paraId="4A753B20" w14:textId="77777777" w:rsidR="001A1BB1" w:rsidRPr="00701F32" w:rsidRDefault="001A1BB1" w:rsidP="00464C0F">
            <w:pPr>
              <w:rPr>
                <w:rFonts w:ascii="Arial" w:hAnsi="Arial" w:cs="Arial"/>
                <w:sz w:val="16"/>
                <w:szCs w:val="18"/>
              </w:rPr>
            </w:pPr>
          </w:p>
        </w:tc>
      </w:tr>
      <w:tr w:rsidR="001A1BB1" w:rsidRPr="00701F32" w14:paraId="1EDD199F" w14:textId="77777777" w:rsidTr="00FF7CC8">
        <w:trPr>
          <w:trHeight w:val="188"/>
        </w:trPr>
        <w:tc>
          <w:tcPr>
            <w:tcW w:w="988" w:type="dxa"/>
            <w:tcBorders>
              <w:top w:val="nil"/>
              <w:left w:val="single" w:sz="4" w:space="0" w:color="363639"/>
              <w:bottom w:val="single" w:sz="4" w:space="0" w:color="363639"/>
              <w:right w:val="single" w:sz="4" w:space="0" w:color="363639"/>
            </w:tcBorders>
            <w:shd w:val="clear" w:color="auto" w:fill="auto"/>
            <w:hideMark/>
          </w:tcPr>
          <w:p w14:paraId="158ED731" w14:textId="77777777" w:rsidR="001A1BB1" w:rsidRPr="00701F32" w:rsidRDefault="001A1BB1" w:rsidP="00464C0F">
            <w:pPr>
              <w:rPr>
                <w:rFonts w:ascii="Arial" w:hAnsi="Arial" w:cs="Arial"/>
                <w:b/>
                <w:bCs/>
                <w:sz w:val="16"/>
                <w:szCs w:val="18"/>
              </w:rPr>
            </w:pPr>
            <w:r w:rsidRPr="00701F32">
              <w:rPr>
                <w:rFonts w:ascii="Arial" w:hAnsi="Arial" w:cs="Arial"/>
                <w:b/>
                <w:bCs/>
                <w:color w:val="363639"/>
                <w:sz w:val="16"/>
                <w:szCs w:val="18"/>
              </w:rPr>
              <w:t>TOTALES</w:t>
            </w:r>
          </w:p>
        </w:tc>
        <w:tc>
          <w:tcPr>
            <w:tcW w:w="2126" w:type="dxa"/>
            <w:tcBorders>
              <w:top w:val="nil"/>
              <w:left w:val="nil"/>
              <w:bottom w:val="single" w:sz="4" w:space="0" w:color="363639"/>
              <w:right w:val="single" w:sz="4" w:space="0" w:color="363639"/>
            </w:tcBorders>
            <w:shd w:val="clear" w:color="auto" w:fill="auto"/>
            <w:hideMark/>
          </w:tcPr>
          <w:p w14:paraId="23E22DB2" w14:textId="77777777" w:rsidR="001A1BB1" w:rsidRPr="00701F32" w:rsidRDefault="001A1BB1" w:rsidP="00464C0F">
            <w:pPr>
              <w:rPr>
                <w:rFonts w:ascii="Arial" w:hAnsi="Arial" w:cs="Arial"/>
                <w:color w:val="000000"/>
                <w:sz w:val="16"/>
                <w:szCs w:val="18"/>
              </w:rPr>
            </w:pPr>
            <w:r w:rsidRPr="00701F32">
              <w:rPr>
                <w:rFonts w:ascii="Arial" w:hAnsi="Arial" w:cs="Arial"/>
                <w:color w:val="000000"/>
                <w:sz w:val="16"/>
                <w:szCs w:val="18"/>
              </w:rPr>
              <w:t> </w:t>
            </w:r>
          </w:p>
        </w:tc>
        <w:tc>
          <w:tcPr>
            <w:tcW w:w="1134" w:type="dxa"/>
            <w:tcBorders>
              <w:top w:val="single" w:sz="4" w:space="0" w:color="363639"/>
              <w:left w:val="nil"/>
              <w:bottom w:val="single" w:sz="4" w:space="0" w:color="363639"/>
              <w:right w:val="single" w:sz="4" w:space="0" w:color="363639"/>
            </w:tcBorders>
            <w:shd w:val="clear" w:color="auto" w:fill="auto"/>
            <w:hideMark/>
          </w:tcPr>
          <w:p w14:paraId="36FFD6AA" w14:textId="77777777" w:rsidR="001A1BB1" w:rsidRPr="00701F32" w:rsidRDefault="001A1BB1" w:rsidP="00464C0F">
            <w:pPr>
              <w:rPr>
                <w:rFonts w:ascii="Arial" w:hAnsi="Arial" w:cs="Arial"/>
                <w:color w:val="000000"/>
                <w:sz w:val="16"/>
                <w:szCs w:val="18"/>
              </w:rPr>
            </w:pPr>
            <w:r w:rsidRPr="00701F32">
              <w:rPr>
                <w:rFonts w:ascii="Arial" w:hAnsi="Arial" w:cs="Arial"/>
                <w:color w:val="000000"/>
                <w:sz w:val="16"/>
                <w:szCs w:val="18"/>
              </w:rPr>
              <w:t> </w:t>
            </w:r>
          </w:p>
        </w:tc>
        <w:tc>
          <w:tcPr>
            <w:tcW w:w="1674" w:type="dxa"/>
            <w:tcBorders>
              <w:top w:val="nil"/>
              <w:left w:val="nil"/>
              <w:bottom w:val="single" w:sz="4" w:space="0" w:color="auto"/>
              <w:right w:val="single" w:sz="4" w:space="0" w:color="363639"/>
            </w:tcBorders>
            <w:shd w:val="clear" w:color="auto" w:fill="auto"/>
            <w:noWrap/>
            <w:vAlign w:val="bottom"/>
            <w:hideMark/>
          </w:tcPr>
          <w:p w14:paraId="0FDAF8CD" w14:textId="77777777" w:rsidR="001A1BB1" w:rsidRPr="00701F32" w:rsidRDefault="001A1BB1" w:rsidP="00464C0F">
            <w:pPr>
              <w:jc w:val="right"/>
              <w:rPr>
                <w:rFonts w:ascii="Arial" w:hAnsi="Arial" w:cs="Arial"/>
                <w:b/>
                <w:sz w:val="16"/>
                <w:szCs w:val="18"/>
              </w:rPr>
            </w:pPr>
            <w:r w:rsidRPr="00701F32">
              <w:rPr>
                <w:rFonts w:ascii="Arial" w:hAnsi="Arial" w:cs="Arial"/>
                <w:b/>
                <w:sz w:val="16"/>
                <w:szCs w:val="18"/>
              </w:rPr>
              <w:t>119.688</w:t>
            </w:r>
          </w:p>
        </w:tc>
        <w:tc>
          <w:tcPr>
            <w:tcW w:w="924" w:type="dxa"/>
            <w:tcBorders>
              <w:top w:val="nil"/>
              <w:left w:val="nil"/>
              <w:bottom w:val="single" w:sz="4" w:space="0" w:color="auto"/>
              <w:right w:val="single" w:sz="4" w:space="0" w:color="363639"/>
            </w:tcBorders>
            <w:shd w:val="clear" w:color="auto" w:fill="auto"/>
            <w:noWrap/>
            <w:vAlign w:val="bottom"/>
            <w:hideMark/>
          </w:tcPr>
          <w:p w14:paraId="5E87770F" w14:textId="77777777" w:rsidR="001A1BB1" w:rsidRPr="00701F32" w:rsidRDefault="001A1BB1" w:rsidP="00464C0F">
            <w:pPr>
              <w:jc w:val="right"/>
              <w:rPr>
                <w:rFonts w:ascii="Arial" w:hAnsi="Arial" w:cs="Arial"/>
                <w:b/>
                <w:sz w:val="16"/>
                <w:szCs w:val="18"/>
              </w:rPr>
            </w:pPr>
            <w:r w:rsidRPr="00701F32">
              <w:rPr>
                <w:rFonts w:ascii="Arial" w:hAnsi="Arial" w:cs="Arial"/>
                <w:b/>
                <w:sz w:val="16"/>
                <w:szCs w:val="18"/>
              </w:rPr>
              <w:t>83.191</w:t>
            </w:r>
          </w:p>
        </w:tc>
        <w:tc>
          <w:tcPr>
            <w:tcW w:w="879" w:type="dxa"/>
            <w:tcBorders>
              <w:top w:val="nil"/>
              <w:left w:val="nil"/>
              <w:bottom w:val="single" w:sz="4" w:space="0" w:color="auto"/>
              <w:right w:val="single" w:sz="4" w:space="0" w:color="auto"/>
            </w:tcBorders>
            <w:shd w:val="clear" w:color="auto" w:fill="auto"/>
            <w:noWrap/>
            <w:vAlign w:val="bottom"/>
            <w:hideMark/>
          </w:tcPr>
          <w:p w14:paraId="0DEF6932" w14:textId="77777777" w:rsidR="001A1BB1" w:rsidRPr="00701F32" w:rsidRDefault="001A1BB1" w:rsidP="00464C0F">
            <w:pPr>
              <w:jc w:val="right"/>
              <w:rPr>
                <w:rFonts w:ascii="Arial" w:hAnsi="Arial" w:cs="Arial"/>
                <w:b/>
                <w:sz w:val="16"/>
                <w:szCs w:val="18"/>
              </w:rPr>
            </w:pPr>
            <w:r w:rsidRPr="00701F32">
              <w:rPr>
                <w:rFonts w:ascii="Arial" w:hAnsi="Arial" w:cs="Arial"/>
                <w:b/>
                <w:sz w:val="16"/>
                <w:szCs w:val="18"/>
              </w:rPr>
              <w:t>202.879</w:t>
            </w:r>
          </w:p>
        </w:tc>
        <w:tc>
          <w:tcPr>
            <w:tcW w:w="909" w:type="dxa"/>
            <w:tcBorders>
              <w:top w:val="single" w:sz="4" w:space="0" w:color="auto"/>
              <w:left w:val="single" w:sz="4" w:space="0" w:color="auto"/>
              <w:bottom w:val="single" w:sz="4" w:space="0" w:color="auto"/>
              <w:right w:val="single" w:sz="4" w:space="0" w:color="auto"/>
            </w:tcBorders>
          </w:tcPr>
          <w:p w14:paraId="34A36879" w14:textId="77777777" w:rsidR="001A1BB1" w:rsidRPr="00701F32" w:rsidRDefault="00A56CA6" w:rsidP="00464C0F">
            <w:pPr>
              <w:jc w:val="right"/>
              <w:rPr>
                <w:rFonts w:ascii="Arial" w:hAnsi="Arial" w:cs="Arial"/>
                <w:b/>
                <w:sz w:val="16"/>
                <w:szCs w:val="18"/>
              </w:rPr>
            </w:pPr>
            <w:r w:rsidRPr="00701F32">
              <w:rPr>
                <w:rFonts w:ascii="Arial" w:hAnsi="Arial" w:cs="Arial"/>
                <w:b/>
                <w:sz w:val="16"/>
                <w:szCs w:val="18"/>
              </w:rPr>
              <w:t>(21.545</w:t>
            </w:r>
            <w:r w:rsidR="001934D5" w:rsidRPr="00701F32">
              <w:rPr>
                <w:rFonts w:ascii="Arial" w:hAnsi="Arial" w:cs="Arial"/>
                <w:b/>
                <w:sz w:val="16"/>
                <w:szCs w:val="18"/>
              </w:rPr>
              <w:t>)</w:t>
            </w:r>
          </w:p>
        </w:tc>
        <w:tc>
          <w:tcPr>
            <w:tcW w:w="909" w:type="dxa"/>
            <w:tcBorders>
              <w:top w:val="nil"/>
              <w:left w:val="single" w:sz="4" w:space="0" w:color="auto"/>
              <w:bottom w:val="single" w:sz="4" w:space="0" w:color="auto"/>
              <w:right w:val="single" w:sz="4" w:space="0" w:color="363639"/>
            </w:tcBorders>
            <w:shd w:val="clear" w:color="auto" w:fill="auto"/>
            <w:noWrap/>
            <w:vAlign w:val="bottom"/>
            <w:hideMark/>
          </w:tcPr>
          <w:p w14:paraId="7BEBC478" w14:textId="77777777" w:rsidR="001A1BB1" w:rsidRPr="00701F32" w:rsidRDefault="001A1BB1" w:rsidP="00464C0F">
            <w:pPr>
              <w:jc w:val="right"/>
              <w:rPr>
                <w:rFonts w:ascii="Arial" w:hAnsi="Arial" w:cs="Arial"/>
                <w:b/>
                <w:sz w:val="16"/>
                <w:szCs w:val="18"/>
              </w:rPr>
            </w:pPr>
            <w:r w:rsidRPr="00701F32">
              <w:rPr>
                <w:rFonts w:ascii="Arial" w:hAnsi="Arial" w:cs="Arial"/>
                <w:b/>
                <w:sz w:val="16"/>
                <w:szCs w:val="18"/>
              </w:rPr>
              <w:t>344.518</w:t>
            </w:r>
          </w:p>
        </w:tc>
      </w:tr>
    </w:tbl>
    <w:p w14:paraId="1962E392" w14:textId="77777777" w:rsidR="00797411" w:rsidRPr="00701F32" w:rsidRDefault="00797411" w:rsidP="00E07294">
      <w:pPr>
        <w:spacing w:after="160" w:line="259" w:lineRule="auto"/>
        <w:jc w:val="both"/>
        <w:rPr>
          <w:rFonts w:ascii="Arial" w:eastAsia="Calibri" w:hAnsi="Arial" w:cs="Arial"/>
          <w:b/>
          <w:sz w:val="20"/>
        </w:rPr>
      </w:pPr>
    </w:p>
    <w:p w14:paraId="01952049" w14:textId="77777777" w:rsidR="00E07294" w:rsidRPr="00701F32" w:rsidRDefault="00AF3A00" w:rsidP="00E07294">
      <w:pPr>
        <w:spacing w:after="160" w:line="259" w:lineRule="auto"/>
        <w:jc w:val="both"/>
        <w:rPr>
          <w:rFonts w:ascii="Arial" w:eastAsia="Calibri" w:hAnsi="Arial" w:cs="Arial"/>
          <w:sz w:val="20"/>
        </w:rPr>
      </w:pPr>
      <w:r w:rsidRPr="00701F32">
        <w:rPr>
          <w:rFonts w:ascii="Arial" w:eastAsia="Calibri" w:hAnsi="Arial" w:cs="Arial"/>
          <w:b/>
          <w:sz w:val="20"/>
        </w:rPr>
        <w:t>17</w:t>
      </w:r>
      <w:r w:rsidR="00E07294" w:rsidRPr="00701F32">
        <w:rPr>
          <w:rFonts w:ascii="Arial" w:eastAsia="Calibri" w:hAnsi="Arial" w:cs="Arial"/>
          <w:b/>
          <w:sz w:val="20"/>
        </w:rPr>
        <w:t>.</w:t>
      </w:r>
      <w:r w:rsidR="00D2026A" w:rsidRPr="00701F32">
        <w:rPr>
          <w:rFonts w:ascii="Arial" w:eastAsia="Calibri" w:hAnsi="Arial" w:cs="Arial"/>
          <w:b/>
          <w:sz w:val="20"/>
        </w:rPr>
        <w:t>9</w:t>
      </w:r>
      <w:r w:rsidR="00E07294" w:rsidRPr="00701F32">
        <w:rPr>
          <w:rFonts w:ascii="Arial" w:eastAsia="Calibri" w:hAnsi="Arial" w:cs="Arial"/>
          <w:b/>
          <w:sz w:val="20"/>
        </w:rPr>
        <w:t xml:space="preserve"> Propiedades de Inversión</w:t>
      </w:r>
    </w:p>
    <w:p w14:paraId="78B7ED46" w14:textId="2679A767" w:rsidR="008D246D"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propiedades de inversión para </w:t>
      </w:r>
      <w:r w:rsidR="00B87F2D" w:rsidRPr="00701F32">
        <w:rPr>
          <w:rFonts w:ascii="Arial" w:eastAsia="Calibri" w:hAnsi="Arial" w:cs="Arial"/>
          <w:sz w:val="20"/>
        </w:rPr>
        <w:t>el</w:t>
      </w:r>
      <w:r w:rsidRPr="00701F32">
        <w:rPr>
          <w:rFonts w:ascii="Arial" w:eastAsia="Calibri" w:hAnsi="Arial" w:cs="Arial"/>
          <w:sz w:val="20"/>
        </w:rPr>
        <w:t xml:space="preserve"> ejercicio finalizado el 31 de diciembre 2017 fueron los siguientes:</w:t>
      </w:r>
    </w:p>
    <w:tbl>
      <w:tblPr>
        <w:tblW w:w="8835" w:type="dxa"/>
        <w:tblInd w:w="212" w:type="dxa"/>
        <w:tblCellMar>
          <w:left w:w="70" w:type="dxa"/>
          <w:right w:w="70" w:type="dxa"/>
        </w:tblCellMar>
        <w:tblLook w:val="04A0" w:firstRow="1" w:lastRow="0" w:firstColumn="1" w:lastColumn="0" w:noHBand="0" w:noVBand="1"/>
      </w:tblPr>
      <w:tblGrid>
        <w:gridCol w:w="2388"/>
        <w:gridCol w:w="1084"/>
        <w:gridCol w:w="1142"/>
        <w:gridCol w:w="1178"/>
        <w:gridCol w:w="869"/>
        <w:gridCol w:w="1131"/>
        <w:gridCol w:w="1043"/>
      </w:tblGrid>
      <w:tr w:rsidR="00617F06" w:rsidRPr="00701F32" w14:paraId="6DE521EE" w14:textId="77777777" w:rsidTr="00617F06">
        <w:trPr>
          <w:trHeight w:val="173"/>
        </w:trPr>
        <w:tc>
          <w:tcPr>
            <w:tcW w:w="2388"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29F6B33A" w14:textId="77777777" w:rsidR="00617F06" w:rsidRPr="00701F32" w:rsidRDefault="00617F06" w:rsidP="00464C0F">
            <w:pPr>
              <w:jc w:val="center"/>
              <w:rPr>
                <w:rFonts w:ascii="Arial" w:hAnsi="Arial" w:cs="Arial"/>
                <w:b/>
                <w:bCs/>
                <w:sz w:val="14"/>
                <w:szCs w:val="12"/>
                <w:lang w:eastAsia="es-AR"/>
              </w:rPr>
            </w:pPr>
            <w:r w:rsidRPr="00701F32">
              <w:rPr>
                <w:rFonts w:ascii="Arial" w:hAnsi="Arial" w:cs="Arial"/>
                <w:b/>
                <w:bCs/>
                <w:color w:val="363639"/>
                <w:sz w:val="14"/>
                <w:szCs w:val="12"/>
              </w:rPr>
              <w:t>Concepto</w:t>
            </w:r>
          </w:p>
        </w:tc>
        <w:tc>
          <w:tcPr>
            <w:tcW w:w="1084"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78468B63"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Valor de origen al inicio del ejercicio</w:t>
            </w:r>
          </w:p>
        </w:tc>
        <w:tc>
          <w:tcPr>
            <w:tcW w:w="1142"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455E5491"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Vida Útil total estimada en años</w:t>
            </w:r>
          </w:p>
        </w:tc>
        <w:tc>
          <w:tcPr>
            <w:tcW w:w="1178"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4EDF2567"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Pérdida/ Ganancia Neta por medición a VR</w:t>
            </w:r>
          </w:p>
        </w:tc>
        <w:tc>
          <w:tcPr>
            <w:tcW w:w="869"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61AABB61"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Altas</w:t>
            </w:r>
          </w:p>
        </w:tc>
        <w:tc>
          <w:tcPr>
            <w:tcW w:w="1131"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6DE365B5"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Bajas</w:t>
            </w:r>
          </w:p>
        </w:tc>
        <w:tc>
          <w:tcPr>
            <w:tcW w:w="1043" w:type="dxa"/>
            <w:vMerge w:val="restart"/>
            <w:tcBorders>
              <w:top w:val="single" w:sz="4" w:space="0" w:color="363639"/>
              <w:left w:val="single" w:sz="4" w:space="0" w:color="363639"/>
              <w:right w:val="single" w:sz="4" w:space="0" w:color="363639"/>
            </w:tcBorders>
            <w:shd w:val="clear" w:color="auto" w:fill="auto"/>
            <w:vAlign w:val="bottom"/>
            <w:hideMark/>
          </w:tcPr>
          <w:p w14:paraId="47C1B90E" w14:textId="77777777" w:rsidR="00617F06" w:rsidRPr="00701F32" w:rsidRDefault="00617F06" w:rsidP="00464C0F">
            <w:pPr>
              <w:jc w:val="center"/>
              <w:rPr>
                <w:rFonts w:ascii="Arial" w:hAnsi="Arial" w:cs="Arial"/>
                <w:b/>
                <w:bCs/>
                <w:sz w:val="14"/>
                <w:szCs w:val="12"/>
              </w:rPr>
            </w:pPr>
            <w:r w:rsidRPr="00701F32">
              <w:rPr>
                <w:rFonts w:ascii="Arial" w:hAnsi="Arial" w:cs="Arial"/>
                <w:b/>
                <w:bCs/>
                <w:color w:val="363639"/>
                <w:sz w:val="14"/>
                <w:szCs w:val="12"/>
              </w:rPr>
              <w:t>Valor residual al cierre del período</w:t>
            </w:r>
          </w:p>
        </w:tc>
      </w:tr>
      <w:tr w:rsidR="00617F06" w:rsidRPr="00701F32" w14:paraId="591E5175" w14:textId="77777777" w:rsidTr="00617F06">
        <w:trPr>
          <w:trHeight w:val="173"/>
        </w:trPr>
        <w:tc>
          <w:tcPr>
            <w:tcW w:w="2388" w:type="dxa"/>
            <w:vMerge/>
            <w:tcBorders>
              <w:top w:val="single" w:sz="4" w:space="0" w:color="363639"/>
              <w:left w:val="single" w:sz="4" w:space="0" w:color="363639"/>
              <w:bottom w:val="single" w:sz="4" w:space="0" w:color="363639"/>
              <w:right w:val="single" w:sz="4" w:space="0" w:color="363639"/>
            </w:tcBorders>
            <w:vAlign w:val="bottom"/>
            <w:hideMark/>
          </w:tcPr>
          <w:p w14:paraId="0A538B1F" w14:textId="77777777" w:rsidR="00617F06" w:rsidRPr="00701F32" w:rsidRDefault="00617F06" w:rsidP="00464C0F">
            <w:pPr>
              <w:jc w:val="center"/>
              <w:rPr>
                <w:rFonts w:ascii="Arial" w:hAnsi="Arial" w:cs="Arial"/>
                <w:b/>
                <w:bCs/>
                <w:sz w:val="14"/>
                <w:szCs w:val="12"/>
              </w:rPr>
            </w:pPr>
          </w:p>
        </w:tc>
        <w:tc>
          <w:tcPr>
            <w:tcW w:w="1084" w:type="dxa"/>
            <w:vMerge/>
            <w:tcBorders>
              <w:top w:val="single" w:sz="4" w:space="0" w:color="363639"/>
              <w:left w:val="single" w:sz="4" w:space="0" w:color="363639"/>
              <w:bottom w:val="single" w:sz="4" w:space="0" w:color="363639"/>
              <w:right w:val="single" w:sz="4" w:space="0" w:color="363639"/>
            </w:tcBorders>
            <w:vAlign w:val="bottom"/>
            <w:hideMark/>
          </w:tcPr>
          <w:p w14:paraId="420CC7DA" w14:textId="77777777" w:rsidR="00617F06" w:rsidRPr="00701F32" w:rsidRDefault="00617F06" w:rsidP="00464C0F">
            <w:pPr>
              <w:jc w:val="center"/>
              <w:rPr>
                <w:rFonts w:ascii="Arial" w:hAnsi="Arial" w:cs="Arial"/>
                <w:b/>
                <w:bCs/>
                <w:sz w:val="14"/>
                <w:szCs w:val="12"/>
              </w:rPr>
            </w:pPr>
          </w:p>
        </w:tc>
        <w:tc>
          <w:tcPr>
            <w:tcW w:w="1142" w:type="dxa"/>
            <w:vMerge/>
            <w:tcBorders>
              <w:top w:val="single" w:sz="4" w:space="0" w:color="363639"/>
              <w:left w:val="single" w:sz="4" w:space="0" w:color="363639"/>
              <w:bottom w:val="single" w:sz="4" w:space="0" w:color="363639"/>
              <w:right w:val="single" w:sz="4" w:space="0" w:color="363639"/>
            </w:tcBorders>
            <w:vAlign w:val="bottom"/>
            <w:hideMark/>
          </w:tcPr>
          <w:p w14:paraId="7F5BDABF" w14:textId="77777777" w:rsidR="00617F06" w:rsidRPr="00701F32" w:rsidRDefault="00617F06" w:rsidP="00464C0F">
            <w:pPr>
              <w:jc w:val="center"/>
              <w:rPr>
                <w:rFonts w:ascii="Arial" w:hAnsi="Arial" w:cs="Arial"/>
                <w:b/>
                <w:bCs/>
                <w:sz w:val="14"/>
                <w:szCs w:val="12"/>
              </w:rPr>
            </w:pPr>
          </w:p>
        </w:tc>
        <w:tc>
          <w:tcPr>
            <w:tcW w:w="1178" w:type="dxa"/>
            <w:vMerge/>
            <w:tcBorders>
              <w:top w:val="single" w:sz="4" w:space="0" w:color="363639"/>
              <w:left w:val="single" w:sz="4" w:space="0" w:color="363639"/>
              <w:bottom w:val="single" w:sz="4" w:space="0" w:color="363639"/>
              <w:right w:val="single" w:sz="4" w:space="0" w:color="363639"/>
            </w:tcBorders>
            <w:vAlign w:val="bottom"/>
            <w:hideMark/>
          </w:tcPr>
          <w:p w14:paraId="01E3C874" w14:textId="77777777" w:rsidR="00617F06" w:rsidRPr="00701F32" w:rsidRDefault="00617F06" w:rsidP="00464C0F">
            <w:pPr>
              <w:jc w:val="center"/>
              <w:rPr>
                <w:rFonts w:ascii="Arial" w:hAnsi="Arial" w:cs="Arial"/>
                <w:b/>
                <w:bCs/>
                <w:sz w:val="14"/>
                <w:szCs w:val="12"/>
              </w:rPr>
            </w:pPr>
          </w:p>
        </w:tc>
        <w:tc>
          <w:tcPr>
            <w:tcW w:w="869" w:type="dxa"/>
            <w:vMerge/>
            <w:tcBorders>
              <w:top w:val="single" w:sz="4" w:space="0" w:color="363639"/>
              <w:left w:val="single" w:sz="4" w:space="0" w:color="363639"/>
              <w:bottom w:val="single" w:sz="4" w:space="0" w:color="363639"/>
              <w:right w:val="single" w:sz="4" w:space="0" w:color="363639"/>
            </w:tcBorders>
            <w:vAlign w:val="bottom"/>
            <w:hideMark/>
          </w:tcPr>
          <w:p w14:paraId="1A8DAF62" w14:textId="77777777" w:rsidR="00617F06" w:rsidRPr="00701F32" w:rsidRDefault="00617F06" w:rsidP="00464C0F">
            <w:pPr>
              <w:jc w:val="center"/>
              <w:rPr>
                <w:rFonts w:ascii="Arial" w:hAnsi="Arial" w:cs="Arial"/>
                <w:b/>
                <w:bCs/>
                <w:sz w:val="14"/>
                <w:szCs w:val="12"/>
              </w:rPr>
            </w:pPr>
          </w:p>
        </w:tc>
        <w:tc>
          <w:tcPr>
            <w:tcW w:w="1131" w:type="dxa"/>
            <w:vMerge/>
            <w:tcBorders>
              <w:top w:val="single" w:sz="4" w:space="0" w:color="363639"/>
              <w:left w:val="single" w:sz="4" w:space="0" w:color="363639"/>
              <w:bottom w:val="single" w:sz="4" w:space="0" w:color="363639"/>
              <w:right w:val="single" w:sz="4" w:space="0" w:color="363639"/>
            </w:tcBorders>
            <w:vAlign w:val="bottom"/>
            <w:hideMark/>
          </w:tcPr>
          <w:p w14:paraId="488E00A5" w14:textId="77777777" w:rsidR="00617F06" w:rsidRPr="00701F32" w:rsidRDefault="00617F06" w:rsidP="00464C0F">
            <w:pPr>
              <w:jc w:val="center"/>
              <w:rPr>
                <w:rFonts w:ascii="Arial" w:hAnsi="Arial" w:cs="Arial"/>
                <w:b/>
                <w:bCs/>
                <w:sz w:val="14"/>
                <w:szCs w:val="12"/>
              </w:rPr>
            </w:pPr>
          </w:p>
        </w:tc>
        <w:tc>
          <w:tcPr>
            <w:tcW w:w="1043" w:type="dxa"/>
            <w:vMerge/>
            <w:tcBorders>
              <w:left w:val="single" w:sz="4" w:space="0" w:color="363639"/>
              <w:bottom w:val="single" w:sz="4" w:space="0" w:color="363639"/>
              <w:right w:val="single" w:sz="4" w:space="0" w:color="363639"/>
            </w:tcBorders>
            <w:vAlign w:val="bottom"/>
            <w:hideMark/>
          </w:tcPr>
          <w:p w14:paraId="0ABB93B6" w14:textId="77777777" w:rsidR="00617F06" w:rsidRPr="00701F32" w:rsidRDefault="00617F06" w:rsidP="00464C0F">
            <w:pPr>
              <w:jc w:val="center"/>
              <w:rPr>
                <w:rFonts w:ascii="Arial" w:hAnsi="Arial" w:cs="Arial"/>
                <w:b/>
                <w:bCs/>
                <w:sz w:val="14"/>
                <w:szCs w:val="12"/>
              </w:rPr>
            </w:pPr>
          </w:p>
        </w:tc>
      </w:tr>
      <w:tr w:rsidR="00617F06" w:rsidRPr="00701F32" w14:paraId="41D70E4E" w14:textId="77777777" w:rsidTr="00712ADC">
        <w:trPr>
          <w:trHeight w:val="172"/>
        </w:trPr>
        <w:tc>
          <w:tcPr>
            <w:tcW w:w="8835" w:type="dxa"/>
            <w:gridSpan w:val="7"/>
            <w:tcBorders>
              <w:top w:val="single" w:sz="4" w:space="0" w:color="auto"/>
              <w:left w:val="single" w:sz="4" w:space="0" w:color="auto"/>
              <w:bottom w:val="single" w:sz="4" w:space="0" w:color="auto"/>
              <w:right w:val="single" w:sz="4" w:space="0" w:color="auto"/>
            </w:tcBorders>
            <w:shd w:val="clear" w:color="auto" w:fill="auto"/>
          </w:tcPr>
          <w:p w14:paraId="7B27D303" w14:textId="77777777" w:rsidR="00617F06" w:rsidRPr="00701F32" w:rsidRDefault="00617F06" w:rsidP="00712ADC">
            <w:pPr>
              <w:rPr>
                <w:rFonts w:ascii="Arial" w:hAnsi="Arial" w:cs="Arial"/>
                <w:b/>
                <w:bCs/>
                <w:sz w:val="14"/>
                <w:szCs w:val="12"/>
                <w:lang w:val="es-ES_tradnl"/>
              </w:rPr>
            </w:pPr>
            <w:r w:rsidRPr="00701F32">
              <w:rPr>
                <w:rFonts w:ascii="Arial" w:hAnsi="Arial" w:cs="Arial"/>
                <w:b/>
                <w:color w:val="363639"/>
                <w:sz w:val="14"/>
                <w:szCs w:val="12"/>
              </w:rPr>
              <w:t>Medición al valor razonable</w:t>
            </w:r>
          </w:p>
        </w:tc>
      </w:tr>
      <w:tr w:rsidR="00617F06" w:rsidRPr="00701F32" w14:paraId="3602000C" w14:textId="77777777" w:rsidTr="00617F06">
        <w:trPr>
          <w:trHeight w:val="1"/>
        </w:trPr>
        <w:tc>
          <w:tcPr>
            <w:tcW w:w="2388" w:type="dxa"/>
            <w:tcBorders>
              <w:top w:val="single" w:sz="4" w:space="0" w:color="auto"/>
              <w:left w:val="single" w:sz="4" w:space="0" w:color="363639"/>
              <w:bottom w:val="single" w:sz="4" w:space="0" w:color="363639"/>
              <w:right w:val="single" w:sz="4" w:space="0" w:color="363639"/>
            </w:tcBorders>
            <w:shd w:val="clear" w:color="auto" w:fill="auto"/>
            <w:hideMark/>
          </w:tcPr>
          <w:p w14:paraId="724C95AF" w14:textId="77777777" w:rsidR="00617F06" w:rsidRPr="00701F32" w:rsidRDefault="00617F06" w:rsidP="00464C0F">
            <w:pPr>
              <w:rPr>
                <w:rFonts w:ascii="Arial" w:hAnsi="Arial" w:cs="Arial"/>
                <w:sz w:val="14"/>
                <w:szCs w:val="12"/>
              </w:rPr>
            </w:pPr>
            <w:r w:rsidRPr="00701F32">
              <w:rPr>
                <w:rFonts w:ascii="Arial" w:hAnsi="Arial" w:cs="Arial"/>
                <w:color w:val="363639"/>
                <w:sz w:val="14"/>
                <w:szCs w:val="12"/>
              </w:rPr>
              <w:t>Inmuebles alquilados</w:t>
            </w:r>
          </w:p>
        </w:tc>
        <w:tc>
          <w:tcPr>
            <w:tcW w:w="1084" w:type="dxa"/>
            <w:tcBorders>
              <w:top w:val="single" w:sz="4" w:space="0" w:color="auto"/>
              <w:left w:val="nil"/>
              <w:bottom w:val="single" w:sz="4" w:space="0" w:color="auto"/>
              <w:right w:val="single" w:sz="4" w:space="0" w:color="363639"/>
            </w:tcBorders>
            <w:shd w:val="clear" w:color="auto" w:fill="auto"/>
            <w:noWrap/>
            <w:vAlign w:val="bottom"/>
            <w:hideMark/>
          </w:tcPr>
          <w:p w14:paraId="7F17421F" w14:textId="77777777" w:rsidR="00617F06" w:rsidRPr="00701F32" w:rsidRDefault="00617F06">
            <w:pPr>
              <w:jc w:val="right"/>
              <w:rPr>
                <w:rFonts w:ascii="Arial" w:hAnsi="Arial" w:cs="Arial"/>
                <w:b/>
                <w:bCs/>
                <w:sz w:val="14"/>
                <w:szCs w:val="12"/>
              </w:rPr>
            </w:pPr>
            <w:r w:rsidRPr="00701F32">
              <w:rPr>
                <w:rFonts w:ascii="Arial" w:hAnsi="Arial" w:cs="Arial"/>
                <w:b/>
                <w:bCs/>
                <w:sz w:val="14"/>
                <w:szCs w:val="12"/>
              </w:rPr>
              <w:t xml:space="preserve">     481.529 </w:t>
            </w:r>
          </w:p>
        </w:tc>
        <w:tc>
          <w:tcPr>
            <w:tcW w:w="1142" w:type="dxa"/>
            <w:tcBorders>
              <w:top w:val="single" w:sz="4" w:space="0" w:color="auto"/>
              <w:left w:val="nil"/>
              <w:bottom w:val="single" w:sz="4" w:space="0" w:color="auto"/>
              <w:right w:val="single" w:sz="4" w:space="0" w:color="363639"/>
            </w:tcBorders>
            <w:shd w:val="clear" w:color="auto" w:fill="auto"/>
            <w:noWrap/>
            <w:vAlign w:val="bottom"/>
            <w:hideMark/>
          </w:tcPr>
          <w:p w14:paraId="3A50A0AA" w14:textId="77777777" w:rsidR="00617F06" w:rsidRPr="00701F32" w:rsidRDefault="00617F06">
            <w:pPr>
              <w:jc w:val="right"/>
              <w:rPr>
                <w:rFonts w:ascii="Arial" w:hAnsi="Arial" w:cs="Arial"/>
                <w:sz w:val="14"/>
                <w:szCs w:val="12"/>
              </w:rPr>
            </w:pPr>
            <w:r w:rsidRPr="00701F32">
              <w:rPr>
                <w:rFonts w:ascii="Arial" w:hAnsi="Arial" w:cs="Arial"/>
                <w:sz w:val="14"/>
                <w:szCs w:val="12"/>
              </w:rPr>
              <w:t>50</w:t>
            </w:r>
          </w:p>
        </w:tc>
        <w:tc>
          <w:tcPr>
            <w:tcW w:w="1178" w:type="dxa"/>
            <w:tcBorders>
              <w:top w:val="single" w:sz="4" w:space="0" w:color="auto"/>
              <w:left w:val="nil"/>
              <w:bottom w:val="single" w:sz="4" w:space="0" w:color="auto"/>
              <w:right w:val="single" w:sz="4" w:space="0" w:color="363639"/>
            </w:tcBorders>
            <w:shd w:val="clear" w:color="auto" w:fill="auto"/>
            <w:noWrap/>
            <w:vAlign w:val="bottom"/>
            <w:hideMark/>
          </w:tcPr>
          <w:p w14:paraId="423067E9"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16.920 </w:t>
            </w:r>
          </w:p>
        </w:tc>
        <w:tc>
          <w:tcPr>
            <w:tcW w:w="869" w:type="dxa"/>
            <w:tcBorders>
              <w:top w:val="single" w:sz="4" w:space="0" w:color="auto"/>
              <w:left w:val="nil"/>
              <w:bottom w:val="single" w:sz="4" w:space="0" w:color="auto"/>
              <w:right w:val="single" w:sz="4" w:space="0" w:color="363639"/>
            </w:tcBorders>
            <w:shd w:val="clear" w:color="auto" w:fill="auto"/>
            <w:noWrap/>
            <w:vAlign w:val="bottom"/>
            <w:hideMark/>
          </w:tcPr>
          <w:p w14:paraId="560F1A6D"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14.294 </w:t>
            </w:r>
          </w:p>
        </w:tc>
        <w:tc>
          <w:tcPr>
            <w:tcW w:w="1131" w:type="dxa"/>
            <w:tcBorders>
              <w:top w:val="single" w:sz="4" w:space="0" w:color="auto"/>
              <w:left w:val="nil"/>
              <w:bottom w:val="single" w:sz="4" w:space="0" w:color="auto"/>
              <w:right w:val="single" w:sz="4" w:space="0" w:color="363639"/>
            </w:tcBorders>
            <w:shd w:val="clear" w:color="auto" w:fill="auto"/>
            <w:noWrap/>
            <w:vAlign w:val="bottom"/>
            <w:hideMark/>
          </w:tcPr>
          <w:p w14:paraId="1C75BE10"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(314.372)</w:t>
            </w:r>
          </w:p>
        </w:tc>
        <w:tc>
          <w:tcPr>
            <w:tcW w:w="1043" w:type="dxa"/>
            <w:tcBorders>
              <w:top w:val="single" w:sz="4" w:space="0" w:color="auto"/>
              <w:left w:val="nil"/>
              <w:bottom w:val="single" w:sz="4" w:space="0" w:color="auto"/>
              <w:right w:val="single" w:sz="4" w:space="0" w:color="363639"/>
            </w:tcBorders>
            <w:shd w:val="clear" w:color="auto" w:fill="auto"/>
            <w:noWrap/>
            <w:vAlign w:val="bottom"/>
            <w:hideMark/>
          </w:tcPr>
          <w:p w14:paraId="6C0925F4" w14:textId="77777777" w:rsidR="00617F06" w:rsidRPr="00701F32" w:rsidRDefault="00617F06" w:rsidP="00712ADC">
            <w:pPr>
              <w:jc w:val="right"/>
              <w:rPr>
                <w:rFonts w:ascii="Arial" w:hAnsi="Arial" w:cs="Arial"/>
                <w:b/>
                <w:bCs/>
                <w:sz w:val="14"/>
                <w:szCs w:val="12"/>
                <w:lang w:val="es-ES_tradnl"/>
              </w:rPr>
            </w:pPr>
            <w:r w:rsidRPr="00701F32">
              <w:rPr>
                <w:rFonts w:ascii="Arial" w:hAnsi="Arial" w:cs="Arial"/>
                <w:b/>
                <w:bCs/>
                <w:sz w:val="14"/>
                <w:szCs w:val="12"/>
              </w:rPr>
              <w:t xml:space="preserve">    198.371 </w:t>
            </w:r>
          </w:p>
        </w:tc>
      </w:tr>
      <w:tr w:rsidR="00617F06" w:rsidRPr="00701F32" w14:paraId="6BEF2669" w14:textId="77777777" w:rsidTr="00617F06">
        <w:trPr>
          <w:trHeight w:val="61"/>
        </w:trPr>
        <w:tc>
          <w:tcPr>
            <w:tcW w:w="2388" w:type="dxa"/>
            <w:tcBorders>
              <w:top w:val="nil"/>
              <w:left w:val="single" w:sz="4" w:space="0" w:color="363639"/>
              <w:bottom w:val="single" w:sz="4" w:space="0" w:color="363639"/>
              <w:right w:val="single" w:sz="4" w:space="0" w:color="363639"/>
            </w:tcBorders>
            <w:shd w:val="clear" w:color="auto" w:fill="auto"/>
            <w:hideMark/>
          </w:tcPr>
          <w:p w14:paraId="05C89053" w14:textId="77777777" w:rsidR="00617F06" w:rsidRPr="00701F32" w:rsidRDefault="00617F06" w:rsidP="00464C0F">
            <w:pPr>
              <w:rPr>
                <w:rFonts w:ascii="Arial" w:hAnsi="Arial" w:cs="Arial"/>
                <w:b/>
                <w:bCs/>
                <w:sz w:val="14"/>
                <w:szCs w:val="12"/>
              </w:rPr>
            </w:pPr>
            <w:r w:rsidRPr="00701F32">
              <w:rPr>
                <w:rFonts w:ascii="Arial" w:hAnsi="Arial" w:cs="Arial"/>
                <w:b/>
                <w:bCs/>
                <w:color w:val="363639"/>
                <w:sz w:val="14"/>
                <w:szCs w:val="12"/>
              </w:rPr>
              <w:t>TOTAL PROPIEDADES DE INVERSIÓN</w:t>
            </w:r>
          </w:p>
        </w:tc>
        <w:tc>
          <w:tcPr>
            <w:tcW w:w="1084" w:type="dxa"/>
            <w:tcBorders>
              <w:top w:val="nil"/>
              <w:left w:val="nil"/>
              <w:bottom w:val="single" w:sz="4" w:space="0" w:color="auto"/>
              <w:right w:val="single" w:sz="4" w:space="0" w:color="363639"/>
            </w:tcBorders>
            <w:shd w:val="clear" w:color="auto" w:fill="auto"/>
            <w:noWrap/>
            <w:vAlign w:val="bottom"/>
            <w:hideMark/>
          </w:tcPr>
          <w:p w14:paraId="7A5569F6" w14:textId="77777777" w:rsidR="00617F06" w:rsidRPr="00701F32" w:rsidRDefault="00617F06">
            <w:pPr>
              <w:jc w:val="right"/>
              <w:rPr>
                <w:rFonts w:ascii="Arial" w:hAnsi="Arial" w:cs="Arial"/>
                <w:b/>
                <w:bCs/>
                <w:sz w:val="14"/>
                <w:szCs w:val="12"/>
              </w:rPr>
            </w:pPr>
            <w:r w:rsidRPr="00701F32">
              <w:rPr>
                <w:rFonts w:ascii="Arial" w:hAnsi="Arial" w:cs="Arial"/>
                <w:b/>
                <w:bCs/>
                <w:sz w:val="14"/>
                <w:szCs w:val="12"/>
              </w:rPr>
              <w:t xml:space="preserve">     481.529 </w:t>
            </w:r>
          </w:p>
        </w:tc>
        <w:tc>
          <w:tcPr>
            <w:tcW w:w="1142" w:type="dxa"/>
            <w:tcBorders>
              <w:top w:val="single" w:sz="4" w:space="0" w:color="363639"/>
              <w:left w:val="nil"/>
              <w:bottom w:val="single" w:sz="4" w:space="0" w:color="363639"/>
              <w:right w:val="single" w:sz="4" w:space="0" w:color="363639"/>
            </w:tcBorders>
            <w:shd w:val="clear" w:color="auto" w:fill="auto"/>
            <w:hideMark/>
          </w:tcPr>
          <w:p w14:paraId="39CEE9D8" w14:textId="77777777" w:rsidR="00617F06" w:rsidRPr="00701F32" w:rsidRDefault="00617F06">
            <w:pPr>
              <w:jc w:val="right"/>
              <w:rPr>
                <w:rFonts w:ascii="Arial" w:hAnsi="Arial" w:cs="Arial"/>
                <w:color w:val="000000"/>
                <w:sz w:val="14"/>
                <w:szCs w:val="12"/>
              </w:rPr>
            </w:pPr>
            <w:r w:rsidRPr="00701F32">
              <w:rPr>
                <w:rFonts w:ascii="Arial" w:hAnsi="Arial" w:cs="Arial"/>
                <w:color w:val="000000"/>
                <w:sz w:val="14"/>
                <w:szCs w:val="12"/>
              </w:rPr>
              <w:t> </w:t>
            </w:r>
          </w:p>
        </w:tc>
        <w:tc>
          <w:tcPr>
            <w:tcW w:w="1178" w:type="dxa"/>
            <w:tcBorders>
              <w:top w:val="nil"/>
              <w:left w:val="nil"/>
              <w:bottom w:val="single" w:sz="4" w:space="0" w:color="auto"/>
              <w:right w:val="single" w:sz="4" w:space="0" w:color="363639"/>
            </w:tcBorders>
            <w:shd w:val="clear" w:color="auto" w:fill="auto"/>
            <w:noWrap/>
            <w:vAlign w:val="bottom"/>
            <w:hideMark/>
          </w:tcPr>
          <w:p w14:paraId="51EDD776"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16.920 </w:t>
            </w:r>
          </w:p>
        </w:tc>
        <w:tc>
          <w:tcPr>
            <w:tcW w:w="869" w:type="dxa"/>
            <w:tcBorders>
              <w:top w:val="nil"/>
              <w:left w:val="nil"/>
              <w:bottom w:val="single" w:sz="4" w:space="0" w:color="auto"/>
              <w:right w:val="single" w:sz="4" w:space="0" w:color="363639"/>
            </w:tcBorders>
            <w:shd w:val="clear" w:color="auto" w:fill="auto"/>
            <w:noWrap/>
            <w:vAlign w:val="bottom"/>
            <w:hideMark/>
          </w:tcPr>
          <w:p w14:paraId="2C6FBB76"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14.294 </w:t>
            </w:r>
          </w:p>
        </w:tc>
        <w:tc>
          <w:tcPr>
            <w:tcW w:w="1131" w:type="dxa"/>
            <w:tcBorders>
              <w:top w:val="nil"/>
              <w:left w:val="nil"/>
              <w:bottom w:val="single" w:sz="4" w:space="0" w:color="auto"/>
              <w:right w:val="single" w:sz="4" w:space="0" w:color="363639"/>
            </w:tcBorders>
            <w:shd w:val="clear" w:color="auto" w:fill="auto"/>
            <w:noWrap/>
            <w:vAlign w:val="bottom"/>
            <w:hideMark/>
          </w:tcPr>
          <w:p w14:paraId="55775F6E" w14:textId="77777777" w:rsidR="00617F06" w:rsidRPr="00701F32" w:rsidRDefault="00617F06" w:rsidP="00712ADC">
            <w:pPr>
              <w:jc w:val="right"/>
              <w:rPr>
                <w:rFonts w:ascii="Arial" w:hAnsi="Arial" w:cs="Arial"/>
                <w:sz w:val="14"/>
                <w:szCs w:val="12"/>
                <w:lang w:val="es-ES_tradnl"/>
              </w:rPr>
            </w:pPr>
            <w:r w:rsidRPr="00701F32">
              <w:rPr>
                <w:rFonts w:ascii="Arial" w:hAnsi="Arial" w:cs="Arial"/>
                <w:sz w:val="14"/>
                <w:szCs w:val="12"/>
              </w:rPr>
              <w:t xml:space="preserve">  (314.372)</w:t>
            </w:r>
          </w:p>
        </w:tc>
        <w:tc>
          <w:tcPr>
            <w:tcW w:w="1043" w:type="dxa"/>
            <w:tcBorders>
              <w:top w:val="nil"/>
              <w:left w:val="nil"/>
              <w:bottom w:val="single" w:sz="4" w:space="0" w:color="auto"/>
              <w:right w:val="single" w:sz="4" w:space="0" w:color="363639"/>
            </w:tcBorders>
            <w:shd w:val="clear" w:color="auto" w:fill="auto"/>
            <w:noWrap/>
            <w:vAlign w:val="bottom"/>
            <w:hideMark/>
          </w:tcPr>
          <w:p w14:paraId="5F94D653" w14:textId="77777777" w:rsidR="00617F06" w:rsidRPr="00701F32" w:rsidRDefault="00617F06" w:rsidP="00712ADC">
            <w:pPr>
              <w:jc w:val="right"/>
              <w:rPr>
                <w:rFonts w:ascii="Arial" w:hAnsi="Arial" w:cs="Arial"/>
                <w:b/>
                <w:bCs/>
                <w:sz w:val="14"/>
                <w:szCs w:val="12"/>
                <w:lang w:val="es-ES_tradnl"/>
              </w:rPr>
            </w:pPr>
            <w:r w:rsidRPr="00701F32">
              <w:rPr>
                <w:rFonts w:ascii="Arial" w:hAnsi="Arial" w:cs="Arial"/>
                <w:b/>
                <w:bCs/>
                <w:sz w:val="14"/>
                <w:szCs w:val="12"/>
              </w:rPr>
              <w:t xml:space="preserve">    198.371 </w:t>
            </w:r>
          </w:p>
        </w:tc>
      </w:tr>
    </w:tbl>
    <w:p w14:paraId="50A17870" w14:textId="77777777" w:rsidR="00E07294" w:rsidRPr="00701F32" w:rsidRDefault="00E07294" w:rsidP="00E07294">
      <w:pPr>
        <w:spacing w:after="160" w:line="259" w:lineRule="auto"/>
        <w:jc w:val="both"/>
        <w:rPr>
          <w:rFonts w:ascii="Arial" w:eastAsia="Calibri" w:hAnsi="Arial" w:cs="Arial"/>
          <w:sz w:val="20"/>
        </w:rPr>
      </w:pPr>
    </w:p>
    <w:p w14:paraId="697805E2" w14:textId="4D3D6E0F" w:rsidR="001A3DB9"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Las propiedades de inversión se valorizan a su valor razonable. Su valor de mercado al 31 de diciembre de 2017 es de 198.371 y fue determinado por tasadores profesionales independientes.</w:t>
      </w:r>
    </w:p>
    <w:p w14:paraId="3C8696E1" w14:textId="77777777" w:rsidR="00E07294" w:rsidRPr="00701F32" w:rsidRDefault="00AF3A00" w:rsidP="00E07294">
      <w:pPr>
        <w:spacing w:after="160" w:line="259" w:lineRule="auto"/>
        <w:jc w:val="both"/>
        <w:rPr>
          <w:rFonts w:ascii="Arial" w:eastAsia="Calibri" w:hAnsi="Arial" w:cs="Arial"/>
          <w:b/>
          <w:sz w:val="20"/>
        </w:rPr>
      </w:pPr>
      <w:r w:rsidRPr="00701F32">
        <w:rPr>
          <w:rFonts w:ascii="Arial" w:eastAsia="Calibri" w:hAnsi="Arial" w:cs="Arial"/>
          <w:b/>
          <w:sz w:val="20"/>
        </w:rPr>
        <w:t>17</w:t>
      </w:r>
      <w:r w:rsidR="00E07294" w:rsidRPr="00701F32">
        <w:rPr>
          <w:rFonts w:ascii="Arial" w:eastAsia="Calibri" w:hAnsi="Arial" w:cs="Arial"/>
          <w:b/>
          <w:sz w:val="20"/>
        </w:rPr>
        <w:t>.1</w:t>
      </w:r>
      <w:r w:rsidR="00D2026A" w:rsidRPr="00701F32">
        <w:rPr>
          <w:rFonts w:ascii="Arial" w:eastAsia="Calibri" w:hAnsi="Arial" w:cs="Arial"/>
          <w:b/>
          <w:sz w:val="20"/>
        </w:rPr>
        <w:t>0</w:t>
      </w:r>
      <w:r w:rsidR="00E07294" w:rsidRPr="00701F32">
        <w:rPr>
          <w:rFonts w:ascii="Arial" w:eastAsia="Calibri" w:hAnsi="Arial" w:cs="Arial"/>
          <w:b/>
          <w:sz w:val="20"/>
        </w:rPr>
        <w:t xml:space="preserve"> Activos Intangibles</w:t>
      </w:r>
    </w:p>
    <w:p w14:paraId="1256FF2C" w14:textId="77777777" w:rsidR="00E07294" w:rsidRPr="00701F32" w:rsidRDefault="00E07294" w:rsidP="00E07294">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activos intangibles para </w:t>
      </w:r>
      <w:r w:rsidR="00F67954" w:rsidRPr="00701F32">
        <w:rPr>
          <w:rFonts w:ascii="Arial" w:eastAsia="Calibri" w:hAnsi="Arial" w:cs="Arial"/>
          <w:sz w:val="20"/>
        </w:rPr>
        <w:t>el</w:t>
      </w:r>
      <w:r w:rsidRPr="00701F32">
        <w:rPr>
          <w:rFonts w:ascii="Arial" w:eastAsia="Calibri" w:hAnsi="Arial" w:cs="Arial"/>
          <w:sz w:val="20"/>
        </w:rPr>
        <w:t xml:space="preserve"> ejercicio finalizado el 31 de diciembre 2017 fueron los siguientes:</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818"/>
        <w:gridCol w:w="863"/>
        <w:gridCol w:w="744"/>
        <w:gridCol w:w="669"/>
        <w:gridCol w:w="1038"/>
        <w:gridCol w:w="762"/>
        <w:gridCol w:w="855"/>
        <w:gridCol w:w="827"/>
      </w:tblGrid>
      <w:tr w:rsidR="00DF2335" w:rsidRPr="00701F32" w14:paraId="7CDA59AA" w14:textId="77777777" w:rsidTr="00712ADC">
        <w:trPr>
          <w:trHeight w:val="205"/>
        </w:trPr>
        <w:tc>
          <w:tcPr>
            <w:tcW w:w="2600" w:type="dxa"/>
            <w:tcBorders>
              <w:top w:val="nil"/>
              <w:left w:val="nil"/>
              <w:bottom w:val="single" w:sz="4" w:space="0" w:color="auto"/>
              <w:right w:val="nil"/>
            </w:tcBorders>
            <w:shd w:val="clear" w:color="auto" w:fill="auto"/>
            <w:vAlign w:val="bottom"/>
            <w:hideMark/>
          </w:tcPr>
          <w:p w14:paraId="119454B8" w14:textId="77777777" w:rsidR="00DF2335" w:rsidRPr="00701F32" w:rsidRDefault="00DF2335" w:rsidP="00B84B6F">
            <w:pPr>
              <w:ind w:firstLineChars="500" w:firstLine="803"/>
              <w:rPr>
                <w:rFonts w:ascii="Arial" w:hAnsi="Arial" w:cs="Arial"/>
                <w:b/>
                <w:bCs/>
                <w:sz w:val="16"/>
                <w:szCs w:val="16"/>
                <w:lang w:eastAsia="es-AR"/>
              </w:rPr>
            </w:pPr>
          </w:p>
        </w:tc>
        <w:tc>
          <w:tcPr>
            <w:tcW w:w="818" w:type="dxa"/>
            <w:tcBorders>
              <w:top w:val="nil"/>
              <w:left w:val="nil"/>
              <w:bottom w:val="single" w:sz="4" w:space="0" w:color="auto"/>
              <w:right w:val="nil"/>
            </w:tcBorders>
            <w:shd w:val="clear" w:color="auto" w:fill="auto"/>
            <w:vAlign w:val="center"/>
          </w:tcPr>
          <w:p w14:paraId="0282D484" w14:textId="77777777" w:rsidR="00DF2335" w:rsidRPr="00701F32" w:rsidRDefault="00DF2335" w:rsidP="00B84B6F">
            <w:pPr>
              <w:jc w:val="center"/>
              <w:rPr>
                <w:rFonts w:ascii="Arial" w:hAnsi="Arial" w:cs="Arial"/>
                <w:b/>
                <w:bCs/>
                <w:sz w:val="16"/>
                <w:szCs w:val="16"/>
              </w:rPr>
            </w:pPr>
          </w:p>
        </w:tc>
        <w:tc>
          <w:tcPr>
            <w:tcW w:w="863" w:type="dxa"/>
            <w:tcBorders>
              <w:top w:val="nil"/>
              <w:left w:val="nil"/>
              <w:bottom w:val="single" w:sz="4" w:space="0" w:color="auto"/>
              <w:right w:val="nil"/>
            </w:tcBorders>
            <w:shd w:val="clear" w:color="auto" w:fill="auto"/>
            <w:vAlign w:val="center"/>
          </w:tcPr>
          <w:p w14:paraId="701F6BDF" w14:textId="77777777" w:rsidR="00DF2335" w:rsidRPr="00701F32" w:rsidRDefault="00DF2335" w:rsidP="00B84B6F">
            <w:pPr>
              <w:jc w:val="center"/>
              <w:rPr>
                <w:rFonts w:ascii="Arial" w:hAnsi="Arial" w:cs="Arial"/>
                <w:b/>
                <w:bCs/>
                <w:sz w:val="16"/>
                <w:szCs w:val="16"/>
              </w:rPr>
            </w:pPr>
          </w:p>
        </w:tc>
        <w:tc>
          <w:tcPr>
            <w:tcW w:w="744" w:type="dxa"/>
            <w:tcBorders>
              <w:top w:val="nil"/>
              <w:left w:val="nil"/>
              <w:bottom w:val="single" w:sz="4" w:space="0" w:color="auto"/>
              <w:right w:val="nil"/>
            </w:tcBorders>
            <w:shd w:val="clear" w:color="auto" w:fill="auto"/>
            <w:vAlign w:val="center"/>
          </w:tcPr>
          <w:p w14:paraId="007A3265" w14:textId="77777777" w:rsidR="00DF2335" w:rsidRPr="00701F32" w:rsidRDefault="00DF2335" w:rsidP="00B84B6F">
            <w:pPr>
              <w:jc w:val="center"/>
              <w:rPr>
                <w:rFonts w:ascii="Arial" w:hAnsi="Arial" w:cs="Arial"/>
                <w:b/>
                <w:bCs/>
                <w:sz w:val="16"/>
                <w:szCs w:val="16"/>
              </w:rPr>
            </w:pPr>
          </w:p>
        </w:tc>
        <w:tc>
          <w:tcPr>
            <w:tcW w:w="669" w:type="dxa"/>
            <w:tcBorders>
              <w:top w:val="nil"/>
              <w:left w:val="nil"/>
              <w:bottom w:val="single" w:sz="4" w:space="0" w:color="auto"/>
              <w:right w:val="single" w:sz="4" w:space="0" w:color="auto"/>
            </w:tcBorders>
            <w:shd w:val="clear" w:color="auto" w:fill="auto"/>
            <w:vAlign w:val="center"/>
          </w:tcPr>
          <w:p w14:paraId="6AEBF1C7" w14:textId="77777777" w:rsidR="00DF2335" w:rsidRPr="00701F32" w:rsidRDefault="00DF2335" w:rsidP="00B84B6F">
            <w:pPr>
              <w:jc w:val="center"/>
              <w:rPr>
                <w:rFonts w:ascii="Arial" w:hAnsi="Arial" w:cs="Arial"/>
                <w:b/>
                <w:bCs/>
                <w:sz w:val="16"/>
                <w:szCs w:val="16"/>
              </w:rPr>
            </w:pPr>
          </w:p>
        </w:tc>
        <w:tc>
          <w:tcPr>
            <w:tcW w:w="2655" w:type="dxa"/>
            <w:gridSpan w:val="3"/>
            <w:tcBorders>
              <w:left w:val="single" w:sz="4" w:space="0" w:color="auto"/>
              <w:bottom w:val="single" w:sz="4" w:space="0" w:color="auto"/>
              <w:right w:val="single" w:sz="4" w:space="0" w:color="auto"/>
            </w:tcBorders>
            <w:shd w:val="clear" w:color="auto" w:fill="auto"/>
            <w:hideMark/>
          </w:tcPr>
          <w:p w14:paraId="78A75C1F" w14:textId="77777777" w:rsidR="00DF2335" w:rsidRPr="00701F32" w:rsidRDefault="00DF2335" w:rsidP="00B84B6F">
            <w:pPr>
              <w:ind w:firstLineChars="600" w:firstLine="964"/>
              <w:rPr>
                <w:rFonts w:ascii="Arial" w:hAnsi="Arial" w:cs="Arial"/>
                <w:b/>
                <w:bCs/>
                <w:sz w:val="16"/>
                <w:szCs w:val="16"/>
              </w:rPr>
            </w:pPr>
            <w:r w:rsidRPr="00701F32">
              <w:rPr>
                <w:rFonts w:ascii="Arial" w:hAnsi="Arial" w:cs="Arial"/>
                <w:b/>
                <w:bCs/>
                <w:color w:val="363639"/>
                <w:sz w:val="16"/>
                <w:szCs w:val="16"/>
              </w:rPr>
              <w:t>Depreciación</w:t>
            </w:r>
          </w:p>
        </w:tc>
        <w:tc>
          <w:tcPr>
            <w:tcW w:w="827" w:type="dxa"/>
            <w:tcBorders>
              <w:top w:val="nil"/>
              <w:left w:val="single" w:sz="4" w:space="0" w:color="auto"/>
              <w:bottom w:val="single" w:sz="4" w:space="0" w:color="auto"/>
              <w:right w:val="nil"/>
            </w:tcBorders>
            <w:shd w:val="clear" w:color="auto" w:fill="auto"/>
            <w:vAlign w:val="center"/>
            <w:hideMark/>
          </w:tcPr>
          <w:p w14:paraId="47860E2B" w14:textId="77777777" w:rsidR="00DF2335" w:rsidRPr="00701F32" w:rsidRDefault="00DF2335" w:rsidP="00B84B6F">
            <w:pPr>
              <w:jc w:val="center"/>
              <w:rPr>
                <w:rFonts w:ascii="Arial" w:hAnsi="Arial" w:cs="Arial"/>
                <w:b/>
                <w:bCs/>
                <w:sz w:val="16"/>
                <w:szCs w:val="16"/>
              </w:rPr>
            </w:pPr>
          </w:p>
        </w:tc>
      </w:tr>
      <w:tr w:rsidR="00DF2335" w:rsidRPr="00701F32" w14:paraId="58A5E931" w14:textId="77777777" w:rsidTr="004437AA">
        <w:trPr>
          <w:trHeight w:val="205"/>
        </w:trPr>
        <w:tc>
          <w:tcPr>
            <w:tcW w:w="2600" w:type="dxa"/>
            <w:tcBorders>
              <w:top w:val="single" w:sz="4" w:space="0" w:color="auto"/>
            </w:tcBorders>
            <w:shd w:val="clear" w:color="auto" w:fill="auto"/>
            <w:vAlign w:val="bottom"/>
          </w:tcPr>
          <w:p w14:paraId="5FAECAFD" w14:textId="77777777" w:rsidR="00DF2335" w:rsidRPr="00701F32" w:rsidRDefault="00DF2335" w:rsidP="00B84B6F">
            <w:pPr>
              <w:ind w:firstLineChars="500" w:firstLine="803"/>
              <w:jc w:val="center"/>
              <w:rPr>
                <w:rFonts w:ascii="Arial" w:hAnsi="Arial" w:cs="Arial"/>
                <w:b/>
                <w:bCs/>
                <w:color w:val="000000" w:themeColor="text1"/>
                <w:sz w:val="16"/>
                <w:szCs w:val="16"/>
              </w:rPr>
            </w:pPr>
            <w:r w:rsidRPr="00701F32">
              <w:rPr>
                <w:rFonts w:ascii="Arial" w:hAnsi="Arial" w:cs="Arial"/>
                <w:b/>
                <w:bCs/>
                <w:color w:val="000000" w:themeColor="text1"/>
                <w:sz w:val="16"/>
                <w:szCs w:val="16"/>
              </w:rPr>
              <w:t>Concepto</w:t>
            </w:r>
          </w:p>
        </w:tc>
        <w:tc>
          <w:tcPr>
            <w:tcW w:w="818" w:type="dxa"/>
            <w:tcBorders>
              <w:top w:val="single" w:sz="4" w:space="0" w:color="auto"/>
            </w:tcBorders>
            <w:shd w:val="clear" w:color="auto" w:fill="auto"/>
            <w:vAlign w:val="center"/>
          </w:tcPr>
          <w:p w14:paraId="4FAE2C0B" w14:textId="77777777" w:rsidR="00DF2335" w:rsidRPr="00701F32" w:rsidRDefault="00DF2335" w:rsidP="00B84B6F">
            <w:pPr>
              <w:jc w:val="center"/>
              <w:rPr>
                <w:rFonts w:ascii="Arial" w:hAnsi="Arial" w:cs="Arial"/>
                <w:b/>
                <w:bCs/>
                <w:color w:val="000000" w:themeColor="text1"/>
                <w:sz w:val="16"/>
                <w:szCs w:val="16"/>
              </w:rPr>
            </w:pPr>
            <w:r w:rsidRPr="00701F32">
              <w:rPr>
                <w:rFonts w:ascii="Arial" w:hAnsi="Arial" w:cs="Arial"/>
                <w:b/>
                <w:bCs/>
                <w:color w:val="000000" w:themeColor="text1"/>
                <w:sz w:val="16"/>
                <w:szCs w:val="16"/>
              </w:rPr>
              <w:t>Valor de origen al inicio del ejercicio</w:t>
            </w:r>
          </w:p>
        </w:tc>
        <w:tc>
          <w:tcPr>
            <w:tcW w:w="863" w:type="dxa"/>
            <w:tcBorders>
              <w:top w:val="single" w:sz="4" w:space="0" w:color="auto"/>
            </w:tcBorders>
            <w:shd w:val="clear" w:color="auto" w:fill="auto"/>
            <w:vAlign w:val="center"/>
          </w:tcPr>
          <w:p w14:paraId="67DC7D8E" w14:textId="77777777" w:rsidR="00DF2335" w:rsidRPr="00701F32" w:rsidRDefault="00DF2335" w:rsidP="00B84B6F">
            <w:pPr>
              <w:jc w:val="center"/>
              <w:rPr>
                <w:rFonts w:ascii="Arial" w:hAnsi="Arial" w:cs="Arial"/>
                <w:b/>
                <w:bCs/>
                <w:color w:val="000000" w:themeColor="text1"/>
                <w:sz w:val="16"/>
                <w:szCs w:val="16"/>
              </w:rPr>
            </w:pPr>
            <w:r w:rsidRPr="00701F32">
              <w:rPr>
                <w:rFonts w:ascii="Arial" w:hAnsi="Arial" w:cs="Arial"/>
                <w:b/>
                <w:bCs/>
                <w:color w:val="000000" w:themeColor="text1"/>
                <w:sz w:val="16"/>
                <w:szCs w:val="16"/>
              </w:rPr>
              <w:t>Vida Útil total estimada en años</w:t>
            </w:r>
          </w:p>
        </w:tc>
        <w:tc>
          <w:tcPr>
            <w:tcW w:w="744" w:type="dxa"/>
            <w:tcBorders>
              <w:top w:val="single" w:sz="4" w:space="0" w:color="auto"/>
            </w:tcBorders>
            <w:shd w:val="clear" w:color="auto" w:fill="auto"/>
            <w:vAlign w:val="center"/>
          </w:tcPr>
          <w:p w14:paraId="10C9AF71" w14:textId="77777777" w:rsidR="00DF2335" w:rsidRPr="00701F32" w:rsidRDefault="00DF2335" w:rsidP="00B84B6F">
            <w:pPr>
              <w:jc w:val="center"/>
              <w:rPr>
                <w:rFonts w:ascii="Arial" w:hAnsi="Arial" w:cs="Arial"/>
                <w:b/>
                <w:bCs/>
                <w:color w:val="000000" w:themeColor="text1"/>
                <w:sz w:val="16"/>
                <w:szCs w:val="16"/>
              </w:rPr>
            </w:pPr>
            <w:r w:rsidRPr="00701F32">
              <w:rPr>
                <w:rFonts w:ascii="Arial" w:hAnsi="Arial" w:cs="Arial"/>
                <w:b/>
                <w:bCs/>
                <w:color w:val="000000" w:themeColor="text1"/>
                <w:sz w:val="16"/>
                <w:szCs w:val="16"/>
              </w:rPr>
              <w:t>Altas</w:t>
            </w:r>
          </w:p>
        </w:tc>
        <w:tc>
          <w:tcPr>
            <w:tcW w:w="669" w:type="dxa"/>
            <w:tcBorders>
              <w:top w:val="single" w:sz="4" w:space="0" w:color="auto"/>
            </w:tcBorders>
            <w:shd w:val="clear" w:color="auto" w:fill="auto"/>
            <w:vAlign w:val="center"/>
          </w:tcPr>
          <w:p w14:paraId="245C4962" w14:textId="77777777" w:rsidR="00DF2335" w:rsidRPr="00701F32" w:rsidRDefault="00DF2335" w:rsidP="00B84B6F">
            <w:pPr>
              <w:jc w:val="center"/>
              <w:rPr>
                <w:rFonts w:ascii="Arial" w:hAnsi="Arial" w:cs="Arial"/>
                <w:b/>
                <w:bCs/>
                <w:color w:val="000000" w:themeColor="text1"/>
                <w:sz w:val="16"/>
                <w:szCs w:val="16"/>
              </w:rPr>
            </w:pPr>
            <w:r w:rsidRPr="00701F32">
              <w:rPr>
                <w:rFonts w:ascii="Arial" w:hAnsi="Arial" w:cs="Arial"/>
                <w:b/>
                <w:bCs/>
                <w:color w:val="000000" w:themeColor="text1"/>
                <w:sz w:val="16"/>
                <w:szCs w:val="16"/>
              </w:rPr>
              <w:t>Bajas</w:t>
            </w:r>
          </w:p>
        </w:tc>
        <w:tc>
          <w:tcPr>
            <w:tcW w:w="1038" w:type="dxa"/>
            <w:tcBorders>
              <w:top w:val="single" w:sz="4" w:space="0" w:color="auto"/>
            </w:tcBorders>
            <w:shd w:val="clear" w:color="auto" w:fill="auto"/>
            <w:vAlign w:val="center"/>
          </w:tcPr>
          <w:p w14:paraId="03780B73" w14:textId="77777777" w:rsidR="00DF2335" w:rsidRPr="00701F32" w:rsidRDefault="00DF2335" w:rsidP="0086282C">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Acumulada</w:t>
            </w:r>
          </w:p>
        </w:tc>
        <w:tc>
          <w:tcPr>
            <w:tcW w:w="762" w:type="dxa"/>
            <w:tcBorders>
              <w:top w:val="single" w:sz="4" w:space="0" w:color="auto"/>
            </w:tcBorders>
            <w:shd w:val="clear" w:color="auto" w:fill="auto"/>
            <w:vAlign w:val="center"/>
          </w:tcPr>
          <w:p w14:paraId="2F5BDBE6" w14:textId="77777777" w:rsidR="00DF2335" w:rsidRPr="00701F32" w:rsidRDefault="00DF2335">
            <w:pPr>
              <w:jc w:val="center"/>
              <w:rPr>
                <w:rFonts w:ascii="Arial" w:hAnsi="Arial" w:cs="Arial"/>
                <w:b/>
                <w:color w:val="000000" w:themeColor="text1"/>
                <w:sz w:val="16"/>
                <w:szCs w:val="16"/>
              </w:rPr>
            </w:pPr>
            <w:r w:rsidRPr="00701F32">
              <w:rPr>
                <w:rFonts w:ascii="Arial" w:hAnsi="Arial" w:cs="Arial"/>
                <w:b/>
                <w:color w:val="000000" w:themeColor="text1"/>
                <w:sz w:val="16"/>
                <w:szCs w:val="16"/>
              </w:rPr>
              <w:t>Del período</w:t>
            </w:r>
          </w:p>
        </w:tc>
        <w:tc>
          <w:tcPr>
            <w:tcW w:w="855" w:type="dxa"/>
            <w:tcBorders>
              <w:top w:val="single" w:sz="4" w:space="0" w:color="auto"/>
            </w:tcBorders>
            <w:shd w:val="clear" w:color="auto" w:fill="auto"/>
            <w:vAlign w:val="center"/>
          </w:tcPr>
          <w:p w14:paraId="720FC4F8" w14:textId="77777777" w:rsidR="00DF2335" w:rsidRPr="00701F32" w:rsidRDefault="00F67954">
            <w:pPr>
              <w:ind w:firstLineChars="600" w:firstLine="964"/>
              <w:jc w:val="center"/>
              <w:rPr>
                <w:rFonts w:ascii="Arial" w:hAnsi="Arial" w:cs="Arial"/>
                <w:b/>
                <w:bCs/>
                <w:color w:val="000000" w:themeColor="text1"/>
                <w:sz w:val="16"/>
                <w:szCs w:val="16"/>
              </w:rPr>
            </w:pPr>
            <w:r w:rsidRPr="00701F32">
              <w:rPr>
                <w:rFonts w:ascii="Arial" w:hAnsi="Arial" w:cs="Arial"/>
                <w:b/>
                <w:bCs/>
                <w:color w:val="000000" w:themeColor="text1"/>
                <w:sz w:val="16"/>
                <w:szCs w:val="16"/>
              </w:rPr>
              <w:t>AAl cierre d</w:t>
            </w:r>
            <w:r w:rsidR="00DF2335" w:rsidRPr="00701F32">
              <w:rPr>
                <w:rFonts w:ascii="Arial" w:hAnsi="Arial" w:cs="Arial"/>
                <w:b/>
                <w:bCs/>
                <w:color w:val="000000" w:themeColor="text1"/>
                <w:sz w:val="16"/>
                <w:szCs w:val="16"/>
              </w:rPr>
              <w:t>el periodo</w:t>
            </w:r>
          </w:p>
        </w:tc>
        <w:tc>
          <w:tcPr>
            <w:tcW w:w="827" w:type="dxa"/>
            <w:tcBorders>
              <w:top w:val="single" w:sz="4" w:space="0" w:color="auto"/>
            </w:tcBorders>
            <w:shd w:val="clear" w:color="auto" w:fill="auto"/>
            <w:vAlign w:val="center"/>
          </w:tcPr>
          <w:p w14:paraId="620443B2" w14:textId="77777777" w:rsidR="00DF2335" w:rsidRPr="00701F32" w:rsidRDefault="00DF2335" w:rsidP="00B84B6F">
            <w:pPr>
              <w:jc w:val="center"/>
              <w:rPr>
                <w:rFonts w:ascii="Arial" w:hAnsi="Arial" w:cs="Arial"/>
                <w:b/>
                <w:bCs/>
                <w:color w:val="000000" w:themeColor="text1"/>
                <w:sz w:val="16"/>
                <w:szCs w:val="16"/>
              </w:rPr>
            </w:pPr>
            <w:r w:rsidRPr="00701F32">
              <w:rPr>
                <w:rFonts w:ascii="Arial" w:hAnsi="Arial" w:cs="Arial"/>
                <w:b/>
                <w:bCs/>
                <w:color w:val="000000" w:themeColor="text1"/>
                <w:sz w:val="16"/>
                <w:szCs w:val="16"/>
              </w:rPr>
              <w:t>Valor residual al cierre del período</w:t>
            </w:r>
          </w:p>
        </w:tc>
      </w:tr>
      <w:tr w:rsidR="00DF2335" w:rsidRPr="00701F32" w14:paraId="0227CB65" w14:textId="77777777" w:rsidTr="004437AA">
        <w:trPr>
          <w:trHeight w:val="205"/>
        </w:trPr>
        <w:tc>
          <w:tcPr>
            <w:tcW w:w="2600" w:type="dxa"/>
            <w:shd w:val="clear" w:color="auto" w:fill="auto"/>
            <w:noWrap/>
            <w:hideMark/>
          </w:tcPr>
          <w:p w14:paraId="6FEFDB5C" w14:textId="77777777" w:rsidR="00DF2335" w:rsidRPr="00701F32" w:rsidRDefault="00DF2335" w:rsidP="00B84B6F">
            <w:pPr>
              <w:rPr>
                <w:rFonts w:ascii="Arial" w:hAnsi="Arial" w:cs="Arial"/>
                <w:sz w:val="16"/>
                <w:szCs w:val="16"/>
              </w:rPr>
            </w:pPr>
            <w:r w:rsidRPr="00701F32">
              <w:rPr>
                <w:rFonts w:ascii="Arial" w:hAnsi="Arial" w:cs="Arial"/>
                <w:color w:val="363639"/>
                <w:sz w:val="16"/>
                <w:szCs w:val="16"/>
              </w:rPr>
              <w:t>Llave de negocio- Combinación de negocios</w:t>
            </w:r>
          </w:p>
        </w:tc>
        <w:tc>
          <w:tcPr>
            <w:tcW w:w="818" w:type="dxa"/>
            <w:shd w:val="clear" w:color="auto" w:fill="auto"/>
            <w:noWrap/>
            <w:vAlign w:val="bottom"/>
            <w:hideMark/>
          </w:tcPr>
          <w:p w14:paraId="5FBF3B1A"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 xml:space="preserve">         31.753 </w:t>
            </w:r>
          </w:p>
        </w:tc>
        <w:tc>
          <w:tcPr>
            <w:tcW w:w="863" w:type="dxa"/>
            <w:shd w:val="clear" w:color="auto" w:fill="auto"/>
            <w:noWrap/>
            <w:vAlign w:val="bottom"/>
            <w:hideMark/>
          </w:tcPr>
          <w:p w14:paraId="464B36D3"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w:t>
            </w:r>
          </w:p>
        </w:tc>
        <w:tc>
          <w:tcPr>
            <w:tcW w:w="744" w:type="dxa"/>
            <w:shd w:val="clear" w:color="auto" w:fill="auto"/>
            <w:noWrap/>
            <w:vAlign w:val="bottom"/>
            <w:hideMark/>
          </w:tcPr>
          <w:p w14:paraId="4E832973"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   </w:t>
            </w:r>
          </w:p>
        </w:tc>
        <w:tc>
          <w:tcPr>
            <w:tcW w:w="669" w:type="dxa"/>
            <w:shd w:val="clear" w:color="auto" w:fill="auto"/>
            <w:noWrap/>
            <w:vAlign w:val="bottom"/>
            <w:hideMark/>
          </w:tcPr>
          <w:p w14:paraId="18D9F0BB"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(770)</w:t>
            </w:r>
          </w:p>
        </w:tc>
        <w:tc>
          <w:tcPr>
            <w:tcW w:w="1038" w:type="dxa"/>
            <w:shd w:val="clear" w:color="auto" w:fill="auto"/>
            <w:noWrap/>
            <w:vAlign w:val="bottom"/>
            <w:hideMark/>
          </w:tcPr>
          <w:p w14:paraId="7BF4E223"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   </w:t>
            </w:r>
          </w:p>
        </w:tc>
        <w:tc>
          <w:tcPr>
            <w:tcW w:w="762" w:type="dxa"/>
            <w:shd w:val="clear" w:color="auto" w:fill="auto"/>
            <w:noWrap/>
            <w:vAlign w:val="bottom"/>
            <w:hideMark/>
          </w:tcPr>
          <w:p w14:paraId="7C945F5C"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   </w:t>
            </w:r>
          </w:p>
        </w:tc>
        <w:tc>
          <w:tcPr>
            <w:tcW w:w="855" w:type="dxa"/>
            <w:shd w:val="clear" w:color="auto" w:fill="auto"/>
            <w:noWrap/>
            <w:vAlign w:val="bottom"/>
            <w:hideMark/>
          </w:tcPr>
          <w:p w14:paraId="631B35FE"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   </w:t>
            </w:r>
          </w:p>
        </w:tc>
        <w:tc>
          <w:tcPr>
            <w:tcW w:w="827" w:type="dxa"/>
            <w:shd w:val="clear" w:color="auto" w:fill="auto"/>
            <w:noWrap/>
            <w:vAlign w:val="bottom"/>
            <w:hideMark/>
          </w:tcPr>
          <w:p w14:paraId="25F34EEE"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 xml:space="preserve">          30.983 </w:t>
            </w:r>
          </w:p>
        </w:tc>
      </w:tr>
      <w:tr w:rsidR="00DF2335" w:rsidRPr="00701F32" w14:paraId="15D434DE" w14:textId="77777777" w:rsidTr="004437AA">
        <w:trPr>
          <w:trHeight w:val="205"/>
        </w:trPr>
        <w:tc>
          <w:tcPr>
            <w:tcW w:w="2600" w:type="dxa"/>
            <w:shd w:val="clear" w:color="auto" w:fill="auto"/>
            <w:noWrap/>
            <w:hideMark/>
          </w:tcPr>
          <w:p w14:paraId="4BB28761" w14:textId="77777777" w:rsidR="00DF2335" w:rsidRPr="00701F32" w:rsidRDefault="00DF2335" w:rsidP="00B84B6F">
            <w:pPr>
              <w:rPr>
                <w:rFonts w:ascii="Arial" w:hAnsi="Arial" w:cs="Arial"/>
                <w:sz w:val="16"/>
                <w:szCs w:val="16"/>
              </w:rPr>
            </w:pPr>
            <w:r w:rsidRPr="00701F32">
              <w:rPr>
                <w:rFonts w:ascii="Arial" w:hAnsi="Arial" w:cs="Arial"/>
                <w:color w:val="363639"/>
                <w:sz w:val="16"/>
                <w:szCs w:val="16"/>
              </w:rPr>
              <w:t>Otros activos intangibles</w:t>
            </w:r>
          </w:p>
        </w:tc>
        <w:tc>
          <w:tcPr>
            <w:tcW w:w="818" w:type="dxa"/>
            <w:shd w:val="clear" w:color="auto" w:fill="auto"/>
            <w:noWrap/>
            <w:vAlign w:val="bottom"/>
            <w:hideMark/>
          </w:tcPr>
          <w:p w14:paraId="1B007C18"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 xml:space="preserve">       378.561 </w:t>
            </w:r>
          </w:p>
        </w:tc>
        <w:tc>
          <w:tcPr>
            <w:tcW w:w="863" w:type="dxa"/>
            <w:shd w:val="clear" w:color="auto" w:fill="auto"/>
            <w:noWrap/>
            <w:vAlign w:val="bottom"/>
            <w:hideMark/>
          </w:tcPr>
          <w:p w14:paraId="7CA565C1"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3 </w:t>
            </w:r>
          </w:p>
        </w:tc>
        <w:tc>
          <w:tcPr>
            <w:tcW w:w="744" w:type="dxa"/>
            <w:shd w:val="clear" w:color="auto" w:fill="auto"/>
            <w:noWrap/>
            <w:vAlign w:val="bottom"/>
            <w:hideMark/>
          </w:tcPr>
          <w:p w14:paraId="703D906D"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134.635</w:t>
            </w:r>
          </w:p>
        </w:tc>
        <w:tc>
          <w:tcPr>
            <w:tcW w:w="669" w:type="dxa"/>
            <w:shd w:val="clear" w:color="auto" w:fill="auto"/>
            <w:noWrap/>
            <w:vAlign w:val="bottom"/>
            <w:hideMark/>
          </w:tcPr>
          <w:p w14:paraId="04DA946C"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(1.063)</w:t>
            </w:r>
          </w:p>
        </w:tc>
        <w:tc>
          <w:tcPr>
            <w:tcW w:w="1038" w:type="dxa"/>
            <w:shd w:val="clear" w:color="auto" w:fill="auto"/>
            <w:noWrap/>
            <w:vAlign w:val="bottom"/>
            <w:hideMark/>
          </w:tcPr>
          <w:p w14:paraId="507C9939"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(268.212)</w:t>
            </w:r>
          </w:p>
        </w:tc>
        <w:tc>
          <w:tcPr>
            <w:tcW w:w="762" w:type="dxa"/>
            <w:shd w:val="clear" w:color="auto" w:fill="auto"/>
            <w:noWrap/>
            <w:vAlign w:val="bottom"/>
            <w:hideMark/>
          </w:tcPr>
          <w:p w14:paraId="570EFD11"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(98.152)</w:t>
            </w:r>
          </w:p>
        </w:tc>
        <w:tc>
          <w:tcPr>
            <w:tcW w:w="855" w:type="dxa"/>
            <w:shd w:val="clear" w:color="auto" w:fill="auto"/>
            <w:noWrap/>
            <w:vAlign w:val="bottom"/>
            <w:hideMark/>
          </w:tcPr>
          <w:p w14:paraId="750F5B73"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(366.364)</w:t>
            </w:r>
          </w:p>
        </w:tc>
        <w:tc>
          <w:tcPr>
            <w:tcW w:w="827" w:type="dxa"/>
            <w:shd w:val="clear" w:color="auto" w:fill="auto"/>
            <w:noWrap/>
            <w:vAlign w:val="bottom"/>
            <w:hideMark/>
          </w:tcPr>
          <w:p w14:paraId="693448A8"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 xml:space="preserve">         145.769</w:t>
            </w:r>
          </w:p>
        </w:tc>
      </w:tr>
      <w:tr w:rsidR="00DF2335" w:rsidRPr="00701F32" w14:paraId="39E851FF" w14:textId="77777777" w:rsidTr="004437AA">
        <w:trPr>
          <w:trHeight w:val="286"/>
        </w:trPr>
        <w:tc>
          <w:tcPr>
            <w:tcW w:w="2600" w:type="dxa"/>
            <w:shd w:val="clear" w:color="auto" w:fill="auto"/>
            <w:hideMark/>
          </w:tcPr>
          <w:p w14:paraId="08FCE857" w14:textId="77777777" w:rsidR="00DF2335" w:rsidRPr="00701F32" w:rsidRDefault="00DF2335" w:rsidP="00B84B6F">
            <w:pPr>
              <w:rPr>
                <w:rFonts w:ascii="Arial" w:hAnsi="Arial" w:cs="Arial"/>
                <w:b/>
                <w:bCs/>
                <w:sz w:val="16"/>
                <w:szCs w:val="16"/>
              </w:rPr>
            </w:pPr>
            <w:r w:rsidRPr="00701F32">
              <w:rPr>
                <w:rFonts w:ascii="Arial" w:hAnsi="Arial" w:cs="Arial"/>
                <w:b/>
                <w:bCs/>
                <w:color w:val="363639"/>
                <w:sz w:val="16"/>
                <w:szCs w:val="16"/>
              </w:rPr>
              <w:t>TOTAL ACTIVOS INTANGIBLES</w:t>
            </w:r>
          </w:p>
        </w:tc>
        <w:tc>
          <w:tcPr>
            <w:tcW w:w="818" w:type="dxa"/>
            <w:shd w:val="clear" w:color="auto" w:fill="auto"/>
            <w:noWrap/>
            <w:vAlign w:val="bottom"/>
            <w:hideMark/>
          </w:tcPr>
          <w:p w14:paraId="696A1437"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 xml:space="preserve">       410.314 </w:t>
            </w:r>
          </w:p>
        </w:tc>
        <w:tc>
          <w:tcPr>
            <w:tcW w:w="863" w:type="dxa"/>
            <w:shd w:val="clear" w:color="auto" w:fill="auto"/>
            <w:hideMark/>
          </w:tcPr>
          <w:p w14:paraId="25966E2E" w14:textId="77777777" w:rsidR="00DF2335" w:rsidRPr="00701F32" w:rsidRDefault="00DF2335" w:rsidP="00B84B6F">
            <w:pPr>
              <w:jc w:val="right"/>
              <w:rPr>
                <w:rFonts w:ascii="Arial" w:hAnsi="Arial" w:cs="Arial"/>
                <w:color w:val="000000"/>
                <w:sz w:val="16"/>
                <w:szCs w:val="16"/>
              </w:rPr>
            </w:pPr>
            <w:r w:rsidRPr="00701F32">
              <w:rPr>
                <w:rFonts w:ascii="Arial" w:hAnsi="Arial" w:cs="Arial"/>
                <w:color w:val="000000"/>
                <w:sz w:val="16"/>
                <w:szCs w:val="16"/>
              </w:rPr>
              <w:t> </w:t>
            </w:r>
          </w:p>
        </w:tc>
        <w:tc>
          <w:tcPr>
            <w:tcW w:w="744" w:type="dxa"/>
            <w:shd w:val="clear" w:color="auto" w:fill="auto"/>
            <w:noWrap/>
            <w:vAlign w:val="bottom"/>
            <w:hideMark/>
          </w:tcPr>
          <w:p w14:paraId="170D9947"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134.635</w:t>
            </w:r>
          </w:p>
        </w:tc>
        <w:tc>
          <w:tcPr>
            <w:tcW w:w="669" w:type="dxa"/>
            <w:shd w:val="clear" w:color="auto" w:fill="auto"/>
            <w:noWrap/>
            <w:vAlign w:val="bottom"/>
            <w:hideMark/>
          </w:tcPr>
          <w:p w14:paraId="7FBE05F7"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(1.833)</w:t>
            </w:r>
          </w:p>
        </w:tc>
        <w:tc>
          <w:tcPr>
            <w:tcW w:w="1038" w:type="dxa"/>
            <w:shd w:val="clear" w:color="auto" w:fill="auto"/>
            <w:noWrap/>
            <w:vAlign w:val="bottom"/>
            <w:hideMark/>
          </w:tcPr>
          <w:p w14:paraId="37F7D861"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(268.212)</w:t>
            </w:r>
          </w:p>
        </w:tc>
        <w:tc>
          <w:tcPr>
            <w:tcW w:w="762" w:type="dxa"/>
            <w:shd w:val="clear" w:color="auto" w:fill="auto"/>
            <w:noWrap/>
            <w:vAlign w:val="bottom"/>
            <w:hideMark/>
          </w:tcPr>
          <w:p w14:paraId="3A34E09F"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(98.152)</w:t>
            </w:r>
          </w:p>
        </w:tc>
        <w:tc>
          <w:tcPr>
            <w:tcW w:w="855" w:type="dxa"/>
            <w:shd w:val="clear" w:color="auto" w:fill="auto"/>
            <w:noWrap/>
            <w:vAlign w:val="bottom"/>
            <w:hideMark/>
          </w:tcPr>
          <w:p w14:paraId="199A165F" w14:textId="77777777" w:rsidR="00DF2335" w:rsidRPr="00701F32" w:rsidRDefault="00DF2335" w:rsidP="00B84B6F">
            <w:pPr>
              <w:jc w:val="right"/>
              <w:rPr>
                <w:rFonts w:ascii="Arial" w:hAnsi="Arial" w:cs="Arial"/>
                <w:sz w:val="16"/>
                <w:szCs w:val="16"/>
              </w:rPr>
            </w:pPr>
            <w:r w:rsidRPr="00701F32">
              <w:rPr>
                <w:rFonts w:ascii="Arial" w:hAnsi="Arial" w:cs="Arial"/>
                <w:sz w:val="16"/>
                <w:szCs w:val="16"/>
              </w:rPr>
              <w:t xml:space="preserve">    (366.364)</w:t>
            </w:r>
          </w:p>
        </w:tc>
        <w:tc>
          <w:tcPr>
            <w:tcW w:w="827" w:type="dxa"/>
            <w:shd w:val="clear" w:color="auto" w:fill="auto"/>
            <w:noWrap/>
            <w:vAlign w:val="bottom"/>
            <w:hideMark/>
          </w:tcPr>
          <w:p w14:paraId="4758EF7C" w14:textId="77777777" w:rsidR="00DF2335" w:rsidRPr="00701F32" w:rsidRDefault="00DF2335" w:rsidP="00B84B6F">
            <w:pPr>
              <w:jc w:val="right"/>
              <w:rPr>
                <w:rFonts w:ascii="Arial" w:hAnsi="Arial" w:cs="Arial"/>
                <w:b/>
                <w:bCs/>
                <w:sz w:val="16"/>
                <w:szCs w:val="16"/>
              </w:rPr>
            </w:pPr>
            <w:r w:rsidRPr="00701F32">
              <w:rPr>
                <w:rFonts w:ascii="Arial" w:hAnsi="Arial" w:cs="Arial"/>
                <w:b/>
                <w:bCs/>
                <w:sz w:val="16"/>
                <w:szCs w:val="16"/>
              </w:rPr>
              <w:t>176.752</w:t>
            </w:r>
          </w:p>
        </w:tc>
      </w:tr>
    </w:tbl>
    <w:p w14:paraId="209E7755" w14:textId="77777777" w:rsidR="00DF2335" w:rsidRPr="00701F32" w:rsidRDefault="00DF2335" w:rsidP="00E07294">
      <w:pPr>
        <w:spacing w:after="160" w:line="259" w:lineRule="auto"/>
        <w:jc w:val="both"/>
        <w:rPr>
          <w:rFonts w:ascii="Arial" w:eastAsia="Calibri" w:hAnsi="Arial" w:cs="Arial"/>
          <w:sz w:val="20"/>
        </w:rPr>
      </w:pPr>
    </w:p>
    <w:p w14:paraId="7A54CD98" w14:textId="77777777" w:rsidR="00E07294" w:rsidRPr="00701F32" w:rsidRDefault="00E07294" w:rsidP="00E07294">
      <w:pPr>
        <w:spacing w:after="160" w:line="259" w:lineRule="auto"/>
        <w:jc w:val="both"/>
        <w:rPr>
          <w:rFonts w:ascii="Arial" w:eastAsia="Calibri" w:hAnsi="Arial" w:cs="Arial"/>
          <w:b/>
          <w:sz w:val="20"/>
        </w:rPr>
      </w:pPr>
      <w:r w:rsidRPr="00701F32">
        <w:rPr>
          <w:rFonts w:ascii="Arial" w:eastAsia="Calibri" w:hAnsi="Arial" w:cs="Arial"/>
          <w:b/>
          <w:sz w:val="20"/>
        </w:rPr>
        <w:t xml:space="preserve">Información adicional al 31 de </w:t>
      </w:r>
      <w:r w:rsidR="00F67954" w:rsidRPr="00701F32">
        <w:rPr>
          <w:rFonts w:ascii="Arial" w:eastAsia="Calibri" w:hAnsi="Arial" w:cs="Arial"/>
          <w:b/>
          <w:sz w:val="20"/>
        </w:rPr>
        <w:t xml:space="preserve">diciembre </w:t>
      </w:r>
      <w:r w:rsidRPr="00701F32">
        <w:rPr>
          <w:rFonts w:ascii="Arial" w:eastAsia="Calibri" w:hAnsi="Arial" w:cs="Arial"/>
          <w:b/>
          <w:sz w:val="20"/>
        </w:rPr>
        <w:t>de 2017</w:t>
      </w:r>
    </w:p>
    <w:tbl>
      <w:tblPr>
        <w:tblStyle w:val="GridTable1Light1"/>
        <w:tblW w:w="0" w:type="auto"/>
        <w:jc w:val="center"/>
        <w:tblLook w:val="04A0" w:firstRow="1" w:lastRow="0" w:firstColumn="1" w:lastColumn="0" w:noHBand="0" w:noVBand="1"/>
      </w:tblPr>
      <w:tblGrid>
        <w:gridCol w:w="2696"/>
        <w:gridCol w:w="2895"/>
      </w:tblGrid>
      <w:tr w:rsidR="00F67954" w:rsidRPr="00701F32" w14:paraId="42F2B8EA" w14:textId="77777777" w:rsidTr="008628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auto"/>
              <w:left w:val="single" w:sz="4" w:space="0" w:color="auto"/>
              <w:bottom w:val="single" w:sz="4" w:space="0" w:color="auto"/>
              <w:right w:val="single" w:sz="4" w:space="0" w:color="auto"/>
            </w:tcBorders>
          </w:tcPr>
          <w:p w14:paraId="226038A1" w14:textId="77777777" w:rsidR="00F67954" w:rsidRPr="00701F32" w:rsidRDefault="00F67954" w:rsidP="00464C0F">
            <w:pPr>
              <w:jc w:val="center"/>
              <w:rPr>
                <w:rFonts w:ascii="Arial" w:hAnsi="Arial" w:cs="Arial"/>
                <w:sz w:val="20"/>
              </w:rPr>
            </w:pPr>
          </w:p>
        </w:tc>
        <w:tc>
          <w:tcPr>
            <w:tcW w:w="2895" w:type="dxa"/>
            <w:tcBorders>
              <w:top w:val="single" w:sz="4" w:space="0" w:color="auto"/>
              <w:left w:val="nil"/>
              <w:bottom w:val="single" w:sz="4" w:space="0" w:color="auto"/>
              <w:right w:val="single" w:sz="4" w:space="0" w:color="auto"/>
            </w:tcBorders>
          </w:tcPr>
          <w:p w14:paraId="60694E6E" w14:textId="77777777" w:rsidR="00F67954" w:rsidRPr="00701F32" w:rsidRDefault="00F67954"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Programas y aplicaciones informáticas</w:t>
            </w:r>
          </w:p>
        </w:tc>
      </w:tr>
      <w:tr w:rsidR="00F67954" w:rsidRPr="00701F32" w14:paraId="32449217"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auto"/>
              <w:left w:val="single" w:sz="4" w:space="0" w:color="auto"/>
              <w:bottom w:val="single" w:sz="4" w:space="0" w:color="auto"/>
              <w:right w:val="single" w:sz="4" w:space="0" w:color="auto"/>
            </w:tcBorders>
          </w:tcPr>
          <w:p w14:paraId="74ACB282" w14:textId="77777777" w:rsidR="00F67954" w:rsidRPr="00701F32" w:rsidRDefault="00F67954" w:rsidP="00464C0F">
            <w:pPr>
              <w:jc w:val="both"/>
              <w:rPr>
                <w:rFonts w:ascii="Arial" w:hAnsi="Arial" w:cs="Arial"/>
                <w:sz w:val="20"/>
              </w:rPr>
            </w:pPr>
            <w:r w:rsidRPr="00701F32">
              <w:rPr>
                <w:rFonts w:ascii="Arial" w:hAnsi="Arial" w:cs="Arial"/>
                <w:sz w:val="20"/>
              </w:rPr>
              <w:t>Vida útil definida</w:t>
            </w:r>
          </w:p>
        </w:tc>
        <w:tc>
          <w:tcPr>
            <w:tcW w:w="2895" w:type="dxa"/>
            <w:tcBorders>
              <w:top w:val="single" w:sz="4" w:space="0" w:color="auto"/>
              <w:left w:val="nil"/>
              <w:bottom w:val="single" w:sz="4" w:space="0" w:color="auto"/>
              <w:right w:val="single" w:sz="4" w:space="0" w:color="auto"/>
            </w:tcBorders>
          </w:tcPr>
          <w:p w14:paraId="20492CB3" w14:textId="77777777" w:rsidR="00F67954" w:rsidRPr="00701F32" w:rsidRDefault="00F6795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3 años</w:t>
            </w:r>
          </w:p>
        </w:tc>
      </w:tr>
      <w:tr w:rsidR="00F67954" w:rsidRPr="00701F32" w14:paraId="21CCBA4C" w14:textId="77777777" w:rsidTr="0086282C">
        <w:trPr>
          <w:jc w:val="center"/>
        </w:trPr>
        <w:tc>
          <w:tcPr>
            <w:cnfStyle w:val="001000000000" w:firstRow="0" w:lastRow="0" w:firstColumn="1" w:lastColumn="0" w:oddVBand="0" w:evenVBand="0" w:oddHBand="0" w:evenHBand="0" w:firstRowFirstColumn="0" w:firstRowLastColumn="0" w:lastRowFirstColumn="0" w:lastRowLastColumn="0"/>
            <w:tcW w:w="2696" w:type="dxa"/>
            <w:tcBorders>
              <w:top w:val="single" w:sz="4" w:space="0" w:color="auto"/>
              <w:left w:val="single" w:sz="4" w:space="0" w:color="auto"/>
              <w:bottom w:val="single" w:sz="4" w:space="0" w:color="auto"/>
              <w:right w:val="single" w:sz="4" w:space="0" w:color="auto"/>
            </w:tcBorders>
          </w:tcPr>
          <w:p w14:paraId="0BA545A4" w14:textId="77777777" w:rsidR="00F67954" w:rsidRPr="00701F32" w:rsidRDefault="00F67954" w:rsidP="00464C0F">
            <w:pPr>
              <w:jc w:val="both"/>
              <w:rPr>
                <w:rFonts w:ascii="Arial" w:hAnsi="Arial" w:cs="Arial"/>
                <w:sz w:val="20"/>
              </w:rPr>
            </w:pPr>
            <w:r w:rsidRPr="00701F32">
              <w:rPr>
                <w:rFonts w:ascii="Arial" w:hAnsi="Arial" w:cs="Arial"/>
                <w:sz w:val="20"/>
              </w:rPr>
              <w:t>Método de depreciación</w:t>
            </w:r>
          </w:p>
        </w:tc>
        <w:tc>
          <w:tcPr>
            <w:tcW w:w="2895" w:type="dxa"/>
            <w:tcBorders>
              <w:top w:val="single" w:sz="4" w:space="0" w:color="auto"/>
              <w:left w:val="nil"/>
              <w:bottom w:val="single" w:sz="4" w:space="0" w:color="auto"/>
              <w:right w:val="single" w:sz="4" w:space="0" w:color="auto"/>
            </w:tcBorders>
          </w:tcPr>
          <w:p w14:paraId="5E6D4A6A" w14:textId="77777777" w:rsidR="00F67954" w:rsidRPr="00701F32" w:rsidRDefault="00F67954"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Línea recta</w:t>
            </w:r>
          </w:p>
        </w:tc>
      </w:tr>
    </w:tbl>
    <w:p w14:paraId="7E63DEF7" w14:textId="77777777" w:rsidR="00F67954" w:rsidRPr="00701F32" w:rsidRDefault="00F67954" w:rsidP="00E07294">
      <w:pPr>
        <w:jc w:val="both"/>
        <w:rPr>
          <w:rFonts w:ascii="Arial" w:eastAsia="Arial" w:hAnsi="Arial" w:cs="Arial"/>
          <w:bCs/>
          <w:noProof/>
          <w:color w:val="000000"/>
          <w:sz w:val="20"/>
        </w:rPr>
      </w:pPr>
    </w:p>
    <w:p w14:paraId="586DB6F8" w14:textId="77777777" w:rsidR="00E07294" w:rsidRPr="00701F32" w:rsidRDefault="00AF3A00" w:rsidP="00E07294">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E07294" w:rsidRPr="00701F32">
        <w:rPr>
          <w:rFonts w:ascii="Arial" w:hAnsi="Arial" w:cs="Arial"/>
          <w:b/>
          <w:noProof/>
          <w:sz w:val="20"/>
        </w:rPr>
        <w:t>.1</w:t>
      </w:r>
      <w:r w:rsidR="00D2026A" w:rsidRPr="00701F32">
        <w:rPr>
          <w:rFonts w:ascii="Arial" w:hAnsi="Arial" w:cs="Arial"/>
          <w:b/>
          <w:noProof/>
          <w:sz w:val="20"/>
        </w:rPr>
        <w:t>1</w:t>
      </w:r>
      <w:r w:rsidR="00E07294" w:rsidRPr="00701F32">
        <w:rPr>
          <w:rFonts w:ascii="Arial" w:hAnsi="Arial" w:cs="Arial"/>
          <w:b/>
          <w:noProof/>
          <w:sz w:val="20"/>
        </w:rPr>
        <w:t xml:space="preserve"> Interés no controlante </w:t>
      </w:r>
    </w:p>
    <w:p w14:paraId="04113113" w14:textId="77777777" w:rsidR="00E07294" w:rsidRPr="00701F32" w:rsidRDefault="00E07294" w:rsidP="00E07294">
      <w:pPr>
        <w:widowControl w:val="0"/>
        <w:autoSpaceDE w:val="0"/>
        <w:autoSpaceDN w:val="0"/>
        <w:adjustRightInd w:val="0"/>
        <w:jc w:val="both"/>
        <w:rPr>
          <w:rFonts w:ascii="Arial" w:hAnsi="Arial" w:cs="Arial"/>
          <w:b/>
          <w:noProof/>
          <w:sz w:val="20"/>
        </w:rPr>
      </w:pPr>
    </w:p>
    <w:p w14:paraId="22944560" w14:textId="77777777" w:rsidR="00E07294" w:rsidRPr="00701F32" w:rsidRDefault="00E07294" w:rsidP="00E07294">
      <w:pPr>
        <w:widowControl w:val="0"/>
        <w:autoSpaceDE w:val="0"/>
        <w:autoSpaceDN w:val="0"/>
        <w:adjustRightInd w:val="0"/>
        <w:jc w:val="both"/>
        <w:rPr>
          <w:rFonts w:ascii="Arial" w:hAnsi="Arial" w:cs="Arial"/>
          <w:noProof/>
          <w:sz w:val="20"/>
        </w:rPr>
      </w:pPr>
      <w:r w:rsidRPr="00701F32">
        <w:rPr>
          <w:rFonts w:ascii="Arial" w:hAnsi="Arial" w:cs="Arial"/>
          <w:noProof/>
          <w:sz w:val="20"/>
        </w:rPr>
        <w:t>Los movimientos del interés no controlante significativos de la Entidad al 31 de diciembre de 2017 fueron los siguientes:</w:t>
      </w:r>
    </w:p>
    <w:p w14:paraId="2D363271" w14:textId="77777777" w:rsidR="00E07294" w:rsidRPr="00701F32" w:rsidRDefault="00E07294" w:rsidP="00E07294">
      <w:pPr>
        <w:widowControl w:val="0"/>
        <w:autoSpaceDE w:val="0"/>
        <w:autoSpaceDN w:val="0"/>
        <w:adjustRightInd w:val="0"/>
        <w:jc w:val="both"/>
        <w:rPr>
          <w:rFonts w:ascii="Arial" w:hAnsi="Arial" w:cs="Arial"/>
          <w:b/>
          <w:noProof/>
          <w:sz w:val="20"/>
        </w:rPr>
      </w:pPr>
    </w:p>
    <w:tbl>
      <w:tblPr>
        <w:tblW w:w="3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092"/>
        <w:gridCol w:w="1563"/>
      </w:tblGrid>
      <w:tr w:rsidR="00E07294" w:rsidRPr="00701F32" w14:paraId="1646AE5F" w14:textId="77777777" w:rsidTr="0086282C">
        <w:trPr>
          <w:tblHeader/>
          <w:jc w:val="center"/>
        </w:trPr>
        <w:tc>
          <w:tcPr>
            <w:tcW w:w="3826" w:type="pct"/>
          </w:tcPr>
          <w:p w14:paraId="1339E63B" w14:textId="77777777" w:rsidR="00E07294" w:rsidRPr="00701F32" w:rsidRDefault="00E07294" w:rsidP="00464C0F">
            <w:pPr>
              <w:spacing w:line="259" w:lineRule="auto"/>
              <w:jc w:val="both"/>
              <w:rPr>
                <w:rFonts w:ascii="Arial" w:eastAsia="Arial" w:hAnsi="Arial" w:cs="Arial"/>
                <w:b/>
                <w:sz w:val="20"/>
              </w:rPr>
            </w:pPr>
            <w:r w:rsidRPr="00701F32">
              <w:rPr>
                <w:rFonts w:ascii="Arial" w:eastAsia="Arial" w:hAnsi="Arial" w:cs="Arial"/>
                <w:b/>
                <w:sz w:val="20"/>
              </w:rPr>
              <w:t> </w:t>
            </w:r>
          </w:p>
        </w:tc>
        <w:tc>
          <w:tcPr>
            <w:tcW w:w="1174" w:type="pct"/>
          </w:tcPr>
          <w:p w14:paraId="2F421C5B" w14:textId="77777777" w:rsidR="00E07294" w:rsidRPr="00701F32" w:rsidRDefault="00E07294" w:rsidP="0086282C">
            <w:pPr>
              <w:jc w:val="center"/>
              <w:rPr>
                <w:rFonts w:ascii="Arial" w:eastAsia="SimSun" w:hAnsi="Arial" w:cs="Arial"/>
                <w:b/>
                <w:bCs/>
                <w:sz w:val="20"/>
                <w:lang w:eastAsia="zh-CN"/>
              </w:rPr>
            </w:pPr>
            <w:r w:rsidRPr="00701F32">
              <w:rPr>
                <w:rFonts w:ascii="Arial" w:eastAsia="SimSun" w:hAnsi="Arial" w:cs="Arial"/>
                <w:b/>
                <w:bCs/>
                <w:sz w:val="20"/>
                <w:lang w:eastAsia="zh-CN"/>
              </w:rPr>
              <w:t>31/12/2017</w:t>
            </w:r>
          </w:p>
        </w:tc>
      </w:tr>
      <w:tr w:rsidR="00E07294" w:rsidRPr="00701F32" w14:paraId="67D716E4" w14:textId="77777777" w:rsidTr="0086282C">
        <w:trPr>
          <w:jc w:val="center"/>
        </w:trPr>
        <w:tc>
          <w:tcPr>
            <w:tcW w:w="3826" w:type="pct"/>
            <w:vAlign w:val="bottom"/>
          </w:tcPr>
          <w:p w14:paraId="309C27C9" w14:textId="77777777" w:rsidR="00E07294" w:rsidRPr="00701F32" w:rsidRDefault="00E07294" w:rsidP="00464C0F">
            <w:pPr>
              <w:jc w:val="both"/>
              <w:rPr>
                <w:rFonts w:ascii="Arial" w:eastAsia="SimSun" w:hAnsi="Arial" w:cs="Arial"/>
                <w:sz w:val="20"/>
                <w:lang w:eastAsia="zh-CN"/>
              </w:rPr>
            </w:pPr>
            <w:r w:rsidRPr="00701F32">
              <w:rPr>
                <w:rFonts w:ascii="Arial" w:eastAsia="SimSun" w:hAnsi="Arial" w:cs="Arial"/>
                <w:b/>
                <w:bCs/>
                <w:sz w:val="20"/>
                <w:lang w:eastAsia="zh-CN"/>
              </w:rPr>
              <w:t>Saldo al inicio</w:t>
            </w:r>
          </w:p>
        </w:tc>
        <w:tc>
          <w:tcPr>
            <w:tcW w:w="1174" w:type="pct"/>
            <w:vAlign w:val="bottom"/>
          </w:tcPr>
          <w:p w14:paraId="71AF297A"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120.533</w:t>
            </w:r>
          </w:p>
        </w:tc>
      </w:tr>
      <w:tr w:rsidR="00E07294" w:rsidRPr="00701F32" w14:paraId="50A39BDF" w14:textId="77777777" w:rsidTr="0086282C">
        <w:trPr>
          <w:jc w:val="center"/>
        </w:trPr>
        <w:tc>
          <w:tcPr>
            <w:tcW w:w="3826" w:type="pct"/>
            <w:vAlign w:val="center"/>
          </w:tcPr>
          <w:p w14:paraId="4196267C" w14:textId="77777777" w:rsidR="00E07294" w:rsidRPr="00701F32" w:rsidRDefault="00E07294" w:rsidP="00464C0F">
            <w:pPr>
              <w:jc w:val="both"/>
              <w:rPr>
                <w:rFonts w:ascii="Arial" w:hAnsi="Arial" w:cs="Arial"/>
                <w:color w:val="000000"/>
                <w:sz w:val="20"/>
              </w:rPr>
            </w:pPr>
            <w:r w:rsidRPr="00701F32">
              <w:rPr>
                <w:rFonts w:ascii="Arial" w:hAnsi="Arial" w:cs="Arial"/>
                <w:color w:val="000000"/>
                <w:sz w:val="20"/>
              </w:rPr>
              <w:t>Participación neta en las ganancias del ejercicio</w:t>
            </w:r>
          </w:p>
        </w:tc>
        <w:tc>
          <w:tcPr>
            <w:tcW w:w="1174" w:type="pct"/>
            <w:vAlign w:val="bottom"/>
          </w:tcPr>
          <w:p w14:paraId="384F2DFA" w14:textId="48B40D44" w:rsidR="00E07294" w:rsidRPr="00701F32" w:rsidRDefault="00E07294" w:rsidP="006C6007">
            <w:pPr>
              <w:jc w:val="right"/>
              <w:rPr>
                <w:rFonts w:ascii="Arial" w:hAnsi="Arial" w:cs="Arial"/>
                <w:color w:val="000000"/>
                <w:sz w:val="20"/>
              </w:rPr>
            </w:pPr>
            <w:r w:rsidRPr="00701F32">
              <w:rPr>
                <w:rFonts w:ascii="Arial" w:hAnsi="Arial" w:cs="Arial"/>
                <w:color w:val="000000"/>
                <w:sz w:val="20"/>
              </w:rPr>
              <w:t>40.4</w:t>
            </w:r>
            <w:r w:rsidR="006C6007" w:rsidRPr="00701F32">
              <w:rPr>
                <w:rFonts w:ascii="Arial" w:hAnsi="Arial" w:cs="Arial"/>
                <w:color w:val="000000"/>
                <w:sz w:val="20"/>
              </w:rPr>
              <w:t>55</w:t>
            </w:r>
          </w:p>
        </w:tc>
      </w:tr>
      <w:tr w:rsidR="00E07294" w:rsidRPr="00701F32" w14:paraId="295CEE98" w14:textId="77777777" w:rsidTr="0086282C">
        <w:trPr>
          <w:jc w:val="center"/>
        </w:trPr>
        <w:tc>
          <w:tcPr>
            <w:tcW w:w="3826" w:type="pct"/>
            <w:vAlign w:val="center"/>
          </w:tcPr>
          <w:p w14:paraId="2F9FA1DD" w14:textId="77777777" w:rsidR="00E07294" w:rsidRPr="00701F32" w:rsidRDefault="00E07294" w:rsidP="00464C0F">
            <w:pPr>
              <w:jc w:val="both"/>
              <w:rPr>
                <w:rFonts w:ascii="Arial" w:hAnsi="Arial" w:cs="Arial"/>
                <w:color w:val="000000"/>
                <w:sz w:val="20"/>
              </w:rPr>
            </w:pPr>
            <w:r w:rsidRPr="00701F32">
              <w:rPr>
                <w:rFonts w:ascii="Arial" w:hAnsi="Arial" w:cs="Arial"/>
                <w:color w:val="000000"/>
                <w:sz w:val="20"/>
              </w:rPr>
              <w:t>Incorporación neta de sociedades estructuradas</w:t>
            </w:r>
          </w:p>
        </w:tc>
        <w:tc>
          <w:tcPr>
            <w:tcW w:w="1174" w:type="pct"/>
            <w:vAlign w:val="bottom"/>
          </w:tcPr>
          <w:p w14:paraId="1A116BB0" w14:textId="3E6DBF0C" w:rsidR="00E07294" w:rsidRPr="00701F32" w:rsidRDefault="00E07294" w:rsidP="006C6007">
            <w:pPr>
              <w:jc w:val="right"/>
              <w:rPr>
                <w:rFonts w:ascii="Arial" w:hAnsi="Arial" w:cs="Arial"/>
                <w:color w:val="000000"/>
                <w:sz w:val="20"/>
              </w:rPr>
            </w:pPr>
            <w:r w:rsidRPr="00701F32">
              <w:rPr>
                <w:rFonts w:ascii="Arial" w:hAnsi="Arial" w:cs="Arial"/>
                <w:color w:val="000000"/>
                <w:sz w:val="20"/>
              </w:rPr>
              <w:t>53.</w:t>
            </w:r>
            <w:r w:rsidR="006C6007" w:rsidRPr="00701F32">
              <w:rPr>
                <w:rFonts w:ascii="Arial" w:hAnsi="Arial" w:cs="Arial"/>
                <w:color w:val="000000"/>
                <w:sz w:val="20"/>
              </w:rPr>
              <w:t>785</w:t>
            </w:r>
          </w:p>
        </w:tc>
      </w:tr>
      <w:tr w:rsidR="00E07294" w:rsidRPr="00701F32" w14:paraId="5F8ACD7A" w14:textId="77777777" w:rsidTr="0086282C">
        <w:trPr>
          <w:jc w:val="center"/>
        </w:trPr>
        <w:tc>
          <w:tcPr>
            <w:tcW w:w="3826" w:type="pct"/>
            <w:vAlign w:val="bottom"/>
          </w:tcPr>
          <w:p w14:paraId="6D3A04C6" w14:textId="77777777" w:rsidR="00E07294" w:rsidRPr="00701F32" w:rsidRDefault="00E07294" w:rsidP="00464C0F">
            <w:pPr>
              <w:jc w:val="both"/>
              <w:rPr>
                <w:rFonts w:ascii="Arial" w:eastAsia="SimSun" w:hAnsi="Arial" w:cs="Arial"/>
                <w:sz w:val="20"/>
                <w:lang w:eastAsia="zh-CN"/>
              </w:rPr>
            </w:pPr>
            <w:r w:rsidRPr="00701F32">
              <w:rPr>
                <w:rFonts w:ascii="Arial" w:eastAsia="SimSun" w:hAnsi="Arial" w:cs="Arial"/>
                <w:b/>
                <w:bCs/>
                <w:sz w:val="20"/>
                <w:lang w:eastAsia="zh-CN"/>
              </w:rPr>
              <w:t>Saldo al cierre</w:t>
            </w:r>
          </w:p>
        </w:tc>
        <w:tc>
          <w:tcPr>
            <w:tcW w:w="1174" w:type="pct"/>
            <w:vAlign w:val="bottom"/>
          </w:tcPr>
          <w:p w14:paraId="65D60BAD" w14:textId="134704EE" w:rsidR="00E07294" w:rsidRPr="00701F32" w:rsidRDefault="00E07294" w:rsidP="006C6007">
            <w:pPr>
              <w:jc w:val="right"/>
              <w:rPr>
                <w:rFonts w:ascii="Arial" w:hAnsi="Arial" w:cs="Arial"/>
                <w:b/>
                <w:color w:val="000000"/>
                <w:sz w:val="20"/>
              </w:rPr>
            </w:pPr>
            <w:r w:rsidRPr="00701F32">
              <w:rPr>
                <w:rFonts w:ascii="Arial" w:hAnsi="Arial" w:cs="Arial"/>
                <w:b/>
                <w:color w:val="000000"/>
                <w:sz w:val="20"/>
              </w:rPr>
              <w:t>214.</w:t>
            </w:r>
            <w:r w:rsidR="006C6007" w:rsidRPr="00701F32">
              <w:rPr>
                <w:rFonts w:ascii="Arial" w:hAnsi="Arial" w:cs="Arial"/>
                <w:b/>
                <w:color w:val="000000"/>
                <w:sz w:val="20"/>
              </w:rPr>
              <w:t>773</w:t>
            </w:r>
          </w:p>
        </w:tc>
      </w:tr>
    </w:tbl>
    <w:p w14:paraId="6AF9B528" w14:textId="77777777" w:rsidR="00E07294" w:rsidRPr="00701F32" w:rsidRDefault="00E07294" w:rsidP="00E07294">
      <w:pPr>
        <w:tabs>
          <w:tab w:val="left" w:pos="2858"/>
        </w:tabs>
        <w:ind w:left="502" w:hanging="502"/>
        <w:jc w:val="both"/>
        <w:rPr>
          <w:rFonts w:ascii="Arial" w:eastAsia="Calibri" w:hAnsi="Arial" w:cs="Arial"/>
          <w:noProof/>
          <w:sz w:val="20"/>
        </w:rPr>
      </w:pPr>
    </w:p>
    <w:p w14:paraId="25652D34" w14:textId="54B93C59" w:rsidR="00E07294" w:rsidRPr="00701F32" w:rsidRDefault="00E07294" w:rsidP="00E07294">
      <w:pPr>
        <w:tabs>
          <w:tab w:val="left" w:pos="2858"/>
        </w:tabs>
        <w:jc w:val="both"/>
        <w:rPr>
          <w:rFonts w:ascii="Arial" w:eastAsia="Calibri" w:hAnsi="Arial" w:cs="Arial"/>
          <w:noProof/>
          <w:sz w:val="20"/>
        </w:rPr>
      </w:pPr>
      <w:r w:rsidRPr="00701F32">
        <w:rPr>
          <w:rFonts w:ascii="Arial" w:eastAsia="Calibri" w:hAnsi="Arial" w:cs="Arial"/>
          <w:noProof/>
          <w:sz w:val="20"/>
        </w:rPr>
        <w:t>A continuación, se presenta un</w:t>
      </w:r>
      <w:r w:rsidR="00711FF0" w:rsidRPr="00701F32">
        <w:rPr>
          <w:rFonts w:ascii="Arial" w:eastAsia="Calibri" w:hAnsi="Arial" w:cs="Arial"/>
          <w:noProof/>
          <w:sz w:val="20"/>
        </w:rPr>
        <w:t xml:space="preserve"> detalle </w:t>
      </w:r>
      <w:r w:rsidRPr="00701F32">
        <w:rPr>
          <w:rFonts w:ascii="Arial" w:eastAsia="Calibri" w:hAnsi="Arial" w:cs="Arial"/>
          <w:noProof/>
          <w:sz w:val="20"/>
        </w:rPr>
        <w:t>de la información financiera resumida de las inversiones en las asociadas generadoras del interés no controlante:</w:t>
      </w:r>
    </w:p>
    <w:p w14:paraId="3583E1A2" w14:textId="77777777" w:rsidR="00E07294" w:rsidRPr="00701F32" w:rsidRDefault="00E07294" w:rsidP="00E07294">
      <w:pPr>
        <w:widowControl w:val="0"/>
        <w:autoSpaceDE w:val="0"/>
        <w:autoSpaceDN w:val="0"/>
        <w:adjustRightInd w:val="0"/>
        <w:jc w:val="both"/>
        <w:rPr>
          <w:rFonts w:ascii="Arial" w:hAnsi="Arial" w:cs="Arial"/>
          <w:b/>
          <w:noProof/>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582"/>
        <w:gridCol w:w="2126"/>
      </w:tblGrid>
      <w:tr w:rsidR="00E07294" w:rsidRPr="00701F32" w14:paraId="39312D36" w14:textId="77777777" w:rsidTr="00941382">
        <w:trPr>
          <w:tblHeader/>
          <w:jc w:val="center"/>
        </w:trPr>
        <w:tc>
          <w:tcPr>
            <w:tcW w:w="2521" w:type="dxa"/>
          </w:tcPr>
          <w:p w14:paraId="1F73D11B" w14:textId="77777777" w:rsidR="00E07294" w:rsidRPr="00701F32" w:rsidRDefault="00E07294" w:rsidP="00464C0F">
            <w:pPr>
              <w:spacing w:line="259" w:lineRule="auto"/>
              <w:jc w:val="center"/>
              <w:rPr>
                <w:rFonts w:ascii="Arial" w:eastAsia="Arial" w:hAnsi="Arial" w:cs="Arial"/>
                <w:b/>
                <w:sz w:val="20"/>
              </w:rPr>
            </w:pPr>
          </w:p>
        </w:tc>
        <w:tc>
          <w:tcPr>
            <w:tcW w:w="2582" w:type="dxa"/>
            <w:vAlign w:val="center"/>
          </w:tcPr>
          <w:p w14:paraId="3929B6B3" w14:textId="77777777" w:rsidR="00E07294" w:rsidRPr="00701F32" w:rsidRDefault="00E07294" w:rsidP="00464C0F">
            <w:pPr>
              <w:spacing w:line="259" w:lineRule="auto"/>
              <w:jc w:val="center"/>
              <w:rPr>
                <w:rFonts w:ascii="Arial" w:eastAsia="Arial" w:hAnsi="Arial" w:cs="Arial"/>
                <w:b/>
                <w:sz w:val="20"/>
              </w:rPr>
            </w:pPr>
            <w:r w:rsidRPr="00701F32">
              <w:rPr>
                <w:rFonts w:ascii="Arial" w:eastAsia="Arial" w:hAnsi="Arial" w:cs="Arial"/>
                <w:b/>
                <w:sz w:val="20"/>
              </w:rPr>
              <w:t>Cordial Compañía Financiera S.A.</w:t>
            </w:r>
          </w:p>
        </w:tc>
        <w:tc>
          <w:tcPr>
            <w:tcW w:w="2126" w:type="dxa"/>
            <w:vAlign w:val="center"/>
          </w:tcPr>
          <w:p w14:paraId="1052CC38" w14:textId="77777777" w:rsidR="00E07294" w:rsidRPr="00701F32" w:rsidRDefault="00284C69" w:rsidP="00464C0F">
            <w:pPr>
              <w:spacing w:line="259" w:lineRule="auto"/>
              <w:jc w:val="center"/>
              <w:rPr>
                <w:rFonts w:ascii="Arial" w:eastAsia="Arial" w:hAnsi="Arial" w:cs="Arial"/>
                <w:b/>
                <w:sz w:val="20"/>
              </w:rPr>
            </w:pPr>
            <w:r w:rsidRPr="00701F32">
              <w:rPr>
                <w:rFonts w:ascii="Arial" w:eastAsia="Arial" w:hAnsi="Arial" w:cs="Arial"/>
                <w:b/>
                <w:sz w:val="20"/>
              </w:rPr>
              <w:t>Fideicomisos</w:t>
            </w:r>
          </w:p>
          <w:p w14:paraId="537135FE" w14:textId="77777777" w:rsidR="00284C69" w:rsidRPr="00701F32" w:rsidRDefault="00284C69" w:rsidP="00464C0F">
            <w:pPr>
              <w:spacing w:line="259" w:lineRule="auto"/>
              <w:jc w:val="center"/>
              <w:rPr>
                <w:rFonts w:ascii="Arial" w:eastAsia="Arial" w:hAnsi="Arial" w:cs="Arial"/>
                <w:b/>
                <w:sz w:val="20"/>
              </w:rPr>
            </w:pPr>
            <w:r w:rsidRPr="00701F32">
              <w:rPr>
                <w:rFonts w:ascii="Arial" w:eastAsia="Arial" w:hAnsi="Arial" w:cs="Arial"/>
                <w:b/>
                <w:sz w:val="20"/>
              </w:rPr>
              <w:t>Financieros</w:t>
            </w:r>
          </w:p>
        </w:tc>
      </w:tr>
      <w:tr w:rsidR="00E07294" w:rsidRPr="00701F32" w14:paraId="7D88BAB4" w14:textId="77777777" w:rsidTr="0086282C">
        <w:trPr>
          <w:jc w:val="center"/>
        </w:trPr>
        <w:tc>
          <w:tcPr>
            <w:tcW w:w="2521" w:type="dxa"/>
          </w:tcPr>
          <w:p w14:paraId="2EA04596" w14:textId="77777777" w:rsidR="00E07294" w:rsidRPr="00701F32" w:rsidRDefault="00E07294" w:rsidP="00464C0F">
            <w:pPr>
              <w:spacing w:line="259" w:lineRule="auto"/>
              <w:rPr>
                <w:rFonts w:ascii="Arial" w:eastAsia="Arial" w:hAnsi="Arial" w:cs="Arial"/>
                <w:sz w:val="20"/>
              </w:rPr>
            </w:pPr>
            <w:r w:rsidRPr="00701F32">
              <w:rPr>
                <w:rFonts w:ascii="Arial" w:eastAsia="Arial" w:hAnsi="Arial" w:cs="Arial"/>
                <w:sz w:val="20"/>
              </w:rPr>
              <w:t>Activo Total</w:t>
            </w:r>
          </w:p>
        </w:tc>
        <w:tc>
          <w:tcPr>
            <w:tcW w:w="2582" w:type="dxa"/>
            <w:vAlign w:val="bottom"/>
          </w:tcPr>
          <w:p w14:paraId="559A6495"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7.948.135</w:t>
            </w:r>
          </w:p>
        </w:tc>
        <w:tc>
          <w:tcPr>
            <w:tcW w:w="2126" w:type="dxa"/>
            <w:vAlign w:val="bottom"/>
          </w:tcPr>
          <w:p w14:paraId="1F1180D9"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624.020</w:t>
            </w:r>
          </w:p>
        </w:tc>
      </w:tr>
      <w:tr w:rsidR="00E07294" w:rsidRPr="00701F32" w14:paraId="69225B48" w14:textId="77777777" w:rsidTr="0086282C">
        <w:trPr>
          <w:jc w:val="center"/>
        </w:trPr>
        <w:tc>
          <w:tcPr>
            <w:tcW w:w="2521" w:type="dxa"/>
          </w:tcPr>
          <w:p w14:paraId="016F7C3D" w14:textId="77777777" w:rsidR="00E07294" w:rsidRPr="00701F32" w:rsidRDefault="00E07294" w:rsidP="00464C0F">
            <w:pPr>
              <w:spacing w:line="259" w:lineRule="auto"/>
              <w:rPr>
                <w:rFonts w:ascii="Arial" w:eastAsia="Arial" w:hAnsi="Arial" w:cs="Arial"/>
                <w:sz w:val="20"/>
              </w:rPr>
            </w:pPr>
            <w:r w:rsidRPr="00701F32">
              <w:rPr>
                <w:rFonts w:ascii="Arial" w:eastAsia="Arial" w:hAnsi="Arial" w:cs="Arial"/>
                <w:sz w:val="20"/>
              </w:rPr>
              <w:t>Pasivo Total</w:t>
            </w:r>
          </w:p>
        </w:tc>
        <w:tc>
          <w:tcPr>
            <w:tcW w:w="2582" w:type="dxa"/>
            <w:vAlign w:val="bottom"/>
          </w:tcPr>
          <w:p w14:paraId="2CFDD28E"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6.452.289</w:t>
            </w:r>
          </w:p>
        </w:tc>
        <w:tc>
          <w:tcPr>
            <w:tcW w:w="2126" w:type="dxa"/>
            <w:vAlign w:val="bottom"/>
          </w:tcPr>
          <w:p w14:paraId="20835360"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484.022</w:t>
            </w:r>
          </w:p>
        </w:tc>
      </w:tr>
      <w:tr w:rsidR="00E07294" w:rsidRPr="00701F32" w14:paraId="25147E25" w14:textId="77777777" w:rsidTr="0086282C">
        <w:trPr>
          <w:jc w:val="center"/>
        </w:trPr>
        <w:tc>
          <w:tcPr>
            <w:tcW w:w="2521" w:type="dxa"/>
          </w:tcPr>
          <w:p w14:paraId="6614D3B3" w14:textId="77777777" w:rsidR="00E07294" w:rsidRPr="00701F32" w:rsidRDefault="00E07294" w:rsidP="00464C0F">
            <w:pPr>
              <w:spacing w:line="259" w:lineRule="auto"/>
              <w:rPr>
                <w:rFonts w:ascii="Arial" w:eastAsia="Arial" w:hAnsi="Arial" w:cs="Arial"/>
                <w:sz w:val="20"/>
              </w:rPr>
            </w:pPr>
            <w:r w:rsidRPr="00701F32">
              <w:rPr>
                <w:rFonts w:ascii="Arial" w:eastAsia="Arial" w:hAnsi="Arial" w:cs="Arial"/>
                <w:sz w:val="20"/>
              </w:rPr>
              <w:t>Patrimonio Neto</w:t>
            </w:r>
          </w:p>
        </w:tc>
        <w:tc>
          <w:tcPr>
            <w:tcW w:w="2582" w:type="dxa"/>
            <w:vAlign w:val="bottom"/>
          </w:tcPr>
          <w:p w14:paraId="480A69D2"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1.495.846</w:t>
            </w:r>
          </w:p>
        </w:tc>
        <w:tc>
          <w:tcPr>
            <w:tcW w:w="2126" w:type="dxa"/>
            <w:vAlign w:val="bottom"/>
          </w:tcPr>
          <w:p w14:paraId="528A776D"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139.998</w:t>
            </w:r>
          </w:p>
        </w:tc>
      </w:tr>
      <w:tr w:rsidR="00E07294" w:rsidRPr="00701F32" w14:paraId="720F862E" w14:textId="77777777" w:rsidTr="0086282C">
        <w:trPr>
          <w:jc w:val="center"/>
        </w:trPr>
        <w:tc>
          <w:tcPr>
            <w:tcW w:w="2521" w:type="dxa"/>
          </w:tcPr>
          <w:p w14:paraId="1E381A59" w14:textId="77777777" w:rsidR="00E07294" w:rsidRPr="00701F32" w:rsidRDefault="00E07294" w:rsidP="00464C0F">
            <w:pPr>
              <w:spacing w:line="259" w:lineRule="auto"/>
              <w:rPr>
                <w:rFonts w:ascii="Arial" w:eastAsia="Arial" w:hAnsi="Arial" w:cs="Arial"/>
                <w:sz w:val="20"/>
              </w:rPr>
            </w:pPr>
            <w:r w:rsidRPr="00701F32">
              <w:rPr>
                <w:rFonts w:ascii="Arial" w:eastAsia="Arial" w:hAnsi="Arial" w:cs="Arial"/>
                <w:sz w:val="20"/>
              </w:rPr>
              <w:t>Ingresos por actividades ordinarias</w:t>
            </w:r>
          </w:p>
        </w:tc>
        <w:tc>
          <w:tcPr>
            <w:tcW w:w="2582" w:type="dxa"/>
            <w:vAlign w:val="bottom"/>
          </w:tcPr>
          <w:p w14:paraId="6957980E" w14:textId="77777777" w:rsidR="00E07294" w:rsidRPr="00701F32" w:rsidRDefault="00E07294" w:rsidP="00C820AD">
            <w:pPr>
              <w:jc w:val="right"/>
              <w:rPr>
                <w:rFonts w:ascii="Arial" w:hAnsi="Arial" w:cs="Arial"/>
                <w:color w:val="000000"/>
                <w:sz w:val="20"/>
              </w:rPr>
            </w:pPr>
            <w:r w:rsidRPr="00701F32">
              <w:rPr>
                <w:rFonts w:ascii="Arial" w:hAnsi="Arial" w:cs="Arial"/>
                <w:color w:val="000000"/>
                <w:sz w:val="20"/>
              </w:rPr>
              <w:t>4.355.66</w:t>
            </w:r>
            <w:r w:rsidR="00C820AD" w:rsidRPr="00701F32">
              <w:rPr>
                <w:rFonts w:ascii="Arial" w:hAnsi="Arial" w:cs="Arial"/>
                <w:color w:val="000000"/>
                <w:sz w:val="20"/>
              </w:rPr>
              <w:t>6</w:t>
            </w:r>
          </w:p>
        </w:tc>
        <w:tc>
          <w:tcPr>
            <w:tcW w:w="2126" w:type="dxa"/>
            <w:vAlign w:val="bottom"/>
          </w:tcPr>
          <w:p w14:paraId="6071351D"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299.115</w:t>
            </w:r>
          </w:p>
        </w:tc>
      </w:tr>
      <w:tr w:rsidR="00E07294" w:rsidRPr="00701F32" w14:paraId="0056B396" w14:textId="77777777" w:rsidTr="0086282C">
        <w:trPr>
          <w:jc w:val="center"/>
        </w:trPr>
        <w:tc>
          <w:tcPr>
            <w:tcW w:w="2521" w:type="dxa"/>
          </w:tcPr>
          <w:p w14:paraId="589B7B16" w14:textId="77777777" w:rsidR="00E07294" w:rsidRPr="00701F32" w:rsidRDefault="00E07294">
            <w:pPr>
              <w:spacing w:line="259" w:lineRule="auto"/>
              <w:rPr>
                <w:rFonts w:ascii="Arial" w:eastAsia="Arial" w:hAnsi="Arial" w:cs="Arial"/>
                <w:sz w:val="20"/>
              </w:rPr>
            </w:pPr>
            <w:r w:rsidRPr="00701F32">
              <w:rPr>
                <w:rFonts w:ascii="Arial" w:eastAsia="Arial" w:hAnsi="Arial" w:cs="Arial"/>
                <w:sz w:val="20"/>
              </w:rPr>
              <w:t xml:space="preserve">Resultado del </w:t>
            </w:r>
            <w:r w:rsidR="00284C69" w:rsidRPr="00701F32">
              <w:rPr>
                <w:rFonts w:ascii="Arial" w:eastAsia="Arial" w:hAnsi="Arial" w:cs="Arial"/>
                <w:sz w:val="20"/>
              </w:rPr>
              <w:t>ejercicio</w:t>
            </w:r>
          </w:p>
        </w:tc>
        <w:tc>
          <w:tcPr>
            <w:tcW w:w="2582" w:type="dxa"/>
            <w:vAlign w:val="bottom"/>
          </w:tcPr>
          <w:p w14:paraId="5FCDD5E1" w14:textId="77777777" w:rsidR="00E07294" w:rsidRPr="00701F32" w:rsidRDefault="00E07294" w:rsidP="00C820AD">
            <w:pPr>
              <w:jc w:val="right"/>
              <w:rPr>
                <w:rFonts w:ascii="Arial" w:hAnsi="Arial" w:cs="Arial"/>
                <w:color w:val="000000"/>
                <w:sz w:val="20"/>
              </w:rPr>
            </w:pPr>
            <w:r w:rsidRPr="00701F32">
              <w:rPr>
                <w:rFonts w:ascii="Arial" w:hAnsi="Arial" w:cs="Arial"/>
                <w:color w:val="000000"/>
                <w:sz w:val="20"/>
              </w:rPr>
              <w:t>110.</w:t>
            </w:r>
            <w:r w:rsidR="00C820AD" w:rsidRPr="00701F32">
              <w:rPr>
                <w:rFonts w:ascii="Arial" w:hAnsi="Arial" w:cs="Arial"/>
                <w:color w:val="000000"/>
                <w:sz w:val="20"/>
              </w:rPr>
              <w:t>552</w:t>
            </w:r>
          </w:p>
        </w:tc>
        <w:tc>
          <w:tcPr>
            <w:tcW w:w="2126" w:type="dxa"/>
            <w:vAlign w:val="bottom"/>
          </w:tcPr>
          <w:p w14:paraId="7692FF3D"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51.953</w:t>
            </w:r>
          </w:p>
        </w:tc>
      </w:tr>
      <w:tr w:rsidR="00E07294" w:rsidRPr="00701F32" w14:paraId="5318E29D" w14:textId="77777777" w:rsidTr="0086282C">
        <w:trPr>
          <w:jc w:val="center"/>
        </w:trPr>
        <w:tc>
          <w:tcPr>
            <w:tcW w:w="2521" w:type="dxa"/>
          </w:tcPr>
          <w:p w14:paraId="19342EAD" w14:textId="77777777" w:rsidR="00E07294" w:rsidRPr="00701F32" w:rsidRDefault="00E07294" w:rsidP="00464C0F">
            <w:pPr>
              <w:spacing w:line="259" w:lineRule="auto"/>
              <w:rPr>
                <w:rFonts w:ascii="Arial" w:eastAsia="Arial" w:hAnsi="Arial" w:cs="Arial"/>
                <w:sz w:val="20"/>
              </w:rPr>
            </w:pPr>
            <w:r w:rsidRPr="00701F32">
              <w:rPr>
                <w:rFonts w:ascii="Arial" w:eastAsia="Arial" w:hAnsi="Arial" w:cs="Arial"/>
                <w:sz w:val="20"/>
              </w:rPr>
              <w:t>Resultado integral total</w:t>
            </w:r>
          </w:p>
        </w:tc>
        <w:tc>
          <w:tcPr>
            <w:tcW w:w="2582" w:type="dxa"/>
            <w:vAlign w:val="bottom"/>
          </w:tcPr>
          <w:p w14:paraId="01EF6AA2" w14:textId="77777777" w:rsidR="00E07294" w:rsidRPr="00701F32" w:rsidRDefault="00E07294" w:rsidP="00C820AD">
            <w:pPr>
              <w:jc w:val="right"/>
              <w:rPr>
                <w:rFonts w:ascii="Arial" w:hAnsi="Arial" w:cs="Arial"/>
                <w:color w:val="000000"/>
                <w:sz w:val="20"/>
              </w:rPr>
            </w:pPr>
            <w:r w:rsidRPr="00701F32">
              <w:rPr>
                <w:rFonts w:ascii="Arial" w:hAnsi="Arial" w:cs="Arial"/>
                <w:color w:val="000000"/>
                <w:sz w:val="20"/>
              </w:rPr>
              <w:t>110.</w:t>
            </w:r>
            <w:r w:rsidR="00C820AD" w:rsidRPr="00701F32">
              <w:rPr>
                <w:rFonts w:ascii="Arial" w:hAnsi="Arial" w:cs="Arial"/>
                <w:color w:val="000000"/>
                <w:sz w:val="20"/>
              </w:rPr>
              <w:t>552</w:t>
            </w:r>
          </w:p>
        </w:tc>
        <w:tc>
          <w:tcPr>
            <w:tcW w:w="2126" w:type="dxa"/>
            <w:vAlign w:val="bottom"/>
          </w:tcPr>
          <w:p w14:paraId="58DA8B25" w14:textId="77777777" w:rsidR="00E07294" w:rsidRPr="00701F32" w:rsidRDefault="00E07294" w:rsidP="00464C0F">
            <w:pPr>
              <w:jc w:val="right"/>
              <w:rPr>
                <w:rFonts w:ascii="Arial" w:hAnsi="Arial" w:cs="Arial"/>
                <w:color w:val="000000"/>
                <w:sz w:val="20"/>
              </w:rPr>
            </w:pPr>
            <w:r w:rsidRPr="00701F32">
              <w:rPr>
                <w:rFonts w:ascii="Arial" w:hAnsi="Arial" w:cs="Arial"/>
                <w:color w:val="000000"/>
                <w:sz w:val="20"/>
              </w:rPr>
              <w:t>51.953</w:t>
            </w:r>
          </w:p>
        </w:tc>
      </w:tr>
    </w:tbl>
    <w:p w14:paraId="1C756D9B" w14:textId="77777777" w:rsidR="00D766AC" w:rsidRPr="00701F32" w:rsidRDefault="00D766AC" w:rsidP="00E07294">
      <w:pPr>
        <w:jc w:val="both"/>
        <w:rPr>
          <w:rFonts w:ascii="Arial" w:eastAsia="Arial" w:hAnsi="Arial" w:cs="Arial"/>
          <w:bCs/>
          <w:noProof/>
          <w:color w:val="000000"/>
          <w:sz w:val="20"/>
        </w:rPr>
      </w:pPr>
    </w:p>
    <w:p w14:paraId="5FFA8F79" w14:textId="77777777" w:rsidR="00E07294" w:rsidRPr="00701F32" w:rsidRDefault="00AF3A00" w:rsidP="00712ADC">
      <w:pPr>
        <w:spacing w:after="160" w:line="259" w:lineRule="auto"/>
        <w:jc w:val="both"/>
        <w:rPr>
          <w:rFonts w:ascii="Arial" w:hAnsi="Arial" w:cs="Arial"/>
          <w:b/>
          <w:noProof/>
          <w:sz w:val="20"/>
        </w:rPr>
      </w:pPr>
      <w:r w:rsidRPr="00701F32">
        <w:rPr>
          <w:rFonts w:ascii="Arial" w:hAnsi="Arial" w:cs="Arial"/>
          <w:b/>
          <w:noProof/>
          <w:sz w:val="20"/>
        </w:rPr>
        <w:t>17</w:t>
      </w:r>
      <w:r w:rsidR="00E07294" w:rsidRPr="00701F32">
        <w:rPr>
          <w:rFonts w:ascii="Arial" w:hAnsi="Arial" w:cs="Arial"/>
          <w:b/>
          <w:noProof/>
          <w:sz w:val="20"/>
        </w:rPr>
        <w:t>.1</w:t>
      </w:r>
      <w:r w:rsidR="00D2026A" w:rsidRPr="00701F32">
        <w:rPr>
          <w:rFonts w:ascii="Arial" w:hAnsi="Arial" w:cs="Arial"/>
          <w:b/>
          <w:noProof/>
          <w:sz w:val="20"/>
        </w:rPr>
        <w:t>2</w:t>
      </w:r>
      <w:r w:rsidR="00E07294" w:rsidRPr="00701F32">
        <w:rPr>
          <w:rFonts w:ascii="Arial" w:hAnsi="Arial" w:cs="Arial"/>
          <w:b/>
          <w:noProof/>
          <w:sz w:val="20"/>
        </w:rPr>
        <w:t xml:space="preserve"> Obligaciones por beneficios de retiro del personal </w:t>
      </w:r>
    </w:p>
    <w:p w14:paraId="2A5F0FB1" w14:textId="77777777" w:rsidR="00E07294" w:rsidRPr="00701F32" w:rsidRDefault="00E07294" w:rsidP="00E07294">
      <w:pPr>
        <w:widowControl w:val="0"/>
        <w:autoSpaceDE w:val="0"/>
        <w:autoSpaceDN w:val="0"/>
        <w:adjustRightInd w:val="0"/>
        <w:jc w:val="both"/>
        <w:rPr>
          <w:rFonts w:ascii="Arial" w:hAnsi="Arial" w:cs="Arial"/>
          <w:noProof/>
          <w:sz w:val="20"/>
        </w:rPr>
      </w:pPr>
    </w:p>
    <w:p w14:paraId="1BE9C102" w14:textId="77777777" w:rsidR="00E07294" w:rsidRPr="00701F32" w:rsidRDefault="00284C69" w:rsidP="00E07294">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Al </w:t>
      </w:r>
      <w:r w:rsidR="00E07294" w:rsidRPr="00701F32">
        <w:rPr>
          <w:rFonts w:ascii="Arial" w:hAnsi="Arial" w:cs="Arial"/>
          <w:noProof/>
          <w:sz w:val="20"/>
        </w:rPr>
        <w:t xml:space="preserve">31 de diciembre de 2017 </w:t>
      </w:r>
      <w:r w:rsidRPr="00701F32">
        <w:rPr>
          <w:rFonts w:ascii="Arial" w:hAnsi="Arial" w:cs="Arial"/>
          <w:noProof/>
          <w:sz w:val="20"/>
        </w:rPr>
        <w:t>los saldos registrados por beneficios por planes de retiros del personal ascendían a 451.505</w:t>
      </w:r>
    </w:p>
    <w:p w14:paraId="719E3D0B" w14:textId="77777777" w:rsidR="00E07294" w:rsidRPr="00701F32" w:rsidRDefault="00E07294" w:rsidP="00E07294">
      <w:pPr>
        <w:spacing w:after="160" w:line="259" w:lineRule="auto"/>
        <w:jc w:val="both"/>
        <w:rPr>
          <w:rFonts w:ascii="Arial" w:eastAsia="Arial" w:hAnsi="Arial" w:cs="Arial"/>
          <w:sz w:val="20"/>
        </w:rPr>
      </w:pPr>
      <w:r w:rsidRPr="00701F32">
        <w:rPr>
          <w:rFonts w:ascii="Arial" w:eastAsia="Arial" w:hAnsi="Arial" w:cs="Arial"/>
          <w:sz w:val="20"/>
        </w:rPr>
        <w:t xml:space="preserve">El importe del </w:t>
      </w:r>
      <w:r w:rsidR="00284C69" w:rsidRPr="00701F32">
        <w:rPr>
          <w:rFonts w:ascii="Arial" w:eastAsia="Arial" w:hAnsi="Arial" w:cs="Arial"/>
          <w:sz w:val="20"/>
        </w:rPr>
        <w:t xml:space="preserve">ejercicio </w:t>
      </w:r>
      <w:r w:rsidRPr="00701F32">
        <w:rPr>
          <w:rFonts w:ascii="Arial" w:eastAsia="Arial" w:hAnsi="Arial" w:cs="Arial"/>
          <w:sz w:val="20"/>
        </w:rPr>
        <w:t xml:space="preserve">reconocido como gasto respecto de los beneficios de retiro del personal al 31 de diciembre de 2017 </w:t>
      </w:r>
      <w:r w:rsidR="00284C69" w:rsidRPr="00701F32">
        <w:rPr>
          <w:rFonts w:ascii="Arial" w:eastAsia="Arial" w:hAnsi="Arial" w:cs="Arial"/>
          <w:sz w:val="20"/>
        </w:rPr>
        <w:t>fue de 264.328.</w:t>
      </w:r>
    </w:p>
    <w:p w14:paraId="5E98CE99" w14:textId="77777777" w:rsidR="00E07294" w:rsidRPr="00701F32" w:rsidRDefault="00284C69" w:rsidP="0086282C">
      <w:pPr>
        <w:spacing w:after="160" w:line="259" w:lineRule="auto"/>
        <w:jc w:val="both"/>
        <w:rPr>
          <w:rFonts w:ascii="Arial" w:eastAsia="Arial" w:hAnsi="Arial" w:cs="Arial"/>
          <w:sz w:val="20"/>
        </w:rPr>
      </w:pPr>
      <w:r w:rsidRPr="00701F32">
        <w:rPr>
          <w:rFonts w:ascii="Arial" w:eastAsia="Arial" w:hAnsi="Arial" w:cs="Arial"/>
          <w:sz w:val="20"/>
        </w:rPr>
        <w:t>Se detalla a continuación la evolución durante el ejercicio</w:t>
      </w:r>
      <w:r w:rsidR="00E07294" w:rsidRPr="00701F32">
        <w:rPr>
          <w:rFonts w:ascii="Arial" w:eastAsia="Arial" w:hAnsi="Arial" w:cs="Arial"/>
          <w:sz w:val="20"/>
        </w:rPr>
        <w:t xml:space="preserve"> </w:t>
      </w:r>
    </w:p>
    <w:tbl>
      <w:tblPr>
        <w:tblW w:w="3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3"/>
        <w:gridCol w:w="2230"/>
      </w:tblGrid>
      <w:tr w:rsidR="00E07294" w:rsidRPr="00701F32" w14:paraId="0FF607DE" w14:textId="77777777" w:rsidTr="0086282C">
        <w:trPr>
          <w:trHeight w:val="142"/>
          <w:jc w:val="center"/>
        </w:trPr>
        <w:tc>
          <w:tcPr>
            <w:tcW w:w="3361" w:type="pct"/>
          </w:tcPr>
          <w:p w14:paraId="273AAA50" w14:textId="77777777" w:rsidR="00E07294" w:rsidRPr="00701F32" w:rsidRDefault="00E07294" w:rsidP="00464C0F">
            <w:pPr>
              <w:jc w:val="both"/>
              <w:rPr>
                <w:rFonts w:ascii="Arial" w:eastAsia="SimSun" w:hAnsi="Arial" w:cs="Arial"/>
                <w:sz w:val="18"/>
                <w:lang w:eastAsia="zh-CN"/>
              </w:rPr>
            </w:pPr>
            <w:r w:rsidRPr="00701F32">
              <w:rPr>
                <w:rFonts w:ascii="Arial" w:eastAsia="SimSun" w:hAnsi="Arial" w:cs="Arial"/>
                <w:sz w:val="18"/>
                <w:lang w:eastAsia="zh-CN"/>
              </w:rPr>
              <w:t> </w:t>
            </w:r>
          </w:p>
        </w:tc>
        <w:tc>
          <w:tcPr>
            <w:tcW w:w="1639" w:type="pct"/>
          </w:tcPr>
          <w:p w14:paraId="10A473AA" w14:textId="77777777" w:rsidR="00E07294" w:rsidRPr="00701F32" w:rsidRDefault="00E07294" w:rsidP="00464C0F">
            <w:pPr>
              <w:jc w:val="center"/>
              <w:rPr>
                <w:rFonts w:ascii="Arial" w:eastAsia="SimSun" w:hAnsi="Arial" w:cs="Arial"/>
                <w:sz w:val="18"/>
                <w:lang w:eastAsia="zh-CN"/>
              </w:rPr>
            </w:pPr>
            <w:r w:rsidRPr="00701F32">
              <w:rPr>
                <w:rFonts w:ascii="Arial" w:eastAsia="SimSun" w:hAnsi="Arial" w:cs="Arial"/>
                <w:b/>
                <w:bCs/>
                <w:sz w:val="18"/>
                <w:lang w:eastAsia="zh-CN"/>
              </w:rPr>
              <w:t>31/12/2017</w:t>
            </w:r>
          </w:p>
        </w:tc>
      </w:tr>
      <w:tr w:rsidR="00E07294" w:rsidRPr="00701F32" w14:paraId="4A57F5F9" w14:textId="77777777" w:rsidTr="0086282C">
        <w:trPr>
          <w:trHeight w:val="287"/>
          <w:jc w:val="center"/>
        </w:trPr>
        <w:tc>
          <w:tcPr>
            <w:tcW w:w="3361" w:type="pct"/>
            <w:vAlign w:val="bottom"/>
          </w:tcPr>
          <w:p w14:paraId="6C989195" w14:textId="77777777" w:rsidR="00E07294" w:rsidRPr="00701F32" w:rsidRDefault="00E07294" w:rsidP="00464C0F">
            <w:pPr>
              <w:jc w:val="both"/>
              <w:rPr>
                <w:rFonts w:ascii="Arial" w:eastAsia="SimSun" w:hAnsi="Arial" w:cs="Arial"/>
                <w:sz w:val="18"/>
                <w:lang w:eastAsia="zh-CN"/>
              </w:rPr>
            </w:pPr>
            <w:r w:rsidRPr="00701F32">
              <w:rPr>
                <w:rFonts w:ascii="Arial" w:eastAsia="SimSun" w:hAnsi="Arial" w:cs="Arial"/>
                <w:sz w:val="18"/>
                <w:lang w:eastAsia="zh-CN"/>
              </w:rPr>
              <w:t xml:space="preserve">Saldo al inicio del ejercicio </w:t>
            </w:r>
          </w:p>
        </w:tc>
        <w:tc>
          <w:tcPr>
            <w:tcW w:w="1639" w:type="pct"/>
            <w:vAlign w:val="bottom"/>
          </w:tcPr>
          <w:p w14:paraId="3415FB57" w14:textId="77777777" w:rsidR="00E07294" w:rsidRPr="00701F32" w:rsidRDefault="00E07294" w:rsidP="00464C0F">
            <w:pPr>
              <w:ind w:right="113"/>
              <w:jc w:val="right"/>
              <w:rPr>
                <w:rFonts w:ascii="Arial" w:eastAsia="SimSun" w:hAnsi="Arial" w:cs="Arial"/>
                <w:sz w:val="18"/>
                <w:lang w:eastAsia="zh-CN"/>
              </w:rPr>
            </w:pPr>
            <w:r w:rsidRPr="00701F32">
              <w:rPr>
                <w:rFonts w:ascii="Arial" w:eastAsia="SimSun" w:hAnsi="Arial" w:cs="Arial"/>
                <w:sz w:val="18"/>
                <w:lang w:eastAsia="zh-CN"/>
              </w:rPr>
              <w:t xml:space="preserve">        187.177</w:t>
            </w:r>
          </w:p>
        </w:tc>
      </w:tr>
      <w:tr w:rsidR="00E07294" w:rsidRPr="00701F32" w14:paraId="3EFD9AC7" w14:textId="77777777" w:rsidTr="0086282C">
        <w:trPr>
          <w:trHeight w:val="297"/>
          <w:jc w:val="center"/>
        </w:trPr>
        <w:tc>
          <w:tcPr>
            <w:tcW w:w="3361" w:type="pct"/>
            <w:vAlign w:val="bottom"/>
          </w:tcPr>
          <w:p w14:paraId="2B84223B" w14:textId="77777777" w:rsidR="00E07294" w:rsidRPr="00701F32" w:rsidRDefault="00E07294" w:rsidP="00464C0F">
            <w:pPr>
              <w:jc w:val="both"/>
              <w:rPr>
                <w:rFonts w:ascii="Arial" w:eastAsia="SimSun" w:hAnsi="Arial" w:cs="Arial"/>
                <w:sz w:val="18"/>
                <w:lang w:eastAsia="zh-CN"/>
              </w:rPr>
            </w:pPr>
            <w:r w:rsidRPr="00701F32">
              <w:rPr>
                <w:rFonts w:ascii="Arial" w:eastAsia="SimSun" w:hAnsi="Arial" w:cs="Arial"/>
                <w:sz w:val="18"/>
                <w:lang w:eastAsia="zh-CN"/>
              </w:rPr>
              <w:t>Altas del período</w:t>
            </w:r>
          </w:p>
        </w:tc>
        <w:tc>
          <w:tcPr>
            <w:tcW w:w="1639" w:type="pct"/>
            <w:vAlign w:val="bottom"/>
          </w:tcPr>
          <w:p w14:paraId="072203EF" w14:textId="77777777" w:rsidR="00E07294" w:rsidRPr="00701F32" w:rsidRDefault="00E07294">
            <w:pPr>
              <w:ind w:right="113"/>
              <w:jc w:val="right"/>
              <w:rPr>
                <w:rFonts w:ascii="Arial" w:eastAsia="SimSun" w:hAnsi="Arial" w:cs="Arial"/>
                <w:sz w:val="18"/>
                <w:lang w:eastAsia="zh-CN"/>
              </w:rPr>
            </w:pPr>
            <w:r w:rsidRPr="00701F32">
              <w:rPr>
                <w:rFonts w:ascii="Arial" w:eastAsia="SimSun" w:hAnsi="Arial" w:cs="Arial"/>
                <w:sz w:val="18"/>
                <w:lang w:eastAsia="zh-CN"/>
              </w:rPr>
              <w:t xml:space="preserve">        </w:t>
            </w:r>
            <w:r w:rsidR="003A1317" w:rsidRPr="00701F32">
              <w:rPr>
                <w:rFonts w:ascii="Arial" w:eastAsia="SimSun" w:hAnsi="Arial" w:cs="Arial"/>
                <w:sz w:val="18"/>
                <w:lang w:eastAsia="zh-CN"/>
              </w:rPr>
              <w:t>369</w:t>
            </w:r>
            <w:r w:rsidRPr="00701F32">
              <w:rPr>
                <w:rFonts w:ascii="Arial" w:eastAsia="SimSun" w:hAnsi="Arial" w:cs="Arial"/>
                <w:sz w:val="18"/>
                <w:lang w:eastAsia="zh-CN"/>
              </w:rPr>
              <w:t>.</w:t>
            </w:r>
            <w:r w:rsidR="003A1317" w:rsidRPr="00701F32">
              <w:rPr>
                <w:rFonts w:ascii="Arial" w:eastAsia="SimSun" w:hAnsi="Arial" w:cs="Arial"/>
                <w:sz w:val="18"/>
                <w:lang w:eastAsia="zh-CN"/>
              </w:rPr>
              <w:t>4</w:t>
            </w:r>
            <w:r w:rsidRPr="00701F32">
              <w:rPr>
                <w:rFonts w:ascii="Arial" w:eastAsia="SimSun" w:hAnsi="Arial" w:cs="Arial"/>
                <w:sz w:val="18"/>
                <w:lang w:eastAsia="zh-CN"/>
              </w:rPr>
              <w:t>55</w:t>
            </w:r>
          </w:p>
        </w:tc>
      </w:tr>
      <w:tr w:rsidR="00E07294" w:rsidRPr="00701F32" w14:paraId="37D63AAF" w14:textId="77777777" w:rsidTr="0086282C">
        <w:trPr>
          <w:trHeight w:val="246"/>
          <w:jc w:val="center"/>
        </w:trPr>
        <w:tc>
          <w:tcPr>
            <w:tcW w:w="3361" w:type="pct"/>
            <w:vAlign w:val="bottom"/>
          </w:tcPr>
          <w:p w14:paraId="22278B8D" w14:textId="77777777" w:rsidR="00E07294" w:rsidRPr="00701F32" w:rsidRDefault="00E07294" w:rsidP="00464C0F">
            <w:pPr>
              <w:jc w:val="both"/>
              <w:rPr>
                <w:rFonts w:ascii="Arial" w:eastAsia="SimSun" w:hAnsi="Arial" w:cs="Arial"/>
                <w:sz w:val="18"/>
                <w:lang w:eastAsia="zh-CN"/>
              </w:rPr>
            </w:pPr>
            <w:r w:rsidRPr="00701F32">
              <w:rPr>
                <w:rFonts w:ascii="Arial" w:eastAsia="SimSun" w:hAnsi="Arial" w:cs="Arial"/>
                <w:sz w:val="18"/>
                <w:lang w:eastAsia="zh-CN"/>
              </w:rPr>
              <w:t>Beneficios pagados a los participantes</w:t>
            </w:r>
          </w:p>
        </w:tc>
        <w:tc>
          <w:tcPr>
            <w:tcW w:w="1639" w:type="pct"/>
            <w:vAlign w:val="bottom"/>
          </w:tcPr>
          <w:p w14:paraId="62217018" w14:textId="5912150A" w:rsidR="00E07294" w:rsidRPr="00701F32" w:rsidRDefault="00E07294" w:rsidP="00464C0F">
            <w:pPr>
              <w:ind w:right="113"/>
              <w:jc w:val="right"/>
              <w:rPr>
                <w:rFonts w:ascii="Arial" w:eastAsia="SimSun" w:hAnsi="Arial" w:cs="Arial"/>
                <w:sz w:val="18"/>
                <w:lang w:eastAsia="zh-CN"/>
              </w:rPr>
            </w:pPr>
            <w:r w:rsidRPr="00701F32">
              <w:rPr>
                <w:rFonts w:ascii="Arial" w:eastAsia="SimSun" w:hAnsi="Arial" w:cs="Arial"/>
                <w:sz w:val="18"/>
                <w:lang w:eastAsia="zh-CN"/>
              </w:rPr>
              <w:t xml:space="preserve">       </w:t>
            </w:r>
            <w:r w:rsidR="00797411" w:rsidRPr="00701F32">
              <w:rPr>
                <w:rFonts w:ascii="Arial" w:eastAsia="SimSun" w:hAnsi="Arial" w:cs="Arial"/>
                <w:sz w:val="18"/>
                <w:lang w:eastAsia="zh-CN"/>
              </w:rPr>
              <w:t>(</w:t>
            </w:r>
            <w:r w:rsidRPr="00701F32">
              <w:rPr>
                <w:rFonts w:ascii="Arial" w:eastAsia="SimSun" w:hAnsi="Arial" w:cs="Arial"/>
                <w:sz w:val="18"/>
                <w:lang w:eastAsia="zh-CN"/>
              </w:rPr>
              <w:t>105.127</w:t>
            </w:r>
            <w:r w:rsidR="00797411" w:rsidRPr="00701F32">
              <w:rPr>
                <w:rFonts w:ascii="Arial" w:eastAsia="SimSun" w:hAnsi="Arial" w:cs="Arial"/>
                <w:sz w:val="18"/>
                <w:lang w:eastAsia="zh-CN"/>
              </w:rPr>
              <w:t>)</w:t>
            </w:r>
          </w:p>
        </w:tc>
      </w:tr>
      <w:tr w:rsidR="00E07294" w:rsidRPr="00701F32" w14:paraId="0E3581B0" w14:textId="77777777" w:rsidTr="0086282C">
        <w:trPr>
          <w:trHeight w:val="287"/>
          <w:jc w:val="center"/>
        </w:trPr>
        <w:tc>
          <w:tcPr>
            <w:tcW w:w="3361" w:type="pct"/>
            <w:vAlign w:val="bottom"/>
          </w:tcPr>
          <w:p w14:paraId="30962FFB" w14:textId="77777777" w:rsidR="00E07294" w:rsidRPr="00701F32" w:rsidRDefault="00284C69" w:rsidP="00464C0F">
            <w:pPr>
              <w:jc w:val="both"/>
              <w:rPr>
                <w:rFonts w:ascii="Arial" w:eastAsia="SimSun" w:hAnsi="Arial" w:cs="Arial"/>
                <w:b/>
                <w:bCs/>
                <w:sz w:val="18"/>
                <w:lang w:eastAsia="zh-CN"/>
              </w:rPr>
            </w:pPr>
            <w:r w:rsidRPr="00701F32">
              <w:rPr>
                <w:rFonts w:ascii="Arial" w:eastAsia="SimSun" w:hAnsi="Arial" w:cs="Arial"/>
                <w:b/>
                <w:bCs/>
                <w:sz w:val="18"/>
                <w:lang w:eastAsia="zh-CN"/>
              </w:rPr>
              <w:t>Saldo al 31 de diciembre de 2017</w:t>
            </w:r>
          </w:p>
        </w:tc>
        <w:tc>
          <w:tcPr>
            <w:tcW w:w="1639" w:type="pct"/>
            <w:vAlign w:val="bottom"/>
          </w:tcPr>
          <w:p w14:paraId="0CBB72F3" w14:textId="77777777" w:rsidR="00E07294" w:rsidRPr="00701F32" w:rsidRDefault="00E07294" w:rsidP="00464C0F">
            <w:pPr>
              <w:ind w:right="113"/>
              <w:jc w:val="right"/>
              <w:rPr>
                <w:rFonts w:ascii="Arial" w:eastAsia="SimSun" w:hAnsi="Arial" w:cs="Arial"/>
                <w:b/>
                <w:sz w:val="18"/>
                <w:lang w:eastAsia="zh-CN"/>
              </w:rPr>
            </w:pPr>
            <w:r w:rsidRPr="00701F32">
              <w:rPr>
                <w:rFonts w:ascii="Arial" w:eastAsia="SimSun" w:hAnsi="Arial" w:cs="Arial"/>
                <w:sz w:val="18"/>
                <w:lang w:eastAsia="zh-CN"/>
              </w:rPr>
              <w:t xml:space="preserve">       </w:t>
            </w:r>
            <w:r w:rsidRPr="00701F32">
              <w:rPr>
                <w:rFonts w:ascii="Arial" w:eastAsia="SimSun" w:hAnsi="Arial" w:cs="Arial"/>
                <w:b/>
                <w:sz w:val="18"/>
                <w:lang w:eastAsia="zh-CN"/>
              </w:rPr>
              <w:t>451.505</w:t>
            </w:r>
          </w:p>
        </w:tc>
      </w:tr>
    </w:tbl>
    <w:p w14:paraId="21E1F009" w14:textId="77777777" w:rsidR="00797411" w:rsidRPr="00701F32" w:rsidRDefault="00797411" w:rsidP="00E07294">
      <w:pPr>
        <w:spacing w:after="160" w:line="259" w:lineRule="auto"/>
        <w:jc w:val="both"/>
        <w:rPr>
          <w:rFonts w:ascii="Arial" w:eastAsia="Arial" w:hAnsi="Arial" w:cs="Arial"/>
          <w:b/>
          <w:color w:val="0070C0"/>
          <w:sz w:val="20"/>
        </w:rPr>
      </w:pPr>
    </w:p>
    <w:p w14:paraId="2CCD1F44" w14:textId="77777777" w:rsidR="00E07294" w:rsidRPr="00701F32" w:rsidRDefault="007A3C4C" w:rsidP="00E07294">
      <w:pPr>
        <w:spacing w:after="160" w:line="259" w:lineRule="auto"/>
        <w:jc w:val="both"/>
        <w:rPr>
          <w:rFonts w:ascii="Arial" w:eastAsia="Arial" w:hAnsi="Arial" w:cs="Arial"/>
          <w:b/>
          <w:szCs w:val="22"/>
        </w:rPr>
      </w:pPr>
      <w:r w:rsidRPr="00701F32">
        <w:rPr>
          <w:rFonts w:ascii="Arial" w:eastAsia="Arial" w:hAnsi="Arial" w:cs="Arial"/>
          <w:b/>
          <w:sz w:val="20"/>
        </w:rPr>
        <w:t>17</w:t>
      </w:r>
      <w:r w:rsidR="00E07294" w:rsidRPr="00701F32">
        <w:rPr>
          <w:rFonts w:ascii="Arial" w:eastAsia="Arial" w:hAnsi="Arial" w:cs="Arial"/>
          <w:b/>
          <w:sz w:val="20"/>
        </w:rPr>
        <w:t>.</w:t>
      </w:r>
      <w:r w:rsidR="00136660" w:rsidRPr="00701F32">
        <w:rPr>
          <w:rFonts w:ascii="Arial" w:eastAsia="Arial" w:hAnsi="Arial" w:cs="Arial"/>
          <w:b/>
          <w:sz w:val="20"/>
        </w:rPr>
        <w:t xml:space="preserve">13 </w:t>
      </w:r>
      <w:r w:rsidR="00E07294" w:rsidRPr="00701F32">
        <w:rPr>
          <w:rFonts w:ascii="Arial" w:eastAsia="Arial" w:hAnsi="Arial" w:cs="Arial"/>
          <w:b/>
          <w:sz w:val="20"/>
        </w:rPr>
        <w:t>Compromisos</w:t>
      </w:r>
    </w:p>
    <w:p w14:paraId="543549F2" w14:textId="77777777" w:rsidR="00E07294" w:rsidRPr="00701F32" w:rsidRDefault="00E07294" w:rsidP="00E07294">
      <w:pPr>
        <w:spacing w:after="160" w:line="259" w:lineRule="auto"/>
        <w:jc w:val="both"/>
        <w:rPr>
          <w:rFonts w:ascii="Arial" w:eastAsia="Arial" w:hAnsi="Arial" w:cs="Arial"/>
          <w:sz w:val="20"/>
          <w:u w:val="single"/>
        </w:rPr>
      </w:pPr>
      <w:r w:rsidRPr="00701F32">
        <w:rPr>
          <w:rFonts w:ascii="Arial" w:eastAsia="Arial" w:hAnsi="Arial" w:cs="Arial"/>
          <w:sz w:val="20"/>
          <w:u w:val="single"/>
        </w:rPr>
        <w:t>Compromisos de arrendamiento operativos</w:t>
      </w:r>
    </w:p>
    <w:p w14:paraId="1B62A561" w14:textId="77777777" w:rsidR="00E07294" w:rsidRPr="00701F32" w:rsidRDefault="00E07294" w:rsidP="00E07294">
      <w:pPr>
        <w:spacing w:after="160" w:line="259" w:lineRule="auto"/>
        <w:jc w:val="both"/>
        <w:rPr>
          <w:rFonts w:ascii="Arial" w:eastAsia="Arial" w:hAnsi="Arial" w:cs="Arial"/>
          <w:sz w:val="20"/>
        </w:rPr>
      </w:pPr>
      <w:r w:rsidRPr="00701F32">
        <w:rPr>
          <w:rFonts w:ascii="Arial" w:eastAsia="Arial" w:hAnsi="Arial" w:cs="Arial"/>
          <w:sz w:val="20"/>
        </w:rPr>
        <w:t xml:space="preserve">El </w:t>
      </w:r>
      <w:r w:rsidR="00941CB4" w:rsidRPr="00701F32">
        <w:rPr>
          <w:rFonts w:ascii="Arial" w:eastAsia="Arial" w:hAnsi="Arial" w:cs="Arial"/>
          <w:sz w:val="20"/>
        </w:rPr>
        <w:t>Banco</w:t>
      </w:r>
      <w:r w:rsidRPr="00701F32">
        <w:rPr>
          <w:rFonts w:ascii="Arial" w:eastAsia="Arial" w:hAnsi="Arial" w:cs="Arial"/>
          <w:sz w:val="20"/>
        </w:rPr>
        <w:t xml:space="preserve"> arrienda ciertos inmuebles bajo contratos de alquiler operativos no cancelables. El plazo de estos contratos varía entre uno y cinco años y la mayoría son renovables a su vencimiento a precios de mercado.</w:t>
      </w:r>
    </w:p>
    <w:p w14:paraId="326F3343" w14:textId="77777777" w:rsidR="00E07294" w:rsidRPr="00701F32" w:rsidRDefault="00E07294" w:rsidP="00E07294">
      <w:pPr>
        <w:spacing w:after="160" w:line="259" w:lineRule="auto"/>
        <w:jc w:val="both"/>
        <w:rPr>
          <w:rFonts w:ascii="Arial" w:eastAsia="Arial" w:hAnsi="Arial" w:cs="Arial"/>
          <w:sz w:val="20"/>
        </w:rPr>
      </w:pPr>
      <w:r w:rsidRPr="00701F32">
        <w:rPr>
          <w:rFonts w:ascii="Arial" w:eastAsia="Arial" w:hAnsi="Arial" w:cs="Arial"/>
          <w:sz w:val="20"/>
        </w:rPr>
        <w:t>Se detalla a continuación el total de los pagos mínimos estimados futuros de arrendamiento por contratos de alquiler operativos no cancelables:</w:t>
      </w:r>
    </w:p>
    <w:tbl>
      <w:tblPr>
        <w:tblW w:w="2673" w:type="pct"/>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9"/>
        <w:gridCol w:w="2140"/>
      </w:tblGrid>
      <w:tr w:rsidR="0016788C" w:rsidRPr="00701F32" w14:paraId="63F44741" w14:textId="77777777" w:rsidTr="0086282C">
        <w:trPr>
          <w:trHeight w:val="576"/>
          <w:tblHeader/>
        </w:trPr>
        <w:tc>
          <w:tcPr>
            <w:tcW w:w="2611" w:type="pct"/>
            <w:shd w:val="clear" w:color="auto" w:fill="auto"/>
            <w:noWrap/>
            <w:vAlign w:val="bottom"/>
            <w:hideMark/>
          </w:tcPr>
          <w:p w14:paraId="6F0E4D94" w14:textId="77777777" w:rsidR="0016788C" w:rsidRPr="00701F32" w:rsidRDefault="0016788C" w:rsidP="00464C0F">
            <w:pPr>
              <w:spacing w:line="259" w:lineRule="auto"/>
              <w:jc w:val="both"/>
              <w:rPr>
                <w:rFonts w:ascii="Arial" w:eastAsia="Arial" w:hAnsi="Arial" w:cs="Arial"/>
                <w:sz w:val="20"/>
              </w:rPr>
            </w:pPr>
            <w:r w:rsidRPr="00701F32">
              <w:rPr>
                <w:rFonts w:ascii="Arial" w:eastAsia="Arial" w:hAnsi="Arial" w:cs="Arial"/>
                <w:sz w:val="20"/>
              </w:rPr>
              <w:t> </w:t>
            </w:r>
          </w:p>
        </w:tc>
        <w:tc>
          <w:tcPr>
            <w:tcW w:w="2389" w:type="pct"/>
            <w:shd w:val="clear" w:color="auto" w:fill="auto"/>
            <w:vAlign w:val="center"/>
          </w:tcPr>
          <w:p w14:paraId="12C32878" w14:textId="77777777" w:rsidR="0016788C" w:rsidRPr="00701F32" w:rsidRDefault="0016788C">
            <w:pPr>
              <w:spacing w:line="259" w:lineRule="auto"/>
              <w:jc w:val="center"/>
              <w:rPr>
                <w:rFonts w:ascii="Arial" w:eastAsia="Arial" w:hAnsi="Arial" w:cs="Arial"/>
                <w:b/>
                <w:sz w:val="20"/>
              </w:rPr>
            </w:pPr>
            <w:r w:rsidRPr="00701F32">
              <w:rPr>
                <w:rFonts w:ascii="Arial" w:eastAsia="Arial" w:hAnsi="Arial" w:cs="Arial"/>
                <w:b/>
                <w:sz w:val="20"/>
              </w:rPr>
              <w:t xml:space="preserve">    31/12/2017</w:t>
            </w:r>
          </w:p>
        </w:tc>
      </w:tr>
      <w:tr w:rsidR="0016788C" w:rsidRPr="00701F32" w14:paraId="19320AC0" w14:textId="77777777" w:rsidTr="0086282C">
        <w:trPr>
          <w:trHeight w:val="228"/>
        </w:trPr>
        <w:tc>
          <w:tcPr>
            <w:tcW w:w="2611" w:type="pct"/>
            <w:shd w:val="clear" w:color="auto" w:fill="auto"/>
            <w:noWrap/>
            <w:vAlign w:val="bottom"/>
            <w:hideMark/>
          </w:tcPr>
          <w:p w14:paraId="2D5E6347" w14:textId="77777777" w:rsidR="0016788C" w:rsidRPr="00701F32" w:rsidRDefault="0016788C" w:rsidP="00464C0F">
            <w:pPr>
              <w:spacing w:line="259" w:lineRule="auto"/>
              <w:jc w:val="both"/>
              <w:rPr>
                <w:rFonts w:ascii="Arial" w:eastAsia="Arial" w:hAnsi="Arial" w:cs="Arial"/>
                <w:sz w:val="20"/>
              </w:rPr>
            </w:pPr>
            <w:r w:rsidRPr="00701F32">
              <w:rPr>
                <w:rFonts w:ascii="Arial" w:eastAsia="Arial" w:hAnsi="Arial" w:cs="Arial"/>
                <w:sz w:val="20"/>
              </w:rPr>
              <w:t xml:space="preserve">Hasta 1 año  </w:t>
            </w:r>
          </w:p>
        </w:tc>
        <w:tc>
          <w:tcPr>
            <w:tcW w:w="2389" w:type="pct"/>
            <w:shd w:val="clear" w:color="auto" w:fill="auto"/>
            <w:noWrap/>
            <w:vAlign w:val="bottom"/>
          </w:tcPr>
          <w:p w14:paraId="19136C65" w14:textId="77777777" w:rsidR="0016788C" w:rsidRPr="00701F32" w:rsidRDefault="0016788C">
            <w:pPr>
              <w:spacing w:line="259" w:lineRule="auto"/>
              <w:jc w:val="right"/>
              <w:rPr>
                <w:rFonts w:ascii="Arial" w:eastAsia="Arial" w:hAnsi="Arial" w:cs="Arial"/>
                <w:sz w:val="20"/>
              </w:rPr>
            </w:pPr>
            <w:r w:rsidRPr="00701F32">
              <w:rPr>
                <w:rFonts w:ascii="Arial" w:eastAsia="Arial" w:hAnsi="Arial" w:cs="Arial"/>
                <w:sz w:val="20"/>
              </w:rPr>
              <w:t xml:space="preserve">                 225.024</w:t>
            </w:r>
          </w:p>
        </w:tc>
      </w:tr>
      <w:tr w:rsidR="0016788C" w:rsidRPr="00701F32" w14:paraId="29472A5E" w14:textId="77777777" w:rsidTr="0086282C">
        <w:trPr>
          <w:trHeight w:val="228"/>
        </w:trPr>
        <w:tc>
          <w:tcPr>
            <w:tcW w:w="2611" w:type="pct"/>
            <w:shd w:val="clear" w:color="auto" w:fill="auto"/>
            <w:noWrap/>
            <w:vAlign w:val="bottom"/>
          </w:tcPr>
          <w:p w14:paraId="2FD33A19" w14:textId="77777777" w:rsidR="0016788C" w:rsidRPr="00701F32" w:rsidRDefault="0016788C" w:rsidP="00464C0F">
            <w:pPr>
              <w:spacing w:line="259" w:lineRule="auto"/>
              <w:jc w:val="both"/>
              <w:rPr>
                <w:rFonts w:ascii="Arial" w:eastAsia="Arial" w:hAnsi="Arial" w:cs="Arial"/>
                <w:sz w:val="20"/>
              </w:rPr>
            </w:pPr>
            <w:r w:rsidRPr="00701F32">
              <w:rPr>
                <w:rFonts w:ascii="Arial" w:eastAsia="Arial" w:hAnsi="Arial" w:cs="Arial"/>
                <w:sz w:val="20"/>
              </w:rPr>
              <w:t>Más de 1 año y hasta 5 años</w:t>
            </w:r>
          </w:p>
        </w:tc>
        <w:tc>
          <w:tcPr>
            <w:tcW w:w="2389" w:type="pct"/>
            <w:shd w:val="clear" w:color="auto" w:fill="auto"/>
            <w:noWrap/>
            <w:vAlign w:val="bottom"/>
            <w:hideMark/>
          </w:tcPr>
          <w:p w14:paraId="55689C75" w14:textId="77777777" w:rsidR="0016788C" w:rsidRPr="00701F32" w:rsidRDefault="0016788C">
            <w:pPr>
              <w:spacing w:line="259" w:lineRule="auto"/>
              <w:jc w:val="right"/>
              <w:rPr>
                <w:rFonts w:ascii="Arial" w:eastAsia="Arial" w:hAnsi="Arial" w:cs="Arial"/>
                <w:sz w:val="20"/>
              </w:rPr>
            </w:pPr>
            <w:r w:rsidRPr="00701F32">
              <w:rPr>
                <w:rFonts w:ascii="Arial" w:eastAsia="Arial" w:hAnsi="Arial" w:cs="Arial"/>
                <w:sz w:val="20"/>
              </w:rPr>
              <w:t xml:space="preserve">                   452.863</w:t>
            </w:r>
          </w:p>
        </w:tc>
      </w:tr>
      <w:tr w:rsidR="0016788C" w:rsidRPr="00701F32" w14:paraId="6BCA6F27" w14:textId="77777777" w:rsidTr="0086282C">
        <w:trPr>
          <w:trHeight w:val="228"/>
        </w:trPr>
        <w:tc>
          <w:tcPr>
            <w:tcW w:w="2611" w:type="pct"/>
            <w:shd w:val="clear" w:color="auto" w:fill="auto"/>
            <w:noWrap/>
            <w:vAlign w:val="bottom"/>
          </w:tcPr>
          <w:p w14:paraId="2A312746" w14:textId="77777777" w:rsidR="0016788C" w:rsidRPr="00701F32" w:rsidRDefault="0016788C" w:rsidP="00464C0F">
            <w:pPr>
              <w:spacing w:line="259" w:lineRule="auto"/>
              <w:jc w:val="both"/>
              <w:rPr>
                <w:rFonts w:ascii="Arial" w:eastAsia="Arial" w:hAnsi="Arial" w:cs="Arial"/>
                <w:sz w:val="20"/>
              </w:rPr>
            </w:pPr>
            <w:r w:rsidRPr="00701F32">
              <w:rPr>
                <w:rFonts w:ascii="Arial" w:eastAsia="Arial" w:hAnsi="Arial" w:cs="Arial"/>
                <w:sz w:val="20"/>
              </w:rPr>
              <w:t>Más de 5 años</w:t>
            </w:r>
          </w:p>
        </w:tc>
        <w:tc>
          <w:tcPr>
            <w:tcW w:w="2389" w:type="pct"/>
            <w:shd w:val="clear" w:color="auto" w:fill="auto"/>
            <w:noWrap/>
            <w:vAlign w:val="bottom"/>
            <w:hideMark/>
          </w:tcPr>
          <w:p w14:paraId="3ABC7B14" w14:textId="77777777" w:rsidR="0016788C" w:rsidRPr="00701F32" w:rsidRDefault="0016788C">
            <w:pPr>
              <w:spacing w:line="259" w:lineRule="auto"/>
              <w:jc w:val="right"/>
              <w:rPr>
                <w:rFonts w:ascii="Arial" w:eastAsia="Arial" w:hAnsi="Arial" w:cs="Arial"/>
                <w:sz w:val="20"/>
              </w:rPr>
            </w:pPr>
            <w:r w:rsidRPr="00701F32">
              <w:rPr>
                <w:rFonts w:ascii="Arial" w:eastAsia="Arial" w:hAnsi="Arial" w:cs="Arial"/>
                <w:sz w:val="20"/>
              </w:rPr>
              <w:t>                       45.620</w:t>
            </w:r>
          </w:p>
        </w:tc>
      </w:tr>
      <w:tr w:rsidR="0016788C" w:rsidRPr="00701F32" w14:paraId="5376887A" w14:textId="77777777" w:rsidTr="0086282C">
        <w:trPr>
          <w:trHeight w:val="228"/>
        </w:trPr>
        <w:tc>
          <w:tcPr>
            <w:tcW w:w="2611" w:type="pct"/>
            <w:shd w:val="clear" w:color="auto" w:fill="auto"/>
            <w:noWrap/>
            <w:vAlign w:val="bottom"/>
          </w:tcPr>
          <w:p w14:paraId="5017108C" w14:textId="77777777" w:rsidR="0016788C" w:rsidRPr="00701F32" w:rsidRDefault="0016788C" w:rsidP="00464C0F">
            <w:pPr>
              <w:spacing w:line="259" w:lineRule="auto"/>
              <w:jc w:val="both"/>
              <w:rPr>
                <w:rFonts w:ascii="Arial" w:eastAsia="Arial" w:hAnsi="Arial" w:cs="Arial"/>
                <w:sz w:val="20"/>
              </w:rPr>
            </w:pPr>
            <w:r w:rsidRPr="00701F32">
              <w:rPr>
                <w:rFonts w:ascii="Arial" w:eastAsia="Arial" w:hAnsi="Arial" w:cs="Arial"/>
                <w:sz w:val="20"/>
              </w:rPr>
              <w:t>Total</w:t>
            </w:r>
          </w:p>
        </w:tc>
        <w:tc>
          <w:tcPr>
            <w:tcW w:w="2389" w:type="pct"/>
            <w:shd w:val="clear" w:color="auto" w:fill="auto"/>
            <w:noWrap/>
            <w:vAlign w:val="bottom"/>
            <w:hideMark/>
          </w:tcPr>
          <w:p w14:paraId="1FE29B8F" w14:textId="77777777" w:rsidR="0016788C" w:rsidRPr="00701F32" w:rsidRDefault="0016788C">
            <w:pPr>
              <w:spacing w:line="259" w:lineRule="auto"/>
              <w:jc w:val="right"/>
              <w:rPr>
                <w:rFonts w:ascii="Arial" w:eastAsia="Arial" w:hAnsi="Arial" w:cs="Arial"/>
                <w:sz w:val="20"/>
              </w:rPr>
            </w:pPr>
            <w:r w:rsidRPr="00701F32">
              <w:rPr>
                <w:rFonts w:ascii="Arial" w:eastAsia="Arial" w:hAnsi="Arial" w:cs="Arial"/>
                <w:sz w:val="20"/>
              </w:rPr>
              <w:t xml:space="preserve">                   723.507  </w:t>
            </w:r>
          </w:p>
        </w:tc>
      </w:tr>
    </w:tbl>
    <w:p w14:paraId="2E6F4685" w14:textId="77777777" w:rsidR="00576023" w:rsidRPr="00701F32" w:rsidRDefault="00576023" w:rsidP="00E07294">
      <w:pPr>
        <w:jc w:val="both"/>
        <w:rPr>
          <w:rFonts w:ascii="Arial" w:hAnsi="Arial" w:cs="Arial"/>
          <w:b/>
          <w:sz w:val="20"/>
        </w:rPr>
      </w:pPr>
    </w:p>
    <w:p w14:paraId="67DA26D1" w14:textId="77777777" w:rsidR="00E07294" w:rsidRPr="00701F32" w:rsidRDefault="00AD5EDB" w:rsidP="00E07294">
      <w:pPr>
        <w:jc w:val="both"/>
        <w:rPr>
          <w:rFonts w:ascii="Arial" w:hAnsi="Arial" w:cs="Arial"/>
          <w:b/>
          <w:sz w:val="20"/>
        </w:rPr>
      </w:pPr>
      <w:r w:rsidRPr="00701F32">
        <w:rPr>
          <w:rFonts w:ascii="Arial" w:hAnsi="Arial" w:cs="Arial"/>
          <w:b/>
          <w:sz w:val="20"/>
        </w:rPr>
        <w:t>17</w:t>
      </w:r>
      <w:r w:rsidR="00E07294" w:rsidRPr="00701F32">
        <w:rPr>
          <w:rFonts w:ascii="Arial" w:hAnsi="Arial" w:cs="Arial"/>
          <w:b/>
          <w:sz w:val="20"/>
        </w:rPr>
        <w:t>.</w:t>
      </w:r>
      <w:r w:rsidR="00136660" w:rsidRPr="00701F32">
        <w:rPr>
          <w:rFonts w:ascii="Arial" w:hAnsi="Arial" w:cs="Arial"/>
          <w:b/>
          <w:sz w:val="20"/>
        </w:rPr>
        <w:t xml:space="preserve">14 </w:t>
      </w:r>
      <w:r w:rsidR="00E07294" w:rsidRPr="00701F32">
        <w:rPr>
          <w:rFonts w:ascii="Arial" w:hAnsi="Arial" w:cs="Arial"/>
          <w:b/>
          <w:sz w:val="20"/>
        </w:rPr>
        <w:t>Composición del capital</w:t>
      </w:r>
    </w:p>
    <w:p w14:paraId="37100022" w14:textId="77777777" w:rsidR="00941CB4" w:rsidRPr="00701F32" w:rsidRDefault="00941CB4" w:rsidP="00E07294">
      <w:pPr>
        <w:jc w:val="both"/>
        <w:rPr>
          <w:rFonts w:ascii="Arial" w:hAnsi="Arial" w:cs="Arial"/>
          <w:b/>
          <w:sz w:val="20"/>
        </w:rPr>
      </w:pPr>
    </w:p>
    <w:tbl>
      <w:tblPr>
        <w:tblW w:w="9628" w:type="dxa"/>
        <w:tblCellMar>
          <w:left w:w="70" w:type="dxa"/>
          <w:right w:w="70" w:type="dxa"/>
        </w:tblCellMar>
        <w:tblLook w:val="04A0" w:firstRow="1" w:lastRow="0" w:firstColumn="1" w:lastColumn="0" w:noHBand="0" w:noVBand="1"/>
      </w:tblPr>
      <w:tblGrid>
        <w:gridCol w:w="1773"/>
        <w:gridCol w:w="1058"/>
        <w:gridCol w:w="694"/>
        <w:gridCol w:w="197"/>
        <w:gridCol w:w="1011"/>
        <w:gridCol w:w="723"/>
        <w:gridCol w:w="622"/>
        <w:gridCol w:w="678"/>
        <w:gridCol w:w="1084"/>
        <w:gridCol w:w="894"/>
        <w:gridCol w:w="894"/>
      </w:tblGrid>
      <w:tr w:rsidR="00E07294" w:rsidRPr="00701F32" w14:paraId="53A11A9A" w14:textId="77777777" w:rsidTr="00831174">
        <w:trPr>
          <w:trHeight w:val="220"/>
        </w:trPr>
        <w:tc>
          <w:tcPr>
            <w:tcW w:w="1773" w:type="dxa"/>
            <w:tcBorders>
              <w:top w:val="single" w:sz="4" w:space="0" w:color="auto"/>
              <w:left w:val="single" w:sz="4" w:space="0" w:color="auto"/>
              <w:bottom w:val="nil"/>
              <w:right w:val="nil"/>
            </w:tcBorders>
            <w:shd w:val="clear" w:color="auto" w:fill="auto"/>
            <w:noWrap/>
            <w:vAlign w:val="bottom"/>
            <w:hideMark/>
          </w:tcPr>
          <w:p w14:paraId="7BE1FAE1" w14:textId="77777777" w:rsidR="00E07294" w:rsidRPr="00701F32" w:rsidRDefault="00E07294" w:rsidP="00464C0F">
            <w:pPr>
              <w:rPr>
                <w:rFonts w:ascii="Arial" w:hAnsi="Arial" w:cs="Arial"/>
                <w:b/>
                <w:bCs/>
                <w:sz w:val="16"/>
                <w:szCs w:val="16"/>
                <w:lang w:eastAsia="es-AR"/>
              </w:rPr>
            </w:pPr>
            <w:r w:rsidRPr="00701F32">
              <w:rPr>
                <w:rFonts w:ascii="Arial" w:hAnsi="Arial" w:cs="Arial"/>
                <w:b/>
                <w:bCs/>
                <w:sz w:val="16"/>
                <w:szCs w:val="16"/>
                <w:lang w:eastAsia="es-AR"/>
              </w:rPr>
              <w:t> </w:t>
            </w:r>
          </w:p>
        </w:tc>
        <w:tc>
          <w:tcPr>
            <w:tcW w:w="1058" w:type="dxa"/>
            <w:tcBorders>
              <w:top w:val="single" w:sz="4" w:space="0" w:color="auto"/>
              <w:left w:val="nil"/>
              <w:bottom w:val="single" w:sz="4" w:space="0" w:color="auto"/>
              <w:right w:val="nil"/>
            </w:tcBorders>
            <w:shd w:val="clear" w:color="auto" w:fill="auto"/>
            <w:noWrap/>
            <w:vAlign w:val="bottom"/>
            <w:hideMark/>
          </w:tcPr>
          <w:p w14:paraId="27628479"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Acciones</w:t>
            </w:r>
          </w:p>
        </w:tc>
        <w:tc>
          <w:tcPr>
            <w:tcW w:w="694" w:type="dxa"/>
            <w:tcBorders>
              <w:top w:val="single" w:sz="4" w:space="0" w:color="auto"/>
              <w:left w:val="nil"/>
              <w:bottom w:val="single" w:sz="4" w:space="0" w:color="auto"/>
              <w:right w:val="nil"/>
            </w:tcBorders>
            <w:shd w:val="clear" w:color="auto" w:fill="auto"/>
            <w:noWrap/>
            <w:vAlign w:val="bottom"/>
            <w:hideMark/>
          </w:tcPr>
          <w:p w14:paraId="0980DDD1" w14:textId="77777777" w:rsidR="00E07294" w:rsidRPr="00701F32" w:rsidRDefault="00E07294" w:rsidP="00464C0F">
            <w:pPr>
              <w:jc w:val="center"/>
              <w:rPr>
                <w:rFonts w:ascii="Arial" w:hAnsi="Arial" w:cs="Arial"/>
                <w:b/>
                <w:bCs/>
                <w:sz w:val="16"/>
                <w:szCs w:val="16"/>
                <w:lang w:eastAsia="es-AR"/>
              </w:rPr>
            </w:pPr>
          </w:p>
        </w:tc>
        <w:tc>
          <w:tcPr>
            <w:tcW w:w="197" w:type="dxa"/>
            <w:tcBorders>
              <w:top w:val="single" w:sz="4" w:space="0" w:color="auto"/>
              <w:left w:val="nil"/>
              <w:bottom w:val="nil"/>
              <w:right w:val="nil"/>
            </w:tcBorders>
            <w:shd w:val="clear" w:color="auto" w:fill="auto"/>
            <w:noWrap/>
            <w:vAlign w:val="bottom"/>
            <w:hideMark/>
          </w:tcPr>
          <w:p w14:paraId="2FCA55D2" w14:textId="77777777" w:rsidR="00E07294" w:rsidRPr="00701F32" w:rsidRDefault="00E07294" w:rsidP="00464C0F">
            <w:pPr>
              <w:jc w:val="center"/>
              <w:rPr>
                <w:rFonts w:ascii="Arial" w:hAnsi="Arial" w:cs="Arial"/>
                <w:b/>
                <w:bCs/>
                <w:sz w:val="16"/>
                <w:szCs w:val="16"/>
                <w:lang w:eastAsia="es-AR"/>
              </w:rPr>
            </w:pPr>
          </w:p>
        </w:tc>
        <w:tc>
          <w:tcPr>
            <w:tcW w:w="1011" w:type="dxa"/>
            <w:tcBorders>
              <w:top w:val="single" w:sz="4" w:space="0" w:color="auto"/>
              <w:left w:val="nil"/>
              <w:bottom w:val="single" w:sz="4" w:space="0" w:color="auto"/>
              <w:right w:val="nil"/>
            </w:tcBorders>
            <w:shd w:val="clear" w:color="auto" w:fill="auto"/>
            <w:noWrap/>
            <w:vAlign w:val="bottom"/>
            <w:hideMark/>
          </w:tcPr>
          <w:p w14:paraId="004B2A4A" w14:textId="77777777" w:rsidR="00E07294" w:rsidRPr="00701F32" w:rsidRDefault="00E07294" w:rsidP="00464C0F">
            <w:pPr>
              <w:jc w:val="center"/>
              <w:rPr>
                <w:rFonts w:ascii="Arial" w:hAnsi="Arial" w:cs="Arial"/>
                <w:b/>
                <w:bCs/>
                <w:sz w:val="16"/>
                <w:szCs w:val="16"/>
                <w:lang w:eastAsia="es-AR"/>
              </w:rPr>
            </w:pPr>
          </w:p>
        </w:tc>
        <w:tc>
          <w:tcPr>
            <w:tcW w:w="723" w:type="dxa"/>
            <w:tcBorders>
              <w:top w:val="single" w:sz="4" w:space="0" w:color="auto"/>
              <w:left w:val="nil"/>
              <w:bottom w:val="single" w:sz="4" w:space="0" w:color="auto"/>
              <w:right w:val="nil"/>
            </w:tcBorders>
            <w:shd w:val="clear" w:color="auto" w:fill="auto"/>
            <w:noWrap/>
            <w:vAlign w:val="bottom"/>
            <w:hideMark/>
          </w:tcPr>
          <w:p w14:paraId="5EA219EB" w14:textId="77777777" w:rsidR="00E07294" w:rsidRPr="00701F32" w:rsidRDefault="00E07294" w:rsidP="00464C0F">
            <w:pPr>
              <w:jc w:val="center"/>
              <w:rPr>
                <w:rFonts w:ascii="Arial" w:hAnsi="Arial" w:cs="Arial"/>
                <w:b/>
                <w:bCs/>
                <w:sz w:val="16"/>
                <w:szCs w:val="16"/>
                <w:lang w:eastAsia="es-AR"/>
              </w:rPr>
            </w:pPr>
          </w:p>
        </w:tc>
        <w:tc>
          <w:tcPr>
            <w:tcW w:w="622" w:type="dxa"/>
            <w:tcBorders>
              <w:top w:val="single" w:sz="4" w:space="0" w:color="auto"/>
              <w:left w:val="nil"/>
              <w:bottom w:val="single" w:sz="4" w:space="0" w:color="auto"/>
              <w:right w:val="nil"/>
            </w:tcBorders>
            <w:shd w:val="clear" w:color="auto" w:fill="auto"/>
            <w:noWrap/>
            <w:vAlign w:val="bottom"/>
            <w:hideMark/>
          </w:tcPr>
          <w:p w14:paraId="0BC93FB1" w14:textId="77777777" w:rsidR="00E07294" w:rsidRPr="00701F32" w:rsidRDefault="00E07294" w:rsidP="00464C0F">
            <w:pPr>
              <w:jc w:val="center"/>
              <w:rPr>
                <w:rFonts w:ascii="Arial" w:hAnsi="Arial" w:cs="Arial"/>
                <w:b/>
                <w:bCs/>
                <w:sz w:val="16"/>
                <w:szCs w:val="16"/>
                <w:lang w:eastAsia="es-AR"/>
              </w:rPr>
            </w:pPr>
          </w:p>
        </w:tc>
        <w:tc>
          <w:tcPr>
            <w:tcW w:w="2655" w:type="dxa"/>
            <w:gridSpan w:val="3"/>
            <w:tcBorders>
              <w:top w:val="single" w:sz="4" w:space="0" w:color="auto"/>
              <w:left w:val="nil"/>
              <w:bottom w:val="single" w:sz="4" w:space="0" w:color="auto"/>
              <w:right w:val="nil"/>
            </w:tcBorders>
            <w:shd w:val="clear" w:color="auto" w:fill="auto"/>
            <w:noWrap/>
            <w:vAlign w:val="bottom"/>
            <w:hideMark/>
          </w:tcPr>
          <w:p w14:paraId="429D19B4"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Capital Social</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1FEFF545" w14:textId="77777777" w:rsidR="00E07294" w:rsidRPr="00701F32" w:rsidRDefault="00E07294" w:rsidP="00464C0F">
            <w:pPr>
              <w:jc w:val="center"/>
              <w:rPr>
                <w:rFonts w:ascii="Arial" w:hAnsi="Arial" w:cs="Arial"/>
                <w:b/>
                <w:bCs/>
                <w:sz w:val="16"/>
                <w:szCs w:val="16"/>
                <w:lang w:eastAsia="es-AR"/>
              </w:rPr>
            </w:pPr>
          </w:p>
        </w:tc>
      </w:tr>
      <w:tr w:rsidR="00E07294" w:rsidRPr="00701F32" w14:paraId="64680B1A"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66866B2C" w14:textId="77777777" w:rsidR="00E07294" w:rsidRPr="00701F32" w:rsidRDefault="00E07294" w:rsidP="00464C0F">
            <w:pPr>
              <w:rPr>
                <w:rFonts w:ascii="Arial" w:hAnsi="Arial" w:cs="Arial"/>
                <w:b/>
                <w:bCs/>
                <w:sz w:val="16"/>
                <w:szCs w:val="16"/>
                <w:lang w:eastAsia="es-AR"/>
              </w:rPr>
            </w:pPr>
            <w:r w:rsidRPr="00701F32">
              <w:rPr>
                <w:rFonts w:ascii="Arial" w:hAnsi="Arial" w:cs="Arial"/>
                <w:b/>
                <w:bCs/>
                <w:sz w:val="16"/>
                <w:szCs w:val="16"/>
                <w:lang w:eastAsia="es-AR"/>
              </w:rPr>
              <w:t> </w:t>
            </w:r>
          </w:p>
        </w:tc>
        <w:tc>
          <w:tcPr>
            <w:tcW w:w="1058" w:type="dxa"/>
            <w:tcBorders>
              <w:top w:val="nil"/>
              <w:left w:val="nil"/>
              <w:bottom w:val="nil"/>
              <w:right w:val="nil"/>
            </w:tcBorders>
            <w:shd w:val="clear" w:color="auto" w:fill="auto"/>
            <w:noWrap/>
            <w:vAlign w:val="bottom"/>
            <w:hideMark/>
          </w:tcPr>
          <w:p w14:paraId="4DCA6009" w14:textId="77777777" w:rsidR="00E07294" w:rsidRPr="00701F32" w:rsidRDefault="00E07294" w:rsidP="00464C0F">
            <w:pPr>
              <w:rPr>
                <w:rFonts w:ascii="Arial" w:hAnsi="Arial" w:cs="Arial"/>
                <w:b/>
                <w:bCs/>
                <w:sz w:val="16"/>
                <w:szCs w:val="16"/>
                <w:lang w:eastAsia="es-AR"/>
              </w:rPr>
            </w:pPr>
          </w:p>
        </w:tc>
        <w:tc>
          <w:tcPr>
            <w:tcW w:w="694" w:type="dxa"/>
            <w:tcBorders>
              <w:top w:val="nil"/>
              <w:left w:val="nil"/>
              <w:bottom w:val="nil"/>
              <w:right w:val="nil"/>
            </w:tcBorders>
            <w:shd w:val="clear" w:color="auto" w:fill="auto"/>
            <w:noWrap/>
            <w:vAlign w:val="bottom"/>
            <w:hideMark/>
          </w:tcPr>
          <w:p w14:paraId="67D30612"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Votos</w:t>
            </w:r>
          </w:p>
        </w:tc>
        <w:tc>
          <w:tcPr>
            <w:tcW w:w="197" w:type="dxa"/>
            <w:tcBorders>
              <w:top w:val="nil"/>
              <w:left w:val="nil"/>
              <w:bottom w:val="nil"/>
              <w:right w:val="nil"/>
            </w:tcBorders>
            <w:shd w:val="clear" w:color="auto" w:fill="auto"/>
            <w:noWrap/>
            <w:vAlign w:val="bottom"/>
            <w:hideMark/>
          </w:tcPr>
          <w:p w14:paraId="259CC159" w14:textId="77777777" w:rsidR="00E07294" w:rsidRPr="00701F32" w:rsidRDefault="00E07294" w:rsidP="00464C0F">
            <w:pPr>
              <w:jc w:val="center"/>
              <w:rPr>
                <w:rFonts w:ascii="Arial" w:hAnsi="Arial" w:cs="Arial"/>
                <w:b/>
                <w:bCs/>
                <w:sz w:val="16"/>
                <w:szCs w:val="16"/>
                <w:lang w:eastAsia="es-AR"/>
              </w:rPr>
            </w:pPr>
          </w:p>
        </w:tc>
        <w:tc>
          <w:tcPr>
            <w:tcW w:w="3034" w:type="dxa"/>
            <w:gridSpan w:val="4"/>
            <w:tcBorders>
              <w:top w:val="single" w:sz="4" w:space="0" w:color="auto"/>
              <w:left w:val="nil"/>
              <w:bottom w:val="single" w:sz="4" w:space="0" w:color="auto"/>
              <w:right w:val="nil"/>
            </w:tcBorders>
            <w:shd w:val="clear" w:color="auto" w:fill="auto"/>
            <w:noWrap/>
            <w:vAlign w:val="bottom"/>
            <w:hideMark/>
          </w:tcPr>
          <w:p w14:paraId="09B240E3"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Emitido </w:t>
            </w:r>
          </w:p>
        </w:tc>
        <w:tc>
          <w:tcPr>
            <w:tcW w:w="1084" w:type="dxa"/>
            <w:tcBorders>
              <w:top w:val="nil"/>
              <w:left w:val="nil"/>
              <w:bottom w:val="nil"/>
              <w:right w:val="nil"/>
            </w:tcBorders>
            <w:shd w:val="clear" w:color="auto" w:fill="auto"/>
            <w:noWrap/>
            <w:vAlign w:val="bottom"/>
            <w:hideMark/>
          </w:tcPr>
          <w:p w14:paraId="166FF7DE"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Pendiente</w:t>
            </w:r>
          </w:p>
        </w:tc>
        <w:tc>
          <w:tcPr>
            <w:tcW w:w="894" w:type="dxa"/>
            <w:tcBorders>
              <w:top w:val="nil"/>
              <w:left w:val="nil"/>
              <w:bottom w:val="nil"/>
              <w:right w:val="nil"/>
            </w:tcBorders>
            <w:shd w:val="clear" w:color="auto" w:fill="auto"/>
            <w:noWrap/>
            <w:vAlign w:val="bottom"/>
            <w:hideMark/>
          </w:tcPr>
          <w:p w14:paraId="6084CA5A" w14:textId="77777777" w:rsidR="00E07294" w:rsidRPr="00701F32" w:rsidRDefault="00E07294" w:rsidP="00464C0F">
            <w:pPr>
              <w:jc w:val="center"/>
              <w:rPr>
                <w:rFonts w:ascii="Arial" w:hAnsi="Arial" w:cs="Arial"/>
                <w:b/>
                <w:bCs/>
                <w:sz w:val="16"/>
                <w:szCs w:val="16"/>
                <w:lang w:eastAsia="es-AR"/>
              </w:rPr>
            </w:pPr>
          </w:p>
        </w:tc>
        <w:tc>
          <w:tcPr>
            <w:tcW w:w="894" w:type="dxa"/>
            <w:tcBorders>
              <w:top w:val="nil"/>
              <w:left w:val="nil"/>
              <w:bottom w:val="nil"/>
              <w:right w:val="single" w:sz="4" w:space="0" w:color="auto"/>
            </w:tcBorders>
            <w:shd w:val="clear" w:color="auto" w:fill="auto"/>
            <w:noWrap/>
            <w:vAlign w:val="bottom"/>
            <w:hideMark/>
          </w:tcPr>
          <w:p w14:paraId="6153BC34" w14:textId="77777777" w:rsidR="00E07294" w:rsidRPr="00701F32" w:rsidRDefault="00E07294" w:rsidP="00464C0F">
            <w:pPr>
              <w:rPr>
                <w:rFonts w:ascii="Arial" w:hAnsi="Arial" w:cs="Arial"/>
                <w:b/>
                <w:bCs/>
                <w:sz w:val="16"/>
                <w:szCs w:val="16"/>
                <w:lang w:eastAsia="es-AR"/>
              </w:rPr>
            </w:pPr>
            <w:r w:rsidRPr="00701F32">
              <w:rPr>
                <w:rFonts w:ascii="Arial" w:hAnsi="Arial" w:cs="Arial"/>
                <w:b/>
                <w:bCs/>
                <w:sz w:val="16"/>
                <w:szCs w:val="16"/>
                <w:lang w:eastAsia="es-AR"/>
              </w:rPr>
              <w:t> </w:t>
            </w:r>
          </w:p>
        </w:tc>
      </w:tr>
      <w:tr w:rsidR="00E07294" w:rsidRPr="00701F32" w14:paraId="4F009F0E"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067EDA16"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Clase</w:t>
            </w:r>
          </w:p>
        </w:tc>
        <w:tc>
          <w:tcPr>
            <w:tcW w:w="1058" w:type="dxa"/>
            <w:tcBorders>
              <w:top w:val="nil"/>
              <w:left w:val="nil"/>
              <w:bottom w:val="nil"/>
              <w:right w:val="nil"/>
            </w:tcBorders>
            <w:shd w:val="clear" w:color="auto" w:fill="auto"/>
            <w:noWrap/>
            <w:vAlign w:val="bottom"/>
            <w:hideMark/>
          </w:tcPr>
          <w:p w14:paraId="4B813836"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Cantidad</w:t>
            </w:r>
          </w:p>
        </w:tc>
        <w:tc>
          <w:tcPr>
            <w:tcW w:w="694" w:type="dxa"/>
            <w:tcBorders>
              <w:top w:val="nil"/>
              <w:left w:val="nil"/>
              <w:bottom w:val="nil"/>
              <w:right w:val="nil"/>
            </w:tcBorders>
            <w:shd w:val="clear" w:color="auto" w:fill="auto"/>
            <w:noWrap/>
            <w:vAlign w:val="bottom"/>
            <w:hideMark/>
          </w:tcPr>
          <w:p w14:paraId="37564EA1"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por</w:t>
            </w:r>
          </w:p>
        </w:tc>
        <w:tc>
          <w:tcPr>
            <w:tcW w:w="197" w:type="dxa"/>
            <w:tcBorders>
              <w:top w:val="nil"/>
              <w:left w:val="nil"/>
              <w:bottom w:val="nil"/>
              <w:right w:val="nil"/>
            </w:tcBorders>
            <w:shd w:val="clear" w:color="auto" w:fill="auto"/>
            <w:noWrap/>
            <w:vAlign w:val="bottom"/>
            <w:hideMark/>
          </w:tcPr>
          <w:p w14:paraId="05133642" w14:textId="77777777" w:rsidR="00E07294" w:rsidRPr="00701F32" w:rsidRDefault="00E07294" w:rsidP="00464C0F">
            <w:pPr>
              <w:jc w:val="center"/>
              <w:rPr>
                <w:rFonts w:ascii="Arial" w:hAnsi="Arial" w:cs="Arial"/>
                <w:b/>
                <w:bCs/>
                <w:sz w:val="16"/>
                <w:szCs w:val="16"/>
                <w:lang w:eastAsia="es-AR"/>
              </w:rPr>
            </w:pPr>
          </w:p>
        </w:tc>
        <w:tc>
          <w:tcPr>
            <w:tcW w:w="1011" w:type="dxa"/>
            <w:tcBorders>
              <w:top w:val="nil"/>
              <w:left w:val="nil"/>
              <w:bottom w:val="nil"/>
              <w:right w:val="nil"/>
            </w:tcBorders>
            <w:shd w:val="clear" w:color="auto" w:fill="auto"/>
            <w:noWrap/>
            <w:vAlign w:val="bottom"/>
            <w:hideMark/>
          </w:tcPr>
          <w:p w14:paraId="4D152531"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En</w:t>
            </w:r>
          </w:p>
        </w:tc>
        <w:tc>
          <w:tcPr>
            <w:tcW w:w="723" w:type="dxa"/>
            <w:tcBorders>
              <w:top w:val="nil"/>
              <w:left w:val="nil"/>
              <w:bottom w:val="nil"/>
              <w:right w:val="nil"/>
            </w:tcBorders>
            <w:shd w:val="clear" w:color="auto" w:fill="auto"/>
            <w:noWrap/>
            <w:vAlign w:val="bottom"/>
            <w:hideMark/>
          </w:tcPr>
          <w:p w14:paraId="3F40B0E0"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En cartera</w:t>
            </w:r>
          </w:p>
        </w:tc>
        <w:tc>
          <w:tcPr>
            <w:tcW w:w="1298" w:type="dxa"/>
            <w:gridSpan w:val="2"/>
            <w:tcBorders>
              <w:top w:val="single" w:sz="4" w:space="0" w:color="auto"/>
              <w:left w:val="nil"/>
              <w:bottom w:val="nil"/>
              <w:right w:val="nil"/>
            </w:tcBorders>
            <w:shd w:val="clear" w:color="auto" w:fill="auto"/>
            <w:noWrap/>
            <w:vAlign w:val="bottom"/>
            <w:hideMark/>
          </w:tcPr>
          <w:p w14:paraId="2FCE66AE"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Adquisición</w:t>
            </w:r>
          </w:p>
        </w:tc>
        <w:tc>
          <w:tcPr>
            <w:tcW w:w="1084" w:type="dxa"/>
            <w:tcBorders>
              <w:top w:val="nil"/>
              <w:left w:val="nil"/>
              <w:bottom w:val="nil"/>
              <w:right w:val="nil"/>
            </w:tcBorders>
            <w:shd w:val="clear" w:color="auto" w:fill="auto"/>
            <w:noWrap/>
            <w:vAlign w:val="bottom"/>
            <w:hideMark/>
          </w:tcPr>
          <w:p w14:paraId="1C45EADE"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de emisión </w:t>
            </w:r>
          </w:p>
        </w:tc>
        <w:tc>
          <w:tcPr>
            <w:tcW w:w="894" w:type="dxa"/>
            <w:tcBorders>
              <w:top w:val="nil"/>
              <w:left w:val="nil"/>
              <w:bottom w:val="nil"/>
              <w:right w:val="nil"/>
            </w:tcBorders>
            <w:shd w:val="clear" w:color="auto" w:fill="auto"/>
            <w:noWrap/>
            <w:vAlign w:val="bottom"/>
            <w:hideMark/>
          </w:tcPr>
          <w:p w14:paraId="41500F54"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Asignado</w:t>
            </w:r>
          </w:p>
        </w:tc>
        <w:tc>
          <w:tcPr>
            <w:tcW w:w="894" w:type="dxa"/>
            <w:tcBorders>
              <w:top w:val="nil"/>
              <w:left w:val="nil"/>
              <w:bottom w:val="nil"/>
              <w:right w:val="single" w:sz="4" w:space="0" w:color="auto"/>
            </w:tcBorders>
            <w:shd w:val="clear" w:color="auto" w:fill="auto"/>
            <w:noWrap/>
            <w:vAlign w:val="bottom"/>
            <w:hideMark/>
          </w:tcPr>
          <w:p w14:paraId="3768EAB3"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Integrado</w:t>
            </w:r>
          </w:p>
        </w:tc>
      </w:tr>
      <w:tr w:rsidR="00E07294" w:rsidRPr="00701F32" w14:paraId="6A6CDC7A" w14:textId="77777777" w:rsidTr="00831174">
        <w:trPr>
          <w:trHeight w:val="220"/>
        </w:trPr>
        <w:tc>
          <w:tcPr>
            <w:tcW w:w="1773" w:type="dxa"/>
            <w:tcBorders>
              <w:top w:val="nil"/>
              <w:left w:val="single" w:sz="4" w:space="0" w:color="auto"/>
              <w:bottom w:val="single" w:sz="4" w:space="0" w:color="auto"/>
              <w:right w:val="nil"/>
            </w:tcBorders>
            <w:shd w:val="clear" w:color="auto" w:fill="auto"/>
            <w:noWrap/>
            <w:vAlign w:val="bottom"/>
            <w:hideMark/>
          </w:tcPr>
          <w:p w14:paraId="65E2C79B"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1058" w:type="dxa"/>
            <w:tcBorders>
              <w:top w:val="nil"/>
              <w:left w:val="nil"/>
              <w:bottom w:val="single" w:sz="4" w:space="0" w:color="auto"/>
              <w:right w:val="nil"/>
            </w:tcBorders>
            <w:shd w:val="clear" w:color="auto" w:fill="auto"/>
            <w:noWrap/>
            <w:vAlign w:val="bottom"/>
            <w:hideMark/>
          </w:tcPr>
          <w:p w14:paraId="48107840"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694" w:type="dxa"/>
            <w:tcBorders>
              <w:top w:val="nil"/>
              <w:left w:val="nil"/>
              <w:bottom w:val="single" w:sz="4" w:space="0" w:color="auto"/>
              <w:right w:val="nil"/>
            </w:tcBorders>
            <w:shd w:val="clear" w:color="auto" w:fill="auto"/>
            <w:noWrap/>
            <w:vAlign w:val="bottom"/>
            <w:hideMark/>
          </w:tcPr>
          <w:p w14:paraId="3AE1FB27"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acción</w:t>
            </w:r>
          </w:p>
        </w:tc>
        <w:tc>
          <w:tcPr>
            <w:tcW w:w="197" w:type="dxa"/>
            <w:tcBorders>
              <w:top w:val="nil"/>
              <w:left w:val="nil"/>
              <w:bottom w:val="nil"/>
              <w:right w:val="nil"/>
            </w:tcBorders>
            <w:shd w:val="clear" w:color="auto" w:fill="auto"/>
            <w:noWrap/>
            <w:vAlign w:val="bottom"/>
            <w:hideMark/>
          </w:tcPr>
          <w:p w14:paraId="0A6CE116" w14:textId="77777777" w:rsidR="00E07294" w:rsidRPr="00701F32" w:rsidRDefault="00E07294" w:rsidP="00464C0F">
            <w:pPr>
              <w:jc w:val="center"/>
              <w:rPr>
                <w:rFonts w:ascii="Arial" w:hAnsi="Arial" w:cs="Arial"/>
                <w:b/>
                <w:bCs/>
                <w:sz w:val="16"/>
                <w:szCs w:val="16"/>
                <w:lang w:eastAsia="es-AR"/>
              </w:rPr>
            </w:pPr>
          </w:p>
        </w:tc>
        <w:tc>
          <w:tcPr>
            <w:tcW w:w="1011" w:type="dxa"/>
            <w:tcBorders>
              <w:top w:val="nil"/>
              <w:left w:val="nil"/>
              <w:bottom w:val="single" w:sz="4" w:space="0" w:color="auto"/>
              <w:right w:val="nil"/>
            </w:tcBorders>
            <w:shd w:val="clear" w:color="auto" w:fill="auto"/>
            <w:noWrap/>
            <w:vAlign w:val="bottom"/>
            <w:hideMark/>
          </w:tcPr>
          <w:p w14:paraId="0E03BB46"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circulación </w:t>
            </w:r>
          </w:p>
        </w:tc>
        <w:tc>
          <w:tcPr>
            <w:tcW w:w="723" w:type="dxa"/>
            <w:tcBorders>
              <w:top w:val="nil"/>
              <w:left w:val="nil"/>
              <w:bottom w:val="single" w:sz="4" w:space="0" w:color="auto"/>
              <w:right w:val="nil"/>
            </w:tcBorders>
            <w:shd w:val="clear" w:color="auto" w:fill="auto"/>
            <w:noWrap/>
            <w:vAlign w:val="bottom"/>
            <w:hideMark/>
          </w:tcPr>
          <w:p w14:paraId="40341B56"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622" w:type="dxa"/>
            <w:tcBorders>
              <w:top w:val="nil"/>
              <w:left w:val="nil"/>
              <w:bottom w:val="single" w:sz="4" w:space="0" w:color="auto"/>
              <w:right w:val="nil"/>
            </w:tcBorders>
            <w:shd w:val="clear" w:color="auto" w:fill="auto"/>
            <w:noWrap/>
            <w:vAlign w:val="bottom"/>
            <w:hideMark/>
          </w:tcPr>
          <w:p w14:paraId="2A0980D8"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Fecha</w:t>
            </w:r>
          </w:p>
        </w:tc>
        <w:tc>
          <w:tcPr>
            <w:tcW w:w="676" w:type="dxa"/>
            <w:tcBorders>
              <w:top w:val="nil"/>
              <w:left w:val="nil"/>
              <w:bottom w:val="single" w:sz="4" w:space="0" w:color="auto"/>
              <w:right w:val="nil"/>
            </w:tcBorders>
            <w:shd w:val="clear" w:color="auto" w:fill="auto"/>
            <w:noWrap/>
            <w:vAlign w:val="bottom"/>
            <w:hideMark/>
          </w:tcPr>
          <w:p w14:paraId="49A0A6B3" w14:textId="77777777" w:rsidR="00E07294" w:rsidRPr="00701F32" w:rsidRDefault="00E07294" w:rsidP="00464C0F">
            <w:pPr>
              <w:rPr>
                <w:rFonts w:ascii="Arial" w:hAnsi="Arial" w:cs="Arial"/>
                <w:b/>
                <w:bCs/>
                <w:sz w:val="16"/>
                <w:szCs w:val="16"/>
                <w:lang w:eastAsia="es-AR"/>
              </w:rPr>
            </w:pPr>
            <w:r w:rsidRPr="00701F32">
              <w:rPr>
                <w:rFonts w:ascii="Arial" w:hAnsi="Arial" w:cs="Arial"/>
                <w:b/>
                <w:bCs/>
                <w:sz w:val="16"/>
                <w:szCs w:val="16"/>
                <w:lang w:eastAsia="es-AR"/>
              </w:rPr>
              <w:t>Motivo</w:t>
            </w:r>
          </w:p>
        </w:tc>
        <w:tc>
          <w:tcPr>
            <w:tcW w:w="1084" w:type="dxa"/>
            <w:tcBorders>
              <w:top w:val="nil"/>
              <w:left w:val="nil"/>
              <w:bottom w:val="single" w:sz="4" w:space="0" w:color="auto"/>
              <w:right w:val="nil"/>
            </w:tcBorders>
            <w:shd w:val="clear" w:color="auto" w:fill="auto"/>
            <w:noWrap/>
            <w:vAlign w:val="bottom"/>
            <w:hideMark/>
          </w:tcPr>
          <w:p w14:paraId="3327FEC4"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o distribución</w:t>
            </w:r>
          </w:p>
        </w:tc>
        <w:tc>
          <w:tcPr>
            <w:tcW w:w="894" w:type="dxa"/>
            <w:tcBorders>
              <w:top w:val="nil"/>
              <w:left w:val="nil"/>
              <w:bottom w:val="single" w:sz="4" w:space="0" w:color="auto"/>
              <w:right w:val="nil"/>
            </w:tcBorders>
            <w:shd w:val="clear" w:color="auto" w:fill="auto"/>
            <w:noWrap/>
            <w:vAlign w:val="bottom"/>
            <w:hideMark/>
          </w:tcPr>
          <w:p w14:paraId="20656199"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894" w:type="dxa"/>
            <w:tcBorders>
              <w:top w:val="nil"/>
              <w:left w:val="nil"/>
              <w:bottom w:val="single" w:sz="4" w:space="0" w:color="auto"/>
              <w:right w:val="single" w:sz="4" w:space="0" w:color="auto"/>
            </w:tcBorders>
            <w:shd w:val="clear" w:color="auto" w:fill="auto"/>
            <w:noWrap/>
            <w:vAlign w:val="bottom"/>
            <w:hideMark/>
          </w:tcPr>
          <w:p w14:paraId="6C5DED7E" w14:textId="77777777" w:rsidR="00E07294" w:rsidRPr="00701F32" w:rsidRDefault="00E07294"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r>
      <w:tr w:rsidR="00E07294" w:rsidRPr="00701F32" w14:paraId="5F50170C"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6D532F20"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58" w:type="dxa"/>
            <w:tcBorders>
              <w:top w:val="nil"/>
              <w:left w:val="nil"/>
              <w:bottom w:val="nil"/>
              <w:right w:val="nil"/>
            </w:tcBorders>
            <w:shd w:val="clear" w:color="auto" w:fill="auto"/>
            <w:noWrap/>
            <w:vAlign w:val="bottom"/>
            <w:hideMark/>
          </w:tcPr>
          <w:p w14:paraId="2B43D3AA" w14:textId="77777777" w:rsidR="00E07294" w:rsidRPr="00701F32" w:rsidRDefault="00E07294" w:rsidP="00464C0F">
            <w:pPr>
              <w:rPr>
                <w:rFonts w:ascii="Arial" w:hAnsi="Arial" w:cs="Arial"/>
                <w:sz w:val="16"/>
                <w:szCs w:val="16"/>
                <w:lang w:eastAsia="es-AR"/>
              </w:rPr>
            </w:pPr>
          </w:p>
        </w:tc>
        <w:tc>
          <w:tcPr>
            <w:tcW w:w="694" w:type="dxa"/>
            <w:tcBorders>
              <w:top w:val="nil"/>
              <w:left w:val="nil"/>
              <w:bottom w:val="nil"/>
              <w:right w:val="nil"/>
            </w:tcBorders>
            <w:shd w:val="clear" w:color="auto" w:fill="auto"/>
            <w:noWrap/>
            <w:vAlign w:val="bottom"/>
            <w:hideMark/>
          </w:tcPr>
          <w:p w14:paraId="641BF01B" w14:textId="77777777" w:rsidR="00E07294" w:rsidRPr="00701F32" w:rsidRDefault="00E07294" w:rsidP="00464C0F">
            <w:pPr>
              <w:rPr>
                <w:sz w:val="20"/>
                <w:lang w:eastAsia="es-AR"/>
              </w:rPr>
            </w:pPr>
          </w:p>
        </w:tc>
        <w:tc>
          <w:tcPr>
            <w:tcW w:w="197" w:type="dxa"/>
            <w:tcBorders>
              <w:top w:val="nil"/>
              <w:left w:val="nil"/>
              <w:bottom w:val="nil"/>
              <w:right w:val="nil"/>
            </w:tcBorders>
            <w:shd w:val="clear" w:color="auto" w:fill="auto"/>
            <w:noWrap/>
            <w:vAlign w:val="bottom"/>
            <w:hideMark/>
          </w:tcPr>
          <w:p w14:paraId="1ED7235D" w14:textId="77777777" w:rsidR="00E07294" w:rsidRPr="00701F32" w:rsidRDefault="00E07294" w:rsidP="00464C0F">
            <w:pPr>
              <w:rPr>
                <w:sz w:val="20"/>
                <w:lang w:eastAsia="es-AR"/>
              </w:rPr>
            </w:pPr>
          </w:p>
        </w:tc>
        <w:tc>
          <w:tcPr>
            <w:tcW w:w="1011" w:type="dxa"/>
            <w:tcBorders>
              <w:top w:val="nil"/>
              <w:left w:val="nil"/>
              <w:bottom w:val="nil"/>
              <w:right w:val="nil"/>
            </w:tcBorders>
            <w:shd w:val="clear" w:color="auto" w:fill="auto"/>
            <w:noWrap/>
            <w:vAlign w:val="bottom"/>
            <w:hideMark/>
          </w:tcPr>
          <w:p w14:paraId="3E745B4F" w14:textId="77777777" w:rsidR="00E07294" w:rsidRPr="00701F32" w:rsidRDefault="00E07294" w:rsidP="00464C0F">
            <w:pPr>
              <w:rPr>
                <w:sz w:val="20"/>
                <w:lang w:eastAsia="es-AR"/>
              </w:rPr>
            </w:pPr>
          </w:p>
        </w:tc>
        <w:tc>
          <w:tcPr>
            <w:tcW w:w="723" w:type="dxa"/>
            <w:tcBorders>
              <w:top w:val="nil"/>
              <w:left w:val="nil"/>
              <w:bottom w:val="nil"/>
              <w:right w:val="nil"/>
            </w:tcBorders>
            <w:shd w:val="clear" w:color="auto" w:fill="auto"/>
            <w:noWrap/>
            <w:vAlign w:val="bottom"/>
            <w:hideMark/>
          </w:tcPr>
          <w:p w14:paraId="10DFCC34" w14:textId="77777777" w:rsidR="00E07294" w:rsidRPr="00701F32" w:rsidRDefault="00E07294" w:rsidP="00464C0F">
            <w:pPr>
              <w:rPr>
                <w:sz w:val="20"/>
                <w:lang w:eastAsia="es-AR"/>
              </w:rPr>
            </w:pPr>
          </w:p>
        </w:tc>
        <w:tc>
          <w:tcPr>
            <w:tcW w:w="622" w:type="dxa"/>
            <w:tcBorders>
              <w:top w:val="nil"/>
              <w:left w:val="nil"/>
              <w:bottom w:val="nil"/>
              <w:right w:val="nil"/>
            </w:tcBorders>
            <w:shd w:val="clear" w:color="auto" w:fill="auto"/>
            <w:noWrap/>
            <w:vAlign w:val="bottom"/>
            <w:hideMark/>
          </w:tcPr>
          <w:p w14:paraId="74A9ACF2" w14:textId="77777777" w:rsidR="00E07294" w:rsidRPr="00701F32" w:rsidRDefault="00E07294" w:rsidP="00464C0F">
            <w:pPr>
              <w:rPr>
                <w:sz w:val="20"/>
                <w:lang w:eastAsia="es-AR"/>
              </w:rPr>
            </w:pPr>
          </w:p>
        </w:tc>
        <w:tc>
          <w:tcPr>
            <w:tcW w:w="676" w:type="dxa"/>
            <w:tcBorders>
              <w:top w:val="nil"/>
              <w:left w:val="nil"/>
              <w:bottom w:val="nil"/>
              <w:right w:val="nil"/>
            </w:tcBorders>
            <w:shd w:val="clear" w:color="auto" w:fill="auto"/>
            <w:noWrap/>
            <w:vAlign w:val="bottom"/>
            <w:hideMark/>
          </w:tcPr>
          <w:p w14:paraId="2C5CB9C0" w14:textId="77777777" w:rsidR="00E07294" w:rsidRPr="00701F32" w:rsidRDefault="00E07294" w:rsidP="00464C0F">
            <w:pPr>
              <w:rPr>
                <w:sz w:val="20"/>
                <w:lang w:eastAsia="es-AR"/>
              </w:rPr>
            </w:pPr>
          </w:p>
        </w:tc>
        <w:tc>
          <w:tcPr>
            <w:tcW w:w="1084" w:type="dxa"/>
            <w:tcBorders>
              <w:top w:val="nil"/>
              <w:left w:val="nil"/>
              <w:bottom w:val="nil"/>
              <w:right w:val="nil"/>
            </w:tcBorders>
            <w:shd w:val="clear" w:color="auto" w:fill="auto"/>
            <w:noWrap/>
            <w:vAlign w:val="bottom"/>
            <w:hideMark/>
          </w:tcPr>
          <w:p w14:paraId="7C4EBBB6" w14:textId="77777777" w:rsidR="00E07294" w:rsidRPr="00701F32" w:rsidRDefault="00E07294" w:rsidP="00464C0F">
            <w:pPr>
              <w:rPr>
                <w:sz w:val="20"/>
                <w:lang w:eastAsia="es-AR"/>
              </w:rPr>
            </w:pPr>
          </w:p>
        </w:tc>
        <w:tc>
          <w:tcPr>
            <w:tcW w:w="894" w:type="dxa"/>
            <w:tcBorders>
              <w:top w:val="nil"/>
              <w:left w:val="nil"/>
              <w:bottom w:val="nil"/>
              <w:right w:val="nil"/>
            </w:tcBorders>
            <w:shd w:val="clear" w:color="auto" w:fill="auto"/>
            <w:noWrap/>
            <w:vAlign w:val="bottom"/>
            <w:hideMark/>
          </w:tcPr>
          <w:p w14:paraId="73842176" w14:textId="77777777" w:rsidR="00E07294" w:rsidRPr="00701F32" w:rsidRDefault="00E07294" w:rsidP="00464C0F">
            <w:pPr>
              <w:rPr>
                <w:sz w:val="20"/>
                <w:lang w:eastAsia="es-AR"/>
              </w:rPr>
            </w:pPr>
          </w:p>
        </w:tc>
        <w:tc>
          <w:tcPr>
            <w:tcW w:w="894" w:type="dxa"/>
            <w:tcBorders>
              <w:top w:val="nil"/>
              <w:left w:val="nil"/>
              <w:bottom w:val="nil"/>
              <w:right w:val="single" w:sz="4" w:space="0" w:color="auto"/>
            </w:tcBorders>
            <w:shd w:val="clear" w:color="auto" w:fill="auto"/>
            <w:noWrap/>
            <w:vAlign w:val="bottom"/>
            <w:hideMark/>
          </w:tcPr>
          <w:p w14:paraId="2F049EE2"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r>
      <w:tr w:rsidR="00E07294" w:rsidRPr="00701F32" w14:paraId="3CFE2693"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1E91041F"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Ordinarias escriturales clase A</w:t>
            </w:r>
          </w:p>
        </w:tc>
        <w:tc>
          <w:tcPr>
            <w:tcW w:w="1058" w:type="dxa"/>
            <w:tcBorders>
              <w:top w:val="nil"/>
              <w:left w:val="nil"/>
              <w:bottom w:val="nil"/>
              <w:right w:val="nil"/>
            </w:tcBorders>
            <w:shd w:val="clear" w:color="auto" w:fill="auto"/>
            <w:noWrap/>
            <w:vAlign w:val="bottom"/>
            <w:hideMark/>
          </w:tcPr>
          <w:p w14:paraId="3C57EE28"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930.371 </w:t>
            </w:r>
          </w:p>
        </w:tc>
        <w:tc>
          <w:tcPr>
            <w:tcW w:w="694" w:type="dxa"/>
            <w:tcBorders>
              <w:top w:val="nil"/>
              <w:left w:val="nil"/>
              <w:bottom w:val="nil"/>
              <w:right w:val="nil"/>
            </w:tcBorders>
            <w:shd w:val="clear" w:color="auto" w:fill="auto"/>
            <w:noWrap/>
            <w:vAlign w:val="bottom"/>
            <w:hideMark/>
          </w:tcPr>
          <w:p w14:paraId="145846A8"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5 </w:t>
            </w:r>
          </w:p>
        </w:tc>
        <w:tc>
          <w:tcPr>
            <w:tcW w:w="197" w:type="dxa"/>
            <w:tcBorders>
              <w:top w:val="nil"/>
              <w:left w:val="nil"/>
              <w:bottom w:val="nil"/>
              <w:right w:val="nil"/>
            </w:tcBorders>
            <w:shd w:val="clear" w:color="auto" w:fill="auto"/>
            <w:noWrap/>
            <w:vAlign w:val="bottom"/>
            <w:hideMark/>
          </w:tcPr>
          <w:p w14:paraId="199B5182" w14:textId="77777777" w:rsidR="00E07294" w:rsidRPr="00701F32" w:rsidRDefault="00E07294" w:rsidP="00464C0F">
            <w:pPr>
              <w:jc w:val="right"/>
              <w:rPr>
                <w:rFonts w:ascii="Arial" w:hAnsi="Arial" w:cs="Arial"/>
                <w:sz w:val="16"/>
                <w:szCs w:val="16"/>
                <w:lang w:eastAsia="es-AR"/>
              </w:rPr>
            </w:pPr>
          </w:p>
        </w:tc>
        <w:tc>
          <w:tcPr>
            <w:tcW w:w="1011" w:type="dxa"/>
            <w:tcBorders>
              <w:top w:val="nil"/>
              <w:left w:val="nil"/>
              <w:bottom w:val="nil"/>
              <w:right w:val="nil"/>
            </w:tcBorders>
            <w:shd w:val="clear" w:color="auto" w:fill="auto"/>
            <w:noWrap/>
            <w:vAlign w:val="bottom"/>
            <w:hideMark/>
          </w:tcPr>
          <w:p w14:paraId="76929DB9"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930 </w:t>
            </w:r>
          </w:p>
        </w:tc>
        <w:tc>
          <w:tcPr>
            <w:tcW w:w="723" w:type="dxa"/>
            <w:tcBorders>
              <w:top w:val="nil"/>
              <w:left w:val="nil"/>
              <w:bottom w:val="nil"/>
              <w:right w:val="nil"/>
            </w:tcBorders>
            <w:shd w:val="clear" w:color="auto" w:fill="auto"/>
            <w:noWrap/>
            <w:vAlign w:val="bottom"/>
            <w:hideMark/>
          </w:tcPr>
          <w:p w14:paraId="71B9B691"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622" w:type="dxa"/>
            <w:tcBorders>
              <w:top w:val="nil"/>
              <w:left w:val="nil"/>
              <w:bottom w:val="nil"/>
              <w:right w:val="nil"/>
            </w:tcBorders>
            <w:shd w:val="clear" w:color="auto" w:fill="auto"/>
            <w:noWrap/>
            <w:vAlign w:val="bottom"/>
            <w:hideMark/>
          </w:tcPr>
          <w:p w14:paraId="7C9DDC52"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676" w:type="dxa"/>
            <w:tcBorders>
              <w:top w:val="nil"/>
              <w:left w:val="nil"/>
              <w:bottom w:val="nil"/>
              <w:right w:val="nil"/>
            </w:tcBorders>
            <w:shd w:val="clear" w:color="auto" w:fill="auto"/>
            <w:noWrap/>
            <w:vAlign w:val="bottom"/>
            <w:hideMark/>
          </w:tcPr>
          <w:p w14:paraId="4F1A3B89"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1084" w:type="dxa"/>
            <w:tcBorders>
              <w:top w:val="nil"/>
              <w:left w:val="nil"/>
              <w:bottom w:val="nil"/>
              <w:right w:val="nil"/>
            </w:tcBorders>
            <w:shd w:val="clear" w:color="auto" w:fill="auto"/>
            <w:noWrap/>
            <w:vAlign w:val="bottom"/>
            <w:hideMark/>
          </w:tcPr>
          <w:p w14:paraId="3C6AD973"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894" w:type="dxa"/>
            <w:tcBorders>
              <w:top w:val="nil"/>
              <w:left w:val="nil"/>
              <w:bottom w:val="nil"/>
              <w:right w:val="nil"/>
            </w:tcBorders>
            <w:shd w:val="clear" w:color="auto" w:fill="auto"/>
            <w:noWrap/>
            <w:vAlign w:val="bottom"/>
            <w:hideMark/>
          </w:tcPr>
          <w:p w14:paraId="6A24F315"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894" w:type="dxa"/>
            <w:tcBorders>
              <w:top w:val="nil"/>
              <w:left w:val="nil"/>
              <w:bottom w:val="nil"/>
              <w:right w:val="single" w:sz="4" w:space="0" w:color="auto"/>
            </w:tcBorders>
            <w:shd w:val="clear" w:color="auto" w:fill="auto"/>
            <w:noWrap/>
            <w:vAlign w:val="bottom"/>
            <w:hideMark/>
          </w:tcPr>
          <w:p w14:paraId="268E5275"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930 </w:t>
            </w:r>
          </w:p>
        </w:tc>
      </w:tr>
      <w:tr w:rsidR="00E07294" w:rsidRPr="00701F32" w14:paraId="75045A57"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7D1AA798"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58" w:type="dxa"/>
            <w:tcBorders>
              <w:top w:val="nil"/>
              <w:left w:val="nil"/>
              <w:bottom w:val="nil"/>
              <w:right w:val="nil"/>
            </w:tcBorders>
            <w:shd w:val="clear" w:color="auto" w:fill="auto"/>
            <w:noWrap/>
            <w:vAlign w:val="bottom"/>
            <w:hideMark/>
          </w:tcPr>
          <w:p w14:paraId="029C7C64" w14:textId="77777777" w:rsidR="00E07294" w:rsidRPr="00701F32" w:rsidRDefault="00E07294" w:rsidP="00464C0F">
            <w:pPr>
              <w:rPr>
                <w:rFonts w:ascii="Arial" w:hAnsi="Arial" w:cs="Arial"/>
                <w:sz w:val="16"/>
                <w:szCs w:val="16"/>
                <w:lang w:eastAsia="es-AR"/>
              </w:rPr>
            </w:pPr>
          </w:p>
        </w:tc>
        <w:tc>
          <w:tcPr>
            <w:tcW w:w="694" w:type="dxa"/>
            <w:tcBorders>
              <w:top w:val="nil"/>
              <w:left w:val="nil"/>
              <w:bottom w:val="nil"/>
              <w:right w:val="nil"/>
            </w:tcBorders>
            <w:shd w:val="clear" w:color="auto" w:fill="auto"/>
            <w:noWrap/>
            <w:vAlign w:val="bottom"/>
            <w:hideMark/>
          </w:tcPr>
          <w:p w14:paraId="485CB9B5" w14:textId="77777777" w:rsidR="00E07294" w:rsidRPr="00701F32" w:rsidRDefault="00E07294" w:rsidP="00464C0F">
            <w:pPr>
              <w:rPr>
                <w:sz w:val="20"/>
                <w:lang w:eastAsia="es-AR"/>
              </w:rPr>
            </w:pPr>
          </w:p>
        </w:tc>
        <w:tc>
          <w:tcPr>
            <w:tcW w:w="197" w:type="dxa"/>
            <w:tcBorders>
              <w:top w:val="nil"/>
              <w:left w:val="nil"/>
              <w:bottom w:val="nil"/>
              <w:right w:val="nil"/>
            </w:tcBorders>
            <w:shd w:val="clear" w:color="auto" w:fill="auto"/>
            <w:noWrap/>
            <w:vAlign w:val="bottom"/>
            <w:hideMark/>
          </w:tcPr>
          <w:p w14:paraId="284D2322" w14:textId="77777777" w:rsidR="00E07294" w:rsidRPr="00701F32" w:rsidRDefault="00E07294" w:rsidP="00464C0F">
            <w:pPr>
              <w:rPr>
                <w:sz w:val="20"/>
                <w:lang w:eastAsia="es-AR"/>
              </w:rPr>
            </w:pPr>
          </w:p>
        </w:tc>
        <w:tc>
          <w:tcPr>
            <w:tcW w:w="1011" w:type="dxa"/>
            <w:tcBorders>
              <w:top w:val="nil"/>
              <w:left w:val="nil"/>
              <w:bottom w:val="nil"/>
              <w:right w:val="nil"/>
            </w:tcBorders>
            <w:shd w:val="clear" w:color="auto" w:fill="auto"/>
            <w:noWrap/>
            <w:vAlign w:val="bottom"/>
            <w:hideMark/>
          </w:tcPr>
          <w:p w14:paraId="324999AE" w14:textId="77777777" w:rsidR="00E07294" w:rsidRPr="00701F32" w:rsidRDefault="00E07294" w:rsidP="00464C0F">
            <w:pPr>
              <w:rPr>
                <w:sz w:val="20"/>
                <w:lang w:eastAsia="es-AR"/>
              </w:rPr>
            </w:pPr>
          </w:p>
        </w:tc>
        <w:tc>
          <w:tcPr>
            <w:tcW w:w="723" w:type="dxa"/>
            <w:tcBorders>
              <w:top w:val="nil"/>
              <w:left w:val="nil"/>
              <w:bottom w:val="nil"/>
              <w:right w:val="nil"/>
            </w:tcBorders>
            <w:shd w:val="clear" w:color="auto" w:fill="auto"/>
            <w:noWrap/>
            <w:vAlign w:val="bottom"/>
            <w:hideMark/>
          </w:tcPr>
          <w:p w14:paraId="4C99893E" w14:textId="77777777" w:rsidR="00E07294" w:rsidRPr="00701F32" w:rsidRDefault="00E07294" w:rsidP="00464C0F">
            <w:pPr>
              <w:rPr>
                <w:sz w:val="20"/>
                <w:lang w:eastAsia="es-AR"/>
              </w:rPr>
            </w:pPr>
          </w:p>
        </w:tc>
        <w:tc>
          <w:tcPr>
            <w:tcW w:w="622" w:type="dxa"/>
            <w:tcBorders>
              <w:top w:val="nil"/>
              <w:left w:val="nil"/>
              <w:bottom w:val="nil"/>
              <w:right w:val="nil"/>
            </w:tcBorders>
            <w:shd w:val="clear" w:color="auto" w:fill="auto"/>
            <w:noWrap/>
            <w:vAlign w:val="bottom"/>
            <w:hideMark/>
          </w:tcPr>
          <w:p w14:paraId="3932F1FB" w14:textId="77777777" w:rsidR="00E07294" w:rsidRPr="00701F32" w:rsidRDefault="00E07294" w:rsidP="00464C0F">
            <w:pPr>
              <w:rPr>
                <w:sz w:val="20"/>
                <w:lang w:eastAsia="es-AR"/>
              </w:rPr>
            </w:pPr>
          </w:p>
        </w:tc>
        <w:tc>
          <w:tcPr>
            <w:tcW w:w="676" w:type="dxa"/>
            <w:tcBorders>
              <w:top w:val="nil"/>
              <w:left w:val="nil"/>
              <w:bottom w:val="nil"/>
              <w:right w:val="nil"/>
            </w:tcBorders>
            <w:shd w:val="clear" w:color="auto" w:fill="auto"/>
            <w:noWrap/>
            <w:vAlign w:val="bottom"/>
            <w:hideMark/>
          </w:tcPr>
          <w:p w14:paraId="7279F795" w14:textId="77777777" w:rsidR="00E07294" w:rsidRPr="00701F32" w:rsidRDefault="00E07294" w:rsidP="00464C0F">
            <w:pPr>
              <w:rPr>
                <w:sz w:val="20"/>
                <w:lang w:eastAsia="es-AR"/>
              </w:rPr>
            </w:pPr>
          </w:p>
        </w:tc>
        <w:tc>
          <w:tcPr>
            <w:tcW w:w="1084" w:type="dxa"/>
            <w:tcBorders>
              <w:top w:val="nil"/>
              <w:left w:val="nil"/>
              <w:bottom w:val="nil"/>
              <w:right w:val="nil"/>
            </w:tcBorders>
            <w:shd w:val="clear" w:color="auto" w:fill="auto"/>
            <w:noWrap/>
            <w:vAlign w:val="bottom"/>
            <w:hideMark/>
          </w:tcPr>
          <w:p w14:paraId="4C1C0152" w14:textId="77777777" w:rsidR="00E07294" w:rsidRPr="00701F32" w:rsidRDefault="00E07294" w:rsidP="00464C0F">
            <w:pPr>
              <w:rPr>
                <w:sz w:val="20"/>
                <w:lang w:eastAsia="es-AR"/>
              </w:rPr>
            </w:pPr>
          </w:p>
        </w:tc>
        <w:tc>
          <w:tcPr>
            <w:tcW w:w="894" w:type="dxa"/>
            <w:tcBorders>
              <w:top w:val="nil"/>
              <w:left w:val="nil"/>
              <w:bottom w:val="nil"/>
              <w:right w:val="nil"/>
            </w:tcBorders>
            <w:shd w:val="clear" w:color="auto" w:fill="auto"/>
            <w:noWrap/>
            <w:vAlign w:val="bottom"/>
            <w:hideMark/>
          </w:tcPr>
          <w:p w14:paraId="696B79BC" w14:textId="77777777" w:rsidR="00E07294" w:rsidRPr="00701F32" w:rsidRDefault="00E07294" w:rsidP="00464C0F">
            <w:pPr>
              <w:rPr>
                <w:sz w:val="20"/>
                <w:lang w:eastAsia="es-AR"/>
              </w:rPr>
            </w:pPr>
          </w:p>
        </w:tc>
        <w:tc>
          <w:tcPr>
            <w:tcW w:w="894" w:type="dxa"/>
            <w:tcBorders>
              <w:top w:val="nil"/>
              <w:left w:val="nil"/>
              <w:bottom w:val="nil"/>
              <w:right w:val="single" w:sz="4" w:space="0" w:color="auto"/>
            </w:tcBorders>
            <w:shd w:val="clear" w:color="auto" w:fill="auto"/>
            <w:noWrap/>
            <w:vAlign w:val="bottom"/>
            <w:hideMark/>
          </w:tcPr>
          <w:p w14:paraId="5B29FE0F"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r>
      <w:tr w:rsidR="00E07294" w:rsidRPr="00701F32" w14:paraId="06503DCC"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430AB417"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Ordinarias escriturales clase B</w:t>
            </w:r>
          </w:p>
        </w:tc>
        <w:tc>
          <w:tcPr>
            <w:tcW w:w="1058" w:type="dxa"/>
            <w:tcBorders>
              <w:top w:val="nil"/>
              <w:left w:val="nil"/>
              <w:bottom w:val="nil"/>
              <w:right w:val="nil"/>
            </w:tcBorders>
            <w:shd w:val="clear" w:color="auto" w:fill="auto"/>
            <w:noWrap/>
            <w:vAlign w:val="bottom"/>
            <w:hideMark/>
          </w:tcPr>
          <w:p w14:paraId="0CABB332"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743.455.980 </w:t>
            </w:r>
          </w:p>
        </w:tc>
        <w:tc>
          <w:tcPr>
            <w:tcW w:w="694" w:type="dxa"/>
            <w:tcBorders>
              <w:top w:val="nil"/>
              <w:left w:val="nil"/>
              <w:bottom w:val="nil"/>
              <w:right w:val="nil"/>
            </w:tcBorders>
            <w:shd w:val="clear" w:color="auto" w:fill="auto"/>
            <w:noWrap/>
            <w:vAlign w:val="bottom"/>
            <w:hideMark/>
          </w:tcPr>
          <w:p w14:paraId="32063AAA"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1 </w:t>
            </w:r>
          </w:p>
        </w:tc>
        <w:tc>
          <w:tcPr>
            <w:tcW w:w="197" w:type="dxa"/>
            <w:tcBorders>
              <w:top w:val="nil"/>
              <w:left w:val="nil"/>
              <w:bottom w:val="nil"/>
              <w:right w:val="nil"/>
            </w:tcBorders>
            <w:shd w:val="clear" w:color="auto" w:fill="auto"/>
            <w:noWrap/>
            <w:vAlign w:val="bottom"/>
            <w:hideMark/>
          </w:tcPr>
          <w:p w14:paraId="340559C2" w14:textId="77777777" w:rsidR="00E07294" w:rsidRPr="00701F32" w:rsidRDefault="00E07294" w:rsidP="00464C0F">
            <w:pPr>
              <w:jc w:val="right"/>
              <w:rPr>
                <w:rFonts w:ascii="Arial" w:hAnsi="Arial" w:cs="Arial"/>
                <w:sz w:val="16"/>
                <w:szCs w:val="16"/>
                <w:lang w:eastAsia="es-AR"/>
              </w:rPr>
            </w:pPr>
          </w:p>
        </w:tc>
        <w:tc>
          <w:tcPr>
            <w:tcW w:w="1011" w:type="dxa"/>
            <w:tcBorders>
              <w:top w:val="nil"/>
              <w:left w:val="nil"/>
              <w:bottom w:val="nil"/>
              <w:right w:val="nil"/>
            </w:tcBorders>
            <w:shd w:val="clear" w:color="auto" w:fill="auto"/>
            <w:noWrap/>
            <w:vAlign w:val="bottom"/>
            <w:hideMark/>
          </w:tcPr>
          <w:p w14:paraId="4C5144B0"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743.456 </w:t>
            </w:r>
          </w:p>
        </w:tc>
        <w:tc>
          <w:tcPr>
            <w:tcW w:w="723" w:type="dxa"/>
            <w:tcBorders>
              <w:top w:val="nil"/>
              <w:left w:val="nil"/>
              <w:bottom w:val="nil"/>
              <w:right w:val="nil"/>
            </w:tcBorders>
            <w:shd w:val="clear" w:color="auto" w:fill="auto"/>
            <w:noWrap/>
            <w:vAlign w:val="bottom"/>
            <w:hideMark/>
          </w:tcPr>
          <w:p w14:paraId="64C4EC47"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622" w:type="dxa"/>
            <w:tcBorders>
              <w:top w:val="nil"/>
              <w:left w:val="nil"/>
              <w:bottom w:val="nil"/>
              <w:right w:val="nil"/>
            </w:tcBorders>
            <w:shd w:val="clear" w:color="auto" w:fill="auto"/>
            <w:noWrap/>
            <w:vAlign w:val="bottom"/>
            <w:hideMark/>
          </w:tcPr>
          <w:p w14:paraId="71A93F8C"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676" w:type="dxa"/>
            <w:tcBorders>
              <w:top w:val="nil"/>
              <w:left w:val="nil"/>
              <w:bottom w:val="nil"/>
              <w:right w:val="nil"/>
            </w:tcBorders>
            <w:shd w:val="clear" w:color="auto" w:fill="auto"/>
            <w:noWrap/>
            <w:vAlign w:val="bottom"/>
            <w:hideMark/>
          </w:tcPr>
          <w:p w14:paraId="04F7E350"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1084" w:type="dxa"/>
            <w:tcBorders>
              <w:top w:val="nil"/>
              <w:left w:val="nil"/>
              <w:bottom w:val="nil"/>
              <w:right w:val="nil"/>
            </w:tcBorders>
            <w:shd w:val="clear" w:color="auto" w:fill="auto"/>
            <w:noWrap/>
            <w:vAlign w:val="bottom"/>
            <w:hideMark/>
          </w:tcPr>
          <w:p w14:paraId="34D81482"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894" w:type="dxa"/>
            <w:tcBorders>
              <w:top w:val="nil"/>
              <w:left w:val="nil"/>
              <w:bottom w:val="nil"/>
              <w:right w:val="nil"/>
            </w:tcBorders>
            <w:shd w:val="clear" w:color="auto" w:fill="auto"/>
            <w:noWrap/>
            <w:vAlign w:val="bottom"/>
            <w:hideMark/>
          </w:tcPr>
          <w:p w14:paraId="60978BA7"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894" w:type="dxa"/>
            <w:tcBorders>
              <w:top w:val="nil"/>
              <w:left w:val="nil"/>
              <w:bottom w:val="nil"/>
              <w:right w:val="single" w:sz="4" w:space="0" w:color="auto"/>
            </w:tcBorders>
            <w:shd w:val="clear" w:color="auto" w:fill="auto"/>
            <w:noWrap/>
            <w:vAlign w:val="bottom"/>
            <w:hideMark/>
          </w:tcPr>
          <w:p w14:paraId="30D56A00" w14:textId="77777777" w:rsidR="00E07294" w:rsidRPr="00701F32" w:rsidRDefault="00E07294" w:rsidP="00464C0F">
            <w:pPr>
              <w:jc w:val="right"/>
              <w:rPr>
                <w:rFonts w:ascii="Arial" w:hAnsi="Arial" w:cs="Arial"/>
                <w:sz w:val="16"/>
                <w:szCs w:val="16"/>
                <w:lang w:eastAsia="es-AR"/>
              </w:rPr>
            </w:pPr>
            <w:r w:rsidRPr="00701F32">
              <w:rPr>
                <w:rFonts w:ascii="Arial" w:hAnsi="Arial" w:cs="Arial"/>
                <w:sz w:val="16"/>
                <w:szCs w:val="16"/>
                <w:lang w:eastAsia="es-AR"/>
              </w:rPr>
              <w:t xml:space="preserve">743.456 </w:t>
            </w:r>
          </w:p>
        </w:tc>
      </w:tr>
      <w:tr w:rsidR="00E07294" w:rsidRPr="00701F32" w14:paraId="58AE9457" w14:textId="77777777" w:rsidTr="00831174">
        <w:trPr>
          <w:trHeight w:val="220"/>
        </w:trPr>
        <w:tc>
          <w:tcPr>
            <w:tcW w:w="1773" w:type="dxa"/>
            <w:tcBorders>
              <w:top w:val="nil"/>
              <w:left w:val="single" w:sz="4" w:space="0" w:color="auto"/>
              <w:bottom w:val="nil"/>
              <w:right w:val="nil"/>
            </w:tcBorders>
            <w:shd w:val="clear" w:color="auto" w:fill="auto"/>
            <w:noWrap/>
            <w:vAlign w:val="bottom"/>
            <w:hideMark/>
          </w:tcPr>
          <w:p w14:paraId="4F5F6CA3"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58" w:type="dxa"/>
            <w:tcBorders>
              <w:top w:val="nil"/>
              <w:left w:val="nil"/>
              <w:bottom w:val="nil"/>
              <w:right w:val="nil"/>
            </w:tcBorders>
            <w:shd w:val="clear" w:color="auto" w:fill="auto"/>
            <w:noWrap/>
            <w:vAlign w:val="bottom"/>
            <w:hideMark/>
          </w:tcPr>
          <w:p w14:paraId="1AD78587" w14:textId="77777777" w:rsidR="00E07294" w:rsidRPr="00701F32" w:rsidRDefault="00E07294" w:rsidP="00464C0F">
            <w:pPr>
              <w:rPr>
                <w:rFonts w:ascii="Arial" w:hAnsi="Arial" w:cs="Arial"/>
                <w:sz w:val="16"/>
                <w:szCs w:val="16"/>
                <w:lang w:eastAsia="es-AR"/>
              </w:rPr>
            </w:pPr>
          </w:p>
        </w:tc>
        <w:tc>
          <w:tcPr>
            <w:tcW w:w="694" w:type="dxa"/>
            <w:tcBorders>
              <w:top w:val="nil"/>
              <w:left w:val="nil"/>
              <w:bottom w:val="nil"/>
              <w:right w:val="nil"/>
            </w:tcBorders>
            <w:shd w:val="clear" w:color="auto" w:fill="auto"/>
            <w:noWrap/>
            <w:vAlign w:val="bottom"/>
            <w:hideMark/>
          </w:tcPr>
          <w:p w14:paraId="592A5D7D" w14:textId="77777777" w:rsidR="00E07294" w:rsidRPr="00701F32" w:rsidRDefault="00E07294" w:rsidP="00464C0F">
            <w:pPr>
              <w:rPr>
                <w:sz w:val="20"/>
                <w:lang w:eastAsia="es-AR"/>
              </w:rPr>
            </w:pPr>
          </w:p>
        </w:tc>
        <w:tc>
          <w:tcPr>
            <w:tcW w:w="197" w:type="dxa"/>
            <w:tcBorders>
              <w:top w:val="nil"/>
              <w:left w:val="nil"/>
              <w:bottom w:val="nil"/>
              <w:right w:val="nil"/>
            </w:tcBorders>
            <w:shd w:val="clear" w:color="auto" w:fill="auto"/>
            <w:noWrap/>
            <w:vAlign w:val="bottom"/>
            <w:hideMark/>
          </w:tcPr>
          <w:p w14:paraId="49516F42" w14:textId="77777777" w:rsidR="00E07294" w:rsidRPr="00701F32" w:rsidRDefault="00E07294" w:rsidP="00464C0F">
            <w:pPr>
              <w:jc w:val="center"/>
              <w:rPr>
                <w:sz w:val="20"/>
                <w:lang w:eastAsia="es-AR"/>
              </w:rPr>
            </w:pPr>
          </w:p>
        </w:tc>
        <w:tc>
          <w:tcPr>
            <w:tcW w:w="1011" w:type="dxa"/>
            <w:tcBorders>
              <w:top w:val="nil"/>
              <w:left w:val="nil"/>
              <w:bottom w:val="single" w:sz="4" w:space="0" w:color="auto"/>
              <w:right w:val="nil"/>
            </w:tcBorders>
            <w:shd w:val="clear" w:color="auto" w:fill="auto"/>
            <w:noWrap/>
            <w:vAlign w:val="bottom"/>
            <w:hideMark/>
          </w:tcPr>
          <w:p w14:paraId="54261190"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723" w:type="dxa"/>
            <w:tcBorders>
              <w:top w:val="nil"/>
              <w:left w:val="nil"/>
              <w:bottom w:val="single" w:sz="4" w:space="0" w:color="auto"/>
              <w:right w:val="nil"/>
            </w:tcBorders>
            <w:shd w:val="clear" w:color="auto" w:fill="auto"/>
            <w:noWrap/>
            <w:vAlign w:val="bottom"/>
            <w:hideMark/>
          </w:tcPr>
          <w:p w14:paraId="537CB24E"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622" w:type="dxa"/>
            <w:tcBorders>
              <w:top w:val="nil"/>
              <w:left w:val="nil"/>
              <w:bottom w:val="single" w:sz="4" w:space="0" w:color="auto"/>
              <w:right w:val="nil"/>
            </w:tcBorders>
            <w:shd w:val="clear" w:color="auto" w:fill="auto"/>
            <w:noWrap/>
            <w:vAlign w:val="bottom"/>
            <w:hideMark/>
          </w:tcPr>
          <w:p w14:paraId="71D130E0"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676" w:type="dxa"/>
            <w:tcBorders>
              <w:top w:val="nil"/>
              <w:left w:val="nil"/>
              <w:bottom w:val="single" w:sz="4" w:space="0" w:color="auto"/>
              <w:right w:val="nil"/>
            </w:tcBorders>
            <w:shd w:val="clear" w:color="auto" w:fill="auto"/>
            <w:noWrap/>
            <w:vAlign w:val="bottom"/>
            <w:hideMark/>
          </w:tcPr>
          <w:p w14:paraId="014CF9B7"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84" w:type="dxa"/>
            <w:tcBorders>
              <w:top w:val="nil"/>
              <w:left w:val="nil"/>
              <w:bottom w:val="single" w:sz="4" w:space="0" w:color="auto"/>
              <w:right w:val="nil"/>
            </w:tcBorders>
            <w:shd w:val="clear" w:color="auto" w:fill="auto"/>
            <w:noWrap/>
            <w:vAlign w:val="bottom"/>
            <w:hideMark/>
          </w:tcPr>
          <w:p w14:paraId="01148A2C"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894" w:type="dxa"/>
            <w:tcBorders>
              <w:top w:val="nil"/>
              <w:left w:val="nil"/>
              <w:bottom w:val="single" w:sz="4" w:space="0" w:color="auto"/>
              <w:right w:val="nil"/>
            </w:tcBorders>
            <w:shd w:val="clear" w:color="auto" w:fill="auto"/>
            <w:noWrap/>
            <w:vAlign w:val="bottom"/>
            <w:hideMark/>
          </w:tcPr>
          <w:p w14:paraId="0C055F4E"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894" w:type="dxa"/>
            <w:tcBorders>
              <w:top w:val="nil"/>
              <w:left w:val="nil"/>
              <w:bottom w:val="single" w:sz="4" w:space="0" w:color="auto"/>
              <w:right w:val="single" w:sz="4" w:space="0" w:color="auto"/>
            </w:tcBorders>
            <w:shd w:val="clear" w:color="auto" w:fill="auto"/>
            <w:noWrap/>
            <w:vAlign w:val="bottom"/>
            <w:hideMark/>
          </w:tcPr>
          <w:p w14:paraId="4525DD7B"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r>
      <w:tr w:rsidR="00E07294" w:rsidRPr="00701F32" w14:paraId="33B48B6A" w14:textId="77777777" w:rsidTr="00831174">
        <w:trPr>
          <w:trHeight w:val="220"/>
        </w:trPr>
        <w:tc>
          <w:tcPr>
            <w:tcW w:w="1773" w:type="dxa"/>
            <w:tcBorders>
              <w:top w:val="nil"/>
              <w:left w:val="single" w:sz="4" w:space="0" w:color="auto"/>
              <w:bottom w:val="single" w:sz="4" w:space="0" w:color="auto"/>
              <w:right w:val="nil"/>
            </w:tcBorders>
            <w:shd w:val="clear" w:color="auto" w:fill="auto"/>
            <w:noWrap/>
            <w:vAlign w:val="bottom"/>
            <w:hideMark/>
          </w:tcPr>
          <w:p w14:paraId="3C7DBA7A"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58" w:type="dxa"/>
            <w:tcBorders>
              <w:top w:val="nil"/>
              <w:left w:val="nil"/>
              <w:bottom w:val="single" w:sz="4" w:space="0" w:color="auto"/>
              <w:right w:val="nil"/>
            </w:tcBorders>
            <w:shd w:val="clear" w:color="auto" w:fill="auto"/>
            <w:noWrap/>
            <w:vAlign w:val="bottom"/>
            <w:hideMark/>
          </w:tcPr>
          <w:p w14:paraId="3E67B13D"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694" w:type="dxa"/>
            <w:tcBorders>
              <w:top w:val="nil"/>
              <w:left w:val="nil"/>
              <w:bottom w:val="single" w:sz="4" w:space="0" w:color="auto"/>
              <w:right w:val="nil"/>
            </w:tcBorders>
            <w:shd w:val="clear" w:color="auto" w:fill="auto"/>
            <w:noWrap/>
            <w:vAlign w:val="bottom"/>
            <w:hideMark/>
          </w:tcPr>
          <w:p w14:paraId="2B073F9D"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TOTAL </w:t>
            </w:r>
          </w:p>
        </w:tc>
        <w:tc>
          <w:tcPr>
            <w:tcW w:w="197" w:type="dxa"/>
            <w:tcBorders>
              <w:top w:val="nil"/>
              <w:left w:val="nil"/>
              <w:bottom w:val="single" w:sz="4" w:space="0" w:color="auto"/>
              <w:right w:val="nil"/>
            </w:tcBorders>
            <w:shd w:val="clear" w:color="auto" w:fill="auto"/>
            <w:noWrap/>
            <w:vAlign w:val="bottom"/>
            <w:hideMark/>
          </w:tcPr>
          <w:p w14:paraId="50202454" w14:textId="77777777" w:rsidR="00E07294" w:rsidRPr="00701F32" w:rsidRDefault="00E07294" w:rsidP="00464C0F">
            <w:pPr>
              <w:rPr>
                <w:rFonts w:ascii="Arial" w:hAnsi="Arial" w:cs="Arial"/>
                <w:sz w:val="16"/>
                <w:szCs w:val="16"/>
                <w:lang w:eastAsia="es-AR"/>
              </w:rPr>
            </w:pPr>
            <w:r w:rsidRPr="00701F32">
              <w:rPr>
                <w:rFonts w:ascii="Arial" w:hAnsi="Arial" w:cs="Arial"/>
                <w:sz w:val="16"/>
                <w:szCs w:val="16"/>
                <w:lang w:eastAsia="es-AR"/>
              </w:rPr>
              <w:t> </w:t>
            </w:r>
          </w:p>
        </w:tc>
        <w:tc>
          <w:tcPr>
            <w:tcW w:w="1011" w:type="dxa"/>
            <w:tcBorders>
              <w:top w:val="nil"/>
              <w:left w:val="nil"/>
              <w:bottom w:val="single" w:sz="4" w:space="0" w:color="auto"/>
              <w:right w:val="nil"/>
            </w:tcBorders>
            <w:shd w:val="clear" w:color="auto" w:fill="auto"/>
            <w:noWrap/>
            <w:vAlign w:val="bottom"/>
            <w:hideMark/>
          </w:tcPr>
          <w:p w14:paraId="7C1E907D"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744.386 </w:t>
            </w:r>
          </w:p>
        </w:tc>
        <w:tc>
          <w:tcPr>
            <w:tcW w:w="723" w:type="dxa"/>
            <w:tcBorders>
              <w:top w:val="nil"/>
              <w:left w:val="nil"/>
              <w:bottom w:val="single" w:sz="4" w:space="0" w:color="auto"/>
              <w:right w:val="nil"/>
            </w:tcBorders>
            <w:shd w:val="clear" w:color="auto" w:fill="auto"/>
            <w:noWrap/>
            <w:vAlign w:val="bottom"/>
            <w:hideMark/>
          </w:tcPr>
          <w:p w14:paraId="3B9A13C8"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622" w:type="dxa"/>
            <w:tcBorders>
              <w:top w:val="nil"/>
              <w:left w:val="nil"/>
              <w:bottom w:val="single" w:sz="4" w:space="0" w:color="auto"/>
              <w:right w:val="nil"/>
            </w:tcBorders>
            <w:shd w:val="clear" w:color="auto" w:fill="auto"/>
            <w:noWrap/>
            <w:vAlign w:val="bottom"/>
            <w:hideMark/>
          </w:tcPr>
          <w:p w14:paraId="20F5A99D"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676" w:type="dxa"/>
            <w:tcBorders>
              <w:top w:val="nil"/>
              <w:left w:val="nil"/>
              <w:bottom w:val="single" w:sz="4" w:space="0" w:color="auto"/>
              <w:right w:val="nil"/>
            </w:tcBorders>
            <w:shd w:val="clear" w:color="auto" w:fill="auto"/>
            <w:noWrap/>
            <w:vAlign w:val="bottom"/>
            <w:hideMark/>
          </w:tcPr>
          <w:p w14:paraId="0B78AA3B"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1084" w:type="dxa"/>
            <w:tcBorders>
              <w:top w:val="nil"/>
              <w:left w:val="nil"/>
              <w:bottom w:val="single" w:sz="4" w:space="0" w:color="auto"/>
              <w:right w:val="nil"/>
            </w:tcBorders>
            <w:shd w:val="clear" w:color="auto" w:fill="auto"/>
            <w:noWrap/>
            <w:vAlign w:val="bottom"/>
            <w:hideMark/>
          </w:tcPr>
          <w:p w14:paraId="2F2743C5"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894" w:type="dxa"/>
            <w:tcBorders>
              <w:top w:val="nil"/>
              <w:left w:val="nil"/>
              <w:bottom w:val="single" w:sz="4" w:space="0" w:color="auto"/>
              <w:right w:val="nil"/>
            </w:tcBorders>
            <w:shd w:val="clear" w:color="auto" w:fill="auto"/>
            <w:noWrap/>
            <w:vAlign w:val="bottom"/>
            <w:hideMark/>
          </w:tcPr>
          <w:p w14:paraId="105FA819"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894" w:type="dxa"/>
            <w:tcBorders>
              <w:top w:val="nil"/>
              <w:left w:val="nil"/>
              <w:bottom w:val="single" w:sz="4" w:space="0" w:color="auto"/>
              <w:right w:val="single" w:sz="4" w:space="0" w:color="auto"/>
            </w:tcBorders>
            <w:shd w:val="clear" w:color="auto" w:fill="auto"/>
            <w:noWrap/>
            <w:vAlign w:val="bottom"/>
            <w:hideMark/>
          </w:tcPr>
          <w:p w14:paraId="40C07E28" w14:textId="77777777" w:rsidR="00E07294" w:rsidRPr="00701F32" w:rsidRDefault="00E07294"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744.386 </w:t>
            </w:r>
          </w:p>
        </w:tc>
      </w:tr>
    </w:tbl>
    <w:p w14:paraId="305534E7" w14:textId="77777777" w:rsidR="00E07294" w:rsidRPr="00701F32" w:rsidRDefault="00E07294" w:rsidP="00E07294">
      <w:pPr>
        <w:jc w:val="both"/>
        <w:rPr>
          <w:rFonts w:ascii="Arial" w:hAnsi="Arial" w:cs="Arial"/>
          <w:color w:val="0070C0"/>
          <w:sz w:val="20"/>
        </w:rPr>
      </w:pPr>
    </w:p>
    <w:p w14:paraId="4FDB6220" w14:textId="78CEFC93" w:rsidR="00E07294" w:rsidRPr="00701F32" w:rsidRDefault="00E07294" w:rsidP="00E07294">
      <w:pPr>
        <w:jc w:val="both"/>
        <w:rPr>
          <w:rFonts w:ascii="Arial" w:hAnsi="Arial" w:cs="Arial"/>
          <w:sz w:val="20"/>
        </w:rPr>
      </w:pPr>
      <w:r w:rsidRPr="00701F32">
        <w:rPr>
          <w:rFonts w:ascii="Arial" w:hAnsi="Arial" w:cs="Arial"/>
          <w:sz w:val="20"/>
        </w:rPr>
        <w:t xml:space="preserve">Al 31 de diciembre de 2017 la reserva facultativa constituida por la asamblea asciende a 2.497.308 y la reserva legal a 676.447. </w:t>
      </w:r>
    </w:p>
    <w:p w14:paraId="2E504828" w14:textId="77777777" w:rsidR="00E07294" w:rsidRPr="00701F32" w:rsidRDefault="00E07294" w:rsidP="00E07294">
      <w:pPr>
        <w:jc w:val="both"/>
        <w:rPr>
          <w:rFonts w:ascii="Arial" w:eastAsia="Arial" w:hAnsi="Arial" w:cs="Arial"/>
          <w:bCs/>
          <w:noProof/>
          <w:color w:val="000000"/>
          <w:sz w:val="20"/>
        </w:rPr>
      </w:pPr>
    </w:p>
    <w:p w14:paraId="58ECFAE6" w14:textId="77777777" w:rsidR="00E07294" w:rsidRPr="00701F32" w:rsidRDefault="00AD5EDB" w:rsidP="00E07294">
      <w:pPr>
        <w:jc w:val="both"/>
        <w:rPr>
          <w:rFonts w:ascii="Arial" w:eastAsia="Calibri" w:hAnsi="Arial" w:cs="Arial"/>
          <w:b/>
          <w:sz w:val="20"/>
          <w:lang w:val="es-PE" w:eastAsia="es-PE"/>
        </w:rPr>
      </w:pPr>
      <w:r w:rsidRPr="00701F32">
        <w:rPr>
          <w:rFonts w:ascii="Arial" w:eastAsia="Calibri" w:hAnsi="Arial" w:cs="Arial"/>
          <w:b/>
          <w:sz w:val="20"/>
          <w:lang w:val="es-PE" w:eastAsia="es-PE"/>
        </w:rPr>
        <w:t>17</w:t>
      </w:r>
      <w:r w:rsidR="00E07294" w:rsidRPr="00701F32">
        <w:rPr>
          <w:rFonts w:ascii="Arial" w:eastAsia="Calibri" w:hAnsi="Arial" w:cs="Arial"/>
          <w:b/>
          <w:sz w:val="20"/>
          <w:lang w:val="es-PE" w:eastAsia="es-PE"/>
        </w:rPr>
        <w:t>.</w:t>
      </w:r>
      <w:r w:rsidR="00136660" w:rsidRPr="00701F32">
        <w:rPr>
          <w:rFonts w:ascii="Arial" w:eastAsia="Calibri" w:hAnsi="Arial" w:cs="Arial"/>
          <w:b/>
          <w:sz w:val="20"/>
          <w:lang w:val="es-PE" w:eastAsia="es-PE"/>
        </w:rPr>
        <w:t xml:space="preserve">15 </w:t>
      </w:r>
      <w:r w:rsidR="00E07294" w:rsidRPr="00701F32">
        <w:rPr>
          <w:rFonts w:ascii="Arial" w:eastAsia="Calibri" w:hAnsi="Arial" w:cs="Arial"/>
          <w:b/>
          <w:sz w:val="20"/>
          <w:lang w:val="es-PE" w:eastAsia="es-PE"/>
        </w:rPr>
        <w:t xml:space="preserve">Utilidad por Acción </w:t>
      </w:r>
    </w:p>
    <w:p w14:paraId="166237A1" w14:textId="77777777" w:rsidR="00E07294" w:rsidRPr="00701F32" w:rsidRDefault="00E07294" w:rsidP="00E07294">
      <w:pPr>
        <w:jc w:val="both"/>
        <w:rPr>
          <w:rFonts w:ascii="Arial" w:eastAsia="Calibri" w:hAnsi="Arial" w:cs="Arial"/>
          <w:b/>
          <w:sz w:val="20"/>
          <w:lang w:val="es-PE" w:eastAsia="es-PE"/>
        </w:rPr>
      </w:pPr>
    </w:p>
    <w:p w14:paraId="50FCC872" w14:textId="29770F82" w:rsidR="00E07294" w:rsidRPr="00701F32" w:rsidRDefault="00E07294" w:rsidP="00E07294">
      <w:pPr>
        <w:ind w:right="119"/>
        <w:jc w:val="both"/>
        <w:rPr>
          <w:rFonts w:ascii="Arial" w:eastAsia="Calibri" w:hAnsi="Arial" w:cs="Arial"/>
          <w:sz w:val="20"/>
          <w:lang w:eastAsia="es-PE"/>
        </w:rPr>
      </w:pPr>
      <w:r w:rsidRPr="00701F32">
        <w:rPr>
          <w:rFonts w:ascii="Arial" w:eastAsia="Calibri" w:hAnsi="Arial" w:cs="Arial"/>
          <w:sz w:val="20"/>
          <w:lang w:eastAsia="es-PE"/>
        </w:rPr>
        <w:t xml:space="preserve">La utilidad por acción se calcula dividiendo la utilidad atribuible a </w:t>
      </w:r>
      <w:r w:rsidR="00112DBE" w:rsidRPr="00701F32">
        <w:rPr>
          <w:rFonts w:ascii="Arial" w:eastAsia="Calibri" w:hAnsi="Arial" w:cs="Arial"/>
          <w:sz w:val="20"/>
          <w:lang w:eastAsia="es-PE"/>
        </w:rPr>
        <w:t>los propietarios de la controlante</w:t>
      </w:r>
      <w:r w:rsidRPr="00701F32">
        <w:rPr>
          <w:rFonts w:ascii="Arial" w:eastAsia="Calibri" w:hAnsi="Arial" w:cs="Arial"/>
          <w:sz w:val="20"/>
          <w:lang w:eastAsia="es-PE"/>
        </w:rPr>
        <w:t xml:space="preserve"> entre el promedio ponderado de las acciones </w:t>
      </w:r>
      <w:r w:rsidR="00112DBE" w:rsidRPr="00701F32">
        <w:rPr>
          <w:rFonts w:ascii="Arial" w:eastAsia="Calibri" w:hAnsi="Arial" w:cs="Arial"/>
          <w:sz w:val="20"/>
          <w:lang w:eastAsia="es-PE"/>
        </w:rPr>
        <w:t xml:space="preserve">ordinarias </w:t>
      </w:r>
      <w:r w:rsidRPr="00701F32">
        <w:rPr>
          <w:rFonts w:ascii="Arial" w:eastAsia="Calibri" w:hAnsi="Arial" w:cs="Arial"/>
          <w:sz w:val="20"/>
          <w:lang w:eastAsia="es-PE"/>
        </w:rPr>
        <w:t>en circulación en el año. Dado que el Banco no posee acciones preferidas ni deuda convertible en acciones, el resultado básico es igual al resultado diluido por acción.</w:t>
      </w:r>
    </w:p>
    <w:p w14:paraId="0CA296A8" w14:textId="77777777" w:rsidR="00E07294" w:rsidRPr="00701F32" w:rsidRDefault="00E07294" w:rsidP="00E07294">
      <w:pPr>
        <w:ind w:right="119"/>
        <w:jc w:val="both"/>
        <w:rPr>
          <w:rFonts w:ascii="Arial" w:eastAsia="Calibri" w:hAnsi="Arial" w:cs="Arial"/>
          <w:sz w:val="20"/>
          <w:lang w:eastAsia="es-PE"/>
        </w:rPr>
      </w:pPr>
    </w:p>
    <w:tbl>
      <w:tblPr>
        <w:tblW w:w="7588" w:type="dxa"/>
        <w:jc w:val="center"/>
        <w:tblCellMar>
          <w:left w:w="70" w:type="dxa"/>
          <w:right w:w="70" w:type="dxa"/>
        </w:tblCellMar>
        <w:tblLook w:val="04A0" w:firstRow="1" w:lastRow="0" w:firstColumn="1" w:lastColumn="0" w:noHBand="0" w:noVBand="1"/>
      </w:tblPr>
      <w:tblGrid>
        <w:gridCol w:w="6359"/>
        <w:gridCol w:w="1229"/>
      </w:tblGrid>
      <w:tr w:rsidR="00D2026A" w:rsidRPr="00701F32" w14:paraId="37B57640" w14:textId="77777777" w:rsidTr="00712ADC">
        <w:trPr>
          <w:trHeight w:val="228"/>
          <w:tblHeader/>
          <w:jc w:val="center"/>
        </w:trPr>
        <w:tc>
          <w:tcPr>
            <w:tcW w:w="6359" w:type="dxa"/>
            <w:tcBorders>
              <w:bottom w:val="single" w:sz="4" w:space="0" w:color="auto"/>
              <w:right w:val="single" w:sz="4" w:space="0" w:color="auto"/>
            </w:tcBorders>
            <w:shd w:val="clear" w:color="auto" w:fill="auto"/>
            <w:noWrap/>
            <w:vAlign w:val="bottom"/>
            <w:hideMark/>
          </w:tcPr>
          <w:p w14:paraId="547A6B52" w14:textId="77777777" w:rsidR="00D2026A" w:rsidRPr="00701F32" w:rsidRDefault="00D2026A" w:rsidP="00464C0F">
            <w:pPr>
              <w:jc w:val="both"/>
              <w:rPr>
                <w:rFonts w:ascii="Arial" w:hAnsi="Arial" w:cs="Arial"/>
                <w:color w:val="000000"/>
                <w:sz w:val="20"/>
                <w:lang w:eastAsia="es-AR"/>
              </w:rPr>
            </w:pPr>
            <w:r w:rsidRPr="00701F32">
              <w:rPr>
                <w:rFonts w:ascii="Arial" w:hAnsi="Arial" w:cs="Arial"/>
                <w:color w:val="000000"/>
                <w:sz w:val="20"/>
                <w:lang w:eastAsia="es-AR"/>
              </w:rPr>
              <w:t>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3FCC8" w14:textId="77777777" w:rsidR="00D2026A" w:rsidRPr="00701F32" w:rsidRDefault="00D2026A" w:rsidP="00464C0F">
            <w:pPr>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D2026A" w:rsidRPr="00701F32" w14:paraId="0AB79C5C" w14:textId="77777777" w:rsidTr="00712ADC">
        <w:trPr>
          <w:trHeight w:val="228"/>
          <w:jc w:val="center"/>
        </w:trPr>
        <w:tc>
          <w:tcPr>
            <w:tcW w:w="6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636D0" w14:textId="579AC884" w:rsidR="00D2026A" w:rsidRPr="00701F32" w:rsidRDefault="00D2026A">
            <w:pPr>
              <w:jc w:val="both"/>
              <w:rPr>
                <w:rFonts w:ascii="Arial" w:hAnsi="Arial" w:cs="Arial"/>
                <w:color w:val="000000"/>
                <w:sz w:val="20"/>
                <w:lang w:eastAsia="es-AR"/>
              </w:rPr>
            </w:pPr>
            <w:r w:rsidRPr="00701F32">
              <w:rPr>
                <w:rFonts w:ascii="Arial" w:hAnsi="Arial" w:cs="Arial"/>
                <w:color w:val="000000"/>
                <w:sz w:val="20"/>
                <w:lang w:eastAsia="es-AR"/>
              </w:rPr>
              <w:t xml:space="preserve">Utilidad atribuible a </w:t>
            </w:r>
            <w:r w:rsidR="00112DBE" w:rsidRPr="00701F32">
              <w:rPr>
                <w:rFonts w:ascii="Arial" w:hAnsi="Arial" w:cs="Arial"/>
                <w:color w:val="000000"/>
                <w:sz w:val="20"/>
                <w:lang w:eastAsia="es-AR"/>
              </w:rPr>
              <w:t>los propietarios de la controlante</w:t>
            </w:r>
          </w:p>
        </w:tc>
        <w:tc>
          <w:tcPr>
            <w:tcW w:w="1229" w:type="dxa"/>
            <w:tcBorders>
              <w:top w:val="nil"/>
              <w:left w:val="nil"/>
              <w:bottom w:val="single" w:sz="4" w:space="0" w:color="auto"/>
              <w:right w:val="single" w:sz="4" w:space="0" w:color="auto"/>
            </w:tcBorders>
            <w:shd w:val="clear" w:color="auto" w:fill="auto"/>
            <w:noWrap/>
            <w:vAlign w:val="bottom"/>
            <w:hideMark/>
          </w:tcPr>
          <w:p w14:paraId="02F1A0EF" w14:textId="77777777" w:rsidR="00D2026A" w:rsidRPr="00701F32" w:rsidRDefault="00D2026A" w:rsidP="00464C0F">
            <w:pPr>
              <w:jc w:val="right"/>
              <w:rPr>
                <w:rFonts w:ascii="Arial" w:hAnsi="Arial" w:cs="Arial"/>
                <w:color w:val="000000"/>
                <w:sz w:val="20"/>
                <w:lang w:eastAsia="es-AR"/>
              </w:rPr>
            </w:pPr>
            <w:r w:rsidRPr="00701F32">
              <w:rPr>
                <w:rFonts w:ascii="Arial" w:hAnsi="Arial" w:cs="Arial"/>
                <w:color w:val="000000"/>
                <w:sz w:val="20"/>
                <w:lang w:eastAsia="es-AR"/>
              </w:rPr>
              <w:t>796.799</w:t>
            </w:r>
          </w:p>
        </w:tc>
      </w:tr>
      <w:tr w:rsidR="00D2026A" w:rsidRPr="00701F32" w14:paraId="316F7FE6" w14:textId="77777777" w:rsidTr="00712ADC">
        <w:trPr>
          <w:trHeight w:val="228"/>
          <w:jc w:val="center"/>
        </w:trPr>
        <w:tc>
          <w:tcPr>
            <w:tcW w:w="6359" w:type="dxa"/>
            <w:tcBorders>
              <w:top w:val="nil"/>
              <w:left w:val="single" w:sz="4" w:space="0" w:color="auto"/>
              <w:bottom w:val="single" w:sz="4" w:space="0" w:color="auto"/>
              <w:right w:val="single" w:sz="4" w:space="0" w:color="auto"/>
            </w:tcBorders>
            <w:shd w:val="clear" w:color="auto" w:fill="auto"/>
            <w:noWrap/>
            <w:vAlign w:val="bottom"/>
            <w:hideMark/>
          </w:tcPr>
          <w:p w14:paraId="40F63D5B" w14:textId="77777777" w:rsidR="00D2026A" w:rsidRPr="00701F32" w:rsidRDefault="00D2026A" w:rsidP="00464C0F">
            <w:pPr>
              <w:jc w:val="both"/>
              <w:rPr>
                <w:rFonts w:ascii="Arial" w:hAnsi="Arial" w:cs="Arial"/>
                <w:color w:val="000000"/>
                <w:sz w:val="20"/>
                <w:lang w:eastAsia="es-AR"/>
              </w:rPr>
            </w:pPr>
            <w:r w:rsidRPr="00701F32">
              <w:rPr>
                <w:rFonts w:ascii="Arial" w:hAnsi="Arial" w:cs="Arial"/>
                <w:color w:val="000000"/>
                <w:sz w:val="20"/>
                <w:lang w:eastAsia="es-AR"/>
              </w:rPr>
              <w:t>Promedio ponderado de acciones en circulación (miles)</w:t>
            </w:r>
          </w:p>
        </w:tc>
        <w:tc>
          <w:tcPr>
            <w:tcW w:w="1229" w:type="dxa"/>
            <w:tcBorders>
              <w:top w:val="nil"/>
              <w:left w:val="nil"/>
              <w:bottom w:val="single" w:sz="4" w:space="0" w:color="auto"/>
              <w:right w:val="single" w:sz="4" w:space="0" w:color="auto"/>
            </w:tcBorders>
            <w:shd w:val="clear" w:color="auto" w:fill="auto"/>
            <w:noWrap/>
            <w:vAlign w:val="bottom"/>
            <w:hideMark/>
          </w:tcPr>
          <w:p w14:paraId="419CA4EA" w14:textId="77777777" w:rsidR="00D2026A" w:rsidRPr="00701F32" w:rsidRDefault="00D2026A" w:rsidP="00464C0F">
            <w:pPr>
              <w:jc w:val="right"/>
              <w:rPr>
                <w:rFonts w:ascii="Arial" w:hAnsi="Arial" w:cs="Arial"/>
                <w:color w:val="000000"/>
                <w:sz w:val="20"/>
                <w:lang w:eastAsia="es-AR"/>
              </w:rPr>
            </w:pPr>
            <w:r w:rsidRPr="00701F32">
              <w:rPr>
                <w:rFonts w:ascii="Arial" w:hAnsi="Arial" w:cs="Arial"/>
                <w:color w:val="000000"/>
                <w:sz w:val="20"/>
                <w:lang w:eastAsia="es-AR"/>
              </w:rPr>
              <w:t>650.228</w:t>
            </w:r>
          </w:p>
        </w:tc>
      </w:tr>
      <w:tr w:rsidR="00D2026A" w:rsidRPr="00701F32" w14:paraId="4F7BA0AD" w14:textId="77777777" w:rsidTr="00712ADC">
        <w:trPr>
          <w:trHeight w:val="228"/>
          <w:jc w:val="center"/>
        </w:trPr>
        <w:tc>
          <w:tcPr>
            <w:tcW w:w="6359" w:type="dxa"/>
            <w:tcBorders>
              <w:top w:val="nil"/>
              <w:left w:val="single" w:sz="4" w:space="0" w:color="auto"/>
              <w:bottom w:val="single" w:sz="4" w:space="0" w:color="auto"/>
              <w:right w:val="single" w:sz="4" w:space="0" w:color="auto"/>
            </w:tcBorders>
            <w:shd w:val="clear" w:color="auto" w:fill="auto"/>
            <w:noWrap/>
            <w:vAlign w:val="bottom"/>
            <w:hideMark/>
          </w:tcPr>
          <w:p w14:paraId="1D8A5AB2" w14:textId="77777777" w:rsidR="00D2026A" w:rsidRPr="00701F32" w:rsidRDefault="00D2026A" w:rsidP="00464C0F">
            <w:pPr>
              <w:jc w:val="both"/>
              <w:rPr>
                <w:rFonts w:ascii="Arial" w:hAnsi="Arial" w:cs="Arial"/>
                <w:b/>
                <w:bCs/>
                <w:color w:val="000000"/>
                <w:sz w:val="20"/>
                <w:lang w:eastAsia="es-AR"/>
              </w:rPr>
            </w:pPr>
            <w:r w:rsidRPr="00701F32">
              <w:rPr>
                <w:rFonts w:ascii="Arial" w:hAnsi="Arial" w:cs="Arial"/>
                <w:b/>
                <w:bCs/>
                <w:color w:val="000000"/>
                <w:sz w:val="20"/>
                <w:lang w:eastAsia="es-AR"/>
              </w:rPr>
              <w:t>Utilidad por Acción</w:t>
            </w:r>
          </w:p>
        </w:tc>
        <w:tc>
          <w:tcPr>
            <w:tcW w:w="1229" w:type="dxa"/>
            <w:tcBorders>
              <w:top w:val="nil"/>
              <w:left w:val="nil"/>
              <w:bottom w:val="single" w:sz="4" w:space="0" w:color="auto"/>
              <w:right w:val="single" w:sz="4" w:space="0" w:color="auto"/>
            </w:tcBorders>
            <w:shd w:val="clear" w:color="auto" w:fill="auto"/>
            <w:noWrap/>
            <w:vAlign w:val="bottom"/>
            <w:hideMark/>
          </w:tcPr>
          <w:p w14:paraId="5FC624B8" w14:textId="77777777" w:rsidR="00D2026A" w:rsidRPr="00701F32" w:rsidRDefault="00D2026A" w:rsidP="00464C0F">
            <w:pPr>
              <w:jc w:val="right"/>
              <w:rPr>
                <w:rFonts w:ascii="Arial" w:hAnsi="Arial" w:cs="Arial"/>
                <w:b/>
                <w:bCs/>
                <w:color w:val="000000"/>
                <w:sz w:val="20"/>
                <w:lang w:eastAsia="es-AR"/>
              </w:rPr>
            </w:pPr>
            <w:r w:rsidRPr="00701F32">
              <w:rPr>
                <w:rFonts w:ascii="Arial" w:hAnsi="Arial" w:cs="Arial"/>
                <w:b/>
                <w:bCs/>
                <w:color w:val="000000"/>
                <w:sz w:val="20"/>
                <w:lang w:eastAsia="es-AR"/>
              </w:rPr>
              <w:t>1,2254</w:t>
            </w:r>
          </w:p>
        </w:tc>
      </w:tr>
    </w:tbl>
    <w:p w14:paraId="1F016C73" w14:textId="77777777" w:rsidR="005C4329" w:rsidRPr="00701F32" w:rsidRDefault="005C4329" w:rsidP="00E07294">
      <w:pPr>
        <w:autoSpaceDE w:val="0"/>
        <w:autoSpaceDN w:val="0"/>
        <w:adjustRightInd w:val="0"/>
        <w:spacing w:after="160" w:line="259" w:lineRule="auto"/>
        <w:jc w:val="both"/>
        <w:rPr>
          <w:rFonts w:ascii="Arial" w:eastAsia="Arial" w:hAnsi="Arial" w:cs="Arial"/>
          <w:b/>
          <w:bCs/>
          <w:color w:val="00B0F0"/>
          <w:sz w:val="20"/>
        </w:rPr>
      </w:pPr>
    </w:p>
    <w:p w14:paraId="18960122" w14:textId="38C4D926" w:rsidR="008B64DB" w:rsidRPr="00701F32" w:rsidRDefault="00AD5EDB" w:rsidP="00E07294">
      <w:pPr>
        <w:jc w:val="both"/>
        <w:rPr>
          <w:rFonts w:ascii="Arial" w:hAnsi="Arial" w:cs="Arial"/>
          <w:b/>
          <w:sz w:val="20"/>
        </w:rPr>
      </w:pPr>
      <w:r w:rsidRPr="00701F32">
        <w:rPr>
          <w:rFonts w:ascii="Arial" w:hAnsi="Arial" w:cs="Arial"/>
          <w:b/>
          <w:sz w:val="20"/>
        </w:rPr>
        <w:t>17</w:t>
      </w:r>
      <w:r w:rsidR="00E07294" w:rsidRPr="00701F32">
        <w:rPr>
          <w:rFonts w:ascii="Arial" w:hAnsi="Arial" w:cs="Arial"/>
          <w:b/>
          <w:sz w:val="20"/>
        </w:rPr>
        <w:t>.</w:t>
      </w:r>
      <w:r w:rsidR="00136660" w:rsidRPr="00701F32">
        <w:rPr>
          <w:rFonts w:ascii="Arial" w:hAnsi="Arial" w:cs="Arial"/>
          <w:b/>
          <w:sz w:val="20"/>
        </w:rPr>
        <w:t xml:space="preserve">16 </w:t>
      </w:r>
      <w:r w:rsidR="00E07294" w:rsidRPr="00701F32">
        <w:rPr>
          <w:rFonts w:ascii="Arial" w:hAnsi="Arial" w:cs="Arial"/>
          <w:b/>
          <w:sz w:val="20"/>
        </w:rPr>
        <w:t xml:space="preserve">Ingreso por intereses / comisiones </w:t>
      </w:r>
    </w:p>
    <w:p w14:paraId="4DB63411" w14:textId="77777777" w:rsidR="008B64DB" w:rsidRPr="00701F32" w:rsidRDefault="008B64DB" w:rsidP="00E07294">
      <w:pPr>
        <w:jc w:val="both"/>
        <w:rPr>
          <w:rFonts w:ascii="Arial" w:hAnsi="Arial" w:cs="Arial"/>
          <w:b/>
          <w:sz w:val="20"/>
        </w:rPr>
      </w:pP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520"/>
      </w:tblGrid>
      <w:tr w:rsidR="00C5704E" w:rsidRPr="00701F32" w14:paraId="3014A628" w14:textId="77777777" w:rsidTr="00A2015D">
        <w:trPr>
          <w:trHeight w:val="167"/>
          <w:tblHeader/>
        </w:trPr>
        <w:tc>
          <w:tcPr>
            <w:tcW w:w="7054" w:type="dxa"/>
            <w:shd w:val="clear" w:color="auto" w:fill="auto"/>
          </w:tcPr>
          <w:p w14:paraId="61F84B49" w14:textId="77777777" w:rsidR="00C5704E" w:rsidRPr="00701F32" w:rsidRDefault="00C5704E" w:rsidP="00A2015D">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Ingresos por intereses</w:t>
            </w:r>
          </w:p>
        </w:tc>
        <w:tc>
          <w:tcPr>
            <w:tcW w:w="1520" w:type="dxa"/>
            <w:shd w:val="clear" w:color="auto" w:fill="auto"/>
            <w:vAlign w:val="center"/>
          </w:tcPr>
          <w:p w14:paraId="0D6D2AEE" w14:textId="77777777" w:rsidR="00C5704E" w:rsidRPr="00701F32" w:rsidRDefault="00C5704E" w:rsidP="00A2015D">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C5704E" w:rsidRPr="00701F32" w14:paraId="0815DC1F" w14:textId="77777777" w:rsidTr="00A2015D">
        <w:trPr>
          <w:trHeight w:val="270"/>
        </w:trPr>
        <w:tc>
          <w:tcPr>
            <w:tcW w:w="7054" w:type="dxa"/>
          </w:tcPr>
          <w:p w14:paraId="23372121" w14:textId="77777777" w:rsidR="00C5704E" w:rsidRPr="00701F32" w:rsidRDefault="00C5704E" w:rsidP="00A2015D">
            <w:pPr>
              <w:ind w:left="29"/>
              <w:jc w:val="both"/>
              <w:rPr>
                <w:rFonts w:ascii="Arial" w:hAnsi="Arial" w:cs="Arial"/>
                <w:sz w:val="20"/>
              </w:rPr>
            </w:pPr>
            <w:r w:rsidRPr="00701F32">
              <w:rPr>
                <w:rFonts w:ascii="Arial" w:hAnsi="Arial" w:cs="Arial"/>
                <w:sz w:val="20"/>
              </w:rPr>
              <w:t>Por efectivo y depósitos en bancos</w:t>
            </w:r>
          </w:p>
        </w:tc>
        <w:tc>
          <w:tcPr>
            <w:tcW w:w="1520" w:type="dxa"/>
          </w:tcPr>
          <w:p w14:paraId="14FEA53D" w14:textId="77777777" w:rsidR="00C5704E" w:rsidRPr="00701F32" w:rsidRDefault="00C5704E">
            <w:pPr>
              <w:ind w:right="107"/>
              <w:jc w:val="right"/>
              <w:rPr>
                <w:rFonts w:ascii="Arial" w:hAnsi="Arial" w:cs="Arial"/>
                <w:sz w:val="20"/>
              </w:rPr>
            </w:pPr>
            <w:r w:rsidRPr="00701F32">
              <w:rPr>
                <w:rFonts w:ascii="Arial" w:hAnsi="Arial" w:cs="Arial"/>
                <w:sz w:val="20"/>
              </w:rPr>
              <w:t>19</w:t>
            </w:r>
            <w:r w:rsidR="005D7AD0" w:rsidRPr="00701F32">
              <w:rPr>
                <w:rFonts w:ascii="Arial" w:hAnsi="Arial" w:cs="Arial"/>
                <w:sz w:val="20"/>
              </w:rPr>
              <w:t>0</w:t>
            </w:r>
          </w:p>
        </w:tc>
      </w:tr>
      <w:tr w:rsidR="00C5704E" w:rsidRPr="00701F32" w14:paraId="5F33F380" w14:textId="77777777" w:rsidTr="00A2015D">
        <w:trPr>
          <w:trHeight w:val="270"/>
        </w:trPr>
        <w:tc>
          <w:tcPr>
            <w:tcW w:w="7054" w:type="dxa"/>
          </w:tcPr>
          <w:p w14:paraId="49AA4543" w14:textId="77777777" w:rsidR="00C5704E" w:rsidRPr="00701F32" w:rsidRDefault="00C5704E" w:rsidP="00A2015D">
            <w:pPr>
              <w:ind w:left="29"/>
              <w:jc w:val="both"/>
              <w:rPr>
                <w:rFonts w:ascii="Arial" w:hAnsi="Arial" w:cs="Arial"/>
                <w:sz w:val="20"/>
              </w:rPr>
            </w:pPr>
            <w:r w:rsidRPr="00701F32">
              <w:rPr>
                <w:rFonts w:ascii="Arial" w:hAnsi="Arial" w:cs="Arial"/>
                <w:sz w:val="20"/>
              </w:rPr>
              <w:t>Por títulos públicos</w:t>
            </w:r>
          </w:p>
        </w:tc>
        <w:tc>
          <w:tcPr>
            <w:tcW w:w="1520" w:type="dxa"/>
          </w:tcPr>
          <w:p w14:paraId="242FF76E" w14:textId="77777777" w:rsidR="00C5704E" w:rsidRPr="00701F32" w:rsidRDefault="00C5704E" w:rsidP="00A2015D">
            <w:pPr>
              <w:ind w:right="107"/>
              <w:jc w:val="right"/>
              <w:rPr>
                <w:rFonts w:ascii="Arial" w:hAnsi="Arial" w:cs="Arial"/>
                <w:sz w:val="20"/>
              </w:rPr>
            </w:pPr>
            <w:r w:rsidRPr="00701F32">
              <w:rPr>
                <w:rFonts w:ascii="Arial" w:hAnsi="Arial" w:cs="Arial"/>
                <w:sz w:val="20"/>
              </w:rPr>
              <w:t>3.181</w:t>
            </w:r>
          </w:p>
        </w:tc>
      </w:tr>
      <w:tr w:rsidR="00C5704E" w:rsidRPr="00701F32" w14:paraId="4ABA3852" w14:textId="77777777" w:rsidTr="00A2015D">
        <w:trPr>
          <w:trHeight w:val="270"/>
        </w:trPr>
        <w:tc>
          <w:tcPr>
            <w:tcW w:w="7054" w:type="dxa"/>
          </w:tcPr>
          <w:p w14:paraId="67116CB5" w14:textId="77777777" w:rsidR="00C5704E" w:rsidRPr="00701F32" w:rsidRDefault="00C5704E" w:rsidP="00A2015D">
            <w:pPr>
              <w:ind w:left="29"/>
              <w:jc w:val="both"/>
              <w:rPr>
                <w:rFonts w:ascii="Arial" w:hAnsi="Arial" w:cs="Arial"/>
                <w:sz w:val="20"/>
              </w:rPr>
            </w:pPr>
            <w:r w:rsidRPr="00701F32">
              <w:rPr>
                <w:rFonts w:ascii="Arial" w:hAnsi="Arial" w:cs="Arial"/>
                <w:sz w:val="20"/>
              </w:rPr>
              <w:t>Por otros activos financieros</w:t>
            </w:r>
          </w:p>
        </w:tc>
        <w:tc>
          <w:tcPr>
            <w:tcW w:w="1520" w:type="dxa"/>
          </w:tcPr>
          <w:p w14:paraId="22845B95" w14:textId="77777777" w:rsidR="00C5704E" w:rsidRPr="00701F32" w:rsidRDefault="00C5704E" w:rsidP="00A2015D">
            <w:pPr>
              <w:ind w:right="107"/>
              <w:jc w:val="right"/>
              <w:rPr>
                <w:rFonts w:ascii="Arial" w:hAnsi="Arial" w:cs="Arial"/>
                <w:sz w:val="20"/>
              </w:rPr>
            </w:pPr>
            <w:r w:rsidRPr="00701F32">
              <w:rPr>
                <w:rFonts w:ascii="Arial" w:hAnsi="Arial" w:cs="Arial"/>
                <w:sz w:val="20"/>
              </w:rPr>
              <w:t>239</w:t>
            </w:r>
          </w:p>
        </w:tc>
      </w:tr>
      <w:tr w:rsidR="00A544BA" w:rsidRPr="00701F32" w14:paraId="5F5EBFDF" w14:textId="77777777" w:rsidTr="00A2015D">
        <w:trPr>
          <w:trHeight w:val="270"/>
        </w:trPr>
        <w:tc>
          <w:tcPr>
            <w:tcW w:w="7054" w:type="dxa"/>
          </w:tcPr>
          <w:p w14:paraId="650F8FC8" w14:textId="77777777" w:rsidR="00A544BA" w:rsidRPr="00701F32" w:rsidRDefault="00A544BA" w:rsidP="00A2015D">
            <w:pPr>
              <w:ind w:left="29"/>
              <w:jc w:val="both"/>
              <w:rPr>
                <w:rFonts w:ascii="Arial" w:hAnsi="Arial" w:cs="Arial"/>
                <w:sz w:val="20"/>
              </w:rPr>
            </w:pPr>
            <w:r w:rsidRPr="00701F32">
              <w:rPr>
                <w:rFonts w:ascii="Arial" w:hAnsi="Arial" w:cs="Arial"/>
                <w:sz w:val="20"/>
              </w:rPr>
              <w:t>Al sector financiero</w:t>
            </w:r>
          </w:p>
        </w:tc>
        <w:tc>
          <w:tcPr>
            <w:tcW w:w="1520" w:type="dxa"/>
          </w:tcPr>
          <w:p w14:paraId="210BDE60"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89.182</w:t>
            </w:r>
          </w:p>
        </w:tc>
      </w:tr>
      <w:tr w:rsidR="00A544BA" w:rsidRPr="00701F32" w14:paraId="475DF2E3" w14:textId="77777777" w:rsidTr="00A2015D">
        <w:trPr>
          <w:trHeight w:val="270"/>
        </w:trPr>
        <w:tc>
          <w:tcPr>
            <w:tcW w:w="7054" w:type="dxa"/>
          </w:tcPr>
          <w:p w14:paraId="50F3B44A" w14:textId="77777777" w:rsidR="00A544BA" w:rsidRPr="00701F32" w:rsidRDefault="00A544BA" w:rsidP="00A2015D">
            <w:pPr>
              <w:ind w:left="29"/>
              <w:jc w:val="both"/>
              <w:rPr>
                <w:rFonts w:ascii="Arial" w:hAnsi="Arial" w:cs="Arial"/>
                <w:sz w:val="20"/>
              </w:rPr>
            </w:pPr>
            <w:r w:rsidRPr="00701F32">
              <w:rPr>
                <w:rFonts w:ascii="Arial" w:hAnsi="Arial" w:cs="Arial"/>
                <w:sz w:val="20"/>
              </w:rPr>
              <w:t>Adelantos</w:t>
            </w:r>
          </w:p>
        </w:tc>
        <w:tc>
          <w:tcPr>
            <w:tcW w:w="1520" w:type="dxa"/>
          </w:tcPr>
          <w:p w14:paraId="30585266"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1.164.578</w:t>
            </w:r>
          </w:p>
        </w:tc>
      </w:tr>
      <w:tr w:rsidR="00A544BA" w:rsidRPr="00701F32" w14:paraId="20ADD45F" w14:textId="77777777" w:rsidTr="00A2015D">
        <w:trPr>
          <w:trHeight w:val="270"/>
        </w:trPr>
        <w:tc>
          <w:tcPr>
            <w:tcW w:w="7054" w:type="dxa"/>
          </w:tcPr>
          <w:p w14:paraId="7A3BD484" w14:textId="77777777" w:rsidR="00A544BA" w:rsidRPr="00701F32" w:rsidRDefault="00A544BA" w:rsidP="00A2015D">
            <w:pPr>
              <w:ind w:left="29"/>
              <w:jc w:val="both"/>
              <w:rPr>
                <w:rFonts w:ascii="Arial" w:hAnsi="Arial" w:cs="Arial"/>
                <w:sz w:val="20"/>
              </w:rPr>
            </w:pPr>
            <w:r w:rsidRPr="00701F32">
              <w:rPr>
                <w:rFonts w:ascii="Arial" w:hAnsi="Arial" w:cs="Arial"/>
                <w:sz w:val="20"/>
              </w:rPr>
              <w:t>Documentos</w:t>
            </w:r>
          </w:p>
        </w:tc>
        <w:tc>
          <w:tcPr>
            <w:tcW w:w="1520" w:type="dxa"/>
          </w:tcPr>
          <w:p w14:paraId="6454B4ED"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2.719.250</w:t>
            </w:r>
          </w:p>
        </w:tc>
      </w:tr>
      <w:tr w:rsidR="00A544BA" w:rsidRPr="00701F32" w14:paraId="7D3A972A" w14:textId="77777777" w:rsidTr="00A2015D">
        <w:trPr>
          <w:trHeight w:val="270"/>
        </w:trPr>
        <w:tc>
          <w:tcPr>
            <w:tcW w:w="7054" w:type="dxa"/>
          </w:tcPr>
          <w:p w14:paraId="47B9060C" w14:textId="77777777" w:rsidR="00A544BA" w:rsidRPr="00701F32" w:rsidRDefault="00A544BA" w:rsidP="00A2015D">
            <w:pPr>
              <w:ind w:left="29"/>
              <w:jc w:val="both"/>
              <w:rPr>
                <w:rFonts w:ascii="Arial" w:hAnsi="Arial" w:cs="Arial"/>
                <w:sz w:val="20"/>
              </w:rPr>
            </w:pPr>
            <w:r w:rsidRPr="00701F32">
              <w:rPr>
                <w:rFonts w:ascii="Arial" w:hAnsi="Arial" w:cs="Arial"/>
                <w:sz w:val="20"/>
              </w:rPr>
              <w:t>Hipotecarios</w:t>
            </w:r>
          </w:p>
        </w:tc>
        <w:tc>
          <w:tcPr>
            <w:tcW w:w="1520" w:type="dxa"/>
          </w:tcPr>
          <w:p w14:paraId="2029C36B"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24.184</w:t>
            </w:r>
          </w:p>
        </w:tc>
      </w:tr>
      <w:tr w:rsidR="00A544BA" w:rsidRPr="00701F32" w14:paraId="52017E8D" w14:textId="77777777" w:rsidTr="00A2015D">
        <w:trPr>
          <w:trHeight w:val="270"/>
        </w:trPr>
        <w:tc>
          <w:tcPr>
            <w:tcW w:w="7054" w:type="dxa"/>
          </w:tcPr>
          <w:p w14:paraId="4BC62868" w14:textId="77777777" w:rsidR="00A544BA" w:rsidRPr="00701F32" w:rsidRDefault="00A544BA" w:rsidP="00A2015D">
            <w:pPr>
              <w:ind w:left="29"/>
              <w:jc w:val="both"/>
              <w:rPr>
                <w:rFonts w:ascii="Arial" w:hAnsi="Arial" w:cs="Arial"/>
                <w:sz w:val="20"/>
              </w:rPr>
            </w:pPr>
            <w:r w:rsidRPr="00701F32">
              <w:rPr>
                <w:rFonts w:ascii="Arial" w:hAnsi="Arial" w:cs="Arial"/>
                <w:sz w:val="20"/>
              </w:rPr>
              <w:t>Prendarios</w:t>
            </w:r>
          </w:p>
        </w:tc>
        <w:tc>
          <w:tcPr>
            <w:tcW w:w="1520" w:type="dxa"/>
          </w:tcPr>
          <w:p w14:paraId="0C090B41"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30.916</w:t>
            </w:r>
          </w:p>
        </w:tc>
      </w:tr>
      <w:tr w:rsidR="00A544BA" w:rsidRPr="00701F32" w14:paraId="0343DB30" w14:textId="77777777" w:rsidTr="00A2015D">
        <w:trPr>
          <w:trHeight w:val="270"/>
        </w:trPr>
        <w:tc>
          <w:tcPr>
            <w:tcW w:w="7054" w:type="dxa"/>
          </w:tcPr>
          <w:p w14:paraId="1E60BB12" w14:textId="77777777" w:rsidR="00A544BA" w:rsidRPr="00701F32" w:rsidRDefault="00A544BA" w:rsidP="00A2015D">
            <w:pPr>
              <w:ind w:left="29"/>
              <w:jc w:val="both"/>
              <w:rPr>
                <w:rFonts w:ascii="Arial" w:hAnsi="Arial" w:cs="Arial"/>
                <w:sz w:val="20"/>
              </w:rPr>
            </w:pPr>
            <w:r w:rsidRPr="00701F32">
              <w:rPr>
                <w:rFonts w:ascii="Arial" w:hAnsi="Arial" w:cs="Arial"/>
                <w:sz w:val="20"/>
              </w:rPr>
              <w:t>Personales</w:t>
            </w:r>
          </w:p>
        </w:tc>
        <w:tc>
          <w:tcPr>
            <w:tcW w:w="1520" w:type="dxa"/>
          </w:tcPr>
          <w:p w14:paraId="7FF55ED4" w14:textId="77777777" w:rsidR="00A544BA" w:rsidRPr="00701F32" w:rsidRDefault="00BE005F" w:rsidP="00A2015D">
            <w:pPr>
              <w:tabs>
                <w:tab w:val="left" w:pos="1307"/>
              </w:tabs>
              <w:ind w:right="107"/>
              <w:jc w:val="right"/>
              <w:rPr>
                <w:rFonts w:ascii="Arial" w:hAnsi="Arial" w:cs="Arial"/>
                <w:sz w:val="20"/>
              </w:rPr>
            </w:pPr>
            <w:r w:rsidRPr="00701F32">
              <w:rPr>
                <w:rFonts w:ascii="Arial" w:hAnsi="Arial" w:cs="Arial"/>
                <w:sz w:val="20"/>
              </w:rPr>
              <w:t>4.457.319</w:t>
            </w:r>
          </w:p>
        </w:tc>
      </w:tr>
      <w:tr w:rsidR="00A544BA" w:rsidRPr="00701F32" w14:paraId="21E80933" w14:textId="77777777" w:rsidTr="00A2015D">
        <w:trPr>
          <w:trHeight w:val="270"/>
        </w:trPr>
        <w:tc>
          <w:tcPr>
            <w:tcW w:w="7054" w:type="dxa"/>
          </w:tcPr>
          <w:p w14:paraId="5D3C70C4" w14:textId="77777777" w:rsidR="00A544BA" w:rsidRPr="00701F32" w:rsidRDefault="00A544BA">
            <w:pPr>
              <w:ind w:left="29"/>
              <w:jc w:val="both"/>
              <w:rPr>
                <w:rFonts w:ascii="Arial" w:hAnsi="Arial" w:cs="Arial"/>
                <w:sz w:val="20"/>
              </w:rPr>
            </w:pPr>
            <w:r w:rsidRPr="00701F32">
              <w:rPr>
                <w:rFonts w:ascii="Arial" w:hAnsi="Arial" w:cs="Arial"/>
                <w:sz w:val="20"/>
              </w:rPr>
              <w:t>Tarjetas de crédito</w:t>
            </w:r>
          </w:p>
        </w:tc>
        <w:tc>
          <w:tcPr>
            <w:tcW w:w="1520" w:type="dxa"/>
          </w:tcPr>
          <w:p w14:paraId="72BEEF1C"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2.005.783</w:t>
            </w:r>
          </w:p>
        </w:tc>
      </w:tr>
      <w:tr w:rsidR="00A544BA" w:rsidRPr="00701F32" w14:paraId="36C92499" w14:textId="77777777" w:rsidTr="00A2015D">
        <w:trPr>
          <w:trHeight w:val="270"/>
        </w:trPr>
        <w:tc>
          <w:tcPr>
            <w:tcW w:w="7054" w:type="dxa"/>
          </w:tcPr>
          <w:p w14:paraId="5DB59F19" w14:textId="77777777" w:rsidR="00A544BA" w:rsidRPr="00701F32" w:rsidRDefault="00A544BA" w:rsidP="00A2015D">
            <w:pPr>
              <w:ind w:left="29"/>
              <w:jc w:val="both"/>
              <w:rPr>
                <w:rFonts w:ascii="Arial" w:hAnsi="Arial" w:cs="Arial"/>
                <w:sz w:val="20"/>
              </w:rPr>
            </w:pPr>
            <w:r w:rsidRPr="00701F32">
              <w:rPr>
                <w:rFonts w:ascii="Arial" w:hAnsi="Arial" w:cs="Arial"/>
                <w:sz w:val="20"/>
              </w:rPr>
              <w:t>Arrendamientos Financieros</w:t>
            </w:r>
          </w:p>
        </w:tc>
        <w:tc>
          <w:tcPr>
            <w:tcW w:w="1520" w:type="dxa"/>
          </w:tcPr>
          <w:p w14:paraId="1BA57D6B" w14:textId="77777777" w:rsidR="00A544BA" w:rsidRPr="00701F32" w:rsidRDefault="00A544BA" w:rsidP="00A2015D">
            <w:pPr>
              <w:tabs>
                <w:tab w:val="left" w:pos="1307"/>
              </w:tabs>
              <w:ind w:right="107"/>
              <w:jc w:val="right"/>
              <w:rPr>
                <w:rFonts w:ascii="Arial" w:hAnsi="Arial" w:cs="Arial"/>
                <w:sz w:val="20"/>
              </w:rPr>
            </w:pPr>
            <w:r w:rsidRPr="00701F32">
              <w:rPr>
                <w:rFonts w:ascii="Arial" w:hAnsi="Arial" w:cs="Arial"/>
                <w:sz w:val="20"/>
              </w:rPr>
              <w:t>414.303</w:t>
            </w:r>
          </w:p>
        </w:tc>
      </w:tr>
      <w:tr w:rsidR="00A544BA" w:rsidRPr="00701F32" w14:paraId="60A85C4F" w14:textId="77777777" w:rsidTr="00A2015D">
        <w:trPr>
          <w:trHeight w:val="270"/>
        </w:trPr>
        <w:tc>
          <w:tcPr>
            <w:tcW w:w="7054" w:type="dxa"/>
          </w:tcPr>
          <w:p w14:paraId="5D8DDA4C" w14:textId="77777777" w:rsidR="00A544BA" w:rsidRPr="00701F32" w:rsidRDefault="00A544BA" w:rsidP="00A2015D">
            <w:pPr>
              <w:ind w:left="29"/>
              <w:jc w:val="both"/>
              <w:rPr>
                <w:rFonts w:ascii="Arial" w:hAnsi="Arial" w:cs="Arial"/>
                <w:sz w:val="20"/>
              </w:rPr>
            </w:pPr>
            <w:r w:rsidRPr="00701F32">
              <w:rPr>
                <w:rFonts w:ascii="Arial" w:hAnsi="Arial" w:cs="Arial"/>
                <w:sz w:val="20"/>
              </w:rPr>
              <w:t>Otros</w:t>
            </w:r>
          </w:p>
        </w:tc>
        <w:tc>
          <w:tcPr>
            <w:tcW w:w="1520" w:type="dxa"/>
          </w:tcPr>
          <w:p w14:paraId="25FC71D9" w14:textId="77777777" w:rsidR="00A544BA" w:rsidRPr="00701F32" w:rsidRDefault="00BE005F" w:rsidP="00A2015D">
            <w:pPr>
              <w:tabs>
                <w:tab w:val="left" w:pos="1307"/>
              </w:tabs>
              <w:ind w:right="107"/>
              <w:jc w:val="right"/>
              <w:rPr>
                <w:rFonts w:ascii="Arial" w:hAnsi="Arial" w:cs="Arial"/>
                <w:sz w:val="20"/>
              </w:rPr>
            </w:pPr>
            <w:r w:rsidRPr="00701F32">
              <w:rPr>
                <w:rFonts w:ascii="Arial" w:hAnsi="Arial" w:cs="Arial"/>
                <w:sz w:val="20"/>
              </w:rPr>
              <w:t>2.784.841</w:t>
            </w:r>
          </w:p>
        </w:tc>
      </w:tr>
      <w:tr w:rsidR="00C5704E" w:rsidRPr="00701F32" w14:paraId="783D7C64" w14:textId="77777777" w:rsidTr="00A2015D">
        <w:trPr>
          <w:trHeight w:val="270"/>
        </w:trPr>
        <w:tc>
          <w:tcPr>
            <w:tcW w:w="7054" w:type="dxa"/>
          </w:tcPr>
          <w:p w14:paraId="35EA31AB" w14:textId="77777777" w:rsidR="00C5704E" w:rsidRPr="00701F32" w:rsidRDefault="00C5704E" w:rsidP="00A2015D">
            <w:pPr>
              <w:pStyle w:val="Style1"/>
              <w:adjustRightInd/>
              <w:ind w:left="29"/>
              <w:jc w:val="both"/>
              <w:rPr>
                <w:rFonts w:ascii="Arial" w:hAnsi="Arial" w:cs="Arial"/>
                <w:spacing w:val="-6"/>
                <w:szCs w:val="20"/>
              </w:rPr>
            </w:pPr>
            <w:r w:rsidRPr="00701F32">
              <w:rPr>
                <w:rFonts w:ascii="Arial" w:hAnsi="Arial" w:cs="Arial"/>
                <w:spacing w:val="-6"/>
                <w:szCs w:val="20"/>
              </w:rPr>
              <w:t>Por operaciones de pase con otras entidades  financieras</w:t>
            </w:r>
          </w:p>
        </w:tc>
        <w:tc>
          <w:tcPr>
            <w:tcW w:w="1520" w:type="dxa"/>
          </w:tcPr>
          <w:p w14:paraId="74804755" w14:textId="77777777" w:rsidR="00C5704E" w:rsidRPr="00701F32" w:rsidRDefault="00C5704E" w:rsidP="00A2015D">
            <w:pPr>
              <w:pStyle w:val="Style1"/>
              <w:adjustRightInd/>
              <w:ind w:right="107"/>
              <w:jc w:val="right"/>
              <w:rPr>
                <w:rFonts w:ascii="Arial" w:hAnsi="Arial" w:cs="Arial"/>
                <w:spacing w:val="-4"/>
                <w:szCs w:val="20"/>
              </w:rPr>
            </w:pPr>
            <w:r w:rsidRPr="00701F32">
              <w:rPr>
                <w:rFonts w:ascii="Arial" w:hAnsi="Arial" w:cs="Arial"/>
                <w:spacing w:val="-4"/>
                <w:szCs w:val="20"/>
              </w:rPr>
              <w:t>180.153</w:t>
            </w:r>
          </w:p>
        </w:tc>
      </w:tr>
      <w:tr w:rsidR="00C5704E" w:rsidRPr="00701F32" w14:paraId="52C8B624" w14:textId="77777777" w:rsidTr="00A2015D">
        <w:trPr>
          <w:trHeight w:val="270"/>
        </w:trPr>
        <w:tc>
          <w:tcPr>
            <w:tcW w:w="7054" w:type="dxa"/>
            <w:shd w:val="clear" w:color="auto" w:fill="auto"/>
          </w:tcPr>
          <w:p w14:paraId="69D9F38C" w14:textId="77777777" w:rsidR="00C5704E" w:rsidRPr="00701F32" w:rsidRDefault="00C5704E" w:rsidP="00A2015D">
            <w:pPr>
              <w:jc w:val="both"/>
              <w:rPr>
                <w:rFonts w:ascii="Arial" w:hAnsi="Arial" w:cs="Arial"/>
                <w:b/>
                <w:sz w:val="20"/>
              </w:rPr>
            </w:pPr>
            <w:r w:rsidRPr="00701F32">
              <w:rPr>
                <w:rFonts w:ascii="Arial" w:hAnsi="Arial" w:cs="Arial"/>
                <w:b/>
                <w:sz w:val="20"/>
              </w:rPr>
              <w:t>Total</w:t>
            </w:r>
          </w:p>
        </w:tc>
        <w:tc>
          <w:tcPr>
            <w:tcW w:w="1520" w:type="dxa"/>
            <w:shd w:val="clear" w:color="auto" w:fill="auto"/>
          </w:tcPr>
          <w:p w14:paraId="69613F5D" w14:textId="77777777" w:rsidR="00C5704E" w:rsidRPr="00701F32" w:rsidRDefault="00C5704E">
            <w:pPr>
              <w:pStyle w:val="Style1"/>
              <w:adjustRightInd/>
              <w:ind w:right="107"/>
              <w:jc w:val="right"/>
              <w:rPr>
                <w:rFonts w:ascii="Arial" w:hAnsi="Arial" w:cs="Arial"/>
                <w:b/>
                <w:szCs w:val="20"/>
              </w:rPr>
            </w:pPr>
            <w:r w:rsidRPr="00701F32">
              <w:rPr>
                <w:rFonts w:ascii="Arial" w:hAnsi="Arial" w:cs="Arial"/>
                <w:b/>
                <w:spacing w:val="-4"/>
                <w:szCs w:val="20"/>
              </w:rPr>
              <w:t>13.874.1</w:t>
            </w:r>
            <w:r w:rsidR="005D7AD0" w:rsidRPr="00701F32">
              <w:rPr>
                <w:rFonts w:ascii="Arial" w:hAnsi="Arial" w:cs="Arial"/>
                <w:b/>
                <w:spacing w:val="-4"/>
                <w:szCs w:val="20"/>
              </w:rPr>
              <w:t>19</w:t>
            </w:r>
          </w:p>
        </w:tc>
      </w:tr>
    </w:tbl>
    <w:p w14:paraId="7900575F" w14:textId="77777777" w:rsidR="00E07294" w:rsidRPr="00701F32" w:rsidRDefault="00E07294" w:rsidP="00E07294">
      <w:pPr>
        <w:pStyle w:val="PrimerNivel"/>
        <w:numPr>
          <w:ilvl w:val="0"/>
          <w:numId w:val="0"/>
        </w:numPr>
        <w:rPr>
          <w:rFonts w:ascii="Arial" w:hAnsi="Arial" w:cs="Arial"/>
          <w:b/>
          <w:sz w:val="20"/>
          <w:szCs w:val="20"/>
          <w:lang w:val="es-AR"/>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547"/>
      </w:tblGrid>
      <w:tr w:rsidR="00E07294" w:rsidRPr="00701F32" w14:paraId="21687530" w14:textId="77777777" w:rsidTr="00464C0F">
        <w:trPr>
          <w:trHeight w:val="255"/>
          <w:tblHeader/>
        </w:trPr>
        <w:tc>
          <w:tcPr>
            <w:tcW w:w="7054" w:type="dxa"/>
            <w:shd w:val="clear" w:color="auto" w:fill="auto"/>
          </w:tcPr>
          <w:p w14:paraId="1D24BE9E" w14:textId="77777777" w:rsidR="00E07294" w:rsidRPr="00701F32" w:rsidRDefault="00E07294" w:rsidP="00464C0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Ingresos por comisiones</w:t>
            </w:r>
          </w:p>
        </w:tc>
        <w:tc>
          <w:tcPr>
            <w:tcW w:w="1547" w:type="dxa"/>
            <w:shd w:val="clear" w:color="auto" w:fill="auto"/>
            <w:vAlign w:val="center"/>
          </w:tcPr>
          <w:p w14:paraId="25B1647A" w14:textId="77777777" w:rsidR="00E07294" w:rsidRPr="00701F32" w:rsidRDefault="00E07294" w:rsidP="00464C0F">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E07294" w:rsidRPr="00701F32" w14:paraId="3E727FC4" w14:textId="77777777" w:rsidTr="00464C0F">
        <w:trPr>
          <w:trHeight w:val="255"/>
        </w:trPr>
        <w:tc>
          <w:tcPr>
            <w:tcW w:w="7054" w:type="dxa"/>
          </w:tcPr>
          <w:p w14:paraId="3F64763F" w14:textId="77777777" w:rsidR="00E07294" w:rsidRPr="00701F32" w:rsidRDefault="00E07294" w:rsidP="00464C0F">
            <w:pPr>
              <w:jc w:val="both"/>
              <w:rPr>
                <w:rFonts w:ascii="Arial" w:hAnsi="Arial" w:cs="Arial"/>
                <w:sz w:val="20"/>
              </w:rPr>
            </w:pPr>
            <w:r w:rsidRPr="00701F32">
              <w:rPr>
                <w:rFonts w:ascii="Arial" w:hAnsi="Arial" w:cs="Arial"/>
                <w:sz w:val="20"/>
              </w:rPr>
              <w:t>Comisiones vinculadas con obligaciones</w:t>
            </w:r>
          </w:p>
        </w:tc>
        <w:tc>
          <w:tcPr>
            <w:tcW w:w="1547" w:type="dxa"/>
          </w:tcPr>
          <w:p w14:paraId="0C19377D" w14:textId="77777777" w:rsidR="00E07294" w:rsidRPr="00701F32" w:rsidRDefault="00E07294" w:rsidP="00464C0F">
            <w:pPr>
              <w:ind w:right="113"/>
              <w:jc w:val="right"/>
              <w:rPr>
                <w:rFonts w:ascii="Arial" w:hAnsi="Arial" w:cs="Arial"/>
                <w:sz w:val="20"/>
              </w:rPr>
            </w:pPr>
            <w:r w:rsidRPr="00701F32">
              <w:rPr>
                <w:rFonts w:ascii="Arial" w:hAnsi="Arial" w:cs="Arial"/>
                <w:sz w:val="20"/>
              </w:rPr>
              <w:t>1.435.478</w:t>
            </w:r>
          </w:p>
        </w:tc>
      </w:tr>
      <w:tr w:rsidR="00E07294" w:rsidRPr="00701F32" w14:paraId="1E47203E" w14:textId="77777777" w:rsidTr="00464C0F">
        <w:trPr>
          <w:trHeight w:val="255"/>
        </w:trPr>
        <w:tc>
          <w:tcPr>
            <w:tcW w:w="7054" w:type="dxa"/>
          </w:tcPr>
          <w:p w14:paraId="499C5560" w14:textId="77777777" w:rsidR="00E07294" w:rsidRPr="00701F32" w:rsidRDefault="00E07294" w:rsidP="00464C0F">
            <w:pPr>
              <w:jc w:val="both"/>
              <w:rPr>
                <w:rFonts w:ascii="Arial" w:hAnsi="Arial" w:cs="Arial"/>
                <w:sz w:val="20"/>
              </w:rPr>
            </w:pPr>
            <w:r w:rsidRPr="00701F32">
              <w:rPr>
                <w:rFonts w:ascii="Arial" w:hAnsi="Arial" w:cs="Arial"/>
                <w:sz w:val="20"/>
              </w:rPr>
              <w:t>Comisiones vinculadas con créditos</w:t>
            </w:r>
          </w:p>
        </w:tc>
        <w:tc>
          <w:tcPr>
            <w:tcW w:w="1547" w:type="dxa"/>
          </w:tcPr>
          <w:p w14:paraId="0D840F2E" w14:textId="77777777" w:rsidR="00E07294" w:rsidRPr="00701F32" w:rsidRDefault="00E07294" w:rsidP="00464C0F">
            <w:pPr>
              <w:ind w:right="113"/>
              <w:jc w:val="right"/>
              <w:rPr>
                <w:rFonts w:ascii="Arial" w:hAnsi="Arial" w:cs="Arial"/>
                <w:sz w:val="20"/>
              </w:rPr>
            </w:pPr>
            <w:r w:rsidRPr="00701F32">
              <w:rPr>
                <w:rFonts w:ascii="Arial" w:hAnsi="Arial" w:cs="Arial"/>
                <w:sz w:val="20"/>
              </w:rPr>
              <w:t>1.752.914</w:t>
            </w:r>
          </w:p>
        </w:tc>
      </w:tr>
      <w:tr w:rsidR="00E07294" w:rsidRPr="00701F32" w14:paraId="05A1FC85" w14:textId="77777777" w:rsidTr="00464C0F">
        <w:trPr>
          <w:trHeight w:val="255"/>
        </w:trPr>
        <w:tc>
          <w:tcPr>
            <w:tcW w:w="7054" w:type="dxa"/>
          </w:tcPr>
          <w:p w14:paraId="29ACBDC5" w14:textId="77777777" w:rsidR="00E07294" w:rsidRPr="00701F32" w:rsidRDefault="00E07294" w:rsidP="00464C0F">
            <w:pPr>
              <w:jc w:val="both"/>
              <w:rPr>
                <w:rFonts w:ascii="Arial" w:hAnsi="Arial" w:cs="Arial"/>
                <w:sz w:val="20"/>
              </w:rPr>
            </w:pPr>
            <w:r w:rsidRPr="00701F32">
              <w:rPr>
                <w:rFonts w:ascii="Arial" w:hAnsi="Arial" w:cs="Arial"/>
                <w:sz w:val="20"/>
              </w:rPr>
              <w:t>Comisiones vinculadas con compromisos eventuales y garantías financieras</w:t>
            </w:r>
          </w:p>
        </w:tc>
        <w:tc>
          <w:tcPr>
            <w:tcW w:w="1547" w:type="dxa"/>
          </w:tcPr>
          <w:p w14:paraId="62F900D6" w14:textId="77777777" w:rsidR="00E07294" w:rsidRPr="00701F32" w:rsidRDefault="00E07294" w:rsidP="00464C0F">
            <w:pPr>
              <w:tabs>
                <w:tab w:val="left" w:pos="1307"/>
              </w:tabs>
              <w:ind w:right="113"/>
              <w:jc w:val="right"/>
              <w:rPr>
                <w:rFonts w:ascii="Arial" w:hAnsi="Arial" w:cs="Arial"/>
                <w:sz w:val="20"/>
              </w:rPr>
            </w:pPr>
            <w:r w:rsidRPr="00701F32">
              <w:rPr>
                <w:rFonts w:ascii="Arial" w:hAnsi="Arial" w:cs="Arial"/>
                <w:sz w:val="20"/>
              </w:rPr>
              <w:t>18.197</w:t>
            </w:r>
          </w:p>
        </w:tc>
      </w:tr>
      <w:tr w:rsidR="00E07294" w:rsidRPr="00701F32" w14:paraId="03910B57" w14:textId="77777777" w:rsidTr="00464C0F">
        <w:trPr>
          <w:trHeight w:val="255"/>
        </w:trPr>
        <w:tc>
          <w:tcPr>
            <w:tcW w:w="7054" w:type="dxa"/>
          </w:tcPr>
          <w:p w14:paraId="32612793" w14:textId="77777777" w:rsidR="00E07294" w:rsidRPr="00701F32" w:rsidRDefault="00E07294" w:rsidP="00464C0F">
            <w:pPr>
              <w:pStyle w:val="Style1"/>
              <w:adjustRightInd/>
              <w:jc w:val="both"/>
              <w:rPr>
                <w:rFonts w:ascii="Arial" w:hAnsi="Arial" w:cs="Arial"/>
                <w:spacing w:val="-6"/>
                <w:szCs w:val="20"/>
              </w:rPr>
            </w:pPr>
            <w:r w:rsidRPr="00701F32">
              <w:rPr>
                <w:rFonts w:ascii="Arial" w:hAnsi="Arial" w:cs="Arial"/>
                <w:spacing w:val="-6"/>
                <w:szCs w:val="20"/>
              </w:rPr>
              <w:t>Comisiones vinculadas con valores mobiliarios</w:t>
            </w:r>
          </w:p>
        </w:tc>
        <w:tc>
          <w:tcPr>
            <w:tcW w:w="1547" w:type="dxa"/>
          </w:tcPr>
          <w:p w14:paraId="54380127" w14:textId="77777777" w:rsidR="00E07294" w:rsidRPr="00701F32" w:rsidRDefault="00E07294" w:rsidP="00464C0F">
            <w:pPr>
              <w:pStyle w:val="Style1"/>
              <w:adjustRightInd/>
              <w:ind w:right="113"/>
              <w:jc w:val="right"/>
              <w:rPr>
                <w:rFonts w:ascii="Arial" w:hAnsi="Arial" w:cs="Arial"/>
                <w:spacing w:val="-4"/>
                <w:szCs w:val="20"/>
              </w:rPr>
            </w:pPr>
            <w:r w:rsidRPr="00701F32">
              <w:rPr>
                <w:rFonts w:ascii="Arial" w:hAnsi="Arial" w:cs="Arial"/>
                <w:spacing w:val="-4"/>
                <w:szCs w:val="20"/>
              </w:rPr>
              <w:t>7.847</w:t>
            </w:r>
          </w:p>
        </w:tc>
      </w:tr>
      <w:tr w:rsidR="00E07294" w:rsidRPr="00701F32" w14:paraId="10C6BCB5" w14:textId="77777777" w:rsidTr="00464C0F">
        <w:trPr>
          <w:trHeight w:val="255"/>
        </w:trPr>
        <w:tc>
          <w:tcPr>
            <w:tcW w:w="7054" w:type="dxa"/>
          </w:tcPr>
          <w:p w14:paraId="6E6CB7BC" w14:textId="77777777" w:rsidR="00E07294" w:rsidRPr="00701F32" w:rsidRDefault="00E07294" w:rsidP="00464C0F">
            <w:pPr>
              <w:pStyle w:val="Style1"/>
              <w:adjustRightInd/>
              <w:jc w:val="both"/>
              <w:rPr>
                <w:rFonts w:ascii="Arial" w:hAnsi="Arial" w:cs="Arial"/>
                <w:spacing w:val="-6"/>
                <w:szCs w:val="20"/>
              </w:rPr>
            </w:pPr>
            <w:r w:rsidRPr="00701F32">
              <w:rPr>
                <w:rFonts w:ascii="Arial" w:hAnsi="Arial" w:cs="Arial"/>
                <w:spacing w:val="-6"/>
                <w:szCs w:val="20"/>
              </w:rPr>
              <w:t>Comisiones por operaciones  exterior y cambio</w:t>
            </w:r>
          </w:p>
        </w:tc>
        <w:tc>
          <w:tcPr>
            <w:tcW w:w="1547" w:type="dxa"/>
          </w:tcPr>
          <w:p w14:paraId="5BD18ACD" w14:textId="77777777" w:rsidR="00E07294" w:rsidRPr="00701F32" w:rsidRDefault="00E07294" w:rsidP="00464C0F">
            <w:pPr>
              <w:pStyle w:val="Style1"/>
              <w:adjustRightInd/>
              <w:ind w:right="113"/>
              <w:jc w:val="right"/>
              <w:rPr>
                <w:rFonts w:ascii="Arial" w:hAnsi="Arial" w:cs="Arial"/>
                <w:spacing w:val="-4"/>
                <w:szCs w:val="20"/>
              </w:rPr>
            </w:pPr>
            <w:r w:rsidRPr="00701F32">
              <w:rPr>
                <w:rFonts w:ascii="Arial" w:hAnsi="Arial" w:cs="Arial"/>
                <w:spacing w:val="-4"/>
                <w:szCs w:val="20"/>
              </w:rPr>
              <w:t>172.843</w:t>
            </w:r>
          </w:p>
        </w:tc>
      </w:tr>
      <w:tr w:rsidR="00E07294" w:rsidRPr="00701F32" w14:paraId="364057E0" w14:textId="77777777" w:rsidTr="00464C0F">
        <w:trPr>
          <w:trHeight w:val="255"/>
        </w:trPr>
        <w:tc>
          <w:tcPr>
            <w:tcW w:w="7054" w:type="dxa"/>
            <w:shd w:val="clear" w:color="auto" w:fill="auto"/>
          </w:tcPr>
          <w:p w14:paraId="33422440" w14:textId="77777777" w:rsidR="00E07294" w:rsidRPr="00701F32" w:rsidRDefault="00E07294" w:rsidP="00464C0F">
            <w:pPr>
              <w:jc w:val="both"/>
              <w:rPr>
                <w:rFonts w:ascii="Arial" w:hAnsi="Arial" w:cs="Arial"/>
                <w:b/>
                <w:sz w:val="20"/>
              </w:rPr>
            </w:pPr>
            <w:r w:rsidRPr="00701F32">
              <w:rPr>
                <w:rFonts w:ascii="Arial" w:hAnsi="Arial" w:cs="Arial"/>
                <w:b/>
                <w:sz w:val="20"/>
              </w:rPr>
              <w:t>Total</w:t>
            </w:r>
          </w:p>
        </w:tc>
        <w:tc>
          <w:tcPr>
            <w:tcW w:w="1547" w:type="dxa"/>
            <w:shd w:val="clear" w:color="auto" w:fill="auto"/>
          </w:tcPr>
          <w:p w14:paraId="0B758372" w14:textId="77777777" w:rsidR="00E07294" w:rsidRPr="00701F32" w:rsidRDefault="00E07294" w:rsidP="00464C0F">
            <w:pPr>
              <w:ind w:right="134"/>
              <w:jc w:val="right"/>
              <w:rPr>
                <w:rFonts w:ascii="Arial" w:hAnsi="Arial" w:cs="Arial"/>
                <w:b/>
                <w:sz w:val="20"/>
              </w:rPr>
            </w:pPr>
            <w:r w:rsidRPr="00701F32">
              <w:rPr>
                <w:rFonts w:ascii="Arial" w:hAnsi="Arial" w:cs="Arial"/>
                <w:b/>
                <w:sz w:val="20"/>
              </w:rPr>
              <w:t>3.387.279</w:t>
            </w:r>
          </w:p>
        </w:tc>
      </w:tr>
    </w:tbl>
    <w:p w14:paraId="5CD8E896" w14:textId="77777777" w:rsidR="00E07294" w:rsidRPr="00701F32" w:rsidRDefault="00E07294" w:rsidP="00E07294">
      <w:pPr>
        <w:pStyle w:val="PrimerNivel"/>
        <w:numPr>
          <w:ilvl w:val="0"/>
          <w:numId w:val="0"/>
        </w:numPr>
        <w:rPr>
          <w:rFonts w:ascii="Arial" w:hAnsi="Arial" w:cs="Arial"/>
          <w:b/>
          <w:sz w:val="20"/>
          <w:szCs w:val="20"/>
          <w:lang w:val="es-AR"/>
        </w:rPr>
      </w:pPr>
    </w:p>
    <w:p w14:paraId="2F30F640" w14:textId="77777777" w:rsidR="00094A10" w:rsidRPr="00701F32" w:rsidRDefault="00094A10" w:rsidP="00E07294">
      <w:pPr>
        <w:pStyle w:val="PrimerNivel"/>
        <w:numPr>
          <w:ilvl w:val="0"/>
          <w:numId w:val="0"/>
        </w:numPr>
        <w:rPr>
          <w:rFonts w:ascii="Arial" w:hAnsi="Arial" w:cs="Arial"/>
          <w:b/>
          <w:sz w:val="20"/>
          <w:szCs w:val="20"/>
          <w:lang w:val="es-AR"/>
        </w:rPr>
      </w:pPr>
    </w:p>
    <w:p w14:paraId="085FB55C" w14:textId="77777777" w:rsidR="00E07294" w:rsidRPr="00701F32" w:rsidRDefault="00AD5EDB" w:rsidP="00E07294">
      <w:pPr>
        <w:jc w:val="both"/>
        <w:rPr>
          <w:rFonts w:ascii="Arial" w:hAnsi="Arial" w:cs="Arial"/>
          <w:b/>
          <w:sz w:val="20"/>
        </w:rPr>
      </w:pPr>
      <w:r w:rsidRPr="00701F32">
        <w:rPr>
          <w:rFonts w:ascii="Arial" w:hAnsi="Arial" w:cs="Arial"/>
          <w:b/>
          <w:sz w:val="20"/>
        </w:rPr>
        <w:t>17</w:t>
      </w:r>
      <w:r w:rsidR="00E07294" w:rsidRPr="00701F32">
        <w:rPr>
          <w:rFonts w:ascii="Arial" w:hAnsi="Arial" w:cs="Arial"/>
          <w:b/>
          <w:sz w:val="20"/>
        </w:rPr>
        <w:t>.</w:t>
      </w:r>
      <w:r w:rsidR="00136660" w:rsidRPr="00701F32">
        <w:rPr>
          <w:rFonts w:ascii="Arial" w:hAnsi="Arial" w:cs="Arial"/>
          <w:b/>
          <w:sz w:val="20"/>
        </w:rPr>
        <w:t xml:space="preserve">17 </w:t>
      </w:r>
      <w:r w:rsidR="00E07294" w:rsidRPr="00701F32">
        <w:rPr>
          <w:rFonts w:ascii="Arial" w:hAnsi="Arial" w:cs="Arial"/>
          <w:b/>
          <w:sz w:val="20"/>
        </w:rPr>
        <w:t xml:space="preserve">Egresos por intereses / comisiones </w:t>
      </w:r>
    </w:p>
    <w:p w14:paraId="5ABD4F5B" w14:textId="77777777" w:rsidR="00C5704E" w:rsidRPr="00701F32" w:rsidRDefault="00C5704E" w:rsidP="00E07294">
      <w:pPr>
        <w:jc w:val="both"/>
        <w:rPr>
          <w:rFonts w:ascii="Arial" w:hAnsi="Arial" w:cs="Arial"/>
          <w:b/>
          <w:sz w:val="20"/>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5"/>
        <w:gridCol w:w="1426"/>
      </w:tblGrid>
      <w:tr w:rsidR="00C5704E" w:rsidRPr="00701F32" w14:paraId="41422056" w14:textId="77777777" w:rsidTr="00A2015D">
        <w:trPr>
          <w:trHeight w:val="255"/>
          <w:tblHeader/>
        </w:trPr>
        <w:tc>
          <w:tcPr>
            <w:tcW w:w="7175" w:type="dxa"/>
            <w:shd w:val="clear" w:color="auto" w:fill="auto"/>
          </w:tcPr>
          <w:p w14:paraId="2B9A3418" w14:textId="77777777" w:rsidR="00C5704E" w:rsidRPr="00701F32" w:rsidRDefault="00C5704E" w:rsidP="00A2015D">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Egresos por intereses</w:t>
            </w:r>
          </w:p>
        </w:tc>
        <w:tc>
          <w:tcPr>
            <w:tcW w:w="1426" w:type="dxa"/>
            <w:shd w:val="clear" w:color="auto" w:fill="auto"/>
            <w:vAlign w:val="center"/>
          </w:tcPr>
          <w:p w14:paraId="55CD54FC" w14:textId="77777777" w:rsidR="00C5704E" w:rsidRPr="00701F32" w:rsidRDefault="00C5704E" w:rsidP="005819B2">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A544BA" w:rsidRPr="00701F32" w14:paraId="40F9D7B2" w14:textId="77777777" w:rsidTr="00A2015D">
        <w:trPr>
          <w:trHeight w:val="255"/>
        </w:trPr>
        <w:tc>
          <w:tcPr>
            <w:tcW w:w="7175" w:type="dxa"/>
          </w:tcPr>
          <w:p w14:paraId="20DF6673" w14:textId="77777777" w:rsidR="00A544BA" w:rsidRPr="00701F32" w:rsidRDefault="00A544BA" w:rsidP="00A2015D">
            <w:pPr>
              <w:ind w:left="180" w:hanging="151"/>
              <w:jc w:val="both"/>
              <w:rPr>
                <w:rFonts w:ascii="Arial" w:hAnsi="Arial" w:cs="Arial"/>
                <w:sz w:val="20"/>
              </w:rPr>
            </w:pPr>
            <w:r w:rsidRPr="00701F32">
              <w:rPr>
                <w:rFonts w:ascii="Arial" w:hAnsi="Arial" w:cs="Arial"/>
                <w:sz w:val="20"/>
              </w:rPr>
              <w:t>Cuentas corrientes</w:t>
            </w:r>
          </w:p>
        </w:tc>
        <w:tc>
          <w:tcPr>
            <w:tcW w:w="1426" w:type="dxa"/>
          </w:tcPr>
          <w:p w14:paraId="356A1023" w14:textId="77777777" w:rsidR="00A544BA" w:rsidRPr="00701F32" w:rsidRDefault="00A544BA" w:rsidP="00A2015D">
            <w:pPr>
              <w:ind w:right="134"/>
              <w:jc w:val="right"/>
              <w:rPr>
                <w:rFonts w:ascii="Arial" w:hAnsi="Arial" w:cs="Arial"/>
                <w:sz w:val="20"/>
              </w:rPr>
            </w:pPr>
            <w:r w:rsidRPr="00701F32">
              <w:rPr>
                <w:rFonts w:ascii="Arial" w:hAnsi="Arial" w:cs="Arial"/>
                <w:sz w:val="20"/>
              </w:rPr>
              <w:t>641.184</w:t>
            </w:r>
          </w:p>
        </w:tc>
      </w:tr>
      <w:tr w:rsidR="00A544BA" w:rsidRPr="00701F32" w14:paraId="47B538C0" w14:textId="77777777" w:rsidTr="00A2015D">
        <w:trPr>
          <w:trHeight w:val="255"/>
        </w:trPr>
        <w:tc>
          <w:tcPr>
            <w:tcW w:w="7175" w:type="dxa"/>
          </w:tcPr>
          <w:p w14:paraId="4BD49E5B" w14:textId="77777777" w:rsidR="00A544BA" w:rsidRPr="00701F32" w:rsidRDefault="00A544BA" w:rsidP="00A2015D">
            <w:pPr>
              <w:ind w:left="180" w:hanging="151"/>
              <w:jc w:val="both"/>
              <w:rPr>
                <w:rFonts w:ascii="Arial" w:hAnsi="Arial" w:cs="Arial"/>
                <w:sz w:val="20"/>
              </w:rPr>
            </w:pPr>
            <w:r w:rsidRPr="00701F32">
              <w:rPr>
                <w:rFonts w:ascii="Arial" w:hAnsi="Arial" w:cs="Arial"/>
                <w:sz w:val="20"/>
              </w:rPr>
              <w:t>Cajas de ahorro</w:t>
            </w:r>
          </w:p>
        </w:tc>
        <w:tc>
          <w:tcPr>
            <w:tcW w:w="1426" w:type="dxa"/>
          </w:tcPr>
          <w:p w14:paraId="36CBE8F8" w14:textId="77777777" w:rsidR="00A544BA" w:rsidRPr="00701F32" w:rsidRDefault="00A544BA" w:rsidP="00A2015D">
            <w:pPr>
              <w:ind w:right="134"/>
              <w:jc w:val="right"/>
              <w:rPr>
                <w:rFonts w:ascii="Arial" w:hAnsi="Arial" w:cs="Arial"/>
                <w:sz w:val="20"/>
              </w:rPr>
            </w:pPr>
            <w:r w:rsidRPr="00701F32">
              <w:rPr>
                <w:rFonts w:ascii="Arial" w:hAnsi="Arial" w:cs="Arial"/>
                <w:sz w:val="20"/>
              </w:rPr>
              <w:t>3.702</w:t>
            </w:r>
          </w:p>
        </w:tc>
      </w:tr>
      <w:tr w:rsidR="00A544BA" w:rsidRPr="00701F32" w14:paraId="5DB73B5C" w14:textId="77777777" w:rsidTr="00A2015D">
        <w:trPr>
          <w:trHeight w:val="255"/>
        </w:trPr>
        <w:tc>
          <w:tcPr>
            <w:tcW w:w="7175" w:type="dxa"/>
          </w:tcPr>
          <w:p w14:paraId="0E4F029B" w14:textId="77777777" w:rsidR="00A544BA" w:rsidRPr="00701F32" w:rsidRDefault="00A544BA" w:rsidP="00A2015D">
            <w:pPr>
              <w:ind w:left="180" w:hanging="151"/>
              <w:jc w:val="both"/>
              <w:rPr>
                <w:rFonts w:ascii="Arial" w:hAnsi="Arial" w:cs="Arial"/>
                <w:sz w:val="20"/>
              </w:rPr>
            </w:pPr>
            <w:r w:rsidRPr="00701F32">
              <w:rPr>
                <w:rFonts w:ascii="Arial" w:hAnsi="Arial" w:cs="Arial"/>
                <w:sz w:val="20"/>
              </w:rPr>
              <w:t>Plazo fijo e inversiones a plazo</w:t>
            </w:r>
          </w:p>
        </w:tc>
        <w:tc>
          <w:tcPr>
            <w:tcW w:w="1426" w:type="dxa"/>
          </w:tcPr>
          <w:p w14:paraId="0823BA85" w14:textId="77777777" w:rsidR="00A544BA" w:rsidRPr="00701F32" w:rsidRDefault="00A544BA" w:rsidP="00A2015D">
            <w:pPr>
              <w:ind w:right="134"/>
              <w:jc w:val="right"/>
              <w:rPr>
                <w:rFonts w:ascii="Arial" w:hAnsi="Arial" w:cs="Arial"/>
                <w:sz w:val="20"/>
              </w:rPr>
            </w:pPr>
            <w:r w:rsidRPr="00701F32">
              <w:rPr>
                <w:rFonts w:ascii="Arial" w:hAnsi="Arial" w:cs="Arial"/>
                <w:sz w:val="20"/>
              </w:rPr>
              <w:t>2.024.962</w:t>
            </w:r>
          </w:p>
        </w:tc>
      </w:tr>
      <w:tr w:rsidR="00A544BA" w:rsidRPr="00701F32" w14:paraId="4CA47B0B" w14:textId="77777777" w:rsidTr="00A2015D">
        <w:trPr>
          <w:trHeight w:val="255"/>
        </w:trPr>
        <w:tc>
          <w:tcPr>
            <w:tcW w:w="7175" w:type="dxa"/>
          </w:tcPr>
          <w:p w14:paraId="596D175B" w14:textId="77777777" w:rsidR="00A544BA" w:rsidRPr="00701F32" w:rsidRDefault="00A544BA" w:rsidP="00A2015D">
            <w:pPr>
              <w:ind w:left="180" w:hanging="151"/>
              <w:jc w:val="both"/>
              <w:rPr>
                <w:rFonts w:ascii="Arial" w:hAnsi="Arial" w:cs="Arial"/>
                <w:sz w:val="20"/>
              </w:rPr>
            </w:pPr>
            <w:r w:rsidRPr="00701F32">
              <w:rPr>
                <w:rFonts w:ascii="Arial" w:hAnsi="Arial" w:cs="Arial"/>
                <w:sz w:val="20"/>
              </w:rPr>
              <w:t>Otros</w:t>
            </w:r>
          </w:p>
        </w:tc>
        <w:tc>
          <w:tcPr>
            <w:tcW w:w="1426" w:type="dxa"/>
          </w:tcPr>
          <w:p w14:paraId="4925DD38" w14:textId="77777777" w:rsidR="00A544BA" w:rsidRPr="00701F32" w:rsidRDefault="00A544BA" w:rsidP="00A2015D">
            <w:pPr>
              <w:ind w:right="134"/>
              <w:jc w:val="right"/>
              <w:rPr>
                <w:rFonts w:ascii="Arial" w:hAnsi="Arial" w:cs="Arial"/>
                <w:sz w:val="20"/>
              </w:rPr>
            </w:pPr>
            <w:r w:rsidRPr="00701F32">
              <w:rPr>
                <w:rFonts w:ascii="Arial" w:hAnsi="Arial" w:cs="Arial"/>
                <w:sz w:val="20"/>
              </w:rPr>
              <w:t>440.690</w:t>
            </w:r>
          </w:p>
        </w:tc>
      </w:tr>
      <w:tr w:rsidR="00C5704E" w:rsidRPr="00701F32" w14:paraId="6872D6AB" w14:textId="77777777" w:rsidTr="00A2015D">
        <w:trPr>
          <w:trHeight w:val="255"/>
        </w:trPr>
        <w:tc>
          <w:tcPr>
            <w:tcW w:w="7175" w:type="dxa"/>
          </w:tcPr>
          <w:p w14:paraId="5D113CB2" w14:textId="77777777" w:rsidR="00C5704E" w:rsidRPr="00701F32" w:rsidRDefault="00C5704E" w:rsidP="00A2015D">
            <w:pPr>
              <w:ind w:left="180" w:hanging="151"/>
              <w:jc w:val="both"/>
              <w:rPr>
                <w:rFonts w:ascii="Arial" w:hAnsi="Arial" w:cs="Arial"/>
                <w:sz w:val="20"/>
              </w:rPr>
            </w:pPr>
            <w:r w:rsidRPr="00701F32">
              <w:rPr>
                <w:rFonts w:ascii="Arial" w:hAnsi="Arial" w:cs="Arial"/>
                <w:sz w:val="20"/>
              </w:rPr>
              <w:t>Por financiaciones recibidas del BCRA y otras instituciones financieras</w:t>
            </w:r>
          </w:p>
        </w:tc>
        <w:tc>
          <w:tcPr>
            <w:tcW w:w="1426" w:type="dxa"/>
          </w:tcPr>
          <w:p w14:paraId="7952617C" w14:textId="77777777" w:rsidR="00C5704E" w:rsidRPr="00701F32" w:rsidRDefault="00C5704E" w:rsidP="00A2015D">
            <w:pPr>
              <w:ind w:right="134"/>
              <w:jc w:val="right"/>
              <w:rPr>
                <w:rFonts w:ascii="Arial" w:hAnsi="Arial" w:cs="Arial"/>
                <w:sz w:val="20"/>
              </w:rPr>
            </w:pPr>
            <w:r w:rsidRPr="00701F32">
              <w:rPr>
                <w:rFonts w:ascii="Arial" w:hAnsi="Arial" w:cs="Arial"/>
                <w:sz w:val="20"/>
              </w:rPr>
              <w:t>207.779</w:t>
            </w:r>
          </w:p>
        </w:tc>
      </w:tr>
      <w:tr w:rsidR="00C5704E" w:rsidRPr="00701F32" w14:paraId="7E90A697" w14:textId="77777777" w:rsidTr="00A2015D">
        <w:trPr>
          <w:trHeight w:val="255"/>
        </w:trPr>
        <w:tc>
          <w:tcPr>
            <w:tcW w:w="7175" w:type="dxa"/>
          </w:tcPr>
          <w:p w14:paraId="18A24B72" w14:textId="77777777" w:rsidR="00C5704E" w:rsidRPr="00701F32" w:rsidRDefault="00C5704E" w:rsidP="00A2015D">
            <w:pPr>
              <w:ind w:left="180" w:hanging="151"/>
              <w:jc w:val="both"/>
              <w:rPr>
                <w:rFonts w:ascii="Arial" w:hAnsi="Arial" w:cs="Arial"/>
                <w:sz w:val="20"/>
              </w:rPr>
            </w:pPr>
            <w:r w:rsidRPr="00701F32">
              <w:rPr>
                <w:rFonts w:ascii="Arial" w:hAnsi="Arial" w:cs="Arial"/>
                <w:sz w:val="20"/>
              </w:rPr>
              <w:t>Por operaciones de pase</w:t>
            </w:r>
          </w:p>
        </w:tc>
        <w:tc>
          <w:tcPr>
            <w:tcW w:w="1426" w:type="dxa"/>
          </w:tcPr>
          <w:p w14:paraId="2535086B" w14:textId="77777777" w:rsidR="00C5704E" w:rsidRPr="00701F32" w:rsidRDefault="00C5704E" w:rsidP="00A2015D">
            <w:pPr>
              <w:tabs>
                <w:tab w:val="left" w:pos="1307"/>
              </w:tabs>
              <w:ind w:right="134"/>
              <w:jc w:val="right"/>
              <w:rPr>
                <w:rFonts w:ascii="Arial" w:hAnsi="Arial" w:cs="Arial"/>
                <w:sz w:val="20"/>
              </w:rPr>
            </w:pPr>
            <w:r w:rsidRPr="00701F32">
              <w:rPr>
                <w:rFonts w:ascii="Arial" w:hAnsi="Arial" w:cs="Arial"/>
                <w:sz w:val="20"/>
              </w:rPr>
              <w:t>108.712</w:t>
            </w:r>
          </w:p>
        </w:tc>
      </w:tr>
      <w:tr w:rsidR="00C5704E" w:rsidRPr="00701F32" w14:paraId="53B25F6C" w14:textId="77777777" w:rsidTr="00A2015D">
        <w:trPr>
          <w:trHeight w:val="255"/>
        </w:trPr>
        <w:tc>
          <w:tcPr>
            <w:tcW w:w="7175" w:type="dxa"/>
          </w:tcPr>
          <w:p w14:paraId="0E53F821" w14:textId="77777777" w:rsidR="00C5704E" w:rsidRPr="00701F32" w:rsidRDefault="00C5704E" w:rsidP="00A2015D">
            <w:pPr>
              <w:pStyle w:val="Style1"/>
              <w:adjustRightInd/>
              <w:ind w:left="162" w:hanging="151"/>
              <w:jc w:val="both"/>
              <w:rPr>
                <w:rFonts w:ascii="Arial" w:hAnsi="Arial" w:cs="Arial"/>
                <w:spacing w:val="-6"/>
                <w:szCs w:val="20"/>
              </w:rPr>
            </w:pPr>
            <w:r w:rsidRPr="00701F32">
              <w:rPr>
                <w:rFonts w:ascii="Arial" w:hAnsi="Arial" w:cs="Arial"/>
                <w:spacing w:val="-6"/>
                <w:szCs w:val="20"/>
              </w:rPr>
              <w:t>Por otros  pasivos financieros</w:t>
            </w:r>
          </w:p>
        </w:tc>
        <w:tc>
          <w:tcPr>
            <w:tcW w:w="1426" w:type="dxa"/>
          </w:tcPr>
          <w:p w14:paraId="4662B479" w14:textId="77777777" w:rsidR="00C5704E" w:rsidRPr="00701F32" w:rsidRDefault="00C5704E" w:rsidP="00A2015D">
            <w:pPr>
              <w:pStyle w:val="Style1"/>
              <w:adjustRightInd/>
              <w:ind w:right="134"/>
              <w:jc w:val="right"/>
              <w:rPr>
                <w:rFonts w:ascii="Arial" w:hAnsi="Arial" w:cs="Arial"/>
                <w:spacing w:val="-4"/>
                <w:szCs w:val="20"/>
              </w:rPr>
            </w:pPr>
            <w:r w:rsidRPr="00701F32">
              <w:rPr>
                <w:rFonts w:ascii="Arial" w:hAnsi="Arial" w:cs="Arial"/>
                <w:spacing w:val="-4"/>
                <w:szCs w:val="20"/>
              </w:rPr>
              <w:t>1.846.467</w:t>
            </w:r>
          </w:p>
        </w:tc>
      </w:tr>
      <w:tr w:rsidR="00C5704E" w:rsidRPr="00701F32" w14:paraId="4826E992" w14:textId="77777777" w:rsidTr="00A2015D">
        <w:trPr>
          <w:trHeight w:val="255"/>
        </w:trPr>
        <w:tc>
          <w:tcPr>
            <w:tcW w:w="7175" w:type="dxa"/>
          </w:tcPr>
          <w:p w14:paraId="7D03876D" w14:textId="77777777" w:rsidR="00C5704E" w:rsidRPr="00701F32" w:rsidRDefault="00C5704E" w:rsidP="00A2015D">
            <w:pPr>
              <w:pStyle w:val="Style1"/>
              <w:adjustRightInd/>
              <w:ind w:left="162" w:hanging="151"/>
              <w:jc w:val="both"/>
              <w:rPr>
                <w:rFonts w:ascii="Arial" w:hAnsi="Arial" w:cs="Arial"/>
                <w:spacing w:val="-6"/>
                <w:szCs w:val="20"/>
              </w:rPr>
            </w:pPr>
            <w:r w:rsidRPr="00701F32">
              <w:rPr>
                <w:rFonts w:ascii="Arial" w:hAnsi="Arial" w:cs="Arial"/>
                <w:spacing w:val="-6"/>
                <w:szCs w:val="20"/>
              </w:rPr>
              <w:t>Por otras  obligaciones negociables  subordinadas</w:t>
            </w:r>
          </w:p>
        </w:tc>
        <w:tc>
          <w:tcPr>
            <w:tcW w:w="1426" w:type="dxa"/>
          </w:tcPr>
          <w:p w14:paraId="0B6F4E99" w14:textId="77777777" w:rsidR="00C5704E" w:rsidRPr="00701F32" w:rsidRDefault="00C5704E" w:rsidP="00A2015D">
            <w:pPr>
              <w:pStyle w:val="Style1"/>
              <w:adjustRightInd/>
              <w:ind w:right="134"/>
              <w:jc w:val="right"/>
              <w:rPr>
                <w:rFonts w:ascii="Arial" w:hAnsi="Arial" w:cs="Arial"/>
                <w:spacing w:val="-4"/>
                <w:szCs w:val="20"/>
              </w:rPr>
            </w:pPr>
            <w:r w:rsidRPr="00701F32">
              <w:rPr>
                <w:rFonts w:ascii="Arial" w:hAnsi="Arial" w:cs="Arial"/>
                <w:spacing w:val="-4"/>
                <w:szCs w:val="20"/>
              </w:rPr>
              <w:t>128.237</w:t>
            </w:r>
          </w:p>
        </w:tc>
      </w:tr>
      <w:tr w:rsidR="00C5704E" w:rsidRPr="00701F32" w14:paraId="33A86265" w14:textId="77777777" w:rsidTr="00A2015D">
        <w:trPr>
          <w:trHeight w:val="255"/>
        </w:trPr>
        <w:tc>
          <w:tcPr>
            <w:tcW w:w="7175" w:type="dxa"/>
            <w:shd w:val="clear" w:color="auto" w:fill="auto"/>
          </w:tcPr>
          <w:p w14:paraId="17DB6367" w14:textId="77777777" w:rsidR="00C5704E" w:rsidRPr="00701F32" w:rsidRDefault="00C5704E" w:rsidP="00A2015D">
            <w:pPr>
              <w:jc w:val="both"/>
              <w:rPr>
                <w:rFonts w:ascii="Arial" w:hAnsi="Arial" w:cs="Arial"/>
                <w:b/>
                <w:sz w:val="20"/>
              </w:rPr>
            </w:pPr>
            <w:r w:rsidRPr="00701F32">
              <w:rPr>
                <w:rFonts w:ascii="Arial" w:hAnsi="Arial" w:cs="Arial"/>
                <w:b/>
                <w:sz w:val="20"/>
              </w:rPr>
              <w:t>Total</w:t>
            </w:r>
          </w:p>
        </w:tc>
        <w:tc>
          <w:tcPr>
            <w:tcW w:w="1426" w:type="dxa"/>
            <w:shd w:val="clear" w:color="auto" w:fill="auto"/>
          </w:tcPr>
          <w:p w14:paraId="56812655" w14:textId="77777777" w:rsidR="00C5704E" w:rsidRPr="00701F32" w:rsidRDefault="00C5704E" w:rsidP="00A2015D">
            <w:pPr>
              <w:pStyle w:val="Style1"/>
              <w:adjustRightInd/>
              <w:ind w:right="107"/>
              <w:jc w:val="right"/>
              <w:rPr>
                <w:rFonts w:ascii="Arial" w:hAnsi="Arial" w:cs="Arial"/>
                <w:b/>
                <w:szCs w:val="20"/>
              </w:rPr>
            </w:pPr>
            <w:r w:rsidRPr="00701F32">
              <w:rPr>
                <w:rFonts w:ascii="Arial" w:hAnsi="Arial" w:cs="Arial"/>
                <w:b/>
                <w:spacing w:val="-4"/>
                <w:szCs w:val="20"/>
              </w:rPr>
              <w:t>5.401.733</w:t>
            </w:r>
          </w:p>
        </w:tc>
      </w:tr>
    </w:tbl>
    <w:p w14:paraId="1A28A6BC" w14:textId="77777777" w:rsidR="00E07294" w:rsidRPr="00701F32" w:rsidRDefault="00E07294" w:rsidP="00E07294">
      <w:pPr>
        <w:pStyle w:val="Style1"/>
        <w:jc w:val="both"/>
        <w:rPr>
          <w:rFonts w:ascii="Arial" w:hAnsi="Arial" w:cs="Arial"/>
          <w:b/>
          <w:szCs w:val="20"/>
          <w:lang w:eastAsia="es-ES"/>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5"/>
        <w:gridCol w:w="1426"/>
      </w:tblGrid>
      <w:tr w:rsidR="00E07294" w:rsidRPr="00701F32" w14:paraId="42E63940" w14:textId="77777777" w:rsidTr="00464C0F">
        <w:trPr>
          <w:trHeight w:val="255"/>
          <w:tblHeader/>
        </w:trPr>
        <w:tc>
          <w:tcPr>
            <w:tcW w:w="7175" w:type="dxa"/>
            <w:shd w:val="clear" w:color="auto" w:fill="auto"/>
          </w:tcPr>
          <w:p w14:paraId="24913CE9" w14:textId="77777777" w:rsidR="00E07294" w:rsidRPr="00701F32" w:rsidRDefault="00E07294" w:rsidP="00464C0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Egresos por comisiones</w:t>
            </w:r>
          </w:p>
        </w:tc>
        <w:tc>
          <w:tcPr>
            <w:tcW w:w="1426" w:type="dxa"/>
            <w:shd w:val="clear" w:color="auto" w:fill="auto"/>
            <w:vAlign w:val="center"/>
          </w:tcPr>
          <w:p w14:paraId="72DA7C7A" w14:textId="77777777" w:rsidR="00E07294" w:rsidRPr="00701F32" w:rsidRDefault="00E07294" w:rsidP="005819B2">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E07294" w:rsidRPr="00701F32" w14:paraId="46EBF24D" w14:textId="77777777" w:rsidTr="00464C0F">
        <w:trPr>
          <w:trHeight w:val="255"/>
        </w:trPr>
        <w:tc>
          <w:tcPr>
            <w:tcW w:w="7175" w:type="dxa"/>
            <w:shd w:val="clear" w:color="auto" w:fill="auto"/>
          </w:tcPr>
          <w:p w14:paraId="152F1981" w14:textId="77777777" w:rsidR="00E07294" w:rsidRPr="00701F32" w:rsidRDefault="00E07294" w:rsidP="00464C0F">
            <w:pPr>
              <w:ind w:left="29"/>
              <w:jc w:val="both"/>
              <w:rPr>
                <w:rFonts w:ascii="Arial" w:hAnsi="Arial" w:cs="Arial"/>
                <w:sz w:val="20"/>
              </w:rPr>
            </w:pPr>
            <w:r w:rsidRPr="00701F32">
              <w:rPr>
                <w:rFonts w:ascii="Arial" w:hAnsi="Arial" w:cs="Arial"/>
                <w:sz w:val="20"/>
              </w:rPr>
              <w:t>Comisiones vinculadas con operaciones con títulos valores</w:t>
            </w:r>
          </w:p>
        </w:tc>
        <w:tc>
          <w:tcPr>
            <w:tcW w:w="1426" w:type="dxa"/>
            <w:shd w:val="clear" w:color="auto" w:fill="auto"/>
          </w:tcPr>
          <w:p w14:paraId="4AF227C1" w14:textId="77777777" w:rsidR="00E07294" w:rsidRPr="00701F32" w:rsidRDefault="00E07294" w:rsidP="00464C0F">
            <w:pPr>
              <w:ind w:right="113"/>
              <w:jc w:val="right"/>
              <w:rPr>
                <w:rFonts w:ascii="Arial" w:hAnsi="Arial" w:cs="Arial"/>
                <w:sz w:val="20"/>
              </w:rPr>
            </w:pPr>
            <w:r w:rsidRPr="00701F32">
              <w:rPr>
                <w:rFonts w:ascii="Arial" w:hAnsi="Arial" w:cs="Arial"/>
                <w:sz w:val="20"/>
              </w:rPr>
              <w:t>7.074</w:t>
            </w:r>
          </w:p>
        </w:tc>
      </w:tr>
      <w:tr w:rsidR="00604293" w:rsidRPr="00701F32" w14:paraId="51813404" w14:textId="77777777" w:rsidTr="00464C0F">
        <w:trPr>
          <w:trHeight w:val="255"/>
        </w:trPr>
        <w:tc>
          <w:tcPr>
            <w:tcW w:w="7175" w:type="dxa"/>
          </w:tcPr>
          <w:p w14:paraId="64BB4FFC" w14:textId="77777777" w:rsidR="00604293" w:rsidRPr="00701F32" w:rsidRDefault="00604293" w:rsidP="00464C0F">
            <w:pPr>
              <w:ind w:left="29"/>
              <w:jc w:val="both"/>
              <w:rPr>
                <w:rFonts w:ascii="Arial" w:hAnsi="Arial" w:cs="Arial"/>
                <w:sz w:val="20"/>
              </w:rPr>
            </w:pPr>
            <w:r w:rsidRPr="00701F32">
              <w:rPr>
                <w:rFonts w:ascii="Arial" w:hAnsi="Arial" w:cs="Arial"/>
                <w:sz w:val="20"/>
              </w:rPr>
              <w:t>Servicios de cobranza</w:t>
            </w:r>
          </w:p>
        </w:tc>
        <w:tc>
          <w:tcPr>
            <w:tcW w:w="1426" w:type="dxa"/>
          </w:tcPr>
          <w:p w14:paraId="00F8527D" w14:textId="77777777" w:rsidR="00604293" w:rsidRPr="00701F32" w:rsidRDefault="00604293" w:rsidP="00464C0F">
            <w:pPr>
              <w:ind w:right="113"/>
              <w:jc w:val="right"/>
              <w:rPr>
                <w:rFonts w:ascii="Arial" w:hAnsi="Arial" w:cs="Arial"/>
                <w:sz w:val="20"/>
              </w:rPr>
            </w:pPr>
            <w:r w:rsidRPr="00701F32">
              <w:rPr>
                <w:rFonts w:ascii="Arial" w:hAnsi="Arial" w:cs="Arial"/>
                <w:sz w:val="20"/>
              </w:rPr>
              <w:t>211.394</w:t>
            </w:r>
          </w:p>
        </w:tc>
      </w:tr>
      <w:tr w:rsidR="00604293" w:rsidRPr="00701F32" w14:paraId="14951F12" w14:textId="77777777" w:rsidTr="00464C0F">
        <w:trPr>
          <w:trHeight w:val="255"/>
        </w:trPr>
        <w:tc>
          <w:tcPr>
            <w:tcW w:w="7175" w:type="dxa"/>
          </w:tcPr>
          <w:p w14:paraId="64B5568B" w14:textId="77777777" w:rsidR="00604293" w:rsidRPr="00701F32" w:rsidRDefault="00604293" w:rsidP="00464C0F">
            <w:pPr>
              <w:ind w:left="29"/>
              <w:jc w:val="both"/>
              <w:rPr>
                <w:rFonts w:ascii="Arial" w:hAnsi="Arial" w:cs="Arial"/>
                <w:sz w:val="20"/>
              </w:rPr>
            </w:pPr>
            <w:r w:rsidRPr="00701F32">
              <w:rPr>
                <w:rFonts w:ascii="Arial" w:hAnsi="Arial" w:cs="Arial"/>
                <w:sz w:val="20"/>
              </w:rPr>
              <w:t>Servicios de comercializadora</w:t>
            </w:r>
          </w:p>
        </w:tc>
        <w:tc>
          <w:tcPr>
            <w:tcW w:w="1426" w:type="dxa"/>
          </w:tcPr>
          <w:p w14:paraId="1BC5F6AE" w14:textId="77777777" w:rsidR="00604293" w:rsidRPr="00701F32" w:rsidRDefault="00604293" w:rsidP="00464C0F">
            <w:pPr>
              <w:ind w:right="113"/>
              <w:jc w:val="right"/>
              <w:rPr>
                <w:rFonts w:ascii="Arial" w:hAnsi="Arial" w:cs="Arial"/>
                <w:sz w:val="20"/>
              </w:rPr>
            </w:pPr>
            <w:r w:rsidRPr="00701F32">
              <w:rPr>
                <w:rFonts w:ascii="Arial" w:hAnsi="Arial" w:cs="Arial"/>
                <w:sz w:val="20"/>
              </w:rPr>
              <w:t>164.577</w:t>
            </w:r>
          </w:p>
        </w:tc>
      </w:tr>
      <w:tr w:rsidR="00604293" w:rsidRPr="00701F32" w14:paraId="4774F3D4" w14:textId="77777777" w:rsidTr="00464C0F">
        <w:trPr>
          <w:trHeight w:val="255"/>
        </w:trPr>
        <w:tc>
          <w:tcPr>
            <w:tcW w:w="7175" w:type="dxa"/>
          </w:tcPr>
          <w:p w14:paraId="37D5AF4F" w14:textId="77777777" w:rsidR="00604293" w:rsidRPr="00701F32" w:rsidRDefault="00604293" w:rsidP="00464C0F">
            <w:pPr>
              <w:ind w:left="29"/>
              <w:jc w:val="both"/>
              <w:rPr>
                <w:rFonts w:ascii="Arial" w:hAnsi="Arial" w:cs="Arial"/>
                <w:sz w:val="20"/>
              </w:rPr>
            </w:pPr>
            <w:r w:rsidRPr="00701F32">
              <w:rPr>
                <w:rFonts w:ascii="Arial" w:hAnsi="Arial" w:cs="Arial"/>
                <w:sz w:val="20"/>
              </w:rPr>
              <w:t>Financiaciones y consumos de tarjetas  de crédito</w:t>
            </w:r>
          </w:p>
        </w:tc>
        <w:tc>
          <w:tcPr>
            <w:tcW w:w="1426" w:type="dxa"/>
          </w:tcPr>
          <w:p w14:paraId="1BB34544" w14:textId="77777777" w:rsidR="00604293" w:rsidRPr="00701F32" w:rsidRDefault="00604293" w:rsidP="00464C0F">
            <w:pPr>
              <w:ind w:right="113"/>
              <w:jc w:val="right"/>
              <w:rPr>
                <w:rFonts w:ascii="Arial" w:hAnsi="Arial" w:cs="Arial"/>
                <w:sz w:val="20"/>
              </w:rPr>
            </w:pPr>
            <w:r w:rsidRPr="00701F32">
              <w:rPr>
                <w:rFonts w:ascii="Arial" w:hAnsi="Arial" w:cs="Arial"/>
                <w:sz w:val="20"/>
              </w:rPr>
              <w:t>345.601</w:t>
            </w:r>
          </w:p>
        </w:tc>
      </w:tr>
      <w:tr w:rsidR="00E07294" w:rsidRPr="00701F32" w14:paraId="1C8E51ED" w14:textId="77777777" w:rsidTr="00464C0F">
        <w:trPr>
          <w:trHeight w:val="255"/>
        </w:trPr>
        <w:tc>
          <w:tcPr>
            <w:tcW w:w="7175" w:type="dxa"/>
          </w:tcPr>
          <w:p w14:paraId="6CBAF9B5" w14:textId="77777777" w:rsidR="00E07294" w:rsidRPr="00701F32" w:rsidRDefault="00E07294" w:rsidP="00464C0F">
            <w:pPr>
              <w:ind w:left="29"/>
              <w:jc w:val="both"/>
              <w:rPr>
                <w:rFonts w:ascii="Arial" w:hAnsi="Arial" w:cs="Arial"/>
                <w:sz w:val="20"/>
              </w:rPr>
            </w:pPr>
            <w:r w:rsidRPr="00701F32">
              <w:rPr>
                <w:rFonts w:ascii="Arial" w:hAnsi="Arial" w:cs="Arial"/>
                <w:sz w:val="20"/>
              </w:rPr>
              <w:t>Otros</w:t>
            </w:r>
          </w:p>
        </w:tc>
        <w:tc>
          <w:tcPr>
            <w:tcW w:w="1426" w:type="dxa"/>
          </w:tcPr>
          <w:p w14:paraId="5C0A91F5" w14:textId="77777777" w:rsidR="00E07294" w:rsidRPr="00701F32" w:rsidRDefault="00604293" w:rsidP="00464C0F">
            <w:pPr>
              <w:ind w:right="113"/>
              <w:jc w:val="right"/>
              <w:rPr>
                <w:rFonts w:ascii="Arial" w:hAnsi="Arial" w:cs="Arial"/>
                <w:sz w:val="20"/>
              </w:rPr>
            </w:pPr>
            <w:r w:rsidRPr="00701F32">
              <w:rPr>
                <w:rFonts w:ascii="Arial" w:hAnsi="Arial" w:cs="Arial"/>
                <w:sz w:val="20"/>
              </w:rPr>
              <w:t>331.036</w:t>
            </w:r>
          </w:p>
        </w:tc>
      </w:tr>
      <w:tr w:rsidR="00E07294" w:rsidRPr="00701F32" w14:paraId="1231272A" w14:textId="77777777" w:rsidTr="00464C0F">
        <w:trPr>
          <w:trHeight w:val="255"/>
        </w:trPr>
        <w:tc>
          <w:tcPr>
            <w:tcW w:w="7175" w:type="dxa"/>
            <w:shd w:val="clear" w:color="auto" w:fill="auto"/>
          </w:tcPr>
          <w:p w14:paraId="1AE9B67C" w14:textId="77777777" w:rsidR="00E07294" w:rsidRPr="00701F32" w:rsidRDefault="00E07294" w:rsidP="00464C0F">
            <w:pPr>
              <w:jc w:val="both"/>
              <w:rPr>
                <w:rFonts w:ascii="Arial" w:hAnsi="Arial" w:cs="Arial"/>
                <w:b/>
                <w:sz w:val="20"/>
              </w:rPr>
            </w:pPr>
            <w:r w:rsidRPr="00701F32">
              <w:rPr>
                <w:rFonts w:ascii="Arial" w:hAnsi="Arial" w:cs="Arial"/>
                <w:b/>
                <w:sz w:val="20"/>
              </w:rPr>
              <w:t>Total</w:t>
            </w:r>
          </w:p>
        </w:tc>
        <w:tc>
          <w:tcPr>
            <w:tcW w:w="1426" w:type="dxa"/>
            <w:shd w:val="clear" w:color="auto" w:fill="auto"/>
          </w:tcPr>
          <w:p w14:paraId="130A6E2B" w14:textId="77777777" w:rsidR="00E07294" w:rsidRPr="00701F32" w:rsidRDefault="00E07294" w:rsidP="00464C0F">
            <w:pPr>
              <w:pStyle w:val="Style1"/>
              <w:adjustRightInd/>
              <w:ind w:right="107"/>
              <w:jc w:val="right"/>
              <w:rPr>
                <w:rFonts w:ascii="Arial" w:hAnsi="Arial" w:cs="Arial"/>
                <w:b/>
                <w:szCs w:val="20"/>
              </w:rPr>
            </w:pPr>
            <w:r w:rsidRPr="00701F32">
              <w:rPr>
                <w:rFonts w:ascii="Arial" w:hAnsi="Arial" w:cs="Arial"/>
                <w:b/>
                <w:spacing w:val="-4"/>
                <w:szCs w:val="20"/>
              </w:rPr>
              <w:t>1.059.682</w:t>
            </w:r>
          </w:p>
        </w:tc>
      </w:tr>
    </w:tbl>
    <w:p w14:paraId="6E53E0E6" w14:textId="77777777" w:rsidR="00F9498A" w:rsidRPr="00701F32" w:rsidRDefault="00F9498A" w:rsidP="00E07294">
      <w:pPr>
        <w:pStyle w:val="Style1"/>
        <w:jc w:val="both"/>
        <w:rPr>
          <w:rFonts w:ascii="Arial" w:hAnsi="Arial" w:cs="Arial"/>
          <w:b/>
          <w:szCs w:val="20"/>
          <w:lang w:eastAsia="es-ES"/>
        </w:rPr>
      </w:pPr>
    </w:p>
    <w:p w14:paraId="22E7BBBD" w14:textId="77777777" w:rsidR="00E07294" w:rsidRPr="00701F32" w:rsidRDefault="00AD5EDB" w:rsidP="00712ADC">
      <w:pPr>
        <w:pStyle w:val="Style1"/>
        <w:jc w:val="both"/>
        <w:rPr>
          <w:rFonts w:ascii="Arial" w:hAnsi="Arial" w:cs="Arial"/>
          <w:b/>
          <w:color w:val="943634" w:themeColor="accent2" w:themeShade="BF"/>
        </w:rPr>
      </w:pPr>
      <w:r w:rsidRPr="00701F32">
        <w:rPr>
          <w:rFonts w:ascii="Arial" w:hAnsi="Arial" w:cs="Arial"/>
          <w:b/>
        </w:rPr>
        <w:t>17</w:t>
      </w:r>
      <w:r w:rsidR="00E07294" w:rsidRPr="00701F32">
        <w:rPr>
          <w:rFonts w:ascii="Arial" w:hAnsi="Arial" w:cs="Arial"/>
          <w:b/>
        </w:rPr>
        <w:t>.</w:t>
      </w:r>
      <w:r w:rsidR="00136660" w:rsidRPr="00701F32">
        <w:rPr>
          <w:rFonts w:ascii="Arial" w:hAnsi="Arial" w:cs="Arial"/>
          <w:b/>
        </w:rPr>
        <w:t xml:space="preserve">18 </w:t>
      </w:r>
      <w:r w:rsidR="00E07294" w:rsidRPr="00701F32">
        <w:rPr>
          <w:rFonts w:ascii="Arial" w:hAnsi="Arial" w:cs="Arial"/>
          <w:b/>
        </w:rPr>
        <w:t>Otros ingresos / (Egresos) netos</w:t>
      </w:r>
    </w:p>
    <w:p w14:paraId="2F1A0685" w14:textId="77777777" w:rsidR="00D90737" w:rsidRPr="00701F32" w:rsidRDefault="00D90737" w:rsidP="00E07294">
      <w:pPr>
        <w:pStyle w:val="Style1"/>
        <w:jc w:val="both"/>
        <w:rPr>
          <w:rFonts w:ascii="Arial" w:hAnsi="Arial" w:cs="Arial"/>
          <w:b/>
          <w:szCs w:val="20"/>
          <w:lang w:eastAsia="es-E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1417"/>
      </w:tblGrid>
      <w:tr w:rsidR="00BE005F" w:rsidRPr="00701F32" w14:paraId="36340C54"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1478F363" w14:textId="77777777" w:rsidR="00BE005F" w:rsidRPr="00701F32" w:rsidRDefault="00BE005F" w:rsidP="00A935BA">
            <w:pPr>
              <w:rPr>
                <w:rFonts w:ascii="Arial" w:hAnsi="Arial" w:cs="Arial"/>
                <w:b/>
                <w:sz w:val="20"/>
              </w:rPr>
            </w:pPr>
            <w:r w:rsidRPr="00701F32">
              <w:rPr>
                <w:rFonts w:ascii="Arial" w:hAnsi="Arial" w:cs="Arial"/>
                <w:b/>
                <w:sz w:val="20"/>
              </w:rPr>
              <w:t>Otros ingresos operativos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1DD2FC" w14:textId="77777777" w:rsidR="00BE005F" w:rsidRPr="00701F32" w:rsidRDefault="00BE005F" w:rsidP="005819B2">
            <w:pPr>
              <w:jc w:val="center"/>
              <w:rPr>
                <w:rFonts w:ascii="Arial" w:hAnsi="Arial" w:cs="Arial"/>
                <w:b/>
                <w:sz w:val="20"/>
              </w:rPr>
            </w:pPr>
            <w:r w:rsidRPr="00701F32">
              <w:rPr>
                <w:rFonts w:ascii="Arial" w:hAnsi="Arial" w:cs="Arial"/>
                <w:b/>
                <w:sz w:val="20"/>
              </w:rPr>
              <w:t>31/12/2017</w:t>
            </w:r>
          </w:p>
        </w:tc>
      </w:tr>
      <w:tr w:rsidR="00BE005F" w:rsidRPr="00701F32" w14:paraId="26858C80"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05C9B2E2" w14:textId="77777777" w:rsidR="00BE005F" w:rsidRPr="00701F32" w:rsidRDefault="00BE005F" w:rsidP="00A935BA">
            <w:pPr>
              <w:rPr>
                <w:rFonts w:ascii="Arial" w:hAnsi="Arial" w:cs="Arial"/>
                <w:sz w:val="20"/>
              </w:rPr>
            </w:pPr>
            <w:r w:rsidRPr="00701F32">
              <w:rPr>
                <w:rFonts w:ascii="Arial" w:hAnsi="Arial" w:cs="Arial"/>
                <w:sz w:val="20"/>
              </w:rPr>
              <w:t>Alquileres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E03CB4" w14:textId="77777777" w:rsidR="00BE005F" w:rsidRPr="00701F32" w:rsidRDefault="00BE005F" w:rsidP="00A935BA">
            <w:pPr>
              <w:jc w:val="right"/>
              <w:rPr>
                <w:rFonts w:ascii="Arial" w:hAnsi="Arial" w:cs="Arial"/>
                <w:sz w:val="20"/>
              </w:rPr>
            </w:pPr>
            <w:r w:rsidRPr="00701F32">
              <w:rPr>
                <w:rFonts w:ascii="Arial" w:hAnsi="Arial" w:cs="Arial"/>
                <w:sz w:val="20"/>
              </w:rPr>
              <w:t>27.828</w:t>
            </w:r>
          </w:p>
        </w:tc>
      </w:tr>
      <w:tr w:rsidR="00BE005F" w:rsidRPr="00701F32" w14:paraId="444A1D23"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6C6BCC6F" w14:textId="77777777" w:rsidR="00BE005F" w:rsidRPr="00701F32" w:rsidRDefault="00BE005F" w:rsidP="00A935BA">
            <w:pPr>
              <w:rPr>
                <w:rFonts w:ascii="Arial" w:hAnsi="Arial" w:cs="Arial"/>
                <w:sz w:val="20"/>
              </w:rPr>
            </w:pPr>
            <w:r w:rsidRPr="00701F32">
              <w:rPr>
                <w:rFonts w:ascii="Arial" w:hAnsi="Arial" w:cs="Arial"/>
                <w:sz w:val="20"/>
              </w:rPr>
              <w:t>Otros ingresos operativos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8EB887" w14:textId="77777777" w:rsidR="00BE005F" w:rsidRPr="00701F32" w:rsidRDefault="00BE005F" w:rsidP="00A935BA">
            <w:pPr>
              <w:jc w:val="right"/>
              <w:rPr>
                <w:rFonts w:ascii="Arial" w:hAnsi="Arial" w:cs="Arial"/>
                <w:sz w:val="20"/>
              </w:rPr>
            </w:pPr>
            <w:r w:rsidRPr="00701F32">
              <w:rPr>
                <w:rFonts w:ascii="Arial" w:hAnsi="Arial" w:cs="Arial"/>
                <w:sz w:val="20"/>
              </w:rPr>
              <w:t>20.667</w:t>
            </w:r>
          </w:p>
        </w:tc>
      </w:tr>
      <w:tr w:rsidR="00BE005F" w:rsidRPr="00701F32" w14:paraId="7D35987C"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6A4C988F" w14:textId="77777777" w:rsidR="00BE005F" w:rsidRPr="00701F32" w:rsidRDefault="00BE005F" w:rsidP="00A935BA">
            <w:pPr>
              <w:rPr>
                <w:rFonts w:ascii="Arial" w:hAnsi="Arial" w:cs="Arial"/>
                <w:sz w:val="20"/>
              </w:rPr>
            </w:pPr>
            <w:r w:rsidRPr="00701F32">
              <w:rPr>
                <w:rFonts w:ascii="Arial" w:hAnsi="Arial" w:cs="Arial"/>
                <w:sz w:val="20"/>
              </w:rPr>
              <w:t>Alquiler de cajas de seguridad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85A5C8" w14:textId="77777777" w:rsidR="00BE005F" w:rsidRPr="00701F32" w:rsidRDefault="00BE005F" w:rsidP="00A935BA">
            <w:pPr>
              <w:jc w:val="right"/>
              <w:rPr>
                <w:rFonts w:ascii="Arial" w:hAnsi="Arial" w:cs="Arial"/>
                <w:sz w:val="20"/>
              </w:rPr>
            </w:pPr>
            <w:r w:rsidRPr="00701F32">
              <w:rPr>
                <w:rFonts w:ascii="Arial" w:hAnsi="Arial" w:cs="Arial"/>
                <w:sz w:val="20"/>
              </w:rPr>
              <w:t>128.305</w:t>
            </w:r>
          </w:p>
        </w:tc>
      </w:tr>
      <w:tr w:rsidR="00BE005F" w:rsidRPr="00701F32" w14:paraId="798670B1"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0C27BB0C" w14:textId="77777777" w:rsidR="00BE005F" w:rsidRPr="00701F32" w:rsidRDefault="00BE005F" w:rsidP="00A935BA">
            <w:pPr>
              <w:rPr>
                <w:rFonts w:ascii="Arial" w:hAnsi="Arial" w:cs="Arial"/>
                <w:sz w:val="20"/>
              </w:rPr>
            </w:pPr>
            <w:r w:rsidRPr="00701F32">
              <w:rPr>
                <w:rFonts w:ascii="Arial" w:hAnsi="Arial" w:cs="Arial"/>
                <w:sz w:val="20"/>
              </w:rPr>
              <w:t>Ajustes e intereses de créditos diversos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3F6159" w14:textId="77777777" w:rsidR="00BE005F" w:rsidRPr="00701F32" w:rsidRDefault="00BE005F" w:rsidP="00A935BA">
            <w:pPr>
              <w:jc w:val="right"/>
              <w:rPr>
                <w:rFonts w:ascii="Arial" w:hAnsi="Arial" w:cs="Arial"/>
                <w:sz w:val="20"/>
              </w:rPr>
            </w:pPr>
            <w:r w:rsidRPr="00701F32">
              <w:rPr>
                <w:rFonts w:ascii="Arial" w:hAnsi="Arial" w:cs="Arial"/>
                <w:sz w:val="20"/>
              </w:rPr>
              <w:t>27.729</w:t>
            </w:r>
          </w:p>
        </w:tc>
      </w:tr>
      <w:tr w:rsidR="00BE005F" w:rsidRPr="00701F32" w14:paraId="3DEE2AA4"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359E1CBB" w14:textId="77777777" w:rsidR="00BE005F" w:rsidRPr="00701F32" w:rsidRDefault="00BE005F" w:rsidP="00A935BA">
            <w:pPr>
              <w:rPr>
                <w:rFonts w:ascii="Arial" w:hAnsi="Arial" w:cs="Arial"/>
                <w:sz w:val="20"/>
              </w:rPr>
            </w:pPr>
            <w:r w:rsidRPr="00701F32">
              <w:rPr>
                <w:rFonts w:ascii="Arial" w:hAnsi="Arial" w:cs="Arial"/>
                <w:sz w:val="20"/>
              </w:rPr>
              <w:t>Intereses punitorios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C0F11A" w14:textId="77777777" w:rsidR="00BE005F" w:rsidRPr="00701F32" w:rsidRDefault="00BE005F" w:rsidP="00A935BA">
            <w:pPr>
              <w:jc w:val="right"/>
              <w:rPr>
                <w:rFonts w:ascii="Arial" w:hAnsi="Arial" w:cs="Arial"/>
                <w:sz w:val="20"/>
              </w:rPr>
            </w:pPr>
            <w:r w:rsidRPr="00701F32">
              <w:rPr>
                <w:rFonts w:ascii="Arial" w:hAnsi="Arial" w:cs="Arial"/>
                <w:sz w:val="20"/>
              </w:rPr>
              <w:t>91.125</w:t>
            </w:r>
          </w:p>
        </w:tc>
      </w:tr>
      <w:tr w:rsidR="00BE005F" w:rsidRPr="00701F32" w14:paraId="3AC015FC"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74E6B841" w14:textId="77777777" w:rsidR="00BE005F" w:rsidRPr="00701F32" w:rsidRDefault="00BE005F" w:rsidP="00A935BA">
            <w:pPr>
              <w:rPr>
                <w:rFonts w:ascii="Arial" w:hAnsi="Arial" w:cs="Arial"/>
                <w:sz w:val="20"/>
              </w:rPr>
            </w:pPr>
            <w:r w:rsidRPr="00701F32">
              <w:rPr>
                <w:rFonts w:ascii="Arial" w:hAnsi="Arial" w:cs="Arial"/>
                <w:sz w:val="20"/>
              </w:rPr>
              <w:t>Previsiones desafectadas y créditos recuperados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379E48" w14:textId="77777777" w:rsidR="00BE005F" w:rsidRPr="00701F32" w:rsidRDefault="00BE005F" w:rsidP="00A935BA">
            <w:pPr>
              <w:jc w:val="right"/>
              <w:rPr>
                <w:rFonts w:ascii="Arial" w:hAnsi="Arial" w:cs="Arial"/>
                <w:sz w:val="20"/>
              </w:rPr>
            </w:pPr>
            <w:r w:rsidRPr="00701F32">
              <w:rPr>
                <w:rFonts w:ascii="Arial" w:hAnsi="Arial" w:cs="Arial"/>
                <w:sz w:val="20"/>
              </w:rPr>
              <w:t>165.920</w:t>
            </w:r>
          </w:p>
        </w:tc>
      </w:tr>
      <w:tr w:rsidR="00BE005F" w:rsidRPr="00701F32" w14:paraId="449BC619"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7618389D" w14:textId="77777777" w:rsidR="00BE005F" w:rsidRPr="00701F32" w:rsidRDefault="00BE005F" w:rsidP="00A935BA">
            <w:pPr>
              <w:rPr>
                <w:rFonts w:ascii="Arial" w:hAnsi="Arial" w:cs="Arial"/>
                <w:sz w:val="20"/>
              </w:rPr>
            </w:pPr>
            <w:r w:rsidRPr="00701F32">
              <w:rPr>
                <w:rFonts w:ascii="Arial" w:hAnsi="Arial" w:cs="Arial"/>
                <w:sz w:val="20"/>
              </w:rPr>
              <w:t>Rendimiento fondo de riesgo SGR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40D799" w14:textId="77777777" w:rsidR="00BE005F" w:rsidRPr="00701F32" w:rsidRDefault="00BE005F" w:rsidP="00A935BA">
            <w:pPr>
              <w:jc w:val="right"/>
              <w:rPr>
                <w:rFonts w:ascii="Arial" w:hAnsi="Arial" w:cs="Arial"/>
                <w:sz w:val="20"/>
              </w:rPr>
            </w:pPr>
            <w:r w:rsidRPr="00701F32">
              <w:rPr>
                <w:rFonts w:ascii="Arial" w:hAnsi="Arial" w:cs="Arial"/>
                <w:sz w:val="20"/>
              </w:rPr>
              <w:t>63.656</w:t>
            </w:r>
          </w:p>
        </w:tc>
      </w:tr>
      <w:tr w:rsidR="00BE005F" w:rsidRPr="00701F32" w14:paraId="46729B10"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270B8BCB" w14:textId="77777777" w:rsidR="00BE005F" w:rsidRPr="00701F32" w:rsidRDefault="00BE005F" w:rsidP="00A935BA">
            <w:pPr>
              <w:rPr>
                <w:rFonts w:ascii="Arial" w:hAnsi="Arial" w:cs="Arial"/>
                <w:sz w:val="20"/>
              </w:rPr>
            </w:pPr>
            <w:r w:rsidRPr="00701F32">
              <w:rPr>
                <w:rFonts w:ascii="Arial" w:hAnsi="Arial" w:cs="Arial"/>
                <w:sz w:val="20"/>
              </w:rPr>
              <w:t>Otros resultados OCIF</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FEB501" w14:textId="77777777" w:rsidR="00BE005F" w:rsidRPr="00701F32" w:rsidRDefault="00BE005F" w:rsidP="00A935BA">
            <w:pPr>
              <w:jc w:val="right"/>
              <w:rPr>
                <w:rFonts w:ascii="Arial" w:hAnsi="Arial" w:cs="Arial"/>
                <w:sz w:val="20"/>
              </w:rPr>
            </w:pPr>
            <w:r w:rsidRPr="00701F32">
              <w:rPr>
                <w:rFonts w:ascii="Arial" w:hAnsi="Arial" w:cs="Arial"/>
                <w:sz w:val="20"/>
              </w:rPr>
              <w:t>27.904</w:t>
            </w:r>
          </w:p>
        </w:tc>
      </w:tr>
      <w:tr w:rsidR="00BE005F" w:rsidRPr="00701F32" w14:paraId="7E33F69E"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35B39B64" w14:textId="77777777" w:rsidR="00BE005F" w:rsidRPr="00701F32" w:rsidRDefault="00BE005F" w:rsidP="00A935BA">
            <w:pPr>
              <w:rPr>
                <w:rFonts w:ascii="Arial" w:hAnsi="Arial" w:cs="Arial"/>
                <w:sz w:val="20"/>
              </w:rPr>
            </w:pPr>
            <w:r w:rsidRPr="00701F32">
              <w:rPr>
                <w:rFonts w:ascii="Arial" w:hAnsi="Arial" w:cs="Arial"/>
                <w:sz w:val="20"/>
              </w:rPr>
              <w:t>Otros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5D23D2" w14:textId="77777777" w:rsidR="00BE005F" w:rsidRPr="00701F32" w:rsidRDefault="00BE005F" w:rsidP="00A935BA">
            <w:pPr>
              <w:jc w:val="right"/>
              <w:rPr>
                <w:rFonts w:ascii="Arial" w:hAnsi="Arial" w:cs="Arial"/>
                <w:sz w:val="20"/>
              </w:rPr>
            </w:pPr>
            <w:r w:rsidRPr="00701F32">
              <w:rPr>
                <w:rFonts w:ascii="Arial" w:hAnsi="Arial" w:cs="Arial"/>
                <w:sz w:val="20"/>
              </w:rPr>
              <w:t>739.635</w:t>
            </w:r>
          </w:p>
        </w:tc>
      </w:tr>
      <w:tr w:rsidR="00BE005F" w:rsidRPr="00701F32" w14:paraId="57E7AF08" w14:textId="77777777" w:rsidTr="005819B2">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2A89089B" w14:textId="77777777" w:rsidR="00BE005F" w:rsidRPr="00701F32" w:rsidRDefault="00BE005F" w:rsidP="00A935BA">
            <w:pPr>
              <w:rPr>
                <w:rFonts w:ascii="Arial" w:hAnsi="Arial" w:cs="Arial"/>
                <w:b/>
                <w:sz w:val="20"/>
              </w:rPr>
            </w:pPr>
            <w:r w:rsidRPr="00701F32">
              <w:rPr>
                <w:rFonts w:ascii="Arial" w:hAnsi="Arial" w:cs="Arial"/>
                <w:b/>
                <w:sz w:val="20"/>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1BE9DD" w14:textId="77777777" w:rsidR="00BE005F" w:rsidRPr="00701F32" w:rsidRDefault="00BE005F" w:rsidP="00A935BA">
            <w:pPr>
              <w:jc w:val="right"/>
              <w:rPr>
                <w:rFonts w:ascii="Arial" w:hAnsi="Arial" w:cs="Arial"/>
                <w:b/>
                <w:sz w:val="20"/>
                <w:lang w:val="es-ES_tradnl"/>
              </w:rPr>
            </w:pPr>
            <w:r w:rsidRPr="00701F32">
              <w:rPr>
                <w:rFonts w:ascii="Arial" w:hAnsi="Arial" w:cs="Arial"/>
                <w:b/>
                <w:sz w:val="20"/>
              </w:rPr>
              <w:t>1.292.769</w:t>
            </w:r>
          </w:p>
        </w:tc>
      </w:tr>
    </w:tbl>
    <w:p w14:paraId="6E32A763" w14:textId="77777777" w:rsidR="00BE005F" w:rsidRPr="00701F32" w:rsidRDefault="00BE005F" w:rsidP="00E07294">
      <w:pPr>
        <w:pStyle w:val="Style1"/>
        <w:jc w:val="both"/>
        <w:rPr>
          <w:rFonts w:ascii="Arial" w:hAnsi="Arial" w:cs="Arial"/>
          <w:b/>
          <w:szCs w:val="20"/>
          <w:lang w:eastAsia="es-ES"/>
        </w:rPr>
      </w:pPr>
    </w:p>
    <w:p w14:paraId="284C66DE" w14:textId="77777777" w:rsidR="00BE005F" w:rsidRPr="00701F32" w:rsidRDefault="00BE005F" w:rsidP="00E07294">
      <w:pPr>
        <w:pStyle w:val="Style1"/>
        <w:jc w:val="both"/>
        <w:rPr>
          <w:rFonts w:ascii="Arial" w:hAnsi="Arial" w:cs="Arial"/>
          <w:b/>
          <w:szCs w:val="20"/>
          <w:lang w:eastAsia="es-ES"/>
        </w:rPr>
      </w:pPr>
    </w:p>
    <w:tbl>
      <w:tblPr>
        <w:tblW w:w="46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7"/>
        <w:gridCol w:w="1485"/>
      </w:tblGrid>
      <w:tr w:rsidR="00D90737" w:rsidRPr="00701F32" w14:paraId="59646245"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16132DB0" w14:textId="77777777" w:rsidR="00D90737" w:rsidRPr="00701F32" w:rsidRDefault="00D90737">
            <w:pPr>
              <w:jc w:val="both"/>
              <w:rPr>
                <w:rFonts w:ascii="Arial" w:hAnsi="Arial" w:cs="Arial"/>
                <w:b/>
                <w:sz w:val="20"/>
              </w:rPr>
            </w:pPr>
            <w:r w:rsidRPr="00701F32">
              <w:rPr>
                <w:rFonts w:ascii="Arial" w:hAnsi="Arial" w:cs="Arial"/>
                <w:b/>
                <w:sz w:val="20"/>
              </w:rPr>
              <w:t xml:space="preserve">Otros </w:t>
            </w:r>
            <w:r w:rsidR="004D77FC" w:rsidRPr="00701F32">
              <w:rPr>
                <w:rFonts w:ascii="Arial" w:hAnsi="Arial" w:cs="Arial"/>
                <w:b/>
                <w:sz w:val="20"/>
              </w:rPr>
              <w:t xml:space="preserve">gastos </w:t>
            </w:r>
            <w:r w:rsidRPr="00701F32">
              <w:rPr>
                <w:rFonts w:ascii="Arial" w:hAnsi="Arial" w:cs="Arial"/>
                <w:b/>
                <w:sz w:val="20"/>
              </w:rPr>
              <w:t>operativos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8CC8702" w14:textId="77777777" w:rsidR="00D90737" w:rsidRPr="00701F32" w:rsidRDefault="00D90737" w:rsidP="005819B2">
            <w:pPr>
              <w:jc w:val="center"/>
              <w:rPr>
                <w:rFonts w:ascii="Arial" w:hAnsi="Arial" w:cs="Arial"/>
                <w:b/>
                <w:sz w:val="20"/>
              </w:rPr>
            </w:pPr>
            <w:r w:rsidRPr="00701F32">
              <w:rPr>
                <w:rFonts w:ascii="Arial" w:hAnsi="Arial" w:cs="Arial"/>
                <w:b/>
                <w:sz w:val="20"/>
              </w:rPr>
              <w:t>31/12/2017</w:t>
            </w:r>
          </w:p>
        </w:tc>
      </w:tr>
      <w:tr w:rsidR="00D90737" w:rsidRPr="00701F32" w14:paraId="5068891F"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7B1AC55C" w14:textId="77777777" w:rsidR="00D90737" w:rsidRPr="00701F32" w:rsidRDefault="00D90737" w:rsidP="00D90737">
            <w:pPr>
              <w:jc w:val="both"/>
              <w:rPr>
                <w:rFonts w:ascii="Arial" w:hAnsi="Arial" w:cs="Arial"/>
                <w:sz w:val="20"/>
              </w:rPr>
            </w:pPr>
            <w:r w:rsidRPr="00701F32">
              <w:rPr>
                <w:rFonts w:ascii="Arial" w:hAnsi="Arial" w:cs="Arial"/>
                <w:sz w:val="20"/>
              </w:rPr>
              <w:t>Donaciones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D124186" w14:textId="77777777" w:rsidR="00D90737" w:rsidRPr="00701F32" w:rsidRDefault="00D90737" w:rsidP="0086282C">
            <w:pPr>
              <w:jc w:val="right"/>
              <w:rPr>
                <w:rFonts w:ascii="Arial" w:hAnsi="Arial" w:cs="Arial"/>
                <w:sz w:val="20"/>
              </w:rPr>
            </w:pPr>
            <w:r w:rsidRPr="00701F32">
              <w:rPr>
                <w:rFonts w:ascii="Arial" w:hAnsi="Arial" w:cs="Arial"/>
                <w:sz w:val="20"/>
              </w:rPr>
              <w:t>21.252</w:t>
            </w:r>
          </w:p>
        </w:tc>
      </w:tr>
      <w:tr w:rsidR="00D90737" w:rsidRPr="00701F32" w14:paraId="664CD6B5"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55614320" w14:textId="77777777" w:rsidR="00D90737" w:rsidRPr="00701F32" w:rsidRDefault="00D90737" w:rsidP="00D90737">
            <w:pPr>
              <w:jc w:val="both"/>
              <w:rPr>
                <w:rFonts w:ascii="Arial" w:hAnsi="Arial" w:cs="Arial"/>
                <w:sz w:val="20"/>
              </w:rPr>
            </w:pPr>
            <w:r w:rsidRPr="00701F32">
              <w:rPr>
                <w:rFonts w:ascii="Arial" w:hAnsi="Arial" w:cs="Arial"/>
                <w:sz w:val="20"/>
              </w:rPr>
              <w:t>Fondo de garantía de los depósitos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F590CCD" w14:textId="77777777" w:rsidR="00D90737" w:rsidRPr="00701F32" w:rsidRDefault="00D90737" w:rsidP="0086282C">
            <w:pPr>
              <w:jc w:val="right"/>
              <w:rPr>
                <w:rFonts w:ascii="Arial" w:hAnsi="Arial" w:cs="Arial"/>
                <w:sz w:val="20"/>
              </w:rPr>
            </w:pPr>
            <w:r w:rsidRPr="00701F32">
              <w:rPr>
                <w:rFonts w:ascii="Arial" w:hAnsi="Arial" w:cs="Arial"/>
                <w:sz w:val="20"/>
              </w:rPr>
              <w:t>82.721</w:t>
            </w:r>
          </w:p>
        </w:tc>
      </w:tr>
      <w:tr w:rsidR="00D90737" w:rsidRPr="00701F32" w14:paraId="0CE5B34B"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2CD5CD79" w14:textId="77777777" w:rsidR="00D90737" w:rsidRPr="00701F32" w:rsidRDefault="00D90737" w:rsidP="00D90737">
            <w:pPr>
              <w:jc w:val="both"/>
              <w:rPr>
                <w:rFonts w:ascii="Arial" w:hAnsi="Arial" w:cs="Arial"/>
                <w:sz w:val="20"/>
              </w:rPr>
            </w:pPr>
            <w:r w:rsidRPr="00701F32">
              <w:rPr>
                <w:rFonts w:ascii="Arial" w:hAnsi="Arial" w:cs="Arial"/>
                <w:sz w:val="20"/>
              </w:rPr>
              <w:t>Ingresos brutos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1386E21" w14:textId="77777777" w:rsidR="00D90737" w:rsidRPr="00701F32" w:rsidRDefault="00D90737" w:rsidP="0086282C">
            <w:pPr>
              <w:jc w:val="right"/>
              <w:rPr>
                <w:rFonts w:ascii="Arial" w:hAnsi="Arial" w:cs="Arial"/>
                <w:sz w:val="20"/>
              </w:rPr>
            </w:pPr>
            <w:r w:rsidRPr="00701F32">
              <w:rPr>
                <w:rFonts w:ascii="Arial" w:hAnsi="Arial" w:cs="Arial"/>
                <w:sz w:val="20"/>
              </w:rPr>
              <w:t>1.325.131</w:t>
            </w:r>
          </w:p>
        </w:tc>
      </w:tr>
      <w:tr w:rsidR="00D90737" w:rsidRPr="00701F32" w14:paraId="47FEDD67"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631C0CC6" w14:textId="77777777" w:rsidR="00D90737" w:rsidRPr="00701F32" w:rsidRDefault="00D90737" w:rsidP="00D90737">
            <w:pPr>
              <w:jc w:val="both"/>
              <w:rPr>
                <w:rFonts w:ascii="Arial" w:hAnsi="Arial" w:cs="Arial"/>
                <w:sz w:val="20"/>
              </w:rPr>
            </w:pPr>
            <w:r w:rsidRPr="00701F32">
              <w:rPr>
                <w:rFonts w:ascii="Arial" w:hAnsi="Arial" w:cs="Arial"/>
                <w:sz w:val="20"/>
              </w:rPr>
              <w:t>Obligaciones diversas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623018A" w14:textId="77777777" w:rsidR="00D90737" w:rsidRPr="00701F32" w:rsidRDefault="00D90737" w:rsidP="0086282C">
            <w:pPr>
              <w:jc w:val="right"/>
              <w:rPr>
                <w:rFonts w:ascii="Arial" w:hAnsi="Arial" w:cs="Arial"/>
                <w:sz w:val="20"/>
              </w:rPr>
            </w:pPr>
            <w:r w:rsidRPr="00701F32">
              <w:rPr>
                <w:rFonts w:ascii="Arial" w:hAnsi="Arial" w:cs="Arial"/>
                <w:sz w:val="20"/>
              </w:rPr>
              <w:t>6.168</w:t>
            </w:r>
          </w:p>
        </w:tc>
      </w:tr>
      <w:tr w:rsidR="00D90737" w:rsidRPr="00701F32" w14:paraId="792997FB"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1780A332" w14:textId="77777777" w:rsidR="00D90737" w:rsidRPr="00701F32" w:rsidRDefault="00D90737" w:rsidP="00D90737">
            <w:pPr>
              <w:jc w:val="both"/>
              <w:rPr>
                <w:rFonts w:ascii="Arial" w:hAnsi="Arial" w:cs="Arial"/>
                <w:sz w:val="20"/>
              </w:rPr>
            </w:pPr>
            <w:r w:rsidRPr="00701F32">
              <w:rPr>
                <w:rFonts w:ascii="Arial" w:hAnsi="Arial" w:cs="Arial"/>
                <w:sz w:val="20"/>
              </w:rPr>
              <w:t>Otras provisiones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3D01626C" w14:textId="77777777" w:rsidR="00D90737" w:rsidRPr="00701F32" w:rsidRDefault="00D90737" w:rsidP="0086282C">
            <w:pPr>
              <w:jc w:val="right"/>
              <w:rPr>
                <w:rFonts w:ascii="Arial" w:hAnsi="Arial" w:cs="Arial"/>
                <w:sz w:val="20"/>
              </w:rPr>
            </w:pPr>
            <w:r w:rsidRPr="00701F32">
              <w:rPr>
                <w:rFonts w:ascii="Arial" w:hAnsi="Arial" w:cs="Arial"/>
                <w:sz w:val="20"/>
              </w:rPr>
              <w:t>25.625</w:t>
            </w:r>
          </w:p>
        </w:tc>
      </w:tr>
      <w:tr w:rsidR="00D90737" w:rsidRPr="00701F32" w14:paraId="1FF4A4B5"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4BB874B7" w14:textId="77777777" w:rsidR="00D90737" w:rsidRPr="00701F32" w:rsidRDefault="00D90737" w:rsidP="00D90737">
            <w:pPr>
              <w:jc w:val="both"/>
              <w:rPr>
                <w:rFonts w:ascii="Arial" w:hAnsi="Arial" w:cs="Arial"/>
                <w:sz w:val="20"/>
              </w:rPr>
            </w:pPr>
            <w:r w:rsidRPr="00701F32">
              <w:rPr>
                <w:rFonts w:ascii="Arial" w:hAnsi="Arial" w:cs="Arial"/>
                <w:sz w:val="20"/>
              </w:rPr>
              <w:t>Venta o  desvalorizaciones de propiedades y otros  activos no financieros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E62661F" w14:textId="77777777" w:rsidR="00D90737" w:rsidRPr="00701F32" w:rsidRDefault="00D90737" w:rsidP="0086282C">
            <w:pPr>
              <w:jc w:val="right"/>
              <w:rPr>
                <w:rFonts w:ascii="Arial" w:hAnsi="Arial" w:cs="Arial"/>
                <w:sz w:val="20"/>
              </w:rPr>
            </w:pPr>
            <w:r w:rsidRPr="00701F32">
              <w:rPr>
                <w:rFonts w:ascii="Arial" w:hAnsi="Arial" w:cs="Arial"/>
                <w:sz w:val="20"/>
              </w:rPr>
              <w:t>1.036</w:t>
            </w:r>
          </w:p>
        </w:tc>
      </w:tr>
      <w:tr w:rsidR="00D90737" w:rsidRPr="00701F32" w14:paraId="7411D0C2"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075F6788" w14:textId="77777777" w:rsidR="00D90737" w:rsidRPr="00701F32" w:rsidRDefault="00D0240E" w:rsidP="005819B2">
            <w:pPr>
              <w:rPr>
                <w:rFonts w:ascii="Arial" w:hAnsi="Arial" w:cs="Arial"/>
                <w:sz w:val="20"/>
              </w:rPr>
            </w:pPr>
            <w:r w:rsidRPr="00701F32">
              <w:rPr>
                <w:rFonts w:ascii="Arial" w:hAnsi="Arial" w:cs="Arial"/>
                <w:color w:val="000000"/>
                <w:sz w:val="20"/>
                <w:lang w:eastAsia="es-AR"/>
              </w:rPr>
              <w:t>Ajuste inicial a valor razonable de financiaciones a tasas inferiores a las de mercado</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72139396" w14:textId="77777777" w:rsidR="00D90737" w:rsidRPr="00701F32" w:rsidRDefault="00D90737" w:rsidP="0086282C">
            <w:pPr>
              <w:jc w:val="right"/>
              <w:rPr>
                <w:rFonts w:ascii="Arial" w:hAnsi="Arial" w:cs="Arial"/>
                <w:sz w:val="20"/>
              </w:rPr>
            </w:pPr>
            <w:r w:rsidRPr="00701F32">
              <w:rPr>
                <w:rFonts w:ascii="Arial" w:hAnsi="Arial" w:cs="Arial"/>
                <w:sz w:val="20"/>
              </w:rPr>
              <w:t>261.597</w:t>
            </w:r>
          </w:p>
        </w:tc>
      </w:tr>
      <w:tr w:rsidR="00D90737" w:rsidRPr="00701F32" w14:paraId="757A3003"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6A8298A3" w14:textId="77777777" w:rsidR="00D90737" w:rsidRPr="00701F32" w:rsidRDefault="00D90737" w:rsidP="00D90737">
            <w:pPr>
              <w:jc w:val="both"/>
              <w:rPr>
                <w:rFonts w:ascii="Arial" w:hAnsi="Arial" w:cs="Arial"/>
                <w:sz w:val="20"/>
              </w:rPr>
            </w:pPr>
            <w:r w:rsidRPr="00701F32">
              <w:rPr>
                <w:rFonts w:ascii="Arial" w:hAnsi="Arial" w:cs="Arial"/>
                <w:sz w:val="20"/>
              </w:rPr>
              <w:t>Otros</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F26904A" w14:textId="77777777" w:rsidR="00D90737" w:rsidRPr="00701F32" w:rsidRDefault="00D90737" w:rsidP="0086282C">
            <w:pPr>
              <w:jc w:val="right"/>
              <w:rPr>
                <w:rFonts w:ascii="Arial" w:hAnsi="Arial" w:cs="Arial"/>
                <w:sz w:val="20"/>
              </w:rPr>
            </w:pPr>
            <w:r w:rsidRPr="00701F32">
              <w:rPr>
                <w:rFonts w:ascii="Arial" w:hAnsi="Arial" w:cs="Arial"/>
                <w:sz w:val="20"/>
              </w:rPr>
              <w:t>611.227</w:t>
            </w:r>
          </w:p>
        </w:tc>
      </w:tr>
      <w:tr w:rsidR="00D90737" w:rsidRPr="00701F32" w14:paraId="492509F1" w14:textId="77777777" w:rsidTr="00E311C9">
        <w:trPr>
          <w:trHeight w:val="278"/>
        </w:trPr>
        <w:tc>
          <w:tcPr>
            <w:tcW w:w="4134" w:type="pct"/>
            <w:tcBorders>
              <w:top w:val="single" w:sz="4" w:space="0" w:color="auto"/>
              <w:left w:val="single" w:sz="4" w:space="0" w:color="auto"/>
              <w:bottom w:val="single" w:sz="4" w:space="0" w:color="auto"/>
              <w:right w:val="single" w:sz="4" w:space="0" w:color="auto"/>
            </w:tcBorders>
            <w:shd w:val="clear" w:color="auto" w:fill="auto"/>
          </w:tcPr>
          <w:p w14:paraId="6B90C7B7" w14:textId="77777777" w:rsidR="00D90737" w:rsidRPr="00701F32" w:rsidRDefault="00D90737" w:rsidP="00D90737">
            <w:pPr>
              <w:jc w:val="both"/>
              <w:rPr>
                <w:rFonts w:ascii="Arial" w:hAnsi="Arial" w:cs="Arial"/>
                <w:b/>
                <w:sz w:val="20"/>
              </w:rPr>
            </w:pPr>
            <w:r w:rsidRPr="00701F32">
              <w:rPr>
                <w:rFonts w:ascii="Arial" w:hAnsi="Arial" w:cs="Arial"/>
                <w:b/>
                <w:sz w:val="20"/>
              </w:rPr>
              <w:t>Total</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2C4AB596" w14:textId="77777777" w:rsidR="00D90737" w:rsidRPr="00701F32" w:rsidRDefault="00D90737" w:rsidP="0086282C">
            <w:pPr>
              <w:jc w:val="right"/>
              <w:rPr>
                <w:rFonts w:ascii="Arial" w:hAnsi="Arial" w:cs="Arial"/>
                <w:b/>
                <w:sz w:val="20"/>
                <w:lang w:val="es-ES_tradnl"/>
              </w:rPr>
            </w:pPr>
            <w:r w:rsidRPr="00701F32">
              <w:rPr>
                <w:rFonts w:ascii="Arial" w:hAnsi="Arial" w:cs="Arial"/>
                <w:b/>
                <w:sz w:val="20"/>
              </w:rPr>
              <w:t>2.334.757</w:t>
            </w:r>
          </w:p>
        </w:tc>
      </w:tr>
    </w:tbl>
    <w:p w14:paraId="2CFB4336" w14:textId="77777777" w:rsidR="00E07294" w:rsidRPr="00701F32" w:rsidRDefault="00E07294" w:rsidP="00E07294">
      <w:pPr>
        <w:jc w:val="both"/>
        <w:rPr>
          <w:rFonts w:ascii="Arial" w:hAnsi="Arial" w:cs="Arial"/>
          <w:b/>
          <w:bCs/>
          <w:color w:val="000000"/>
          <w:sz w:val="20"/>
        </w:rPr>
      </w:pPr>
    </w:p>
    <w:p w14:paraId="3E4E2E3B" w14:textId="77777777" w:rsidR="00E07294" w:rsidRPr="00701F32" w:rsidRDefault="00AD5EDB" w:rsidP="00E07294">
      <w:pPr>
        <w:jc w:val="both"/>
        <w:rPr>
          <w:rFonts w:ascii="Arial" w:hAnsi="Arial" w:cs="Arial"/>
          <w:b/>
          <w:bCs/>
          <w:color w:val="000000"/>
          <w:sz w:val="20"/>
        </w:rPr>
      </w:pPr>
      <w:r w:rsidRPr="00701F32">
        <w:rPr>
          <w:rFonts w:ascii="Arial" w:hAnsi="Arial" w:cs="Arial"/>
          <w:b/>
          <w:bCs/>
          <w:color w:val="000000"/>
          <w:sz w:val="20"/>
        </w:rPr>
        <w:t>17</w:t>
      </w:r>
      <w:r w:rsidR="00E07294" w:rsidRPr="00701F32">
        <w:rPr>
          <w:rFonts w:ascii="Arial" w:hAnsi="Arial" w:cs="Arial"/>
          <w:b/>
          <w:bCs/>
          <w:color w:val="000000"/>
          <w:sz w:val="20"/>
        </w:rPr>
        <w:t>.</w:t>
      </w:r>
      <w:r w:rsidR="00136660" w:rsidRPr="00701F32">
        <w:rPr>
          <w:rFonts w:ascii="Arial" w:hAnsi="Arial" w:cs="Arial"/>
          <w:b/>
          <w:bCs/>
          <w:color w:val="000000"/>
          <w:sz w:val="20"/>
        </w:rPr>
        <w:t xml:space="preserve">19 </w:t>
      </w:r>
      <w:r w:rsidR="00E07294" w:rsidRPr="00701F32">
        <w:rPr>
          <w:rFonts w:ascii="Arial" w:hAnsi="Arial" w:cs="Arial"/>
          <w:b/>
          <w:bCs/>
          <w:color w:val="000000"/>
          <w:sz w:val="20"/>
        </w:rPr>
        <w:t xml:space="preserve">Gastos por función y naturaleza  </w:t>
      </w:r>
    </w:p>
    <w:p w14:paraId="58506F70" w14:textId="77777777" w:rsidR="00E07294" w:rsidRPr="00701F32" w:rsidRDefault="00E07294" w:rsidP="00E07294">
      <w:pPr>
        <w:jc w:val="both"/>
        <w:rPr>
          <w:rFonts w:ascii="Arial" w:hAnsi="Arial" w:cs="Arial"/>
          <w:b/>
          <w:color w:val="943634" w:themeColor="accent2" w:themeShade="BF"/>
          <w:sz w:val="20"/>
        </w:rPr>
      </w:pPr>
    </w:p>
    <w:p w14:paraId="20D00C02" w14:textId="77777777" w:rsidR="00E07294" w:rsidRPr="00701F32" w:rsidRDefault="00E07294" w:rsidP="00E07294">
      <w:pPr>
        <w:autoSpaceDE w:val="0"/>
        <w:autoSpaceDN w:val="0"/>
        <w:adjustRightInd w:val="0"/>
        <w:jc w:val="both"/>
        <w:rPr>
          <w:rFonts w:ascii="Arial" w:hAnsi="Arial" w:cs="Arial"/>
          <w:color w:val="000000"/>
          <w:sz w:val="20"/>
        </w:rPr>
      </w:pPr>
      <w:r w:rsidRPr="00701F32">
        <w:rPr>
          <w:rFonts w:ascii="Arial" w:hAnsi="Arial" w:cs="Arial"/>
          <w:color w:val="000000"/>
          <w:sz w:val="20"/>
        </w:rPr>
        <w:t xml:space="preserve">La Entidad presentó sus estados de resultados integrales bajo el método de la función del gasto. De acuerdo con este método, los gastos se clasifican de acuerdo a su función como parte de la partida “gastos de administración”. </w:t>
      </w:r>
    </w:p>
    <w:p w14:paraId="686966EA" w14:textId="77777777" w:rsidR="00941CB4" w:rsidRPr="00701F32" w:rsidRDefault="00941CB4" w:rsidP="00E07294">
      <w:pPr>
        <w:autoSpaceDE w:val="0"/>
        <w:autoSpaceDN w:val="0"/>
        <w:adjustRightInd w:val="0"/>
        <w:jc w:val="both"/>
        <w:rPr>
          <w:rFonts w:ascii="Arial" w:hAnsi="Arial" w:cs="Arial"/>
          <w:color w:val="000000"/>
          <w:sz w:val="20"/>
        </w:rPr>
      </w:pPr>
    </w:p>
    <w:p w14:paraId="2E9E1612" w14:textId="77777777" w:rsidR="00E07294" w:rsidRPr="00701F32" w:rsidRDefault="00E07294" w:rsidP="00E07294">
      <w:pPr>
        <w:autoSpaceDE w:val="0"/>
        <w:autoSpaceDN w:val="0"/>
        <w:adjustRightInd w:val="0"/>
        <w:jc w:val="both"/>
        <w:rPr>
          <w:rFonts w:ascii="Arial" w:hAnsi="Arial" w:cs="Arial"/>
          <w:color w:val="000000"/>
          <w:sz w:val="20"/>
        </w:rPr>
      </w:pPr>
      <w:r w:rsidRPr="00701F32">
        <w:rPr>
          <w:rFonts w:ascii="Arial" w:hAnsi="Arial" w:cs="Arial"/>
          <w:color w:val="000000"/>
          <w:sz w:val="20"/>
        </w:rPr>
        <w:t>La siguiente tabla proporciona la información adicional requerida sobre la naturaleza de los gastos y su relación con la función:</w:t>
      </w:r>
    </w:p>
    <w:p w14:paraId="01C17C12" w14:textId="77777777" w:rsidR="00E07294" w:rsidRPr="00701F32" w:rsidRDefault="00E07294" w:rsidP="00E07294">
      <w:pPr>
        <w:autoSpaceDE w:val="0"/>
        <w:autoSpaceDN w:val="0"/>
        <w:adjustRightInd w:val="0"/>
        <w:jc w:val="both"/>
        <w:rPr>
          <w:rFonts w:ascii="Arial" w:hAnsi="Arial" w:cs="Arial"/>
          <w:color w:val="000000"/>
          <w:sz w:val="20"/>
        </w:rPr>
      </w:pP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3"/>
        <w:gridCol w:w="1417"/>
      </w:tblGrid>
      <w:tr w:rsidR="00CA2D45" w:rsidRPr="00701F32" w14:paraId="3713F7D8" w14:textId="77777777" w:rsidTr="0086282C">
        <w:trPr>
          <w:trHeight w:val="255"/>
        </w:trPr>
        <w:tc>
          <w:tcPr>
            <w:tcW w:w="7083" w:type="dxa"/>
            <w:shd w:val="clear" w:color="auto" w:fill="auto"/>
            <w:noWrap/>
            <w:vAlign w:val="bottom"/>
            <w:hideMark/>
          </w:tcPr>
          <w:p w14:paraId="76C1759C" w14:textId="77777777" w:rsidR="00CA2D45" w:rsidRPr="00701F32" w:rsidRDefault="00CA2D45" w:rsidP="00CA2D45">
            <w:pPr>
              <w:rPr>
                <w:rFonts w:ascii="Arial" w:hAnsi="Arial" w:cs="Arial"/>
                <w:b/>
                <w:bCs/>
                <w:color w:val="000000"/>
                <w:sz w:val="20"/>
                <w:lang w:eastAsia="es-AR"/>
              </w:rPr>
            </w:pPr>
            <w:r w:rsidRPr="00701F32">
              <w:rPr>
                <w:rFonts w:ascii="Arial" w:hAnsi="Arial" w:cs="Arial"/>
                <w:b/>
                <w:bCs/>
                <w:color w:val="000000"/>
                <w:sz w:val="20"/>
                <w:lang w:eastAsia="es-AR"/>
              </w:rPr>
              <w:t>Beneficios al personal</w:t>
            </w:r>
          </w:p>
        </w:tc>
        <w:tc>
          <w:tcPr>
            <w:tcW w:w="1417" w:type="dxa"/>
          </w:tcPr>
          <w:p w14:paraId="76C9CEEB" w14:textId="77777777" w:rsidR="00CA2D45" w:rsidRPr="00701F32" w:rsidRDefault="00CA2D45">
            <w:pPr>
              <w:jc w:val="right"/>
              <w:rPr>
                <w:rFonts w:ascii="Arial" w:hAnsi="Arial" w:cs="Arial"/>
                <w:b/>
                <w:color w:val="000000"/>
                <w:sz w:val="20"/>
                <w:lang w:eastAsia="es-AR"/>
              </w:rPr>
            </w:pPr>
            <w:r w:rsidRPr="00701F32">
              <w:rPr>
                <w:rFonts w:ascii="Arial" w:hAnsi="Arial" w:cs="Arial"/>
                <w:b/>
                <w:color w:val="000000"/>
                <w:sz w:val="20"/>
                <w:lang w:eastAsia="es-AR"/>
              </w:rPr>
              <w:t>31/12/2017</w:t>
            </w:r>
          </w:p>
        </w:tc>
      </w:tr>
      <w:tr w:rsidR="00CA2D45" w:rsidRPr="00701F32" w14:paraId="5A28E68F" w14:textId="77777777" w:rsidTr="0086282C">
        <w:trPr>
          <w:trHeight w:val="255"/>
        </w:trPr>
        <w:tc>
          <w:tcPr>
            <w:tcW w:w="7083" w:type="dxa"/>
            <w:shd w:val="clear" w:color="auto" w:fill="auto"/>
            <w:noWrap/>
            <w:vAlign w:val="bottom"/>
            <w:hideMark/>
          </w:tcPr>
          <w:p w14:paraId="1417F7A8"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Gastos de personal</w:t>
            </w:r>
          </w:p>
        </w:tc>
        <w:tc>
          <w:tcPr>
            <w:tcW w:w="1417" w:type="dxa"/>
          </w:tcPr>
          <w:p w14:paraId="7684A7DE" w14:textId="77777777" w:rsidR="00CA2D45" w:rsidRPr="00701F32" w:rsidRDefault="00993E09">
            <w:pPr>
              <w:jc w:val="right"/>
              <w:rPr>
                <w:rFonts w:ascii="Arial" w:hAnsi="Arial" w:cs="Arial"/>
                <w:color w:val="000000"/>
                <w:sz w:val="20"/>
                <w:lang w:eastAsia="es-AR"/>
              </w:rPr>
            </w:pPr>
            <w:r w:rsidRPr="00701F32">
              <w:rPr>
                <w:rFonts w:ascii="Arial" w:hAnsi="Arial" w:cs="Arial"/>
                <w:color w:val="000000"/>
                <w:sz w:val="20"/>
                <w:lang w:eastAsia="es-AR"/>
              </w:rPr>
              <w:t>899.210</w:t>
            </w:r>
          </w:p>
        </w:tc>
      </w:tr>
      <w:tr w:rsidR="00CA2D45" w:rsidRPr="00701F32" w14:paraId="5259CBC1" w14:textId="77777777" w:rsidTr="0086282C">
        <w:trPr>
          <w:trHeight w:val="255"/>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1DFFA"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Remuneraciones y cargas sociales</w:t>
            </w:r>
          </w:p>
        </w:tc>
        <w:tc>
          <w:tcPr>
            <w:tcW w:w="1417" w:type="dxa"/>
            <w:tcBorders>
              <w:top w:val="single" w:sz="4" w:space="0" w:color="auto"/>
              <w:left w:val="single" w:sz="4" w:space="0" w:color="auto"/>
              <w:bottom w:val="single" w:sz="4" w:space="0" w:color="auto"/>
              <w:right w:val="single" w:sz="4" w:space="0" w:color="auto"/>
            </w:tcBorders>
          </w:tcPr>
          <w:p w14:paraId="249A6678"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3.997.820</w:t>
            </w:r>
          </w:p>
        </w:tc>
      </w:tr>
      <w:tr w:rsidR="00CA2D45" w:rsidRPr="00701F32" w14:paraId="41E764B2" w14:textId="77777777" w:rsidTr="0086282C">
        <w:trPr>
          <w:trHeight w:val="270"/>
        </w:trPr>
        <w:tc>
          <w:tcPr>
            <w:tcW w:w="7083" w:type="dxa"/>
            <w:shd w:val="clear" w:color="auto" w:fill="auto"/>
            <w:noWrap/>
            <w:vAlign w:val="bottom"/>
            <w:hideMark/>
          </w:tcPr>
          <w:p w14:paraId="59EA93DD" w14:textId="77777777" w:rsidR="00CA2D45" w:rsidRPr="00701F32" w:rsidRDefault="00CA2D45" w:rsidP="00CA2D45">
            <w:pPr>
              <w:rPr>
                <w:rFonts w:ascii="Arial" w:hAnsi="Arial" w:cs="Arial"/>
                <w:b/>
                <w:color w:val="000000"/>
                <w:sz w:val="20"/>
                <w:lang w:eastAsia="es-AR"/>
              </w:rPr>
            </w:pPr>
            <w:r w:rsidRPr="00701F32">
              <w:rPr>
                <w:rFonts w:ascii="Arial" w:hAnsi="Arial" w:cs="Arial"/>
                <w:b/>
                <w:color w:val="000000"/>
                <w:sz w:val="20"/>
                <w:lang w:eastAsia="es-AR"/>
              </w:rPr>
              <w:t>Total</w:t>
            </w:r>
          </w:p>
        </w:tc>
        <w:tc>
          <w:tcPr>
            <w:tcW w:w="1417" w:type="dxa"/>
          </w:tcPr>
          <w:p w14:paraId="17375C94" w14:textId="77777777" w:rsidR="00CA2D45" w:rsidRPr="00701F32" w:rsidRDefault="00993E09" w:rsidP="00CA2D45">
            <w:pPr>
              <w:jc w:val="right"/>
              <w:rPr>
                <w:rFonts w:ascii="Arial" w:hAnsi="Arial" w:cs="Arial"/>
                <w:b/>
                <w:color w:val="000000"/>
                <w:sz w:val="20"/>
                <w:lang w:eastAsia="es-AR"/>
              </w:rPr>
            </w:pPr>
            <w:r w:rsidRPr="00701F32">
              <w:rPr>
                <w:rFonts w:ascii="Arial" w:hAnsi="Arial" w:cs="Arial"/>
                <w:b/>
                <w:color w:val="000000"/>
                <w:sz w:val="20"/>
                <w:lang w:eastAsia="es-AR"/>
              </w:rPr>
              <w:t>4.897.030</w:t>
            </w:r>
          </w:p>
        </w:tc>
      </w:tr>
    </w:tbl>
    <w:p w14:paraId="650ECCB7" w14:textId="77777777" w:rsidR="00E07294" w:rsidRPr="00701F32" w:rsidRDefault="00E07294" w:rsidP="00E07294">
      <w:pPr>
        <w:autoSpaceDE w:val="0"/>
        <w:autoSpaceDN w:val="0"/>
        <w:adjustRightInd w:val="0"/>
        <w:spacing w:after="160" w:line="259" w:lineRule="auto"/>
        <w:jc w:val="both"/>
        <w:rPr>
          <w:rFonts w:ascii="Arial" w:eastAsia="Arial" w:hAnsi="Arial" w:cs="Arial"/>
          <w:b/>
          <w:bCs/>
          <w:sz w:val="20"/>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417"/>
      </w:tblGrid>
      <w:tr w:rsidR="00CA2D45" w:rsidRPr="00701F32" w14:paraId="2FA5A2D0" w14:textId="77777777" w:rsidTr="0086282C">
        <w:trPr>
          <w:trHeight w:val="255"/>
        </w:trPr>
        <w:tc>
          <w:tcPr>
            <w:tcW w:w="7088" w:type="dxa"/>
            <w:shd w:val="clear" w:color="auto" w:fill="auto"/>
            <w:noWrap/>
            <w:vAlign w:val="bottom"/>
            <w:hideMark/>
          </w:tcPr>
          <w:p w14:paraId="03D07056" w14:textId="77777777" w:rsidR="00CA2D45" w:rsidRPr="00701F32" w:rsidRDefault="00CA2D45" w:rsidP="00CA2D45">
            <w:pPr>
              <w:rPr>
                <w:rFonts w:ascii="Arial" w:hAnsi="Arial" w:cs="Arial"/>
                <w:b/>
                <w:bCs/>
                <w:color w:val="000000"/>
                <w:sz w:val="20"/>
                <w:lang w:eastAsia="es-AR"/>
              </w:rPr>
            </w:pPr>
            <w:r w:rsidRPr="00701F32">
              <w:rPr>
                <w:rFonts w:ascii="Arial" w:hAnsi="Arial" w:cs="Arial"/>
                <w:b/>
                <w:bCs/>
                <w:color w:val="000000"/>
                <w:sz w:val="20"/>
                <w:lang w:eastAsia="es-AR"/>
              </w:rPr>
              <w:t>Gastos de administración</w:t>
            </w:r>
          </w:p>
        </w:tc>
        <w:tc>
          <w:tcPr>
            <w:tcW w:w="1417" w:type="dxa"/>
          </w:tcPr>
          <w:p w14:paraId="6E723D46" w14:textId="77777777" w:rsidR="00CA2D45" w:rsidRPr="00701F32" w:rsidRDefault="00CA2D45">
            <w:pPr>
              <w:jc w:val="right"/>
              <w:rPr>
                <w:rFonts w:ascii="Arial" w:hAnsi="Arial" w:cs="Arial"/>
                <w:b/>
                <w:color w:val="000000"/>
                <w:sz w:val="20"/>
                <w:lang w:eastAsia="es-AR"/>
              </w:rPr>
            </w:pPr>
            <w:r w:rsidRPr="00701F32">
              <w:rPr>
                <w:rFonts w:ascii="Arial" w:hAnsi="Arial" w:cs="Arial"/>
                <w:b/>
                <w:color w:val="000000"/>
                <w:sz w:val="20"/>
                <w:lang w:eastAsia="es-AR"/>
              </w:rPr>
              <w:t>31/12/2017</w:t>
            </w:r>
          </w:p>
        </w:tc>
      </w:tr>
      <w:tr w:rsidR="00CA2D45" w:rsidRPr="00701F32" w14:paraId="75EA126C" w14:textId="77777777" w:rsidTr="0086282C">
        <w:trPr>
          <w:trHeight w:val="255"/>
        </w:trPr>
        <w:tc>
          <w:tcPr>
            <w:tcW w:w="7088" w:type="dxa"/>
            <w:shd w:val="clear" w:color="auto" w:fill="auto"/>
            <w:noWrap/>
            <w:vAlign w:val="bottom"/>
            <w:hideMark/>
          </w:tcPr>
          <w:p w14:paraId="0063CD20"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Alquileres</w:t>
            </w:r>
          </w:p>
        </w:tc>
        <w:tc>
          <w:tcPr>
            <w:tcW w:w="1417" w:type="dxa"/>
          </w:tcPr>
          <w:p w14:paraId="0FC0E3A6"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239.373</w:t>
            </w:r>
          </w:p>
        </w:tc>
      </w:tr>
      <w:tr w:rsidR="00CA2D45" w:rsidRPr="00701F32" w14:paraId="28AD0E90"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1AD81"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Diversos</w:t>
            </w:r>
          </w:p>
        </w:tc>
        <w:tc>
          <w:tcPr>
            <w:tcW w:w="1417" w:type="dxa"/>
            <w:tcBorders>
              <w:top w:val="single" w:sz="4" w:space="0" w:color="auto"/>
              <w:left w:val="single" w:sz="4" w:space="0" w:color="auto"/>
              <w:bottom w:val="single" w:sz="4" w:space="0" w:color="auto"/>
              <w:right w:val="single" w:sz="4" w:space="0" w:color="auto"/>
            </w:tcBorders>
          </w:tcPr>
          <w:p w14:paraId="19FA0C0D"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243.840</w:t>
            </w:r>
          </w:p>
        </w:tc>
      </w:tr>
      <w:tr w:rsidR="00CA2D45" w:rsidRPr="00701F32" w14:paraId="1F7ED00E"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47ADD"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Energía eléctrica, gas  y teléfono</w:t>
            </w:r>
          </w:p>
        </w:tc>
        <w:tc>
          <w:tcPr>
            <w:tcW w:w="1417" w:type="dxa"/>
            <w:tcBorders>
              <w:top w:val="single" w:sz="4" w:space="0" w:color="auto"/>
              <w:left w:val="single" w:sz="4" w:space="0" w:color="auto"/>
              <w:bottom w:val="single" w:sz="4" w:space="0" w:color="auto"/>
              <w:right w:val="single" w:sz="4" w:space="0" w:color="auto"/>
            </w:tcBorders>
          </w:tcPr>
          <w:p w14:paraId="36BA2DE1"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186.520</w:t>
            </w:r>
          </w:p>
        </w:tc>
      </w:tr>
      <w:tr w:rsidR="00CA2D45" w:rsidRPr="00701F32" w14:paraId="536088B6"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06F38"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Gastos de publicidad, promoción e investigación</w:t>
            </w:r>
          </w:p>
        </w:tc>
        <w:tc>
          <w:tcPr>
            <w:tcW w:w="1417" w:type="dxa"/>
            <w:tcBorders>
              <w:top w:val="single" w:sz="4" w:space="0" w:color="auto"/>
              <w:left w:val="single" w:sz="4" w:space="0" w:color="auto"/>
              <w:bottom w:val="single" w:sz="4" w:space="0" w:color="auto"/>
              <w:right w:val="single" w:sz="4" w:space="0" w:color="auto"/>
            </w:tcBorders>
          </w:tcPr>
          <w:p w14:paraId="2EB791C9"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266.804</w:t>
            </w:r>
          </w:p>
        </w:tc>
      </w:tr>
      <w:tr w:rsidR="00CA2D45" w:rsidRPr="00701F32" w14:paraId="7A027A05"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98CE7"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Gastos de representación y movilidad</w:t>
            </w:r>
          </w:p>
        </w:tc>
        <w:tc>
          <w:tcPr>
            <w:tcW w:w="1417" w:type="dxa"/>
            <w:tcBorders>
              <w:top w:val="single" w:sz="4" w:space="0" w:color="auto"/>
              <w:left w:val="single" w:sz="4" w:space="0" w:color="auto"/>
              <w:bottom w:val="single" w:sz="4" w:space="0" w:color="auto"/>
              <w:right w:val="single" w:sz="4" w:space="0" w:color="auto"/>
            </w:tcBorders>
          </w:tcPr>
          <w:p w14:paraId="214F4B24"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69.697</w:t>
            </w:r>
          </w:p>
        </w:tc>
      </w:tr>
      <w:tr w:rsidR="00CA2D45" w:rsidRPr="00701F32" w14:paraId="4BCFBE63"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FF8C4"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Honorarios al Directorio</w:t>
            </w:r>
          </w:p>
        </w:tc>
        <w:tc>
          <w:tcPr>
            <w:tcW w:w="1417" w:type="dxa"/>
            <w:tcBorders>
              <w:top w:val="single" w:sz="4" w:space="0" w:color="auto"/>
              <w:left w:val="single" w:sz="4" w:space="0" w:color="auto"/>
              <w:bottom w:val="single" w:sz="4" w:space="0" w:color="auto"/>
              <w:right w:val="single" w:sz="4" w:space="0" w:color="auto"/>
            </w:tcBorders>
          </w:tcPr>
          <w:p w14:paraId="1BC76739"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49.965</w:t>
            </w:r>
          </w:p>
        </w:tc>
      </w:tr>
      <w:tr w:rsidR="00CA2D45" w:rsidRPr="00701F32" w14:paraId="5881EAE6"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7BD25"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Honorarios y retribuciones por servicios</w:t>
            </w:r>
          </w:p>
        </w:tc>
        <w:tc>
          <w:tcPr>
            <w:tcW w:w="1417" w:type="dxa"/>
            <w:tcBorders>
              <w:top w:val="single" w:sz="4" w:space="0" w:color="auto"/>
              <w:left w:val="single" w:sz="4" w:space="0" w:color="auto"/>
              <w:bottom w:val="single" w:sz="4" w:space="0" w:color="auto"/>
              <w:right w:val="single" w:sz="4" w:space="0" w:color="auto"/>
            </w:tcBorders>
          </w:tcPr>
          <w:p w14:paraId="38B024D6"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1.114.047</w:t>
            </w:r>
          </w:p>
        </w:tc>
      </w:tr>
      <w:tr w:rsidR="00CA2D45" w:rsidRPr="00701F32" w14:paraId="35EC298C"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D6C80"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Impuestos y tasas</w:t>
            </w:r>
          </w:p>
        </w:tc>
        <w:tc>
          <w:tcPr>
            <w:tcW w:w="1417" w:type="dxa"/>
            <w:tcBorders>
              <w:top w:val="single" w:sz="4" w:space="0" w:color="auto"/>
              <w:left w:val="single" w:sz="4" w:space="0" w:color="auto"/>
              <w:bottom w:val="single" w:sz="4" w:space="0" w:color="auto"/>
              <w:right w:val="single" w:sz="4" w:space="0" w:color="auto"/>
            </w:tcBorders>
          </w:tcPr>
          <w:p w14:paraId="02D8100B"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561.396</w:t>
            </w:r>
          </w:p>
        </w:tc>
      </w:tr>
      <w:tr w:rsidR="00CA2D45" w:rsidRPr="00701F32" w14:paraId="45AA5B77" w14:textId="77777777" w:rsidTr="0086282C">
        <w:trPr>
          <w:trHeight w:val="25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2B881"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Mantenimiento y reparaciones</w:t>
            </w:r>
          </w:p>
        </w:tc>
        <w:tc>
          <w:tcPr>
            <w:tcW w:w="1417" w:type="dxa"/>
            <w:tcBorders>
              <w:top w:val="single" w:sz="4" w:space="0" w:color="auto"/>
              <w:left w:val="single" w:sz="4" w:space="0" w:color="auto"/>
              <w:bottom w:val="single" w:sz="4" w:space="0" w:color="auto"/>
              <w:right w:val="single" w:sz="4" w:space="0" w:color="auto"/>
            </w:tcBorders>
          </w:tcPr>
          <w:p w14:paraId="436CF2C6"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314.305</w:t>
            </w:r>
          </w:p>
        </w:tc>
      </w:tr>
      <w:tr w:rsidR="00CA2D45" w:rsidRPr="00701F32" w14:paraId="37696B80" w14:textId="77777777" w:rsidTr="0086282C">
        <w:trPr>
          <w:trHeight w:val="270"/>
        </w:trPr>
        <w:tc>
          <w:tcPr>
            <w:tcW w:w="7088" w:type="dxa"/>
            <w:shd w:val="clear" w:color="auto" w:fill="auto"/>
            <w:noWrap/>
            <w:vAlign w:val="bottom"/>
          </w:tcPr>
          <w:p w14:paraId="3383AD49" w14:textId="77777777" w:rsidR="00CA2D45" w:rsidRPr="00701F32" w:rsidRDefault="00CA2D45" w:rsidP="00CA2D45">
            <w:pPr>
              <w:rPr>
                <w:rFonts w:ascii="Arial" w:hAnsi="Arial" w:cs="Arial"/>
                <w:color w:val="000000"/>
                <w:sz w:val="20"/>
                <w:lang w:eastAsia="es-AR"/>
              </w:rPr>
            </w:pPr>
            <w:r w:rsidRPr="00701F32">
              <w:rPr>
                <w:rFonts w:ascii="Arial" w:hAnsi="Arial" w:cs="Arial"/>
                <w:color w:val="000000"/>
                <w:sz w:val="20"/>
                <w:lang w:eastAsia="es-AR"/>
              </w:rPr>
              <w:t>Utiles de oficina</w:t>
            </w:r>
          </w:p>
        </w:tc>
        <w:tc>
          <w:tcPr>
            <w:tcW w:w="1417" w:type="dxa"/>
          </w:tcPr>
          <w:p w14:paraId="5D9BA72E" w14:textId="77777777" w:rsidR="00CA2D45" w:rsidRPr="00701F32" w:rsidRDefault="00993E09" w:rsidP="00CA2D45">
            <w:pPr>
              <w:jc w:val="right"/>
              <w:rPr>
                <w:rFonts w:ascii="Arial" w:hAnsi="Arial" w:cs="Arial"/>
                <w:color w:val="000000"/>
                <w:sz w:val="20"/>
                <w:lang w:eastAsia="es-AR"/>
              </w:rPr>
            </w:pPr>
            <w:r w:rsidRPr="00701F32">
              <w:rPr>
                <w:rFonts w:ascii="Arial" w:hAnsi="Arial" w:cs="Arial"/>
                <w:color w:val="000000"/>
                <w:sz w:val="20"/>
                <w:lang w:eastAsia="es-AR"/>
              </w:rPr>
              <w:t>55.662</w:t>
            </w:r>
          </w:p>
        </w:tc>
      </w:tr>
      <w:tr w:rsidR="00CA2D45" w:rsidRPr="00701F32" w14:paraId="36A998A0" w14:textId="77777777" w:rsidTr="0086282C">
        <w:trPr>
          <w:trHeight w:val="270"/>
        </w:trPr>
        <w:tc>
          <w:tcPr>
            <w:tcW w:w="7088" w:type="dxa"/>
            <w:shd w:val="clear" w:color="auto" w:fill="auto"/>
            <w:noWrap/>
            <w:vAlign w:val="bottom"/>
            <w:hideMark/>
          </w:tcPr>
          <w:p w14:paraId="624DD488" w14:textId="77777777" w:rsidR="00CA2D45" w:rsidRPr="00701F32" w:rsidRDefault="00CA2D45" w:rsidP="00CA2D45">
            <w:pPr>
              <w:rPr>
                <w:rFonts w:ascii="Arial" w:hAnsi="Arial" w:cs="Arial"/>
                <w:b/>
                <w:color w:val="000000"/>
                <w:sz w:val="20"/>
                <w:lang w:eastAsia="es-AR"/>
              </w:rPr>
            </w:pPr>
            <w:r w:rsidRPr="00701F32">
              <w:rPr>
                <w:rFonts w:ascii="Arial" w:hAnsi="Arial" w:cs="Arial"/>
                <w:b/>
                <w:color w:val="000000"/>
                <w:sz w:val="20"/>
                <w:lang w:eastAsia="es-AR"/>
              </w:rPr>
              <w:t>Total</w:t>
            </w:r>
          </w:p>
        </w:tc>
        <w:tc>
          <w:tcPr>
            <w:tcW w:w="1417" w:type="dxa"/>
          </w:tcPr>
          <w:p w14:paraId="5EDF46BD" w14:textId="77777777" w:rsidR="00CA2D45" w:rsidRPr="00701F32" w:rsidRDefault="00993E09">
            <w:pPr>
              <w:jc w:val="right"/>
              <w:rPr>
                <w:rFonts w:ascii="Arial" w:hAnsi="Arial" w:cs="Arial"/>
                <w:b/>
                <w:color w:val="000000"/>
                <w:sz w:val="20"/>
                <w:lang w:eastAsia="es-AR"/>
              </w:rPr>
            </w:pPr>
            <w:r w:rsidRPr="00701F32">
              <w:rPr>
                <w:rFonts w:ascii="Arial" w:hAnsi="Arial" w:cs="Arial"/>
                <w:b/>
                <w:color w:val="000000"/>
                <w:sz w:val="20"/>
                <w:lang w:eastAsia="es-AR"/>
              </w:rPr>
              <w:t>3.101.609</w:t>
            </w:r>
          </w:p>
        </w:tc>
      </w:tr>
    </w:tbl>
    <w:p w14:paraId="23511568" w14:textId="77777777" w:rsidR="001A3DB9" w:rsidRPr="00701F32" w:rsidRDefault="001A3DB9" w:rsidP="00E07294">
      <w:pPr>
        <w:widowControl w:val="0"/>
        <w:autoSpaceDE w:val="0"/>
        <w:autoSpaceDN w:val="0"/>
        <w:adjustRightInd w:val="0"/>
        <w:jc w:val="both"/>
        <w:rPr>
          <w:rFonts w:ascii="Arial" w:hAnsi="Arial" w:cs="Arial"/>
          <w:b/>
          <w:noProof/>
          <w:sz w:val="20"/>
        </w:rPr>
      </w:pPr>
    </w:p>
    <w:p w14:paraId="78AF041B" w14:textId="77777777" w:rsidR="005F4FB8" w:rsidRPr="00701F32" w:rsidRDefault="00B225FD" w:rsidP="00E07294">
      <w:pPr>
        <w:widowControl w:val="0"/>
        <w:autoSpaceDE w:val="0"/>
        <w:autoSpaceDN w:val="0"/>
        <w:adjustRightInd w:val="0"/>
        <w:jc w:val="both"/>
        <w:rPr>
          <w:rFonts w:ascii="Arial" w:hAnsi="Arial" w:cs="Arial"/>
          <w:b/>
          <w:noProof/>
          <w:sz w:val="20"/>
        </w:rPr>
      </w:pPr>
      <w:r w:rsidRPr="00701F32">
        <w:rPr>
          <w:rFonts w:ascii="Arial" w:hAnsi="Arial" w:cs="Arial"/>
          <w:b/>
          <w:noProof/>
          <w:sz w:val="20"/>
        </w:rPr>
        <w:t>17.20 Impuesto a las Ganancias</w:t>
      </w:r>
      <w:r w:rsidR="00E07294" w:rsidRPr="00701F32">
        <w:rPr>
          <w:rFonts w:ascii="Arial" w:hAnsi="Arial" w:cs="Arial"/>
          <w:b/>
          <w:noProof/>
          <w:sz w:val="20"/>
        </w:rPr>
        <w:t xml:space="preserve">      </w:t>
      </w:r>
    </w:p>
    <w:p w14:paraId="6D3D6B07" w14:textId="77777777" w:rsidR="00FD6B54" w:rsidRPr="00701F32" w:rsidRDefault="00FD6B54" w:rsidP="00831174">
      <w:pPr>
        <w:widowControl w:val="0"/>
        <w:autoSpaceDE w:val="0"/>
        <w:autoSpaceDN w:val="0"/>
        <w:adjustRightInd w:val="0"/>
        <w:jc w:val="both"/>
        <w:rPr>
          <w:rFonts w:ascii="Arial" w:eastAsia="SimSun" w:hAnsi="Arial" w:cs="Arial"/>
          <w:sz w:val="20"/>
          <w:lang w:eastAsia="zh-CN"/>
        </w:rPr>
      </w:pPr>
    </w:p>
    <w:p w14:paraId="5F66ECFE" w14:textId="7DF1176E" w:rsidR="005C4329" w:rsidRPr="00701F32" w:rsidRDefault="009976D2" w:rsidP="00831174">
      <w:pPr>
        <w:spacing w:after="120"/>
        <w:jc w:val="both"/>
        <w:rPr>
          <w:rFonts w:ascii="Arial" w:eastAsia="SimSun" w:hAnsi="Arial" w:cs="Arial"/>
          <w:sz w:val="20"/>
          <w:lang w:eastAsia="zh-CN"/>
        </w:rPr>
      </w:pPr>
      <w:r w:rsidRPr="00701F32">
        <w:rPr>
          <w:rFonts w:ascii="Arial" w:eastAsia="SimSun" w:hAnsi="Arial" w:cs="Arial"/>
          <w:sz w:val="20"/>
          <w:lang w:eastAsia="zh-CN"/>
        </w:rPr>
        <w:t xml:space="preserve">La evolución de los conceptos por impuesto a las ganancias para </w:t>
      </w:r>
      <w:r w:rsidR="00AE6B8D" w:rsidRPr="00701F32">
        <w:rPr>
          <w:rFonts w:ascii="Arial" w:eastAsia="SimSun" w:hAnsi="Arial" w:cs="Arial"/>
          <w:sz w:val="20"/>
          <w:lang w:eastAsia="zh-CN"/>
        </w:rPr>
        <w:t>el</w:t>
      </w:r>
      <w:r w:rsidRPr="00701F32">
        <w:rPr>
          <w:rFonts w:ascii="Arial" w:eastAsia="SimSun" w:hAnsi="Arial" w:cs="Arial"/>
          <w:sz w:val="20"/>
          <w:lang w:eastAsia="zh-CN"/>
        </w:rPr>
        <w:t xml:space="preserve"> </w:t>
      </w:r>
      <w:r w:rsidR="00AE6B8D" w:rsidRPr="00701F32">
        <w:rPr>
          <w:rFonts w:ascii="Arial" w:eastAsia="SimSun" w:hAnsi="Arial" w:cs="Arial"/>
          <w:sz w:val="20"/>
          <w:lang w:eastAsia="zh-CN"/>
        </w:rPr>
        <w:t>ejercicio</w:t>
      </w:r>
      <w:r w:rsidRPr="00701F32">
        <w:rPr>
          <w:rFonts w:ascii="Arial" w:eastAsia="SimSun" w:hAnsi="Arial" w:cs="Arial"/>
          <w:sz w:val="20"/>
          <w:lang w:eastAsia="zh-CN"/>
        </w:rPr>
        <w:t xml:space="preserve"> finalizado </w:t>
      </w:r>
      <w:r w:rsidR="00AE6B8D" w:rsidRPr="00701F32">
        <w:rPr>
          <w:rFonts w:ascii="Arial" w:eastAsia="SimSun" w:hAnsi="Arial" w:cs="Arial"/>
          <w:sz w:val="20"/>
          <w:lang w:eastAsia="zh-CN"/>
        </w:rPr>
        <w:t>e</w:t>
      </w:r>
      <w:r w:rsidRPr="00701F32">
        <w:rPr>
          <w:rFonts w:ascii="Arial" w:eastAsia="SimSun" w:hAnsi="Arial" w:cs="Arial"/>
          <w:sz w:val="20"/>
          <w:lang w:eastAsia="zh-CN"/>
        </w:rPr>
        <w:t>l 31</w:t>
      </w:r>
      <w:r w:rsidR="00AE6B8D" w:rsidRPr="00701F32">
        <w:rPr>
          <w:rFonts w:ascii="Arial" w:eastAsia="SimSun" w:hAnsi="Arial" w:cs="Arial"/>
          <w:sz w:val="20"/>
          <w:lang w:eastAsia="zh-CN"/>
        </w:rPr>
        <w:t xml:space="preserve"> de diciembre de 2017 es el siguiente:</w:t>
      </w:r>
    </w:p>
    <w:tbl>
      <w:tblPr>
        <w:tblW w:w="8020" w:type="dxa"/>
        <w:tblInd w:w="279" w:type="dxa"/>
        <w:tblCellMar>
          <w:left w:w="70" w:type="dxa"/>
          <w:right w:w="70" w:type="dxa"/>
        </w:tblCellMar>
        <w:tblLook w:val="04A0" w:firstRow="1" w:lastRow="0" w:firstColumn="1" w:lastColumn="0" w:noHBand="0" w:noVBand="1"/>
      </w:tblPr>
      <w:tblGrid>
        <w:gridCol w:w="6580"/>
        <w:gridCol w:w="1440"/>
      </w:tblGrid>
      <w:tr w:rsidR="009976D2" w:rsidRPr="00701F32" w14:paraId="4871655E" w14:textId="77777777" w:rsidTr="00831174">
        <w:trPr>
          <w:trHeight w:val="255"/>
        </w:trPr>
        <w:tc>
          <w:tcPr>
            <w:tcW w:w="6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ADA4A4" w14:textId="77777777" w:rsidR="009976D2" w:rsidRPr="00701F32" w:rsidRDefault="009976D2">
            <w:pPr>
              <w:rPr>
                <w:sz w:val="18"/>
                <w:szCs w:val="24"/>
                <w:lang w:eastAsia="es-AR"/>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923113" w14:textId="77777777" w:rsidR="009976D2" w:rsidRPr="00701F32" w:rsidRDefault="009976D2">
            <w:pPr>
              <w:jc w:val="center"/>
              <w:rPr>
                <w:rFonts w:ascii="Arial" w:hAnsi="Arial" w:cs="Arial"/>
                <w:b/>
                <w:bCs/>
                <w:color w:val="000000"/>
                <w:sz w:val="18"/>
                <w:lang w:eastAsia="es-AR"/>
              </w:rPr>
            </w:pPr>
            <w:r w:rsidRPr="00701F32">
              <w:rPr>
                <w:rFonts w:ascii="Arial" w:hAnsi="Arial" w:cs="Arial"/>
                <w:b/>
                <w:bCs/>
                <w:color w:val="000000"/>
                <w:sz w:val="18"/>
                <w:lang w:eastAsia="es-AR"/>
              </w:rPr>
              <w:t>31/12/2017</w:t>
            </w:r>
          </w:p>
        </w:tc>
      </w:tr>
      <w:tr w:rsidR="009976D2" w:rsidRPr="00701F32" w14:paraId="14DCE2F1" w14:textId="77777777" w:rsidTr="00AD40A3">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414A9B38" w14:textId="77777777" w:rsidR="009976D2" w:rsidRPr="00701F32" w:rsidRDefault="009976D2">
            <w:pPr>
              <w:rPr>
                <w:rFonts w:ascii="Arial" w:hAnsi="Arial" w:cs="Arial"/>
                <w:color w:val="000000"/>
                <w:sz w:val="18"/>
                <w:lang w:eastAsia="es-AR"/>
              </w:rPr>
            </w:pPr>
            <w:r w:rsidRPr="00701F32">
              <w:rPr>
                <w:rFonts w:ascii="Arial" w:hAnsi="Arial" w:cs="Arial"/>
                <w:color w:val="000000"/>
                <w:sz w:val="18"/>
                <w:lang w:eastAsia="es-AR"/>
              </w:rPr>
              <w:t>Impuesto a las ganancias corriente</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6631858A" w14:textId="77777777" w:rsidR="009976D2" w:rsidRPr="00701F32" w:rsidRDefault="009976D2">
            <w:pPr>
              <w:jc w:val="right"/>
              <w:rPr>
                <w:rFonts w:ascii="Arial" w:hAnsi="Arial" w:cs="Arial"/>
                <w:color w:val="000000"/>
                <w:sz w:val="18"/>
                <w:lang w:eastAsia="es-AR"/>
              </w:rPr>
            </w:pPr>
            <w:r w:rsidRPr="00701F32">
              <w:rPr>
                <w:rFonts w:ascii="Arial" w:hAnsi="Arial" w:cs="Arial"/>
                <w:color w:val="000000"/>
                <w:sz w:val="18"/>
                <w:lang w:eastAsia="es-AR"/>
              </w:rPr>
              <w:t>601.664</w:t>
            </w:r>
          </w:p>
        </w:tc>
      </w:tr>
      <w:tr w:rsidR="009976D2" w:rsidRPr="00701F32" w14:paraId="7FE0AB94" w14:textId="77777777" w:rsidTr="00AD40A3">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78FAE8ED" w14:textId="77777777" w:rsidR="009976D2" w:rsidRPr="00701F32" w:rsidRDefault="009976D2">
            <w:pPr>
              <w:rPr>
                <w:rFonts w:ascii="Arial" w:hAnsi="Arial" w:cs="Arial"/>
                <w:color w:val="000000"/>
                <w:sz w:val="18"/>
                <w:lang w:eastAsia="es-AR"/>
              </w:rPr>
            </w:pPr>
            <w:r w:rsidRPr="00701F32">
              <w:rPr>
                <w:rFonts w:ascii="Arial" w:hAnsi="Arial" w:cs="Arial"/>
                <w:color w:val="000000"/>
                <w:sz w:val="18"/>
                <w:lang w:eastAsia="es-AR"/>
              </w:rPr>
              <w:t>Impuesto -método diferido</w:t>
            </w:r>
          </w:p>
        </w:tc>
        <w:tc>
          <w:tcPr>
            <w:tcW w:w="1440" w:type="dxa"/>
            <w:tcBorders>
              <w:top w:val="nil"/>
              <w:left w:val="single" w:sz="4" w:space="0" w:color="auto"/>
              <w:bottom w:val="nil"/>
              <w:right w:val="single" w:sz="4" w:space="0" w:color="auto"/>
            </w:tcBorders>
            <w:shd w:val="clear" w:color="auto" w:fill="auto"/>
            <w:noWrap/>
            <w:vAlign w:val="bottom"/>
            <w:hideMark/>
          </w:tcPr>
          <w:p w14:paraId="4CC6C0D6" w14:textId="77777777" w:rsidR="009976D2" w:rsidRPr="00701F32" w:rsidRDefault="009976D2">
            <w:pPr>
              <w:jc w:val="right"/>
              <w:rPr>
                <w:rFonts w:ascii="Arial" w:hAnsi="Arial" w:cs="Arial"/>
                <w:color w:val="000000"/>
                <w:sz w:val="18"/>
                <w:lang w:eastAsia="es-AR"/>
              </w:rPr>
            </w:pPr>
            <w:r w:rsidRPr="00701F32">
              <w:rPr>
                <w:rFonts w:ascii="Arial" w:hAnsi="Arial" w:cs="Arial"/>
                <w:color w:val="000000"/>
                <w:sz w:val="18"/>
                <w:lang w:eastAsia="es-AR"/>
              </w:rPr>
              <w:t>-171.114</w:t>
            </w:r>
          </w:p>
        </w:tc>
      </w:tr>
      <w:tr w:rsidR="009976D2" w:rsidRPr="00701F32" w14:paraId="4371BD40" w14:textId="77777777" w:rsidTr="00AD40A3">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692344CC" w14:textId="77777777" w:rsidR="009976D2" w:rsidRPr="00701F32" w:rsidRDefault="009976D2">
            <w:pPr>
              <w:rPr>
                <w:rFonts w:ascii="Arial" w:hAnsi="Arial" w:cs="Arial"/>
                <w:b/>
                <w:bCs/>
                <w:color w:val="000000"/>
                <w:sz w:val="18"/>
                <w:lang w:eastAsia="es-AR"/>
              </w:rPr>
            </w:pPr>
            <w:r w:rsidRPr="00701F32">
              <w:rPr>
                <w:rFonts w:ascii="Arial" w:hAnsi="Arial" w:cs="Arial"/>
                <w:b/>
                <w:bCs/>
                <w:color w:val="000000"/>
                <w:sz w:val="18"/>
                <w:lang w:eastAsia="es-AR"/>
              </w:rPr>
              <w:t>Impuesto a las  Ganancias</w:t>
            </w:r>
          </w:p>
        </w:tc>
        <w:tc>
          <w:tcPr>
            <w:tcW w:w="1440" w:type="dxa"/>
            <w:tcBorders>
              <w:top w:val="nil"/>
              <w:left w:val="single" w:sz="4" w:space="0" w:color="auto"/>
              <w:bottom w:val="nil"/>
              <w:right w:val="single" w:sz="4" w:space="0" w:color="auto"/>
            </w:tcBorders>
            <w:shd w:val="clear" w:color="auto" w:fill="auto"/>
            <w:noWrap/>
            <w:vAlign w:val="bottom"/>
            <w:hideMark/>
          </w:tcPr>
          <w:p w14:paraId="09134604" w14:textId="77777777" w:rsidR="009976D2" w:rsidRPr="00701F32" w:rsidRDefault="009976D2">
            <w:pPr>
              <w:jc w:val="right"/>
              <w:rPr>
                <w:rFonts w:ascii="Arial" w:hAnsi="Arial" w:cs="Arial"/>
                <w:b/>
                <w:bCs/>
                <w:color w:val="000000"/>
                <w:sz w:val="18"/>
                <w:lang w:eastAsia="es-AR"/>
              </w:rPr>
            </w:pPr>
            <w:r w:rsidRPr="00701F32">
              <w:rPr>
                <w:rFonts w:ascii="Arial" w:hAnsi="Arial" w:cs="Arial"/>
                <w:b/>
                <w:bCs/>
                <w:color w:val="000000"/>
                <w:sz w:val="18"/>
                <w:lang w:eastAsia="es-AR"/>
              </w:rPr>
              <w:t xml:space="preserve">           430.550</w:t>
            </w:r>
          </w:p>
        </w:tc>
      </w:tr>
      <w:tr w:rsidR="009976D2" w:rsidRPr="00701F32" w14:paraId="21D78889" w14:textId="77777777" w:rsidTr="00AD40A3">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7D762A1F" w14:textId="77777777" w:rsidR="009976D2" w:rsidRPr="00701F32" w:rsidRDefault="009976D2">
            <w:pPr>
              <w:rPr>
                <w:rFonts w:ascii="Arial" w:hAnsi="Arial" w:cs="Arial"/>
                <w:color w:val="000000"/>
                <w:sz w:val="18"/>
                <w:lang w:eastAsia="es-AR"/>
              </w:rPr>
            </w:pPr>
            <w:r w:rsidRPr="00701F32">
              <w:rPr>
                <w:rFonts w:ascii="Arial" w:hAnsi="Arial" w:cs="Arial"/>
                <w:color w:val="000000"/>
                <w:sz w:val="18"/>
                <w:lang w:eastAsia="es-AR"/>
              </w:rPr>
              <w:t>IGMP</w:t>
            </w:r>
          </w:p>
        </w:tc>
        <w:tc>
          <w:tcPr>
            <w:tcW w:w="1440" w:type="dxa"/>
            <w:tcBorders>
              <w:top w:val="nil"/>
              <w:left w:val="single" w:sz="4" w:space="0" w:color="auto"/>
              <w:bottom w:val="nil"/>
              <w:right w:val="single" w:sz="4" w:space="0" w:color="auto"/>
            </w:tcBorders>
            <w:shd w:val="clear" w:color="auto" w:fill="auto"/>
            <w:noWrap/>
            <w:vAlign w:val="bottom"/>
            <w:hideMark/>
          </w:tcPr>
          <w:p w14:paraId="393ADA5A" w14:textId="77777777" w:rsidR="009976D2" w:rsidRPr="00701F32" w:rsidRDefault="009976D2">
            <w:pPr>
              <w:jc w:val="right"/>
              <w:rPr>
                <w:rFonts w:ascii="Arial" w:hAnsi="Arial" w:cs="Arial"/>
                <w:color w:val="000000"/>
                <w:sz w:val="18"/>
                <w:lang w:eastAsia="es-AR"/>
              </w:rPr>
            </w:pPr>
            <w:r w:rsidRPr="00701F32">
              <w:rPr>
                <w:rFonts w:ascii="Arial" w:hAnsi="Arial" w:cs="Arial"/>
                <w:color w:val="000000"/>
                <w:sz w:val="18"/>
                <w:lang w:eastAsia="es-AR"/>
              </w:rPr>
              <w:t xml:space="preserve">                   -</w:t>
            </w:r>
          </w:p>
        </w:tc>
      </w:tr>
      <w:tr w:rsidR="009976D2" w:rsidRPr="00701F32" w14:paraId="56F8EE46" w14:textId="77777777" w:rsidTr="00AD40A3">
        <w:trPr>
          <w:trHeight w:val="25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C171" w14:textId="77777777" w:rsidR="009976D2" w:rsidRPr="00701F32" w:rsidRDefault="009976D2">
            <w:pPr>
              <w:rPr>
                <w:rFonts w:ascii="Arial" w:hAnsi="Arial" w:cs="Arial"/>
                <w:b/>
                <w:bCs/>
                <w:color w:val="000000"/>
                <w:sz w:val="18"/>
                <w:lang w:eastAsia="es-AR"/>
              </w:rPr>
            </w:pPr>
            <w:r w:rsidRPr="00701F32">
              <w:rPr>
                <w:rFonts w:ascii="Arial" w:hAnsi="Arial" w:cs="Arial"/>
                <w:b/>
                <w:bCs/>
                <w:color w:val="000000"/>
                <w:sz w:val="18"/>
                <w:lang w:eastAsia="es-AR"/>
              </w:rPr>
              <w:t>Subtotal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E571" w14:textId="77777777" w:rsidR="009976D2" w:rsidRPr="00701F32" w:rsidRDefault="009976D2">
            <w:pPr>
              <w:jc w:val="right"/>
              <w:rPr>
                <w:rFonts w:ascii="Arial" w:hAnsi="Arial" w:cs="Arial"/>
                <w:b/>
                <w:bCs/>
                <w:color w:val="000000"/>
                <w:sz w:val="18"/>
                <w:lang w:eastAsia="es-AR"/>
              </w:rPr>
            </w:pPr>
            <w:r w:rsidRPr="00701F32">
              <w:rPr>
                <w:rFonts w:ascii="Arial" w:hAnsi="Arial" w:cs="Arial"/>
                <w:b/>
                <w:bCs/>
                <w:color w:val="000000"/>
                <w:sz w:val="18"/>
                <w:lang w:eastAsia="es-AR"/>
              </w:rPr>
              <w:t>430.550</w:t>
            </w:r>
          </w:p>
        </w:tc>
      </w:tr>
      <w:tr w:rsidR="009976D2" w:rsidRPr="00701F32" w14:paraId="33FBADA0" w14:textId="77777777" w:rsidTr="00AD40A3">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26D9E58C" w14:textId="77777777" w:rsidR="009976D2" w:rsidRPr="00701F32" w:rsidRDefault="009976D2">
            <w:pPr>
              <w:rPr>
                <w:rFonts w:ascii="Arial" w:hAnsi="Arial" w:cs="Arial"/>
                <w:color w:val="000000"/>
                <w:sz w:val="18"/>
                <w:lang w:eastAsia="es-AR"/>
              </w:rPr>
            </w:pPr>
            <w:r w:rsidRPr="00701F32">
              <w:rPr>
                <w:rFonts w:ascii="Arial" w:hAnsi="Arial" w:cs="Arial"/>
                <w:color w:val="000000"/>
                <w:sz w:val="18"/>
                <w:lang w:eastAsia="es-AR"/>
              </w:rPr>
              <w:t xml:space="preserve">Cargo por impuesto diferido reconocido en el resultado </w:t>
            </w:r>
          </w:p>
        </w:tc>
        <w:tc>
          <w:tcPr>
            <w:tcW w:w="1440" w:type="dxa"/>
            <w:tcBorders>
              <w:top w:val="nil"/>
              <w:left w:val="single" w:sz="4" w:space="0" w:color="auto"/>
              <w:bottom w:val="nil"/>
              <w:right w:val="single" w:sz="4" w:space="0" w:color="auto"/>
            </w:tcBorders>
            <w:shd w:val="clear" w:color="auto" w:fill="auto"/>
            <w:noWrap/>
            <w:vAlign w:val="bottom"/>
            <w:hideMark/>
          </w:tcPr>
          <w:p w14:paraId="1047F7D7" w14:textId="77777777" w:rsidR="009976D2" w:rsidRPr="00701F32" w:rsidRDefault="009976D2">
            <w:pPr>
              <w:jc w:val="right"/>
              <w:rPr>
                <w:rFonts w:ascii="Arial" w:hAnsi="Arial" w:cs="Arial"/>
                <w:color w:val="000000"/>
                <w:sz w:val="18"/>
                <w:lang w:eastAsia="es-AR"/>
              </w:rPr>
            </w:pPr>
            <w:r w:rsidRPr="00701F32">
              <w:rPr>
                <w:rFonts w:ascii="Arial" w:hAnsi="Arial" w:cs="Arial"/>
                <w:color w:val="000000"/>
                <w:sz w:val="18"/>
                <w:lang w:eastAsia="es-AR"/>
              </w:rPr>
              <w:t>430.550</w:t>
            </w:r>
          </w:p>
        </w:tc>
      </w:tr>
      <w:tr w:rsidR="009976D2" w:rsidRPr="00701F32" w14:paraId="73105791" w14:textId="77777777" w:rsidTr="0086282C">
        <w:trPr>
          <w:trHeight w:val="87"/>
        </w:trPr>
        <w:tc>
          <w:tcPr>
            <w:tcW w:w="6580" w:type="dxa"/>
            <w:tcBorders>
              <w:top w:val="nil"/>
              <w:left w:val="single" w:sz="4" w:space="0" w:color="auto"/>
              <w:bottom w:val="nil"/>
              <w:right w:val="single" w:sz="4" w:space="0" w:color="auto"/>
            </w:tcBorders>
            <w:shd w:val="clear" w:color="auto" w:fill="auto"/>
            <w:noWrap/>
            <w:vAlign w:val="bottom"/>
            <w:hideMark/>
          </w:tcPr>
          <w:p w14:paraId="5940A7A5" w14:textId="77777777" w:rsidR="009976D2" w:rsidRPr="00701F32" w:rsidRDefault="009976D2">
            <w:pPr>
              <w:rPr>
                <w:rFonts w:ascii="Arial" w:hAnsi="Arial" w:cs="Arial"/>
                <w:color w:val="000000"/>
                <w:sz w:val="18"/>
                <w:lang w:eastAsia="es-AR"/>
              </w:rPr>
            </w:pPr>
            <w:r w:rsidRPr="00701F32">
              <w:rPr>
                <w:rFonts w:ascii="Arial" w:hAnsi="Arial" w:cs="Arial"/>
                <w:color w:val="000000"/>
                <w:sz w:val="18"/>
                <w:lang w:eastAsia="es-AR"/>
              </w:rPr>
              <w:t>Cargo por impuesto diferido reconocido en el otro resultado integral</w:t>
            </w:r>
          </w:p>
        </w:tc>
        <w:tc>
          <w:tcPr>
            <w:tcW w:w="1440" w:type="dxa"/>
            <w:tcBorders>
              <w:top w:val="nil"/>
              <w:left w:val="single" w:sz="4" w:space="0" w:color="auto"/>
              <w:bottom w:val="nil"/>
              <w:right w:val="single" w:sz="4" w:space="0" w:color="auto"/>
            </w:tcBorders>
            <w:shd w:val="clear" w:color="auto" w:fill="auto"/>
            <w:noWrap/>
            <w:vAlign w:val="bottom"/>
            <w:hideMark/>
          </w:tcPr>
          <w:p w14:paraId="206C3A96" w14:textId="77777777" w:rsidR="009976D2" w:rsidRPr="00701F32" w:rsidRDefault="009976D2">
            <w:pPr>
              <w:jc w:val="right"/>
              <w:rPr>
                <w:rFonts w:ascii="Arial" w:hAnsi="Arial" w:cs="Arial"/>
                <w:color w:val="000000"/>
                <w:sz w:val="18"/>
                <w:lang w:eastAsia="es-AR"/>
              </w:rPr>
            </w:pPr>
            <w:r w:rsidRPr="00701F32">
              <w:rPr>
                <w:rFonts w:ascii="Arial" w:hAnsi="Arial" w:cs="Arial"/>
                <w:color w:val="000000"/>
                <w:sz w:val="18"/>
                <w:lang w:eastAsia="es-AR"/>
              </w:rPr>
              <w:t>29.124</w:t>
            </w:r>
          </w:p>
        </w:tc>
      </w:tr>
      <w:tr w:rsidR="009976D2" w:rsidRPr="00701F32" w14:paraId="2FC9CB30" w14:textId="77777777" w:rsidTr="0086282C">
        <w:trPr>
          <w:trHeight w:val="266"/>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C5607" w14:textId="77777777" w:rsidR="009976D2" w:rsidRPr="00701F32" w:rsidRDefault="009976D2">
            <w:pPr>
              <w:rPr>
                <w:rFonts w:ascii="Arial" w:hAnsi="Arial" w:cs="Arial"/>
                <w:b/>
                <w:bCs/>
                <w:color w:val="000000"/>
                <w:sz w:val="18"/>
                <w:lang w:eastAsia="es-AR"/>
              </w:rPr>
            </w:pPr>
            <w:r w:rsidRPr="00701F32">
              <w:rPr>
                <w:rFonts w:ascii="Arial" w:hAnsi="Arial" w:cs="Arial"/>
                <w:b/>
                <w:bCs/>
                <w:color w:val="000000"/>
                <w:sz w:val="18"/>
                <w:lang w:eastAsia="es-AR"/>
              </w:rPr>
              <w:t>Total cargo Impuesto a las ganancias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2A39" w14:textId="77777777" w:rsidR="009976D2" w:rsidRPr="00701F32" w:rsidRDefault="009976D2">
            <w:pPr>
              <w:jc w:val="right"/>
              <w:rPr>
                <w:rFonts w:ascii="Arial" w:hAnsi="Arial" w:cs="Arial"/>
                <w:b/>
                <w:color w:val="000000"/>
                <w:sz w:val="18"/>
                <w:lang w:eastAsia="es-AR"/>
              </w:rPr>
            </w:pPr>
            <w:r w:rsidRPr="00701F32">
              <w:rPr>
                <w:rFonts w:ascii="Arial" w:hAnsi="Arial" w:cs="Arial"/>
                <w:b/>
                <w:color w:val="000000"/>
                <w:sz w:val="18"/>
                <w:lang w:eastAsia="es-AR"/>
              </w:rPr>
              <w:t>459.674</w:t>
            </w:r>
          </w:p>
        </w:tc>
      </w:tr>
    </w:tbl>
    <w:p w14:paraId="6B84BB4A" w14:textId="77777777" w:rsidR="009976D2" w:rsidRPr="00701F32" w:rsidRDefault="009976D2">
      <w:pPr>
        <w:pStyle w:val="Textoindependiente"/>
        <w:rPr>
          <w:rFonts w:ascii="Arial" w:hAnsi="Arial" w:cs="Arial"/>
          <w:sz w:val="20"/>
          <w:lang w:val="es-AR"/>
        </w:rPr>
      </w:pPr>
    </w:p>
    <w:p w14:paraId="5E11F154" w14:textId="77777777" w:rsidR="009976D2" w:rsidRPr="00701F32" w:rsidRDefault="009976D2">
      <w:pPr>
        <w:pStyle w:val="Textoindependiente"/>
        <w:rPr>
          <w:rFonts w:ascii="Arial" w:hAnsi="Arial" w:cs="Arial"/>
          <w:sz w:val="20"/>
          <w:lang w:val="es-AR"/>
        </w:rPr>
      </w:pPr>
      <w:r w:rsidRPr="00701F32">
        <w:rPr>
          <w:rFonts w:ascii="Arial" w:hAnsi="Arial" w:cs="Arial"/>
          <w:sz w:val="20"/>
          <w:lang w:val="es-AR"/>
        </w:rPr>
        <w:t>A continuación, se presenta una conciliación entre el impuesto a las ganancias cargado a resultados al 31 de diciembre de 2017 y el que resultaría de aplicar la tasa del impuesto vigente sobre la utilidad contable:</w:t>
      </w:r>
    </w:p>
    <w:p w14:paraId="71640FA2" w14:textId="77777777" w:rsidR="00AE6B8D" w:rsidRPr="00701F32" w:rsidRDefault="00AE6B8D">
      <w:pPr>
        <w:pStyle w:val="Textoindependiente"/>
        <w:rPr>
          <w:rFonts w:ascii="Arial" w:hAnsi="Arial" w:cs="Arial"/>
          <w:sz w:val="20"/>
          <w:lang w:val="es-AR"/>
        </w:rPr>
      </w:pPr>
    </w:p>
    <w:tbl>
      <w:tblPr>
        <w:tblW w:w="6737" w:type="dxa"/>
        <w:tblInd w:w="421" w:type="dxa"/>
        <w:tblCellMar>
          <w:left w:w="70" w:type="dxa"/>
          <w:right w:w="70" w:type="dxa"/>
        </w:tblCellMar>
        <w:tblLook w:val="04A0" w:firstRow="1" w:lastRow="0" w:firstColumn="1" w:lastColumn="0" w:noHBand="0" w:noVBand="1"/>
      </w:tblPr>
      <w:tblGrid>
        <w:gridCol w:w="5036"/>
        <w:gridCol w:w="1701"/>
      </w:tblGrid>
      <w:tr w:rsidR="009976D2" w:rsidRPr="00701F32" w14:paraId="65D37798" w14:textId="77777777" w:rsidTr="0086282C">
        <w:trPr>
          <w:trHeight w:val="45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26B8BE2D" w14:textId="77777777" w:rsidR="009976D2" w:rsidRPr="00701F32" w:rsidRDefault="009976D2">
            <w:pPr>
              <w:jc w:val="center"/>
              <w:rPr>
                <w:rFonts w:ascii="Arial" w:hAnsi="Arial" w:cs="Arial"/>
                <w:b/>
                <w:bCs/>
                <w:color w:val="000000"/>
                <w:sz w:val="16"/>
                <w:szCs w:val="18"/>
                <w:lang w:eastAsia="es-AR"/>
              </w:rPr>
            </w:pPr>
            <w:r w:rsidRPr="00701F32">
              <w:rPr>
                <w:rFonts w:ascii="Arial" w:hAnsi="Arial" w:cs="Arial"/>
                <w:b/>
                <w:bCs/>
                <w:color w:val="000000"/>
                <w:sz w:val="16"/>
                <w:szCs w:val="18"/>
                <w:lang w:eastAsia="es-AR"/>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495CC" w14:textId="77777777" w:rsidR="009976D2" w:rsidRPr="00701F32" w:rsidRDefault="009976D2">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31/12/2017</w:t>
            </w:r>
          </w:p>
        </w:tc>
      </w:tr>
      <w:tr w:rsidR="009976D2" w:rsidRPr="00701F32" w14:paraId="7DC08A8E" w14:textId="77777777" w:rsidTr="0086282C">
        <w:trPr>
          <w:trHeight w:val="30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7C9FDCCE" w14:textId="77777777" w:rsidR="009976D2" w:rsidRPr="00701F32" w:rsidRDefault="009976D2">
            <w:pPr>
              <w:rPr>
                <w:rFonts w:ascii="Arial" w:hAnsi="Arial" w:cs="Arial"/>
                <w:color w:val="000000"/>
                <w:sz w:val="16"/>
                <w:szCs w:val="18"/>
                <w:lang w:eastAsia="es-AR"/>
              </w:rPr>
            </w:pPr>
            <w:r w:rsidRPr="00701F32">
              <w:rPr>
                <w:rFonts w:ascii="Arial" w:hAnsi="Arial" w:cs="Arial"/>
                <w:color w:val="000000"/>
                <w:sz w:val="16"/>
                <w:szCs w:val="18"/>
                <w:lang w:eastAsia="es-AR"/>
              </w:rPr>
              <w:t>Resultado del ejercicio antes de impuesto a las ganancias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6BBD5" w14:textId="77777777" w:rsidR="009976D2" w:rsidRPr="00701F32" w:rsidRDefault="009976D2">
            <w:pPr>
              <w:jc w:val="right"/>
              <w:rPr>
                <w:rFonts w:ascii="Arial" w:hAnsi="Arial" w:cs="Arial"/>
                <w:bCs/>
                <w:color w:val="000000"/>
                <w:sz w:val="16"/>
                <w:szCs w:val="18"/>
                <w:lang w:eastAsia="es-AR"/>
              </w:rPr>
            </w:pPr>
            <w:r w:rsidRPr="00701F32">
              <w:rPr>
                <w:rFonts w:ascii="Arial" w:hAnsi="Arial" w:cs="Arial"/>
                <w:bCs/>
                <w:color w:val="000000"/>
                <w:sz w:val="16"/>
                <w:szCs w:val="18"/>
                <w:lang w:eastAsia="es-AR"/>
              </w:rPr>
              <w:t xml:space="preserve">               1.257.947</w:t>
            </w:r>
          </w:p>
        </w:tc>
      </w:tr>
      <w:tr w:rsidR="009976D2" w:rsidRPr="00701F32" w14:paraId="582C0FB2" w14:textId="77777777" w:rsidTr="0086282C">
        <w:trPr>
          <w:trHeight w:val="405"/>
        </w:trPr>
        <w:tc>
          <w:tcPr>
            <w:tcW w:w="5036" w:type="dxa"/>
            <w:tcBorders>
              <w:top w:val="single" w:sz="4" w:space="0" w:color="auto"/>
              <w:left w:val="single" w:sz="4" w:space="0" w:color="auto"/>
              <w:bottom w:val="nil"/>
              <w:right w:val="nil"/>
            </w:tcBorders>
            <w:shd w:val="clear" w:color="auto" w:fill="auto"/>
            <w:vAlign w:val="center"/>
            <w:hideMark/>
          </w:tcPr>
          <w:p w14:paraId="5E9061EB" w14:textId="77777777" w:rsidR="009976D2" w:rsidRPr="00701F32" w:rsidRDefault="009976D2">
            <w:pPr>
              <w:rPr>
                <w:rFonts w:ascii="Arial" w:hAnsi="Arial" w:cs="Arial"/>
                <w:color w:val="000000"/>
                <w:sz w:val="16"/>
                <w:szCs w:val="18"/>
                <w:lang w:eastAsia="es-AR"/>
              </w:rPr>
            </w:pPr>
            <w:r w:rsidRPr="00701F32">
              <w:rPr>
                <w:rFonts w:ascii="Arial" w:hAnsi="Arial" w:cs="Arial"/>
                <w:color w:val="000000"/>
                <w:sz w:val="16"/>
                <w:szCs w:val="18"/>
                <w:lang w:eastAsia="es-AR"/>
              </w:rPr>
              <w:t>Tasa del impuesto vigente</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14:paraId="640969C8" w14:textId="77777777" w:rsidR="009976D2" w:rsidRPr="00701F32" w:rsidRDefault="009976D2">
            <w:pPr>
              <w:jc w:val="right"/>
              <w:rPr>
                <w:rFonts w:ascii="Arial" w:hAnsi="Arial" w:cs="Arial"/>
                <w:color w:val="000000"/>
                <w:sz w:val="16"/>
                <w:szCs w:val="18"/>
                <w:lang w:eastAsia="es-AR"/>
              </w:rPr>
            </w:pPr>
            <w:r w:rsidRPr="00701F32">
              <w:rPr>
                <w:rFonts w:ascii="Arial" w:hAnsi="Arial" w:cs="Arial"/>
                <w:color w:val="000000"/>
                <w:sz w:val="16"/>
                <w:szCs w:val="18"/>
                <w:lang w:eastAsia="es-AR"/>
              </w:rPr>
              <w:t>35%</w:t>
            </w:r>
          </w:p>
        </w:tc>
      </w:tr>
      <w:tr w:rsidR="009976D2" w:rsidRPr="00701F32" w14:paraId="035A7A94" w14:textId="77777777" w:rsidTr="0086282C">
        <w:trPr>
          <w:trHeight w:val="33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2D630B0A" w14:textId="77777777" w:rsidR="009976D2" w:rsidRPr="00701F32" w:rsidRDefault="009976D2">
            <w:pPr>
              <w:rPr>
                <w:rFonts w:ascii="Arial" w:hAnsi="Arial" w:cs="Arial"/>
                <w:color w:val="000000"/>
                <w:sz w:val="16"/>
                <w:szCs w:val="18"/>
                <w:lang w:eastAsia="es-AR"/>
              </w:rPr>
            </w:pPr>
            <w:r w:rsidRPr="00701F32">
              <w:rPr>
                <w:rFonts w:ascii="Arial" w:hAnsi="Arial" w:cs="Arial"/>
                <w:color w:val="000000"/>
                <w:sz w:val="16"/>
                <w:szCs w:val="18"/>
                <w:lang w:eastAsia="es-AR"/>
              </w:rPr>
              <w:t>Resultado del ejercicio a la tasa del impuesto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B3D46" w14:textId="77777777" w:rsidR="009976D2" w:rsidRPr="00701F32" w:rsidRDefault="009976D2">
            <w:pPr>
              <w:jc w:val="right"/>
              <w:rPr>
                <w:rFonts w:ascii="Arial" w:hAnsi="Arial" w:cs="Arial"/>
                <w:bCs/>
                <w:color w:val="000000"/>
                <w:sz w:val="16"/>
                <w:szCs w:val="18"/>
                <w:lang w:eastAsia="es-AR"/>
              </w:rPr>
            </w:pPr>
            <w:r w:rsidRPr="00701F32">
              <w:rPr>
                <w:rFonts w:ascii="Arial" w:hAnsi="Arial" w:cs="Arial"/>
                <w:bCs/>
                <w:color w:val="000000"/>
                <w:sz w:val="16"/>
                <w:szCs w:val="18"/>
                <w:lang w:eastAsia="es-AR"/>
              </w:rPr>
              <w:t>440.281</w:t>
            </w:r>
          </w:p>
        </w:tc>
      </w:tr>
      <w:tr w:rsidR="009976D2" w:rsidRPr="00701F32" w14:paraId="155ED58A" w14:textId="77777777" w:rsidTr="0086282C">
        <w:trPr>
          <w:trHeight w:val="300"/>
        </w:trPr>
        <w:tc>
          <w:tcPr>
            <w:tcW w:w="5036" w:type="dxa"/>
            <w:tcBorders>
              <w:top w:val="nil"/>
              <w:left w:val="single" w:sz="4" w:space="0" w:color="auto"/>
              <w:bottom w:val="nil"/>
              <w:right w:val="nil"/>
            </w:tcBorders>
            <w:shd w:val="clear" w:color="auto" w:fill="auto"/>
            <w:vAlign w:val="center"/>
            <w:hideMark/>
          </w:tcPr>
          <w:p w14:paraId="411D3291" w14:textId="77777777" w:rsidR="009976D2" w:rsidRPr="00701F32" w:rsidRDefault="009976D2">
            <w:pPr>
              <w:rPr>
                <w:rFonts w:ascii="Arial" w:hAnsi="Arial" w:cs="Arial"/>
                <w:bCs/>
                <w:color w:val="000000"/>
                <w:sz w:val="16"/>
                <w:szCs w:val="18"/>
                <w:lang w:eastAsia="es-AR"/>
              </w:rPr>
            </w:pPr>
            <w:r w:rsidRPr="00701F32">
              <w:rPr>
                <w:rFonts w:ascii="Arial" w:hAnsi="Arial" w:cs="Arial"/>
                <w:bCs/>
                <w:color w:val="000000"/>
                <w:sz w:val="16"/>
                <w:szCs w:val="18"/>
                <w:lang w:eastAsia="es-AR"/>
              </w:rPr>
              <w:t>Diferencias permanentes a la tasa del impuesto:</w:t>
            </w:r>
          </w:p>
        </w:tc>
        <w:tc>
          <w:tcPr>
            <w:tcW w:w="1701" w:type="dxa"/>
            <w:tcBorders>
              <w:top w:val="nil"/>
              <w:left w:val="single" w:sz="4" w:space="0" w:color="auto"/>
              <w:bottom w:val="nil"/>
              <w:right w:val="single" w:sz="4" w:space="0" w:color="auto"/>
            </w:tcBorders>
            <w:shd w:val="clear" w:color="auto" w:fill="auto"/>
            <w:vAlign w:val="center"/>
            <w:hideMark/>
          </w:tcPr>
          <w:p w14:paraId="1829C45D" w14:textId="77777777" w:rsidR="009976D2" w:rsidRPr="00701F32" w:rsidRDefault="009976D2">
            <w:pPr>
              <w:jc w:val="right"/>
              <w:rPr>
                <w:rFonts w:ascii="Arial" w:hAnsi="Arial" w:cs="Arial"/>
                <w:color w:val="000000"/>
                <w:sz w:val="16"/>
                <w:szCs w:val="18"/>
                <w:lang w:eastAsia="es-AR"/>
              </w:rPr>
            </w:pPr>
            <w:r w:rsidRPr="00701F32">
              <w:rPr>
                <w:rFonts w:ascii="Arial" w:hAnsi="Arial" w:cs="Arial"/>
                <w:color w:val="000000"/>
                <w:sz w:val="16"/>
                <w:szCs w:val="18"/>
                <w:lang w:eastAsia="es-AR"/>
              </w:rPr>
              <w:t> -9.731</w:t>
            </w:r>
          </w:p>
        </w:tc>
      </w:tr>
      <w:tr w:rsidR="009976D2" w:rsidRPr="00701F32" w14:paraId="1D919366" w14:textId="77777777" w:rsidTr="0086282C">
        <w:trPr>
          <w:trHeight w:val="30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7232D9FC" w14:textId="77777777" w:rsidR="009976D2" w:rsidRPr="00701F32" w:rsidRDefault="009976D2">
            <w:pPr>
              <w:rPr>
                <w:rFonts w:ascii="Arial" w:hAnsi="Arial" w:cs="Arial"/>
                <w:b/>
                <w:bCs/>
                <w:color w:val="000000"/>
                <w:sz w:val="16"/>
                <w:szCs w:val="18"/>
                <w:lang w:eastAsia="es-AR"/>
              </w:rPr>
            </w:pPr>
            <w:r w:rsidRPr="00701F32">
              <w:rPr>
                <w:rFonts w:ascii="Arial" w:hAnsi="Arial" w:cs="Arial"/>
                <w:b/>
                <w:bCs/>
                <w:color w:val="000000"/>
                <w:sz w:val="16"/>
                <w:szCs w:val="18"/>
                <w:lang w:eastAsia="es-AR"/>
              </w:rPr>
              <w:t>Total cargo por impuesto a las ganancias del ejercicio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183FF" w14:textId="77777777" w:rsidR="009976D2" w:rsidRPr="00701F32" w:rsidRDefault="009976D2">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430.550</w:t>
            </w:r>
          </w:p>
        </w:tc>
      </w:tr>
      <w:tr w:rsidR="009976D2" w:rsidRPr="00701F32" w14:paraId="0286DAB8" w14:textId="77777777" w:rsidTr="0086282C">
        <w:trPr>
          <w:trHeight w:val="300"/>
        </w:trPr>
        <w:tc>
          <w:tcPr>
            <w:tcW w:w="5036" w:type="dxa"/>
            <w:tcBorders>
              <w:top w:val="nil"/>
              <w:left w:val="single" w:sz="4" w:space="0" w:color="auto"/>
              <w:bottom w:val="nil"/>
              <w:right w:val="nil"/>
            </w:tcBorders>
            <w:shd w:val="clear" w:color="auto" w:fill="auto"/>
            <w:vAlign w:val="center"/>
            <w:hideMark/>
          </w:tcPr>
          <w:p w14:paraId="74D067A6" w14:textId="77777777" w:rsidR="009976D2" w:rsidRPr="00701F32" w:rsidRDefault="009976D2">
            <w:pPr>
              <w:rPr>
                <w:rFonts w:ascii="Arial" w:hAnsi="Arial" w:cs="Arial"/>
                <w:bCs/>
                <w:color w:val="000000"/>
                <w:sz w:val="16"/>
                <w:szCs w:val="18"/>
                <w:lang w:eastAsia="es-AR"/>
              </w:rPr>
            </w:pPr>
            <w:r w:rsidRPr="00701F32">
              <w:rPr>
                <w:rFonts w:ascii="Arial" w:hAnsi="Arial" w:cs="Arial"/>
                <w:bCs/>
                <w:color w:val="000000"/>
                <w:sz w:val="16"/>
                <w:szCs w:val="18"/>
                <w:lang w:eastAsia="es-AR"/>
              </w:rPr>
              <w:t>- Diferencias temporarias a la tasa del impuesto</w:t>
            </w:r>
          </w:p>
        </w:tc>
        <w:tc>
          <w:tcPr>
            <w:tcW w:w="1701" w:type="dxa"/>
            <w:tcBorders>
              <w:top w:val="nil"/>
              <w:left w:val="single" w:sz="4" w:space="0" w:color="auto"/>
              <w:bottom w:val="nil"/>
              <w:right w:val="single" w:sz="4" w:space="0" w:color="auto"/>
            </w:tcBorders>
            <w:shd w:val="clear" w:color="auto" w:fill="auto"/>
            <w:vAlign w:val="center"/>
            <w:hideMark/>
          </w:tcPr>
          <w:p w14:paraId="7A2542F6" w14:textId="77777777" w:rsidR="009976D2" w:rsidRPr="00701F32" w:rsidRDefault="009976D2">
            <w:pPr>
              <w:jc w:val="right"/>
              <w:rPr>
                <w:rFonts w:ascii="Arial" w:hAnsi="Arial" w:cs="Arial"/>
                <w:color w:val="000000"/>
                <w:sz w:val="16"/>
                <w:szCs w:val="18"/>
                <w:lang w:eastAsia="es-AR"/>
              </w:rPr>
            </w:pPr>
            <w:r w:rsidRPr="00701F32">
              <w:rPr>
                <w:rFonts w:ascii="Arial" w:hAnsi="Arial" w:cs="Arial"/>
                <w:color w:val="000000"/>
                <w:sz w:val="16"/>
                <w:szCs w:val="18"/>
                <w:lang w:eastAsia="es-AR"/>
              </w:rPr>
              <w:t> 171.114</w:t>
            </w:r>
          </w:p>
        </w:tc>
      </w:tr>
      <w:tr w:rsidR="009976D2" w:rsidRPr="00701F32" w14:paraId="395B2ADA" w14:textId="77777777" w:rsidTr="0086282C">
        <w:trPr>
          <w:trHeight w:val="30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0A81885C" w14:textId="77777777" w:rsidR="009976D2" w:rsidRPr="00701F32" w:rsidRDefault="009976D2">
            <w:pPr>
              <w:rPr>
                <w:rFonts w:ascii="Arial" w:hAnsi="Arial" w:cs="Arial"/>
                <w:bCs/>
                <w:color w:val="000000"/>
                <w:sz w:val="16"/>
                <w:szCs w:val="18"/>
                <w:lang w:eastAsia="es-AR"/>
              </w:rPr>
            </w:pPr>
            <w:r w:rsidRPr="00701F32">
              <w:rPr>
                <w:rFonts w:ascii="Arial" w:hAnsi="Arial" w:cs="Arial"/>
                <w:bCs/>
                <w:color w:val="000000"/>
                <w:sz w:val="16"/>
                <w:szCs w:val="18"/>
                <w:lang w:eastAsia="es-AR"/>
              </w:rPr>
              <w:t>Total impuesto del ejercicio determinado a los fines fiscales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8D7CA" w14:textId="77777777" w:rsidR="009976D2" w:rsidRPr="00701F32" w:rsidRDefault="009976D2">
            <w:pPr>
              <w:jc w:val="right"/>
              <w:rPr>
                <w:rFonts w:ascii="Arial" w:hAnsi="Arial" w:cs="Arial"/>
                <w:bCs/>
                <w:color w:val="000000"/>
                <w:sz w:val="16"/>
                <w:szCs w:val="18"/>
                <w:lang w:eastAsia="es-AR"/>
              </w:rPr>
            </w:pPr>
            <w:r w:rsidRPr="00701F32">
              <w:rPr>
                <w:rFonts w:ascii="Arial" w:hAnsi="Arial" w:cs="Arial"/>
                <w:bCs/>
                <w:color w:val="000000"/>
                <w:sz w:val="16"/>
                <w:szCs w:val="18"/>
                <w:lang w:eastAsia="es-AR"/>
              </w:rPr>
              <w:t>601.664</w:t>
            </w:r>
          </w:p>
        </w:tc>
      </w:tr>
      <w:tr w:rsidR="009976D2" w:rsidRPr="00701F32" w14:paraId="7CAE8092" w14:textId="77777777" w:rsidTr="0086282C">
        <w:trPr>
          <w:trHeight w:val="300"/>
        </w:trPr>
        <w:tc>
          <w:tcPr>
            <w:tcW w:w="5036" w:type="dxa"/>
            <w:tcBorders>
              <w:top w:val="nil"/>
              <w:left w:val="single" w:sz="4" w:space="0" w:color="auto"/>
              <w:bottom w:val="nil"/>
              <w:right w:val="nil"/>
            </w:tcBorders>
            <w:shd w:val="clear" w:color="auto" w:fill="auto"/>
            <w:vAlign w:val="center"/>
            <w:hideMark/>
          </w:tcPr>
          <w:p w14:paraId="7987CCEA" w14:textId="77777777" w:rsidR="009976D2" w:rsidRPr="00701F32" w:rsidRDefault="009976D2">
            <w:pPr>
              <w:rPr>
                <w:rFonts w:ascii="Arial" w:hAnsi="Arial" w:cs="Arial"/>
                <w:color w:val="000000"/>
                <w:sz w:val="16"/>
                <w:szCs w:val="18"/>
                <w:lang w:eastAsia="es-AR"/>
              </w:rPr>
            </w:pPr>
            <w:r w:rsidRPr="00701F32">
              <w:rPr>
                <w:rFonts w:ascii="Arial" w:hAnsi="Arial" w:cs="Arial"/>
                <w:color w:val="000000"/>
                <w:sz w:val="16"/>
                <w:szCs w:val="18"/>
                <w:lang w:eastAsia="es-AR"/>
              </w:rPr>
              <w:t>Pagos a cuenta del impuesto a las ganancias</w:t>
            </w:r>
          </w:p>
        </w:tc>
        <w:tc>
          <w:tcPr>
            <w:tcW w:w="1701" w:type="dxa"/>
            <w:tcBorders>
              <w:top w:val="nil"/>
              <w:left w:val="single" w:sz="4" w:space="0" w:color="auto"/>
              <w:bottom w:val="nil"/>
              <w:right w:val="single" w:sz="4" w:space="0" w:color="auto"/>
            </w:tcBorders>
            <w:shd w:val="clear" w:color="auto" w:fill="auto"/>
            <w:vAlign w:val="center"/>
            <w:hideMark/>
          </w:tcPr>
          <w:p w14:paraId="69CD1BC0" w14:textId="77777777" w:rsidR="009976D2" w:rsidRPr="00701F32" w:rsidRDefault="009976D2">
            <w:pPr>
              <w:jc w:val="right"/>
              <w:rPr>
                <w:rFonts w:ascii="Arial" w:hAnsi="Arial" w:cs="Arial"/>
                <w:color w:val="000000"/>
                <w:sz w:val="16"/>
                <w:szCs w:val="18"/>
                <w:lang w:eastAsia="es-AR"/>
              </w:rPr>
            </w:pPr>
            <w:r w:rsidRPr="00701F32">
              <w:rPr>
                <w:rFonts w:ascii="Arial" w:hAnsi="Arial" w:cs="Arial"/>
                <w:color w:val="000000"/>
                <w:sz w:val="16"/>
                <w:szCs w:val="18"/>
                <w:lang w:eastAsia="es-AR"/>
              </w:rPr>
              <w:t xml:space="preserve">                             -   </w:t>
            </w:r>
          </w:p>
        </w:tc>
      </w:tr>
      <w:tr w:rsidR="009976D2" w:rsidRPr="00701F32" w14:paraId="5E014CF4" w14:textId="77777777" w:rsidTr="0086282C">
        <w:trPr>
          <w:trHeight w:val="300"/>
        </w:trPr>
        <w:tc>
          <w:tcPr>
            <w:tcW w:w="5036" w:type="dxa"/>
            <w:tcBorders>
              <w:top w:val="single" w:sz="4" w:space="0" w:color="auto"/>
              <w:left w:val="single" w:sz="4" w:space="0" w:color="auto"/>
              <w:bottom w:val="single" w:sz="4" w:space="0" w:color="auto"/>
              <w:right w:val="nil"/>
            </w:tcBorders>
            <w:shd w:val="clear" w:color="auto" w:fill="auto"/>
            <w:vAlign w:val="center"/>
            <w:hideMark/>
          </w:tcPr>
          <w:p w14:paraId="4D87497D" w14:textId="77777777" w:rsidR="009976D2" w:rsidRPr="00701F32" w:rsidRDefault="009976D2">
            <w:pPr>
              <w:rPr>
                <w:rFonts w:ascii="Arial" w:hAnsi="Arial" w:cs="Arial"/>
                <w:b/>
                <w:bCs/>
                <w:color w:val="000000"/>
                <w:sz w:val="16"/>
                <w:szCs w:val="18"/>
                <w:lang w:eastAsia="es-AR"/>
              </w:rPr>
            </w:pPr>
            <w:r w:rsidRPr="00701F32">
              <w:rPr>
                <w:rFonts w:ascii="Arial" w:hAnsi="Arial" w:cs="Arial"/>
                <w:b/>
                <w:bCs/>
                <w:color w:val="000000"/>
                <w:sz w:val="16"/>
                <w:szCs w:val="18"/>
                <w:lang w:eastAsia="es-AR"/>
              </w:rPr>
              <w:t>Impuesto a las ganancias a pagar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2257" w14:textId="77777777" w:rsidR="009976D2" w:rsidRPr="00701F32" w:rsidRDefault="009976D2">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601.664</w:t>
            </w:r>
          </w:p>
        </w:tc>
      </w:tr>
    </w:tbl>
    <w:p w14:paraId="72C258D0" w14:textId="77777777" w:rsidR="004437AA" w:rsidRDefault="004437AA" w:rsidP="00E07294">
      <w:pPr>
        <w:widowControl w:val="0"/>
        <w:autoSpaceDE w:val="0"/>
        <w:autoSpaceDN w:val="0"/>
        <w:adjustRightInd w:val="0"/>
        <w:jc w:val="both"/>
        <w:rPr>
          <w:rFonts w:ascii="Arial" w:hAnsi="Arial" w:cs="Arial"/>
          <w:b/>
          <w:noProof/>
          <w:sz w:val="20"/>
        </w:rPr>
      </w:pPr>
    </w:p>
    <w:p w14:paraId="555A2D13" w14:textId="77777777" w:rsidR="004437AA" w:rsidRDefault="004437AA" w:rsidP="00E07294">
      <w:pPr>
        <w:widowControl w:val="0"/>
        <w:autoSpaceDE w:val="0"/>
        <w:autoSpaceDN w:val="0"/>
        <w:adjustRightInd w:val="0"/>
        <w:jc w:val="both"/>
        <w:rPr>
          <w:rFonts w:ascii="Arial" w:hAnsi="Arial" w:cs="Arial"/>
          <w:b/>
          <w:noProof/>
          <w:sz w:val="20"/>
        </w:rPr>
      </w:pPr>
    </w:p>
    <w:p w14:paraId="4BDF58CD" w14:textId="6E768F09" w:rsidR="00E07294" w:rsidRPr="00701F32" w:rsidRDefault="00B225FD" w:rsidP="00E07294">
      <w:pPr>
        <w:widowControl w:val="0"/>
        <w:autoSpaceDE w:val="0"/>
        <w:autoSpaceDN w:val="0"/>
        <w:adjustRightInd w:val="0"/>
        <w:jc w:val="both"/>
        <w:rPr>
          <w:rFonts w:ascii="Arial" w:hAnsi="Arial" w:cs="Arial"/>
          <w:b/>
          <w:noProof/>
          <w:sz w:val="20"/>
        </w:rPr>
      </w:pPr>
      <w:r w:rsidRPr="00701F32">
        <w:rPr>
          <w:rFonts w:ascii="Arial" w:hAnsi="Arial" w:cs="Arial"/>
          <w:b/>
          <w:noProof/>
          <w:sz w:val="20"/>
        </w:rPr>
        <w:t>17.21 Información por segmentos</w:t>
      </w:r>
      <w:r w:rsidR="00E07294" w:rsidRPr="00701F32">
        <w:rPr>
          <w:rFonts w:ascii="Arial" w:hAnsi="Arial" w:cs="Arial"/>
          <w:b/>
          <w:noProof/>
          <w:sz w:val="20"/>
        </w:rPr>
        <w:t xml:space="preserve"> </w:t>
      </w:r>
    </w:p>
    <w:p w14:paraId="525E7C26" w14:textId="77777777" w:rsidR="00E07294" w:rsidRPr="00701F32" w:rsidRDefault="00E07294" w:rsidP="00E07294">
      <w:pPr>
        <w:widowControl w:val="0"/>
        <w:autoSpaceDE w:val="0"/>
        <w:autoSpaceDN w:val="0"/>
        <w:adjustRightInd w:val="0"/>
        <w:jc w:val="both"/>
        <w:rPr>
          <w:rFonts w:ascii="Arial" w:hAnsi="Arial" w:cs="Arial"/>
          <w:b/>
          <w:noProof/>
          <w:sz w:val="20"/>
        </w:rPr>
      </w:pPr>
    </w:p>
    <w:p w14:paraId="0DCDA92E" w14:textId="77777777" w:rsidR="008B64DB" w:rsidRPr="00701F32" w:rsidRDefault="004E4E94" w:rsidP="00974ABE">
      <w:pPr>
        <w:spacing w:after="160" w:line="259" w:lineRule="auto"/>
        <w:jc w:val="both"/>
        <w:rPr>
          <w:rFonts w:ascii="Arial" w:eastAsia="Calibri" w:hAnsi="Arial" w:cs="Arial"/>
          <w:bCs/>
          <w:sz w:val="20"/>
        </w:rPr>
      </w:pPr>
      <w:r w:rsidRPr="00701F32">
        <w:rPr>
          <w:rFonts w:ascii="Arial" w:eastAsia="Calibri" w:hAnsi="Arial" w:cs="Arial"/>
          <w:sz w:val="20"/>
        </w:rPr>
        <w:t xml:space="preserve">Adicionalmente a lo </w:t>
      </w:r>
      <w:r w:rsidR="00582EAB" w:rsidRPr="00701F32">
        <w:rPr>
          <w:rFonts w:ascii="Arial" w:eastAsia="Calibri" w:hAnsi="Arial" w:cs="Arial"/>
          <w:sz w:val="20"/>
        </w:rPr>
        <w:t>expresado</w:t>
      </w:r>
      <w:r w:rsidRPr="00701F32">
        <w:rPr>
          <w:rFonts w:ascii="Arial" w:eastAsia="Calibri" w:hAnsi="Arial" w:cs="Arial"/>
          <w:sz w:val="20"/>
        </w:rPr>
        <w:t xml:space="preserve"> en la nota 4 de los presentes estados financieros condensados consolidados intermedios, se detalla a </w:t>
      </w:r>
      <w:r w:rsidR="00E07294" w:rsidRPr="00701F32">
        <w:rPr>
          <w:rFonts w:ascii="Arial" w:eastAsia="Calibri" w:hAnsi="Arial" w:cs="Arial"/>
          <w:bCs/>
          <w:sz w:val="20"/>
        </w:rPr>
        <w:t xml:space="preserve">continuación, la información por segmentos </w:t>
      </w:r>
      <w:r w:rsidRPr="00701F32">
        <w:rPr>
          <w:rFonts w:ascii="Arial" w:eastAsia="Calibri" w:hAnsi="Arial" w:cs="Arial"/>
          <w:bCs/>
          <w:sz w:val="20"/>
        </w:rPr>
        <w:t xml:space="preserve">corresondiente al ejercicio ecónomico finalizado el </w:t>
      </w:r>
      <w:r w:rsidR="00E07294" w:rsidRPr="00701F32">
        <w:rPr>
          <w:rFonts w:ascii="Arial" w:eastAsia="Calibri" w:hAnsi="Arial" w:cs="Arial"/>
          <w:bCs/>
          <w:sz w:val="20"/>
        </w:rPr>
        <w:t>31 de diciembre de 2017:</w:t>
      </w:r>
    </w:p>
    <w:p w14:paraId="25E0085A" w14:textId="680B4512" w:rsidR="008B64DB" w:rsidRPr="00701F32" w:rsidRDefault="008B64DB">
      <w:pPr>
        <w:rPr>
          <w:rFonts w:ascii="Arial" w:eastAsia="Calibri" w:hAnsi="Arial" w:cs="Arial"/>
          <w:bCs/>
          <w:sz w:val="20"/>
        </w:rPr>
      </w:pPr>
    </w:p>
    <w:tbl>
      <w:tblPr>
        <w:tblW w:w="11103" w:type="dxa"/>
        <w:tblInd w:w="-781" w:type="dxa"/>
        <w:tblCellMar>
          <w:left w:w="70" w:type="dxa"/>
          <w:right w:w="70" w:type="dxa"/>
        </w:tblCellMar>
        <w:tblLook w:val="04A0" w:firstRow="1" w:lastRow="0" w:firstColumn="1" w:lastColumn="0" w:noHBand="0" w:noVBand="1"/>
      </w:tblPr>
      <w:tblGrid>
        <w:gridCol w:w="4507"/>
        <w:gridCol w:w="1064"/>
        <w:gridCol w:w="1180"/>
        <w:gridCol w:w="1180"/>
        <w:gridCol w:w="1025"/>
        <w:gridCol w:w="967"/>
        <w:gridCol w:w="1180"/>
      </w:tblGrid>
      <w:tr w:rsidR="00974ABE" w:rsidRPr="00701F32" w14:paraId="4DD69260" w14:textId="77777777" w:rsidTr="00B30DEB">
        <w:trPr>
          <w:trHeight w:val="449"/>
        </w:trPr>
        <w:tc>
          <w:tcPr>
            <w:tcW w:w="4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A6944" w14:textId="77777777" w:rsidR="00FD6B54" w:rsidRPr="00701F32" w:rsidRDefault="00974ABE">
            <w:pPr>
              <w:rPr>
                <w:rFonts w:ascii="Arial" w:hAnsi="Arial" w:cs="Arial"/>
                <w:b/>
                <w:bCs/>
                <w:sz w:val="16"/>
                <w:szCs w:val="16"/>
                <w:lang w:eastAsia="es-AR"/>
              </w:rPr>
            </w:pPr>
            <w:r w:rsidRPr="00701F32">
              <w:rPr>
                <w:rFonts w:ascii="Arial" w:hAnsi="Arial" w:cs="Arial"/>
                <w:b/>
                <w:bCs/>
                <w:sz w:val="16"/>
                <w:szCs w:val="16"/>
                <w:lang w:eastAsia="es-AR"/>
              </w:rPr>
              <w:t>ACTIVO</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6B555BBF"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4ADACF1"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5D06B72"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37B6E2B6"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E2421FA"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B38670F"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CB5FEA" w:rsidRPr="00701F32" w14:paraId="1611FCBD"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3BBA443E"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73D8D06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260.109 </w:t>
            </w:r>
          </w:p>
        </w:tc>
        <w:tc>
          <w:tcPr>
            <w:tcW w:w="1180" w:type="dxa"/>
            <w:tcBorders>
              <w:top w:val="nil"/>
              <w:left w:val="nil"/>
              <w:bottom w:val="single" w:sz="4" w:space="0" w:color="auto"/>
              <w:right w:val="single" w:sz="4" w:space="0" w:color="auto"/>
            </w:tcBorders>
            <w:shd w:val="clear" w:color="000000" w:fill="FFFFFF"/>
            <w:noWrap/>
            <w:vAlign w:val="bottom"/>
            <w:hideMark/>
          </w:tcPr>
          <w:p w14:paraId="5FC0872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2.804.665 </w:t>
            </w:r>
          </w:p>
        </w:tc>
        <w:tc>
          <w:tcPr>
            <w:tcW w:w="1180" w:type="dxa"/>
            <w:tcBorders>
              <w:top w:val="nil"/>
              <w:left w:val="nil"/>
              <w:bottom w:val="single" w:sz="4" w:space="0" w:color="auto"/>
              <w:right w:val="single" w:sz="4" w:space="0" w:color="auto"/>
            </w:tcBorders>
            <w:shd w:val="clear" w:color="000000" w:fill="FFFFFF"/>
            <w:noWrap/>
            <w:vAlign w:val="bottom"/>
            <w:hideMark/>
          </w:tcPr>
          <w:p w14:paraId="780E3E7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7.971.173 </w:t>
            </w:r>
          </w:p>
        </w:tc>
        <w:tc>
          <w:tcPr>
            <w:tcW w:w="1025" w:type="dxa"/>
            <w:tcBorders>
              <w:top w:val="nil"/>
              <w:left w:val="nil"/>
              <w:bottom w:val="single" w:sz="4" w:space="0" w:color="auto"/>
              <w:right w:val="single" w:sz="4" w:space="0" w:color="auto"/>
            </w:tcBorders>
            <w:shd w:val="clear" w:color="000000" w:fill="FFFFFF"/>
            <w:noWrap/>
            <w:vAlign w:val="bottom"/>
            <w:hideMark/>
          </w:tcPr>
          <w:p w14:paraId="557FE7E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20.690 </w:t>
            </w:r>
          </w:p>
        </w:tc>
        <w:tc>
          <w:tcPr>
            <w:tcW w:w="967" w:type="dxa"/>
            <w:tcBorders>
              <w:top w:val="nil"/>
              <w:left w:val="nil"/>
              <w:bottom w:val="single" w:sz="4" w:space="0" w:color="auto"/>
              <w:right w:val="single" w:sz="4" w:space="0" w:color="auto"/>
            </w:tcBorders>
            <w:shd w:val="clear" w:color="000000" w:fill="FFFFFF"/>
            <w:noWrap/>
            <w:vAlign w:val="bottom"/>
            <w:hideMark/>
          </w:tcPr>
          <w:p w14:paraId="26F130A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-9.995 </w:t>
            </w:r>
          </w:p>
        </w:tc>
        <w:tc>
          <w:tcPr>
            <w:tcW w:w="1180" w:type="dxa"/>
            <w:tcBorders>
              <w:top w:val="nil"/>
              <w:left w:val="nil"/>
              <w:bottom w:val="single" w:sz="4" w:space="0" w:color="auto"/>
              <w:right w:val="single" w:sz="4" w:space="0" w:color="auto"/>
            </w:tcBorders>
            <w:shd w:val="clear" w:color="000000" w:fill="FFFFFF"/>
            <w:noWrap/>
            <w:vAlign w:val="bottom"/>
            <w:hideMark/>
          </w:tcPr>
          <w:p w14:paraId="0DE49AC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11.046.642 </w:t>
            </w:r>
          </w:p>
        </w:tc>
      </w:tr>
      <w:tr w:rsidR="00CB5FEA" w:rsidRPr="00701F32" w14:paraId="22A5AF7D"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4B19A697"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Efectivo</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3218D715"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259.607 </w:t>
            </w:r>
          </w:p>
        </w:tc>
        <w:tc>
          <w:tcPr>
            <w:tcW w:w="1180" w:type="dxa"/>
            <w:tcBorders>
              <w:top w:val="nil"/>
              <w:left w:val="nil"/>
              <w:bottom w:val="single" w:sz="4" w:space="0" w:color="auto"/>
              <w:right w:val="single" w:sz="4" w:space="0" w:color="auto"/>
            </w:tcBorders>
            <w:shd w:val="clear" w:color="000000" w:fill="FFFFFF"/>
            <w:noWrap/>
            <w:vAlign w:val="bottom"/>
            <w:hideMark/>
          </w:tcPr>
          <w:p w14:paraId="7E000D80"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2.749.443 </w:t>
            </w:r>
          </w:p>
        </w:tc>
        <w:tc>
          <w:tcPr>
            <w:tcW w:w="1180" w:type="dxa"/>
            <w:tcBorders>
              <w:top w:val="nil"/>
              <w:left w:val="nil"/>
              <w:bottom w:val="single" w:sz="4" w:space="0" w:color="auto"/>
              <w:right w:val="single" w:sz="4" w:space="0" w:color="auto"/>
            </w:tcBorders>
            <w:shd w:val="clear" w:color="000000" w:fill="FFFFFF"/>
            <w:noWrap/>
            <w:vAlign w:val="bottom"/>
            <w:hideMark/>
          </w:tcPr>
          <w:p w14:paraId="6312F5A3"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025" w:type="dxa"/>
            <w:tcBorders>
              <w:top w:val="nil"/>
              <w:left w:val="nil"/>
              <w:bottom w:val="single" w:sz="4" w:space="0" w:color="auto"/>
              <w:right w:val="single" w:sz="4" w:space="0" w:color="auto"/>
            </w:tcBorders>
            <w:shd w:val="clear" w:color="000000" w:fill="FFFFFF"/>
            <w:noWrap/>
            <w:vAlign w:val="bottom"/>
            <w:hideMark/>
          </w:tcPr>
          <w:p w14:paraId="69665E15"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17342CBD"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47A511B9"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3.009.050 </w:t>
            </w:r>
          </w:p>
        </w:tc>
      </w:tr>
      <w:tr w:rsidR="00CB5FEA" w:rsidRPr="00701F32" w14:paraId="72F365E5"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494A1A9D"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3AEBC876"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2761F0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890FFF3"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025" w:type="dxa"/>
            <w:tcBorders>
              <w:top w:val="nil"/>
              <w:left w:val="nil"/>
              <w:bottom w:val="single" w:sz="4" w:space="0" w:color="auto"/>
              <w:right w:val="single" w:sz="4" w:space="0" w:color="auto"/>
            </w:tcBorders>
            <w:shd w:val="clear" w:color="000000" w:fill="FFFFFF"/>
            <w:noWrap/>
            <w:vAlign w:val="bottom"/>
            <w:hideMark/>
          </w:tcPr>
          <w:p w14:paraId="3DB7CDCB" w14:textId="77777777" w:rsidR="00CB5FEA" w:rsidRPr="00701F32" w:rsidRDefault="00CB5FEA">
            <w:pPr>
              <w:jc w:val="right"/>
              <w:rPr>
                <w:rFonts w:ascii="Arial" w:hAnsi="Arial" w:cs="Arial"/>
                <w:bCs/>
                <w:sz w:val="16"/>
                <w:szCs w:val="16"/>
                <w:lang w:eastAsia="es-AR"/>
              </w:rPr>
            </w:pPr>
          </w:p>
        </w:tc>
        <w:tc>
          <w:tcPr>
            <w:tcW w:w="967" w:type="dxa"/>
            <w:tcBorders>
              <w:top w:val="nil"/>
              <w:left w:val="nil"/>
              <w:bottom w:val="single" w:sz="4" w:space="0" w:color="auto"/>
              <w:right w:val="single" w:sz="4" w:space="0" w:color="auto"/>
            </w:tcBorders>
            <w:shd w:val="clear" w:color="000000" w:fill="FFFFFF"/>
            <w:noWrap/>
            <w:vAlign w:val="bottom"/>
            <w:hideMark/>
          </w:tcPr>
          <w:p w14:paraId="4F5EBE4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0B676AC"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r>
      <w:tr w:rsidR="00CB5FEA" w:rsidRPr="00701F32" w14:paraId="70337739" w14:textId="77777777" w:rsidTr="00B30DEB">
        <w:trPr>
          <w:trHeight w:val="245"/>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7E98F1FB"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BCRA</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4C883639"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0951548"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25E2634"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7.048.538 </w:t>
            </w:r>
          </w:p>
        </w:tc>
        <w:tc>
          <w:tcPr>
            <w:tcW w:w="1025" w:type="dxa"/>
            <w:tcBorders>
              <w:top w:val="nil"/>
              <w:left w:val="nil"/>
              <w:bottom w:val="single" w:sz="4" w:space="0" w:color="auto"/>
              <w:right w:val="single" w:sz="4" w:space="0" w:color="auto"/>
            </w:tcBorders>
            <w:shd w:val="clear" w:color="000000" w:fill="FFFFFF"/>
            <w:noWrap/>
            <w:vAlign w:val="bottom"/>
            <w:hideMark/>
          </w:tcPr>
          <w:p w14:paraId="40EC5176"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1.260 </w:t>
            </w:r>
          </w:p>
        </w:tc>
        <w:tc>
          <w:tcPr>
            <w:tcW w:w="967" w:type="dxa"/>
            <w:tcBorders>
              <w:top w:val="nil"/>
              <w:left w:val="nil"/>
              <w:bottom w:val="single" w:sz="4" w:space="0" w:color="auto"/>
              <w:right w:val="single" w:sz="4" w:space="0" w:color="auto"/>
            </w:tcBorders>
            <w:shd w:val="clear" w:color="000000" w:fill="FFFFFF"/>
            <w:noWrap/>
            <w:vAlign w:val="bottom"/>
            <w:hideMark/>
          </w:tcPr>
          <w:p w14:paraId="44FDFB0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5E94093E"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7.049.798 </w:t>
            </w:r>
          </w:p>
        </w:tc>
      </w:tr>
      <w:tr w:rsidR="00CB5FEA" w:rsidRPr="00701F32" w14:paraId="20656DA9"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0171AE89"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014175BF"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474EC7CD"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5.600 </w:t>
            </w:r>
          </w:p>
        </w:tc>
        <w:tc>
          <w:tcPr>
            <w:tcW w:w="1180" w:type="dxa"/>
            <w:tcBorders>
              <w:top w:val="nil"/>
              <w:left w:val="nil"/>
              <w:bottom w:val="single" w:sz="4" w:space="0" w:color="auto"/>
              <w:right w:val="single" w:sz="4" w:space="0" w:color="auto"/>
            </w:tcBorders>
            <w:shd w:val="clear" w:color="000000" w:fill="FFFFFF"/>
            <w:noWrap/>
            <w:vAlign w:val="bottom"/>
            <w:hideMark/>
          </w:tcPr>
          <w:p w14:paraId="3453D74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922.635 </w:t>
            </w:r>
          </w:p>
        </w:tc>
        <w:tc>
          <w:tcPr>
            <w:tcW w:w="1025" w:type="dxa"/>
            <w:tcBorders>
              <w:top w:val="nil"/>
              <w:left w:val="nil"/>
              <w:bottom w:val="single" w:sz="4" w:space="0" w:color="auto"/>
              <w:right w:val="single" w:sz="4" w:space="0" w:color="auto"/>
            </w:tcBorders>
            <w:shd w:val="clear" w:color="000000" w:fill="FFFFFF"/>
            <w:noWrap/>
            <w:vAlign w:val="bottom"/>
            <w:hideMark/>
          </w:tcPr>
          <w:p w14:paraId="0F769B2F"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19.430 </w:t>
            </w:r>
          </w:p>
        </w:tc>
        <w:tc>
          <w:tcPr>
            <w:tcW w:w="967" w:type="dxa"/>
            <w:tcBorders>
              <w:top w:val="nil"/>
              <w:left w:val="nil"/>
              <w:bottom w:val="single" w:sz="4" w:space="0" w:color="auto"/>
              <w:right w:val="single" w:sz="4" w:space="0" w:color="auto"/>
            </w:tcBorders>
            <w:shd w:val="clear" w:color="000000" w:fill="FFFFFF"/>
            <w:noWrap/>
            <w:vAlign w:val="bottom"/>
            <w:hideMark/>
          </w:tcPr>
          <w:p w14:paraId="542C0C20"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-9.995 </w:t>
            </w:r>
          </w:p>
        </w:tc>
        <w:tc>
          <w:tcPr>
            <w:tcW w:w="1180" w:type="dxa"/>
            <w:tcBorders>
              <w:top w:val="nil"/>
              <w:left w:val="nil"/>
              <w:bottom w:val="single" w:sz="4" w:space="0" w:color="auto"/>
              <w:right w:val="single" w:sz="4" w:space="0" w:color="auto"/>
            </w:tcBorders>
            <w:shd w:val="clear" w:color="000000" w:fill="FFFFFF"/>
            <w:noWrap/>
            <w:vAlign w:val="bottom"/>
            <w:hideMark/>
          </w:tcPr>
          <w:p w14:paraId="38DA0E5A"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937.670 </w:t>
            </w:r>
          </w:p>
        </w:tc>
      </w:tr>
      <w:tr w:rsidR="00CB5FEA" w:rsidRPr="00701F32" w14:paraId="0FC07F73" w14:textId="77777777" w:rsidTr="00B30DEB">
        <w:trPr>
          <w:trHeight w:val="199"/>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6E2CB380"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Otros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43EF1DCD"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502 </w:t>
            </w:r>
          </w:p>
        </w:tc>
        <w:tc>
          <w:tcPr>
            <w:tcW w:w="1180" w:type="dxa"/>
            <w:tcBorders>
              <w:top w:val="nil"/>
              <w:left w:val="nil"/>
              <w:bottom w:val="single" w:sz="4" w:space="0" w:color="auto"/>
              <w:right w:val="single" w:sz="4" w:space="0" w:color="auto"/>
            </w:tcBorders>
            <w:shd w:val="clear" w:color="000000" w:fill="FFFFFF"/>
            <w:noWrap/>
            <w:vAlign w:val="bottom"/>
            <w:hideMark/>
          </w:tcPr>
          <w:p w14:paraId="47571551"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49.622 </w:t>
            </w:r>
          </w:p>
        </w:tc>
        <w:tc>
          <w:tcPr>
            <w:tcW w:w="1180" w:type="dxa"/>
            <w:tcBorders>
              <w:top w:val="nil"/>
              <w:left w:val="nil"/>
              <w:bottom w:val="single" w:sz="4" w:space="0" w:color="auto"/>
              <w:right w:val="single" w:sz="4" w:space="0" w:color="auto"/>
            </w:tcBorders>
            <w:shd w:val="clear" w:color="000000" w:fill="FFFFFF"/>
            <w:noWrap/>
            <w:vAlign w:val="bottom"/>
            <w:hideMark/>
          </w:tcPr>
          <w:p w14:paraId="72D9A814"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025" w:type="dxa"/>
            <w:tcBorders>
              <w:top w:val="nil"/>
              <w:left w:val="nil"/>
              <w:bottom w:val="single" w:sz="4" w:space="0" w:color="auto"/>
              <w:right w:val="single" w:sz="4" w:space="0" w:color="auto"/>
            </w:tcBorders>
            <w:shd w:val="clear" w:color="000000" w:fill="FFFFFF"/>
            <w:noWrap/>
            <w:vAlign w:val="bottom"/>
            <w:hideMark/>
          </w:tcPr>
          <w:p w14:paraId="2311F76F"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034E3405"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A2E5D5C"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50.124 </w:t>
            </w:r>
          </w:p>
        </w:tc>
      </w:tr>
      <w:tr w:rsidR="00CB5FEA" w:rsidRPr="00701F32" w14:paraId="40AAF817" w14:textId="77777777" w:rsidTr="00B30DEB">
        <w:trPr>
          <w:trHeight w:val="449"/>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66E60DE8"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22B060C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37DE14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F37331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11.030.208 </w:t>
            </w:r>
          </w:p>
        </w:tc>
        <w:tc>
          <w:tcPr>
            <w:tcW w:w="1025" w:type="dxa"/>
            <w:tcBorders>
              <w:top w:val="nil"/>
              <w:left w:val="nil"/>
              <w:bottom w:val="single" w:sz="4" w:space="0" w:color="auto"/>
              <w:right w:val="single" w:sz="4" w:space="0" w:color="auto"/>
            </w:tcBorders>
            <w:shd w:val="clear" w:color="000000" w:fill="FFFFFF"/>
            <w:noWrap/>
            <w:vAlign w:val="bottom"/>
            <w:hideMark/>
          </w:tcPr>
          <w:p w14:paraId="33B0915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75.843 </w:t>
            </w:r>
          </w:p>
        </w:tc>
        <w:tc>
          <w:tcPr>
            <w:tcW w:w="967" w:type="dxa"/>
            <w:tcBorders>
              <w:top w:val="nil"/>
              <w:left w:val="nil"/>
              <w:bottom w:val="single" w:sz="4" w:space="0" w:color="auto"/>
              <w:right w:val="single" w:sz="4" w:space="0" w:color="auto"/>
            </w:tcBorders>
            <w:shd w:val="clear" w:color="000000" w:fill="FFFFFF"/>
            <w:noWrap/>
            <w:vAlign w:val="bottom"/>
            <w:hideMark/>
          </w:tcPr>
          <w:p w14:paraId="17C56EA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C33F78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11.106.051 </w:t>
            </w:r>
          </w:p>
        </w:tc>
      </w:tr>
      <w:tr w:rsidR="00CB5FEA" w:rsidRPr="00701F32" w14:paraId="685E3AB7"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79FC573B"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60AB5A3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8B0932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908ED5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26.916 </w:t>
            </w:r>
          </w:p>
        </w:tc>
        <w:tc>
          <w:tcPr>
            <w:tcW w:w="1025" w:type="dxa"/>
            <w:tcBorders>
              <w:top w:val="nil"/>
              <w:left w:val="nil"/>
              <w:bottom w:val="single" w:sz="4" w:space="0" w:color="auto"/>
              <w:right w:val="single" w:sz="4" w:space="0" w:color="auto"/>
            </w:tcBorders>
            <w:shd w:val="clear" w:color="000000" w:fill="FFFFFF"/>
            <w:noWrap/>
            <w:vAlign w:val="bottom"/>
            <w:hideMark/>
          </w:tcPr>
          <w:p w14:paraId="0687189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07C688B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6766DC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26.916 </w:t>
            </w:r>
          </w:p>
        </w:tc>
      </w:tr>
      <w:tr w:rsidR="00CB5FEA" w:rsidRPr="00701F32" w14:paraId="7AEC6F30"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01FF6D01"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3F056FC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4E9D991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F06942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3.349.822 </w:t>
            </w:r>
          </w:p>
        </w:tc>
        <w:tc>
          <w:tcPr>
            <w:tcW w:w="1025" w:type="dxa"/>
            <w:tcBorders>
              <w:top w:val="nil"/>
              <w:left w:val="nil"/>
              <w:bottom w:val="single" w:sz="4" w:space="0" w:color="auto"/>
              <w:right w:val="single" w:sz="4" w:space="0" w:color="auto"/>
            </w:tcBorders>
            <w:shd w:val="clear" w:color="000000" w:fill="FFFFFF"/>
            <w:noWrap/>
            <w:vAlign w:val="bottom"/>
            <w:hideMark/>
          </w:tcPr>
          <w:p w14:paraId="0A6F11C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620A0F87"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3702A12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3.349.822 </w:t>
            </w:r>
          </w:p>
        </w:tc>
      </w:tr>
      <w:tr w:rsidR="00CB5FEA" w:rsidRPr="00701F32" w14:paraId="47C08A8D"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5B727C79"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521E077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5126F4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245.191 </w:t>
            </w:r>
          </w:p>
        </w:tc>
        <w:tc>
          <w:tcPr>
            <w:tcW w:w="1180" w:type="dxa"/>
            <w:tcBorders>
              <w:top w:val="nil"/>
              <w:left w:val="nil"/>
              <w:bottom w:val="single" w:sz="4" w:space="0" w:color="auto"/>
              <w:right w:val="single" w:sz="4" w:space="0" w:color="auto"/>
            </w:tcBorders>
            <w:shd w:val="clear" w:color="000000" w:fill="FFFFFF"/>
            <w:noWrap/>
            <w:vAlign w:val="bottom"/>
            <w:hideMark/>
          </w:tcPr>
          <w:p w14:paraId="0F44A07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268.374 </w:t>
            </w:r>
          </w:p>
        </w:tc>
        <w:tc>
          <w:tcPr>
            <w:tcW w:w="1025" w:type="dxa"/>
            <w:tcBorders>
              <w:top w:val="nil"/>
              <w:left w:val="nil"/>
              <w:bottom w:val="single" w:sz="4" w:space="0" w:color="auto"/>
              <w:right w:val="single" w:sz="4" w:space="0" w:color="auto"/>
            </w:tcBorders>
            <w:shd w:val="clear" w:color="000000" w:fill="FFFFFF"/>
            <w:noWrap/>
            <w:vAlign w:val="bottom"/>
            <w:hideMark/>
          </w:tcPr>
          <w:p w14:paraId="56CD81C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238.000 </w:t>
            </w:r>
          </w:p>
        </w:tc>
        <w:tc>
          <w:tcPr>
            <w:tcW w:w="967" w:type="dxa"/>
            <w:tcBorders>
              <w:top w:val="nil"/>
              <w:left w:val="nil"/>
              <w:bottom w:val="single" w:sz="4" w:space="0" w:color="auto"/>
              <w:right w:val="single" w:sz="4" w:space="0" w:color="auto"/>
            </w:tcBorders>
            <w:shd w:val="clear" w:color="000000" w:fill="FFFFFF"/>
            <w:noWrap/>
            <w:vAlign w:val="bottom"/>
            <w:hideMark/>
          </w:tcPr>
          <w:p w14:paraId="24F862C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-54.582 </w:t>
            </w:r>
          </w:p>
        </w:tc>
        <w:tc>
          <w:tcPr>
            <w:tcW w:w="1180" w:type="dxa"/>
            <w:tcBorders>
              <w:top w:val="nil"/>
              <w:left w:val="nil"/>
              <w:bottom w:val="single" w:sz="4" w:space="0" w:color="auto"/>
              <w:right w:val="single" w:sz="4" w:space="0" w:color="auto"/>
            </w:tcBorders>
            <w:shd w:val="clear" w:color="000000" w:fill="FFFFFF"/>
            <w:noWrap/>
            <w:vAlign w:val="bottom"/>
            <w:hideMark/>
          </w:tcPr>
          <w:p w14:paraId="67F1F13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696.983 </w:t>
            </w:r>
          </w:p>
        </w:tc>
      </w:tr>
      <w:tr w:rsidR="00CB5FEA" w:rsidRPr="00701F32" w14:paraId="51815B3F"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40901173"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71FA3487"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30.670.806 </w:t>
            </w:r>
          </w:p>
        </w:tc>
        <w:tc>
          <w:tcPr>
            <w:tcW w:w="1180" w:type="dxa"/>
            <w:tcBorders>
              <w:top w:val="nil"/>
              <w:left w:val="nil"/>
              <w:bottom w:val="single" w:sz="4" w:space="0" w:color="auto"/>
              <w:right w:val="single" w:sz="4" w:space="0" w:color="auto"/>
            </w:tcBorders>
            <w:shd w:val="clear" w:color="000000" w:fill="FFFFFF"/>
            <w:noWrap/>
            <w:vAlign w:val="bottom"/>
            <w:hideMark/>
          </w:tcPr>
          <w:p w14:paraId="26BE1163"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22.243.467 </w:t>
            </w:r>
          </w:p>
        </w:tc>
        <w:tc>
          <w:tcPr>
            <w:tcW w:w="1180" w:type="dxa"/>
            <w:tcBorders>
              <w:top w:val="nil"/>
              <w:left w:val="nil"/>
              <w:bottom w:val="single" w:sz="4" w:space="0" w:color="auto"/>
              <w:right w:val="single" w:sz="4" w:space="0" w:color="auto"/>
            </w:tcBorders>
            <w:shd w:val="clear" w:color="000000" w:fill="FFFFFF"/>
            <w:noWrap/>
            <w:vAlign w:val="bottom"/>
            <w:hideMark/>
          </w:tcPr>
          <w:p w14:paraId="64ADBDA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2.284.475 </w:t>
            </w:r>
          </w:p>
        </w:tc>
        <w:tc>
          <w:tcPr>
            <w:tcW w:w="1025" w:type="dxa"/>
            <w:tcBorders>
              <w:top w:val="nil"/>
              <w:left w:val="nil"/>
              <w:bottom w:val="single" w:sz="4" w:space="0" w:color="auto"/>
              <w:right w:val="single" w:sz="4" w:space="0" w:color="auto"/>
            </w:tcBorders>
            <w:shd w:val="clear" w:color="000000" w:fill="FFFFFF"/>
            <w:noWrap/>
            <w:vAlign w:val="bottom"/>
            <w:hideMark/>
          </w:tcPr>
          <w:p w14:paraId="7850D24E"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7.259.476 </w:t>
            </w:r>
          </w:p>
        </w:tc>
        <w:tc>
          <w:tcPr>
            <w:tcW w:w="967" w:type="dxa"/>
            <w:tcBorders>
              <w:top w:val="nil"/>
              <w:left w:val="nil"/>
              <w:bottom w:val="single" w:sz="4" w:space="0" w:color="auto"/>
              <w:right w:val="single" w:sz="4" w:space="0" w:color="auto"/>
            </w:tcBorders>
            <w:shd w:val="clear" w:color="000000" w:fill="FFFFFF"/>
            <w:noWrap/>
            <w:vAlign w:val="bottom"/>
            <w:hideMark/>
          </w:tcPr>
          <w:p w14:paraId="4FA0EE1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-2.319.419 </w:t>
            </w:r>
          </w:p>
        </w:tc>
        <w:tc>
          <w:tcPr>
            <w:tcW w:w="1180" w:type="dxa"/>
            <w:tcBorders>
              <w:top w:val="nil"/>
              <w:left w:val="nil"/>
              <w:bottom w:val="single" w:sz="4" w:space="0" w:color="auto"/>
              <w:right w:val="single" w:sz="4" w:space="0" w:color="auto"/>
            </w:tcBorders>
            <w:shd w:val="clear" w:color="000000" w:fill="FFFFFF"/>
            <w:noWrap/>
            <w:vAlign w:val="bottom"/>
            <w:hideMark/>
          </w:tcPr>
          <w:p w14:paraId="6BDB2758"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60.138.805 </w:t>
            </w:r>
          </w:p>
        </w:tc>
      </w:tr>
      <w:tr w:rsidR="00CB5FEA" w:rsidRPr="00701F32" w14:paraId="73FB20E4"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noWrap/>
            <w:vAlign w:val="bottom"/>
            <w:hideMark/>
          </w:tcPr>
          <w:p w14:paraId="6A965886"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24CF0850"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387 </w:t>
            </w:r>
          </w:p>
        </w:tc>
        <w:tc>
          <w:tcPr>
            <w:tcW w:w="1180" w:type="dxa"/>
            <w:tcBorders>
              <w:top w:val="nil"/>
              <w:left w:val="nil"/>
              <w:bottom w:val="single" w:sz="4" w:space="0" w:color="auto"/>
              <w:right w:val="single" w:sz="4" w:space="0" w:color="auto"/>
            </w:tcBorders>
            <w:shd w:val="clear" w:color="000000" w:fill="FFFFFF"/>
            <w:noWrap/>
            <w:vAlign w:val="bottom"/>
            <w:hideMark/>
          </w:tcPr>
          <w:p w14:paraId="357EB3AA"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1.105 </w:t>
            </w:r>
          </w:p>
        </w:tc>
        <w:tc>
          <w:tcPr>
            <w:tcW w:w="1180" w:type="dxa"/>
            <w:tcBorders>
              <w:top w:val="nil"/>
              <w:left w:val="nil"/>
              <w:bottom w:val="single" w:sz="4" w:space="0" w:color="auto"/>
              <w:right w:val="single" w:sz="4" w:space="0" w:color="auto"/>
            </w:tcBorders>
            <w:shd w:val="clear" w:color="000000" w:fill="FFFFFF"/>
            <w:noWrap/>
            <w:vAlign w:val="bottom"/>
            <w:hideMark/>
          </w:tcPr>
          <w:p w14:paraId="58BF48FD"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31.115 </w:t>
            </w:r>
          </w:p>
        </w:tc>
        <w:tc>
          <w:tcPr>
            <w:tcW w:w="1025" w:type="dxa"/>
            <w:tcBorders>
              <w:top w:val="nil"/>
              <w:left w:val="nil"/>
              <w:bottom w:val="single" w:sz="4" w:space="0" w:color="auto"/>
              <w:right w:val="single" w:sz="4" w:space="0" w:color="auto"/>
            </w:tcBorders>
            <w:shd w:val="clear" w:color="000000" w:fill="FFFFFF"/>
            <w:noWrap/>
            <w:vAlign w:val="bottom"/>
            <w:hideMark/>
          </w:tcPr>
          <w:p w14:paraId="3D5FEFA5"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24796FB3"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1BEE8F0"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32.607 </w:t>
            </w:r>
          </w:p>
        </w:tc>
      </w:tr>
      <w:tr w:rsidR="00CB5FEA" w:rsidRPr="00701F32" w14:paraId="02EA19A7"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4E593FEF"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Otras entidades financieras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50F69B26"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290.440 </w:t>
            </w:r>
          </w:p>
        </w:tc>
        <w:tc>
          <w:tcPr>
            <w:tcW w:w="1180" w:type="dxa"/>
            <w:tcBorders>
              <w:top w:val="nil"/>
              <w:left w:val="nil"/>
              <w:bottom w:val="single" w:sz="4" w:space="0" w:color="auto"/>
              <w:right w:val="single" w:sz="4" w:space="0" w:color="auto"/>
            </w:tcBorders>
            <w:shd w:val="clear" w:color="000000" w:fill="FFFFFF"/>
            <w:noWrap/>
            <w:vAlign w:val="bottom"/>
            <w:hideMark/>
          </w:tcPr>
          <w:p w14:paraId="1FAAED2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7B58BDAB"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1.909.999 </w:t>
            </w:r>
          </w:p>
        </w:tc>
        <w:tc>
          <w:tcPr>
            <w:tcW w:w="1025" w:type="dxa"/>
            <w:tcBorders>
              <w:top w:val="nil"/>
              <w:left w:val="nil"/>
              <w:bottom w:val="single" w:sz="4" w:space="0" w:color="auto"/>
              <w:right w:val="single" w:sz="4" w:space="0" w:color="auto"/>
            </w:tcBorders>
            <w:shd w:val="clear" w:color="000000" w:fill="FFFFFF"/>
            <w:noWrap/>
            <w:vAlign w:val="bottom"/>
            <w:hideMark/>
          </w:tcPr>
          <w:p w14:paraId="1671346C"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40.095 </w:t>
            </w:r>
          </w:p>
        </w:tc>
        <w:tc>
          <w:tcPr>
            <w:tcW w:w="967" w:type="dxa"/>
            <w:tcBorders>
              <w:top w:val="nil"/>
              <w:left w:val="nil"/>
              <w:bottom w:val="single" w:sz="4" w:space="0" w:color="auto"/>
              <w:right w:val="single" w:sz="4" w:space="0" w:color="auto"/>
            </w:tcBorders>
            <w:shd w:val="clear" w:color="000000" w:fill="FFFFFF"/>
            <w:noWrap/>
            <w:vAlign w:val="bottom"/>
            <w:hideMark/>
          </w:tcPr>
          <w:p w14:paraId="0FF4CAE9"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-1.843.395 </w:t>
            </w:r>
          </w:p>
        </w:tc>
        <w:tc>
          <w:tcPr>
            <w:tcW w:w="1180" w:type="dxa"/>
            <w:tcBorders>
              <w:top w:val="nil"/>
              <w:left w:val="nil"/>
              <w:bottom w:val="single" w:sz="4" w:space="0" w:color="auto"/>
              <w:right w:val="single" w:sz="4" w:space="0" w:color="auto"/>
            </w:tcBorders>
            <w:shd w:val="clear" w:color="000000" w:fill="FFFFFF"/>
            <w:noWrap/>
            <w:vAlign w:val="bottom"/>
            <w:hideMark/>
          </w:tcPr>
          <w:p w14:paraId="3D18FE8C"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397.139 </w:t>
            </w:r>
          </w:p>
        </w:tc>
      </w:tr>
      <w:tr w:rsidR="00CB5FEA" w:rsidRPr="00701F32" w14:paraId="24AA8B61" w14:textId="77777777" w:rsidTr="00B30DEB">
        <w:trPr>
          <w:trHeight w:val="28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69E6D882" w14:textId="77777777" w:rsidR="00CB5FEA" w:rsidRPr="00701F32" w:rsidRDefault="00CB5FEA">
            <w:pPr>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580CDFF3"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30.379.979 </w:t>
            </w:r>
          </w:p>
        </w:tc>
        <w:tc>
          <w:tcPr>
            <w:tcW w:w="1180" w:type="dxa"/>
            <w:tcBorders>
              <w:top w:val="nil"/>
              <w:left w:val="nil"/>
              <w:bottom w:val="single" w:sz="4" w:space="0" w:color="auto"/>
              <w:right w:val="single" w:sz="4" w:space="0" w:color="auto"/>
            </w:tcBorders>
            <w:shd w:val="clear" w:color="000000" w:fill="FFFFFF"/>
            <w:noWrap/>
            <w:vAlign w:val="bottom"/>
            <w:hideMark/>
          </w:tcPr>
          <w:p w14:paraId="00F84D44"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22.242.362 </w:t>
            </w:r>
          </w:p>
        </w:tc>
        <w:tc>
          <w:tcPr>
            <w:tcW w:w="1180" w:type="dxa"/>
            <w:tcBorders>
              <w:top w:val="nil"/>
              <w:left w:val="nil"/>
              <w:bottom w:val="single" w:sz="4" w:space="0" w:color="auto"/>
              <w:right w:val="single" w:sz="4" w:space="0" w:color="auto"/>
            </w:tcBorders>
            <w:shd w:val="clear" w:color="000000" w:fill="FFFFFF"/>
            <w:noWrap/>
            <w:vAlign w:val="bottom"/>
            <w:hideMark/>
          </w:tcPr>
          <w:p w14:paraId="50B8D0F7"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343.361 </w:t>
            </w:r>
          </w:p>
        </w:tc>
        <w:tc>
          <w:tcPr>
            <w:tcW w:w="1025" w:type="dxa"/>
            <w:tcBorders>
              <w:top w:val="nil"/>
              <w:left w:val="nil"/>
              <w:bottom w:val="single" w:sz="4" w:space="0" w:color="auto"/>
              <w:right w:val="single" w:sz="4" w:space="0" w:color="auto"/>
            </w:tcBorders>
            <w:shd w:val="clear" w:color="000000" w:fill="FFFFFF"/>
            <w:noWrap/>
            <w:vAlign w:val="bottom"/>
            <w:hideMark/>
          </w:tcPr>
          <w:p w14:paraId="5D357476"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7.219.381 </w:t>
            </w:r>
          </w:p>
        </w:tc>
        <w:tc>
          <w:tcPr>
            <w:tcW w:w="967" w:type="dxa"/>
            <w:tcBorders>
              <w:top w:val="nil"/>
              <w:left w:val="nil"/>
              <w:bottom w:val="single" w:sz="4" w:space="0" w:color="auto"/>
              <w:right w:val="single" w:sz="4" w:space="0" w:color="auto"/>
            </w:tcBorders>
            <w:shd w:val="clear" w:color="000000" w:fill="FFFFFF"/>
            <w:noWrap/>
            <w:vAlign w:val="bottom"/>
            <w:hideMark/>
          </w:tcPr>
          <w:p w14:paraId="66C1CB46"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-476.024 </w:t>
            </w:r>
          </w:p>
        </w:tc>
        <w:tc>
          <w:tcPr>
            <w:tcW w:w="1180" w:type="dxa"/>
            <w:tcBorders>
              <w:top w:val="nil"/>
              <w:left w:val="nil"/>
              <w:bottom w:val="single" w:sz="4" w:space="0" w:color="auto"/>
              <w:right w:val="single" w:sz="4" w:space="0" w:color="auto"/>
            </w:tcBorders>
            <w:shd w:val="clear" w:color="000000" w:fill="FFFFFF"/>
            <w:noWrap/>
            <w:vAlign w:val="bottom"/>
            <w:hideMark/>
          </w:tcPr>
          <w:p w14:paraId="33A038A9" w14:textId="77777777" w:rsidR="00CB5FEA" w:rsidRPr="00701F32" w:rsidRDefault="00CB5FEA">
            <w:pPr>
              <w:jc w:val="right"/>
              <w:rPr>
                <w:rFonts w:ascii="Arial" w:hAnsi="Arial" w:cs="Arial"/>
                <w:bCs/>
                <w:sz w:val="16"/>
                <w:szCs w:val="16"/>
                <w:lang w:eastAsia="es-AR"/>
              </w:rPr>
            </w:pPr>
            <w:r w:rsidRPr="00701F32">
              <w:rPr>
                <w:rFonts w:ascii="Arial" w:hAnsi="Arial" w:cs="Arial"/>
                <w:bCs/>
                <w:sz w:val="16"/>
                <w:szCs w:val="16"/>
                <w:lang w:eastAsia="es-AR"/>
              </w:rPr>
              <w:t xml:space="preserve"> 59.709.059 </w:t>
            </w:r>
          </w:p>
        </w:tc>
      </w:tr>
      <w:tr w:rsidR="00CB5FEA" w:rsidRPr="00701F32" w14:paraId="449D1AC9"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3DB1D5DD"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6A66600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747E666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302B34F1"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555.238 </w:t>
            </w:r>
          </w:p>
        </w:tc>
        <w:tc>
          <w:tcPr>
            <w:tcW w:w="1025" w:type="dxa"/>
            <w:tcBorders>
              <w:top w:val="nil"/>
              <w:left w:val="nil"/>
              <w:bottom w:val="single" w:sz="4" w:space="0" w:color="auto"/>
              <w:right w:val="single" w:sz="4" w:space="0" w:color="auto"/>
            </w:tcBorders>
            <w:shd w:val="clear" w:color="000000" w:fill="FFFFFF"/>
            <w:noWrap/>
            <w:vAlign w:val="bottom"/>
            <w:hideMark/>
          </w:tcPr>
          <w:p w14:paraId="049ACBF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418F37A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E566CE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555.238 </w:t>
            </w:r>
          </w:p>
        </w:tc>
      </w:tr>
      <w:tr w:rsidR="00CB5FEA" w:rsidRPr="00701F32" w14:paraId="23ABC573" w14:textId="77777777" w:rsidTr="00B30DEB">
        <w:trPr>
          <w:trHeight w:val="329"/>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5A195953"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1984A9D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175153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163.947 </w:t>
            </w:r>
          </w:p>
        </w:tc>
        <w:tc>
          <w:tcPr>
            <w:tcW w:w="1180" w:type="dxa"/>
            <w:tcBorders>
              <w:top w:val="nil"/>
              <w:left w:val="nil"/>
              <w:bottom w:val="single" w:sz="4" w:space="0" w:color="auto"/>
              <w:right w:val="single" w:sz="4" w:space="0" w:color="auto"/>
            </w:tcBorders>
            <w:shd w:val="clear" w:color="000000" w:fill="FFFFFF"/>
            <w:noWrap/>
            <w:vAlign w:val="bottom"/>
            <w:hideMark/>
          </w:tcPr>
          <w:p w14:paraId="53BAE273"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1.016.140 </w:t>
            </w:r>
          </w:p>
        </w:tc>
        <w:tc>
          <w:tcPr>
            <w:tcW w:w="1025" w:type="dxa"/>
            <w:tcBorders>
              <w:top w:val="nil"/>
              <w:left w:val="nil"/>
              <w:bottom w:val="single" w:sz="4" w:space="0" w:color="auto"/>
              <w:right w:val="single" w:sz="4" w:space="0" w:color="auto"/>
            </w:tcBorders>
            <w:shd w:val="clear" w:color="000000" w:fill="FFFFFF"/>
            <w:noWrap/>
            <w:vAlign w:val="bottom"/>
            <w:hideMark/>
          </w:tcPr>
          <w:p w14:paraId="438E33F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119.017 </w:t>
            </w:r>
          </w:p>
        </w:tc>
        <w:tc>
          <w:tcPr>
            <w:tcW w:w="967" w:type="dxa"/>
            <w:tcBorders>
              <w:top w:val="nil"/>
              <w:left w:val="nil"/>
              <w:bottom w:val="single" w:sz="4" w:space="0" w:color="auto"/>
              <w:right w:val="single" w:sz="4" w:space="0" w:color="auto"/>
            </w:tcBorders>
            <w:shd w:val="clear" w:color="000000" w:fill="FFFFFF"/>
            <w:noWrap/>
            <w:vAlign w:val="bottom"/>
            <w:hideMark/>
          </w:tcPr>
          <w:p w14:paraId="416C4A9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7275939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1.299.104 </w:t>
            </w:r>
          </w:p>
        </w:tc>
      </w:tr>
      <w:tr w:rsidR="00CB5FEA" w:rsidRPr="00701F32" w14:paraId="1DC4D570" w14:textId="77777777" w:rsidTr="00B30DEB">
        <w:trPr>
          <w:trHeight w:val="299"/>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0FC28C3F"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358AFA98"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FBC6B6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A71A54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4.881 </w:t>
            </w:r>
          </w:p>
        </w:tc>
        <w:tc>
          <w:tcPr>
            <w:tcW w:w="1025" w:type="dxa"/>
            <w:tcBorders>
              <w:top w:val="nil"/>
              <w:left w:val="nil"/>
              <w:bottom w:val="single" w:sz="4" w:space="0" w:color="auto"/>
              <w:right w:val="single" w:sz="4" w:space="0" w:color="auto"/>
            </w:tcBorders>
            <w:shd w:val="clear" w:color="000000" w:fill="FFFFFF"/>
            <w:noWrap/>
            <w:vAlign w:val="bottom"/>
            <w:hideMark/>
          </w:tcPr>
          <w:p w14:paraId="24DFC5CE"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25.011 </w:t>
            </w:r>
          </w:p>
        </w:tc>
        <w:tc>
          <w:tcPr>
            <w:tcW w:w="967" w:type="dxa"/>
            <w:tcBorders>
              <w:top w:val="nil"/>
              <w:left w:val="nil"/>
              <w:bottom w:val="single" w:sz="4" w:space="0" w:color="auto"/>
              <w:right w:val="single" w:sz="4" w:space="0" w:color="auto"/>
            </w:tcBorders>
            <w:shd w:val="clear" w:color="000000" w:fill="FFFFFF"/>
            <w:noWrap/>
            <w:vAlign w:val="bottom"/>
            <w:hideMark/>
          </w:tcPr>
          <w:p w14:paraId="37B43E3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8C3774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29.892 </w:t>
            </w:r>
          </w:p>
        </w:tc>
      </w:tr>
      <w:tr w:rsidR="00CB5FEA" w:rsidRPr="00701F32" w14:paraId="5A2D5F39" w14:textId="77777777" w:rsidTr="00B30DEB">
        <w:trPr>
          <w:trHeight w:val="239"/>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233CE4F5"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7228587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0D7397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BC4F29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45.919 </w:t>
            </w:r>
          </w:p>
        </w:tc>
        <w:tc>
          <w:tcPr>
            <w:tcW w:w="1025" w:type="dxa"/>
            <w:tcBorders>
              <w:top w:val="nil"/>
              <w:left w:val="nil"/>
              <w:bottom w:val="single" w:sz="4" w:space="0" w:color="auto"/>
              <w:right w:val="single" w:sz="4" w:space="0" w:color="auto"/>
            </w:tcBorders>
            <w:shd w:val="clear" w:color="000000" w:fill="FFFFFF"/>
            <w:noWrap/>
            <w:vAlign w:val="bottom"/>
            <w:hideMark/>
          </w:tcPr>
          <w:p w14:paraId="3D9B223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967" w:type="dxa"/>
            <w:tcBorders>
              <w:top w:val="nil"/>
              <w:left w:val="nil"/>
              <w:bottom w:val="single" w:sz="4" w:space="0" w:color="auto"/>
              <w:right w:val="single" w:sz="4" w:space="0" w:color="auto"/>
            </w:tcBorders>
            <w:shd w:val="clear" w:color="000000" w:fill="FFFFFF"/>
            <w:noWrap/>
            <w:vAlign w:val="bottom"/>
            <w:hideMark/>
          </w:tcPr>
          <w:p w14:paraId="037D250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7303219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45.919 </w:t>
            </w:r>
          </w:p>
        </w:tc>
      </w:tr>
      <w:tr w:rsidR="00CB5FEA" w:rsidRPr="00701F32" w14:paraId="303FA396" w14:textId="77777777" w:rsidTr="00B30DEB">
        <w:trPr>
          <w:trHeight w:val="293"/>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19AAE9CC"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4CD7F3A7"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3AB1E8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6BE876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1.438.112 </w:t>
            </w:r>
          </w:p>
        </w:tc>
        <w:tc>
          <w:tcPr>
            <w:tcW w:w="1025" w:type="dxa"/>
            <w:tcBorders>
              <w:top w:val="nil"/>
              <w:left w:val="nil"/>
              <w:bottom w:val="single" w:sz="4" w:space="0" w:color="auto"/>
              <w:right w:val="single" w:sz="4" w:space="0" w:color="auto"/>
            </w:tcBorders>
            <w:shd w:val="clear" w:color="000000" w:fill="FFFFFF"/>
            <w:noWrap/>
            <w:vAlign w:val="bottom"/>
            <w:hideMark/>
          </w:tcPr>
          <w:p w14:paraId="765DE91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4.345 </w:t>
            </w:r>
          </w:p>
        </w:tc>
        <w:tc>
          <w:tcPr>
            <w:tcW w:w="967" w:type="dxa"/>
            <w:tcBorders>
              <w:top w:val="nil"/>
              <w:left w:val="nil"/>
              <w:bottom w:val="single" w:sz="4" w:space="0" w:color="auto"/>
              <w:right w:val="single" w:sz="4" w:space="0" w:color="auto"/>
            </w:tcBorders>
            <w:shd w:val="clear" w:color="000000" w:fill="FFFFFF"/>
            <w:noWrap/>
            <w:vAlign w:val="bottom"/>
            <w:hideMark/>
          </w:tcPr>
          <w:p w14:paraId="0BC2F8D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-1.420.718 </w:t>
            </w:r>
          </w:p>
        </w:tc>
        <w:tc>
          <w:tcPr>
            <w:tcW w:w="1180" w:type="dxa"/>
            <w:tcBorders>
              <w:top w:val="nil"/>
              <w:left w:val="nil"/>
              <w:bottom w:val="single" w:sz="4" w:space="0" w:color="auto"/>
              <w:right w:val="single" w:sz="4" w:space="0" w:color="auto"/>
            </w:tcBorders>
            <w:shd w:val="clear" w:color="000000" w:fill="FFFFFF"/>
            <w:noWrap/>
            <w:vAlign w:val="bottom"/>
            <w:hideMark/>
          </w:tcPr>
          <w:p w14:paraId="51CFE98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21.739 </w:t>
            </w:r>
          </w:p>
        </w:tc>
      </w:tr>
      <w:tr w:rsidR="00CB5FEA" w:rsidRPr="00701F32" w14:paraId="03BA1EFD"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14737169"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2BD27A4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44AA9571"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5F33F61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1.098.437 </w:t>
            </w:r>
          </w:p>
        </w:tc>
        <w:tc>
          <w:tcPr>
            <w:tcW w:w="1025" w:type="dxa"/>
            <w:tcBorders>
              <w:top w:val="nil"/>
              <w:left w:val="nil"/>
              <w:bottom w:val="single" w:sz="4" w:space="0" w:color="auto"/>
              <w:right w:val="single" w:sz="4" w:space="0" w:color="auto"/>
            </w:tcBorders>
            <w:shd w:val="clear" w:color="000000" w:fill="FFFFFF"/>
            <w:noWrap/>
            <w:vAlign w:val="bottom"/>
            <w:hideMark/>
          </w:tcPr>
          <w:p w14:paraId="67752C6B"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34.656 </w:t>
            </w:r>
          </w:p>
        </w:tc>
        <w:tc>
          <w:tcPr>
            <w:tcW w:w="967" w:type="dxa"/>
            <w:tcBorders>
              <w:top w:val="nil"/>
              <w:left w:val="nil"/>
              <w:bottom w:val="single" w:sz="4" w:space="0" w:color="auto"/>
              <w:right w:val="single" w:sz="4" w:space="0" w:color="auto"/>
            </w:tcBorders>
            <w:shd w:val="clear" w:color="000000" w:fill="FFFFFF"/>
            <w:noWrap/>
            <w:vAlign w:val="bottom"/>
            <w:hideMark/>
          </w:tcPr>
          <w:p w14:paraId="1535F11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516DFE1A"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1.133.093 </w:t>
            </w:r>
          </w:p>
        </w:tc>
      </w:tr>
      <w:tr w:rsidR="00CB5FEA" w:rsidRPr="00701F32" w14:paraId="12EF3466"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164386D6"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379878B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F5AD39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0A738DD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140.149 </w:t>
            </w:r>
          </w:p>
        </w:tc>
        <w:tc>
          <w:tcPr>
            <w:tcW w:w="1025" w:type="dxa"/>
            <w:tcBorders>
              <w:top w:val="nil"/>
              <w:left w:val="nil"/>
              <w:bottom w:val="single" w:sz="4" w:space="0" w:color="auto"/>
              <w:right w:val="single" w:sz="4" w:space="0" w:color="auto"/>
            </w:tcBorders>
            <w:shd w:val="clear" w:color="000000" w:fill="FFFFFF"/>
            <w:noWrap/>
            <w:vAlign w:val="bottom"/>
            <w:hideMark/>
          </w:tcPr>
          <w:p w14:paraId="0E161AA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36.603 </w:t>
            </w:r>
          </w:p>
        </w:tc>
        <w:tc>
          <w:tcPr>
            <w:tcW w:w="967" w:type="dxa"/>
            <w:tcBorders>
              <w:top w:val="nil"/>
              <w:left w:val="nil"/>
              <w:bottom w:val="single" w:sz="4" w:space="0" w:color="auto"/>
              <w:right w:val="single" w:sz="4" w:space="0" w:color="auto"/>
            </w:tcBorders>
            <w:shd w:val="clear" w:color="000000" w:fill="FFFFFF"/>
            <w:noWrap/>
            <w:vAlign w:val="bottom"/>
            <w:hideMark/>
          </w:tcPr>
          <w:p w14:paraId="0109111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53E1A7CD"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176.752 </w:t>
            </w:r>
          </w:p>
        </w:tc>
      </w:tr>
      <w:tr w:rsidR="00CB5FEA" w:rsidRPr="00701F32" w14:paraId="04A19DF1" w14:textId="77777777" w:rsidTr="00B30DEB">
        <w:trPr>
          <w:trHeight w:val="25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7DB9F296"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619C53E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454BEF61"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4.624 </w:t>
            </w:r>
          </w:p>
        </w:tc>
        <w:tc>
          <w:tcPr>
            <w:tcW w:w="1180" w:type="dxa"/>
            <w:tcBorders>
              <w:top w:val="nil"/>
              <w:left w:val="nil"/>
              <w:bottom w:val="single" w:sz="4" w:space="0" w:color="auto"/>
              <w:right w:val="single" w:sz="4" w:space="0" w:color="auto"/>
            </w:tcBorders>
            <w:shd w:val="clear" w:color="000000" w:fill="FFFFFF"/>
            <w:noWrap/>
            <w:vAlign w:val="bottom"/>
            <w:hideMark/>
          </w:tcPr>
          <w:p w14:paraId="0D2B3EFF"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377.744 </w:t>
            </w:r>
          </w:p>
        </w:tc>
        <w:tc>
          <w:tcPr>
            <w:tcW w:w="1025" w:type="dxa"/>
            <w:tcBorders>
              <w:top w:val="nil"/>
              <w:left w:val="nil"/>
              <w:bottom w:val="single" w:sz="4" w:space="0" w:color="auto"/>
              <w:right w:val="single" w:sz="4" w:space="0" w:color="auto"/>
            </w:tcBorders>
            <w:shd w:val="clear" w:color="000000" w:fill="FFFFFF"/>
            <w:noWrap/>
            <w:vAlign w:val="bottom"/>
            <w:hideMark/>
          </w:tcPr>
          <w:p w14:paraId="4F1C7F8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117.167 </w:t>
            </w:r>
          </w:p>
        </w:tc>
        <w:tc>
          <w:tcPr>
            <w:tcW w:w="967" w:type="dxa"/>
            <w:tcBorders>
              <w:top w:val="nil"/>
              <w:left w:val="nil"/>
              <w:bottom w:val="single" w:sz="4" w:space="0" w:color="auto"/>
              <w:right w:val="single" w:sz="4" w:space="0" w:color="auto"/>
            </w:tcBorders>
            <w:shd w:val="clear" w:color="000000" w:fill="FFFFFF"/>
            <w:noWrap/>
            <w:vAlign w:val="bottom"/>
            <w:hideMark/>
          </w:tcPr>
          <w:p w14:paraId="1355FF9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653A321E"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499.535 </w:t>
            </w:r>
          </w:p>
        </w:tc>
      </w:tr>
      <w:tr w:rsidR="00CB5FEA" w:rsidRPr="00701F32" w14:paraId="005C4DE7" w14:textId="77777777" w:rsidTr="00B30DEB">
        <w:trPr>
          <w:trHeight w:val="224"/>
        </w:trPr>
        <w:tc>
          <w:tcPr>
            <w:tcW w:w="4507" w:type="dxa"/>
            <w:tcBorders>
              <w:top w:val="nil"/>
              <w:left w:val="single" w:sz="4" w:space="0" w:color="auto"/>
              <w:bottom w:val="single" w:sz="4" w:space="0" w:color="363639"/>
              <w:right w:val="single" w:sz="4" w:space="0" w:color="363639"/>
            </w:tcBorders>
            <w:shd w:val="clear" w:color="000000" w:fill="FFFFFF"/>
            <w:vAlign w:val="bottom"/>
            <w:hideMark/>
          </w:tcPr>
          <w:p w14:paraId="4734CF63"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14:paraId="5004E29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10.893 </w:t>
            </w:r>
          </w:p>
        </w:tc>
        <w:tc>
          <w:tcPr>
            <w:tcW w:w="1180" w:type="dxa"/>
            <w:tcBorders>
              <w:top w:val="nil"/>
              <w:left w:val="nil"/>
              <w:bottom w:val="single" w:sz="4" w:space="0" w:color="auto"/>
              <w:right w:val="single" w:sz="4" w:space="0" w:color="auto"/>
            </w:tcBorders>
            <w:shd w:val="clear" w:color="000000" w:fill="FFFFFF"/>
            <w:noWrap/>
            <w:vAlign w:val="bottom"/>
            <w:hideMark/>
          </w:tcPr>
          <w:p w14:paraId="66752AE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18.357 </w:t>
            </w:r>
          </w:p>
        </w:tc>
        <w:tc>
          <w:tcPr>
            <w:tcW w:w="1180" w:type="dxa"/>
            <w:tcBorders>
              <w:top w:val="nil"/>
              <w:left w:val="nil"/>
              <w:bottom w:val="single" w:sz="4" w:space="0" w:color="auto"/>
              <w:right w:val="single" w:sz="4" w:space="0" w:color="auto"/>
            </w:tcBorders>
            <w:shd w:val="clear" w:color="000000" w:fill="FFFFFF"/>
            <w:noWrap/>
            <w:vAlign w:val="bottom"/>
            <w:hideMark/>
          </w:tcPr>
          <w:p w14:paraId="37FB78F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592.689 </w:t>
            </w:r>
          </w:p>
        </w:tc>
        <w:tc>
          <w:tcPr>
            <w:tcW w:w="1025" w:type="dxa"/>
            <w:tcBorders>
              <w:top w:val="nil"/>
              <w:left w:val="nil"/>
              <w:bottom w:val="single" w:sz="4" w:space="0" w:color="auto"/>
              <w:right w:val="single" w:sz="4" w:space="0" w:color="auto"/>
            </w:tcBorders>
            <w:shd w:val="clear" w:color="000000" w:fill="FFFFFF"/>
            <w:noWrap/>
            <w:vAlign w:val="bottom"/>
            <w:hideMark/>
          </w:tcPr>
          <w:p w14:paraId="455BA904"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17.327 </w:t>
            </w:r>
          </w:p>
        </w:tc>
        <w:tc>
          <w:tcPr>
            <w:tcW w:w="967" w:type="dxa"/>
            <w:tcBorders>
              <w:top w:val="nil"/>
              <w:left w:val="nil"/>
              <w:bottom w:val="single" w:sz="4" w:space="0" w:color="auto"/>
              <w:right w:val="single" w:sz="4" w:space="0" w:color="auto"/>
            </w:tcBorders>
            <w:shd w:val="clear" w:color="000000" w:fill="FFFFFF"/>
            <w:noWrap/>
            <w:vAlign w:val="bottom"/>
            <w:hideMark/>
          </w:tcPr>
          <w:p w14:paraId="686FD4C5"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5426D00"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639.266 </w:t>
            </w:r>
          </w:p>
        </w:tc>
      </w:tr>
      <w:tr w:rsidR="00CB5FEA" w:rsidRPr="00701F32" w14:paraId="0E35EB97" w14:textId="77777777" w:rsidTr="00B30DEB">
        <w:trPr>
          <w:trHeight w:val="224"/>
        </w:trPr>
        <w:tc>
          <w:tcPr>
            <w:tcW w:w="4507" w:type="dxa"/>
            <w:tcBorders>
              <w:top w:val="single" w:sz="4" w:space="0" w:color="auto"/>
              <w:left w:val="single" w:sz="4" w:space="0" w:color="auto"/>
              <w:bottom w:val="single" w:sz="4" w:space="0" w:color="auto"/>
              <w:right w:val="single" w:sz="4" w:space="0" w:color="363639"/>
            </w:tcBorders>
            <w:shd w:val="clear" w:color="000000" w:fill="FFFFFF"/>
            <w:vAlign w:val="bottom"/>
            <w:hideMark/>
          </w:tcPr>
          <w:p w14:paraId="7D7815AB" w14:textId="77777777" w:rsidR="00CB5FEA" w:rsidRPr="00701F32" w:rsidRDefault="00CB5FEA">
            <w:pPr>
              <w:rPr>
                <w:rFonts w:ascii="Arial" w:hAnsi="Arial" w:cs="Arial"/>
                <w:b/>
                <w:bCs/>
                <w:sz w:val="16"/>
                <w:szCs w:val="16"/>
                <w:lang w:eastAsia="es-AR"/>
              </w:rPr>
            </w:pPr>
            <w:r w:rsidRPr="00701F32">
              <w:rPr>
                <w:rFonts w:ascii="Arial" w:hAnsi="Arial" w:cs="Arial"/>
                <w:b/>
                <w:bCs/>
                <w:sz w:val="16"/>
                <w:szCs w:val="16"/>
                <w:lang w:eastAsia="es-AR"/>
              </w:rPr>
              <w:t>TOTAL ACTIVO</w:t>
            </w:r>
          </w:p>
        </w:tc>
        <w:tc>
          <w:tcPr>
            <w:tcW w:w="10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E4490C"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30.941.808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AD2F1A8"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25.480.251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98D7886"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30.200.277 </w:t>
            </w:r>
          </w:p>
        </w:tc>
        <w:tc>
          <w:tcPr>
            <w:tcW w:w="1025" w:type="dxa"/>
            <w:tcBorders>
              <w:top w:val="single" w:sz="4" w:space="0" w:color="auto"/>
              <w:left w:val="nil"/>
              <w:bottom w:val="single" w:sz="4" w:space="0" w:color="auto"/>
              <w:right w:val="single" w:sz="4" w:space="0" w:color="auto"/>
            </w:tcBorders>
            <w:shd w:val="clear" w:color="000000" w:fill="FFFFFF"/>
            <w:noWrap/>
            <w:vAlign w:val="bottom"/>
            <w:hideMark/>
          </w:tcPr>
          <w:p w14:paraId="235589E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7.948.135 </w:t>
            </w:r>
          </w:p>
        </w:tc>
        <w:tc>
          <w:tcPr>
            <w:tcW w:w="967" w:type="dxa"/>
            <w:tcBorders>
              <w:top w:val="single" w:sz="4" w:space="0" w:color="auto"/>
              <w:left w:val="nil"/>
              <w:bottom w:val="single" w:sz="4" w:space="0" w:color="auto"/>
              <w:right w:val="single" w:sz="4" w:space="0" w:color="auto"/>
            </w:tcBorders>
            <w:shd w:val="clear" w:color="000000" w:fill="FFFFFF"/>
            <w:noWrap/>
            <w:vAlign w:val="bottom"/>
            <w:hideMark/>
          </w:tcPr>
          <w:p w14:paraId="23976C29"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-3.804.714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31D1832" w14:textId="77777777" w:rsidR="00CB5FEA" w:rsidRPr="00701F32" w:rsidRDefault="00CB5FEA">
            <w:pPr>
              <w:jc w:val="right"/>
              <w:rPr>
                <w:rFonts w:ascii="Arial" w:hAnsi="Arial" w:cs="Arial"/>
                <w:b/>
                <w:bCs/>
                <w:sz w:val="16"/>
                <w:szCs w:val="16"/>
                <w:lang w:eastAsia="es-AR"/>
              </w:rPr>
            </w:pPr>
            <w:r w:rsidRPr="00701F32">
              <w:rPr>
                <w:rFonts w:ascii="Arial" w:hAnsi="Arial" w:cs="Arial"/>
                <w:b/>
                <w:bCs/>
                <w:sz w:val="16"/>
                <w:szCs w:val="16"/>
                <w:lang w:eastAsia="es-AR"/>
              </w:rPr>
              <w:t xml:space="preserve"> 90.765.757 </w:t>
            </w:r>
          </w:p>
        </w:tc>
      </w:tr>
      <w:tr w:rsidR="00974ABE" w:rsidRPr="00701F32" w14:paraId="1F25FC42" w14:textId="77777777" w:rsidTr="00B30DEB">
        <w:trPr>
          <w:trHeight w:val="224"/>
        </w:trPr>
        <w:tc>
          <w:tcPr>
            <w:tcW w:w="4507" w:type="dxa"/>
            <w:tcBorders>
              <w:top w:val="nil"/>
              <w:left w:val="nil"/>
              <w:bottom w:val="nil"/>
              <w:right w:val="nil"/>
            </w:tcBorders>
            <w:shd w:val="clear" w:color="000000" w:fill="FFFFFF"/>
            <w:vAlign w:val="center"/>
            <w:hideMark/>
          </w:tcPr>
          <w:p w14:paraId="459BC6E4" w14:textId="77777777" w:rsidR="00974ABE" w:rsidRPr="00701F32" w:rsidRDefault="00974ABE" w:rsidP="00974ABE">
            <w:pPr>
              <w:rPr>
                <w:rFonts w:ascii="Arial" w:hAnsi="Arial" w:cs="Arial"/>
                <w:b/>
                <w:bCs/>
                <w:sz w:val="16"/>
                <w:szCs w:val="16"/>
                <w:lang w:eastAsia="es-AR"/>
              </w:rPr>
            </w:pPr>
            <w:r w:rsidRPr="00701F32">
              <w:rPr>
                <w:rFonts w:ascii="Arial" w:hAnsi="Arial" w:cs="Arial"/>
                <w:b/>
                <w:bCs/>
                <w:sz w:val="16"/>
                <w:szCs w:val="16"/>
                <w:lang w:eastAsia="es-AR"/>
              </w:rPr>
              <w:t> </w:t>
            </w:r>
          </w:p>
          <w:p w14:paraId="09022247" w14:textId="77777777" w:rsidR="00F9498A" w:rsidRDefault="00F9498A">
            <w:pPr>
              <w:rPr>
                <w:rFonts w:ascii="Arial" w:hAnsi="Arial" w:cs="Arial"/>
                <w:b/>
                <w:bCs/>
                <w:sz w:val="16"/>
                <w:szCs w:val="16"/>
                <w:lang w:eastAsia="es-AR"/>
              </w:rPr>
            </w:pPr>
          </w:p>
          <w:p w14:paraId="7CEB71F8" w14:textId="77777777" w:rsidR="004437AA" w:rsidRDefault="004437AA">
            <w:pPr>
              <w:rPr>
                <w:rFonts w:ascii="Arial" w:hAnsi="Arial" w:cs="Arial"/>
                <w:b/>
                <w:bCs/>
                <w:sz w:val="16"/>
                <w:szCs w:val="16"/>
                <w:lang w:eastAsia="es-AR"/>
              </w:rPr>
            </w:pPr>
          </w:p>
          <w:p w14:paraId="188FCAFE" w14:textId="77777777" w:rsidR="004437AA" w:rsidRDefault="004437AA">
            <w:pPr>
              <w:rPr>
                <w:rFonts w:ascii="Arial" w:hAnsi="Arial" w:cs="Arial"/>
                <w:b/>
                <w:bCs/>
                <w:sz w:val="16"/>
                <w:szCs w:val="16"/>
                <w:lang w:eastAsia="es-AR"/>
              </w:rPr>
            </w:pPr>
          </w:p>
          <w:p w14:paraId="60BB22A6" w14:textId="77777777" w:rsidR="004437AA" w:rsidRDefault="004437AA">
            <w:pPr>
              <w:rPr>
                <w:rFonts w:ascii="Arial" w:hAnsi="Arial" w:cs="Arial"/>
                <w:b/>
                <w:bCs/>
                <w:sz w:val="16"/>
                <w:szCs w:val="16"/>
                <w:lang w:eastAsia="es-AR"/>
              </w:rPr>
            </w:pPr>
          </w:p>
          <w:p w14:paraId="2DA71C7C" w14:textId="77777777" w:rsidR="004437AA" w:rsidRDefault="004437AA">
            <w:pPr>
              <w:rPr>
                <w:rFonts w:ascii="Arial" w:hAnsi="Arial" w:cs="Arial"/>
                <w:b/>
                <w:bCs/>
                <w:sz w:val="16"/>
                <w:szCs w:val="16"/>
                <w:lang w:eastAsia="es-AR"/>
              </w:rPr>
            </w:pPr>
          </w:p>
          <w:p w14:paraId="6A217C40" w14:textId="50281B2B" w:rsidR="004437AA" w:rsidRPr="00701F32" w:rsidRDefault="004437AA">
            <w:pPr>
              <w:rPr>
                <w:rFonts w:ascii="Arial" w:hAnsi="Arial" w:cs="Arial"/>
                <w:b/>
                <w:bCs/>
                <w:sz w:val="16"/>
                <w:szCs w:val="16"/>
                <w:lang w:eastAsia="es-AR"/>
              </w:rPr>
            </w:pPr>
          </w:p>
        </w:tc>
        <w:tc>
          <w:tcPr>
            <w:tcW w:w="1064" w:type="dxa"/>
            <w:tcBorders>
              <w:top w:val="nil"/>
              <w:left w:val="nil"/>
              <w:bottom w:val="nil"/>
              <w:right w:val="nil"/>
            </w:tcBorders>
            <w:shd w:val="clear" w:color="000000" w:fill="FFFFFF"/>
            <w:noWrap/>
            <w:vAlign w:val="center"/>
            <w:hideMark/>
          </w:tcPr>
          <w:p w14:paraId="21A8A255"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1180" w:type="dxa"/>
            <w:tcBorders>
              <w:top w:val="nil"/>
              <w:left w:val="nil"/>
              <w:bottom w:val="nil"/>
              <w:right w:val="nil"/>
            </w:tcBorders>
            <w:shd w:val="clear" w:color="000000" w:fill="FFFFFF"/>
            <w:noWrap/>
            <w:vAlign w:val="center"/>
            <w:hideMark/>
          </w:tcPr>
          <w:p w14:paraId="5D684CC0"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1180" w:type="dxa"/>
            <w:tcBorders>
              <w:top w:val="nil"/>
              <w:left w:val="nil"/>
              <w:bottom w:val="nil"/>
              <w:right w:val="nil"/>
            </w:tcBorders>
            <w:shd w:val="clear" w:color="000000" w:fill="FFFFFF"/>
            <w:noWrap/>
            <w:vAlign w:val="center"/>
            <w:hideMark/>
          </w:tcPr>
          <w:p w14:paraId="05555299"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1025" w:type="dxa"/>
            <w:tcBorders>
              <w:top w:val="nil"/>
              <w:left w:val="nil"/>
              <w:bottom w:val="nil"/>
              <w:right w:val="nil"/>
            </w:tcBorders>
            <w:shd w:val="clear" w:color="000000" w:fill="FFFFFF"/>
            <w:noWrap/>
            <w:vAlign w:val="center"/>
            <w:hideMark/>
          </w:tcPr>
          <w:p w14:paraId="354E59D3"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967" w:type="dxa"/>
            <w:tcBorders>
              <w:top w:val="nil"/>
              <w:left w:val="nil"/>
              <w:bottom w:val="nil"/>
              <w:right w:val="nil"/>
            </w:tcBorders>
            <w:shd w:val="clear" w:color="000000" w:fill="FFFFFF"/>
            <w:noWrap/>
            <w:vAlign w:val="center"/>
            <w:hideMark/>
          </w:tcPr>
          <w:p w14:paraId="19D8CDDE"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1180" w:type="dxa"/>
            <w:tcBorders>
              <w:top w:val="nil"/>
              <w:left w:val="nil"/>
              <w:bottom w:val="nil"/>
              <w:right w:val="nil"/>
            </w:tcBorders>
            <w:shd w:val="clear" w:color="000000" w:fill="FFFFFF"/>
            <w:noWrap/>
            <w:vAlign w:val="center"/>
            <w:hideMark/>
          </w:tcPr>
          <w:p w14:paraId="2D5E8BCD" w14:textId="77777777" w:rsidR="00974ABE" w:rsidRPr="00701F32" w:rsidRDefault="00974ABE" w:rsidP="00974ABE">
            <w:pPr>
              <w:jc w:val="right"/>
              <w:rPr>
                <w:rFonts w:ascii="Arial" w:hAnsi="Arial" w:cs="Arial"/>
                <w:b/>
                <w:bCs/>
                <w:sz w:val="16"/>
                <w:szCs w:val="16"/>
                <w:lang w:eastAsia="es-AR"/>
              </w:rPr>
            </w:pPr>
            <w:r w:rsidRPr="00701F32">
              <w:rPr>
                <w:rFonts w:ascii="Arial" w:hAnsi="Arial" w:cs="Arial"/>
                <w:b/>
                <w:bCs/>
                <w:sz w:val="16"/>
                <w:szCs w:val="16"/>
                <w:lang w:eastAsia="es-AR"/>
              </w:rPr>
              <w:t> </w:t>
            </w:r>
          </w:p>
        </w:tc>
      </w:tr>
      <w:tr w:rsidR="00974ABE" w:rsidRPr="00701F32" w14:paraId="08B55471" w14:textId="77777777" w:rsidTr="00B30DEB">
        <w:trPr>
          <w:trHeight w:val="449"/>
        </w:trPr>
        <w:tc>
          <w:tcPr>
            <w:tcW w:w="45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B4014" w14:textId="77777777" w:rsidR="00FD6B54" w:rsidRPr="00701F32" w:rsidRDefault="00974ABE">
            <w:pPr>
              <w:rPr>
                <w:rFonts w:ascii="Arial" w:hAnsi="Arial" w:cs="Arial"/>
                <w:b/>
                <w:bCs/>
                <w:sz w:val="16"/>
                <w:szCs w:val="16"/>
                <w:lang w:eastAsia="es-AR"/>
              </w:rPr>
            </w:pPr>
            <w:r w:rsidRPr="00701F32">
              <w:rPr>
                <w:rFonts w:ascii="Arial" w:hAnsi="Arial" w:cs="Arial"/>
                <w:b/>
                <w:bCs/>
                <w:sz w:val="16"/>
                <w:szCs w:val="16"/>
                <w:lang w:eastAsia="es-AR"/>
              </w:rPr>
              <w:t>PASIVO</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54E5F969"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59E0930"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AD33A52"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44714B5B"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Consumo </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4964CDBB"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Ajustes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B355973" w14:textId="77777777" w:rsidR="00974ABE" w:rsidRPr="00701F32" w:rsidRDefault="00974ABE" w:rsidP="00974ABE">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CB5FEA" w:rsidRPr="00701F32" w14:paraId="050E89EC"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2F75275A"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064" w:type="dxa"/>
            <w:tcBorders>
              <w:top w:val="nil"/>
              <w:left w:val="nil"/>
              <w:bottom w:val="single" w:sz="4" w:space="0" w:color="auto"/>
              <w:right w:val="single" w:sz="4" w:space="0" w:color="auto"/>
            </w:tcBorders>
            <w:shd w:val="clear" w:color="auto" w:fill="auto"/>
            <w:noWrap/>
            <w:vAlign w:val="bottom"/>
            <w:hideMark/>
          </w:tcPr>
          <w:p w14:paraId="3C73794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-4.615.245</w:t>
            </w:r>
          </w:p>
        </w:tc>
        <w:tc>
          <w:tcPr>
            <w:tcW w:w="1180" w:type="dxa"/>
            <w:tcBorders>
              <w:top w:val="nil"/>
              <w:left w:val="nil"/>
              <w:bottom w:val="single" w:sz="4" w:space="0" w:color="auto"/>
              <w:right w:val="single" w:sz="4" w:space="0" w:color="auto"/>
            </w:tcBorders>
            <w:shd w:val="clear" w:color="auto" w:fill="auto"/>
            <w:noWrap/>
            <w:vAlign w:val="bottom"/>
            <w:hideMark/>
          </w:tcPr>
          <w:p w14:paraId="350104A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-35.239.873</w:t>
            </w:r>
          </w:p>
        </w:tc>
        <w:tc>
          <w:tcPr>
            <w:tcW w:w="1180" w:type="dxa"/>
            <w:tcBorders>
              <w:top w:val="nil"/>
              <w:left w:val="nil"/>
              <w:bottom w:val="single" w:sz="4" w:space="0" w:color="auto"/>
              <w:right w:val="single" w:sz="4" w:space="0" w:color="auto"/>
            </w:tcBorders>
            <w:shd w:val="clear" w:color="auto" w:fill="auto"/>
            <w:noWrap/>
            <w:vAlign w:val="bottom"/>
            <w:hideMark/>
          </w:tcPr>
          <w:p w14:paraId="031CE679"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-16.026.236</w:t>
            </w:r>
          </w:p>
        </w:tc>
        <w:tc>
          <w:tcPr>
            <w:tcW w:w="1025" w:type="dxa"/>
            <w:tcBorders>
              <w:top w:val="nil"/>
              <w:left w:val="nil"/>
              <w:bottom w:val="single" w:sz="4" w:space="0" w:color="auto"/>
              <w:right w:val="single" w:sz="4" w:space="0" w:color="auto"/>
            </w:tcBorders>
            <w:shd w:val="clear" w:color="auto" w:fill="auto"/>
            <w:noWrap/>
            <w:vAlign w:val="bottom"/>
            <w:hideMark/>
          </w:tcPr>
          <w:p w14:paraId="06C254F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-704.820</w:t>
            </w:r>
          </w:p>
        </w:tc>
        <w:tc>
          <w:tcPr>
            <w:tcW w:w="967" w:type="dxa"/>
            <w:tcBorders>
              <w:top w:val="nil"/>
              <w:left w:val="nil"/>
              <w:bottom w:val="single" w:sz="4" w:space="0" w:color="auto"/>
              <w:right w:val="single" w:sz="4" w:space="0" w:color="auto"/>
            </w:tcBorders>
            <w:shd w:val="clear" w:color="auto" w:fill="auto"/>
            <w:noWrap/>
            <w:vAlign w:val="bottom"/>
            <w:hideMark/>
          </w:tcPr>
          <w:p w14:paraId="6842A3F5"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9.996</w:t>
            </w:r>
          </w:p>
        </w:tc>
        <w:tc>
          <w:tcPr>
            <w:tcW w:w="1180" w:type="dxa"/>
            <w:tcBorders>
              <w:top w:val="nil"/>
              <w:left w:val="nil"/>
              <w:bottom w:val="single" w:sz="4" w:space="0" w:color="auto"/>
              <w:right w:val="single" w:sz="4" w:space="0" w:color="auto"/>
            </w:tcBorders>
            <w:shd w:val="clear" w:color="auto" w:fill="auto"/>
            <w:noWrap/>
            <w:vAlign w:val="bottom"/>
            <w:hideMark/>
          </w:tcPr>
          <w:p w14:paraId="5F98D41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-56.576.178</w:t>
            </w:r>
          </w:p>
        </w:tc>
      </w:tr>
      <w:tr w:rsidR="00CB5FEA" w:rsidRPr="00701F32" w14:paraId="3DD8D761"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19CDE25A" w14:textId="77777777" w:rsidR="00CB5FEA" w:rsidRPr="00701F32" w:rsidRDefault="00CB5FEA" w:rsidP="00CB5FEA">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público no financiero</w:t>
            </w:r>
          </w:p>
        </w:tc>
        <w:tc>
          <w:tcPr>
            <w:tcW w:w="1064" w:type="dxa"/>
            <w:tcBorders>
              <w:top w:val="nil"/>
              <w:left w:val="nil"/>
              <w:bottom w:val="single" w:sz="4" w:space="0" w:color="auto"/>
              <w:right w:val="single" w:sz="4" w:space="0" w:color="auto"/>
            </w:tcBorders>
            <w:shd w:val="clear" w:color="auto" w:fill="auto"/>
            <w:noWrap/>
            <w:vAlign w:val="bottom"/>
            <w:hideMark/>
          </w:tcPr>
          <w:p w14:paraId="0A715258"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-1.245</w:t>
            </w:r>
          </w:p>
        </w:tc>
        <w:tc>
          <w:tcPr>
            <w:tcW w:w="1180" w:type="dxa"/>
            <w:tcBorders>
              <w:top w:val="nil"/>
              <w:left w:val="nil"/>
              <w:bottom w:val="single" w:sz="4" w:space="0" w:color="auto"/>
              <w:right w:val="single" w:sz="4" w:space="0" w:color="auto"/>
            </w:tcBorders>
            <w:shd w:val="clear" w:color="auto" w:fill="auto"/>
            <w:noWrap/>
            <w:vAlign w:val="bottom"/>
            <w:hideMark/>
          </w:tcPr>
          <w:p w14:paraId="38709D8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-1.116.467</w:t>
            </w:r>
          </w:p>
        </w:tc>
        <w:tc>
          <w:tcPr>
            <w:tcW w:w="1180" w:type="dxa"/>
            <w:tcBorders>
              <w:top w:val="nil"/>
              <w:left w:val="nil"/>
              <w:bottom w:val="single" w:sz="4" w:space="0" w:color="auto"/>
              <w:right w:val="single" w:sz="4" w:space="0" w:color="auto"/>
            </w:tcBorders>
            <w:shd w:val="clear" w:color="auto" w:fill="auto"/>
            <w:noWrap/>
            <w:vAlign w:val="bottom"/>
            <w:hideMark/>
          </w:tcPr>
          <w:p w14:paraId="53595B81"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-5.053.949</w:t>
            </w:r>
          </w:p>
        </w:tc>
        <w:tc>
          <w:tcPr>
            <w:tcW w:w="1025" w:type="dxa"/>
            <w:tcBorders>
              <w:top w:val="nil"/>
              <w:left w:val="nil"/>
              <w:bottom w:val="single" w:sz="4" w:space="0" w:color="auto"/>
              <w:right w:val="single" w:sz="4" w:space="0" w:color="auto"/>
            </w:tcBorders>
            <w:shd w:val="clear" w:color="auto" w:fill="auto"/>
            <w:noWrap/>
            <w:vAlign w:val="bottom"/>
            <w:hideMark/>
          </w:tcPr>
          <w:p w14:paraId="26183490"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967" w:type="dxa"/>
            <w:tcBorders>
              <w:top w:val="nil"/>
              <w:left w:val="nil"/>
              <w:bottom w:val="single" w:sz="4" w:space="0" w:color="auto"/>
              <w:right w:val="single" w:sz="4" w:space="0" w:color="auto"/>
            </w:tcBorders>
            <w:shd w:val="clear" w:color="auto" w:fill="auto"/>
            <w:noWrap/>
            <w:vAlign w:val="bottom"/>
            <w:hideMark/>
          </w:tcPr>
          <w:p w14:paraId="09A543D8"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24286C8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-6.171.661</w:t>
            </w:r>
          </w:p>
        </w:tc>
      </w:tr>
      <w:tr w:rsidR="00CB5FEA" w:rsidRPr="00701F32" w14:paraId="2DE3F9CF"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42CB77A2" w14:textId="77777777" w:rsidR="00CB5FEA" w:rsidRPr="00701F32" w:rsidRDefault="00CB5FEA" w:rsidP="00CB5FEA">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financiero</w:t>
            </w:r>
          </w:p>
        </w:tc>
        <w:tc>
          <w:tcPr>
            <w:tcW w:w="1064" w:type="dxa"/>
            <w:tcBorders>
              <w:top w:val="nil"/>
              <w:left w:val="nil"/>
              <w:bottom w:val="single" w:sz="4" w:space="0" w:color="auto"/>
              <w:right w:val="single" w:sz="4" w:space="0" w:color="auto"/>
            </w:tcBorders>
            <w:shd w:val="clear" w:color="auto" w:fill="auto"/>
            <w:noWrap/>
            <w:vAlign w:val="bottom"/>
            <w:hideMark/>
          </w:tcPr>
          <w:p w14:paraId="12B96210"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-20.038</w:t>
            </w:r>
          </w:p>
        </w:tc>
        <w:tc>
          <w:tcPr>
            <w:tcW w:w="1180" w:type="dxa"/>
            <w:tcBorders>
              <w:top w:val="nil"/>
              <w:left w:val="nil"/>
              <w:bottom w:val="single" w:sz="4" w:space="0" w:color="auto"/>
              <w:right w:val="single" w:sz="4" w:space="0" w:color="auto"/>
            </w:tcBorders>
            <w:shd w:val="clear" w:color="auto" w:fill="auto"/>
            <w:noWrap/>
            <w:vAlign w:val="bottom"/>
            <w:hideMark/>
          </w:tcPr>
          <w:p w14:paraId="6CF3BBF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-49</w:t>
            </w:r>
          </w:p>
        </w:tc>
        <w:tc>
          <w:tcPr>
            <w:tcW w:w="1180" w:type="dxa"/>
            <w:tcBorders>
              <w:top w:val="nil"/>
              <w:left w:val="nil"/>
              <w:bottom w:val="single" w:sz="4" w:space="0" w:color="auto"/>
              <w:right w:val="single" w:sz="4" w:space="0" w:color="auto"/>
            </w:tcBorders>
            <w:shd w:val="clear" w:color="auto" w:fill="auto"/>
            <w:noWrap/>
            <w:vAlign w:val="bottom"/>
            <w:hideMark/>
          </w:tcPr>
          <w:p w14:paraId="5D7F608D"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-10</w:t>
            </w:r>
          </w:p>
        </w:tc>
        <w:tc>
          <w:tcPr>
            <w:tcW w:w="1025" w:type="dxa"/>
            <w:tcBorders>
              <w:top w:val="nil"/>
              <w:left w:val="nil"/>
              <w:bottom w:val="single" w:sz="4" w:space="0" w:color="auto"/>
              <w:right w:val="single" w:sz="4" w:space="0" w:color="auto"/>
            </w:tcBorders>
            <w:shd w:val="clear" w:color="auto" w:fill="auto"/>
            <w:noWrap/>
            <w:vAlign w:val="bottom"/>
            <w:hideMark/>
          </w:tcPr>
          <w:p w14:paraId="7AA7EF70"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967" w:type="dxa"/>
            <w:tcBorders>
              <w:top w:val="nil"/>
              <w:left w:val="nil"/>
              <w:bottom w:val="single" w:sz="4" w:space="0" w:color="auto"/>
              <w:right w:val="single" w:sz="4" w:space="0" w:color="auto"/>
            </w:tcBorders>
            <w:shd w:val="clear" w:color="auto" w:fill="auto"/>
            <w:noWrap/>
            <w:vAlign w:val="bottom"/>
            <w:hideMark/>
          </w:tcPr>
          <w:p w14:paraId="1799A34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4.395</w:t>
            </w:r>
          </w:p>
        </w:tc>
        <w:tc>
          <w:tcPr>
            <w:tcW w:w="1180" w:type="dxa"/>
            <w:tcBorders>
              <w:top w:val="nil"/>
              <w:left w:val="nil"/>
              <w:bottom w:val="single" w:sz="4" w:space="0" w:color="auto"/>
              <w:right w:val="single" w:sz="4" w:space="0" w:color="auto"/>
            </w:tcBorders>
            <w:shd w:val="clear" w:color="auto" w:fill="auto"/>
            <w:noWrap/>
            <w:vAlign w:val="bottom"/>
            <w:hideMark/>
          </w:tcPr>
          <w:p w14:paraId="7C1ADED8"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-15.702</w:t>
            </w:r>
          </w:p>
        </w:tc>
      </w:tr>
      <w:tr w:rsidR="00CB5FEA" w:rsidRPr="00701F32" w14:paraId="6BB005C1"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noWrap/>
            <w:hideMark/>
          </w:tcPr>
          <w:p w14:paraId="1DF33F10" w14:textId="77777777" w:rsidR="00CB5FEA" w:rsidRPr="00701F32" w:rsidRDefault="00CB5FEA" w:rsidP="00CB5FEA">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privado no financiero y residentes en el exterior</w:t>
            </w:r>
          </w:p>
        </w:tc>
        <w:tc>
          <w:tcPr>
            <w:tcW w:w="1064" w:type="dxa"/>
            <w:tcBorders>
              <w:top w:val="nil"/>
              <w:left w:val="nil"/>
              <w:bottom w:val="single" w:sz="4" w:space="0" w:color="auto"/>
              <w:right w:val="single" w:sz="4" w:space="0" w:color="auto"/>
            </w:tcBorders>
            <w:shd w:val="clear" w:color="auto" w:fill="auto"/>
            <w:noWrap/>
            <w:vAlign w:val="bottom"/>
            <w:hideMark/>
          </w:tcPr>
          <w:p w14:paraId="17C6F985"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-4.593.962</w:t>
            </w:r>
          </w:p>
        </w:tc>
        <w:tc>
          <w:tcPr>
            <w:tcW w:w="1180" w:type="dxa"/>
            <w:tcBorders>
              <w:top w:val="nil"/>
              <w:left w:val="nil"/>
              <w:bottom w:val="single" w:sz="4" w:space="0" w:color="auto"/>
              <w:right w:val="single" w:sz="4" w:space="0" w:color="auto"/>
            </w:tcBorders>
            <w:shd w:val="clear" w:color="auto" w:fill="auto"/>
            <w:noWrap/>
            <w:vAlign w:val="bottom"/>
            <w:hideMark/>
          </w:tcPr>
          <w:p w14:paraId="475F1957"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-34.123.357</w:t>
            </w:r>
          </w:p>
        </w:tc>
        <w:tc>
          <w:tcPr>
            <w:tcW w:w="1180" w:type="dxa"/>
            <w:tcBorders>
              <w:top w:val="nil"/>
              <w:left w:val="nil"/>
              <w:bottom w:val="single" w:sz="4" w:space="0" w:color="auto"/>
              <w:right w:val="single" w:sz="4" w:space="0" w:color="auto"/>
            </w:tcBorders>
            <w:shd w:val="clear" w:color="auto" w:fill="auto"/>
            <w:noWrap/>
            <w:vAlign w:val="bottom"/>
            <w:hideMark/>
          </w:tcPr>
          <w:p w14:paraId="265BF70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-10.972.277</w:t>
            </w:r>
          </w:p>
        </w:tc>
        <w:tc>
          <w:tcPr>
            <w:tcW w:w="1025" w:type="dxa"/>
            <w:tcBorders>
              <w:top w:val="nil"/>
              <w:left w:val="nil"/>
              <w:bottom w:val="single" w:sz="4" w:space="0" w:color="auto"/>
              <w:right w:val="single" w:sz="4" w:space="0" w:color="auto"/>
            </w:tcBorders>
            <w:shd w:val="clear" w:color="auto" w:fill="auto"/>
            <w:noWrap/>
            <w:vAlign w:val="bottom"/>
            <w:hideMark/>
          </w:tcPr>
          <w:p w14:paraId="3120618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-704.820</w:t>
            </w:r>
          </w:p>
        </w:tc>
        <w:tc>
          <w:tcPr>
            <w:tcW w:w="967" w:type="dxa"/>
            <w:tcBorders>
              <w:top w:val="nil"/>
              <w:left w:val="nil"/>
              <w:bottom w:val="single" w:sz="4" w:space="0" w:color="auto"/>
              <w:right w:val="single" w:sz="4" w:space="0" w:color="auto"/>
            </w:tcBorders>
            <w:shd w:val="clear" w:color="auto" w:fill="auto"/>
            <w:noWrap/>
            <w:vAlign w:val="bottom"/>
            <w:hideMark/>
          </w:tcPr>
          <w:p w14:paraId="424AEC7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5.601</w:t>
            </w:r>
          </w:p>
        </w:tc>
        <w:tc>
          <w:tcPr>
            <w:tcW w:w="1180" w:type="dxa"/>
            <w:tcBorders>
              <w:top w:val="nil"/>
              <w:left w:val="nil"/>
              <w:bottom w:val="single" w:sz="4" w:space="0" w:color="auto"/>
              <w:right w:val="single" w:sz="4" w:space="0" w:color="auto"/>
            </w:tcBorders>
            <w:shd w:val="clear" w:color="auto" w:fill="auto"/>
            <w:noWrap/>
            <w:vAlign w:val="bottom"/>
            <w:hideMark/>
          </w:tcPr>
          <w:p w14:paraId="4F5E31F9"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-50.388.815</w:t>
            </w:r>
          </w:p>
        </w:tc>
      </w:tr>
      <w:tr w:rsidR="00CB5FEA" w:rsidRPr="00701F32" w14:paraId="10B5ECE1"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noWrap/>
            <w:hideMark/>
          </w:tcPr>
          <w:p w14:paraId="5AD9B752"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Pasivos a valor razonable con cambios en resultados</w:t>
            </w:r>
          </w:p>
        </w:tc>
        <w:tc>
          <w:tcPr>
            <w:tcW w:w="1064" w:type="dxa"/>
            <w:tcBorders>
              <w:top w:val="nil"/>
              <w:left w:val="nil"/>
              <w:bottom w:val="single" w:sz="4" w:space="0" w:color="auto"/>
              <w:right w:val="single" w:sz="4" w:space="0" w:color="auto"/>
            </w:tcBorders>
            <w:shd w:val="clear" w:color="auto" w:fill="auto"/>
            <w:noWrap/>
            <w:vAlign w:val="bottom"/>
            <w:hideMark/>
          </w:tcPr>
          <w:p w14:paraId="6D5AA884"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49FFC717"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74859000"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-4.176.040</w:t>
            </w:r>
          </w:p>
        </w:tc>
        <w:tc>
          <w:tcPr>
            <w:tcW w:w="1025" w:type="dxa"/>
            <w:tcBorders>
              <w:top w:val="nil"/>
              <w:left w:val="nil"/>
              <w:bottom w:val="single" w:sz="4" w:space="0" w:color="auto"/>
              <w:right w:val="single" w:sz="4" w:space="0" w:color="auto"/>
            </w:tcBorders>
            <w:shd w:val="clear" w:color="auto" w:fill="auto"/>
            <w:noWrap/>
            <w:vAlign w:val="bottom"/>
            <w:hideMark/>
          </w:tcPr>
          <w:p w14:paraId="42F23740"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-1.800.294</w:t>
            </w:r>
          </w:p>
        </w:tc>
        <w:tc>
          <w:tcPr>
            <w:tcW w:w="967" w:type="dxa"/>
            <w:tcBorders>
              <w:top w:val="nil"/>
              <w:left w:val="nil"/>
              <w:bottom w:val="single" w:sz="4" w:space="0" w:color="auto"/>
              <w:right w:val="single" w:sz="4" w:space="0" w:color="auto"/>
            </w:tcBorders>
            <w:shd w:val="clear" w:color="auto" w:fill="auto"/>
            <w:noWrap/>
            <w:vAlign w:val="bottom"/>
            <w:hideMark/>
          </w:tcPr>
          <w:p w14:paraId="613E77C7"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1.800.294</w:t>
            </w:r>
          </w:p>
        </w:tc>
        <w:tc>
          <w:tcPr>
            <w:tcW w:w="1180" w:type="dxa"/>
            <w:tcBorders>
              <w:top w:val="nil"/>
              <w:left w:val="nil"/>
              <w:bottom w:val="single" w:sz="4" w:space="0" w:color="auto"/>
              <w:right w:val="single" w:sz="4" w:space="0" w:color="auto"/>
            </w:tcBorders>
            <w:shd w:val="clear" w:color="auto" w:fill="auto"/>
            <w:noWrap/>
            <w:vAlign w:val="bottom"/>
            <w:hideMark/>
          </w:tcPr>
          <w:p w14:paraId="3485EBD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-4.176.040</w:t>
            </w:r>
          </w:p>
        </w:tc>
      </w:tr>
      <w:tr w:rsidR="00CB5FEA" w:rsidRPr="00701F32" w14:paraId="01C9B262"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2E4D2FAF"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Instrumentos derivados</w:t>
            </w:r>
          </w:p>
        </w:tc>
        <w:tc>
          <w:tcPr>
            <w:tcW w:w="1064" w:type="dxa"/>
            <w:tcBorders>
              <w:top w:val="nil"/>
              <w:left w:val="nil"/>
              <w:bottom w:val="single" w:sz="4" w:space="0" w:color="auto"/>
              <w:right w:val="single" w:sz="4" w:space="0" w:color="auto"/>
            </w:tcBorders>
            <w:shd w:val="clear" w:color="auto" w:fill="auto"/>
            <w:noWrap/>
            <w:vAlign w:val="bottom"/>
            <w:hideMark/>
          </w:tcPr>
          <w:p w14:paraId="622B0C09"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2879AFB4"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5F565E96"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025" w:type="dxa"/>
            <w:tcBorders>
              <w:top w:val="nil"/>
              <w:left w:val="nil"/>
              <w:bottom w:val="single" w:sz="4" w:space="0" w:color="auto"/>
              <w:right w:val="single" w:sz="4" w:space="0" w:color="auto"/>
            </w:tcBorders>
            <w:shd w:val="clear" w:color="auto" w:fill="auto"/>
            <w:noWrap/>
            <w:vAlign w:val="bottom"/>
            <w:hideMark/>
          </w:tcPr>
          <w:p w14:paraId="0F77844D"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967" w:type="dxa"/>
            <w:tcBorders>
              <w:top w:val="nil"/>
              <w:left w:val="nil"/>
              <w:bottom w:val="single" w:sz="4" w:space="0" w:color="auto"/>
              <w:right w:val="single" w:sz="4" w:space="0" w:color="auto"/>
            </w:tcBorders>
            <w:shd w:val="clear" w:color="auto" w:fill="auto"/>
            <w:noWrap/>
            <w:vAlign w:val="bottom"/>
            <w:hideMark/>
          </w:tcPr>
          <w:p w14:paraId="771B2F59"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68F45E11"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r>
      <w:tr w:rsidR="00CB5FEA" w:rsidRPr="00701F32" w14:paraId="51C107B4"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31CD04E9"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Operaciones de pase</w:t>
            </w:r>
          </w:p>
        </w:tc>
        <w:tc>
          <w:tcPr>
            <w:tcW w:w="1064" w:type="dxa"/>
            <w:tcBorders>
              <w:top w:val="nil"/>
              <w:left w:val="nil"/>
              <w:bottom w:val="single" w:sz="4" w:space="0" w:color="auto"/>
              <w:right w:val="single" w:sz="4" w:space="0" w:color="auto"/>
            </w:tcBorders>
            <w:shd w:val="clear" w:color="auto" w:fill="auto"/>
            <w:noWrap/>
            <w:vAlign w:val="bottom"/>
            <w:hideMark/>
          </w:tcPr>
          <w:p w14:paraId="2142380A"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046C9680"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54D66F2F"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025" w:type="dxa"/>
            <w:tcBorders>
              <w:top w:val="nil"/>
              <w:left w:val="nil"/>
              <w:bottom w:val="single" w:sz="4" w:space="0" w:color="auto"/>
              <w:right w:val="single" w:sz="4" w:space="0" w:color="auto"/>
            </w:tcBorders>
            <w:shd w:val="clear" w:color="auto" w:fill="auto"/>
            <w:noWrap/>
            <w:vAlign w:val="bottom"/>
            <w:hideMark/>
          </w:tcPr>
          <w:p w14:paraId="4174513D"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967" w:type="dxa"/>
            <w:tcBorders>
              <w:top w:val="nil"/>
              <w:left w:val="nil"/>
              <w:bottom w:val="single" w:sz="4" w:space="0" w:color="auto"/>
              <w:right w:val="single" w:sz="4" w:space="0" w:color="auto"/>
            </w:tcBorders>
            <w:shd w:val="clear" w:color="auto" w:fill="auto"/>
            <w:noWrap/>
            <w:vAlign w:val="bottom"/>
            <w:hideMark/>
          </w:tcPr>
          <w:p w14:paraId="265D71F8"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69EA04A4"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r>
      <w:tr w:rsidR="00CB5FEA" w:rsidRPr="00701F32" w14:paraId="0B2C837C"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75517574"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064" w:type="dxa"/>
            <w:tcBorders>
              <w:top w:val="nil"/>
              <w:left w:val="nil"/>
              <w:bottom w:val="single" w:sz="4" w:space="0" w:color="auto"/>
              <w:right w:val="single" w:sz="4" w:space="0" w:color="auto"/>
            </w:tcBorders>
            <w:shd w:val="clear" w:color="auto" w:fill="auto"/>
            <w:noWrap/>
            <w:vAlign w:val="bottom"/>
            <w:hideMark/>
          </w:tcPr>
          <w:p w14:paraId="5113E70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-706.694</w:t>
            </w:r>
          </w:p>
        </w:tc>
        <w:tc>
          <w:tcPr>
            <w:tcW w:w="1180" w:type="dxa"/>
            <w:tcBorders>
              <w:top w:val="nil"/>
              <w:left w:val="nil"/>
              <w:bottom w:val="single" w:sz="4" w:space="0" w:color="auto"/>
              <w:right w:val="single" w:sz="4" w:space="0" w:color="auto"/>
            </w:tcBorders>
            <w:shd w:val="clear" w:color="auto" w:fill="auto"/>
            <w:noWrap/>
            <w:vAlign w:val="bottom"/>
            <w:hideMark/>
          </w:tcPr>
          <w:p w14:paraId="0392524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-2.291.933</w:t>
            </w:r>
          </w:p>
        </w:tc>
        <w:tc>
          <w:tcPr>
            <w:tcW w:w="1180" w:type="dxa"/>
            <w:tcBorders>
              <w:top w:val="nil"/>
              <w:left w:val="nil"/>
              <w:bottom w:val="single" w:sz="4" w:space="0" w:color="auto"/>
              <w:right w:val="single" w:sz="4" w:space="0" w:color="auto"/>
            </w:tcBorders>
            <w:shd w:val="clear" w:color="auto" w:fill="auto"/>
            <w:noWrap/>
            <w:vAlign w:val="bottom"/>
            <w:hideMark/>
          </w:tcPr>
          <w:p w14:paraId="1F6C499D"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-188.112</w:t>
            </w:r>
          </w:p>
        </w:tc>
        <w:tc>
          <w:tcPr>
            <w:tcW w:w="1025" w:type="dxa"/>
            <w:tcBorders>
              <w:top w:val="nil"/>
              <w:left w:val="nil"/>
              <w:bottom w:val="single" w:sz="4" w:space="0" w:color="auto"/>
              <w:right w:val="single" w:sz="4" w:space="0" w:color="auto"/>
            </w:tcBorders>
            <w:shd w:val="clear" w:color="auto" w:fill="auto"/>
            <w:noWrap/>
            <w:vAlign w:val="bottom"/>
            <w:hideMark/>
          </w:tcPr>
          <w:p w14:paraId="1850C642"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-1.172.982</w:t>
            </w:r>
          </w:p>
        </w:tc>
        <w:tc>
          <w:tcPr>
            <w:tcW w:w="967" w:type="dxa"/>
            <w:tcBorders>
              <w:top w:val="nil"/>
              <w:left w:val="nil"/>
              <w:bottom w:val="single" w:sz="4" w:space="0" w:color="auto"/>
              <w:right w:val="single" w:sz="4" w:space="0" w:color="auto"/>
            </w:tcBorders>
            <w:shd w:val="clear" w:color="auto" w:fill="auto"/>
            <w:noWrap/>
            <w:vAlign w:val="bottom"/>
            <w:hideMark/>
          </w:tcPr>
          <w:p w14:paraId="6DD28A9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487.029</w:t>
            </w:r>
          </w:p>
        </w:tc>
        <w:tc>
          <w:tcPr>
            <w:tcW w:w="1180" w:type="dxa"/>
            <w:tcBorders>
              <w:top w:val="nil"/>
              <w:left w:val="nil"/>
              <w:bottom w:val="single" w:sz="4" w:space="0" w:color="auto"/>
              <w:right w:val="single" w:sz="4" w:space="0" w:color="auto"/>
            </w:tcBorders>
            <w:shd w:val="clear" w:color="auto" w:fill="auto"/>
            <w:noWrap/>
            <w:vAlign w:val="bottom"/>
            <w:hideMark/>
          </w:tcPr>
          <w:p w14:paraId="411CDBE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-3.872.692</w:t>
            </w:r>
          </w:p>
        </w:tc>
      </w:tr>
      <w:tr w:rsidR="00CB5FEA" w:rsidRPr="00701F32" w14:paraId="0EBD06A4"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noWrap/>
            <w:hideMark/>
          </w:tcPr>
          <w:p w14:paraId="45BCF4BA"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064" w:type="dxa"/>
            <w:tcBorders>
              <w:top w:val="nil"/>
              <w:left w:val="nil"/>
              <w:bottom w:val="single" w:sz="4" w:space="0" w:color="auto"/>
              <w:right w:val="single" w:sz="4" w:space="0" w:color="auto"/>
            </w:tcBorders>
            <w:shd w:val="clear" w:color="auto" w:fill="auto"/>
            <w:noWrap/>
            <w:vAlign w:val="bottom"/>
            <w:hideMark/>
          </w:tcPr>
          <w:p w14:paraId="7D0564C0"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-2.753.100</w:t>
            </w:r>
          </w:p>
        </w:tc>
        <w:tc>
          <w:tcPr>
            <w:tcW w:w="1180" w:type="dxa"/>
            <w:tcBorders>
              <w:top w:val="nil"/>
              <w:left w:val="nil"/>
              <w:bottom w:val="single" w:sz="4" w:space="0" w:color="auto"/>
              <w:right w:val="single" w:sz="4" w:space="0" w:color="auto"/>
            </w:tcBorders>
            <w:shd w:val="clear" w:color="auto" w:fill="auto"/>
            <w:noWrap/>
            <w:vAlign w:val="bottom"/>
            <w:hideMark/>
          </w:tcPr>
          <w:p w14:paraId="52F70A2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-6.514</w:t>
            </w:r>
          </w:p>
        </w:tc>
        <w:tc>
          <w:tcPr>
            <w:tcW w:w="1180" w:type="dxa"/>
            <w:tcBorders>
              <w:top w:val="nil"/>
              <w:left w:val="nil"/>
              <w:bottom w:val="single" w:sz="4" w:space="0" w:color="auto"/>
              <w:right w:val="single" w:sz="4" w:space="0" w:color="auto"/>
            </w:tcBorders>
            <w:shd w:val="clear" w:color="auto" w:fill="auto"/>
            <w:noWrap/>
            <w:vAlign w:val="bottom"/>
            <w:hideMark/>
          </w:tcPr>
          <w:p w14:paraId="6A4CF299"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-615.878</w:t>
            </w:r>
          </w:p>
        </w:tc>
        <w:tc>
          <w:tcPr>
            <w:tcW w:w="1025" w:type="dxa"/>
            <w:tcBorders>
              <w:top w:val="nil"/>
              <w:left w:val="nil"/>
              <w:bottom w:val="single" w:sz="4" w:space="0" w:color="auto"/>
              <w:right w:val="single" w:sz="4" w:space="0" w:color="auto"/>
            </w:tcBorders>
            <w:shd w:val="clear" w:color="auto" w:fill="auto"/>
            <w:noWrap/>
            <w:vAlign w:val="bottom"/>
            <w:hideMark/>
          </w:tcPr>
          <w:p w14:paraId="2503CA8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-104.017</w:t>
            </w:r>
          </w:p>
        </w:tc>
        <w:tc>
          <w:tcPr>
            <w:tcW w:w="967" w:type="dxa"/>
            <w:tcBorders>
              <w:top w:val="nil"/>
              <w:left w:val="nil"/>
              <w:bottom w:val="single" w:sz="4" w:space="0" w:color="auto"/>
              <w:right w:val="single" w:sz="4" w:space="0" w:color="auto"/>
            </w:tcBorders>
            <w:shd w:val="clear" w:color="auto" w:fill="auto"/>
            <w:noWrap/>
            <w:vAlign w:val="bottom"/>
            <w:hideMark/>
          </w:tcPr>
          <w:p w14:paraId="1D7D429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43.071</w:t>
            </w:r>
          </w:p>
        </w:tc>
        <w:tc>
          <w:tcPr>
            <w:tcW w:w="1180" w:type="dxa"/>
            <w:tcBorders>
              <w:top w:val="nil"/>
              <w:left w:val="nil"/>
              <w:bottom w:val="single" w:sz="4" w:space="0" w:color="auto"/>
              <w:right w:val="single" w:sz="4" w:space="0" w:color="auto"/>
            </w:tcBorders>
            <w:shd w:val="clear" w:color="auto" w:fill="auto"/>
            <w:noWrap/>
            <w:vAlign w:val="bottom"/>
            <w:hideMark/>
          </w:tcPr>
          <w:p w14:paraId="6970280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-3.436.438</w:t>
            </w:r>
          </w:p>
        </w:tc>
      </w:tr>
      <w:tr w:rsidR="00CB5FEA" w:rsidRPr="00701F32" w14:paraId="4F23C51D"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04B4707D"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064" w:type="dxa"/>
            <w:tcBorders>
              <w:top w:val="nil"/>
              <w:left w:val="nil"/>
              <w:bottom w:val="single" w:sz="4" w:space="0" w:color="auto"/>
              <w:right w:val="single" w:sz="4" w:space="0" w:color="auto"/>
            </w:tcBorders>
            <w:shd w:val="clear" w:color="auto" w:fill="auto"/>
            <w:noWrap/>
            <w:vAlign w:val="bottom"/>
            <w:hideMark/>
          </w:tcPr>
          <w:p w14:paraId="194C13A6"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169A8F8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0</w:t>
            </w:r>
          </w:p>
        </w:tc>
        <w:tc>
          <w:tcPr>
            <w:tcW w:w="1180" w:type="dxa"/>
            <w:tcBorders>
              <w:top w:val="nil"/>
              <w:left w:val="nil"/>
              <w:bottom w:val="single" w:sz="4" w:space="0" w:color="auto"/>
              <w:right w:val="single" w:sz="4" w:space="0" w:color="auto"/>
            </w:tcBorders>
            <w:shd w:val="clear" w:color="auto" w:fill="auto"/>
            <w:noWrap/>
            <w:vAlign w:val="bottom"/>
            <w:hideMark/>
          </w:tcPr>
          <w:p w14:paraId="42815881"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-6.651.920</w:t>
            </w:r>
          </w:p>
        </w:tc>
        <w:tc>
          <w:tcPr>
            <w:tcW w:w="1025" w:type="dxa"/>
            <w:tcBorders>
              <w:top w:val="nil"/>
              <w:left w:val="nil"/>
              <w:bottom w:val="single" w:sz="4" w:space="0" w:color="auto"/>
              <w:right w:val="single" w:sz="4" w:space="0" w:color="auto"/>
            </w:tcBorders>
            <w:shd w:val="clear" w:color="auto" w:fill="auto"/>
            <w:noWrap/>
            <w:vAlign w:val="bottom"/>
            <w:hideMark/>
          </w:tcPr>
          <w:p w14:paraId="772D2F9E"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-1.911.452</w:t>
            </w:r>
          </w:p>
        </w:tc>
        <w:tc>
          <w:tcPr>
            <w:tcW w:w="967" w:type="dxa"/>
            <w:tcBorders>
              <w:top w:val="nil"/>
              <w:left w:val="nil"/>
              <w:bottom w:val="single" w:sz="4" w:space="0" w:color="auto"/>
              <w:right w:val="single" w:sz="4" w:space="0" w:color="auto"/>
            </w:tcBorders>
            <w:shd w:val="clear" w:color="auto" w:fill="auto"/>
            <w:noWrap/>
            <w:vAlign w:val="bottom"/>
            <w:hideMark/>
          </w:tcPr>
          <w:p w14:paraId="1B88A9AD"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64E20D4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-8.563.372</w:t>
            </w:r>
          </w:p>
        </w:tc>
      </w:tr>
      <w:tr w:rsidR="00CB5FEA" w:rsidRPr="00701F32" w14:paraId="3077E099"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2A4DDA74"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Pasivo por impuestos a las ganancias corriente</w:t>
            </w:r>
          </w:p>
        </w:tc>
        <w:tc>
          <w:tcPr>
            <w:tcW w:w="1064" w:type="dxa"/>
            <w:tcBorders>
              <w:top w:val="nil"/>
              <w:left w:val="nil"/>
              <w:bottom w:val="single" w:sz="4" w:space="0" w:color="auto"/>
              <w:right w:val="single" w:sz="4" w:space="0" w:color="auto"/>
            </w:tcBorders>
            <w:shd w:val="clear" w:color="auto" w:fill="auto"/>
            <w:noWrap/>
            <w:vAlign w:val="bottom"/>
            <w:hideMark/>
          </w:tcPr>
          <w:p w14:paraId="07C263B8"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47783993"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-110</w:t>
            </w:r>
          </w:p>
        </w:tc>
        <w:tc>
          <w:tcPr>
            <w:tcW w:w="1180" w:type="dxa"/>
            <w:tcBorders>
              <w:top w:val="nil"/>
              <w:left w:val="nil"/>
              <w:bottom w:val="single" w:sz="4" w:space="0" w:color="auto"/>
              <w:right w:val="single" w:sz="4" w:space="0" w:color="auto"/>
            </w:tcBorders>
            <w:shd w:val="clear" w:color="auto" w:fill="auto"/>
            <w:noWrap/>
            <w:vAlign w:val="bottom"/>
            <w:hideMark/>
          </w:tcPr>
          <w:p w14:paraId="6A458AED"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-510.837</w:t>
            </w:r>
          </w:p>
        </w:tc>
        <w:tc>
          <w:tcPr>
            <w:tcW w:w="1025" w:type="dxa"/>
            <w:tcBorders>
              <w:top w:val="nil"/>
              <w:left w:val="nil"/>
              <w:bottom w:val="single" w:sz="4" w:space="0" w:color="auto"/>
              <w:right w:val="single" w:sz="4" w:space="0" w:color="auto"/>
            </w:tcBorders>
            <w:shd w:val="clear" w:color="auto" w:fill="auto"/>
            <w:noWrap/>
            <w:vAlign w:val="bottom"/>
            <w:hideMark/>
          </w:tcPr>
          <w:p w14:paraId="08EF8DBA"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-130.672</w:t>
            </w:r>
          </w:p>
        </w:tc>
        <w:tc>
          <w:tcPr>
            <w:tcW w:w="967" w:type="dxa"/>
            <w:tcBorders>
              <w:top w:val="nil"/>
              <w:left w:val="nil"/>
              <w:bottom w:val="single" w:sz="4" w:space="0" w:color="auto"/>
              <w:right w:val="single" w:sz="4" w:space="0" w:color="auto"/>
            </w:tcBorders>
            <w:shd w:val="clear" w:color="auto" w:fill="auto"/>
            <w:noWrap/>
            <w:vAlign w:val="bottom"/>
            <w:hideMark/>
          </w:tcPr>
          <w:p w14:paraId="691CD410"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12004C32"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-641.619</w:t>
            </w:r>
          </w:p>
        </w:tc>
      </w:tr>
      <w:tr w:rsidR="00CB5FEA" w:rsidRPr="00701F32" w14:paraId="5F9AD9B2"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01F01D89"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064" w:type="dxa"/>
            <w:tcBorders>
              <w:top w:val="nil"/>
              <w:left w:val="nil"/>
              <w:bottom w:val="single" w:sz="4" w:space="0" w:color="auto"/>
              <w:right w:val="single" w:sz="4" w:space="0" w:color="auto"/>
            </w:tcBorders>
            <w:shd w:val="clear" w:color="auto" w:fill="auto"/>
            <w:noWrap/>
            <w:vAlign w:val="bottom"/>
            <w:hideMark/>
          </w:tcPr>
          <w:p w14:paraId="73A9BCF9"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51C3A31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0</w:t>
            </w:r>
          </w:p>
        </w:tc>
        <w:tc>
          <w:tcPr>
            <w:tcW w:w="1180" w:type="dxa"/>
            <w:tcBorders>
              <w:top w:val="nil"/>
              <w:left w:val="nil"/>
              <w:bottom w:val="single" w:sz="4" w:space="0" w:color="auto"/>
              <w:right w:val="single" w:sz="4" w:space="0" w:color="auto"/>
            </w:tcBorders>
            <w:shd w:val="clear" w:color="auto" w:fill="auto"/>
            <w:noWrap/>
            <w:vAlign w:val="bottom"/>
            <w:hideMark/>
          </w:tcPr>
          <w:p w14:paraId="59551CF2"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-685.873</w:t>
            </w:r>
          </w:p>
        </w:tc>
        <w:tc>
          <w:tcPr>
            <w:tcW w:w="1025" w:type="dxa"/>
            <w:tcBorders>
              <w:top w:val="nil"/>
              <w:left w:val="nil"/>
              <w:bottom w:val="single" w:sz="4" w:space="0" w:color="auto"/>
              <w:right w:val="single" w:sz="4" w:space="0" w:color="auto"/>
            </w:tcBorders>
            <w:shd w:val="clear" w:color="auto" w:fill="auto"/>
            <w:noWrap/>
            <w:vAlign w:val="bottom"/>
            <w:hideMark/>
          </w:tcPr>
          <w:p w14:paraId="31445D7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0</w:t>
            </w:r>
          </w:p>
        </w:tc>
        <w:tc>
          <w:tcPr>
            <w:tcW w:w="967" w:type="dxa"/>
            <w:tcBorders>
              <w:top w:val="nil"/>
              <w:left w:val="nil"/>
              <w:bottom w:val="single" w:sz="4" w:space="0" w:color="auto"/>
              <w:right w:val="single" w:sz="4" w:space="0" w:color="auto"/>
            </w:tcBorders>
            <w:shd w:val="clear" w:color="auto" w:fill="auto"/>
            <w:noWrap/>
            <w:vAlign w:val="bottom"/>
            <w:hideMark/>
          </w:tcPr>
          <w:p w14:paraId="26C240C6"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053BBBA8"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-685.873</w:t>
            </w:r>
          </w:p>
        </w:tc>
      </w:tr>
      <w:tr w:rsidR="00CB5FEA" w:rsidRPr="00701F32" w14:paraId="010909B1"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529E6E4F"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Provisiones</w:t>
            </w:r>
          </w:p>
        </w:tc>
        <w:tc>
          <w:tcPr>
            <w:tcW w:w="1064" w:type="dxa"/>
            <w:tcBorders>
              <w:top w:val="nil"/>
              <w:left w:val="nil"/>
              <w:bottom w:val="single" w:sz="4" w:space="0" w:color="auto"/>
              <w:right w:val="single" w:sz="4" w:space="0" w:color="auto"/>
            </w:tcBorders>
            <w:shd w:val="clear" w:color="auto" w:fill="auto"/>
            <w:noWrap/>
            <w:vAlign w:val="bottom"/>
            <w:hideMark/>
          </w:tcPr>
          <w:p w14:paraId="22FAB51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-21.199</w:t>
            </w:r>
          </w:p>
        </w:tc>
        <w:tc>
          <w:tcPr>
            <w:tcW w:w="1180" w:type="dxa"/>
            <w:tcBorders>
              <w:top w:val="nil"/>
              <w:left w:val="nil"/>
              <w:bottom w:val="single" w:sz="4" w:space="0" w:color="auto"/>
              <w:right w:val="single" w:sz="4" w:space="0" w:color="auto"/>
            </w:tcBorders>
            <w:shd w:val="clear" w:color="auto" w:fill="auto"/>
            <w:noWrap/>
            <w:vAlign w:val="bottom"/>
            <w:hideMark/>
          </w:tcPr>
          <w:p w14:paraId="070174B8"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-25.934</w:t>
            </w:r>
          </w:p>
        </w:tc>
        <w:tc>
          <w:tcPr>
            <w:tcW w:w="1180" w:type="dxa"/>
            <w:tcBorders>
              <w:top w:val="nil"/>
              <w:left w:val="nil"/>
              <w:bottom w:val="single" w:sz="4" w:space="0" w:color="auto"/>
              <w:right w:val="single" w:sz="4" w:space="0" w:color="auto"/>
            </w:tcBorders>
            <w:shd w:val="clear" w:color="auto" w:fill="auto"/>
            <w:noWrap/>
            <w:vAlign w:val="bottom"/>
            <w:hideMark/>
          </w:tcPr>
          <w:p w14:paraId="5DE77003"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-5.864</w:t>
            </w:r>
          </w:p>
        </w:tc>
        <w:tc>
          <w:tcPr>
            <w:tcW w:w="1025" w:type="dxa"/>
            <w:tcBorders>
              <w:top w:val="nil"/>
              <w:left w:val="nil"/>
              <w:bottom w:val="single" w:sz="4" w:space="0" w:color="auto"/>
              <w:right w:val="single" w:sz="4" w:space="0" w:color="auto"/>
            </w:tcBorders>
            <w:shd w:val="clear" w:color="auto" w:fill="auto"/>
            <w:noWrap/>
            <w:vAlign w:val="bottom"/>
            <w:hideMark/>
          </w:tcPr>
          <w:p w14:paraId="12C113A3"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-19.620</w:t>
            </w:r>
          </w:p>
        </w:tc>
        <w:tc>
          <w:tcPr>
            <w:tcW w:w="967" w:type="dxa"/>
            <w:tcBorders>
              <w:top w:val="nil"/>
              <w:left w:val="nil"/>
              <w:bottom w:val="single" w:sz="4" w:space="0" w:color="auto"/>
              <w:right w:val="single" w:sz="4" w:space="0" w:color="auto"/>
            </w:tcBorders>
            <w:shd w:val="clear" w:color="auto" w:fill="auto"/>
            <w:noWrap/>
            <w:vAlign w:val="bottom"/>
            <w:hideMark/>
          </w:tcPr>
          <w:p w14:paraId="141B00F3" w14:textId="77777777" w:rsidR="00CB5FEA" w:rsidRPr="00701F32" w:rsidRDefault="00BE4E26"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80" w:type="dxa"/>
            <w:tcBorders>
              <w:top w:val="nil"/>
              <w:left w:val="nil"/>
              <w:bottom w:val="single" w:sz="4" w:space="0" w:color="auto"/>
              <w:right w:val="single" w:sz="4" w:space="0" w:color="auto"/>
            </w:tcBorders>
            <w:shd w:val="clear" w:color="auto" w:fill="auto"/>
            <w:noWrap/>
            <w:vAlign w:val="bottom"/>
            <w:hideMark/>
          </w:tcPr>
          <w:p w14:paraId="6B002E9C"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-72.617</w:t>
            </w:r>
          </w:p>
        </w:tc>
      </w:tr>
      <w:tr w:rsidR="00CB5FEA" w:rsidRPr="00701F32" w14:paraId="1E7F0AC4"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30D806FE"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Otros pasivos no financieros</w:t>
            </w:r>
          </w:p>
        </w:tc>
        <w:tc>
          <w:tcPr>
            <w:tcW w:w="1064" w:type="dxa"/>
            <w:tcBorders>
              <w:top w:val="nil"/>
              <w:left w:val="nil"/>
              <w:bottom w:val="single" w:sz="4" w:space="0" w:color="auto"/>
              <w:right w:val="single" w:sz="4" w:space="0" w:color="auto"/>
            </w:tcBorders>
            <w:shd w:val="clear" w:color="auto" w:fill="auto"/>
            <w:noWrap/>
            <w:vAlign w:val="bottom"/>
            <w:hideMark/>
          </w:tcPr>
          <w:p w14:paraId="6A91048E"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-129.930</w:t>
            </w:r>
          </w:p>
        </w:tc>
        <w:tc>
          <w:tcPr>
            <w:tcW w:w="1180" w:type="dxa"/>
            <w:tcBorders>
              <w:top w:val="nil"/>
              <w:left w:val="nil"/>
              <w:bottom w:val="single" w:sz="4" w:space="0" w:color="auto"/>
              <w:right w:val="single" w:sz="4" w:space="0" w:color="auto"/>
            </w:tcBorders>
            <w:shd w:val="clear" w:color="auto" w:fill="auto"/>
            <w:noWrap/>
            <w:vAlign w:val="bottom"/>
            <w:hideMark/>
          </w:tcPr>
          <w:p w14:paraId="5868A3F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-1.582.077</w:t>
            </w:r>
          </w:p>
        </w:tc>
        <w:tc>
          <w:tcPr>
            <w:tcW w:w="1180" w:type="dxa"/>
            <w:tcBorders>
              <w:top w:val="nil"/>
              <w:left w:val="nil"/>
              <w:bottom w:val="single" w:sz="4" w:space="0" w:color="auto"/>
              <w:right w:val="single" w:sz="4" w:space="0" w:color="auto"/>
            </w:tcBorders>
            <w:shd w:val="clear" w:color="auto" w:fill="auto"/>
            <w:noWrap/>
            <w:vAlign w:val="bottom"/>
            <w:hideMark/>
          </w:tcPr>
          <w:p w14:paraId="4166EF2E"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-1.037.142</w:t>
            </w:r>
          </w:p>
        </w:tc>
        <w:tc>
          <w:tcPr>
            <w:tcW w:w="1025" w:type="dxa"/>
            <w:tcBorders>
              <w:top w:val="nil"/>
              <w:left w:val="nil"/>
              <w:bottom w:val="single" w:sz="4" w:space="0" w:color="auto"/>
              <w:right w:val="single" w:sz="4" w:space="0" w:color="auto"/>
            </w:tcBorders>
            <w:shd w:val="clear" w:color="auto" w:fill="auto"/>
            <w:noWrap/>
            <w:vAlign w:val="bottom"/>
            <w:hideMark/>
          </w:tcPr>
          <w:p w14:paraId="24F2973F"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-608.785</w:t>
            </w:r>
          </w:p>
        </w:tc>
        <w:tc>
          <w:tcPr>
            <w:tcW w:w="967" w:type="dxa"/>
            <w:tcBorders>
              <w:top w:val="nil"/>
              <w:left w:val="nil"/>
              <w:bottom w:val="single" w:sz="4" w:space="0" w:color="auto"/>
              <w:right w:val="single" w:sz="4" w:space="0" w:color="auto"/>
            </w:tcBorders>
            <w:shd w:val="clear" w:color="auto" w:fill="auto"/>
            <w:noWrap/>
            <w:vAlign w:val="bottom"/>
            <w:hideMark/>
          </w:tcPr>
          <w:p w14:paraId="09A11612"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43.605</w:t>
            </w:r>
          </w:p>
        </w:tc>
        <w:tc>
          <w:tcPr>
            <w:tcW w:w="1180" w:type="dxa"/>
            <w:tcBorders>
              <w:top w:val="nil"/>
              <w:left w:val="nil"/>
              <w:bottom w:val="single" w:sz="4" w:space="0" w:color="auto"/>
              <w:right w:val="single" w:sz="4" w:space="0" w:color="auto"/>
            </w:tcBorders>
            <w:shd w:val="clear" w:color="auto" w:fill="auto"/>
            <w:noWrap/>
            <w:vAlign w:val="bottom"/>
            <w:hideMark/>
          </w:tcPr>
          <w:p w14:paraId="03D85D46"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-3.314.329</w:t>
            </w:r>
          </w:p>
        </w:tc>
      </w:tr>
      <w:tr w:rsidR="00CB5FEA" w:rsidRPr="00701F32" w14:paraId="28B07F36" w14:textId="77777777" w:rsidTr="00B30DEB">
        <w:trPr>
          <w:trHeight w:val="224"/>
        </w:trPr>
        <w:tc>
          <w:tcPr>
            <w:tcW w:w="4507" w:type="dxa"/>
            <w:tcBorders>
              <w:top w:val="nil"/>
              <w:left w:val="single" w:sz="4" w:space="0" w:color="auto"/>
              <w:bottom w:val="single" w:sz="4" w:space="0" w:color="auto"/>
              <w:right w:val="single" w:sz="4" w:space="0" w:color="auto"/>
            </w:tcBorders>
            <w:shd w:val="clear" w:color="auto" w:fill="auto"/>
            <w:hideMark/>
          </w:tcPr>
          <w:p w14:paraId="0ACCCDDC" w14:textId="77777777" w:rsidR="00CB5FEA" w:rsidRPr="00701F32" w:rsidRDefault="00CB5FEA" w:rsidP="00CB5FEA">
            <w:pPr>
              <w:rPr>
                <w:rFonts w:ascii="Arial" w:hAnsi="Arial" w:cs="Arial"/>
                <w:b/>
                <w:bCs/>
                <w:sz w:val="16"/>
                <w:szCs w:val="16"/>
                <w:lang w:eastAsia="es-AR"/>
              </w:rPr>
            </w:pPr>
            <w:r w:rsidRPr="00701F32">
              <w:rPr>
                <w:rFonts w:ascii="Arial" w:hAnsi="Arial" w:cs="Arial"/>
                <w:b/>
                <w:bCs/>
                <w:sz w:val="16"/>
                <w:szCs w:val="16"/>
                <w:lang w:eastAsia="es-AR"/>
              </w:rPr>
              <w:t>TOTAL PASIVO</w:t>
            </w:r>
          </w:p>
        </w:tc>
        <w:tc>
          <w:tcPr>
            <w:tcW w:w="1064" w:type="dxa"/>
            <w:tcBorders>
              <w:top w:val="nil"/>
              <w:left w:val="nil"/>
              <w:bottom w:val="single" w:sz="4" w:space="0" w:color="auto"/>
              <w:right w:val="single" w:sz="4" w:space="0" w:color="auto"/>
            </w:tcBorders>
            <w:shd w:val="clear" w:color="auto" w:fill="auto"/>
            <w:noWrap/>
            <w:vAlign w:val="bottom"/>
            <w:hideMark/>
          </w:tcPr>
          <w:p w14:paraId="6E021D6D"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-8.226.168</w:t>
            </w:r>
          </w:p>
        </w:tc>
        <w:tc>
          <w:tcPr>
            <w:tcW w:w="1180" w:type="dxa"/>
            <w:tcBorders>
              <w:top w:val="nil"/>
              <w:left w:val="nil"/>
              <w:bottom w:val="single" w:sz="4" w:space="0" w:color="auto"/>
              <w:right w:val="single" w:sz="4" w:space="0" w:color="auto"/>
            </w:tcBorders>
            <w:shd w:val="clear" w:color="auto" w:fill="auto"/>
            <w:noWrap/>
            <w:vAlign w:val="bottom"/>
            <w:hideMark/>
          </w:tcPr>
          <w:p w14:paraId="622FDAC1"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-39.146.441</w:t>
            </w:r>
          </w:p>
        </w:tc>
        <w:tc>
          <w:tcPr>
            <w:tcW w:w="1180" w:type="dxa"/>
            <w:tcBorders>
              <w:top w:val="nil"/>
              <w:left w:val="nil"/>
              <w:bottom w:val="single" w:sz="4" w:space="0" w:color="auto"/>
              <w:right w:val="single" w:sz="4" w:space="0" w:color="auto"/>
            </w:tcBorders>
            <w:shd w:val="clear" w:color="auto" w:fill="auto"/>
            <w:noWrap/>
            <w:vAlign w:val="bottom"/>
            <w:hideMark/>
          </w:tcPr>
          <w:p w14:paraId="60E7F734"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-29.897.902</w:t>
            </w:r>
          </w:p>
        </w:tc>
        <w:tc>
          <w:tcPr>
            <w:tcW w:w="1025" w:type="dxa"/>
            <w:tcBorders>
              <w:top w:val="nil"/>
              <w:left w:val="nil"/>
              <w:bottom w:val="single" w:sz="4" w:space="0" w:color="auto"/>
              <w:right w:val="single" w:sz="4" w:space="0" w:color="auto"/>
            </w:tcBorders>
            <w:shd w:val="clear" w:color="auto" w:fill="auto"/>
            <w:noWrap/>
            <w:vAlign w:val="bottom"/>
            <w:hideMark/>
          </w:tcPr>
          <w:p w14:paraId="3E035E9B"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-6.452.642</w:t>
            </w:r>
          </w:p>
        </w:tc>
        <w:tc>
          <w:tcPr>
            <w:tcW w:w="967" w:type="dxa"/>
            <w:tcBorders>
              <w:top w:val="nil"/>
              <w:left w:val="nil"/>
              <w:bottom w:val="single" w:sz="4" w:space="0" w:color="auto"/>
              <w:right w:val="single" w:sz="4" w:space="0" w:color="auto"/>
            </w:tcBorders>
            <w:shd w:val="clear" w:color="auto" w:fill="auto"/>
            <w:noWrap/>
            <w:vAlign w:val="bottom"/>
            <w:hideMark/>
          </w:tcPr>
          <w:p w14:paraId="22513C8C"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2.383.995</w:t>
            </w:r>
          </w:p>
        </w:tc>
        <w:tc>
          <w:tcPr>
            <w:tcW w:w="1180" w:type="dxa"/>
            <w:tcBorders>
              <w:top w:val="nil"/>
              <w:left w:val="nil"/>
              <w:bottom w:val="single" w:sz="4" w:space="0" w:color="auto"/>
              <w:right w:val="single" w:sz="4" w:space="0" w:color="auto"/>
            </w:tcBorders>
            <w:shd w:val="clear" w:color="auto" w:fill="auto"/>
            <w:noWrap/>
            <w:vAlign w:val="bottom"/>
            <w:hideMark/>
          </w:tcPr>
          <w:p w14:paraId="218C9157" w14:textId="77777777" w:rsidR="00CB5FEA" w:rsidRPr="00701F32" w:rsidRDefault="00CB5FEA" w:rsidP="00B30DEB">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-81.339.158</w:t>
            </w:r>
          </w:p>
        </w:tc>
      </w:tr>
    </w:tbl>
    <w:p w14:paraId="160D14D5" w14:textId="77777777" w:rsidR="005F4FB8" w:rsidRPr="00701F32" w:rsidRDefault="005F4FB8" w:rsidP="00974ABE">
      <w:pPr>
        <w:spacing w:after="160" w:line="259" w:lineRule="auto"/>
        <w:jc w:val="both"/>
        <w:rPr>
          <w:rFonts w:ascii="Arial" w:eastAsia="Calibri" w:hAnsi="Arial" w:cs="Arial"/>
          <w:bCs/>
          <w:sz w:val="20"/>
        </w:rPr>
      </w:pPr>
    </w:p>
    <w:tbl>
      <w:tblPr>
        <w:tblW w:w="10954" w:type="dxa"/>
        <w:tblInd w:w="-781" w:type="dxa"/>
        <w:tblCellMar>
          <w:left w:w="70" w:type="dxa"/>
          <w:right w:w="70" w:type="dxa"/>
        </w:tblCellMar>
        <w:tblLook w:val="04A0" w:firstRow="1" w:lastRow="0" w:firstColumn="1" w:lastColumn="0" w:noHBand="0" w:noVBand="1"/>
      </w:tblPr>
      <w:tblGrid>
        <w:gridCol w:w="3910"/>
        <w:gridCol w:w="1320"/>
        <w:gridCol w:w="1174"/>
        <w:gridCol w:w="1174"/>
        <w:gridCol w:w="1174"/>
        <w:gridCol w:w="1028"/>
        <w:gridCol w:w="1174"/>
      </w:tblGrid>
      <w:tr w:rsidR="005057DF" w:rsidRPr="00701F32" w14:paraId="3DEB4D4B" w14:textId="77777777" w:rsidTr="00831174">
        <w:trPr>
          <w:trHeight w:val="364"/>
          <w:tblHeader/>
        </w:trPr>
        <w:tc>
          <w:tcPr>
            <w:tcW w:w="39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8DF3C" w14:textId="77777777" w:rsidR="005057DF" w:rsidRPr="00701F32" w:rsidRDefault="005057DF" w:rsidP="00A12FAC">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Resultado por Segmentos al 31/12/2017</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5308F5E9" w14:textId="77777777" w:rsidR="005057DF" w:rsidRPr="00701F32" w:rsidRDefault="005057DF" w:rsidP="00A12FAC">
            <w:pPr>
              <w:ind w:left="21" w:hanging="21"/>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Banca Empresa</w:t>
            </w:r>
          </w:p>
        </w:tc>
        <w:tc>
          <w:tcPr>
            <w:tcW w:w="1174" w:type="dxa"/>
            <w:tcBorders>
              <w:top w:val="single" w:sz="8" w:space="0" w:color="auto"/>
              <w:left w:val="nil"/>
              <w:bottom w:val="single" w:sz="8" w:space="0" w:color="auto"/>
              <w:right w:val="single" w:sz="8" w:space="0" w:color="auto"/>
            </w:tcBorders>
            <w:shd w:val="clear" w:color="auto" w:fill="auto"/>
            <w:vAlign w:val="center"/>
            <w:hideMark/>
          </w:tcPr>
          <w:p w14:paraId="19CEC1E4" w14:textId="77777777" w:rsidR="005057DF" w:rsidRPr="00701F32" w:rsidRDefault="005057DF" w:rsidP="00A12FAC">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Banca Minorista</w:t>
            </w:r>
          </w:p>
        </w:tc>
        <w:tc>
          <w:tcPr>
            <w:tcW w:w="1174" w:type="dxa"/>
            <w:tcBorders>
              <w:top w:val="single" w:sz="8" w:space="0" w:color="auto"/>
              <w:left w:val="nil"/>
              <w:bottom w:val="single" w:sz="8" w:space="0" w:color="auto"/>
              <w:right w:val="single" w:sz="8" w:space="0" w:color="auto"/>
            </w:tcBorders>
            <w:shd w:val="clear" w:color="auto" w:fill="auto"/>
            <w:vAlign w:val="center"/>
            <w:hideMark/>
          </w:tcPr>
          <w:p w14:paraId="2BF0FDEE" w14:textId="77777777" w:rsidR="005057DF" w:rsidRPr="00701F32" w:rsidRDefault="005057DF" w:rsidP="00A12FAC">
            <w:pPr>
              <w:ind w:left="497" w:hanging="497"/>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Tesorería</w:t>
            </w:r>
          </w:p>
        </w:tc>
        <w:tc>
          <w:tcPr>
            <w:tcW w:w="1174" w:type="dxa"/>
            <w:tcBorders>
              <w:top w:val="single" w:sz="8" w:space="0" w:color="auto"/>
              <w:left w:val="nil"/>
              <w:bottom w:val="single" w:sz="8" w:space="0" w:color="auto"/>
              <w:right w:val="single" w:sz="8" w:space="0" w:color="auto"/>
            </w:tcBorders>
            <w:shd w:val="clear" w:color="auto" w:fill="auto"/>
            <w:vAlign w:val="center"/>
            <w:hideMark/>
          </w:tcPr>
          <w:p w14:paraId="574A4C7B" w14:textId="77777777" w:rsidR="005057DF" w:rsidRPr="00701F32" w:rsidRDefault="005057DF" w:rsidP="00A12FAC">
            <w:pPr>
              <w:ind w:left="497" w:hanging="497"/>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Consumo</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5864ED4A" w14:textId="77777777" w:rsidR="005057DF" w:rsidRPr="00701F32" w:rsidRDefault="005057DF" w:rsidP="00A12FAC">
            <w:pPr>
              <w:ind w:left="497" w:hanging="497"/>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Ajustes</w:t>
            </w:r>
          </w:p>
        </w:tc>
        <w:tc>
          <w:tcPr>
            <w:tcW w:w="1174" w:type="dxa"/>
            <w:tcBorders>
              <w:top w:val="single" w:sz="8" w:space="0" w:color="auto"/>
              <w:left w:val="nil"/>
              <w:bottom w:val="single" w:sz="8" w:space="0" w:color="auto"/>
              <w:right w:val="single" w:sz="8" w:space="0" w:color="auto"/>
            </w:tcBorders>
            <w:shd w:val="clear" w:color="auto" w:fill="auto"/>
            <w:noWrap/>
            <w:vAlign w:val="center"/>
            <w:hideMark/>
          </w:tcPr>
          <w:p w14:paraId="32F00B39" w14:textId="77777777" w:rsidR="005057DF" w:rsidRPr="00701F32" w:rsidRDefault="005057DF" w:rsidP="00A12FAC">
            <w:pPr>
              <w:ind w:left="497" w:hanging="497"/>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TOTAL</w:t>
            </w:r>
          </w:p>
        </w:tc>
      </w:tr>
      <w:tr w:rsidR="007C45CE" w:rsidRPr="00701F32" w14:paraId="46F7E597" w14:textId="77777777" w:rsidTr="00B30DEB">
        <w:trPr>
          <w:trHeight w:val="173"/>
        </w:trPr>
        <w:tc>
          <w:tcPr>
            <w:tcW w:w="3910" w:type="dxa"/>
            <w:tcBorders>
              <w:top w:val="nil"/>
              <w:left w:val="single" w:sz="8" w:space="0" w:color="auto"/>
              <w:bottom w:val="nil"/>
              <w:right w:val="single" w:sz="8" w:space="0" w:color="auto"/>
            </w:tcBorders>
            <w:shd w:val="clear" w:color="auto" w:fill="auto"/>
            <w:noWrap/>
            <w:vAlign w:val="center"/>
            <w:hideMark/>
          </w:tcPr>
          <w:p w14:paraId="070109F2"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Ingresos por intereses </w:t>
            </w:r>
          </w:p>
        </w:tc>
        <w:tc>
          <w:tcPr>
            <w:tcW w:w="1320" w:type="dxa"/>
            <w:tcBorders>
              <w:top w:val="nil"/>
              <w:left w:val="nil"/>
              <w:bottom w:val="nil"/>
              <w:right w:val="single" w:sz="8" w:space="0" w:color="auto"/>
            </w:tcBorders>
            <w:shd w:val="clear" w:color="auto" w:fill="auto"/>
            <w:noWrap/>
            <w:vAlign w:val="bottom"/>
            <w:hideMark/>
          </w:tcPr>
          <w:p w14:paraId="4DE73845" w14:textId="77777777" w:rsidR="007C45CE" w:rsidRPr="00701F32" w:rsidRDefault="007C45CE">
            <w:pPr>
              <w:jc w:val="right"/>
              <w:rPr>
                <w:rFonts w:ascii="Arial" w:hAnsi="Arial" w:cs="Arial"/>
                <w:sz w:val="16"/>
              </w:rPr>
            </w:pPr>
            <w:r w:rsidRPr="00701F32">
              <w:rPr>
                <w:rFonts w:ascii="Arial" w:hAnsi="Arial" w:cs="Arial"/>
                <w:sz w:val="16"/>
              </w:rPr>
              <w:t xml:space="preserve"> 3.676.833 </w:t>
            </w:r>
          </w:p>
        </w:tc>
        <w:tc>
          <w:tcPr>
            <w:tcW w:w="1174" w:type="dxa"/>
            <w:tcBorders>
              <w:top w:val="nil"/>
              <w:left w:val="nil"/>
              <w:bottom w:val="nil"/>
              <w:right w:val="single" w:sz="8" w:space="0" w:color="auto"/>
            </w:tcBorders>
            <w:shd w:val="clear" w:color="auto" w:fill="auto"/>
            <w:noWrap/>
            <w:vAlign w:val="bottom"/>
            <w:hideMark/>
          </w:tcPr>
          <w:p w14:paraId="3A66811D" w14:textId="77777777" w:rsidR="007C45CE" w:rsidRPr="00701F32" w:rsidRDefault="007C45CE">
            <w:pPr>
              <w:jc w:val="right"/>
              <w:rPr>
                <w:rFonts w:ascii="Arial" w:hAnsi="Arial" w:cs="Arial"/>
                <w:sz w:val="16"/>
              </w:rPr>
            </w:pPr>
            <w:r w:rsidRPr="00701F32">
              <w:rPr>
                <w:rFonts w:ascii="Arial" w:hAnsi="Arial" w:cs="Arial"/>
                <w:sz w:val="16"/>
              </w:rPr>
              <w:t xml:space="preserve"> 6.319.060 </w:t>
            </w:r>
          </w:p>
        </w:tc>
        <w:tc>
          <w:tcPr>
            <w:tcW w:w="1174" w:type="dxa"/>
            <w:tcBorders>
              <w:top w:val="nil"/>
              <w:left w:val="nil"/>
              <w:bottom w:val="nil"/>
              <w:right w:val="single" w:sz="8" w:space="0" w:color="auto"/>
            </w:tcBorders>
            <w:shd w:val="clear" w:color="auto" w:fill="auto"/>
            <w:noWrap/>
            <w:vAlign w:val="bottom"/>
            <w:hideMark/>
          </w:tcPr>
          <w:p w14:paraId="09740B68" w14:textId="77777777" w:rsidR="007C45CE" w:rsidRPr="00701F32" w:rsidRDefault="007C45CE">
            <w:pPr>
              <w:jc w:val="right"/>
              <w:rPr>
                <w:rFonts w:ascii="Arial" w:hAnsi="Arial" w:cs="Arial"/>
                <w:sz w:val="16"/>
              </w:rPr>
            </w:pPr>
            <w:r w:rsidRPr="00701F32">
              <w:rPr>
                <w:rFonts w:ascii="Arial" w:hAnsi="Arial" w:cs="Arial"/>
                <w:sz w:val="16"/>
              </w:rPr>
              <w:t xml:space="preserve"> 859.886 </w:t>
            </w:r>
          </w:p>
        </w:tc>
        <w:tc>
          <w:tcPr>
            <w:tcW w:w="1174" w:type="dxa"/>
            <w:tcBorders>
              <w:top w:val="nil"/>
              <w:left w:val="nil"/>
              <w:bottom w:val="nil"/>
              <w:right w:val="single" w:sz="8" w:space="0" w:color="auto"/>
            </w:tcBorders>
            <w:shd w:val="clear" w:color="auto" w:fill="auto"/>
            <w:noWrap/>
            <w:vAlign w:val="bottom"/>
            <w:hideMark/>
          </w:tcPr>
          <w:p w14:paraId="43E64E67" w14:textId="77777777" w:rsidR="007C45CE" w:rsidRPr="00701F32" w:rsidRDefault="007C45CE">
            <w:pPr>
              <w:jc w:val="right"/>
              <w:rPr>
                <w:rFonts w:ascii="Arial" w:hAnsi="Arial" w:cs="Arial"/>
                <w:sz w:val="16"/>
              </w:rPr>
            </w:pPr>
            <w:r w:rsidRPr="00701F32">
              <w:rPr>
                <w:rFonts w:ascii="Arial" w:hAnsi="Arial" w:cs="Arial"/>
                <w:sz w:val="16"/>
              </w:rPr>
              <w:t xml:space="preserve"> 3.276.191 </w:t>
            </w:r>
          </w:p>
        </w:tc>
        <w:tc>
          <w:tcPr>
            <w:tcW w:w="1028" w:type="dxa"/>
            <w:tcBorders>
              <w:top w:val="nil"/>
              <w:left w:val="nil"/>
              <w:bottom w:val="nil"/>
              <w:right w:val="single" w:sz="8" w:space="0" w:color="auto"/>
            </w:tcBorders>
            <w:shd w:val="clear" w:color="auto" w:fill="auto"/>
            <w:noWrap/>
            <w:vAlign w:val="bottom"/>
            <w:hideMark/>
          </w:tcPr>
          <w:p w14:paraId="755A930A" w14:textId="77777777" w:rsidR="007C45CE" w:rsidRPr="00701F32" w:rsidRDefault="007C45CE">
            <w:pPr>
              <w:jc w:val="right"/>
              <w:rPr>
                <w:rFonts w:ascii="Arial" w:hAnsi="Arial" w:cs="Arial"/>
                <w:sz w:val="16"/>
              </w:rPr>
            </w:pPr>
            <w:r w:rsidRPr="00701F32">
              <w:rPr>
                <w:rFonts w:ascii="Arial" w:hAnsi="Arial" w:cs="Arial"/>
                <w:sz w:val="16"/>
              </w:rPr>
              <w:t xml:space="preserve"> -257.851 </w:t>
            </w:r>
          </w:p>
        </w:tc>
        <w:tc>
          <w:tcPr>
            <w:tcW w:w="1174" w:type="dxa"/>
            <w:tcBorders>
              <w:top w:val="nil"/>
              <w:left w:val="nil"/>
              <w:bottom w:val="nil"/>
              <w:right w:val="single" w:sz="8" w:space="0" w:color="auto"/>
            </w:tcBorders>
            <w:shd w:val="clear" w:color="auto" w:fill="auto"/>
            <w:noWrap/>
            <w:vAlign w:val="bottom"/>
            <w:hideMark/>
          </w:tcPr>
          <w:p w14:paraId="2EC7EDBB" w14:textId="77777777" w:rsidR="007C45CE" w:rsidRPr="00701F32" w:rsidRDefault="007C45CE">
            <w:pPr>
              <w:jc w:val="right"/>
              <w:rPr>
                <w:rFonts w:ascii="Arial" w:hAnsi="Arial" w:cs="Arial"/>
                <w:sz w:val="16"/>
              </w:rPr>
            </w:pPr>
            <w:r w:rsidRPr="00701F32">
              <w:rPr>
                <w:rFonts w:ascii="Arial" w:hAnsi="Arial" w:cs="Arial"/>
                <w:sz w:val="16"/>
              </w:rPr>
              <w:t xml:space="preserve"> 13.874.119 </w:t>
            </w:r>
          </w:p>
        </w:tc>
      </w:tr>
      <w:tr w:rsidR="007C45CE" w:rsidRPr="00701F32" w14:paraId="6721CCE7" w14:textId="77777777" w:rsidTr="00B30DEB">
        <w:trPr>
          <w:trHeight w:val="92"/>
        </w:trPr>
        <w:tc>
          <w:tcPr>
            <w:tcW w:w="3910" w:type="dxa"/>
            <w:tcBorders>
              <w:top w:val="nil"/>
              <w:left w:val="single" w:sz="8" w:space="0" w:color="auto"/>
              <w:bottom w:val="nil"/>
              <w:right w:val="single" w:sz="8" w:space="0" w:color="auto"/>
            </w:tcBorders>
            <w:shd w:val="clear" w:color="auto" w:fill="auto"/>
            <w:noWrap/>
            <w:vAlign w:val="center"/>
            <w:hideMark/>
          </w:tcPr>
          <w:p w14:paraId="2F2FB6B6"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Egresos por intereses </w:t>
            </w:r>
          </w:p>
        </w:tc>
        <w:tc>
          <w:tcPr>
            <w:tcW w:w="1320" w:type="dxa"/>
            <w:tcBorders>
              <w:top w:val="nil"/>
              <w:left w:val="nil"/>
              <w:bottom w:val="nil"/>
              <w:right w:val="single" w:sz="8" w:space="0" w:color="auto"/>
            </w:tcBorders>
            <w:shd w:val="clear" w:color="auto" w:fill="auto"/>
            <w:noWrap/>
            <w:vAlign w:val="bottom"/>
            <w:hideMark/>
          </w:tcPr>
          <w:p w14:paraId="54812A53" w14:textId="77777777" w:rsidR="007C45CE" w:rsidRPr="00701F32" w:rsidRDefault="007C45CE">
            <w:pPr>
              <w:jc w:val="right"/>
              <w:rPr>
                <w:rFonts w:ascii="Arial" w:hAnsi="Arial" w:cs="Arial"/>
                <w:sz w:val="16"/>
              </w:rPr>
            </w:pPr>
            <w:r w:rsidRPr="00701F32">
              <w:rPr>
                <w:rFonts w:ascii="Arial" w:hAnsi="Arial" w:cs="Arial"/>
                <w:sz w:val="16"/>
              </w:rPr>
              <w:t xml:space="preserve"> 181.169 </w:t>
            </w:r>
          </w:p>
        </w:tc>
        <w:tc>
          <w:tcPr>
            <w:tcW w:w="1174" w:type="dxa"/>
            <w:tcBorders>
              <w:top w:val="nil"/>
              <w:left w:val="nil"/>
              <w:bottom w:val="nil"/>
              <w:right w:val="single" w:sz="8" w:space="0" w:color="auto"/>
            </w:tcBorders>
            <w:shd w:val="clear" w:color="auto" w:fill="auto"/>
            <w:noWrap/>
            <w:vAlign w:val="bottom"/>
            <w:hideMark/>
          </w:tcPr>
          <w:p w14:paraId="7A41938E" w14:textId="77777777" w:rsidR="007C45CE" w:rsidRPr="00701F32" w:rsidRDefault="007C45CE">
            <w:pPr>
              <w:jc w:val="right"/>
              <w:rPr>
                <w:rFonts w:ascii="Arial" w:hAnsi="Arial" w:cs="Arial"/>
                <w:sz w:val="16"/>
              </w:rPr>
            </w:pPr>
            <w:r w:rsidRPr="00701F32">
              <w:rPr>
                <w:rFonts w:ascii="Arial" w:hAnsi="Arial" w:cs="Arial"/>
                <w:sz w:val="16"/>
              </w:rPr>
              <w:t xml:space="preserve"> 1.604.131 </w:t>
            </w:r>
          </w:p>
        </w:tc>
        <w:tc>
          <w:tcPr>
            <w:tcW w:w="1174" w:type="dxa"/>
            <w:tcBorders>
              <w:top w:val="nil"/>
              <w:left w:val="nil"/>
              <w:bottom w:val="nil"/>
              <w:right w:val="single" w:sz="8" w:space="0" w:color="auto"/>
            </w:tcBorders>
            <w:shd w:val="clear" w:color="auto" w:fill="auto"/>
            <w:noWrap/>
            <w:vAlign w:val="bottom"/>
            <w:hideMark/>
          </w:tcPr>
          <w:p w14:paraId="40C6B3E2" w14:textId="77777777" w:rsidR="007C45CE" w:rsidRPr="00701F32" w:rsidRDefault="007C45CE">
            <w:pPr>
              <w:jc w:val="right"/>
              <w:rPr>
                <w:rFonts w:ascii="Arial" w:hAnsi="Arial" w:cs="Arial"/>
                <w:sz w:val="16"/>
              </w:rPr>
            </w:pPr>
            <w:r w:rsidRPr="00701F32">
              <w:rPr>
                <w:rFonts w:ascii="Arial" w:hAnsi="Arial" w:cs="Arial"/>
                <w:sz w:val="16"/>
              </w:rPr>
              <w:t xml:space="preserve"> 2.806.896 </w:t>
            </w:r>
          </w:p>
        </w:tc>
        <w:tc>
          <w:tcPr>
            <w:tcW w:w="1174" w:type="dxa"/>
            <w:tcBorders>
              <w:top w:val="nil"/>
              <w:left w:val="nil"/>
              <w:bottom w:val="nil"/>
              <w:right w:val="single" w:sz="8" w:space="0" w:color="auto"/>
            </w:tcBorders>
            <w:shd w:val="clear" w:color="auto" w:fill="auto"/>
            <w:noWrap/>
            <w:vAlign w:val="bottom"/>
            <w:hideMark/>
          </w:tcPr>
          <w:p w14:paraId="21EFC456" w14:textId="77777777" w:rsidR="007C45CE" w:rsidRPr="00701F32" w:rsidRDefault="007C45CE">
            <w:pPr>
              <w:jc w:val="right"/>
              <w:rPr>
                <w:rFonts w:ascii="Arial" w:hAnsi="Arial" w:cs="Arial"/>
                <w:sz w:val="16"/>
              </w:rPr>
            </w:pPr>
            <w:r w:rsidRPr="00701F32">
              <w:rPr>
                <w:rFonts w:ascii="Arial" w:hAnsi="Arial" w:cs="Arial"/>
                <w:sz w:val="16"/>
              </w:rPr>
              <w:t xml:space="preserve"> 1.040.772 </w:t>
            </w:r>
          </w:p>
        </w:tc>
        <w:tc>
          <w:tcPr>
            <w:tcW w:w="1028" w:type="dxa"/>
            <w:tcBorders>
              <w:top w:val="nil"/>
              <w:left w:val="nil"/>
              <w:bottom w:val="nil"/>
              <w:right w:val="single" w:sz="8" w:space="0" w:color="auto"/>
            </w:tcBorders>
            <w:shd w:val="clear" w:color="auto" w:fill="auto"/>
            <w:noWrap/>
            <w:vAlign w:val="bottom"/>
            <w:hideMark/>
          </w:tcPr>
          <w:p w14:paraId="064BEBEA" w14:textId="77777777" w:rsidR="007C45CE" w:rsidRPr="00701F32" w:rsidRDefault="007C45CE">
            <w:pPr>
              <w:jc w:val="right"/>
              <w:rPr>
                <w:rFonts w:ascii="Arial" w:hAnsi="Arial" w:cs="Arial"/>
                <w:sz w:val="16"/>
              </w:rPr>
            </w:pPr>
            <w:r w:rsidRPr="00701F32">
              <w:rPr>
                <w:rFonts w:ascii="Arial" w:hAnsi="Arial" w:cs="Arial"/>
                <w:sz w:val="16"/>
              </w:rPr>
              <w:t xml:space="preserve"> -231.235 </w:t>
            </w:r>
          </w:p>
        </w:tc>
        <w:tc>
          <w:tcPr>
            <w:tcW w:w="1174" w:type="dxa"/>
            <w:tcBorders>
              <w:top w:val="nil"/>
              <w:left w:val="nil"/>
              <w:bottom w:val="nil"/>
              <w:right w:val="single" w:sz="8" w:space="0" w:color="auto"/>
            </w:tcBorders>
            <w:shd w:val="clear" w:color="auto" w:fill="auto"/>
            <w:noWrap/>
            <w:vAlign w:val="bottom"/>
            <w:hideMark/>
          </w:tcPr>
          <w:p w14:paraId="29A62D3A" w14:textId="77777777" w:rsidR="007C45CE" w:rsidRPr="00701F32" w:rsidRDefault="007C45CE">
            <w:pPr>
              <w:jc w:val="right"/>
              <w:rPr>
                <w:rFonts w:ascii="Arial" w:hAnsi="Arial" w:cs="Arial"/>
                <w:sz w:val="16"/>
              </w:rPr>
            </w:pPr>
            <w:r w:rsidRPr="00701F32">
              <w:rPr>
                <w:rFonts w:ascii="Arial" w:hAnsi="Arial" w:cs="Arial"/>
                <w:sz w:val="16"/>
              </w:rPr>
              <w:t xml:space="preserve"> 5.401.733 </w:t>
            </w:r>
          </w:p>
        </w:tc>
      </w:tr>
      <w:tr w:rsidR="007C45CE" w:rsidRPr="00701F32" w14:paraId="1E46DDC5" w14:textId="77777777" w:rsidTr="00B30DEB">
        <w:trPr>
          <w:trHeight w:val="245"/>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16BEBB06"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Resultados por Interes de Transferencia </w:t>
            </w:r>
          </w:p>
        </w:tc>
        <w:tc>
          <w:tcPr>
            <w:tcW w:w="1320" w:type="dxa"/>
            <w:tcBorders>
              <w:top w:val="nil"/>
              <w:left w:val="nil"/>
              <w:bottom w:val="single" w:sz="8" w:space="0" w:color="auto"/>
              <w:right w:val="single" w:sz="8" w:space="0" w:color="auto"/>
            </w:tcBorders>
            <w:shd w:val="clear" w:color="auto" w:fill="auto"/>
            <w:noWrap/>
            <w:vAlign w:val="bottom"/>
            <w:hideMark/>
          </w:tcPr>
          <w:p w14:paraId="2E198762" w14:textId="77777777" w:rsidR="007C45CE" w:rsidRPr="00701F32" w:rsidRDefault="007C45CE">
            <w:pPr>
              <w:jc w:val="right"/>
              <w:rPr>
                <w:rFonts w:ascii="Arial" w:hAnsi="Arial" w:cs="Arial"/>
                <w:sz w:val="16"/>
              </w:rPr>
            </w:pPr>
            <w:r w:rsidRPr="00701F32">
              <w:rPr>
                <w:rFonts w:ascii="Arial" w:hAnsi="Arial" w:cs="Arial"/>
                <w:sz w:val="16"/>
              </w:rPr>
              <w:t xml:space="preserve"> -2.313.053 </w:t>
            </w:r>
          </w:p>
        </w:tc>
        <w:tc>
          <w:tcPr>
            <w:tcW w:w="1174" w:type="dxa"/>
            <w:tcBorders>
              <w:top w:val="nil"/>
              <w:left w:val="nil"/>
              <w:bottom w:val="single" w:sz="8" w:space="0" w:color="auto"/>
              <w:right w:val="single" w:sz="8" w:space="0" w:color="auto"/>
            </w:tcBorders>
            <w:shd w:val="clear" w:color="auto" w:fill="auto"/>
            <w:noWrap/>
            <w:vAlign w:val="bottom"/>
            <w:hideMark/>
          </w:tcPr>
          <w:p w14:paraId="246B88E7" w14:textId="77777777" w:rsidR="007C45CE" w:rsidRPr="00701F32" w:rsidRDefault="007C45CE">
            <w:pPr>
              <w:jc w:val="right"/>
              <w:rPr>
                <w:rFonts w:ascii="Arial" w:hAnsi="Arial" w:cs="Arial"/>
                <w:sz w:val="16"/>
              </w:rPr>
            </w:pPr>
            <w:r w:rsidRPr="00701F32">
              <w:rPr>
                <w:rFonts w:ascii="Arial" w:hAnsi="Arial" w:cs="Arial"/>
                <w:sz w:val="16"/>
              </w:rPr>
              <w:t xml:space="preserve"> 1.172.277 </w:t>
            </w:r>
          </w:p>
        </w:tc>
        <w:tc>
          <w:tcPr>
            <w:tcW w:w="1174" w:type="dxa"/>
            <w:tcBorders>
              <w:top w:val="nil"/>
              <w:left w:val="nil"/>
              <w:bottom w:val="single" w:sz="8" w:space="0" w:color="auto"/>
              <w:right w:val="single" w:sz="8" w:space="0" w:color="auto"/>
            </w:tcBorders>
            <w:shd w:val="clear" w:color="auto" w:fill="auto"/>
            <w:noWrap/>
            <w:vAlign w:val="bottom"/>
            <w:hideMark/>
          </w:tcPr>
          <w:p w14:paraId="4C6FD8A3" w14:textId="77777777" w:rsidR="007C45CE" w:rsidRPr="00701F32" w:rsidRDefault="007C45CE">
            <w:pPr>
              <w:jc w:val="right"/>
              <w:rPr>
                <w:rFonts w:ascii="Arial" w:hAnsi="Arial" w:cs="Arial"/>
                <w:sz w:val="16"/>
              </w:rPr>
            </w:pPr>
            <w:r w:rsidRPr="00701F32">
              <w:rPr>
                <w:rFonts w:ascii="Arial" w:hAnsi="Arial" w:cs="Arial"/>
                <w:sz w:val="16"/>
              </w:rPr>
              <w:t xml:space="preserve"> 1.140.776 </w:t>
            </w:r>
          </w:p>
        </w:tc>
        <w:tc>
          <w:tcPr>
            <w:tcW w:w="1174" w:type="dxa"/>
            <w:tcBorders>
              <w:top w:val="nil"/>
              <w:left w:val="nil"/>
              <w:bottom w:val="single" w:sz="8" w:space="0" w:color="auto"/>
              <w:right w:val="single" w:sz="8" w:space="0" w:color="auto"/>
            </w:tcBorders>
            <w:shd w:val="clear" w:color="auto" w:fill="auto"/>
            <w:noWrap/>
            <w:vAlign w:val="bottom"/>
            <w:hideMark/>
          </w:tcPr>
          <w:p w14:paraId="79D6D36E"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028" w:type="dxa"/>
            <w:tcBorders>
              <w:top w:val="nil"/>
              <w:left w:val="nil"/>
              <w:bottom w:val="single" w:sz="8" w:space="0" w:color="auto"/>
              <w:right w:val="single" w:sz="8" w:space="0" w:color="auto"/>
            </w:tcBorders>
            <w:shd w:val="clear" w:color="auto" w:fill="auto"/>
            <w:noWrap/>
            <w:vAlign w:val="bottom"/>
            <w:hideMark/>
          </w:tcPr>
          <w:p w14:paraId="417A2A95"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8" w:space="0" w:color="auto"/>
              <w:right w:val="single" w:sz="8" w:space="0" w:color="auto"/>
            </w:tcBorders>
            <w:shd w:val="clear" w:color="auto" w:fill="auto"/>
            <w:noWrap/>
            <w:vAlign w:val="bottom"/>
            <w:hideMark/>
          </w:tcPr>
          <w:p w14:paraId="06C06748" w14:textId="77777777" w:rsidR="007C45CE" w:rsidRPr="00701F32" w:rsidRDefault="007C45CE">
            <w:pPr>
              <w:jc w:val="right"/>
              <w:rPr>
                <w:rFonts w:ascii="Arial" w:hAnsi="Arial" w:cs="Arial"/>
                <w:sz w:val="16"/>
              </w:rPr>
            </w:pPr>
            <w:r w:rsidRPr="00701F32">
              <w:rPr>
                <w:rFonts w:ascii="Arial" w:hAnsi="Arial" w:cs="Arial"/>
                <w:sz w:val="16"/>
              </w:rPr>
              <w:t xml:space="preserve"> -   </w:t>
            </w:r>
          </w:p>
        </w:tc>
      </w:tr>
      <w:tr w:rsidR="007C45CE" w:rsidRPr="00701F32" w14:paraId="7E9F99B2"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1FB69347" w14:textId="77777777" w:rsidR="007C45CE" w:rsidRPr="00701F32" w:rsidRDefault="007C45CE" w:rsidP="00701F32">
            <w:pPr>
              <w:ind w:left="709" w:hanging="689"/>
              <w:rPr>
                <w:rFonts w:ascii="Arial" w:hAnsi="Arial" w:cs="Arial"/>
                <w:b/>
                <w:bCs/>
                <w:color w:val="000000"/>
                <w:sz w:val="16"/>
                <w:szCs w:val="18"/>
                <w:lang w:val="es-ES_tradnl" w:eastAsia="es-AR"/>
              </w:rPr>
            </w:pPr>
            <w:r w:rsidRPr="00701F32">
              <w:rPr>
                <w:rFonts w:ascii="Arial" w:hAnsi="Arial" w:cs="Arial"/>
                <w:b/>
                <w:bCs/>
                <w:color w:val="000000"/>
                <w:sz w:val="16"/>
                <w:szCs w:val="18"/>
                <w:lang w:eastAsia="es-AR"/>
              </w:rPr>
              <w:t xml:space="preserve"> Resultado neto por intereses </w:t>
            </w:r>
          </w:p>
        </w:tc>
        <w:tc>
          <w:tcPr>
            <w:tcW w:w="1320" w:type="dxa"/>
            <w:tcBorders>
              <w:top w:val="nil"/>
              <w:left w:val="nil"/>
              <w:bottom w:val="single" w:sz="8" w:space="0" w:color="auto"/>
              <w:right w:val="single" w:sz="8" w:space="0" w:color="auto"/>
            </w:tcBorders>
            <w:shd w:val="clear" w:color="auto" w:fill="auto"/>
            <w:noWrap/>
            <w:vAlign w:val="bottom"/>
            <w:hideMark/>
          </w:tcPr>
          <w:p w14:paraId="3A3CD3EC" w14:textId="77777777" w:rsidR="007C45CE" w:rsidRPr="00701F32" w:rsidRDefault="007C45CE">
            <w:pPr>
              <w:jc w:val="right"/>
              <w:rPr>
                <w:rFonts w:ascii="Arial" w:hAnsi="Arial" w:cs="Arial"/>
                <w:b/>
                <w:sz w:val="16"/>
              </w:rPr>
            </w:pPr>
            <w:r w:rsidRPr="00701F32">
              <w:rPr>
                <w:rFonts w:ascii="Arial" w:hAnsi="Arial" w:cs="Arial"/>
                <w:b/>
                <w:sz w:val="16"/>
              </w:rPr>
              <w:t xml:space="preserve"> 1.182.611 </w:t>
            </w:r>
          </w:p>
        </w:tc>
        <w:tc>
          <w:tcPr>
            <w:tcW w:w="1174" w:type="dxa"/>
            <w:tcBorders>
              <w:top w:val="nil"/>
              <w:left w:val="nil"/>
              <w:bottom w:val="single" w:sz="8" w:space="0" w:color="auto"/>
              <w:right w:val="single" w:sz="8" w:space="0" w:color="auto"/>
            </w:tcBorders>
            <w:shd w:val="clear" w:color="auto" w:fill="auto"/>
            <w:noWrap/>
            <w:vAlign w:val="bottom"/>
            <w:hideMark/>
          </w:tcPr>
          <w:p w14:paraId="4A9AE95D" w14:textId="77777777" w:rsidR="007C45CE" w:rsidRPr="00701F32" w:rsidRDefault="007C45CE">
            <w:pPr>
              <w:jc w:val="right"/>
              <w:rPr>
                <w:rFonts w:ascii="Arial" w:hAnsi="Arial" w:cs="Arial"/>
                <w:b/>
                <w:sz w:val="16"/>
              </w:rPr>
            </w:pPr>
            <w:r w:rsidRPr="00701F32">
              <w:rPr>
                <w:rFonts w:ascii="Arial" w:hAnsi="Arial" w:cs="Arial"/>
                <w:b/>
                <w:sz w:val="16"/>
              </w:rPr>
              <w:t xml:space="preserve"> 5.887.206 </w:t>
            </w:r>
          </w:p>
        </w:tc>
        <w:tc>
          <w:tcPr>
            <w:tcW w:w="1174" w:type="dxa"/>
            <w:tcBorders>
              <w:top w:val="nil"/>
              <w:left w:val="nil"/>
              <w:bottom w:val="single" w:sz="8" w:space="0" w:color="auto"/>
              <w:right w:val="single" w:sz="8" w:space="0" w:color="auto"/>
            </w:tcBorders>
            <w:shd w:val="clear" w:color="auto" w:fill="auto"/>
            <w:noWrap/>
            <w:vAlign w:val="bottom"/>
            <w:hideMark/>
          </w:tcPr>
          <w:p w14:paraId="33F76C74" w14:textId="77777777" w:rsidR="007C45CE" w:rsidRPr="00701F32" w:rsidRDefault="007C45CE">
            <w:pPr>
              <w:jc w:val="right"/>
              <w:rPr>
                <w:rFonts w:ascii="Arial" w:hAnsi="Arial" w:cs="Arial"/>
                <w:b/>
                <w:sz w:val="16"/>
              </w:rPr>
            </w:pPr>
            <w:r w:rsidRPr="00701F32">
              <w:rPr>
                <w:rFonts w:ascii="Arial" w:hAnsi="Arial" w:cs="Arial"/>
                <w:b/>
                <w:sz w:val="16"/>
              </w:rPr>
              <w:t xml:space="preserve"> -806.234 </w:t>
            </w:r>
          </w:p>
        </w:tc>
        <w:tc>
          <w:tcPr>
            <w:tcW w:w="1174" w:type="dxa"/>
            <w:tcBorders>
              <w:top w:val="nil"/>
              <w:left w:val="nil"/>
              <w:bottom w:val="single" w:sz="8" w:space="0" w:color="auto"/>
              <w:right w:val="single" w:sz="8" w:space="0" w:color="auto"/>
            </w:tcBorders>
            <w:shd w:val="clear" w:color="auto" w:fill="auto"/>
            <w:noWrap/>
            <w:vAlign w:val="bottom"/>
            <w:hideMark/>
          </w:tcPr>
          <w:p w14:paraId="3608658C" w14:textId="77777777" w:rsidR="007C45CE" w:rsidRPr="00701F32" w:rsidRDefault="007C45CE">
            <w:pPr>
              <w:jc w:val="right"/>
              <w:rPr>
                <w:rFonts w:ascii="Arial" w:hAnsi="Arial" w:cs="Arial"/>
                <w:b/>
                <w:sz w:val="16"/>
              </w:rPr>
            </w:pPr>
            <w:r w:rsidRPr="00701F32">
              <w:rPr>
                <w:rFonts w:ascii="Arial" w:hAnsi="Arial" w:cs="Arial"/>
                <w:b/>
                <w:sz w:val="16"/>
              </w:rPr>
              <w:t xml:space="preserve"> 2.235.419 </w:t>
            </w:r>
          </w:p>
        </w:tc>
        <w:tc>
          <w:tcPr>
            <w:tcW w:w="1028" w:type="dxa"/>
            <w:tcBorders>
              <w:top w:val="nil"/>
              <w:left w:val="nil"/>
              <w:bottom w:val="single" w:sz="8" w:space="0" w:color="auto"/>
              <w:right w:val="single" w:sz="8" w:space="0" w:color="auto"/>
            </w:tcBorders>
            <w:shd w:val="clear" w:color="auto" w:fill="auto"/>
            <w:noWrap/>
            <w:vAlign w:val="bottom"/>
            <w:hideMark/>
          </w:tcPr>
          <w:p w14:paraId="7B2C89AB" w14:textId="77777777" w:rsidR="007C45CE" w:rsidRPr="00701F32" w:rsidRDefault="007C45CE">
            <w:pPr>
              <w:jc w:val="right"/>
              <w:rPr>
                <w:rFonts w:ascii="Arial" w:hAnsi="Arial" w:cs="Arial"/>
                <w:b/>
                <w:sz w:val="16"/>
              </w:rPr>
            </w:pPr>
            <w:r w:rsidRPr="00701F32">
              <w:rPr>
                <w:rFonts w:ascii="Arial" w:hAnsi="Arial" w:cs="Arial"/>
                <w:b/>
                <w:sz w:val="16"/>
              </w:rPr>
              <w:t xml:space="preserve"> -26.616 </w:t>
            </w:r>
          </w:p>
        </w:tc>
        <w:tc>
          <w:tcPr>
            <w:tcW w:w="1174" w:type="dxa"/>
            <w:tcBorders>
              <w:top w:val="nil"/>
              <w:left w:val="nil"/>
              <w:bottom w:val="single" w:sz="8" w:space="0" w:color="auto"/>
              <w:right w:val="single" w:sz="8" w:space="0" w:color="auto"/>
            </w:tcBorders>
            <w:shd w:val="clear" w:color="auto" w:fill="auto"/>
            <w:noWrap/>
            <w:vAlign w:val="bottom"/>
            <w:hideMark/>
          </w:tcPr>
          <w:p w14:paraId="76AA4ED8" w14:textId="77777777" w:rsidR="007C45CE" w:rsidRPr="00701F32" w:rsidRDefault="007C45CE">
            <w:pPr>
              <w:jc w:val="right"/>
              <w:rPr>
                <w:rFonts w:ascii="Arial" w:hAnsi="Arial" w:cs="Arial"/>
                <w:b/>
                <w:sz w:val="16"/>
              </w:rPr>
            </w:pPr>
            <w:r w:rsidRPr="00701F32">
              <w:rPr>
                <w:rFonts w:ascii="Arial" w:hAnsi="Arial" w:cs="Arial"/>
                <w:b/>
                <w:sz w:val="16"/>
              </w:rPr>
              <w:t xml:space="preserve"> 8.472.386 </w:t>
            </w:r>
          </w:p>
        </w:tc>
      </w:tr>
      <w:tr w:rsidR="007C45CE" w:rsidRPr="00701F32" w14:paraId="7839CA9A"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4BD82ACA"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Ingresos por comisiones </w:t>
            </w:r>
          </w:p>
        </w:tc>
        <w:tc>
          <w:tcPr>
            <w:tcW w:w="1320" w:type="dxa"/>
            <w:tcBorders>
              <w:top w:val="nil"/>
              <w:left w:val="nil"/>
              <w:bottom w:val="nil"/>
              <w:right w:val="single" w:sz="8" w:space="0" w:color="auto"/>
            </w:tcBorders>
            <w:shd w:val="clear" w:color="auto" w:fill="auto"/>
            <w:noWrap/>
            <w:vAlign w:val="bottom"/>
            <w:hideMark/>
          </w:tcPr>
          <w:p w14:paraId="3EEE5B3A" w14:textId="77777777" w:rsidR="007C45CE" w:rsidRPr="00701F32" w:rsidRDefault="007C45CE">
            <w:pPr>
              <w:jc w:val="right"/>
              <w:rPr>
                <w:rFonts w:ascii="Arial" w:hAnsi="Arial" w:cs="Arial"/>
                <w:sz w:val="16"/>
              </w:rPr>
            </w:pPr>
            <w:r w:rsidRPr="00701F32">
              <w:rPr>
                <w:rFonts w:ascii="Arial" w:hAnsi="Arial" w:cs="Arial"/>
                <w:sz w:val="16"/>
              </w:rPr>
              <w:t xml:space="preserve"> 468.323 </w:t>
            </w:r>
          </w:p>
        </w:tc>
        <w:tc>
          <w:tcPr>
            <w:tcW w:w="1174" w:type="dxa"/>
            <w:tcBorders>
              <w:top w:val="nil"/>
              <w:left w:val="nil"/>
              <w:bottom w:val="nil"/>
              <w:right w:val="single" w:sz="8" w:space="0" w:color="auto"/>
            </w:tcBorders>
            <w:shd w:val="clear" w:color="auto" w:fill="auto"/>
            <w:noWrap/>
            <w:vAlign w:val="bottom"/>
            <w:hideMark/>
          </w:tcPr>
          <w:p w14:paraId="592EA3B9" w14:textId="77777777" w:rsidR="007C45CE" w:rsidRPr="00701F32" w:rsidRDefault="007C45CE">
            <w:pPr>
              <w:jc w:val="right"/>
              <w:rPr>
                <w:rFonts w:ascii="Arial" w:hAnsi="Arial" w:cs="Arial"/>
                <w:sz w:val="16"/>
              </w:rPr>
            </w:pPr>
            <w:r w:rsidRPr="00701F32">
              <w:rPr>
                <w:rFonts w:ascii="Arial" w:hAnsi="Arial" w:cs="Arial"/>
                <w:sz w:val="16"/>
              </w:rPr>
              <w:t xml:space="preserve"> 2.371.490 </w:t>
            </w:r>
          </w:p>
        </w:tc>
        <w:tc>
          <w:tcPr>
            <w:tcW w:w="1174" w:type="dxa"/>
            <w:tcBorders>
              <w:top w:val="nil"/>
              <w:left w:val="nil"/>
              <w:bottom w:val="nil"/>
              <w:right w:val="single" w:sz="8" w:space="0" w:color="auto"/>
            </w:tcBorders>
            <w:shd w:val="clear" w:color="auto" w:fill="auto"/>
            <w:noWrap/>
            <w:vAlign w:val="bottom"/>
            <w:hideMark/>
          </w:tcPr>
          <w:p w14:paraId="6D4BE05F" w14:textId="77777777" w:rsidR="007C45CE" w:rsidRPr="00701F32" w:rsidRDefault="007C45CE">
            <w:pPr>
              <w:jc w:val="right"/>
              <w:rPr>
                <w:rFonts w:ascii="Arial" w:hAnsi="Arial" w:cs="Arial"/>
                <w:sz w:val="16"/>
              </w:rPr>
            </w:pPr>
            <w:r w:rsidRPr="00701F32">
              <w:rPr>
                <w:rFonts w:ascii="Arial" w:hAnsi="Arial" w:cs="Arial"/>
                <w:sz w:val="16"/>
              </w:rPr>
              <w:t xml:space="preserve"> 17.402 </w:t>
            </w:r>
          </w:p>
        </w:tc>
        <w:tc>
          <w:tcPr>
            <w:tcW w:w="1174" w:type="dxa"/>
            <w:tcBorders>
              <w:top w:val="nil"/>
              <w:left w:val="nil"/>
              <w:bottom w:val="nil"/>
              <w:right w:val="single" w:sz="8" w:space="0" w:color="auto"/>
            </w:tcBorders>
            <w:shd w:val="clear" w:color="auto" w:fill="auto"/>
            <w:noWrap/>
            <w:vAlign w:val="bottom"/>
            <w:hideMark/>
          </w:tcPr>
          <w:p w14:paraId="12EB997F" w14:textId="77777777" w:rsidR="007C45CE" w:rsidRPr="00701F32" w:rsidRDefault="007C45CE">
            <w:pPr>
              <w:jc w:val="right"/>
              <w:rPr>
                <w:rFonts w:ascii="Arial" w:hAnsi="Arial" w:cs="Arial"/>
                <w:sz w:val="16"/>
              </w:rPr>
            </w:pPr>
            <w:r w:rsidRPr="00701F32">
              <w:rPr>
                <w:rFonts w:ascii="Arial" w:hAnsi="Arial" w:cs="Arial"/>
                <w:sz w:val="16"/>
              </w:rPr>
              <w:t xml:space="preserve"> 531.670 </w:t>
            </w:r>
          </w:p>
        </w:tc>
        <w:tc>
          <w:tcPr>
            <w:tcW w:w="1028" w:type="dxa"/>
            <w:tcBorders>
              <w:top w:val="nil"/>
              <w:left w:val="nil"/>
              <w:bottom w:val="nil"/>
              <w:right w:val="single" w:sz="8" w:space="0" w:color="auto"/>
            </w:tcBorders>
            <w:shd w:val="clear" w:color="auto" w:fill="auto"/>
            <w:noWrap/>
            <w:vAlign w:val="bottom"/>
            <w:hideMark/>
          </w:tcPr>
          <w:p w14:paraId="736C4FB6" w14:textId="77777777" w:rsidR="007C45CE" w:rsidRPr="00701F32" w:rsidRDefault="007C45CE">
            <w:pPr>
              <w:jc w:val="right"/>
              <w:rPr>
                <w:rFonts w:ascii="Arial" w:hAnsi="Arial" w:cs="Arial"/>
                <w:sz w:val="16"/>
              </w:rPr>
            </w:pPr>
            <w:r w:rsidRPr="00701F32">
              <w:rPr>
                <w:rFonts w:ascii="Arial" w:hAnsi="Arial" w:cs="Arial"/>
                <w:sz w:val="16"/>
              </w:rPr>
              <w:t xml:space="preserve"> -1.606 </w:t>
            </w:r>
          </w:p>
        </w:tc>
        <w:tc>
          <w:tcPr>
            <w:tcW w:w="1174" w:type="dxa"/>
            <w:tcBorders>
              <w:top w:val="nil"/>
              <w:left w:val="nil"/>
              <w:bottom w:val="nil"/>
              <w:right w:val="single" w:sz="8" w:space="0" w:color="auto"/>
            </w:tcBorders>
            <w:shd w:val="clear" w:color="auto" w:fill="auto"/>
            <w:noWrap/>
            <w:vAlign w:val="bottom"/>
            <w:hideMark/>
          </w:tcPr>
          <w:p w14:paraId="1D3AEA43" w14:textId="77777777" w:rsidR="007C45CE" w:rsidRPr="00701F32" w:rsidRDefault="007C45CE">
            <w:pPr>
              <w:jc w:val="right"/>
              <w:rPr>
                <w:rFonts w:ascii="Arial" w:hAnsi="Arial" w:cs="Arial"/>
                <w:sz w:val="16"/>
              </w:rPr>
            </w:pPr>
            <w:r w:rsidRPr="00701F32">
              <w:rPr>
                <w:rFonts w:ascii="Arial" w:hAnsi="Arial" w:cs="Arial"/>
                <w:sz w:val="16"/>
              </w:rPr>
              <w:t xml:space="preserve"> 3.387.279 </w:t>
            </w:r>
          </w:p>
        </w:tc>
      </w:tr>
      <w:tr w:rsidR="007C45CE" w:rsidRPr="00701F32" w14:paraId="6D48820F"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5C1E73F9"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Egresos por comisiones </w:t>
            </w:r>
          </w:p>
        </w:tc>
        <w:tc>
          <w:tcPr>
            <w:tcW w:w="1320" w:type="dxa"/>
            <w:tcBorders>
              <w:top w:val="nil"/>
              <w:left w:val="nil"/>
              <w:bottom w:val="single" w:sz="8" w:space="0" w:color="auto"/>
              <w:right w:val="single" w:sz="8" w:space="0" w:color="auto"/>
            </w:tcBorders>
            <w:shd w:val="clear" w:color="auto" w:fill="auto"/>
            <w:noWrap/>
            <w:vAlign w:val="bottom"/>
            <w:hideMark/>
          </w:tcPr>
          <w:p w14:paraId="17540561" w14:textId="77777777" w:rsidR="007C45CE" w:rsidRPr="00701F32" w:rsidRDefault="007C45CE">
            <w:pPr>
              <w:jc w:val="right"/>
              <w:rPr>
                <w:rFonts w:ascii="Arial" w:hAnsi="Arial" w:cs="Arial"/>
                <w:sz w:val="16"/>
              </w:rPr>
            </w:pPr>
            <w:r w:rsidRPr="00701F32">
              <w:rPr>
                <w:rFonts w:ascii="Arial" w:hAnsi="Arial" w:cs="Arial"/>
                <w:sz w:val="16"/>
              </w:rPr>
              <w:t xml:space="preserve"> 23.897 </w:t>
            </w:r>
          </w:p>
        </w:tc>
        <w:tc>
          <w:tcPr>
            <w:tcW w:w="1174" w:type="dxa"/>
            <w:tcBorders>
              <w:top w:val="nil"/>
              <w:left w:val="nil"/>
              <w:bottom w:val="single" w:sz="8" w:space="0" w:color="auto"/>
              <w:right w:val="single" w:sz="8" w:space="0" w:color="auto"/>
            </w:tcBorders>
            <w:shd w:val="clear" w:color="auto" w:fill="auto"/>
            <w:noWrap/>
            <w:vAlign w:val="bottom"/>
            <w:hideMark/>
          </w:tcPr>
          <w:p w14:paraId="0D5F1FA0" w14:textId="77777777" w:rsidR="007C45CE" w:rsidRPr="00701F32" w:rsidRDefault="007C45CE">
            <w:pPr>
              <w:jc w:val="right"/>
              <w:rPr>
                <w:rFonts w:ascii="Arial" w:hAnsi="Arial" w:cs="Arial"/>
                <w:sz w:val="16"/>
              </w:rPr>
            </w:pPr>
            <w:r w:rsidRPr="00701F32">
              <w:rPr>
                <w:rFonts w:ascii="Arial" w:hAnsi="Arial" w:cs="Arial"/>
                <w:sz w:val="16"/>
              </w:rPr>
              <w:t xml:space="preserve"> 513.458 </w:t>
            </w:r>
          </w:p>
        </w:tc>
        <w:tc>
          <w:tcPr>
            <w:tcW w:w="1174" w:type="dxa"/>
            <w:tcBorders>
              <w:top w:val="nil"/>
              <w:left w:val="nil"/>
              <w:bottom w:val="single" w:sz="8" w:space="0" w:color="auto"/>
              <w:right w:val="single" w:sz="8" w:space="0" w:color="auto"/>
            </w:tcBorders>
            <w:shd w:val="clear" w:color="auto" w:fill="auto"/>
            <w:noWrap/>
            <w:vAlign w:val="bottom"/>
            <w:hideMark/>
          </w:tcPr>
          <w:p w14:paraId="154CF83F" w14:textId="77777777" w:rsidR="007C45CE" w:rsidRPr="00701F32" w:rsidRDefault="007C45CE">
            <w:pPr>
              <w:jc w:val="right"/>
              <w:rPr>
                <w:rFonts w:ascii="Arial" w:hAnsi="Arial" w:cs="Arial"/>
                <w:sz w:val="16"/>
              </w:rPr>
            </w:pPr>
            <w:r w:rsidRPr="00701F32">
              <w:rPr>
                <w:rFonts w:ascii="Arial" w:hAnsi="Arial" w:cs="Arial"/>
                <w:sz w:val="16"/>
              </w:rPr>
              <w:t xml:space="preserve"> 17.655 </w:t>
            </w:r>
          </w:p>
        </w:tc>
        <w:tc>
          <w:tcPr>
            <w:tcW w:w="1174" w:type="dxa"/>
            <w:tcBorders>
              <w:top w:val="nil"/>
              <w:left w:val="nil"/>
              <w:bottom w:val="single" w:sz="8" w:space="0" w:color="auto"/>
              <w:right w:val="single" w:sz="8" w:space="0" w:color="auto"/>
            </w:tcBorders>
            <w:shd w:val="clear" w:color="auto" w:fill="auto"/>
            <w:noWrap/>
            <w:vAlign w:val="bottom"/>
            <w:hideMark/>
          </w:tcPr>
          <w:p w14:paraId="44DC486D" w14:textId="77777777" w:rsidR="007C45CE" w:rsidRPr="00701F32" w:rsidRDefault="007C45CE">
            <w:pPr>
              <w:jc w:val="right"/>
              <w:rPr>
                <w:rFonts w:ascii="Arial" w:hAnsi="Arial" w:cs="Arial"/>
                <w:sz w:val="16"/>
              </w:rPr>
            </w:pPr>
            <w:r w:rsidRPr="00701F32">
              <w:rPr>
                <w:rFonts w:ascii="Arial" w:hAnsi="Arial" w:cs="Arial"/>
                <w:sz w:val="16"/>
              </w:rPr>
              <w:t xml:space="preserve"> 519.477 </w:t>
            </w:r>
          </w:p>
        </w:tc>
        <w:tc>
          <w:tcPr>
            <w:tcW w:w="1028" w:type="dxa"/>
            <w:tcBorders>
              <w:top w:val="nil"/>
              <w:left w:val="nil"/>
              <w:bottom w:val="single" w:sz="8" w:space="0" w:color="auto"/>
              <w:right w:val="single" w:sz="8" w:space="0" w:color="auto"/>
            </w:tcBorders>
            <w:shd w:val="clear" w:color="auto" w:fill="auto"/>
            <w:noWrap/>
            <w:vAlign w:val="bottom"/>
            <w:hideMark/>
          </w:tcPr>
          <w:p w14:paraId="51D358A3" w14:textId="77777777" w:rsidR="007C45CE" w:rsidRPr="00701F32" w:rsidRDefault="007C45CE">
            <w:pPr>
              <w:jc w:val="right"/>
              <w:rPr>
                <w:rFonts w:ascii="Arial" w:hAnsi="Arial" w:cs="Arial"/>
                <w:sz w:val="16"/>
              </w:rPr>
            </w:pPr>
            <w:r w:rsidRPr="00701F32">
              <w:rPr>
                <w:rFonts w:ascii="Arial" w:hAnsi="Arial" w:cs="Arial"/>
                <w:sz w:val="16"/>
              </w:rPr>
              <w:t xml:space="preserve"> -14.805 </w:t>
            </w:r>
          </w:p>
        </w:tc>
        <w:tc>
          <w:tcPr>
            <w:tcW w:w="1174" w:type="dxa"/>
            <w:tcBorders>
              <w:top w:val="nil"/>
              <w:left w:val="nil"/>
              <w:bottom w:val="single" w:sz="8" w:space="0" w:color="auto"/>
              <w:right w:val="single" w:sz="8" w:space="0" w:color="auto"/>
            </w:tcBorders>
            <w:shd w:val="clear" w:color="auto" w:fill="auto"/>
            <w:noWrap/>
            <w:vAlign w:val="bottom"/>
            <w:hideMark/>
          </w:tcPr>
          <w:p w14:paraId="33FC334B" w14:textId="77777777" w:rsidR="007C45CE" w:rsidRPr="00701F32" w:rsidRDefault="007C45CE">
            <w:pPr>
              <w:jc w:val="right"/>
              <w:rPr>
                <w:rFonts w:ascii="Arial" w:hAnsi="Arial" w:cs="Arial"/>
                <w:sz w:val="16"/>
              </w:rPr>
            </w:pPr>
            <w:r w:rsidRPr="00701F32">
              <w:rPr>
                <w:rFonts w:ascii="Arial" w:hAnsi="Arial" w:cs="Arial"/>
                <w:sz w:val="16"/>
              </w:rPr>
              <w:t xml:space="preserve"> 1.059.682 </w:t>
            </w:r>
          </w:p>
        </w:tc>
      </w:tr>
      <w:tr w:rsidR="007C45CE" w:rsidRPr="00701F32" w14:paraId="760707DF" w14:textId="77777777" w:rsidTr="00B30DEB">
        <w:trPr>
          <w:trHeight w:val="59"/>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11B27409"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Resultado neto por comisiones </w:t>
            </w:r>
          </w:p>
        </w:tc>
        <w:tc>
          <w:tcPr>
            <w:tcW w:w="1320" w:type="dxa"/>
            <w:tcBorders>
              <w:top w:val="nil"/>
              <w:left w:val="nil"/>
              <w:bottom w:val="single" w:sz="8" w:space="0" w:color="auto"/>
              <w:right w:val="single" w:sz="8" w:space="0" w:color="auto"/>
            </w:tcBorders>
            <w:shd w:val="clear" w:color="auto" w:fill="auto"/>
            <w:noWrap/>
            <w:vAlign w:val="bottom"/>
            <w:hideMark/>
          </w:tcPr>
          <w:p w14:paraId="061A370B" w14:textId="77777777" w:rsidR="007C45CE" w:rsidRPr="00701F32" w:rsidRDefault="007C45CE">
            <w:pPr>
              <w:jc w:val="right"/>
              <w:rPr>
                <w:rFonts w:ascii="Arial" w:hAnsi="Arial" w:cs="Arial"/>
                <w:b/>
                <w:sz w:val="16"/>
              </w:rPr>
            </w:pPr>
            <w:r w:rsidRPr="00701F32">
              <w:rPr>
                <w:rFonts w:ascii="Arial" w:hAnsi="Arial" w:cs="Arial"/>
                <w:b/>
                <w:sz w:val="16"/>
              </w:rPr>
              <w:t xml:space="preserve"> 444.426 </w:t>
            </w:r>
          </w:p>
        </w:tc>
        <w:tc>
          <w:tcPr>
            <w:tcW w:w="1174" w:type="dxa"/>
            <w:tcBorders>
              <w:top w:val="nil"/>
              <w:left w:val="nil"/>
              <w:bottom w:val="single" w:sz="8" w:space="0" w:color="auto"/>
              <w:right w:val="single" w:sz="8" w:space="0" w:color="auto"/>
            </w:tcBorders>
            <w:shd w:val="clear" w:color="auto" w:fill="auto"/>
            <w:noWrap/>
            <w:vAlign w:val="bottom"/>
            <w:hideMark/>
          </w:tcPr>
          <w:p w14:paraId="36BE5632" w14:textId="77777777" w:rsidR="007C45CE" w:rsidRPr="00701F32" w:rsidRDefault="007C45CE">
            <w:pPr>
              <w:jc w:val="right"/>
              <w:rPr>
                <w:rFonts w:ascii="Arial" w:hAnsi="Arial" w:cs="Arial"/>
                <w:b/>
                <w:sz w:val="16"/>
              </w:rPr>
            </w:pPr>
            <w:r w:rsidRPr="00701F32">
              <w:rPr>
                <w:rFonts w:ascii="Arial" w:hAnsi="Arial" w:cs="Arial"/>
                <w:b/>
                <w:sz w:val="16"/>
              </w:rPr>
              <w:t xml:space="preserve"> 1.858.032 </w:t>
            </w:r>
          </w:p>
        </w:tc>
        <w:tc>
          <w:tcPr>
            <w:tcW w:w="1174" w:type="dxa"/>
            <w:tcBorders>
              <w:top w:val="nil"/>
              <w:left w:val="nil"/>
              <w:bottom w:val="single" w:sz="8" w:space="0" w:color="auto"/>
              <w:right w:val="single" w:sz="8" w:space="0" w:color="auto"/>
            </w:tcBorders>
            <w:shd w:val="clear" w:color="auto" w:fill="auto"/>
            <w:noWrap/>
            <w:vAlign w:val="bottom"/>
            <w:hideMark/>
          </w:tcPr>
          <w:p w14:paraId="3EFD94A8" w14:textId="77777777" w:rsidR="007C45CE" w:rsidRPr="00701F32" w:rsidRDefault="007C45CE">
            <w:pPr>
              <w:jc w:val="right"/>
              <w:rPr>
                <w:rFonts w:ascii="Arial" w:hAnsi="Arial" w:cs="Arial"/>
                <w:b/>
                <w:sz w:val="16"/>
              </w:rPr>
            </w:pPr>
            <w:r w:rsidRPr="00701F32">
              <w:rPr>
                <w:rFonts w:ascii="Arial" w:hAnsi="Arial" w:cs="Arial"/>
                <w:b/>
                <w:sz w:val="16"/>
              </w:rPr>
              <w:t xml:space="preserve"> -253 </w:t>
            </w:r>
          </w:p>
        </w:tc>
        <w:tc>
          <w:tcPr>
            <w:tcW w:w="1174" w:type="dxa"/>
            <w:tcBorders>
              <w:top w:val="nil"/>
              <w:left w:val="nil"/>
              <w:bottom w:val="single" w:sz="8" w:space="0" w:color="auto"/>
              <w:right w:val="single" w:sz="8" w:space="0" w:color="auto"/>
            </w:tcBorders>
            <w:shd w:val="clear" w:color="auto" w:fill="auto"/>
            <w:noWrap/>
            <w:vAlign w:val="bottom"/>
            <w:hideMark/>
          </w:tcPr>
          <w:p w14:paraId="213CB85D" w14:textId="77777777" w:rsidR="007C45CE" w:rsidRPr="00701F32" w:rsidRDefault="007C45CE">
            <w:pPr>
              <w:jc w:val="right"/>
              <w:rPr>
                <w:rFonts w:ascii="Arial" w:hAnsi="Arial" w:cs="Arial"/>
                <w:b/>
                <w:sz w:val="16"/>
              </w:rPr>
            </w:pPr>
            <w:r w:rsidRPr="00701F32">
              <w:rPr>
                <w:rFonts w:ascii="Arial" w:hAnsi="Arial" w:cs="Arial"/>
                <w:b/>
                <w:sz w:val="16"/>
              </w:rPr>
              <w:t xml:space="preserve"> 12.193 </w:t>
            </w:r>
          </w:p>
        </w:tc>
        <w:tc>
          <w:tcPr>
            <w:tcW w:w="1028" w:type="dxa"/>
            <w:tcBorders>
              <w:top w:val="nil"/>
              <w:left w:val="nil"/>
              <w:bottom w:val="single" w:sz="8" w:space="0" w:color="auto"/>
              <w:right w:val="single" w:sz="8" w:space="0" w:color="auto"/>
            </w:tcBorders>
            <w:shd w:val="clear" w:color="auto" w:fill="auto"/>
            <w:noWrap/>
            <w:vAlign w:val="bottom"/>
            <w:hideMark/>
          </w:tcPr>
          <w:p w14:paraId="31799EA1" w14:textId="77777777" w:rsidR="007C45CE" w:rsidRPr="00701F32" w:rsidRDefault="007C45CE">
            <w:pPr>
              <w:jc w:val="right"/>
              <w:rPr>
                <w:rFonts w:ascii="Arial" w:hAnsi="Arial" w:cs="Arial"/>
                <w:b/>
                <w:sz w:val="16"/>
              </w:rPr>
            </w:pPr>
            <w:r w:rsidRPr="00701F32">
              <w:rPr>
                <w:rFonts w:ascii="Arial" w:hAnsi="Arial" w:cs="Arial"/>
                <w:b/>
                <w:sz w:val="16"/>
              </w:rPr>
              <w:t xml:space="preserve"> 13.199 </w:t>
            </w:r>
          </w:p>
        </w:tc>
        <w:tc>
          <w:tcPr>
            <w:tcW w:w="1174" w:type="dxa"/>
            <w:tcBorders>
              <w:top w:val="nil"/>
              <w:left w:val="nil"/>
              <w:bottom w:val="single" w:sz="8" w:space="0" w:color="auto"/>
              <w:right w:val="single" w:sz="8" w:space="0" w:color="auto"/>
            </w:tcBorders>
            <w:shd w:val="clear" w:color="auto" w:fill="auto"/>
            <w:noWrap/>
            <w:vAlign w:val="bottom"/>
            <w:hideMark/>
          </w:tcPr>
          <w:p w14:paraId="21C74DF9" w14:textId="77777777" w:rsidR="007C45CE" w:rsidRPr="00701F32" w:rsidRDefault="007C45CE">
            <w:pPr>
              <w:jc w:val="right"/>
              <w:rPr>
                <w:rFonts w:ascii="Arial" w:hAnsi="Arial" w:cs="Arial"/>
                <w:b/>
                <w:sz w:val="16"/>
              </w:rPr>
            </w:pPr>
            <w:r w:rsidRPr="00701F32">
              <w:rPr>
                <w:rFonts w:ascii="Arial" w:hAnsi="Arial" w:cs="Arial"/>
                <w:b/>
                <w:sz w:val="16"/>
              </w:rPr>
              <w:t xml:space="preserve"> 2.327.597 </w:t>
            </w:r>
          </w:p>
        </w:tc>
      </w:tr>
      <w:tr w:rsidR="007C45CE" w:rsidRPr="00701F32" w14:paraId="602D3BF4"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06C5DB9E"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Subtotal </w:t>
            </w:r>
          </w:p>
        </w:tc>
        <w:tc>
          <w:tcPr>
            <w:tcW w:w="1320" w:type="dxa"/>
            <w:tcBorders>
              <w:top w:val="nil"/>
              <w:left w:val="nil"/>
              <w:bottom w:val="single" w:sz="8" w:space="0" w:color="auto"/>
              <w:right w:val="single" w:sz="8" w:space="0" w:color="auto"/>
            </w:tcBorders>
            <w:shd w:val="clear" w:color="auto" w:fill="auto"/>
            <w:noWrap/>
            <w:vAlign w:val="bottom"/>
            <w:hideMark/>
          </w:tcPr>
          <w:p w14:paraId="6F86FB8F" w14:textId="77777777" w:rsidR="007C45CE" w:rsidRPr="00701F32" w:rsidRDefault="007C45CE">
            <w:pPr>
              <w:jc w:val="right"/>
              <w:rPr>
                <w:rFonts w:ascii="Arial" w:hAnsi="Arial" w:cs="Arial"/>
                <w:b/>
                <w:sz w:val="16"/>
              </w:rPr>
            </w:pPr>
            <w:r w:rsidRPr="00701F32">
              <w:rPr>
                <w:rFonts w:ascii="Arial" w:hAnsi="Arial" w:cs="Arial"/>
                <w:b/>
                <w:sz w:val="16"/>
              </w:rPr>
              <w:t xml:space="preserve"> 1.627.037 </w:t>
            </w:r>
          </w:p>
        </w:tc>
        <w:tc>
          <w:tcPr>
            <w:tcW w:w="1174" w:type="dxa"/>
            <w:tcBorders>
              <w:top w:val="nil"/>
              <w:left w:val="nil"/>
              <w:bottom w:val="single" w:sz="8" w:space="0" w:color="auto"/>
              <w:right w:val="single" w:sz="8" w:space="0" w:color="auto"/>
            </w:tcBorders>
            <w:shd w:val="clear" w:color="auto" w:fill="auto"/>
            <w:noWrap/>
            <w:vAlign w:val="bottom"/>
            <w:hideMark/>
          </w:tcPr>
          <w:p w14:paraId="286DA1E0" w14:textId="77777777" w:rsidR="007C45CE" w:rsidRPr="00701F32" w:rsidRDefault="007C45CE">
            <w:pPr>
              <w:jc w:val="right"/>
              <w:rPr>
                <w:rFonts w:ascii="Arial" w:hAnsi="Arial" w:cs="Arial"/>
                <w:b/>
                <w:sz w:val="16"/>
              </w:rPr>
            </w:pPr>
            <w:r w:rsidRPr="00701F32">
              <w:rPr>
                <w:rFonts w:ascii="Arial" w:hAnsi="Arial" w:cs="Arial"/>
                <w:b/>
                <w:sz w:val="16"/>
              </w:rPr>
              <w:t xml:space="preserve"> 7.745.238 </w:t>
            </w:r>
          </w:p>
        </w:tc>
        <w:tc>
          <w:tcPr>
            <w:tcW w:w="1174" w:type="dxa"/>
            <w:tcBorders>
              <w:top w:val="nil"/>
              <w:left w:val="nil"/>
              <w:bottom w:val="single" w:sz="8" w:space="0" w:color="auto"/>
              <w:right w:val="single" w:sz="8" w:space="0" w:color="auto"/>
            </w:tcBorders>
            <w:shd w:val="clear" w:color="auto" w:fill="auto"/>
            <w:noWrap/>
            <w:vAlign w:val="bottom"/>
            <w:hideMark/>
          </w:tcPr>
          <w:p w14:paraId="10E7CAD8" w14:textId="77777777" w:rsidR="007C45CE" w:rsidRPr="00701F32" w:rsidRDefault="007C45CE">
            <w:pPr>
              <w:jc w:val="right"/>
              <w:rPr>
                <w:rFonts w:ascii="Arial" w:hAnsi="Arial" w:cs="Arial"/>
                <w:b/>
                <w:sz w:val="16"/>
              </w:rPr>
            </w:pPr>
            <w:r w:rsidRPr="00701F32">
              <w:rPr>
                <w:rFonts w:ascii="Arial" w:hAnsi="Arial" w:cs="Arial"/>
                <w:b/>
                <w:sz w:val="16"/>
              </w:rPr>
              <w:t xml:space="preserve"> -806.487 </w:t>
            </w:r>
          </w:p>
        </w:tc>
        <w:tc>
          <w:tcPr>
            <w:tcW w:w="1174" w:type="dxa"/>
            <w:tcBorders>
              <w:top w:val="nil"/>
              <w:left w:val="nil"/>
              <w:bottom w:val="single" w:sz="8" w:space="0" w:color="auto"/>
              <w:right w:val="single" w:sz="8" w:space="0" w:color="auto"/>
            </w:tcBorders>
            <w:shd w:val="clear" w:color="auto" w:fill="auto"/>
            <w:noWrap/>
            <w:vAlign w:val="bottom"/>
            <w:hideMark/>
          </w:tcPr>
          <w:p w14:paraId="275D8A5A" w14:textId="77777777" w:rsidR="007C45CE" w:rsidRPr="00701F32" w:rsidRDefault="007C45CE">
            <w:pPr>
              <w:jc w:val="right"/>
              <w:rPr>
                <w:rFonts w:ascii="Arial" w:hAnsi="Arial" w:cs="Arial"/>
                <w:b/>
                <w:sz w:val="16"/>
              </w:rPr>
            </w:pPr>
            <w:r w:rsidRPr="00701F32">
              <w:rPr>
                <w:rFonts w:ascii="Arial" w:hAnsi="Arial" w:cs="Arial"/>
                <w:b/>
                <w:sz w:val="16"/>
              </w:rPr>
              <w:t xml:space="preserve"> 2.247.612 </w:t>
            </w:r>
          </w:p>
        </w:tc>
        <w:tc>
          <w:tcPr>
            <w:tcW w:w="1028" w:type="dxa"/>
            <w:tcBorders>
              <w:top w:val="nil"/>
              <w:left w:val="nil"/>
              <w:bottom w:val="single" w:sz="8" w:space="0" w:color="auto"/>
              <w:right w:val="single" w:sz="8" w:space="0" w:color="auto"/>
            </w:tcBorders>
            <w:shd w:val="clear" w:color="auto" w:fill="auto"/>
            <w:noWrap/>
            <w:vAlign w:val="bottom"/>
            <w:hideMark/>
          </w:tcPr>
          <w:p w14:paraId="4A9155EB" w14:textId="77777777" w:rsidR="007C45CE" w:rsidRPr="00701F32" w:rsidRDefault="007C45CE">
            <w:pPr>
              <w:jc w:val="right"/>
              <w:rPr>
                <w:rFonts w:ascii="Arial" w:hAnsi="Arial" w:cs="Arial"/>
                <w:b/>
                <w:sz w:val="16"/>
              </w:rPr>
            </w:pPr>
            <w:r w:rsidRPr="00701F32">
              <w:rPr>
                <w:rFonts w:ascii="Arial" w:hAnsi="Arial" w:cs="Arial"/>
                <w:b/>
                <w:sz w:val="16"/>
              </w:rPr>
              <w:t xml:space="preserve"> -13.417 </w:t>
            </w:r>
          </w:p>
        </w:tc>
        <w:tc>
          <w:tcPr>
            <w:tcW w:w="1174" w:type="dxa"/>
            <w:tcBorders>
              <w:top w:val="nil"/>
              <w:left w:val="nil"/>
              <w:bottom w:val="single" w:sz="8" w:space="0" w:color="auto"/>
              <w:right w:val="single" w:sz="8" w:space="0" w:color="auto"/>
            </w:tcBorders>
            <w:shd w:val="clear" w:color="auto" w:fill="auto"/>
            <w:noWrap/>
            <w:vAlign w:val="bottom"/>
            <w:hideMark/>
          </w:tcPr>
          <w:p w14:paraId="4499ED31" w14:textId="77777777" w:rsidR="007C45CE" w:rsidRPr="00701F32" w:rsidRDefault="007C45CE">
            <w:pPr>
              <w:jc w:val="right"/>
              <w:rPr>
                <w:rFonts w:ascii="Arial" w:hAnsi="Arial" w:cs="Arial"/>
                <w:b/>
                <w:sz w:val="16"/>
              </w:rPr>
            </w:pPr>
            <w:r w:rsidRPr="00701F32">
              <w:rPr>
                <w:rFonts w:ascii="Arial" w:hAnsi="Arial" w:cs="Arial"/>
                <w:b/>
                <w:sz w:val="16"/>
              </w:rPr>
              <w:t xml:space="preserve"> 10.799.983 </w:t>
            </w:r>
          </w:p>
        </w:tc>
      </w:tr>
      <w:tr w:rsidR="007C45CE" w:rsidRPr="00701F32" w14:paraId="49652531"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4261E099"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Resultado neto por medición de instrumentos financieros a valor razonable con cambios en resultados </w:t>
            </w:r>
          </w:p>
        </w:tc>
        <w:tc>
          <w:tcPr>
            <w:tcW w:w="1320" w:type="dxa"/>
            <w:tcBorders>
              <w:top w:val="nil"/>
              <w:left w:val="nil"/>
              <w:bottom w:val="nil"/>
              <w:right w:val="single" w:sz="8" w:space="0" w:color="auto"/>
            </w:tcBorders>
            <w:shd w:val="clear" w:color="auto" w:fill="auto"/>
            <w:noWrap/>
            <w:vAlign w:val="bottom"/>
            <w:hideMark/>
          </w:tcPr>
          <w:p w14:paraId="3FF22912"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nil"/>
              <w:right w:val="single" w:sz="8" w:space="0" w:color="auto"/>
            </w:tcBorders>
            <w:shd w:val="clear" w:color="auto" w:fill="auto"/>
            <w:noWrap/>
            <w:vAlign w:val="bottom"/>
            <w:hideMark/>
          </w:tcPr>
          <w:p w14:paraId="481E6910" w14:textId="77777777" w:rsidR="007C45CE" w:rsidRPr="00701F32" w:rsidRDefault="007C45CE">
            <w:pPr>
              <w:jc w:val="right"/>
              <w:rPr>
                <w:rFonts w:ascii="Arial" w:hAnsi="Arial" w:cs="Arial"/>
                <w:sz w:val="16"/>
              </w:rPr>
            </w:pPr>
            <w:r w:rsidRPr="00701F32">
              <w:rPr>
                <w:rFonts w:ascii="Arial" w:hAnsi="Arial" w:cs="Arial"/>
                <w:sz w:val="16"/>
              </w:rPr>
              <w:t xml:space="preserve"> 15.201 </w:t>
            </w:r>
          </w:p>
        </w:tc>
        <w:tc>
          <w:tcPr>
            <w:tcW w:w="1174" w:type="dxa"/>
            <w:tcBorders>
              <w:top w:val="nil"/>
              <w:left w:val="nil"/>
              <w:bottom w:val="nil"/>
              <w:right w:val="single" w:sz="8" w:space="0" w:color="auto"/>
            </w:tcBorders>
            <w:shd w:val="clear" w:color="auto" w:fill="auto"/>
            <w:noWrap/>
            <w:vAlign w:val="bottom"/>
            <w:hideMark/>
          </w:tcPr>
          <w:p w14:paraId="51B15644" w14:textId="77777777" w:rsidR="007C45CE" w:rsidRPr="00701F32" w:rsidRDefault="007C45CE">
            <w:pPr>
              <w:jc w:val="right"/>
              <w:rPr>
                <w:rFonts w:ascii="Arial" w:hAnsi="Arial" w:cs="Arial"/>
                <w:sz w:val="16"/>
              </w:rPr>
            </w:pPr>
            <w:r w:rsidRPr="00701F32">
              <w:rPr>
                <w:rFonts w:ascii="Arial" w:hAnsi="Arial" w:cs="Arial"/>
                <w:sz w:val="16"/>
              </w:rPr>
              <w:t xml:space="preserve"> 1.766.394 </w:t>
            </w:r>
          </w:p>
        </w:tc>
        <w:tc>
          <w:tcPr>
            <w:tcW w:w="1174" w:type="dxa"/>
            <w:tcBorders>
              <w:top w:val="nil"/>
              <w:left w:val="nil"/>
              <w:bottom w:val="nil"/>
              <w:right w:val="single" w:sz="8" w:space="0" w:color="auto"/>
            </w:tcBorders>
            <w:shd w:val="clear" w:color="auto" w:fill="auto"/>
            <w:noWrap/>
            <w:vAlign w:val="bottom"/>
            <w:hideMark/>
          </w:tcPr>
          <w:p w14:paraId="1B47452C" w14:textId="77777777" w:rsidR="007C45CE" w:rsidRPr="00701F32" w:rsidRDefault="007C45CE">
            <w:pPr>
              <w:jc w:val="right"/>
              <w:rPr>
                <w:rFonts w:ascii="Arial" w:hAnsi="Arial" w:cs="Arial"/>
                <w:sz w:val="16"/>
              </w:rPr>
            </w:pPr>
            <w:r w:rsidRPr="00701F32">
              <w:rPr>
                <w:rFonts w:ascii="Arial" w:hAnsi="Arial" w:cs="Arial"/>
                <w:sz w:val="16"/>
              </w:rPr>
              <w:t xml:space="preserve"> -299.017 </w:t>
            </w:r>
          </w:p>
        </w:tc>
        <w:tc>
          <w:tcPr>
            <w:tcW w:w="1028" w:type="dxa"/>
            <w:tcBorders>
              <w:top w:val="nil"/>
              <w:left w:val="nil"/>
              <w:bottom w:val="nil"/>
              <w:right w:val="single" w:sz="8" w:space="0" w:color="auto"/>
            </w:tcBorders>
            <w:shd w:val="clear" w:color="auto" w:fill="auto"/>
            <w:noWrap/>
            <w:vAlign w:val="bottom"/>
            <w:hideMark/>
          </w:tcPr>
          <w:p w14:paraId="183573FE" w14:textId="77777777" w:rsidR="007C45CE" w:rsidRPr="00701F32" w:rsidRDefault="007C45CE">
            <w:pPr>
              <w:jc w:val="right"/>
              <w:rPr>
                <w:rFonts w:ascii="Arial" w:hAnsi="Arial" w:cs="Arial"/>
                <w:sz w:val="16"/>
              </w:rPr>
            </w:pPr>
            <w:r w:rsidRPr="00701F32">
              <w:rPr>
                <w:rFonts w:ascii="Arial" w:hAnsi="Arial" w:cs="Arial"/>
                <w:sz w:val="16"/>
              </w:rPr>
              <w:t xml:space="preserve"> -28.758 </w:t>
            </w:r>
          </w:p>
        </w:tc>
        <w:tc>
          <w:tcPr>
            <w:tcW w:w="1174" w:type="dxa"/>
            <w:tcBorders>
              <w:top w:val="nil"/>
              <w:left w:val="nil"/>
              <w:bottom w:val="nil"/>
              <w:right w:val="single" w:sz="8" w:space="0" w:color="auto"/>
            </w:tcBorders>
            <w:shd w:val="clear" w:color="auto" w:fill="auto"/>
            <w:noWrap/>
            <w:vAlign w:val="bottom"/>
            <w:hideMark/>
          </w:tcPr>
          <w:p w14:paraId="55AF83EE" w14:textId="77777777" w:rsidR="007C45CE" w:rsidRPr="00701F32" w:rsidRDefault="007C45CE">
            <w:pPr>
              <w:jc w:val="right"/>
              <w:rPr>
                <w:rFonts w:ascii="Arial" w:hAnsi="Arial" w:cs="Arial"/>
                <w:sz w:val="16"/>
              </w:rPr>
            </w:pPr>
            <w:r w:rsidRPr="00701F32">
              <w:rPr>
                <w:rFonts w:ascii="Arial" w:hAnsi="Arial" w:cs="Arial"/>
                <w:sz w:val="16"/>
              </w:rPr>
              <w:t xml:space="preserve"> 1.453.820 </w:t>
            </w:r>
          </w:p>
        </w:tc>
      </w:tr>
      <w:tr w:rsidR="007C45CE" w:rsidRPr="00701F32" w14:paraId="22E246BC"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48509993"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Diferencia de cotización de oro y moneda extranjera </w:t>
            </w:r>
          </w:p>
        </w:tc>
        <w:tc>
          <w:tcPr>
            <w:tcW w:w="1320" w:type="dxa"/>
            <w:tcBorders>
              <w:top w:val="nil"/>
              <w:left w:val="nil"/>
              <w:bottom w:val="nil"/>
              <w:right w:val="single" w:sz="8" w:space="0" w:color="auto"/>
            </w:tcBorders>
            <w:shd w:val="clear" w:color="auto" w:fill="auto"/>
            <w:noWrap/>
            <w:vAlign w:val="bottom"/>
            <w:hideMark/>
          </w:tcPr>
          <w:p w14:paraId="57206EE6" w14:textId="77777777" w:rsidR="007C45CE" w:rsidRPr="00701F32" w:rsidRDefault="007C45CE">
            <w:pPr>
              <w:jc w:val="right"/>
              <w:rPr>
                <w:rFonts w:ascii="Arial" w:hAnsi="Arial" w:cs="Arial"/>
                <w:sz w:val="16"/>
              </w:rPr>
            </w:pPr>
            <w:r w:rsidRPr="00701F32">
              <w:rPr>
                <w:rFonts w:ascii="Arial" w:hAnsi="Arial" w:cs="Arial"/>
                <w:sz w:val="16"/>
              </w:rPr>
              <w:t xml:space="preserve"> -43.337 </w:t>
            </w:r>
          </w:p>
        </w:tc>
        <w:tc>
          <w:tcPr>
            <w:tcW w:w="1174" w:type="dxa"/>
            <w:tcBorders>
              <w:top w:val="nil"/>
              <w:left w:val="nil"/>
              <w:bottom w:val="nil"/>
              <w:right w:val="single" w:sz="8" w:space="0" w:color="auto"/>
            </w:tcBorders>
            <w:shd w:val="clear" w:color="auto" w:fill="auto"/>
            <w:noWrap/>
            <w:vAlign w:val="bottom"/>
            <w:hideMark/>
          </w:tcPr>
          <w:p w14:paraId="124B46DF" w14:textId="77777777" w:rsidR="007C45CE" w:rsidRPr="00701F32" w:rsidRDefault="007C45CE">
            <w:pPr>
              <w:jc w:val="right"/>
              <w:rPr>
                <w:rFonts w:ascii="Arial" w:hAnsi="Arial" w:cs="Arial"/>
                <w:sz w:val="16"/>
              </w:rPr>
            </w:pPr>
            <w:r w:rsidRPr="00701F32">
              <w:rPr>
                <w:rFonts w:ascii="Arial" w:hAnsi="Arial" w:cs="Arial"/>
                <w:sz w:val="16"/>
              </w:rPr>
              <w:t xml:space="preserve"> 151.537 </w:t>
            </w:r>
          </w:p>
        </w:tc>
        <w:tc>
          <w:tcPr>
            <w:tcW w:w="1174" w:type="dxa"/>
            <w:tcBorders>
              <w:top w:val="nil"/>
              <w:left w:val="nil"/>
              <w:bottom w:val="nil"/>
              <w:right w:val="single" w:sz="8" w:space="0" w:color="auto"/>
            </w:tcBorders>
            <w:shd w:val="clear" w:color="auto" w:fill="auto"/>
            <w:noWrap/>
            <w:vAlign w:val="bottom"/>
            <w:hideMark/>
          </w:tcPr>
          <w:p w14:paraId="6CEAA044" w14:textId="77777777" w:rsidR="007C45CE" w:rsidRPr="00701F32" w:rsidRDefault="007C45CE">
            <w:pPr>
              <w:jc w:val="right"/>
              <w:rPr>
                <w:rFonts w:ascii="Arial" w:hAnsi="Arial" w:cs="Arial"/>
                <w:sz w:val="16"/>
              </w:rPr>
            </w:pPr>
            <w:r w:rsidRPr="00701F32">
              <w:rPr>
                <w:rFonts w:ascii="Arial" w:hAnsi="Arial" w:cs="Arial"/>
                <w:sz w:val="16"/>
              </w:rPr>
              <w:t xml:space="preserve"> 135.118 </w:t>
            </w:r>
          </w:p>
        </w:tc>
        <w:tc>
          <w:tcPr>
            <w:tcW w:w="1174" w:type="dxa"/>
            <w:tcBorders>
              <w:top w:val="nil"/>
              <w:left w:val="nil"/>
              <w:bottom w:val="nil"/>
              <w:right w:val="single" w:sz="8" w:space="0" w:color="auto"/>
            </w:tcBorders>
            <w:shd w:val="clear" w:color="auto" w:fill="auto"/>
            <w:noWrap/>
            <w:vAlign w:val="bottom"/>
            <w:hideMark/>
          </w:tcPr>
          <w:p w14:paraId="001346F2" w14:textId="77777777" w:rsidR="007C45CE" w:rsidRPr="00701F32" w:rsidRDefault="007C45CE">
            <w:pPr>
              <w:jc w:val="right"/>
              <w:rPr>
                <w:rFonts w:ascii="Arial" w:hAnsi="Arial" w:cs="Arial"/>
                <w:sz w:val="16"/>
              </w:rPr>
            </w:pPr>
            <w:r w:rsidRPr="00701F32">
              <w:rPr>
                <w:rFonts w:ascii="Arial" w:hAnsi="Arial" w:cs="Arial"/>
                <w:sz w:val="16"/>
              </w:rPr>
              <w:t xml:space="preserve"> 3.268 </w:t>
            </w:r>
          </w:p>
        </w:tc>
        <w:tc>
          <w:tcPr>
            <w:tcW w:w="1028" w:type="dxa"/>
            <w:tcBorders>
              <w:top w:val="nil"/>
              <w:left w:val="nil"/>
              <w:bottom w:val="nil"/>
              <w:right w:val="single" w:sz="8" w:space="0" w:color="auto"/>
            </w:tcBorders>
            <w:shd w:val="clear" w:color="auto" w:fill="auto"/>
            <w:noWrap/>
            <w:vAlign w:val="bottom"/>
            <w:hideMark/>
          </w:tcPr>
          <w:p w14:paraId="7E95574D"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nil"/>
              <w:right w:val="single" w:sz="8" w:space="0" w:color="auto"/>
            </w:tcBorders>
            <w:shd w:val="clear" w:color="auto" w:fill="auto"/>
            <w:noWrap/>
            <w:vAlign w:val="bottom"/>
            <w:hideMark/>
          </w:tcPr>
          <w:p w14:paraId="42431751" w14:textId="77777777" w:rsidR="007C45CE" w:rsidRPr="00701F32" w:rsidRDefault="007C45CE">
            <w:pPr>
              <w:jc w:val="right"/>
              <w:rPr>
                <w:rFonts w:ascii="Arial" w:hAnsi="Arial" w:cs="Arial"/>
                <w:sz w:val="16"/>
              </w:rPr>
            </w:pPr>
            <w:r w:rsidRPr="00701F32">
              <w:rPr>
                <w:rFonts w:ascii="Arial" w:hAnsi="Arial" w:cs="Arial"/>
                <w:sz w:val="16"/>
              </w:rPr>
              <w:t xml:space="preserve"> 246.586 </w:t>
            </w:r>
          </w:p>
        </w:tc>
      </w:tr>
      <w:tr w:rsidR="007C45CE" w:rsidRPr="00701F32" w14:paraId="7F9A7A5D"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5DC058A3"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Otros ingresos operativos </w:t>
            </w:r>
          </w:p>
        </w:tc>
        <w:tc>
          <w:tcPr>
            <w:tcW w:w="1320" w:type="dxa"/>
            <w:tcBorders>
              <w:top w:val="nil"/>
              <w:left w:val="nil"/>
              <w:bottom w:val="nil"/>
              <w:right w:val="single" w:sz="8" w:space="0" w:color="auto"/>
            </w:tcBorders>
            <w:shd w:val="clear" w:color="auto" w:fill="auto"/>
            <w:noWrap/>
            <w:vAlign w:val="bottom"/>
            <w:hideMark/>
          </w:tcPr>
          <w:p w14:paraId="371543DA" w14:textId="77777777" w:rsidR="007C45CE" w:rsidRPr="00701F32" w:rsidRDefault="007C45CE">
            <w:pPr>
              <w:jc w:val="right"/>
              <w:rPr>
                <w:rFonts w:ascii="Arial" w:hAnsi="Arial" w:cs="Arial"/>
                <w:sz w:val="16"/>
              </w:rPr>
            </w:pPr>
            <w:r w:rsidRPr="00701F32">
              <w:rPr>
                <w:rFonts w:ascii="Arial" w:hAnsi="Arial" w:cs="Arial"/>
                <w:sz w:val="16"/>
              </w:rPr>
              <w:t xml:space="preserve"> 217.886 </w:t>
            </w:r>
          </w:p>
        </w:tc>
        <w:tc>
          <w:tcPr>
            <w:tcW w:w="1174" w:type="dxa"/>
            <w:tcBorders>
              <w:top w:val="nil"/>
              <w:left w:val="nil"/>
              <w:bottom w:val="nil"/>
              <w:right w:val="single" w:sz="8" w:space="0" w:color="auto"/>
            </w:tcBorders>
            <w:shd w:val="clear" w:color="auto" w:fill="auto"/>
            <w:noWrap/>
            <w:vAlign w:val="bottom"/>
            <w:hideMark/>
          </w:tcPr>
          <w:p w14:paraId="45D8C57B" w14:textId="77777777" w:rsidR="007C45CE" w:rsidRPr="00701F32" w:rsidRDefault="007C45CE">
            <w:pPr>
              <w:jc w:val="right"/>
              <w:rPr>
                <w:rFonts w:ascii="Arial" w:hAnsi="Arial" w:cs="Arial"/>
                <w:sz w:val="16"/>
              </w:rPr>
            </w:pPr>
            <w:r w:rsidRPr="00701F32">
              <w:rPr>
                <w:rFonts w:ascii="Arial" w:hAnsi="Arial" w:cs="Arial"/>
                <w:sz w:val="16"/>
              </w:rPr>
              <w:t xml:space="preserve"> 676.678 </w:t>
            </w:r>
          </w:p>
        </w:tc>
        <w:tc>
          <w:tcPr>
            <w:tcW w:w="1174" w:type="dxa"/>
            <w:tcBorders>
              <w:top w:val="nil"/>
              <w:left w:val="nil"/>
              <w:bottom w:val="nil"/>
              <w:right w:val="single" w:sz="8" w:space="0" w:color="auto"/>
            </w:tcBorders>
            <w:shd w:val="clear" w:color="auto" w:fill="auto"/>
            <w:noWrap/>
            <w:vAlign w:val="bottom"/>
            <w:hideMark/>
          </w:tcPr>
          <w:p w14:paraId="281CDDDF" w14:textId="77777777" w:rsidR="007C45CE" w:rsidRPr="00701F32" w:rsidRDefault="007C45CE">
            <w:pPr>
              <w:jc w:val="right"/>
              <w:rPr>
                <w:rFonts w:ascii="Arial" w:hAnsi="Arial" w:cs="Arial"/>
                <w:sz w:val="16"/>
              </w:rPr>
            </w:pPr>
            <w:r w:rsidRPr="00701F32">
              <w:rPr>
                <w:rFonts w:ascii="Arial" w:hAnsi="Arial" w:cs="Arial"/>
                <w:sz w:val="16"/>
              </w:rPr>
              <w:t xml:space="preserve"> 52.465 </w:t>
            </w:r>
          </w:p>
        </w:tc>
        <w:tc>
          <w:tcPr>
            <w:tcW w:w="1174" w:type="dxa"/>
            <w:tcBorders>
              <w:top w:val="nil"/>
              <w:left w:val="nil"/>
              <w:bottom w:val="nil"/>
              <w:right w:val="single" w:sz="8" w:space="0" w:color="auto"/>
            </w:tcBorders>
            <w:shd w:val="clear" w:color="auto" w:fill="auto"/>
            <w:noWrap/>
            <w:vAlign w:val="bottom"/>
            <w:hideMark/>
          </w:tcPr>
          <w:p w14:paraId="767873D9" w14:textId="77777777" w:rsidR="007C45CE" w:rsidRPr="00701F32" w:rsidRDefault="007C45CE">
            <w:pPr>
              <w:jc w:val="right"/>
              <w:rPr>
                <w:rFonts w:ascii="Arial" w:hAnsi="Arial" w:cs="Arial"/>
                <w:sz w:val="16"/>
              </w:rPr>
            </w:pPr>
            <w:r w:rsidRPr="00701F32">
              <w:rPr>
                <w:rFonts w:ascii="Arial" w:hAnsi="Arial" w:cs="Arial"/>
                <w:sz w:val="16"/>
              </w:rPr>
              <w:t xml:space="preserve"> 547.519 </w:t>
            </w:r>
          </w:p>
        </w:tc>
        <w:tc>
          <w:tcPr>
            <w:tcW w:w="1028" w:type="dxa"/>
            <w:tcBorders>
              <w:top w:val="nil"/>
              <w:left w:val="nil"/>
              <w:bottom w:val="nil"/>
              <w:right w:val="single" w:sz="8" w:space="0" w:color="auto"/>
            </w:tcBorders>
            <w:shd w:val="clear" w:color="auto" w:fill="auto"/>
            <w:noWrap/>
            <w:vAlign w:val="bottom"/>
            <w:hideMark/>
          </w:tcPr>
          <w:p w14:paraId="060142BF" w14:textId="77777777" w:rsidR="007C45CE" w:rsidRPr="00701F32" w:rsidRDefault="007C45CE">
            <w:pPr>
              <w:jc w:val="right"/>
              <w:rPr>
                <w:rFonts w:ascii="Arial" w:hAnsi="Arial" w:cs="Arial"/>
                <w:sz w:val="16"/>
              </w:rPr>
            </w:pPr>
            <w:r w:rsidRPr="00701F32">
              <w:rPr>
                <w:rFonts w:ascii="Arial" w:hAnsi="Arial" w:cs="Arial"/>
                <w:sz w:val="16"/>
              </w:rPr>
              <w:t xml:space="preserve"> -201.779 </w:t>
            </w:r>
          </w:p>
        </w:tc>
        <w:tc>
          <w:tcPr>
            <w:tcW w:w="1174" w:type="dxa"/>
            <w:tcBorders>
              <w:top w:val="nil"/>
              <w:left w:val="nil"/>
              <w:bottom w:val="nil"/>
              <w:right w:val="single" w:sz="8" w:space="0" w:color="auto"/>
            </w:tcBorders>
            <w:shd w:val="clear" w:color="auto" w:fill="auto"/>
            <w:noWrap/>
            <w:vAlign w:val="bottom"/>
            <w:hideMark/>
          </w:tcPr>
          <w:p w14:paraId="796A570D" w14:textId="77777777" w:rsidR="007C45CE" w:rsidRPr="00701F32" w:rsidRDefault="007C45CE">
            <w:pPr>
              <w:jc w:val="right"/>
              <w:rPr>
                <w:rFonts w:ascii="Arial" w:hAnsi="Arial" w:cs="Arial"/>
                <w:sz w:val="16"/>
              </w:rPr>
            </w:pPr>
            <w:r w:rsidRPr="00701F32">
              <w:rPr>
                <w:rFonts w:ascii="Arial" w:hAnsi="Arial" w:cs="Arial"/>
                <w:sz w:val="16"/>
              </w:rPr>
              <w:t xml:space="preserve"> 1.292.769 </w:t>
            </w:r>
          </w:p>
        </w:tc>
      </w:tr>
      <w:tr w:rsidR="007C45CE" w:rsidRPr="00701F32" w14:paraId="5AE0CF3E" w14:textId="77777777" w:rsidTr="00B30DEB">
        <w:trPr>
          <w:trHeight w:val="77"/>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645550AC"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Cargo por incobrabilidad </w:t>
            </w:r>
          </w:p>
        </w:tc>
        <w:tc>
          <w:tcPr>
            <w:tcW w:w="1320" w:type="dxa"/>
            <w:tcBorders>
              <w:top w:val="nil"/>
              <w:left w:val="nil"/>
              <w:bottom w:val="single" w:sz="8" w:space="0" w:color="auto"/>
              <w:right w:val="single" w:sz="8" w:space="0" w:color="auto"/>
            </w:tcBorders>
            <w:shd w:val="clear" w:color="auto" w:fill="auto"/>
            <w:noWrap/>
            <w:vAlign w:val="bottom"/>
            <w:hideMark/>
          </w:tcPr>
          <w:p w14:paraId="3804BF4F" w14:textId="77777777" w:rsidR="007C45CE" w:rsidRPr="00701F32" w:rsidRDefault="007C45CE">
            <w:pPr>
              <w:jc w:val="right"/>
              <w:rPr>
                <w:rFonts w:ascii="Arial" w:hAnsi="Arial" w:cs="Arial"/>
                <w:sz w:val="16"/>
              </w:rPr>
            </w:pPr>
            <w:r w:rsidRPr="00701F32">
              <w:rPr>
                <w:rFonts w:ascii="Arial" w:hAnsi="Arial" w:cs="Arial"/>
                <w:sz w:val="16"/>
              </w:rPr>
              <w:t xml:space="preserve"> 157.896 </w:t>
            </w:r>
          </w:p>
        </w:tc>
        <w:tc>
          <w:tcPr>
            <w:tcW w:w="1174" w:type="dxa"/>
            <w:tcBorders>
              <w:top w:val="nil"/>
              <w:left w:val="nil"/>
              <w:bottom w:val="single" w:sz="8" w:space="0" w:color="auto"/>
              <w:right w:val="single" w:sz="8" w:space="0" w:color="auto"/>
            </w:tcBorders>
            <w:shd w:val="clear" w:color="auto" w:fill="auto"/>
            <w:noWrap/>
            <w:vAlign w:val="bottom"/>
            <w:hideMark/>
          </w:tcPr>
          <w:p w14:paraId="292C17F6" w14:textId="77777777" w:rsidR="007C45CE" w:rsidRPr="00701F32" w:rsidRDefault="007C45CE">
            <w:pPr>
              <w:jc w:val="right"/>
              <w:rPr>
                <w:rFonts w:ascii="Arial" w:hAnsi="Arial" w:cs="Arial"/>
                <w:sz w:val="16"/>
              </w:rPr>
            </w:pPr>
            <w:r w:rsidRPr="00701F32">
              <w:rPr>
                <w:rFonts w:ascii="Arial" w:hAnsi="Arial" w:cs="Arial"/>
                <w:sz w:val="16"/>
              </w:rPr>
              <w:t xml:space="preserve"> 788.373 </w:t>
            </w:r>
          </w:p>
        </w:tc>
        <w:tc>
          <w:tcPr>
            <w:tcW w:w="1174" w:type="dxa"/>
            <w:tcBorders>
              <w:top w:val="nil"/>
              <w:left w:val="nil"/>
              <w:bottom w:val="single" w:sz="8" w:space="0" w:color="auto"/>
              <w:right w:val="single" w:sz="8" w:space="0" w:color="auto"/>
            </w:tcBorders>
            <w:shd w:val="clear" w:color="auto" w:fill="auto"/>
            <w:noWrap/>
            <w:vAlign w:val="bottom"/>
            <w:hideMark/>
          </w:tcPr>
          <w:p w14:paraId="1B9FFF2D" w14:textId="77777777" w:rsidR="007C45CE" w:rsidRPr="00701F32" w:rsidRDefault="007C45CE">
            <w:pPr>
              <w:jc w:val="right"/>
              <w:rPr>
                <w:rFonts w:ascii="Arial" w:hAnsi="Arial" w:cs="Arial"/>
                <w:sz w:val="16"/>
              </w:rPr>
            </w:pPr>
            <w:r w:rsidRPr="00701F32">
              <w:rPr>
                <w:rFonts w:ascii="Arial" w:hAnsi="Arial" w:cs="Arial"/>
                <w:sz w:val="16"/>
              </w:rPr>
              <w:t xml:space="preserve"> 3.751 </w:t>
            </w:r>
          </w:p>
        </w:tc>
        <w:tc>
          <w:tcPr>
            <w:tcW w:w="1174" w:type="dxa"/>
            <w:tcBorders>
              <w:top w:val="nil"/>
              <w:left w:val="nil"/>
              <w:bottom w:val="single" w:sz="8" w:space="0" w:color="auto"/>
              <w:right w:val="single" w:sz="8" w:space="0" w:color="auto"/>
            </w:tcBorders>
            <w:shd w:val="clear" w:color="auto" w:fill="auto"/>
            <w:noWrap/>
            <w:vAlign w:val="bottom"/>
            <w:hideMark/>
          </w:tcPr>
          <w:p w14:paraId="640D2DC6" w14:textId="77777777" w:rsidR="007C45CE" w:rsidRPr="00701F32" w:rsidRDefault="007C45CE">
            <w:pPr>
              <w:jc w:val="right"/>
              <w:rPr>
                <w:rFonts w:ascii="Arial" w:hAnsi="Arial" w:cs="Arial"/>
                <w:sz w:val="16"/>
              </w:rPr>
            </w:pPr>
            <w:r w:rsidRPr="00701F32">
              <w:rPr>
                <w:rFonts w:ascii="Arial" w:hAnsi="Arial" w:cs="Arial"/>
                <w:sz w:val="16"/>
              </w:rPr>
              <w:t xml:space="preserve"> 984.718 </w:t>
            </w:r>
          </w:p>
        </w:tc>
        <w:tc>
          <w:tcPr>
            <w:tcW w:w="1028" w:type="dxa"/>
            <w:tcBorders>
              <w:top w:val="nil"/>
              <w:left w:val="nil"/>
              <w:bottom w:val="single" w:sz="8" w:space="0" w:color="auto"/>
              <w:right w:val="single" w:sz="8" w:space="0" w:color="auto"/>
            </w:tcBorders>
            <w:shd w:val="clear" w:color="auto" w:fill="auto"/>
            <w:noWrap/>
            <w:vAlign w:val="bottom"/>
            <w:hideMark/>
          </w:tcPr>
          <w:p w14:paraId="68A1E942" w14:textId="77777777" w:rsidR="007C45CE" w:rsidRPr="00701F32" w:rsidRDefault="007C45CE">
            <w:pPr>
              <w:jc w:val="right"/>
              <w:rPr>
                <w:rFonts w:ascii="Arial" w:hAnsi="Arial" w:cs="Arial"/>
                <w:sz w:val="16"/>
              </w:rPr>
            </w:pPr>
            <w:r w:rsidRPr="00701F32">
              <w:rPr>
                <w:rFonts w:ascii="Arial" w:hAnsi="Arial" w:cs="Arial"/>
                <w:sz w:val="16"/>
              </w:rPr>
              <w:t xml:space="preserve"> -23.390 </w:t>
            </w:r>
          </w:p>
        </w:tc>
        <w:tc>
          <w:tcPr>
            <w:tcW w:w="1174" w:type="dxa"/>
            <w:tcBorders>
              <w:top w:val="nil"/>
              <w:left w:val="nil"/>
              <w:bottom w:val="single" w:sz="8" w:space="0" w:color="auto"/>
              <w:right w:val="single" w:sz="8" w:space="0" w:color="auto"/>
            </w:tcBorders>
            <w:shd w:val="clear" w:color="auto" w:fill="auto"/>
            <w:noWrap/>
            <w:vAlign w:val="bottom"/>
            <w:hideMark/>
          </w:tcPr>
          <w:p w14:paraId="267E6B22" w14:textId="77777777" w:rsidR="007C45CE" w:rsidRPr="00701F32" w:rsidRDefault="007C45CE">
            <w:pPr>
              <w:jc w:val="right"/>
              <w:rPr>
                <w:rFonts w:ascii="Arial" w:hAnsi="Arial" w:cs="Arial"/>
                <w:sz w:val="16"/>
              </w:rPr>
            </w:pPr>
            <w:r w:rsidRPr="00701F32">
              <w:rPr>
                <w:rFonts w:ascii="Arial" w:hAnsi="Arial" w:cs="Arial"/>
                <w:sz w:val="16"/>
              </w:rPr>
              <w:t xml:space="preserve"> 1.911.348 </w:t>
            </w:r>
          </w:p>
        </w:tc>
      </w:tr>
      <w:tr w:rsidR="007C45CE" w:rsidRPr="00701F32" w14:paraId="2572293A" w14:textId="77777777" w:rsidTr="00B30DEB">
        <w:trPr>
          <w:trHeight w:val="11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7D7B59D5"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Ingreso operativo neto </w:t>
            </w:r>
          </w:p>
        </w:tc>
        <w:tc>
          <w:tcPr>
            <w:tcW w:w="1320" w:type="dxa"/>
            <w:tcBorders>
              <w:top w:val="nil"/>
              <w:left w:val="nil"/>
              <w:bottom w:val="single" w:sz="8" w:space="0" w:color="auto"/>
              <w:right w:val="single" w:sz="8" w:space="0" w:color="auto"/>
            </w:tcBorders>
            <w:shd w:val="clear" w:color="auto" w:fill="auto"/>
            <w:noWrap/>
            <w:vAlign w:val="bottom"/>
            <w:hideMark/>
          </w:tcPr>
          <w:p w14:paraId="00323832" w14:textId="77777777" w:rsidR="007C45CE" w:rsidRPr="00701F32" w:rsidRDefault="007C45CE">
            <w:pPr>
              <w:jc w:val="right"/>
              <w:rPr>
                <w:rFonts w:ascii="Arial" w:hAnsi="Arial" w:cs="Arial"/>
                <w:b/>
                <w:sz w:val="16"/>
              </w:rPr>
            </w:pPr>
            <w:r w:rsidRPr="00701F32">
              <w:rPr>
                <w:rFonts w:ascii="Arial" w:hAnsi="Arial" w:cs="Arial"/>
                <w:b/>
                <w:sz w:val="16"/>
              </w:rPr>
              <w:t xml:space="preserve"> 1.643.690 </w:t>
            </w:r>
          </w:p>
        </w:tc>
        <w:tc>
          <w:tcPr>
            <w:tcW w:w="1174" w:type="dxa"/>
            <w:tcBorders>
              <w:top w:val="nil"/>
              <w:left w:val="nil"/>
              <w:bottom w:val="single" w:sz="8" w:space="0" w:color="auto"/>
              <w:right w:val="single" w:sz="8" w:space="0" w:color="auto"/>
            </w:tcBorders>
            <w:shd w:val="clear" w:color="auto" w:fill="auto"/>
            <w:noWrap/>
            <w:vAlign w:val="bottom"/>
            <w:hideMark/>
          </w:tcPr>
          <w:p w14:paraId="21A2745D" w14:textId="77777777" w:rsidR="007C45CE" w:rsidRPr="00701F32" w:rsidRDefault="007C45CE">
            <w:pPr>
              <w:jc w:val="right"/>
              <w:rPr>
                <w:rFonts w:ascii="Arial" w:hAnsi="Arial" w:cs="Arial"/>
                <w:b/>
                <w:sz w:val="16"/>
              </w:rPr>
            </w:pPr>
            <w:r w:rsidRPr="00701F32">
              <w:rPr>
                <w:rFonts w:ascii="Arial" w:hAnsi="Arial" w:cs="Arial"/>
                <w:b/>
                <w:sz w:val="16"/>
              </w:rPr>
              <w:t xml:space="preserve"> 7.800.281 </w:t>
            </w:r>
          </w:p>
        </w:tc>
        <w:tc>
          <w:tcPr>
            <w:tcW w:w="1174" w:type="dxa"/>
            <w:tcBorders>
              <w:top w:val="nil"/>
              <w:left w:val="nil"/>
              <w:bottom w:val="single" w:sz="8" w:space="0" w:color="auto"/>
              <w:right w:val="single" w:sz="8" w:space="0" w:color="auto"/>
            </w:tcBorders>
            <w:shd w:val="clear" w:color="auto" w:fill="auto"/>
            <w:noWrap/>
            <w:vAlign w:val="bottom"/>
            <w:hideMark/>
          </w:tcPr>
          <w:p w14:paraId="7056CEFA" w14:textId="77777777" w:rsidR="007C45CE" w:rsidRPr="00701F32" w:rsidRDefault="007C45CE">
            <w:pPr>
              <w:jc w:val="right"/>
              <w:rPr>
                <w:rFonts w:ascii="Arial" w:hAnsi="Arial" w:cs="Arial"/>
                <w:b/>
                <w:sz w:val="16"/>
              </w:rPr>
            </w:pPr>
            <w:r w:rsidRPr="00701F32">
              <w:rPr>
                <w:rFonts w:ascii="Arial" w:hAnsi="Arial" w:cs="Arial"/>
                <w:b/>
                <w:sz w:val="16"/>
              </w:rPr>
              <w:t xml:space="preserve"> 1.143.739 </w:t>
            </w:r>
          </w:p>
        </w:tc>
        <w:tc>
          <w:tcPr>
            <w:tcW w:w="1174" w:type="dxa"/>
            <w:tcBorders>
              <w:top w:val="nil"/>
              <w:left w:val="nil"/>
              <w:bottom w:val="single" w:sz="8" w:space="0" w:color="auto"/>
              <w:right w:val="single" w:sz="8" w:space="0" w:color="auto"/>
            </w:tcBorders>
            <w:shd w:val="clear" w:color="auto" w:fill="auto"/>
            <w:noWrap/>
            <w:vAlign w:val="bottom"/>
            <w:hideMark/>
          </w:tcPr>
          <w:p w14:paraId="4D4F4814" w14:textId="77777777" w:rsidR="007C45CE" w:rsidRPr="00701F32" w:rsidRDefault="007C45CE">
            <w:pPr>
              <w:jc w:val="right"/>
              <w:rPr>
                <w:rFonts w:ascii="Arial" w:hAnsi="Arial" w:cs="Arial"/>
                <w:b/>
                <w:sz w:val="16"/>
              </w:rPr>
            </w:pPr>
            <w:r w:rsidRPr="00701F32">
              <w:rPr>
                <w:rFonts w:ascii="Arial" w:hAnsi="Arial" w:cs="Arial"/>
                <w:b/>
                <w:sz w:val="16"/>
              </w:rPr>
              <w:t xml:space="preserve"> 1.514.664 </w:t>
            </w:r>
          </w:p>
        </w:tc>
        <w:tc>
          <w:tcPr>
            <w:tcW w:w="1028" w:type="dxa"/>
            <w:tcBorders>
              <w:top w:val="nil"/>
              <w:left w:val="nil"/>
              <w:bottom w:val="single" w:sz="8" w:space="0" w:color="auto"/>
              <w:right w:val="single" w:sz="8" w:space="0" w:color="auto"/>
            </w:tcBorders>
            <w:shd w:val="clear" w:color="auto" w:fill="auto"/>
            <w:noWrap/>
            <w:vAlign w:val="bottom"/>
            <w:hideMark/>
          </w:tcPr>
          <w:p w14:paraId="758CF976" w14:textId="77777777" w:rsidR="007C45CE" w:rsidRPr="00701F32" w:rsidRDefault="007C45CE">
            <w:pPr>
              <w:jc w:val="right"/>
              <w:rPr>
                <w:rFonts w:ascii="Arial" w:hAnsi="Arial" w:cs="Arial"/>
                <w:b/>
                <w:sz w:val="16"/>
              </w:rPr>
            </w:pPr>
            <w:r w:rsidRPr="00701F32">
              <w:rPr>
                <w:rFonts w:ascii="Arial" w:hAnsi="Arial" w:cs="Arial"/>
                <w:b/>
                <w:sz w:val="16"/>
              </w:rPr>
              <w:t xml:space="preserve"> -220.564 </w:t>
            </w:r>
          </w:p>
        </w:tc>
        <w:tc>
          <w:tcPr>
            <w:tcW w:w="1174" w:type="dxa"/>
            <w:tcBorders>
              <w:top w:val="nil"/>
              <w:left w:val="nil"/>
              <w:bottom w:val="single" w:sz="8" w:space="0" w:color="auto"/>
              <w:right w:val="single" w:sz="8" w:space="0" w:color="auto"/>
            </w:tcBorders>
            <w:shd w:val="clear" w:color="auto" w:fill="auto"/>
            <w:noWrap/>
            <w:vAlign w:val="bottom"/>
            <w:hideMark/>
          </w:tcPr>
          <w:p w14:paraId="3C4B07AC" w14:textId="77777777" w:rsidR="007C45CE" w:rsidRPr="00701F32" w:rsidRDefault="007C45CE">
            <w:pPr>
              <w:jc w:val="right"/>
              <w:rPr>
                <w:rFonts w:ascii="Arial" w:hAnsi="Arial" w:cs="Arial"/>
                <w:b/>
                <w:sz w:val="16"/>
              </w:rPr>
            </w:pPr>
            <w:r w:rsidRPr="00701F32">
              <w:rPr>
                <w:rFonts w:ascii="Arial" w:hAnsi="Arial" w:cs="Arial"/>
                <w:b/>
                <w:sz w:val="16"/>
              </w:rPr>
              <w:t xml:space="preserve"> 11.881.810 </w:t>
            </w:r>
          </w:p>
        </w:tc>
      </w:tr>
      <w:tr w:rsidR="007C45CE" w:rsidRPr="00701F32" w14:paraId="76EA3429"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27A46472"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Beneficios al personal </w:t>
            </w:r>
          </w:p>
        </w:tc>
        <w:tc>
          <w:tcPr>
            <w:tcW w:w="1320" w:type="dxa"/>
            <w:tcBorders>
              <w:top w:val="nil"/>
              <w:left w:val="nil"/>
              <w:bottom w:val="nil"/>
              <w:right w:val="single" w:sz="8" w:space="0" w:color="auto"/>
            </w:tcBorders>
            <w:shd w:val="clear" w:color="auto" w:fill="auto"/>
            <w:noWrap/>
            <w:vAlign w:val="bottom"/>
            <w:hideMark/>
          </w:tcPr>
          <w:p w14:paraId="68AE431A" w14:textId="77777777" w:rsidR="007C45CE" w:rsidRPr="00701F32" w:rsidRDefault="007C45CE">
            <w:pPr>
              <w:jc w:val="right"/>
              <w:rPr>
                <w:rFonts w:ascii="Arial" w:hAnsi="Arial" w:cs="Arial"/>
                <w:sz w:val="16"/>
              </w:rPr>
            </w:pPr>
            <w:r w:rsidRPr="00701F32">
              <w:rPr>
                <w:rFonts w:ascii="Arial" w:hAnsi="Arial" w:cs="Arial"/>
                <w:sz w:val="16"/>
              </w:rPr>
              <w:t xml:space="preserve"> 659.700 </w:t>
            </w:r>
          </w:p>
        </w:tc>
        <w:tc>
          <w:tcPr>
            <w:tcW w:w="1174" w:type="dxa"/>
            <w:tcBorders>
              <w:top w:val="nil"/>
              <w:left w:val="nil"/>
              <w:bottom w:val="nil"/>
              <w:right w:val="single" w:sz="8" w:space="0" w:color="auto"/>
            </w:tcBorders>
            <w:shd w:val="clear" w:color="auto" w:fill="auto"/>
            <w:noWrap/>
            <w:vAlign w:val="bottom"/>
            <w:hideMark/>
          </w:tcPr>
          <w:p w14:paraId="0051268C" w14:textId="77777777" w:rsidR="007C45CE" w:rsidRPr="00701F32" w:rsidRDefault="007C45CE">
            <w:pPr>
              <w:jc w:val="right"/>
              <w:rPr>
                <w:rFonts w:ascii="Arial" w:hAnsi="Arial" w:cs="Arial"/>
                <w:sz w:val="16"/>
              </w:rPr>
            </w:pPr>
            <w:r w:rsidRPr="00701F32">
              <w:rPr>
                <w:rFonts w:ascii="Arial" w:hAnsi="Arial" w:cs="Arial"/>
                <w:sz w:val="16"/>
              </w:rPr>
              <w:t xml:space="preserve"> 3.560.993 </w:t>
            </w:r>
          </w:p>
        </w:tc>
        <w:tc>
          <w:tcPr>
            <w:tcW w:w="1174" w:type="dxa"/>
            <w:tcBorders>
              <w:top w:val="nil"/>
              <w:left w:val="nil"/>
              <w:bottom w:val="nil"/>
              <w:right w:val="single" w:sz="8" w:space="0" w:color="auto"/>
            </w:tcBorders>
            <w:shd w:val="clear" w:color="auto" w:fill="auto"/>
            <w:noWrap/>
            <w:vAlign w:val="bottom"/>
            <w:hideMark/>
          </w:tcPr>
          <w:p w14:paraId="44408421" w14:textId="77777777" w:rsidR="007C45CE" w:rsidRPr="00701F32" w:rsidRDefault="007C45CE">
            <w:pPr>
              <w:jc w:val="right"/>
              <w:rPr>
                <w:rFonts w:ascii="Arial" w:hAnsi="Arial" w:cs="Arial"/>
                <w:sz w:val="16"/>
              </w:rPr>
            </w:pPr>
            <w:r w:rsidRPr="00701F32">
              <w:rPr>
                <w:rFonts w:ascii="Arial" w:hAnsi="Arial" w:cs="Arial"/>
                <w:sz w:val="16"/>
              </w:rPr>
              <w:t xml:space="preserve"> 243.699 </w:t>
            </w:r>
          </w:p>
        </w:tc>
        <w:tc>
          <w:tcPr>
            <w:tcW w:w="1174" w:type="dxa"/>
            <w:tcBorders>
              <w:top w:val="nil"/>
              <w:left w:val="nil"/>
              <w:bottom w:val="nil"/>
              <w:right w:val="single" w:sz="8" w:space="0" w:color="auto"/>
            </w:tcBorders>
            <w:shd w:val="clear" w:color="auto" w:fill="auto"/>
            <w:noWrap/>
            <w:vAlign w:val="bottom"/>
            <w:hideMark/>
          </w:tcPr>
          <w:p w14:paraId="7A19B376" w14:textId="77777777" w:rsidR="007C45CE" w:rsidRPr="00701F32" w:rsidRDefault="007C45CE">
            <w:pPr>
              <w:jc w:val="right"/>
              <w:rPr>
                <w:rFonts w:ascii="Arial" w:hAnsi="Arial" w:cs="Arial"/>
                <w:sz w:val="16"/>
              </w:rPr>
            </w:pPr>
            <w:r w:rsidRPr="00701F32">
              <w:rPr>
                <w:rFonts w:ascii="Arial" w:hAnsi="Arial" w:cs="Arial"/>
                <w:sz w:val="16"/>
              </w:rPr>
              <w:t xml:space="preserve"> 432.638 </w:t>
            </w:r>
          </w:p>
        </w:tc>
        <w:tc>
          <w:tcPr>
            <w:tcW w:w="1028" w:type="dxa"/>
            <w:tcBorders>
              <w:top w:val="nil"/>
              <w:left w:val="nil"/>
              <w:bottom w:val="nil"/>
              <w:right w:val="single" w:sz="8" w:space="0" w:color="auto"/>
            </w:tcBorders>
            <w:shd w:val="clear" w:color="auto" w:fill="auto"/>
            <w:noWrap/>
            <w:vAlign w:val="bottom"/>
            <w:hideMark/>
          </w:tcPr>
          <w:p w14:paraId="4706BD6A"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nil"/>
              <w:right w:val="single" w:sz="8" w:space="0" w:color="auto"/>
            </w:tcBorders>
            <w:shd w:val="clear" w:color="auto" w:fill="auto"/>
            <w:noWrap/>
            <w:vAlign w:val="bottom"/>
            <w:hideMark/>
          </w:tcPr>
          <w:p w14:paraId="689D559C" w14:textId="77777777" w:rsidR="007C45CE" w:rsidRPr="00701F32" w:rsidRDefault="007C45CE">
            <w:pPr>
              <w:jc w:val="right"/>
              <w:rPr>
                <w:rFonts w:ascii="Arial" w:hAnsi="Arial" w:cs="Arial"/>
                <w:sz w:val="16"/>
              </w:rPr>
            </w:pPr>
            <w:r w:rsidRPr="00701F32">
              <w:rPr>
                <w:rFonts w:ascii="Arial" w:hAnsi="Arial" w:cs="Arial"/>
                <w:sz w:val="16"/>
              </w:rPr>
              <w:t xml:space="preserve"> 4.897.030 </w:t>
            </w:r>
          </w:p>
        </w:tc>
      </w:tr>
      <w:tr w:rsidR="007C45CE" w:rsidRPr="00701F32" w14:paraId="767FAD73"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11DFF7B7"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Gastos de administración </w:t>
            </w:r>
          </w:p>
        </w:tc>
        <w:tc>
          <w:tcPr>
            <w:tcW w:w="1320" w:type="dxa"/>
            <w:tcBorders>
              <w:top w:val="nil"/>
              <w:left w:val="nil"/>
              <w:bottom w:val="nil"/>
              <w:right w:val="single" w:sz="8" w:space="0" w:color="auto"/>
            </w:tcBorders>
            <w:shd w:val="clear" w:color="auto" w:fill="auto"/>
            <w:noWrap/>
            <w:vAlign w:val="bottom"/>
            <w:hideMark/>
          </w:tcPr>
          <w:p w14:paraId="582EF3D5" w14:textId="77777777" w:rsidR="007C45CE" w:rsidRPr="00701F32" w:rsidRDefault="007C45CE">
            <w:pPr>
              <w:jc w:val="right"/>
              <w:rPr>
                <w:rFonts w:ascii="Arial" w:hAnsi="Arial" w:cs="Arial"/>
                <w:sz w:val="16"/>
              </w:rPr>
            </w:pPr>
            <w:r w:rsidRPr="00701F32">
              <w:rPr>
                <w:rFonts w:ascii="Arial" w:hAnsi="Arial" w:cs="Arial"/>
                <w:sz w:val="16"/>
              </w:rPr>
              <w:t xml:space="preserve"> 273.644 </w:t>
            </w:r>
          </w:p>
        </w:tc>
        <w:tc>
          <w:tcPr>
            <w:tcW w:w="1174" w:type="dxa"/>
            <w:tcBorders>
              <w:top w:val="nil"/>
              <w:left w:val="nil"/>
              <w:bottom w:val="nil"/>
              <w:right w:val="single" w:sz="8" w:space="0" w:color="auto"/>
            </w:tcBorders>
            <w:shd w:val="clear" w:color="auto" w:fill="auto"/>
            <w:noWrap/>
            <w:vAlign w:val="bottom"/>
            <w:hideMark/>
          </w:tcPr>
          <w:p w14:paraId="1C4D0FBE" w14:textId="77777777" w:rsidR="007C45CE" w:rsidRPr="00701F32" w:rsidRDefault="007C45CE">
            <w:pPr>
              <w:jc w:val="right"/>
              <w:rPr>
                <w:rFonts w:ascii="Arial" w:hAnsi="Arial" w:cs="Arial"/>
                <w:sz w:val="16"/>
              </w:rPr>
            </w:pPr>
            <w:r w:rsidRPr="00701F32">
              <w:rPr>
                <w:rFonts w:ascii="Arial" w:hAnsi="Arial" w:cs="Arial"/>
                <w:sz w:val="16"/>
              </w:rPr>
              <w:t xml:space="preserve"> 2.179.951 </w:t>
            </w:r>
          </w:p>
        </w:tc>
        <w:tc>
          <w:tcPr>
            <w:tcW w:w="1174" w:type="dxa"/>
            <w:tcBorders>
              <w:top w:val="nil"/>
              <w:left w:val="nil"/>
              <w:bottom w:val="nil"/>
              <w:right w:val="single" w:sz="8" w:space="0" w:color="auto"/>
            </w:tcBorders>
            <w:shd w:val="clear" w:color="auto" w:fill="auto"/>
            <w:noWrap/>
            <w:vAlign w:val="bottom"/>
            <w:hideMark/>
          </w:tcPr>
          <w:p w14:paraId="5361ABF0" w14:textId="77777777" w:rsidR="007C45CE" w:rsidRPr="00701F32" w:rsidRDefault="007C45CE">
            <w:pPr>
              <w:jc w:val="right"/>
              <w:rPr>
                <w:rFonts w:ascii="Arial" w:hAnsi="Arial" w:cs="Arial"/>
                <w:sz w:val="16"/>
              </w:rPr>
            </w:pPr>
            <w:r w:rsidRPr="00701F32">
              <w:rPr>
                <w:rFonts w:ascii="Arial" w:hAnsi="Arial" w:cs="Arial"/>
                <w:sz w:val="16"/>
              </w:rPr>
              <w:t xml:space="preserve"> 129.415 </w:t>
            </w:r>
          </w:p>
        </w:tc>
        <w:tc>
          <w:tcPr>
            <w:tcW w:w="1174" w:type="dxa"/>
            <w:tcBorders>
              <w:top w:val="nil"/>
              <w:left w:val="nil"/>
              <w:bottom w:val="nil"/>
              <w:right w:val="single" w:sz="8" w:space="0" w:color="auto"/>
            </w:tcBorders>
            <w:shd w:val="clear" w:color="auto" w:fill="auto"/>
            <w:noWrap/>
            <w:vAlign w:val="bottom"/>
            <w:hideMark/>
          </w:tcPr>
          <w:p w14:paraId="650DEDB4" w14:textId="77777777" w:rsidR="007C45CE" w:rsidRPr="00701F32" w:rsidRDefault="007C45CE">
            <w:pPr>
              <w:jc w:val="right"/>
              <w:rPr>
                <w:rFonts w:ascii="Arial" w:hAnsi="Arial" w:cs="Arial"/>
                <w:sz w:val="16"/>
              </w:rPr>
            </w:pPr>
            <w:r w:rsidRPr="00701F32">
              <w:rPr>
                <w:rFonts w:ascii="Arial" w:hAnsi="Arial" w:cs="Arial"/>
                <w:sz w:val="16"/>
              </w:rPr>
              <w:t xml:space="preserve"> 538.486 </w:t>
            </w:r>
          </w:p>
        </w:tc>
        <w:tc>
          <w:tcPr>
            <w:tcW w:w="1028" w:type="dxa"/>
            <w:tcBorders>
              <w:top w:val="nil"/>
              <w:left w:val="nil"/>
              <w:bottom w:val="nil"/>
              <w:right w:val="single" w:sz="8" w:space="0" w:color="auto"/>
            </w:tcBorders>
            <w:shd w:val="clear" w:color="auto" w:fill="auto"/>
            <w:noWrap/>
            <w:vAlign w:val="bottom"/>
            <w:hideMark/>
          </w:tcPr>
          <w:p w14:paraId="6264F239" w14:textId="77777777" w:rsidR="007C45CE" w:rsidRPr="00701F32" w:rsidRDefault="007C45CE">
            <w:pPr>
              <w:jc w:val="right"/>
              <w:rPr>
                <w:rFonts w:ascii="Arial" w:hAnsi="Arial" w:cs="Arial"/>
                <w:sz w:val="16"/>
              </w:rPr>
            </w:pPr>
            <w:r w:rsidRPr="00701F32">
              <w:rPr>
                <w:rFonts w:ascii="Arial" w:hAnsi="Arial" w:cs="Arial"/>
                <w:sz w:val="16"/>
              </w:rPr>
              <w:t xml:space="preserve"> -19.887 </w:t>
            </w:r>
          </w:p>
        </w:tc>
        <w:tc>
          <w:tcPr>
            <w:tcW w:w="1174" w:type="dxa"/>
            <w:tcBorders>
              <w:top w:val="nil"/>
              <w:left w:val="nil"/>
              <w:bottom w:val="nil"/>
              <w:right w:val="single" w:sz="8" w:space="0" w:color="auto"/>
            </w:tcBorders>
            <w:shd w:val="clear" w:color="auto" w:fill="auto"/>
            <w:noWrap/>
            <w:vAlign w:val="bottom"/>
            <w:hideMark/>
          </w:tcPr>
          <w:p w14:paraId="55AD5AC2" w14:textId="77777777" w:rsidR="007C45CE" w:rsidRPr="00701F32" w:rsidRDefault="007C45CE">
            <w:pPr>
              <w:jc w:val="right"/>
              <w:rPr>
                <w:rFonts w:ascii="Arial" w:hAnsi="Arial" w:cs="Arial"/>
                <w:sz w:val="16"/>
              </w:rPr>
            </w:pPr>
            <w:r w:rsidRPr="00701F32">
              <w:rPr>
                <w:rFonts w:ascii="Arial" w:hAnsi="Arial" w:cs="Arial"/>
                <w:sz w:val="16"/>
              </w:rPr>
              <w:t xml:space="preserve"> 3.101.609 </w:t>
            </w:r>
          </w:p>
        </w:tc>
      </w:tr>
      <w:tr w:rsidR="007C45CE" w:rsidRPr="00701F32" w14:paraId="34580087" w14:textId="77777777" w:rsidTr="00B30DEB">
        <w:trPr>
          <w:trHeight w:val="220"/>
        </w:trPr>
        <w:tc>
          <w:tcPr>
            <w:tcW w:w="3910" w:type="dxa"/>
            <w:tcBorders>
              <w:top w:val="nil"/>
              <w:left w:val="single" w:sz="8" w:space="0" w:color="auto"/>
              <w:bottom w:val="nil"/>
              <w:right w:val="single" w:sz="8" w:space="0" w:color="auto"/>
            </w:tcBorders>
            <w:shd w:val="clear" w:color="auto" w:fill="auto"/>
            <w:noWrap/>
            <w:vAlign w:val="center"/>
            <w:hideMark/>
          </w:tcPr>
          <w:p w14:paraId="1B2E00FA"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Depreciaciones y desvalorizaciones de bienes </w:t>
            </w:r>
          </w:p>
        </w:tc>
        <w:tc>
          <w:tcPr>
            <w:tcW w:w="1320" w:type="dxa"/>
            <w:tcBorders>
              <w:top w:val="nil"/>
              <w:left w:val="nil"/>
              <w:bottom w:val="nil"/>
              <w:right w:val="single" w:sz="8" w:space="0" w:color="auto"/>
            </w:tcBorders>
            <w:shd w:val="clear" w:color="auto" w:fill="auto"/>
            <w:noWrap/>
            <w:vAlign w:val="bottom"/>
            <w:hideMark/>
          </w:tcPr>
          <w:p w14:paraId="4EE83563" w14:textId="77777777" w:rsidR="007C45CE" w:rsidRPr="00701F32" w:rsidRDefault="007C45CE">
            <w:pPr>
              <w:jc w:val="right"/>
              <w:rPr>
                <w:rFonts w:ascii="Arial" w:hAnsi="Arial" w:cs="Arial"/>
                <w:sz w:val="16"/>
              </w:rPr>
            </w:pPr>
            <w:r w:rsidRPr="00701F32">
              <w:rPr>
                <w:rFonts w:ascii="Arial" w:hAnsi="Arial" w:cs="Arial"/>
                <w:sz w:val="16"/>
              </w:rPr>
              <w:t xml:space="preserve"> 40.331 </w:t>
            </w:r>
          </w:p>
        </w:tc>
        <w:tc>
          <w:tcPr>
            <w:tcW w:w="1174" w:type="dxa"/>
            <w:tcBorders>
              <w:top w:val="nil"/>
              <w:left w:val="nil"/>
              <w:bottom w:val="nil"/>
              <w:right w:val="single" w:sz="8" w:space="0" w:color="auto"/>
            </w:tcBorders>
            <w:shd w:val="clear" w:color="auto" w:fill="auto"/>
            <w:noWrap/>
            <w:vAlign w:val="bottom"/>
            <w:hideMark/>
          </w:tcPr>
          <w:p w14:paraId="3D54E424" w14:textId="77777777" w:rsidR="007C45CE" w:rsidRPr="00701F32" w:rsidRDefault="007C45CE">
            <w:pPr>
              <w:jc w:val="right"/>
              <w:rPr>
                <w:rFonts w:ascii="Arial" w:hAnsi="Arial" w:cs="Arial"/>
                <w:sz w:val="16"/>
              </w:rPr>
            </w:pPr>
            <w:r w:rsidRPr="00701F32">
              <w:rPr>
                <w:rFonts w:ascii="Arial" w:hAnsi="Arial" w:cs="Arial"/>
                <w:sz w:val="16"/>
              </w:rPr>
              <w:t xml:space="preserve"> 182.573 </w:t>
            </w:r>
          </w:p>
        </w:tc>
        <w:tc>
          <w:tcPr>
            <w:tcW w:w="1174" w:type="dxa"/>
            <w:tcBorders>
              <w:top w:val="nil"/>
              <w:left w:val="nil"/>
              <w:bottom w:val="nil"/>
              <w:right w:val="single" w:sz="8" w:space="0" w:color="auto"/>
            </w:tcBorders>
            <w:shd w:val="clear" w:color="auto" w:fill="auto"/>
            <w:noWrap/>
            <w:vAlign w:val="bottom"/>
            <w:hideMark/>
          </w:tcPr>
          <w:p w14:paraId="7CC1165C" w14:textId="77777777" w:rsidR="007C45CE" w:rsidRPr="00701F32" w:rsidRDefault="007C45CE">
            <w:pPr>
              <w:jc w:val="right"/>
              <w:rPr>
                <w:rFonts w:ascii="Arial" w:hAnsi="Arial" w:cs="Arial"/>
                <w:sz w:val="16"/>
              </w:rPr>
            </w:pPr>
            <w:r w:rsidRPr="00701F32">
              <w:rPr>
                <w:rFonts w:ascii="Arial" w:hAnsi="Arial" w:cs="Arial"/>
                <w:sz w:val="16"/>
              </w:rPr>
              <w:t xml:space="preserve"> 47.307 </w:t>
            </w:r>
          </w:p>
        </w:tc>
        <w:tc>
          <w:tcPr>
            <w:tcW w:w="1174" w:type="dxa"/>
            <w:tcBorders>
              <w:top w:val="nil"/>
              <w:left w:val="nil"/>
              <w:bottom w:val="nil"/>
              <w:right w:val="single" w:sz="8" w:space="0" w:color="auto"/>
            </w:tcBorders>
            <w:shd w:val="clear" w:color="auto" w:fill="auto"/>
            <w:noWrap/>
            <w:vAlign w:val="bottom"/>
            <w:hideMark/>
          </w:tcPr>
          <w:p w14:paraId="1683CD19" w14:textId="77777777" w:rsidR="007C45CE" w:rsidRPr="00701F32" w:rsidRDefault="007C45CE">
            <w:pPr>
              <w:jc w:val="right"/>
              <w:rPr>
                <w:rFonts w:ascii="Arial" w:hAnsi="Arial" w:cs="Arial"/>
                <w:sz w:val="16"/>
              </w:rPr>
            </w:pPr>
            <w:r w:rsidRPr="00701F32">
              <w:rPr>
                <w:rFonts w:ascii="Arial" w:hAnsi="Arial" w:cs="Arial"/>
                <w:sz w:val="16"/>
              </w:rPr>
              <w:t xml:space="preserve"> 23.461 </w:t>
            </w:r>
          </w:p>
        </w:tc>
        <w:tc>
          <w:tcPr>
            <w:tcW w:w="1028" w:type="dxa"/>
            <w:tcBorders>
              <w:top w:val="nil"/>
              <w:left w:val="nil"/>
              <w:bottom w:val="nil"/>
              <w:right w:val="single" w:sz="8" w:space="0" w:color="auto"/>
            </w:tcBorders>
            <w:shd w:val="clear" w:color="auto" w:fill="auto"/>
            <w:noWrap/>
            <w:vAlign w:val="bottom"/>
            <w:hideMark/>
          </w:tcPr>
          <w:p w14:paraId="595FED5B"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nil"/>
              <w:right w:val="single" w:sz="8" w:space="0" w:color="auto"/>
            </w:tcBorders>
            <w:shd w:val="clear" w:color="auto" w:fill="auto"/>
            <w:noWrap/>
            <w:vAlign w:val="bottom"/>
            <w:hideMark/>
          </w:tcPr>
          <w:p w14:paraId="50219B84" w14:textId="77777777" w:rsidR="007C45CE" w:rsidRPr="00701F32" w:rsidRDefault="007C45CE">
            <w:pPr>
              <w:jc w:val="right"/>
              <w:rPr>
                <w:rFonts w:ascii="Arial" w:hAnsi="Arial" w:cs="Arial"/>
                <w:sz w:val="16"/>
              </w:rPr>
            </w:pPr>
            <w:r w:rsidRPr="00701F32">
              <w:rPr>
                <w:rFonts w:ascii="Arial" w:hAnsi="Arial" w:cs="Arial"/>
                <w:sz w:val="16"/>
              </w:rPr>
              <w:t xml:space="preserve"> 293.672 </w:t>
            </w:r>
          </w:p>
        </w:tc>
      </w:tr>
      <w:tr w:rsidR="007C45CE" w:rsidRPr="00701F32" w14:paraId="618DB7E9"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2F191243"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Otros gastos operativos </w:t>
            </w:r>
          </w:p>
        </w:tc>
        <w:tc>
          <w:tcPr>
            <w:tcW w:w="1320" w:type="dxa"/>
            <w:tcBorders>
              <w:top w:val="nil"/>
              <w:left w:val="nil"/>
              <w:bottom w:val="single" w:sz="8" w:space="0" w:color="auto"/>
              <w:right w:val="single" w:sz="8" w:space="0" w:color="auto"/>
            </w:tcBorders>
            <w:shd w:val="clear" w:color="auto" w:fill="auto"/>
            <w:noWrap/>
            <w:vAlign w:val="bottom"/>
            <w:hideMark/>
          </w:tcPr>
          <w:p w14:paraId="6FDE584C" w14:textId="77777777" w:rsidR="007C45CE" w:rsidRPr="00701F32" w:rsidRDefault="007C45CE">
            <w:pPr>
              <w:jc w:val="right"/>
              <w:rPr>
                <w:rFonts w:ascii="Arial" w:hAnsi="Arial" w:cs="Arial"/>
                <w:sz w:val="16"/>
              </w:rPr>
            </w:pPr>
            <w:r w:rsidRPr="00701F32">
              <w:rPr>
                <w:rFonts w:ascii="Arial" w:hAnsi="Arial" w:cs="Arial"/>
                <w:sz w:val="16"/>
              </w:rPr>
              <w:t xml:space="preserve"> 416.732 </w:t>
            </w:r>
          </w:p>
        </w:tc>
        <w:tc>
          <w:tcPr>
            <w:tcW w:w="1174" w:type="dxa"/>
            <w:tcBorders>
              <w:top w:val="nil"/>
              <w:left w:val="nil"/>
              <w:bottom w:val="single" w:sz="8" w:space="0" w:color="auto"/>
              <w:right w:val="single" w:sz="8" w:space="0" w:color="auto"/>
            </w:tcBorders>
            <w:shd w:val="clear" w:color="auto" w:fill="auto"/>
            <w:noWrap/>
            <w:vAlign w:val="bottom"/>
            <w:hideMark/>
          </w:tcPr>
          <w:p w14:paraId="3FEE5225" w14:textId="77777777" w:rsidR="007C45CE" w:rsidRPr="00701F32" w:rsidRDefault="007C45CE">
            <w:pPr>
              <w:jc w:val="right"/>
              <w:rPr>
                <w:rFonts w:ascii="Arial" w:hAnsi="Arial" w:cs="Arial"/>
                <w:sz w:val="16"/>
              </w:rPr>
            </w:pPr>
            <w:r w:rsidRPr="00701F32">
              <w:rPr>
                <w:rFonts w:ascii="Arial" w:hAnsi="Arial" w:cs="Arial"/>
                <w:sz w:val="16"/>
              </w:rPr>
              <w:t xml:space="preserve"> 1.598.732 </w:t>
            </w:r>
          </w:p>
        </w:tc>
        <w:tc>
          <w:tcPr>
            <w:tcW w:w="1174" w:type="dxa"/>
            <w:tcBorders>
              <w:top w:val="nil"/>
              <w:left w:val="nil"/>
              <w:bottom w:val="single" w:sz="8" w:space="0" w:color="auto"/>
              <w:right w:val="single" w:sz="8" w:space="0" w:color="auto"/>
            </w:tcBorders>
            <w:shd w:val="clear" w:color="auto" w:fill="auto"/>
            <w:noWrap/>
            <w:vAlign w:val="bottom"/>
            <w:hideMark/>
          </w:tcPr>
          <w:p w14:paraId="34D23D11" w14:textId="77777777" w:rsidR="007C45CE" w:rsidRPr="00701F32" w:rsidRDefault="007C45CE">
            <w:pPr>
              <w:jc w:val="right"/>
              <w:rPr>
                <w:rFonts w:ascii="Arial" w:hAnsi="Arial" w:cs="Arial"/>
                <w:sz w:val="16"/>
              </w:rPr>
            </w:pPr>
            <w:r w:rsidRPr="00701F32">
              <w:rPr>
                <w:rFonts w:ascii="Arial" w:hAnsi="Arial" w:cs="Arial"/>
                <w:sz w:val="16"/>
              </w:rPr>
              <w:t xml:space="preserve"> 142.703 </w:t>
            </w:r>
          </w:p>
        </w:tc>
        <w:tc>
          <w:tcPr>
            <w:tcW w:w="1174" w:type="dxa"/>
            <w:tcBorders>
              <w:top w:val="nil"/>
              <w:left w:val="nil"/>
              <w:bottom w:val="single" w:sz="8" w:space="0" w:color="auto"/>
              <w:right w:val="single" w:sz="8" w:space="0" w:color="auto"/>
            </w:tcBorders>
            <w:shd w:val="clear" w:color="auto" w:fill="auto"/>
            <w:noWrap/>
            <w:vAlign w:val="bottom"/>
            <w:hideMark/>
          </w:tcPr>
          <w:p w14:paraId="007D9709" w14:textId="77777777" w:rsidR="007C45CE" w:rsidRPr="00701F32" w:rsidRDefault="007C45CE">
            <w:pPr>
              <w:jc w:val="right"/>
              <w:rPr>
                <w:rFonts w:ascii="Arial" w:hAnsi="Arial" w:cs="Arial"/>
                <w:sz w:val="16"/>
              </w:rPr>
            </w:pPr>
            <w:r w:rsidRPr="00701F32">
              <w:rPr>
                <w:rFonts w:ascii="Arial" w:hAnsi="Arial" w:cs="Arial"/>
                <w:sz w:val="16"/>
              </w:rPr>
              <w:t xml:space="preserve"> 350.721 </w:t>
            </w:r>
          </w:p>
        </w:tc>
        <w:tc>
          <w:tcPr>
            <w:tcW w:w="1028" w:type="dxa"/>
            <w:tcBorders>
              <w:top w:val="nil"/>
              <w:left w:val="nil"/>
              <w:bottom w:val="single" w:sz="8" w:space="0" w:color="auto"/>
              <w:right w:val="single" w:sz="8" w:space="0" w:color="auto"/>
            </w:tcBorders>
            <w:shd w:val="clear" w:color="auto" w:fill="auto"/>
            <w:noWrap/>
            <w:vAlign w:val="bottom"/>
            <w:hideMark/>
          </w:tcPr>
          <w:p w14:paraId="6D17F049" w14:textId="77777777" w:rsidR="007C45CE" w:rsidRPr="00701F32" w:rsidRDefault="007C45CE">
            <w:pPr>
              <w:jc w:val="right"/>
              <w:rPr>
                <w:rFonts w:ascii="Arial" w:hAnsi="Arial" w:cs="Arial"/>
                <w:sz w:val="16"/>
              </w:rPr>
            </w:pPr>
            <w:r w:rsidRPr="00701F32">
              <w:rPr>
                <w:rFonts w:ascii="Arial" w:hAnsi="Arial" w:cs="Arial"/>
                <w:sz w:val="16"/>
              </w:rPr>
              <w:t xml:space="preserve"> -174.131 </w:t>
            </w:r>
          </w:p>
        </w:tc>
        <w:tc>
          <w:tcPr>
            <w:tcW w:w="1174" w:type="dxa"/>
            <w:tcBorders>
              <w:top w:val="nil"/>
              <w:left w:val="nil"/>
              <w:bottom w:val="single" w:sz="8" w:space="0" w:color="auto"/>
              <w:right w:val="single" w:sz="8" w:space="0" w:color="auto"/>
            </w:tcBorders>
            <w:shd w:val="clear" w:color="auto" w:fill="auto"/>
            <w:noWrap/>
            <w:vAlign w:val="bottom"/>
            <w:hideMark/>
          </w:tcPr>
          <w:p w14:paraId="4A6A0D51" w14:textId="77777777" w:rsidR="007C45CE" w:rsidRPr="00701F32" w:rsidRDefault="007C45CE">
            <w:pPr>
              <w:jc w:val="right"/>
              <w:rPr>
                <w:rFonts w:ascii="Arial" w:hAnsi="Arial" w:cs="Arial"/>
                <w:sz w:val="16"/>
              </w:rPr>
            </w:pPr>
            <w:r w:rsidRPr="00701F32">
              <w:rPr>
                <w:rFonts w:ascii="Arial" w:hAnsi="Arial" w:cs="Arial"/>
                <w:sz w:val="16"/>
              </w:rPr>
              <w:t xml:space="preserve"> 2.334.757 </w:t>
            </w:r>
          </w:p>
        </w:tc>
      </w:tr>
      <w:tr w:rsidR="007C45CE" w:rsidRPr="00701F32" w14:paraId="0B9384BF"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14D55D88"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Resultado operativo </w:t>
            </w:r>
          </w:p>
        </w:tc>
        <w:tc>
          <w:tcPr>
            <w:tcW w:w="1320" w:type="dxa"/>
            <w:tcBorders>
              <w:top w:val="nil"/>
              <w:left w:val="nil"/>
              <w:bottom w:val="single" w:sz="8" w:space="0" w:color="auto"/>
              <w:right w:val="single" w:sz="8" w:space="0" w:color="auto"/>
            </w:tcBorders>
            <w:shd w:val="clear" w:color="auto" w:fill="auto"/>
            <w:noWrap/>
            <w:vAlign w:val="bottom"/>
            <w:hideMark/>
          </w:tcPr>
          <w:p w14:paraId="5871F5DC" w14:textId="77777777" w:rsidR="007C45CE" w:rsidRPr="00701F32" w:rsidRDefault="007C45CE">
            <w:pPr>
              <w:jc w:val="right"/>
              <w:rPr>
                <w:rFonts w:ascii="Arial" w:hAnsi="Arial" w:cs="Arial"/>
                <w:b/>
                <w:sz w:val="16"/>
              </w:rPr>
            </w:pPr>
            <w:r w:rsidRPr="00701F32">
              <w:rPr>
                <w:rFonts w:ascii="Arial" w:hAnsi="Arial" w:cs="Arial"/>
                <w:b/>
                <w:sz w:val="16"/>
              </w:rPr>
              <w:t xml:space="preserve"> 253.283 </w:t>
            </w:r>
          </w:p>
        </w:tc>
        <w:tc>
          <w:tcPr>
            <w:tcW w:w="1174" w:type="dxa"/>
            <w:tcBorders>
              <w:top w:val="nil"/>
              <w:left w:val="nil"/>
              <w:bottom w:val="single" w:sz="8" w:space="0" w:color="auto"/>
              <w:right w:val="single" w:sz="8" w:space="0" w:color="auto"/>
            </w:tcBorders>
            <w:shd w:val="clear" w:color="auto" w:fill="auto"/>
            <w:noWrap/>
            <w:vAlign w:val="bottom"/>
            <w:hideMark/>
          </w:tcPr>
          <w:p w14:paraId="26F1CF64" w14:textId="77777777" w:rsidR="007C45CE" w:rsidRPr="00701F32" w:rsidRDefault="007C45CE">
            <w:pPr>
              <w:jc w:val="right"/>
              <w:rPr>
                <w:rFonts w:ascii="Arial" w:hAnsi="Arial" w:cs="Arial"/>
                <w:b/>
                <w:sz w:val="16"/>
              </w:rPr>
            </w:pPr>
            <w:r w:rsidRPr="00701F32">
              <w:rPr>
                <w:rFonts w:ascii="Arial" w:hAnsi="Arial" w:cs="Arial"/>
                <w:b/>
                <w:sz w:val="16"/>
              </w:rPr>
              <w:t xml:space="preserve"> 278.032 </w:t>
            </w:r>
          </w:p>
        </w:tc>
        <w:tc>
          <w:tcPr>
            <w:tcW w:w="1174" w:type="dxa"/>
            <w:tcBorders>
              <w:top w:val="nil"/>
              <w:left w:val="nil"/>
              <w:bottom w:val="single" w:sz="8" w:space="0" w:color="auto"/>
              <w:right w:val="single" w:sz="8" w:space="0" w:color="auto"/>
            </w:tcBorders>
            <w:shd w:val="clear" w:color="auto" w:fill="auto"/>
            <w:noWrap/>
            <w:vAlign w:val="bottom"/>
            <w:hideMark/>
          </w:tcPr>
          <w:p w14:paraId="25ADFA55" w14:textId="77777777" w:rsidR="007C45CE" w:rsidRPr="00701F32" w:rsidRDefault="007C45CE">
            <w:pPr>
              <w:jc w:val="right"/>
              <w:rPr>
                <w:rFonts w:ascii="Arial" w:hAnsi="Arial" w:cs="Arial"/>
                <w:b/>
                <w:sz w:val="16"/>
              </w:rPr>
            </w:pPr>
            <w:r w:rsidRPr="00701F32">
              <w:rPr>
                <w:rFonts w:ascii="Arial" w:hAnsi="Arial" w:cs="Arial"/>
                <w:b/>
                <w:sz w:val="16"/>
              </w:rPr>
              <w:t xml:space="preserve"> 580.615 </w:t>
            </w:r>
          </w:p>
        </w:tc>
        <w:tc>
          <w:tcPr>
            <w:tcW w:w="1174" w:type="dxa"/>
            <w:tcBorders>
              <w:top w:val="nil"/>
              <w:left w:val="nil"/>
              <w:bottom w:val="single" w:sz="8" w:space="0" w:color="auto"/>
              <w:right w:val="single" w:sz="8" w:space="0" w:color="auto"/>
            </w:tcBorders>
            <w:shd w:val="clear" w:color="auto" w:fill="auto"/>
            <w:noWrap/>
            <w:vAlign w:val="bottom"/>
            <w:hideMark/>
          </w:tcPr>
          <w:p w14:paraId="1E6961E7" w14:textId="77777777" w:rsidR="007C45CE" w:rsidRPr="00701F32" w:rsidRDefault="007C45CE">
            <w:pPr>
              <w:jc w:val="right"/>
              <w:rPr>
                <w:rFonts w:ascii="Arial" w:hAnsi="Arial" w:cs="Arial"/>
                <w:b/>
                <w:sz w:val="16"/>
              </w:rPr>
            </w:pPr>
            <w:r w:rsidRPr="00701F32">
              <w:rPr>
                <w:rFonts w:ascii="Arial" w:hAnsi="Arial" w:cs="Arial"/>
                <w:b/>
                <w:sz w:val="16"/>
              </w:rPr>
              <w:t xml:space="preserve"> 169.358 </w:t>
            </w:r>
          </w:p>
        </w:tc>
        <w:tc>
          <w:tcPr>
            <w:tcW w:w="1028" w:type="dxa"/>
            <w:tcBorders>
              <w:top w:val="nil"/>
              <w:left w:val="nil"/>
              <w:bottom w:val="single" w:sz="8" w:space="0" w:color="auto"/>
              <w:right w:val="single" w:sz="8" w:space="0" w:color="auto"/>
            </w:tcBorders>
            <w:shd w:val="clear" w:color="auto" w:fill="auto"/>
            <w:noWrap/>
            <w:vAlign w:val="bottom"/>
            <w:hideMark/>
          </w:tcPr>
          <w:p w14:paraId="4BDD9849" w14:textId="77777777" w:rsidR="007C45CE" w:rsidRPr="00701F32" w:rsidRDefault="007C45CE">
            <w:pPr>
              <w:jc w:val="right"/>
              <w:rPr>
                <w:rFonts w:ascii="Arial" w:hAnsi="Arial" w:cs="Arial"/>
                <w:b/>
                <w:sz w:val="16"/>
              </w:rPr>
            </w:pPr>
            <w:r w:rsidRPr="00701F32">
              <w:rPr>
                <w:rFonts w:ascii="Arial" w:hAnsi="Arial" w:cs="Arial"/>
                <w:b/>
                <w:sz w:val="16"/>
              </w:rPr>
              <w:t xml:space="preserve"> -26.546 </w:t>
            </w:r>
          </w:p>
        </w:tc>
        <w:tc>
          <w:tcPr>
            <w:tcW w:w="1174" w:type="dxa"/>
            <w:tcBorders>
              <w:top w:val="nil"/>
              <w:left w:val="nil"/>
              <w:bottom w:val="single" w:sz="8" w:space="0" w:color="auto"/>
              <w:right w:val="single" w:sz="8" w:space="0" w:color="auto"/>
            </w:tcBorders>
            <w:shd w:val="clear" w:color="auto" w:fill="auto"/>
            <w:noWrap/>
            <w:vAlign w:val="bottom"/>
            <w:hideMark/>
          </w:tcPr>
          <w:p w14:paraId="0F27F94C" w14:textId="77777777" w:rsidR="007C45CE" w:rsidRPr="00701F32" w:rsidRDefault="007C45CE">
            <w:pPr>
              <w:jc w:val="right"/>
              <w:rPr>
                <w:rFonts w:ascii="Arial" w:hAnsi="Arial" w:cs="Arial"/>
                <w:b/>
                <w:sz w:val="16"/>
              </w:rPr>
            </w:pPr>
            <w:r w:rsidRPr="00701F32">
              <w:rPr>
                <w:rFonts w:ascii="Arial" w:hAnsi="Arial" w:cs="Arial"/>
                <w:b/>
                <w:sz w:val="16"/>
              </w:rPr>
              <w:t xml:space="preserve"> 1.254.742 </w:t>
            </w:r>
          </w:p>
        </w:tc>
      </w:tr>
      <w:tr w:rsidR="007C45CE" w:rsidRPr="00701F32" w14:paraId="3E1E7613"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35584657"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Resultado por asociadas y negocios conjuntos </w:t>
            </w:r>
          </w:p>
        </w:tc>
        <w:tc>
          <w:tcPr>
            <w:tcW w:w="1320" w:type="dxa"/>
            <w:tcBorders>
              <w:top w:val="nil"/>
              <w:left w:val="nil"/>
              <w:bottom w:val="single" w:sz="8" w:space="0" w:color="auto"/>
              <w:right w:val="single" w:sz="8" w:space="0" w:color="auto"/>
            </w:tcBorders>
            <w:shd w:val="clear" w:color="auto" w:fill="auto"/>
            <w:noWrap/>
            <w:vAlign w:val="bottom"/>
          </w:tcPr>
          <w:p w14:paraId="168F3EDD"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8" w:space="0" w:color="auto"/>
              <w:right w:val="single" w:sz="8" w:space="0" w:color="auto"/>
            </w:tcBorders>
            <w:shd w:val="clear" w:color="auto" w:fill="auto"/>
            <w:noWrap/>
            <w:vAlign w:val="bottom"/>
          </w:tcPr>
          <w:p w14:paraId="106B7429"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8" w:space="0" w:color="auto"/>
              <w:right w:val="single" w:sz="8" w:space="0" w:color="auto"/>
            </w:tcBorders>
            <w:shd w:val="clear" w:color="auto" w:fill="auto"/>
            <w:noWrap/>
            <w:vAlign w:val="bottom"/>
          </w:tcPr>
          <w:p w14:paraId="05541480"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8" w:space="0" w:color="auto"/>
              <w:right w:val="single" w:sz="8" w:space="0" w:color="auto"/>
            </w:tcBorders>
            <w:shd w:val="clear" w:color="auto" w:fill="auto"/>
            <w:noWrap/>
            <w:vAlign w:val="bottom"/>
          </w:tcPr>
          <w:p w14:paraId="05A3308B" w14:textId="77777777" w:rsidR="007C45CE" w:rsidRPr="00701F32" w:rsidRDefault="007C45CE">
            <w:pPr>
              <w:jc w:val="right"/>
              <w:rPr>
                <w:rFonts w:ascii="Arial" w:hAnsi="Arial" w:cs="Arial"/>
                <w:sz w:val="16"/>
              </w:rPr>
            </w:pPr>
            <w:r w:rsidRPr="00701F32">
              <w:rPr>
                <w:rFonts w:ascii="Arial" w:hAnsi="Arial" w:cs="Arial"/>
                <w:sz w:val="16"/>
              </w:rPr>
              <w:t xml:space="preserve"> 287 </w:t>
            </w:r>
          </w:p>
        </w:tc>
        <w:tc>
          <w:tcPr>
            <w:tcW w:w="1028" w:type="dxa"/>
            <w:tcBorders>
              <w:top w:val="nil"/>
              <w:left w:val="nil"/>
              <w:bottom w:val="single" w:sz="8" w:space="0" w:color="auto"/>
              <w:right w:val="single" w:sz="8" w:space="0" w:color="auto"/>
            </w:tcBorders>
            <w:shd w:val="clear" w:color="auto" w:fill="auto"/>
            <w:noWrap/>
            <w:vAlign w:val="bottom"/>
          </w:tcPr>
          <w:p w14:paraId="608A0741" w14:textId="77777777" w:rsidR="007C45CE" w:rsidRPr="00701F32" w:rsidRDefault="007C45CE">
            <w:pPr>
              <w:jc w:val="right"/>
              <w:rPr>
                <w:rFonts w:ascii="Arial" w:hAnsi="Arial" w:cs="Arial"/>
                <w:sz w:val="16"/>
              </w:rPr>
            </w:pPr>
            <w:r w:rsidRPr="00701F32">
              <w:rPr>
                <w:rFonts w:ascii="Arial" w:hAnsi="Arial" w:cs="Arial"/>
                <w:sz w:val="16"/>
              </w:rPr>
              <w:t xml:space="preserve"> 3.254 </w:t>
            </w:r>
          </w:p>
        </w:tc>
        <w:tc>
          <w:tcPr>
            <w:tcW w:w="1174" w:type="dxa"/>
            <w:tcBorders>
              <w:top w:val="nil"/>
              <w:left w:val="nil"/>
              <w:bottom w:val="single" w:sz="8" w:space="0" w:color="auto"/>
              <w:right w:val="single" w:sz="8" w:space="0" w:color="auto"/>
            </w:tcBorders>
            <w:shd w:val="clear" w:color="auto" w:fill="auto"/>
            <w:noWrap/>
            <w:vAlign w:val="bottom"/>
          </w:tcPr>
          <w:p w14:paraId="2A4542BF" w14:textId="77777777" w:rsidR="007C45CE" w:rsidRPr="00701F32" w:rsidRDefault="007C45CE">
            <w:pPr>
              <w:jc w:val="right"/>
              <w:rPr>
                <w:rFonts w:ascii="Arial" w:hAnsi="Arial" w:cs="Arial"/>
                <w:sz w:val="16"/>
              </w:rPr>
            </w:pPr>
            <w:r w:rsidRPr="00701F32">
              <w:rPr>
                <w:rFonts w:ascii="Arial" w:hAnsi="Arial" w:cs="Arial"/>
                <w:sz w:val="16"/>
              </w:rPr>
              <w:t xml:space="preserve"> 3.541 </w:t>
            </w:r>
          </w:p>
        </w:tc>
      </w:tr>
      <w:tr w:rsidR="007C45CE" w:rsidRPr="00701F32" w14:paraId="635E4837" w14:textId="77777777" w:rsidTr="00B30DEB">
        <w:trPr>
          <w:trHeight w:val="231"/>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31A484D4"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Resultado antes de impuesto de las actividades que continúan </w:t>
            </w:r>
          </w:p>
        </w:tc>
        <w:tc>
          <w:tcPr>
            <w:tcW w:w="1320" w:type="dxa"/>
            <w:tcBorders>
              <w:top w:val="nil"/>
              <w:left w:val="nil"/>
              <w:bottom w:val="single" w:sz="8" w:space="0" w:color="auto"/>
              <w:right w:val="single" w:sz="8" w:space="0" w:color="auto"/>
            </w:tcBorders>
            <w:shd w:val="clear" w:color="auto" w:fill="auto"/>
            <w:noWrap/>
            <w:vAlign w:val="bottom"/>
            <w:hideMark/>
          </w:tcPr>
          <w:p w14:paraId="0F888F43" w14:textId="77777777" w:rsidR="007C45CE" w:rsidRPr="00701F32" w:rsidRDefault="007C45CE">
            <w:pPr>
              <w:jc w:val="right"/>
              <w:rPr>
                <w:rFonts w:ascii="Arial" w:hAnsi="Arial" w:cs="Arial"/>
                <w:b/>
                <w:sz w:val="16"/>
              </w:rPr>
            </w:pPr>
            <w:r w:rsidRPr="00701F32">
              <w:rPr>
                <w:rFonts w:ascii="Arial" w:hAnsi="Arial" w:cs="Arial"/>
                <w:b/>
                <w:sz w:val="16"/>
              </w:rPr>
              <w:t xml:space="preserve"> 253.283 </w:t>
            </w:r>
          </w:p>
        </w:tc>
        <w:tc>
          <w:tcPr>
            <w:tcW w:w="1174" w:type="dxa"/>
            <w:tcBorders>
              <w:top w:val="nil"/>
              <w:left w:val="nil"/>
              <w:bottom w:val="single" w:sz="8" w:space="0" w:color="auto"/>
              <w:right w:val="single" w:sz="8" w:space="0" w:color="auto"/>
            </w:tcBorders>
            <w:shd w:val="clear" w:color="auto" w:fill="auto"/>
            <w:noWrap/>
            <w:vAlign w:val="bottom"/>
            <w:hideMark/>
          </w:tcPr>
          <w:p w14:paraId="04ECB371" w14:textId="77777777" w:rsidR="007C45CE" w:rsidRPr="00701F32" w:rsidRDefault="007C45CE">
            <w:pPr>
              <w:jc w:val="right"/>
              <w:rPr>
                <w:rFonts w:ascii="Arial" w:hAnsi="Arial" w:cs="Arial"/>
                <w:b/>
                <w:sz w:val="16"/>
              </w:rPr>
            </w:pPr>
            <w:r w:rsidRPr="00701F32">
              <w:rPr>
                <w:rFonts w:ascii="Arial" w:hAnsi="Arial" w:cs="Arial"/>
                <w:b/>
                <w:sz w:val="16"/>
              </w:rPr>
              <w:t xml:space="preserve"> 278.032 </w:t>
            </w:r>
          </w:p>
        </w:tc>
        <w:tc>
          <w:tcPr>
            <w:tcW w:w="1174" w:type="dxa"/>
            <w:tcBorders>
              <w:top w:val="nil"/>
              <w:left w:val="nil"/>
              <w:bottom w:val="single" w:sz="8" w:space="0" w:color="auto"/>
              <w:right w:val="single" w:sz="8" w:space="0" w:color="auto"/>
            </w:tcBorders>
            <w:shd w:val="clear" w:color="auto" w:fill="auto"/>
            <w:noWrap/>
            <w:vAlign w:val="bottom"/>
            <w:hideMark/>
          </w:tcPr>
          <w:p w14:paraId="07ACAF13" w14:textId="77777777" w:rsidR="007C45CE" w:rsidRPr="00701F32" w:rsidRDefault="007C45CE">
            <w:pPr>
              <w:jc w:val="right"/>
              <w:rPr>
                <w:rFonts w:ascii="Arial" w:hAnsi="Arial" w:cs="Arial"/>
                <w:b/>
                <w:sz w:val="16"/>
              </w:rPr>
            </w:pPr>
            <w:r w:rsidRPr="00701F32">
              <w:rPr>
                <w:rFonts w:ascii="Arial" w:hAnsi="Arial" w:cs="Arial"/>
                <w:b/>
                <w:sz w:val="16"/>
              </w:rPr>
              <w:t xml:space="preserve"> 580.615 </w:t>
            </w:r>
          </w:p>
        </w:tc>
        <w:tc>
          <w:tcPr>
            <w:tcW w:w="1174" w:type="dxa"/>
            <w:tcBorders>
              <w:top w:val="nil"/>
              <w:left w:val="nil"/>
              <w:bottom w:val="single" w:sz="8" w:space="0" w:color="auto"/>
              <w:right w:val="single" w:sz="8" w:space="0" w:color="auto"/>
            </w:tcBorders>
            <w:shd w:val="clear" w:color="auto" w:fill="auto"/>
            <w:noWrap/>
            <w:vAlign w:val="bottom"/>
            <w:hideMark/>
          </w:tcPr>
          <w:p w14:paraId="06C52826" w14:textId="77777777" w:rsidR="007C45CE" w:rsidRPr="00701F32" w:rsidRDefault="007C45CE">
            <w:pPr>
              <w:jc w:val="right"/>
              <w:rPr>
                <w:rFonts w:ascii="Arial" w:hAnsi="Arial" w:cs="Arial"/>
                <w:b/>
                <w:sz w:val="16"/>
              </w:rPr>
            </w:pPr>
            <w:r w:rsidRPr="00701F32">
              <w:rPr>
                <w:rFonts w:ascii="Arial" w:hAnsi="Arial" w:cs="Arial"/>
                <w:b/>
                <w:sz w:val="16"/>
              </w:rPr>
              <w:t xml:space="preserve"> 169.645 </w:t>
            </w:r>
          </w:p>
        </w:tc>
        <w:tc>
          <w:tcPr>
            <w:tcW w:w="1028" w:type="dxa"/>
            <w:tcBorders>
              <w:top w:val="nil"/>
              <w:left w:val="nil"/>
              <w:bottom w:val="single" w:sz="8" w:space="0" w:color="auto"/>
              <w:right w:val="single" w:sz="8" w:space="0" w:color="auto"/>
            </w:tcBorders>
            <w:shd w:val="clear" w:color="auto" w:fill="auto"/>
            <w:noWrap/>
            <w:vAlign w:val="bottom"/>
            <w:hideMark/>
          </w:tcPr>
          <w:p w14:paraId="54A1EEC7" w14:textId="77777777" w:rsidR="007C45CE" w:rsidRPr="00701F32" w:rsidRDefault="007C45CE">
            <w:pPr>
              <w:jc w:val="right"/>
              <w:rPr>
                <w:rFonts w:ascii="Arial" w:hAnsi="Arial" w:cs="Arial"/>
                <w:b/>
                <w:sz w:val="16"/>
              </w:rPr>
            </w:pPr>
            <w:r w:rsidRPr="00701F32">
              <w:rPr>
                <w:rFonts w:ascii="Arial" w:hAnsi="Arial" w:cs="Arial"/>
                <w:b/>
                <w:sz w:val="16"/>
              </w:rPr>
              <w:t xml:space="preserve"> -23.292 </w:t>
            </w:r>
          </w:p>
        </w:tc>
        <w:tc>
          <w:tcPr>
            <w:tcW w:w="1174" w:type="dxa"/>
            <w:tcBorders>
              <w:top w:val="nil"/>
              <w:left w:val="nil"/>
              <w:bottom w:val="single" w:sz="8" w:space="0" w:color="auto"/>
              <w:right w:val="single" w:sz="8" w:space="0" w:color="auto"/>
            </w:tcBorders>
            <w:shd w:val="clear" w:color="auto" w:fill="auto"/>
            <w:noWrap/>
            <w:vAlign w:val="bottom"/>
            <w:hideMark/>
          </w:tcPr>
          <w:p w14:paraId="6352323D" w14:textId="77777777" w:rsidR="007C45CE" w:rsidRPr="00701F32" w:rsidRDefault="007C45CE">
            <w:pPr>
              <w:jc w:val="right"/>
              <w:rPr>
                <w:rFonts w:ascii="Arial" w:hAnsi="Arial" w:cs="Arial"/>
                <w:b/>
                <w:sz w:val="16"/>
              </w:rPr>
            </w:pPr>
            <w:r w:rsidRPr="00701F32">
              <w:rPr>
                <w:rFonts w:ascii="Arial" w:hAnsi="Arial" w:cs="Arial"/>
                <w:b/>
                <w:sz w:val="16"/>
              </w:rPr>
              <w:t xml:space="preserve"> 1.258.283 </w:t>
            </w:r>
          </w:p>
        </w:tc>
      </w:tr>
      <w:tr w:rsidR="007C45CE" w:rsidRPr="00701F32" w14:paraId="3F4D983B" w14:textId="77777777" w:rsidTr="00B30DEB">
        <w:trPr>
          <w:trHeight w:val="60"/>
        </w:trPr>
        <w:tc>
          <w:tcPr>
            <w:tcW w:w="3910" w:type="dxa"/>
            <w:tcBorders>
              <w:top w:val="nil"/>
              <w:left w:val="single" w:sz="8" w:space="0" w:color="auto"/>
              <w:bottom w:val="single" w:sz="4" w:space="0" w:color="auto"/>
              <w:right w:val="single" w:sz="8" w:space="0" w:color="auto"/>
            </w:tcBorders>
            <w:shd w:val="clear" w:color="auto" w:fill="auto"/>
            <w:noWrap/>
            <w:vAlign w:val="center"/>
            <w:hideMark/>
          </w:tcPr>
          <w:p w14:paraId="33056210"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Impuesto a las ganancias de las actividades que continúan </w:t>
            </w:r>
          </w:p>
        </w:tc>
        <w:tc>
          <w:tcPr>
            <w:tcW w:w="1320" w:type="dxa"/>
            <w:tcBorders>
              <w:top w:val="nil"/>
              <w:left w:val="nil"/>
              <w:bottom w:val="single" w:sz="4" w:space="0" w:color="auto"/>
              <w:right w:val="single" w:sz="8" w:space="0" w:color="auto"/>
            </w:tcBorders>
            <w:shd w:val="clear" w:color="auto" w:fill="auto"/>
            <w:noWrap/>
            <w:vAlign w:val="bottom"/>
            <w:hideMark/>
          </w:tcPr>
          <w:p w14:paraId="708FD1DB" w14:textId="77777777" w:rsidR="007C45CE" w:rsidRPr="00701F32" w:rsidRDefault="007C45CE">
            <w:pPr>
              <w:jc w:val="right"/>
              <w:rPr>
                <w:rFonts w:ascii="Arial" w:hAnsi="Arial" w:cs="Arial"/>
                <w:sz w:val="16"/>
              </w:rPr>
            </w:pPr>
            <w:r w:rsidRPr="00701F32">
              <w:rPr>
                <w:rFonts w:ascii="Arial" w:hAnsi="Arial" w:cs="Arial"/>
                <w:sz w:val="16"/>
              </w:rPr>
              <w:t xml:space="preserve"> 83.549 </w:t>
            </w:r>
          </w:p>
        </w:tc>
        <w:tc>
          <w:tcPr>
            <w:tcW w:w="1174" w:type="dxa"/>
            <w:tcBorders>
              <w:top w:val="nil"/>
              <w:left w:val="nil"/>
              <w:bottom w:val="single" w:sz="4" w:space="0" w:color="auto"/>
              <w:right w:val="single" w:sz="8" w:space="0" w:color="auto"/>
            </w:tcBorders>
            <w:shd w:val="clear" w:color="auto" w:fill="auto"/>
            <w:noWrap/>
            <w:vAlign w:val="bottom"/>
            <w:hideMark/>
          </w:tcPr>
          <w:p w14:paraId="5872BACA" w14:textId="77777777" w:rsidR="007C45CE" w:rsidRPr="00701F32" w:rsidRDefault="007C45CE">
            <w:pPr>
              <w:jc w:val="right"/>
              <w:rPr>
                <w:rFonts w:ascii="Arial" w:hAnsi="Arial" w:cs="Arial"/>
                <w:sz w:val="16"/>
              </w:rPr>
            </w:pPr>
            <w:r w:rsidRPr="00701F32">
              <w:rPr>
                <w:rFonts w:ascii="Arial" w:hAnsi="Arial" w:cs="Arial"/>
                <w:sz w:val="16"/>
              </w:rPr>
              <w:t xml:space="preserve"> 69.326 </w:t>
            </w:r>
          </w:p>
        </w:tc>
        <w:tc>
          <w:tcPr>
            <w:tcW w:w="1174" w:type="dxa"/>
            <w:tcBorders>
              <w:top w:val="nil"/>
              <w:left w:val="nil"/>
              <w:bottom w:val="single" w:sz="4" w:space="0" w:color="auto"/>
              <w:right w:val="single" w:sz="8" w:space="0" w:color="auto"/>
            </w:tcBorders>
            <w:shd w:val="clear" w:color="auto" w:fill="auto"/>
            <w:noWrap/>
            <w:vAlign w:val="bottom"/>
            <w:hideMark/>
          </w:tcPr>
          <w:p w14:paraId="4474B784" w14:textId="77777777" w:rsidR="007C45CE" w:rsidRPr="00701F32" w:rsidRDefault="007C45CE">
            <w:pPr>
              <w:jc w:val="right"/>
              <w:rPr>
                <w:rFonts w:ascii="Arial" w:hAnsi="Arial" w:cs="Arial"/>
                <w:sz w:val="16"/>
              </w:rPr>
            </w:pPr>
            <w:r w:rsidRPr="00701F32">
              <w:rPr>
                <w:rFonts w:ascii="Arial" w:hAnsi="Arial" w:cs="Arial"/>
                <w:sz w:val="16"/>
              </w:rPr>
              <w:t xml:space="preserve"> 218.583 </w:t>
            </w:r>
          </w:p>
        </w:tc>
        <w:tc>
          <w:tcPr>
            <w:tcW w:w="1174" w:type="dxa"/>
            <w:tcBorders>
              <w:top w:val="nil"/>
              <w:left w:val="nil"/>
              <w:bottom w:val="single" w:sz="4" w:space="0" w:color="auto"/>
              <w:right w:val="single" w:sz="8" w:space="0" w:color="auto"/>
            </w:tcBorders>
            <w:shd w:val="clear" w:color="auto" w:fill="auto"/>
            <w:noWrap/>
            <w:vAlign w:val="bottom"/>
            <w:hideMark/>
          </w:tcPr>
          <w:p w14:paraId="4CB11E84" w14:textId="77777777" w:rsidR="007C45CE" w:rsidRPr="00701F32" w:rsidRDefault="007C45CE">
            <w:pPr>
              <w:jc w:val="right"/>
              <w:rPr>
                <w:rFonts w:ascii="Arial" w:hAnsi="Arial" w:cs="Arial"/>
                <w:sz w:val="16"/>
              </w:rPr>
            </w:pPr>
            <w:r w:rsidRPr="00701F32">
              <w:rPr>
                <w:rFonts w:ascii="Arial" w:hAnsi="Arial" w:cs="Arial"/>
                <w:sz w:val="16"/>
              </w:rPr>
              <w:t xml:space="preserve"> 59.092 </w:t>
            </w:r>
          </w:p>
        </w:tc>
        <w:tc>
          <w:tcPr>
            <w:tcW w:w="1028" w:type="dxa"/>
            <w:tcBorders>
              <w:top w:val="nil"/>
              <w:left w:val="nil"/>
              <w:bottom w:val="single" w:sz="4" w:space="0" w:color="auto"/>
              <w:right w:val="single" w:sz="8" w:space="0" w:color="auto"/>
            </w:tcBorders>
            <w:shd w:val="clear" w:color="auto" w:fill="auto"/>
            <w:noWrap/>
            <w:vAlign w:val="bottom"/>
            <w:hideMark/>
          </w:tcPr>
          <w:p w14:paraId="41EC8672"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4" w:space="0" w:color="auto"/>
              <w:right w:val="single" w:sz="8" w:space="0" w:color="auto"/>
            </w:tcBorders>
            <w:shd w:val="clear" w:color="auto" w:fill="auto"/>
            <w:noWrap/>
            <w:vAlign w:val="bottom"/>
            <w:hideMark/>
          </w:tcPr>
          <w:p w14:paraId="29EE8ABF" w14:textId="77777777" w:rsidR="007C45CE" w:rsidRPr="00701F32" w:rsidRDefault="007C45CE">
            <w:pPr>
              <w:jc w:val="right"/>
              <w:rPr>
                <w:rFonts w:ascii="Arial" w:hAnsi="Arial" w:cs="Arial"/>
                <w:sz w:val="16"/>
              </w:rPr>
            </w:pPr>
            <w:r w:rsidRPr="00701F32">
              <w:rPr>
                <w:rFonts w:ascii="Arial" w:hAnsi="Arial" w:cs="Arial"/>
                <w:sz w:val="16"/>
              </w:rPr>
              <w:t xml:space="preserve"> 430.550 </w:t>
            </w:r>
          </w:p>
        </w:tc>
      </w:tr>
      <w:tr w:rsidR="007C45CE" w:rsidRPr="00701F32" w14:paraId="44053FC5" w14:textId="77777777" w:rsidTr="00B30DEB">
        <w:trPr>
          <w:trHeight w:val="231"/>
        </w:trPr>
        <w:tc>
          <w:tcPr>
            <w:tcW w:w="391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ED5D6EB"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Resultado neto de las actividades que continúan </w:t>
            </w:r>
          </w:p>
        </w:tc>
        <w:tc>
          <w:tcPr>
            <w:tcW w:w="1320" w:type="dxa"/>
            <w:tcBorders>
              <w:top w:val="single" w:sz="4" w:space="0" w:color="auto"/>
              <w:left w:val="nil"/>
              <w:bottom w:val="single" w:sz="4" w:space="0" w:color="auto"/>
              <w:right w:val="single" w:sz="8" w:space="0" w:color="auto"/>
            </w:tcBorders>
            <w:shd w:val="clear" w:color="auto" w:fill="auto"/>
            <w:noWrap/>
            <w:vAlign w:val="bottom"/>
            <w:hideMark/>
          </w:tcPr>
          <w:p w14:paraId="0CA2B3CA" w14:textId="77777777" w:rsidR="007C45CE" w:rsidRPr="00701F32" w:rsidRDefault="007C45CE">
            <w:pPr>
              <w:jc w:val="right"/>
              <w:rPr>
                <w:rFonts w:ascii="Arial" w:hAnsi="Arial" w:cs="Arial"/>
                <w:b/>
                <w:sz w:val="16"/>
              </w:rPr>
            </w:pPr>
            <w:r w:rsidRPr="00701F32">
              <w:rPr>
                <w:rFonts w:ascii="Arial" w:hAnsi="Arial" w:cs="Arial"/>
                <w:b/>
                <w:sz w:val="16"/>
              </w:rPr>
              <w:t xml:space="preserve"> 169.734 </w:t>
            </w:r>
          </w:p>
        </w:tc>
        <w:tc>
          <w:tcPr>
            <w:tcW w:w="1174" w:type="dxa"/>
            <w:tcBorders>
              <w:top w:val="single" w:sz="4" w:space="0" w:color="auto"/>
              <w:left w:val="nil"/>
              <w:bottom w:val="single" w:sz="4" w:space="0" w:color="auto"/>
              <w:right w:val="single" w:sz="8" w:space="0" w:color="auto"/>
            </w:tcBorders>
            <w:shd w:val="clear" w:color="auto" w:fill="auto"/>
            <w:noWrap/>
            <w:vAlign w:val="bottom"/>
            <w:hideMark/>
          </w:tcPr>
          <w:p w14:paraId="58D80B9F" w14:textId="77777777" w:rsidR="007C45CE" w:rsidRPr="00701F32" w:rsidRDefault="007C45CE">
            <w:pPr>
              <w:jc w:val="right"/>
              <w:rPr>
                <w:rFonts w:ascii="Arial" w:hAnsi="Arial" w:cs="Arial"/>
                <w:b/>
                <w:sz w:val="16"/>
              </w:rPr>
            </w:pPr>
            <w:r w:rsidRPr="00701F32">
              <w:rPr>
                <w:rFonts w:ascii="Arial" w:hAnsi="Arial" w:cs="Arial"/>
                <w:b/>
                <w:sz w:val="16"/>
              </w:rPr>
              <w:t xml:space="preserve"> 208.706 </w:t>
            </w:r>
          </w:p>
        </w:tc>
        <w:tc>
          <w:tcPr>
            <w:tcW w:w="1174" w:type="dxa"/>
            <w:tcBorders>
              <w:top w:val="single" w:sz="4" w:space="0" w:color="auto"/>
              <w:left w:val="nil"/>
              <w:bottom w:val="single" w:sz="4" w:space="0" w:color="auto"/>
              <w:right w:val="single" w:sz="8" w:space="0" w:color="auto"/>
            </w:tcBorders>
            <w:shd w:val="clear" w:color="auto" w:fill="auto"/>
            <w:noWrap/>
            <w:vAlign w:val="bottom"/>
            <w:hideMark/>
          </w:tcPr>
          <w:p w14:paraId="7342B849" w14:textId="77777777" w:rsidR="007C45CE" w:rsidRPr="00701F32" w:rsidRDefault="007C45CE">
            <w:pPr>
              <w:jc w:val="right"/>
              <w:rPr>
                <w:rFonts w:ascii="Arial" w:hAnsi="Arial" w:cs="Arial"/>
                <w:b/>
                <w:sz w:val="16"/>
              </w:rPr>
            </w:pPr>
            <w:r w:rsidRPr="00701F32">
              <w:rPr>
                <w:rFonts w:ascii="Arial" w:hAnsi="Arial" w:cs="Arial"/>
                <w:b/>
                <w:sz w:val="16"/>
              </w:rPr>
              <w:t xml:space="preserve"> 362.032 </w:t>
            </w:r>
          </w:p>
        </w:tc>
        <w:tc>
          <w:tcPr>
            <w:tcW w:w="1174" w:type="dxa"/>
            <w:tcBorders>
              <w:top w:val="single" w:sz="4" w:space="0" w:color="auto"/>
              <w:left w:val="nil"/>
              <w:bottom w:val="single" w:sz="4" w:space="0" w:color="auto"/>
              <w:right w:val="single" w:sz="8" w:space="0" w:color="auto"/>
            </w:tcBorders>
            <w:shd w:val="clear" w:color="auto" w:fill="auto"/>
            <w:noWrap/>
            <w:vAlign w:val="bottom"/>
            <w:hideMark/>
          </w:tcPr>
          <w:p w14:paraId="61A4CD71" w14:textId="77777777" w:rsidR="007C45CE" w:rsidRPr="00701F32" w:rsidRDefault="007C45CE">
            <w:pPr>
              <w:jc w:val="right"/>
              <w:rPr>
                <w:rFonts w:ascii="Arial" w:hAnsi="Arial" w:cs="Arial"/>
                <w:b/>
                <w:sz w:val="16"/>
              </w:rPr>
            </w:pPr>
            <w:r w:rsidRPr="00701F32">
              <w:rPr>
                <w:rFonts w:ascii="Arial" w:hAnsi="Arial" w:cs="Arial"/>
                <w:b/>
                <w:sz w:val="16"/>
              </w:rPr>
              <w:t xml:space="preserve"> 110.553 </w:t>
            </w:r>
          </w:p>
        </w:tc>
        <w:tc>
          <w:tcPr>
            <w:tcW w:w="1028" w:type="dxa"/>
            <w:tcBorders>
              <w:top w:val="single" w:sz="4" w:space="0" w:color="auto"/>
              <w:left w:val="nil"/>
              <w:bottom w:val="single" w:sz="4" w:space="0" w:color="auto"/>
              <w:right w:val="single" w:sz="8" w:space="0" w:color="auto"/>
            </w:tcBorders>
            <w:shd w:val="clear" w:color="auto" w:fill="auto"/>
            <w:noWrap/>
            <w:vAlign w:val="bottom"/>
            <w:hideMark/>
          </w:tcPr>
          <w:p w14:paraId="0A6A4AE3" w14:textId="77777777" w:rsidR="007C45CE" w:rsidRPr="00701F32" w:rsidRDefault="007C45CE">
            <w:pPr>
              <w:jc w:val="right"/>
              <w:rPr>
                <w:rFonts w:ascii="Arial" w:hAnsi="Arial" w:cs="Arial"/>
                <w:b/>
                <w:sz w:val="16"/>
              </w:rPr>
            </w:pPr>
            <w:r w:rsidRPr="00701F32">
              <w:rPr>
                <w:rFonts w:ascii="Arial" w:hAnsi="Arial" w:cs="Arial"/>
                <w:b/>
                <w:sz w:val="16"/>
              </w:rPr>
              <w:t xml:space="preserve"> -23.292 </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14:paraId="2AC789FC" w14:textId="77777777" w:rsidR="007C45CE" w:rsidRPr="00701F32" w:rsidRDefault="007C45CE">
            <w:pPr>
              <w:jc w:val="right"/>
              <w:rPr>
                <w:rFonts w:ascii="Arial" w:hAnsi="Arial" w:cs="Arial"/>
                <w:b/>
                <w:sz w:val="16"/>
              </w:rPr>
            </w:pPr>
            <w:r w:rsidRPr="00701F32">
              <w:rPr>
                <w:rFonts w:ascii="Arial" w:hAnsi="Arial" w:cs="Arial"/>
                <w:b/>
                <w:sz w:val="16"/>
              </w:rPr>
              <w:t xml:space="preserve"> 827.733 </w:t>
            </w:r>
          </w:p>
        </w:tc>
      </w:tr>
      <w:tr w:rsidR="007C45CE" w:rsidRPr="00701F32" w14:paraId="7A357616" w14:textId="77777777" w:rsidTr="00B30DEB">
        <w:trPr>
          <w:trHeight w:val="70"/>
        </w:trPr>
        <w:tc>
          <w:tcPr>
            <w:tcW w:w="391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6C3D63"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Resultado neto del ejercicio </w:t>
            </w:r>
          </w:p>
        </w:tc>
        <w:tc>
          <w:tcPr>
            <w:tcW w:w="1320" w:type="dxa"/>
            <w:tcBorders>
              <w:top w:val="single" w:sz="4" w:space="0" w:color="auto"/>
              <w:left w:val="nil"/>
              <w:bottom w:val="single" w:sz="8" w:space="0" w:color="auto"/>
              <w:right w:val="single" w:sz="8" w:space="0" w:color="auto"/>
            </w:tcBorders>
            <w:shd w:val="clear" w:color="auto" w:fill="auto"/>
            <w:noWrap/>
            <w:vAlign w:val="bottom"/>
            <w:hideMark/>
          </w:tcPr>
          <w:p w14:paraId="0B7BCA1F" w14:textId="77777777" w:rsidR="007C45CE" w:rsidRPr="00701F32" w:rsidRDefault="007C45CE">
            <w:pPr>
              <w:jc w:val="right"/>
              <w:rPr>
                <w:rFonts w:ascii="Arial" w:hAnsi="Arial" w:cs="Arial"/>
                <w:b/>
                <w:sz w:val="16"/>
              </w:rPr>
            </w:pPr>
            <w:r w:rsidRPr="00701F32">
              <w:rPr>
                <w:rFonts w:ascii="Arial" w:hAnsi="Arial" w:cs="Arial"/>
                <w:b/>
                <w:sz w:val="16"/>
              </w:rPr>
              <w:t xml:space="preserve"> 169.734 </w:t>
            </w:r>
          </w:p>
        </w:tc>
        <w:tc>
          <w:tcPr>
            <w:tcW w:w="1174" w:type="dxa"/>
            <w:tcBorders>
              <w:top w:val="single" w:sz="4" w:space="0" w:color="auto"/>
              <w:left w:val="nil"/>
              <w:bottom w:val="single" w:sz="8" w:space="0" w:color="auto"/>
              <w:right w:val="single" w:sz="8" w:space="0" w:color="auto"/>
            </w:tcBorders>
            <w:shd w:val="clear" w:color="auto" w:fill="auto"/>
            <w:noWrap/>
            <w:vAlign w:val="bottom"/>
            <w:hideMark/>
          </w:tcPr>
          <w:p w14:paraId="2705C1DC" w14:textId="77777777" w:rsidR="007C45CE" w:rsidRPr="00701F32" w:rsidRDefault="007C45CE">
            <w:pPr>
              <w:jc w:val="right"/>
              <w:rPr>
                <w:rFonts w:ascii="Arial" w:hAnsi="Arial" w:cs="Arial"/>
                <w:b/>
                <w:sz w:val="16"/>
              </w:rPr>
            </w:pPr>
            <w:r w:rsidRPr="00701F32">
              <w:rPr>
                <w:rFonts w:ascii="Arial" w:hAnsi="Arial" w:cs="Arial"/>
                <w:b/>
                <w:sz w:val="16"/>
              </w:rPr>
              <w:t xml:space="preserve"> 208.706 </w:t>
            </w:r>
          </w:p>
        </w:tc>
        <w:tc>
          <w:tcPr>
            <w:tcW w:w="1174" w:type="dxa"/>
            <w:tcBorders>
              <w:top w:val="single" w:sz="4" w:space="0" w:color="auto"/>
              <w:left w:val="nil"/>
              <w:bottom w:val="single" w:sz="8" w:space="0" w:color="auto"/>
              <w:right w:val="single" w:sz="8" w:space="0" w:color="auto"/>
            </w:tcBorders>
            <w:shd w:val="clear" w:color="auto" w:fill="auto"/>
            <w:noWrap/>
            <w:vAlign w:val="bottom"/>
            <w:hideMark/>
          </w:tcPr>
          <w:p w14:paraId="22EACA0C" w14:textId="77777777" w:rsidR="007C45CE" w:rsidRPr="00701F32" w:rsidRDefault="007C45CE">
            <w:pPr>
              <w:jc w:val="right"/>
              <w:rPr>
                <w:rFonts w:ascii="Arial" w:hAnsi="Arial" w:cs="Arial"/>
                <w:b/>
                <w:sz w:val="16"/>
              </w:rPr>
            </w:pPr>
            <w:r w:rsidRPr="00701F32">
              <w:rPr>
                <w:rFonts w:ascii="Arial" w:hAnsi="Arial" w:cs="Arial"/>
                <w:b/>
                <w:sz w:val="16"/>
              </w:rPr>
              <w:t xml:space="preserve"> 362.032 </w:t>
            </w:r>
          </w:p>
        </w:tc>
        <w:tc>
          <w:tcPr>
            <w:tcW w:w="1174" w:type="dxa"/>
            <w:tcBorders>
              <w:top w:val="single" w:sz="4" w:space="0" w:color="auto"/>
              <w:left w:val="nil"/>
              <w:bottom w:val="single" w:sz="8" w:space="0" w:color="auto"/>
              <w:right w:val="single" w:sz="8" w:space="0" w:color="auto"/>
            </w:tcBorders>
            <w:shd w:val="clear" w:color="auto" w:fill="auto"/>
            <w:noWrap/>
            <w:vAlign w:val="bottom"/>
            <w:hideMark/>
          </w:tcPr>
          <w:p w14:paraId="2455FFE2" w14:textId="77777777" w:rsidR="007C45CE" w:rsidRPr="00701F32" w:rsidRDefault="007C45CE">
            <w:pPr>
              <w:jc w:val="right"/>
              <w:rPr>
                <w:rFonts w:ascii="Arial" w:hAnsi="Arial" w:cs="Arial"/>
                <w:b/>
                <w:sz w:val="16"/>
              </w:rPr>
            </w:pPr>
            <w:r w:rsidRPr="00701F32">
              <w:rPr>
                <w:rFonts w:ascii="Arial" w:hAnsi="Arial" w:cs="Arial"/>
                <w:b/>
                <w:sz w:val="16"/>
              </w:rPr>
              <w:t xml:space="preserve"> 110.553 </w:t>
            </w:r>
          </w:p>
        </w:tc>
        <w:tc>
          <w:tcPr>
            <w:tcW w:w="1028" w:type="dxa"/>
            <w:tcBorders>
              <w:top w:val="single" w:sz="4" w:space="0" w:color="auto"/>
              <w:left w:val="nil"/>
              <w:bottom w:val="single" w:sz="8" w:space="0" w:color="auto"/>
              <w:right w:val="single" w:sz="8" w:space="0" w:color="auto"/>
            </w:tcBorders>
            <w:shd w:val="clear" w:color="auto" w:fill="auto"/>
            <w:noWrap/>
            <w:vAlign w:val="bottom"/>
            <w:hideMark/>
          </w:tcPr>
          <w:p w14:paraId="12464C8F" w14:textId="77777777" w:rsidR="007C45CE" w:rsidRPr="00701F32" w:rsidRDefault="007C45CE">
            <w:pPr>
              <w:jc w:val="right"/>
              <w:rPr>
                <w:rFonts w:ascii="Arial" w:hAnsi="Arial" w:cs="Arial"/>
                <w:b/>
                <w:sz w:val="16"/>
              </w:rPr>
            </w:pPr>
            <w:r w:rsidRPr="00701F32">
              <w:rPr>
                <w:rFonts w:ascii="Arial" w:hAnsi="Arial" w:cs="Arial"/>
                <w:b/>
                <w:sz w:val="16"/>
              </w:rPr>
              <w:t xml:space="preserve"> -23.292 </w:t>
            </w:r>
          </w:p>
        </w:tc>
        <w:tc>
          <w:tcPr>
            <w:tcW w:w="1174" w:type="dxa"/>
            <w:tcBorders>
              <w:top w:val="single" w:sz="4" w:space="0" w:color="auto"/>
              <w:left w:val="nil"/>
              <w:bottom w:val="single" w:sz="8" w:space="0" w:color="auto"/>
              <w:right w:val="single" w:sz="8" w:space="0" w:color="auto"/>
            </w:tcBorders>
            <w:shd w:val="clear" w:color="auto" w:fill="auto"/>
            <w:noWrap/>
            <w:vAlign w:val="bottom"/>
            <w:hideMark/>
          </w:tcPr>
          <w:p w14:paraId="2DF3BA0E" w14:textId="77777777" w:rsidR="007C45CE" w:rsidRPr="00701F32" w:rsidRDefault="007C45CE">
            <w:pPr>
              <w:jc w:val="right"/>
              <w:rPr>
                <w:rFonts w:ascii="Arial" w:hAnsi="Arial" w:cs="Arial"/>
                <w:b/>
                <w:sz w:val="16"/>
              </w:rPr>
            </w:pPr>
            <w:r w:rsidRPr="00701F32">
              <w:rPr>
                <w:rFonts w:ascii="Arial" w:hAnsi="Arial" w:cs="Arial"/>
                <w:b/>
                <w:sz w:val="16"/>
              </w:rPr>
              <w:t xml:space="preserve"> 827.733 </w:t>
            </w:r>
          </w:p>
        </w:tc>
      </w:tr>
      <w:tr w:rsidR="007C45CE" w:rsidRPr="00701F32" w14:paraId="4BCCDC69" w14:textId="77777777" w:rsidTr="00B30DEB">
        <w:trPr>
          <w:trHeight w:val="155"/>
        </w:trPr>
        <w:tc>
          <w:tcPr>
            <w:tcW w:w="3910" w:type="dxa"/>
            <w:tcBorders>
              <w:top w:val="nil"/>
              <w:left w:val="single" w:sz="8" w:space="0" w:color="auto"/>
              <w:bottom w:val="single" w:sz="8" w:space="0" w:color="auto"/>
              <w:right w:val="single" w:sz="8" w:space="0" w:color="auto"/>
            </w:tcBorders>
            <w:shd w:val="clear" w:color="auto" w:fill="auto"/>
            <w:noWrap/>
            <w:vAlign w:val="center"/>
            <w:hideMark/>
          </w:tcPr>
          <w:p w14:paraId="70002360" w14:textId="77777777" w:rsidR="007C45CE" w:rsidRPr="00701F32" w:rsidRDefault="007C45CE" w:rsidP="007C45CE">
            <w:pPr>
              <w:ind w:left="20"/>
              <w:rPr>
                <w:rFonts w:ascii="Arial" w:hAnsi="Arial" w:cs="Arial"/>
                <w:color w:val="000000"/>
                <w:sz w:val="16"/>
                <w:szCs w:val="18"/>
                <w:lang w:eastAsia="es-AR"/>
              </w:rPr>
            </w:pPr>
            <w:r w:rsidRPr="00701F32">
              <w:rPr>
                <w:rFonts w:ascii="Arial" w:hAnsi="Arial" w:cs="Arial"/>
                <w:color w:val="000000"/>
                <w:sz w:val="16"/>
                <w:szCs w:val="18"/>
                <w:lang w:eastAsia="es-AR"/>
              </w:rPr>
              <w:t xml:space="preserve"> ORI </w:t>
            </w:r>
          </w:p>
        </w:tc>
        <w:tc>
          <w:tcPr>
            <w:tcW w:w="1320" w:type="dxa"/>
            <w:tcBorders>
              <w:top w:val="nil"/>
              <w:left w:val="nil"/>
              <w:bottom w:val="single" w:sz="8" w:space="0" w:color="auto"/>
              <w:right w:val="single" w:sz="8" w:space="0" w:color="auto"/>
            </w:tcBorders>
            <w:shd w:val="clear" w:color="auto" w:fill="auto"/>
            <w:noWrap/>
            <w:vAlign w:val="bottom"/>
            <w:hideMark/>
          </w:tcPr>
          <w:p w14:paraId="5059FD9B" w14:textId="77777777" w:rsidR="007C45CE" w:rsidRPr="00701F32" w:rsidRDefault="007C45CE">
            <w:pPr>
              <w:jc w:val="right"/>
              <w:rPr>
                <w:rFonts w:ascii="Arial" w:hAnsi="Arial" w:cs="Arial"/>
                <w:sz w:val="16"/>
              </w:rPr>
            </w:pPr>
            <w:r w:rsidRPr="00701F32">
              <w:rPr>
                <w:rFonts w:ascii="Arial" w:hAnsi="Arial" w:cs="Arial"/>
                <w:sz w:val="16"/>
              </w:rPr>
              <w:t xml:space="preserve"> 30.846 </w:t>
            </w:r>
          </w:p>
        </w:tc>
        <w:tc>
          <w:tcPr>
            <w:tcW w:w="1174" w:type="dxa"/>
            <w:tcBorders>
              <w:top w:val="nil"/>
              <w:left w:val="nil"/>
              <w:bottom w:val="single" w:sz="8" w:space="0" w:color="auto"/>
              <w:right w:val="single" w:sz="8" w:space="0" w:color="auto"/>
            </w:tcBorders>
            <w:shd w:val="clear" w:color="auto" w:fill="auto"/>
            <w:noWrap/>
            <w:vAlign w:val="bottom"/>
            <w:hideMark/>
          </w:tcPr>
          <w:p w14:paraId="2762F428" w14:textId="77777777" w:rsidR="007C45CE" w:rsidRPr="00701F32" w:rsidRDefault="007C45CE">
            <w:pPr>
              <w:jc w:val="right"/>
              <w:rPr>
                <w:rFonts w:ascii="Arial" w:hAnsi="Arial" w:cs="Arial"/>
                <w:sz w:val="16"/>
              </w:rPr>
            </w:pPr>
            <w:r w:rsidRPr="00701F32">
              <w:rPr>
                <w:rFonts w:ascii="Arial" w:hAnsi="Arial" w:cs="Arial"/>
                <w:sz w:val="16"/>
              </w:rPr>
              <w:t xml:space="preserve"> 27.401 </w:t>
            </w:r>
          </w:p>
        </w:tc>
        <w:tc>
          <w:tcPr>
            <w:tcW w:w="1174" w:type="dxa"/>
            <w:tcBorders>
              <w:top w:val="nil"/>
              <w:left w:val="nil"/>
              <w:bottom w:val="single" w:sz="8" w:space="0" w:color="auto"/>
              <w:right w:val="single" w:sz="8" w:space="0" w:color="auto"/>
            </w:tcBorders>
            <w:shd w:val="clear" w:color="auto" w:fill="auto"/>
            <w:noWrap/>
            <w:vAlign w:val="bottom"/>
            <w:hideMark/>
          </w:tcPr>
          <w:p w14:paraId="1A3D7C00" w14:textId="77777777" w:rsidR="007C45CE" w:rsidRPr="00701F32" w:rsidRDefault="007C45CE">
            <w:pPr>
              <w:jc w:val="right"/>
              <w:rPr>
                <w:rFonts w:ascii="Arial" w:hAnsi="Arial" w:cs="Arial"/>
                <w:sz w:val="16"/>
              </w:rPr>
            </w:pPr>
            <w:r w:rsidRPr="00701F32">
              <w:rPr>
                <w:rFonts w:ascii="Arial" w:hAnsi="Arial" w:cs="Arial"/>
                <w:sz w:val="16"/>
              </w:rPr>
              <w:t xml:space="preserve"> 11.314 </w:t>
            </w:r>
          </w:p>
        </w:tc>
        <w:tc>
          <w:tcPr>
            <w:tcW w:w="1174" w:type="dxa"/>
            <w:tcBorders>
              <w:top w:val="nil"/>
              <w:left w:val="nil"/>
              <w:bottom w:val="single" w:sz="8" w:space="0" w:color="auto"/>
              <w:right w:val="single" w:sz="8" w:space="0" w:color="auto"/>
            </w:tcBorders>
            <w:shd w:val="clear" w:color="auto" w:fill="auto"/>
            <w:noWrap/>
            <w:vAlign w:val="bottom"/>
            <w:hideMark/>
          </w:tcPr>
          <w:p w14:paraId="43CABAD5"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028" w:type="dxa"/>
            <w:tcBorders>
              <w:top w:val="nil"/>
              <w:left w:val="nil"/>
              <w:bottom w:val="single" w:sz="8" w:space="0" w:color="auto"/>
              <w:right w:val="single" w:sz="8" w:space="0" w:color="auto"/>
            </w:tcBorders>
            <w:shd w:val="clear" w:color="auto" w:fill="auto"/>
            <w:noWrap/>
            <w:vAlign w:val="bottom"/>
            <w:hideMark/>
          </w:tcPr>
          <w:p w14:paraId="536E4502" w14:textId="77777777" w:rsidR="007C45CE" w:rsidRPr="00701F32" w:rsidRDefault="007C45CE">
            <w:pPr>
              <w:jc w:val="right"/>
              <w:rPr>
                <w:rFonts w:ascii="Arial" w:hAnsi="Arial" w:cs="Arial"/>
                <w:sz w:val="16"/>
              </w:rPr>
            </w:pPr>
            <w:r w:rsidRPr="00701F32">
              <w:rPr>
                <w:rFonts w:ascii="Arial" w:hAnsi="Arial" w:cs="Arial"/>
                <w:sz w:val="16"/>
              </w:rPr>
              <w:t xml:space="preserve">  -    </w:t>
            </w:r>
          </w:p>
        </w:tc>
        <w:tc>
          <w:tcPr>
            <w:tcW w:w="1174" w:type="dxa"/>
            <w:tcBorders>
              <w:top w:val="nil"/>
              <w:left w:val="nil"/>
              <w:bottom w:val="single" w:sz="8" w:space="0" w:color="auto"/>
              <w:right w:val="single" w:sz="8" w:space="0" w:color="auto"/>
            </w:tcBorders>
            <w:shd w:val="clear" w:color="auto" w:fill="auto"/>
            <w:noWrap/>
            <w:vAlign w:val="bottom"/>
            <w:hideMark/>
          </w:tcPr>
          <w:p w14:paraId="485A5071" w14:textId="77777777" w:rsidR="007C45CE" w:rsidRPr="00701F32" w:rsidRDefault="007C45CE">
            <w:pPr>
              <w:jc w:val="right"/>
              <w:rPr>
                <w:rFonts w:ascii="Arial" w:hAnsi="Arial" w:cs="Arial"/>
                <w:sz w:val="16"/>
              </w:rPr>
            </w:pPr>
            <w:r w:rsidRPr="00701F32">
              <w:rPr>
                <w:rFonts w:ascii="Arial" w:hAnsi="Arial" w:cs="Arial"/>
                <w:sz w:val="16"/>
              </w:rPr>
              <w:t xml:space="preserve"> 69.561 </w:t>
            </w:r>
          </w:p>
        </w:tc>
      </w:tr>
      <w:tr w:rsidR="007C45CE" w:rsidRPr="00701F32" w14:paraId="6D31BC63" w14:textId="77777777" w:rsidTr="00B30DEB">
        <w:trPr>
          <w:trHeight w:val="47"/>
        </w:trPr>
        <w:tc>
          <w:tcPr>
            <w:tcW w:w="3910" w:type="dxa"/>
            <w:tcBorders>
              <w:top w:val="nil"/>
              <w:left w:val="single" w:sz="8" w:space="0" w:color="auto"/>
              <w:bottom w:val="single" w:sz="8" w:space="0" w:color="auto"/>
              <w:right w:val="single" w:sz="8" w:space="0" w:color="auto"/>
            </w:tcBorders>
            <w:shd w:val="clear" w:color="auto" w:fill="auto"/>
            <w:noWrap/>
            <w:vAlign w:val="center"/>
          </w:tcPr>
          <w:p w14:paraId="0D308E6D" w14:textId="77777777" w:rsidR="007C45CE" w:rsidRPr="00701F32" w:rsidRDefault="007C45CE" w:rsidP="007C45CE">
            <w:pPr>
              <w:ind w:left="20"/>
              <w:rPr>
                <w:rFonts w:ascii="Arial" w:hAnsi="Arial" w:cs="Arial"/>
                <w:b/>
                <w:bCs/>
                <w:color w:val="000000"/>
                <w:sz w:val="16"/>
                <w:szCs w:val="18"/>
                <w:lang w:eastAsia="es-AR"/>
              </w:rPr>
            </w:pPr>
            <w:r w:rsidRPr="00701F32">
              <w:rPr>
                <w:rFonts w:ascii="Arial" w:hAnsi="Arial" w:cs="Arial"/>
                <w:b/>
                <w:bCs/>
                <w:color w:val="000000"/>
                <w:sz w:val="16"/>
                <w:szCs w:val="18"/>
                <w:lang w:eastAsia="es-AR"/>
              </w:rPr>
              <w:t>Resultado Integral del ejercicio</w:t>
            </w:r>
          </w:p>
        </w:tc>
        <w:tc>
          <w:tcPr>
            <w:tcW w:w="1320" w:type="dxa"/>
            <w:tcBorders>
              <w:top w:val="nil"/>
              <w:left w:val="nil"/>
              <w:bottom w:val="single" w:sz="8" w:space="0" w:color="auto"/>
              <w:right w:val="single" w:sz="8" w:space="0" w:color="auto"/>
            </w:tcBorders>
            <w:shd w:val="clear" w:color="auto" w:fill="auto"/>
            <w:noWrap/>
            <w:vAlign w:val="bottom"/>
          </w:tcPr>
          <w:p w14:paraId="1AD49CC1" w14:textId="77777777" w:rsidR="007C45CE" w:rsidRPr="00701F32" w:rsidRDefault="007C45CE">
            <w:pPr>
              <w:jc w:val="right"/>
              <w:rPr>
                <w:rFonts w:ascii="Arial" w:hAnsi="Arial" w:cs="Arial"/>
                <w:b/>
                <w:sz w:val="16"/>
              </w:rPr>
            </w:pPr>
            <w:r w:rsidRPr="00701F32">
              <w:rPr>
                <w:rFonts w:ascii="Arial" w:hAnsi="Arial" w:cs="Arial"/>
                <w:b/>
                <w:sz w:val="16"/>
              </w:rPr>
              <w:t xml:space="preserve"> 200.580 </w:t>
            </w:r>
          </w:p>
        </w:tc>
        <w:tc>
          <w:tcPr>
            <w:tcW w:w="1174" w:type="dxa"/>
            <w:tcBorders>
              <w:top w:val="nil"/>
              <w:left w:val="nil"/>
              <w:bottom w:val="single" w:sz="8" w:space="0" w:color="auto"/>
              <w:right w:val="single" w:sz="8" w:space="0" w:color="auto"/>
            </w:tcBorders>
            <w:shd w:val="clear" w:color="auto" w:fill="auto"/>
            <w:noWrap/>
            <w:vAlign w:val="bottom"/>
          </w:tcPr>
          <w:p w14:paraId="698E5195" w14:textId="77777777" w:rsidR="007C45CE" w:rsidRPr="00701F32" w:rsidRDefault="007C45CE">
            <w:pPr>
              <w:jc w:val="right"/>
              <w:rPr>
                <w:rFonts w:ascii="Arial" w:hAnsi="Arial" w:cs="Arial"/>
                <w:b/>
                <w:sz w:val="16"/>
              </w:rPr>
            </w:pPr>
            <w:r w:rsidRPr="00701F32">
              <w:rPr>
                <w:rFonts w:ascii="Arial" w:hAnsi="Arial" w:cs="Arial"/>
                <w:b/>
                <w:sz w:val="16"/>
              </w:rPr>
              <w:t xml:space="preserve"> 236.107 </w:t>
            </w:r>
          </w:p>
        </w:tc>
        <w:tc>
          <w:tcPr>
            <w:tcW w:w="1174" w:type="dxa"/>
            <w:tcBorders>
              <w:top w:val="nil"/>
              <w:left w:val="nil"/>
              <w:bottom w:val="single" w:sz="8" w:space="0" w:color="auto"/>
              <w:right w:val="single" w:sz="8" w:space="0" w:color="auto"/>
            </w:tcBorders>
            <w:shd w:val="clear" w:color="auto" w:fill="auto"/>
            <w:noWrap/>
            <w:vAlign w:val="bottom"/>
          </w:tcPr>
          <w:p w14:paraId="13DCA72F" w14:textId="77777777" w:rsidR="007C45CE" w:rsidRPr="00701F32" w:rsidRDefault="007C45CE">
            <w:pPr>
              <w:jc w:val="right"/>
              <w:rPr>
                <w:rFonts w:ascii="Arial" w:hAnsi="Arial" w:cs="Arial"/>
                <w:b/>
                <w:sz w:val="16"/>
              </w:rPr>
            </w:pPr>
            <w:r w:rsidRPr="00701F32">
              <w:rPr>
                <w:rFonts w:ascii="Arial" w:hAnsi="Arial" w:cs="Arial"/>
                <w:b/>
                <w:sz w:val="16"/>
              </w:rPr>
              <w:t xml:space="preserve"> 373.346 </w:t>
            </w:r>
          </w:p>
        </w:tc>
        <w:tc>
          <w:tcPr>
            <w:tcW w:w="1174" w:type="dxa"/>
            <w:tcBorders>
              <w:top w:val="nil"/>
              <w:left w:val="nil"/>
              <w:bottom w:val="single" w:sz="8" w:space="0" w:color="auto"/>
              <w:right w:val="single" w:sz="8" w:space="0" w:color="auto"/>
            </w:tcBorders>
            <w:shd w:val="clear" w:color="auto" w:fill="auto"/>
            <w:noWrap/>
            <w:vAlign w:val="bottom"/>
          </w:tcPr>
          <w:p w14:paraId="130678B0" w14:textId="77777777" w:rsidR="007C45CE" w:rsidRPr="00701F32" w:rsidRDefault="007C45CE">
            <w:pPr>
              <w:jc w:val="right"/>
              <w:rPr>
                <w:rFonts w:ascii="Arial" w:hAnsi="Arial" w:cs="Arial"/>
                <w:b/>
                <w:sz w:val="16"/>
              </w:rPr>
            </w:pPr>
            <w:r w:rsidRPr="00701F32">
              <w:rPr>
                <w:rFonts w:ascii="Arial" w:hAnsi="Arial" w:cs="Arial"/>
                <w:b/>
                <w:sz w:val="16"/>
              </w:rPr>
              <w:t xml:space="preserve"> 110.553 </w:t>
            </w:r>
          </w:p>
        </w:tc>
        <w:tc>
          <w:tcPr>
            <w:tcW w:w="1028" w:type="dxa"/>
            <w:tcBorders>
              <w:top w:val="nil"/>
              <w:left w:val="nil"/>
              <w:bottom w:val="single" w:sz="8" w:space="0" w:color="auto"/>
              <w:right w:val="single" w:sz="8" w:space="0" w:color="auto"/>
            </w:tcBorders>
            <w:shd w:val="clear" w:color="auto" w:fill="auto"/>
            <w:noWrap/>
            <w:vAlign w:val="bottom"/>
          </w:tcPr>
          <w:p w14:paraId="7A50BDC4" w14:textId="77777777" w:rsidR="007C45CE" w:rsidRPr="00701F32" w:rsidRDefault="007C45CE">
            <w:pPr>
              <w:jc w:val="right"/>
              <w:rPr>
                <w:rFonts w:ascii="Arial" w:hAnsi="Arial" w:cs="Arial"/>
                <w:b/>
                <w:sz w:val="16"/>
              </w:rPr>
            </w:pPr>
            <w:r w:rsidRPr="00701F32">
              <w:rPr>
                <w:rFonts w:ascii="Arial" w:hAnsi="Arial" w:cs="Arial"/>
                <w:b/>
                <w:sz w:val="16"/>
              </w:rPr>
              <w:t xml:space="preserve"> -23.292 </w:t>
            </w:r>
          </w:p>
        </w:tc>
        <w:tc>
          <w:tcPr>
            <w:tcW w:w="1174" w:type="dxa"/>
            <w:tcBorders>
              <w:top w:val="nil"/>
              <w:left w:val="nil"/>
              <w:bottom w:val="single" w:sz="8" w:space="0" w:color="auto"/>
              <w:right w:val="single" w:sz="8" w:space="0" w:color="auto"/>
            </w:tcBorders>
            <w:shd w:val="clear" w:color="auto" w:fill="auto"/>
            <w:noWrap/>
            <w:vAlign w:val="bottom"/>
          </w:tcPr>
          <w:p w14:paraId="068D1380" w14:textId="77777777" w:rsidR="007C45CE" w:rsidRPr="00701F32" w:rsidRDefault="007C45CE">
            <w:pPr>
              <w:jc w:val="right"/>
              <w:rPr>
                <w:rFonts w:ascii="Arial" w:hAnsi="Arial" w:cs="Arial"/>
                <w:b/>
                <w:sz w:val="16"/>
              </w:rPr>
            </w:pPr>
            <w:r w:rsidRPr="00701F32">
              <w:rPr>
                <w:rFonts w:ascii="Arial" w:hAnsi="Arial" w:cs="Arial"/>
                <w:sz w:val="16"/>
              </w:rPr>
              <w:t xml:space="preserve"> </w:t>
            </w:r>
            <w:r w:rsidRPr="00701F32">
              <w:rPr>
                <w:rFonts w:ascii="Arial" w:hAnsi="Arial" w:cs="Arial"/>
                <w:b/>
                <w:sz w:val="16"/>
              </w:rPr>
              <w:t xml:space="preserve">897.294 </w:t>
            </w:r>
          </w:p>
        </w:tc>
      </w:tr>
    </w:tbl>
    <w:p w14:paraId="59912F74" w14:textId="77777777" w:rsidR="005C4329" w:rsidRPr="00701F32" w:rsidRDefault="005C4329">
      <w:pPr>
        <w:spacing w:after="160" w:line="259" w:lineRule="auto"/>
        <w:jc w:val="both"/>
        <w:rPr>
          <w:rFonts w:ascii="Arial" w:eastAsia="Calibri" w:hAnsi="Arial" w:cs="Arial"/>
          <w:bCs/>
          <w:sz w:val="20"/>
        </w:rPr>
      </w:pPr>
    </w:p>
    <w:p w14:paraId="499C6DAE" w14:textId="77777777" w:rsidR="00E07294" w:rsidRPr="00701F32" w:rsidRDefault="00AD5EDB" w:rsidP="00E07294">
      <w:pPr>
        <w:spacing w:after="160" w:line="259" w:lineRule="auto"/>
        <w:jc w:val="both"/>
        <w:rPr>
          <w:rFonts w:ascii="Arial" w:eastAsia="Arial" w:hAnsi="Arial" w:cs="Arial"/>
          <w:b/>
          <w:sz w:val="20"/>
        </w:rPr>
      </w:pPr>
      <w:r w:rsidRPr="00701F32">
        <w:rPr>
          <w:rFonts w:ascii="Arial" w:eastAsia="Arial" w:hAnsi="Arial" w:cs="Arial"/>
          <w:b/>
          <w:sz w:val="20"/>
        </w:rPr>
        <w:t>17</w:t>
      </w:r>
      <w:r w:rsidR="00E07294" w:rsidRPr="00701F32">
        <w:rPr>
          <w:rFonts w:ascii="Arial" w:eastAsia="Arial" w:hAnsi="Arial" w:cs="Arial"/>
          <w:b/>
          <w:sz w:val="20"/>
        </w:rPr>
        <w:t>.</w:t>
      </w:r>
      <w:r w:rsidR="00136660" w:rsidRPr="00701F32">
        <w:rPr>
          <w:rFonts w:ascii="Arial" w:eastAsia="Arial" w:hAnsi="Arial" w:cs="Arial"/>
          <w:b/>
          <w:sz w:val="20"/>
        </w:rPr>
        <w:t xml:space="preserve">22 </w:t>
      </w:r>
      <w:r w:rsidR="00E07294" w:rsidRPr="00701F32">
        <w:rPr>
          <w:rFonts w:ascii="Arial" w:eastAsia="Arial" w:hAnsi="Arial" w:cs="Arial"/>
          <w:b/>
          <w:sz w:val="20"/>
        </w:rPr>
        <w:t xml:space="preserve">Factores de riesgos financieros </w:t>
      </w:r>
    </w:p>
    <w:p w14:paraId="1128962A"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crédito</w:t>
      </w:r>
    </w:p>
    <w:p w14:paraId="5D157697"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p>
    <w:p w14:paraId="1B735493" w14:textId="77777777" w:rsidR="003A13FB" w:rsidRPr="00701F32" w:rsidRDefault="003A13FB" w:rsidP="003A13FB">
      <w:pPr>
        <w:autoSpaceDE w:val="0"/>
        <w:autoSpaceDN w:val="0"/>
        <w:spacing w:after="240"/>
        <w:jc w:val="both"/>
        <w:rPr>
          <w:rFonts w:ascii="Arial" w:hAnsi="Arial" w:cs="Arial"/>
          <w:sz w:val="20"/>
          <w:lang w:val="es-ES_tradnl"/>
        </w:rPr>
      </w:pPr>
      <w:r w:rsidRPr="00701F32">
        <w:rPr>
          <w:rFonts w:ascii="Arial" w:hAnsi="Arial" w:cs="Arial"/>
          <w:sz w:val="20"/>
          <w:lang w:val="es-ES_tradnl"/>
        </w:rPr>
        <w:t xml:space="preserve">El Comité de Riesgos Integrales aprueba las estrategias y políticas de riesgo de crédito elevadas en base al asesoramiento de la Gerencia Corporativa de Riesgos Integrales, la Gerencia Corporativa de Créditos y las bancas comerciales y en cumplimiento con las reglamentaciones del BCRA. La estrategia y política crediticia apunta al desarrollo de oportunidades comerciales dentro del ámbito y las condiciones del plan de negocios del Banco, manteniendo al mismo tiempo adecuados niveles de prudencia frente al riesgo. </w:t>
      </w:r>
    </w:p>
    <w:p w14:paraId="32805D73" w14:textId="77777777" w:rsidR="003A13FB" w:rsidRPr="00701F32" w:rsidRDefault="003A13FB" w:rsidP="003A13FB">
      <w:pPr>
        <w:autoSpaceDE w:val="0"/>
        <w:autoSpaceDN w:val="0"/>
        <w:spacing w:after="240"/>
        <w:jc w:val="both"/>
        <w:rPr>
          <w:rFonts w:ascii="Arial" w:hAnsi="Arial" w:cs="Arial"/>
          <w:sz w:val="20"/>
          <w:lang w:val="es-ES_tradnl"/>
        </w:rPr>
      </w:pPr>
      <w:r w:rsidRPr="00701F32">
        <w:rPr>
          <w:rFonts w:ascii="Arial" w:hAnsi="Arial" w:cs="Arial"/>
          <w:sz w:val="20"/>
        </w:rPr>
        <w:t>Por medio de políticas y procedimientos, son definidos los aspectos detallados para llevar a cabo la Estrategia del Banco vinculada a la gestión del riesgo de crédito; entre ellos los criterios del Banco para otorgar crédito, atribuciones y facultades crediticias, tipos de productos y la forma en que organiza su estructura, entre otros aspectos. Asimismo, el Banco posee por un lado una política de riesgos integrales donde se detallan aspectos vinculados al gobierno de riesgos fundamentales generales para su gestión y por otro, manuales y procedimientos especifico que contemplan entre otros las normas señaladas en las materias emanadas del BCRA.</w:t>
      </w:r>
    </w:p>
    <w:p w14:paraId="018DDAA6"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hAnsi="Arial" w:cs="Arial"/>
          <w:sz w:val="20"/>
          <w:lang w:val="es-ES_tradnl"/>
        </w:rPr>
        <w:t>La política para la gestión de riesgo de crédito de la Entidad está abierta a los mercados de empresas e individuos. Para ello, se ha definido una segmentación</w:t>
      </w:r>
      <w:r w:rsidRPr="00701F32">
        <w:rPr>
          <w:rFonts w:ascii="Arial" w:eastAsia="Calibri" w:hAnsi="Arial" w:cs="Arial"/>
          <w:sz w:val="20"/>
        </w:rPr>
        <w:t xml:space="preserve"> de clientela para la banca empresas, banca minorista y finanzas.</w:t>
      </w:r>
    </w:p>
    <w:p w14:paraId="3A09CBED"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eastAsia="Calibri" w:hAnsi="Arial" w:cs="Arial"/>
          <w:sz w:val="20"/>
        </w:rPr>
        <w:t>El Banco se focaliza en el apoyo a empresas pertenecientes a sectores con potencial, y, exitosas en su actividad. Dentro de la gama de productos crediticios ofrecidos para el segmento de empresas, el Banco apunta a desarrollar y liderar el mercado de factoring y leasing, como así también ser referente en comercio exterior.</w:t>
      </w:r>
    </w:p>
    <w:p w14:paraId="24E110BA"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eastAsia="Calibri" w:hAnsi="Arial" w:cs="Arial"/>
          <w:sz w:val="20"/>
        </w:rPr>
        <w:t>Dentro de la banca empresas se busca tener una propuesta sólida para el mercado de PyMES y Megras buscando mantener la proximidad con los clientes a través de los centros de atención, acuerdos con clientes a lo largo de su cadena de valor y brindando respuestas ágiles mediante los procesos crediticios existentes.</w:t>
      </w:r>
    </w:p>
    <w:p w14:paraId="694B7567"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En lo que se refiere a individuos, la banca minorista busca mantener el liderazgo en el negocio previsional y orientarse a la financiación para el consumo mediante sus dos redes de distribución: red de sucursales y red de atención para jubilados.</w:t>
      </w:r>
    </w:p>
    <w:p w14:paraId="0EE3D55A"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Por su parte, finanzas apunta al segmento de negocios fiduciarios; colocación de activos en el mercado de capitales a través de fideicomisos financieros y obligaciones negociables, propios y de terceros; y mesa de dinero. Entre los productos negociados encontramos: call interbancario, pases REPO, call corporate, títulos públicos e instrumentos de política monetaria del Banco Central, Compra cartera de consumo, fideicomisos financieros de terceros, negociación de derivados financieros (futuros, swaps de tasas, etc.), entre otros.</w:t>
      </w:r>
    </w:p>
    <w:p w14:paraId="557C8482"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Es voluntad de la Entidad llevar a cabo una estrategia que permita atender sus compromisos contractuales, tanto en condiciones normales de mercado como en situaciones adversas. En relación a ello, la entidad cuenta con modelos de scoring y rating con el objetivo de estimar la probabilidad de default (PD) de las distintas carteras de clientes. Vinculado al marco de apetito de riesgo, la Entidad posee cut offs para cada segmento que reflejan el riesgo máximo que están dispuesta a asumir en términos de probabilidad de default.</w:t>
      </w:r>
    </w:p>
    <w:p w14:paraId="24F44C84" w14:textId="77777777" w:rsidR="003A13FB" w:rsidRPr="00701F32" w:rsidRDefault="003A13FB" w:rsidP="003A13FB">
      <w:pPr>
        <w:tabs>
          <w:tab w:val="left" w:pos="0"/>
        </w:tabs>
        <w:spacing w:before="240"/>
        <w:jc w:val="both"/>
        <w:rPr>
          <w:rFonts w:ascii="Arial" w:hAnsi="Arial" w:cs="Arial"/>
          <w:bCs/>
          <w:sz w:val="20"/>
        </w:rPr>
      </w:pPr>
      <w:r w:rsidRPr="00701F32">
        <w:rPr>
          <w:rFonts w:ascii="Arial" w:hAnsi="Arial" w:cs="Arial"/>
          <w:bCs/>
          <w:sz w:val="20"/>
        </w:rPr>
        <w:t>Adicionalmente a los parámetros de PD, se cuenta con estimaciones de los parámetros exposición al default (EAD) y la pérdida dado el default (LGD) con el objetivo de poder estimar las previsiones estadísticas de la cartera del Banco y el capital económico necesario para afrontar las pérdidas inesperadas que puedan ocurrir en materia de riesgo crediticio.</w:t>
      </w:r>
    </w:p>
    <w:p w14:paraId="4B281CE6" w14:textId="77777777" w:rsidR="003A13FB" w:rsidRPr="00701F32" w:rsidRDefault="003A13FB" w:rsidP="003A13FB">
      <w:pPr>
        <w:tabs>
          <w:tab w:val="left" w:pos="0"/>
        </w:tabs>
        <w:spacing w:before="240"/>
        <w:jc w:val="both"/>
        <w:rPr>
          <w:rFonts w:ascii="Arial" w:hAnsi="Arial" w:cs="Arial"/>
          <w:bCs/>
          <w:sz w:val="20"/>
        </w:rPr>
      </w:pPr>
      <w:r w:rsidRPr="00701F32">
        <w:rPr>
          <w:rFonts w:ascii="Arial" w:hAnsi="Arial" w:cs="Arial"/>
          <w:bCs/>
          <w:sz w:val="20"/>
        </w:rPr>
        <w:t>El Banco tiene como pauta mantener una cartera diversificada y atomizada para minimizar la concentración de riesgos, para lo cual se orienta el otorgamiento del crédito y perfil de cartera objetivo, todo ello ajustado a las circunstancias del momento en que correspondan las mismas.</w:t>
      </w:r>
    </w:p>
    <w:p w14:paraId="5CE97F31" w14:textId="77777777" w:rsidR="003A13FB" w:rsidRPr="00701F32" w:rsidRDefault="003A13FB" w:rsidP="003A13FB">
      <w:pPr>
        <w:keepNext/>
        <w:tabs>
          <w:tab w:val="left" w:pos="1843"/>
        </w:tabs>
        <w:spacing w:before="240" w:after="60"/>
        <w:jc w:val="both"/>
        <w:outlineLvl w:val="2"/>
        <w:rPr>
          <w:rFonts w:ascii="Arial" w:hAnsi="Arial" w:cs="Arial"/>
          <w:b/>
          <w:sz w:val="20"/>
        </w:rPr>
      </w:pPr>
      <w:bookmarkStart w:id="10" w:name="_Toc373839207"/>
      <w:r w:rsidRPr="00701F32">
        <w:rPr>
          <w:rFonts w:ascii="Arial" w:hAnsi="Arial" w:cs="Arial"/>
          <w:bCs/>
          <w:sz w:val="20"/>
          <w:szCs w:val="22"/>
        </w:rPr>
        <w:t>Modelos de medición del riesgo de crédito</w:t>
      </w:r>
      <w:bookmarkEnd w:id="10"/>
    </w:p>
    <w:p w14:paraId="04C15A43" w14:textId="77777777" w:rsidR="003A13FB" w:rsidRPr="00701F32" w:rsidRDefault="003A13FB" w:rsidP="003A13FB">
      <w:pPr>
        <w:spacing w:before="240"/>
        <w:jc w:val="both"/>
        <w:rPr>
          <w:rFonts w:ascii="Arial" w:hAnsi="Arial" w:cs="Arial"/>
          <w:bCs/>
          <w:sz w:val="20"/>
        </w:rPr>
      </w:pPr>
      <w:r w:rsidRPr="00701F32">
        <w:rPr>
          <w:rFonts w:ascii="Arial" w:hAnsi="Arial" w:cs="Arial"/>
          <w:bCs/>
          <w:sz w:val="20"/>
        </w:rPr>
        <w:t xml:space="preserve">La Entidad cuenta con modelos para estimar la distribución de posibles pérdidas de la cartera crediticia, las cuales dependen de la realización de incumplimientos por parte de las contrapartes (PD – probabilidad de incumplimiento), así como de la exposición asumida con ellos (EAD – exposición al momento del incumplimiento) y de la proporción de cada préstamo incumplido que la Entidad sea capaz de recuperar (LGD – pérdida en caso de impago). </w:t>
      </w:r>
    </w:p>
    <w:p w14:paraId="08B07F8E" w14:textId="7DE6E2F5" w:rsidR="003A13FB" w:rsidRDefault="003A13FB" w:rsidP="003A13FB">
      <w:pPr>
        <w:spacing w:before="240"/>
        <w:jc w:val="both"/>
        <w:rPr>
          <w:rFonts w:ascii="Arial" w:hAnsi="Arial" w:cs="Arial"/>
          <w:bCs/>
          <w:sz w:val="20"/>
        </w:rPr>
      </w:pPr>
      <w:r w:rsidRPr="00701F32">
        <w:rPr>
          <w:rFonts w:ascii="Arial" w:hAnsi="Arial" w:cs="Arial"/>
          <w:bCs/>
          <w:sz w:val="20"/>
        </w:rPr>
        <w:t>A partir de ello, se desarrollaron en el Banco sistemas que calculan las previsiones estadísticas, capital económico y modelos de Rentabilidad Ajustada al Riesgo (RAROC) con el fin de optimizar la gestión y la toma de decisiones.</w:t>
      </w:r>
    </w:p>
    <w:p w14:paraId="1D9DC452" w14:textId="1E791450" w:rsidR="006C6698" w:rsidRDefault="006C6698" w:rsidP="003A13FB">
      <w:pPr>
        <w:spacing w:before="240"/>
        <w:jc w:val="both"/>
        <w:rPr>
          <w:rFonts w:ascii="Arial" w:hAnsi="Arial" w:cs="Arial"/>
          <w:bCs/>
          <w:sz w:val="20"/>
        </w:rPr>
      </w:pPr>
    </w:p>
    <w:p w14:paraId="260D138F" w14:textId="77777777" w:rsidR="006C6698" w:rsidRPr="00701F32" w:rsidRDefault="006C6698" w:rsidP="003A13FB">
      <w:pPr>
        <w:spacing w:before="240"/>
        <w:jc w:val="both"/>
        <w:rPr>
          <w:rFonts w:ascii="Arial" w:hAnsi="Arial" w:cs="Arial"/>
          <w:bCs/>
          <w:sz w:val="20"/>
        </w:rPr>
      </w:pPr>
    </w:p>
    <w:p w14:paraId="761A1B70" w14:textId="77777777" w:rsidR="003A13FB" w:rsidRPr="00701F32" w:rsidRDefault="003A13FB" w:rsidP="003A13FB">
      <w:pPr>
        <w:autoSpaceDE w:val="0"/>
        <w:autoSpaceDN w:val="0"/>
        <w:adjustRightInd w:val="0"/>
        <w:spacing w:before="240"/>
        <w:jc w:val="both"/>
        <w:rPr>
          <w:rFonts w:ascii="Arial" w:hAnsi="Arial" w:cs="Arial"/>
          <w:bCs/>
          <w:sz w:val="20"/>
          <w:u w:val="single"/>
        </w:rPr>
      </w:pPr>
      <w:r w:rsidRPr="00701F32">
        <w:rPr>
          <w:rFonts w:ascii="Arial" w:hAnsi="Arial" w:cs="Arial"/>
          <w:bCs/>
          <w:sz w:val="20"/>
          <w:u w:val="single"/>
        </w:rPr>
        <w:t>Cálculo de previsiones estadísticas</w:t>
      </w:r>
    </w:p>
    <w:p w14:paraId="629B8202" w14:textId="77777777" w:rsidR="003A13FB"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Los ejercicios para la estimación de las previsiones estadísticas son estudios que tienen por objetivo analizar la información propia de cartera de la Entidad de manera de estimar, en términos globales, el valor medio de la función de distribución de pérdidas para un horizonte de tiempo anual (pérdida esperada). En función a los resultados de las estimaciones de PD, EAD y LGD, se calcula la pérdida esperada asociada.</w:t>
      </w:r>
    </w:p>
    <w:p w14:paraId="02D77D58" w14:textId="77777777" w:rsidR="003A13FB" w:rsidRPr="00701F32" w:rsidRDefault="003A13FB" w:rsidP="003A13FB">
      <w:pPr>
        <w:autoSpaceDE w:val="0"/>
        <w:autoSpaceDN w:val="0"/>
        <w:adjustRightInd w:val="0"/>
        <w:spacing w:before="240"/>
        <w:jc w:val="both"/>
        <w:rPr>
          <w:rFonts w:ascii="Arial" w:hAnsi="Arial" w:cs="Arial"/>
          <w:bCs/>
          <w:sz w:val="20"/>
          <w:u w:val="single"/>
        </w:rPr>
      </w:pPr>
      <w:r w:rsidRPr="00701F32">
        <w:rPr>
          <w:rFonts w:ascii="Arial" w:hAnsi="Arial" w:cs="Arial"/>
          <w:bCs/>
          <w:sz w:val="20"/>
          <w:u w:val="single"/>
        </w:rPr>
        <w:t>Cálculo de capital económico</w:t>
      </w:r>
    </w:p>
    <w:p w14:paraId="1FF03AB0" w14:textId="77777777" w:rsidR="003A13FB"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 xml:space="preserve">El capital económico por riesgo de crédito representa la diferencia entre el valor a riesgo del portafolio (según el nivel de confianza establecido del 99,9% para individuos y 99% para empresas) y las pérdidas esperadas. </w:t>
      </w:r>
    </w:p>
    <w:p w14:paraId="251CE33B" w14:textId="1365AA92" w:rsidR="00576023"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 xml:space="preserve">La Entidad cuenta con dos modelos de capital económico por riesgo de crédito (uno para individuos y otro para empresas). En dichos modelos cuantitativos se incluye la exacerbación del capital por riesgo de concentración, así como la correspondiente por riesgo de titulización. El holding period utilizado en los modelos de capital económico para el presente riesgo es de un año, con excepción de las exposiciones vinculadas con factoring. Para dichas exposiciones se utiliza un holding period de seis meses. </w:t>
      </w:r>
    </w:p>
    <w:p w14:paraId="3E68C2AF" w14:textId="77777777" w:rsidR="006C6698" w:rsidRDefault="006C6698" w:rsidP="003A13FB">
      <w:pPr>
        <w:autoSpaceDE w:val="0"/>
        <w:autoSpaceDN w:val="0"/>
        <w:spacing w:after="240"/>
        <w:jc w:val="both"/>
        <w:rPr>
          <w:rFonts w:ascii="Arial" w:hAnsi="Arial" w:cs="Arial"/>
          <w:b/>
          <w:bCs/>
          <w:sz w:val="20"/>
          <w:lang w:val="es-ES_tradnl"/>
        </w:rPr>
      </w:pPr>
    </w:p>
    <w:p w14:paraId="015A0212" w14:textId="6664A708" w:rsidR="003A13FB" w:rsidRPr="00701F32" w:rsidRDefault="003A13FB" w:rsidP="003A13FB">
      <w:pPr>
        <w:autoSpaceDE w:val="0"/>
        <w:autoSpaceDN w:val="0"/>
        <w:spacing w:after="240"/>
        <w:jc w:val="both"/>
        <w:rPr>
          <w:rFonts w:ascii="Arial" w:eastAsia="Arial" w:hAnsi="Arial" w:cs="Arial"/>
          <w:b/>
          <w:bCs/>
          <w:sz w:val="20"/>
          <w:lang w:val="es-ES_tradnl"/>
        </w:rPr>
      </w:pPr>
      <w:r w:rsidRPr="00701F32">
        <w:rPr>
          <w:rFonts w:ascii="Arial" w:hAnsi="Arial" w:cs="Arial"/>
          <w:b/>
          <w:bCs/>
          <w:sz w:val="20"/>
          <w:lang w:val="es-ES_tradnl"/>
        </w:rPr>
        <w:t>Gestión del riesgo de contrapartes</w:t>
      </w:r>
    </w:p>
    <w:p w14:paraId="750E2FE6" w14:textId="77777777" w:rsidR="003A13FB" w:rsidRPr="00701F32" w:rsidRDefault="003A13FB" w:rsidP="003A13FB">
      <w:pPr>
        <w:pBdr>
          <w:top w:val="nil"/>
          <w:left w:val="nil"/>
          <w:bottom w:val="nil"/>
          <w:right w:val="nil"/>
          <w:between w:val="nil"/>
          <w:bar w:val="nil"/>
        </w:pBdr>
        <w:spacing w:before="240"/>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cuenta con un mapa de riesgos de contraparte donde se define por cada contraparte en función al apetito de riesgo de la Entidad: límites de exposición crediticia y liquidación (Settlement), riesgo liquidación (Settlement) en cambios, títulos, operaciones de pases entre otros aspectos que la Entidad aprueba en el Comité de Créditos y definiendo un marco de acción para finanzas.</w:t>
      </w:r>
    </w:p>
    <w:p w14:paraId="3C506FB6" w14:textId="77777777" w:rsidR="003A13FB" w:rsidRPr="00701F32" w:rsidRDefault="003A13FB" w:rsidP="003A13FB">
      <w:pPr>
        <w:pBdr>
          <w:top w:val="nil"/>
          <w:left w:val="nil"/>
          <w:bottom w:val="nil"/>
          <w:right w:val="nil"/>
          <w:between w:val="nil"/>
          <w:bar w:val="nil"/>
        </w:pBdr>
        <w:spacing w:before="240"/>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En lo que se refiere al capital económico por el riesgo de contraparte se encuentra incluido en el modelo cuantitativo de capital económico por riesgo de crédito.</w:t>
      </w:r>
    </w:p>
    <w:p w14:paraId="74DA605F" w14:textId="77777777" w:rsidR="003A13FB" w:rsidRPr="00701F32" w:rsidRDefault="003A13FB" w:rsidP="003A13FB">
      <w:pPr>
        <w:pBdr>
          <w:top w:val="nil"/>
          <w:left w:val="nil"/>
          <w:bottom w:val="nil"/>
          <w:right w:val="nil"/>
          <w:between w:val="nil"/>
          <w:bar w:val="nil"/>
        </w:pBdr>
        <w:jc w:val="both"/>
        <w:rPr>
          <w:rFonts w:ascii="Arial" w:eastAsia="Arial Unicode MS" w:hAnsi="Arial" w:cs="Arial"/>
          <w:sz w:val="20"/>
          <w:u w:color="000000"/>
          <w:bdr w:val="nil"/>
          <w:lang w:val="es-ES_tradnl" w:eastAsia="es-AR"/>
        </w:rPr>
      </w:pPr>
    </w:p>
    <w:p w14:paraId="78B012BF" w14:textId="77777777" w:rsidR="003A13FB" w:rsidRPr="00701F32" w:rsidRDefault="003A13FB" w:rsidP="003A13FB">
      <w:pPr>
        <w:spacing w:after="160" w:line="259" w:lineRule="auto"/>
        <w:jc w:val="both"/>
        <w:rPr>
          <w:rFonts w:ascii="Arial" w:eastAsia="Arial" w:hAnsi="Arial" w:cs="Arial"/>
          <w:b/>
          <w:sz w:val="20"/>
        </w:rPr>
      </w:pPr>
      <w:r w:rsidRPr="00701F32">
        <w:rPr>
          <w:rFonts w:ascii="Arial" w:eastAsia="Arial" w:hAnsi="Arial" w:cs="Arial"/>
          <w:b/>
          <w:sz w:val="20"/>
        </w:rPr>
        <w:t>Deterioro de Instrumentos Financieros</w:t>
      </w:r>
    </w:p>
    <w:p w14:paraId="15CC1B81" w14:textId="77777777" w:rsidR="003A13FB" w:rsidRPr="00701F32" w:rsidRDefault="003A13FB" w:rsidP="003A13FB">
      <w:pPr>
        <w:spacing w:after="160" w:line="259" w:lineRule="auto"/>
        <w:jc w:val="both"/>
        <w:rPr>
          <w:rFonts w:ascii="Arial" w:eastAsia="Arial" w:hAnsi="Arial" w:cs="Arial"/>
          <w:sz w:val="20"/>
        </w:rPr>
      </w:pPr>
      <w:r w:rsidRPr="00701F32">
        <w:rPr>
          <w:rFonts w:ascii="Arial" w:eastAsia="Arial" w:hAnsi="Arial" w:cs="Arial"/>
          <w:sz w:val="20"/>
        </w:rPr>
        <w:t>La Entidad previsiona los préstamos de acuerdo al tipo de cartera del préstamo, realizando un análisis individual para cada cliente en el caso de aquellos clasificados como “Cartera Comercial” o “Cartera Asimilable a Consumo” y un análisis masivo en base a los días de mora para aquellos clientes clasificados como “Cartera de Consumo”. Ver en Nota 1.12 los criterios de previsionamiento seguidos.</w:t>
      </w:r>
    </w:p>
    <w:p w14:paraId="5247EFEA" w14:textId="39D580A7" w:rsidR="003A13FB" w:rsidRDefault="003A13FB" w:rsidP="003A13FB">
      <w:pPr>
        <w:spacing w:after="160" w:line="259" w:lineRule="auto"/>
        <w:jc w:val="both"/>
        <w:rPr>
          <w:rFonts w:ascii="Arial" w:eastAsia="Arial" w:hAnsi="Arial" w:cs="Arial"/>
          <w:sz w:val="20"/>
        </w:rPr>
      </w:pPr>
      <w:r w:rsidRPr="00701F32">
        <w:rPr>
          <w:rFonts w:ascii="Arial" w:eastAsia="Arial" w:hAnsi="Arial" w:cs="Arial"/>
          <w:sz w:val="20"/>
        </w:rPr>
        <w:t>A continuación, se detallan los movimientos de las pr</w:t>
      </w:r>
      <w:r w:rsidR="00CC1AB9" w:rsidRPr="00701F32">
        <w:rPr>
          <w:rFonts w:ascii="Arial" w:eastAsia="Arial" w:hAnsi="Arial" w:cs="Arial"/>
          <w:sz w:val="20"/>
        </w:rPr>
        <w:t>e</w:t>
      </w:r>
      <w:r w:rsidRPr="00701F32">
        <w:rPr>
          <w:rFonts w:ascii="Arial" w:eastAsia="Arial" w:hAnsi="Arial" w:cs="Arial"/>
          <w:sz w:val="20"/>
        </w:rPr>
        <w:t>visiones por deterioro del ejercicio 2017:</w:t>
      </w:r>
    </w:p>
    <w:p w14:paraId="4EB54695" w14:textId="77777777" w:rsidR="006C6698" w:rsidRPr="00701F32" w:rsidRDefault="006C6698" w:rsidP="003A13FB">
      <w:pPr>
        <w:spacing w:after="160" w:line="259" w:lineRule="auto"/>
        <w:jc w:val="both"/>
        <w:rPr>
          <w:rFonts w:ascii="Arial" w:eastAsia="Arial" w:hAnsi="Arial" w:cs="Arial"/>
          <w:sz w:val="20"/>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4"/>
        <w:gridCol w:w="2890"/>
      </w:tblGrid>
      <w:tr w:rsidR="003A13FB" w:rsidRPr="00701F32" w14:paraId="5C4C2ACE" w14:textId="77777777" w:rsidTr="00BA3C16">
        <w:trPr>
          <w:trHeight w:val="254"/>
        </w:trPr>
        <w:tc>
          <w:tcPr>
            <w:tcW w:w="3404" w:type="pct"/>
            <w:shd w:val="clear" w:color="auto" w:fill="auto"/>
            <w:noWrap/>
            <w:vAlign w:val="bottom"/>
            <w:hideMark/>
          </w:tcPr>
          <w:p w14:paraId="2CCBCBDC" w14:textId="77777777" w:rsidR="003A13FB" w:rsidRPr="00701F32" w:rsidRDefault="003A13FB"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Saldo inicial</w:t>
            </w:r>
          </w:p>
        </w:tc>
        <w:tc>
          <w:tcPr>
            <w:tcW w:w="1596" w:type="pct"/>
            <w:shd w:val="clear" w:color="auto" w:fill="auto"/>
            <w:noWrap/>
            <w:vAlign w:val="bottom"/>
            <w:hideMark/>
          </w:tcPr>
          <w:p w14:paraId="21588752"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654.029</w:t>
            </w:r>
          </w:p>
        </w:tc>
      </w:tr>
      <w:tr w:rsidR="003A13FB" w:rsidRPr="00701F32" w14:paraId="7A96F28D" w14:textId="77777777" w:rsidTr="00BA3C16">
        <w:trPr>
          <w:trHeight w:val="254"/>
        </w:trPr>
        <w:tc>
          <w:tcPr>
            <w:tcW w:w="3404" w:type="pct"/>
            <w:shd w:val="clear" w:color="auto" w:fill="auto"/>
            <w:noWrap/>
            <w:vAlign w:val="bottom"/>
            <w:hideMark/>
          </w:tcPr>
          <w:p w14:paraId="71130EC1" w14:textId="77777777" w:rsidR="003A13FB" w:rsidRPr="00701F32" w:rsidRDefault="00CC1AB9">
            <w:pPr>
              <w:spacing w:line="259" w:lineRule="auto"/>
              <w:jc w:val="both"/>
              <w:rPr>
                <w:rFonts w:ascii="Arial" w:hAnsi="Arial" w:cs="Arial"/>
                <w:color w:val="000000"/>
                <w:sz w:val="20"/>
                <w:lang w:eastAsia="es-AR"/>
              </w:rPr>
            </w:pPr>
            <w:r w:rsidRPr="00701F32">
              <w:rPr>
                <w:rFonts w:ascii="Arial" w:hAnsi="Arial" w:cs="Arial"/>
                <w:color w:val="000000"/>
                <w:sz w:val="20"/>
                <w:lang w:eastAsia="es-AR"/>
              </w:rPr>
              <w:t xml:space="preserve">Deterioros </w:t>
            </w:r>
            <w:r w:rsidR="003A13FB" w:rsidRPr="00701F32">
              <w:rPr>
                <w:rFonts w:ascii="Arial" w:hAnsi="Arial" w:cs="Arial"/>
                <w:color w:val="000000"/>
                <w:sz w:val="20"/>
                <w:lang w:eastAsia="es-AR"/>
              </w:rPr>
              <w:t xml:space="preserve">del </w:t>
            </w:r>
            <w:r w:rsidRPr="00701F32">
              <w:rPr>
                <w:rFonts w:ascii="Arial" w:hAnsi="Arial" w:cs="Arial"/>
                <w:color w:val="000000"/>
                <w:sz w:val="20"/>
                <w:lang w:eastAsia="es-AR"/>
              </w:rPr>
              <w:t>ejercicio</w:t>
            </w:r>
          </w:p>
        </w:tc>
        <w:tc>
          <w:tcPr>
            <w:tcW w:w="1596" w:type="pct"/>
            <w:shd w:val="clear" w:color="auto" w:fill="auto"/>
            <w:noWrap/>
            <w:vAlign w:val="bottom"/>
            <w:hideMark/>
          </w:tcPr>
          <w:p w14:paraId="0329EDDD"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793.314</w:t>
            </w:r>
          </w:p>
        </w:tc>
      </w:tr>
      <w:tr w:rsidR="003A13FB" w:rsidRPr="00701F32" w14:paraId="1FB716AB" w14:textId="77777777" w:rsidTr="00BA3C16">
        <w:trPr>
          <w:trHeight w:val="254"/>
        </w:trPr>
        <w:tc>
          <w:tcPr>
            <w:tcW w:w="3404" w:type="pct"/>
            <w:shd w:val="clear" w:color="auto" w:fill="auto"/>
            <w:noWrap/>
            <w:vAlign w:val="bottom"/>
            <w:hideMark/>
          </w:tcPr>
          <w:p w14:paraId="0BE3FF11" w14:textId="77777777" w:rsidR="003A13FB" w:rsidRPr="00701F32" w:rsidRDefault="003A13FB"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Write Off</w:t>
            </w:r>
          </w:p>
        </w:tc>
        <w:tc>
          <w:tcPr>
            <w:tcW w:w="1596" w:type="pct"/>
            <w:shd w:val="clear" w:color="auto" w:fill="auto"/>
            <w:noWrap/>
            <w:vAlign w:val="bottom"/>
            <w:hideMark/>
          </w:tcPr>
          <w:p w14:paraId="44BCF2B0"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(562.782)</w:t>
            </w:r>
          </w:p>
        </w:tc>
      </w:tr>
      <w:tr w:rsidR="003A13FB" w:rsidRPr="00701F32" w14:paraId="188E9301" w14:textId="77777777" w:rsidTr="00BA3C16">
        <w:trPr>
          <w:trHeight w:val="254"/>
        </w:trPr>
        <w:tc>
          <w:tcPr>
            <w:tcW w:w="3404" w:type="pct"/>
            <w:shd w:val="clear" w:color="auto" w:fill="auto"/>
            <w:noWrap/>
            <w:vAlign w:val="bottom"/>
            <w:hideMark/>
          </w:tcPr>
          <w:p w14:paraId="4DED5199" w14:textId="77777777" w:rsidR="003A13FB" w:rsidRPr="00701F32" w:rsidRDefault="003A13FB">
            <w:pPr>
              <w:spacing w:line="259" w:lineRule="auto"/>
              <w:jc w:val="both"/>
              <w:rPr>
                <w:rFonts w:ascii="Arial" w:hAnsi="Arial" w:cs="Arial"/>
                <w:color w:val="000000"/>
                <w:sz w:val="20"/>
                <w:lang w:eastAsia="es-AR"/>
              </w:rPr>
            </w:pPr>
            <w:r w:rsidRPr="00701F32">
              <w:rPr>
                <w:rFonts w:ascii="Arial" w:hAnsi="Arial" w:cs="Arial"/>
                <w:color w:val="000000"/>
                <w:sz w:val="20"/>
                <w:lang w:eastAsia="es-AR"/>
              </w:rPr>
              <w:t xml:space="preserve">Recupero del </w:t>
            </w:r>
            <w:r w:rsidR="00CC1AB9" w:rsidRPr="00701F32">
              <w:rPr>
                <w:rFonts w:ascii="Arial" w:hAnsi="Arial" w:cs="Arial"/>
                <w:color w:val="000000"/>
                <w:sz w:val="20"/>
                <w:lang w:eastAsia="es-AR"/>
              </w:rPr>
              <w:t>ejercicio</w:t>
            </w:r>
          </w:p>
        </w:tc>
        <w:tc>
          <w:tcPr>
            <w:tcW w:w="1596" w:type="pct"/>
            <w:shd w:val="clear" w:color="auto" w:fill="auto"/>
            <w:noWrap/>
            <w:vAlign w:val="bottom"/>
            <w:hideMark/>
          </w:tcPr>
          <w:p w14:paraId="24602C42"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 (790)</w:t>
            </w:r>
          </w:p>
        </w:tc>
      </w:tr>
      <w:tr w:rsidR="003A13FB" w:rsidRPr="00701F32" w14:paraId="18FADBA7" w14:textId="77777777" w:rsidTr="00BA3C16">
        <w:trPr>
          <w:trHeight w:val="254"/>
        </w:trPr>
        <w:tc>
          <w:tcPr>
            <w:tcW w:w="3404" w:type="pct"/>
            <w:shd w:val="clear" w:color="auto" w:fill="auto"/>
            <w:noWrap/>
            <w:vAlign w:val="bottom"/>
            <w:hideMark/>
          </w:tcPr>
          <w:p w14:paraId="30AA5B97" w14:textId="77777777" w:rsidR="003A13FB" w:rsidRPr="00701F32" w:rsidRDefault="003A13FB" w:rsidP="00BA3C16">
            <w:pPr>
              <w:spacing w:line="259" w:lineRule="auto"/>
              <w:jc w:val="both"/>
              <w:rPr>
                <w:rFonts w:ascii="Arial" w:hAnsi="Arial" w:cs="Arial"/>
                <w:b/>
                <w:bCs/>
                <w:color w:val="000000"/>
                <w:sz w:val="20"/>
                <w:lang w:eastAsia="es-AR"/>
              </w:rPr>
            </w:pPr>
            <w:r w:rsidRPr="00701F32">
              <w:rPr>
                <w:rFonts w:ascii="Arial" w:hAnsi="Arial" w:cs="Arial"/>
                <w:b/>
                <w:bCs/>
                <w:color w:val="000000"/>
                <w:sz w:val="20"/>
                <w:lang w:eastAsia="es-AR"/>
              </w:rPr>
              <w:t>Saldo final</w:t>
            </w:r>
          </w:p>
        </w:tc>
        <w:tc>
          <w:tcPr>
            <w:tcW w:w="1596" w:type="pct"/>
            <w:shd w:val="clear" w:color="auto" w:fill="auto"/>
            <w:noWrap/>
            <w:vAlign w:val="bottom"/>
            <w:hideMark/>
          </w:tcPr>
          <w:p w14:paraId="12887B9C" w14:textId="77777777" w:rsidR="003A13FB" w:rsidRPr="00701F32" w:rsidRDefault="003A13FB" w:rsidP="00BA3C16">
            <w:pPr>
              <w:spacing w:line="259" w:lineRule="auto"/>
              <w:jc w:val="right"/>
              <w:rPr>
                <w:rFonts w:ascii="Arial" w:hAnsi="Arial" w:cs="Arial"/>
                <w:b/>
                <w:bCs/>
                <w:color w:val="000000"/>
                <w:sz w:val="20"/>
                <w:lang w:eastAsia="es-AR"/>
              </w:rPr>
            </w:pPr>
            <w:r w:rsidRPr="00701F32">
              <w:rPr>
                <w:rFonts w:ascii="Arial" w:hAnsi="Arial" w:cs="Arial"/>
                <w:b/>
                <w:bCs/>
                <w:color w:val="000000"/>
                <w:sz w:val="20"/>
                <w:lang w:eastAsia="es-AR"/>
              </w:rPr>
              <w:t> 883.771</w:t>
            </w:r>
          </w:p>
        </w:tc>
      </w:tr>
    </w:tbl>
    <w:p w14:paraId="6AC9502F" w14:textId="77777777" w:rsidR="003A13FB" w:rsidRPr="00701F32" w:rsidRDefault="003A13FB" w:rsidP="003A13FB">
      <w:pPr>
        <w:jc w:val="both"/>
        <w:rPr>
          <w:rFonts w:ascii="Arial" w:eastAsia="Calibri" w:hAnsi="Arial" w:cs="Arial"/>
          <w:sz w:val="20"/>
          <w:lang w:eastAsia="es-PE"/>
        </w:rPr>
      </w:pPr>
    </w:p>
    <w:p w14:paraId="481615F5" w14:textId="77777777" w:rsidR="003A13FB" w:rsidRPr="00701F32" w:rsidRDefault="003A13FB" w:rsidP="003A13FB">
      <w:pPr>
        <w:jc w:val="both"/>
        <w:rPr>
          <w:rFonts w:ascii="Arial" w:eastAsia="Calibri" w:hAnsi="Arial" w:cs="Arial"/>
          <w:sz w:val="20"/>
          <w:lang w:eastAsia="es-PE"/>
        </w:rPr>
      </w:pPr>
      <w:r w:rsidRPr="00701F32">
        <w:rPr>
          <w:rFonts w:ascii="Arial" w:eastAsia="Calibri" w:hAnsi="Arial" w:cs="Arial"/>
          <w:sz w:val="20"/>
          <w:lang w:eastAsia="es-PE"/>
        </w:rPr>
        <w:t>De acuerdo a las normas de previsionamiento, los préstamos al sector financiero y las responsabilidades eventuales en situación normal no deben generar pérdidas por deterioro. El valor de los mencionados saldos asciende a 22.227 y 1.017 respectivamente.</w:t>
      </w:r>
    </w:p>
    <w:p w14:paraId="1C39C6B8" w14:textId="77777777" w:rsidR="005C4329" w:rsidRPr="00701F32" w:rsidRDefault="005C4329" w:rsidP="003A13FB">
      <w:pPr>
        <w:jc w:val="both"/>
        <w:rPr>
          <w:rFonts w:ascii="Arial" w:eastAsia="Calibri" w:hAnsi="Arial" w:cs="Arial"/>
          <w:sz w:val="20"/>
          <w:lang w:eastAsia="es-PE"/>
        </w:rPr>
      </w:pPr>
    </w:p>
    <w:p w14:paraId="68C50461" w14:textId="77777777" w:rsidR="003A13FB" w:rsidRPr="00701F32" w:rsidRDefault="003A13FB" w:rsidP="003A13FB">
      <w:pPr>
        <w:jc w:val="both"/>
        <w:rPr>
          <w:rFonts w:ascii="Arial" w:eastAsia="Calibri" w:hAnsi="Arial" w:cs="Arial"/>
          <w:sz w:val="20"/>
          <w:u w:val="single"/>
          <w:lang w:eastAsia="es-PE"/>
        </w:rPr>
      </w:pPr>
      <w:r w:rsidRPr="00701F32">
        <w:rPr>
          <w:rFonts w:ascii="Arial" w:eastAsia="Calibri" w:hAnsi="Arial" w:cs="Arial"/>
          <w:sz w:val="20"/>
          <w:u w:val="single"/>
          <w:lang w:eastAsia="es-PE"/>
        </w:rPr>
        <w:t>Préstamos dados de baja</w:t>
      </w:r>
    </w:p>
    <w:p w14:paraId="6945FD97" w14:textId="77777777" w:rsidR="003A13FB" w:rsidRPr="00701F32" w:rsidRDefault="003A13FB" w:rsidP="003A13FB">
      <w:pPr>
        <w:jc w:val="both"/>
        <w:rPr>
          <w:rFonts w:ascii="Arial" w:eastAsia="Calibri" w:hAnsi="Arial" w:cs="Arial"/>
          <w:sz w:val="20"/>
          <w:u w:val="single"/>
          <w:lang w:eastAsia="es-PE"/>
        </w:rPr>
      </w:pPr>
    </w:p>
    <w:p w14:paraId="3D1E6977" w14:textId="77777777" w:rsidR="003A13FB" w:rsidRPr="00701F32" w:rsidRDefault="003A13FB" w:rsidP="003A13FB">
      <w:pPr>
        <w:spacing w:after="160" w:line="259" w:lineRule="auto"/>
        <w:jc w:val="both"/>
        <w:rPr>
          <w:rFonts w:ascii="Arial" w:eastAsia="Arial" w:hAnsi="Arial" w:cs="Arial"/>
          <w:sz w:val="20"/>
        </w:rPr>
      </w:pPr>
      <w:r w:rsidRPr="00701F32">
        <w:rPr>
          <w:rFonts w:ascii="Arial" w:eastAsia="Arial" w:hAnsi="Arial" w:cs="Arial"/>
          <w:sz w:val="20"/>
        </w:rPr>
        <w:t>Aquellos créditos clasificados como irrecuperables durante 7 meses, son eliminados del activo reconociéndose los mismos en cuentas fuera de balance.  El saldo de los mismos al 31 de diciembre de 2017 asciende a 601.583.</w:t>
      </w:r>
    </w:p>
    <w:p w14:paraId="52C0CB61"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mercado</w:t>
      </w:r>
    </w:p>
    <w:p w14:paraId="4947173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47525DB1" w14:textId="77777777" w:rsidR="003A13FB" w:rsidRPr="00701F32" w:rsidRDefault="003A13FB" w:rsidP="003A13FB">
      <w:pPr>
        <w:tabs>
          <w:tab w:val="left" w:pos="142"/>
        </w:tabs>
        <w:spacing w:after="200"/>
        <w:jc w:val="both"/>
        <w:rPr>
          <w:rFonts w:ascii="Arial" w:hAnsi="Arial" w:cs="Arial"/>
          <w:sz w:val="20"/>
          <w:lang w:eastAsia="es-AR"/>
        </w:rPr>
      </w:pPr>
      <w:r w:rsidRPr="00701F32">
        <w:rPr>
          <w:rFonts w:ascii="Arial" w:hAnsi="Arial" w:cs="Arial"/>
          <w:sz w:val="20"/>
          <w:lang w:eastAsia="es-AR"/>
        </w:rPr>
        <w:t xml:space="preserve">Banco Supervielle define al Riesgo de Mercado como el riesgo que surge de las desviaciones que se producen en el valor de la cartera de negociación, como consecuencia de las fluctuaciones en los mercados durante el período de tiempo requerido para liquidar las posiciones de la cartera. </w:t>
      </w:r>
    </w:p>
    <w:p w14:paraId="3DE1186E" w14:textId="77777777" w:rsidR="003A13FB" w:rsidRPr="00701F32" w:rsidRDefault="003A13FB" w:rsidP="003A13FB">
      <w:pPr>
        <w:tabs>
          <w:tab w:val="left" w:pos="142"/>
        </w:tabs>
        <w:spacing w:after="200"/>
        <w:jc w:val="both"/>
        <w:rPr>
          <w:rFonts w:ascii="Arial" w:hAnsi="Arial" w:cs="Arial"/>
          <w:sz w:val="20"/>
          <w:lang w:eastAsia="es-AR"/>
        </w:rPr>
      </w:pPr>
      <w:r w:rsidRPr="00701F32">
        <w:rPr>
          <w:rFonts w:ascii="Arial" w:hAnsi="Arial" w:cs="Arial"/>
          <w:sz w:val="20"/>
          <w:lang w:eastAsia="es-AR"/>
        </w:rPr>
        <w:t>El perímetro de medición, control y seguimiento de la Gerencia de Riesgos Financieros abarca aquellas operaciones donde se asume riesgo de pérdida en el valor patrimonial de la Entidad, a nivel consolidado e individual en cada una de las entidades con las que consolida, como consecuencia de cambios en los factores de mercado. Este riesgo proviene de la variación de los factores de riesgo considerados (tasa de interés, tipo de cambio, precio de activos de renta variable y opciones), así como del riesgo de liquidez de los distintos productos y mercados en los que opera la Entidad.</w:t>
      </w:r>
    </w:p>
    <w:p w14:paraId="7F731896" w14:textId="77777777" w:rsidR="003A13FB" w:rsidRPr="00701F32" w:rsidRDefault="003A13FB" w:rsidP="003A13FB">
      <w:pPr>
        <w:tabs>
          <w:tab w:val="left" w:pos="142"/>
        </w:tabs>
        <w:spacing w:after="200"/>
        <w:jc w:val="both"/>
        <w:rPr>
          <w:rFonts w:ascii="Arial" w:hAnsi="Arial" w:cs="Arial"/>
          <w:sz w:val="20"/>
          <w:lang w:val="es-ES_tradnl" w:eastAsia="es-AR"/>
        </w:rPr>
      </w:pPr>
      <w:r w:rsidRPr="00701F32">
        <w:rPr>
          <w:rFonts w:ascii="Arial" w:hAnsi="Arial" w:cs="Arial"/>
          <w:sz w:val="20"/>
          <w:lang w:val="es-ES_tradnl" w:eastAsia="es-AR"/>
        </w:rPr>
        <w:t xml:space="preserve">A efectos de medir el riesgo de las posiciones en forma homogénea y en base a ello establecer una estructura de límites y umbrales a los efectos de gestión y esquemas de control, Banco Supervielle utiliza el modelo VaR (valor a riesgo), el que se define como la máxima pérdida esperada que puede registrar una cartera de activos financieros en situaciones normales de mercado, dentro de un horizonte de tiempo determinado y con un nivel de confianza preestablecido. Los indicadores elaborados en base a ello permiten detectar el nivel a partir del cual se identifica un riesgo potencial de mercado para, de esta forma, tomar las acciones preventivas correspondientes. </w:t>
      </w:r>
    </w:p>
    <w:p w14:paraId="7D833085" w14:textId="77777777" w:rsidR="003A13FB" w:rsidRPr="00701F32" w:rsidRDefault="003A13FB" w:rsidP="003A13FB">
      <w:pPr>
        <w:tabs>
          <w:tab w:val="left" w:pos="142"/>
        </w:tabs>
        <w:spacing w:after="200"/>
        <w:jc w:val="both"/>
        <w:rPr>
          <w:rFonts w:ascii="Arial" w:hAnsi="Arial" w:cs="Arial"/>
          <w:sz w:val="20"/>
          <w:lang w:val="es-ES_tradnl" w:eastAsia="es-AR"/>
        </w:rPr>
      </w:pPr>
      <w:r w:rsidRPr="00701F32">
        <w:rPr>
          <w:rFonts w:ascii="Arial" w:hAnsi="Arial" w:cs="Arial"/>
          <w:sz w:val="20"/>
          <w:lang w:val="es-ES_tradnl" w:eastAsia="es-AR"/>
        </w:rPr>
        <w:t xml:space="preserve">Las estrategias y políticas aprobadas se reflejan en un instrumento denominado mapa de riesgos unificado, donde se explican detalladamente las operaciones habilitadas que puede realizar la Mesa de Dinero definiendo los funcionarios autorizados a aprobar esas operaciones. En el mismo documento figura el plazo máximo de las operaciones, los montos máximos de posición por producto y monto máximo de pérdida involucrado (“stop loss”). </w:t>
      </w:r>
    </w:p>
    <w:p w14:paraId="2CE94C3D" w14:textId="77777777" w:rsidR="003A13FB" w:rsidRPr="00701F32" w:rsidRDefault="003A13FB" w:rsidP="003A13FB">
      <w:pPr>
        <w:contextualSpacing/>
        <w:jc w:val="both"/>
        <w:rPr>
          <w:rFonts w:ascii="Arial" w:hAnsi="Arial" w:cs="Arial"/>
          <w:sz w:val="22"/>
          <w:szCs w:val="22"/>
          <w:u w:val="single"/>
          <w:lang w:val="es-ES_tradnl" w:eastAsia="es-AR"/>
        </w:rPr>
      </w:pPr>
      <w:r w:rsidRPr="00701F32">
        <w:rPr>
          <w:rFonts w:ascii="Arial" w:hAnsi="Arial" w:cs="Arial"/>
          <w:sz w:val="22"/>
          <w:szCs w:val="22"/>
          <w:u w:val="single"/>
          <w:lang w:val="es-ES_tradnl" w:eastAsia="es-AR"/>
        </w:rPr>
        <w:t>Cálculo de capital económico</w:t>
      </w:r>
    </w:p>
    <w:p w14:paraId="0D1E859F" w14:textId="77777777" w:rsidR="003A13FB" w:rsidRPr="00701F32" w:rsidRDefault="003A13FB" w:rsidP="003A13FB">
      <w:pPr>
        <w:contextualSpacing/>
        <w:jc w:val="both"/>
        <w:rPr>
          <w:rFonts w:ascii="Arial" w:hAnsi="Arial" w:cs="Arial"/>
          <w:b/>
          <w:sz w:val="22"/>
          <w:szCs w:val="22"/>
          <w:lang w:val="es-ES_tradnl" w:eastAsia="es-AR"/>
        </w:rPr>
      </w:pPr>
    </w:p>
    <w:p w14:paraId="66F8E6D9" w14:textId="77777777" w:rsidR="003A13FB" w:rsidRPr="00701F32" w:rsidRDefault="003A13FB" w:rsidP="003A13FB">
      <w:pPr>
        <w:pBdr>
          <w:top w:val="nil"/>
          <w:left w:val="nil"/>
          <w:bottom w:val="nil"/>
          <w:right w:val="nil"/>
          <w:between w:val="nil"/>
          <w:bar w:val="nil"/>
        </w:pBdr>
        <w:tabs>
          <w:tab w:val="left" w:pos="142"/>
        </w:tabs>
        <w:jc w:val="both"/>
        <w:rPr>
          <w:rFonts w:ascii="Arial" w:hAnsi="Arial" w:cs="Arial"/>
          <w:bCs/>
          <w:sz w:val="20"/>
          <w:lang w:eastAsia="es-AR"/>
        </w:rPr>
      </w:pPr>
      <w:r w:rsidRPr="00701F32">
        <w:rPr>
          <w:rFonts w:ascii="Arial" w:hAnsi="Arial" w:cs="Arial"/>
          <w:bCs/>
          <w:sz w:val="20"/>
          <w:lang w:eastAsia="es-AR"/>
        </w:rPr>
        <w:t>Banco Supervielle adopta la metodología de VaR Paramétrico para el cálculo del capital económico por riesgo de mercado, tanto a nivel consolidado como individual en cada una de las entidades reguladas que integran esta consolidación.</w:t>
      </w:r>
    </w:p>
    <w:p w14:paraId="75BCF49C"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p>
    <w:p w14:paraId="6D010672"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tasa de interés</w:t>
      </w:r>
    </w:p>
    <w:p w14:paraId="5B613454"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3B217087"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Se define al riesgo de tasa de interés como el riesgo que se basa en la posibilidad de que se produzcan cambios en la condición financiera de la Entidad como consecuencia de fluctuaciones en las tasas de interés del mercado, teniendo efecto sobre los ingresos financieros de la Entidad así como también en su valor económico. Se reconocen los siguientes factores de riesgo:</w:t>
      </w:r>
    </w:p>
    <w:p w14:paraId="0CE6C81B"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0C977E37"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Diferentes plazos de vencimiento y fechas de reajustes de tasa para activos, pasivos y tenencias fuera de balance.</w:t>
      </w:r>
    </w:p>
    <w:p w14:paraId="2AD1C59F"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Tasa local, tasa extranjera y CER en cuanto a su proyección, evolución y volatilidad.</w:t>
      </w:r>
    </w:p>
    <w:p w14:paraId="4C971CBC"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El riesgo de base que surge como consecuencia de una correlación imperfecta en el ajuste de las tasas activas y pasivas para instrumentos que poseen características similares de revaluación;</w:t>
      </w:r>
    </w:p>
    <w:p w14:paraId="5C362612"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Las opciones implícitas en determinados activos, pasivos y conceptos fuera de balance de la Entidad</w:t>
      </w:r>
    </w:p>
    <w:p w14:paraId="245F6F3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7C3A28F4"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Unicode MS"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 xml:space="preserve">Banco Supervielle encara el modelo de gestión del riesgo de tasa de interés incorporando el análisis de gaps de tasas de interés. Este análisis facilita una representación básica de la estructura del balance y permite detectar concentraciones de riesgo de interés en los distintos plazos. </w:t>
      </w:r>
    </w:p>
    <w:p w14:paraId="5E421DA3"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2977DFF1" w14:textId="77777777" w:rsidR="003A13FB" w:rsidRPr="00701F32" w:rsidRDefault="003A13FB" w:rsidP="003A13FB">
      <w:pPr>
        <w:ind w:right="-1"/>
        <w:jc w:val="both"/>
        <w:rPr>
          <w:rFonts w:ascii="Arial" w:hAnsi="Arial" w:cs="Arial"/>
          <w:sz w:val="20"/>
        </w:rPr>
      </w:pPr>
      <w:r w:rsidRPr="00701F32">
        <w:rPr>
          <w:rFonts w:ascii="Arial" w:hAnsi="Arial" w:cs="Arial"/>
          <w:sz w:val="20"/>
        </w:rPr>
        <w:t>La gestión del riesgo de tasa de interés del balance busca mantener la exposición del Banco en niveles acordes con el perfil de apetito al riesgo validado por el Directorio ante variaciones en los tipos de interés del mercado.</w:t>
      </w:r>
    </w:p>
    <w:p w14:paraId="76D6DF56" w14:textId="77777777" w:rsidR="003A13FB" w:rsidRPr="00701F32" w:rsidRDefault="003A13FB" w:rsidP="003A13FB">
      <w:pPr>
        <w:ind w:right="-1"/>
        <w:jc w:val="both"/>
        <w:rPr>
          <w:rFonts w:ascii="Arial" w:hAnsi="Arial" w:cs="Arial"/>
          <w:sz w:val="20"/>
        </w:rPr>
      </w:pPr>
    </w:p>
    <w:p w14:paraId="2C42EEB0" w14:textId="77777777" w:rsidR="003A13FB" w:rsidRPr="00701F32" w:rsidRDefault="003A13FB" w:rsidP="003A13FB">
      <w:pPr>
        <w:ind w:right="-1"/>
        <w:jc w:val="both"/>
        <w:rPr>
          <w:rFonts w:ascii="Arial" w:hAnsi="Arial" w:cs="Arial"/>
          <w:sz w:val="20"/>
        </w:rPr>
      </w:pPr>
      <w:r w:rsidRPr="00701F32">
        <w:rPr>
          <w:rFonts w:ascii="Arial" w:hAnsi="Arial" w:cs="Arial"/>
          <w:sz w:val="20"/>
        </w:rPr>
        <w:t>Con ese objetivo, la gestión del riesgo de tasa de interés descansa en el monitoreo de dos métricas:</w:t>
      </w:r>
    </w:p>
    <w:p w14:paraId="1ECBA6F0" w14:textId="77777777" w:rsidR="003A13FB" w:rsidRPr="00701F32" w:rsidRDefault="003A13FB" w:rsidP="003A13FB">
      <w:pPr>
        <w:ind w:right="-1"/>
        <w:jc w:val="both"/>
        <w:rPr>
          <w:rFonts w:ascii="Arial" w:hAnsi="Arial" w:cs="Arial"/>
          <w:sz w:val="20"/>
        </w:rPr>
      </w:pPr>
    </w:p>
    <w:p w14:paraId="05D0063B" w14:textId="77777777" w:rsidR="003A13FB" w:rsidRPr="00701F32" w:rsidRDefault="003A13FB" w:rsidP="003A13FB">
      <w:pPr>
        <w:numPr>
          <w:ilvl w:val="0"/>
          <w:numId w:val="72"/>
        </w:numPr>
        <w:ind w:right="-1"/>
        <w:jc w:val="both"/>
        <w:rPr>
          <w:rFonts w:ascii="Arial" w:hAnsi="Arial" w:cs="Arial"/>
          <w:sz w:val="20"/>
        </w:rPr>
      </w:pPr>
      <w:r w:rsidRPr="00701F32">
        <w:rPr>
          <w:rFonts w:ascii="Arial" w:hAnsi="Arial" w:cs="Arial"/>
          <w:b/>
          <w:i/>
          <w:sz w:val="20"/>
        </w:rPr>
        <w:t>Enfoque MVE – VaR</w:t>
      </w:r>
      <w:r w:rsidRPr="00701F32">
        <w:rPr>
          <w:rFonts w:ascii="Arial" w:hAnsi="Arial" w:cs="Arial"/>
          <w:sz w:val="20"/>
        </w:rPr>
        <w:t>: mide la diferencia entre el valor económico estimado con la curva de interés de mercado y el mismo considerando la curva de tasas de interés que surge de la simulación de distintos escenarios de estrés. Este es el enfoque empleado por la entidad para calcular capital económico por este riesgo.</w:t>
      </w:r>
    </w:p>
    <w:p w14:paraId="188BAC06" w14:textId="77777777" w:rsidR="003A13FB" w:rsidRPr="00701F32" w:rsidRDefault="003A13FB" w:rsidP="003A13FB">
      <w:pPr>
        <w:numPr>
          <w:ilvl w:val="0"/>
          <w:numId w:val="72"/>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b/>
          <w:i/>
          <w:sz w:val="20"/>
          <w:u w:color="000000"/>
          <w:bdr w:val="nil"/>
          <w:lang w:val="es-ES_tradnl" w:eastAsia="es-AR"/>
        </w:rPr>
        <w:t>Enfoque NIM – EaR</w:t>
      </w:r>
      <w:r w:rsidRPr="00701F32">
        <w:rPr>
          <w:rFonts w:ascii="Arial" w:eastAsia="Arial Unicode MS" w:hAnsi="Arial" w:cs="Arial"/>
          <w:sz w:val="20"/>
          <w:u w:color="000000"/>
          <w:bdr w:val="nil"/>
          <w:lang w:val="es-ES_tradnl" w:eastAsia="es-AR"/>
        </w:rPr>
        <w:t>: mide el cambio en los devengos esperados para un plazo determinado (12 meses) ante un desplazamiento de la curva de interés originado en un ejercicio de simulación de distintos escenarios de estrés.</w:t>
      </w:r>
    </w:p>
    <w:p w14:paraId="41532A90" w14:textId="77777777" w:rsidR="003A13FB" w:rsidRPr="00701F32" w:rsidRDefault="003A13FB" w:rsidP="003A13FB">
      <w:pPr>
        <w:spacing w:before="240"/>
        <w:jc w:val="both"/>
        <w:rPr>
          <w:rFonts w:ascii="Arial" w:eastAsia="Arial" w:hAnsi="Arial" w:cs="Arial"/>
          <w:i/>
          <w:iCs/>
          <w:sz w:val="20"/>
          <w:u w:val="single"/>
          <w:shd w:val="clear" w:color="auto" w:fill="FFFF00"/>
          <w:lang w:val="es-ES_tradnl"/>
        </w:rPr>
      </w:pPr>
      <w:r w:rsidRPr="00701F32">
        <w:rPr>
          <w:rFonts w:ascii="Arial" w:hAnsi="Arial" w:cs="Arial"/>
          <w:b/>
          <w:bCs/>
          <w:i/>
          <w:iCs/>
          <w:sz w:val="20"/>
          <w:lang w:val="es-ES_tradnl"/>
        </w:rPr>
        <w:t>Cálculo de capital económico</w:t>
      </w:r>
    </w:p>
    <w:p w14:paraId="2E949B9F"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5CCC45A0" w14:textId="3E4D4D26" w:rsidR="005C4329" w:rsidRPr="00701F32" w:rsidRDefault="003A13FB"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r w:rsidRPr="00701F32">
        <w:rPr>
          <w:rFonts w:ascii="Arial" w:eastAsia="Arial Unicode MS" w:hAnsi="Arial" w:cs="Arial"/>
          <w:sz w:val="20"/>
          <w:u w:color="000000"/>
          <w:bdr w:val="nil"/>
          <w:lang w:val="es-ES_tradnl" w:eastAsia="es-AR"/>
        </w:rPr>
        <w:t>La Entidad calcula el capital económico por riesgo de tasa de interés a partir del enfoque MVE-EaR, utilizando para ello un holding period de tres meses y un nivel de confianza del 99%. Este modelo cuantitativo  incluye la exacerbación del capital por riesgo de titulización.</w:t>
      </w:r>
    </w:p>
    <w:p w14:paraId="2397F899" w14:textId="77777777" w:rsidR="005C4329" w:rsidRPr="00701F32" w:rsidRDefault="005C4329"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p>
    <w:p w14:paraId="652A4CCD"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Liquidez</w:t>
      </w:r>
    </w:p>
    <w:p w14:paraId="22D14C6F"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526E10BF"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define al riesgo de liquidez como el riesgo de afrontar costos de financiación adicionales cuando se producen necesidades de liquidez inesperadas. Este riesgo surge debido a la diferencia de tamaños y de vencimientos entre los activos y pasivos de la Entidad. Se reconocen:</w:t>
      </w:r>
    </w:p>
    <w:p w14:paraId="638541BB"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0A3794AE" w14:textId="77777777" w:rsidR="003A13FB" w:rsidRPr="00701F32" w:rsidRDefault="003A13FB" w:rsidP="003A13FB">
      <w:pPr>
        <w:numPr>
          <w:ilvl w:val="0"/>
          <w:numId w:val="61"/>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 xml:space="preserve">Riesgo liquidez de fondeo; es el riesgo que surge de la imposibilidad de conseguir fondos a costo normal de mercado cuando son requeridos, teniendo como fundamento la percepción que el mercado posea sobre la Entidad. </w:t>
      </w:r>
    </w:p>
    <w:p w14:paraId="114F805A" w14:textId="77777777" w:rsidR="003A13FB" w:rsidRPr="00701F32" w:rsidRDefault="003A13FB" w:rsidP="003A13FB">
      <w:pPr>
        <w:numPr>
          <w:ilvl w:val="0"/>
          <w:numId w:val="61"/>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Riesgo de liquidez de mercado; es el riesgo que nace cuando la Entidad no puede deshacer una posición a precio de mercado en uno o varios activos para la obtención de fondos, como consecuencia de dos factores clave:</w:t>
      </w:r>
    </w:p>
    <w:p w14:paraId="31FBA575" w14:textId="77777777" w:rsidR="003A13FB" w:rsidRPr="00701F32" w:rsidRDefault="003A13FB" w:rsidP="003A13FB">
      <w:pPr>
        <w:pBdr>
          <w:top w:val="nil"/>
          <w:left w:val="nil"/>
          <w:bottom w:val="nil"/>
          <w:right w:val="nil"/>
          <w:between w:val="nil"/>
          <w:bar w:val="nil"/>
        </w:pBdr>
        <w:tabs>
          <w:tab w:val="left" w:pos="142"/>
        </w:tabs>
        <w:ind w:left="720"/>
        <w:jc w:val="both"/>
        <w:rPr>
          <w:rFonts w:ascii="Arial" w:eastAsia="Arial" w:hAnsi="Arial" w:cs="Arial"/>
          <w:sz w:val="20"/>
          <w:u w:color="000000"/>
          <w:bdr w:val="nil"/>
          <w:lang w:val="es-ES_tradnl" w:eastAsia="es-AR"/>
        </w:rPr>
      </w:pPr>
    </w:p>
    <w:p w14:paraId="1E074C27" w14:textId="77777777" w:rsidR="003A13FB" w:rsidRPr="00701F32" w:rsidRDefault="003A13FB" w:rsidP="003A13FB">
      <w:pPr>
        <w:numPr>
          <w:ilvl w:val="3"/>
          <w:numId w:val="62"/>
        </w:numPr>
        <w:pBdr>
          <w:top w:val="nil"/>
          <w:left w:val="nil"/>
          <w:bottom w:val="nil"/>
          <w:right w:val="nil"/>
          <w:between w:val="nil"/>
          <w:bar w:val="nil"/>
        </w:pBdr>
        <w:ind w:left="1134"/>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los activos no son lo suficientemente líquidos, es decir, no cuentan con el mercado secundario necesario.</w:t>
      </w:r>
    </w:p>
    <w:p w14:paraId="1901350F" w14:textId="77777777" w:rsidR="003A13FB" w:rsidRPr="00701F32" w:rsidRDefault="003A13FB" w:rsidP="003A13FB">
      <w:pPr>
        <w:numPr>
          <w:ilvl w:val="3"/>
          <w:numId w:val="62"/>
        </w:numPr>
        <w:pBdr>
          <w:top w:val="nil"/>
          <w:left w:val="nil"/>
          <w:bottom w:val="nil"/>
          <w:right w:val="nil"/>
          <w:between w:val="nil"/>
          <w:bar w:val="nil"/>
        </w:pBdr>
        <w:ind w:left="1134"/>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las alteraciones que puedan producirse en los mercados donde cotizan</w:t>
      </w:r>
    </w:p>
    <w:p w14:paraId="5E5D3F7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3A5888DB" w14:textId="77777777" w:rsidR="003A13FB" w:rsidRPr="00701F32" w:rsidRDefault="003A13FB" w:rsidP="003A13FB">
      <w:pPr>
        <w:jc w:val="both"/>
        <w:rPr>
          <w:rFonts w:ascii="Arial" w:hAnsi="Arial" w:cs="Arial"/>
          <w:sz w:val="20"/>
        </w:rPr>
      </w:pPr>
      <w:r w:rsidRPr="00701F32">
        <w:rPr>
          <w:rFonts w:ascii="Arial" w:hAnsi="Arial" w:cs="Arial"/>
          <w:sz w:val="20"/>
        </w:rPr>
        <w:t>Los indicadores de liquidez y concentración de fuentes de fondeo permiten cuantificar la tolerancia a este riesgo, partiendo desde las definiciones más ácidas o restrictivas del concepto de liquidez hasta aquellas más abarcativas y que incluyen particularidades propias del modelo de negocios de la Entidad.</w:t>
      </w:r>
    </w:p>
    <w:p w14:paraId="7186FE1E" w14:textId="77777777" w:rsidR="003A13FB" w:rsidRPr="00701F32" w:rsidRDefault="003A13FB" w:rsidP="003A13FB">
      <w:pPr>
        <w:jc w:val="both"/>
        <w:rPr>
          <w:rFonts w:ascii="Arial" w:hAnsi="Arial" w:cs="Arial"/>
          <w:sz w:val="20"/>
        </w:rPr>
      </w:pPr>
    </w:p>
    <w:p w14:paraId="62CFA674" w14:textId="77777777" w:rsidR="003A13FB" w:rsidRPr="00701F32" w:rsidRDefault="003A13FB" w:rsidP="003A13FB">
      <w:pPr>
        <w:tabs>
          <w:tab w:val="left" w:pos="7938"/>
        </w:tabs>
        <w:ind w:right="-1"/>
        <w:jc w:val="both"/>
        <w:rPr>
          <w:rFonts w:ascii="Arial" w:hAnsi="Arial" w:cs="Arial"/>
          <w:sz w:val="20"/>
        </w:rPr>
      </w:pPr>
      <w:r w:rsidRPr="00701F32">
        <w:rPr>
          <w:rFonts w:ascii="Arial" w:hAnsi="Arial" w:cs="Arial"/>
          <w:sz w:val="20"/>
        </w:rPr>
        <w:t>Entre las métricas fundamentales (core metrics) utilizadas para la gestión del riesgo de liquidez se destacan:</w:t>
      </w:r>
    </w:p>
    <w:p w14:paraId="53319D29" w14:textId="77777777" w:rsidR="003A13FB" w:rsidRPr="00701F32" w:rsidRDefault="003A13FB" w:rsidP="003A13FB">
      <w:pPr>
        <w:tabs>
          <w:tab w:val="left" w:pos="7938"/>
        </w:tabs>
        <w:ind w:right="-1"/>
        <w:jc w:val="both"/>
        <w:rPr>
          <w:rFonts w:ascii="Arial" w:hAnsi="Arial" w:cs="Arial"/>
          <w:sz w:val="20"/>
        </w:rPr>
      </w:pPr>
    </w:p>
    <w:p w14:paraId="316712C0" w14:textId="77777777" w:rsidR="003A13FB" w:rsidRPr="00701F32" w:rsidRDefault="003A13FB" w:rsidP="003A13FB">
      <w:pPr>
        <w:numPr>
          <w:ilvl w:val="0"/>
          <w:numId w:val="71"/>
        </w:numPr>
        <w:tabs>
          <w:tab w:val="left" w:pos="7938"/>
        </w:tabs>
        <w:ind w:left="709" w:right="-1"/>
        <w:jc w:val="both"/>
        <w:rPr>
          <w:rFonts w:ascii="Arial" w:hAnsi="Arial" w:cs="Arial"/>
          <w:sz w:val="20"/>
        </w:rPr>
      </w:pPr>
      <w:r w:rsidRPr="00701F32">
        <w:rPr>
          <w:rFonts w:ascii="Arial" w:hAnsi="Arial" w:cs="Arial"/>
          <w:b/>
          <w:i/>
          <w:sz w:val="20"/>
        </w:rPr>
        <w:t>LCR (Liquidity Coverage Ratio)</w:t>
      </w:r>
      <w:r w:rsidRPr="00701F32">
        <w:rPr>
          <w:rFonts w:ascii="Arial" w:hAnsi="Arial" w:cs="Arial"/>
          <w:sz w:val="20"/>
        </w:rPr>
        <w:t>: mide la relación entre activos líquidos de alta calidad y las salidas de efectivo netas totales durante un período de 30 días. Banco Supervielle calcula diariamente este indicador, habiéndose cumplido durante 2017 el valor mínimo previsto.</w:t>
      </w:r>
    </w:p>
    <w:p w14:paraId="5A4715F5" w14:textId="77777777" w:rsidR="003A13FB" w:rsidRPr="00701F32" w:rsidRDefault="003A13FB" w:rsidP="003A13FB">
      <w:pPr>
        <w:numPr>
          <w:ilvl w:val="0"/>
          <w:numId w:val="71"/>
        </w:numPr>
        <w:tabs>
          <w:tab w:val="left" w:pos="7938"/>
        </w:tabs>
        <w:ind w:left="709" w:right="-1"/>
        <w:jc w:val="both"/>
        <w:rPr>
          <w:rFonts w:ascii="Arial" w:hAnsi="Arial" w:cs="Arial"/>
          <w:sz w:val="20"/>
        </w:rPr>
      </w:pPr>
      <w:r w:rsidRPr="00701F32">
        <w:rPr>
          <w:rFonts w:ascii="Arial" w:hAnsi="Arial" w:cs="Arial"/>
          <w:b/>
          <w:i/>
          <w:sz w:val="20"/>
        </w:rPr>
        <w:t>Cobertura de Cuentas Remuneradas y PF Precancelables</w:t>
      </w:r>
      <w:r w:rsidRPr="00701F32">
        <w:rPr>
          <w:rFonts w:ascii="Arial" w:hAnsi="Arial" w:cs="Arial"/>
          <w:sz w:val="20"/>
        </w:rPr>
        <w:t xml:space="preserve">: este indicador busca limitar la dependencia del fondeo de fuentes más inestables en escenarios ilíquidos, ya sean de características idiosincráticas o sistémicas. </w:t>
      </w:r>
    </w:p>
    <w:p w14:paraId="74223968" w14:textId="77777777" w:rsidR="003A13FB" w:rsidRPr="00701F32" w:rsidRDefault="003A13FB" w:rsidP="003A13FB">
      <w:pPr>
        <w:tabs>
          <w:tab w:val="left" w:pos="7938"/>
        </w:tabs>
        <w:ind w:right="-1"/>
        <w:jc w:val="both"/>
        <w:rPr>
          <w:rFonts w:ascii="Arial" w:hAnsi="Arial" w:cs="Arial"/>
          <w:sz w:val="20"/>
        </w:rPr>
      </w:pPr>
    </w:p>
    <w:p w14:paraId="60015014" w14:textId="77777777" w:rsidR="003A13FB" w:rsidRPr="00701F32" w:rsidRDefault="003A13FB" w:rsidP="003A13FB">
      <w:pPr>
        <w:tabs>
          <w:tab w:val="left" w:pos="7938"/>
        </w:tabs>
        <w:ind w:right="-1"/>
        <w:jc w:val="both"/>
        <w:rPr>
          <w:rFonts w:ascii="Arial" w:hAnsi="Arial" w:cs="Arial"/>
          <w:sz w:val="20"/>
        </w:rPr>
      </w:pPr>
      <w:r w:rsidRPr="00701F32">
        <w:rPr>
          <w:rFonts w:ascii="Arial" w:hAnsi="Arial" w:cs="Arial"/>
          <w:sz w:val="20"/>
        </w:rPr>
        <w:t>Adicionalmente, la gestión se complementa con el monitoreo diario de una serie de métricas de seguimiento en el ámbito del Comité de Activos y Pasivos (ALCO). Estos indicadores procuran desagregar los principales componentes del LCR, ofreciendo una evaluación de la situación de liquidez en la entidad y alertando ante eventuales cambios de tendencia que puedan poner en juego los lineamientos establecidos en la política de apetito de riesgo.</w:t>
      </w:r>
    </w:p>
    <w:p w14:paraId="2D69EE80" w14:textId="77777777" w:rsidR="003A13FB" w:rsidRPr="00701F32" w:rsidRDefault="003A13FB" w:rsidP="003A13FB">
      <w:pPr>
        <w:ind w:right="474"/>
        <w:jc w:val="both"/>
        <w:rPr>
          <w:rFonts w:ascii="Arial" w:hAnsi="Arial" w:cs="Arial"/>
          <w:sz w:val="20"/>
        </w:rPr>
      </w:pPr>
    </w:p>
    <w:p w14:paraId="53EF792B" w14:textId="77777777" w:rsidR="003A13FB" w:rsidRPr="00701F32" w:rsidRDefault="003A13FB" w:rsidP="003A13FB">
      <w:pPr>
        <w:jc w:val="both"/>
        <w:rPr>
          <w:rFonts w:ascii="Arial" w:hAnsi="Arial" w:cs="Arial"/>
          <w:sz w:val="20"/>
        </w:rPr>
      </w:pPr>
      <w:r w:rsidRPr="00701F32">
        <w:rPr>
          <w:rFonts w:ascii="Arial" w:hAnsi="Arial" w:cs="Arial"/>
          <w:sz w:val="20"/>
        </w:rPr>
        <w:t>Finalmente, apropiados controles sobre la liquidez intradiaria y el cumplimiento con la normativa de efectivo mínimo constituyen los restantes pilares en los que se sustenta la política de liquidez de la entidad.</w:t>
      </w:r>
    </w:p>
    <w:p w14:paraId="25084A34" w14:textId="77777777" w:rsidR="003A13FB" w:rsidRPr="00701F32" w:rsidRDefault="003A13FB" w:rsidP="003A13FB">
      <w:pPr>
        <w:jc w:val="both"/>
        <w:rPr>
          <w:rFonts w:ascii="Arial" w:hAnsi="Arial" w:cs="Arial"/>
          <w:sz w:val="20"/>
        </w:rPr>
      </w:pPr>
    </w:p>
    <w:p w14:paraId="4A136FBA" w14:textId="77777777" w:rsidR="003A13FB" w:rsidRPr="00701F32" w:rsidRDefault="003A13FB" w:rsidP="003A13FB">
      <w:pPr>
        <w:jc w:val="both"/>
        <w:rPr>
          <w:rFonts w:ascii="Arial" w:hAnsi="Arial" w:cs="Arial"/>
          <w:sz w:val="20"/>
        </w:rPr>
      </w:pPr>
      <w:r w:rsidRPr="00701F32">
        <w:rPr>
          <w:rFonts w:ascii="Arial" w:hAnsi="Arial" w:cs="Arial"/>
          <w:sz w:val="20"/>
        </w:rPr>
        <w:t>La gestión del riesgo de liquidez se caracteriza por un estricto control diario del ratio de cobertura de liquidez (LCR), procurando una correcta proyección de las necesidades de fondeo y de activos líquidos de libre disponibilidad para mantener el LCR dentro de los niveles establecidos en la política de apetito de riesgo. A partir de 2018 se incorpora el seguimiento del ratio de fondeo estable (NSFR), de acuerdo a lo establecido por normativa del BCRA y alineándose a los criterios de Basilea III.</w:t>
      </w:r>
    </w:p>
    <w:p w14:paraId="66B20D4E" w14:textId="77777777" w:rsidR="003A13FB" w:rsidRPr="00701F32" w:rsidRDefault="003A13FB" w:rsidP="003A13FB">
      <w:pPr>
        <w:spacing w:before="240"/>
        <w:jc w:val="both"/>
        <w:rPr>
          <w:rFonts w:ascii="Arial" w:eastAsia="Arial" w:hAnsi="Arial" w:cs="Arial"/>
          <w:b/>
          <w:bCs/>
          <w:iCs/>
          <w:sz w:val="20"/>
          <w:lang w:val="es-ES_tradnl"/>
        </w:rPr>
      </w:pPr>
      <w:r w:rsidRPr="00701F32">
        <w:rPr>
          <w:rFonts w:ascii="Arial" w:hAnsi="Arial" w:cs="Arial"/>
          <w:b/>
          <w:bCs/>
          <w:iCs/>
          <w:sz w:val="20"/>
          <w:lang w:val="es-ES_tradnl"/>
        </w:rPr>
        <w:t>Cálculo de Capital Económico</w:t>
      </w:r>
    </w:p>
    <w:p w14:paraId="57B56843"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656DC700"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cuenta con elementos que aseguran una adecuada gestión de este riesgo, a saber:</w:t>
      </w:r>
    </w:p>
    <w:p w14:paraId="3F78441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03D8C7DA" w14:textId="77777777" w:rsidR="003A13FB" w:rsidRPr="00701F32" w:rsidRDefault="003A13FB" w:rsidP="003A13FB">
      <w:pPr>
        <w:numPr>
          <w:ilvl w:val="0"/>
          <w:numId w:val="63"/>
        </w:num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Tablero de indicadores de liquidez abarcativo, a través del cual se monitorea un abanico de niveles de liquidez. Cada indicador cuenta con su correspondiente umbral y límite, los cuales son monitoreados con una frecuencia diaria dentro de la Gerencia de Riesgos Financieros (dando la debida alerta en caso de vulneración), quincenal en el ámbito del Comité de Activos y Pasivos (ALCO) y mensual en el Comité de Dirección de Riesgos Integrales. Asimismo, se realiza un reporte semanal destinado a miembros del Comité de Dirección de Riesgos Integrales, ALCO y otros miembros del Directorio.</w:t>
      </w:r>
    </w:p>
    <w:p w14:paraId="2E77B117" w14:textId="77777777" w:rsidR="003A13FB" w:rsidRPr="00701F32" w:rsidRDefault="003A13FB" w:rsidP="003A13FB">
      <w:pPr>
        <w:pBdr>
          <w:top w:val="nil"/>
          <w:left w:val="nil"/>
          <w:bottom w:val="nil"/>
          <w:right w:val="nil"/>
          <w:between w:val="nil"/>
          <w:bar w:val="nil"/>
        </w:pBdr>
        <w:tabs>
          <w:tab w:val="left" w:pos="709"/>
        </w:tabs>
        <w:ind w:left="709" w:hanging="425"/>
        <w:jc w:val="both"/>
        <w:rPr>
          <w:rFonts w:ascii="Arial" w:eastAsia="Arial" w:hAnsi="Arial" w:cs="Arial"/>
          <w:sz w:val="20"/>
          <w:u w:color="000000"/>
          <w:bdr w:val="nil"/>
          <w:lang w:val="es-ES_tradnl" w:eastAsia="es-AR"/>
        </w:rPr>
      </w:pPr>
    </w:p>
    <w:p w14:paraId="40D1905A" w14:textId="77777777" w:rsidR="003A13FB" w:rsidRPr="00701F32" w:rsidRDefault="003A13FB" w:rsidP="003A13FB">
      <w:pPr>
        <w:numPr>
          <w:ilvl w:val="0"/>
          <w:numId w:val="63"/>
        </w:num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Indicadores que miden la concentración de las fuentes de fondeo, estableciendo el apetito de la Entidad a este riesgo.</w:t>
      </w:r>
    </w:p>
    <w:p w14:paraId="429BB419" w14:textId="77777777" w:rsidR="003A13FB" w:rsidRPr="00701F32" w:rsidRDefault="003A13FB" w:rsidP="003A13FB">
      <w:p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p>
    <w:p w14:paraId="6A58F008" w14:textId="77777777" w:rsidR="003A13FB" w:rsidRPr="00701F32" w:rsidRDefault="003A13FB" w:rsidP="003A13FB">
      <w:pPr>
        <w:numPr>
          <w:ilvl w:val="0"/>
          <w:numId w:val="63"/>
        </w:numPr>
        <w:spacing w:after="200"/>
        <w:contextualSpacing/>
        <w:jc w:val="both"/>
        <w:rPr>
          <w:rFonts w:ascii="Arial" w:hAnsi="Arial" w:cs="Arial"/>
          <w:sz w:val="20"/>
          <w:lang w:val="es-ES_tradnl"/>
        </w:rPr>
      </w:pPr>
      <w:bookmarkStart w:id="11" w:name="_PASO_N_"/>
      <w:r w:rsidRPr="00701F32">
        <w:rPr>
          <w:rFonts w:ascii="Arial" w:hAnsi="Arial" w:cs="Arial"/>
          <w:sz w:val="20"/>
          <w:lang w:val="es-ES_tradnl"/>
        </w:rPr>
        <w:t>Elaboración y monitoreo de los nuevos indicadores de cobertura de liquidez y apalancamiento requeridos por el BCRA en el marco del cumplimiento de la hoja de ruta hacia Basilea III.</w:t>
      </w:r>
    </w:p>
    <w:p w14:paraId="70FD51A6" w14:textId="77777777" w:rsidR="003A13FB" w:rsidRPr="00701F32" w:rsidRDefault="003A13FB" w:rsidP="003A13FB">
      <w:pPr>
        <w:ind w:left="709"/>
        <w:jc w:val="both"/>
        <w:rPr>
          <w:rFonts w:ascii="Arial" w:hAnsi="Arial" w:cs="Arial"/>
          <w:sz w:val="20"/>
          <w:lang w:val="es-ES_tradnl"/>
        </w:rPr>
      </w:pPr>
    </w:p>
    <w:p w14:paraId="413238FA" w14:textId="77777777" w:rsidR="003A13FB" w:rsidRPr="00701F32" w:rsidRDefault="003A13FB" w:rsidP="003A13FB">
      <w:pPr>
        <w:numPr>
          <w:ilvl w:val="0"/>
          <w:numId w:val="63"/>
        </w:numPr>
        <w:spacing w:after="200"/>
        <w:contextualSpacing/>
        <w:jc w:val="both"/>
        <w:rPr>
          <w:rFonts w:ascii="Arial" w:hAnsi="Arial" w:cs="Arial"/>
          <w:sz w:val="20"/>
          <w:lang w:val="es-ES_tradnl"/>
        </w:rPr>
      </w:pPr>
      <w:r w:rsidRPr="00701F32">
        <w:rPr>
          <w:rFonts w:ascii="Arial" w:hAnsi="Arial" w:cs="Arial"/>
          <w:sz w:val="20"/>
          <w:lang w:val="es-ES_tradnl"/>
        </w:rPr>
        <w:t xml:space="preserve">Se incorporaron a la gestión diversas herramientas de seguimiento del riesgo de liquidez, incluyendo un desagregado análisis de los desfases de plazos contractuales e informes de concentración del fondeo captado por la Entidad, por contraparte, producto y moneda significativa. La granularidad de la información requerida para la elaboración de estos reportes contribuyó significativamente a la mejora del MIS (Management Information System) de riesgos. </w:t>
      </w:r>
    </w:p>
    <w:p w14:paraId="3EC0A969" w14:textId="77777777" w:rsidR="003A13FB" w:rsidRPr="00701F32" w:rsidRDefault="003A13FB" w:rsidP="003A13FB">
      <w:pPr>
        <w:ind w:left="709"/>
        <w:jc w:val="both"/>
        <w:rPr>
          <w:rFonts w:ascii="Arial" w:hAnsi="Arial" w:cs="Arial"/>
          <w:sz w:val="20"/>
          <w:lang w:val="es-ES_tradnl"/>
        </w:rPr>
      </w:pPr>
    </w:p>
    <w:p w14:paraId="002FEBC7" w14:textId="77777777" w:rsidR="003A13FB" w:rsidRPr="00701F32" w:rsidRDefault="003A13FB" w:rsidP="003A13FB">
      <w:pPr>
        <w:numPr>
          <w:ilvl w:val="0"/>
          <w:numId w:val="63"/>
        </w:numPr>
        <w:contextualSpacing/>
        <w:jc w:val="both"/>
        <w:rPr>
          <w:rFonts w:ascii="Arial" w:hAnsi="Arial" w:cs="Arial"/>
          <w:sz w:val="20"/>
          <w:lang w:val="es-ES_tradnl"/>
        </w:rPr>
      </w:pPr>
      <w:r w:rsidRPr="00701F32">
        <w:rPr>
          <w:rFonts w:ascii="Arial" w:hAnsi="Arial" w:cs="Arial"/>
          <w:sz w:val="20"/>
          <w:lang w:val="es-ES_tradnl"/>
        </w:rPr>
        <w:t xml:space="preserve">La propia definición del ratio de cobertura de liquidez supone evaluar la capacidad de la Entidad de cubrir sus necesidades de liquidez durante un período de 30 días en el escenario de estrés descripto por el BCRA. El seguimiento de este indicador se realiza en forma diaria, manteniéndose informados semanalmente sobre su evolución al director y a los funcionarios responsables de la liquidez de la Entidad. </w:t>
      </w:r>
    </w:p>
    <w:p w14:paraId="4974E179" w14:textId="77777777" w:rsidR="003A13FB" w:rsidRPr="00701F32" w:rsidRDefault="003A13FB" w:rsidP="003A13FB">
      <w:pPr>
        <w:numPr>
          <w:ilvl w:val="0"/>
          <w:numId w:val="63"/>
        </w:numPr>
        <w:pBdr>
          <w:top w:val="nil"/>
          <w:left w:val="nil"/>
          <w:bottom w:val="nil"/>
          <w:right w:val="nil"/>
          <w:between w:val="nil"/>
          <w:bar w:val="nil"/>
        </w:pBdr>
        <w:spacing w:before="240" w:after="200"/>
        <w:jc w:val="both"/>
        <w:rPr>
          <w:rFonts w:ascii="Arial" w:eastAsia="Verdana" w:hAnsi="Arial" w:cs="Arial"/>
          <w:sz w:val="20"/>
          <w:lang w:val="es-ES_tradnl"/>
        </w:rPr>
      </w:pPr>
      <w:r w:rsidRPr="00701F32">
        <w:rPr>
          <w:rFonts w:ascii="Arial" w:eastAsia="Verdana" w:hAnsi="Arial" w:cs="Arial"/>
          <w:sz w:val="20"/>
          <w:lang w:val="es-ES_tradnl"/>
        </w:rPr>
        <w:t>Observancia en todo momento del cumplimiento con los límites y umbrales establecidos para el ratio de fondeo estable (NSFR).</w:t>
      </w:r>
    </w:p>
    <w:p w14:paraId="23FAB0EF" w14:textId="77777777" w:rsidR="003A13FB" w:rsidRPr="00701F32" w:rsidRDefault="003A13FB" w:rsidP="003A13FB">
      <w:pPr>
        <w:numPr>
          <w:ilvl w:val="0"/>
          <w:numId w:val="63"/>
        </w:numPr>
        <w:pBdr>
          <w:top w:val="nil"/>
          <w:left w:val="nil"/>
          <w:bottom w:val="nil"/>
          <w:right w:val="nil"/>
          <w:between w:val="nil"/>
          <w:bar w:val="nil"/>
        </w:pBdr>
        <w:spacing w:before="240" w:after="200"/>
        <w:jc w:val="both"/>
        <w:rPr>
          <w:rFonts w:ascii="Arial" w:eastAsia="Arial" w:hAnsi="Arial" w:cs="Arial"/>
          <w:sz w:val="20"/>
          <w:lang w:val="es-ES_tradnl"/>
        </w:rPr>
      </w:pPr>
      <w:r w:rsidRPr="00701F32">
        <w:rPr>
          <w:rFonts w:ascii="Arial" w:hAnsi="Arial" w:cs="Arial"/>
          <w:sz w:val="20"/>
          <w:lang w:val="es-ES_tradnl"/>
        </w:rPr>
        <w:t xml:space="preserve">Pruebas de estrés individuales ejecutadas diariamente a partir </w:t>
      </w:r>
      <w:bookmarkEnd w:id="11"/>
      <w:r w:rsidRPr="00701F32">
        <w:rPr>
          <w:rFonts w:ascii="Arial" w:hAnsi="Arial" w:cs="Arial"/>
          <w:sz w:val="20"/>
          <w:lang w:val="es-ES_tradnl"/>
        </w:rPr>
        <w:t>del planteo de un escenario crítico de fuerte salida de depósitos y su efecto sobre la posición de efectivo mínimo y sobre el LCR.</w:t>
      </w:r>
    </w:p>
    <w:p w14:paraId="636277BF" w14:textId="77777777" w:rsidR="003A13FB" w:rsidRPr="00701F32" w:rsidRDefault="003A13FB" w:rsidP="003A13FB">
      <w:pPr>
        <w:numPr>
          <w:ilvl w:val="0"/>
          <w:numId w:val="63"/>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En cuanto a los planes de contingencia, la Entidad adopta la política de aplicar sus lineamientos en ejercicios de pruebas de estrés, así como en situaciones en las que la vulneración de umbrales y/o límites así lo ameriten, de acuerdo a la decisión adoptada por el Comité ALCO y validada por el Comité de Dirección de Riesgos Integrales.</w:t>
      </w:r>
    </w:p>
    <w:p w14:paraId="5398B9B2"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2518BD4E"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El esquema de gestión de riesgo aquí descripto permite justificar una adecuada situación de liquidez, por lo que la Entidad no considera necesaria la estimación de capital económico para cubrir este riesgo, en la medida en que la solvencia de la Entidad no se vea afectada una vez aplicadas las medidas establecidas en el plan de contingencia de las pruebas de estrés.</w:t>
      </w:r>
    </w:p>
    <w:p w14:paraId="4123126E" w14:textId="77777777" w:rsidR="00D766AC" w:rsidRPr="00701F32" w:rsidRDefault="00D766AC" w:rsidP="003A13FB">
      <w:pPr>
        <w:pBdr>
          <w:top w:val="nil"/>
          <w:left w:val="nil"/>
          <w:bottom w:val="nil"/>
          <w:right w:val="nil"/>
          <w:between w:val="nil"/>
          <w:bar w:val="nil"/>
        </w:pBdr>
        <w:tabs>
          <w:tab w:val="left" w:pos="142"/>
        </w:tabs>
        <w:jc w:val="both"/>
        <w:rPr>
          <w:rFonts w:ascii="Arial" w:eastAsia="Arial" w:hAnsi="Arial" w:cs="Arial"/>
          <w:b/>
          <w:color w:val="0000FF"/>
          <w:sz w:val="20"/>
          <w:u w:val="single"/>
          <w:bdr w:val="nil"/>
          <w:lang w:val="es-ES_tradnl" w:eastAsia="es-AR"/>
        </w:rPr>
      </w:pPr>
    </w:p>
    <w:p w14:paraId="7986EF88" w14:textId="77777777" w:rsidR="003A13FB" w:rsidRPr="00701F32" w:rsidRDefault="00AD5EDB" w:rsidP="003A13FB">
      <w:pPr>
        <w:tabs>
          <w:tab w:val="left" w:pos="142"/>
        </w:tabs>
        <w:jc w:val="both"/>
        <w:rPr>
          <w:rFonts w:ascii="Arial" w:hAnsi="Arial" w:cs="Arial"/>
          <w:b/>
          <w:sz w:val="20"/>
        </w:rPr>
      </w:pPr>
      <w:r w:rsidRPr="00701F32">
        <w:rPr>
          <w:rFonts w:ascii="Arial" w:hAnsi="Arial" w:cs="Arial"/>
          <w:b/>
          <w:sz w:val="20"/>
        </w:rPr>
        <w:t>17</w:t>
      </w:r>
      <w:r w:rsidR="003A13FB" w:rsidRPr="00701F32">
        <w:rPr>
          <w:rFonts w:ascii="Arial" w:hAnsi="Arial" w:cs="Arial"/>
          <w:b/>
          <w:sz w:val="20"/>
        </w:rPr>
        <w:t>.</w:t>
      </w:r>
      <w:r w:rsidRPr="00701F32">
        <w:rPr>
          <w:rFonts w:ascii="Arial" w:hAnsi="Arial" w:cs="Arial"/>
          <w:b/>
          <w:sz w:val="20"/>
        </w:rPr>
        <w:t>2</w:t>
      </w:r>
      <w:r w:rsidR="00136660" w:rsidRPr="00701F32">
        <w:rPr>
          <w:rFonts w:ascii="Arial" w:hAnsi="Arial" w:cs="Arial"/>
          <w:b/>
          <w:sz w:val="20"/>
        </w:rPr>
        <w:t>3</w:t>
      </w:r>
      <w:r w:rsidR="003A13FB" w:rsidRPr="00701F32">
        <w:rPr>
          <w:rFonts w:ascii="Arial" w:hAnsi="Arial" w:cs="Arial"/>
          <w:b/>
          <w:sz w:val="20"/>
        </w:rPr>
        <w:t xml:space="preserve"> Administración del capital</w:t>
      </w:r>
    </w:p>
    <w:p w14:paraId="48A031FC" w14:textId="77777777" w:rsidR="003A13FB" w:rsidRPr="00701F32" w:rsidRDefault="003A13FB" w:rsidP="003A13FB">
      <w:pPr>
        <w:tabs>
          <w:tab w:val="left" w:pos="142"/>
        </w:tabs>
        <w:jc w:val="both"/>
        <w:rPr>
          <w:rFonts w:ascii="Arial" w:hAnsi="Arial" w:cs="Arial"/>
          <w:b/>
          <w:sz w:val="20"/>
        </w:rPr>
      </w:pPr>
    </w:p>
    <w:p w14:paraId="44AA7ADF" w14:textId="77777777" w:rsidR="003A13FB" w:rsidRPr="00701F32" w:rsidRDefault="003A13FB" w:rsidP="003A13FB">
      <w:pPr>
        <w:tabs>
          <w:tab w:val="left" w:pos="142"/>
        </w:tabs>
        <w:jc w:val="both"/>
        <w:rPr>
          <w:rFonts w:ascii="Arial" w:hAnsi="Arial" w:cs="Arial"/>
          <w:sz w:val="20"/>
        </w:rPr>
      </w:pPr>
      <w:r w:rsidRPr="00701F32">
        <w:rPr>
          <w:rFonts w:ascii="Arial" w:hAnsi="Arial" w:cs="Arial"/>
          <w:sz w:val="20"/>
        </w:rPr>
        <w:t>Los objetivos del Banco en cuanto a la administración del capital se establecen a continuación:</w:t>
      </w:r>
    </w:p>
    <w:p w14:paraId="5B388D2F" w14:textId="77777777" w:rsidR="003A13FB" w:rsidRPr="00701F32" w:rsidRDefault="003A13FB" w:rsidP="003A13FB">
      <w:pPr>
        <w:pStyle w:val="Prrafodelista"/>
        <w:numPr>
          <w:ilvl w:val="0"/>
          <w:numId w:val="97"/>
        </w:numPr>
        <w:tabs>
          <w:tab w:val="left" w:pos="142"/>
        </w:tabs>
        <w:contextualSpacing/>
        <w:jc w:val="both"/>
        <w:rPr>
          <w:rFonts w:ascii="Arial" w:hAnsi="Arial" w:cs="Arial"/>
          <w:sz w:val="20"/>
        </w:rPr>
      </w:pPr>
      <w:r w:rsidRPr="00701F32">
        <w:rPr>
          <w:rFonts w:ascii="Arial" w:hAnsi="Arial" w:cs="Arial"/>
          <w:sz w:val="20"/>
        </w:rPr>
        <w:t>Cumplimiento de los requerimiento</w:t>
      </w:r>
      <w:r w:rsidR="001A3DB9" w:rsidRPr="00701F32">
        <w:rPr>
          <w:rFonts w:ascii="Arial" w:hAnsi="Arial" w:cs="Arial"/>
          <w:sz w:val="20"/>
        </w:rPr>
        <w:t>s</w:t>
      </w:r>
      <w:r w:rsidRPr="00701F32">
        <w:rPr>
          <w:rFonts w:ascii="Arial" w:hAnsi="Arial" w:cs="Arial"/>
          <w:sz w:val="20"/>
        </w:rPr>
        <w:t xml:space="preserve"> establecidos por el BCRA en su comunicación “A” 6260 y modificatorias</w:t>
      </w:r>
    </w:p>
    <w:p w14:paraId="238D2B8D" w14:textId="77777777" w:rsidR="003A13FB" w:rsidRPr="00701F32" w:rsidRDefault="003A13FB" w:rsidP="003A13FB">
      <w:pPr>
        <w:pStyle w:val="Prrafodelista"/>
        <w:numPr>
          <w:ilvl w:val="0"/>
          <w:numId w:val="97"/>
        </w:numPr>
        <w:tabs>
          <w:tab w:val="left" w:pos="142"/>
        </w:tabs>
        <w:contextualSpacing/>
        <w:jc w:val="both"/>
        <w:rPr>
          <w:rFonts w:ascii="Arial" w:hAnsi="Arial" w:cs="Arial"/>
          <w:sz w:val="20"/>
        </w:rPr>
      </w:pPr>
      <w:r w:rsidRPr="00701F32">
        <w:rPr>
          <w:rFonts w:ascii="Arial" w:hAnsi="Arial" w:cs="Arial"/>
          <w:sz w:val="20"/>
        </w:rPr>
        <w:t>Respaldar las operaciones del Banco para evita cualquier situación que ponga en riesgo la operatoria de la Entidad</w:t>
      </w:r>
    </w:p>
    <w:p w14:paraId="79CC9424" w14:textId="77777777" w:rsidR="003A13FB" w:rsidRPr="00701F32" w:rsidRDefault="003A13FB" w:rsidP="003A13FB">
      <w:pPr>
        <w:tabs>
          <w:tab w:val="left" w:pos="142"/>
        </w:tabs>
        <w:jc w:val="both"/>
        <w:rPr>
          <w:rFonts w:ascii="Arial" w:hAnsi="Arial" w:cs="Arial"/>
          <w:color w:val="3333FF"/>
          <w:sz w:val="20"/>
        </w:rPr>
      </w:pPr>
    </w:p>
    <w:p w14:paraId="385C13B4" w14:textId="77777777" w:rsidR="003A13FB" w:rsidRPr="00701F32" w:rsidRDefault="003A13FB" w:rsidP="003A13FB">
      <w:pPr>
        <w:tabs>
          <w:tab w:val="left" w:pos="142"/>
        </w:tabs>
        <w:jc w:val="both"/>
        <w:rPr>
          <w:rFonts w:ascii="Arial" w:hAnsi="Arial" w:cs="Arial"/>
          <w:sz w:val="20"/>
        </w:rPr>
      </w:pPr>
      <w:r w:rsidRPr="00701F32">
        <w:rPr>
          <w:rFonts w:ascii="Arial" w:hAnsi="Arial" w:cs="Arial"/>
          <w:sz w:val="20"/>
        </w:rPr>
        <w:t xml:space="preserve">El total de capital bajo administración y regulación al 31 de diciembre de 2017 </w:t>
      </w:r>
      <w:r w:rsidR="00A0527A" w:rsidRPr="00701F32">
        <w:rPr>
          <w:rFonts w:ascii="Arial" w:hAnsi="Arial" w:cs="Arial"/>
          <w:sz w:val="20"/>
        </w:rPr>
        <w:t>está</w:t>
      </w:r>
      <w:r w:rsidRPr="00701F32">
        <w:rPr>
          <w:rFonts w:ascii="Arial" w:hAnsi="Arial" w:cs="Arial"/>
          <w:sz w:val="20"/>
        </w:rPr>
        <w:t xml:space="preserve"> compuesto de la siguiente manera (valor de libros):</w:t>
      </w:r>
    </w:p>
    <w:p w14:paraId="7A72B010" w14:textId="77777777" w:rsidR="00576023" w:rsidRPr="00701F32" w:rsidRDefault="00576023" w:rsidP="003A13FB">
      <w:pPr>
        <w:tabs>
          <w:tab w:val="left" w:pos="142"/>
        </w:tabs>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tblGrid>
      <w:tr w:rsidR="003A13FB" w:rsidRPr="00701F32" w14:paraId="53880069" w14:textId="77777777" w:rsidTr="0086282C">
        <w:trPr>
          <w:trHeight w:val="206"/>
          <w:tblHeader/>
          <w:jc w:val="center"/>
        </w:trPr>
        <w:tc>
          <w:tcPr>
            <w:tcW w:w="3652" w:type="dxa"/>
            <w:vAlign w:val="center"/>
          </w:tcPr>
          <w:p w14:paraId="462EDDC4" w14:textId="77777777" w:rsidR="003A13FB" w:rsidRPr="00701F32" w:rsidRDefault="003A13FB" w:rsidP="00BA3C16">
            <w:pPr>
              <w:widowControl w:val="0"/>
              <w:autoSpaceDE w:val="0"/>
              <w:autoSpaceDN w:val="0"/>
              <w:adjustRightInd w:val="0"/>
              <w:jc w:val="both"/>
              <w:rPr>
                <w:rFonts w:ascii="Arial" w:hAnsi="Arial" w:cs="Arial"/>
                <w:b/>
                <w:noProof/>
                <w:sz w:val="20"/>
              </w:rPr>
            </w:pPr>
          </w:p>
        </w:tc>
        <w:tc>
          <w:tcPr>
            <w:tcW w:w="1985" w:type="dxa"/>
          </w:tcPr>
          <w:p w14:paraId="0EFE7981" w14:textId="77777777" w:rsidR="003A13FB" w:rsidRPr="00701F32" w:rsidRDefault="003A13FB" w:rsidP="00BA3C16">
            <w:pPr>
              <w:jc w:val="right"/>
              <w:rPr>
                <w:rFonts w:ascii="Arial" w:hAnsi="Arial" w:cs="Arial"/>
                <w:b/>
                <w:sz w:val="20"/>
              </w:rPr>
            </w:pPr>
            <w:r w:rsidRPr="00701F32">
              <w:rPr>
                <w:rFonts w:ascii="Arial" w:hAnsi="Arial" w:cs="Arial"/>
                <w:b/>
                <w:sz w:val="20"/>
              </w:rPr>
              <w:t>31/12/2017</w:t>
            </w:r>
          </w:p>
        </w:tc>
      </w:tr>
      <w:tr w:rsidR="003A13FB" w:rsidRPr="00701F32" w14:paraId="1FAEFE9D" w14:textId="77777777" w:rsidTr="0086282C">
        <w:trPr>
          <w:trHeight w:val="206"/>
          <w:jc w:val="center"/>
        </w:trPr>
        <w:tc>
          <w:tcPr>
            <w:tcW w:w="3652" w:type="dxa"/>
            <w:vAlign w:val="center"/>
          </w:tcPr>
          <w:p w14:paraId="23849EFA" w14:textId="77777777" w:rsidR="003A13FB" w:rsidRPr="00701F32" w:rsidRDefault="003A13FB" w:rsidP="00BA3C16">
            <w:pPr>
              <w:widowControl w:val="0"/>
              <w:autoSpaceDE w:val="0"/>
              <w:autoSpaceDN w:val="0"/>
              <w:adjustRightInd w:val="0"/>
              <w:jc w:val="both"/>
              <w:rPr>
                <w:rFonts w:ascii="Arial" w:hAnsi="Arial" w:cs="Arial"/>
                <w:noProof/>
                <w:sz w:val="20"/>
              </w:rPr>
            </w:pPr>
            <w:r w:rsidRPr="00701F32">
              <w:rPr>
                <w:rFonts w:ascii="Arial" w:hAnsi="Arial" w:cs="Arial"/>
                <w:noProof/>
                <w:sz w:val="20"/>
              </w:rPr>
              <w:t>- Capital social</w:t>
            </w:r>
          </w:p>
        </w:tc>
        <w:tc>
          <w:tcPr>
            <w:tcW w:w="1985" w:type="dxa"/>
            <w:vAlign w:val="bottom"/>
          </w:tcPr>
          <w:p w14:paraId="31D3A6B3" w14:textId="77777777" w:rsidR="003A13FB" w:rsidRPr="00701F32" w:rsidRDefault="003A13FB" w:rsidP="00BA3C16">
            <w:pPr>
              <w:jc w:val="right"/>
              <w:rPr>
                <w:rFonts w:ascii="Arial" w:hAnsi="Arial" w:cs="Arial"/>
                <w:sz w:val="20"/>
              </w:rPr>
            </w:pPr>
            <w:r w:rsidRPr="00701F32">
              <w:rPr>
                <w:rFonts w:ascii="Arial" w:hAnsi="Arial" w:cs="Arial"/>
                <w:sz w:val="20"/>
              </w:rPr>
              <w:t>744.386</w:t>
            </w:r>
          </w:p>
        </w:tc>
      </w:tr>
      <w:tr w:rsidR="003A13FB" w:rsidRPr="00701F32" w14:paraId="7A773C12" w14:textId="77777777" w:rsidTr="0086282C">
        <w:trPr>
          <w:trHeight w:val="206"/>
          <w:jc w:val="center"/>
        </w:trPr>
        <w:tc>
          <w:tcPr>
            <w:tcW w:w="3652" w:type="dxa"/>
            <w:vAlign w:val="center"/>
          </w:tcPr>
          <w:p w14:paraId="176AA1DB" w14:textId="77777777" w:rsidR="003A13FB" w:rsidRPr="00701F32" w:rsidRDefault="003A13FB" w:rsidP="00BA3C16">
            <w:pPr>
              <w:widowControl w:val="0"/>
              <w:autoSpaceDE w:val="0"/>
              <w:autoSpaceDN w:val="0"/>
              <w:adjustRightInd w:val="0"/>
              <w:jc w:val="both"/>
              <w:rPr>
                <w:rFonts w:ascii="Arial" w:hAnsi="Arial" w:cs="Arial"/>
                <w:noProof/>
                <w:sz w:val="20"/>
              </w:rPr>
            </w:pPr>
            <w:r w:rsidRPr="00701F32">
              <w:rPr>
                <w:rFonts w:ascii="Arial" w:hAnsi="Arial" w:cs="Arial"/>
                <w:noProof/>
                <w:sz w:val="20"/>
              </w:rPr>
              <w:t>- Primas de emisión</w:t>
            </w:r>
          </w:p>
        </w:tc>
        <w:tc>
          <w:tcPr>
            <w:tcW w:w="1985" w:type="dxa"/>
            <w:vAlign w:val="bottom"/>
          </w:tcPr>
          <w:p w14:paraId="70D019B6" w14:textId="77777777" w:rsidR="003A13FB" w:rsidRPr="00701F32" w:rsidRDefault="003A13FB">
            <w:pPr>
              <w:jc w:val="right"/>
              <w:rPr>
                <w:rFonts w:ascii="Arial" w:hAnsi="Arial" w:cs="Arial"/>
                <w:sz w:val="20"/>
              </w:rPr>
            </w:pPr>
            <w:r w:rsidRPr="00701F32">
              <w:rPr>
                <w:rFonts w:ascii="Arial" w:hAnsi="Arial" w:cs="Arial"/>
                <w:sz w:val="20"/>
              </w:rPr>
              <w:t>4.647.818</w:t>
            </w:r>
          </w:p>
        </w:tc>
      </w:tr>
      <w:tr w:rsidR="003A13FB" w:rsidRPr="00701F32" w14:paraId="13B1234E" w14:textId="77777777" w:rsidTr="0086282C">
        <w:trPr>
          <w:trHeight w:val="206"/>
          <w:jc w:val="center"/>
        </w:trPr>
        <w:tc>
          <w:tcPr>
            <w:tcW w:w="3652" w:type="dxa"/>
            <w:vAlign w:val="center"/>
          </w:tcPr>
          <w:p w14:paraId="4B48808A" w14:textId="77777777" w:rsidR="003A13FB" w:rsidRPr="00701F32" w:rsidRDefault="003A13FB" w:rsidP="00BA3C16">
            <w:pPr>
              <w:widowControl w:val="0"/>
              <w:autoSpaceDE w:val="0"/>
              <w:autoSpaceDN w:val="0"/>
              <w:adjustRightInd w:val="0"/>
              <w:jc w:val="both"/>
              <w:rPr>
                <w:rFonts w:ascii="Arial" w:hAnsi="Arial" w:cs="Arial"/>
                <w:noProof/>
                <w:sz w:val="20"/>
              </w:rPr>
            </w:pPr>
            <w:r w:rsidRPr="00701F32">
              <w:rPr>
                <w:rFonts w:ascii="Arial" w:hAnsi="Arial" w:cs="Arial"/>
                <w:noProof/>
                <w:sz w:val="20"/>
              </w:rPr>
              <w:t>- Reservas</w:t>
            </w:r>
          </w:p>
        </w:tc>
        <w:tc>
          <w:tcPr>
            <w:tcW w:w="1985" w:type="dxa"/>
            <w:vAlign w:val="bottom"/>
          </w:tcPr>
          <w:p w14:paraId="37780DAB" w14:textId="77777777" w:rsidR="003A13FB" w:rsidRPr="00701F32" w:rsidRDefault="003A13FB" w:rsidP="00BA3C16">
            <w:pPr>
              <w:jc w:val="right"/>
              <w:rPr>
                <w:rFonts w:ascii="Arial" w:hAnsi="Arial" w:cs="Arial"/>
                <w:sz w:val="20"/>
              </w:rPr>
            </w:pPr>
            <w:r w:rsidRPr="00701F32">
              <w:rPr>
                <w:rFonts w:ascii="Arial" w:hAnsi="Arial" w:cs="Arial"/>
                <w:sz w:val="20"/>
              </w:rPr>
              <w:t>3.173.755</w:t>
            </w:r>
          </w:p>
        </w:tc>
      </w:tr>
      <w:tr w:rsidR="003A13FB" w:rsidRPr="00701F32" w14:paraId="7FE7F006" w14:textId="77777777" w:rsidTr="0086282C">
        <w:trPr>
          <w:trHeight w:val="206"/>
          <w:jc w:val="center"/>
        </w:trPr>
        <w:tc>
          <w:tcPr>
            <w:tcW w:w="3652" w:type="dxa"/>
            <w:vAlign w:val="center"/>
          </w:tcPr>
          <w:p w14:paraId="0DA41412" w14:textId="77777777" w:rsidR="003A13FB" w:rsidRPr="00701F32" w:rsidRDefault="003A13FB" w:rsidP="00BA3C16">
            <w:pPr>
              <w:widowControl w:val="0"/>
              <w:autoSpaceDE w:val="0"/>
              <w:autoSpaceDN w:val="0"/>
              <w:adjustRightInd w:val="0"/>
              <w:jc w:val="both"/>
              <w:rPr>
                <w:rFonts w:ascii="Arial" w:hAnsi="Arial" w:cs="Arial"/>
                <w:noProof/>
                <w:sz w:val="20"/>
              </w:rPr>
            </w:pPr>
            <w:r w:rsidRPr="00701F32">
              <w:rPr>
                <w:rFonts w:ascii="Arial" w:hAnsi="Arial" w:cs="Arial"/>
                <w:noProof/>
                <w:sz w:val="20"/>
              </w:rPr>
              <w:t>- Resultados no asignados</w:t>
            </w:r>
          </w:p>
        </w:tc>
        <w:tc>
          <w:tcPr>
            <w:tcW w:w="1985" w:type="dxa"/>
            <w:vAlign w:val="bottom"/>
          </w:tcPr>
          <w:p w14:paraId="6AA2BADF" w14:textId="77777777" w:rsidR="003A13FB" w:rsidRPr="00701F32" w:rsidRDefault="003A13FB" w:rsidP="00BA3C16">
            <w:pPr>
              <w:jc w:val="right"/>
              <w:rPr>
                <w:rFonts w:ascii="Arial" w:hAnsi="Arial" w:cs="Arial"/>
                <w:sz w:val="20"/>
              </w:rPr>
            </w:pPr>
            <w:r w:rsidRPr="00701F32">
              <w:rPr>
                <w:rFonts w:ascii="Arial" w:hAnsi="Arial" w:cs="Arial"/>
                <w:sz w:val="20"/>
              </w:rPr>
              <w:t>498.50</w:t>
            </w:r>
            <w:r w:rsidR="00166B17" w:rsidRPr="00701F32">
              <w:rPr>
                <w:rFonts w:ascii="Arial" w:hAnsi="Arial" w:cs="Arial"/>
                <w:sz w:val="20"/>
              </w:rPr>
              <w:t>3</w:t>
            </w:r>
          </w:p>
        </w:tc>
      </w:tr>
      <w:tr w:rsidR="003A13FB" w:rsidRPr="00701F32" w14:paraId="176BC1CE" w14:textId="77777777" w:rsidTr="0086282C">
        <w:trPr>
          <w:trHeight w:val="206"/>
          <w:jc w:val="center"/>
        </w:trPr>
        <w:tc>
          <w:tcPr>
            <w:tcW w:w="3652" w:type="dxa"/>
            <w:vAlign w:val="center"/>
          </w:tcPr>
          <w:p w14:paraId="7FF00F69" w14:textId="77777777" w:rsidR="003A13FB" w:rsidRPr="00701F32" w:rsidRDefault="003A13FB">
            <w:pPr>
              <w:widowControl w:val="0"/>
              <w:autoSpaceDE w:val="0"/>
              <w:autoSpaceDN w:val="0"/>
              <w:adjustRightInd w:val="0"/>
              <w:jc w:val="both"/>
              <w:rPr>
                <w:rFonts w:ascii="Arial" w:hAnsi="Arial" w:cs="Arial"/>
                <w:noProof/>
                <w:sz w:val="20"/>
              </w:rPr>
            </w:pPr>
            <w:r w:rsidRPr="00701F32">
              <w:rPr>
                <w:rFonts w:ascii="Arial" w:hAnsi="Arial" w:cs="Arial"/>
                <w:noProof/>
                <w:sz w:val="20"/>
              </w:rPr>
              <w:t>- Otros resultados integrales</w:t>
            </w:r>
          </w:p>
        </w:tc>
        <w:tc>
          <w:tcPr>
            <w:tcW w:w="1985" w:type="dxa"/>
            <w:vAlign w:val="bottom"/>
          </w:tcPr>
          <w:p w14:paraId="378C2B74" w14:textId="369587CB" w:rsidR="003A13FB" w:rsidRPr="00701F32" w:rsidRDefault="003A13FB" w:rsidP="00BA3C16">
            <w:pPr>
              <w:jc w:val="right"/>
              <w:rPr>
                <w:rFonts w:ascii="Arial" w:hAnsi="Arial" w:cs="Arial"/>
                <w:sz w:val="20"/>
              </w:rPr>
            </w:pPr>
            <w:r w:rsidRPr="00701F32">
              <w:rPr>
                <w:rFonts w:ascii="Arial" w:hAnsi="Arial" w:cs="Arial"/>
                <w:sz w:val="20"/>
              </w:rPr>
              <w:t>147.35</w:t>
            </w:r>
            <w:r w:rsidR="007C0395" w:rsidRPr="00701F32">
              <w:rPr>
                <w:rFonts w:ascii="Arial" w:hAnsi="Arial" w:cs="Arial"/>
                <w:sz w:val="20"/>
              </w:rPr>
              <w:t>7</w:t>
            </w:r>
          </w:p>
        </w:tc>
      </w:tr>
      <w:tr w:rsidR="003A13FB" w:rsidRPr="00701F32" w14:paraId="7B14565F" w14:textId="77777777" w:rsidTr="0086282C">
        <w:trPr>
          <w:trHeight w:val="443"/>
          <w:jc w:val="center"/>
        </w:trPr>
        <w:tc>
          <w:tcPr>
            <w:tcW w:w="3652" w:type="dxa"/>
            <w:vAlign w:val="center"/>
          </w:tcPr>
          <w:p w14:paraId="1BF6CC50" w14:textId="77777777" w:rsidR="003A13FB" w:rsidRPr="00701F32" w:rsidRDefault="003A13FB" w:rsidP="00BA3C16">
            <w:pPr>
              <w:widowControl w:val="0"/>
              <w:autoSpaceDE w:val="0"/>
              <w:autoSpaceDN w:val="0"/>
              <w:adjustRightInd w:val="0"/>
              <w:jc w:val="both"/>
              <w:rPr>
                <w:rFonts w:ascii="Arial" w:hAnsi="Arial" w:cs="Arial"/>
                <w:b/>
                <w:noProof/>
                <w:sz w:val="20"/>
              </w:rPr>
            </w:pPr>
            <w:r w:rsidRPr="00701F32">
              <w:rPr>
                <w:rFonts w:ascii="Arial" w:hAnsi="Arial" w:cs="Arial"/>
                <w:b/>
                <w:noProof/>
                <w:sz w:val="20"/>
              </w:rPr>
              <w:t>Total del patrimonio neto atribuible a la controladora</w:t>
            </w:r>
          </w:p>
        </w:tc>
        <w:tc>
          <w:tcPr>
            <w:tcW w:w="1985" w:type="dxa"/>
            <w:vAlign w:val="center"/>
          </w:tcPr>
          <w:p w14:paraId="6608CFAF" w14:textId="21873A2F" w:rsidR="003A13FB" w:rsidRPr="00701F32" w:rsidRDefault="003A13FB">
            <w:pPr>
              <w:jc w:val="right"/>
              <w:rPr>
                <w:rFonts w:ascii="Arial" w:hAnsi="Arial" w:cs="Arial"/>
                <w:b/>
                <w:sz w:val="20"/>
              </w:rPr>
            </w:pPr>
            <w:r w:rsidRPr="00701F32">
              <w:rPr>
                <w:rFonts w:ascii="Arial" w:hAnsi="Arial" w:cs="Arial"/>
                <w:b/>
                <w:sz w:val="20"/>
              </w:rPr>
              <w:t>9.211.</w:t>
            </w:r>
            <w:r w:rsidR="007C0395" w:rsidRPr="00701F32">
              <w:rPr>
                <w:rFonts w:ascii="Arial" w:hAnsi="Arial" w:cs="Arial"/>
                <w:b/>
                <w:sz w:val="20"/>
              </w:rPr>
              <w:t>819</w:t>
            </w:r>
          </w:p>
        </w:tc>
      </w:tr>
      <w:tr w:rsidR="003A13FB" w:rsidRPr="00701F32" w14:paraId="547506BB" w14:textId="77777777" w:rsidTr="0086282C">
        <w:trPr>
          <w:trHeight w:val="443"/>
          <w:jc w:val="center"/>
        </w:trPr>
        <w:tc>
          <w:tcPr>
            <w:tcW w:w="3652" w:type="dxa"/>
            <w:vAlign w:val="center"/>
          </w:tcPr>
          <w:p w14:paraId="564266A2" w14:textId="77777777" w:rsidR="003A13FB" w:rsidRPr="00701F32" w:rsidRDefault="003A13FB" w:rsidP="00BA3C16">
            <w:pPr>
              <w:widowControl w:val="0"/>
              <w:autoSpaceDE w:val="0"/>
              <w:autoSpaceDN w:val="0"/>
              <w:adjustRightInd w:val="0"/>
              <w:jc w:val="both"/>
              <w:rPr>
                <w:rFonts w:ascii="Arial" w:hAnsi="Arial" w:cs="Arial"/>
                <w:b/>
                <w:noProof/>
                <w:sz w:val="20"/>
              </w:rPr>
            </w:pPr>
            <w:r w:rsidRPr="00701F32">
              <w:rPr>
                <w:rFonts w:ascii="Arial" w:hAnsi="Arial" w:cs="Arial"/>
                <w:b/>
                <w:noProof/>
                <w:sz w:val="20"/>
              </w:rPr>
              <w:t>Patrimonio neto atribuible a la participación no controladora</w:t>
            </w:r>
          </w:p>
        </w:tc>
        <w:tc>
          <w:tcPr>
            <w:tcW w:w="1985" w:type="dxa"/>
            <w:vAlign w:val="center"/>
          </w:tcPr>
          <w:p w14:paraId="4C6832E3" w14:textId="77777777" w:rsidR="003A13FB" w:rsidRPr="00701F32" w:rsidRDefault="003A13FB" w:rsidP="003A13FB">
            <w:pPr>
              <w:jc w:val="right"/>
              <w:rPr>
                <w:rFonts w:ascii="Arial" w:hAnsi="Arial" w:cs="Arial"/>
                <w:b/>
                <w:sz w:val="20"/>
              </w:rPr>
            </w:pPr>
            <w:r w:rsidRPr="00701F32">
              <w:rPr>
                <w:rFonts w:ascii="Arial" w:hAnsi="Arial" w:cs="Arial"/>
                <w:b/>
                <w:sz w:val="20"/>
              </w:rPr>
              <w:t>214.437</w:t>
            </w:r>
          </w:p>
        </w:tc>
      </w:tr>
      <w:tr w:rsidR="003A13FB" w:rsidRPr="00701F32" w14:paraId="25FAC0DE" w14:textId="77777777" w:rsidTr="0086282C">
        <w:trPr>
          <w:trHeight w:val="443"/>
          <w:jc w:val="center"/>
        </w:trPr>
        <w:tc>
          <w:tcPr>
            <w:tcW w:w="3652" w:type="dxa"/>
            <w:vAlign w:val="center"/>
          </w:tcPr>
          <w:p w14:paraId="28900CBA" w14:textId="77777777" w:rsidR="003A13FB" w:rsidRPr="00701F32" w:rsidRDefault="003A13FB" w:rsidP="00BA3C16">
            <w:pPr>
              <w:widowControl w:val="0"/>
              <w:autoSpaceDE w:val="0"/>
              <w:autoSpaceDN w:val="0"/>
              <w:adjustRightInd w:val="0"/>
              <w:jc w:val="both"/>
              <w:rPr>
                <w:rFonts w:ascii="Arial" w:hAnsi="Arial" w:cs="Arial"/>
                <w:b/>
                <w:noProof/>
                <w:sz w:val="20"/>
              </w:rPr>
            </w:pPr>
            <w:r w:rsidRPr="00701F32">
              <w:rPr>
                <w:rFonts w:ascii="Arial" w:hAnsi="Arial" w:cs="Arial"/>
                <w:b/>
                <w:noProof/>
                <w:sz w:val="20"/>
              </w:rPr>
              <w:t>Total patrimonio neto</w:t>
            </w:r>
          </w:p>
        </w:tc>
        <w:tc>
          <w:tcPr>
            <w:tcW w:w="1985" w:type="dxa"/>
            <w:vAlign w:val="center"/>
          </w:tcPr>
          <w:p w14:paraId="3944F86A" w14:textId="5BCFE2D5" w:rsidR="003A13FB" w:rsidRPr="00701F32" w:rsidRDefault="003A13FB">
            <w:pPr>
              <w:jc w:val="right"/>
              <w:rPr>
                <w:rFonts w:ascii="Arial" w:hAnsi="Arial" w:cs="Arial"/>
                <w:b/>
                <w:sz w:val="20"/>
              </w:rPr>
            </w:pPr>
            <w:r w:rsidRPr="00701F32">
              <w:rPr>
                <w:rFonts w:ascii="Arial" w:hAnsi="Arial" w:cs="Arial"/>
                <w:b/>
                <w:sz w:val="20"/>
              </w:rPr>
              <w:t>9.426.</w:t>
            </w:r>
            <w:r w:rsidR="00166B17" w:rsidRPr="00701F32">
              <w:rPr>
                <w:rFonts w:ascii="Arial" w:hAnsi="Arial" w:cs="Arial"/>
                <w:b/>
                <w:sz w:val="20"/>
              </w:rPr>
              <w:t>25</w:t>
            </w:r>
            <w:r w:rsidR="007C0395" w:rsidRPr="00701F32">
              <w:rPr>
                <w:rFonts w:ascii="Arial" w:hAnsi="Arial" w:cs="Arial"/>
                <w:b/>
                <w:sz w:val="20"/>
              </w:rPr>
              <w:t>6</w:t>
            </w:r>
          </w:p>
        </w:tc>
      </w:tr>
    </w:tbl>
    <w:p w14:paraId="1FC5CDA2" w14:textId="77777777" w:rsidR="003A13FB" w:rsidRPr="00701F32" w:rsidRDefault="003A13FB" w:rsidP="003A13FB">
      <w:pPr>
        <w:widowControl w:val="0"/>
        <w:autoSpaceDE w:val="0"/>
        <w:autoSpaceDN w:val="0"/>
        <w:adjustRightInd w:val="0"/>
        <w:jc w:val="both"/>
        <w:rPr>
          <w:rFonts w:ascii="Arial" w:hAnsi="Arial" w:cs="Arial"/>
          <w:noProof/>
          <w:sz w:val="20"/>
        </w:rPr>
      </w:pPr>
    </w:p>
    <w:p w14:paraId="026E702F" w14:textId="77777777" w:rsidR="003A13FB" w:rsidRPr="00701F32" w:rsidRDefault="003A13FB" w:rsidP="003A13FB">
      <w:pPr>
        <w:tabs>
          <w:tab w:val="left" w:pos="142"/>
        </w:tabs>
        <w:jc w:val="both"/>
        <w:rPr>
          <w:rFonts w:ascii="Arial" w:hAnsi="Arial" w:cs="Arial"/>
          <w:sz w:val="20"/>
        </w:rPr>
      </w:pPr>
      <w:r w:rsidRPr="00701F32">
        <w:rPr>
          <w:rFonts w:ascii="Arial" w:hAnsi="Arial" w:cs="Arial"/>
          <w:sz w:val="20"/>
        </w:rPr>
        <w:t xml:space="preserve">El Directorio a través de su Comité de Riesgos es el encargado de monitorear, supervisar, adecuar y asegurar el cumplimiento de los objetivos dispuestos para la administración del capital. </w:t>
      </w:r>
    </w:p>
    <w:p w14:paraId="61D2749E" w14:textId="77777777" w:rsidR="003A13FB" w:rsidRPr="00701F32" w:rsidRDefault="003A13FB" w:rsidP="003A13FB">
      <w:pPr>
        <w:tabs>
          <w:tab w:val="left" w:pos="142"/>
        </w:tabs>
        <w:jc w:val="both"/>
        <w:rPr>
          <w:rFonts w:ascii="Arial" w:hAnsi="Arial" w:cs="Arial"/>
          <w:sz w:val="20"/>
        </w:rPr>
      </w:pPr>
    </w:p>
    <w:p w14:paraId="61D0BE6B" w14:textId="77777777" w:rsidR="003A13FB" w:rsidRPr="00701F32" w:rsidRDefault="003A13FB" w:rsidP="003A13FB">
      <w:pPr>
        <w:widowControl w:val="0"/>
        <w:autoSpaceDE w:val="0"/>
        <w:autoSpaceDN w:val="0"/>
        <w:adjustRightInd w:val="0"/>
        <w:jc w:val="both"/>
        <w:rPr>
          <w:rFonts w:ascii="Arial" w:hAnsi="Arial" w:cs="Arial"/>
          <w:noProof/>
          <w:sz w:val="20"/>
        </w:rPr>
      </w:pPr>
      <w:r w:rsidRPr="00701F32">
        <w:rPr>
          <w:rFonts w:ascii="Arial" w:hAnsi="Arial" w:cs="Arial"/>
          <w:noProof/>
          <w:sz w:val="20"/>
        </w:rPr>
        <w:t>Según los lineamientos establecidos por el BCRA, las entidades financieras deben mantener ratios de capital para reducir los riesgos asociados. Cabe destacar que al 31 de diciembre de 2017 la Entidad cumplió con la exigencia de capitales mínimos determinada de acuerdo con lo dispuesto por las normas del BCRA.</w:t>
      </w:r>
    </w:p>
    <w:p w14:paraId="2CC9546F" w14:textId="77777777" w:rsidR="003E58B4" w:rsidRPr="00701F32" w:rsidRDefault="003E58B4" w:rsidP="003A13FB">
      <w:pPr>
        <w:widowControl w:val="0"/>
        <w:autoSpaceDE w:val="0"/>
        <w:autoSpaceDN w:val="0"/>
        <w:adjustRightInd w:val="0"/>
        <w:jc w:val="both"/>
        <w:rPr>
          <w:rFonts w:ascii="Arial" w:hAnsi="Arial" w:cs="Arial"/>
          <w:noProof/>
          <w:sz w:val="20"/>
        </w:rPr>
      </w:pPr>
    </w:p>
    <w:p w14:paraId="1D0F73B1" w14:textId="77777777" w:rsidR="003E58B4" w:rsidRPr="00701F32" w:rsidRDefault="003E58B4" w:rsidP="00701F32">
      <w:pPr>
        <w:tabs>
          <w:tab w:val="left" w:pos="142"/>
        </w:tabs>
        <w:jc w:val="both"/>
        <w:rPr>
          <w:rFonts w:ascii="Arial" w:hAnsi="Arial" w:cs="Arial"/>
          <w:b/>
          <w:sz w:val="20"/>
        </w:rPr>
      </w:pPr>
      <w:r w:rsidRPr="00701F32">
        <w:rPr>
          <w:rFonts w:ascii="Arial" w:hAnsi="Arial" w:cs="Arial"/>
          <w:b/>
          <w:sz w:val="20"/>
        </w:rPr>
        <w:t xml:space="preserve">18. </w:t>
      </w:r>
      <w:r w:rsidRPr="00701F32">
        <w:rPr>
          <w:rFonts w:ascii="Arial" w:hAnsi="Arial" w:cs="Arial"/>
          <w:b/>
          <w:caps/>
          <w:sz w:val="20"/>
        </w:rPr>
        <w:t>Programa de Facilitación de Financiamiento al Comercio Exterior</w:t>
      </w:r>
    </w:p>
    <w:p w14:paraId="74D60BA3" w14:textId="77777777" w:rsidR="003E58B4" w:rsidRPr="00701F32" w:rsidRDefault="003E58B4" w:rsidP="003E58B4">
      <w:pPr>
        <w:widowControl w:val="0"/>
        <w:autoSpaceDE w:val="0"/>
        <w:autoSpaceDN w:val="0"/>
        <w:adjustRightInd w:val="0"/>
        <w:jc w:val="both"/>
        <w:rPr>
          <w:rFonts w:ascii="Arial" w:hAnsi="Arial" w:cs="Arial"/>
          <w:noProof/>
          <w:sz w:val="20"/>
        </w:rPr>
      </w:pPr>
    </w:p>
    <w:p w14:paraId="52897136" w14:textId="211DE7D5"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El Banco mantiene activos los siguientes convenios: 1) Programa de Facilitación de Financiamiento al Comercio Exterior del Banco Interamericano de Desarrollo (BID), cuya línea asciende a USD 20.000.000 (dólares estadounidenses veinte millones) y 2)  el Global Trade Finance Program de la Corporación Financiera Internacional (IFC), cuya línea asciende a USD 30.000.000 (dólares estadounidenses treinta millones). </w:t>
      </w:r>
    </w:p>
    <w:p w14:paraId="7DC90E56" w14:textId="77777777" w:rsidR="003E58B4" w:rsidRPr="00701F32" w:rsidRDefault="003E58B4" w:rsidP="003E58B4">
      <w:pPr>
        <w:widowControl w:val="0"/>
        <w:autoSpaceDE w:val="0"/>
        <w:autoSpaceDN w:val="0"/>
        <w:adjustRightInd w:val="0"/>
        <w:jc w:val="both"/>
        <w:rPr>
          <w:rFonts w:ascii="Arial" w:hAnsi="Arial" w:cs="Arial"/>
          <w:noProof/>
          <w:sz w:val="20"/>
        </w:rPr>
      </w:pPr>
    </w:p>
    <w:p w14:paraId="253804C3" w14:textId="135392D9"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Por otra parte, el Banco instrumentó con BID un préstamo en dos tramos totalizando USD 133.500.000. Los desembolsados fueron los siguientes: tramo A por USD 40 Millones en Diciembre del 2017 (USD 35 MM son a un plazo de 3 años y USD 5 Millones a un plazo de 5 años) y el tramo B, por USD 93.5 Millones en Junio del 2018 a un plazo de dos años y medio. </w:t>
      </w:r>
    </w:p>
    <w:p w14:paraId="711B68B4" w14:textId="77777777" w:rsidR="003E58B4" w:rsidRPr="00701F32" w:rsidRDefault="003E58B4" w:rsidP="003E58B4">
      <w:pPr>
        <w:widowControl w:val="0"/>
        <w:autoSpaceDE w:val="0"/>
        <w:autoSpaceDN w:val="0"/>
        <w:adjustRightInd w:val="0"/>
        <w:jc w:val="both"/>
        <w:rPr>
          <w:rFonts w:ascii="Arial" w:hAnsi="Arial" w:cs="Arial"/>
          <w:noProof/>
          <w:sz w:val="20"/>
        </w:rPr>
      </w:pPr>
    </w:p>
    <w:p w14:paraId="438CC69D" w14:textId="77777777"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Corresponde señalar que dicho convenio se encuentra subordinado al cumplimiento de determinados covenants financieros, ciertas obligaciones de hacer y no hacer, como así también ciertos requerimientos de información.</w:t>
      </w:r>
    </w:p>
    <w:p w14:paraId="0AAC4D61" w14:textId="77777777" w:rsidR="003E58B4" w:rsidRPr="00701F32" w:rsidRDefault="003E58B4" w:rsidP="003E58B4">
      <w:pPr>
        <w:widowControl w:val="0"/>
        <w:autoSpaceDE w:val="0"/>
        <w:autoSpaceDN w:val="0"/>
        <w:adjustRightInd w:val="0"/>
        <w:jc w:val="both"/>
        <w:rPr>
          <w:rFonts w:ascii="Arial" w:hAnsi="Arial" w:cs="Arial"/>
          <w:noProof/>
          <w:sz w:val="20"/>
        </w:rPr>
      </w:pPr>
    </w:p>
    <w:p w14:paraId="42B8ED6E" w14:textId="0F213BA3"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A la fecha de los presentes estados financieros, la entidad se encuentra encuadrada en el cumplimiento de las obligaciones mencionadas.</w:t>
      </w:r>
    </w:p>
    <w:p w14:paraId="08F994F0" w14:textId="77777777" w:rsidR="003E58B4" w:rsidRPr="00701F32" w:rsidRDefault="003E58B4" w:rsidP="003E58B4">
      <w:pPr>
        <w:widowControl w:val="0"/>
        <w:autoSpaceDE w:val="0"/>
        <w:autoSpaceDN w:val="0"/>
        <w:adjustRightInd w:val="0"/>
        <w:jc w:val="both"/>
        <w:rPr>
          <w:rFonts w:ascii="Arial" w:hAnsi="Arial" w:cs="Arial"/>
          <w:noProof/>
          <w:sz w:val="20"/>
        </w:rPr>
      </w:pPr>
    </w:p>
    <w:p w14:paraId="69D381EB" w14:textId="77777777" w:rsidR="003E58B4" w:rsidRPr="00701F32" w:rsidRDefault="003E58B4" w:rsidP="003E58B4">
      <w:pPr>
        <w:widowControl w:val="0"/>
        <w:autoSpaceDE w:val="0"/>
        <w:autoSpaceDN w:val="0"/>
        <w:adjustRightInd w:val="0"/>
        <w:jc w:val="both"/>
        <w:rPr>
          <w:rFonts w:ascii="Arial" w:hAnsi="Arial" w:cs="Arial"/>
          <w:noProof/>
          <w:sz w:val="20"/>
        </w:rPr>
      </w:pPr>
    </w:p>
    <w:p w14:paraId="20260ABB" w14:textId="77777777" w:rsidR="00E07294" w:rsidRPr="00701F32" w:rsidRDefault="00E07294" w:rsidP="006D16A7">
      <w:pPr>
        <w:ind w:right="51"/>
        <w:rPr>
          <w:rFonts w:ascii="Arial" w:hAnsi="Arial" w:cs="Arial"/>
          <w:sz w:val="20"/>
        </w:rPr>
        <w:sectPr w:rsidR="00E07294" w:rsidRPr="00701F32" w:rsidSect="0055696C">
          <w:headerReference w:type="even" r:id="rId28"/>
          <w:headerReference w:type="default" r:id="rId29"/>
          <w:headerReference w:type="first" r:id="rId30"/>
          <w:pgSz w:w="11907" w:h="16839" w:code="9"/>
          <w:pgMar w:top="1418" w:right="1701" w:bottom="1418" w:left="1276" w:header="567" w:footer="0" w:gutter="0"/>
          <w:cols w:space="708"/>
          <w:docGrid w:linePitch="360"/>
        </w:sectPr>
      </w:pPr>
    </w:p>
    <w:p w14:paraId="0886F267" w14:textId="77777777" w:rsidR="000618A3" w:rsidRPr="00701F32" w:rsidRDefault="00654689" w:rsidP="00675A40">
      <w:pPr>
        <w:rPr>
          <w:sz w:val="20"/>
          <w:lang w:eastAsia="es-AR"/>
        </w:rPr>
      </w:pPr>
      <w:r w:rsidRPr="00701F32">
        <w:rPr>
          <w:noProof/>
          <w:lang w:eastAsia="es-AR"/>
        </w:rPr>
        <w:drawing>
          <wp:inline distT="0" distB="0" distL="0" distR="0" wp14:anchorId="1289ACBF" wp14:editId="1E499933">
            <wp:extent cx="5218422" cy="6248400"/>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519" cy="6249713"/>
                    </a:xfrm>
                    <a:prstGeom prst="rect">
                      <a:avLst/>
                    </a:prstGeom>
                    <a:noFill/>
                    <a:ln>
                      <a:noFill/>
                    </a:ln>
                  </pic:spPr>
                </pic:pic>
              </a:graphicData>
            </a:graphic>
          </wp:inline>
        </w:drawing>
      </w:r>
    </w:p>
    <w:p w14:paraId="014B27CA" w14:textId="77777777" w:rsidR="000618A3" w:rsidRPr="00701F32" w:rsidRDefault="000618A3" w:rsidP="00675A40">
      <w:pPr>
        <w:rPr>
          <w:sz w:val="20"/>
          <w:lang w:eastAsia="es-AR"/>
        </w:rPr>
      </w:pPr>
    </w:p>
    <w:p w14:paraId="6E766513" w14:textId="615F0D6B" w:rsidR="007E64FE" w:rsidRPr="00701F32" w:rsidRDefault="000618A3" w:rsidP="00675A40">
      <w:pPr>
        <w:rPr>
          <w:sz w:val="20"/>
          <w:lang w:eastAsia="es-AR"/>
        </w:rPr>
      </w:pPr>
      <w:r w:rsidRPr="00701F32">
        <w:rPr>
          <w:noProof/>
          <w:lang w:eastAsia="es-AR"/>
        </w:rPr>
        <w:drawing>
          <wp:anchor distT="0" distB="0" distL="114300" distR="114300" simplePos="0" relativeHeight="251663872" behindDoc="0" locked="0" layoutInCell="1" allowOverlap="1" wp14:anchorId="1CD08B35" wp14:editId="5197EE98">
            <wp:simplePos x="0" y="0"/>
            <wp:positionH relativeFrom="column">
              <wp:posOffset>339090</wp:posOffset>
            </wp:positionH>
            <wp:positionV relativeFrom="paragraph">
              <wp:posOffset>-90170</wp:posOffset>
            </wp:positionV>
            <wp:extent cx="4762500" cy="487299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87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06C22" w14:textId="5C9E4DF2" w:rsidR="00155B64" w:rsidRPr="00701F32" w:rsidRDefault="00155B64" w:rsidP="00675A40">
      <w:pPr>
        <w:rPr>
          <w:sz w:val="20"/>
          <w:lang w:eastAsia="es-AR"/>
        </w:rPr>
      </w:pPr>
    </w:p>
    <w:p w14:paraId="323879E3" w14:textId="2209DA13" w:rsidR="000618A3" w:rsidRPr="00701F32" w:rsidRDefault="000618A3" w:rsidP="00675A40">
      <w:pPr>
        <w:rPr>
          <w:sz w:val="20"/>
          <w:lang w:eastAsia="es-AR"/>
        </w:rPr>
      </w:pPr>
    </w:p>
    <w:p w14:paraId="44113349" w14:textId="77777777" w:rsidR="00155B64" w:rsidRPr="00701F32" w:rsidRDefault="00155B64" w:rsidP="00675A40">
      <w:pPr>
        <w:rPr>
          <w:sz w:val="20"/>
          <w:lang w:eastAsia="es-AR"/>
        </w:rPr>
      </w:pPr>
    </w:p>
    <w:p w14:paraId="43545D77" w14:textId="13289949" w:rsidR="000618A3" w:rsidRPr="00701F32" w:rsidRDefault="00C003E8" w:rsidP="00675A40">
      <w:pPr>
        <w:rPr>
          <w:sz w:val="20"/>
          <w:lang w:eastAsia="es-AR"/>
        </w:rPr>
      </w:pPr>
      <w:r w:rsidRPr="00701F32">
        <w:rPr>
          <w:noProof/>
          <w:lang w:eastAsia="es-AR"/>
        </w:rPr>
        <w:drawing>
          <wp:anchor distT="0" distB="0" distL="114300" distR="114300" simplePos="0" relativeHeight="251667968" behindDoc="0" locked="0" layoutInCell="1" allowOverlap="1" wp14:anchorId="4E0321A6" wp14:editId="541ECE96">
            <wp:simplePos x="0" y="0"/>
            <wp:positionH relativeFrom="column">
              <wp:posOffset>310515</wp:posOffset>
            </wp:positionH>
            <wp:positionV relativeFrom="paragraph">
              <wp:posOffset>4446270</wp:posOffset>
            </wp:positionV>
            <wp:extent cx="4467225" cy="123908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1239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956AD" w14:textId="77777777" w:rsidR="00675A40" w:rsidRPr="00701F32" w:rsidRDefault="00675A40" w:rsidP="00276790">
      <w:pPr>
        <w:rPr>
          <w:rFonts w:ascii="Arial" w:hAnsi="Arial" w:cs="Arial"/>
          <w:szCs w:val="24"/>
        </w:rPr>
        <w:sectPr w:rsidR="00675A40" w:rsidRPr="00701F32" w:rsidSect="00CC5C97">
          <w:headerReference w:type="default" r:id="rId34"/>
          <w:pgSz w:w="11907" w:h="16839" w:code="9"/>
          <w:pgMar w:top="1418" w:right="1701" w:bottom="1418" w:left="1701" w:header="567" w:footer="0" w:gutter="0"/>
          <w:cols w:space="708"/>
          <w:docGrid w:linePitch="360"/>
        </w:sectPr>
      </w:pPr>
    </w:p>
    <w:p w14:paraId="2CAF1EEA" w14:textId="77777777" w:rsidR="007E2320" w:rsidRPr="00701F32" w:rsidRDefault="007E2320" w:rsidP="00276790">
      <w:pPr>
        <w:rPr>
          <w:sz w:val="20"/>
          <w:lang w:eastAsia="es-AR"/>
        </w:rPr>
      </w:pPr>
    </w:p>
    <w:p w14:paraId="5541B858" w14:textId="68F63EAF" w:rsidR="007E64FE" w:rsidRPr="00701F32" w:rsidRDefault="00654689" w:rsidP="00276790">
      <w:pPr>
        <w:rPr>
          <w:sz w:val="20"/>
          <w:lang w:eastAsia="es-AR"/>
        </w:rPr>
      </w:pPr>
      <w:r w:rsidRPr="00701F32">
        <w:rPr>
          <w:noProof/>
          <w:lang w:eastAsia="es-AR"/>
        </w:rPr>
        <w:drawing>
          <wp:inline distT="0" distB="0" distL="0" distR="0" wp14:anchorId="46DA4FEF" wp14:editId="0CB34BBC">
            <wp:extent cx="5400675" cy="2677266"/>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677266"/>
                    </a:xfrm>
                    <a:prstGeom prst="rect">
                      <a:avLst/>
                    </a:prstGeom>
                    <a:noFill/>
                    <a:ln>
                      <a:noFill/>
                    </a:ln>
                  </pic:spPr>
                </pic:pic>
              </a:graphicData>
            </a:graphic>
          </wp:inline>
        </w:drawing>
      </w:r>
    </w:p>
    <w:p w14:paraId="5549F0CB" w14:textId="77777777" w:rsidR="005F4FAE" w:rsidRPr="00701F32" w:rsidRDefault="005F4FAE" w:rsidP="00276790">
      <w:pPr>
        <w:rPr>
          <w:sz w:val="20"/>
          <w:lang w:eastAsia="es-AR"/>
        </w:rPr>
      </w:pPr>
    </w:p>
    <w:p w14:paraId="10A77A02" w14:textId="77777777" w:rsidR="00155B64" w:rsidRPr="00701F32" w:rsidRDefault="00155B64" w:rsidP="00276790">
      <w:pPr>
        <w:rPr>
          <w:sz w:val="20"/>
          <w:lang w:eastAsia="es-AR"/>
        </w:rPr>
      </w:pPr>
    </w:p>
    <w:p w14:paraId="0400658A" w14:textId="77777777" w:rsidR="00537732" w:rsidRPr="00701F32" w:rsidRDefault="00537732" w:rsidP="00276790">
      <w:pPr>
        <w:rPr>
          <w:sz w:val="20"/>
          <w:lang w:eastAsia="es-AR"/>
        </w:rPr>
      </w:pPr>
    </w:p>
    <w:p w14:paraId="1E440533" w14:textId="77777777" w:rsidR="00211A4E" w:rsidRPr="00701F32" w:rsidRDefault="00211A4E" w:rsidP="00276790">
      <w:pPr>
        <w:rPr>
          <w:rFonts w:ascii="Arial" w:hAnsi="Arial" w:cs="Arial"/>
          <w:szCs w:val="24"/>
        </w:rPr>
        <w:sectPr w:rsidR="00211A4E" w:rsidRPr="00701F32" w:rsidSect="0056456F">
          <w:headerReference w:type="default" r:id="rId36"/>
          <w:pgSz w:w="11907" w:h="16839" w:code="9"/>
          <w:pgMar w:top="1418" w:right="1701" w:bottom="1418" w:left="1701" w:header="567" w:footer="0" w:gutter="0"/>
          <w:cols w:space="708"/>
          <w:docGrid w:linePitch="360"/>
        </w:sectPr>
      </w:pPr>
    </w:p>
    <w:p w14:paraId="3288337F" w14:textId="77777777" w:rsidR="0007120D" w:rsidRPr="00701F32" w:rsidRDefault="0007120D" w:rsidP="00276790">
      <w:pPr>
        <w:rPr>
          <w:sz w:val="20"/>
          <w:lang w:eastAsia="es-AR"/>
        </w:rPr>
      </w:pPr>
    </w:p>
    <w:p w14:paraId="2E2C4AEE" w14:textId="10D5C2D7" w:rsidR="00D47717" w:rsidRPr="00701F32" w:rsidRDefault="00EE0DE9" w:rsidP="00276790">
      <w:pPr>
        <w:rPr>
          <w:rFonts w:ascii="Arial" w:hAnsi="Arial" w:cs="Arial"/>
          <w:szCs w:val="24"/>
        </w:rPr>
        <w:sectPr w:rsidR="00D47717" w:rsidRPr="00701F32" w:rsidSect="0056456F">
          <w:headerReference w:type="default" r:id="rId37"/>
          <w:pgSz w:w="11907" w:h="16839" w:code="9"/>
          <w:pgMar w:top="1418" w:right="1701" w:bottom="1418" w:left="1701" w:header="567" w:footer="0" w:gutter="0"/>
          <w:cols w:space="708"/>
          <w:docGrid w:linePitch="360"/>
        </w:sectPr>
      </w:pPr>
      <w:r w:rsidRPr="00701F32">
        <w:rPr>
          <w:noProof/>
          <w:lang w:eastAsia="es-AR"/>
        </w:rPr>
        <w:drawing>
          <wp:anchor distT="0" distB="0" distL="114300" distR="114300" simplePos="0" relativeHeight="251661824" behindDoc="0" locked="0" layoutInCell="1" allowOverlap="1" wp14:anchorId="03BCB029" wp14:editId="0292FC37">
            <wp:simplePos x="0" y="0"/>
            <wp:positionH relativeFrom="column">
              <wp:posOffset>-413385</wp:posOffset>
            </wp:positionH>
            <wp:positionV relativeFrom="paragraph">
              <wp:posOffset>487045</wp:posOffset>
            </wp:positionV>
            <wp:extent cx="6320815" cy="2438400"/>
            <wp:effectExtent l="0" t="0" r="381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1695" cy="2438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36459" w14:textId="3C7408D3" w:rsidR="001D757B" w:rsidRPr="00701F32" w:rsidRDefault="006726E2" w:rsidP="00276790">
      <w:r w:rsidRPr="00701F32">
        <w:rPr>
          <w:noProof/>
          <w:lang w:eastAsia="es-AR"/>
        </w:rPr>
        <w:drawing>
          <wp:inline distT="0" distB="0" distL="0" distR="0" wp14:anchorId="6E24DB58" wp14:editId="6AC7FA3E">
            <wp:extent cx="8891905" cy="258889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1905" cy="2588890"/>
                    </a:xfrm>
                    <a:prstGeom prst="rect">
                      <a:avLst/>
                    </a:prstGeom>
                    <a:noFill/>
                    <a:ln>
                      <a:noFill/>
                    </a:ln>
                  </pic:spPr>
                </pic:pic>
              </a:graphicData>
            </a:graphic>
          </wp:inline>
        </w:drawing>
      </w:r>
    </w:p>
    <w:p w14:paraId="586DAD01" w14:textId="77777777" w:rsidR="001D757B" w:rsidRPr="00701F32" w:rsidRDefault="001D757B" w:rsidP="00276790"/>
    <w:p w14:paraId="0292F72D" w14:textId="77777777" w:rsidR="001D757B" w:rsidRPr="00701F32" w:rsidRDefault="001D757B" w:rsidP="00276790"/>
    <w:p w14:paraId="5B213DD5" w14:textId="77777777" w:rsidR="001D757B" w:rsidRPr="00701F32" w:rsidRDefault="001D757B" w:rsidP="00276790"/>
    <w:p w14:paraId="254DEEF9" w14:textId="77777777" w:rsidR="001D757B" w:rsidRPr="00701F32" w:rsidRDefault="001D757B" w:rsidP="00276790"/>
    <w:p w14:paraId="39D581BA" w14:textId="77777777" w:rsidR="001D757B" w:rsidRPr="00701F32" w:rsidRDefault="001D757B" w:rsidP="00276790"/>
    <w:p w14:paraId="4EDE8A0C" w14:textId="77777777" w:rsidR="001D757B" w:rsidRPr="00701F32" w:rsidRDefault="001D757B" w:rsidP="00276790"/>
    <w:p w14:paraId="4A62C128" w14:textId="77777777" w:rsidR="001D757B" w:rsidRPr="00701F32" w:rsidRDefault="001D757B" w:rsidP="00276790">
      <w:pPr>
        <w:rPr>
          <w:sz w:val="20"/>
          <w:lang w:eastAsia="es-AR"/>
        </w:rPr>
      </w:pPr>
    </w:p>
    <w:p w14:paraId="4998EA5B" w14:textId="77777777" w:rsidR="001D757B" w:rsidRPr="00701F32" w:rsidRDefault="001D757B" w:rsidP="00276790">
      <w:pPr>
        <w:rPr>
          <w:sz w:val="20"/>
          <w:lang w:eastAsia="es-AR"/>
        </w:rPr>
      </w:pPr>
    </w:p>
    <w:p w14:paraId="0A638233" w14:textId="083558B7" w:rsidR="00B81539" w:rsidRPr="00701F32" w:rsidRDefault="006D48B0" w:rsidP="00276790">
      <w:pPr>
        <w:rPr>
          <w:sz w:val="20"/>
          <w:lang w:eastAsia="es-AR"/>
        </w:rPr>
      </w:pPr>
      <w:r w:rsidRPr="00701F32">
        <w:rPr>
          <w:noProof/>
          <w:lang w:eastAsia="es-AR"/>
        </w:rPr>
        <w:drawing>
          <wp:inline distT="0" distB="0" distL="0" distR="0" wp14:anchorId="7DDFB43B" wp14:editId="7A0F884C">
            <wp:extent cx="8333105" cy="1915160"/>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33105" cy="1915160"/>
                    </a:xfrm>
                    <a:prstGeom prst="rect">
                      <a:avLst/>
                    </a:prstGeom>
                    <a:noFill/>
                    <a:ln>
                      <a:noFill/>
                    </a:ln>
                  </pic:spPr>
                </pic:pic>
              </a:graphicData>
            </a:graphic>
          </wp:inline>
        </w:drawing>
      </w:r>
    </w:p>
    <w:p w14:paraId="2686898A" w14:textId="77777777" w:rsidR="00A92CEA" w:rsidRPr="00701F32" w:rsidRDefault="00A92CEA" w:rsidP="00982198">
      <w:pPr>
        <w:rPr>
          <w:sz w:val="20"/>
          <w:lang w:eastAsia="es-AR"/>
        </w:rPr>
      </w:pPr>
    </w:p>
    <w:p w14:paraId="125730A7" w14:textId="77777777" w:rsidR="003D5159" w:rsidRPr="00701F32" w:rsidRDefault="003D5159" w:rsidP="00982198">
      <w:pPr>
        <w:rPr>
          <w:sz w:val="20"/>
          <w:lang w:eastAsia="es-AR"/>
        </w:rPr>
        <w:sectPr w:rsidR="003D5159" w:rsidRPr="00701F32" w:rsidSect="00B81539">
          <w:headerReference w:type="default" r:id="rId41"/>
          <w:pgSz w:w="16839" w:h="11907" w:orient="landscape" w:code="9"/>
          <w:pgMar w:top="1134" w:right="1418" w:bottom="1701" w:left="1418" w:header="567" w:footer="0" w:gutter="0"/>
          <w:cols w:space="708"/>
          <w:docGrid w:linePitch="360"/>
        </w:sectPr>
      </w:pPr>
    </w:p>
    <w:p w14:paraId="35F22F04" w14:textId="78B446B4" w:rsidR="00083C78" w:rsidRPr="00701F32" w:rsidRDefault="005017F6" w:rsidP="0086282C">
      <w:pPr>
        <w:jc w:val="center"/>
        <w:rPr>
          <w:sz w:val="20"/>
          <w:lang w:eastAsia="es-AR"/>
        </w:rPr>
      </w:pPr>
      <w:r w:rsidRPr="00701F32">
        <w:rPr>
          <w:noProof/>
          <w:lang w:eastAsia="es-AR"/>
        </w:rPr>
        <w:drawing>
          <wp:inline distT="0" distB="0" distL="0" distR="0" wp14:anchorId="706A1BF1" wp14:editId="4EB76F23">
            <wp:extent cx="7368540" cy="18288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8540" cy="1828800"/>
                    </a:xfrm>
                    <a:prstGeom prst="rect">
                      <a:avLst/>
                    </a:prstGeom>
                    <a:noFill/>
                    <a:ln>
                      <a:noFill/>
                    </a:ln>
                  </pic:spPr>
                </pic:pic>
              </a:graphicData>
            </a:graphic>
          </wp:inline>
        </w:drawing>
      </w:r>
    </w:p>
    <w:p w14:paraId="270276B5" w14:textId="77777777" w:rsidR="003D5159" w:rsidRPr="00701F32" w:rsidRDefault="003D5159" w:rsidP="00982198">
      <w:pPr>
        <w:rPr>
          <w:sz w:val="20"/>
          <w:lang w:eastAsia="es-AR"/>
        </w:rPr>
      </w:pPr>
    </w:p>
    <w:p w14:paraId="2490D7D2" w14:textId="77777777" w:rsidR="003D5159" w:rsidRPr="00701F32" w:rsidRDefault="003D5159" w:rsidP="00982198">
      <w:pPr>
        <w:rPr>
          <w:sz w:val="20"/>
          <w:lang w:eastAsia="es-AR"/>
        </w:rPr>
        <w:sectPr w:rsidR="003D5159" w:rsidRPr="00701F32" w:rsidSect="00B81539">
          <w:headerReference w:type="default" r:id="rId43"/>
          <w:pgSz w:w="16839" w:h="11907" w:orient="landscape" w:code="9"/>
          <w:pgMar w:top="1134" w:right="1418" w:bottom="1701" w:left="1418" w:header="567" w:footer="0" w:gutter="0"/>
          <w:cols w:space="708"/>
          <w:docGrid w:linePitch="360"/>
        </w:sectPr>
      </w:pPr>
    </w:p>
    <w:p w14:paraId="63B45380" w14:textId="77E91561" w:rsidR="00A92CEA" w:rsidRPr="00701F32" w:rsidRDefault="00C51C53" w:rsidP="001835D2">
      <w:pPr>
        <w:ind w:left="-426"/>
        <w:jc w:val="center"/>
        <w:rPr>
          <w:sz w:val="20"/>
          <w:lang w:eastAsia="es-AR"/>
        </w:rPr>
      </w:pPr>
      <w:r w:rsidRPr="00701F32">
        <w:rPr>
          <w:noProof/>
          <w:lang w:eastAsia="es-AR"/>
        </w:rPr>
        <w:drawing>
          <wp:inline distT="0" distB="0" distL="0" distR="0" wp14:anchorId="03316F33" wp14:editId="18464E33">
            <wp:extent cx="8524875" cy="24479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4875" cy="2447925"/>
                    </a:xfrm>
                    <a:prstGeom prst="rect">
                      <a:avLst/>
                    </a:prstGeom>
                    <a:noFill/>
                    <a:ln>
                      <a:noFill/>
                    </a:ln>
                  </pic:spPr>
                </pic:pic>
              </a:graphicData>
            </a:graphic>
          </wp:inline>
        </w:drawing>
      </w:r>
    </w:p>
    <w:p w14:paraId="17F448E4" w14:textId="77777777" w:rsidR="00FF28A5" w:rsidRPr="00701F32" w:rsidRDefault="00FF28A5" w:rsidP="00DF54FF">
      <w:pPr>
        <w:ind w:left="-426"/>
        <w:rPr>
          <w:sz w:val="20"/>
          <w:lang w:eastAsia="es-AR"/>
        </w:rPr>
        <w:sectPr w:rsidR="00FF28A5" w:rsidRPr="00701F32" w:rsidSect="00B81539">
          <w:headerReference w:type="default" r:id="rId45"/>
          <w:pgSz w:w="16839" w:h="11907" w:orient="landscape" w:code="9"/>
          <w:pgMar w:top="1276" w:right="1418" w:bottom="1701" w:left="1418" w:header="567" w:footer="0" w:gutter="0"/>
          <w:cols w:space="708"/>
          <w:docGrid w:linePitch="360"/>
        </w:sectPr>
      </w:pPr>
    </w:p>
    <w:p w14:paraId="119D222E" w14:textId="77777777" w:rsidR="002F2ED6" w:rsidRPr="00701F32" w:rsidRDefault="002F2ED6" w:rsidP="00276790">
      <w:pPr>
        <w:rPr>
          <w:sz w:val="20"/>
          <w:lang w:eastAsia="es-AR"/>
        </w:rPr>
      </w:pPr>
    </w:p>
    <w:p w14:paraId="5434FFE6" w14:textId="166EAA70" w:rsidR="007F3B18" w:rsidRPr="00701F32" w:rsidRDefault="00654689" w:rsidP="00276790">
      <w:pPr>
        <w:rPr>
          <w:rFonts w:ascii="Arial" w:hAnsi="Arial" w:cs="Arial"/>
          <w:szCs w:val="24"/>
        </w:rPr>
        <w:sectPr w:rsidR="007F3B18" w:rsidRPr="00701F32" w:rsidSect="002C6517">
          <w:headerReference w:type="default" r:id="rId46"/>
          <w:pgSz w:w="11907" w:h="16839" w:code="9"/>
          <w:pgMar w:top="1418" w:right="1701" w:bottom="1418" w:left="1701" w:header="567" w:footer="0" w:gutter="0"/>
          <w:cols w:space="708"/>
          <w:docGrid w:linePitch="360"/>
        </w:sectPr>
      </w:pPr>
      <w:r w:rsidRPr="00701F32">
        <w:rPr>
          <w:noProof/>
          <w:lang w:eastAsia="es-AR"/>
        </w:rPr>
        <w:drawing>
          <wp:inline distT="0" distB="0" distL="0" distR="0" wp14:anchorId="4DE68006" wp14:editId="267D28F3">
            <wp:extent cx="5400675" cy="2872271"/>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872271"/>
                    </a:xfrm>
                    <a:prstGeom prst="rect">
                      <a:avLst/>
                    </a:prstGeom>
                    <a:noFill/>
                    <a:ln>
                      <a:noFill/>
                    </a:ln>
                  </pic:spPr>
                </pic:pic>
              </a:graphicData>
            </a:graphic>
          </wp:inline>
        </w:drawing>
      </w:r>
    </w:p>
    <w:p w14:paraId="1049F572" w14:textId="5D6385D8" w:rsidR="006F3DB5" w:rsidRPr="00701F32" w:rsidRDefault="00654689" w:rsidP="00B5057C">
      <w:pPr>
        <w:rPr>
          <w:sz w:val="20"/>
          <w:lang w:eastAsia="es-AR"/>
        </w:rPr>
      </w:pPr>
      <w:r w:rsidRPr="00701F32">
        <w:rPr>
          <w:noProof/>
          <w:lang w:eastAsia="es-AR"/>
        </w:rPr>
        <w:drawing>
          <wp:anchor distT="0" distB="0" distL="114300" distR="114300" simplePos="0" relativeHeight="251640320" behindDoc="0" locked="0" layoutInCell="1" allowOverlap="1" wp14:anchorId="2C06D2A0" wp14:editId="1779D590">
            <wp:simplePos x="0" y="0"/>
            <wp:positionH relativeFrom="column">
              <wp:posOffset>-80956</wp:posOffset>
            </wp:positionH>
            <wp:positionV relativeFrom="paragraph">
              <wp:posOffset>463142</wp:posOffset>
            </wp:positionV>
            <wp:extent cx="6223509" cy="3510951"/>
            <wp:effectExtent l="0" t="0" r="635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3509" cy="3510951"/>
                    </a:xfrm>
                    <a:prstGeom prst="rect">
                      <a:avLst/>
                    </a:prstGeom>
                    <a:noFill/>
                    <a:ln>
                      <a:noFill/>
                    </a:ln>
                  </pic:spPr>
                </pic:pic>
              </a:graphicData>
            </a:graphic>
            <wp14:sizeRelH relativeFrom="page">
              <wp14:pctWidth>0</wp14:pctWidth>
            </wp14:sizeRelH>
            <wp14:sizeRelV relativeFrom="page">
              <wp14:pctHeight>0</wp14:pctHeight>
            </wp14:sizeRelV>
          </wp:anchor>
        </w:drawing>
      </w:r>
      <w:r w:rsidR="000D4C17" w:rsidRPr="00701F32">
        <w:rPr>
          <w:sz w:val="20"/>
          <w:lang w:eastAsia="es-AR"/>
        </w:rPr>
        <w:t xml:space="preserve"> </w:t>
      </w:r>
    </w:p>
    <w:p w14:paraId="0059D68F" w14:textId="77777777" w:rsidR="00F36164" w:rsidRPr="00701F32" w:rsidRDefault="00F36164" w:rsidP="00B5057C">
      <w:pPr>
        <w:rPr>
          <w:sz w:val="20"/>
          <w:lang w:eastAsia="es-AR"/>
        </w:rPr>
        <w:sectPr w:rsidR="00F36164" w:rsidRPr="00701F32" w:rsidSect="00DA660B">
          <w:headerReference w:type="default" r:id="rId49"/>
          <w:pgSz w:w="11907" w:h="16839" w:code="9"/>
          <w:pgMar w:top="1418" w:right="1701" w:bottom="1418" w:left="1134" w:header="567" w:footer="0" w:gutter="0"/>
          <w:cols w:space="708"/>
          <w:docGrid w:linePitch="360"/>
        </w:sectPr>
      </w:pPr>
    </w:p>
    <w:p w14:paraId="06B3A3F4" w14:textId="4041F98E" w:rsidR="00B81539" w:rsidRPr="00701F32" w:rsidRDefault="00654689" w:rsidP="00B5057C">
      <w:pPr>
        <w:rPr>
          <w:sz w:val="20"/>
          <w:lang w:eastAsia="es-AR"/>
        </w:rPr>
      </w:pPr>
      <w:r w:rsidRPr="00701F32">
        <w:rPr>
          <w:noProof/>
          <w:lang w:eastAsia="es-AR"/>
        </w:rPr>
        <w:drawing>
          <wp:inline distT="0" distB="0" distL="0" distR="0" wp14:anchorId="31AC2E97" wp14:editId="2F7B8666">
            <wp:extent cx="5641676" cy="6432519"/>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4725" cy="6435996"/>
                    </a:xfrm>
                    <a:prstGeom prst="rect">
                      <a:avLst/>
                    </a:prstGeom>
                    <a:noFill/>
                    <a:ln>
                      <a:noFill/>
                    </a:ln>
                  </pic:spPr>
                </pic:pic>
              </a:graphicData>
            </a:graphic>
          </wp:inline>
        </w:drawing>
      </w:r>
    </w:p>
    <w:p w14:paraId="34A58382" w14:textId="32DA6787" w:rsidR="00B17828" w:rsidRPr="00701F32" w:rsidRDefault="00654689" w:rsidP="00B5057C">
      <w:pPr>
        <w:rPr>
          <w:sz w:val="20"/>
          <w:lang w:eastAsia="es-AR"/>
        </w:rPr>
      </w:pPr>
      <w:r w:rsidRPr="00701F32">
        <w:rPr>
          <w:noProof/>
          <w:lang w:eastAsia="es-AR"/>
        </w:rPr>
        <w:drawing>
          <wp:inline distT="0" distB="0" distL="0" distR="0" wp14:anchorId="2D20F077" wp14:editId="18FF54AE">
            <wp:extent cx="5760720" cy="6418276"/>
            <wp:effectExtent l="0" t="0" r="0" b="190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6418276"/>
                    </a:xfrm>
                    <a:prstGeom prst="rect">
                      <a:avLst/>
                    </a:prstGeom>
                    <a:noFill/>
                    <a:ln>
                      <a:noFill/>
                    </a:ln>
                  </pic:spPr>
                </pic:pic>
              </a:graphicData>
            </a:graphic>
          </wp:inline>
        </w:drawing>
      </w:r>
    </w:p>
    <w:p w14:paraId="4CB2F116" w14:textId="6F65FA9C" w:rsidR="00B17828" w:rsidRPr="00701F32" w:rsidRDefault="00654689" w:rsidP="00B5057C">
      <w:pPr>
        <w:rPr>
          <w:sz w:val="20"/>
          <w:lang w:eastAsia="es-AR"/>
        </w:rPr>
        <w:sectPr w:rsidR="00B17828" w:rsidRPr="00701F32" w:rsidSect="00DA660B">
          <w:headerReference w:type="default" r:id="rId52"/>
          <w:pgSz w:w="11907" w:h="16839" w:code="9"/>
          <w:pgMar w:top="1418" w:right="1701" w:bottom="1418" w:left="1134" w:header="567" w:footer="0" w:gutter="0"/>
          <w:cols w:space="708"/>
          <w:docGrid w:linePitch="360"/>
        </w:sectPr>
      </w:pPr>
      <w:r w:rsidRPr="00701F32">
        <w:rPr>
          <w:noProof/>
          <w:lang w:eastAsia="es-AR"/>
        </w:rPr>
        <w:drawing>
          <wp:inline distT="0" distB="0" distL="0" distR="0" wp14:anchorId="6A777D74" wp14:editId="43E6515E">
            <wp:extent cx="5760720" cy="378018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780189"/>
                    </a:xfrm>
                    <a:prstGeom prst="rect">
                      <a:avLst/>
                    </a:prstGeom>
                    <a:noFill/>
                    <a:ln>
                      <a:noFill/>
                    </a:ln>
                  </pic:spPr>
                </pic:pic>
              </a:graphicData>
            </a:graphic>
          </wp:inline>
        </w:drawing>
      </w:r>
    </w:p>
    <w:p w14:paraId="07D7B130" w14:textId="77777777" w:rsidR="00F36164" w:rsidRPr="00701F32" w:rsidRDefault="00F36164" w:rsidP="00B5057C">
      <w:pPr>
        <w:rPr>
          <w:sz w:val="20"/>
          <w:lang w:eastAsia="es-AR"/>
        </w:rPr>
      </w:pPr>
    </w:p>
    <w:p w14:paraId="78B529E5" w14:textId="2AABF50A" w:rsidR="00E340E9" w:rsidRPr="00701F32" w:rsidRDefault="006D48B0" w:rsidP="00B5057C">
      <w:pPr>
        <w:rPr>
          <w:sz w:val="20"/>
          <w:lang w:eastAsia="es-AR"/>
        </w:rPr>
        <w:sectPr w:rsidR="00E340E9" w:rsidRPr="00701F32" w:rsidSect="00DA660B">
          <w:headerReference w:type="default" r:id="rId54"/>
          <w:pgSz w:w="11907" w:h="16839" w:code="9"/>
          <w:pgMar w:top="1418" w:right="1701" w:bottom="1418" w:left="1134" w:header="567" w:footer="0" w:gutter="0"/>
          <w:cols w:space="708"/>
          <w:docGrid w:linePitch="360"/>
        </w:sectPr>
      </w:pPr>
      <w:r w:rsidRPr="00701F32">
        <w:rPr>
          <w:noProof/>
          <w:lang w:eastAsia="es-AR"/>
        </w:rPr>
        <w:drawing>
          <wp:inline distT="0" distB="0" distL="0" distR="0" wp14:anchorId="3B321998" wp14:editId="071120A7">
            <wp:extent cx="5760720" cy="412914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129143"/>
                    </a:xfrm>
                    <a:prstGeom prst="rect">
                      <a:avLst/>
                    </a:prstGeom>
                    <a:noFill/>
                    <a:ln>
                      <a:noFill/>
                    </a:ln>
                  </pic:spPr>
                </pic:pic>
              </a:graphicData>
            </a:graphic>
          </wp:inline>
        </w:drawing>
      </w:r>
    </w:p>
    <w:p w14:paraId="38EC0FF3" w14:textId="77777777" w:rsidR="00D90995" w:rsidRPr="00701F32" w:rsidRDefault="00D90995" w:rsidP="007045C3">
      <w:pPr>
        <w:pStyle w:val="Ttuloprincipal"/>
        <w:jc w:val="left"/>
        <w:rPr>
          <w:rFonts w:ascii="Arial" w:hAnsi="Arial" w:cs="Arial"/>
          <w:szCs w:val="24"/>
        </w:rPr>
      </w:pPr>
    </w:p>
    <w:p w14:paraId="532CBEE8" w14:textId="77777777" w:rsidR="007045C3" w:rsidRPr="00701F32" w:rsidRDefault="007045C3" w:rsidP="007045C3">
      <w:pPr>
        <w:pStyle w:val="Ttuloprincipal"/>
        <w:jc w:val="left"/>
        <w:rPr>
          <w:rFonts w:ascii="Arial" w:hAnsi="Arial" w:cs="Arial"/>
          <w:szCs w:val="24"/>
        </w:rPr>
      </w:pPr>
    </w:p>
    <w:p w14:paraId="3BF29DAA" w14:textId="77777777" w:rsidR="006470AD" w:rsidRPr="00701F32" w:rsidRDefault="006470AD" w:rsidP="007045C3">
      <w:pPr>
        <w:pStyle w:val="Ttuloprincipal"/>
        <w:jc w:val="left"/>
        <w:rPr>
          <w:rFonts w:ascii="Arial" w:hAnsi="Arial" w:cs="Arial"/>
          <w:szCs w:val="24"/>
        </w:rPr>
      </w:pPr>
    </w:p>
    <w:p w14:paraId="6597503B" w14:textId="77777777" w:rsidR="006470AD" w:rsidRPr="00701F32" w:rsidRDefault="006470AD" w:rsidP="007045C3">
      <w:pPr>
        <w:pStyle w:val="Ttuloprincipal"/>
        <w:jc w:val="left"/>
        <w:rPr>
          <w:rFonts w:ascii="Arial" w:hAnsi="Arial" w:cs="Arial"/>
          <w:szCs w:val="24"/>
        </w:rPr>
      </w:pPr>
    </w:p>
    <w:p w14:paraId="78EDE097" w14:textId="77777777" w:rsidR="006470AD" w:rsidRPr="00701F32" w:rsidRDefault="006470AD" w:rsidP="007045C3">
      <w:pPr>
        <w:pStyle w:val="Ttuloprincipal"/>
        <w:jc w:val="left"/>
        <w:rPr>
          <w:rFonts w:ascii="Arial" w:hAnsi="Arial" w:cs="Arial"/>
          <w:szCs w:val="24"/>
        </w:rPr>
      </w:pPr>
    </w:p>
    <w:p w14:paraId="58CDF60B" w14:textId="77777777" w:rsidR="006470AD" w:rsidRPr="00701F32" w:rsidRDefault="006470AD" w:rsidP="007045C3">
      <w:pPr>
        <w:pStyle w:val="Ttuloprincipal"/>
        <w:jc w:val="left"/>
        <w:rPr>
          <w:rFonts w:ascii="Arial" w:hAnsi="Arial" w:cs="Arial"/>
          <w:szCs w:val="24"/>
        </w:rPr>
      </w:pPr>
    </w:p>
    <w:p w14:paraId="7064E121" w14:textId="77777777" w:rsidR="006470AD" w:rsidRPr="00701F32" w:rsidRDefault="006470AD" w:rsidP="007045C3">
      <w:pPr>
        <w:pStyle w:val="Ttuloprincipal"/>
        <w:jc w:val="left"/>
        <w:rPr>
          <w:rFonts w:ascii="Arial" w:hAnsi="Arial" w:cs="Arial"/>
          <w:szCs w:val="24"/>
        </w:rPr>
      </w:pPr>
    </w:p>
    <w:p w14:paraId="76A4BE1E" w14:textId="77777777" w:rsidR="007045C3" w:rsidRPr="00701F32" w:rsidRDefault="007045C3" w:rsidP="007045C3">
      <w:pPr>
        <w:pStyle w:val="Ttuloprincipal"/>
        <w:jc w:val="left"/>
        <w:rPr>
          <w:rFonts w:ascii="Arial" w:hAnsi="Arial" w:cs="Arial"/>
          <w:szCs w:val="24"/>
        </w:rPr>
      </w:pPr>
      <w:r w:rsidRPr="00701F32">
        <w:rPr>
          <w:rFonts w:ascii="Arial" w:hAnsi="Arial" w:cs="Arial"/>
          <w:szCs w:val="24"/>
        </w:rPr>
        <w:t>BANCO SUPERVIELLE S.A.</w:t>
      </w:r>
    </w:p>
    <w:p w14:paraId="291E7E0F" w14:textId="77777777" w:rsidR="007045C3" w:rsidRPr="00701F32" w:rsidRDefault="007045C3" w:rsidP="007045C3">
      <w:pPr>
        <w:pStyle w:val="Ttuloprincipal"/>
        <w:ind w:left="-120"/>
        <w:rPr>
          <w:rFonts w:ascii="Arial" w:hAnsi="Arial" w:cs="Arial"/>
          <w:szCs w:val="24"/>
        </w:rPr>
      </w:pPr>
    </w:p>
    <w:p w14:paraId="11D6D45A" w14:textId="77777777" w:rsidR="007045C3" w:rsidRPr="00701F32" w:rsidRDefault="007045C3" w:rsidP="007045C3">
      <w:pPr>
        <w:pStyle w:val="Ttuloprincipal"/>
        <w:ind w:left="-120"/>
        <w:jc w:val="left"/>
        <w:rPr>
          <w:rFonts w:ascii="Arial" w:hAnsi="Arial" w:cs="Arial"/>
          <w:szCs w:val="24"/>
        </w:rPr>
      </w:pPr>
    </w:p>
    <w:p w14:paraId="799D3E6F" w14:textId="77777777" w:rsidR="007045C3" w:rsidRPr="00701F32" w:rsidRDefault="007045C3" w:rsidP="007045C3">
      <w:pPr>
        <w:pStyle w:val="Ttuloprincipal"/>
        <w:ind w:left="-120"/>
        <w:jc w:val="left"/>
        <w:rPr>
          <w:rFonts w:ascii="Arial" w:hAnsi="Arial" w:cs="Arial"/>
          <w:szCs w:val="24"/>
        </w:rPr>
      </w:pPr>
      <w:r w:rsidRPr="00701F32">
        <w:rPr>
          <w:rFonts w:ascii="Arial" w:hAnsi="Arial" w:cs="Arial"/>
          <w:szCs w:val="24"/>
        </w:rPr>
        <w:t xml:space="preserve">Estados </w:t>
      </w:r>
      <w:r w:rsidR="00B0586C" w:rsidRPr="00701F32">
        <w:rPr>
          <w:rFonts w:ascii="Arial" w:hAnsi="Arial" w:cs="Arial"/>
          <w:szCs w:val="24"/>
        </w:rPr>
        <w:t>f</w:t>
      </w:r>
      <w:r w:rsidR="009D3B80" w:rsidRPr="00701F32">
        <w:rPr>
          <w:rFonts w:ascii="Arial" w:hAnsi="Arial" w:cs="Arial"/>
          <w:szCs w:val="24"/>
        </w:rPr>
        <w:t>i</w:t>
      </w:r>
      <w:r w:rsidR="0055495D" w:rsidRPr="00701F32">
        <w:rPr>
          <w:rFonts w:ascii="Arial" w:hAnsi="Arial" w:cs="Arial"/>
          <w:szCs w:val="24"/>
        </w:rPr>
        <w:t>n</w:t>
      </w:r>
      <w:r w:rsidR="009D3B80" w:rsidRPr="00701F32">
        <w:rPr>
          <w:rFonts w:ascii="Arial" w:hAnsi="Arial" w:cs="Arial"/>
          <w:szCs w:val="24"/>
        </w:rPr>
        <w:t xml:space="preserve">ancieros </w:t>
      </w:r>
      <w:r w:rsidR="00DC12EA" w:rsidRPr="00701F32">
        <w:rPr>
          <w:rFonts w:ascii="Arial" w:hAnsi="Arial" w:cs="Arial"/>
          <w:szCs w:val="24"/>
        </w:rPr>
        <w:t xml:space="preserve">condensados </w:t>
      </w:r>
      <w:r w:rsidR="00B0586C" w:rsidRPr="00701F32">
        <w:rPr>
          <w:rFonts w:ascii="Arial" w:hAnsi="Arial" w:cs="Arial"/>
          <w:szCs w:val="24"/>
        </w:rPr>
        <w:t>s</w:t>
      </w:r>
      <w:r w:rsidR="009D3B80" w:rsidRPr="00701F32">
        <w:rPr>
          <w:rFonts w:ascii="Arial" w:hAnsi="Arial" w:cs="Arial"/>
          <w:szCs w:val="24"/>
        </w:rPr>
        <w:t>eparados</w:t>
      </w:r>
      <w:r w:rsidR="0055495D" w:rsidRPr="00701F32">
        <w:rPr>
          <w:rFonts w:ascii="Arial" w:hAnsi="Arial" w:cs="Arial"/>
          <w:szCs w:val="24"/>
        </w:rPr>
        <w:t xml:space="preserve"> intermedios</w:t>
      </w:r>
    </w:p>
    <w:p w14:paraId="20711BF1" w14:textId="77777777" w:rsidR="007045C3" w:rsidRPr="00701F32" w:rsidRDefault="007045C3" w:rsidP="007045C3">
      <w:pPr>
        <w:pStyle w:val="Ttuloprincipal"/>
        <w:ind w:left="-120"/>
        <w:jc w:val="left"/>
        <w:rPr>
          <w:rFonts w:ascii="Arial" w:hAnsi="Arial" w:cs="Arial"/>
          <w:szCs w:val="24"/>
        </w:rPr>
      </w:pPr>
    </w:p>
    <w:p w14:paraId="2E49AA85" w14:textId="77777777" w:rsidR="007045C3" w:rsidRPr="00701F32" w:rsidRDefault="007045C3" w:rsidP="002C592B">
      <w:pPr>
        <w:pStyle w:val="Ttuloprincipal"/>
        <w:ind w:left="-120"/>
        <w:jc w:val="left"/>
        <w:rPr>
          <w:rFonts w:ascii="Arial" w:hAnsi="Arial" w:cs="Arial"/>
          <w:b w:val="0"/>
          <w:szCs w:val="24"/>
        </w:rPr>
      </w:pPr>
      <w:r w:rsidRPr="00701F32">
        <w:rPr>
          <w:rFonts w:ascii="Arial" w:hAnsi="Arial" w:cs="Arial"/>
          <w:b w:val="0"/>
          <w:szCs w:val="24"/>
        </w:rPr>
        <w:t>Cor</w:t>
      </w:r>
      <w:r w:rsidR="003171D7" w:rsidRPr="00701F32">
        <w:rPr>
          <w:rFonts w:ascii="Arial" w:hAnsi="Arial" w:cs="Arial"/>
          <w:b w:val="0"/>
          <w:szCs w:val="24"/>
        </w:rPr>
        <w:t>re</w:t>
      </w:r>
      <w:r w:rsidR="00C1317A" w:rsidRPr="00701F32">
        <w:rPr>
          <w:rFonts w:ascii="Arial" w:hAnsi="Arial" w:cs="Arial"/>
          <w:b w:val="0"/>
          <w:szCs w:val="24"/>
        </w:rPr>
        <w:t xml:space="preserve">spondientes al </w:t>
      </w:r>
      <w:r w:rsidR="00F242A6" w:rsidRPr="00701F32">
        <w:rPr>
          <w:rFonts w:ascii="Arial" w:hAnsi="Arial" w:cs="Arial"/>
          <w:b w:val="0"/>
          <w:szCs w:val="24"/>
        </w:rPr>
        <w:t xml:space="preserve">período de </w:t>
      </w:r>
      <w:r w:rsidR="00DC3957" w:rsidRPr="00701F32">
        <w:rPr>
          <w:rFonts w:ascii="Arial" w:hAnsi="Arial" w:cs="Arial"/>
          <w:b w:val="0"/>
          <w:szCs w:val="24"/>
        </w:rPr>
        <w:t>nueve</w:t>
      </w:r>
      <w:r w:rsidR="007D33D5" w:rsidRPr="00701F32">
        <w:rPr>
          <w:rFonts w:ascii="Arial" w:hAnsi="Arial" w:cs="Arial"/>
          <w:b w:val="0"/>
          <w:szCs w:val="24"/>
        </w:rPr>
        <w:t xml:space="preserve"> </w:t>
      </w:r>
      <w:r w:rsidR="002C592B" w:rsidRPr="00701F32">
        <w:rPr>
          <w:rFonts w:ascii="Arial" w:hAnsi="Arial" w:cs="Arial"/>
          <w:b w:val="0"/>
          <w:szCs w:val="24"/>
        </w:rPr>
        <w:t xml:space="preserve">meses </w:t>
      </w:r>
      <w:r w:rsidRPr="00701F32">
        <w:rPr>
          <w:rFonts w:ascii="Arial" w:hAnsi="Arial" w:cs="Arial"/>
          <w:b w:val="0"/>
          <w:szCs w:val="24"/>
        </w:rPr>
        <w:t xml:space="preserve">finalizado el </w:t>
      </w:r>
    </w:p>
    <w:p w14:paraId="5B1F6C1C" w14:textId="77777777" w:rsidR="000D1F5D" w:rsidRPr="00701F32" w:rsidRDefault="00102455" w:rsidP="007E1BCD">
      <w:pPr>
        <w:pStyle w:val="Ttuloprincipal"/>
        <w:ind w:left="-120"/>
        <w:jc w:val="left"/>
        <w:rPr>
          <w:rFonts w:ascii="Arial" w:hAnsi="Arial" w:cs="Arial"/>
          <w:b w:val="0"/>
          <w:szCs w:val="24"/>
        </w:rPr>
        <w:sectPr w:rsidR="000D1F5D" w:rsidRPr="00701F32" w:rsidSect="005B295D">
          <w:headerReference w:type="even" r:id="rId56"/>
          <w:headerReference w:type="default" r:id="rId57"/>
          <w:footerReference w:type="default" r:id="rId58"/>
          <w:headerReference w:type="first" r:id="rId59"/>
          <w:pgSz w:w="11907" w:h="16839" w:code="9"/>
          <w:pgMar w:top="1418" w:right="1701" w:bottom="1418" w:left="1701" w:header="680" w:footer="720" w:gutter="0"/>
          <w:paperSrc w:first="256" w:other="256"/>
          <w:cols w:space="720"/>
          <w:docGrid w:linePitch="326"/>
        </w:sectPr>
      </w:pPr>
      <w:r w:rsidRPr="00701F32">
        <w:rPr>
          <w:rFonts w:ascii="Arial" w:hAnsi="Arial" w:cs="Arial"/>
          <w:b w:val="0"/>
          <w:szCs w:val="24"/>
        </w:rPr>
        <w:t>3</w:t>
      </w:r>
      <w:r w:rsidR="007D33D5" w:rsidRPr="00701F32">
        <w:rPr>
          <w:rFonts w:ascii="Arial" w:hAnsi="Arial" w:cs="Arial"/>
          <w:b w:val="0"/>
          <w:szCs w:val="24"/>
        </w:rPr>
        <w:t>0</w:t>
      </w:r>
      <w:r w:rsidR="00E66C22" w:rsidRPr="00701F32">
        <w:rPr>
          <w:rFonts w:ascii="Arial" w:hAnsi="Arial" w:cs="Arial"/>
          <w:b w:val="0"/>
          <w:szCs w:val="24"/>
        </w:rPr>
        <w:t xml:space="preserve"> </w:t>
      </w:r>
      <w:r w:rsidR="008E7DBB" w:rsidRPr="00701F32">
        <w:rPr>
          <w:rFonts w:ascii="Arial" w:hAnsi="Arial" w:cs="Arial"/>
          <w:b w:val="0"/>
          <w:szCs w:val="24"/>
        </w:rPr>
        <w:t xml:space="preserve">de </w:t>
      </w:r>
      <w:r w:rsidR="00DC3957" w:rsidRPr="00701F32">
        <w:rPr>
          <w:rFonts w:ascii="Arial" w:hAnsi="Arial" w:cs="Arial"/>
          <w:b w:val="0"/>
          <w:szCs w:val="24"/>
        </w:rPr>
        <w:t>septiembre</w:t>
      </w:r>
      <w:r w:rsidR="007D33D5" w:rsidRPr="00701F32">
        <w:rPr>
          <w:rFonts w:ascii="Arial" w:hAnsi="Arial" w:cs="Arial"/>
          <w:b w:val="0"/>
          <w:szCs w:val="24"/>
        </w:rPr>
        <w:t xml:space="preserve"> </w:t>
      </w:r>
      <w:r w:rsidR="00EC3DC5" w:rsidRPr="00701F32">
        <w:rPr>
          <w:rFonts w:ascii="Arial" w:hAnsi="Arial" w:cs="Arial"/>
          <w:b w:val="0"/>
          <w:szCs w:val="24"/>
        </w:rPr>
        <w:t>de 201</w:t>
      </w:r>
      <w:r w:rsidR="009D3B80" w:rsidRPr="00701F32">
        <w:rPr>
          <w:rFonts w:ascii="Arial" w:hAnsi="Arial" w:cs="Arial"/>
          <w:b w:val="0"/>
          <w:szCs w:val="24"/>
        </w:rPr>
        <w:t>8</w:t>
      </w:r>
      <w:r w:rsidR="007045C3" w:rsidRPr="00701F32">
        <w:rPr>
          <w:rFonts w:ascii="Arial" w:hAnsi="Arial" w:cs="Arial"/>
          <w:b w:val="0"/>
          <w:szCs w:val="24"/>
        </w:rPr>
        <w:t xml:space="preserve">, </w:t>
      </w:r>
      <w:r w:rsidR="008E7DBB" w:rsidRPr="00701F32">
        <w:rPr>
          <w:rFonts w:ascii="Arial" w:hAnsi="Arial" w:cs="Arial"/>
          <w:b w:val="0"/>
          <w:szCs w:val="24"/>
        </w:rPr>
        <w:t>presentados en forma comparativa</w:t>
      </w:r>
    </w:p>
    <w:p w14:paraId="5F834610" w14:textId="45095CC0" w:rsidR="00EC2B51" w:rsidRPr="00701F32" w:rsidRDefault="007A4B5A">
      <w:pPr>
        <w:pStyle w:val="Encabezado"/>
        <w:jc w:val="center"/>
        <w:rPr>
          <w:sz w:val="20"/>
          <w:lang w:eastAsia="es-AR"/>
        </w:rPr>
      </w:pPr>
      <w:r w:rsidRPr="00701F32">
        <w:rPr>
          <w:sz w:val="20"/>
          <w:lang w:eastAsia="es-AR"/>
        </w:rPr>
        <w:t xml:space="preserve"> </w:t>
      </w:r>
      <w:r w:rsidR="00A70353" w:rsidRPr="00701F32">
        <w:rPr>
          <w:sz w:val="20"/>
          <w:lang w:eastAsia="es-AR"/>
        </w:rPr>
        <w:t xml:space="preserve"> </w:t>
      </w:r>
      <w:r w:rsidR="00570E0D" w:rsidRPr="00701F32">
        <w:rPr>
          <w:noProof/>
          <w:lang w:eastAsia="es-AR"/>
        </w:rPr>
        <w:drawing>
          <wp:inline distT="0" distB="0" distL="0" distR="0" wp14:anchorId="7F06C88E" wp14:editId="19CD0F06">
            <wp:extent cx="5400675" cy="512118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5121188"/>
                    </a:xfrm>
                    <a:prstGeom prst="rect">
                      <a:avLst/>
                    </a:prstGeom>
                    <a:noFill/>
                    <a:ln>
                      <a:noFill/>
                    </a:ln>
                  </pic:spPr>
                </pic:pic>
              </a:graphicData>
            </a:graphic>
          </wp:inline>
        </w:drawing>
      </w:r>
      <w:r w:rsidR="002B2055" w:rsidRPr="00701F32">
        <w:rPr>
          <w:sz w:val="20"/>
          <w:lang w:eastAsia="es-AR"/>
        </w:rPr>
        <w:t xml:space="preserve"> </w:t>
      </w:r>
      <w:r w:rsidR="00570E0D" w:rsidRPr="00701F32">
        <w:rPr>
          <w:noProof/>
          <w:lang w:eastAsia="es-AR"/>
        </w:rPr>
        <w:drawing>
          <wp:inline distT="0" distB="0" distL="0" distR="0" wp14:anchorId="2FAA9D4C" wp14:editId="51A1AA42">
            <wp:extent cx="5400675" cy="593674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5936742"/>
                    </a:xfrm>
                    <a:prstGeom prst="rect">
                      <a:avLst/>
                    </a:prstGeom>
                    <a:noFill/>
                    <a:ln>
                      <a:noFill/>
                    </a:ln>
                  </pic:spPr>
                </pic:pic>
              </a:graphicData>
            </a:graphic>
          </wp:inline>
        </w:drawing>
      </w:r>
    </w:p>
    <w:p w14:paraId="4A23B020" w14:textId="77777777" w:rsidR="00D24C22" w:rsidRPr="00701F32" w:rsidRDefault="00D24C22" w:rsidP="00FB4E04">
      <w:pPr>
        <w:pStyle w:val="Encabezado"/>
        <w:rPr>
          <w:rFonts w:ascii="Arial" w:hAnsi="Arial" w:cs="Arial"/>
          <w:b/>
          <w:szCs w:val="24"/>
          <w:lang w:val="es-ES_tradnl"/>
        </w:rPr>
      </w:pPr>
    </w:p>
    <w:p w14:paraId="56288D12" w14:textId="77777777" w:rsidR="00D24C22" w:rsidRPr="00701F32" w:rsidRDefault="00D24C22" w:rsidP="00FB4E04">
      <w:pPr>
        <w:pStyle w:val="Encabezado"/>
        <w:rPr>
          <w:rFonts w:ascii="Arial" w:hAnsi="Arial" w:cs="Arial"/>
          <w:b/>
          <w:szCs w:val="24"/>
          <w:lang w:val="es-ES_tradnl"/>
        </w:rPr>
      </w:pPr>
    </w:p>
    <w:p w14:paraId="6CB8D662" w14:textId="77777777" w:rsidR="00D24C22" w:rsidRPr="00701F32" w:rsidRDefault="007A4B5A" w:rsidP="00FB4E04">
      <w:pPr>
        <w:pStyle w:val="Encabezado"/>
        <w:rPr>
          <w:rFonts w:ascii="Arial" w:hAnsi="Arial" w:cs="Arial"/>
          <w:b/>
          <w:szCs w:val="24"/>
          <w:lang w:val="es-ES_tradnl"/>
        </w:rPr>
      </w:pPr>
      <w:r w:rsidRPr="00701F32">
        <w:rPr>
          <w:rFonts w:ascii="Arial" w:hAnsi="Arial" w:cs="Arial"/>
          <w:b/>
          <w:szCs w:val="24"/>
          <w:lang w:val="es-ES_tradnl"/>
        </w:rPr>
        <w:t xml:space="preserve"> </w:t>
      </w:r>
    </w:p>
    <w:p w14:paraId="0A056E8F" w14:textId="77777777" w:rsidR="005C2DE7" w:rsidRPr="00701F32" w:rsidRDefault="005C2DE7" w:rsidP="00164DE9">
      <w:pPr>
        <w:rPr>
          <w:rFonts w:ascii="Arial" w:hAnsi="Arial" w:cs="Arial"/>
          <w:b/>
          <w:szCs w:val="24"/>
          <w:lang w:val="es-ES_tradnl"/>
        </w:rPr>
        <w:sectPr w:rsidR="005C2DE7" w:rsidRPr="00701F32" w:rsidSect="00444CFF">
          <w:headerReference w:type="default" r:id="rId62"/>
          <w:footerReference w:type="default" r:id="rId63"/>
          <w:pgSz w:w="11907" w:h="16839" w:code="9"/>
          <w:pgMar w:top="1418" w:right="1701" w:bottom="1418" w:left="1701" w:header="680" w:footer="0" w:gutter="0"/>
          <w:paperSrc w:first="256" w:other="256"/>
          <w:cols w:space="720"/>
          <w:docGrid w:linePitch="326"/>
        </w:sectPr>
      </w:pPr>
    </w:p>
    <w:p w14:paraId="0D6F084B" w14:textId="0497A535" w:rsidR="00BA1EB9" w:rsidRPr="00701F32" w:rsidRDefault="00BA1EB9" w:rsidP="0086282C">
      <w:pPr>
        <w:tabs>
          <w:tab w:val="left" w:pos="1365"/>
        </w:tabs>
        <w:jc w:val="center"/>
        <w:rPr>
          <w:sz w:val="20"/>
          <w:lang w:eastAsia="es-AR"/>
        </w:rPr>
      </w:pPr>
    </w:p>
    <w:p w14:paraId="779DDC64" w14:textId="25AC9703" w:rsidR="00BA1EB9" w:rsidRPr="00701F32" w:rsidRDefault="001C6B13" w:rsidP="0086282C">
      <w:pPr>
        <w:tabs>
          <w:tab w:val="left" w:pos="1365"/>
        </w:tabs>
        <w:jc w:val="center"/>
        <w:rPr>
          <w:sz w:val="20"/>
          <w:lang w:eastAsia="es-AR"/>
        </w:rPr>
      </w:pPr>
      <w:r w:rsidRPr="00701F32">
        <w:rPr>
          <w:noProof/>
          <w:lang w:eastAsia="es-AR"/>
        </w:rPr>
        <w:drawing>
          <wp:anchor distT="0" distB="0" distL="114300" distR="114300" simplePos="0" relativeHeight="251673088" behindDoc="0" locked="0" layoutInCell="1" allowOverlap="1" wp14:anchorId="6D0A2110" wp14:editId="341A66E4">
            <wp:simplePos x="0" y="0"/>
            <wp:positionH relativeFrom="column">
              <wp:posOffset>-1905</wp:posOffset>
            </wp:positionH>
            <wp:positionV relativeFrom="paragraph">
              <wp:posOffset>1905</wp:posOffset>
            </wp:positionV>
            <wp:extent cx="5645150" cy="531368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5150" cy="531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CDC8A" w14:textId="77777777" w:rsidR="00287667" w:rsidRPr="00701F32" w:rsidRDefault="00287667" w:rsidP="0086282C">
      <w:pPr>
        <w:tabs>
          <w:tab w:val="left" w:pos="1365"/>
        </w:tabs>
        <w:jc w:val="center"/>
        <w:rPr>
          <w:sz w:val="20"/>
          <w:lang w:eastAsia="es-AR"/>
        </w:rPr>
      </w:pPr>
    </w:p>
    <w:p w14:paraId="0A58C856" w14:textId="77777777" w:rsidR="00BA1EB9" w:rsidRPr="00701F32" w:rsidRDefault="00BA1EB9" w:rsidP="0086282C">
      <w:pPr>
        <w:tabs>
          <w:tab w:val="left" w:pos="1365"/>
        </w:tabs>
        <w:jc w:val="center"/>
        <w:rPr>
          <w:sz w:val="20"/>
          <w:lang w:eastAsia="es-AR"/>
        </w:rPr>
      </w:pPr>
    </w:p>
    <w:p w14:paraId="0B0A3E1F" w14:textId="77777777" w:rsidR="00BA1EB9" w:rsidRPr="00701F32" w:rsidRDefault="00BA1EB9" w:rsidP="0086282C">
      <w:pPr>
        <w:tabs>
          <w:tab w:val="left" w:pos="1365"/>
        </w:tabs>
        <w:jc w:val="center"/>
        <w:rPr>
          <w:sz w:val="20"/>
          <w:lang w:eastAsia="es-AR"/>
        </w:rPr>
      </w:pPr>
    </w:p>
    <w:p w14:paraId="22FDEB8D" w14:textId="77777777" w:rsidR="00BA1EB9" w:rsidRPr="00701F32" w:rsidRDefault="00BA1EB9" w:rsidP="0086282C">
      <w:pPr>
        <w:tabs>
          <w:tab w:val="left" w:pos="1365"/>
        </w:tabs>
        <w:jc w:val="center"/>
        <w:rPr>
          <w:sz w:val="20"/>
          <w:lang w:eastAsia="es-AR"/>
        </w:rPr>
      </w:pPr>
    </w:p>
    <w:p w14:paraId="31C5251A" w14:textId="77777777" w:rsidR="00BA1EB9" w:rsidRPr="00701F32" w:rsidRDefault="00BA1EB9" w:rsidP="00E311C9">
      <w:pPr>
        <w:tabs>
          <w:tab w:val="left" w:pos="1365"/>
        </w:tabs>
        <w:rPr>
          <w:sz w:val="20"/>
          <w:lang w:eastAsia="es-AR"/>
        </w:rPr>
      </w:pPr>
    </w:p>
    <w:p w14:paraId="732D1F46" w14:textId="77777777" w:rsidR="00BA1EB9" w:rsidRPr="00701F32" w:rsidRDefault="00BA1EB9" w:rsidP="0086282C">
      <w:pPr>
        <w:tabs>
          <w:tab w:val="left" w:pos="1365"/>
        </w:tabs>
        <w:jc w:val="center"/>
        <w:rPr>
          <w:sz w:val="20"/>
          <w:lang w:eastAsia="es-AR"/>
        </w:rPr>
      </w:pPr>
    </w:p>
    <w:p w14:paraId="2515BB0D" w14:textId="77777777" w:rsidR="00BA1EB9" w:rsidRPr="00701F32" w:rsidRDefault="00BA1EB9" w:rsidP="0086282C">
      <w:pPr>
        <w:tabs>
          <w:tab w:val="left" w:pos="1365"/>
        </w:tabs>
        <w:jc w:val="center"/>
        <w:rPr>
          <w:sz w:val="20"/>
          <w:lang w:eastAsia="es-AR"/>
        </w:rPr>
      </w:pPr>
    </w:p>
    <w:p w14:paraId="4DB5B245" w14:textId="77777777" w:rsidR="00BA1EB9" w:rsidRPr="00701F32" w:rsidRDefault="00BA1EB9" w:rsidP="0086282C">
      <w:pPr>
        <w:tabs>
          <w:tab w:val="left" w:pos="1365"/>
        </w:tabs>
        <w:jc w:val="center"/>
        <w:rPr>
          <w:sz w:val="20"/>
          <w:lang w:eastAsia="es-AR"/>
        </w:rPr>
      </w:pPr>
    </w:p>
    <w:p w14:paraId="4E84E505" w14:textId="77777777" w:rsidR="00BA1EB9" w:rsidRPr="00701F32" w:rsidRDefault="00BA1EB9" w:rsidP="0086282C">
      <w:pPr>
        <w:tabs>
          <w:tab w:val="left" w:pos="1365"/>
        </w:tabs>
        <w:jc w:val="center"/>
        <w:rPr>
          <w:sz w:val="20"/>
          <w:lang w:eastAsia="es-AR"/>
        </w:rPr>
      </w:pPr>
    </w:p>
    <w:p w14:paraId="5B52D67E" w14:textId="77777777" w:rsidR="00BA1EB9" w:rsidRPr="00701F32" w:rsidRDefault="00BA1EB9" w:rsidP="0086282C">
      <w:pPr>
        <w:tabs>
          <w:tab w:val="left" w:pos="1365"/>
        </w:tabs>
        <w:jc w:val="center"/>
        <w:rPr>
          <w:sz w:val="20"/>
          <w:lang w:eastAsia="es-AR"/>
        </w:rPr>
      </w:pPr>
    </w:p>
    <w:p w14:paraId="13FB8C46" w14:textId="77777777" w:rsidR="00BA1EB9" w:rsidRPr="00701F32" w:rsidRDefault="00BA1EB9" w:rsidP="009919E0">
      <w:pPr>
        <w:tabs>
          <w:tab w:val="left" w:pos="1365"/>
        </w:tabs>
        <w:jc w:val="center"/>
        <w:rPr>
          <w:sz w:val="20"/>
          <w:lang w:eastAsia="es-AR"/>
        </w:rPr>
      </w:pPr>
    </w:p>
    <w:p w14:paraId="34410D82" w14:textId="77777777" w:rsidR="00BA1EB9" w:rsidRPr="00701F32" w:rsidRDefault="00BA1EB9" w:rsidP="009919E0">
      <w:pPr>
        <w:tabs>
          <w:tab w:val="left" w:pos="1365"/>
        </w:tabs>
        <w:jc w:val="center"/>
        <w:rPr>
          <w:sz w:val="20"/>
          <w:lang w:eastAsia="es-AR"/>
        </w:rPr>
      </w:pPr>
    </w:p>
    <w:p w14:paraId="3EAFF0EB" w14:textId="77777777" w:rsidR="00BA1EB9" w:rsidRPr="00701F32" w:rsidRDefault="00BA1EB9" w:rsidP="009919E0">
      <w:pPr>
        <w:tabs>
          <w:tab w:val="left" w:pos="1365"/>
        </w:tabs>
        <w:jc w:val="center"/>
        <w:rPr>
          <w:sz w:val="20"/>
          <w:lang w:eastAsia="es-AR"/>
        </w:rPr>
      </w:pPr>
    </w:p>
    <w:p w14:paraId="7EBA4627" w14:textId="77777777" w:rsidR="00BA1EB9" w:rsidRPr="00701F32" w:rsidRDefault="00BA1EB9" w:rsidP="009919E0">
      <w:pPr>
        <w:tabs>
          <w:tab w:val="left" w:pos="1365"/>
        </w:tabs>
        <w:jc w:val="center"/>
        <w:rPr>
          <w:sz w:val="20"/>
          <w:lang w:eastAsia="es-AR"/>
        </w:rPr>
      </w:pPr>
    </w:p>
    <w:p w14:paraId="4B223DC1" w14:textId="77777777" w:rsidR="00BA1EB9" w:rsidRPr="00701F32" w:rsidRDefault="00BA1EB9" w:rsidP="009919E0">
      <w:pPr>
        <w:tabs>
          <w:tab w:val="left" w:pos="1365"/>
        </w:tabs>
        <w:jc w:val="center"/>
        <w:rPr>
          <w:sz w:val="20"/>
          <w:lang w:eastAsia="es-AR"/>
        </w:rPr>
        <w:sectPr w:rsidR="00BA1EB9" w:rsidRPr="00701F32" w:rsidSect="007045C3">
          <w:headerReference w:type="default" r:id="rId65"/>
          <w:pgSz w:w="11907" w:h="16839" w:code="9"/>
          <w:pgMar w:top="1418" w:right="1701" w:bottom="1418" w:left="1701" w:header="567" w:footer="0" w:gutter="0"/>
          <w:paperSrc w:first="256" w:other="256"/>
          <w:cols w:space="720"/>
          <w:docGrid w:linePitch="326"/>
        </w:sectPr>
      </w:pPr>
    </w:p>
    <w:p w14:paraId="7BA7EB0D" w14:textId="77777777" w:rsidR="00287667" w:rsidRPr="00701F32" w:rsidRDefault="00287667" w:rsidP="00287667">
      <w:pPr>
        <w:tabs>
          <w:tab w:val="left" w:pos="1365"/>
        </w:tabs>
        <w:rPr>
          <w:sz w:val="20"/>
          <w:lang w:eastAsia="es-AR"/>
        </w:rPr>
      </w:pPr>
    </w:p>
    <w:p w14:paraId="73F15F09" w14:textId="566542FD" w:rsidR="00F55C3D" w:rsidRPr="00701F32" w:rsidRDefault="00F55C3D" w:rsidP="005C2DE7">
      <w:pPr>
        <w:tabs>
          <w:tab w:val="left" w:pos="1365"/>
        </w:tabs>
        <w:rPr>
          <w:lang w:val="es-ES_tradnl"/>
        </w:rPr>
      </w:pPr>
    </w:p>
    <w:p w14:paraId="0DD7CC4A" w14:textId="23C4A509" w:rsidR="00F55C3D" w:rsidRPr="00701F32" w:rsidRDefault="007D2FF4" w:rsidP="005C2DE7">
      <w:pPr>
        <w:tabs>
          <w:tab w:val="left" w:pos="1365"/>
        </w:tabs>
        <w:rPr>
          <w:lang w:val="es-ES_tradnl"/>
        </w:rPr>
        <w:sectPr w:rsidR="00F55C3D" w:rsidRPr="00701F32" w:rsidSect="007045C3">
          <w:headerReference w:type="default" r:id="rId66"/>
          <w:pgSz w:w="11907" w:h="16839" w:code="9"/>
          <w:pgMar w:top="1418" w:right="1701" w:bottom="1418" w:left="1701" w:header="567" w:footer="0" w:gutter="0"/>
          <w:paperSrc w:first="256" w:other="256"/>
          <w:cols w:space="720"/>
          <w:docGrid w:linePitch="326"/>
        </w:sectPr>
      </w:pPr>
      <w:r w:rsidRPr="00701F32">
        <w:rPr>
          <w:noProof/>
          <w:lang w:eastAsia="es-AR"/>
        </w:rPr>
        <w:drawing>
          <wp:inline distT="0" distB="0" distL="0" distR="0" wp14:anchorId="22DFEBD2" wp14:editId="23CE3820">
            <wp:extent cx="5400675" cy="372948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3729487"/>
                    </a:xfrm>
                    <a:prstGeom prst="rect">
                      <a:avLst/>
                    </a:prstGeom>
                    <a:noFill/>
                    <a:ln>
                      <a:noFill/>
                    </a:ln>
                  </pic:spPr>
                </pic:pic>
              </a:graphicData>
            </a:graphic>
          </wp:inline>
        </w:drawing>
      </w:r>
    </w:p>
    <w:p w14:paraId="2AC4FBA4" w14:textId="77777777" w:rsidR="00343F2B" w:rsidRPr="00701F32" w:rsidRDefault="00343F2B" w:rsidP="005C2DE7">
      <w:pPr>
        <w:tabs>
          <w:tab w:val="left" w:pos="1365"/>
        </w:tabs>
        <w:rPr>
          <w:lang w:val="es-ES_tradnl"/>
        </w:rPr>
      </w:pPr>
    </w:p>
    <w:p w14:paraId="61F6845D" w14:textId="77777777" w:rsidR="00F55C3D" w:rsidRPr="00701F32" w:rsidRDefault="00F55C3D" w:rsidP="005C2DE7">
      <w:pPr>
        <w:tabs>
          <w:tab w:val="left" w:pos="1365"/>
        </w:tabs>
        <w:rPr>
          <w:lang w:val="es-ES_tradnl"/>
        </w:rPr>
      </w:pPr>
    </w:p>
    <w:p w14:paraId="4940D00E" w14:textId="4BFF7435" w:rsidR="00F55C3D" w:rsidRPr="00701F32" w:rsidRDefault="001C6B13" w:rsidP="005C2DE7">
      <w:pPr>
        <w:tabs>
          <w:tab w:val="left" w:pos="1365"/>
        </w:tabs>
        <w:rPr>
          <w:lang w:val="es-ES_tradnl"/>
        </w:rPr>
        <w:sectPr w:rsidR="00F55C3D" w:rsidRPr="00701F32" w:rsidSect="007045C3">
          <w:headerReference w:type="default" r:id="rId68"/>
          <w:pgSz w:w="11907" w:h="16839" w:code="9"/>
          <w:pgMar w:top="1418" w:right="1701" w:bottom="1418" w:left="1701" w:header="567" w:footer="0" w:gutter="0"/>
          <w:paperSrc w:first="256" w:other="256"/>
          <w:cols w:space="720"/>
          <w:docGrid w:linePitch="326"/>
        </w:sectPr>
      </w:pPr>
      <w:r w:rsidRPr="00701F32">
        <w:rPr>
          <w:noProof/>
          <w:lang w:eastAsia="es-AR"/>
        </w:rPr>
        <w:drawing>
          <wp:inline distT="0" distB="0" distL="0" distR="0" wp14:anchorId="694888B2" wp14:editId="70AB490E">
            <wp:extent cx="5400675" cy="566184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5661843"/>
                    </a:xfrm>
                    <a:prstGeom prst="rect">
                      <a:avLst/>
                    </a:prstGeom>
                    <a:noFill/>
                    <a:ln>
                      <a:noFill/>
                    </a:ln>
                  </pic:spPr>
                </pic:pic>
              </a:graphicData>
            </a:graphic>
          </wp:inline>
        </w:drawing>
      </w:r>
    </w:p>
    <w:p w14:paraId="567A94FB" w14:textId="2AEB5134" w:rsidR="002669F4" w:rsidRPr="00701F32" w:rsidRDefault="007D2FF4" w:rsidP="00701F32">
      <w:pPr>
        <w:tabs>
          <w:tab w:val="left" w:pos="1365"/>
        </w:tabs>
        <w:jc w:val="center"/>
        <w:rPr>
          <w:lang w:val="es-ES_tradnl"/>
        </w:rPr>
      </w:pPr>
      <w:r w:rsidRPr="00701F32">
        <w:rPr>
          <w:noProof/>
          <w:lang w:eastAsia="es-AR"/>
        </w:rPr>
        <w:drawing>
          <wp:inline distT="0" distB="0" distL="0" distR="0" wp14:anchorId="15AF100C" wp14:editId="49C7167A">
            <wp:extent cx="7477125" cy="354982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7071" cy="3554549"/>
                    </a:xfrm>
                    <a:prstGeom prst="rect">
                      <a:avLst/>
                    </a:prstGeom>
                    <a:noFill/>
                    <a:ln>
                      <a:noFill/>
                    </a:ln>
                  </pic:spPr>
                </pic:pic>
              </a:graphicData>
            </a:graphic>
          </wp:inline>
        </w:drawing>
      </w:r>
    </w:p>
    <w:p w14:paraId="37B2509A" w14:textId="502110C1" w:rsidR="00343F2B" w:rsidRPr="00701F32" w:rsidRDefault="008C6B0B" w:rsidP="00701F32">
      <w:pPr>
        <w:tabs>
          <w:tab w:val="left" w:pos="1365"/>
        </w:tabs>
        <w:jc w:val="center"/>
        <w:rPr>
          <w:lang w:val="es-ES_tradnl"/>
        </w:rPr>
      </w:pPr>
      <w:r w:rsidRPr="00701F32">
        <w:rPr>
          <w:noProof/>
          <w:lang w:eastAsia="es-AR"/>
        </w:rPr>
        <w:drawing>
          <wp:inline distT="0" distB="0" distL="0" distR="0" wp14:anchorId="5BD77628" wp14:editId="56BF7048">
            <wp:extent cx="8090320" cy="353683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12566" cy="3546555"/>
                    </a:xfrm>
                    <a:prstGeom prst="rect">
                      <a:avLst/>
                    </a:prstGeom>
                    <a:noFill/>
                    <a:ln>
                      <a:noFill/>
                    </a:ln>
                  </pic:spPr>
                </pic:pic>
              </a:graphicData>
            </a:graphic>
          </wp:inline>
        </w:drawing>
      </w:r>
    </w:p>
    <w:p w14:paraId="4ECB019B" w14:textId="77777777" w:rsidR="00343F2B" w:rsidRPr="00701F32" w:rsidRDefault="00343F2B" w:rsidP="005C2DE7">
      <w:pPr>
        <w:tabs>
          <w:tab w:val="left" w:pos="1365"/>
        </w:tabs>
        <w:rPr>
          <w:lang w:val="es-ES_tradnl"/>
        </w:rPr>
        <w:sectPr w:rsidR="00343F2B" w:rsidRPr="00701F32" w:rsidSect="00D26299">
          <w:headerReference w:type="default" r:id="rId72"/>
          <w:pgSz w:w="16839" w:h="11907" w:orient="landscape" w:code="9"/>
          <w:pgMar w:top="1701" w:right="1418" w:bottom="1701" w:left="1418" w:header="567" w:footer="0" w:gutter="0"/>
          <w:paperSrc w:first="256" w:other="256"/>
          <w:cols w:space="720"/>
          <w:docGrid w:linePitch="326"/>
        </w:sectPr>
      </w:pPr>
    </w:p>
    <w:p w14:paraId="5D097318" w14:textId="77777777" w:rsidR="00122BCE" w:rsidRPr="00701F32" w:rsidRDefault="00122BCE" w:rsidP="005C2DE7">
      <w:pPr>
        <w:tabs>
          <w:tab w:val="left" w:pos="1365"/>
        </w:tabs>
        <w:rPr>
          <w:sz w:val="20"/>
          <w:lang w:eastAsia="es-AR"/>
        </w:rPr>
      </w:pPr>
    </w:p>
    <w:p w14:paraId="4E914D1D" w14:textId="7CA5975A" w:rsidR="00D26299" w:rsidRPr="00701F32" w:rsidRDefault="008D71A1" w:rsidP="005C2DE7">
      <w:pPr>
        <w:tabs>
          <w:tab w:val="left" w:pos="1365"/>
        </w:tabs>
        <w:rPr>
          <w:sz w:val="20"/>
          <w:lang w:eastAsia="es-AR"/>
        </w:rPr>
      </w:pPr>
      <w:r w:rsidRPr="00701F32">
        <w:rPr>
          <w:sz w:val="20"/>
          <w:lang w:eastAsia="es-AR"/>
        </w:rPr>
        <w:t xml:space="preserve"> </w:t>
      </w:r>
      <w:r w:rsidR="00331719" w:rsidRPr="00701F32">
        <w:rPr>
          <w:noProof/>
          <w:lang w:eastAsia="es-AR"/>
        </w:rPr>
        <w:drawing>
          <wp:inline distT="0" distB="0" distL="0" distR="0" wp14:anchorId="07765106" wp14:editId="6C2BCE04">
            <wp:extent cx="5400675" cy="5940581"/>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5940581"/>
                    </a:xfrm>
                    <a:prstGeom prst="rect">
                      <a:avLst/>
                    </a:prstGeom>
                    <a:noFill/>
                    <a:ln>
                      <a:noFill/>
                    </a:ln>
                  </pic:spPr>
                </pic:pic>
              </a:graphicData>
            </a:graphic>
          </wp:inline>
        </w:drawing>
      </w:r>
    </w:p>
    <w:p w14:paraId="374832DE" w14:textId="79D2F26B" w:rsidR="007E64FE" w:rsidRPr="00701F32" w:rsidRDefault="000E48CB" w:rsidP="005C2DE7">
      <w:pPr>
        <w:tabs>
          <w:tab w:val="left" w:pos="1365"/>
        </w:tabs>
        <w:rPr>
          <w:sz w:val="20"/>
          <w:lang w:eastAsia="es-AR"/>
        </w:rPr>
      </w:pPr>
      <w:r w:rsidRPr="00701F32">
        <w:rPr>
          <w:sz w:val="20"/>
          <w:lang w:eastAsia="es-AR"/>
        </w:rPr>
        <w:t xml:space="preserve"> </w:t>
      </w:r>
      <w:r w:rsidR="008D71A1" w:rsidRPr="00701F32">
        <w:rPr>
          <w:sz w:val="20"/>
          <w:lang w:eastAsia="es-AR"/>
        </w:rPr>
        <w:t xml:space="preserve"> </w:t>
      </w:r>
      <w:r w:rsidR="006D48B0" w:rsidRPr="00701F32">
        <w:rPr>
          <w:noProof/>
          <w:lang w:eastAsia="es-AR"/>
        </w:rPr>
        <w:drawing>
          <wp:inline distT="0" distB="0" distL="0" distR="0" wp14:anchorId="60268D80" wp14:editId="110B20FC">
            <wp:extent cx="5400675" cy="628386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6283865"/>
                    </a:xfrm>
                    <a:prstGeom prst="rect">
                      <a:avLst/>
                    </a:prstGeom>
                    <a:noFill/>
                    <a:ln>
                      <a:noFill/>
                    </a:ln>
                  </pic:spPr>
                </pic:pic>
              </a:graphicData>
            </a:graphic>
          </wp:inline>
        </w:drawing>
      </w:r>
    </w:p>
    <w:p w14:paraId="67D4469D" w14:textId="77777777" w:rsidR="00A84C27" w:rsidRPr="00701F32" w:rsidRDefault="00A84C27" w:rsidP="005C2DE7">
      <w:pPr>
        <w:tabs>
          <w:tab w:val="left" w:pos="1365"/>
        </w:tabs>
        <w:rPr>
          <w:sz w:val="20"/>
          <w:lang w:eastAsia="es-AR"/>
        </w:rPr>
        <w:sectPr w:rsidR="00A84C27" w:rsidRPr="00701F32" w:rsidSect="007045C3">
          <w:headerReference w:type="default" r:id="rId75"/>
          <w:pgSz w:w="11907" w:h="16839" w:code="9"/>
          <w:pgMar w:top="1418" w:right="1701" w:bottom="1418" w:left="1701" w:header="567" w:footer="0" w:gutter="0"/>
          <w:paperSrc w:first="256" w:other="256"/>
          <w:cols w:space="720"/>
          <w:docGrid w:linePitch="326"/>
        </w:sectPr>
      </w:pPr>
    </w:p>
    <w:p w14:paraId="55A5D850" w14:textId="77777777" w:rsidR="00ED4402" w:rsidRPr="00701F32" w:rsidRDefault="00ED4402" w:rsidP="00ED4402">
      <w:pPr>
        <w:tabs>
          <w:tab w:val="left" w:pos="1365"/>
        </w:tabs>
        <w:rPr>
          <w:lang w:eastAsia="es-AR"/>
        </w:rPr>
      </w:pPr>
    </w:p>
    <w:p w14:paraId="566868C0" w14:textId="77777777" w:rsidR="00656E62" w:rsidRPr="00701F32" w:rsidRDefault="00656E62" w:rsidP="00656E62">
      <w:pPr>
        <w:spacing w:after="160" w:line="259" w:lineRule="auto"/>
        <w:jc w:val="both"/>
        <w:rPr>
          <w:rFonts w:ascii="Arial" w:eastAsia="Calibri" w:hAnsi="Arial" w:cs="Arial"/>
          <w:b/>
          <w:color w:val="C45911"/>
          <w:sz w:val="20"/>
        </w:rPr>
      </w:pPr>
      <w:r w:rsidRPr="00701F32">
        <w:rPr>
          <w:rFonts w:ascii="Arial" w:eastAsia="Calibri" w:hAnsi="Arial" w:cs="Arial"/>
          <w:b/>
          <w:sz w:val="20"/>
        </w:rPr>
        <w:t xml:space="preserve">1. </w:t>
      </w:r>
      <w:r w:rsidR="00D2026A" w:rsidRPr="00701F32">
        <w:rPr>
          <w:rFonts w:ascii="Arial" w:eastAsia="Calibri" w:hAnsi="Arial" w:cs="Arial"/>
          <w:b/>
          <w:sz w:val="20"/>
        </w:rPr>
        <w:t>NORMAS CONTABLES Y BASES DE PRESENTACION</w:t>
      </w:r>
      <w:r w:rsidRPr="00701F32">
        <w:rPr>
          <w:rFonts w:ascii="Arial" w:eastAsia="Calibri" w:hAnsi="Arial" w:cs="Arial"/>
          <w:b/>
          <w:sz w:val="20"/>
        </w:rPr>
        <w:t xml:space="preserve"> </w:t>
      </w:r>
    </w:p>
    <w:p w14:paraId="7E8778F8"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Banco Supervielle S.A (en adelante, “el Banco”), es una entidad financiera comprendida dentro de la Ley N° 21.526 de Entidades Financieras sujeta a las disposiciones del Banco Central de la República Argentina (B.C.R.A.) como órgano regulador de entidades financieras. </w:t>
      </w:r>
    </w:p>
    <w:p w14:paraId="2E38BF86" w14:textId="77777777" w:rsidR="00656E62" w:rsidRPr="00701F32" w:rsidRDefault="00656E62" w:rsidP="00656E62">
      <w:pPr>
        <w:jc w:val="both"/>
        <w:rPr>
          <w:rFonts w:ascii="Arial" w:eastAsia="Calibri" w:hAnsi="Arial" w:cs="Arial"/>
          <w:sz w:val="20"/>
        </w:rPr>
      </w:pPr>
      <w:r w:rsidRPr="00701F32">
        <w:rPr>
          <w:rFonts w:ascii="Arial" w:eastAsia="Calibri" w:hAnsi="Arial" w:cs="Arial"/>
          <w:sz w:val="20"/>
        </w:rPr>
        <w:t>Adicionalmente el Banco se desempeña como Agente de Liquidación y Compensación en el marco de la Comisión Nacional de Valores (C.N.V.) por lo que se encuentra regulado por las disposiciones emanadas de la Ley 26.831 de Mercado de Capitales.</w:t>
      </w:r>
    </w:p>
    <w:p w14:paraId="52185437" w14:textId="77777777" w:rsidR="00656E62" w:rsidRPr="00701F32" w:rsidRDefault="00656E62" w:rsidP="00656E62">
      <w:pPr>
        <w:jc w:val="both"/>
        <w:rPr>
          <w:rFonts w:ascii="Arial" w:eastAsia="Calibri" w:hAnsi="Arial" w:cs="Arial"/>
          <w:sz w:val="20"/>
        </w:rPr>
      </w:pPr>
    </w:p>
    <w:p w14:paraId="0A63A856"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La Entidad opera como un banco universal y es una subsidiaria del Grupo Supervielle S.A. </w:t>
      </w:r>
    </w:p>
    <w:p w14:paraId="2C3DA35D"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Estos estados financieros condensados </w:t>
      </w:r>
      <w:r w:rsidR="00464C0F" w:rsidRPr="00701F32">
        <w:rPr>
          <w:rFonts w:ascii="Arial" w:eastAsia="Calibri" w:hAnsi="Arial" w:cs="Arial"/>
          <w:sz w:val="20"/>
        </w:rPr>
        <w:t>separados</w:t>
      </w:r>
      <w:r w:rsidRPr="00701F32">
        <w:rPr>
          <w:rFonts w:ascii="Arial" w:eastAsia="Calibri" w:hAnsi="Arial" w:cs="Arial"/>
          <w:sz w:val="20"/>
        </w:rPr>
        <w:t xml:space="preserve"> intermedios han sido aprobados por el Directorio de la Entidad en su reunión de fecha </w:t>
      </w:r>
      <w:r w:rsidR="00DC3957" w:rsidRPr="00701F32">
        <w:rPr>
          <w:rFonts w:ascii="Arial" w:eastAsia="Calibri" w:hAnsi="Arial" w:cs="Arial"/>
          <w:sz w:val="20"/>
        </w:rPr>
        <w:t xml:space="preserve">15 </w:t>
      </w:r>
      <w:r w:rsidRPr="00701F32">
        <w:rPr>
          <w:rFonts w:ascii="Arial" w:eastAsia="Calibri" w:hAnsi="Arial" w:cs="Arial"/>
          <w:sz w:val="20"/>
        </w:rPr>
        <w:t xml:space="preserve">de </w:t>
      </w:r>
      <w:r w:rsidR="00DC3957" w:rsidRPr="00701F32">
        <w:rPr>
          <w:rFonts w:ascii="Arial" w:eastAsia="Calibri" w:hAnsi="Arial" w:cs="Arial"/>
          <w:sz w:val="20"/>
        </w:rPr>
        <w:t xml:space="preserve">noviembre </w:t>
      </w:r>
      <w:r w:rsidRPr="00701F32">
        <w:rPr>
          <w:rFonts w:ascii="Arial" w:eastAsia="Calibri" w:hAnsi="Arial" w:cs="Arial"/>
          <w:sz w:val="20"/>
        </w:rPr>
        <w:t xml:space="preserve">de 2018. </w:t>
      </w:r>
    </w:p>
    <w:p w14:paraId="53B1027F" w14:textId="77777777" w:rsidR="00656E62" w:rsidRPr="00701F32" w:rsidRDefault="00656E62" w:rsidP="00656E62">
      <w:pPr>
        <w:spacing w:after="160" w:line="259" w:lineRule="auto"/>
        <w:jc w:val="both"/>
        <w:rPr>
          <w:rFonts w:ascii="Arial" w:eastAsia="Calibri" w:hAnsi="Arial" w:cs="Arial"/>
          <w:b/>
          <w:color w:val="C45911"/>
          <w:sz w:val="20"/>
        </w:rPr>
      </w:pPr>
      <w:r w:rsidRPr="00701F32">
        <w:rPr>
          <w:rFonts w:ascii="Arial" w:eastAsia="Calibri" w:hAnsi="Arial" w:cs="Arial"/>
          <w:b/>
          <w:sz w:val="20"/>
        </w:rPr>
        <w:t xml:space="preserve">1.1 Adopción de las NIIF </w:t>
      </w:r>
    </w:p>
    <w:p w14:paraId="48B9A890" w14:textId="74316148" w:rsidR="00656E62" w:rsidRPr="00701F32" w:rsidRDefault="00AB49A0" w:rsidP="00656E62">
      <w:pPr>
        <w:spacing w:after="160"/>
        <w:jc w:val="both"/>
        <w:rPr>
          <w:rFonts w:ascii="Arial" w:eastAsia="Arial" w:hAnsi="Arial" w:cs="Arial"/>
          <w:sz w:val="20"/>
        </w:rPr>
      </w:pPr>
      <w:r w:rsidRPr="00701F32">
        <w:rPr>
          <w:rFonts w:ascii="Arial" w:eastAsia="Arial" w:hAnsi="Arial" w:cs="Arial"/>
          <w:sz w:val="20"/>
        </w:rPr>
        <w:t>El Banco Central de la República Argentina (B.C.R.A.), a través de las Comunicaciones “A” 5541 y modificatorias, estableció el plan de convergencia hacia las Normas Internacionales de Información Financiera (NIIF) emitidas por el Consejo de Normas Internacionales de Información Financiera (IASB, por sus siglas en inglés) y las interpretaciones emitidas por el Comité de Interpretaciones de Normas Internacionales de Información Financiera (CINIIF), para las entidades bajo su supervisión, para los ejercicios iniciados a partir del 1 de enero de 2018, con excepción de la aplicación del punto 5.5 “Deterioro de valor” de la NIIF 9 “Instrumentos Financieros” y de la NIC 29 (que determina la obligatoriedad de reexpresión de estados financieros de acuerdo con lo detallado en nota 1.2.b) excluida por el B.C.R.A. de su marco contable. Se establece asimismo que las entidades deberán preparar sus estados financieros de apertura a partir del 1 de enero de 2017, para ser tomados como base comparativa del ejercicio iniciado el 1 de enero de 2018.</w:t>
      </w:r>
    </w:p>
    <w:p w14:paraId="158481C5" w14:textId="77777777" w:rsidR="00656E62" w:rsidRPr="00701F32" w:rsidRDefault="00656E62" w:rsidP="00656E62">
      <w:pPr>
        <w:spacing w:after="160"/>
        <w:jc w:val="both"/>
        <w:rPr>
          <w:rFonts w:ascii="Arial" w:eastAsia="Arial" w:hAnsi="Arial" w:cs="Arial"/>
          <w:sz w:val="20"/>
        </w:rPr>
      </w:pPr>
      <w:r w:rsidRPr="00701F32">
        <w:rPr>
          <w:rFonts w:ascii="Arial" w:eastAsia="Arial" w:hAnsi="Arial" w:cs="Arial"/>
          <w:sz w:val="20"/>
        </w:rPr>
        <w:t>Por su parte, con fecha 12 de enero de 2018, el B.C.R.A. publicó la Comunicación “A” 6430 por la cual se estableció que las Entidades Financieras deberán comenzar a aplicar las disposiciones en materia de Deterioro de Activos Financiero</w:t>
      </w:r>
      <w:r w:rsidR="008D71A1" w:rsidRPr="00701F32">
        <w:rPr>
          <w:rFonts w:ascii="Arial" w:eastAsia="Arial" w:hAnsi="Arial" w:cs="Arial"/>
          <w:sz w:val="20"/>
        </w:rPr>
        <w:t>s</w:t>
      </w:r>
      <w:r w:rsidRPr="00701F32">
        <w:rPr>
          <w:rFonts w:ascii="Arial" w:eastAsia="Arial" w:hAnsi="Arial" w:cs="Arial"/>
          <w:sz w:val="20"/>
        </w:rPr>
        <w:t xml:space="preserve"> contenidas en el punto 5.5 de la NIIF 9 a partir de los ejercicios iniciados el 1 de enero de 2020. Dicho modelo de deterioro de activos financieros establece un esquema de tres etapas que se basa en el cambio en la calidad crediticia de los activos financieros desde su reconocimiento inicial. Los activos se mueven a través de las tres etapas dependiendo de los cambios en el riesgo de crédito y las etapas dictan cómo una entidad mide las pérdidas por deterioro y aplica el método del interés efectivo-.</w:t>
      </w:r>
    </w:p>
    <w:p w14:paraId="177313CC" w14:textId="77777777" w:rsidR="00656E62" w:rsidRPr="00701F32" w:rsidRDefault="00656E62" w:rsidP="00656E62">
      <w:pPr>
        <w:numPr>
          <w:ilvl w:val="0"/>
          <w:numId w:val="49"/>
        </w:numPr>
        <w:spacing w:after="160"/>
        <w:contextualSpacing/>
        <w:jc w:val="both"/>
        <w:rPr>
          <w:rFonts w:ascii="Arial" w:eastAsia="Arial" w:hAnsi="Arial" w:cs="Arial"/>
          <w:sz w:val="20"/>
        </w:rPr>
      </w:pPr>
      <w:r w:rsidRPr="00701F32">
        <w:rPr>
          <w:rFonts w:ascii="Arial" w:eastAsia="Arial" w:hAnsi="Arial" w:cs="Arial"/>
          <w:sz w:val="20"/>
        </w:rPr>
        <w:t xml:space="preserve">La Etapa 1 incluye los instrumentos financieros que no han tenido un incremento significativo en el riesgo de crédito desde su reconocimiento inicial o que tienen un riesgo de crédito bajo a la fecha de presentación. Para estos instrumentos, se reconocen las pérdidas de crédito esperadas (PCE) por 12 meses y los ingresos por intereses se calculan sobre el importe bruto en libros del activo (es decir, sin deducción de la previsión por deterioro). Las PCE de 12 meses son las que resultan de eventos de default que son posibles dentro de los 12 meses posteriores a la fecha de presentación. </w:t>
      </w:r>
    </w:p>
    <w:p w14:paraId="34CB398C" w14:textId="77777777" w:rsidR="00656E62" w:rsidRPr="00701F32" w:rsidRDefault="00656E62" w:rsidP="00656E62">
      <w:pPr>
        <w:spacing w:after="160"/>
        <w:jc w:val="both"/>
        <w:rPr>
          <w:rFonts w:ascii="Arial" w:eastAsia="Arial" w:hAnsi="Arial" w:cs="Arial"/>
          <w:sz w:val="20"/>
        </w:rPr>
      </w:pPr>
    </w:p>
    <w:p w14:paraId="736B91CA" w14:textId="77777777" w:rsidR="00656E62" w:rsidRPr="00701F32" w:rsidRDefault="00656E62" w:rsidP="00656E62">
      <w:pPr>
        <w:numPr>
          <w:ilvl w:val="0"/>
          <w:numId w:val="49"/>
        </w:numPr>
        <w:spacing w:after="160"/>
        <w:contextualSpacing/>
        <w:jc w:val="both"/>
        <w:rPr>
          <w:rFonts w:ascii="Arial" w:eastAsia="Arial" w:hAnsi="Arial" w:cs="Arial"/>
          <w:sz w:val="20"/>
        </w:rPr>
      </w:pPr>
      <w:r w:rsidRPr="00701F32">
        <w:rPr>
          <w:rFonts w:ascii="Arial" w:eastAsia="Arial" w:hAnsi="Arial" w:cs="Arial"/>
          <w:sz w:val="20"/>
        </w:rPr>
        <w:t>La Etapa 2 incluye los instrumentos financieros que han tenido un incremento significativo en el riesgo de crédito desde su reconocimiento inicial (a menos que tengan un riesgo de crédito bajo en la fecha de presentación) pero que no tienen evidencia objetiva de deterioro. Para estas partidas, se reconocen las PCE en toda la vida del instrumento, pero los ingresos por intereses se calculan todavía sobre el importe bruto en libros del activo. Las PCE en toda la vida del instrumento es el valor presente de las pérdidas que surgirían como resultado de un default ocurrido en cualquier momento en toda la vida del instrumento. Es el promedio ponderado de la pérdida que se tendría en caso de existir un default utilizando la probabilidad de default como ponderador.</w:t>
      </w:r>
    </w:p>
    <w:p w14:paraId="00C4DBBC" w14:textId="77777777" w:rsidR="00656E62" w:rsidRPr="00701F32" w:rsidRDefault="00656E62" w:rsidP="00656E62">
      <w:pPr>
        <w:spacing w:after="160"/>
        <w:jc w:val="both"/>
        <w:rPr>
          <w:rFonts w:ascii="Arial" w:eastAsia="Arial" w:hAnsi="Arial" w:cs="Arial"/>
          <w:sz w:val="20"/>
        </w:rPr>
      </w:pPr>
    </w:p>
    <w:p w14:paraId="1B2E7DC3" w14:textId="77777777" w:rsidR="00656E62" w:rsidRPr="00701F32" w:rsidRDefault="00656E62" w:rsidP="00656E62">
      <w:pPr>
        <w:numPr>
          <w:ilvl w:val="0"/>
          <w:numId w:val="49"/>
        </w:numPr>
        <w:spacing w:after="160"/>
        <w:contextualSpacing/>
        <w:jc w:val="both"/>
        <w:rPr>
          <w:rFonts w:ascii="Arial" w:eastAsia="Arial" w:hAnsi="Arial" w:cs="Arial"/>
          <w:sz w:val="20"/>
        </w:rPr>
      </w:pPr>
      <w:r w:rsidRPr="00701F32">
        <w:rPr>
          <w:rFonts w:ascii="Arial" w:eastAsia="Arial" w:hAnsi="Arial" w:cs="Arial"/>
          <w:sz w:val="20"/>
        </w:rPr>
        <w:t>La Etapa 3 incluye activos financieros que tienen evidencia objetiva de deterioro a la fecha de presentación. Para estas partidas se reconocen las PCE en toda la vida del instrumento y los ingresos por intereses se calculan sobre el valor neto en libros (es decir, neto de la previsión por deterioro).</w:t>
      </w:r>
    </w:p>
    <w:p w14:paraId="619B59BC" w14:textId="77777777" w:rsidR="00656E62" w:rsidRPr="00701F32" w:rsidRDefault="00656E62" w:rsidP="00656E62">
      <w:pPr>
        <w:spacing w:after="160"/>
        <w:contextualSpacing/>
        <w:jc w:val="both"/>
        <w:rPr>
          <w:rFonts w:ascii="Arial" w:eastAsia="Arial" w:hAnsi="Arial" w:cs="Arial"/>
          <w:sz w:val="20"/>
        </w:rPr>
      </w:pPr>
    </w:p>
    <w:p w14:paraId="1FCE79F9" w14:textId="77777777" w:rsidR="00547255" w:rsidRPr="00701F32" w:rsidRDefault="00547255" w:rsidP="00547255">
      <w:pPr>
        <w:spacing w:after="160"/>
        <w:contextualSpacing/>
        <w:jc w:val="both"/>
        <w:rPr>
          <w:rFonts w:ascii="Arial" w:eastAsia="Arial" w:hAnsi="Arial" w:cs="Arial"/>
          <w:sz w:val="20"/>
        </w:rPr>
      </w:pPr>
      <w:r w:rsidRPr="00701F32">
        <w:rPr>
          <w:rFonts w:ascii="Arial" w:eastAsia="Arial" w:hAnsi="Arial" w:cs="Arial"/>
          <w:sz w:val="20"/>
        </w:rPr>
        <w:t>De acuerdo con la Comunicación "A" 6114 del B.C.R.A., la Entidad ha aplicado la normativa descripta en la nota 1.12 para el reconocimiento de pérdidas crediticias en los presentes estados financieros</w:t>
      </w:r>
    </w:p>
    <w:p w14:paraId="4F29FA35" w14:textId="77777777" w:rsidR="00547255" w:rsidRPr="00701F32" w:rsidRDefault="00547255" w:rsidP="00656E62">
      <w:pPr>
        <w:spacing w:after="160"/>
        <w:contextualSpacing/>
        <w:jc w:val="both"/>
        <w:rPr>
          <w:rFonts w:ascii="Arial" w:eastAsia="Arial" w:hAnsi="Arial" w:cs="Arial"/>
          <w:sz w:val="20"/>
        </w:rPr>
      </w:pPr>
    </w:p>
    <w:p w14:paraId="1870984D" w14:textId="77777777" w:rsidR="00656E62" w:rsidRPr="00701F32" w:rsidRDefault="00656E62" w:rsidP="00656E62">
      <w:pPr>
        <w:spacing w:after="160"/>
        <w:jc w:val="both"/>
        <w:rPr>
          <w:rFonts w:ascii="Arial" w:eastAsia="Arial" w:hAnsi="Arial" w:cs="Arial"/>
          <w:sz w:val="20"/>
        </w:rPr>
      </w:pPr>
      <w:r w:rsidRPr="00701F32">
        <w:rPr>
          <w:rFonts w:ascii="Arial" w:eastAsia="Arial" w:hAnsi="Arial" w:cs="Arial"/>
          <w:sz w:val="20"/>
        </w:rPr>
        <w:t xml:space="preserve">Los presentes estados financieros condensados </w:t>
      </w:r>
      <w:r w:rsidR="002A409C" w:rsidRPr="00701F32">
        <w:rPr>
          <w:rFonts w:ascii="Arial" w:eastAsia="Arial" w:hAnsi="Arial" w:cs="Arial"/>
          <w:sz w:val="20"/>
        </w:rPr>
        <w:t>separados</w:t>
      </w:r>
      <w:r w:rsidRPr="00701F32">
        <w:rPr>
          <w:rFonts w:ascii="Arial" w:eastAsia="Arial" w:hAnsi="Arial" w:cs="Arial"/>
          <w:sz w:val="20"/>
        </w:rPr>
        <w:t xml:space="preserve"> intermedios del Banco por el período de </w:t>
      </w:r>
      <w:r w:rsidR="00AC4467" w:rsidRPr="00701F32">
        <w:rPr>
          <w:rFonts w:ascii="Arial" w:eastAsia="Arial" w:hAnsi="Arial" w:cs="Arial"/>
          <w:sz w:val="20"/>
        </w:rPr>
        <w:t xml:space="preserve">nueve </w:t>
      </w:r>
      <w:r w:rsidRPr="00701F32">
        <w:rPr>
          <w:rFonts w:ascii="Arial" w:eastAsia="Arial" w:hAnsi="Arial" w:cs="Arial"/>
          <w:sz w:val="20"/>
        </w:rPr>
        <w:t xml:space="preserve">meses finalizado </w:t>
      </w:r>
      <w:r w:rsidR="00C778DB" w:rsidRPr="00701F32">
        <w:rPr>
          <w:rFonts w:ascii="Arial" w:eastAsia="Arial" w:hAnsi="Arial" w:cs="Arial"/>
          <w:sz w:val="20"/>
        </w:rPr>
        <w:t>el 3</w:t>
      </w:r>
      <w:r w:rsidR="00D03BB3" w:rsidRPr="00701F32">
        <w:rPr>
          <w:rFonts w:ascii="Arial" w:eastAsia="Arial" w:hAnsi="Arial" w:cs="Arial"/>
          <w:sz w:val="20"/>
        </w:rPr>
        <w:t>0</w:t>
      </w:r>
      <w:r w:rsidR="00C778DB" w:rsidRPr="00701F32">
        <w:rPr>
          <w:rFonts w:ascii="Arial" w:eastAsia="Arial" w:hAnsi="Arial" w:cs="Arial"/>
          <w:sz w:val="20"/>
        </w:rPr>
        <w:t xml:space="preserve"> de </w:t>
      </w:r>
      <w:r w:rsidR="00AC4467" w:rsidRPr="00701F32">
        <w:rPr>
          <w:rFonts w:ascii="Arial" w:eastAsia="Arial" w:hAnsi="Arial" w:cs="Arial"/>
          <w:sz w:val="20"/>
        </w:rPr>
        <w:t>septiembre</w:t>
      </w:r>
      <w:r w:rsidR="00D03BB3" w:rsidRPr="00701F32">
        <w:rPr>
          <w:rFonts w:ascii="Arial" w:eastAsia="Arial" w:hAnsi="Arial" w:cs="Arial"/>
          <w:sz w:val="20"/>
        </w:rPr>
        <w:t xml:space="preserve"> </w:t>
      </w:r>
      <w:r w:rsidR="00C778DB" w:rsidRPr="00701F32">
        <w:rPr>
          <w:rFonts w:ascii="Arial" w:eastAsia="Arial" w:hAnsi="Arial" w:cs="Arial"/>
          <w:sz w:val="20"/>
        </w:rPr>
        <w:t>de 2018</w:t>
      </w:r>
      <w:r w:rsidRPr="00701F32">
        <w:rPr>
          <w:rFonts w:ascii="Arial" w:eastAsia="Arial" w:hAnsi="Arial" w:cs="Arial"/>
          <w:sz w:val="20"/>
        </w:rPr>
        <w:t xml:space="preserve">, han sido preparados de conformidad con la NIC 34 “Información Financiera Intermedia” y la NIIF 1 “Aplicación por primera vez de las NIIF”. Los estados financieros condensados </w:t>
      </w:r>
      <w:r w:rsidR="003B1200" w:rsidRPr="00701F32">
        <w:rPr>
          <w:rFonts w:ascii="Arial" w:eastAsia="Arial" w:hAnsi="Arial" w:cs="Arial"/>
          <w:sz w:val="20"/>
        </w:rPr>
        <w:t xml:space="preserve">separados </w:t>
      </w:r>
      <w:r w:rsidRPr="00701F32">
        <w:rPr>
          <w:rFonts w:ascii="Arial" w:eastAsia="Arial" w:hAnsi="Arial" w:cs="Arial"/>
          <w:sz w:val="20"/>
        </w:rPr>
        <w:t xml:space="preserve">intermedios han sido preparados de acuerdo con las políticas que la Entidad espera adoptar en sus estados financieros </w:t>
      </w:r>
      <w:r w:rsidR="003B1200" w:rsidRPr="00701F32">
        <w:rPr>
          <w:rFonts w:ascii="Arial" w:eastAsia="Arial" w:hAnsi="Arial" w:cs="Arial"/>
          <w:sz w:val="20"/>
        </w:rPr>
        <w:t xml:space="preserve">separados </w:t>
      </w:r>
      <w:r w:rsidRPr="00701F32">
        <w:rPr>
          <w:rFonts w:ascii="Arial" w:eastAsia="Arial" w:hAnsi="Arial" w:cs="Arial"/>
          <w:sz w:val="20"/>
        </w:rPr>
        <w:t>anuales al 31 de diciembre de 2018.</w:t>
      </w:r>
    </w:p>
    <w:p w14:paraId="328F7BAB" w14:textId="77777777" w:rsidR="00656E62" w:rsidRPr="00701F32" w:rsidRDefault="00656E62" w:rsidP="00656E62">
      <w:pPr>
        <w:spacing w:after="160"/>
        <w:jc w:val="both"/>
        <w:rPr>
          <w:rFonts w:ascii="Arial" w:eastAsia="Arial" w:hAnsi="Arial" w:cs="Arial"/>
          <w:sz w:val="20"/>
        </w:rPr>
      </w:pPr>
      <w:r w:rsidRPr="00701F32">
        <w:rPr>
          <w:rFonts w:ascii="Arial" w:eastAsia="Arial" w:hAnsi="Arial" w:cs="Arial"/>
          <w:sz w:val="20"/>
        </w:rPr>
        <w:t>Las cifras comparativas y las correspondientes a la fecha de transición (1° de enero de 2017) han sido modificadas para reflejar los ajustes con el marco contable anterior.</w:t>
      </w:r>
    </w:p>
    <w:p w14:paraId="458823B7" w14:textId="77777777" w:rsidR="00656E62" w:rsidRPr="00701F32" w:rsidRDefault="00656E62" w:rsidP="00656E62">
      <w:pPr>
        <w:spacing w:after="160"/>
        <w:jc w:val="both"/>
        <w:rPr>
          <w:rFonts w:ascii="Arial" w:eastAsia="Arial" w:hAnsi="Arial" w:cs="Arial"/>
          <w:sz w:val="20"/>
        </w:rPr>
      </w:pPr>
      <w:r w:rsidRPr="00701F32">
        <w:rPr>
          <w:rFonts w:ascii="Arial" w:eastAsia="Arial" w:hAnsi="Arial" w:cs="Arial"/>
          <w:sz w:val="20"/>
        </w:rPr>
        <w:t>En Nota 2.1</w:t>
      </w:r>
      <w:r w:rsidRPr="00701F32">
        <w:rPr>
          <w:rFonts w:ascii="Arial" w:eastAsia="Arial" w:hAnsi="Arial" w:cs="Arial"/>
          <w:color w:val="FF0000"/>
          <w:sz w:val="20"/>
        </w:rPr>
        <w:t xml:space="preserve"> </w:t>
      </w:r>
      <w:r w:rsidRPr="00701F32">
        <w:rPr>
          <w:rFonts w:ascii="Arial" w:eastAsia="Arial" w:hAnsi="Arial" w:cs="Arial"/>
          <w:sz w:val="20"/>
        </w:rPr>
        <w:t xml:space="preserve">se presenta una conciliación entre las cifras del estado de situación financiera, estado de resultado integral y estado de otros resultados integrales correspondientes a los estados financieros condensados </w:t>
      </w:r>
      <w:r w:rsidR="002A409C" w:rsidRPr="00701F32">
        <w:rPr>
          <w:rFonts w:ascii="Arial" w:eastAsia="Arial" w:hAnsi="Arial" w:cs="Arial"/>
          <w:sz w:val="20"/>
        </w:rPr>
        <w:t>separados</w:t>
      </w:r>
      <w:r w:rsidRPr="00701F32">
        <w:rPr>
          <w:rFonts w:ascii="Arial" w:eastAsia="Arial" w:hAnsi="Arial" w:cs="Arial"/>
          <w:sz w:val="20"/>
        </w:rPr>
        <w:t xml:space="preserve"> intermedios emitidos de acuerdo con el Marco Contable anterior y las cifras presentadas de acuerdo con Marco Contable establecido por el B.C.R.A. en los presentes estados financieros condensados </w:t>
      </w:r>
      <w:r w:rsidR="002A409C" w:rsidRPr="00701F32">
        <w:rPr>
          <w:rFonts w:ascii="Arial" w:eastAsia="Arial" w:hAnsi="Arial" w:cs="Arial"/>
          <w:sz w:val="20"/>
        </w:rPr>
        <w:t>separados</w:t>
      </w:r>
      <w:r w:rsidRPr="00701F32">
        <w:rPr>
          <w:rFonts w:ascii="Arial" w:eastAsia="Arial" w:hAnsi="Arial" w:cs="Arial"/>
          <w:sz w:val="20"/>
        </w:rPr>
        <w:t xml:space="preserve"> intermedios a la fecha de transición (1° de enero de 2017) a la fecha de adopción (31 de diciembre de 2017) y a la fecha de cierre del período comparativo (3</w:t>
      </w:r>
      <w:r w:rsidR="00AF72E0" w:rsidRPr="00701F32">
        <w:rPr>
          <w:rFonts w:ascii="Arial" w:eastAsia="Arial" w:hAnsi="Arial" w:cs="Arial"/>
          <w:sz w:val="20"/>
        </w:rPr>
        <w:t>0</w:t>
      </w:r>
      <w:r w:rsidRPr="00701F32">
        <w:rPr>
          <w:rFonts w:ascii="Arial" w:eastAsia="Arial" w:hAnsi="Arial" w:cs="Arial"/>
          <w:sz w:val="20"/>
        </w:rPr>
        <w:t xml:space="preserve"> de </w:t>
      </w:r>
      <w:r w:rsidR="00DC3957" w:rsidRPr="00701F32">
        <w:rPr>
          <w:rFonts w:ascii="Arial" w:eastAsia="Arial" w:hAnsi="Arial" w:cs="Arial"/>
          <w:sz w:val="20"/>
        </w:rPr>
        <w:t>septiembre</w:t>
      </w:r>
      <w:r w:rsidRPr="00701F32">
        <w:rPr>
          <w:rFonts w:ascii="Arial" w:eastAsia="Arial" w:hAnsi="Arial" w:cs="Arial"/>
          <w:sz w:val="20"/>
        </w:rPr>
        <w:t xml:space="preserve"> de 2017).</w:t>
      </w:r>
    </w:p>
    <w:p w14:paraId="12CF0018" w14:textId="77777777" w:rsidR="00656E62" w:rsidRPr="00701F32" w:rsidRDefault="00656E62" w:rsidP="00656E62">
      <w:pPr>
        <w:spacing w:after="160"/>
        <w:jc w:val="both"/>
        <w:rPr>
          <w:rFonts w:ascii="Arial" w:eastAsia="Arial" w:hAnsi="Arial" w:cs="Arial"/>
          <w:sz w:val="20"/>
        </w:rPr>
      </w:pPr>
      <w:r w:rsidRPr="00701F32">
        <w:rPr>
          <w:rFonts w:ascii="Arial" w:eastAsia="Arial" w:hAnsi="Arial" w:cs="Arial"/>
          <w:sz w:val="20"/>
        </w:rPr>
        <w:t xml:space="preserve">Los presentes estados financieros condensados </w:t>
      </w:r>
      <w:r w:rsidR="002A409C" w:rsidRPr="00701F32">
        <w:rPr>
          <w:rFonts w:ascii="Arial" w:eastAsia="Arial" w:hAnsi="Arial" w:cs="Arial"/>
          <w:sz w:val="20"/>
        </w:rPr>
        <w:t>separados</w:t>
      </w:r>
      <w:r w:rsidRPr="00701F32">
        <w:rPr>
          <w:rFonts w:ascii="Arial" w:eastAsia="Arial" w:hAnsi="Arial" w:cs="Arial"/>
          <w:sz w:val="20"/>
        </w:rPr>
        <w:t xml:space="preserve"> intermedios deben ser leídos en conjunto con los estados contables anuales del Banco al 31 de diciembre de 2017 preparados de acuerdo con el </w:t>
      </w:r>
      <w:r w:rsidR="00C778DB" w:rsidRPr="00701F32">
        <w:rPr>
          <w:rFonts w:ascii="Arial" w:eastAsia="Arial" w:hAnsi="Arial" w:cs="Arial"/>
          <w:sz w:val="20"/>
        </w:rPr>
        <w:t>marco contable anterior</w:t>
      </w:r>
      <w:r w:rsidRPr="00701F32">
        <w:rPr>
          <w:rFonts w:ascii="Arial" w:eastAsia="Arial" w:hAnsi="Arial" w:cs="Arial"/>
          <w:sz w:val="20"/>
        </w:rPr>
        <w:t xml:space="preserve">. Adicionalmente, la Nota </w:t>
      </w:r>
      <w:r w:rsidR="00C778DB" w:rsidRPr="00701F32">
        <w:rPr>
          <w:rFonts w:ascii="Arial" w:eastAsia="Arial" w:hAnsi="Arial" w:cs="Arial"/>
          <w:sz w:val="20"/>
        </w:rPr>
        <w:t>17</w:t>
      </w:r>
      <w:r w:rsidR="00C778DB" w:rsidRPr="00701F32">
        <w:rPr>
          <w:rFonts w:ascii="Arial" w:eastAsia="Arial" w:hAnsi="Arial" w:cs="Arial"/>
          <w:color w:val="FF0000"/>
          <w:sz w:val="20"/>
        </w:rPr>
        <w:t xml:space="preserve"> </w:t>
      </w:r>
      <w:r w:rsidRPr="00701F32">
        <w:rPr>
          <w:rFonts w:ascii="Arial" w:eastAsia="Arial" w:hAnsi="Arial" w:cs="Arial"/>
          <w:sz w:val="20"/>
        </w:rPr>
        <w:t xml:space="preserve">incluida en los presentes estados financieros condensados </w:t>
      </w:r>
      <w:r w:rsidR="00575F20" w:rsidRPr="00701F32">
        <w:rPr>
          <w:rFonts w:ascii="Arial" w:eastAsia="Arial" w:hAnsi="Arial" w:cs="Arial"/>
          <w:sz w:val="20"/>
        </w:rPr>
        <w:t xml:space="preserve">separados </w:t>
      </w:r>
      <w:r w:rsidRPr="00701F32">
        <w:rPr>
          <w:rFonts w:ascii="Arial" w:eastAsia="Arial" w:hAnsi="Arial" w:cs="Arial"/>
          <w:sz w:val="20"/>
        </w:rPr>
        <w:t xml:space="preserve">intermedios presenta información bajo NIIF al 31 de diciembre de 2017 necesaria para el entendimiento de los presentes estados financieros condensados </w:t>
      </w:r>
      <w:r w:rsidR="003B1200" w:rsidRPr="00701F32">
        <w:rPr>
          <w:rFonts w:ascii="Arial" w:eastAsia="Arial" w:hAnsi="Arial" w:cs="Arial"/>
          <w:sz w:val="20"/>
        </w:rPr>
        <w:t xml:space="preserve">separados </w:t>
      </w:r>
      <w:r w:rsidRPr="00701F32">
        <w:rPr>
          <w:rFonts w:ascii="Arial" w:eastAsia="Arial" w:hAnsi="Arial" w:cs="Arial"/>
          <w:sz w:val="20"/>
        </w:rPr>
        <w:t>intermedios.</w:t>
      </w:r>
    </w:p>
    <w:p w14:paraId="2A435FAD" w14:textId="77777777" w:rsidR="00656E62" w:rsidRPr="00701F32" w:rsidRDefault="00656E62" w:rsidP="00656E62">
      <w:pPr>
        <w:spacing w:after="160"/>
        <w:jc w:val="both"/>
        <w:rPr>
          <w:rFonts w:ascii="Arial" w:eastAsia="Arial" w:hAnsi="Arial" w:cs="Arial"/>
          <w:b/>
          <w:sz w:val="20"/>
        </w:rPr>
      </w:pPr>
      <w:r w:rsidRPr="00701F32">
        <w:rPr>
          <w:rFonts w:ascii="Arial" w:eastAsia="Arial" w:hAnsi="Arial" w:cs="Arial"/>
          <w:sz w:val="20"/>
        </w:rPr>
        <w:t xml:space="preserve">La gerencia del Banco ha concluido que los estados financieros condensados </w:t>
      </w:r>
      <w:r w:rsidR="003B1200" w:rsidRPr="00701F32">
        <w:rPr>
          <w:rFonts w:ascii="Arial" w:eastAsia="Arial" w:hAnsi="Arial" w:cs="Arial"/>
          <w:sz w:val="20"/>
        </w:rPr>
        <w:t xml:space="preserve">separados </w:t>
      </w:r>
      <w:r w:rsidRPr="00701F32">
        <w:rPr>
          <w:rFonts w:ascii="Arial" w:eastAsia="Arial" w:hAnsi="Arial" w:cs="Arial"/>
          <w:sz w:val="20"/>
        </w:rPr>
        <w:t>intermedios presentan razonablemente la posición financiera, el rendimiento financiero y los flujos de efectivo.</w:t>
      </w:r>
    </w:p>
    <w:p w14:paraId="75BA4A35" w14:textId="77777777" w:rsidR="00656E62" w:rsidRPr="00701F32" w:rsidRDefault="00656E62" w:rsidP="00656E62">
      <w:pPr>
        <w:spacing w:after="160" w:line="259" w:lineRule="auto"/>
        <w:jc w:val="both"/>
        <w:rPr>
          <w:rFonts w:ascii="Arial" w:eastAsia="Arial" w:hAnsi="Arial" w:cs="Arial"/>
          <w:b/>
          <w:color w:val="BF8800"/>
          <w:sz w:val="20"/>
        </w:rPr>
      </w:pPr>
      <w:r w:rsidRPr="00701F32">
        <w:rPr>
          <w:rFonts w:ascii="Arial" w:eastAsia="Arial" w:hAnsi="Arial" w:cs="Arial"/>
          <w:b/>
          <w:sz w:val="20"/>
        </w:rPr>
        <w:t xml:space="preserve">1.2 Bases de preparación </w:t>
      </w:r>
    </w:p>
    <w:p w14:paraId="06BDD5B5"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Los presentes estados financieros condensados </w:t>
      </w:r>
      <w:r w:rsidR="00AF2B5E" w:rsidRPr="00701F32">
        <w:rPr>
          <w:rFonts w:ascii="Arial" w:eastAsia="Arial" w:hAnsi="Arial" w:cs="Arial"/>
          <w:sz w:val="20"/>
        </w:rPr>
        <w:t>separados</w:t>
      </w:r>
      <w:r w:rsidRPr="00701F32">
        <w:rPr>
          <w:rFonts w:ascii="Arial" w:eastAsia="Arial" w:hAnsi="Arial" w:cs="Arial"/>
          <w:sz w:val="20"/>
        </w:rPr>
        <w:t xml:space="preserve"> intermedios han sido preparados de acuerdo con el Marco Contable establecido por el B.C.R.A. descripto en la Nota </w:t>
      </w:r>
      <w:r w:rsidR="00C778DB" w:rsidRPr="00701F32">
        <w:rPr>
          <w:rFonts w:ascii="Arial" w:eastAsia="Arial" w:hAnsi="Arial" w:cs="Arial"/>
          <w:sz w:val="20"/>
        </w:rPr>
        <w:t>1.1</w:t>
      </w:r>
      <w:r w:rsidRPr="00701F32">
        <w:rPr>
          <w:rFonts w:ascii="Arial" w:eastAsia="Arial" w:hAnsi="Arial" w:cs="Arial"/>
          <w:sz w:val="20"/>
        </w:rPr>
        <w:t>.</w:t>
      </w:r>
    </w:p>
    <w:p w14:paraId="3BBC3D5F"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La preparación de estos estados financieros condensados </w:t>
      </w:r>
      <w:r w:rsidR="00AF2B5E" w:rsidRPr="00701F32">
        <w:rPr>
          <w:rFonts w:ascii="Arial" w:eastAsia="Arial" w:hAnsi="Arial" w:cs="Arial"/>
          <w:sz w:val="20"/>
        </w:rPr>
        <w:t>separados</w:t>
      </w:r>
      <w:r w:rsidRPr="00701F32">
        <w:rPr>
          <w:rFonts w:ascii="Arial" w:eastAsia="Arial" w:hAnsi="Arial" w:cs="Arial"/>
          <w:sz w:val="20"/>
        </w:rPr>
        <w:t xml:space="preserve"> intermedios, requiere que se realicen estimaciones y evaluaciones que afectan el monto de los activos y pasivos registrados, y de los activos y pasivos contingentes revelados a la fecha de emisión de los presentes estados financieros condensados </w:t>
      </w:r>
      <w:r w:rsidR="003B1200" w:rsidRPr="00701F32">
        <w:rPr>
          <w:rFonts w:ascii="Arial" w:eastAsia="Arial" w:hAnsi="Arial" w:cs="Arial"/>
          <w:sz w:val="20"/>
        </w:rPr>
        <w:t>separados</w:t>
      </w:r>
      <w:r w:rsidRPr="00701F32">
        <w:rPr>
          <w:rFonts w:ascii="Arial" w:eastAsia="Arial" w:hAnsi="Arial" w:cs="Arial"/>
          <w:sz w:val="20"/>
        </w:rPr>
        <w:t xml:space="preserve"> intermedios, como así también los ingresos y egresos registrados.</w:t>
      </w:r>
    </w:p>
    <w:p w14:paraId="3F8B3D54"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La Entidad realiza estimaciones para calcular, entre otras, las previsiones para incobrables, las vidas útiles de los bienes de propiedad, planta y equipo, las depreciaciones y amortizaciones, el valor recuperable de los activos, el cargo por impuesto a las ganancias, algunos cargos y pasivos laborales y las previsiones por contingencias, juicios laborales, civiles y comerciales. Los resultados reales futuros pueden diferir de las estimaciones y evaluaciones realizadas a la fecha de preparación de los presentes estados financieros </w:t>
      </w:r>
      <w:r w:rsidR="003B1200" w:rsidRPr="00701F32">
        <w:rPr>
          <w:rFonts w:ascii="Arial" w:eastAsia="Arial" w:hAnsi="Arial" w:cs="Arial"/>
          <w:sz w:val="20"/>
        </w:rPr>
        <w:t>separados</w:t>
      </w:r>
      <w:r w:rsidR="003B1200" w:rsidRPr="00701F32" w:rsidDel="003B1200">
        <w:rPr>
          <w:rFonts w:ascii="Arial" w:eastAsia="Arial" w:hAnsi="Arial" w:cs="Arial"/>
          <w:sz w:val="20"/>
        </w:rPr>
        <w:t xml:space="preserve"> </w:t>
      </w:r>
      <w:r w:rsidRPr="00701F32">
        <w:rPr>
          <w:rFonts w:ascii="Arial" w:eastAsia="Arial" w:hAnsi="Arial" w:cs="Arial"/>
          <w:sz w:val="20"/>
        </w:rPr>
        <w:t>condensados intermedios.</w:t>
      </w:r>
    </w:p>
    <w:p w14:paraId="5BBC94DC"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Las áreas que involucran un mayor grado de juicio o complejidad o áreas en las que los supuestos y estimaciones son significativos para los estados financieros </w:t>
      </w:r>
      <w:r w:rsidR="003B1200" w:rsidRPr="00701F32">
        <w:rPr>
          <w:rFonts w:ascii="Arial" w:eastAsia="Arial" w:hAnsi="Arial" w:cs="Arial"/>
          <w:sz w:val="20"/>
        </w:rPr>
        <w:t>separados</w:t>
      </w:r>
      <w:r w:rsidR="003B1200" w:rsidRPr="00701F32" w:rsidDel="003B1200">
        <w:rPr>
          <w:rFonts w:ascii="Arial" w:eastAsia="Arial" w:hAnsi="Arial" w:cs="Arial"/>
          <w:sz w:val="20"/>
        </w:rPr>
        <w:t xml:space="preserve"> </w:t>
      </w:r>
      <w:r w:rsidRPr="00701F32">
        <w:rPr>
          <w:rFonts w:ascii="Arial" w:eastAsia="Arial" w:hAnsi="Arial" w:cs="Arial"/>
          <w:sz w:val="20"/>
        </w:rPr>
        <w:t>condensados intermedios se describen en la Nota 3.</w:t>
      </w:r>
    </w:p>
    <w:p w14:paraId="6CA7917D" w14:textId="77777777" w:rsidR="00656E62" w:rsidRPr="00701F32" w:rsidRDefault="00656E62" w:rsidP="00FF7CC8">
      <w:pPr>
        <w:numPr>
          <w:ilvl w:val="0"/>
          <w:numId w:val="107"/>
        </w:numPr>
        <w:spacing w:after="160" w:line="259" w:lineRule="auto"/>
        <w:jc w:val="both"/>
        <w:rPr>
          <w:rFonts w:ascii="Arial" w:eastAsia="Arial" w:hAnsi="Arial" w:cs="Arial"/>
          <w:b/>
          <w:sz w:val="20"/>
        </w:rPr>
      </w:pPr>
      <w:r w:rsidRPr="00701F32">
        <w:rPr>
          <w:rFonts w:ascii="Arial" w:eastAsia="Arial" w:hAnsi="Arial" w:cs="Arial"/>
          <w:b/>
          <w:sz w:val="20"/>
        </w:rPr>
        <w:t xml:space="preserve">Empresa en marcha </w:t>
      </w:r>
    </w:p>
    <w:p w14:paraId="738552E1"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A la fecha de los presentes estados financieros condensados </w:t>
      </w:r>
      <w:r w:rsidR="00AF2B5E" w:rsidRPr="00701F32">
        <w:rPr>
          <w:rFonts w:ascii="Arial" w:eastAsia="Arial" w:hAnsi="Arial" w:cs="Arial"/>
          <w:sz w:val="20"/>
        </w:rPr>
        <w:t>separados</w:t>
      </w:r>
      <w:r w:rsidRPr="00701F32">
        <w:rPr>
          <w:rFonts w:ascii="Arial" w:eastAsia="Arial" w:hAnsi="Arial" w:cs="Arial"/>
          <w:sz w:val="20"/>
        </w:rPr>
        <w:t xml:space="preserve"> intermedios, no existen incertidumbres respecto a sucesos o condiciones que puedan aportar dudas sobre la posibilidad de que la Entidad siga operando normalmente como empresa en marcha.</w:t>
      </w:r>
    </w:p>
    <w:p w14:paraId="5CC98649" w14:textId="77777777" w:rsidR="00656E62" w:rsidRPr="00701F32" w:rsidRDefault="00656E62" w:rsidP="00FF7CC8">
      <w:pPr>
        <w:numPr>
          <w:ilvl w:val="0"/>
          <w:numId w:val="107"/>
        </w:numPr>
        <w:spacing w:after="160" w:line="259" w:lineRule="auto"/>
        <w:contextualSpacing/>
        <w:jc w:val="both"/>
        <w:rPr>
          <w:rFonts w:ascii="Arial" w:eastAsia="Arial" w:hAnsi="Arial" w:cs="Arial"/>
          <w:b/>
          <w:sz w:val="20"/>
        </w:rPr>
      </w:pPr>
      <w:r w:rsidRPr="00701F32">
        <w:rPr>
          <w:rFonts w:ascii="Arial" w:eastAsia="Arial" w:hAnsi="Arial" w:cs="Arial"/>
          <w:b/>
          <w:sz w:val="20"/>
        </w:rPr>
        <w:t>Unidad de medida</w:t>
      </w:r>
    </w:p>
    <w:p w14:paraId="3A3184CC" w14:textId="77777777" w:rsidR="00656E62" w:rsidRPr="00701F32" w:rsidRDefault="00656E62" w:rsidP="00656E62">
      <w:pPr>
        <w:autoSpaceDE w:val="0"/>
        <w:autoSpaceDN w:val="0"/>
        <w:adjustRightInd w:val="0"/>
        <w:jc w:val="both"/>
        <w:rPr>
          <w:rFonts w:ascii="Arial" w:hAnsi="Arial" w:cs="Arial"/>
          <w:sz w:val="20"/>
        </w:rPr>
      </w:pPr>
    </w:p>
    <w:p w14:paraId="18C05DA1" w14:textId="77777777" w:rsidR="00656E62" w:rsidRPr="00701F32" w:rsidRDefault="00656E62" w:rsidP="00656E62">
      <w:pPr>
        <w:autoSpaceDE w:val="0"/>
        <w:autoSpaceDN w:val="0"/>
        <w:adjustRightInd w:val="0"/>
        <w:jc w:val="both"/>
        <w:rPr>
          <w:rFonts w:ascii="Arial" w:hAnsi="Arial" w:cs="Arial"/>
          <w:sz w:val="20"/>
        </w:rPr>
      </w:pPr>
      <w:r w:rsidRPr="00701F32">
        <w:rPr>
          <w:rFonts w:ascii="Arial" w:hAnsi="Arial" w:cs="Arial"/>
          <w:sz w:val="20"/>
        </w:rPr>
        <w:t xml:space="preserve">Los estados financieros </w:t>
      </w:r>
      <w:r w:rsidR="00AF2B5E" w:rsidRPr="00701F32">
        <w:rPr>
          <w:rFonts w:ascii="Arial" w:hAnsi="Arial" w:cs="Arial"/>
          <w:sz w:val="20"/>
        </w:rPr>
        <w:t>condensados separados</w:t>
      </w:r>
      <w:r w:rsidRPr="00701F32">
        <w:rPr>
          <w:rFonts w:ascii="Arial" w:hAnsi="Arial" w:cs="Arial"/>
          <w:sz w:val="20"/>
        </w:rPr>
        <w:t xml:space="preserve"> intermedios de la Entidad están expresados en pesos que es la moneda funcional del Banco y de su controlada Grupo Supervielle.</w:t>
      </w:r>
    </w:p>
    <w:p w14:paraId="0BF63D62" w14:textId="77777777" w:rsidR="005367BE" w:rsidRPr="00701F32" w:rsidRDefault="005367BE" w:rsidP="005367BE">
      <w:pPr>
        <w:autoSpaceDE w:val="0"/>
        <w:autoSpaceDN w:val="0"/>
        <w:adjustRightInd w:val="0"/>
        <w:jc w:val="both"/>
        <w:rPr>
          <w:rFonts w:ascii="Arial" w:hAnsi="Arial" w:cs="Arial"/>
          <w:sz w:val="20"/>
        </w:rPr>
      </w:pPr>
    </w:p>
    <w:p w14:paraId="009D9B4B"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La NIC 29 “Información financiera en economías hiperinflacionarias” requiere que los estados financieros de una entidad, cuya moneda funcional sea la de una economía de alta inflación, sean expresados en términos de la unidad de medida corriente a la fecha de cierre del período sobre el que se informa, independientemente de si están basados en el método del costo histórico o en el método del costo corriente. Para ello, en términos generales, se debe computar en las partidas no monetarias la inflación producida desde la fecha de adquisición o desde la fecha de revaluación según corresponda. Dichos requerimientos también comprenden a la información comparativa de los estados financieros. </w:t>
      </w:r>
    </w:p>
    <w:p w14:paraId="395B32AF" w14:textId="77777777" w:rsidR="005367BE" w:rsidRPr="00701F32" w:rsidRDefault="005367BE" w:rsidP="005367BE">
      <w:pPr>
        <w:autoSpaceDE w:val="0"/>
        <w:autoSpaceDN w:val="0"/>
        <w:adjustRightInd w:val="0"/>
        <w:jc w:val="both"/>
        <w:rPr>
          <w:rFonts w:ascii="Arial" w:hAnsi="Arial" w:cs="Arial"/>
          <w:sz w:val="20"/>
        </w:rPr>
      </w:pPr>
    </w:p>
    <w:p w14:paraId="7AB44461"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A los efectos de concluir sobre si una economía es categorizada como de alta inflación en los términos de la NIC 29, la norma detalla una serie de factores a considerar entre los que se incluye la existencia de una tasa acumulada de inflación en tres años que se aproxime o exceda el 100%. La inflación acumulada en tres años se ubica por encima del 100%. Es por esta razón que, de acuerdo con la NIC 29, la economía argentina debe ser considerada como de alta inflación a partir del 1° de julio de 2018. A su vez, el 24 de julio de 2018, la Federación Argentina de Consejos Profesionales en Ciencias Económicas (FACPCE), emitió una comunicación confirmando lo mencionado en forma precedente. No obstante, debe tenerse en consideración que, al momento de emisión de los presentes estados financieros, se encuentra vigente el Decreto PEN 664/03 que no permite la presentación de estados financieros reexpresados ante la Comisión Nacional de Valores (CNV) y el Banco Central de la República Argentina (BCRA). Por lo tanto, dado este decreto, y el marco contable establecido por el BCRA descripto en nota 1.1 precedente, la dirección del Banco no ha aplicado la NIC 29 en la preparación de los presentes estados financieros. </w:t>
      </w:r>
    </w:p>
    <w:p w14:paraId="70B03C9D" w14:textId="77777777" w:rsidR="005367BE" w:rsidRPr="00701F32" w:rsidRDefault="005367BE" w:rsidP="005367BE">
      <w:pPr>
        <w:autoSpaceDE w:val="0"/>
        <w:autoSpaceDN w:val="0"/>
        <w:adjustRightInd w:val="0"/>
        <w:jc w:val="both"/>
        <w:rPr>
          <w:rFonts w:ascii="Arial" w:hAnsi="Arial" w:cs="Arial"/>
          <w:sz w:val="20"/>
        </w:rPr>
      </w:pPr>
    </w:p>
    <w:p w14:paraId="34124B25" w14:textId="77777777" w:rsidR="005367BE" w:rsidRPr="00701F32" w:rsidRDefault="005367BE" w:rsidP="005367BE">
      <w:pPr>
        <w:autoSpaceDE w:val="0"/>
        <w:autoSpaceDN w:val="0"/>
        <w:adjustRightInd w:val="0"/>
        <w:jc w:val="both"/>
        <w:rPr>
          <w:rFonts w:ascii="Arial" w:hAnsi="Arial" w:cs="Arial"/>
          <w:sz w:val="20"/>
        </w:rPr>
      </w:pPr>
      <w:r w:rsidRPr="00701F32">
        <w:rPr>
          <w:rFonts w:ascii="Arial" w:hAnsi="Arial" w:cs="Arial"/>
          <w:sz w:val="20"/>
        </w:rPr>
        <w:t xml:space="preserve">En un período inflacionario, toda entidad que mantenga un exceso de activos monetarios sobre pasivos monetarios, perderá poder adquisitivo, y toda entidad que mantenga un exceso de pasivos monetarios sobre activos monetarios, ganará poder adquisitivo, siempre que tales partidas no se encuentren sujetas a un mecanismo de ajuste. </w:t>
      </w:r>
    </w:p>
    <w:p w14:paraId="3CD9AAE0" w14:textId="77777777" w:rsidR="005367BE" w:rsidRPr="00701F32" w:rsidRDefault="005367BE" w:rsidP="005367BE">
      <w:pPr>
        <w:autoSpaceDE w:val="0"/>
        <w:autoSpaceDN w:val="0"/>
        <w:adjustRightInd w:val="0"/>
        <w:jc w:val="both"/>
        <w:rPr>
          <w:rFonts w:ascii="Arial" w:hAnsi="Arial" w:cs="Arial"/>
          <w:sz w:val="20"/>
        </w:rPr>
      </w:pPr>
    </w:p>
    <w:p w14:paraId="1BEB49B5" w14:textId="77777777" w:rsidR="00CB4537" w:rsidRPr="00701F32" w:rsidRDefault="005367BE">
      <w:pPr>
        <w:autoSpaceDE w:val="0"/>
        <w:autoSpaceDN w:val="0"/>
        <w:adjustRightInd w:val="0"/>
        <w:jc w:val="both"/>
        <w:rPr>
          <w:rFonts w:ascii="Arial" w:hAnsi="Arial" w:cs="Arial"/>
          <w:sz w:val="20"/>
        </w:rPr>
      </w:pPr>
      <w:r w:rsidRPr="00701F32">
        <w:rPr>
          <w:rFonts w:ascii="Arial" w:hAnsi="Arial" w:cs="Arial"/>
          <w:sz w:val="20"/>
        </w:rPr>
        <w:t xml:space="preserve">Resumidamente, el mecanismo de reexpresión de la NIC 29 establece que los activos y pasivos monetarios no serán reexpresados dado que ya se encuentran expresados en la unidad de medida corriente al cierre del período sobre el que se informa. Los activos y pasivos sujetos a ajustes en función a acuerdos específicos, se ajustarán en función a tales acuerdos. Las partidas no monetarias medidas a sus valores corrientes al final del período sobre el que se informa, tales como el valor neto de realización u otros, no es necesario reexpresarlas. Los restantes activos y pasivos no monetarios serán reexpresados por un índice general de precios. </w:t>
      </w:r>
    </w:p>
    <w:p w14:paraId="7CC51B78" w14:textId="77777777" w:rsidR="00CB4537" w:rsidRPr="00701F32" w:rsidRDefault="00CB4537">
      <w:pPr>
        <w:autoSpaceDE w:val="0"/>
        <w:autoSpaceDN w:val="0"/>
        <w:adjustRightInd w:val="0"/>
        <w:jc w:val="both"/>
        <w:rPr>
          <w:rFonts w:ascii="Arial" w:hAnsi="Arial" w:cs="Arial"/>
          <w:sz w:val="20"/>
        </w:rPr>
      </w:pPr>
    </w:p>
    <w:p w14:paraId="2CEC17C9" w14:textId="2C776E09" w:rsidR="005367BE" w:rsidRPr="00701F32" w:rsidRDefault="005367BE">
      <w:pPr>
        <w:autoSpaceDE w:val="0"/>
        <w:autoSpaceDN w:val="0"/>
        <w:adjustRightInd w:val="0"/>
        <w:jc w:val="both"/>
        <w:rPr>
          <w:rFonts w:ascii="Arial" w:hAnsi="Arial" w:cs="Arial"/>
          <w:sz w:val="20"/>
        </w:rPr>
      </w:pPr>
      <w:r w:rsidRPr="00701F32">
        <w:rPr>
          <w:rFonts w:ascii="Arial" w:hAnsi="Arial" w:cs="Arial"/>
          <w:sz w:val="20"/>
        </w:rPr>
        <w:t>La pérdida o ganancia por la posición monetaria neta, se incluirá en el resultado neto del período que se informa, revelando esta información en una partida separada.</w:t>
      </w:r>
    </w:p>
    <w:p w14:paraId="25375098" w14:textId="77777777" w:rsidR="00364AA1" w:rsidRPr="00701F32" w:rsidRDefault="00364AA1">
      <w:pPr>
        <w:autoSpaceDE w:val="0"/>
        <w:autoSpaceDN w:val="0"/>
        <w:adjustRightInd w:val="0"/>
        <w:jc w:val="both"/>
        <w:rPr>
          <w:rFonts w:ascii="Arial" w:hAnsi="Arial" w:cs="Arial"/>
          <w:sz w:val="20"/>
        </w:rPr>
      </w:pPr>
    </w:p>
    <w:p w14:paraId="561B9376" w14:textId="77777777" w:rsidR="00656E62" w:rsidRPr="00701F32" w:rsidRDefault="00656E62" w:rsidP="00FF7CC8">
      <w:pPr>
        <w:numPr>
          <w:ilvl w:val="0"/>
          <w:numId w:val="107"/>
        </w:numPr>
        <w:spacing w:after="160" w:line="259" w:lineRule="auto"/>
        <w:jc w:val="both"/>
        <w:rPr>
          <w:rFonts w:ascii="Arial" w:eastAsia="Arial" w:hAnsi="Arial" w:cs="Arial"/>
          <w:b/>
          <w:sz w:val="20"/>
        </w:rPr>
      </w:pPr>
      <w:r w:rsidRPr="00701F32">
        <w:rPr>
          <w:rFonts w:ascii="Arial" w:eastAsia="Arial" w:hAnsi="Arial" w:cs="Arial"/>
          <w:b/>
          <w:sz w:val="20"/>
        </w:rPr>
        <w:t>Cambios en políticas contables/nuevas normas contables</w:t>
      </w:r>
    </w:p>
    <w:p w14:paraId="7AF4F134"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Se detalla a continuación las nuevas normas, modificaciones e interpretaciones publicadas que todavía no han entrado en vigor para ejercicios que comiencen a partir del 1° de enero de 2018, y no han sido adoptadas anticipadamente:</w:t>
      </w:r>
    </w:p>
    <w:p w14:paraId="21D641D7"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b/>
          <w:bCs/>
          <w:sz w:val="20"/>
        </w:rPr>
        <w:t xml:space="preserve">NIIF 16 “Arrendamientos”: </w:t>
      </w:r>
      <w:r w:rsidRPr="00701F32">
        <w:rPr>
          <w:rFonts w:ascii="Arial" w:eastAsia="Arial" w:hAnsi="Arial" w:cs="Arial"/>
          <w:sz w:val="20"/>
        </w:rPr>
        <w:t>En enero de 2016 el IASB emitió la NIIF 16 “Arrendamientos” que establece el nuevo modelo de registración de operaciones de arrendamiento. Bajo la NIIF 16, un contrato es, o contiene, un arrendamiento si el contrato transmite el derecho a controlar el uso de un activo identificado por un período de tiempo a cambio de consideración. La NIIF 16 requiere que el arrendatario reconozca el pasivo de arrendamiento que refleja los pagos futuros de arrendamiento y un derecho de uso de activos, para casi todos los contratos de arrendamiento, con excepción para determinados contratos de arrendamiento a corto plazo y arrendamientos de activos de bajo valor. La contabilidad de los arrendadores se mantiene como se indica en la NIC 17; sin embargo, se espera que el nuevo modelo de contabilidad para los arrendatarios impacta las negociaciones entre arrendadores y arrendatarios. Esta norma es efectiva para los períodos anuales que inician en o después del 1 de enero de 2019. La Entidad está evaluando el impacto contable que generará la aplicación de la mencionada normativa.</w:t>
      </w:r>
    </w:p>
    <w:p w14:paraId="33A8A8F4"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b/>
          <w:bCs/>
          <w:sz w:val="20"/>
        </w:rPr>
        <w:t>NIIF 17 “Contratos de seguro”:</w:t>
      </w:r>
      <w:r w:rsidRPr="00701F32">
        <w:rPr>
          <w:rFonts w:ascii="Arial" w:eastAsia="Arial" w:hAnsi="Arial" w:cs="Arial"/>
          <w:bCs/>
          <w:sz w:val="20"/>
        </w:rPr>
        <w:t xml:space="preserve"> </w:t>
      </w:r>
      <w:r w:rsidRPr="00701F32">
        <w:rPr>
          <w:rFonts w:ascii="Arial" w:eastAsia="Arial" w:hAnsi="Arial" w:cs="Arial"/>
          <w:sz w:val="20"/>
        </w:rPr>
        <w:t>El 18 de mayo de 2017, el IASB emitió la NIIF 17 Contratos de seguro, que proporciona un marco integral basado en principios para la medición y presentación de todos los contratos de seguro. La nueva norma reemplazará a la NIIF 4 Contratos de seguro y exige que los contratos de seguro se midan utilizando los flujos de efectivo de cumplimiento actuales y que los ingresos se reconozcan a medida que se brinda el servicio durante el período de cobertura. La norma entrará en vigencia para los ejercicios que comiencen a partir del 1 de noviembre de 2021. La Entidad está evaluando el impacto de la adopción de esta nueva norma.</w:t>
      </w:r>
    </w:p>
    <w:p w14:paraId="686655EE"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b/>
          <w:bCs/>
          <w:sz w:val="20"/>
        </w:rPr>
        <w:t>CINIIF 23 “Incertidumbre sobre el tratamiento del impuesto a las ganancias”</w:t>
      </w:r>
      <w:r w:rsidRPr="00701F32">
        <w:rPr>
          <w:rFonts w:ascii="Arial" w:eastAsia="Arial" w:hAnsi="Arial" w:cs="Arial"/>
          <w:b/>
          <w:sz w:val="20"/>
        </w:rPr>
        <w:t>:</w:t>
      </w:r>
      <w:r w:rsidRPr="00701F32">
        <w:rPr>
          <w:rFonts w:ascii="Arial" w:eastAsia="Arial" w:hAnsi="Arial" w:cs="Arial"/>
          <w:sz w:val="20"/>
        </w:rPr>
        <w:t xml:space="preserve"> Dicha interpretación clarifica como el reconocimiento y las exigencias de medición de la NIC 12 Impuesto a las ganancias, son aplicados cuando hay incertidumbre sobre el tratamiento de impuesto a las ganancias. Esta norma fue publicada en junio 2017 y entrará en vigencia para los ejercicios que comiencen a partir del 1 de enero de 2019.</w:t>
      </w:r>
    </w:p>
    <w:p w14:paraId="38FB7BA1" w14:textId="77777777" w:rsidR="00656E62" w:rsidRPr="00701F32" w:rsidRDefault="00656E62" w:rsidP="00656E62">
      <w:pPr>
        <w:jc w:val="both"/>
        <w:rPr>
          <w:rFonts w:ascii="Arial" w:eastAsia="Arial" w:hAnsi="Arial" w:cs="Arial"/>
          <w:sz w:val="20"/>
        </w:rPr>
      </w:pPr>
      <w:r w:rsidRPr="00701F32">
        <w:rPr>
          <w:rFonts w:ascii="Arial" w:eastAsia="Arial" w:hAnsi="Arial" w:cs="Arial"/>
          <w:sz w:val="20"/>
        </w:rPr>
        <w:t>No hay otras NIIF o interpretaciones CINIIF que no sean efectivas todavía y que se espere que tengan un efecto significativo para la Entidad.</w:t>
      </w:r>
    </w:p>
    <w:p w14:paraId="0AAEB186" w14:textId="77777777" w:rsidR="001A3DB9" w:rsidRPr="00701F32" w:rsidRDefault="001A3DB9" w:rsidP="00656E62">
      <w:pPr>
        <w:jc w:val="both"/>
        <w:rPr>
          <w:rFonts w:ascii="Arial" w:eastAsia="Arial" w:hAnsi="Arial" w:cs="Arial"/>
          <w:sz w:val="20"/>
        </w:rPr>
      </w:pPr>
    </w:p>
    <w:p w14:paraId="6ADD2B68"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Calibri" w:hAnsi="Arial" w:cs="Arial"/>
          <w:b/>
          <w:sz w:val="20"/>
        </w:rPr>
        <w:t>1.</w:t>
      </w:r>
      <w:r w:rsidR="00AF2B5E" w:rsidRPr="00701F32">
        <w:rPr>
          <w:rFonts w:ascii="Arial" w:eastAsia="Calibri" w:hAnsi="Arial" w:cs="Arial"/>
          <w:b/>
          <w:sz w:val="20"/>
        </w:rPr>
        <w:t>3</w:t>
      </w:r>
      <w:r w:rsidRPr="00701F32">
        <w:rPr>
          <w:rFonts w:ascii="Arial" w:eastAsia="Calibri" w:hAnsi="Arial" w:cs="Arial"/>
          <w:b/>
          <w:sz w:val="20"/>
        </w:rPr>
        <w:t xml:space="preserve"> Asociadas </w:t>
      </w:r>
    </w:p>
    <w:p w14:paraId="41D72ACB" w14:textId="77777777" w:rsidR="00656E62" w:rsidRPr="00701F32" w:rsidRDefault="00656E62" w:rsidP="00656E62">
      <w:pPr>
        <w:spacing w:line="259" w:lineRule="auto"/>
        <w:jc w:val="both"/>
        <w:rPr>
          <w:rFonts w:ascii="Arial" w:eastAsia="Calibri" w:hAnsi="Arial" w:cs="Arial"/>
          <w:sz w:val="20"/>
        </w:rPr>
      </w:pPr>
      <w:r w:rsidRPr="00701F32">
        <w:rPr>
          <w:rFonts w:ascii="Arial" w:eastAsia="Calibri" w:hAnsi="Arial" w:cs="Arial"/>
          <w:sz w:val="20"/>
        </w:rPr>
        <w:t>Las asociadas son entidades sobre las cuales el Banco tiene influencia significativa (directa o indirectamente), pero no control, generalmente acompañando a una participación de entre 20 y 50 por ciento de los derechos de voto. Las inversiones en asociadas se contabilizan utilizando el método de la participación, y se reconocen inicialmente al costo. El valor en libros de las asociadas incluye la llave de negocio identificada en la adquisición menos las pérdidas por deterioro acumuladas, de corresponder. Los dividendos recibidos de las entidades asociadas reducen el valor en libros de la inversión en asociadas. Otros cambios posteriores a la adquisición en la participación de la Entidad en los activos netos de una asociada se reconocen de la siguiente manera: (i) la participación de la Entidad en las ganancias o pérdidas de las entidades asociadas se registra en el estado de resultados integral como resultado por asociadas y negocios conjuntos y (ii) la participación de la Entidad en otros resultados integrales se reconoce en el estado de otros resultados integrales y se presenta por separado. Sin embargo, cuando la participación del Banco en pérdidas en una asociada iguala o excede su interés en la misma, la Entidad dejará de reconocer su participación en las pérdidas adicionales, a menos que haya incurrido en obligaciones o efectuado pagos en nombre de la asociada.</w:t>
      </w:r>
    </w:p>
    <w:p w14:paraId="76918AE1" w14:textId="77777777" w:rsidR="00656E62" w:rsidRPr="00701F32" w:rsidRDefault="00656E62" w:rsidP="00656E62">
      <w:pPr>
        <w:spacing w:line="259" w:lineRule="auto"/>
        <w:jc w:val="both"/>
        <w:rPr>
          <w:rFonts w:ascii="Arial" w:eastAsia="Calibri" w:hAnsi="Arial" w:cs="Arial"/>
          <w:sz w:val="20"/>
        </w:rPr>
      </w:pPr>
    </w:p>
    <w:p w14:paraId="4889D179" w14:textId="77777777" w:rsidR="00656E62" w:rsidRPr="00701F32" w:rsidRDefault="00656E62" w:rsidP="00656E62">
      <w:pPr>
        <w:spacing w:line="259" w:lineRule="auto"/>
        <w:jc w:val="both"/>
        <w:rPr>
          <w:rFonts w:ascii="Arial" w:eastAsia="Calibri" w:hAnsi="Arial" w:cs="Arial"/>
          <w:sz w:val="20"/>
        </w:rPr>
      </w:pPr>
      <w:r w:rsidRPr="00701F32">
        <w:rPr>
          <w:rFonts w:ascii="Arial" w:eastAsia="Calibri" w:hAnsi="Arial" w:cs="Arial"/>
          <w:sz w:val="20"/>
        </w:rPr>
        <w:t>Las ganancias no realizadas en transacciones entre la Entidad y sus asociadas se eliminan en la medida de la participación de la Entidad en las asociadas; las pérdidas no realizadas también se eliminan a menos que la transacción proporcione evidencia de un deterioro del activo transferido.</w:t>
      </w:r>
    </w:p>
    <w:p w14:paraId="6A35F2FC" w14:textId="77777777" w:rsidR="00656E62" w:rsidRPr="00701F32" w:rsidRDefault="00656E62" w:rsidP="00656E62">
      <w:pPr>
        <w:spacing w:line="259" w:lineRule="auto"/>
        <w:jc w:val="both"/>
        <w:rPr>
          <w:rFonts w:ascii="Georgia" w:eastAsia="Calibri" w:hAnsi="Georgia"/>
          <w:sz w:val="20"/>
        </w:rPr>
      </w:pPr>
    </w:p>
    <w:p w14:paraId="32B79A32" w14:textId="77777777" w:rsidR="00656E62" w:rsidRPr="00701F32" w:rsidRDefault="00656E62" w:rsidP="00656E62">
      <w:pPr>
        <w:spacing w:line="259" w:lineRule="auto"/>
        <w:jc w:val="both"/>
        <w:rPr>
          <w:rFonts w:ascii="Arial" w:eastAsia="Calibri" w:hAnsi="Arial" w:cs="Arial"/>
          <w:b/>
          <w:sz w:val="20"/>
        </w:rPr>
      </w:pPr>
      <w:r w:rsidRPr="00701F32">
        <w:rPr>
          <w:rFonts w:ascii="Arial" w:eastAsia="Calibri" w:hAnsi="Arial" w:cs="Arial"/>
          <w:b/>
          <w:sz w:val="20"/>
        </w:rPr>
        <w:t>1.</w:t>
      </w:r>
      <w:r w:rsidR="00AF2B5E" w:rsidRPr="00701F32">
        <w:rPr>
          <w:rFonts w:ascii="Arial" w:eastAsia="Calibri" w:hAnsi="Arial" w:cs="Arial"/>
          <w:b/>
          <w:sz w:val="20"/>
        </w:rPr>
        <w:t>4</w:t>
      </w:r>
      <w:r w:rsidRPr="00701F32">
        <w:rPr>
          <w:rFonts w:ascii="Arial" w:eastAsia="Calibri" w:hAnsi="Arial" w:cs="Arial"/>
          <w:b/>
          <w:sz w:val="20"/>
        </w:rPr>
        <w:t xml:space="preserve"> Información por segmentos </w:t>
      </w:r>
    </w:p>
    <w:p w14:paraId="48A3322D" w14:textId="77777777" w:rsidR="00656E62" w:rsidRPr="00701F32" w:rsidRDefault="00656E62" w:rsidP="00656E62">
      <w:pPr>
        <w:spacing w:line="259" w:lineRule="auto"/>
        <w:jc w:val="both"/>
        <w:rPr>
          <w:rFonts w:ascii="Arial" w:eastAsia="Calibri" w:hAnsi="Arial" w:cs="Arial"/>
          <w:sz w:val="20"/>
        </w:rPr>
      </w:pPr>
      <w:r w:rsidRPr="00701F32">
        <w:rPr>
          <w:rFonts w:ascii="Arial" w:eastAsia="Calibri" w:hAnsi="Arial" w:cs="Arial"/>
          <w:sz w:val="20"/>
        </w:rPr>
        <w:t xml:space="preserve"> </w:t>
      </w:r>
    </w:p>
    <w:p w14:paraId="37C8C329"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Un segmento operativo es un componente de una entidad que (a) desarrolla actividades de negocio de las que puede obtener ingresos e incurrir en gastos (incluyendo ingresos y gastos relacionados con transacciones con otros componentes de la misma entidad), (b) cuyo resultado operativo es regularmente revisado por la Gerencia para tomar decisiones acerca de los recursos que deben asignarse al segmento y evaluar su desempeño y (c) para los cuales se dispone de información diferenciada.</w:t>
      </w:r>
    </w:p>
    <w:p w14:paraId="2BF3DB6E"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La información por segmentos se presenta de manera consistente con los informes internos proporcionados a:</w:t>
      </w:r>
    </w:p>
    <w:p w14:paraId="4535D524" w14:textId="77777777" w:rsidR="00656E62" w:rsidRPr="00701F32" w:rsidRDefault="00656E62" w:rsidP="00FF7CC8">
      <w:pPr>
        <w:numPr>
          <w:ilvl w:val="0"/>
          <w:numId w:val="108"/>
        </w:numPr>
        <w:spacing w:after="160" w:line="259" w:lineRule="auto"/>
        <w:jc w:val="both"/>
        <w:rPr>
          <w:rFonts w:ascii="Arial" w:eastAsia="Calibri" w:hAnsi="Arial" w:cs="Arial"/>
          <w:bCs/>
          <w:sz w:val="20"/>
        </w:rPr>
      </w:pPr>
      <w:r w:rsidRPr="00701F32">
        <w:rPr>
          <w:rFonts w:ascii="Arial" w:eastAsia="Calibri" w:hAnsi="Arial" w:cs="Arial"/>
          <w:bCs/>
          <w:sz w:val="20"/>
        </w:rPr>
        <w:t xml:space="preserve">Personal clave de la gerencia, quien constituye la máxima autoridad en la toma de decisiones operativas y responsable de asignar los recursos y evaluar el rendimiento de los segmentos operativos; y </w:t>
      </w:r>
    </w:p>
    <w:p w14:paraId="3D3E992D" w14:textId="77777777" w:rsidR="00656E62" w:rsidRPr="00701F32" w:rsidRDefault="00656E62" w:rsidP="00FF7CC8">
      <w:pPr>
        <w:numPr>
          <w:ilvl w:val="0"/>
          <w:numId w:val="108"/>
        </w:numPr>
        <w:spacing w:after="160" w:line="259" w:lineRule="auto"/>
        <w:jc w:val="both"/>
        <w:rPr>
          <w:rFonts w:ascii="Arial" w:eastAsia="Calibri" w:hAnsi="Arial" w:cs="Arial"/>
          <w:bCs/>
          <w:sz w:val="20"/>
        </w:rPr>
      </w:pPr>
      <w:r w:rsidRPr="00701F32">
        <w:rPr>
          <w:rFonts w:ascii="Arial" w:eastAsia="Calibri" w:hAnsi="Arial" w:cs="Arial"/>
          <w:bCs/>
          <w:sz w:val="20"/>
        </w:rPr>
        <w:t xml:space="preserve">El Directorio, que es quien toma las decisiones estratégicas de la Entidad. </w:t>
      </w:r>
    </w:p>
    <w:p w14:paraId="258717AF" w14:textId="77777777" w:rsidR="00656E62" w:rsidRPr="00701F32" w:rsidRDefault="00656E62" w:rsidP="00656E62">
      <w:pPr>
        <w:spacing w:line="259" w:lineRule="auto"/>
        <w:jc w:val="both"/>
        <w:rPr>
          <w:rFonts w:ascii="Georgia" w:eastAsia="Calibri" w:hAnsi="Georgia"/>
          <w:sz w:val="20"/>
        </w:rPr>
      </w:pPr>
    </w:p>
    <w:p w14:paraId="4AA4613A"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
          <w:bCs/>
          <w:sz w:val="20"/>
        </w:rPr>
        <w:t>1.</w:t>
      </w:r>
      <w:r w:rsidR="00AF2B5E" w:rsidRPr="00701F32">
        <w:rPr>
          <w:rFonts w:ascii="Arial" w:eastAsia="Calibri" w:hAnsi="Arial" w:cs="Arial"/>
          <w:b/>
          <w:bCs/>
          <w:sz w:val="20"/>
        </w:rPr>
        <w:t>5</w:t>
      </w:r>
      <w:r w:rsidRPr="00701F32">
        <w:rPr>
          <w:rFonts w:ascii="Arial" w:eastAsia="Calibri" w:hAnsi="Arial" w:cs="Arial"/>
          <w:b/>
          <w:bCs/>
          <w:sz w:val="20"/>
        </w:rPr>
        <w:t xml:space="preserve"> Conversión de moneda extranjera </w:t>
      </w:r>
    </w:p>
    <w:p w14:paraId="1F32C0F1" w14:textId="77777777" w:rsidR="00656E62" w:rsidRPr="00701F32" w:rsidRDefault="00656E62" w:rsidP="00656E62">
      <w:pPr>
        <w:numPr>
          <w:ilvl w:val="0"/>
          <w:numId w:val="36"/>
        </w:numPr>
        <w:spacing w:after="160" w:line="259" w:lineRule="auto"/>
        <w:jc w:val="both"/>
        <w:rPr>
          <w:rFonts w:ascii="Arial" w:eastAsia="Calibri" w:hAnsi="Arial" w:cs="Arial"/>
          <w:b/>
          <w:sz w:val="20"/>
        </w:rPr>
      </w:pPr>
      <w:r w:rsidRPr="00701F32">
        <w:rPr>
          <w:rFonts w:ascii="Arial" w:eastAsia="Calibri" w:hAnsi="Arial" w:cs="Arial"/>
          <w:b/>
          <w:sz w:val="20"/>
        </w:rPr>
        <w:t>Moneda funcional y moneda de presentación</w:t>
      </w:r>
    </w:p>
    <w:p w14:paraId="7920B357" w14:textId="77777777" w:rsidR="00656E62" w:rsidRPr="00701F32" w:rsidRDefault="00656E62" w:rsidP="00656E62">
      <w:pPr>
        <w:spacing w:after="160" w:line="259" w:lineRule="auto"/>
        <w:jc w:val="both"/>
        <w:rPr>
          <w:rFonts w:ascii="Georgia" w:eastAsia="Calibri" w:hAnsi="Georgia"/>
          <w:sz w:val="20"/>
        </w:rPr>
      </w:pPr>
      <w:r w:rsidRPr="00701F32">
        <w:rPr>
          <w:rFonts w:ascii="Arial" w:eastAsia="Calibri" w:hAnsi="Arial" w:cs="Arial"/>
          <w:sz w:val="20"/>
        </w:rPr>
        <w:t xml:space="preserve">Las cifras incluidas en los estados financieros </w:t>
      </w:r>
      <w:r w:rsidR="003B1200" w:rsidRPr="00701F32">
        <w:rPr>
          <w:rFonts w:ascii="Arial" w:eastAsia="Arial" w:hAnsi="Arial" w:cs="Arial"/>
          <w:sz w:val="20"/>
        </w:rPr>
        <w:t>separados</w:t>
      </w:r>
      <w:r w:rsidR="003B1200" w:rsidRPr="00701F32" w:rsidDel="003B1200">
        <w:rPr>
          <w:rFonts w:ascii="Arial" w:eastAsia="Calibri" w:hAnsi="Arial" w:cs="Arial"/>
          <w:sz w:val="20"/>
        </w:rPr>
        <w:t xml:space="preserve"> </w:t>
      </w:r>
      <w:r w:rsidRPr="00701F32">
        <w:rPr>
          <w:rFonts w:ascii="Arial" w:eastAsia="Calibri" w:hAnsi="Arial" w:cs="Arial"/>
          <w:sz w:val="20"/>
        </w:rPr>
        <w:t xml:space="preserve">condensados intermedios se expresan en su moneda funcional, es decir, en la moneda del ambiente económico principal en la que operan. Los estados financieros </w:t>
      </w:r>
      <w:r w:rsidR="003B1200" w:rsidRPr="00701F32">
        <w:rPr>
          <w:rFonts w:ascii="Arial" w:eastAsia="Arial" w:hAnsi="Arial" w:cs="Arial"/>
          <w:sz w:val="20"/>
        </w:rPr>
        <w:t>separados</w:t>
      </w:r>
      <w:r w:rsidR="003B1200" w:rsidRPr="00701F32" w:rsidDel="003B1200">
        <w:rPr>
          <w:rFonts w:ascii="Arial" w:eastAsia="Calibri" w:hAnsi="Arial" w:cs="Arial"/>
          <w:sz w:val="20"/>
        </w:rPr>
        <w:t xml:space="preserve"> </w:t>
      </w:r>
      <w:r w:rsidRPr="00701F32">
        <w:rPr>
          <w:rFonts w:ascii="Arial" w:eastAsia="Calibri" w:hAnsi="Arial" w:cs="Arial"/>
          <w:sz w:val="20"/>
        </w:rPr>
        <w:t xml:space="preserve">condensados intermedios se exponen en cifras expresadas en miles de pesos argentinos, que es la moneda funcional y la moneda de presentación del </w:t>
      </w:r>
      <w:r w:rsidR="00C778DB" w:rsidRPr="00701F32">
        <w:rPr>
          <w:rFonts w:ascii="Arial" w:eastAsia="Calibri" w:hAnsi="Arial" w:cs="Arial"/>
          <w:sz w:val="20"/>
        </w:rPr>
        <w:t>Banco</w:t>
      </w:r>
      <w:r w:rsidRPr="00701F32">
        <w:rPr>
          <w:rFonts w:ascii="Georgia" w:eastAsia="Calibri" w:hAnsi="Georgia"/>
          <w:sz w:val="20"/>
        </w:rPr>
        <w:t>.</w:t>
      </w:r>
    </w:p>
    <w:p w14:paraId="768D0FFB" w14:textId="77777777" w:rsidR="00656E62" w:rsidRPr="00701F32" w:rsidRDefault="00656E62" w:rsidP="00656E62">
      <w:pPr>
        <w:numPr>
          <w:ilvl w:val="0"/>
          <w:numId w:val="36"/>
        </w:numPr>
        <w:spacing w:after="160" w:line="259" w:lineRule="auto"/>
        <w:jc w:val="both"/>
        <w:rPr>
          <w:rFonts w:ascii="Arial" w:eastAsia="Calibri" w:hAnsi="Arial" w:cs="Arial"/>
          <w:b/>
          <w:sz w:val="20"/>
        </w:rPr>
      </w:pPr>
      <w:r w:rsidRPr="00701F32">
        <w:rPr>
          <w:rFonts w:ascii="Arial" w:eastAsia="Calibri" w:hAnsi="Arial" w:cs="Arial"/>
          <w:b/>
          <w:sz w:val="20"/>
        </w:rPr>
        <w:t>Transacciones y saldos</w:t>
      </w:r>
    </w:p>
    <w:p w14:paraId="1CAB084C" w14:textId="7CFB2DF2"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Las transacciones en moneda extranjera se convierten a la moneda funcional a los tipos de cambio de referencia y de pase establecidos por el B.C.R.A. vigentes a las fechas de las transacciones o de la valuación cuando las partidas son medidas al cierre. Las ganancias y pérdidas en moneda extranjera que resultan de la liquidación de estas transacciones y de la conversión de los activos y pasivos monetarios denominados en moneda extranjera a los tipos de cambio de cierre, se reconocen en el estado de resultados integral, en el rubro “Diferencia </w:t>
      </w:r>
      <w:r w:rsidR="002A0BA2" w:rsidRPr="00701F32">
        <w:rPr>
          <w:rFonts w:ascii="Arial" w:eastAsia="Calibri" w:hAnsi="Arial" w:cs="Arial"/>
          <w:sz w:val="20"/>
        </w:rPr>
        <w:t xml:space="preserve">               </w:t>
      </w:r>
      <w:r w:rsidRPr="00701F32">
        <w:rPr>
          <w:rFonts w:ascii="Arial" w:eastAsia="Calibri" w:hAnsi="Arial" w:cs="Arial"/>
          <w:sz w:val="20"/>
        </w:rPr>
        <w:t xml:space="preserve">de cotización de oro y moneda extranjera”. </w:t>
      </w:r>
    </w:p>
    <w:p w14:paraId="2E47ED21" w14:textId="77777777" w:rsidR="005C4329" w:rsidRPr="00701F32" w:rsidRDefault="005C4329" w:rsidP="00656E62">
      <w:pPr>
        <w:spacing w:after="160" w:line="259" w:lineRule="auto"/>
        <w:jc w:val="both"/>
        <w:rPr>
          <w:rFonts w:ascii="Arial" w:eastAsia="Calibri" w:hAnsi="Arial" w:cs="Arial"/>
          <w:sz w:val="20"/>
        </w:rPr>
      </w:pPr>
    </w:p>
    <w:p w14:paraId="1860E01C" w14:textId="77777777" w:rsidR="005C4329" w:rsidRPr="00701F32" w:rsidRDefault="005C4329" w:rsidP="00656E62">
      <w:pPr>
        <w:spacing w:after="160" w:line="259" w:lineRule="auto"/>
        <w:jc w:val="both"/>
        <w:rPr>
          <w:rFonts w:ascii="Arial" w:eastAsia="Arial" w:hAnsi="Arial" w:cs="Arial"/>
          <w:sz w:val="20"/>
        </w:rPr>
      </w:pPr>
    </w:p>
    <w:p w14:paraId="686A05AD" w14:textId="77777777" w:rsidR="00656E62" w:rsidRPr="00701F32" w:rsidRDefault="00656E62" w:rsidP="00656E62">
      <w:pPr>
        <w:spacing w:after="160" w:line="259" w:lineRule="auto"/>
        <w:jc w:val="both"/>
        <w:rPr>
          <w:rFonts w:ascii="Arial" w:eastAsia="Arial" w:hAnsi="Arial" w:cs="Arial"/>
          <w:b/>
          <w:color w:val="BF8800"/>
          <w:sz w:val="20"/>
        </w:rPr>
      </w:pPr>
      <w:r w:rsidRPr="00701F32">
        <w:rPr>
          <w:rFonts w:ascii="Arial" w:eastAsia="Arial" w:hAnsi="Arial" w:cs="Arial"/>
          <w:b/>
          <w:sz w:val="20"/>
        </w:rPr>
        <w:t>1.</w:t>
      </w:r>
      <w:r w:rsidR="00AF2B5E" w:rsidRPr="00701F32">
        <w:rPr>
          <w:rFonts w:ascii="Arial" w:eastAsia="Arial" w:hAnsi="Arial" w:cs="Arial"/>
          <w:b/>
          <w:sz w:val="20"/>
        </w:rPr>
        <w:t>6</w:t>
      </w:r>
      <w:r w:rsidRPr="00701F32">
        <w:rPr>
          <w:rFonts w:ascii="Arial" w:eastAsia="Arial" w:hAnsi="Arial" w:cs="Arial"/>
          <w:b/>
          <w:sz w:val="20"/>
        </w:rPr>
        <w:t xml:space="preserve"> Efectivo y depósitos en bancos </w:t>
      </w:r>
    </w:p>
    <w:p w14:paraId="4668B549"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El rubro efectivo y depósitos en bancos incluye el efectivo disponible, depósitos de libre disponibilidad en bancos locales y en bancos corresponsales del exterior. </w:t>
      </w:r>
    </w:p>
    <w:p w14:paraId="39FF7987" w14:textId="721F26D1"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Los activos registrados en disponibilidades se registran a su valor razonable.</w:t>
      </w:r>
    </w:p>
    <w:p w14:paraId="18E5F8E0"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El equivalente a efectivo está constituido por títulos públicos altamente líquidos de corto plazo, con vencimientos originales de tres meses o menos, con medición a valor razonable.</w:t>
      </w:r>
    </w:p>
    <w:p w14:paraId="45FA4971" w14:textId="30210993" w:rsidR="006470AD"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Se detalla a continuación la composición del efectivo al 3</w:t>
      </w:r>
      <w:r w:rsidR="000D601B" w:rsidRPr="00701F32">
        <w:rPr>
          <w:rFonts w:ascii="Arial" w:eastAsia="Arial" w:hAnsi="Arial" w:cs="Arial"/>
          <w:sz w:val="20"/>
        </w:rPr>
        <w:t>0</w:t>
      </w:r>
      <w:r w:rsidRPr="00701F32">
        <w:rPr>
          <w:rFonts w:ascii="Arial" w:eastAsia="Arial" w:hAnsi="Arial" w:cs="Arial"/>
          <w:sz w:val="20"/>
        </w:rPr>
        <w:t xml:space="preserve"> de </w:t>
      </w:r>
      <w:r w:rsidR="00AC4467" w:rsidRPr="00701F32">
        <w:rPr>
          <w:rFonts w:ascii="Arial" w:eastAsia="Arial" w:hAnsi="Arial" w:cs="Arial"/>
          <w:sz w:val="20"/>
        </w:rPr>
        <w:t xml:space="preserve">septiembre </w:t>
      </w:r>
      <w:r w:rsidRPr="00701F32">
        <w:rPr>
          <w:rFonts w:ascii="Arial" w:eastAsia="Arial" w:hAnsi="Arial" w:cs="Arial"/>
          <w:sz w:val="20"/>
        </w:rPr>
        <w:t>de 2018 y 2017.</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7"/>
        <w:gridCol w:w="1391"/>
        <w:gridCol w:w="1385"/>
      </w:tblGrid>
      <w:tr w:rsidR="00EA4292" w:rsidRPr="00701F32" w14:paraId="4083BF78" w14:textId="77777777" w:rsidTr="00002574">
        <w:trPr>
          <w:trHeight w:val="275"/>
          <w:jc w:val="center"/>
        </w:trPr>
        <w:tc>
          <w:tcPr>
            <w:tcW w:w="3360" w:type="pct"/>
            <w:shd w:val="clear" w:color="auto" w:fill="auto"/>
            <w:noWrap/>
            <w:vAlign w:val="bottom"/>
            <w:hideMark/>
          </w:tcPr>
          <w:p w14:paraId="38EC4424"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w:t>
            </w:r>
          </w:p>
        </w:tc>
        <w:tc>
          <w:tcPr>
            <w:tcW w:w="822" w:type="pct"/>
            <w:vAlign w:val="center"/>
          </w:tcPr>
          <w:p w14:paraId="5AFEDEFC" w14:textId="77777777" w:rsidR="00EA4292" w:rsidRPr="00701F32" w:rsidRDefault="00EA4292" w:rsidP="00002574">
            <w:pPr>
              <w:spacing w:line="259" w:lineRule="auto"/>
              <w:ind w:left="233" w:hanging="233"/>
              <w:jc w:val="center"/>
              <w:rPr>
                <w:rFonts w:ascii="Arial" w:hAnsi="Arial" w:cs="Arial"/>
                <w:b/>
                <w:color w:val="000000"/>
                <w:sz w:val="18"/>
                <w:lang w:eastAsia="es-AR"/>
              </w:rPr>
            </w:pPr>
            <w:r w:rsidRPr="00701F32">
              <w:rPr>
                <w:rFonts w:ascii="Arial" w:hAnsi="Arial" w:cs="Arial"/>
                <w:b/>
                <w:color w:val="000000"/>
                <w:sz w:val="18"/>
                <w:lang w:eastAsia="es-AR"/>
              </w:rPr>
              <w:t>30/0</w:t>
            </w:r>
            <w:r w:rsidR="00AC4467" w:rsidRPr="00701F32">
              <w:rPr>
                <w:rFonts w:ascii="Arial" w:hAnsi="Arial" w:cs="Arial"/>
                <w:b/>
                <w:color w:val="000000"/>
                <w:sz w:val="18"/>
                <w:lang w:eastAsia="es-AR"/>
              </w:rPr>
              <w:t>9</w:t>
            </w:r>
            <w:r w:rsidRPr="00701F32">
              <w:rPr>
                <w:rFonts w:ascii="Arial" w:hAnsi="Arial" w:cs="Arial"/>
                <w:b/>
                <w:color w:val="000000"/>
                <w:sz w:val="18"/>
                <w:lang w:eastAsia="es-AR"/>
              </w:rPr>
              <w:t>/2018</w:t>
            </w:r>
          </w:p>
        </w:tc>
        <w:tc>
          <w:tcPr>
            <w:tcW w:w="818" w:type="pct"/>
            <w:vAlign w:val="center"/>
          </w:tcPr>
          <w:p w14:paraId="7EBD5571" w14:textId="77777777" w:rsidR="00EA4292" w:rsidRPr="00701F32" w:rsidRDefault="00EA4292" w:rsidP="00002574">
            <w:pPr>
              <w:spacing w:line="259" w:lineRule="auto"/>
              <w:jc w:val="center"/>
              <w:rPr>
                <w:rFonts w:ascii="Arial" w:hAnsi="Arial" w:cs="Arial"/>
                <w:b/>
                <w:color w:val="000000"/>
                <w:sz w:val="18"/>
                <w:lang w:eastAsia="es-AR"/>
              </w:rPr>
            </w:pPr>
            <w:r w:rsidRPr="00701F32">
              <w:rPr>
                <w:rFonts w:ascii="Arial" w:hAnsi="Arial" w:cs="Arial"/>
                <w:b/>
                <w:color w:val="000000"/>
                <w:sz w:val="18"/>
                <w:lang w:eastAsia="es-AR"/>
              </w:rPr>
              <w:t>30/0</w:t>
            </w:r>
            <w:r w:rsidR="00AC4467" w:rsidRPr="00701F32">
              <w:rPr>
                <w:rFonts w:ascii="Arial" w:hAnsi="Arial" w:cs="Arial"/>
                <w:b/>
                <w:color w:val="000000"/>
                <w:sz w:val="18"/>
                <w:lang w:eastAsia="es-AR"/>
              </w:rPr>
              <w:t>9</w:t>
            </w:r>
            <w:r w:rsidRPr="00701F32">
              <w:rPr>
                <w:rFonts w:ascii="Arial" w:hAnsi="Arial" w:cs="Arial"/>
                <w:b/>
                <w:color w:val="000000"/>
                <w:sz w:val="18"/>
                <w:lang w:eastAsia="es-AR"/>
              </w:rPr>
              <w:t>/2017</w:t>
            </w:r>
          </w:p>
        </w:tc>
      </w:tr>
      <w:tr w:rsidR="00EA4292" w:rsidRPr="00701F32" w14:paraId="4BEB5863" w14:textId="77777777" w:rsidTr="00941382">
        <w:trPr>
          <w:trHeight w:val="275"/>
          <w:jc w:val="center"/>
        </w:trPr>
        <w:tc>
          <w:tcPr>
            <w:tcW w:w="3360" w:type="pct"/>
            <w:shd w:val="clear" w:color="auto" w:fill="auto"/>
            <w:noWrap/>
            <w:vAlign w:val="bottom"/>
            <w:hideMark/>
          </w:tcPr>
          <w:p w14:paraId="19553C55"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Efectivo y depósitos en bancos</w:t>
            </w:r>
          </w:p>
        </w:tc>
        <w:tc>
          <w:tcPr>
            <w:tcW w:w="822" w:type="pct"/>
            <w:vAlign w:val="center"/>
          </w:tcPr>
          <w:p w14:paraId="75F84545" w14:textId="4B9F264E" w:rsidR="00EA4292" w:rsidRPr="00701F32" w:rsidRDefault="00970D02" w:rsidP="00941382">
            <w:pPr>
              <w:ind w:left="-71" w:hanging="233"/>
              <w:jc w:val="right"/>
              <w:rPr>
                <w:rFonts w:ascii="Arial" w:hAnsi="Arial" w:cs="Arial"/>
                <w:color w:val="000000"/>
                <w:sz w:val="18"/>
              </w:rPr>
            </w:pPr>
            <w:r w:rsidRPr="00701F32">
              <w:rPr>
                <w:rFonts w:ascii="Arial" w:hAnsi="Arial" w:cs="Arial"/>
                <w:color w:val="000000"/>
                <w:sz w:val="18"/>
              </w:rPr>
              <w:t>33.615.507</w:t>
            </w:r>
          </w:p>
        </w:tc>
        <w:tc>
          <w:tcPr>
            <w:tcW w:w="818" w:type="pct"/>
            <w:vAlign w:val="center"/>
          </w:tcPr>
          <w:p w14:paraId="50865157" w14:textId="30C52B19" w:rsidR="00EA4292" w:rsidRPr="00701F32" w:rsidRDefault="00970D02" w:rsidP="00941382">
            <w:pPr>
              <w:ind w:left="-71" w:hanging="233"/>
              <w:jc w:val="right"/>
              <w:rPr>
                <w:rFonts w:ascii="Arial" w:hAnsi="Arial" w:cs="Arial"/>
                <w:color w:val="000000"/>
                <w:sz w:val="18"/>
              </w:rPr>
            </w:pPr>
            <w:r w:rsidRPr="00701F32">
              <w:rPr>
                <w:rFonts w:ascii="Arial" w:hAnsi="Arial" w:cs="Arial"/>
                <w:color w:val="000000"/>
                <w:sz w:val="18"/>
              </w:rPr>
              <w:t>8.936.489</w:t>
            </w:r>
          </w:p>
        </w:tc>
      </w:tr>
      <w:tr w:rsidR="00EA4292" w:rsidRPr="00701F32" w14:paraId="7EA806E1" w14:textId="77777777" w:rsidTr="00941382">
        <w:trPr>
          <w:trHeight w:val="275"/>
          <w:jc w:val="center"/>
        </w:trPr>
        <w:tc>
          <w:tcPr>
            <w:tcW w:w="3360" w:type="pct"/>
            <w:shd w:val="clear" w:color="auto" w:fill="auto"/>
            <w:noWrap/>
            <w:vAlign w:val="bottom"/>
            <w:hideMark/>
          </w:tcPr>
          <w:p w14:paraId="1EAAA961"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xml:space="preserve">Títulos de deuda a valor razonable </w:t>
            </w:r>
          </w:p>
        </w:tc>
        <w:tc>
          <w:tcPr>
            <w:tcW w:w="822" w:type="pct"/>
            <w:vAlign w:val="center"/>
          </w:tcPr>
          <w:p w14:paraId="1430B8CC" w14:textId="26516712" w:rsidR="00EA4292" w:rsidRPr="00701F32" w:rsidRDefault="00970D02" w:rsidP="00941382">
            <w:pPr>
              <w:ind w:left="-71" w:hanging="233"/>
              <w:jc w:val="right"/>
              <w:rPr>
                <w:rFonts w:ascii="Arial" w:hAnsi="Arial" w:cs="Arial"/>
                <w:color w:val="000000"/>
                <w:sz w:val="18"/>
                <w:lang w:val="es-ES_tradnl"/>
              </w:rPr>
            </w:pPr>
            <w:r w:rsidRPr="00701F32">
              <w:rPr>
                <w:rFonts w:ascii="Arial" w:hAnsi="Arial" w:cs="Arial"/>
                <w:color w:val="000000"/>
                <w:sz w:val="18"/>
                <w:lang w:val="es-ES_tradnl"/>
              </w:rPr>
              <w:t>11.784.705</w:t>
            </w:r>
          </w:p>
        </w:tc>
        <w:tc>
          <w:tcPr>
            <w:tcW w:w="818" w:type="pct"/>
            <w:vAlign w:val="center"/>
          </w:tcPr>
          <w:p w14:paraId="2C2E1352" w14:textId="7E792ABC" w:rsidR="00EA4292" w:rsidRPr="00701F32" w:rsidRDefault="00970D02" w:rsidP="00C86BED">
            <w:pPr>
              <w:ind w:left="-71" w:hanging="233"/>
              <w:jc w:val="right"/>
              <w:rPr>
                <w:rFonts w:ascii="Arial" w:hAnsi="Arial" w:cs="Arial"/>
                <w:color w:val="000000"/>
                <w:sz w:val="18"/>
              </w:rPr>
            </w:pPr>
            <w:r w:rsidRPr="00701F32">
              <w:rPr>
                <w:rFonts w:ascii="Arial" w:hAnsi="Arial" w:cs="Arial"/>
                <w:color w:val="000000"/>
                <w:sz w:val="18"/>
              </w:rPr>
              <w:t>4.340.</w:t>
            </w:r>
            <w:r w:rsidR="00C86BED" w:rsidRPr="00701F32">
              <w:rPr>
                <w:rFonts w:ascii="Arial" w:hAnsi="Arial" w:cs="Arial"/>
                <w:color w:val="000000"/>
                <w:sz w:val="18"/>
              </w:rPr>
              <w:t>654</w:t>
            </w:r>
          </w:p>
        </w:tc>
      </w:tr>
      <w:tr w:rsidR="00EA4292" w:rsidRPr="00701F32" w14:paraId="1501B2B1" w14:textId="77777777" w:rsidTr="00941382">
        <w:trPr>
          <w:trHeight w:val="275"/>
          <w:jc w:val="center"/>
        </w:trPr>
        <w:tc>
          <w:tcPr>
            <w:tcW w:w="3360" w:type="pct"/>
            <w:shd w:val="clear" w:color="auto" w:fill="auto"/>
            <w:noWrap/>
            <w:vAlign w:val="bottom"/>
            <w:hideMark/>
          </w:tcPr>
          <w:p w14:paraId="0F1CDAA1" w14:textId="77777777" w:rsidR="00EA4292" w:rsidRPr="00701F32" w:rsidRDefault="00EA4292" w:rsidP="00002574">
            <w:pPr>
              <w:spacing w:line="259" w:lineRule="auto"/>
              <w:jc w:val="both"/>
              <w:rPr>
                <w:rFonts w:ascii="Arial" w:hAnsi="Arial" w:cs="Arial"/>
                <w:b/>
                <w:bCs/>
                <w:color w:val="000000"/>
                <w:sz w:val="18"/>
                <w:lang w:eastAsia="es-AR"/>
              </w:rPr>
            </w:pPr>
            <w:r w:rsidRPr="00701F32">
              <w:rPr>
                <w:rFonts w:ascii="Arial" w:hAnsi="Arial" w:cs="Arial"/>
                <w:b/>
                <w:bCs/>
                <w:color w:val="000000"/>
                <w:sz w:val="18"/>
                <w:lang w:eastAsia="es-AR"/>
              </w:rPr>
              <w:t>Total</w:t>
            </w:r>
          </w:p>
        </w:tc>
        <w:tc>
          <w:tcPr>
            <w:tcW w:w="822" w:type="pct"/>
            <w:vAlign w:val="center"/>
          </w:tcPr>
          <w:p w14:paraId="60FC13C0" w14:textId="1EFAE1D3" w:rsidR="00EA4292" w:rsidRPr="00701F32" w:rsidRDefault="00970D02" w:rsidP="00941382">
            <w:pPr>
              <w:ind w:left="-71" w:hanging="233"/>
              <w:jc w:val="right"/>
              <w:rPr>
                <w:rFonts w:ascii="Arial" w:hAnsi="Arial" w:cs="Arial"/>
                <w:b/>
                <w:color w:val="000000"/>
                <w:sz w:val="18"/>
              </w:rPr>
            </w:pPr>
            <w:r w:rsidRPr="00701F32">
              <w:rPr>
                <w:rFonts w:ascii="Arial" w:hAnsi="Arial" w:cs="Arial"/>
                <w:b/>
                <w:color w:val="000000"/>
                <w:sz w:val="18"/>
              </w:rPr>
              <w:t>45.400.212</w:t>
            </w:r>
          </w:p>
        </w:tc>
        <w:tc>
          <w:tcPr>
            <w:tcW w:w="818" w:type="pct"/>
            <w:vAlign w:val="center"/>
          </w:tcPr>
          <w:p w14:paraId="418E8E9B" w14:textId="09696270" w:rsidR="00EA4292" w:rsidRPr="00701F32" w:rsidRDefault="00970D02" w:rsidP="00C86BED">
            <w:pPr>
              <w:ind w:left="-71" w:hanging="233"/>
              <w:jc w:val="right"/>
              <w:rPr>
                <w:rFonts w:ascii="Arial" w:hAnsi="Arial" w:cs="Arial"/>
                <w:b/>
                <w:color w:val="000000"/>
                <w:sz w:val="18"/>
              </w:rPr>
            </w:pPr>
            <w:r w:rsidRPr="00701F32">
              <w:rPr>
                <w:rFonts w:ascii="Arial" w:hAnsi="Arial" w:cs="Arial"/>
                <w:b/>
                <w:color w:val="000000"/>
                <w:sz w:val="18"/>
              </w:rPr>
              <w:t>13.277.</w:t>
            </w:r>
            <w:r w:rsidR="00C86BED" w:rsidRPr="00701F32">
              <w:rPr>
                <w:rFonts w:ascii="Arial" w:hAnsi="Arial" w:cs="Arial"/>
                <w:b/>
                <w:color w:val="000000"/>
                <w:sz w:val="18"/>
              </w:rPr>
              <w:t>143</w:t>
            </w:r>
          </w:p>
        </w:tc>
      </w:tr>
    </w:tbl>
    <w:p w14:paraId="7D30F6BB" w14:textId="578252D5" w:rsidR="00656E62" w:rsidRPr="00701F32" w:rsidRDefault="00656E62" w:rsidP="00656E62">
      <w:pPr>
        <w:spacing w:after="160" w:line="259" w:lineRule="auto"/>
        <w:jc w:val="both"/>
        <w:rPr>
          <w:rFonts w:ascii="Arial" w:eastAsia="Arial" w:hAnsi="Arial" w:cs="Arial"/>
          <w:color w:val="FF0000"/>
          <w:sz w:val="20"/>
        </w:rPr>
      </w:pPr>
    </w:p>
    <w:p w14:paraId="5A765A3E" w14:textId="77777777" w:rsidR="00437F6F" w:rsidRPr="00701F32" w:rsidRDefault="00437F6F" w:rsidP="00437F6F">
      <w:pPr>
        <w:jc w:val="both"/>
        <w:rPr>
          <w:rFonts w:ascii="Arial" w:eastAsia="Calibri" w:hAnsi="Arial" w:cs="Arial"/>
          <w:sz w:val="20"/>
          <w:lang w:eastAsia="es-PE"/>
        </w:rPr>
      </w:pPr>
      <w:r w:rsidRPr="00701F32">
        <w:rPr>
          <w:rFonts w:ascii="Arial" w:eastAsia="Calibri" w:hAnsi="Arial" w:cs="Arial"/>
          <w:sz w:val="20"/>
          <w:lang w:eastAsia="es-PE"/>
        </w:rPr>
        <w:t>Por su parte, se exponen a continuación las conciliaciones entre los saldos de aquellas partidas consideradas equivalentes de efectivo en el Estado de Flujo de Efectivo y las reportadas en el Estado de Situación Financiera al cierre del período:</w:t>
      </w:r>
    </w:p>
    <w:p w14:paraId="0970F589" w14:textId="77777777" w:rsidR="00EA4292" w:rsidRPr="00701F32" w:rsidRDefault="00EA4292" w:rsidP="00437F6F">
      <w:pPr>
        <w:jc w:val="both"/>
        <w:rPr>
          <w:rFonts w:ascii="Arial" w:eastAsia="Calibri" w:hAnsi="Arial" w:cs="Arial"/>
          <w:sz w:val="20"/>
          <w:lang w:eastAsia="es-PE"/>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1"/>
        <w:gridCol w:w="1420"/>
        <w:gridCol w:w="1223"/>
      </w:tblGrid>
      <w:tr w:rsidR="00EA4292" w:rsidRPr="00701F32" w14:paraId="3330B521"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8849A8" w14:textId="77777777" w:rsidR="00EA4292" w:rsidRPr="00701F32" w:rsidRDefault="00EA4292" w:rsidP="00002574">
            <w:pPr>
              <w:spacing w:line="259" w:lineRule="auto"/>
              <w:jc w:val="both"/>
              <w:rPr>
                <w:rFonts w:ascii="Arial" w:hAnsi="Arial" w:cs="Arial"/>
                <w:color w:val="000000"/>
                <w:sz w:val="18"/>
                <w:lang w:eastAsia="es-AR"/>
              </w:rPr>
            </w:pPr>
          </w:p>
        </w:tc>
        <w:tc>
          <w:tcPr>
            <w:tcW w:w="841" w:type="pct"/>
            <w:tcBorders>
              <w:top w:val="single" w:sz="4" w:space="0" w:color="auto"/>
              <w:left w:val="single" w:sz="4" w:space="0" w:color="auto"/>
              <w:bottom w:val="single" w:sz="4" w:space="0" w:color="auto"/>
              <w:right w:val="single" w:sz="4" w:space="0" w:color="auto"/>
            </w:tcBorders>
            <w:vAlign w:val="bottom"/>
          </w:tcPr>
          <w:p w14:paraId="007E976A" w14:textId="77777777" w:rsidR="00EA4292" w:rsidRPr="00701F32" w:rsidRDefault="00EA4292" w:rsidP="00831174">
            <w:pPr>
              <w:spacing w:line="259" w:lineRule="auto"/>
              <w:jc w:val="center"/>
              <w:rPr>
                <w:rFonts w:ascii="Arial" w:hAnsi="Arial" w:cs="Arial"/>
                <w:b/>
                <w:bCs/>
                <w:color w:val="000000"/>
                <w:sz w:val="18"/>
              </w:rPr>
            </w:pPr>
            <w:r w:rsidRPr="00701F32">
              <w:rPr>
                <w:rFonts w:ascii="Arial" w:hAnsi="Arial" w:cs="Arial"/>
                <w:b/>
                <w:bCs/>
                <w:color w:val="000000"/>
                <w:sz w:val="18"/>
              </w:rPr>
              <w:t>30/0</w:t>
            </w:r>
            <w:r w:rsidR="00B179CD" w:rsidRPr="00701F32">
              <w:rPr>
                <w:rFonts w:ascii="Arial" w:hAnsi="Arial" w:cs="Arial"/>
                <w:b/>
                <w:bCs/>
                <w:color w:val="000000"/>
                <w:sz w:val="18"/>
              </w:rPr>
              <w:t>9</w:t>
            </w:r>
            <w:r w:rsidRPr="00701F32">
              <w:rPr>
                <w:rFonts w:ascii="Arial" w:hAnsi="Arial" w:cs="Arial"/>
                <w:b/>
                <w:bCs/>
                <w:color w:val="000000"/>
                <w:sz w:val="18"/>
              </w:rPr>
              <w:t>/2018</w:t>
            </w:r>
          </w:p>
        </w:tc>
        <w:tc>
          <w:tcPr>
            <w:tcW w:w="724" w:type="pct"/>
            <w:tcBorders>
              <w:top w:val="single" w:sz="4" w:space="0" w:color="auto"/>
              <w:left w:val="single" w:sz="4" w:space="0" w:color="auto"/>
              <w:bottom w:val="single" w:sz="4" w:space="0" w:color="auto"/>
              <w:right w:val="single" w:sz="4" w:space="0" w:color="auto"/>
            </w:tcBorders>
            <w:vAlign w:val="bottom"/>
          </w:tcPr>
          <w:p w14:paraId="138367C5" w14:textId="77777777" w:rsidR="00EA4292" w:rsidRPr="00701F32" w:rsidRDefault="00EA4292" w:rsidP="00831174">
            <w:pPr>
              <w:spacing w:line="259" w:lineRule="auto"/>
              <w:jc w:val="center"/>
              <w:rPr>
                <w:rFonts w:ascii="Arial" w:hAnsi="Arial" w:cs="Arial"/>
                <w:b/>
                <w:bCs/>
                <w:color w:val="000000"/>
                <w:sz w:val="18"/>
              </w:rPr>
            </w:pPr>
            <w:r w:rsidRPr="00701F32">
              <w:rPr>
                <w:rFonts w:ascii="Arial" w:hAnsi="Arial" w:cs="Arial"/>
                <w:b/>
                <w:bCs/>
                <w:color w:val="000000"/>
                <w:sz w:val="18"/>
              </w:rPr>
              <w:t>30/0</w:t>
            </w:r>
            <w:r w:rsidR="00B179CD" w:rsidRPr="00701F32">
              <w:rPr>
                <w:rFonts w:ascii="Arial" w:hAnsi="Arial" w:cs="Arial"/>
                <w:b/>
                <w:bCs/>
                <w:color w:val="000000"/>
                <w:sz w:val="18"/>
              </w:rPr>
              <w:t>9</w:t>
            </w:r>
            <w:r w:rsidRPr="00701F32">
              <w:rPr>
                <w:rFonts w:ascii="Arial" w:hAnsi="Arial" w:cs="Arial"/>
                <w:b/>
                <w:bCs/>
                <w:color w:val="000000"/>
                <w:sz w:val="18"/>
              </w:rPr>
              <w:t>/2017</w:t>
            </w:r>
          </w:p>
        </w:tc>
      </w:tr>
      <w:tr w:rsidR="00EA4292" w:rsidRPr="00701F32" w14:paraId="2D70DFBE"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A179AE" w14:textId="77777777" w:rsidR="00EA4292" w:rsidRPr="00701F32" w:rsidRDefault="00EA4292" w:rsidP="00002574">
            <w:pPr>
              <w:spacing w:line="259" w:lineRule="auto"/>
              <w:jc w:val="both"/>
              <w:rPr>
                <w:rFonts w:ascii="Arial" w:hAnsi="Arial" w:cs="Arial"/>
                <w:b/>
                <w:color w:val="000000"/>
                <w:sz w:val="18"/>
                <w:lang w:eastAsia="es-AR"/>
              </w:rPr>
            </w:pPr>
            <w:r w:rsidRPr="00701F32">
              <w:rPr>
                <w:rFonts w:ascii="Arial" w:hAnsi="Arial" w:cs="Arial"/>
                <w:b/>
                <w:color w:val="000000"/>
                <w:sz w:val="18"/>
                <w:lang w:eastAsia="es-AR"/>
              </w:rPr>
              <w:t>Títulos valores a valor razonable s/Estado de Sit.Financiera</w:t>
            </w:r>
          </w:p>
        </w:tc>
        <w:tc>
          <w:tcPr>
            <w:tcW w:w="841" w:type="pct"/>
            <w:tcBorders>
              <w:top w:val="single" w:sz="4" w:space="0" w:color="auto"/>
              <w:left w:val="single" w:sz="4" w:space="0" w:color="auto"/>
              <w:bottom w:val="single" w:sz="4" w:space="0" w:color="auto"/>
              <w:right w:val="single" w:sz="4" w:space="0" w:color="auto"/>
            </w:tcBorders>
            <w:vAlign w:val="bottom"/>
          </w:tcPr>
          <w:p w14:paraId="43C603BB" w14:textId="1E5CF333" w:rsidR="00EA4292" w:rsidRPr="00701F32" w:rsidRDefault="00970D02" w:rsidP="00941382">
            <w:pPr>
              <w:spacing w:line="259" w:lineRule="auto"/>
              <w:ind w:left="709" w:hanging="709"/>
              <w:jc w:val="right"/>
              <w:rPr>
                <w:rFonts w:ascii="Arial" w:hAnsi="Arial" w:cs="Arial"/>
                <w:b/>
                <w:bCs/>
                <w:color w:val="000000"/>
                <w:sz w:val="18"/>
              </w:rPr>
            </w:pPr>
            <w:r w:rsidRPr="00701F32">
              <w:rPr>
                <w:rFonts w:ascii="Arial" w:hAnsi="Arial" w:cs="Arial"/>
                <w:b/>
                <w:bCs/>
                <w:color w:val="000000"/>
                <w:sz w:val="18"/>
              </w:rPr>
              <w:t>13.553.237</w:t>
            </w:r>
          </w:p>
        </w:tc>
        <w:tc>
          <w:tcPr>
            <w:tcW w:w="724" w:type="pct"/>
            <w:tcBorders>
              <w:top w:val="single" w:sz="4" w:space="0" w:color="auto"/>
              <w:left w:val="single" w:sz="4" w:space="0" w:color="auto"/>
              <w:bottom w:val="single" w:sz="4" w:space="0" w:color="auto"/>
              <w:right w:val="single" w:sz="4" w:space="0" w:color="auto"/>
            </w:tcBorders>
            <w:vAlign w:val="bottom"/>
          </w:tcPr>
          <w:p w14:paraId="1E89F461" w14:textId="2AF22B25" w:rsidR="00EA4292" w:rsidRPr="00701F32" w:rsidRDefault="00970D02" w:rsidP="00831174">
            <w:pPr>
              <w:spacing w:line="259" w:lineRule="auto"/>
              <w:jc w:val="right"/>
              <w:rPr>
                <w:rFonts w:ascii="Arial" w:hAnsi="Arial" w:cs="Arial"/>
                <w:b/>
                <w:bCs/>
                <w:color w:val="000000"/>
                <w:sz w:val="18"/>
              </w:rPr>
            </w:pPr>
            <w:r w:rsidRPr="00701F32">
              <w:rPr>
                <w:rFonts w:ascii="Arial" w:hAnsi="Arial" w:cs="Arial"/>
                <w:b/>
                <w:bCs/>
                <w:color w:val="000000"/>
                <w:sz w:val="18"/>
              </w:rPr>
              <w:t>4.340.65</w:t>
            </w:r>
            <w:r w:rsidR="005C4329" w:rsidRPr="00701F32">
              <w:rPr>
                <w:rFonts w:ascii="Arial" w:hAnsi="Arial" w:cs="Arial"/>
                <w:b/>
                <w:bCs/>
                <w:color w:val="000000"/>
                <w:sz w:val="18"/>
              </w:rPr>
              <w:t>4</w:t>
            </w:r>
          </w:p>
        </w:tc>
      </w:tr>
      <w:tr w:rsidR="00EA4292" w:rsidRPr="00701F32" w14:paraId="681A7560"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43FD5"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del BCRA hasta 90 días</w:t>
            </w:r>
          </w:p>
        </w:tc>
        <w:tc>
          <w:tcPr>
            <w:tcW w:w="841" w:type="pct"/>
            <w:tcBorders>
              <w:top w:val="single" w:sz="4" w:space="0" w:color="auto"/>
              <w:left w:val="single" w:sz="4" w:space="0" w:color="auto"/>
              <w:bottom w:val="single" w:sz="4" w:space="0" w:color="auto"/>
              <w:right w:val="single" w:sz="4" w:space="0" w:color="auto"/>
            </w:tcBorders>
            <w:vAlign w:val="bottom"/>
          </w:tcPr>
          <w:p w14:paraId="7B51B6FA" w14:textId="4AB5A058" w:rsidR="00EA4292" w:rsidRPr="00701F32" w:rsidRDefault="00970D02">
            <w:pPr>
              <w:spacing w:line="259" w:lineRule="auto"/>
              <w:jc w:val="right"/>
              <w:rPr>
                <w:rFonts w:ascii="Arial" w:hAnsi="Arial" w:cs="Arial"/>
                <w:bCs/>
                <w:color w:val="000000"/>
                <w:sz w:val="18"/>
                <w:lang w:val="es-ES_tradnl"/>
              </w:rPr>
            </w:pPr>
            <w:r w:rsidRPr="00701F32">
              <w:rPr>
                <w:rFonts w:ascii="Arial" w:hAnsi="Arial" w:cs="Arial"/>
                <w:bCs/>
                <w:color w:val="000000"/>
                <w:sz w:val="18"/>
                <w:lang w:val="es-ES_tradnl"/>
              </w:rPr>
              <w:t>286.438</w:t>
            </w:r>
          </w:p>
        </w:tc>
        <w:tc>
          <w:tcPr>
            <w:tcW w:w="724" w:type="pct"/>
            <w:tcBorders>
              <w:top w:val="single" w:sz="4" w:space="0" w:color="auto"/>
              <w:left w:val="single" w:sz="4" w:space="0" w:color="auto"/>
              <w:bottom w:val="single" w:sz="4" w:space="0" w:color="auto"/>
              <w:right w:val="single" w:sz="4" w:space="0" w:color="auto"/>
            </w:tcBorders>
            <w:vAlign w:val="bottom"/>
          </w:tcPr>
          <w:p w14:paraId="08E5848B" w14:textId="15BED4DC" w:rsidR="00EA4292" w:rsidRPr="00701F32" w:rsidRDefault="00970D02" w:rsidP="00831174">
            <w:pPr>
              <w:spacing w:line="259" w:lineRule="auto"/>
              <w:jc w:val="right"/>
              <w:rPr>
                <w:rFonts w:ascii="Arial" w:hAnsi="Arial" w:cs="Arial"/>
                <w:bCs/>
                <w:color w:val="000000"/>
                <w:sz w:val="18"/>
              </w:rPr>
            </w:pPr>
            <w:r w:rsidRPr="00701F32">
              <w:rPr>
                <w:rFonts w:ascii="Arial" w:hAnsi="Arial" w:cs="Arial"/>
                <w:bCs/>
                <w:color w:val="000000"/>
                <w:sz w:val="18"/>
              </w:rPr>
              <w:t>4.255.255</w:t>
            </w:r>
          </w:p>
        </w:tc>
      </w:tr>
      <w:tr w:rsidR="00EA4292" w:rsidRPr="00701F32" w14:paraId="522AAB83"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5DC82"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 Liquidez del BCRA hasta 90 días</w:t>
            </w:r>
          </w:p>
        </w:tc>
        <w:tc>
          <w:tcPr>
            <w:tcW w:w="841" w:type="pct"/>
            <w:tcBorders>
              <w:top w:val="single" w:sz="4" w:space="0" w:color="auto"/>
              <w:left w:val="single" w:sz="4" w:space="0" w:color="auto"/>
              <w:bottom w:val="single" w:sz="4" w:space="0" w:color="auto"/>
              <w:right w:val="single" w:sz="4" w:space="0" w:color="auto"/>
            </w:tcBorders>
            <w:vAlign w:val="bottom"/>
          </w:tcPr>
          <w:p w14:paraId="13B95201" w14:textId="41F35846" w:rsidR="00EA4292" w:rsidRPr="00701F32" w:rsidRDefault="00970D02" w:rsidP="00831174">
            <w:pPr>
              <w:spacing w:line="259" w:lineRule="auto"/>
              <w:jc w:val="right"/>
              <w:rPr>
                <w:rFonts w:ascii="Arial" w:hAnsi="Arial" w:cs="Arial"/>
                <w:bCs/>
                <w:color w:val="000000"/>
                <w:sz w:val="18"/>
              </w:rPr>
            </w:pPr>
            <w:r w:rsidRPr="00701F32">
              <w:rPr>
                <w:rFonts w:ascii="Arial" w:hAnsi="Arial" w:cs="Arial"/>
                <w:bCs/>
                <w:color w:val="000000"/>
                <w:sz w:val="18"/>
              </w:rPr>
              <w:t>11.462.811</w:t>
            </w:r>
          </w:p>
        </w:tc>
        <w:tc>
          <w:tcPr>
            <w:tcW w:w="724" w:type="pct"/>
            <w:tcBorders>
              <w:top w:val="single" w:sz="4" w:space="0" w:color="auto"/>
              <w:left w:val="single" w:sz="4" w:space="0" w:color="auto"/>
              <w:bottom w:val="single" w:sz="4" w:space="0" w:color="auto"/>
              <w:right w:val="single" w:sz="4" w:space="0" w:color="auto"/>
            </w:tcBorders>
            <w:vAlign w:val="bottom"/>
          </w:tcPr>
          <w:p w14:paraId="478B9D9F" w14:textId="54F8B9D0" w:rsidR="00EA4292" w:rsidRPr="00701F32" w:rsidRDefault="00970D02" w:rsidP="00831174">
            <w:pPr>
              <w:spacing w:line="259" w:lineRule="auto"/>
              <w:jc w:val="right"/>
              <w:rPr>
                <w:rFonts w:ascii="Arial" w:hAnsi="Arial" w:cs="Arial"/>
                <w:bCs/>
                <w:color w:val="000000"/>
                <w:sz w:val="18"/>
              </w:rPr>
            </w:pPr>
            <w:r w:rsidRPr="00701F32">
              <w:rPr>
                <w:rFonts w:ascii="Arial" w:hAnsi="Arial" w:cs="Arial"/>
                <w:bCs/>
                <w:color w:val="000000"/>
                <w:sz w:val="18"/>
              </w:rPr>
              <w:t>-</w:t>
            </w:r>
          </w:p>
        </w:tc>
      </w:tr>
      <w:tr w:rsidR="00EA4292" w:rsidRPr="00701F32" w14:paraId="1FEED5D1"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0296C2"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 Letras del Tesoro Nacional hasta 90 días</w:t>
            </w:r>
          </w:p>
        </w:tc>
        <w:tc>
          <w:tcPr>
            <w:tcW w:w="841" w:type="pct"/>
            <w:tcBorders>
              <w:top w:val="single" w:sz="4" w:space="0" w:color="auto"/>
              <w:left w:val="single" w:sz="4" w:space="0" w:color="auto"/>
              <w:bottom w:val="single" w:sz="4" w:space="0" w:color="auto"/>
              <w:right w:val="single" w:sz="4" w:space="0" w:color="auto"/>
            </w:tcBorders>
            <w:vAlign w:val="bottom"/>
          </w:tcPr>
          <w:p w14:paraId="605E65F8" w14:textId="4B4961E4" w:rsidR="00EA4292" w:rsidRPr="00701F32" w:rsidRDefault="00970D02" w:rsidP="00831174">
            <w:pPr>
              <w:spacing w:line="259" w:lineRule="auto"/>
              <w:jc w:val="right"/>
              <w:rPr>
                <w:rFonts w:ascii="Arial" w:hAnsi="Arial" w:cs="Arial"/>
                <w:bCs/>
                <w:color w:val="000000"/>
                <w:sz w:val="18"/>
              </w:rPr>
            </w:pPr>
            <w:r w:rsidRPr="00701F32">
              <w:rPr>
                <w:rFonts w:ascii="Arial" w:hAnsi="Arial" w:cs="Arial"/>
                <w:bCs/>
                <w:color w:val="000000"/>
                <w:sz w:val="18"/>
              </w:rPr>
              <w:t>35.456</w:t>
            </w:r>
          </w:p>
        </w:tc>
        <w:tc>
          <w:tcPr>
            <w:tcW w:w="724" w:type="pct"/>
            <w:tcBorders>
              <w:top w:val="single" w:sz="4" w:space="0" w:color="auto"/>
              <w:left w:val="single" w:sz="4" w:space="0" w:color="auto"/>
              <w:bottom w:val="single" w:sz="4" w:space="0" w:color="auto"/>
              <w:right w:val="single" w:sz="4" w:space="0" w:color="auto"/>
            </w:tcBorders>
            <w:vAlign w:val="bottom"/>
          </w:tcPr>
          <w:p w14:paraId="207ABE9A" w14:textId="692AAC49" w:rsidR="00EA4292" w:rsidRPr="00701F32" w:rsidRDefault="00970D02" w:rsidP="00831174">
            <w:pPr>
              <w:spacing w:line="259" w:lineRule="auto"/>
              <w:jc w:val="right"/>
              <w:rPr>
                <w:rFonts w:ascii="Arial" w:hAnsi="Arial" w:cs="Arial"/>
                <w:bCs/>
                <w:color w:val="000000"/>
                <w:sz w:val="18"/>
              </w:rPr>
            </w:pPr>
            <w:r w:rsidRPr="00701F32">
              <w:rPr>
                <w:rFonts w:ascii="Arial" w:hAnsi="Arial" w:cs="Arial"/>
                <w:bCs/>
                <w:color w:val="000000"/>
                <w:sz w:val="18"/>
              </w:rPr>
              <w:t>85.400</w:t>
            </w:r>
          </w:p>
        </w:tc>
      </w:tr>
      <w:tr w:rsidR="00EA4292" w:rsidRPr="00701F32" w14:paraId="30CEB133"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8D6B6C" w14:textId="77777777" w:rsidR="00EA4292" w:rsidRPr="00701F32" w:rsidRDefault="00EA429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Títulos de deuda a valor razonable s/Estado de Flujo de Efectivo</w:t>
            </w:r>
          </w:p>
        </w:tc>
        <w:tc>
          <w:tcPr>
            <w:tcW w:w="841" w:type="pct"/>
            <w:tcBorders>
              <w:top w:val="single" w:sz="4" w:space="0" w:color="auto"/>
              <w:left w:val="single" w:sz="4" w:space="0" w:color="auto"/>
              <w:bottom w:val="single" w:sz="4" w:space="0" w:color="auto"/>
              <w:right w:val="single" w:sz="4" w:space="0" w:color="auto"/>
            </w:tcBorders>
            <w:vAlign w:val="bottom"/>
          </w:tcPr>
          <w:p w14:paraId="545EE66D" w14:textId="2EF7BEE5" w:rsidR="00EA4292" w:rsidRPr="00701F32" w:rsidRDefault="00970D02">
            <w:pPr>
              <w:spacing w:line="259" w:lineRule="auto"/>
              <w:jc w:val="right"/>
              <w:rPr>
                <w:rFonts w:ascii="Arial" w:hAnsi="Arial" w:cs="Arial"/>
                <w:b/>
                <w:bCs/>
                <w:color w:val="000000"/>
                <w:sz w:val="18"/>
                <w:lang w:val="es-ES_tradnl"/>
              </w:rPr>
            </w:pPr>
            <w:r w:rsidRPr="00701F32">
              <w:rPr>
                <w:rFonts w:ascii="Arial" w:hAnsi="Arial" w:cs="Arial"/>
                <w:b/>
                <w:bCs/>
                <w:color w:val="000000"/>
                <w:sz w:val="18"/>
                <w:lang w:val="es-ES_tradnl"/>
              </w:rPr>
              <w:t>11.784.705</w:t>
            </w:r>
          </w:p>
        </w:tc>
        <w:tc>
          <w:tcPr>
            <w:tcW w:w="724" w:type="pct"/>
            <w:tcBorders>
              <w:top w:val="single" w:sz="4" w:space="0" w:color="auto"/>
              <w:left w:val="single" w:sz="4" w:space="0" w:color="auto"/>
              <w:bottom w:val="single" w:sz="4" w:space="0" w:color="auto"/>
              <w:right w:val="single" w:sz="4" w:space="0" w:color="auto"/>
            </w:tcBorders>
            <w:vAlign w:val="bottom"/>
          </w:tcPr>
          <w:p w14:paraId="57BAB56B" w14:textId="276DF6B8" w:rsidR="00EA4292" w:rsidRPr="00701F32" w:rsidRDefault="00970D02" w:rsidP="00831174">
            <w:pPr>
              <w:spacing w:line="259" w:lineRule="auto"/>
              <w:jc w:val="right"/>
              <w:rPr>
                <w:rFonts w:ascii="Arial" w:hAnsi="Arial" w:cs="Arial"/>
                <w:b/>
                <w:bCs/>
                <w:color w:val="000000"/>
                <w:sz w:val="18"/>
                <w:lang w:val="es-ES_tradnl"/>
              </w:rPr>
            </w:pPr>
            <w:r w:rsidRPr="00701F32">
              <w:rPr>
                <w:rFonts w:ascii="Arial" w:hAnsi="Arial" w:cs="Arial"/>
                <w:b/>
                <w:bCs/>
                <w:color w:val="000000"/>
                <w:sz w:val="18"/>
                <w:lang w:val="es-ES_tradnl"/>
              </w:rPr>
              <w:t>4.340.65</w:t>
            </w:r>
            <w:r w:rsidR="005C4329" w:rsidRPr="00701F32">
              <w:rPr>
                <w:rFonts w:ascii="Arial" w:hAnsi="Arial" w:cs="Arial"/>
                <w:b/>
                <w:bCs/>
                <w:color w:val="000000"/>
                <w:sz w:val="18"/>
                <w:lang w:val="es-ES_tradnl"/>
              </w:rPr>
              <w:t>4</w:t>
            </w:r>
          </w:p>
        </w:tc>
      </w:tr>
      <w:tr w:rsidR="00970D02" w:rsidRPr="00701F32" w14:paraId="3D32F714" w14:textId="77777777" w:rsidTr="00E311C9">
        <w:trPr>
          <w:trHeight w:val="281"/>
          <w:jc w:val="center"/>
        </w:trPr>
        <w:tc>
          <w:tcPr>
            <w:tcW w:w="3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4C0398" w14:textId="42E71E6B" w:rsidR="00970D02" w:rsidRPr="00701F32" w:rsidRDefault="00970D02" w:rsidP="00002574">
            <w:pPr>
              <w:spacing w:line="259" w:lineRule="auto"/>
              <w:jc w:val="both"/>
              <w:rPr>
                <w:rFonts w:ascii="Arial" w:hAnsi="Arial" w:cs="Arial"/>
                <w:color w:val="000000"/>
                <w:sz w:val="18"/>
                <w:lang w:eastAsia="es-AR"/>
              </w:rPr>
            </w:pPr>
            <w:r w:rsidRPr="00701F32">
              <w:rPr>
                <w:rFonts w:ascii="Arial" w:hAnsi="Arial" w:cs="Arial"/>
                <w:color w:val="000000"/>
                <w:sz w:val="18"/>
                <w:lang w:eastAsia="es-AR"/>
              </w:rPr>
              <w:t>Titulos no considerados Equvalentes de Efectivo</w:t>
            </w:r>
          </w:p>
        </w:tc>
        <w:tc>
          <w:tcPr>
            <w:tcW w:w="841" w:type="pct"/>
            <w:tcBorders>
              <w:top w:val="single" w:sz="4" w:space="0" w:color="auto"/>
              <w:left w:val="single" w:sz="4" w:space="0" w:color="auto"/>
              <w:bottom w:val="single" w:sz="4" w:space="0" w:color="auto"/>
              <w:right w:val="single" w:sz="4" w:space="0" w:color="auto"/>
            </w:tcBorders>
            <w:vAlign w:val="bottom"/>
          </w:tcPr>
          <w:p w14:paraId="2332D50F" w14:textId="13741877" w:rsidR="00970D02" w:rsidRPr="00701F32" w:rsidRDefault="00970D02">
            <w:pPr>
              <w:spacing w:line="259" w:lineRule="auto"/>
              <w:jc w:val="right"/>
              <w:rPr>
                <w:rFonts w:ascii="Arial" w:hAnsi="Arial" w:cs="Arial"/>
                <w:b/>
                <w:bCs/>
                <w:color w:val="000000"/>
                <w:sz w:val="18"/>
              </w:rPr>
            </w:pPr>
            <w:r w:rsidRPr="00701F32">
              <w:rPr>
                <w:rFonts w:ascii="Arial" w:hAnsi="Arial" w:cs="Arial"/>
                <w:b/>
                <w:bCs/>
                <w:color w:val="000000"/>
                <w:sz w:val="18"/>
              </w:rPr>
              <w:t>1.768.532</w:t>
            </w:r>
          </w:p>
        </w:tc>
        <w:tc>
          <w:tcPr>
            <w:tcW w:w="724" w:type="pct"/>
            <w:tcBorders>
              <w:top w:val="single" w:sz="4" w:space="0" w:color="auto"/>
              <w:left w:val="single" w:sz="4" w:space="0" w:color="auto"/>
              <w:bottom w:val="single" w:sz="4" w:space="0" w:color="auto"/>
              <w:right w:val="single" w:sz="4" w:space="0" w:color="auto"/>
            </w:tcBorders>
            <w:vAlign w:val="bottom"/>
          </w:tcPr>
          <w:p w14:paraId="70245738" w14:textId="77777777" w:rsidR="00970D02" w:rsidRPr="00701F32" w:rsidRDefault="00970D02" w:rsidP="00831174">
            <w:pPr>
              <w:spacing w:line="259" w:lineRule="auto"/>
              <w:jc w:val="right"/>
              <w:rPr>
                <w:rFonts w:ascii="Arial" w:hAnsi="Arial" w:cs="Arial"/>
                <w:b/>
                <w:bCs/>
                <w:color w:val="000000"/>
                <w:sz w:val="18"/>
                <w:lang w:val="es-ES_tradnl"/>
              </w:rPr>
            </w:pPr>
          </w:p>
        </w:tc>
      </w:tr>
    </w:tbl>
    <w:p w14:paraId="0470B784" w14:textId="77777777" w:rsidR="00437F6F" w:rsidRPr="00701F32" w:rsidRDefault="00437F6F" w:rsidP="00656E62">
      <w:pPr>
        <w:spacing w:after="160" w:line="259" w:lineRule="auto"/>
        <w:jc w:val="both"/>
        <w:rPr>
          <w:rFonts w:ascii="Arial" w:eastAsia="Arial" w:hAnsi="Arial" w:cs="Arial"/>
          <w:color w:val="FF0000"/>
          <w:sz w:val="20"/>
        </w:rPr>
      </w:pPr>
    </w:p>
    <w:p w14:paraId="733CE917" w14:textId="77777777" w:rsidR="00656E62" w:rsidRPr="00701F32" w:rsidRDefault="00656E62" w:rsidP="00656E62">
      <w:pPr>
        <w:jc w:val="both"/>
        <w:rPr>
          <w:rFonts w:ascii="Arial" w:eastAsia="SimSun" w:hAnsi="Arial" w:cs="Arial"/>
          <w:b/>
          <w:noProof/>
          <w:color w:val="000000"/>
          <w:sz w:val="20"/>
          <w:lang w:eastAsia="es-AR"/>
        </w:rPr>
      </w:pPr>
      <w:r w:rsidRPr="00701F32">
        <w:rPr>
          <w:rFonts w:ascii="Arial" w:eastAsia="SimSun" w:hAnsi="Arial" w:cs="Arial"/>
          <w:b/>
          <w:noProof/>
          <w:color w:val="000000"/>
          <w:sz w:val="20"/>
          <w:lang w:eastAsia="es-AR"/>
        </w:rPr>
        <w:t>1.</w:t>
      </w:r>
      <w:r w:rsidR="00AF2B5E" w:rsidRPr="00701F32">
        <w:rPr>
          <w:rFonts w:ascii="Arial" w:eastAsia="SimSun" w:hAnsi="Arial" w:cs="Arial"/>
          <w:b/>
          <w:noProof/>
          <w:color w:val="000000"/>
          <w:sz w:val="20"/>
          <w:lang w:eastAsia="es-AR"/>
        </w:rPr>
        <w:t>7</w:t>
      </w:r>
      <w:r w:rsidRPr="00701F32">
        <w:rPr>
          <w:rFonts w:ascii="Arial" w:eastAsia="SimSun" w:hAnsi="Arial" w:cs="Arial"/>
          <w:b/>
          <w:noProof/>
          <w:color w:val="000000"/>
          <w:sz w:val="20"/>
          <w:lang w:eastAsia="es-AR"/>
        </w:rPr>
        <w:t xml:space="preserve"> Instrumentos financieros </w:t>
      </w:r>
    </w:p>
    <w:p w14:paraId="02C702A8" w14:textId="77777777" w:rsidR="00656E62" w:rsidRPr="00701F32" w:rsidRDefault="00656E62" w:rsidP="00656E62">
      <w:pPr>
        <w:jc w:val="both"/>
        <w:rPr>
          <w:rFonts w:ascii="Arial" w:eastAsia="Calibri" w:hAnsi="Arial" w:cs="Arial"/>
          <w:noProof/>
          <w:sz w:val="20"/>
        </w:rPr>
      </w:pPr>
    </w:p>
    <w:p w14:paraId="27BD9EB4" w14:textId="77777777" w:rsidR="00656E62" w:rsidRPr="00701F32" w:rsidRDefault="00656E62" w:rsidP="00656E62">
      <w:pPr>
        <w:jc w:val="both"/>
        <w:rPr>
          <w:rFonts w:ascii="Arial" w:hAnsi="Arial" w:cs="Arial"/>
          <w:noProof/>
          <w:sz w:val="20"/>
          <w:u w:val="single"/>
        </w:rPr>
      </w:pPr>
      <w:r w:rsidRPr="00701F32">
        <w:rPr>
          <w:rFonts w:ascii="Arial" w:hAnsi="Arial" w:cs="Arial"/>
          <w:noProof/>
          <w:sz w:val="20"/>
          <w:u w:val="single"/>
        </w:rPr>
        <w:t>Reconocimiento Inicial</w:t>
      </w:r>
    </w:p>
    <w:p w14:paraId="307E37A9" w14:textId="77777777" w:rsidR="00656E62" w:rsidRPr="00701F32" w:rsidRDefault="00656E62" w:rsidP="00656E62">
      <w:pPr>
        <w:jc w:val="both"/>
        <w:rPr>
          <w:rFonts w:ascii="Arial" w:hAnsi="Arial" w:cs="Arial"/>
          <w:noProof/>
          <w:sz w:val="20"/>
          <w:u w:val="single"/>
        </w:rPr>
      </w:pPr>
    </w:p>
    <w:p w14:paraId="752A17D2" w14:textId="77777777" w:rsidR="00656E62" w:rsidRPr="00701F32" w:rsidRDefault="00656E62" w:rsidP="00656E62">
      <w:pPr>
        <w:spacing w:after="160" w:line="259" w:lineRule="auto"/>
        <w:jc w:val="both"/>
        <w:rPr>
          <w:rFonts w:ascii="Arial" w:eastAsia="Calibri" w:hAnsi="Arial" w:cs="Arial"/>
          <w:noProof/>
          <w:sz w:val="20"/>
        </w:rPr>
      </w:pPr>
      <w:r w:rsidRPr="00701F32">
        <w:rPr>
          <w:rFonts w:ascii="Arial" w:eastAsia="Calibri" w:hAnsi="Arial" w:cs="Arial"/>
          <w:sz w:val="20"/>
        </w:rPr>
        <w:t xml:space="preserve">La Entidad reconoce un activo o pasivo financiero en sus </w:t>
      </w:r>
      <w:r w:rsidR="00C22D3E" w:rsidRPr="00701F32">
        <w:rPr>
          <w:rFonts w:ascii="Arial" w:eastAsia="Calibri" w:hAnsi="Arial" w:cs="Arial"/>
          <w:sz w:val="20"/>
        </w:rPr>
        <w:t>estados financieros condensados separados intermedios</w:t>
      </w:r>
      <w:r w:rsidRPr="00701F32">
        <w:rPr>
          <w:rFonts w:ascii="Arial" w:eastAsia="Calibri" w:hAnsi="Arial" w:cs="Arial"/>
          <w:sz w:val="20"/>
        </w:rPr>
        <w:t xml:space="preserve">, según corresponda, cuando se haga parte de las cláusulas contractuales del instrumento financiero en cuestión. </w:t>
      </w:r>
      <w:r w:rsidRPr="00701F32">
        <w:rPr>
          <w:rFonts w:ascii="Arial" w:eastAsia="Calibri" w:hAnsi="Arial" w:cs="Arial"/>
          <w:noProof/>
          <w:sz w:val="20"/>
        </w:rPr>
        <w:t>Las compras y ventas de instrumentos financieros que requieren la entrega de activos dentro del plazo generalmente establecido por regulaciones o condiciones de mercado,son reconocidas en la fecha de negociación de la operación</w:t>
      </w:r>
      <w:r w:rsidRPr="00701F32">
        <w:rPr>
          <w:rFonts w:ascii="Arial" w:eastAsia="Calibri" w:hAnsi="Arial" w:cs="Arial"/>
          <w:noProof/>
          <w:color w:val="00B050"/>
          <w:sz w:val="20"/>
        </w:rPr>
        <w:t xml:space="preserve"> </w:t>
      </w:r>
      <w:r w:rsidRPr="00701F32">
        <w:rPr>
          <w:rFonts w:ascii="Arial" w:eastAsia="Calibri" w:hAnsi="Arial" w:cs="Arial"/>
          <w:noProof/>
          <w:sz w:val="20"/>
        </w:rPr>
        <w:t>en que la Entidad, se compromete a la compra o venta del activo.</w:t>
      </w:r>
    </w:p>
    <w:p w14:paraId="6AE0D3CA"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En el reconocimiento inicial, la Entidad mide los activos o pasivos financieros a su valor razonable. Los instrumentos no reconocidos a valor razonables con cambios en resultados, son registrados al valor razonable ajustado por los costos de transacción que son directamente atribuibles a la propia adquisición o emision de los mismos, tales como honorarios y comisiones. </w:t>
      </w:r>
    </w:p>
    <w:p w14:paraId="4E29DA01" w14:textId="77777777" w:rsidR="00656E62" w:rsidRPr="00701F32" w:rsidRDefault="00656E62" w:rsidP="00656E62">
      <w:pPr>
        <w:jc w:val="both"/>
        <w:rPr>
          <w:rFonts w:ascii="Arial" w:eastAsia="Calibri" w:hAnsi="Arial" w:cs="Arial"/>
          <w:noProof/>
          <w:sz w:val="20"/>
        </w:rPr>
      </w:pPr>
    </w:p>
    <w:p w14:paraId="369D2850"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Cuando el valor razonable difiera del valor de costo del reconocimiento inicial, La Entidad reconoce la diferencia de la siguiente manera: </w:t>
      </w:r>
    </w:p>
    <w:p w14:paraId="462057A2" w14:textId="77777777" w:rsidR="00656E62" w:rsidRPr="00701F32" w:rsidRDefault="00656E62" w:rsidP="00656E62">
      <w:pPr>
        <w:jc w:val="both"/>
        <w:rPr>
          <w:rFonts w:ascii="Arial" w:eastAsia="Calibri" w:hAnsi="Arial" w:cs="Arial"/>
          <w:noProof/>
          <w:sz w:val="20"/>
        </w:rPr>
      </w:pPr>
    </w:p>
    <w:p w14:paraId="61CEC222" w14:textId="77777777" w:rsidR="00656E62" w:rsidRPr="00701F32" w:rsidRDefault="00656E62" w:rsidP="00656E62">
      <w:pPr>
        <w:numPr>
          <w:ilvl w:val="0"/>
          <w:numId w:val="41"/>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Cuando el valor razonable es acorde al valor del mercado del activo o pasivo financiero o se encuentre basado en una técnica de valoración que utilice unicamente valores de mercado, la diferencia se reconoce como ganancia o pérdida según corresponda.</w:t>
      </w:r>
    </w:p>
    <w:p w14:paraId="53FA7BDA" w14:textId="77777777" w:rsidR="00656E62" w:rsidRPr="00701F32" w:rsidRDefault="00656E62" w:rsidP="00656E62">
      <w:pPr>
        <w:jc w:val="both"/>
        <w:rPr>
          <w:rFonts w:ascii="Arial" w:eastAsia="Calibri" w:hAnsi="Arial" w:cs="Arial"/>
          <w:noProof/>
          <w:sz w:val="20"/>
        </w:rPr>
      </w:pPr>
    </w:p>
    <w:p w14:paraId="4B6E2A71" w14:textId="77777777" w:rsidR="00656E62" w:rsidRPr="00701F32" w:rsidRDefault="00656E62" w:rsidP="00656E62">
      <w:pPr>
        <w:numPr>
          <w:ilvl w:val="0"/>
          <w:numId w:val="41"/>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En otros casos, la diferencia se ve diferida y el reconocimiento en el tiempo de la ganancia o pérdida es determinado individualmente. La misma se amortiza a lo largo de la vida del instrumento hasta que el valor razonable pueda ser medido en base a valores del mercado.</w:t>
      </w:r>
    </w:p>
    <w:p w14:paraId="5C5F1F7E" w14:textId="77777777" w:rsidR="00656E62" w:rsidRPr="00701F32" w:rsidRDefault="00656E62" w:rsidP="00656E62">
      <w:pPr>
        <w:jc w:val="both"/>
        <w:rPr>
          <w:rFonts w:ascii="Arial" w:hAnsi="Arial" w:cs="Arial"/>
          <w:b/>
          <w:noProof/>
          <w:sz w:val="20"/>
          <w:u w:val="single"/>
        </w:rPr>
      </w:pPr>
    </w:p>
    <w:p w14:paraId="48481AEF" w14:textId="77777777" w:rsidR="00656E62" w:rsidRPr="00701F32" w:rsidRDefault="00656E62" w:rsidP="00656E62">
      <w:pPr>
        <w:jc w:val="both"/>
        <w:rPr>
          <w:rFonts w:ascii="Arial" w:hAnsi="Arial" w:cs="Arial"/>
          <w:b/>
          <w:noProof/>
          <w:sz w:val="20"/>
          <w:u w:val="single"/>
        </w:rPr>
      </w:pPr>
      <w:r w:rsidRPr="00701F32">
        <w:rPr>
          <w:rFonts w:ascii="Arial" w:hAnsi="Arial" w:cs="Arial"/>
          <w:b/>
          <w:noProof/>
          <w:sz w:val="20"/>
          <w:u w:val="single"/>
        </w:rPr>
        <w:t>Activos financieros</w:t>
      </w:r>
    </w:p>
    <w:p w14:paraId="113E2DD3" w14:textId="77777777" w:rsidR="00656E62" w:rsidRPr="00701F32" w:rsidRDefault="00656E62" w:rsidP="00656E62">
      <w:pPr>
        <w:jc w:val="both"/>
        <w:rPr>
          <w:rFonts w:ascii="Arial" w:hAnsi="Arial" w:cs="Arial"/>
          <w:noProof/>
          <w:sz w:val="20"/>
        </w:rPr>
      </w:pPr>
    </w:p>
    <w:p w14:paraId="1970B9D1" w14:textId="77777777" w:rsidR="00656E62" w:rsidRPr="00701F32" w:rsidRDefault="00656E62" w:rsidP="00656E62">
      <w:pPr>
        <w:jc w:val="both"/>
        <w:rPr>
          <w:rFonts w:ascii="Arial" w:hAnsi="Arial" w:cs="Arial"/>
          <w:noProof/>
          <w:sz w:val="20"/>
          <w:u w:val="single"/>
        </w:rPr>
      </w:pPr>
      <w:r w:rsidRPr="00701F32">
        <w:rPr>
          <w:rFonts w:ascii="Arial" w:hAnsi="Arial" w:cs="Arial"/>
          <w:noProof/>
          <w:sz w:val="20"/>
          <w:u w:val="single"/>
        </w:rPr>
        <w:t>a - Instrumentos de deuda</w:t>
      </w:r>
    </w:p>
    <w:p w14:paraId="14954951" w14:textId="77777777" w:rsidR="00656E62" w:rsidRPr="00701F32" w:rsidRDefault="00656E62" w:rsidP="00656E62">
      <w:pPr>
        <w:jc w:val="both"/>
        <w:rPr>
          <w:rFonts w:ascii="Arial" w:hAnsi="Arial" w:cs="Arial"/>
          <w:noProof/>
          <w:sz w:val="20"/>
        </w:rPr>
      </w:pPr>
    </w:p>
    <w:p w14:paraId="3E2A595B" w14:textId="77777777" w:rsidR="00656E62" w:rsidRPr="00701F32" w:rsidRDefault="00656E62" w:rsidP="00656E62">
      <w:pPr>
        <w:jc w:val="both"/>
        <w:rPr>
          <w:rFonts w:ascii="Arial" w:hAnsi="Arial" w:cs="Arial"/>
          <w:noProof/>
          <w:sz w:val="20"/>
        </w:rPr>
      </w:pPr>
      <w:r w:rsidRPr="00701F32">
        <w:rPr>
          <w:rFonts w:ascii="Arial" w:hAnsi="Arial" w:cs="Arial"/>
          <w:noProof/>
          <w:sz w:val="20"/>
        </w:rPr>
        <w:t xml:space="preserve">La Entidad considera instrumentos de deuda aquellos que se consideran pasivos financieros para el emisor, tales como préstamos, títulos públicos y privados, </w:t>
      </w:r>
      <w:r w:rsidR="000C2569" w:rsidRPr="00701F32">
        <w:rPr>
          <w:rFonts w:ascii="Arial" w:hAnsi="Arial" w:cs="Arial"/>
          <w:noProof/>
          <w:sz w:val="20"/>
        </w:rPr>
        <w:t xml:space="preserve">títulos de deuda </w:t>
      </w:r>
      <w:r w:rsidRPr="00701F32">
        <w:rPr>
          <w:rFonts w:ascii="Arial" w:hAnsi="Arial" w:cs="Arial"/>
          <w:noProof/>
          <w:sz w:val="20"/>
        </w:rPr>
        <w:t>y cuentas por cobrar de clientes en a</w:t>
      </w:r>
      <w:r w:rsidR="000C2569" w:rsidRPr="00701F32">
        <w:rPr>
          <w:rFonts w:ascii="Arial" w:hAnsi="Arial" w:cs="Arial"/>
          <w:noProof/>
          <w:sz w:val="20"/>
        </w:rPr>
        <w:t>cuerdos</w:t>
      </w:r>
      <w:r w:rsidRPr="00701F32">
        <w:rPr>
          <w:rFonts w:ascii="Arial" w:hAnsi="Arial" w:cs="Arial"/>
          <w:noProof/>
          <w:sz w:val="20"/>
        </w:rPr>
        <w:t xml:space="preserve"> sin recursos.</w:t>
      </w:r>
    </w:p>
    <w:p w14:paraId="79B2C2FC" w14:textId="77777777" w:rsidR="00656E62" w:rsidRPr="00701F32" w:rsidRDefault="00656E62" w:rsidP="00656E62">
      <w:pPr>
        <w:jc w:val="both"/>
        <w:rPr>
          <w:rFonts w:ascii="Arial" w:hAnsi="Arial" w:cs="Arial"/>
          <w:noProof/>
          <w:sz w:val="20"/>
          <w:u w:val="single"/>
        </w:rPr>
      </w:pPr>
    </w:p>
    <w:p w14:paraId="59EF2FF6" w14:textId="77777777" w:rsidR="00656E62" w:rsidRPr="00701F32" w:rsidRDefault="00656E62" w:rsidP="00656E62">
      <w:pPr>
        <w:jc w:val="both"/>
        <w:rPr>
          <w:rFonts w:ascii="Arial" w:hAnsi="Arial" w:cs="Arial"/>
          <w:noProof/>
          <w:sz w:val="20"/>
          <w:u w:val="single"/>
        </w:rPr>
      </w:pPr>
      <w:r w:rsidRPr="00701F32">
        <w:rPr>
          <w:rFonts w:ascii="Arial" w:hAnsi="Arial" w:cs="Arial"/>
          <w:noProof/>
          <w:sz w:val="20"/>
          <w:u w:val="single"/>
        </w:rPr>
        <w:t>Clasificación</w:t>
      </w:r>
    </w:p>
    <w:p w14:paraId="480FD84B" w14:textId="77777777" w:rsidR="00656E62" w:rsidRPr="00701F32" w:rsidRDefault="00656E62" w:rsidP="00656E62">
      <w:pPr>
        <w:jc w:val="both"/>
        <w:rPr>
          <w:rFonts w:ascii="Arial" w:hAnsi="Arial" w:cs="Arial"/>
          <w:noProof/>
          <w:sz w:val="20"/>
        </w:rPr>
      </w:pPr>
    </w:p>
    <w:p w14:paraId="22E98C9D" w14:textId="77777777" w:rsidR="00656E62" w:rsidRPr="00701F32" w:rsidRDefault="00656E62" w:rsidP="00656E62">
      <w:pPr>
        <w:jc w:val="both"/>
        <w:rPr>
          <w:rFonts w:ascii="Arial" w:hAnsi="Arial" w:cs="Arial"/>
          <w:noProof/>
          <w:sz w:val="20"/>
        </w:rPr>
      </w:pPr>
      <w:r w:rsidRPr="00701F32">
        <w:rPr>
          <w:rFonts w:ascii="Arial" w:hAnsi="Arial" w:cs="Arial"/>
          <w:noProof/>
          <w:sz w:val="20"/>
        </w:rPr>
        <w:t>Conforme lo establecido por la NIIF 9, la Entidad clasifica los activos financieros según se midan posteriormente a costo amortizado, a valor razonable con cambios en otro resultado integral o a valor razonable con cambios en resultados, sobre la base:</w:t>
      </w:r>
    </w:p>
    <w:p w14:paraId="74C434EE" w14:textId="77777777" w:rsidR="00656E62" w:rsidRPr="00701F32" w:rsidRDefault="00656E62" w:rsidP="00656E62">
      <w:pPr>
        <w:jc w:val="both"/>
        <w:rPr>
          <w:rFonts w:ascii="Arial" w:hAnsi="Arial" w:cs="Arial"/>
          <w:noProof/>
          <w:sz w:val="20"/>
        </w:rPr>
      </w:pPr>
    </w:p>
    <w:p w14:paraId="262F7CC2" w14:textId="77777777" w:rsidR="00656E62" w:rsidRPr="00701F32" w:rsidRDefault="00656E62" w:rsidP="00FF7CC8">
      <w:pPr>
        <w:numPr>
          <w:ilvl w:val="0"/>
          <w:numId w:val="109"/>
        </w:numPr>
        <w:spacing w:after="160" w:line="259" w:lineRule="auto"/>
        <w:ind w:right="-12"/>
        <w:jc w:val="both"/>
        <w:rPr>
          <w:rFonts w:ascii="Arial" w:hAnsi="Arial" w:cs="Arial"/>
          <w:noProof/>
          <w:color w:val="000000"/>
          <w:sz w:val="20"/>
        </w:rPr>
      </w:pPr>
      <w:r w:rsidRPr="00701F32">
        <w:rPr>
          <w:rFonts w:ascii="Arial" w:hAnsi="Arial" w:cs="Arial"/>
          <w:noProof/>
          <w:color w:val="000000"/>
          <w:sz w:val="20"/>
        </w:rPr>
        <w:t>Del modelo de negocio del Grupo para gestionar los activos financieros; y</w:t>
      </w:r>
    </w:p>
    <w:p w14:paraId="06D1E058" w14:textId="77777777" w:rsidR="00656E62" w:rsidRPr="00701F32" w:rsidRDefault="00656E62" w:rsidP="00656E62">
      <w:pPr>
        <w:ind w:left="993" w:right="-12"/>
        <w:jc w:val="both"/>
        <w:rPr>
          <w:rFonts w:ascii="Arial" w:hAnsi="Arial" w:cs="Arial"/>
          <w:noProof/>
          <w:color w:val="000000"/>
          <w:sz w:val="20"/>
        </w:rPr>
      </w:pPr>
    </w:p>
    <w:p w14:paraId="3C98367C" w14:textId="77777777" w:rsidR="00656E62" w:rsidRPr="00701F32" w:rsidRDefault="00656E62" w:rsidP="00FF7CC8">
      <w:pPr>
        <w:numPr>
          <w:ilvl w:val="0"/>
          <w:numId w:val="109"/>
        </w:numPr>
        <w:spacing w:after="160" w:line="259" w:lineRule="auto"/>
        <w:ind w:right="-12"/>
        <w:jc w:val="both"/>
        <w:rPr>
          <w:rFonts w:ascii="Arial" w:eastAsia="Calibri" w:hAnsi="Arial" w:cs="Arial"/>
          <w:noProof/>
          <w:color w:val="000000"/>
          <w:sz w:val="20"/>
        </w:rPr>
      </w:pPr>
      <w:r w:rsidRPr="00701F32">
        <w:rPr>
          <w:rFonts w:ascii="Arial" w:eastAsia="Calibri" w:hAnsi="Arial" w:cs="Arial"/>
          <w:noProof/>
          <w:color w:val="000000"/>
          <w:sz w:val="20"/>
        </w:rPr>
        <w:t>De las características de los flujos de efectivo contractuales del activo financiero.</w:t>
      </w:r>
    </w:p>
    <w:p w14:paraId="366EF476" w14:textId="77777777" w:rsidR="00656E62" w:rsidRPr="00701F32" w:rsidRDefault="00656E62" w:rsidP="00656E62">
      <w:pPr>
        <w:jc w:val="both"/>
        <w:rPr>
          <w:rFonts w:ascii="Arial" w:eastAsia="Calibri" w:hAnsi="Arial" w:cs="Arial"/>
          <w:noProof/>
          <w:sz w:val="20"/>
        </w:rPr>
      </w:pPr>
    </w:p>
    <w:p w14:paraId="59A51C4C"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 xml:space="preserve">Modelo de Negocio </w:t>
      </w:r>
    </w:p>
    <w:p w14:paraId="2E3B69C0" w14:textId="77777777" w:rsidR="00656E62" w:rsidRPr="00701F32" w:rsidRDefault="00656E62" w:rsidP="00656E62">
      <w:pPr>
        <w:jc w:val="both"/>
        <w:rPr>
          <w:rFonts w:ascii="Arial" w:eastAsia="Calibri" w:hAnsi="Arial" w:cs="Arial"/>
          <w:noProof/>
          <w:sz w:val="20"/>
        </w:rPr>
      </w:pPr>
    </w:p>
    <w:p w14:paraId="3854B1EF"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El modelo de negocio se refiere al modo en que la Entidad gestiona un conjunto de activos financieros para lograr un objetivo de negocio concreto. Representa la forma en la cual se mantienen los instrumentos para la generación de fondos. </w:t>
      </w:r>
    </w:p>
    <w:p w14:paraId="243AE6BB" w14:textId="77777777" w:rsidR="00656E62" w:rsidRPr="00701F32" w:rsidRDefault="00656E62" w:rsidP="00656E62">
      <w:pPr>
        <w:jc w:val="both"/>
        <w:rPr>
          <w:rFonts w:ascii="Arial" w:eastAsia="Calibri" w:hAnsi="Arial" w:cs="Arial"/>
          <w:noProof/>
          <w:sz w:val="20"/>
        </w:rPr>
      </w:pPr>
    </w:p>
    <w:p w14:paraId="02B263A9"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Los modelos de negocio que puede seguir la Entidad son los siguientes</w:t>
      </w:r>
    </w:p>
    <w:p w14:paraId="10A60810" w14:textId="77777777" w:rsidR="00656E62" w:rsidRPr="00701F32" w:rsidRDefault="00656E62" w:rsidP="00656E62">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instrumentos hasta el vencimiento;</w:t>
      </w:r>
    </w:p>
    <w:p w14:paraId="4C901419" w14:textId="77777777" w:rsidR="00656E62" w:rsidRPr="00701F32" w:rsidRDefault="00656E62" w:rsidP="00656E62">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intrumentos en cartera para el cobro de flujo de fondos y, a su vez, venderlos en caso de que sea conveniente; o</w:t>
      </w:r>
    </w:p>
    <w:p w14:paraId="4E5FDC19" w14:textId="77777777" w:rsidR="00656E62" w:rsidRPr="00701F32" w:rsidRDefault="00656E62" w:rsidP="00656E62">
      <w:pPr>
        <w:pStyle w:val="Prrafodelista"/>
        <w:numPr>
          <w:ilvl w:val="0"/>
          <w:numId w:val="50"/>
        </w:numPr>
        <w:contextualSpacing/>
        <w:jc w:val="both"/>
        <w:rPr>
          <w:rFonts w:ascii="Arial" w:eastAsia="Calibri" w:hAnsi="Arial" w:cs="Arial"/>
          <w:noProof/>
          <w:sz w:val="20"/>
        </w:rPr>
      </w:pPr>
      <w:r w:rsidRPr="00701F32">
        <w:rPr>
          <w:rFonts w:ascii="Arial" w:eastAsia="Calibri" w:hAnsi="Arial" w:cs="Arial"/>
          <w:noProof/>
          <w:sz w:val="20"/>
        </w:rPr>
        <w:t>Mantener los instrumentos para su negociación</w:t>
      </w:r>
    </w:p>
    <w:p w14:paraId="4E8B7CD4" w14:textId="77777777" w:rsidR="00656E62" w:rsidRPr="00701F32" w:rsidRDefault="00656E62" w:rsidP="00656E62">
      <w:pPr>
        <w:jc w:val="both"/>
        <w:rPr>
          <w:rFonts w:ascii="Arial" w:eastAsia="Calibri" w:hAnsi="Arial" w:cs="Arial"/>
          <w:noProof/>
          <w:sz w:val="20"/>
        </w:rPr>
      </w:pPr>
    </w:p>
    <w:p w14:paraId="5840B15F" w14:textId="77777777" w:rsidR="00656E62" w:rsidRPr="00701F32" w:rsidRDefault="00656E62" w:rsidP="00656E62">
      <w:pPr>
        <w:spacing w:after="160" w:line="259" w:lineRule="auto"/>
        <w:contextualSpacing/>
        <w:jc w:val="both"/>
        <w:rPr>
          <w:rFonts w:ascii="Arial" w:eastAsia="Calibri" w:hAnsi="Arial" w:cs="Arial"/>
          <w:sz w:val="20"/>
        </w:rPr>
      </w:pPr>
      <w:r w:rsidRPr="00701F32">
        <w:rPr>
          <w:rFonts w:ascii="Arial" w:eastAsia="Calibri" w:hAnsi="Arial" w:cs="Arial"/>
          <w:sz w:val="20"/>
        </w:rPr>
        <w:t>La Entidad determina su modelo de negocio en el nivel que mejor refleja cómo administra los grupos de activos financieros para lograr un objetivo de negocio concreto.</w:t>
      </w:r>
    </w:p>
    <w:p w14:paraId="44E179FB" w14:textId="77777777" w:rsidR="00656E62" w:rsidRPr="00701F32" w:rsidRDefault="00656E62" w:rsidP="00656E62">
      <w:pPr>
        <w:spacing w:after="160" w:line="259" w:lineRule="auto"/>
        <w:contextualSpacing/>
        <w:jc w:val="both"/>
        <w:rPr>
          <w:rFonts w:ascii="Arial" w:eastAsia="Calibri" w:hAnsi="Arial" w:cs="Arial"/>
          <w:color w:val="0000CC"/>
          <w:sz w:val="20"/>
        </w:rPr>
      </w:pPr>
    </w:p>
    <w:p w14:paraId="19115E50"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El modelo de negocio no depende de las intenciones de la gerencia para un instrumento individual. Por consiguiente, dicho m</w:t>
      </w:r>
      <w:r w:rsidRPr="00701F32">
        <w:rPr>
          <w:rFonts w:ascii="Arial" w:eastAsia="Calibri" w:hAnsi="Arial" w:cs="Arial"/>
          <w:sz w:val="20"/>
        </w:rPr>
        <w:t>odelo de negocio no se evalúa instrumento por instrumento, sino a un nivel más alto de carteras agregadas y se basa en factores observables tales como:</w:t>
      </w:r>
    </w:p>
    <w:p w14:paraId="4A5BEB85" w14:textId="77777777" w:rsidR="00656E62" w:rsidRPr="00701F32" w:rsidRDefault="00656E62" w:rsidP="00656E62">
      <w:pPr>
        <w:spacing w:after="160" w:line="259" w:lineRule="auto"/>
        <w:contextualSpacing/>
        <w:jc w:val="both"/>
        <w:rPr>
          <w:rFonts w:ascii="Arial" w:eastAsia="Calibri" w:hAnsi="Arial" w:cs="Arial"/>
          <w:sz w:val="20"/>
        </w:rPr>
      </w:pPr>
    </w:p>
    <w:p w14:paraId="43671998" w14:textId="77777777" w:rsidR="00656E62" w:rsidRPr="00701F32" w:rsidRDefault="00656E62" w:rsidP="00656E62">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Cómo se evalúa el rendimiento del modelo de negocio y cómo los activos financieros que se mantienen dentro de ese modelo de negocio se evalúan y reportan al personal clave de la Entidad.</w:t>
      </w:r>
    </w:p>
    <w:p w14:paraId="654DB29C" w14:textId="77777777" w:rsidR="00656E62" w:rsidRPr="00701F32" w:rsidRDefault="00656E62" w:rsidP="00656E62">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Los riesgos que afectan el rendimiento del modelo de negocio (y los activos financieros que se mantienen dentro de ese modelo de negocio) y, en particular, la forma en que se gestionan esos riesgos.</w:t>
      </w:r>
    </w:p>
    <w:p w14:paraId="70C9F511" w14:textId="77777777" w:rsidR="00656E62" w:rsidRPr="00701F32" w:rsidRDefault="00656E62" w:rsidP="00656E62">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Cómo se compensa al personal clave de la Entidad (por ejemplo, si la remuneración se basa en el valor razonable de los activos administrados o en los flujos de efectivo contractuales recaudados).</w:t>
      </w:r>
    </w:p>
    <w:p w14:paraId="0ECB8AAF" w14:textId="77777777" w:rsidR="00656E62" w:rsidRPr="00701F32" w:rsidRDefault="00656E62" w:rsidP="00656E62">
      <w:pPr>
        <w:numPr>
          <w:ilvl w:val="0"/>
          <w:numId w:val="42"/>
        </w:numPr>
        <w:spacing w:after="160" w:line="259" w:lineRule="auto"/>
        <w:ind w:left="142" w:hanging="142"/>
        <w:contextualSpacing/>
        <w:jc w:val="both"/>
        <w:rPr>
          <w:rFonts w:ascii="Arial" w:eastAsia="Calibri" w:hAnsi="Arial" w:cs="Arial"/>
          <w:sz w:val="20"/>
        </w:rPr>
      </w:pPr>
      <w:r w:rsidRPr="00701F32">
        <w:rPr>
          <w:rFonts w:ascii="Arial" w:eastAsia="Calibri" w:hAnsi="Arial" w:cs="Arial"/>
          <w:sz w:val="20"/>
        </w:rPr>
        <w:t>La frecuencia esperada, el valor, el momento y las razones de las ventas también son aspectos importantes.</w:t>
      </w:r>
    </w:p>
    <w:p w14:paraId="319418A4" w14:textId="77777777" w:rsidR="00656E62" w:rsidRPr="00701F32" w:rsidRDefault="00656E62" w:rsidP="00656E62">
      <w:pPr>
        <w:jc w:val="both"/>
        <w:rPr>
          <w:rFonts w:ascii="Arial" w:eastAsia="Calibri" w:hAnsi="Arial" w:cs="Arial"/>
          <w:sz w:val="20"/>
        </w:rPr>
      </w:pPr>
    </w:p>
    <w:p w14:paraId="198226D8" w14:textId="77777777" w:rsidR="00656E62" w:rsidRPr="00701F32" w:rsidRDefault="00656E62" w:rsidP="00656E62">
      <w:pPr>
        <w:spacing w:after="160" w:line="259" w:lineRule="auto"/>
        <w:contextualSpacing/>
        <w:jc w:val="both"/>
        <w:rPr>
          <w:rFonts w:ascii="Arial" w:eastAsia="Calibri" w:hAnsi="Arial" w:cs="Arial"/>
          <w:sz w:val="20"/>
        </w:rPr>
      </w:pPr>
      <w:r w:rsidRPr="00701F32">
        <w:rPr>
          <w:rFonts w:ascii="Arial" w:eastAsia="Calibri" w:hAnsi="Arial" w:cs="Arial"/>
          <w:sz w:val="20"/>
        </w:rPr>
        <w:t xml:space="preserve">La evaluación del modelo de negocio se basa en escenarios razonablemente esperados, sin tener en cuenta los escenarios de “peor caso” o “caso de estrés”. Si posteriormente a su reconocimiento inicial los flujos de efectivo se realizan de una manera diferente a las expectativas originales, la Entidad no cambia la clasificación de los activos financieros restantes mantenidos en ese modelo de negocio, sino que considera dicha información para evaluar las compras u originaciones recientes. Solo se </w:t>
      </w:r>
      <w:r w:rsidRPr="00701F32">
        <w:rPr>
          <w:rFonts w:ascii="Arial" w:eastAsia="Calibri" w:hAnsi="Arial" w:cs="Arial"/>
          <w:noProof/>
          <w:sz w:val="20"/>
        </w:rPr>
        <w:t xml:space="preserve">realiza la reclasificación de un instrumento cuando, y solo cuando, el modelo de negocio para la gestión de los activos se ve modificado. </w:t>
      </w:r>
    </w:p>
    <w:p w14:paraId="3118E916" w14:textId="77777777" w:rsidR="00656E62" w:rsidRPr="00701F32" w:rsidRDefault="00656E62" w:rsidP="00656E62">
      <w:pPr>
        <w:jc w:val="both"/>
        <w:rPr>
          <w:rFonts w:ascii="Arial" w:eastAsia="Calibri" w:hAnsi="Arial" w:cs="Arial"/>
          <w:noProof/>
          <w:sz w:val="20"/>
          <w:u w:val="single"/>
        </w:rPr>
      </w:pPr>
    </w:p>
    <w:p w14:paraId="23B2C8CF"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Características del flujo de fondos</w:t>
      </w:r>
    </w:p>
    <w:p w14:paraId="1CCE828C" w14:textId="77777777" w:rsidR="00656E62" w:rsidRPr="00701F32" w:rsidRDefault="00656E62" w:rsidP="00656E62">
      <w:pPr>
        <w:jc w:val="both"/>
        <w:rPr>
          <w:rFonts w:ascii="Arial" w:eastAsia="Calibri" w:hAnsi="Arial" w:cs="Arial"/>
          <w:noProof/>
          <w:sz w:val="20"/>
          <w:u w:val="single"/>
        </w:rPr>
      </w:pPr>
    </w:p>
    <w:p w14:paraId="3972E411"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sz w:val="20"/>
        </w:rPr>
        <w:t xml:space="preserve">Como parte del proceso de clasificación, la Entidad evalúa los términos contractuales de sus instrumentos financieros para identificar </w:t>
      </w:r>
      <w:r w:rsidRPr="00701F32">
        <w:rPr>
          <w:rFonts w:ascii="Arial" w:eastAsia="Calibri" w:hAnsi="Arial" w:cs="Arial"/>
          <w:noProof/>
          <w:sz w:val="20"/>
        </w:rPr>
        <w:t xml:space="preserve">si el rendimiento del flujo de fondos de los mismos agrupados no es significativamente diferente de la contribución que recibiría únicamente por intereses, caso contrario, deberán ser medidos a valor razonable con cambios en resultados. </w:t>
      </w:r>
    </w:p>
    <w:p w14:paraId="07A4244A" w14:textId="77777777" w:rsidR="00656E62" w:rsidRPr="00701F32" w:rsidRDefault="00656E62" w:rsidP="00656E62">
      <w:pPr>
        <w:spacing w:after="160" w:line="259" w:lineRule="auto"/>
        <w:contextualSpacing/>
        <w:jc w:val="both"/>
        <w:rPr>
          <w:rFonts w:ascii="Arial" w:eastAsia="Calibri" w:hAnsi="Arial" w:cs="Arial"/>
          <w:sz w:val="20"/>
        </w:rPr>
      </w:pPr>
    </w:p>
    <w:p w14:paraId="3F10E2A1" w14:textId="77777777" w:rsidR="00656E62" w:rsidRPr="00701F32" w:rsidRDefault="00656E62" w:rsidP="00656E62">
      <w:pPr>
        <w:spacing w:after="160" w:line="259" w:lineRule="auto"/>
        <w:contextualSpacing/>
        <w:jc w:val="both"/>
        <w:rPr>
          <w:rFonts w:ascii="Arial" w:eastAsia="Calibri" w:hAnsi="Arial" w:cs="Arial"/>
          <w:sz w:val="20"/>
        </w:rPr>
      </w:pPr>
      <w:r w:rsidRPr="00701F32">
        <w:rPr>
          <w:rFonts w:ascii="Arial" w:eastAsia="Calibri" w:hAnsi="Arial" w:cs="Arial"/>
          <w:noProof/>
          <w:sz w:val="20"/>
        </w:rPr>
        <w:t>En base a lo anteriormente mencionado, se distinguen tres categorías de Activos Finan</w:t>
      </w:r>
      <w:r w:rsidR="000C2569" w:rsidRPr="00701F32">
        <w:rPr>
          <w:rFonts w:ascii="Arial" w:eastAsia="Calibri" w:hAnsi="Arial" w:cs="Arial"/>
          <w:noProof/>
          <w:sz w:val="20"/>
        </w:rPr>
        <w:t>c</w:t>
      </w:r>
      <w:r w:rsidRPr="00701F32">
        <w:rPr>
          <w:rFonts w:ascii="Arial" w:eastAsia="Calibri" w:hAnsi="Arial" w:cs="Arial"/>
          <w:noProof/>
          <w:sz w:val="20"/>
        </w:rPr>
        <w:t>ieros</w:t>
      </w:r>
      <w:r w:rsidRPr="00701F32">
        <w:rPr>
          <w:rFonts w:ascii="Arial" w:eastAsia="Calibri" w:hAnsi="Arial" w:cs="Arial"/>
          <w:sz w:val="20"/>
        </w:rPr>
        <w:t xml:space="preserve"> Dicha clasificación se expone en el Anexo P “Categorías de Activos y Pasivos financieros”</w:t>
      </w:r>
      <w:r w:rsidRPr="00701F32">
        <w:rPr>
          <w:rFonts w:ascii="Arial" w:eastAsia="Calibri" w:hAnsi="Arial" w:cs="Arial"/>
          <w:noProof/>
          <w:sz w:val="20"/>
        </w:rPr>
        <w:t>:</w:t>
      </w:r>
    </w:p>
    <w:p w14:paraId="05D319BA" w14:textId="77777777" w:rsidR="00656E62" w:rsidRPr="00701F32" w:rsidRDefault="00656E62" w:rsidP="0086282C">
      <w:pPr>
        <w:pStyle w:val="Prrafodelista"/>
        <w:numPr>
          <w:ilvl w:val="0"/>
          <w:numId w:val="9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Activos financieros a costo amortizado:</w:t>
      </w:r>
    </w:p>
    <w:p w14:paraId="0E8EA2E1"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Los activos financieros son medidos a costo amortizado cuando:</w:t>
      </w:r>
    </w:p>
    <w:p w14:paraId="110B4EF5" w14:textId="77777777" w:rsidR="00656E62" w:rsidRPr="00701F32" w:rsidRDefault="00656E62" w:rsidP="00656E62">
      <w:pPr>
        <w:jc w:val="both"/>
        <w:rPr>
          <w:rFonts w:ascii="Arial" w:eastAsia="Calibri" w:hAnsi="Arial" w:cs="Arial"/>
          <w:noProof/>
          <w:sz w:val="20"/>
        </w:rPr>
      </w:pPr>
    </w:p>
    <w:p w14:paraId="79E0CFD6"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(a) El activo financiero se conserva dentro de un modelo de negocio cuyo objetivo es mantener los activos financieros para obtener los flujos de efectivo contractuales y,</w:t>
      </w:r>
    </w:p>
    <w:p w14:paraId="409245D8" w14:textId="77777777" w:rsidR="00656E62" w:rsidRPr="00701F32" w:rsidRDefault="00656E62" w:rsidP="00656E62">
      <w:pPr>
        <w:jc w:val="both"/>
        <w:rPr>
          <w:rFonts w:ascii="Arial" w:eastAsia="Calibri" w:hAnsi="Arial" w:cs="Arial"/>
          <w:noProof/>
          <w:sz w:val="20"/>
        </w:rPr>
      </w:pPr>
    </w:p>
    <w:p w14:paraId="468E481C"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(b) las condiciones contractuales del activo financiero dan lugar, en fechas especificadas, a flujos de efectivo que son únicamente pagos del capital e intereses sobre el importe del capital pendiente.</w:t>
      </w:r>
    </w:p>
    <w:p w14:paraId="5B712F70" w14:textId="77777777" w:rsidR="00656E62" w:rsidRPr="00701F32" w:rsidRDefault="00656E62" w:rsidP="00656E62">
      <w:pPr>
        <w:jc w:val="both"/>
        <w:rPr>
          <w:rFonts w:ascii="Arial" w:eastAsia="Calibri" w:hAnsi="Arial" w:cs="Arial"/>
          <w:noProof/>
          <w:sz w:val="20"/>
        </w:rPr>
      </w:pPr>
    </w:p>
    <w:p w14:paraId="2035D0A7" w14:textId="77777777" w:rsidR="00656E62" w:rsidRPr="00701F32" w:rsidRDefault="00656E62" w:rsidP="00656E62">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Estos instrumentos financieros se reconocen inicialmente a su valor razonable más los costos de transacción incrementales y directamente atribuibles, y posteriormente se miden a costo amortizado.</w:t>
      </w:r>
    </w:p>
    <w:p w14:paraId="4B925EE6" w14:textId="77777777" w:rsidR="00656E62" w:rsidRPr="00701F32" w:rsidRDefault="00656E62" w:rsidP="00656E62">
      <w:pPr>
        <w:autoSpaceDE w:val="0"/>
        <w:autoSpaceDN w:val="0"/>
        <w:adjustRightInd w:val="0"/>
        <w:jc w:val="both"/>
        <w:rPr>
          <w:rFonts w:ascii="Arial" w:eastAsia="Calibri" w:hAnsi="Arial" w:cs="Arial"/>
          <w:noProof/>
          <w:sz w:val="20"/>
        </w:rPr>
      </w:pPr>
    </w:p>
    <w:p w14:paraId="494F7B4A" w14:textId="77777777" w:rsidR="00656E62" w:rsidRPr="00701F32" w:rsidRDefault="00656E62" w:rsidP="00656E62">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El costo amortizado de un activo financiero es igual a su costo de adquisición menos su amortización acumulada más los intereses devengados (calculados de acuerdo al método de la tasa efectiva), neto de cualquier pérdida por deterioro de valor.</w:t>
      </w:r>
      <w:r w:rsidRPr="00701F32">
        <w:rPr>
          <w:rFonts w:ascii="Arial" w:eastAsia="Calibri" w:hAnsi="Arial" w:cs="Arial"/>
          <w:sz w:val="20"/>
        </w:rPr>
        <w:t xml:space="preserve"> El método del interés efectivo utiliza la tasa que permite descontar los flujos de efectivo futuros que se estiman recibir o pagar en la vida del instrumento o un período menor, de ser apropiado, igualando el valor neto en libros. Al aplicar dicho método, la Entidad identifica los costos directos incrementales como parte integrante de la tasa de interés efectiva. </w:t>
      </w:r>
    </w:p>
    <w:p w14:paraId="0939A8A4" w14:textId="77777777" w:rsidR="00656E62" w:rsidRPr="00701F32" w:rsidRDefault="00656E62" w:rsidP="00656E62">
      <w:pPr>
        <w:jc w:val="both"/>
        <w:rPr>
          <w:rFonts w:ascii="Arial" w:eastAsia="Calibri" w:hAnsi="Arial" w:cs="Arial"/>
          <w:noProof/>
          <w:sz w:val="20"/>
        </w:rPr>
      </w:pPr>
    </w:p>
    <w:p w14:paraId="04075E7E" w14:textId="77777777" w:rsidR="00656E62" w:rsidRPr="00701F32" w:rsidRDefault="00656E62" w:rsidP="0086282C">
      <w:pPr>
        <w:numPr>
          <w:ilvl w:val="0"/>
          <w:numId w:val="99"/>
        </w:numPr>
        <w:spacing w:after="160" w:line="259" w:lineRule="auto"/>
        <w:jc w:val="both"/>
        <w:rPr>
          <w:rFonts w:ascii="Arial" w:eastAsia="Calibri" w:hAnsi="Arial" w:cs="Arial"/>
          <w:noProof/>
          <w:sz w:val="20"/>
        </w:rPr>
      </w:pPr>
      <w:r w:rsidRPr="00701F32">
        <w:rPr>
          <w:rFonts w:ascii="Arial" w:eastAsia="Calibri" w:hAnsi="Arial" w:cs="Arial"/>
          <w:noProof/>
          <w:sz w:val="20"/>
        </w:rPr>
        <w:t>Activos financieros a valor razonable con cambios en otro resultado integral:</w:t>
      </w:r>
    </w:p>
    <w:p w14:paraId="29C0C31E"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Los activos financieros son medidos a valor razonable con cambios en otro resultado integral cuando:</w:t>
      </w:r>
    </w:p>
    <w:p w14:paraId="630A2A57" w14:textId="77777777" w:rsidR="00656E62" w:rsidRPr="00701F32" w:rsidRDefault="00656E62" w:rsidP="00656E62">
      <w:pPr>
        <w:jc w:val="both"/>
        <w:rPr>
          <w:rFonts w:ascii="Arial" w:eastAsia="Calibri" w:hAnsi="Arial" w:cs="Arial"/>
          <w:noProof/>
          <w:sz w:val="20"/>
        </w:rPr>
      </w:pPr>
    </w:p>
    <w:p w14:paraId="180740A5"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(a) el activo financiero se mantiene dentro de un modelo de negocio cuyo objetivo se logra obteniendo flujos de efectivo contractuales y vendiendo activos financieros; y</w:t>
      </w:r>
    </w:p>
    <w:p w14:paraId="6947C923" w14:textId="77777777" w:rsidR="00656E62" w:rsidRPr="00701F32" w:rsidRDefault="00656E62" w:rsidP="00656E62">
      <w:pPr>
        <w:jc w:val="both"/>
        <w:rPr>
          <w:rFonts w:ascii="Arial" w:eastAsia="Calibri" w:hAnsi="Arial" w:cs="Arial"/>
          <w:noProof/>
          <w:sz w:val="20"/>
        </w:rPr>
      </w:pPr>
    </w:p>
    <w:p w14:paraId="01FC43B2"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(b) las condiciones contractuales del activo financiero dan lugar, en fechas especificadas, a flujos de efectivo que son únicamente pagos del capital e intereses sobre el importe del principal capital pendiente.</w:t>
      </w:r>
    </w:p>
    <w:p w14:paraId="45BDC06E" w14:textId="77777777" w:rsidR="00656E62" w:rsidRPr="00701F32" w:rsidRDefault="00656E62" w:rsidP="00656E62">
      <w:pPr>
        <w:jc w:val="both"/>
        <w:rPr>
          <w:rFonts w:ascii="Arial" w:eastAsia="Calibri" w:hAnsi="Arial" w:cs="Arial"/>
          <w:noProof/>
          <w:sz w:val="20"/>
        </w:rPr>
      </w:pPr>
    </w:p>
    <w:p w14:paraId="1B8C21B8"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Estos instrumentos financieros se reconocen inicialmente a su valor razonable más los costos de transacción incrementales y directamente atribuibles, y posteriormente se miden a valor razonable con cambios en otro resultado integral. Las ganancias y pérdidas que surgen de los cambios en el valor razonable se incluyen en otro resultado integral dentro de un componente separado del patrimonio. Las pérdidas o reversiones por deterioro, los ingresos por intereses y las ganancias y pérdidas por tipo de cambio se reconocen en resultados. </w:t>
      </w:r>
    </w:p>
    <w:p w14:paraId="69F64D95" w14:textId="77777777" w:rsidR="00656E62" w:rsidRPr="00701F32" w:rsidRDefault="00656E62" w:rsidP="00656E62">
      <w:pPr>
        <w:jc w:val="both"/>
        <w:rPr>
          <w:rFonts w:ascii="Arial" w:eastAsia="Calibri" w:hAnsi="Arial" w:cs="Arial"/>
          <w:noProof/>
          <w:sz w:val="20"/>
        </w:rPr>
      </w:pPr>
    </w:p>
    <w:p w14:paraId="290B40BF"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Al momento de su venta o disposición, la ganancia o pérdida acumulada previamente reconocida en otro resultado integral se reclasifica del patrimonio al estado de resultados. </w:t>
      </w:r>
    </w:p>
    <w:p w14:paraId="2FBF9D47" w14:textId="77777777" w:rsidR="00656E62" w:rsidRPr="00701F32" w:rsidRDefault="00656E62" w:rsidP="00656E62">
      <w:pPr>
        <w:jc w:val="both"/>
        <w:rPr>
          <w:rFonts w:ascii="Arial" w:eastAsia="Calibri" w:hAnsi="Arial" w:cs="Arial"/>
          <w:noProof/>
          <w:sz w:val="20"/>
        </w:rPr>
      </w:pPr>
    </w:p>
    <w:p w14:paraId="650187FB" w14:textId="77777777" w:rsidR="00656E62" w:rsidRPr="00701F32" w:rsidRDefault="00656E62" w:rsidP="0086282C">
      <w:pPr>
        <w:numPr>
          <w:ilvl w:val="0"/>
          <w:numId w:val="99"/>
        </w:numPr>
        <w:spacing w:after="160" w:line="259" w:lineRule="auto"/>
        <w:jc w:val="both"/>
        <w:rPr>
          <w:rFonts w:ascii="Arial" w:eastAsia="Calibri" w:hAnsi="Arial" w:cs="Arial"/>
          <w:noProof/>
          <w:sz w:val="20"/>
        </w:rPr>
      </w:pPr>
      <w:r w:rsidRPr="00701F32">
        <w:rPr>
          <w:rFonts w:ascii="Arial" w:eastAsia="Calibri" w:hAnsi="Arial" w:cs="Arial"/>
          <w:noProof/>
          <w:sz w:val="20"/>
        </w:rPr>
        <w:t>Activos financieros a valor razonable con cambios en resultados:</w:t>
      </w:r>
    </w:p>
    <w:p w14:paraId="06CA8433"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Los activos financieros a valor razonable con cambios en resultados, comprende:</w:t>
      </w:r>
    </w:p>
    <w:p w14:paraId="223E4E1A" w14:textId="77777777" w:rsidR="00656E62" w:rsidRPr="00701F32" w:rsidRDefault="00656E62" w:rsidP="00656E62">
      <w:pPr>
        <w:jc w:val="both"/>
        <w:rPr>
          <w:rFonts w:ascii="Arial" w:eastAsia="Calibri" w:hAnsi="Arial" w:cs="Arial"/>
          <w:noProof/>
          <w:sz w:val="20"/>
        </w:rPr>
      </w:pPr>
    </w:p>
    <w:p w14:paraId="4B47106A" w14:textId="77777777" w:rsidR="00656E62" w:rsidRPr="00701F32" w:rsidRDefault="00656E62" w:rsidP="00656E62">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mantenidos para negociar;</w:t>
      </w:r>
    </w:p>
    <w:p w14:paraId="004D8B9A" w14:textId="77777777" w:rsidR="00656E62" w:rsidRPr="00701F32" w:rsidRDefault="00656E62" w:rsidP="00656E62">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específicamente designados a valor razonable con cambios en resultados; e</w:t>
      </w:r>
    </w:p>
    <w:p w14:paraId="39F1454C" w14:textId="77777777" w:rsidR="00656E62" w:rsidRPr="00701F32" w:rsidRDefault="00656E62" w:rsidP="00656E62">
      <w:pPr>
        <w:numPr>
          <w:ilvl w:val="0"/>
          <w:numId w:val="38"/>
        </w:numPr>
        <w:spacing w:after="160" w:line="259" w:lineRule="auto"/>
        <w:jc w:val="both"/>
        <w:rPr>
          <w:rFonts w:ascii="Arial" w:eastAsia="Calibri" w:hAnsi="Arial" w:cs="Arial"/>
          <w:noProof/>
          <w:sz w:val="20"/>
        </w:rPr>
      </w:pPr>
      <w:r w:rsidRPr="00701F32">
        <w:rPr>
          <w:rFonts w:ascii="Arial" w:eastAsia="Calibri" w:hAnsi="Arial" w:cs="Arial"/>
          <w:noProof/>
          <w:sz w:val="20"/>
        </w:rPr>
        <w:t>Instrumentos con términos contractuales que no representan flujos de efectivo que son únicamente pagos del principal e intereses sobre el importe del principal pendiente.</w:t>
      </w:r>
    </w:p>
    <w:p w14:paraId="77FC50D8"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Estos instrumentos financieros se reconocen inicialmente a su valor razonable y cualquier ganancia o pérdida es reconocida en el estado de resultados a medida que se realizan.</w:t>
      </w:r>
    </w:p>
    <w:p w14:paraId="25B66DB3" w14:textId="77777777" w:rsidR="00656E62" w:rsidRPr="00701F32" w:rsidRDefault="00656E62" w:rsidP="00656E62">
      <w:pPr>
        <w:jc w:val="both"/>
        <w:rPr>
          <w:rFonts w:ascii="Arial" w:eastAsia="Calibri" w:hAnsi="Arial" w:cs="Arial"/>
          <w:noProof/>
          <w:sz w:val="20"/>
        </w:rPr>
      </w:pPr>
    </w:p>
    <w:p w14:paraId="629B2FFC" w14:textId="77777777" w:rsidR="00656E62" w:rsidRPr="00701F32" w:rsidRDefault="00656E62" w:rsidP="00656E62">
      <w:pPr>
        <w:jc w:val="both"/>
        <w:rPr>
          <w:rFonts w:ascii="Arial" w:eastAsia="Calibri" w:hAnsi="Arial" w:cs="Arial"/>
          <w:i/>
          <w:noProof/>
          <w:sz w:val="20"/>
        </w:rPr>
      </w:pPr>
      <w:r w:rsidRPr="00701F32">
        <w:rPr>
          <w:rFonts w:ascii="Arial" w:eastAsia="Calibri" w:hAnsi="Arial" w:cs="Arial"/>
          <w:noProof/>
          <w:sz w:val="20"/>
        </w:rPr>
        <w:t xml:space="preserve">La Entidad clasifica un instrumento financiero como mantenido para negociar si se adquiere o se incurre principalmente con el propósito de vender o recomprar en el corto plazo, o si forma parte de una cartera de instrumentos financieros que se administran conjuntamente y para los cuales hay evidencia de ganancias a corto plazo, o es un derivado que no está en una relación de cobertura calificada. Los derivados y los valores para negociación se clasifican como mantenidos para negociar y se reconocen a valor razonable. </w:t>
      </w:r>
    </w:p>
    <w:p w14:paraId="768CCD15" w14:textId="77777777" w:rsidR="00656E62" w:rsidRPr="00701F32" w:rsidRDefault="00656E62" w:rsidP="00656E62">
      <w:pPr>
        <w:jc w:val="both"/>
        <w:rPr>
          <w:rFonts w:ascii="Arial" w:eastAsia="Calibri" w:hAnsi="Arial" w:cs="Arial"/>
          <w:i/>
          <w:noProof/>
          <w:sz w:val="20"/>
        </w:rPr>
      </w:pPr>
    </w:p>
    <w:p w14:paraId="12A4861C" w14:textId="77777777" w:rsidR="00656E62" w:rsidRPr="00701F32" w:rsidRDefault="00656E62" w:rsidP="00656E62">
      <w:pPr>
        <w:spacing w:after="160" w:line="259" w:lineRule="auto"/>
        <w:contextualSpacing/>
        <w:jc w:val="both"/>
        <w:rPr>
          <w:rFonts w:ascii="Arial" w:eastAsia="Calibri" w:hAnsi="Arial" w:cs="Arial"/>
          <w:sz w:val="20"/>
        </w:rPr>
      </w:pPr>
      <w:r w:rsidRPr="00701F32">
        <w:rPr>
          <w:rFonts w:ascii="Arial" w:eastAsia="Calibri" w:hAnsi="Arial" w:cs="Arial"/>
          <w:sz w:val="20"/>
        </w:rPr>
        <w:t>El valor razonable de estos instrumentos se calculó utilizando las cotizaciones vigentes al cierre de cada ejercicio en mercados activos, de ser representativas. En caso de no contar con un mercado activo, se utilizaron técnicas de valoración que incluyeron la utilización de operaciones de mercado realizadas en condiciones de independencia mutua, entre partes interesadas y debidamente informadas, siempre que estén disponibles, así como referencias al valor razonable actual de otro instrumento que es sustancialmente similar, o bien el análisis de flujos de efectivo descontados. La estimación de los valores razonables se explica con mayor detalle en el apartado “políticas y estimaciones contables críticas”.</w:t>
      </w:r>
    </w:p>
    <w:p w14:paraId="4CB98DCE" w14:textId="77777777" w:rsidR="00656E62" w:rsidRPr="00701F32" w:rsidRDefault="00656E62" w:rsidP="00656E62">
      <w:pPr>
        <w:jc w:val="both"/>
        <w:rPr>
          <w:rFonts w:ascii="Arial" w:eastAsia="Calibri" w:hAnsi="Arial" w:cs="Arial"/>
          <w:noProof/>
          <w:sz w:val="20"/>
        </w:rPr>
      </w:pPr>
    </w:p>
    <w:p w14:paraId="0581E311"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b - Instrumentos del patrimonio</w:t>
      </w:r>
    </w:p>
    <w:p w14:paraId="62F0C4BC" w14:textId="77777777" w:rsidR="00656E62" w:rsidRPr="00701F32" w:rsidRDefault="00656E62" w:rsidP="00656E62">
      <w:pPr>
        <w:jc w:val="both"/>
        <w:rPr>
          <w:rFonts w:ascii="Arial" w:eastAsia="Calibri" w:hAnsi="Arial" w:cs="Arial"/>
          <w:noProof/>
          <w:sz w:val="20"/>
        </w:rPr>
      </w:pPr>
    </w:p>
    <w:p w14:paraId="49B85E07"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Los instrumentos del patrimonio son aquellos considerados de dicha manera por el emisor, esto quiere decir instrumentos que no contemplen una obligación contractual de pagar y que evidencian un interés residual sobre el activo del emisor luego de deducir todo su pasivo. </w:t>
      </w:r>
    </w:p>
    <w:p w14:paraId="40FC0471" w14:textId="77777777" w:rsidR="00656E62" w:rsidRPr="00701F32" w:rsidRDefault="00656E62" w:rsidP="00656E62">
      <w:pPr>
        <w:jc w:val="both"/>
        <w:rPr>
          <w:rFonts w:ascii="Arial" w:eastAsia="Calibri" w:hAnsi="Arial" w:cs="Arial"/>
          <w:noProof/>
          <w:sz w:val="20"/>
        </w:rPr>
      </w:pPr>
    </w:p>
    <w:p w14:paraId="1F432AFC"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Dichos instrumentos son valuados a valor razonable con cambios en resultados, excepto cuando la gerencia haya hecho uso, al momento del reconocimiento inicial, de la opción irrevocable de medirlos a valor razonable con cambio en otros resultados integrales. Este método solamente es aplicable cuando los instrumentos no sean mantenidos para negociar y los resultados serán contabilizados en ORI sin posibilidad de reclasificación, aun cuando se encuentren realizados. Los dividendos a cobrar que surgen de dicho instrumento, se reconocerán como resultado únicamente cuando se tenga el derecho a recibir el pago. </w:t>
      </w:r>
    </w:p>
    <w:p w14:paraId="6ED4C768" w14:textId="77777777" w:rsidR="00656E62" w:rsidRPr="00701F32" w:rsidRDefault="00656E62" w:rsidP="00656E62">
      <w:pPr>
        <w:jc w:val="both"/>
        <w:rPr>
          <w:rFonts w:ascii="Arial" w:eastAsia="Calibri" w:hAnsi="Arial" w:cs="Arial"/>
          <w:noProof/>
          <w:sz w:val="20"/>
          <w:u w:val="single"/>
        </w:rPr>
      </w:pPr>
    </w:p>
    <w:p w14:paraId="73F2D405"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Baja de Activos Financieros</w:t>
      </w:r>
    </w:p>
    <w:p w14:paraId="45BCABBE" w14:textId="77777777" w:rsidR="00656E62" w:rsidRPr="00701F32" w:rsidRDefault="00656E62" w:rsidP="00656E62">
      <w:pPr>
        <w:jc w:val="both"/>
        <w:rPr>
          <w:rFonts w:ascii="Arial" w:eastAsia="Calibri" w:hAnsi="Arial" w:cs="Arial"/>
          <w:noProof/>
          <w:sz w:val="20"/>
        </w:rPr>
      </w:pPr>
    </w:p>
    <w:p w14:paraId="72156F76"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La Entidad reconoce la baja de los activos financieros únicamente cuando se cumple alguna de las siguientes condiciones: </w:t>
      </w:r>
    </w:p>
    <w:p w14:paraId="3B620119" w14:textId="77777777" w:rsidR="00656E62" w:rsidRPr="00701F32" w:rsidRDefault="00656E62" w:rsidP="00656E62">
      <w:pPr>
        <w:jc w:val="both"/>
        <w:rPr>
          <w:rFonts w:ascii="Arial" w:eastAsia="Calibri" w:hAnsi="Arial" w:cs="Arial"/>
          <w:noProof/>
          <w:sz w:val="20"/>
        </w:rPr>
      </w:pPr>
    </w:p>
    <w:p w14:paraId="39D0E00B" w14:textId="77777777" w:rsidR="00656E62" w:rsidRPr="00701F32" w:rsidRDefault="00656E62" w:rsidP="00FF7CC8">
      <w:pPr>
        <w:numPr>
          <w:ilvl w:val="3"/>
          <w:numId w:val="109"/>
        </w:numPr>
        <w:spacing w:after="160" w:line="259" w:lineRule="auto"/>
        <w:ind w:left="567"/>
        <w:contextualSpacing/>
        <w:jc w:val="both"/>
        <w:rPr>
          <w:rFonts w:ascii="Arial" w:eastAsia="Calibri" w:hAnsi="Arial" w:cs="Arial"/>
          <w:noProof/>
          <w:sz w:val="20"/>
        </w:rPr>
      </w:pPr>
      <w:r w:rsidRPr="00701F32">
        <w:rPr>
          <w:rFonts w:ascii="Arial" w:eastAsia="Calibri" w:hAnsi="Arial" w:cs="Arial"/>
          <w:noProof/>
          <w:sz w:val="20"/>
        </w:rPr>
        <w:t xml:space="preserve">Han expirado los derechos sobre los flujos de fondos del activo financiero; o </w:t>
      </w:r>
    </w:p>
    <w:p w14:paraId="1D2FD62C" w14:textId="77777777" w:rsidR="00656E62" w:rsidRPr="00701F32" w:rsidRDefault="00656E62" w:rsidP="00FF7CC8">
      <w:pPr>
        <w:numPr>
          <w:ilvl w:val="3"/>
          <w:numId w:val="109"/>
        </w:numPr>
        <w:spacing w:after="160" w:line="259" w:lineRule="auto"/>
        <w:ind w:left="567"/>
        <w:contextualSpacing/>
        <w:jc w:val="both"/>
        <w:rPr>
          <w:rFonts w:ascii="Arial" w:eastAsia="Calibri" w:hAnsi="Arial" w:cs="Arial"/>
          <w:noProof/>
          <w:sz w:val="20"/>
        </w:rPr>
      </w:pPr>
      <w:r w:rsidRPr="00701F32">
        <w:rPr>
          <w:rFonts w:ascii="Arial" w:eastAsia="Calibri" w:hAnsi="Arial" w:cs="Arial"/>
          <w:noProof/>
          <w:sz w:val="20"/>
        </w:rPr>
        <w:t>Se realice la transferencia del activo financiero de acuerdo a los requerimientos del punto 3.2.4 de la NIIF 9.</w:t>
      </w:r>
    </w:p>
    <w:p w14:paraId="4F381719" w14:textId="77777777" w:rsidR="00656E62" w:rsidRPr="00701F32" w:rsidRDefault="00656E62" w:rsidP="00656E62">
      <w:pPr>
        <w:jc w:val="both"/>
        <w:rPr>
          <w:rFonts w:ascii="Arial" w:eastAsia="Calibri" w:hAnsi="Arial" w:cs="Arial"/>
          <w:noProof/>
          <w:sz w:val="20"/>
        </w:rPr>
      </w:pPr>
    </w:p>
    <w:p w14:paraId="35DAEE01"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La Entidad da de baja los activos financieros que hayan sido transferidos únicamente cuando cumple con las siguientes caracteristicas:</w:t>
      </w:r>
    </w:p>
    <w:p w14:paraId="2AE960A0" w14:textId="77777777" w:rsidR="00656E62" w:rsidRPr="00701F32" w:rsidRDefault="00656E62" w:rsidP="00656E62">
      <w:pPr>
        <w:jc w:val="both"/>
        <w:rPr>
          <w:rFonts w:ascii="Arial" w:eastAsia="Calibri" w:hAnsi="Arial" w:cs="Arial"/>
          <w:noProof/>
          <w:sz w:val="20"/>
        </w:rPr>
      </w:pPr>
    </w:p>
    <w:p w14:paraId="562C9FCF" w14:textId="77777777" w:rsidR="00656E62" w:rsidRPr="00701F32" w:rsidRDefault="00656E62" w:rsidP="0086282C">
      <w:pPr>
        <w:numPr>
          <w:ilvl w:val="0"/>
          <w:numId w:val="10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Ha transferido los derechos contractuales de recibir flujos de fondos futuros</w:t>
      </w:r>
    </w:p>
    <w:p w14:paraId="08FB9F32" w14:textId="77777777" w:rsidR="00656E62" w:rsidRPr="00701F32" w:rsidRDefault="00656E62" w:rsidP="0086282C">
      <w:pPr>
        <w:numPr>
          <w:ilvl w:val="0"/>
          <w:numId w:val="10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Retiene los derechos contractuales de recibir flujos de fondos pero asume una obligación de recompra cuando se cumplan los tres requisitos siguientes:</w:t>
      </w:r>
    </w:p>
    <w:p w14:paraId="3816F038" w14:textId="77777777" w:rsidR="00656E62" w:rsidRPr="00701F32" w:rsidRDefault="00656E62" w:rsidP="0086282C">
      <w:pPr>
        <w:numPr>
          <w:ilvl w:val="1"/>
          <w:numId w:val="10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 xml:space="preserve">La Entidad no está obligado a pagar ningún importe sin recibir los flujos por la transferencia del activo; </w:t>
      </w:r>
    </w:p>
    <w:p w14:paraId="630A70E1" w14:textId="77777777" w:rsidR="00656E62" w:rsidRPr="00701F32" w:rsidRDefault="00656E62" w:rsidP="0086282C">
      <w:pPr>
        <w:numPr>
          <w:ilvl w:val="1"/>
          <w:numId w:val="10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 xml:space="preserve">La Entidad tiene prohibido la venta del activo financiero;  </w:t>
      </w:r>
    </w:p>
    <w:p w14:paraId="22994E18" w14:textId="77777777" w:rsidR="00656E62" w:rsidRPr="00701F32" w:rsidRDefault="00656E62" w:rsidP="0086282C">
      <w:pPr>
        <w:numPr>
          <w:ilvl w:val="1"/>
          <w:numId w:val="100"/>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La Entidad  tiene que remitir los flujos de fondos a los cuales se ha comprometido.</w:t>
      </w:r>
    </w:p>
    <w:p w14:paraId="6E55A6D6" w14:textId="77777777" w:rsidR="00656E62" w:rsidRPr="00701F32" w:rsidRDefault="00656E62" w:rsidP="00656E62">
      <w:pPr>
        <w:jc w:val="both"/>
        <w:rPr>
          <w:rFonts w:ascii="Arial" w:eastAsia="Calibri" w:hAnsi="Arial" w:cs="Arial"/>
          <w:noProof/>
          <w:sz w:val="20"/>
          <w:u w:val="single"/>
        </w:rPr>
      </w:pPr>
    </w:p>
    <w:p w14:paraId="66EE61D1" w14:textId="77777777" w:rsidR="00656E62" w:rsidRPr="00701F32" w:rsidRDefault="00656E62" w:rsidP="00656E62">
      <w:pPr>
        <w:jc w:val="both"/>
        <w:rPr>
          <w:rFonts w:ascii="Arial" w:eastAsia="Calibri" w:hAnsi="Arial" w:cs="Arial"/>
          <w:b/>
          <w:noProof/>
          <w:sz w:val="20"/>
          <w:u w:val="single"/>
        </w:rPr>
      </w:pPr>
      <w:r w:rsidRPr="00701F32">
        <w:rPr>
          <w:rFonts w:ascii="Arial" w:eastAsia="Calibri" w:hAnsi="Arial" w:cs="Arial"/>
          <w:b/>
          <w:noProof/>
          <w:sz w:val="20"/>
          <w:u w:val="single"/>
        </w:rPr>
        <w:t>Pasivos financieros</w:t>
      </w:r>
    </w:p>
    <w:p w14:paraId="622B755A" w14:textId="77777777" w:rsidR="00656E62" w:rsidRPr="00701F32" w:rsidRDefault="00656E62" w:rsidP="00656E62">
      <w:pPr>
        <w:jc w:val="both"/>
        <w:rPr>
          <w:rFonts w:ascii="Arial" w:eastAsia="Calibri" w:hAnsi="Arial" w:cs="Arial"/>
          <w:noProof/>
          <w:sz w:val="20"/>
        </w:rPr>
      </w:pPr>
    </w:p>
    <w:p w14:paraId="3841E326"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Clasificación</w:t>
      </w:r>
    </w:p>
    <w:p w14:paraId="52B40065" w14:textId="77777777" w:rsidR="00656E62" w:rsidRPr="00701F32" w:rsidRDefault="00656E62" w:rsidP="00656E62">
      <w:pPr>
        <w:jc w:val="both"/>
        <w:rPr>
          <w:rFonts w:ascii="Arial" w:eastAsia="Calibri" w:hAnsi="Arial" w:cs="Arial"/>
          <w:noProof/>
          <w:sz w:val="20"/>
        </w:rPr>
      </w:pPr>
    </w:p>
    <w:p w14:paraId="5E80097E"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La Entidad clasifica sus pasivos financieros a costo amortizado utilizando el método de la tasa efectiva excepto por:</w:t>
      </w:r>
    </w:p>
    <w:p w14:paraId="70F908B4" w14:textId="77777777" w:rsidR="00656E62" w:rsidRPr="00701F32" w:rsidRDefault="00656E62" w:rsidP="00656E62">
      <w:pPr>
        <w:jc w:val="both"/>
        <w:rPr>
          <w:rFonts w:ascii="Arial" w:eastAsia="Calibri" w:hAnsi="Arial" w:cs="Arial"/>
          <w:noProof/>
          <w:sz w:val="20"/>
        </w:rPr>
      </w:pPr>
    </w:p>
    <w:p w14:paraId="1CCFCABE" w14:textId="77777777" w:rsidR="00656E62" w:rsidRPr="00701F32" w:rsidRDefault="00656E62" w:rsidP="00656E62">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Pasivos financieros que sean valuados al valor razonable con cambios en resultados.</w:t>
      </w:r>
    </w:p>
    <w:p w14:paraId="6AA19D7C" w14:textId="77777777" w:rsidR="00656E62" w:rsidRPr="00701F32" w:rsidRDefault="00656E62" w:rsidP="00656E62">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Pasivos que surjan de transferencia de activos financieros.</w:t>
      </w:r>
    </w:p>
    <w:p w14:paraId="55237C4E" w14:textId="77777777" w:rsidR="00656E62" w:rsidRPr="00701F32" w:rsidRDefault="00656E62" w:rsidP="00656E62">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Contratos de garantía financiera.</w:t>
      </w:r>
    </w:p>
    <w:p w14:paraId="4D64A982" w14:textId="77777777" w:rsidR="00656E62" w:rsidRPr="00701F32" w:rsidRDefault="00656E62" w:rsidP="00656E62">
      <w:pPr>
        <w:numPr>
          <w:ilvl w:val="0"/>
          <w:numId w:val="39"/>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Compromisos de otorgamiento de préstamos a tasa inferior a la de mercado.</w:t>
      </w:r>
    </w:p>
    <w:p w14:paraId="29C7ACA8" w14:textId="77777777" w:rsidR="00656E62" w:rsidRPr="00701F32" w:rsidRDefault="00656E62" w:rsidP="00656E62">
      <w:pPr>
        <w:jc w:val="both"/>
        <w:rPr>
          <w:rFonts w:ascii="Arial" w:eastAsia="Calibri" w:hAnsi="Arial" w:cs="Arial"/>
          <w:noProof/>
          <w:sz w:val="20"/>
          <w:u w:val="single"/>
        </w:rPr>
      </w:pPr>
    </w:p>
    <w:p w14:paraId="6C3766FF"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u w:val="single"/>
        </w:rPr>
        <w:t xml:space="preserve">Pasivos </w:t>
      </w:r>
      <w:r w:rsidR="000C2569" w:rsidRPr="00701F32">
        <w:rPr>
          <w:rFonts w:ascii="Arial" w:eastAsia="Calibri" w:hAnsi="Arial" w:cs="Arial"/>
          <w:noProof/>
          <w:sz w:val="20"/>
          <w:u w:val="single"/>
        </w:rPr>
        <w:t xml:space="preserve">financieros </w:t>
      </w:r>
      <w:r w:rsidRPr="00701F32">
        <w:rPr>
          <w:rFonts w:ascii="Arial" w:eastAsia="Calibri" w:hAnsi="Arial" w:cs="Arial"/>
          <w:noProof/>
          <w:sz w:val="20"/>
          <w:u w:val="single"/>
        </w:rPr>
        <w:t>valuados a valor razonable con cambios en resultados:</w:t>
      </w:r>
      <w:r w:rsidRPr="00701F32">
        <w:rPr>
          <w:rFonts w:ascii="Arial" w:eastAsia="Calibri" w:hAnsi="Arial" w:cs="Arial"/>
          <w:noProof/>
          <w:sz w:val="20"/>
        </w:rPr>
        <w:t xml:space="preserve"> La Entidad puede optar por hacer uso, al inicio, de la opción irrevocable de designar un pasivo a valor razonable con cambios en resultados si y solo si, al hacerlo, refleja mas adecuadamente la información financiera porque:</w:t>
      </w:r>
    </w:p>
    <w:p w14:paraId="247726CB" w14:textId="77777777" w:rsidR="00656E62" w:rsidRPr="00701F32" w:rsidRDefault="00656E62" w:rsidP="00656E62">
      <w:pPr>
        <w:jc w:val="both"/>
        <w:rPr>
          <w:rFonts w:ascii="Arial" w:eastAsia="Calibri" w:hAnsi="Arial" w:cs="Arial"/>
          <w:noProof/>
          <w:sz w:val="20"/>
        </w:rPr>
      </w:pPr>
    </w:p>
    <w:p w14:paraId="0A1811CA" w14:textId="77777777" w:rsidR="00656E62" w:rsidRPr="00701F32" w:rsidRDefault="00656E62" w:rsidP="00656E62">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el Banco elimina o reduce significativamente las inconcistencias de medición o reconocimiento que en caso contrario quedaría expuesto en la valuación;</w:t>
      </w:r>
    </w:p>
    <w:p w14:paraId="586F3644" w14:textId="77777777" w:rsidR="00656E62" w:rsidRPr="00701F32" w:rsidRDefault="00656E62" w:rsidP="00656E62">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si los activos y pasivos financieros se gestionan y se evalúa su desempeño sobre una base de valor razonable de acuerdo con una estrategia de inversión o gestión de riesgos documentada; o</w:t>
      </w:r>
    </w:p>
    <w:p w14:paraId="3D81BE46" w14:textId="77777777" w:rsidR="00656E62" w:rsidRPr="00701F32" w:rsidRDefault="00656E62" w:rsidP="00656E62">
      <w:pPr>
        <w:numPr>
          <w:ilvl w:val="0"/>
          <w:numId w:val="38"/>
        </w:numPr>
        <w:spacing w:after="160" w:line="259" w:lineRule="auto"/>
        <w:contextualSpacing/>
        <w:jc w:val="both"/>
        <w:rPr>
          <w:rFonts w:ascii="Arial" w:eastAsia="Calibri" w:hAnsi="Arial" w:cs="Arial"/>
          <w:noProof/>
          <w:sz w:val="20"/>
        </w:rPr>
      </w:pPr>
      <w:r w:rsidRPr="00701F32">
        <w:rPr>
          <w:rFonts w:ascii="Arial" w:eastAsia="Calibri" w:hAnsi="Arial" w:cs="Arial"/>
          <w:noProof/>
          <w:sz w:val="20"/>
        </w:rPr>
        <w:t>un contrato principal contiene uno o más derivados implicitos.</w:t>
      </w:r>
    </w:p>
    <w:p w14:paraId="356D48AA" w14:textId="77777777" w:rsidR="00656E62" w:rsidRPr="00701F32" w:rsidRDefault="00656E62" w:rsidP="00656E62">
      <w:pPr>
        <w:jc w:val="both"/>
        <w:rPr>
          <w:rFonts w:ascii="Arial" w:eastAsia="Calibri" w:hAnsi="Arial" w:cs="Arial"/>
          <w:noProof/>
          <w:sz w:val="20"/>
        </w:rPr>
      </w:pPr>
    </w:p>
    <w:p w14:paraId="3C89754E"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u w:val="single"/>
        </w:rPr>
        <w:t>Contrato de garantía financiera:</w:t>
      </w:r>
      <w:r w:rsidRPr="00701F32">
        <w:rPr>
          <w:rFonts w:ascii="Arial" w:eastAsia="Calibri" w:hAnsi="Arial" w:cs="Arial"/>
          <w:noProof/>
          <w:sz w:val="20"/>
        </w:rPr>
        <w:t xml:space="preserve"> los contratos de garantías son aquellos que requiere que el emisor efectúe pagos específicos para reembolsar al tenedor por la pérdida en la que incurre cuando un deudor específico incumpla su obligación de pago a su vencimiento, de acuerdo con las condiciones, originales o modificadas, de un instrumento de deuda. </w:t>
      </w:r>
    </w:p>
    <w:p w14:paraId="0065F91F" w14:textId="77777777" w:rsidR="00656E62" w:rsidRPr="00701F32" w:rsidRDefault="00656E62" w:rsidP="00656E62">
      <w:pPr>
        <w:jc w:val="both"/>
        <w:rPr>
          <w:rFonts w:ascii="Arial" w:eastAsia="Calibri" w:hAnsi="Arial" w:cs="Arial"/>
          <w:noProof/>
          <w:sz w:val="20"/>
        </w:rPr>
      </w:pPr>
    </w:p>
    <w:p w14:paraId="6312CE2F" w14:textId="77777777" w:rsidR="00656E62"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Los contratos de garantía financiera y los compromisos de otorgamiento de préstamos a tasa inferior a la de mercado se valúan a valor razonable en primera instancia, para luego realizar una comparación entre el mayor valor de la comisión pendiente de devengar al cierre del ejercicio y la previsión aplicable. </w:t>
      </w:r>
    </w:p>
    <w:p w14:paraId="637CDC8E" w14:textId="77777777" w:rsidR="00656E62" w:rsidRPr="00701F32" w:rsidRDefault="00656E62" w:rsidP="00656E62">
      <w:pPr>
        <w:jc w:val="both"/>
        <w:rPr>
          <w:rFonts w:ascii="Arial" w:eastAsia="Calibri" w:hAnsi="Arial" w:cs="Arial"/>
          <w:noProof/>
          <w:sz w:val="20"/>
          <w:u w:val="single"/>
        </w:rPr>
      </w:pPr>
    </w:p>
    <w:p w14:paraId="48262900" w14:textId="77777777" w:rsidR="00656E62" w:rsidRPr="00701F32" w:rsidRDefault="00656E62" w:rsidP="00656E62">
      <w:pPr>
        <w:jc w:val="both"/>
        <w:rPr>
          <w:rFonts w:ascii="Arial" w:eastAsia="Calibri" w:hAnsi="Arial" w:cs="Arial"/>
          <w:noProof/>
          <w:sz w:val="20"/>
          <w:u w:val="single"/>
        </w:rPr>
      </w:pPr>
      <w:r w:rsidRPr="00701F32">
        <w:rPr>
          <w:rFonts w:ascii="Arial" w:eastAsia="Calibri" w:hAnsi="Arial" w:cs="Arial"/>
          <w:noProof/>
          <w:sz w:val="20"/>
          <w:u w:val="single"/>
        </w:rPr>
        <w:t>Baja de pasivos financieros</w:t>
      </w:r>
    </w:p>
    <w:p w14:paraId="7AFFB0AD" w14:textId="77777777" w:rsidR="00656E62" w:rsidRPr="00701F32" w:rsidRDefault="00656E62" w:rsidP="00656E62">
      <w:pPr>
        <w:jc w:val="both"/>
        <w:rPr>
          <w:rFonts w:ascii="Arial" w:eastAsia="Calibri" w:hAnsi="Arial" w:cs="Arial"/>
          <w:noProof/>
          <w:sz w:val="20"/>
        </w:rPr>
      </w:pPr>
    </w:p>
    <w:p w14:paraId="3E29C838" w14:textId="77777777" w:rsidR="002A3A8E" w:rsidRPr="00701F32" w:rsidRDefault="00656E62" w:rsidP="00656E62">
      <w:pPr>
        <w:jc w:val="both"/>
        <w:rPr>
          <w:rFonts w:ascii="Arial" w:eastAsia="Calibri" w:hAnsi="Arial" w:cs="Arial"/>
          <w:noProof/>
          <w:sz w:val="20"/>
        </w:rPr>
      </w:pPr>
      <w:r w:rsidRPr="00701F32">
        <w:rPr>
          <w:rFonts w:ascii="Arial" w:eastAsia="Calibri" w:hAnsi="Arial" w:cs="Arial"/>
          <w:noProof/>
          <w:sz w:val="20"/>
        </w:rPr>
        <w:t xml:space="preserve">La Entidad únicamente da de baja los pasivos financieros cuando se hayan extinguido; esto es cuando haya sido cancelado, pagado o expirado el contrato. </w:t>
      </w:r>
    </w:p>
    <w:p w14:paraId="63F2F16C" w14:textId="77777777" w:rsidR="00656E62" w:rsidRPr="00701F32" w:rsidRDefault="00656E62" w:rsidP="005819B2">
      <w:pPr>
        <w:jc w:val="both"/>
        <w:rPr>
          <w:rFonts w:ascii="Arial" w:hAnsi="Arial" w:cs="Arial"/>
          <w:b/>
          <w:noProof/>
          <w:color w:val="212121"/>
          <w:sz w:val="20"/>
        </w:rPr>
      </w:pPr>
    </w:p>
    <w:p w14:paraId="7A249758" w14:textId="77777777" w:rsidR="00656E62" w:rsidRPr="00701F32" w:rsidRDefault="00656E62" w:rsidP="00656E62">
      <w:pPr>
        <w:spacing w:after="160"/>
        <w:jc w:val="both"/>
        <w:rPr>
          <w:rFonts w:ascii="Arial" w:hAnsi="Arial" w:cs="Arial"/>
          <w:noProof/>
          <w:color w:val="212121"/>
          <w:sz w:val="20"/>
        </w:rPr>
      </w:pPr>
      <w:r w:rsidRPr="00701F32">
        <w:rPr>
          <w:rFonts w:ascii="Arial" w:hAnsi="Arial" w:cs="Arial"/>
          <w:b/>
          <w:noProof/>
          <w:color w:val="212121"/>
          <w:sz w:val="20"/>
        </w:rPr>
        <w:t xml:space="preserve">1. </w:t>
      </w:r>
      <w:r w:rsidR="00AF2B5E" w:rsidRPr="00701F32">
        <w:rPr>
          <w:rFonts w:ascii="Arial" w:hAnsi="Arial" w:cs="Arial"/>
          <w:b/>
          <w:noProof/>
          <w:color w:val="212121"/>
          <w:sz w:val="20"/>
        </w:rPr>
        <w:t>8</w:t>
      </w:r>
      <w:r w:rsidRPr="00701F32">
        <w:rPr>
          <w:rFonts w:ascii="Arial" w:hAnsi="Arial" w:cs="Arial"/>
          <w:b/>
          <w:noProof/>
          <w:color w:val="212121"/>
          <w:sz w:val="20"/>
        </w:rPr>
        <w:t xml:space="preserve"> Instrumentos financieros derivados </w:t>
      </w:r>
    </w:p>
    <w:p w14:paraId="68CF0660"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color w:val="212121"/>
          <w:sz w:val="20"/>
        </w:rPr>
      </w:pPr>
      <w:r w:rsidRPr="00701F32">
        <w:rPr>
          <w:rFonts w:ascii="Arial" w:hAnsi="Arial" w:cs="Arial"/>
          <w:noProof/>
          <w:color w:val="212121"/>
          <w:sz w:val="20"/>
        </w:rPr>
        <w:t>Los instrumentos financieros derivados, incluidos los contratos de divisas, los futuros de tasas de interés, los contratos a plazo, los swaps de tasas de interés y de divisas, y las opciones sobre divisas y tasas de interés, se registran a su valor razonable.</w:t>
      </w:r>
    </w:p>
    <w:p w14:paraId="69347101"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color w:val="212121"/>
          <w:sz w:val="20"/>
        </w:rPr>
      </w:pPr>
    </w:p>
    <w:p w14:paraId="1BE0354B"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color w:val="212121"/>
          <w:sz w:val="20"/>
        </w:rPr>
      </w:pPr>
      <w:r w:rsidRPr="00701F32">
        <w:rPr>
          <w:rFonts w:ascii="Arial" w:hAnsi="Arial" w:cs="Arial"/>
          <w:noProof/>
          <w:color w:val="212121"/>
          <w:sz w:val="20"/>
        </w:rPr>
        <w:t xml:space="preserve">Todos los instrumentos derivados se contabilizan como activos cuando el valor razonable es positivo y como pasivos cuando el valor razonable es negativo, en relación al precio pactado. Los cambios en el valor razonable de los instrumentos derivados se incluyen en el resultado del ejercicio. </w:t>
      </w:r>
    </w:p>
    <w:p w14:paraId="03693061" w14:textId="77777777" w:rsidR="00656E62" w:rsidRPr="00701F32" w:rsidRDefault="00656E62" w:rsidP="00656E62">
      <w:pPr>
        <w:jc w:val="both"/>
        <w:rPr>
          <w:rFonts w:ascii="Arial" w:eastAsia="Calibri" w:hAnsi="Arial" w:cs="Arial"/>
          <w:b/>
          <w:i/>
          <w:noProof/>
          <w:sz w:val="20"/>
          <w:u w:val="single"/>
        </w:rPr>
      </w:pPr>
    </w:p>
    <w:p w14:paraId="75719A34" w14:textId="77777777" w:rsidR="00656E62" w:rsidRPr="00701F32" w:rsidRDefault="00656E62" w:rsidP="00656E62">
      <w:pPr>
        <w:spacing w:after="160"/>
        <w:jc w:val="both"/>
        <w:rPr>
          <w:rFonts w:ascii="Arial" w:eastAsia="Calibri" w:hAnsi="Arial" w:cs="Arial"/>
          <w:b/>
          <w:color w:val="C45911"/>
          <w:sz w:val="20"/>
        </w:rPr>
      </w:pPr>
      <w:r w:rsidRPr="00701F32">
        <w:rPr>
          <w:rFonts w:ascii="Arial" w:eastAsia="Calibri" w:hAnsi="Arial" w:cs="Arial"/>
          <w:b/>
          <w:sz w:val="20"/>
        </w:rPr>
        <w:t>1.</w:t>
      </w:r>
      <w:r w:rsidR="00AF2B5E" w:rsidRPr="00701F32">
        <w:rPr>
          <w:rFonts w:ascii="Arial" w:eastAsia="Calibri" w:hAnsi="Arial" w:cs="Arial"/>
          <w:b/>
          <w:sz w:val="20"/>
        </w:rPr>
        <w:t>9</w:t>
      </w:r>
      <w:r w:rsidRPr="00701F32">
        <w:rPr>
          <w:rFonts w:ascii="Arial" w:eastAsia="Calibri" w:hAnsi="Arial" w:cs="Arial"/>
          <w:b/>
          <w:sz w:val="20"/>
        </w:rPr>
        <w:t xml:space="preserve"> Operaciones de Pase </w:t>
      </w:r>
    </w:p>
    <w:p w14:paraId="2235BA19"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Los acuerdos de venta y recompra ("operaciones de pase pasivo"), que efectivamente proporcionan el rendimiento del prestamista a la contraparte, se tratan como transacciones de financiación garantizada. Los valores vendidos bajo tales acuerdos de venta y recompra no se dan de baja en cuentas. Los valores no se reclasifican en el estado de situación financiera a menos que el cesionario tenga el derecho por contrato o costumbre de vender o reponer los valores, en cuyo caso se reclasifican como cuentas por cobrar por recompra. El pasivo correspondiente se presenta dentro del rubro Financiaciones recibidas del B.C.R.A. y otras Instituciones Financieras.</w:t>
      </w:r>
    </w:p>
    <w:p w14:paraId="023118A5"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Los valores comprados en virtud de acuerdos de reventa ("operaciones de pase activo”), que efectivamente proporcionan el rendimiento del prestamista a la Entidad, se registran como deudas del rubro Financiaciones recibidas del B.C.R.A. y otras Instituciones Financieras.</w:t>
      </w:r>
    </w:p>
    <w:p w14:paraId="308B10F7" w14:textId="77777777" w:rsidR="00656E62" w:rsidRPr="00701F32" w:rsidRDefault="00656E62" w:rsidP="00656E62">
      <w:pPr>
        <w:jc w:val="both"/>
        <w:rPr>
          <w:rFonts w:ascii="Arial" w:hAnsi="Arial" w:cs="Arial"/>
          <w:sz w:val="20"/>
        </w:rPr>
      </w:pPr>
      <w:r w:rsidRPr="00701F32">
        <w:rPr>
          <w:rFonts w:ascii="Arial" w:eastAsia="Calibri" w:hAnsi="Arial" w:cs="Arial"/>
          <w:sz w:val="20"/>
        </w:rPr>
        <w:t>La diferencia entre el precio de venta y el precio de recompra o el precio de compra y el precio de reventa, según corresponda, conforman la prima de la operación, la cual se trata como ingresos o egresos por intereses y se devengan durante la vigencia de los acuerdos.</w:t>
      </w:r>
    </w:p>
    <w:p w14:paraId="62168ED9" w14:textId="77777777" w:rsidR="00656E62" w:rsidRPr="00701F32" w:rsidRDefault="00656E62" w:rsidP="00656E62">
      <w:pPr>
        <w:rPr>
          <w:rFonts w:ascii="Arial" w:eastAsia="Arial" w:hAnsi="Arial" w:cs="Arial"/>
          <w:b/>
          <w:sz w:val="20"/>
        </w:rPr>
      </w:pPr>
    </w:p>
    <w:p w14:paraId="167317BE" w14:textId="77777777" w:rsidR="00656E62" w:rsidRPr="00701F32" w:rsidRDefault="00656E62" w:rsidP="00656E62">
      <w:pPr>
        <w:rPr>
          <w:rFonts w:ascii="Arial" w:eastAsia="Arial" w:hAnsi="Arial" w:cs="Arial"/>
          <w:b/>
          <w:sz w:val="20"/>
        </w:rPr>
      </w:pPr>
      <w:r w:rsidRPr="00701F32">
        <w:rPr>
          <w:rFonts w:ascii="Arial" w:eastAsia="Arial" w:hAnsi="Arial" w:cs="Arial"/>
          <w:b/>
          <w:sz w:val="20"/>
        </w:rPr>
        <w:t>1.1</w:t>
      </w:r>
      <w:r w:rsidR="00AF2B5E" w:rsidRPr="00701F32">
        <w:rPr>
          <w:rFonts w:ascii="Arial" w:eastAsia="Arial" w:hAnsi="Arial" w:cs="Arial"/>
          <w:b/>
          <w:sz w:val="20"/>
        </w:rPr>
        <w:t>0</w:t>
      </w:r>
      <w:r w:rsidRPr="00701F32">
        <w:rPr>
          <w:rFonts w:ascii="Arial" w:eastAsia="Arial" w:hAnsi="Arial" w:cs="Arial"/>
          <w:b/>
          <w:sz w:val="20"/>
        </w:rPr>
        <w:t xml:space="preserve">. Previsiones por riesgo de incobrabilidad </w:t>
      </w:r>
    </w:p>
    <w:p w14:paraId="58627FA1" w14:textId="77777777" w:rsidR="00656E62" w:rsidRPr="00701F32" w:rsidRDefault="00656E62" w:rsidP="00656E62">
      <w:pPr>
        <w:rPr>
          <w:rFonts w:ascii="Arial" w:eastAsia="Arial" w:hAnsi="Arial" w:cs="Arial"/>
          <w:b/>
          <w:sz w:val="20"/>
        </w:rPr>
      </w:pPr>
    </w:p>
    <w:p w14:paraId="55C738C0"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Respecto de las previsiones por riesgo de incobrabilidad, continúan vigentes las normas sobre “Previsiones mínimas por riesgo de incobrabilidad” de la sección 8 de la LISOL, las cuales se detallan a continuación:</w:t>
      </w:r>
    </w:p>
    <w:p w14:paraId="5E28FBCF" w14:textId="1AB3D120" w:rsidR="00D766AC"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Sobre el total de las deudas de los clientes, deberán aplicarse las siguientes pautas mínimas de previsionamiento:</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352"/>
        <w:gridCol w:w="1995"/>
        <w:gridCol w:w="1994"/>
      </w:tblGrid>
      <w:tr w:rsidR="00656E62" w:rsidRPr="00701F32" w14:paraId="43BBBB27" w14:textId="77777777" w:rsidTr="00E311C9">
        <w:trPr>
          <w:trHeight w:val="162"/>
        </w:trPr>
        <w:tc>
          <w:tcPr>
            <w:tcW w:w="1391" w:type="pct"/>
            <w:vAlign w:val="center"/>
          </w:tcPr>
          <w:p w14:paraId="65511874" w14:textId="77777777" w:rsidR="00656E62" w:rsidRPr="00701F32" w:rsidRDefault="00656E62" w:rsidP="00464C0F">
            <w:pPr>
              <w:spacing w:line="259" w:lineRule="auto"/>
              <w:jc w:val="center"/>
              <w:rPr>
                <w:rFonts w:ascii="Arial" w:eastAsia="Arial" w:hAnsi="Arial" w:cs="Arial"/>
                <w:b/>
                <w:sz w:val="18"/>
              </w:rPr>
            </w:pPr>
            <w:r w:rsidRPr="00701F32">
              <w:rPr>
                <w:rFonts w:ascii="Arial" w:eastAsia="Arial" w:hAnsi="Arial" w:cs="Arial"/>
                <w:b/>
                <w:sz w:val="18"/>
              </w:rPr>
              <w:t>Cartera Comercial</w:t>
            </w:r>
          </w:p>
        </w:tc>
        <w:tc>
          <w:tcPr>
            <w:tcW w:w="1338" w:type="pct"/>
            <w:vAlign w:val="center"/>
          </w:tcPr>
          <w:p w14:paraId="7323F553" w14:textId="77777777" w:rsidR="00656E62" w:rsidRPr="00701F32" w:rsidRDefault="00656E62" w:rsidP="00464C0F">
            <w:pPr>
              <w:spacing w:line="259" w:lineRule="auto"/>
              <w:jc w:val="center"/>
              <w:rPr>
                <w:rFonts w:ascii="Arial" w:eastAsia="Arial" w:hAnsi="Arial" w:cs="Arial"/>
                <w:b/>
                <w:sz w:val="18"/>
              </w:rPr>
            </w:pPr>
            <w:r w:rsidRPr="00701F32">
              <w:rPr>
                <w:rFonts w:ascii="Arial" w:eastAsia="Arial" w:hAnsi="Arial" w:cs="Arial"/>
                <w:b/>
                <w:sz w:val="18"/>
              </w:rPr>
              <w:t>Cartera de consumo o asimilable a consumo</w:t>
            </w:r>
          </w:p>
        </w:tc>
        <w:tc>
          <w:tcPr>
            <w:tcW w:w="1135" w:type="pct"/>
            <w:vAlign w:val="center"/>
          </w:tcPr>
          <w:p w14:paraId="45877387" w14:textId="77777777" w:rsidR="00656E62" w:rsidRPr="00701F32" w:rsidRDefault="00656E62" w:rsidP="00464C0F">
            <w:pPr>
              <w:spacing w:line="259" w:lineRule="auto"/>
              <w:jc w:val="center"/>
              <w:rPr>
                <w:rFonts w:ascii="Arial" w:eastAsia="Arial" w:hAnsi="Arial" w:cs="Arial"/>
                <w:b/>
                <w:sz w:val="18"/>
              </w:rPr>
            </w:pPr>
            <w:r w:rsidRPr="00701F32">
              <w:rPr>
                <w:rFonts w:ascii="Arial" w:eastAsia="Arial" w:hAnsi="Arial" w:cs="Arial"/>
                <w:b/>
                <w:sz w:val="18"/>
              </w:rPr>
              <w:t>Con garantías preferidas</w:t>
            </w:r>
          </w:p>
        </w:tc>
        <w:tc>
          <w:tcPr>
            <w:tcW w:w="1135" w:type="pct"/>
            <w:vAlign w:val="center"/>
          </w:tcPr>
          <w:p w14:paraId="7867DDFA" w14:textId="77777777" w:rsidR="00656E62" w:rsidRPr="00701F32" w:rsidRDefault="00656E62" w:rsidP="00464C0F">
            <w:pPr>
              <w:spacing w:line="259" w:lineRule="auto"/>
              <w:jc w:val="center"/>
              <w:rPr>
                <w:rFonts w:ascii="Arial" w:eastAsia="Arial" w:hAnsi="Arial" w:cs="Arial"/>
                <w:b/>
                <w:sz w:val="18"/>
              </w:rPr>
            </w:pPr>
            <w:r w:rsidRPr="00701F32">
              <w:rPr>
                <w:rFonts w:ascii="Arial" w:eastAsia="Arial" w:hAnsi="Arial" w:cs="Arial"/>
                <w:b/>
                <w:sz w:val="18"/>
              </w:rPr>
              <w:t>Sin garantías preferidas</w:t>
            </w:r>
          </w:p>
        </w:tc>
      </w:tr>
      <w:tr w:rsidR="00656E62" w:rsidRPr="00701F32" w14:paraId="288FD461" w14:textId="77777777" w:rsidTr="00E311C9">
        <w:trPr>
          <w:trHeight w:val="78"/>
        </w:trPr>
        <w:tc>
          <w:tcPr>
            <w:tcW w:w="1391" w:type="pct"/>
            <w:vAlign w:val="center"/>
          </w:tcPr>
          <w:p w14:paraId="1407A069" w14:textId="77777777" w:rsidR="00656E62" w:rsidRPr="00701F32" w:rsidRDefault="00656E62" w:rsidP="00464C0F">
            <w:pPr>
              <w:spacing w:line="259" w:lineRule="auto"/>
              <w:rPr>
                <w:rFonts w:ascii="Arial" w:eastAsia="Arial" w:hAnsi="Arial" w:cs="Arial"/>
                <w:sz w:val="18"/>
              </w:rPr>
            </w:pPr>
            <w:r w:rsidRPr="00701F32">
              <w:rPr>
                <w:rFonts w:ascii="Arial" w:eastAsia="Arial" w:hAnsi="Arial" w:cs="Arial"/>
                <w:sz w:val="18"/>
              </w:rPr>
              <w:t>Situación normal</w:t>
            </w:r>
          </w:p>
        </w:tc>
        <w:tc>
          <w:tcPr>
            <w:tcW w:w="1338" w:type="pct"/>
            <w:vAlign w:val="center"/>
          </w:tcPr>
          <w:p w14:paraId="03A19C70"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Situación normal</w:t>
            </w:r>
          </w:p>
        </w:tc>
        <w:tc>
          <w:tcPr>
            <w:tcW w:w="1135" w:type="pct"/>
            <w:vAlign w:val="center"/>
          </w:tcPr>
          <w:p w14:paraId="69FB2251"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w:t>
            </w:r>
          </w:p>
        </w:tc>
        <w:tc>
          <w:tcPr>
            <w:tcW w:w="1135" w:type="pct"/>
            <w:vAlign w:val="center"/>
          </w:tcPr>
          <w:p w14:paraId="62606F04"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w:t>
            </w:r>
          </w:p>
        </w:tc>
      </w:tr>
      <w:tr w:rsidR="00656E62" w:rsidRPr="00701F32" w14:paraId="7D28BED8" w14:textId="77777777" w:rsidTr="00E311C9">
        <w:trPr>
          <w:trHeight w:val="78"/>
        </w:trPr>
        <w:tc>
          <w:tcPr>
            <w:tcW w:w="1391" w:type="pct"/>
            <w:vAlign w:val="center"/>
          </w:tcPr>
          <w:p w14:paraId="30D3649B"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En observación</w:t>
            </w:r>
          </w:p>
        </w:tc>
        <w:tc>
          <w:tcPr>
            <w:tcW w:w="1338" w:type="pct"/>
            <w:vAlign w:val="center"/>
          </w:tcPr>
          <w:p w14:paraId="38C76035"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Riesgo bajo</w:t>
            </w:r>
          </w:p>
        </w:tc>
        <w:tc>
          <w:tcPr>
            <w:tcW w:w="1135" w:type="pct"/>
            <w:vAlign w:val="center"/>
          </w:tcPr>
          <w:p w14:paraId="53C2992F"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3%</w:t>
            </w:r>
          </w:p>
        </w:tc>
        <w:tc>
          <w:tcPr>
            <w:tcW w:w="1135" w:type="pct"/>
            <w:vAlign w:val="center"/>
          </w:tcPr>
          <w:p w14:paraId="6B7B884C"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5%</w:t>
            </w:r>
          </w:p>
        </w:tc>
      </w:tr>
      <w:tr w:rsidR="00656E62" w:rsidRPr="00701F32" w14:paraId="17DF7206" w14:textId="77777777" w:rsidTr="00E311C9">
        <w:trPr>
          <w:trHeight w:val="168"/>
        </w:trPr>
        <w:tc>
          <w:tcPr>
            <w:tcW w:w="1391" w:type="pct"/>
            <w:vAlign w:val="center"/>
          </w:tcPr>
          <w:p w14:paraId="1F2E72C3"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En negociación o con acuerdos de refinanciación</w:t>
            </w:r>
          </w:p>
        </w:tc>
        <w:tc>
          <w:tcPr>
            <w:tcW w:w="1338" w:type="pct"/>
            <w:vAlign w:val="center"/>
          </w:tcPr>
          <w:p w14:paraId="53F553EB"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N/A</w:t>
            </w:r>
          </w:p>
          <w:p w14:paraId="05A1373D" w14:textId="77777777" w:rsidR="00656E62" w:rsidRPr="00701F32" w:rsidRDefault="00656E62" w:rsidP="00464C0F">
            <w:pPr>
              <w:spacing w:line="259" w:lineRule="auto"/>
              <w:rPr>
                <w:rFonts w:ascii="Arial" w:eastAsia="Arial" w:hAnsi="Arial" w:cs="Arial"/>
                <w:sz w:val="18"/>
              </w:rPr>
            </w:pPr>
          </w:p>
        </w:tc>
        <w:tc>
          <w:tcPr>
            <w:tcW w:w="1135" w:type="pct"/>
            <w:vAlign w:val="center"/>
          </w:tcPr>
          <w:p w14:paraId="14D0E2F9"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6%</w:t>
            </w:r>
          </w:p>
        </w:tc>
        <w:tc>
          <w:tcPr>
            <w:tcW w:w="1135" w:type="pct"/>
            <w:vAlign w:val="center"/>
          </w:tcPr>
          <w:p w14:paraId="2CA02CB2"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12%</w:t>
            </w:r>
          </w:p>
        </w:tc>
      </w:tr>
      <w:tr w:rsidR="00656E62" w:rsidRPr="00701F32" w14:paraId="46316CE7" w14:textId="77777777" w:rsidTr="00E311C9">
        <w:trPr>
          <w:trHeight w:val="83"/>
        </w:trPr>
        <w:tc>
          <w:tcPr>
            <w:tcW w:w="1391" w:type="pct"/>
            <w:vAlign w:val="center"/>
          </w:tcPr>
          <w:p w14:paraId="7225FCFC"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 xml:space="preserve">Con problemas </w:t>
            </w:r>
          </w:p>
        </w:tc>
        <w:tc>
          <w:tcPr>
            <w:tcW w:w="1338" w:type="pct"/>
            <w:vAlign w:val="center"/>
          </w:tcPr>
          <w:p w14:paraId="36674137"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Riesgo medio</w:t>
            </w:r>
          </w:p>
        </w:tc>
        <w:tc>
          <w:tcPr>
            <w:tcW w:w="1135" w:type="pct"/>
            <w:vAlign w:val="center"/>
          </w:tcPr>
          <w:p w14:paraId="323DA396"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12%</w:t>
            </w:r>
          </w:p>
        </w:tc>
        <w:tc>
          <w:tcPr>
            <w:tcW w:w="1135" w:type="pct"/>
            <w:vAlign w:val="center"/>
          </w:tcPr>
          <w:p w14:paraId="01B98BB6"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25%</w:t>
            </w:r>
          </w:p>
        </w:tc>
      </w:tr>
      <w:tr w:rsidR="00656E62" w:rsidRPr="00701F32" w14:paraId="133BA292" w14:textId="77777777" w:rsidTr="00E311C9">
        <w:trPr>
          <w:trHeight w:val="157"/>
        </w:trPr>
        <w:tc>
          <w:tcPr>
            <w:tcW w:w="1391" w:type="pct"/>
            <w:vAlign w:val="center"/>
          </w:tcPr>
          <w:p w14:paraId="712BC511"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Alto riesgo de insolvencia</w:t>
            </w:r>
          </w:p>
        </w:tc>
        <w:tc>
          <w:tcPr>
            <w:tcW w:w="1338" w:type="pct"/>
            <w:vAlign w:val="center"/>
          </w:tcPr>
          <w:p w14:paraId="37340447"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Riesgo alto</w:t>
            </w:r>
          </w:p>
        </w:tc>
        <w:tc>
          <w:tcPr>
            <w:tcW w:w="1135" w:type="pct"/>
            <w:vAlign w:val="center"/>
          </w:tcPr>
          <w:p w14:paraId="6194EF3C"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25%</w:t>
            </w:r>
          </w:p>
        </w:tc>
        <w:tc>
          <w:tcPr>
            <w:tcW w:w="1135" w:type="pct"/>
            <w:vAlign w:val="center"/>
          </w:tcPr>
          <w:p w14:paraId="29AAA9AA"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50%</w:t>
            </w:r>
          </w:p>
        </w:tc>
      </w:tr>
      <w:tr w:rsidR="00656E62" w:rsidRPr="00701F32" w14:paraId="2109CA0C" w14:textId="77777777" w:rsidTr="00E311C9">
        <w:trPr>
          <w:trHeight w:val="78"/>
        </w:trPr>
        <w:tc>
          <w:tcPr>
            <w:tcW w:w="1391" w:type="pct"/>
            <w:vAlign w:val="center"/>
          </w:tcPr>
          <w:p w14:paraId="71D87D46"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Irrecuperable</w:t>
            </w:r>
          </w:p>
        </w:tc>
        <w:tc>
          <w:tcPr>
            <w:tcW w:w="1338" w:type="pct"/>
            <w:vAlign w:val="center"/>
          </w:tcPr>
          <w:p w14:paraId="194AD627"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Irrecuperable</w:t>
            </w:r>
          </w:p>
        </w:tc>
        <w:tc>
          <w:tcPr>
            <w:tcW w:w="1135" w:type="pct"/>
            <w:vAlign w:val="center"/>
          </w:tcPr>
          <w:p w14:paraId="6706430C"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50%</w:t>
            </w:r>
          </w:p>
        </w:tc>
        <w:tc>
          <w:tcPr>
            <w:tcW w:w="1135" w:type="pct"/>
            <w:vAlign w:val="center"/>
          </w:tcPr>
          <w:p w14:paraId="76471BFE"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100%</w:t>
            </w:r>
          </w:p>
        </w:tc>
      </w:tr>
      <w:tr w:rsidR="00656E62" w:rsidRPr="00701F32" w14:paraId="36EE68F3" w14:textId="77777777" w:rsidTr="00E311C9">
        <w:trPr>
          <w:trHeight w:val="167"/>
        </w:trPr>
        <w:tc>
          <w:tcPr>
            <w:tcW w:w="1391" w:type="pct"/>
            <w:vAlign w:val="center"/>
          </w:tcPr>
          <w:p w14:paraId="0F99020F"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Irrecuperable por disposición técnica</w:t>
            </w:r>
          </w:p>
        </w:tc>
        <w:tc>
          <w:tcPr>
            <w:tcW w:w="1338" w:type="pct"/>
            <w:vAlign w:val="center"/>
          </w:tcPr>
          <w:p w14:paraId="7BF0A8CD" w14:textId="77777777" w:rsidR="00656E62" w:rsidRPr="00701F32" w:rsidRDefault="00656E62" w:rsidP="00464C0F">
            <w:pPr>
              <w:spacing w:line="259" w:lineRule="auto"/>
              <w:jc w:val="both"/>
              <w:rPr>
                <w:rFonts w:ascii="Arial" w:eastAsia="Arial" w:hAnsi="Arial" w:cs="Arial"/>
                <w:sz w:val="18"/>
              </w:rPr>
            </w:pPr>
            <w:r w:rsidRPr="00701F32">
              <w:rPr>
                <w:rFonts w:ascii="Arial" w:eastAsia="Arial" w:hAnsi="Arial" w:cs="Arial"/>
                <w:sz w:val="18"/>
              </w:rPr>
              <w:t>Irrecuperable por disposición técnica</w:t>
            </w:r>
          </w:p>
        </w:tc>
        <w:tc>
          <w:tcPr>
            <w:tcW w:w="1135" w:type="pct"/>
            <w:vAlign w:val="center"/>
          </w:tcPr>
          <w:p w14:paraId="5A88B8E2"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100%</w:t>
            </w:r>
          </w:p>
        </w:tc>
        <w:tc>
          <w:tcPr>
            <w:tcW w:w="1135" w:type="pct"/>
            <w:vAlign w:val="center"/>
          </w:tcPr>
          <w:p w14:paraId="4A298C0B" w14:textId="77777777" w:rsidR="00656E62" w:rsidRPr="00701F32" w:rsidRDefault="00656E62" w:rsidP="00464C0F">
            <w:pPr>
              <w:spacing w:line="259" w:lineRule="auto"/>
              <w:jc w:val="center"/>
              <w:rPr>
                <w:rFonts w:ascii="Arial" w:eastAsia="Arial" w:hAnsi="Arial" w:cs="Arial"/>
                <w:sz w:val="18"/>
              </w:rPr>
            </w:pPr>
            <w:r w:rsidRPr="00701F32">
              <w:rPr>
                <w:rFonts w:ascii="Arial" w:eastAsia="Arial" w:hAnsi="Arial" w:cs="Arial"/>
                <w:sz w:val="18"/>
              </w:rPr>
              <w:t>100%</w:t>
            </w:r>
          </w:p>
        </w:tc>
      </w:tr>
    </w:tbl>
    <w:p w14:paraId="733CFBC7" w14:textId="77777777" w:rsidR="00656E62" w:rsidRPr="00701F32" w:rsidRDefault="00656E62" w:rsidP="00656E62">
      <w:pPr>
        <w:spacing w:line="259" w:lineRule="auto"/>
        <w:jc w:val="both"/>
        <w:rPr>
          <w:rFonts w:ascii="Arial" w:eastAsia="Arial" w:hAnsi="Arial" w:cs="Arial"/>
          <w:sz w:val="20"/>
        </w:rPr>
      </w:pPr>
    </w:p>
    <w:p w14:paraId="14C377BD" w14:textId="77777777" w:rsidR="005C4329" w:rsidRPr="00701F32" w:rsidRDefault="005C4329" w:rsidP="005C4329">
      <w:pPr>
        <w:spacing w:line="259" w:lineRule="auto"/>
        <w:jc w:val="both"/>
        <w:rPr>
          <w:rFonts w:ascii="Arial" w:hAnsi="Arial" w:cs="Arial"/>
          <w:color w:val="000000"/>
          <w:sz w:val="20"/>
        </w:rPr>
      </w:pPr>
      <w:r w:rsidRPr="00701F32">
        <w:rPr>
          <w:rFonts w:ascii="Arial" w:hAnsi="Arial" w:cs="Arial"/>
          <w:color w:val="000000"/>
          <w:sz w:val="20"/>
        </w:rPr>
        <w:t>El criterio principal para evaluar un préstamo perteneciente a la cartera comercial es la capacidad de su prestatario para reembolsarlo, capacidad que se mide principalmente por el flujo de efectivo futuro de dicho prestatario. En el caso del análisis de la cartera de consumo el principal criterio en la evaluación de los préstamos es la mora en el cumplimiento de sus obligaciones.</w:t>
      </w:r>
    </w:p>
    <w:p w14:paraId="73CC3D6C" w14:textId="77777777" w:rsidR="005C4329" w:rsidRPr="00701F32" w:rsidRDefault="005C4329" w:rsidP="00656E62">
      <w:pPr>
        <w:spacing w:after="160" w:line="259" w:lineRule="auto"/>
        <w:jc w:val="both"/>
        <w:rPr>
          <w:rFonts w:ascii="Arial" w:hAnsi="Arial" w:cs="Arial"/>
          <w:color w:val="000000"/>
          <w:sz w:val="20"/>
        </w:rPr>
      </w:pPr>
      <w:r w:rsidRPr="00701F32">
        <w:rPr>
          <w:rFonts w:ascii="Arial" w:hAnsi="Arial" w:cs="Arial"/>
          <w:color w:val="000000"/>
          <w:sz w:val="20"/>
        </w:rPr>
        <w:t>Entre otras disposiciones particulares, la Entidad ha optado por de interrumpir el devengamiento de intereses de aquellos clientes que presenten atrasos mayores a 90 días en lugar de previsionar el 100% de los mismos.</w:t>
      </w:r>
    </w:p>
    <w:p w14:paraId="5D939BFB"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Calibri" w:hAnsi="Arial" w:cs="Arial"/>
          <w:b/>
          <w:sz w:val="20"/>
        </w:rPr>
        <w:t>1.1</w:t>
      </w:r>
      <w:r w:rsidR="00AF2B5E" w:rsidRPr="00701F32">
        <w:rPr>
          <w:rFonts w:ascii="Arial" w:eastAsia="Calibri" w:hAnsi="Arial" w:cs="Arial"/>
          <w:b/>
          <w:sz w:val="20"/>
        </w:rPr>
        <w:t>1</w:t>
      </w:r>
      <w:r w:rsidRPr="00701F32">
        <w:rPr>
          <w:rFonts w:ascii="Arial" w:eastAsia="Calibri" w:hAnsi="Arial" w:cs="Arial"/>
          <w:b/>
          <w:sz w:val="20"/>
        </w:rPr>
        <w:t xml:space="preserve"> Arrendamientos / Leasing </w:t>
      </w:r>
    </w:p>
    <w:p w14:paraId="02D3DEC1" w14:textId="77777777" w:rsidR="00656E62" w:rsidRPr="00701F32" w:rsidRDefault="00656E62" w:rsidP="00656E62">
      <w:pPr>
        <w:spacing w:after="160" w:line="259" w:lineRule="auto"/>
        <w:jc w:val="both"/>
        <w:rPr>
          <w:rFonts w:ascii="Arial" w:eastAsia="Calibri" w:hAnsi="Arial" w:cs="Arial"/>
          <w:sz w:val="20"/>
          <w:u w:val="single"/>
        </w:rPr>
      </w:pPr>
      <w:r w:rsidRPr="00701F32">
        <w:rPr>
          <w:rFonts w:ascii="Arial" w:eastAsia="Calibri" w:hAnsi="Arial" w:cs="Arial"/>
          <w:sz w:val="20"/>
          <w:u w:val="single"/>
        </w:rPr>
        <w:t>Arrendamientos financieros</w:t>
      </w:r>
    </w:p>
    <w:p w14:paraId="15153B2D"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Se han registrado por el valor actual de las sumas no devengadas, calculadas según las condiciones pactadas en los respectivos contratos, en función a la tasa de interés implícita en ellos.</w:t>
      </w:r>
    </w:p>
    <w:p w14:paraId="6A8BF581" w14:textId="77777777" w:rsidR="00656E62" w:rsidRPr="00701F32" w:rsidRDefault="00656E62" w:rsidP="00656E62">
      <w:pPr>
        <w:spacing w:after="160" w:line="259" w:lineRule="auto"/>
        <w:jc w:val="both"/>
        <w:rPr>
          <w:rFonts w:ascii="Arial" w:eastAsia="Calibri" w:hAnsi="Arial" w:cs="Arial"/>
          <w:sz w:val="20"/>
          <w:u w:val="single"/>
        </w:rPr>
      </w:pPr>
      <w:r w:rsidRPr="00701F32">
        <w:rPr>
          <w:rFonts w:ascii="Arial" w:eastAsia="Calibri" w:hAnsi="Arial" w:cs="Arial"/>
          <w:sz w:val="20"/>
          <w:u w:val="single"/>
        </w:rPr>
        <w:t>Medición inicial</w:t>
      </w:r>
    </w:p>
    <w:p w14:paraId="165643A3"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El Banco utiliza la tasa de interés implícita en el arrendamiento para medir la inversión neta. Esta es definida de manera tal que los ingresos y costos directos iniciales se incluyen automáticamente en la inversión neta del arrendamiento.</w:t>
      </w:r>
    </w:p>
    <w:p w14:paraId="066D7BAA"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Los costos directos iniciales, distintos de los incurridos por los fabricantes o concesionarios, se incluyen en la medición inicial de la inversión neta del arrendamiento y reducen la cantidad de ingresos reconocidos durante el plazo del arrendamiento. La tasa de interés implícita en el arrendamiento se define de tal manera que los costos directos iniciales se incluyen automáticamente en la inversión neta en el arrendamiento; no hay necesidad de agregarlos por separado.</w:t>
      </w:r>
    </w:p>
    <w:p w14:paraId="312DEC1F"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La diferencia entre el importe bruto por cobrar y el valor actual representa el ingreso financiero que se reconoce durante el plazo del arrendamiento. Los ingresos financieros de los arrendamientos se registran dentro del resultado del </w:t>
      </w:r>
      <w:r w:rsidR="000C2569" w:rsidRPr="00701F32">
        <w:rPr>
          <w:rFonts w:ascii="Arial" w:eastAsia="Calibri" w:hAnsi="Arial" w:cs="Arial"/>
          <w:sz w:val="20"/>
        </w:rPr>
        <w:t>período</w:t>
      </w:r>
      <w:r w:rsidRPr="00701F32">
        <w:rPr>
          <w:rFonts w:ascii="Arial" w:eastAsia="Calibri" w:hAnsi="Arial" w:cs="Arial"/>
          <w:sz w:val="20"/>
        </w:rPr>
        <w:t xml:space="preserve">. Las pérdidas por deterioro se reconocen en el resultado del </w:t>
      </w:r>
      <w:r w:rsidR="000C2569" w:rsidRPr="00701F32">
        <w:rPr>
          <w:rFonts w:ascii="Arial" w:eastAsia="Calibri" w:hAnsi="Arial" w:cs="Arial"/>
          <w:sz w:val="20"/>
        </w:rPr>
        <w:t>período</w:t>
      </w:r>
      <w:r w:rsidRPr="00701F32">
        <w:rPr>
          <w:rFonts w:ascii="Arial" w:eastAsia="Calibri" w:hAnsi="Arial" w:cs="Arial"/>
          <w:sz w:val="20"/>
        </w:rPr>
        <w:t xml:space="preserve">. </w:t>
      </w:r>
    </w:p>
    <w:p w14:paraId="6D3B966C" w14:textId="308BE026" w:rsidR="006470AD" w:rsidRPr="00701F32" w:rsidRDefault="00656E62" w:rsidP="00656E62">
      <w:pPr>
        <w:jc w:val="both"/>
        <w:rPr>
          <w:rFonts w:ascii="Arial" w:eastAsia="Calibri" w:hAnsi="Arial" w:cs="Arial"/>
          <w:sz w:val="20"/>
        </w:rPr>
      </w:pPr>
      <w:r w:rsidRPr="00701F32">
        <w:rPr>
          <w:rFonts w:ascii="Arial" w:eastAsia="Calibri" w:hAnsi="Arial" w:cs="Arial"/>
          <w:sz w:val="20"/>
        </w:rPr>
        <w:t>El Banco utiliza los criterios detallados en Nota 1.1</w:t>
      </w:r>
      <w:r w:rsidR="00AF2B5E" w:rsidRPr="00701F32">
        <w:rPr>
          <w:rFonts w:ascii="Arial" w:eastAsia="Calibri" w:hAnsi="Arial" w:cs="Arial"/>
          <w:sz w:val="20"/>
        </w:rPr>
        <w:t>0</w:t>
      </w:r>
      <w:r w:rsidRPr="00701F32">
        <w:rPr>
          <w:rFonts w:ascii="Arial" w:eastAsia="Calibri" w:hAnsi="Arial" w:cs="Arial"/>
          <w:sz w:val="20"/>
        </w:rPr>
        <w:t xml:space="preserve"> para determinar si existe evidencia objetiva de que se ha producido una pérdida por deterioro, en el caso de los préstamos llevados al costo amortizado.</w:t>
      </w:r>
    </w:p>
    <w:p w14:paraId="1D8274CE" w14:textId="77777777" w:rsidR="00656E62" w:rsidRPr="00701F32" w:rsidRDefault="00656E62" w:rsidP="00656E62">
      <w:pPr>
        <w:jc w:val="both"/>
        <w:rPr>
          <w:rFonts w:ascii="Arial" w:hAnsi="Arial" w:cs="Arial"/>
          <w:sz w:val="20"/>
        </w:rPr>
      </w:pPr>
    </w:p>
    <w:p w14:paraId="30C7D3C2" w14:textId="77777777" w:rsidR="00656E62" w:rsidRPr="00701F32" w:rsidRDefault="00656E62" w:rsidP="00656E62">
      <w:pPr>
        <w:spacing w:after="160"/>
        <w:jc w:val="both"/>
        <w:rPr>
          <w:rFonts w:ascii="Arial" w:eastAsia="Calibri" w:hAnsi="Arial" w:cs="Arial"/>
          <w:b/>
          <w:sz w:val="20"/>
        </w:rPr>
      </w:pPr>
      <w:r w:rsidRPr="00701F32">
        <w:rPr>
          <w:rFonts w:ascii="Arial" w:eastAsia="Calibri" w:hAnsi="Arial" w:cs="Arial"/>
          <w:b/>
          <w:sz w:val="20"/>
        </w:rPr>
        <w:t>1.1</w:t>
      </w:r>
      <w:r w:rsidR="00AF2B5E" w:rsidRPr="00701F32">
        <w:rPr>
          <w:rFonts w:ascii="Arial" w:eastAsia="Calibri" w:hAnsi="Arial" w:cs="Arial"/>
          <w:b/>
          <w:sz w:val="20"/>
        </w:rPr>
        <w:t>2</w:t>
      </w:r>
      <w:r w:rsidRPr="00701F32">
        <w:rPr>
          <w:rFonts w:ascii="Arial" w:eastAsia="Calibri" w:hAnsi="Arial" w:cs="Arial"/>
          <w:b/>
          <w:sz w:val="20"/>
        </w:rPr>
        <w:t xml:space="preserve"> Propiedad, planta y equipo (PPE)</w:t>
      </w:r>
    </w:p>
    <w:p w14:paraId="7D1399E8" w14:textId="77777777" w:rsidR="00656E62" w:rsidRPr="00701F32" w:rsidRDefault="00656E62" w:rsidP="0086282C">
      <w:pPr>
        <w:numPr>
          <w:ilvl w:val="0"/>
          <w:numId w:val="101"/>
        </w:numPr>
        <w:spacing w:after="160"/>
        <w:contextualSpacing/>
        <w:jc w:val="both"/>
        <w:rPr>
          <w:rFonts w:ascii="Arial" w:eastAsia="Calibri" w:hAnsi="Arial" w:cs="Arial"/>
          <w:sz w:val="20"/>
        </w:rPr>
      </w:pPr>
      <w:r w:rsidRPr="00701F32">
        <w:rPr>
          <w:rFonts w:ascii="Arial" w:eastAsia="Calibri" w:hAnsi="Arial" w:cs="Arial"/>
          <w:sz w:val="20"/>
        </w:rPr>
        <w:t xml:space="preserve">Bases de medición utilizadas. </w:t>
      </w:r>
    </w:p>
    <w:p w14:paraId="740450B7"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Terrenos y edificios se contabilizan por sus valores revaluados basados en tasaciones periódicas, utilizando para ello el servicio de tasadores independientes, neto de la consecuente depreciación para edificios. </w:t>
      </w:r>
    </w:p>
    <w:p w14:paraId="64996AFF"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Toda otra propiedad, planta y equipo se contabiliza a su costo histórico neto de depreciaciones acumuladas y/o de las pérdidas por desvalorización acumuladas, si las hubiera. El costo incluye los gastos que son directamente atribuibles a la adquisición o construcción de estas partidas.</w:t>
      </w:r>
    </w:p>
    <w:p w14:paraId="6CAAB5D7" w14:textId="0122DB8A"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costos subsecuentes se incluyen en el valor del activo o se reconocen como un activo separado, según corresponda, si y solo si es probable que generen beneficios económicos futuros para el </w:t>
      </w:r>
      <w:r w:rsidR="00FB5A40" w:rsidRPr="00701F32">
        <w:rPr>
          <w:rFonts w:ascii="Arial" w:eastAsia="Calibri" w:hAnsi="Arial" w:cs="Arial"/>
          <w:sz w:val="20"/>
        </w:rPr>
        <w:t>banco</w:t>
      </w:r>
      <w:r w:rsidRPr="00701F32">
        <w:rPr>
          <w:rFonts w:ascii="Arial" w:eastAsia="Calibri" w:hAnsi="Arial" w:cs="Arial"/>
          <w:sz w:val="20"/>
        </w:rPr>
        <w:t>, y su costo pueda ser medido razonablemente. El valor de libros del activo que se reemplaza se da de baja, amortizándose el nuevo activo por la cantidad de años de vida útil restante al momento de efectuarse la mejora.</w:t>
      </w:r>
    </w:p>
    <w:p w14:paraId="6C0EE6F3"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gastos de reparación y mantenimiento se reconocen en el estado de resultados </w:t>
      </w:r>
      <w:r w:rsidR="003B1200" w:rsidRPr="00701F32">
        <w:rPr>
          <w:rFonts w:ascii="Arial" w:eastAsia="Arial" w:hAnsi="Arial" w:cs="Arial"/>
          <w:sz w:val="20"/>
        </w:rPr>
        <w:t>separados</w:t>
      </w:r>
      <w:r w:rsidRPr="00701F32">
        <w:rPr>
          <w:rFonts w:ascii="Arial" w:eastAsia="Calibri" w:hAnsi="Arial" w:cs="Arial"/>
          <w:sz w:val="20"/>
        </w:rPr>
        <w:t xml:space="preserve"> del período en que se incurren.</w:t>
      </w:r>
    </w:p>
    <w:p w14:paraId="12BEDD35" w14:textId="77777777" w:rsidR="00656E62" w:rsidRPr="00701F32" w:rsidRDefault="00656E62" w:rsidP="0086282C">
      <w:pPr>
        <w:numPr>
          <w:ilvl w:val="0"/>
          <w:numId w:val="101"/>
        </w:numPr>
        <w:spacing w:after="160"/>
        <w:contextualSpacing/>
        <w:jc w:val="both"/>
        <w:rPr>
          <w:rFonts w:ascii="Arial" w:eastAsia="Calibri" w:hAnsi="Arial" w:cs="Arial"/>
          <w:sz w:val="20"/>
        </w:rPr>
      </w:pPr>
      <w:r w:rsidRPr="00701F32">
        <w:rPr>
          <w:rFonts w:ascii="Arial" w:eastAsia="Calibri" w:hAnsi="Arial" w:cs="Arial"/>
          <w:sz w:val="20"/>
        </w:rPr>
        <w:t xml:space="preserve">Métodos de depreciación utilizados. </w:t>
      </w:r>
    </w:p>
    <w:p w14:paraId="3F390781"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La depreciación es calculada utilizando el método de línea recta, aplicando tasas anuales suficientes para extinguir los valores de los bienes al final de la vida útil estimada.</w:t>
      </w:r>
    </w:p>
    <w:p w14:paraId="352D8E16" w14:textId="314CE66B" w:rsidR="00D766AC" w:rsidRPr="00701F32" w:rsidRDefault="00656E62" w:rsidP="00656E62">
      <w:pPr>
        <w:spacing w:after="160"/>
        <w:jc w:val="both"/>
        <w:rPr>
          <w:rFonts w:ascii="Arial" w:eastAsia="Calibri" w:hAnsi="Arial" w:cs="Arial"/>
          <w:sz w:val="20"/>
        </w:rPr>
      </w:pPr>
      <w:r w:rsidRPr="00701F32">
        <w:rPr>
          <w:rFonts w:ascii="Arial" w:eastAsia="Calibri" w:hAnsi="Arial" w:cs="Arial"/>
          <w:sz w:val="20"/>
        </w:rPr>
        <w:t>A continuación, se detalla la v</w:t>
      </w:r>
      <w:r w:rsidR="00AC4467" w:rsidRPr="00701F32">
        <w:rPr>
          <w:rFonts w:ascii="Arial" w:eastAsia="Calibri" w:hAnsi="Arial" w:cs="Arial"/>
          <w:sz w:val="20"/>
        </w:rPr>
        <w:t>ida</w:t>
      </w:r>
      <w:r w:rsidRPr="00701F32">
        <w:rPr>
          <w:rFonts w:ascii="Arial" w:eastAsia="Calibri" w:hAnsi="Arial" w:cs="Arial"/>
          <w:sz w:val="20"/>
        </w:rPr>
        <w:t xml:space="preserve"> útil para cada uno de los ítems que componen el rubro propiedad, planta y equipo: </w:t>
      </w:r>
    </w:p>
    <w:tbl>
      <w:tblPr>
        <w:tblStyle w:val="Tabladecuadrcula1clara1"/>
        <w:tblW w:w="0" w:type="auto"/>
        <w:tblInd w:w="1951" w:type="dxa"/>
        <w:tblLook w:val="04A0" w:firstRow="1" w:lastRow="0" w:firstColumn="1" w:lastColumn="0" w:noHBand="0" w:noVBand="1"/>
      </w:tblPr>
      <w:tblGrid>
        <w:gridCol w:w="2463"/>
        <w:gridCol w:w="2215"/>
      </w:tblGrid>
      <w:tr w:rsidR="00656E62" w:rsidRPr="00701F32" w14:paraId="0D2946F2" w14:textId="77777777" w:rsidTr="00862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2FB0BE01" w14:textId="77777777" w:rsidR="00656E62" w:rsidRPr="00701F32" w:rsidRDefault="00656E62" w:rsidP="00464C0F">
            <w:pPr>
              <w:jc w:val="both"/>
              <w:rPr>
                <w:rFonts w:ascii="Arial" w:hAnsi="Arial" w:cs="Arial"/>
                <w:sz w:val="18"/>
              </w:rPr>
            </w:pPr>
            <w:r w:rsidRPr="00701F32">
              <w:rPr>
                <w:rFonts w:ascii="Arial" w:hAnsi="Arial" w:cs="Arial"/>
                <w:sz w:val="18"/>
              </w:rPr>
              <w:t>Clase de Activo PPE</w:t>
            </w:r>
          </w:p>
        </w:tc>
        <w:tc>
          <w:tcPr>
            <w:tcW w:w="2215" w:type="dxa"/>
            <w:tcBorders>
              <w:top w:val="single" w:sz="4" w:space="0" w:color="auto"/>
              <w:left w:val="single" w:sz="4" w:space="0" w:color="auto"/>
              <w:bottom w:val="single" w:sz="4" w:space="0" w:color="auto"/>
              <w:right w:val="single" w:sz="4" w:space="0" w:color="auto"/>
            </w:tcBorders>
          </w:tcPr>
          <w:p w14:paraId="2A76084D" w14:textId="77777777" w:rsidR="00656E62" w:rsidRPr="00701F32" w:rsidRDefault="00656E62" w:rsidP="0086282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r w:rsidRPr="00701F32">
              <w:rPr>
                <w:rFonts w:ascii="Arial" w:hAnsi="Arial" w:cs="Arial"/>
                <w:sz w:val="18"/>
              </w:rPr>
              <w:t>Vida útil estimada</w:t>
            </w:r>
          </w:p>
        </w:tc>
      </w:tr>
      <w:tr w:rsidR="00656E62" w:rsidRPr="00701F32" w14:paraId="4145D97C"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039364A5" w14:textId="77777777" w:rsidR="00656E62" w:rsidRPr="00701F32" w:rsidRDefault="00656E62" w:rsidP="0086282C">
            <w:pPr>
              <w:jc w:val="both"/>
              <w:rPr>
                <w:rFonts w:ascii="Arial" w:hAnsi="Arial" w:cs="Arial"/>
                <w:b w:val="0"/>
                <w:bCs w:val="0"/>
                <w:sz w:val="18"/>
              </w:rPr>
            </w:pPr>
            <w:r w:rsidRPr="00701F32">
              <w:rPr>
                <w:rFonts w:ascii="Arial" w:hAnsi="Arial" w:cs="Arial"/>
                <w:sz w:val="18"/>
              </w:rPr>
              <w:t>Terrenos</w:t>
            </w:r>
          </w:p>
        </w:tc>
        <w:tc>
          <w:tcPr>
            <w:tcW w:w="2215" w:type="dxa"/>
            <w:tcBorders>
              <w:top w:val="single" w:sz="4" w:space="0" w:color="auto"/>
              <w:left w:val="single" w:sz="4" w:space="0" w:color="auto"/>
              <w:bottom w:val="single" w:sz="4" w:space="0" w:color="auto"/>
              <w:right w:val="single" w:sz="4" w:space="0" w:color="auto"/>
            </w:tcBorders>
          </w:tcPr>
          <w:p w14:paraId="4888C04B"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No se amortizan</w:t>
            </w:r>
          </w:p>
        </w:tc>
      </w:tr>
      <w:tr w:rsidR="00656E62" w:rsidRPr="00701F32" w14:paraId="653FA584"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2FB53487" w14:textId="77777777" w:rsidR="00656E62" w:rsidRPr="00701F32" w:rsidRDefault="00656E62" w:rsidP="00464C0F">
            <w:pPr>
              <w:jc w:val="both"/>
              <w:rPr>
                <w:rFonts w:ascii="Arial" w:hAnsi="Arial" w:cs="Arial"/>
                <w:b w:val="0"/>
                <w:sz w:val="18"/>
              </w:rPr>
            </w:pPr>
            <w:r w:rsidRPr="00701F32">
              <w:rPr>
                <w:rFonts w:ascii="Arial" w:hAnsi="Arial" w:cs="Arial"/>
                <w:sz w:val="18"/>
              </w:rPr>
              <w:t>Edificios</w:t>
            </w:r>
          </w:p>
        </w:tc>
        <w:tc>
          <w:tcPr>
            <w:tcW w:w="2215" w:type="dxa"/>
            <w:tcBorders>
              <w:top w:val="single" w:sz="4" w:space="0" w:color="auto"/>
              <w:left w:val="single" w:sz="4" w:space="0" w:color="auto"/>
              <w:bottom w:val="single" w:sz="4" w:space="0" w:color="auto"/>
              <w:right w:val="single" w:sz="4" w:space="0" w:color="auto"/>
            </w:tcBorders>
          </w:tcPr>
          <w:p w14:paraId="55ACE7A6"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50 Años</w:t>
            </w:r>
          </w:p>
        </w:tc>
      </w:tr>
      <w:tr w:rsidR="00656E62" w:rsidRPr="00701F32" w14:paraId="736CEE55"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55BDAD77" w14:textId="77777777" w:rsidR="00656E62" w:rsidRPr="00701F32" w:rsidRDefault="00656E62" w:rsidP="00464C0F">
            <w:pPr>
              <w:jc w:val="both"/>
              <w:rPr>
                <w:rFonts w:ascii="Arial" w:hAnsi="Arial" w:cs="Arial"/>
                <w:b w:val="0"/>
                <w:sz w:val="18"/>
              </w:rPr>
            </w:pPr>
            <w:r w:rsidRPr="00701F32">
              <w:rPr>
                <w:rFonts w:ascii="Arial" w:hAnsi="Arial" w:cs="Arial"/>
                <w:sz w:val="18"/>
              </w:rPr>
              <w:t>Mobiliario e Instalaciones</w:t>
            </w:r>
          </w:p>
        </w:tc>
        <w:tc>
          <w:tcPr>
            <w:tcW w:w="2215" w:type="dxa"/>
            <w:tcBorders>
              <w:top w:val="single" w:sz="4" w:space="0" w:color="auto"/>
              <w:left w:val="single" w:sz="4" w:space="0" w:color="auto"/>
              <w:bottom w:val="single" w:sz="4" w:space="0" w:color="auto"/>
              <w:right w:val="single" w:sz="4" w:space="0" w:color="auto"/>
            </w:tcBorders>
          </w:tcPr>
          <w:p w14:paraId="68B49960"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10 años</w:t>
            </w:r>
          </w:p>
        </w:tc>
      </w:tr>
      <w:tr w:rsidR="00656E62" w:rsidRPr="00701F32" w14:paraId="74D8F9A1"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350039C0" w14:textId="77777777" w:rsidR="00656E62" w:rsidRPr="00701F32" w:rsidRDefault="00656E62" w:rsidP="00464C0F">
            <w:pPr>
              <w:jc w:val="both"/>
              <w:rPr>
                <w:rFonts w:ascii="Arial" w:hAnsi="Arial" w:cs="Arial"/>
                <w:b w:val="0"/>
                <w:sz w:val="18"/>
              </w:rPr>
            </w:pPr>
            <w:r w:rsidRPr="00701F32">
              <w:rPr>
                <w:rFonts w:ascii="Arial" w:hAnsi="Arial" w:cs="Arial"/>
                <w:sz w:val="18"/>
              </w:rPr>
              <w:t>Máquinas y Equipos</w:t>
            </w:r>
          </w:p>
        </w:tc>
        <w:tc>
          <w:tcPr>
            <w:tcW w:w="2215" w:type="dxa"/>
            <w:tcBorders>
              <w:top w:val="single" w:sz="4" w:space="0" w:color="auto"/>
              <w:left w:val="single" w:sz="4" w:space="0" w:color="auto"/>
              <w:bottom w:val="single" w:sz="4" w:space="0" w:color="auto"/>
              <w:right w:val="single" w:sz="4" w:space="0" w:color="auto"/>
            </w:tcBorders>
          </w:tcPr>
          <w:p w14:paraId="64B452CA"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r>
      <w:tr w:rsidR="00656E62" w:rsidRPr="00701F32" w14:paraId="4CE4CDFD"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42ED850F" w14:textId="77777777" w:rsidR="00656E62" w:rsidRPr="00701F32" w:rsidRDefault="00656E62" w:rsidP="00464C0F">
            <w:pPr>
              <w:jc w:val="both"/>
              <w:rPr>
                <w:rFonts w:ascii="Arial" w:hAnsi="Arial" w:cs="Arial"/>
                <w:b w:val="0"/>
                <w:sz w:val="18"/>
              </w:rPr>
            </w:pPr>
            <w:r w:rsidRPr="00701F32">
              <w:rPr>
                <w:rFonts w:ascii="Arial" w:hAnsi="Arial" w:cs="Arial"/>
                <w:sz w:val="18"/>
              </w:rPr>
              <w:t>Vehículos</w:t>
            </w:r>
          </w:p>
        </w:tc>
        <w:tc>
          <w:tcPr>
            <w:tcW w:w="2215" w:type="dxa"/>
            <w:tcBorders>
              <w:top w:val="single" w:sz="4" w:space="0" w:color="auto"/>
              <w:left w:val="single" w:sz="4" w:space="0" w:color="auto"/>
              <w:bottom w:val="single" w:sz="4" w:space="0" w:color="auto"/>
              <w:right w:val="single" w:sz="4" w:space="0" w:color="auto"/>
            </w:tcBorders>
          </w:tcPr>
          <w:p w14:paraId="2D1655C2"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r>
      <w:tr w:rsidR="00656E62" w:rsidRPr="00701F32" w14:paraId="3A7E5802" w14:textId="77777777" w:rsidTr="0086282C">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auto"/>
              <w:left w:val="single" w:sz="4" w:space="0" w:color="auto"/>
              <w:bottom w:val="single" w:sz="4" w:space="0" w:color="auto"/>
              <w:right w:val="single" w:sz="4" w:space="0" w:color="auto"/>
            </w:tcBorders>
          </w:tcPr>
          <w:p w14:paraId="00BF4CF0" w14:textId="77777777" w:rsidR="00656E62" w:rsidRPr="00701F32" w:rsidRDefault="00656E62" w:rsidP="00464C0F">
            <w:pPr>
              <w:jc w:val="both"/>
              <w:rPr>
                <w:rFonts w:ascii="Arial" w:hAnsi="Arial" w:cs="Arial"/>
                <w:b w:val="0"/>
                <w:sz w:val="18"/>
              </w:rPr>
            </w:pPr>
            <w:r w:rsidRPr="00701F32">
              <w:rPr>
                <w:rFonts w:ascii="Arial" w:hAnsi="Arial" w:cs="Arial"/>
                <w:sz w:val="18"/>
              </w:rPr>
              <w:t>Obras en Curso</w:t>
            </w:r>
          </w:p>
        </w:tc>
        <w:tc>
          <w:tcPr>
            <w:tcW w:w="2215" w:type="dxa"/>
            <w:tcBorders>
              <w:top w:val="single" w:sz="4" w:space="0" w:color="auto"/>
              <w:left w:val="single" w:sz="4" w:space="0" w:color="auto"/>
              <w:bottom w:val="single" w:sz="4" w:space="0" w:color="auto"/>
              <w:right w:val="single" w:sz="4" w:space="0" w:color="auto"/>
            </w:tcBorders>
          </w:tcPr>
          <w:p w14:paraId="45F7477D" w14:textId="77777777" w:rsidR="00656E62" w:rsidRPr="00701F32" w:rsidRDefault="00656E62" w:rsidP="00464C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 xml:space="preserve">No se amortizan </w:t>
            </w:r>
          </w:p>
        </w:tc>
      </w:tr>
    </w:tbl>
    <w:p w14:paraId="1C03229D" w14:textId="77777777" w:rsidR="00656E62" w:rsidRPr="00701F32" w:rsidRDefault="00656E62" w:rsidP="00656E62">
      <w:pPr>
        <w:spacing w:after="160"/>
        <w:jc w:val="both"/>
        <w:rPr>
          <w:rFonts w:ascii="Arial" w:eastAsia="Calibri" w:hAnsi="Arial" w:cs="Arial"/>
          <w:sz w:val="20"/>
        </w:rPr>
      </w:pPr>
    </w:p>
    <w:p w14:paraId="3F53AB5D"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Los valores residuales de la propiedad, planta y equipo, las vidas útiles y los métodos de depreciación se revisan y ajustan si fuera necesario, a la fecha de cierre de cada ejercicio o cuando existan indicios de desvalorización.</w:t>
      </w:r>
    </w:p>
    <w:p w14:paraId="07E1EFD2"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El valor de libros de la propiedad, planta y equipo se reduce inmediatamente a su importe recuperable cuando el importe en libros es superior al monto recuperable estimado.</w:t>
      </w:r>
    </w:p>
    <w:p w14:paraId="7D1D0036" w14:textId="77777777" w:rsidR="005C4329" w:rsidRPr="00701F32" w:rsidRDefault="005C4329" w:rsidP="00656E62">
      <w:pPr>
        <w:spacing w:after="160"/>
        <w:jc w:val="both"/>
        <w:rPr>
          <w:rFonts w:ascii="Arial" w:eastAsia="Calibri" w:hAnsi="Arial" w:cs="Arial"/>
          <w:sz w:val="20"/>
        </w:rPr>
      </w:pPr>
    </w:p>
    <w:p w14:paraId="01BA0763" w14:textId="77777777" w:rsidR="00656E62" w:rsidRPr="00701F32" w:rsidRDefault="00656E62" w:rsidP="0086282C">
      <w:pPr>
        <w:numPr>
          <w:ilvl w:val="0"/>
          <w:numId w:val="101"/>
        </w:numPr>
        <w:spacing w:after="160"/>
        <w:contextualSpacing/>
        <w:jc w:val="both"/>
        <w:rPr>
          <w:rFonts w:ascii="Arial" w:eastAsia="Calibri" w:hAnsi="Arial" w:cs="Arial"/>
          <w:sz w:val="20"/>
        </w:rPr>
      </w:pPr>
      <w:r w:rsidRPr="00701F32">
        <w:rPr>
          <w:rFonts w:ascii="Arial" w:eastAsia="Calibri" w:hAnsi="Arial" w:cs="Arial"/>
          <w:sz w:val="20"/>
        </w:rPr>
        <w:t>Resultado por venta</w:t>
      </w:r>
    </w:p>
    <w:p w14:paraId="58BA0800"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resultados por venta de propiedad, planta y equipo se calculan comparando los ingresos obtenidos con el valor de libros del bien respectivo. Las utilidades o pérdidas resultantes son registradas en el estado de resultado integral </w:t>
      </w:r>
      <w:r w:rsidR="003B1200" w:rsidRPr="00701F32">
        <w:rPr>
          <w:rFonts w:ascii="Arial" w:eastAsia="Arial" w:hAnsi="Arial" w:cs="Arial"/>
          <w:sz w:val="20"/>
        </w:rPr>
        <w:t>separado</w:t>
      </w:r>
      <w:r w:rsidRPr="00701F32">
        <w:rPr>
          <w:rFonts w:ascii="Arial" w:eastAsia="Calibri" w:hAnsi="Arial" w:cs="Arial"/>
          <w:sz w:val="20"/>
        </w:rPr>
        <w:t>.</w:t>
      </w:r>
    </w:p>
    <w:p w14:paraId="73D1DA31" w14:textId="77777777" w:rsidR="00656E62" w:rsidRPr="00701F32" w:rsidRDefault="00656E62" w:rsidP="0086282C">
      <w:pPr>
        <w:numPr>
          <w:ilvl w:val="0"/>
          <w:numId w:val="101"/>
        </w:numPr>
        <w:spacing w:after="160"/>
        <w:contextualSpacing/>
        <w:jc w:val="both"/>
        <w:rPr>
          <w:rFonts w:ascii="Arial" w:eastAsia="Calibri" w:hAnsi="Arial" w:cs="Arial"/>
          <w:sz w:val="20"/>
        </w:rPr>
      </w:pPr>
      <w:r w:rsidRPr="00701F32">
        <w:rPr>
          <w:rFonts w:ascii="Arial" w:eastAsia="Calibri" w:hAnsi="Arial" w:cs="Arial"/>
          <w:sz w:val="20"/>
        </w:rPr>
        <w:t xml:space="preserve">Inmuebles - Revaluación y costo histórico. </w:t>
      </w:r>
    </w:p>
    <w:p w14:paraId="54AC73C0" w14:textId="77777777" w:rsidR="00504573" w:rsidRPr="00701F32" w:rsidRDefault="00656E62" w:rsidP="00656E62">
      <w:pPr>
        <w:spacing w:after="160"/>
        <w:jc w:val="both"/>
        <w:rPr>
          <w:rFonts w:ascii="Arial" w:eastAsia="Calibri" w:hAnsi="Arial" w:cs="Arial"/>
          <w:sz w:val="20"/>
        </w:rPr>
      </w:pPr>
      <w:r w:rsidRPr="00701F32">
        <w:rPr>
          <w:rFonts w:ascii="Arial" w:eastAsia="Calibri" w:hAnsi="Arial" w:cs="Arial"/>
          <w:sz w:val="20"/>
        </w:rPr>
        <w:t>En el siguiente cuadro se revela la siguiente información relacionada a la clase de activos que han sido contabilizados a su valor revaluado:</w:t>
      </w:r>
    </w:p>
    <w:tbl>
      <w:tblPr>
        <w:tblpPr w:leftFromText="141" w:rightFromText="141" w:vertAnchor="text" w:horzAnchor="margin" w:tblpY="54"/>
        <w:tblW w:w="9776" w:type="dxa"/>
        <w:tblCellMar>
          <w:left w:w="70" w:type="dxa"/>
          <w:right w:w="70" w:type="dxa"/>
        </w:tblCellMar>
        <w:tblLook w:val="04A0" w:firstRow="1" w:lastRow="0" w:firstColumn="1" w:lastColumn="0" w:noHBand="0" w:noVBand="1"/>
      </w:tblPr>
      <w:tblGrid>
        <w:gridCol w:w="1530"/>
        <w:gridCol w:w="1570"/>
        <w:gridCol w:w="1128"/>
        <w:gridCol w:w="1134"/>
        <w:gridCol w:w="992"/>
        <w:gridCol w:w="1134"/>
        <w:gridCol w:w="1154"/>
        <w:gridCol w:w="1134"/>
      </w:tblGrid>
      <w:tr w:rsidR="00D766AC" w:rsidRPr="00701F32" w14:paraId="22695F60" w14:textId="77777777" w:rsidTr="00FF7CC8">
        <w:trPr>
          <w:trHeight w:val="128"/>
          <w:tblHeader/>
        </w:trPr>
        <w:tc>
          <w:tcPr>
            <w:tcW w:w="1613"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76E16097" w14:textId="77777777" w:rsidR="00D766AC" w:rsidRPr="00701F32" w:rsidRDefault="00D766AC" w:rsidP="00464C0F">
            <w:pPr>
              <w:jc w:val="center"/>
              <w:rPr>
                <w:rFonts w:ascii="Arial" w:hAnsi="Arial" w:cs="Arial"/>
                <w:b/>
                <w:bCs/>
                <w:sz w:val="16"/>
                <w:szCs w:val="18"/>
                <w:lang w:eastAsia="es-AR"/>
              </w:rPr>
            </w:pPr>
            <w:r w:rsidRPr="00701F32">
              <w:rPr>
                <w:rFonts w:ascii="Arial" w:hAnsi="Arial" w:cs="Arial"/>
                <w:b/>
                <w:bCs/>
                <w:color w:val="363639"/>
                <w:sz w:val="16"/>
                <w:szCs w:val="18"/>
              </w:rPr>
              <w:t>Detalle de Clases</w:t>
            </w:r>
          </w:p>
        </w:tc>
        <w:tc>
          <w:tcPr>
            <w:tcW w:w="1643" w:type="dxa"/>
            <w:vMerge w:val="restart"/>
            <w:tcBorders>
              <w:top w:val="single" w:sz="4" w:space="0" w:color="363639"/>
              <w:left w:val="single" w:sz="4" w:space="0" w:color="363639"/>
              <w:bottom w:val="nil"/>
              <w:right w:val="single" w:sz="4" w:space="0" w:color="363639"/>
            </w:tcBorders>
            <w:shd w:val="clear" w:color="auto" w:fill="auto"/>
            <w:vAlign w:val="bottom"/>
            <w:hideMark/>
          </w:tcPr>
          <w:p w14:paraId="3F438AE0" w14:textId="77777777" w:rsidR="00D766AC" w:rsidRPr="00701F32" w:rsidRDefault="00D766AC" w:rsidP="00464C0F">
            <w:pPr>
              <w:jc w:val="center"/>
              <w:rPr>
                <w:rFonts w:ascii="Arial" w:hAnsi="Arial" w:cs="Arial"/>
                <w:b/>
                <w:bCs/>
                <w:sz w:val="16"/>
                <w:szCs w:val="18"/>
              </w:rPr>
            </w:pPr>
            <w:r w:rsidRPr="00701F32">
              <w:rPr>
                <w:rFonts w:ascii="Arial" w:hAnsi="Arial" w:cs="Arial"/>
                <w:b/>
                <w:bCs/>
                <w:color w:val="363639"/>
                <w:sz w:val="16"/>
                <w:szCs w:val="18"/>
              </w:rPr>
              <w:t>Tasador</w:t>
            </w:r>
          </w:p>
        </w:tc>
        <w:tc>
          <w:tcPr>
            <w:tcW w:w="1134"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1D337D55" w14:textId="77777777" w:rsidR="00D766AC" w:rsidRPr="00701F32" w:rsidRDefault="00D766AC" w:rsidP="00464C0F">
            <w:pPr>
              <w:jc w:val="center"/>
              <w:rPr>
                <w:rFonts w:ascii="Arial" w:hAnsi="Arial" w:cs="Arial"/>
                <w:b/>
                <w:bCs/>
                <w:sz w:val="16"/>
                <w:szCs w:val="18"/>
              </w:rPr>
            </w:pPr>
            <w:r w:rsidRPr="00701F32">
              <w:rPr>
                <w:rFonts w:ascii="Arial" w:hAnsi="Arial" w:cs="Arial"/>
                <w:b/>
                <w:bCs/>
                <w:color w:val="363639"/>
                <w:sz w:val="16"/>
                <w:szCs w:val="18"/>
              </w:rPr>
              <w:t>Fecha de Revaluación</w:t>
            </w:r>
          </w:p>
        </w:tc>
        <w:tc>
          <w:tcPr>
            <w:tcW w:w="3260" w:type="dxa"/>
            <w:gridSpan w:val="3"/>
            <w:tcBorders>
              <w:top w:val="single" w:sz="4" w:space="0" w:color="363639"/>
              <w:left w:val="nil"/>
              <w:bottom w:val="single" w:sz="4" w:space="0" w:color="363639"/>
              <w:right w:val="single" w:sz="4" w:space="0" w:color="363639"/>
            </w:tcBorders>
            <w:shd w:val="clear" w:color="auto" w:fill="auto"/>
            <w:hideMark/>
          </w:tcPr>
          <w:p w14:paraId="5B5BE411" w14:textId="77777777" w:rsidR="00D766AC" w:rsidRPr="00701F32" w:rsidRDefault="00D766AC" w:rsidP="00464C0F">
            <w:pPr>
              <w:jc w:val="center"/>
              <w:rPr>
                <w:rFonts w:ascii="Arial" w:hAnsi="Arial" w:cs="Arial"/>
                <w:b/>
                <w:bCs/>
                <w:sz w:val="16"/>
                <w:szCs w:val="18"/>
              </w:rPr>
            </w:pPr>
            <w:r w:rsidRPr="00701F32">
              <w:rPr>
                <w:rFonts w:ascii="Arial" w:hAnsi="Arial" w:cs="Arial"/>
                <w:b/>
                <w:bCs/>
                <w:color w:val="363639"/>
                <w:sz w:val="16"/>
                <w:szCs w:val="18"/>
              </w:rPr>
              <w:t>Ajuste por Revaluación - ORI acumulado</w:t>
            </w:r>
          </w:p>
        </w:tc>
        <w:tc>
          <w:tcPr>
            <w:tcW w:w="992" w:type="dxa"/>
            <w:vMerge w:val="restart"/>
            <w:tcBorders>
              <w:top w:val="single" w:sz="4" w:space="0" w:color="363639"/>
              <w:left w:val="single" w:sz="4" w:space="0" w:color="363639"/>
              <w:right w:val="single" w:sz="4" w:space="0" w:color="363639"/>
            </w:tcBorders>
            <w:vAlign w:val="center"/>
          </w:tcPr>
          <w:p w14:paraId="6F49573C" w14:textId="77777777" w:rsidR="00D766AC" w:rsidRPr="00701F32" w:rsidRDefault="00D766AC" w:rsidP="0069179D">
            <w:pPr>
              <w:jc w:val="center"/>
              <w:rPr>
                <w:rFonts w:ascii="Arial" w:hAnsi="Arial" w:cs="Arial"/>
                <w:b/>
                <w:bCs/>
                <w:color w:val="363639"/>
                <w:sz w:val="16"/>
                <w:szCs w:val="18"/>
              </w:rPr>
            </w:pPr>
            <w:r w:rsidRPr="00701F32">
              <w:rPr>
                <w:rFonts w:ascii="Arial" w:hAnsi="Arial" w:cs="Arial"/>
                <w:b/>
                <w:bCs/>
                <w:color w:val="363639"/>
                <w:sz w:val="16"/>
                <w:szCs w:val="18"/>
              </w:rPr>
              <w:t>Amortización revaluo</w:t>
            </w:r>
          </w:p>
        </w:tc>
        <w:tc>
          <w:tcPr>
            <w:tcW w:w="1134" w:type="dxa"/>
            <w:vMerge w:val="restart"/>
            <w:tcBorders>
              <w:top w:val="single" w:sz="4" w:space="0" w:color="363639"/>
              <w:left w:val="single" w:sz="4" w:space="0" w:color="363639"/>
              <w:bottom w:val="single" w:sz="4" w:space="0" w:color="363639"/>
              <w:right w:val="single" w:sz="4" w:space="0" w:color="363639"/>
            </w:tcBorders>
            <w:shd w:val="clear" w:color="auto" w:fill="auto"/>
            <w:hideMark/>
          </w:tcPr>
          <w:p w14:paraId="6BA48AAF" w14:textId="77777777" w:rsidR="00D766AC" w:rsidRPr="00701F32" w:rsidRDefault="00D766AC" w:rsidP="00464C0F">
            <w:pPr>
              <w:jc w:val="center"/>
              <w:rPr>
                <w:rFonts w:ascii="Arial" w:hAnsi="Arial" w:cs="Arial"/>
                <w:b/>
                <w:bCs/>
                <w:color w:val="363639"/>
                <w:sz w:val="16"/>
                <w:szCs w:val="18"/>
              </w:rPr>
            </w:pPr>
            <w:r w:rsidRPr="00701F32">
              <w:rPr>
                <w:rFonts w:ascii="Arial" w:hAnsi="Arial" w:cs="Arial"/>
                <w:b/>
                <w:bCs/>
                <w:color w:val="363639"/>
                <w:sz w:val="16"/>
                <w:szCs w:val="18"/>
              </w:rPr>
              <w:t xml:space="preserve">Importe en libros s/ Modelo de costo </w:t>
            </w:r>
          </w:p>
        </w:tc>
      </w:tr>
      <w:tr w:rsidR="00D766AC" w:rsidRPr="00701F32" w14:paraId="716E8976" w14:textId="77777777" w:rsidTr="00FF7CC8">
        <w:trPr>
          <w:trHeight w:val="396"/>
          <w:tblHeader/>
        </w:trPr>
        <w:tc>
          <w:tcPr>
            <w:tcW w:w="1613" w:type="dxa"/>
            <w:vMerge/>
            <w:tcBorders>
              <w:top w:val="single" w:sz="4" w:space="0" w:color="363639"/>
              <w:left w:val="single" w:sz="4" w:space="0" w:color="363639"/>
              <w:bottom w:val="single" w:sz="4" w:space="0" w:color="363639"/>
              <w:right w:val="single" w:sz="4" w:space="0" w:color="363639"/>
            </w:tcBorders>
            <w:vAlign w:val="center"/>
            <w:hideMark/>
          </w:tcPr>
          <w:p w14:paraId="3F7CACD5" w14:textId="77777777" w:rsidR="00D766AC" w:rsidRPr="00701F32" w:rsidRDefault="00D766AC" w:rsidP="00464C0F">
            <w:pPr>
              <w:rPr>
                <w:rFonts w:ascii="Arial" w:hAnsi="Arial" w:cs="Arial"/>
                <w:b/>
                <w:bCs/>
                <w:sz w:val="16"/>
                <w:szCs w:val="18"/>
              </w:rPr>
            </w:pPr>
          </w:p>
        </w:tc>
        <w:tc>
          <w:tcPr>
            <w:tcW w:w="1643" w:type="dxa"/>
            <w:vMerge/>
            <w:tcBorders>
              <w:top w:val="single" w:sz="4" w:space="0" w:color="363639"/>
              <w:left w:val="single" w:sz="4" w:space="0" w:color="363639"/>
              <w:bottom w:val="nil"/>
              <w:right w:val="single" w:sz="4" w:space="0" w:color="363639"/>
            </w:tcBorders>
            <w:vAlign w:val="center"/>
            <w:hideMark/>
          </w:tcPr>
          <w:p w14:paraId="2CFF41BE" w14:textId="77777777" w:rsidR="00D766AC" w:rsidRPr="00701F32" w:rsidRDefault="00D766AC" w:rsidP="00464C0F">
            <w:pPr>
              <w:rPr>
                <w:rFonts w:ascii="Arial" w:hAnsi="Arial" w:cs="Arial"/>
                <w:b/>
                <w:bCs/>
                <w:sz w:val="16"/>
                <w:szCs w:val="18"/>
              </w:rPr>
            </w:pPr>
          </w:p>
        </w:tc>
        <w:tc>
          <w:tcPr>
            <w:tcW w:w="1134" w:type="dxa"/>
            <w:vMerge/>
            <w:tcBorders>
              <w:top w:val="single" w:sz="4" w:space="0" w:color="363639"/>
              <w:left w:val="single" w:sz="4" w:space="0" w:color="363639"/>
              <w:bottom w:val="single" w:sz="4" w:space="0" w:color="363639"/>
              <w:right w:val="single" w:sz="4" w:space="0" w:color="363639"/>
            </w:tcBorders>
            <w:vAlign w:val="center"/>
            <w:hideMark/>
          </w:tcPr>
          <w:p w14:paraId="5789F21C" w14:textId="77777777" w:rsidR="00D766AC" w:rsidRPr="00701F32" w:rsidRDefault="00D766AC" w:rsidP="00464C0F">
            <w:pPr>
              <w:rPr>
                <w:rFonts w:ascii="Arial" w:hAnsi="Arial" w:cs="Arial"/>
                <w:b/>
                <w:bCs/>
                <w:sz w:val="16"/>
                <w:szCs w:val="18"/>
              </w:rPr>
            </w:pPr>
          </w:p>
        </w:tc>
        <w:tc>
          <w:tcPr>
            <w:tcW w:w="1134" w:type="dxa"/>
            <w:tcBorders>
              <w:top w:val="nil"/>
              <w:left w:val="nil"/>
              <w:bottom w:val="single" w:sz="4" w:space="0" w:color="363639"/>
              <w:right w:val="single" w:sz="4" w:space="0" w:color="363639"/>
            </w:tcBorders>
            <w:shd w:val="clear" w:color="auto" w:fill="auto"/>
            <w:hideMark/>
          </w:tcPr>
          <w:p w14:paraId="6219FF13" w14:textId="77777777" w:rsidR="00D766AC" w:rsidRPr="00701F32" w:rsidRDefault="00D766AC" w:rsidP="00464C0F">
            <w:pPr>
              <w:jc w:val="center"/>
              <w:rPr>
                <w:rFonts w:ascii="Arial" w:hAnsi="Arial" w:cs="Arial"/>
                <w:b/>
                <w:bCs/>
                <w:sz w:val="16"/>
                <w:szCs w:val="18"/>
              </w:rPr>
            </w:pPr>
            <w:r w:rsidRPr="00701F32">
              <w:rPr>
                <w:rFonts w:ascii="Arial" w:hAnsi="Arial" w:cs="Arial"/>
                <w:b/>
                <w:bCs/>
                <w:color w:val="363639"/>
                <w:sz w:val="16"/>
                <w:szCs w:val="18"/>
              </w:rPr>
              <w:t>Saldo al inicio del período</w:t>
            </w:r>
          </w:p>
        </w:tc>
        <w:tc>
          <w:tcPr>
            <w:tcW w:w="992" w:type="dxa"/>
            <w:tcBorders>
              <w:top w:val="nil"/>
              <w:left w:val="nil"/>
              <w:bottom w:val="single" w:sz="4" w:space="0" w:color="363639"/>
              <w:right w:val="single" w:sz="4" w:space="0" w:color="363639"/>
            </w:tcBorders>
            <w:shd w:val="clear" w:color="auto" w:fill="auto"/>
            <w:hideMark/>
          </w:tcPr>
          <w:p w14:paraId="1A5B731E" w14:textId="77777777" w:rsidR="00D766AC" w:rsidRPr="00701F32" w:rsidRDefault="00D766AC" w:rsidP="00464C0F">
            <w:pPr>
              <w:jc w:val="center"/>
              <w:rPr>
                <w:rFonts w:ascii="Arial" w:hAnsi="Arial" w:cs="Arial"/>
                <w:b/>
                <w:bCs/>
                <w:color w:val="363639"/>
                <w:sz w:val="16"/>
                <w:szCs w:val="18"/>
              </w:rPr>
            </w:pPr>
            <w:r w:rsidRPr="00701F32">
              <w:rPr>
                <w:rFonts w:ascii="Arial" w:hAnsi="Arial" w:cs="Arial"/>
                <w:b/>
                <w:bCs/>
                <w:color w:val="363639"/>
                <w:sz w:val="16"/>
                <w:szCs w:val="18"/>
              </w:rPr>
              <w:t xml:space="preserve">Cambio del período </w:t>
            </w:r>
          </w:p>
        </w:tc>
        <w:tc>
          <w:tcPr>
            <w:tcW w:w="1134" w:type="dxa"/>
            <w:tcBorders>
              <w:top w:val="nil"/>
              <w:left w:val="nil"/>
              <w:bottom w:val="single" w:sz="4" w:space="0" w:color="363639"/>
              <w:right w:val="single" w:sz="4" w:space="0" w:color="363639"/>
            </w:tcBorders>
            <w:shd w:val="clear" w:color="auto" w:fill="auto"/>
            <w:hideMark/>
          </w:tcPr>
          <w:p w14:paraId="415BF900" w14:textId="77777777" w:rsidR="00D766AC" w:rsidRPr="00701F32" w:rsidRDefault="00D766AC" w:rsidP="00464C0F">
            <w:pPr>
              <w:jc w:val="center"/>
              <w:rPr>
                <w:rFonts w:ascii="Arial" w:hAnsi="Arial" w:cs="Arial"/>
                <w:b/>
                <w:bCs/>
                <w:sz w:val="16"/>
                <w:szCs w:val="18"/>
              </w:rPr>
            </w:pPr>
            <w:r w:rsidRPr="00701F32">
              <w:rPr>
                <w:rFonts w:ascii="Arial" w:hAnsi="Arial" w:cs="Arial"/>
                <w:b/>
                <w:bCs/>
                <w:color w:val="363639"/>
                <w:sz w:val="16"/>
                <w:szCs w:val="18"/>
              </w:rPr>
              <w:t>Saldo al cierre del período</w:t>
            </w:r>
          </w:p>
        </w:tc>
        <w:tc>
          <w:tcPr>
            <w:tcW w:w="992" w:type="dxa"/>
            <w:vMerge/>
            <w:tcBorders>
              <w:left w:val="single" w:sz="4" w:space="0" w:color="363639"/>
              <w:bottom w:val="single" w:sz="4" w:space="0" w:color="363639"/>
              <w:right w:val="single" w:sz="4" w:space="0" w:color="363639"/>
            </w:tcBorders>
          </w:tcPr>
          <w:p w14:paraId="006C4A33" w14:textId="77777777" w:rsidR="00D766AC" w:rsidRPr="00701F32" w:rsidRDefault="00D766AC" w:rsidP="00464C0F">
            <w:pPr>
              <w:rPr>
                <w:rFonts w:ascii="Arial" w:hAnsi="Arial" w:cs="Arial"/>
                <w:b/>
                <w:bCs/>
                <w:color w:val="363639"/>
                <w:sz w:val="16"/>
                <w:szCs w:val="18"/>
              </w:rPr>
            </w:pPr>
          </w:p>
        </w:tc>
        <w:tc>
          <w:tcPr>
            <w:tcW w:w="1134" w:type="dxa"/>
            <w:vMerge/>
            <w:tcBorders>
              <w:top w:val="single" w:sz="4" w:space="0" w:color="363639"/>
              <w:left w:val="single" w:sz="4" w:space="0" w:color="363639"/>
              <w:bottom w:val="single" w:sz="4" w:space="0" w:color="363639"/>
              <w:right w:val="single" w:sz="4" w:space="0" w:color="363639"/>
            </w:tcBorders>
            <w:vAlign w:val="center"/>
            <w:hideMark/>
          </w:tcPr>
          <w:p w14:paraId="556727CB" w14:textId="77777777" w:rsidR="00D766AC" w:rsidRPr="00701F32" w:rsidRDefault="00D766AC" w:rsidP="00464C0F">
            <w:pPr>
              <w:rPr>
                <w:rFonts w:ascii="Arial" w:hAnsi="Arial" w:cs="Arial"/>
                <w:b/>
                <w:bCs/>
                <w:color w:val="363639"/>
                <w:sz w:val="16"/>
                <w:szCs w:val="18"/>
              </w:rPr>
            </w:pPr>
          </w:p>
        </w:tc>
      </w:tr>
      <w:tr w:rsidR="00D766AC" w:rsidRPr="00701F32" w14:paraId="1AC1D982" w14:textId="77777777" w:rsidTr="00FF7CC8">
        <w:trPr>
          <w:trHeight w:val="215"/>
        </w:trPr>
        <w:tc>
          <w:tcPr>
            <w:tcW w:w="1613" w:type="dxa"/>
            <w:vMerge w:val="restart"/>
            <w:tcBorders>
              <w:top w:val="nil"/>
              <w:left w:val="single" w:sz="4" w:space="0" w:color="363639"/>
              <w:bottom w:val="single" w:sz="4" w:space="0" w:color="363639"/>
              <w:right w:val="nil"/>
            </w:tcBorders>
            <w:shd w:val="clear" w:color="auto" w:fill="auto"/>
            <w:vAlign w:val="center"/>
            <w:hideMark/>
          </w:tcPr>
          <w:p w14:paraId="389C5CB1" w14:textId="77777777" w:rsidR="00D766AC" w:rsidRPr="00701F32" w:rsidRDefault="00D766AC" w:rsidP="00464C0F">
            <w:pPr>
              <w:rPr>
                <w:rFonts w:ascii="Arial" w:hAnsi="Arial" w:cs="Arial"/>
                <w:sz w:val="16"/>
                <w:szCs w:val="18"/>
              </w:rPr>
            </w:pPr>
            <w:r w:rsidRPr="00701F32">
              <w:rPr>
                <w:rFonts w:ascii="Arial" w:hAnsi="Arial" w:cs="Arial"/>
                <w:sz w:val="16"/>
                <w:szCs w:val="18"/>
              </w:rPr>
              <w:t>Inmuebles</w:t>
            </w:r>
          </w:p>
        </w:tc>
        <w:tc>
          <w:tcPr>
            <w:tcW w:w="1643" w:type="dxa"/>
            <w:tcBorders>
              <w:top w:val="single" w:sz="4" w:space="0" w:color="auto"/>
              <w:left w:val="single" w:sz="4" w:space="0" w:color="auto"/>
              <w:bottom w:val="nil"/>
              <w:right w:val="single" w:sz="4" w:space="0" w:color="auto"/>
            </w:tcBorders>
            <w:shd w:val="clear" w:color="auto" w:fill="auto"/>
            <w:hideMark/>
          </w:tcPr>
          <w:p w14:paraId="619CD0A2" w14:textId="77777777" w:rsidR="00D766AC" w:rsidRPr="00701F32" w:rsidRDefault="00D766AC" w:rsidP="00464C0F">
            <w:pPr>
              <w:jc w:val="center"/>
              <w:rPr>
                <w:rFonts w:ascii="Arial" w:hAnsi="Arial" w:cs="Arial"/>
                <w:sz w:val="16"/>
                <w:szCs w:val="18"/>
              </w:rPr>
            </w:pPr>
            <w:r w:rsidRPr="00701F32">
              <w:rPr>
                <w:rFonts w:ascii="Arial" w:hAnsi="Arial" w:cs="Arial"/>
                <w:sz w:val="16"/>
                <w:szCs w:val="18"/>
              </w:rPr>
              <w:t>Tribunal de Tasaciones de la Nación</w:t>
            </w:r>
          </w:p>
        </w:tc>
        <w:tc>
          <w:tcPr>
            <w:tcW w:w="1134" w:type="dxa"/>
            <w:vMerge w:val="restart"/>
            <w:tcBorders>
              <w:top w:val="nil"/>
              <w:left w:val="nil"/>
              <w:bottom w:val="single" w:sz="4" w:space="0" w:color="000000"/>
              <w:right w:val="single" w:sz="4" w:space="0" w:color="363639"/>
            </w:tcBorders>
            <w:shd w:val="clear" w:color="auto" w:fill="auto"/>
            <w:vAlign w:val="center"/>
            <w:hideMark/>
          </w:tcPr>
          <w:p w14:paraId="57FCCAFD" w14:textId="6E3073EE" w:rsidR="00D766AC" w:rsidRPr="00701F32" w:rsidRDefault="00504573" w:rsidP="00464C0F">
            <w:pPr>
              <w:jc w:val="center"/>
              <w:rPr>
                <w:rFonts w:ascii="Arial" w:hAnsi="Arial" w:cs="Arial"/>
                <w:sz w:val="16"/>
                <w:szCs w:val="18"/>
              </w:rPr>
            </w:pPr>
            <w:r w:rsidRPr="00701F32">
              <w:rPr>
                <w:rFonts w:ascii="Arial" w:hAnsi="Arial" w:cs="Arial"/>
                <w:sz w:val="16"/>
                <w:szCs w:val="18"/>
              </w:rPr>
              <w:t>30/0</w:t>
            </w:r>
            <w:r w:rsidR="005C4329" w:rsidRPr="00701F32">
              <w:rPr>
                <w:rFonts w:ascii="Arial" w:hAnsi="Arial" w:cs="Arial"/>
                <w:sz w:val="16"/>
                <w:szCs w:val="18"/>
              </w:rPr>
              <w:t>6</w:t>
            </w:r>
            <w:r w:rsidR="00D766AC" w:rsidRPr="00701F32">
              <w:rPr>
                <w:rFonts w:ascii="Arial" w:hAnsi="Arial" w:cs="Arial"/>
                <w:sz w:val="16"/>
                <w:szCs w:val="18"/>
              </w:rPr>
              <w:t>/2018</w:t>
            </w:r>
          </w:p>
        </w:tc>
        <w:tc>
          <w:tcPr>
            <w:tcW w:w="1134"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18043A95" w14:textId="77777777" w:rsidR="00D766AC" w:rsidRPr="00701F32" w:rsidRDefault="00D766AC" w:rsidP="00464C0F">
            <w:pPr>
              <w:jc w:val="right"/>
              <w:rPr>
                <w:rFonts w:ascii="Arial" w:hAnsi="Arial" w:cs="Arial"/>
                <w:sz w:val="16"/>
                <w:szCs w:val="18"/>
              </w:rPr>
            </w:pPr>
            <w:r w:rsidRPr="00701F32">
              <w:rPr>
                <w:rFonts w:ascii="Arial" w:hAnsi="Arial" w:cs="Arial"/>
                <w:sz w:val="16"/>
                <w:szCs w:val="18"/>
              </w:rPr>
              <w:t>181.334</w:t>
            </w:r>
          </w:p>
        </w:tc>
        <w:tc>
          <w:tcPr>
            <w:tcW w:w="992"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75482477" w14:textId="77777777" w:rsidR="00D766AC" w:rsidRPr="00701F32" w:rsidRDefault="00504573" w:rsidP="00464C0F">
            <w:pPr>
              <w:jc w:val="right"/>
              <w:rPr>
                <w:rFonts w:ascii="Arial" w:hAnsi="Arial" w:cs="Arial"/>
                <w:sz w:val="16"/>
                <w:szCs w:val="18"/>
              </w:rPr>
            </w:pPr>
            <w:r w:rsidRPr="00701F32">
              <w:rPr>
                <w:rFonts w:ascii="Arial" w:hAnsi="Arial" w:cs="Arial"/>
                <w:sz w:val="16"/>
                <w:szCs w:val="18"/>
              </w:rPr>
              <w:t>261.239</w:t>
            </w:r>
          </w:p>
        </w:tc>
        <w:tc>
          <w:tcPr>
            <w:tcW w:w="1134"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6BABEE3A" w14:textId="77777777" w:rsidR="00D766AC" w:rsidRPr="00701F32" w:rsidRDefault="00504573" w:rsidP="00504573">
            <w:pPr>
              <w:jc w:val="right"/>
              <w:rPr>
                <w:rFonts w:ascii="Arial" w:hAnsi="Arial" w:cs="Arial"/>
                <w:sz w:val="16"/>
                <w:szCs w:val="18"/>
              </w:rPr>
            </w:pPr>
            <w:r w:rsidRPr="00701F32">
              <w:rPr>
                <w:rFonts w:ascii="Arial" w:hAnsi="Arial" w:cs="Arial"/>
                <w:sz w:val="16"/>
                <w:szCs w:val="18"/>
              </w:rPr>
              <w:t>442.573</w:t>
            </w:r>
          </w:p>
        </w:tc>
        <w:tc>
          <w:tcPr>
            <w:tcW w:w="992" w:type="dxa"/>
            <w:vMerge w:val="restart"/>
            <w:tcBorders>
              <w:top w:val="nil"/>
              <w:left w:val="single" w:sz="4" w:space="0" w:color="363639"/>
              <w:right w:val="single" w:sz="4" w:space="0" w:color="363639"/>
            </w:tcBorders>
            <w:vAlign w:val="center"/>
          </w:tcPr>
          <w:p w14:paraId="3DDF10CB" w14:textId="33A791C1" w:rsidR="00D766AC" w:rsidRPr="00701F32" w:rsidRDefault="00504573" w:rsidP="0069179D">
            <w:pPr>
              <w:jc w:val="right"/>
              <w:rPr>
                <w:rFonts w:ascii="Arial" w:hAnsi="Arial" w:cs="Arial"/>
                <w:sz w:val="16"/>
                <w:szCs w:val="18"/>
              </w:rPr>
            </w:pPr>
            <w:r w:rsidRPr="00701F32">
              <w:rPr>
                <w:rFonts w:ascii="Arial" w:hAnsi="Arial" w:cs="Arial"/>
                <w:sz w:val="16"/>
                <w:szCs w:val="18"/>
              </w:rPr>
              <w:t>(</w:t>
            </w:r>
            <w:r w:rsidR="00E422FA" w:rsidRPr="00701F32">
              <w:rPr>
                <w:rFonts w:ascii="Arial" w:hAnsi="Arial" w:cs="Arial"/>
                <w:sz w:val="16"/>
                <w:szCs w:val="18"/>
              </w:rPr>
              <w:t>4.027</w:t>
            </w:r>
            <w:r w:rsidRPr="00701F32">
              <w:rPr>
                <w:rFonts w:ascii="Arial" w:hAnsi="Arial" w:cs="Arial"/>
                <w:sz w:val="16"/>
                <w:szCs w:val="18"/>
              </w:rPr>
              <w:t>)</w:t>
            </w:r>
          </w:p>
        </w:tc>
        <w:tc>
          <w:tcPr>
            <w:tcW w:w="1134" w:type="dxa"/>
            <w:vMerge w:val="restart"/>
            <w:tcBorders>
              <w:top w:val="nil"/>
              <w:left w:val="single" w:sz="4" w:space="0" w:color="363639"/>
              <w:bottom w:val="single" w:sz="4" w:space="0" w:color="000000"/>
              <w:right w:val="single" w:sz="4" w:space="0" w:color="363639"/>
            </w:tcBorders>
            <w:shd w:val="clear" w:color="auto" w:fill="auto"/>
            <w:vAlign w:val="center"/>
            <w:hideMark/>
          </w:tcPr>
          <w:p w14:paraId="319420FA" w14:textId="3E8F5714" w:rsidR="00D766AC" w:rsidRPr="00701F32" w:rsidRDefault="00E422FA" w:rsidP="00464C0F">
            <w:pPr>
              <w:jc w:val="right"/>
              <w:rPr>
                <w:rFonts w:ascii="Arial" w:hAnsi="Arial" w:cs="Arial"/>
                <w:sz w:val="16"/>
                <w:szCs w:val="18"/>
              </w:rPr>
            </w:pPr>
            <w:r w:rsidRPr="00701F32">
              <w:rPr>
                <w:rFonts w:ascii="Arial" w:hAnsi="Arial" w:cs="Arial"/>
                <w:sz w:val="16"/>
                <w:szCs w:val="18"/>
              </w:rPr>
              <w:t>339.003</w:t>
            </w:r>
          </w:p>
        </w:tc>
      </w:tr>
      <w:tr w:rsidR="00D766AC" w:rsidRPr="00701F32" w14:paraId="146A6DEF" w14:textId="77777777" w:rsidTr="00FF7CC8">
        <w:trPr>
          <w:trHeight w:val="215"/>
        </w:trPr>
        <w:tc>
          <w:tcPr>
            <w:tcW w:w="1613" w:type="dxa"/>
            <w:vMerge/>
            <w:tcBorders>
              <w:top w:val="nil"/>
              <w:left w:val="single" w:sz="4" w:space="0" w:color="363639"/>
              <w:bottom w:val="single" w:sz="4" w:space="0" w:color="363639"/>
              <w:right w:val="nil"/>
            </w:tcBorders>
            <w:vAlign w:val="center"/>
            <w:hideMark/>
          </w:tcPr>
          <w:p w14:paraId="19C21D08" w14:textId="77777777" w:rsidR="00D766AC" w:rsidRPr="00701F32" w:rsidRDefault="00D766AC" w:rsidP="00464C0F">
            <w:pPr>
              <w:rPr>
                <w:rFonts w:ascii="Arial" w:hAnsi="Arial" w:cs="Arial"/>
                <w:sz w:val="16"/>
                <w:szCs w:val="18"/>
              </w:rPr>
            </w:pPr>
          </w:p>
        </w:tc>
        <w:tc>
          <w:tcPr>
            <w:tcW w:w="1643" w:type="dxa"/>
            <w:tcBorders>
              <w:top w:val="nil"/>
              <w:left w:val="single" w:sz="4" w:space="0" w:color="auto"/>
              <w:bottom w:val="nil"/>
              <w:right w:val="single" w:sz="4" w:space="0" w:color="auto"/>
            </w:tcBorders>
            <w:shd w:val="clear" w:color="auto" w:fill="auto"/>
            <w:hideMark/>
          </w:tcPr>
          <w:p w14:paraId="46E0765A" w14:textId="77777777" w:rsidR="00D766AC" w:rsidRPr="00701F32" w:rsidRDefault="00D766AC" w:rsidP="00464C0F">
            <w:pPr>
              <w:jc w:val="center"/>
              <w:rPr>
                <w:rFonts w:ascii="Arial" w:hAnsi="Arial" w:cs="Arial"/>
                <w:sz w:val="16"/>
                <w:szCs w:val="18"/>
              </w:rPr>
            </w:pPr>
            <w:r w:rsidRPr="00701F32">
              <w:rPr>
                <w:rFonts w:ascii="Arial" w:hAnsi="Arial" w:cs="Arial"/>
                <w:sz w:val="16"/>
                <w:szCs w:val="18"/>
              </w:rPr>
              <w:t>CM Ingeniería en Valuaciones</w:t>
            </w:r>
          </w:p>
        </w:tc>
        <w:tc>
          <w:tcPr>
            <w:tcW w:w="1134" w:type="dxa"/>
            <w:vMerge/>
            <w:tcBorders>
              <w:top w:val="nil"/>
              <w:left w:val="nil"/>
              <w:bottom w:val="single" w:sz="4" w:space="0" w:color="000000"/>
              <w:right w:val="single" w:sz="4" w:space="0" w:color="363639"/>
            </w:tcBorders>
            <w:vAlign w:val="center"/>
            <w:hideMark/>
          </w:tcPr>
          <w:p w14:paraId="2C29283F"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41F9D2A7" w14:textId="77777777" w:rsidR="00D766AC" w:rsidRPr="00701F32" w:rsidRDefault="00D766AC" w:rsidP="00464C0F">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28131B60"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000DE907" w14:textId="77777777" w:rsidR="00D766AC" w:rsidRPr="00701F32" w:rsidRDefault="00D766AC" w:rsidP="00464C0F">
            <w:pPr>
              <w:rPr>
                <w:rFonts w:ascii="Arial" w:hAnsi="Arial" w:cs="Arial"/>
                <w:sz w:val="16"/>
                <w:szCs w:val="18"/>
              </w:rPr>
            </w:pPr>
          </w:p>
        </w:tc>
        <w:tc>
          <w:tcPr>
            <w:tcW w:w="992" w:type="dxa"/>
            <w:vMerge/>
            <w:tcBorders>
              <w:left w:val="single" w:sz="4" w:space="0" w:color="363639"/>
              <w:right w:val="single" w:sz="4" w:space="0" w:color="363639"/>
            </w:tcBorders>
          </w:tcPr>
          <w:p w14:paraId="30B15908"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1EB1572F" w14:textId="77777777" w:rsidR="00D766AC" w:rsidRPr="00701F32" w:rsidRDefault="00D766AC" w:rsidP="00464C0F">
            <w:pPr>
              <w:rPr>
                <w:rFonts w:ascii="Arial" w:hAnsi="Arial" w:cs="Arial"/>
                <w:sz w:val="16"/>
                <w:szCs w:val="18"/>
              </w:rPr>
            </w:pPr>
          </w:p>
        </w:tc>
      </w:tr>
      <w:tr w:rsidR="00D766AC" w:rsidRPr="00701F32" w14:paraId="3AD671BA" w14:textId="77777777" w:rsidTr="00FF7CC8">
        <w:trPr>
          <w:trHeight w:val="133"/>
        </w:trPr>
        <w:tc>
          <w:tcPr>
            <w:tcW w:w="1613" w:type="dxa"/>
            <w:vMerge/>
            <w:tcBorders>
              <w:top w:val="nil"/>
              <w:left w:val="single" w:sz="4" w:space="0" w:color="363639"/>
              <w:bottom w:val="single" w:sz="4" w:space="0" w:color="363639"/>
              <w:right w:val="nil"/>
            </w:tcBorders>
            <w:vAlign w:val="center"/>
            <w:hideMark/>
          </w:tcPr>
          <w:p w14:paraId="520824B8" w14:textId="77777777" w:rsidR="00D766AC" w:rsidRPr="00701F32" w:rsidRDefault="00D766AC" w:rsidP="00464C0F">
            <w:pPr>
              <w:rPr>
                <w:rFonts w:ascii="Arial" w:hAnsi="Arial" w:cs="Arial"/>
                <w:sz w:val="16"/>
                <w:szCs w:val="18"/>
              </w:rPr>
            </w:pPr>
          </w:p>
        </w:tc>
        <w:tc>
          <w:tcPr>
            <w:tcW w:w="1643" w:type="dxa"/>
            <w:tcBorders>
              <w:top w:val="nil"/>
              <w:left w:val="single" w:sz="4" w:space="0" w:color="auto"/>
              <w:bottom w:val="nil"/>
              <w:right w:val="single" w:sz="4" w:space="0" w:color="auto"/>
            </w:tcBorders>
            <w:shd w:val="clear" w:color="auto" w:fill="auto"/>
            <w:hideMark/>
          </w:tcPr>
          <w:p w14:paraId="1D7577D8" w14:textId="77777777" w:rsidR="00D766AC" w:rsidRPr="00701F32" w:rsidRDefault="00D766AC" w:rsidP="00464C0F">
            <w:pPr>
              <w:jc w:val="center"/>
              <w:rPr>
                <w:rFonts w:ascii="Arial" w:hAnsi="Arial" w:cs="Arial"/>
                <w:sz w:val="16"/>
                <w:szCs w:val="18"/>
              </w:rPr>
            </w:pPr>
            <w:r w:rsidRPr="00701F32">
              <w:rPr>
                <w:rFonts w:ascii="Arial" w:hAnsi="Arial" w:cs="Arial"/>
                <w:sz w:val="16"/>
                <w:szCs w:val="18"/>
              </w:rPr>
              <w:t>Serinco</w:t>
            </w:r>
          </w:p>
        </w:tc>
        <w:tc>
          <w:tcPr>
            <w:tcW w:w="1134" w:type="dxa"/>
            <w:vMerge/>
            <w:tcBorders>
              <w:top w:val="nil"/>
              <w:left w:val="nil"/>
              <w:bottom w:val="single" w:sz="4" w:space="0" w:color="000000"/>
              <w:right w:val="single" w:sz="4" w:space="0" w:color="363639"/>
            </w:tcBorders>
            <w:vAlign w:val="center"/>
            <w:hideMark/>
          </w:tcPr>
          <w:p w14:paraId="3E835A82"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5033FA2D" w14:textId="77777777" w:rsidR="00D766AC" w:rsidRPr="00701F32" w:rsidRDefault="00D766AC" w:rsidP="00464C0F">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75117F17"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3B458107" w14:textId="77777777" w:rsidR="00D766AC" w:rsidRPr="00701F32" w:rsidRDefault="00D766AC" w:rsidP="00464C0F">
            <w:pPr>
              <w:rPr>
                <w:rFonts w:ascii="Arial" w:hAnsi="Arial" w:cs="Arial"/>
                <w:sz w:val="16"/>
                <w:szCs w:val="18"/>
              </w:rPr>
            </w:pPr>
          </w:p>
        </w:tc>
        <w:tc>
          <w:tcPr>
            <w:tcW w:w="992" w:type="dxa"/>
            <w:vMerge/>
            <w:tcBorders>
              <w:left w:val="single" w:sz="4" w:space="0" w:color="363639"/>
              <w:right w:val="single" w:sz="4" w:space="0" w:color="363639"/>
            </w:tcBorders>
          </w:tcPr>
          <w:p w14:paraId="7473C421"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183816FC" w14:textId="77777777" w:rsidR="00D766AC" w:rsidRPr="00701F32" w:rsidRDefault="00D766AC" w:rsidP="00464C0F">
            <w:pPr>
              <w:rPr>
                <w:rFonts w:ascii="Arial" w:hAnsi="Arial" w:cs="Arial"/>
                <w:sz w:val="16"/>
                <w:szCs w:val="18"/>
              </w:rPr>
            </w:pPr>
          </w:p>
        </w:tc>
      </w:tr>
      <w:tr w:rsidR="00D766AC" w:rsidRPr="00701F32" w14:paraId="74BCE045" w14:textId="77777777" w:rsidTr="00FF7CC8">
        <w:trPr>
          <w:trHeight w:val="133"/>
        </w:trPr>
        <w:tc>
          <w:tcPr>
            <w:tcW w:w="1613" w:type="dxa"/>
            <w:vMerge/>
            <w:tcBorders>
              <w:top w:val="nil"/>
              <w:left w:val="single" w:sz="4" w:space="0" w:color="363639"/>
              <w:bottom w:val="single" w:sz="4" w:space="0" w:color="363639"/>
              <w:right w:val="nil"/>
            </w:tcBorders>
            <w:vAlign w:val="center"/>
            <w:hideMark/>
          </w:tcPr>
          <w:p w14:paraId="4FD5BE8B" w14:textId="77777777" w:rsidR="00D766AC" w:rsidRPr="00701F32" w:rsidRDefault="00D766AC" w:rsidP="00464C0F">
            <w:pPr>
              <w:rPr>
                <w:rFonts w:ascii="Arial" w:hAnsi="Arial" w:cs="Arial"/>
                <w:sz w:val="16"/>
                <w:szCs w:val="18"/>
              </w:rPr>
            </w:pPr>
          </w:p>
        </w:tc>
        <w:tc>
          <w:tcPr>
            <w:tcW w:w="1643" w:type="dxa"/>
            <w:tcBorders>
              <w:top w:val="nil"/>
              <w:left w:val="single" w:sz="4" w:space="0" w:color="auto"/>
              <w:bottom w:val="single" w:sz="4" w:space="0" w:color="auto"/>
              <w:right w:val="single" w:sz="4" w:space="0" w:color="auto"/>
            </w:tcBorders>
            <w:shd w:val="clear" w:color="auto" w:fill="auto"/>
            <w:hideMark/>
          </w:tcPr>
          <w:p w14:paraId="55FBA965" w14:textId="77777777" w:rsidR="00D766AC" w:rsidRPr="00701F32" w:rsidRDefault="00D766AC" w:rsidP="00464C0F">
            <w:pPr>
              <w:jc w:val="center"/>
              <w:rPr>
                <w:rFonts w:ascii="Arial" w:hAnsi="Arial" w:cs="Arial"/>
                <w:sz w:val="16"/>
                <w:szCs w:val="18"/>
              </w:rPr>
            </w:pPr>
            <w:r w:rsidRPr="00701F32">
              <w:rPr>
                <w:rFonts w:ascii="Arial" w:hAnsi="Arial" w:cs="Arial"/>
                <w:sz w:val="16"/>
                <w:szCs w:val="18"/>
              </w:rPr>
              <w:t>Reporte Inmobiliario</w:t>
            </w:r>
          </w:p>
        </w:tc>
        <w:tc>
          <w:tcPr>
            <w:tcW w:w="1134" w:type="dxa"/>
            <w:vMerge/>
            <w:tcBorders>
              <w:top w:val="nil"/>
              <w:left w:val="nil"/>
              <w:bottom w:val="single" w:sz="4" w:space="0" w:color="000000"/>
              <w:right w:val="single" w:sz="4" w:space="0" w:color="363639"/>
            </w:tcBorders>
            <w:vAlign w:val="center"/>
            <w:hideMark/>
          </w:tcPr>
          <w:p w14:paraId="329E6BCC"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029A3E5D" w14:textId="77777777" w:rsidR="00D766AC" w:rsidRPr="00701F32" w:rsidRDefault="00D766AC" w:rsidP="00464C0F">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725733AC"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16664F0A" w14:textId="77777777" w:rsidR="00D766AC" w:rsidRPr="00701F32" w:rsidRDefault="00D766AC" w:rsidP="00464C0F">
            <w:pPr>
              <w:rPr>
                <w:rFonts w:ascii="Arial" w:hAnsi="Arial" w:cs="Arial"/>
                <w:sz w:val="16"/>
                <w:szCs w:val="18"/>
              </w:rPr>
            </w:pPr>
          </w:p>
        </w:tc>
        <w:tc>
          <w:tcPr>
            <w:tcW w:w="992" w:type="dxa"/>
            <w:vMerge/>
            <w:tcBorders>
              <w:left w:val="single" w:sz="4" w:space="0" w:color="363639"/>
              <w:bottom w:val="single" w:sz="4" w:space="0" w:color="auto"/>
              <w:right w:val="single" w:sz="4" w:space="0" w:color="363639"/>
            </w:tcBorders>
          </w:tcPr>
          <w:p w14:paraId="6DF2FF48" w14:textId="77777777" w:rsidR="00D766AC" w:rsidRPr="00701F32" w:rsidRDefault="00D766AC" w:rsidP="00464C0F">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1E386665" w14:textId="77777777" w:rsidR="00D766AC" w:rsidRPr="00701F32" w:rsidRDefault="00D766AC" w:rsidP="00464C0F">
            <w:pPr>
              <w:rPr>
                <w:rFonts w:ascii="Arial" w:hAnsi="Arial" w:cs="Arial"/>
                <w:sz w:val="16"/>
                <w:szCs w:val="18"/>
              </w:rPr>
            </w:pPr>
          </w:p>
        </w:tc>
      </w:tr>
      <w:tr w:rsidR="00D766AC" w:rsidRPr="00701F32" w14:paraId="12AC80B1" w14:textId="77777777" w:rsidTr="00FF7CC8">
        <w:trPr>
          <w:trHeight w:val="133"/>
        </w:trPr>
        <w:tc>
          <w:tcPr>
            <w:tcW w:w="1613" w:type="dxa"/>
            <w:tcBorders>
              <w:top w:val="nil"/>
              <w:left w:val="single" w:sz="4" w:space="0" w:color="363639"/>
              <w:bottom w:val="single" w:sz="4" w:space="0" w:color="363639"/>
              <w:right w:val="single" w:sz="4" w:space="0" w:color="363639"/>
            </w:tcBorders>
            <w:shd w:val="clear" w:color="auto" w:fill="auto"/>
            <w:hideMark/>
          </w:tcPr>
          <w:p w14:paraId="0CF49E05" w14:textId="77777777" w:rsidR="00D766AC" w:rsidRPr="00701F32" w:rsidRDefault="00D766AC" w:rsidP="00464C0F">
            <w:pPr>
              <w:jc w:val="both"/>
              <w:rPr>
                <w:rFonts w:ascii="Arial" w:hAnsi="Arial" w:cs="Arial"/>
                <w:b/>
                <w:bCs/>
                <w:sz w:val="16"/>
                <w:szCs w:val="18"/>
              </w:rPr>
            </w:pPr>
            <w:r w:rsidRPr="00701F32">
              <w:rPr>
                <w:rFonts w:ascii="Arial" w:hAnsi="Arial" w:cs="Arial"/>
                <w:b/>
                <w:bCs/>
                <w:color w:val="363639"/>
                <w:sz w:val="16"/>
                <w:szCs w:val="18"/>
              </w:rPr>
              <w:t>TOTALES</w:t>
            </w:r>
          </w:p>
        </w:tc>
        <w:tc>
          <w:tcPr>
            <w:tcW w:w="1643" w:type="dxa"/>
            <w:tcBorders>
              <w:top w:val="nil"/>
              <w:left w:val="nil"/>
              <w:bottom w:val="single" w:sz="4" w:space="0" w:color="363639"/>
              <w:right w:val="single" w:sz="4" w:space="0" w:color="363639"/>
            </w:tcBorders>
            <w:shd w:val="clear" w:color="auto" w:fill="auto"/>
            <w:hideMark/>
          </w:tcPr>
          <w:p w14:paraId="1F5EEF79" w14:textId="77777777" w:rsidR="00D766AC" w:rsidRPr="00701F32" w:rsidRDefault="00D766AC" w:rsidP="00464C0F">
            <w:pPr>
              <w:jc w:val="both"/>
              <w:rPr>
                <w:rFonts w:ascii="Calibri" w:hAnsi="Calibri"/>
                <w:b/>
                <w:bCs/>
                <w:color w:val="000000"/>
                <w:sz w:val="16"/>
                <w:szCs w:val="18"/>
              </w:rPr>
            </w:pPr>
            <w:r w:rsidRPr="00701F32">
              <w:rPr>
                <w:rFonts w:ascii="Calibri" w:hAnsi="Calibri"/>
                <w:b/>
                <w:bCs/>
                <w:color w:val="000000"/>
                <w:sz w:val="16"/>
                <w:szCs w:val="18"/>
              </w:rPr>
              <w:t> </w:t>
            </w:r>
          </w:p>
        </w:tc>
        <w:tc>
          <w:tcPr>
            <w:tcW w:w="1134" w:type="dxa"/>
            <w:tcBorders>
              <w:top w:val="single" w:sz="4" w:space="0" w:color="363639"/>
              <w:left w:val="nil"/>
              <w:bottom w:val="single" w:sz="4" w:space="0" w:color="363639"/>
              <w:right w:val="single" w:sz="4" w:space="0" w:color="363639"/>
            </w:tcBorders>
            <w:shd w:val="clear" w:color="auto" w:fill="auto"/>
            <w:hideMark/>
          </w:tcPr>
          <w:p w14:paraId="1815BDA4" w14:textId="77777777" w:rsidR="00D766AC" w:rsidRPr="00701F32" w:rsidRDefault="00D766AC" w:rsidP="00464C0F">
            <w:pPr>
              <w:jc w:val="both"/>
              <w:rPr>
                <w:rFonts w:ascii="Calibri" w:hAnsi="Calibri"/>
                <w:b/>
                <w:bCs/>
                <w:color w:val="000000"/>
                <w:sz w:val="16"/>
                <w:szCs w:val="18"/>
              </w:rPr>
            </w:pPr>
            <w:r w:rsidRPr="00701F32">
              <w:rPr>
                <w:rFonts w:ascii="Calibri" w:hAnsi="Calibri"/>
                <w:b/>
                <w:bCs/>
                <w:color w:val="000000"/>
                <w:sz w:val="16"/>
                <w:szCs w:val="18"/>
              </w:rPr>
              <w:t> </w:t>
            </w:r>
          </w:p>
        </w:tc>
        <w:tc>
          <w:tcPr>
            <w:tcW w:w="1134" w:type="dxa"/>
            <w:tcBorders>
              <w:top w:val="nil"/>
              <w:left w:val="nil"/>
              <w:bottom w:val="single" w:sz="4" w:space="0" w:color="auto"/>
              <w:right w:val="single" w:sz="4" w:space="0" w:color="363639"/>
            </w:tcBorders>
            <w:shd w:val="clear" w:color="auto" w:fill="auto"/>
            <w:noWrap/>
            <w:vAlign w:val="bottom"/>
            <w:hideMark/>
          </w:tcPr>
          <w:p w14:paraId="1518F766" w14:textId="77777777" w:rsidR="00D766AC" w:rsidRPr="00701F32" w:rsidRDefault="00D766AC" w:rsidP="00464C0F">
            <w:pPr>
              <w:jc w:val="right"/>
              <w:rPr>
                <w:rFonts w:ascii="Arial" w:hAnsi="Arial" w:cs="Arial"/>
                <w:b/>
                <w:bCs/>
                <w:sz w:val="16"/>
                <w:szCs w:val="18"/>
              </w:rPr>
            </w:pPr>
            <w:r w:rsidRPr="00701F32">
              <w:rPr>
                <w:rFonts w:ascii="Arial" w:hAnsi="Arial" w:cs="Arial"/>
                <w:b/>
                <w:bCs/>
                <w:sz w:val="16"/>
                <w:szCs w:val="18"/>
              </w:rPr>
              <w:t>181.334</w:t>
            </w:r>
          </w:p>
        </w:tc>
        <w:tc>
          <w:tcPr>
            <w:tcW w:w="992" w:type="dxa"/>
            <w:tcBorders>
              <w:top w:val="nil"/>
              <w:left w:val="nil"/>
              <w:bottom w:val="single" w:sz="4" w:space="0" w:color="auto"/>
              <w:right w:val="single" w:sz="4" w:space="0" w:color="363639"/>
            </w:tcBorders>
            <w:shd w:val="clear" w:color="auto" w:fill="auto"/>
            <w:noWrap/>
            <w:vAlign w:val="bottom"/>
            <w:hideMark/>
          </w:tcPr>
          <w:p w14:paraId="79D7CE15" w14:textId="77777777" w:rsidR="00D766AC" w:rsidRPr="00701F32" w:rsidRDefault="00504573" w:rsidP="00504573">
            <w:pPr>
              <w:jc w:val="right"/>
              <w:rPr>
                <w:rFonts w:ascii="Arial" w:hAnsi="Arial" w:cs="Arial"/>
                <w:b/>
                <w:bCs/>
                <w:sz w:val="16"/>
                <w:szCs w:val="18"/>
              </w:rPr>
            </w:pPr>
            <w:r w:rsidRPr="00701F32">
              <w:rPr>
                <w:rFonts w:ascii="Arial" w:hAnsi="Arial" w:cs="Arial"/>
                <w:b/>
                <w:bCs/>
                <w:sz w:val="16"/>
                <w:szCs w:val="18"/>
              </w:rPr>
              <w:t>261.239</w:t>
            </w:r>
          </w:p>
        </w:tc>
        <w:tc>
          <w:tcPr>
            <w:tcW w:w="1134" w:type="dxa"/>
            <w:tcBorders>
              <w:top w:val="nil"/>
              <w:left w:val="nil"/>
              <w:bottom w:val="single" w:sz="4" w:space="0" w:color="auto"/>
              <w:right w:val="single" w:sz="4" w:space="0" w:color="auto"/>
            </w:tcBorders>
            <w:shd w:val="clear" w:color="auto" w:fill="auto"/>
            <w:noWrap/>
            <w:vAlign w:val="bottom"/>
            <w:hideMark/>
          </w:tcPr>
          <w:p w14:paraId="6709E726" w14:textId="77777777" w:rsidR="00D766AC" w:rsidRPr="00701F32" w:rsidRDefault="00504573" w:rsidP="00464C0F">
            <w:pPr>
              <w:jc w:val="right"/>
              <w:rPr>
                <w:rFonts w:ascii="Arial" w:hAnsi="Arial" w:cs="Arial"/>
                <w:b/>
                <w:bCs/>
                <w:sz w:val="16"/>
                <w:szCs w:val="18"/>
              </w:rPr>
            </w:pPr>
            <w:r w:rsidRPr="00701F32">
              <w:rPr>
                <w:rFonts w:ascii="Arial" w:hAnsi="Arial" w:cs="Arial"/>
                <w:b/>
                <w:bCs/>
                <w:sz w:val="16"/>
                <w:szCs w:val="18"/>
              </w:rPr>
              <w:t>442.573</w:t>
            </w:r>
          </w:p>
        </w:tc>
        <w:tc>
          <w:tcPr>
            <w:tcW w:w="992" w:type="dxa"/>
            <w:tcBorders>
              <w:top w:val="single" w:sz="4" w:space="0" w:color="auto"/>
              <w:left w:val="single" w:sz="4" w:space="0" w:color="auto"/>
              <w:bottom w:val="single" w:sz="4" w:space="0" w:color="auto"/>
              <w:right w:val="single" w:sz="4" w:space="0" w:color="auto"/>
            </w:tcBorders>
          </w:tcPr>
          <w:p w14:paraId="01F58FD3" w14:textId="1C0C7C6D" w:rsidR="00D766AC" w:rsidRPr="00701F32" w:rsidRDefault="00504573" w:rsidP="00464C0F">
            <w:pPr>
              <w:jc w:val="right"/>
              <w:rPr>
                <w:rFonts w:ascii="Arial" w:hAnsi="Arial" w:cs="Arial"/>
                <w:b/>
                <w:bCs/>
                <w:sz w:val="16"/>
                <w:szCs w:val="18"/>
              </w:rPr>
            </w:pPr>
            <w:r w:rsidRPr="00701F32">
              <w:rPr>
                <w:rFonts w:ascii="Arial" w:hAnsi="Arial" w:cs="Arial"/>
                <w:b/>
                <w:bCs/>
                <w:sz w:val="16"/>
                <w:szCs w:val="18"/>
              </w:rPr>
              <w:t>(</w:t>
            </w:r>
            <w:r w:rsidR="00E422FA" w:rsidRPr="00701F32">
              <w:rPr>
                <w:rFonts w:ascii="Arial" w:hAnsi="Arial" w:cs="Arial"/>
                <w:b/>
                <w:bCs/>
                <w:sz w:val="16"/>
                <w:szCs w:val="18"/>
              </w:rPr>
              <w:t>4.027</w:t>
            </w:r>
            <w:r w:rsidRPr="00701F32">
              <w:rPr>
                <w:rFonts w:ascii="Arial" w:hAnsi="Arial" w:cs="Arial"/>
                <w:b/>
                <w:bCs/>
                <w:sz w:val="16"/>
                <w:szCs w:val="18"/>
              </w:rPr>
              <w:t>)</w:t>
            </w:r>
          </w:p>
        </w:tc>
        <w:tc>
          <w:tcPr>
            <w:tcW w:w="1134" w:type="dxa"/>
            <w:tcBorders>
              <w:top w:val="nil"/>
              <w:left w:val="single" w:sz="4" w:space="0" w:color="auto"/>
              <w:bottom w:val="single" w:sz="4" w:space="0" w:color="auto"/>
              <w:right w:val="single" w:sz="4" w:space="0" w:color="363639"/>
            </w:tcBorders>
            <w:shd w:val="clear" w:color="auto" w:fill="auto"/>
            <w:noWrap/>
            <w:vAlign w:val="bottom"/>
            <w:hideMark/>
          </w:tcPr>
          <w:p w14:paraId="449B3E29" w14:textId="260E1321" w:rsidR="00D766AC" w:rsidRPr="00701F32" w:rsidRDefault="00504573" w:rsidP="00464C0F">
            <w:pPr>
              <w:jc w:val="right"/>
              <w:rPr>
                <w:rFonts w:ascii="Arial" w:hAnsi="Arial" w:cs="Arial"/>
                <w:b/>
                <w:bCs/>
                <w:sz w:val="16"/>
                <w:szCs w:val="18"/>
              </w:rPr>
            </w:pPr>
            <w:r w:rsidRPr="00701F32">
              <w:rPr>
                <w:rFonts w:ascii="Arial" w:hAnsi="Arial" w:cs="Arial"/>
                <w:b/>
                <w:bCs/>
                <w:sz w:val="16"/>
                <w:szCs w:val="18"/>
              </w:rPr>
              <w:t>3</w:t>
            </w:r>
            <w:r w:rsidR="00E422FA" w:rsidRPr="00701F32">
              <w:rPr>
                <w:rFonts w:ascii="Arial" w:hAnsi="Arial" w:cs="Arial"/>
                <w:b/>
                <w:bCs/>
                <w:sz w:val="16"/>
                <w:szCs w:val="18"/>
              </w:rPr>
              <w:t>39.003</w:t>
            </w:r>
          </w:p>
        </w:tc>
      </w:tr>
    </w:tbl>
    <w:p w14:paraId="7ED1CFF4" w14:textId="77777777" w:rsidR="008F7FE2" w:rsidRPr="00701F32" w:rsidRDefault="008F7FE2" w:rsidP="00656E62">
      <w:pPr>
        <w:spacing w:after="160"/>
        <w:jc w:val="both"/>
        <w:rPr>
          <w:rFonts w:ascii="Arial" w:eastAsia="Calibri" w:hAnsi="Arial" w:cs="Arial"/>
          <w:i/>
          <w:sz w:val="16"/>
        </w:rPr>
      </w:pPr>
    </w:p>
    <w:p w14:paraId="5223B2AF" w14:textId="5FD3CB66"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El revalúo de los terrenos y edificios propiedad de la en</w:t>
      </w:r>
      <w:r w:rsidR="00504573" w:rsidRPr="00701F32">
        <w:rPr>
          <w:rFonts w:ascii="Arial" w:eastAsia="Calibri" w:hAnsi="Arial" w:cs="Arial"/>
          <w:sz w:val="20"/>
        </w:rPr>
        <w:t>tidad arroja un superávit de 442.573</w:t>
      </w:r>
      <w:r w:rsidRPr="00701F32">
        <w:rPr>
          <w:rFonts w:ascii="Arial" w:eastAsia="Calibri" w:hAnsi="Arial" w:cs="Arial"/>
          <w:sz w:val="20"/>
        </w:rPr>
        <w:t xml:space="preserve"> al cierre del período, </w:t>
      </w:r>
      <w:r w:rsidR="00C10FD6" w:rsidRPr="00701F32">
        <w:rPr>
          <w:rFonts w:ascii="Arial" w:eastAsia="Calibri" w:hAnsi="Arial" w:cs="Arial"/>
          <w:sz w:val="20"/>
        </w:rPr>
        <w:t>que sumado a su costo histórico</w:t>
      </w:r>
      <w:r w:rsidR="008F7FE2" w:rsidRPr="00701F32">
        <w:rPr>
          <w:rFonts w:ascii="Arial" w:eastAsia="Calibri" w:hAnsi="Arial" w:cs="Arial"/>
          <w:sz w:val="20"/>
        </w:rPr>
        <w:t xml:space="preserve"> y neto de depreciaciones del revalúo </w:t>
      </w:r>
      <w:r w:rsidR="00504573" w:rsidRPr="00701F32">
        <w:rPr>
          <w:rFonts w:ascii="Arial" w:eastAsia="Calibri" w:hAnsi="Arial" w:cs="Arial"/>
          <w:sz w:val="20"/>
        </w:rPr>
        <w:t>arroja un total de 7</w:t>
      </w:r>
      <w:r w:rsidR="00E422FA" w:rsidRPr="00701F32">
        <w:rPr>
          <w:rFonts w:ascii="Arial" w:eastAsia="Calibri" w:hAnsi="Arial" w:cs="Arial"/>
          <w:sz w:val="20"/>
        </w:rPr>
        <w:t>77</w:t>
      </w:r>
      <w:r w:rsidR="00504573" w:rsidRPr="00701F32">
        <w:rPr>
          <w:rFonts w:ascii="Arial" w:eastAsia="Calibri" w:hAnsi="Arial" w:cs="Arial"/>
          <w:sz w:val="20"/>
        </w:rPr>
        <w:t>.</w:t>
      </w:r>
      <w:r w:rsidR="00E422FA" w:rsidRPr="00701F32">
        <w:rPr>
          <w:rFonts w:ascii="Arial" w:eastAsia="Calibri" w:hAnsi="Arial" w:cs="Arial"/>
          <w:sz w:val="20"/>
        </w:rPr>
        <w:t>549</w:t>
      </w:r>
      <w:r w:rsidRPr="00701F32">
        <w:rPr>
          <w:rFonts w:ascii="Arial" w:eastAsia="Calibri" w:hAnsi="Arial" w:cs="Arial"/>
          <w:sz w:val="20"/>
        </w:rPr>
        <w:t xml:space="preserve"> para esta clase activo. </w:t>
      </w:r>
    </w:p>
    <w:p w14:paraId="3E8AC4E8"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En el período se impu</w:t>
      </w:r>
      <w:r w:rsidR="00504573" w:rsidRPr="00701F32">
        <w:rPr>
          <w:rFonts w:ascii="Arial" w:eastAsia="Calibri" w:hAnsi="Arial" w:cs="Arial"/>
          <w:sz w:val="20"/>
        </w:rPr>
        <w:t>ta la suma de pesos 261.239</w:t>
      </w:r>
      <w:r w:rsidRPr="00701F32">
        <w:rPr>
          <w:rFonts w:ascii="Arial" w:eastAsia="Calibri" w:hAnsi="Arial" w:cs="Arial"/>
          <w:sz w:val="20"/>
        </w:rPr>
        <w:t xml:space="preserve"> a Otros resultados Integrales (ORI). </w:t>
      </w:r>
    </w:p>
    <w:p w14:paraId="6CB0D03F" w14:textId="77777777" w:rsidR="00656E62" w:rsidRPr="00701F32" w:rsidRDefault="00656E62" w:rsidP="00656E62">
      <w:pPr>
        <w:spacing w:after="160"/>
        <w:jc w:val="both"/>
        <w:rPr>
          <w:rFonts w:ascii="Arial" w:eastAsia="Calibri" w:hAnsi="Arial" w:cs="Arial"/>
          <w:b/>
          <w:sz w:val="20"/>
        </w:rPr>
      </w:pPr>
      <w:r w:rsidRPr="00701F32">
        <w:rPr>
          <w:rFonts w:ascii="Arial" w:eastAsia="Calibri" w:hAnsi="Arial" w:cs="Arial"/>
          <w:b/>
          <w:sz w:val="20"/>
        </w:rPr>
        <w:t>1.1</w:t>
      </w:r>
      <w:r w:rsidR="00AF2B5E" w:rsidRPr="00701F32">
        <w:rPr>
          <w:rFonts w:ascii="Arial" w:eastAsia="Calibri" w:hAnsi="Arial" w:cs="Arial"/>
          <w:b/>
          <w:sz w:val="20"/>
        </w:rPr>
        <w:t>3</w:t>
      </w:r>
      <w:r w:rsidRPr="00701F32">
        <w:rPr>
          <w:rFonts w:ascii="Arial" w:eastAsia="Calibri" w:hAnsi="Arial" w:cs="Arial"/>
          <w:b/>
          <w:sz w:val="20"/>
        </w:rPr>
        <w:t xml:space="preserve"> Propiedades de inversión</w:t>
      </w:r>
    </w:p>
    <w:p w14:paraId="5631E42A" w14:textId="77777777" w:rsidR="00656E62" w:rsidRPr="00701F32" w:rsidRDefault="00656E62" w:rsidP="0086282C">
      <w:pPr>
        <w:numPr>
          <w:ilvl w:val="0"/>
          <w:numId w:val="102"/>
        </w:numPr>
        <w:spacing w:after="160"/>
        <w:contextualSpacing/>
        <w:jc w:val="both"/>
        <w:rPr>
          <w:rFonts w:ascii="Arial" w:eastAsia="Calibri" w:hAnsi="Arial" w:cs="Arial"/>
          <w:sz w:val="20"/>
        </w:rPr>
      </w:pPr>
      <w:r w:rsidRPr="00701F32">
        <w:rPr>
          <w:rFonts w:ascii="Arial" w:eastAsia="Calibri" w:hAnsi="Arial" w:cs="Arial"/>
          <w:sz w:val="20"/>
        </w:rPr>
        <w:t xml:space="preserve">Bases de medición utilizadas. </w:t>
      </w:r>
    </w:p>
    <w:p w14:paraId="530B1305" w14:textId="77777777" w:rsidR="00656E62" w:rsidRPr="00701F32" w:rsidRDefault="00656E62" w:rsidP="00656E62">
      <w:pPr>
        <w:spacing w:after="160"/>
        <w:ind w:left="720"/>
        <w:contextualSpacing/>
        <w:jc w:val="both"/>
        <w:rPr>
          <w:rFonts w:ascii="Arial" w:eastAsia="Calibri" w:hAnsi="Arial" w:cs="Arial"/>
          <w:sz w:val="20"/>
        </w:rPr>
      </w:pPr>
    </w:p>
    <w:p w14:paraId="6AE59901" w14:textId="408FE0B6"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Las propiedades de inversión están constituidas por inmuebles (terrenos o edificios o parte de un edificio o ambos) mantenidos para obtener rentas o para apreciación de capital o ambos, no siendo ocupadas por la Entidad. </w:t>
      </w:r>
    </w:p>
    <w:p w14:paraId="052BB4AD"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Son contabilizadas a su valor razonable, y los cambios en el mismo, se van reflejando directamente en los resultados del </w:t>
      </w:r>
      <w:r w:rsidR="000C2569" w:rsidRPr="00701F32">
        <w:rPr>
          <w:rFonts w:ascii="Arial" w:eastAsia="Calibri" w:hAnsi="Arial" w:cs="Arial"/>
          <w:sz w:val="20"/>
        </w:rPr>
        <w:t>período</w:t>
      </w:r>
      <w:r w:rsidRPr="00701F32">
        <w:rPr>
          <w:rFonts w:ascii="Arial" w:eastAsia="Calibri" w:hAnsi="Arial" w:cs="Arial"/>
          <w:sz w:val="20"/>
        </w:rPr>
        <w:t>. Las propiedades de inversión no se deprecian. El valor razonable está basado en tasaciones realizadas por peritos independientes.</w:t>
      </w:r>
    </w:p>
    <w:p w14:paraId="78BF0751" w14:textId="77777777" w:rsidR="00656E62" w:rsidRPr="00701F32" w:rsidRDefault="00656E62" w:rsidP="0086282C">
      <w:pPr>
        <w:numPr>
          <w:ilvl w:val="0"/>
          <w:numId w:val="102"/>
        </w:numPr>
        <w:spacing w:after="160"/>
        <w:contextualSpacing/>
        <w:jc w:val="both"/>
        <w:rPr>
          <w:rFonts w:ascii="Arial" w:eastAsia="Calibri" w:hAnsi="Arial" w:cs="Arial"/>
          <w:sz w:val="20"/>
        </w:rPr>
      </w:pPr>
      <w:r w:rsidRPr="00701F32">
        <w:rPr>
          <w:rFonts w:ascii="Arial" w:eastAsia="Calibri" w:hAnsi="Arial" w:cs="Arial"/>
          <w:sz w:val="20"/>
        </w:rPr>
        <w:t xml:space="preserve">Cifras incluidas en el resultado del período por Propiedades de Inversión. </w:t>
      </w:r>
    </w:p>
    <w:p w14:paraId="5388B0A6" w14:textId="77777777" w:rsidR="00656E62" w:rsidRPr="00701F32" w:rsidRDefault="00656E62" w:rsidP="00656E62">
      <w:pPr>
        <w:spacing w:after="160"/>
        <w:ind w:left="720"/>
        <w:contextualSpacing/>
        <w:jc w:val="both"/>
        <w:rPr>
          <w:rFonts w:ascii="Arial" w:eastAsia="Calibri" w:hAnsi="Arial" w:cs="Arial"/>
          <w:sz w:val="20"/>
        </w:rPr>
      </w:pPr>
    </w:p>
    <w:tbl>
      <w:tblPr>
        <w:tblStyle w:val="Tabladecuadrcula1clara1"/>
        <w:tblW w:w="0" w:type="auto"/>
        <w:tblLayout w:type="fixed"/>
        <w:tblLook w:val="04A0" w:firstRow="1" w:lastRow="0" w:firstColumn="1" w:lastColumn="0" w:noHBand="0" w:noVBand="1"/>
      </w:tblPr>
      <w:tblGrid>
        <w:gridCol w:w="5920"/>
        <w:gridCol w:w="1278"/>
        <w:gridCol w:w="1274"/>
      </w:tblGrid>
      <w:tr w:rsidR="00656E62" w:rsidRPr="00701F32" w14:paraId="475CFE82" w14:textId="77777777" w:rsidTr="0086282C">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14:paraId="3DEDC4D2" w14:textId="77777777" w:rsidR="00656E62" w:rsidRPr="00701F32" w:rsidRDefault="00656E62" w:rsidP="00464C0F">
            <w:pPr>
              <w:contextualSpacing/>
              <w:jc w:val="both"/>
              <w:rPr>
                <w:rFonts w:ascii="Arial" w:hAnsi="Arial" w:cs="Arial"/>
                <w:sz w:val="16"/>
              </w:rPr>
            </w:pPr>
          </w:p>
        </w:tc>
        <w:tc>
          <w:tcPr>
            <w:tcW w:w="1278" w:type="dxa"/>
            <w:tcBorders>
              <w:top w:val="single" w:sz="4" w:space="0" w:color="auto"/>
              <w:left w:val="single" w:sz="4" w:space="0" w:color="auto"/>
              <w:bottom w:val="single" w:sz="4" w:space="0" w:color="auto"/>
              <w:right w:val="single" w:sz="4" w:space="0" w:color="auto"/>
            </w:tcBorders>
            <w:vAlign w:val="center"/>
          </w:tcPr>
          <w:p w14:paraId="65A47112" w14:textId="77777777" w:rsidR="00656E62" w:rsidRPr="00701F32" w:rsidRDefault="00C10FD6" w:rsidP="0086282C">
            <w:pPr>
              <w:contextualSpacing/>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701F32">
              <w:rPr>
                <w:rFonts w:ascii="Arial" w:hAnsi="Arial" w:cs="Arial"/>
                <w:sz w:val="16"/>
              </w:rPr>
              <w:t>30/0</w:t>
            </w:r>
            <w:r w:rsidR="00837BEB" w:rsidRPr="00701F32">
              <w:rPr>
                <w:rFonts w:ascii="Arial" w:hAnsi="Arial" w:cs="Arial"/>
                <w:sz w:val="16"/>
              </w:rPr>
              <w:t>9</w:t>
            </w:r>
            <w:r w:rsidR="00656E62" w:rsidRPr="00701F32">
              <w:rPr>
                <w:rFonts w:ascii="Arial" w:hAnsi="Arial" w:cs="Arial"/>
                <w:sz w:val="16"/>
              </w:rPr>
              <w:t>/2018</w:t>
            </w:r>
          </w:p>
        </w:tc>
        <w:tc>
          <w:tcPr>
            <w:tcW w:w="1274" w:type="dxa"/>
            <w:tcBorders>
              <w:top w:val="single" w:sz="4" w:space="0" w:color="auto"/>
              <w:left w:val="single" w:sz="4" w:space="0" w:color="auto"/>
              <w:bottom w:val="single" w:sz="4" w:space="0" w:color="auto"/>
              <w:right w:val="single" w:sz="4" w:space="0" w:color="auto"/>
            </w:tcBorders>
            <w:vAlign w:val="center"/>
          </w:tcPr>
          <w:p w14:paraId="7092B600" w14:textId="77777777" w:rsidR="00656E62" w:rsidRPr="00701F32" w:rsidRDefault="00C10FD6" w:rsidP="0086282C">
            <w:pPr>
              <w:contextualSpacing/>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701F32">
              <w:rPr>
                <w:rFonts w:ascii="Arial" w:hAnsi="Arial" w:cs="Arial"/>
                <w:sz w:val="16"/>
              </w:rPr>
              <w:t>30/0</w:t>
            </w:r>
            <w:r w:rsidR="00837BEB" w:rsidRPr="00701F32">
              <w:rPr>
                <w:rFonts w:ascii="Arial" w:hAnsi="Arial" w:cs="Arial"/>
                <w:sz w:val="16"/>
              </w:rPr>
              <w:t>9</w:t>
            </w:r>
            <w:r w:rsidR="00656E62" w:rsidRPr="00701F32">
              <w:rPr>
                <w:rFonts w:ascii="Arial" w:hAnsi="Arial" w:cs="Arial"/>
                <w:sz w:val="16"/>
              </w:rPr>
              <w:t>/2017</w:t>
            </w:r>
          </w:p>
        </w:tc>
      </w:tr>
      <w:tr w:rsidR="00656E62" w:rsidRPr="00701F32" w14:paraId="273D0624" w14:textId="77777777" w:rsidTr="0086282C">
        <w:trPr>
          <w:trHeight w:val="291"/>
        </w:trPr>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vAlign w:val="center"/>
          </w:tcPr>
          <w:p w14:paraId="559C9944" w14:textId="77777777" w:rsidR="00656E62" w:rsidRPr="00701F32" w:rsidRDefault="00656E62" w:rsidP="0086282C">
            <w:pPr>
              <w:contextualSpacing/>
              <w:rPr>
                <w:rFonts w:ascii="Arial" w:hAnsi="Arial" w:cs="Arial"/>
                <w:b w:val="0"/>
                <w:bCs w:val="0"/>
                <w:sz w:val="16"/>
              </w:rPr>
            </w:pPr>
            <w:r w:rsidRPr="00701F32">
              <w:rPr>
                <w:rFonts w:ascii="Arial" w:hAnsi="Arial" w:cs="Arial"/>
                <w:sz w:val="16"/>
              </w:rPr>
              <w:t>Ingresos derivados de rentas (alquileres cobrados)</w:t>
            </w:r>
          </w:p>
        </w:tc>
        <w:tc>
          <w:tcPr>
            <w:tcW w:w="1278" w:type="dxa"/>
            <w:tcBorders>
              <w:top w:val="single" w:sz="4" w:space="0" w:color="auto"/>
              <w:left w:val="single" w:sz="4" w:space="0" w:color="auto"/>
              <w:bottom w:val="single" w:sz="4" w:space="0" w:color="auto"/>
              <w:right w:val="single" w:sz="4" w:space="0" w:color="auto"/>
            </w:tcBorders>
            <w:vAlign w:val="center"/>
          </w:tcPr>
          <w:p w14:paraId="73B0AFF3" w14:textId="77777777" w:rsidR="00656E62" w:rsidRPr="00701F32" w:rsidRDefault="00BD168D" w:rsidP="00941382">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3.979</w:t>
            </w:r>
          </w:p>
        </w:tc>
        <w:tc>
          <w:tcPr>
            <w:tcW w:w="1274" w:type="dxa"/>
            <w:tcBorders>
              <w:top w:val="single" w:sz="4" w:space="0" w:color="auto"/>
              <w:left w:val="single" w:sz="4" w:space="0" w:color="auto"/>
              <w:bottom w:val="single" w:sz="4" w:space="0" w:color="auto"/>
              <w:right w:val="single" w:sz="4" w:space="0" w:color="auto"/>
            </w:tcBorders>
            <w:vAlign w:val="center"/>
          </w:tcPr>
          <w:p w14:paraId="5C5AECD8" w14:textId="01D357B4" w:rsidR="00656E62" w:rsidRPr="00701F32" w:rsidRDefault="00BD168D" w:rsidP="00941382">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1</w:t>
            </w:r>
            <w:r w:rsidR="00E422FA" w:rsidRPr="00701F32">
              <w:rPr>
                <w:rFonts w:ascii="Arial" w:hAnsi="Arial" w:cs="Arial"/>
                <w:sz w:val="16"/>
              </w:rPr>
              <w:t>8.629</w:t>
            </w:r>
          </w:p>
        </w:tc>
      </w:tr>
      <w:tr w:rsidR="00656E62" w:rsidRPr="00701F32" w14:paraId="724EA5F5" w14:textId="77777777" w:rsidTr="0086282C">
        <w:trPr>
          <w:trHeight w:val="304"/>
        </w:trPr>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vAlign w:val="center"/>
          </w:tcPr>
          <w:p w14:paraId="6B216D97" w14:textId="77777777" w:rsidR="00656E62" w:rsidRPr="00701F32" w:rsidRDefault="00656E62" w:rsidP="0086282C">
            <w:pPr>
              <w:contextualSpacing/>
              <w:rPr>
                <w:rFonts w:ascii="Arial" w:hAnsi="Arial" w:cs="Arial"/>
                <w:b w:val="0"/>
                <w:bCs w:val="0"/>
                <w:sz w:val="16"/>
              </w:rPr>
            </w:pPr>
            <w:r w:rsidRPr="00701F32">
              <w:rPr>
                <w:rFonts w:ascii="Arial" w:hAnsi="Arial" w:cs="Arial"/>
                <w:sz w:val="16"/>
              </w:rPr>
              <w:t>Gastos directos de operación de propiedades que generaron ingresos derivados de rentas</w:t>
            </w:r>
          </w:p>
        </w:tc>
        <w:tc>
          <w:tcPr>
            <w:tcW w:w="1278" w:type="dxa"/>
            <w:tcBorders>
              <w:top w:val="single" w:sz="4" w:space="0" w:color="auto"/>
              <w:left w:val="single" w:sz="4" w:space="0" w:color="auto"/>
              <w:bottom w:val="single" w:sz="4" w:space="0" w:color="auto"/>
              <w:right w:val="single" w:sz="4" w:space="0" w:color="auto"/>
            </w:tcBorders>
            <w:vAlign w:val="center"/>
          </w:tcPr>
          <w:p w14:paraId="7C7623E0" w14:textId="154A5B7A" w:rsidR="00656E62" w:rsidRPr="00701F32" w:rsidRDefault="005C4329" w:rsidP="00941382">
            <w:pPr>
              <w:ind w:left="36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w:t>
            </w:r>
            <w:r w:rsidR="00A53598" w:rsidRPr="00701F32">
              <w:rPr>
                <w:rFonts w:ascii="Arial" w:hAnsi="Arial" w:cs="Arial"/>
                <w:sz w:val="16"/>
              </w:rPr>
              <w:t>2.983</w:t>
            </w:r>
            <w:r w:rsidRPr="00701F32">
              <w:rPr>
                <w:rFonts w:ascii="Arial" w:hAnsi="Arial" w:cs="Arial"/>
                <w:sz w:val="16"/>
              </w:rPr>
              <w:t>)</w:t>
            </w:r>
          </w:p>
        </w:tc>
        <w:tc>
          <w:tcPr>
            <w:tcW w:w="1274" w:type="dxa"/>
            <w:tcBorders>
              <w:top w:val="single" w:sz="4" w:space="0" w:color="auto"/>
              <w:left w:val="single" w:sz="4" w:space="0" w:color="auto"/>
              <w:bottom w:val="single" w:sz="4" w:space="0" w:color="auto"/>
              <w:right w:val="single" w:sz="4" w:space="0" w:color="auto"/>
            </w:tcBorders>
            <w:vAlign w:val="center"/>
          </w:tcPr>
          <w:p w14:paraId="5B4B497A" w14:textId="139D5EFD" w:rsidR="00656E62" w:rsidRPr="00701F32" w:rsidRDefault="005C4329" w:rsidP="00941382">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w:t>
            </w:r>
            <w:r w:rsidR="00BD168D" w:rsidRPr="00701F32">
              <w:rPr>
                <w:rFonts w:ascii="Arial" w:hAnsi="Arial" w:cs="Arial"/>
                <w:sz w:val="16"/>
              </w:rPr>
              <w:t>2.</w:t>
            </w:r>
            <w:r w:rsidR="00A53598" w:rsidRPr="00701F32">
              <w:rPr>
                <w:rFonts w:ascii="Arial" w:hAnsi="Arial" w:cs="Arial"/>
                <w:sz w:val="16"/>
              </w:rPr>
              <w:t>943</w:t>
            </w:r>
            <w:r w:rsidRPr="00701F32">
              <w:rPr>
                <w:rFonts w:ascii="Arial" w:hAnsi="Arial" w:cs="Arial"/>
                <w:sz w:val="16"/>
              </w:rPr>
              <w:t>)</w:t>
            </w:r>
          </w:p>
        </w:tc>
      </w:tr>
      <w:tr w:rsidR="00656E62" w:rsidRPr="00701F32" w14:paraId="5BEBA40C" w14:textId="77777777" w:rsidTr="0086282C">
        <w:trPr>
          <w:trHeight w:val="291"/>
        </w:trPr>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vAlign w:val="center"/>
          </w:tcPr>
          <w:p w14:paraId="4E41A3A3" w14:textId="77777777" w:rsidR="00656E62" w:rsidRPr="00701F32" w:rsidRDefault="00656E62" w:rsidP="0086282C">
            <w:pPr>
              <w:contextualSpacing/>
              <w:rPr>
                <w:rFonts w:ascii="Arial" w:hAnsi="Arial" w:cs="Arial"/>
                <w:b w:val="0"/>
                <w:bCs w:val="0"/>
                <w:sz w:val="16"/>
              </w:rPr>
            </w:pPr>
            <w:r w:rsidRPr="00701F32">
              <w:rPr>
                <w:rFonts w:ascii="Arial" w:hAnsi="Arial" w:cs="Arial"/>
                <w:sz w:val="16"/>
              </w:rPr>
              <w:t>Resultado por medición al valor razonable</w:t>
            </w:r>
          </w:p>
        </w:tc>
        <w:tc>
          <w:tcPr>
            <w:tcW w:w="1278" w:type="dxa"/>
            <w:tcBorders>
              <w:top w:val="single" w:sz="4" w:space="0" w:color="auto"/>
              <w:left w:val="single" w:sz="4" w:space="0" w:color="auto"/>
              <w:bottom w:val="single" w:sz="4" w:space="0" w:color="auto"/>
              <w:right w:val="single" w:sz="4" w:space="0" w:color="auto"/>
            </w:tcBorders>
            <w:vAlign w:val="center"/>
          </w:tcPr>
          <w:p w14:paraId="472F72F7" w14:textId="77777777" w:rsidR="00656E62" w:rsidRPr="00701F32" w:rsidRDefault="00C10FD6" w:rsidP="00941382">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97.402</w:t>
            </w:r>
          </w:p>
        </w:tc>
        <w:tc>
          <w:tcPr>
            <w:tcW w:w="1274" w:type="dxa"/>
            <w:tcBorders>
              <w:top w:val="single" w:sz="4" w:space="0" w:color="auto"/>
              <w:left w:val="single" w:sz="4" w:space="0" w:color="auto"/>
              <w:bottom w:val="single" w:sz="4" w:space="0" w:color="auto"/>
              <w:right w:val="single" w:sz="4" w:space="0" w:color="auto"/>
            </w:tcBorders>
            <w:vAlign w:val="center"/>
          </w:tcPr>
          <w:p w14:paraId="025A43E7" w14:textId="6CCF283A" w:rsidR="00656E62" w:rsidRPr="00701F32" w:rsidRDefault="00A53598" w:rsidP="00941382">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01F32">
              <w:rPr>
                <w:rFonts w:ascii="Arial" w:hAnsi="Arial" w:cs="Arial"/>
                <w:sz w:val="16"/>
              </w:rPr>
              <w:t>211</w:t>
            </w:r>
          </w:p>
        </w:tc>
      </w:tr>
    </w:tbl>
    <w:p w14:paraId="7A0143DD" w14:textId="77777777" w:rsidR="00656E62" w:rsidRPr="00701F32" w:rsidRDefault="00656E62" w:rsidP="00656E62">
      <w:pPr>
        <w:spacing w:after="160"/>
        <w:jc w:val="both"/>
        <w:rPr>
          <w:rFonts w:ascii="Arial" w:eastAsia="Calibri" w:hAnsi="Arial" w:cs="Arial"/>
          <w:sz w:val="20"/>
        </w:rPr>
      </w:pPr>
    </w:p>
    <w:p w14:paraId="47C5ED5C" w14:textId="77777777" w:rsidR="005C4329" w:rsidRPr="00701F32" w:rsidRDefault="005C4329" w:rsidP="00656E62">
      <w:pPr>
        <w:spacing w:after="160"/>
        <w:jc w:val="both"/>
        <w:rPr>
          <w:rFonts w:ascii="Arial" w:eastAsia="Calibri" w:hAnsi="Arial" w:cs="Arial"/>
          <w:sz w:val="20"/>
        </w:rPr>
      </w:pPr>
      <w:r w:rsidRPr="00701F32">
        <w:rPr>
          <w:rFonts w:ascii="Arial" w:eastAsia="Calibri" w:hAnsi="Arial" w:cs="Arial"/>
          <w:sz w:val="20"/>
        </w:rPr>
        <w:t>El resultado neto generado por las propiedades de inversión al 30 de septiembre de 2018 y 2017 asciende a una utilidad de 98.398 y de 15.897 se reconocen en los rubros “Otros ingresos operativos”, “Gastos de administración” y “Otros gastos operativos” en el estado de resultados separado.</w:t>
      </w:r>
    </w:p>
    <w:p w14:paraId="08BDBA43"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Las ganancias y pérdidas por la venta de propiedades de inversión se incluyen en el estado de resultados </w:t>
      </w:r>
      <w:r w:rsidR="003B1200" w:rsidRPr="00701F32">
        <w:rPr>
          <w:rFonts w:ascii="Arial" w:eastAsia="Arial" w:hAnsi="Arial" w:cs="Arial"/>
          <w:sz w:val="20"/>
        </w:rPr>
        <w:t>separados</w:t>
      </w:r>
      <w:r w:rsidRPr="00701F32">
        <w:rPr>
          <w:rFonts w:ascii="Arial" w:eastAsia="Calibri" w:hAnsi="Arial" w:cs="Arial"/>
          <w:sz w:val="20"/>
        </w:rPr>
        <w:t>.</w:t>
      </w:r>
    </w:p>
    <w:p w14:paraId="719F5CED" w14:textId="77777777" w:rsidR="00656E62" w:rsidRPr="00701F32" w:rsidRDefault="00656E62" w:rsidP="00656E62">
      <w:pPr>
        <w:spacing w:after="160"/>
        <w:jc w:val="both"/>
        <w:rPr>
          <w:rFonts w:ascii="Arial" w:eastAsia="Calibri" w:hAnsi="Arial" w:cs="Arial"/>
          <w:b/>
          <w:sz w:val="20"/>
        </w:rPr>
      </w:pPr>
      <w:r w:rsidRPr="00701F32">
        <w:rPr>
          <w:rFonts w:ascii="Arial" w:eastAsia="Calibri" w:hAnsi="Arial" w:cs="Arial"/>
          <w:b/>
          <w:sz w:val="20"/>
        </w:rPr>
        <w:t>1.1</w:t>
      </w:r>
      <w:r w:rsidR="00AF2B5E" w:rsidRPr="00701F32">
        <w:rPr>
          <w:rFonts w:ascii="Arial" w:eastAsia="Calibri" w:hAnsi="Arial" w:cs="Arial"/>
          <w:b/>
          <w:sz w:val="20"/>
        </w:rPr>
        <w:t>4</w:t>
      </w:r>
      <w:r w:rsidRPr="00701F32">
        <w:rPr>
          <w:rFonts w:ascii="Arial" w:eastAsia="Calibri" w:hAnsi="Arial" w:cs="Arial"/>
          <w:b/>
          <w:sz w:val="20"/>
        </w:rPr>
        <w:t xml:space="preserve"> Activos Intangibles</w:t>
      </w:r>
    </w:p>
    <w:p w14:paraId="09BCDFF8"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(a)  Valor llave</w:t>
      </w:r>
    </w:p>
    <w:p w14:paraId="2DE8E7EA"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El valor llave generado en la adquisición de subsidiarias, afiliadas o negocios conjuntos representa el exceso entre: </w:t>
      </w:r>
    </w:p>
    <w:p w14:paraId="5B15C609"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(i) el costo de una adquisición, el cual se mide como la suma de la contraprestación transferida, valuada al valor razonable a la fecha de la adquisición más el importe del interés no controlante; y</w:t>
      </w:r>
    </w:p>
    <w:p w14:paraId="6D5B32CA"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(ii) el valor razonable de los activos identificables adquiridos y de los pasivos asumidos de la adquirida. </w:t>
      </w:r>
    </w:p>
    <w:p w14:paraId="5EB86252" w14:textId="77777777" w:rsidR="00656E62" w:rsidRPr="00701F32" w:rsidRDefault="00656E62" w:rsidP="00656E62">
      <w:pPr>
        <w:spacing w:after="160"/>
        <w:jc w:val="both"/>
        <w:rPr>
          <w:rFonts w:ascii="Arial" w:eastAsia="Arial" w:hAnsi="Arial" w:cs="Arial"/>
          <w:sz w:val="20"/>
        </w:rPr>
      </w:pPr>
      <w:r w:rsidRPr="00701F32">
        <w:rPr>
          <w:rFonts w:ascii="Arial" w:eastAsia="Calibri" w:hAnsi="Arial" w:cs="Arial"/>
          <w:sz w:val="20"/>
        </w:rPr>
        <w:t xml:space="preserve">Todos los valores llave, se incluyen en el rubro activos intangibles en el estado de situación financiera </w:t>
      </w:r>
      <w:r w:rsidR="008046B1" w:rsidRPr="00701F32">
        <w:rPr>
          <w:rFonts w:ascii="Arial" w:eastAsia="Arial" w:hAnsi="Arial" w:cs="Arial"/>
          <w:sz w:val="20"/>
        </w:rPr>
        <w:t>separado</w:t>
      </w:r>
      <w:r w:rsidRPr="00701F32">
        <w:rPr>
          <w:rFonts w:ascii="Arial" w:eastAsia="Calibri" w:hAnsi="Arial" w:cs="Arial"/>
          <w:sz w:val="20"/>
        </w:rPr>
        <w:t xml:space="preserve">. </w:t>
      </w:r>
    </w:p>
    <w:p w14:paraId="62A0D634"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valores llaves no se amortizan. El Banco evalúa anualmente, o cuando existan indicios de desvalorización, la recuperabilidad de los valores llave sobre la base de flujos futuros de fondos descontados más otra información disponible a la fecha de preparación de los estados financieros </w:t>
      </w:r>
      <w:r w:rsidR="008046B1" w:rsidRPr="00701F32">
        <w:rPr>
          <w:rFonts w:ascii="Arial" w:eastAsia="Arial" w:hAnsi="Arial" w:cs="Arial"/>
          <w:sz w:val="20"/>
        </w:rPr>
        <w:t>separados</w:t>
      </w:r>
      <w:r w:rsidRPr="00701F32">
        <w:rPr>
          <w:rFonts w:ascii="Arial" w:eastAsia="Calibri" w:hAnsi="Arial" w:cs="Arial"/>
          <w:sz w:val="20"/>
        </w:rPr>
        <w:t>. Las pérdidas por desvalorización una vez contabilizadas no se revierten. Las ganancias y pérdidas por la venta de una entidad incluyen el saldo de valor llave relacionado con la entidad vendida.</w:t>
      </w:r>
    </w:p>
    <w:p w14:paraId="4F4670BE"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El valor llave se asigna a unidades generadoras de efectivo a efectos de realizar las pruebas de recuperabilidad. La asignación se efectúa entre aquellas unidades generadoras de efectivo (o grupos de unidades), identificadas de acuerdo con el criterio de segmento operativo, que se benefician de la combinación de negocios de la que surgió el valor llave.</w:t>
      </w:r>
    </w:p>
    <w:p w14:paraId="5C5FF96C"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Para los valores llaves resultantes de combinaciones de negocios anteriores a la fecha de transición a NIIF, el Banco ha hecho uso de la opción prevista en la NIIF 1 “Adopción por primera vez de las NIIF”, en cuanto a la no aplicación retroactiva de la NIIF 3 “Combinaciones de negocios”. </w:t>
      </w:r>
    </w:p>
    <w:p w14:paraId="68F07A40"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(b) Software</w:t>
      </w:r>
    </w:p>
    <w:p w14:paraId="6C8ED72B"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costos asociados con el mantenimiento de software se reconocen como gasto cuando se incurren. Los costos de desarrollo, adquisición e implementación que son directamente atribuibles al diseño y pruebas de software identificables y únicos que controla la entidad, se reconocen como activos. </w:t>
      </w:r>
    </w:p>
    <w:p w14:paraId="3EE1785E"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Los costos de desarrollo, adquisición o implementación reconocidos inicialmente como gastos de un período, no son reconocidos posteriormente como costo del activo intangible. Los costos incurridos en el desarrollo, adquisición o implementación de software, reconocidos como activos intangibles, se amortizan aplicando el método de la línea recta durante sus vidas útiles estimadas, en un plazo que no excede de cinco años.</w:t>
      </w:r>
    </w:p>
    <w:p w14:paraId="6AD38FC7" w14:textId="77777777" w:rsidR="00656E62" w:rsidRPr="00701F32" w:rsidRDefault="00656E62" w:rsidP="00656E62">
      <w:pPr>
        <w:jc w:val="both"/>
        <w:rPr>
          <w:rFonts w:ascii="Arial" w:hAnsi="Arial" w:cs="Arial"/>
          <w:b/>
          <w:color w:val="FF0000"/>
          <w:sz w:val="20"/>
        </w:rPr>
      </w:pPr>
      <w:r w:rsidRPr="00701F32">
        <w:rPr>
          <w:rFonts w:ascii="Arial" w:hAnsi="Arial" w:cs="Arial"/>
          <w:b/>
          <w:sz w:val="20"/>
        </w:rPr>
        <w:t>1.1</w:t>
      </w:r>
      <w:r w:rsidR="003B6D71" w:rsidRPr="00701F32">
        <w:rPr>
          <w:rFonts w:ascii="Arial" w:hAnsi="Arial" w:cs="Arial"/>
          <w:b/>
          <w:sz w:val="20"/>
        </w:rPr>
        <w:t>5</w:t>
      </w:r>
      <w:r w:rsidRPr="00701F32">
        <w:rPr>
          <w:rFonts w:ascii="Arial" w:hAnsi="Arial" w:cs="Arial"/>
          <w:b/>
          <w:sz w:val="20"/>
        </w:rPr>
        <w:t xml:space="preserve"> Desvalorización de activos no financieros  </w:t>
      </w:r>
    </w:p>
    <w:p w14:paraId="513FB922" w14:textId="77777777" w:rsidR="00656E62" w:rsidRPr="00701F32" w:rsidRDefault="00656E62" w:rsidP="00656E62">
      <w:pPr>
        <w:jc w:val="both"/>
        <w:rPr>
          <w:rFonts w:ascii="Arial" w:hAnsi="Arial" w:cs="Arial"/>
          <w:sz w:val="20"/>
        </w:rPr>
      </w:pPr>
    </w:p>
    <w:p w14:paraId="14AE204D" w14:textId="77777777" w:rsidR="00656E62" w:rsidRPr="00701F32" w:rsidRDefault="00656E62" w:rsidP="00656E62">
      <w:pPr>
        <w:jc w:val="both"/>
        <w:rPr>
          <w:rFonts w:ascii="Arial" w:hAnsi="Arial" w:cs="Arial"/>
          <w:sz w:val="20"/>
        </w:rPr>
      </w:pPr>
      <w:r w:rsidRPr="00701F32">
        <w:rPr>
          <w:rFonts w:ascii="Arial" w:hAnsi="Arial" w:cs="Arial"/>
          <w:sz w:val="20"/>
        </w:rPr>
        <w:t>Los activos que tienen vida útil indefinida no están sujetos a amortización y se someten a pruebas anuales de desvalorización. A diferencia del supuesto anterior, aquellos bienes que son amortizables se someten a pruebas de desvalorización cuando se producen eventos o circunstancias que indican que podría no recuperarse su valor de libros o, mínimamente, en forma anual.</w:t>
      </w:r>
    </w:p>
    <w:p w14:paraId="7719E05E" w14:textId="77777777" w:rsidR="00656E62" w:rsidRPr="00701F32" w:rsidRDefault="00656E62" w:rsidP="00656E62">
      <w:pPr>
        <w:jc w:val="both"/>
        <w:rPr>
          <w:rFonts w:ascii="Arial" w:hAnsi="Arial" w:cs="Arial"/>
          <w:sz w:val="20"/>
        </w:rPr>
      </w:pPr>
    </w:p>
    <w:p w14:paraId="36C17168" w14:textId="77777777" w:rsidR="00656E62" w:rsidRPr="00701F32" w:rsidRDefault="00656E62" w:rsidP="00656E62">
      <w:pPr>
        <w:jc w:val="both"/>
        <w:rPr>
          <w:rFonts w:ascii="Arial" w:hAnsi="Arial" w:cs="Arial"/>
          <w:sz w:val="20"/>
        </w:rPr>
      </w:pPr>
      <w:r w:rsidRPr="00701F32">
        <w:rPr>
          <w:rFonts w:ascii="Arial" w:hAnsi="Arial" w:cs="Arial"/>
          <w:sz w:val="20"/>
        </w:rPr>
        <w:t>Las pérdidas por desvalorización se reconocen cuando el valor de libros excede a su valor recuperable. El valor recuperable de los activos corresponde al mayor entre el monto neto que se obtendría de su venta o su valor en uso. Para efectos de la prueba de desvalorización, los activos se agrupan al menor nivel en que generan flujos de efectivo identificables (unidades generadoras de efectivo). El valor de libros de activos no financieros distintos del valor llave sobre los que se ha registrado una desvalorización, se revisan a cada fecha de reporte para verificar posibles reversiones de desvalorizaciones.</w:t>
      </w:r>
    </w:p>
    <w:p w14:paraId="362874FA" w14:textId="77777777" w:rsidR="00656E62" w:rsidRPr="00701F32" w:rsidRDefault="00656E62" w:rsidP="00656E62">
      <w:pPr>
        <w:jc w:val="both"/>
        <w:rPr>
          <w:rFonts w:ascii="Arial" w:hAnsi="Arial" w:cs="Arial"/>
          <w:sz w:val="20"/>
        </w:rPr>
      </w:pPr>
    </w:p>
    <w:p w14:paraId="491C7EA0" w14:textId="77777777" w:rsidR="00656E62" w:rsidRPr="00701F32" w:rsidRDefault="00656E62" w:rsidP="00656E62">
      <w:pPr>
        <w:spacing w:after="160" w:line="259" w:lineRule="auto"/>
        <w:jc w:val="both"/>
        <w:rPr>
          <w:rFonts w:ascii="Arial" w:eastAsiaTheme="minorHAnsi" w:hAnsi="Arial" w:cs="Arial"/>
          <w:b/>
          <w:color w:val="943634" w:themeColor="accent2" w:themeShade="BF"/>
          <w:sz w:val="20"/>
        </w:rPr>
      </w:pPr>
      <w:r w:rsidRPr="00701F32">
        <w:rPr>
          <w:rFonts w:ascii="Arial" w:eastAsiaTheme="minorHAnsi" w:hAnsi="Arial" w:cs="Arial"/>
          <w:b/>
          <w:sz w:val="20"/>
        </w:rPr>
        <w:t>1.1</w:t>
      </w:r>
      <w:r w:rsidR="003B6D71" w:rsidRPr="00701F32">
        <w:rPr>
          <w:rFonts w:ascii="Arial" w:eastAsiaTheme="minorHAnsi" w:hAnsi="Arial" w:cs="Arial"/>
          <w:b/>
          <w:sz w:val="20"/>
        </w:rPr>
        <w:t>6</w:t>
      </w:r>
      <w:r w:rsidRPr="00701F32">
        <w:rPr>
          <w:rFonts w:ascii="Arial" w:eastAsiaTheme="minorHAnsi" w:hAnsi="Arial" w:cs="Arial"/>
          <w:b/>
          <w:sz w:val="20"/>
        </w:rPr>
        <w:t xml:space="preserve"> Activos fiduciarios</w:t>
      </w:r>
    </w:p>
    <w:p w14:paraId="60F8EE06" w14:textId="3A09E28A" w:rsidR="00656E62" w:rsidRPr="00701F32" w:rsidRDefault="00656E62" w:rsidP="00656E62">
      <w:pPr>
        <w:jc w:val="both"/>
        <w:rPr>
          <w:rFonts w:ascii="Arial" w:hAnsi="Arial" w:cs="Arial"/>
          <w:sz w:val="20"/>
        </w:rPr>
      </w:pPr>
      <w:r w:rsidRPr="00701F32">
        <w:rPr>
          <w:rFonts w:ascii="Arial" w:eastAsiaTheme="minorHAnsi" w:hAnsi="Arial" w:cs="Arial"/>
          <w:sz w:val="20"/>
        </w:rPr>
        <w:t xml:space="preserve">Los activos mantenidos por el Banco en su rol de fiduciario, no se informan en el estado </w:t>
      </w:r>
      <w:r w:rsidR="008046B1" w:rsidRPr="00701F32">
        <w:rPr>
          <w:rFonts w:ascii="Arial" w:eastAsia="Arial" w:hAnsi="Arial" w:cs="Arial"/>
          <w:sz w:val="20"/>
        </w:rPr>
        <w:t>separado</w:t>
      </w:r>
      <w:r w:rsidRPr="00701F32">
        <w:rPr>
          <w:rFonts w:ascii="Arial" w:eastAsiaTheme="minorHAnsi" w:hAnsi="Arial" w:cs="Arial"/>
          <w:sz w:val="20"/>
        </w:rPr>
        <w:t xml:space="preserve"> de situación financiera. Las comisiones recibidas de actividades fiduciarias se muestran en ingresos por comisiones.</w:t>
      </w:r>
    </w:p>
    <w:p w14:paraId="48D035DE" w14:textId="77777777" w:rsidR="001A3DB9" w:rsidRPr="00701F32" w:rsidRDefault="001A3DB9" w:rsidP="00656E62">
      <w:pPr>
        <w:jc w:val="both"/>
        <w:rPr>
          <w:rFonts w:ascii="Arial" w:hAnsi="Arial" w:cs="Arial"/>
          <w:sz w:val="20"/>
        </w:rPr>
      </w:pPr>
    </w:p>
    <w:p w14:paraId="76AF6FBE" w14:textId="77777777" w:rsidR="001A3DB9" w:rsidRPr="00701F32" w:rsidRDefault="001A3DB9" w:rsidP="00656E62">
      <w:pPr>
        <w:jc w:val="both"/>
        <w:rPr>
          <w:rFonts w:ascii="Arial" w:hAnsi="Arial" w:cs="Arial"/>
          <w:sz w:val="20"/>
        </w:rPr>
      </w:pPr>
    </w:p>
    <w:p w14:paraId="435ED405" w14:textId="77777777" w:rsidR="00656E62" w:rsidRPr="00701F32" w:rsidRDefault="00656E62" w:rsidP="00656E62">
      <w:pPr>
        <w:spacing w:after="160" w:line="259" w:lineRule="auto"/>
        <w:jc w:val="both"/>
        <w:rPr>
          <w:rFonts w:ascii="Arial" w:eastAsia="Arial" w:hAnsi="Arial" w:cs="Arial"/>
          <w:color w:val="FF0000"/>
          <w:sz w:val="20"/>
        </w:rPr>
      </w:pPr>
      <w:r w:rsidRPr="00701F32">
        <w:rPr>
          <w:rFonts w:ascii="Arial" w:eastAsia="Arial" w:hAnsi="Arial" w:cs="Arial"/>
          <w:b/>
          <w:sz w:val="20"/>
        </w:rPr>
        <w:t>1.1</w:t>
      </w:r>
      <w:r w:rsidR="003B6D71" w:rsidRPr="00701F32">
        <w:rPr>
          <w:rFonts w:ascii="Arial" w:eastAsia="Arial" w:hAnsi="Arial" w:cs="Arial"/>
          <w:b/>
          <w:sz w:val="20"/>
        </w:rPr>
        <w:t>7</w:t>
      </w:r>
      <w:r w:rsidRPr="00701F32">
        <w:rPr>
          <w:rFonts w:ascii="Arial" w:eastAsia="Arial" w:hAnsi="Arial" w:cs="Arial"/>
          <w:b/>
          <w:sz w:val="20"/>
        </w:rPr>
        <w:t xml:space="preserve"> Compensación  </w:t>
      </w:r>
    </w:p>
    <w:p w14:paraId="27F8915E"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Los activos y pasivos financieros se compensan informando el importe neto en el estado de situación financiera </w:t>
      </w:r>
      <w:r w:rsidR="008046B1" w:rsidRPr="00701F32">
        <w:rPr>
          <w:rFonts w:ascii="Arial" w:eastAsia="Arial" w:hAnsi="Arial" w:cs="Arial"/>
          <w:sz w:val="20"/>
        </w:rPr>
        <w:t xml:space="preserve">separado </w:t>
      </w:r>
      <w:r w:rsidRPr="00701F32">
        <w:rPr>
          <w:rFonts w:ascii="Arial" w:eastAsia="Arial" w:hAnsi="Arial" w:cs="Arial"/>
          <w:sz w:val="20"/>
        </w:rPr>
        <w:t>solo cuando existe un derecho exigible legalmente para compensar los importes reconocidos, y existe la intención de liquidar en términos netos o realizar el activo y liquidar la responsabilidad simultáneamente.</w:t>
      </w:r>
    </w:p>
    <w:p w14:paraId="05ED9CEB" w14:textId="77777777" w:rsidR="00656E62" w:rsidRPr="00701F32" w:rsidRDefault="00656E62" w:rsidP="00656E62">
      <w:pPr>
        <w:spacing w:after="160" w:line="259" w:lineRule="auto"/>
        <w:jc w:val="both"/>
        <w:rPr>
          <w:rFonts w:ascii="Arial" w:eastAsia="Arial" w:hAnsi="Arial" w:cs="Arial"/>
          <w:b/>
          <w:sz w:val="20"/>
        </w:rPr>
      </w:pPr>
      <w:r w:rsidRPr="00701F32">
        <w:rPr>
          <w:rFonts w:ascii="Arial" w:eastAsia="Arial" w:hAnsi="Arial" w:cs="Arial"/>
          <w:b/>
          <w:sz w:val="20"/>
        </w:rPr>
        <w:t>1.</w:t>
      </w:r>
      <w:r w:rsidR="003B6D71" w:rsidRPr="00701F32">
        <w:rPr>
          <w:rFonts w:ascii="Arial" w:eastAsia="Arial" w:hAnsi="Arial" w:cs="Arial"/>
          <w:b/>
          <w:sz w:val="20"/>
        </w:rPr>
        <w:t>18</w:t>
      </w:r>
      <w:r w:rsidRPr="00701F32">
        <w:rPr>
          <w:rFonts w:ascii="Arial" w:eastAsia="Arial" w:hAnsi="Arial" w:cs="Arial"/>
          <w:b/>
          <w:sz w:val="20"/>
        </w:rPr>
        <w:t xml:space="preserve"> Financiaciones recibidas del B.C.R.A. y otras Instituciones Financieras </w:t>
      </w:r>
    </w:p>
    <w:p w14:paraId="07A987B7"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Los montos adeudados a otras entidades financieras son registrados en el momento en que el capital es adelantado al banco por la entidad bancaria</w:t>
      </w:r>
      <w:r w:rsidRPr="00701F32">
        <w:rPr>
          <w:rFonts w:ascii="Arial" w:eastAsia="Arial" w:hAnsi="Arial" w:cs="Arial"/>
          <w:color w:val="FF0000"/>
          <w:sz w:val="20"/>
        </w:rPr>
        <w:t xml:space="preserve">. </w:t>
      </w:r>
      <w:r w:rsidRPr="00701F32">
        <w:rPr>
          <w:rFonts w:ascii="Arial" w:eastAsia="Arial" w:hAnsi="Arial" w:cs="Arial"/>
          <w:sz w:val="20"/>
        </w:rPr>
        <w:t xml:space="preserve">El pasivo financiero no derivado es medido a costo amortizado. En el caso que el grupo recompre la deuda propia, esta es eliminada de los estados financieros </w:t>
      </w:r>
      <w:r w:rsidR="003B6D71" w:rsidRPr="00701F32">
        <w:rPr>
          <w:rFonts w:ascii="Arial" w:eastAsia="Arial" w:hAnsi="Arial" w:cs="Arial"/>
          <w:sz w:val="20"/>
        </w:rPr>
        <w:t xml:space="preserve">condensados </w:t>
      </w:r>
      <w:r w:rsidR="008046B1" w:rsidRPr="00701F32">
        <w:rPr>
          <w:rFonts w:ascii="Arial" w:eastAsia="Arial" w:hAnsi="Arial" w:cs="Arial"/>
          <w:sz w:val="20"/>
        </w:rPr>
        <w:t>separados</w:t>
      </w:r>
      <w:r w:rsidRPr="00701F32">
        <w:rPr>
          <w:rFonts w:ascii="Arial" w:eastAsia="Arial" w:hAnsi="Arial" w:cs="Arial"/>
          <w:sz w:val="20"/>
        </w:rPr>
        <w:t xml:space="preserve"> intermedios y la diferencia entre el valor residual del pasivo financiero y el monto pagado es reconocido como un ingreso o egreso financiero. </w:t>
      </w:r>
    </w:p>
    <w:p w14:paraId="5BAB9489" w14:textId="77777777" w:rsidR="00BA7143" w:rsidRPr="00701F32" w:rsidRDefault="00BA7143" w:rsidP="00656E62">
      <w:pPr>
        <w:spacing w:after="160" w:line="259" w:lineRule="auto"/>
        <w:jc w:val="both"/>
        <w:rPr>
          <w:rFonts w:ascii="Arial" w:eastAsia="Arial" w:hAnsi="Arial" w:cs="Arial"/>
          <w:color w:val="FF0000"/>
          <w:sz w:val="20"/>
        </w:rPr>
      </w:pPr>
    </w:p>
    <w:p w14:paraId="0DC82EA2" w14:textId="77777777" w:rsidR="00656E62" w:rsidRPr="00701F32" w:rsidRDefault="00656E62" w:rsidP="00656E62">
      <w:pPr>
        <w:spacing w:line="259" w:lineRule="auto"/>
        <w:jc w:val="both"/>
        <w:rPr>
          <w:rFonts w:ascii="Arial" w:eastAsia="Arial" w:hAnsi="Arial" w:cs="Arial"/>
          <w:b/>
          <w:sz w:val="20"/>
        </w:rPr>
      </w:pPr>
      <w:r w:rsidRPr="00701F32">
        <w:rPr>
          <w:rFonts w:ascii="Arial" w:eastAsia="Arial" w:hAnsi="Arial" w:cs="Arial"/>
          <w:b/>
          <w:sz w:val="20"/>
        </w:rPr>
        <w:t>1.1</w:t>
      </w:r>
      <w:r w:rsidR="003B6D71" w:rsidRPr="00701F32">
        <w:rPr>
          <w:rFonts w:ascii="Arial" w:eastAsia="Arial" w:hAnsi="Arial" w:cs="Arial"/>
          <w:b/>
          <w:sz w:val="20"/>
        </w:rPr>
        <w:t>9</w:t>
      </w:r>
      <w:r w:rsidRPr="00701F32">
        <w:rPr>
          <w:rFonts w:ascii="Arial" w:eastAsia="Arial" w:hAnsi="Arial" w:cs="Arial"/>
          <w:b/>
          <w:sz w:val="20"/>
        </w:rPr>
        <w:t xml:space="preserve"> Provisiones / Contingencias </w:t>
      </w:r>
    </w:p>
    <w:p w14:paraId="53B1A457" w14:textId="77777777" w:rsidR="00656E62" w:rsidRPr="00701F32" w:rsidRDefault="00656E62" w:rsidP="00656E62">
      <w:pPr>
        <w:spacing w:line="259" w:lineRule="auto"/>
        <w:jc w:val="both"/>
        <w:rPr>
          <w:rFonts w:ascii="Arial" w:eastAsia="Arial" w:hAnsi="Arial" w:cs="Arial"/>
          <w:b/>
          <w:sz w:val="20"/>
        </w:rPr>
      </w:pPr>
    </w:p>
    <w:p w14:paraId="60FA6CE1" w14:textId="77777777" w:rsidR="00656E62" w:rsidRPr="00701F32" w:rsidRDefault="00656E62" w:rsidP="00656E62">
      <w:pPr>
        <w:jc w:val="both"/>
        <w:rPr>
          <w:rFonts w:ascii="Arial" w:hAnsi="Arial" w:cs="Arial"/>
          <w:sz w:val="20"/>
        </w:rPr>
      </w:pPr>
      <w:r w:rsidRPr="00701F32">
        <w:rPr>
          <w:rFonts w:ascii="Arial" w:hAnsi="Arial" w:cs="Arial"/>
          <w:sz w:val="20"/>
        </w:rPr>
        <w:t>De acuerdo a las Normas contables adoptadas por el BCRA, una Entidad tendrá una provisión si:</w:t>
      </w:r>
    </w:p>
    <w:p w14:paraId="022FD453" w14:textId="77777777" w:rsidR="00656E62" w:rsidRPr="00701F32" w:rsidRDefault="00656E62" w:rsidP="00656E62">
      <w:pPr>
        <w:jc w:val="both"/>
        <w:rPr>
          <w:rFonts w:ascii="Arial" w:hAnsi="Arial" w:cs="Arial"/>
          <w:sz w:val="20"/>
        </w:rPr>
      </w:pPr>
    </w:p>
    <w:p w14:paraId="7FF12CCB" w14:textId="77777777" w:rsidR="00656E62" w:rsidRPr="00701F32" w:rsidRDefault="00656E62" w:rsidP="0086282C">
      <w:pPr>
        <w:numPr>
          <w:ilvl w:val="0"/>
          <w:numId w:val="103"/>
        </w:numPr>
        <w:spacing w:after="160" w:line="259" w:lineRule="auto"/>
        <w:contextualSpacing/>
        <w:jc w:val="both"/>
        <w:rPr>
          <w:rFonts w:ascii="Arial" w:hAnsi="Arial" w:cs="Arial"/>
          <w:sz w:val="20"/>
        </w:rPr>
      </w:pPr>
      <w:r w:rsidRPr="00701F32">
        <w:rPr>
          <w:rFonts w:ascii="Arial" w:hAnsi="Arial" w:cs="Arial"/>
          <w:sz w:val="20"/>
        </w:rPr>
        <w:t>Posee una obligación presente (legal o implícita) como consecuencia de un suceso pasado;</w:t>
      </w:r>
    </w:p>
    <w:p w14:paraId="6250743D" w14:textId="77777777" w:rsidR="00656E62" w:rsidRPr="00701F32" w:rsidRDefault="00656E62" w:rsidP="0086282C">
      <w:pPr>
        <w:numPr>
          <w:ilvl w:val="0"/>
          <w:numId w:val="103"/>
        </w:numPr>
        <w:spacing w:after="160" w:line="259" w:lineRule="auto"/>
        <w:contextualSpacing/>
        <w:jc w:val="both"/>
        <w:rPr>
          <w:rFonts w:ascii="Arial" w:hAnsi="Arial" w:cs="Arial"/>
          <w:sz w:val="20"/>
        </w:rPr>
      </w:pPr>
      <w:r w:rsidRPr="00701F32">
        <w:rPr>
          <w:rFonts w:ascii="Arial" w:hAnsi="Arial" w:cs="Arial"/>
          <w:sz w:val="20"/>
        </w:rPr>
        <w:t xml:space="preserve">Es probable que la Entidad tenga que desprenderse de recursos que incorporen beneficios económicos futuros para cancelar tal obligación; y </w:t>
      </w:r>
    </w:p>
    <w:p w14:paraId="438828BE" w14:textId="77777777" w:rsidR="00656E62" w:rsidRPr="00701F32" w:rsidRDefault="00656E62" w:rsidP="0086282C">
      <w:pPr>
        <w:numPr>
          <w:ilvl w:val="0"/>
          <w:numId w:val="103"/>
        </w:numPr>
        <w:spacing w:after="160" w:line="259" w:lineRule="auto"/>
        <w:contextualSpacing/>
        <w:jc w:val="both"/>
        <w:rPr>
          <w:rFonts w:ascii="Arial" w:hAnsi="Arial" w:cs="Arial"/>
          <w:sz w:val="20"/>
        </w:rPr>
      </w:pPr>
      <w:r w:rsidRPr="00701F32">
        <w:rPr>
          <w:rFonts w:ascii="Arial" w:hAnsi="Arial" w:cs="Arial"/>
          <w:sz w:val="20"/>
        </w:rPr>
        <w:t>Puede hacerse una estimación fiable del importe de la obligación.</w:t>
      </w:r>
    </w:p>
    <w:p w14:paraId="598FE008" w14:textId="77777777" w:rsidR="00656E62" w:rsidRPr="00701F32" w:rsidRDefault="00656E62" w:rsidP="00656E62">
      <w:pPr>
        <w:ind w:left="720"/>
        <w:contextualSpacing/>
        <w:jc w:val="both"/>
        <w:rPr>
          <w:rFonts w:ascii="Arial" w:hAnsi="Arial" w:cs="Arial"/>
          <w:sz w:val="20"/>
        </w:rPr>
      </w:pPr>
    </w:p>
    <w:p w14:paraId="7F927908" w14:textId="77777777" w:rsidR="00656E62" w:rsidRPr="00701F32" w:rsidRDefault="00656E62" w:rsidP="00656E62">
      <w:pPr>
        <w:spacing w:line="259" w:lineRule="auto"/>
        <w:jc w:val="both"/>
        <w:rPr>
          <w:rFonts w:ascii="Arial" w:hAnsi="Arial" w:cs="Arial"/>
          <w:sz w:val="20"/>
        </w:rPr>
      </w:pPr>
      <w:r w:rsidRPr="00701F32">
        <w:rPr>
          <w:rFonts w:ascii="Arial" w:hAnsi="Arial" w:cs="Arial"/>
          <w:sz w:val="20"/>
        </w:rPr>
        <w:t>Se entenderá que una Entidad tiene una obligación implícita si (a) como consecuencia de prácticas anteriores o políticas públicas el grupo ha asumido ciertas responsabilidades y (b) como resultado, ha creado expectativas de que va a cumplir con esas obligaciones.</w:t>
      </w:r>
    </w:p>
    <w:p w14:paraId="313A17DA" w14:textId="77777777" w:rsidR="00656E62" w:rsidRPr="00701F32" w:rsidRDefault="00656E62" w:rsidP="00656E62">
      <w:pPr>
        <w:spacing w:line="259" w:lineRule="auto"/>
        <w:jc w:val="both"/>
        <w:rPr>
          <w:rFonts w:ascii="Arial" w:eastAsia="Arial" w:hAnsi="Arial" w:cs="Arial"/>
          <w:sz w:val="20"/>
        </w:rPr>
      </w:pPr>
    </w:p>
    <w:p w14:paraId="1CB1C80F" w14:textId="77777777" w:rsidR="00656E62" w:rsidRPr="00701F32" w:rsidRDefault="00656E62" w:rsidP="00656E62">
      <w:pPr>
        <w:spacing w:line="259" w:lineRule="auto"/>
        <w:jc w:val="both"/>
        <w:rPr>
          <w:rFonts w:ascii="Arial" w:eastAsia="Arial" w:hAnsi="Arial" w:cs="Arial"/>
          <w:sz w:val="20"/>
        </w:rPr>
      </w:pPr>
      <w:r w:rsidRPr="00701F32">
        <w:rPr>
          <w:rFonts w:ascii="Arial" w:eastAsia="Arial" w:hAnsi="Arial" w:cs="Arial"/>
          <w:sz w:val="20"/>
        </w:rPr>
        <w:t>El Banco reconoce las siguientes provisiones:</w:t>
      </w:r>
    </w:p>
    <w:p w14:paraId="6B54B453" w14:textId="77777777" w:rsidR="00656E62" w:rsidRPr="00701F32" w:rsidRDefault="00656E62" w:rsidP="00656E62">
      <w:pPr>
        <w:spacing w:line="259" w:lineRule="auto"/>
        <w:jc w:val="both"/>
        <w:rPr>
          <w:rFonts w:ascii="Arial" w:eastAsia="Arial" w:hAnsi="Arial" w:cs="Arial"/>
          <w:sz w:val="20"/>
        </w:rPr>
      </w:pPr>
    </w:p>
    <w:p w14:paraId="2B96BBEE" w14:textId="77777777" w:rsidR="00656E62" w:rsidRPr="00701F32" w:rsidRDefault="00656E62" w:rsidP="00656E62">
      <w:pPr>
        <w:spacing w:line="259" w:lineRule="auto"/>
        <w:jc w:val="both"/>
        <w:rPr>
          <w:rFonts w:ascii="Arial" w:eastAsia="Arial" w:hAnsi="Arial" w:cs="Arial"/>
          <w:sz w:val="20"/>
        </w:rPr>
      </w:pPr>
      <w:r w:rsidRPr="00701F32">
        <w:rPr>
          <w:rFonts w:ascii="Arial" w:eastAsia="Arial" w:hAnsi="Arial" w:cs="Arial"/>
          <w:sz w:val="20"/>
        </w:rPr>
        <w:t>Para juicios laborales, civiles y comerciales: se determinan en base a los informes de los abogados acerca del estado de los juicios y la estimación efectuada sobre las posibilidades de quebrantos a afrontar por el banco, así como en la experiencia pasada respecto a este tipo de juicios.</w:t>
      </w:r>
    </w:p>
    <w:p w14:paraId="50B462F7" w14:textId="77777777" w:rsidR="00656E62" w:rsidRPr="00701F32" w:rsidRDefault="00656E62" w:rsidP="00656E62">
      <w:pPr>
        <w:spacing w:line="259" w:lineRule="auto"/>
        <w:jc w:val="both"/>
        <w:rPr>
          <w:rFonts w:ascii="Arial" w:eastAsia="Arial" w:hAnsi="Arial" w:cs="Arial"/>
          <w:sz w:val="20"/>
        </w:rPr>
      </w:pPr>
    </w:p>
    <w:p w14:paraId="33457ED7" w14:textId="77777777" w:rsidR="00656E62" w:rsidRPr="00701F32" w:rsidRDefault="00656E62" w:rsidP="00656E62">
      <w:pPr>
        <w:spacing w:line="259" w:lineRule="auto"/>
        <w:jc w:val="both"/>
        <w:rPr>
          <w:rFonts w:ascii="Arial" w:eastAsia="Arial" w:hAnsi="Arial" w:cs="Arial"/>
          <w:sz w:val="20"/>
        </w:rPr>
      </w:pPr>
      <w:r w:rsidRPr="00701F32">
        <w:rPr>
          <w:rFonts w:ascii="Arial" w:eastAsia="Arial" w:hAnsi="Arial" w:cs="Arial"/>
          <w:sz w:val="20"/>
        </w:rPr>
        <w:t>Para riesgos diversos: se constituyen para afrontar situaciones contingentes que podrían originar obligaciones para el banco. En la estimación de los montos se considera la probabilidad de su concreción tomando en cuenta la opinión de los asesores legales y profesionales del banco.</w:t>
      </w:r>
    </w:p>
    <w:p w14:paraId="0C1FC12B" w14:textId="77777777" w:rsidR="00656E62" w:rsidRPr="00701F32" w:rsidRDefault="00656E62" w:rsidP="00656E62">
      <w:pPr>
        <w:spacing w:line="259" w:lineRule="auto"/>
        <w:jc w:val="both"/>
        <w:rPr>
          <w:rFonts w:ascii="Arial" w:eastAsia="Arial" w:hAnsi="Arial" w:cs="Arial"/>
          <w:sz w:val="20"/>
        </w:rPr>
      </w:pPr>
    </w:p>
    <w:p w14:paraId="394257E7" w14:textId="77777777" w:rsidR="00656E62" w:rsidRPr="00701F32" w:rsidRDefault="00656E62" w:rsidP="00656E62">
      <w:pPr>
        <w:spacing w:line="259" w:lineRule="auto"/>
        <w:jc w:val="both"/>
        <w:rPr>
          <w:rFonts w:ascii="Arial" w:eastAsia="Arial" w:hAnsi="Arial" w:cs="Arial"/>
          <w:sz w:val="20"/>
        </w:rPr>
      </w:pPr>
      <w:r w:rsidRPr="00701F32">
        <w:rPr>
          <w:rFonts w:ascii="Arial" w:eastAsia="Arial" w:hAnsi="Arial" w:cs="Arial"/>
          <w:sz w:val="20"/>
        </w:rPr>
        <w:t>Para beneficios al personal: Se constituyen provisiones relacionadas con los planes de prejubilaciones y por los beneficios relacionados con premios a la trayectoria.</w:t>
      </w:r>
    </w:p>
    <w:p w14:paraId="4133051F" w14:textId="77777777" w:rsidR="00656E62" w:rsidRPr="00701F32" w:rsidRDefault="00656E62" w:rsidP="00656E62">
      <w:pPr>
        <w:spacing w:line="259" w:lineRule="auto"/>
        <w:jc w:val="both"/>
        <w:rPr>
          <w:rFonts w:ascii="Arial" w:eastAsia="Arial" w:hAnsi="Arial" w:cs="Arial"/>
          <w:color w:val="0070C0"/>
          <w:sz w:val="20"/>
        </w:rPr>
      </w:pPr>
    </w:p>
    <w:p w14:paraId="5D5845AF" w14:textId="77777777" w:rsidR="00656E62" w:rsidRPr="00701F32" w:rsidRDefault="00656E62" w:rsidP="00656E62">
      <w:pPr>
        <w:spacing w:line="259" w:lineRule="auto"/>
        <w:jc w:val="both"/>
        <w:rPr>
          <w:rFonts w:ascii="Arial" w:eastAsia="Arial" w:hAnsi="Arial" w:cs="Arial"/>
          <w:sz w:val="20"/>
        </w:rPr>
      </w:pPr>
      <w:r w:rsidRPr="00701F32">
        <w:rPr>
          <w:rFonts w:ascii="Arial" w:eastAsia="Arial" w:hAnsi="Arial" w:cs="Arial"/>
          <w:sz w:val="20"/>
        </w:rPr>
        <w:t xml:space="preserve">Las provisiones se miden al valor presente de los desembolsos que se espera se requerirán para cancelar la obligación utilizando una tasa de interés antes de impuestos que refleje las actuales condiciones del mercado sobre el valor del dinero y los riesgos específicos para dicha obligación. El incremento en la provisión por el paso del tiempo se reconoce en el rubro resultados financieros netos del estado de resultado </w:t>
      </w:r>
      <w:r w:rsidR="008046B1" w:rsidRPr="00701F32">
        <w:rPr>
          <w:rFonts w:ascii="Arial" w:eastAsia="Arial" w:hAnsi="Arial" w:cs="Arial"/>
          <w:sz w:val="20"/>
        </w:rPr>
        <w:t>separado</w:t>
      </w:r>
      <w:r w:rsidRPr="00701F32">
        <w:rPr>
          <w:rFonts w:ascii="Arial" w:eastAsia="Arial" w:hAnsi="Arial" w:cs="Arial"/>
          <w:sz w:val="20"/>
        </w:rPr>
        <w:t>.</w:t>
      </w:r>
    </w:p>
    <w:p w14:paraId="1E763919" w14:textId="77777777" w:rsidR="00656E62" w:rsidRPr="00701F32" w:rsidRDefault="00656E62" w:rsidP="00656E62">
      <w:pPr>
        <w:spacing w:line="259" w:lineRule="auto"/>
        <w:jc w:val="both"/>
        <w:rPr>
          <w:rFonts w:ascii="Arial" w:eastAsia="Arial" w:hAnsi="Arial" w:cs="Arial"/>
          <w:color w:val="0070C0"/>
          <w:sz w:val="20"/>
        </w:rPr>
      </w:pPr>
    </w:p>
    <w:p w14:paraId="3879247D" w14:textId="77777777" w:rsidR="00656E62" w:rsidRPr="00701F32" w:rsidRDefault="00656E62" w:rsidP="00656E62">
      <w:pPr>
        <w:jc w:val="both"/>
        <w:rPr>
          <w:rFonts w:ascii="Arial" w:hAnsi="Arial" w:cs="Arial"/>
          <w:sz w:val="20"/>
        </w:rPr>
      </w:pPr>
      <w:r w:rsidRPr="00701F32">
        <w:rPr>
          <w:rFonts w:ascii="Arial" w:hAnsi="Arial" w:cs="Arial"/>
          <w:sz w:val="20"/>
        </w:rPr>
        <w:t>El Banco no contabilizará las contingencias positivas, exceptuando las derivadas de impuestos diferidos y aquellas cuya concreción sea virtualmente segura.</w:t>
      </w:r>
    </w:p>
    <w:p w14:paraId="1A798FED" w14:textId="77777777" w:rsidR="00656E62" w:rsidRPr="00701F32" w:rsidRDefault="00656E62" w:rsidP="00656E62">
      <w:pPr>
        <w:spacing w:line="259" w:lineRule="auto"/>
        <w:jc w:val="both"/>
        <w:rPr>
          <w:rFonts w:ascii="Arial" w:eastAsia="Arial" w:hAnsi="Arial" w:cs="Arial"/>
          <w:sz w:val="20"/>
        </w:rPr>
      </w:pPr>
    </w:p>
    <w:p w14:paraId="449339A2" w14:textId="77777777" w:rsidR="00656E62" w:rsidRPr="00701F32" w:rsidRDefault="00656E62" w:rsidP="00656E62">
      <w:pPr>
        <w:jc w:val="both"/>
        <w:rPr>
          <w:rFonts w:ascii="Arial" w:hAnsi="Arial" w:cs="Arial"/>
          <w:sz w:val="20"/>
        </w:rPr>
      </w:pPr>
      <w:r w:rsidRPr="00701F32">
        <w:rPr>
          <w:rFonts w:ascii="Arial" w:eastAsia="Arial" w:hAnsi="Arial" w:cs="Arial"/>
          <w:sz w:val="20"/>
        </w:rPr>
        <w:t xml:space="preserve">A la fecha de emisión de los presentes estados financieros </w:t>
      </w:r>
      <w:r w:rsidR="007D4640" w:rsidRPr="00701F32">
        <w:rPr>
          <w:rFonts w:ascii="Arial" w:eastAsia="Arial" w:hAnsi="Arial" w:cs="Arial"/>
          <w:sz w:val="20"/>
        </w:rPr>
        <w:t>separados</w:t>
      </w:r>
      <w:r w:rsidR="007D4640" w:rsidRPr="00701F32" w:rsidDel="007D4640">
        <w:rPr>
          <w:rFonts w:ascii="Arial" w:eastAsia="Arial" w:hAnsi="Arial" w:cs="Arial"/>
          <w:sz w:val="20"/>
        </w:rPr>
        <w:t xml:space="preserve"> </w:t>
      </w:r>
      <w:r w:rsidRPr="00701F32">
        <w:rPr>
          <w:rFonts w:ascii="Arial" w:eastAsia="Arial" w:hAnsi="Arial" w:cs="Arial"/>
          <w:sz w:val="20"/>
        </w:rPr>
        <w:t xml:space="preserve">condensados intermedios, la Dirección del Banco entiende que no se han presentado elementos que permitan determinar la existencia de otras contingencias que puedan materializarse y generar un impacto negativo en los presentes estados financieros condensados </w:t>
      </w:r>
      <w:r w:rsidR="007D4640" w:rsidRPr="00701F32">
        <w:rPr>
          <w:rFonts w:ascii="Arial" w:eastAsia="Arial" w:hAnsi="Arial" w:cs="Arial"/>
          <w:sz w:val="20"/>
        </w:rPr>
        <w:t xml:space="preserve">separados </w:t>
      </w:r>
      <w:r w:rsidRPr="00701F32">
        <w:rPr>
          <w:rFonts w:ascii="Arial" w:eastAsia="Arial" w:hAnsi="Arial" w:cs="Arial"/>
          <w:sz w:val="20"/>
        </w:rPr>
        <w:t>intermedios que las detalladas en la Nota 1</w:t>
      </w:r>
      <w:r w:rsidR="00125792" w:rsidRPr="00701F32">
        <w:rPr>
          <w:rFonts w:ascii="Arial" w:eastAsia="Arial" w:hAnsi="Arial" w:cs="Arial"/>
          <w:sz w:val="20"/>
        </w:rPr>
        <w:t>2</w:t>
      </w:r>
      <w:r w:rsidRPr="00701F32">
        <w:rPr>
          <w:rFonts w:ascii="Arial" w:eastAsia="Arial" w:hAnsi="Arial" w:cs="Arial"/>
          <w:sz w:val="20"/>
        </w:rPr>
        <w:t>.</w:t>
      </w:r>
    </w:p>
    <w:p w14:paraId="5F16E114" w14:textId="77777777" w:rsidR="00656E62" w:rsidRPr="00701F32" w:rsidRDefault="00656E62" w:rsidP="00656E62">
      <w:pPr>
        <w:jc w:val="both"/>
        <w:rPr>
          <w:rFonts w:ascii="Arial" w:hAnsi="Arial" w:cs="Arial"/>
          <w:sz w:val="20"/>
        </w:rPr>
      </w:pPr>
    </w:p>
    <w:p w14:paraId="0BC5A552" w14:textId="77777777" w:rsidR="00656E62" w:rsidRPr="00701F32" w:rsidRDefault="00656E62" w:rsidP="00656E62">
      <w:pPr>
        <w:spacing w:after="160" w:line="259" w:lineRule="auto"/>
        <w:jc w:val="both"/>
        <w:rPr>
          <w:rFonts w:ascii="Arial" w:eastAsiaTheme="minorHAnsi" w:hAnsi="Arial" w:cs="Arial"/>
          <w:sz w:val="20"/>
        </w:rPr>
      </w:pPr>
      <w:r w:rsidRPr="00701F32">
        <w:rPr>
          <w:rFonts w:ascii="Arial" w:eastAsiaTheme="minorHAnsi" w:hAnsi="Arial" w:cs="Arial"/>
          <w:b/>
          <w:sz w:val="20"/>
        </w:rPr>
        <w:t>1.2</w:t>
      </w:r>
      <w:r w:rsidR="003B6D71" w:rsidRPr="00701F32">
        <w:rPr>
          <w:rFonts w:ascii="Arial" w:eastAsiaTheme="minorHAnsi" w:hAnsi="Arial" w:cs="Arial"/>
          <w:b/>
          <w:sz w:val="20"/>
        </w:rPr>
        <w:t>0</w:t>
      </w:r>
      <w:r w:rsidRPr="00701F32">
        <w:rPr>
          <w:rFonts w:ascii="Arial" w:eastAsiaTheme="minorHAnsi" w:hAnsi="Arial" w:cs="Arial"/>
          <w:b/>
          <w:sz w:val="20"/>
        </w:rPr>
        <w:t xml:space="preserve"> Otros pasivos no financieros</w:t>
      </w:r>
    </w:p>
    <w:p w14:paraId="3863E13A" w14:textId="77777777" w:rsidR="00656E62" w:rsidRPr="00701F32" w:rsidRDefault="00656E62" w:rsidP="00656E62">
      <w:pPr>
        <w:spacing w:after="160" w:line="259" w:lineRule="auto"/>
        <w:jc w:val="both"/>
        <w:rPr>
          <w:rFonts w:ascii="Arial" w:eastAsiaTheme="minorHAnsi" w:hAnsi="Arial" w:cs="Arial"/>
          <w:sz w:val="20"/>
        </w:rPr>
      </w:pPr>
      <w:r w:rsidRPr="00701F32">
        <w:rPr>
          <w:rFonts w:ascii="Arial" w:eastAsiaTheme="minorHAnsi" w:hAnsi="Arial" w:cs="Arial"/>
          <w:sz w:val="20"/>
        </w:rPr>
        <w:t>Las cuentas por pagar no financieras se devengan cuando la contraparte ha cumplido con sus obligaciones comprometidas en el contrato y se valúan a costo amortizado.</w:t>
      </w:r>
    </w:p>
    <w:p w14:paraId="6AC44EE0" w14:textId="77777777" w:rsidR="00656E62" w:rsidRPr="00701F32" w:rsidRDefault="00656E62" w:rsidP="00656E62">
      <w:pPr>
        <w:spacing w:after="160" w:line="259" w:lineRule="auto"/>
        <w:jc w:val="both"/>
        <w:rPr>
          <w:rFonts w:ascii="Arial" w:eastAsiaTheme="minorHAnsi" w:hAnsi="Arial" w:cs="Arial"/>
          <w:sz w:val="20"/>
        </w:rPr>
      </w:pPr>
      <w:r w:rsidRPr="00701F32">
        <w:rPr>
          <w:rFonts w:ascii="Arial" w:eastAsiaTheme="minorHAnsi" w:hAnsi="Arial" w:cs="Arial"/>
          <w:b/>
          <w:sz w:val="20"/>
        </w:rPr>
        <w:t>1.2</w:t>
      </w:r>
      <w:r w:rsidR="003B6D71" w:rsidRPr="00701F32">
        <w:rPr>
          <w:rFonts w:ascii="Arial" w:eastAsiaTheme="minorHAnsi" w:hAnsi="Arial" w:cs="Arial"/>
          <w:b/>
          <w:sz w:val="20"/>
        </w:rPr>
        <w:t>1</w:t>
      </w:r>
      <w:r w:rsidRPr="00701F32">
        <w:rPr>
          <w:rFonts w:ascii="Arial" w:eastAsiaTheme="minorHAnsi" w:hAnsi="Arial" w:cs="Arial"/>
          <w:b/>
          <w:sz w:val="20"/>
        </w:rPr>
        <w:t xml:space="preserve"> Obligaciones Negociables emitidas </w:t>
      </w:r>
    </w:p>
    <w:p w14:paraId="0812DB4B" w14:textId="77777777" w:rsidR="00656E62" w:rsidRPr="00701F32" w:rsidRDefault="00656E62" w:rsidP="00656E62">
      <w:pPr>
        <w:spacing w:after="160" w:line="259" w:lineRule="auto"/>
        <w:jc w:val="both"/>
        <w:rPr>
          <w:rFonts w:ascii="Arial" w:eastAsiaTheme="minorHAnsi" w:hAnsi="Arial" w:cs="Arial"/>
          <w:sz w:val="20"/>
        </w:rPr>
      </w:pPr>
      <w:r w:rsidRPr="00701F32">
        <w:rPr>
          <w:rFonts w:ascii="Arial" w:eastAsiaTheme="minorHAnsi" w:hAnsi="Arial" w:cs="Arial"/>
          <w:sz w:val="20"/>
        </w:rPr>
        <w:t xml:space="preserve">Las obligaciones negociables subordinadas y no subordinadas emitidas por la Entidad son medidas a costo amortizado. En el caso que el Banco compre obligaciones negociables propias, las mismas son eliminadas de los estados financieros </w:t>
      </w:r>
      <w:r w:rsidR="003B6D71" w:rsidRPr="00701F32">
        <w:rPr>
          <w:rFonts w:ascii="Arial" w:eastAsiaTheme="minorHAnsi" w:hAnsi="Arial" w:cs="Arial"/>
          <w:sz w:val="20"/>
        </w:rPr>
        <w:t>separados</w:t>
      </w:r>
      <w:r w:rsidRPr="00701F32">
        <w:rPr>
          <w:rFonts w:ascii="Arial" w:eastAsiaTheme="minorHAnsi" w:hAnsi="Arial" w:cs="Arial"/>
          <w:sz w:val="20"/>
        </w:rPr>
        <w:t xml:space="preserve"> condensados intermedios y la diferencia entre el valor residual del pasivo financiero y el pago de las mismas es incluida en el Estado de Resultados Integral como un ingreso por cancelación anticipada de deuda.</w:t>
      </w:r>
    </w:p>
    <w:p w14:paraId="56737FB9"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Theme="minorHAnsi" w:hAnsi="Arial" w:cs="Arial"/>
          <w:sz w:val="20"/>
        </w:rPr>
        <w:t>Para mayor información sobre las emisiones de deuda de la entidad ver nota 1</w:t>
      </w:r>
      <w:r w:rsidR="005D4789" w:rsidRPr="00701F32">
        <w:rPr>
          <w:rFonts w:ascii="Arial" w:eastAsiaTheme="minorHAnsi" w:hAnsi="Arial" w:cs="Arial"/>
          <w:sz w:val="20"/>
        </w:rPr>
        <w:t>5</w:t>
      </w:r>
      <w:r w:rsidRPr="00701F32">
        <w:rPr>
          <w:rFonts w:ascii="Arial" w:eastAsiaTheme="minorHAnsi" w:hAnsi="Arial" w:cs="Arial"/>
          <w:sz w:val="20"/>
        </w:rPr>
        <w:t>.8 Emisión de Obligaciones Negociables.</w:t>
      </w:r>
    </w:p>
    <w:p w14:paraId="27F7ADE1" w14:textId="77777777" w:rsidR="00656E62" w:rsidRPr="00701F32" w:rsidRDefault="00656E62" w:rsidP="00656E62">
      <w:pPr>
        <w:spacing w:after="160" w:line="259" w:lineRule="auto"/>
        <w:jc w:val="both"/>
        <w:rPr>
          <w:rFonts w:ascii="Arial" w:eastAsia="Calibri" w:hAnsi="Arial" w:cs="Arial"/>
          <w:b/>
          <w:color w:val="C45911"/>
          <w:szCs w:val="22"/>
        </w:rPr>
      </w:pPr>
      <w:r w:rsidRPr="00701F32">
        <w:rPr>
          <w:rFonts w:ascii="Arial" w:eastAsia="Calibri" w:hAnsi="Arial" w:cs="Arial"/>
          <w:b/>
          <w:sz w:val="20"/>
        </w:rPr>
        <w:t>1.2</w:t>
      </w:r>
      <w:r w:rsidR="003B6D71" w:rsidRPr="00701F32">
        <w:rPr>
          <w:rFonts w:ascii="Arial" w:eastAsia="Calibri" w:hAnsi="Arial" w:cs="Arial"/>
          <w:b/>
          <w:sz w:val="20"/>
        </w:rPr>
        <w:t>2</w:t>
      </w:r>
      <w:r w:rsidRPr="00701F32">
        <w:rPr>
          <w:rFonts w:ascii="Arial" w:eastAsia="Calibri" w:hAnsi="Arial" w:cs="Arial"/>
          <w:b/>
          <w:sz w:val="20"/>
        </w:rPr>
        <w:t xml:space="preserve"> Capital social y ajustes de capital </w:t>
      </w:r>
    </w:p>
    <w:p w14:paraId="63D66A20" w14:textId="77777777" w:rsidR="00656E62" w:rsidRPr="00701F32" w:rsidRDefault="00656E62" w:rsidP="00656E62">
      <w:pPr>
        <w:spacing w:line="259" w:lineRule="auto"/>
        <w:jc w:val="both"/>
        <w:rPr>
          <w:rFonts w:ascii="Arial" w:eastAsia="Calibri" w:hAnsi="Arial" w:cs="Arial"/>
          <w:sz w:val="20"/>
        </w:rPr>
      </w:pPr>
      <w:r w:rsidRPr="00701F32">
        <w:rPr>
          <w:rFonts w:ascii="Arial" w:eastAsia="Calibri" w:hAnsi="Arial" w:cs="Arial"/>
          <w:sz w:val="20"/>
        </w:rPr>
        <w:t xml:space="preserve">Las cuentas integrantes de este rubro se expresan en moneda que no ha contemplado la variación del índice de precios desde el mes de febrero de 2003, excepto el rubro "Capital Social", el cual se ha mantenido por su valor nominal. </w:t>
      </w:r>
    </w:p>
    <w:p w14:paraId="33B24237" w14:textId="77777777" w:rsidR="00656E62" w:rsidRPr="00701F32" w:rsidRDefault="00656E62" w:rsidP="00656E62">
      <w:pPr>
        <w:spacing w:line="259" w:lineRule="auto"/>
        <w:jc w:val="both"/>
        <w:rPr>
          <w:rFonts w:ascii="Arial" w:eastAsia="Calibri" w:hAnsi="Arial" w:cs="Arial"/>
          <w:sz w:val="20"/>
        </w:rPr>
      </w:pPr>
    </w:p>
    <w:p w14:paraId="58A303BB" w14:textId="77777777" w:rsidR="00656E62" w:rsidRPr="00701F32" w:rsidRDefault="00656E62" w:rsidP="00656E62">
      <w:pPr>
        <w:spacing w:line="259" w:lineRule="auto"/>
        <w:jc w:val="both"/>
        <w:rPr>
          <w:rFonts w:ascii="Arial" w:eastAsia="Calibri" w:hAnsi="Arial" w:cs="Arial"/>
          <w:color w:val="FF0000"/>
          <w:sz w:val="20"/>
        </w:rPr>
      </w:pPr>
      <w:r w:rsidRPr="00701F32">
        <w:rPr>
          <w:rFonts w:ascii="Arial" w:eastAsia="Calibri" w:hAnsi="Arial" w:cs="Arial"/>
          <w:sz w:val="20"/>
        </w:rPr>
        <w:t xml:space="preserve">Las acciones ordinarias se clasifican en el patrimonio neto y se mantienen registradas a su valor nominal. </w:t>
      </w:r>
    </w:p>
    <w:p w14:paraId="00D30F47" w14:textId="77777777" w:rsidR="002A3A8E" w:rsidRPr="00701F32" w:rsidRDefault="002A3A8E" w:rsidP="00656E62">
      <w:pPr>
        <w:jc w:val="both"/>
        <w:rPr>
          <w:rFonts w:ascii="Arial" w:hAnsi="Arial" w:cs="Arial"/>
          <w:sz w:val="20"/>
        </w:rPr>
      </w:pPr>
    </w:p>
    <w:p w14:paraId="3BFDD150" w14:textId="77777777" w:rsidR="00656E62" w:rsidRPr="00701F32" w:rsidRDefault="00656E62" w:rsidP="00656E62">
      <w:pPr>
        <w:spacing w:after="160" w:line="259" w:lineRule="auto"/>
        <w:jc w:val="both"/>
        <w:rPr>
          <w:rFonts w:ascii="Arial" w:eastAsia="Arial" w:hAnsi="Arial" w:cs="Arial"/>
          <w:b/>
          <w:color w:val="BF8800"/>
          <w:sz w:val="20"/>
        </w:rPr>
      </w:pPr>
      <w:r w:rsidRPr="00701F32">
        <w:rPr>
          <w:rFonts w:ascii="Arial" w:eastAsia="Arial" w:hAnsi="Arial" w:cs="Arial"/>
          <w:b/>
          <w:sz w:val="20"/>
        </w:rPr>
        <w:t>1.2</w:t>
      </w:r>
      <w:r w:rsidR="003B6D71" w:rsidRPr="00701F32">
        <w:rPr>
          <w:rFonts w:ascii="Arial" w:eastAsia="Arial" w:hAnsi="Arial" w:cs="Arial"/>
          <w:b/>
          <w:sz w:val="20"/>
        </w:rPr>
        <w:t>3</w:t>
      </w:r>
      <w:r w:rsidRPr="00701F32">
        <w:rPr>
          <w:rFonts w:ascii="Arial" w:eastAsia="Arial" w:hAnsi="Arial" w:cs="Arial"/>
          <w:b/>
          <w:sz w:val="20"/>
        </w:rPr>
        <w:t xml:space="preserve"> Ganancias </w:t>
      </w:r>
      <w:r w:rsidR="003C3074" w:rsidRPr="00701F32">
        <w:rPr>
          <w:rFonts w:ascii="Arial" w:eastAsia="Arial" w:hAnsi="Arial" w:cs="Arial"/>
          <w:b/>
          <w:sz w:val="20"/>
        </w:rPr>
        <w:t xml:space="preserve">reservadas </w:t>
      </w:r>
      <w:r w:rsidRPr="00701F32">
        <w:rPr>
          <w:rFonts w:ascii="Arial" w:eastAsia="Arial" w:hAnsi="Arial" w:cs="Arial"/>
          <w:b/>
          <w:sz w:val="20"/>
        </w:rPr>
        <w:t>y distribución de dividendos</w:t>
      </w:r>
    </w:p>
    <w:p w14:paraId="1353BE96" w14:textId="77777777" w:rsidR="00656E62" w:rsidRPr="00701F32" w:rsidRDefault="00656E62" w:rsidP="00656E62">
      <w:pPr>
        <w:spacing w:line="259" w:lineRule="auto"/>
        <w:jc w:val="both"/>
        <w:rPr>
          <w:rFonts w:ascii="Arial" w:eastAsia="Arial" w:hAnsi="Arial" w:cs="Arial"/>
          <w:b/>
          <w:sz w:val="20"/>
        </w:rPr>
      </w:pPr>
      <w:r w:rsidRPr="00701F32">
        <w:rPr>
          <w:rFonts w:ascii="Arial" w:eastAsia="Arial" w:hAnsi="Arial" w:cs="Arial"/>
          <w:sz w:val="20"/>
        </w:rPr>
        <w:t xml:space="preserve">Conforme a las regulaciones establecidas por el B.C.R.A., corresponde asignar a reserva legal el 20% de las utilidades del ejercicio netas de los eventuales ajustes de ejercicios anteriores, en caso de corresponder. No obstante ello, para la distribución de utilidades las entidades deberán regirse por lo estipulado por el B.C.R.A. en el texto ordenado sobre distribución de resultados las Entidades Financieras según lo detallado en nota </w:t>
      </w:r>
      <w:r w:rsidR="003C3074" w:rsidRPr="00701F32">
        <w:rPr>
          <w:rFonts w:ascii="Arial" w:eastAsia="Arial" w:hAnsi="Arial" w:cs="Arial"/>
          <w:sz w:val="20"/>
        </w:rPr>
        <w:t>15</w:t>
      </w:r>
      <w:r w:rsidRPr="00701F32">
        <w:rPr>
          <w:rFonts w:ascii="Arial" w:eastAsia="Arial" w:hAnsi="Arial" w:cs="Arial"/>
          <w:sz w:val="20"/>
        </w:rPr>
        <w:t xml:space="preserve">.9 </w:t>
      </w:r>
      <w:r w:rsidRPr="00701F32">
        <w:rPr>
          <w:rFonts w:ascii="Arial" w:hAnsi="Arial" w:cs="Arial"/>
          <w:sz w:val="20"/>
        </w:rPr>
        <w:t>Restricciones para la distribución de utilidades</w:t>
      </w:r>
    </w:p>
    <w:p w14:paraId="0EC33B3D" w14:textId="77777777" w:rsidR="00656E62" w:rsidRPr="00701F32" w:rsidRDefault="00656E62" w:rsidP="00656E62">
      <w:pPr>
        <w:spacing w:line="259" w:lineRule="auto"/>
        <w:jc w:val="both"/>
        <w:rPr>
          <w:rFonts w:ascii="Arial" w:eastAsia="Arial" w:hAnsi="Arial" w:cs="Arial"/>
          <w:sz w:val="20"/>
        </w:rPr>
      </w:pPr>
    </w:p>
    <w:p w14:paraId="72C45638" w14:textId="77777777" w:rsidR="00656E62" w:rsidRPr="00701F32" w:rsidRDefault="00656E62" w:rsidP="00656E62">
      <w:pPr>
        <w:spacing w:after="160" w:line="259" w:lineRule="auto"/>
        <w:jc w:val="both"/>
        <w:rPr>
          <w:rFonts w:ascii="Arial" w:hAnsi="Arial" w:cs="Arial"/>
          <w:sz w:val="20"/>
        </w:rPr>
      </w:pPr>
      <w:r w:rsidRPr="00701F32">
        <w:rPr>
          <w:rFonts w:ascii="Arial" w:eastAsia="Arial" w:hAnsi="Arial" w:cs="Arial"/>
          <w:bCs/>
          <w:sz w:val="20"/>
        </w:rPr>
        <w:t xml:space="preserve">La distribución de dividendos a los accionistas del Banco y sus subsidiarias se reconoce como pasivo en los estados financieros </w:t>
      </w:r>
      <w:r w:rsidR="007D4640" w:rsidRPr="00701F32">
        <w:rPr>
          <w:rFonts w:ascii="Arial" w:eastAsia="Arial" w:hAnsi="Arial" w:cs="Arial"/>
          <w:sz w:val="20"/>
        </w:rPr>
        <w:t>separados</w:t>
      </w:r>
      <w:r w:rsidR="007D4640" w:rsidRPr="00701F32" w:rsidDel="007D4640">
        <w:rPr>
          <w:rFonts w:ascii="Arial" w:eastAsia="Arial" w:hAnsi="Arial" w:cs="Arial"/>
          <w:bCs/>
          <w:sz w:val="20"/>
        </w:rPr>
        <w:t xml:space="preserve"> </w:t>
      </w:r>
      <w:r w:rsidRPr="00701F32">
        <w:rPr>
          <w:rFonts w:ascii="Arial" w:eastAsia="Arial" w:hAnsi="Arial" w:cs="Arial"/>
          <w:bCs/>
          <w:sz w:val="20"/>
        </w:rPr>
        <w:t>en el ejercicio en el que los dividendos se aprueban por la Asamblea de Accionistas.</w:t>
      </w:r>
    </w:p>
    <w:p w14:paraId="712C91FC"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Calibri" w:hAnsi="Arial" w:cs="Arial"/>
          <w:b/>
          <w:sz w:val="20"/>
        </w:rPr>
        <w:t>1.2</w:t>
      </w:r>
      <w:r w:rsidR="003B6D71" w:rsidRPr="00701F32">
        <w:rPr>
          <w:rFonts w:ascii="Arial" w:eastAsia="Calibri" w:hAnsi="Arial" w:cs="Arial"/>
          <w:b/>
          <w:sz w:val="20"/>
        </w:rPr>
        <w:t>4</w:t>
      </w:r>
      <w:r w:rsidRPr="00701F32">
        <w:rPr>
          <w:rFonts w:ascii="Arial" w:eastAsia="Calibri" w:hAnsi="Arial" w:cs="Arial"/>
          <w:b/>
          <w:sz w:val="20"/>
        </w:rPr>
        <w:t xml:space="preserve"> Reconocimiento de Ingresos </w:t>
      </w:r>
    </w:p>
    <w:p w14:paraId="55E96343"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Los ingresos y egresos financieros son registrados para todos los instrumentos de deuda de acuerdo al método de la tasa efectiva, por el cual se difieren todos los resultados positivos o negativos que son parte integral de la tasa efectiva de la operación.</w:t>
      </w:r>
    </w:p>
    <w:p w14:paraId="7591DEC6"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Los resultados que se incluyen dentro de la tasa efectiva incluyen erogaciones o ingresos relacionados con la creación o adquisición de un activo o pasivo financiero, como por ejemplo costos directamente relacionados con la emisión de obligaciones negociables, compensaciones recibidas por el análisis de la condición financiera del cliente, negociación de los términos del instrumento, la preparación y procesamiento de los documentos necesario para concertar la transacción y las compensaciones recibidas por el otorgamiento de acuerdos de crédito que se espera sean utilizados por el cliente. </w:t>
      </w:r>
    </w:p>
    <w:p w14:paraId="781C3F2C"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Cabe destacar que las comisiones que la Entidad percibe por la originación de préstamos sindicados no forma parte de la tasa efectiva del producto, siendo estas reconocidas en el Estado de Resultados en el momento en que el servicio es prestado, siempre y cuando el grupo no retenga parte del mismo o esta sea mantenida en iguales condiciones que el resto de los participantes. Tampoco forman parte de la tasa efectiva las comisiones percibidas por la Entidad por las negociaciones en las transacciones de un tercero son reconocidas en el momento en que se perfeccionan la mismas.</w:t>
      </w:r>
    </w:p>
    <w:p w14:paraId="6EB074E4"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Los ingresos por servicios del </w:t>
      </w:r>
      <w:r w:rsidR="003C3074" w:rsidRPr="00701F32">
        <w:rPr>
          <w:rFonts w:ascii="Arial" w:eastAsia="Calibri" w:hAnsi="Arial" w:cs="Arial"/>
          <w:sz w:val="20"/>
        </w:rPr>
        <w:t xml:space="preserve">Banco </w:t>
      </w:r>
      <w:r w:rsidRPr="00701F32">
        <w:rPr>
          <w:rFonts w:ascii="Arial" w:eastAsia="Calibri" w:hAnsi="Arial" w:cs="Arial"/>
          <w:sz w:val="20"/>
        </w:rPr>
        <w:t>son reconocidos en el estado de resultados conforme al cumplimiento de las obligaciones de desempeño, difiriendo de esta forma aquellos ingresos relacionados con los programas de fidelización de clientes, los cuales son provisionados en base el valor razonable del punto y su tasa de redención, hasta que los mismos sean canjeados por el cliente y puedan ser reconocidos en los resultados del período.</w:t>
      </w:r>
    </w:p>
    <w:p w14:paraId="02813D0D" w14:textId="77777777" w:rsidR="00656E62" w:rsidRPr="00701F32" w:rsidRDefault="00656E62" w:rsidP="005819B2">
      <w:pPr>
        <w:spacing w:after="160" w:line="259" w:lineRule="auto"/>
        <w:jc w:val="both"/>
        <w:rPr>
          <w:rFonts w:ascii="Arial" w:hAnsi="Arial" w:cs="Arial"/>
          <w:sz w:val="20"/>
        </w:rPr>
      </w:pPr>
      <w:r w:rsidRPr="00701F32">
        <w:rPr>
          <w:rFonts w:ascii="Arial" w:eastAsia="Calibri" w:hAnsi="Arial" w:cs="Arial"/>
          <w:sz w:val="20"/>
        </w:rPr>
        <w:t xml:space="preserve">Los ingresos por los alquileres de propiedades de inversión se reconocen en el estado de resultado </w:t>
      </w:r>
      <w:r w:rsidR="007D4640" w:rsidRPr="00701F32">
        <w:rPr>
          <w:rFonts w:ascii="Arial" w:eastAsia="Arial" w:hAnsi="Arial" w:cs="Arial"/>
          <w:sz w:val="20"/>
        </w:rPr>
        <w:t>separado</w:t>
      </w:r>
      <w:r w:rsidRPr="00701F32">
        <w:rPr>
          <w:rFonts w:ascii="Arial" w:eastAsia="Calibri" w:hAnsi="Arial" w:cs="Arial"/>
          <w:sz w:val="20"/>
        </w:rPr>
        <w:t xml:space="preserve"> sobre la base del método de línea recta en el plazo del arrendamiento.</w:t>
      </w:r>
    </w:p>
    <w:p w14:paraId="330FD6B1" w14:textId="77777777" w:rsidR="00656E62" w:rsidRPr="00701F32" w:rsidRDefault="00656E62" w:rsidP="00656E62">
      <w:pPr>
        <w:spacing w:after="200"/>
        <w:jc w:val="both"/>
        <w:rPr>
          <w:rFonts w:ascii="Arial" w:eastAsiaTheme="minorHAnsi" w:hAnsi="Arial" w:cs="Arial"/>
          <w:b/>
          <w:color w:val="FF0000"/>
          <w:sz w:val="20"/>
        </w:rPr>
      </w:pPr>
      <w:r w:rsidRPr="00701F32">
        <w:rPr>
          <w:rFonts w:ascii="Arial" w:eastAsiaTheme="minorHAnsi" w:hAnsi="Arial" w:cs="Arial"/>
          <w:b/>
          <w:sz w:val="20"/>
        </w:rPr>
        <w:t>1.2</w:t>
      </w:r>
      <w:r w:rsidR="003B6D71" w:rsidRPr="00701F32">
        <w:rPr>
          <w:rFonts w:ascii="Arial" w:eastAsiaTheme="minorHAnsi" w:hAnsi="Arial" w:cs="Arial"/>
          <w:b/>
          <w:sz w:val="20"/>
        </w:rPr>
        <w:t>5</w:t>
      </w:r>
      <w:r w:rsidRPr="00701F32">
        <w:rPr>
          <w:rFonts w:ascii="Arial" w:eastAsiaTheme="minorHAnsi" w:hAnsi="Arial" w:cs="Arial"/>
          <w:b/>
          <w:sz w:val="20"/>
        </w:rPr>
        <w:t xml:space="preserve"> Impuesto a las ganan</w:t>
      </w:r>
      <w:r w:rsidR="00BD0DC8" w:rsidRPr="00701F32">
        <w:rPr>
          <w:rFonts w:ascii="Arial" w:eastAsiaTheme="minorHAnsi" w:hAnsi="Arial" w:cs="Arial"/>
          <w:b/>
          <w:sz w:val="20"/>
        </w:rPr>
        <w:t>cias</w:t>
      </w:r>
    </w:p>
    <w:p w14:paraId="01AC1C46" w14:textId="77777777" w:rsidR="00656E62" w:rsidRPr="00701F32" w:rsidRDefault="00656E62" w:rsidP="00656E62">
      <w:pPr>
        <w:spacing w:after="200"/>
        <w:jc w:val="both"/>
        <w:rPr>
          <w:rFonts w:ascii="Arial" w:eastAsiaTheme="minorHAnsi" w:hAnsi="Arial" w:cs="Arial"/>
          <w:b/>
          <w:sz w:val="20"/>
        </w:rPr>
      </w:pPr>
      <w:r w:rsidRPr="00701F32">
        <w:rPr>
          <w:rFonts w:ascii="Arial" w:eastAsiaTheme="minorHAnsi" w:hAnsi="Arial" w:cs="Arial"/>
          <w:b/>
          <w:sz w:val="20"/>
        </w:rPr>
        <w:t>Impuesto a las ganancias</w:t>
      </w:r>
    </w:p>
    <w:p w14:paraId="42C556FC" w14:textId="77777777" w:rsidR="00656E62" w:rsidRPr="00701F32" w:rsidRDefault="00656E62" w:rsidP="00656E62">
      <w:pPr>
        <w:spacing w:after="200"/>
        <w:jc w:val="both"/>
        <w:rPr>
          <w:rFonts w:ascii="Arial" w:eastAsiaTheme="minorHAnsi" w:hAnsi="Arial" w:cs="Arial"/>
          <w:sz w:val="20"/>
        </w:rPr>
      </w:pPr>
      <w:r w:rsidRPr="00701F32">
        <w:rPr>
          <w:rFonts w:ascii="Arial" w:eastAsiaTheme="minorHAnsi" w:hAnsi="Arial" w:cs="Arial"/>
          <w:sz w:val="20"/>
        </w:rPr>
        <w:t xml:space="preserve">El cargo por impuesto a las ganancias del período comprende al impuesto corriente y al diferido. El impuesto se reconoce en el estado de resultado </w:t>
      </w:r>
      <w:r w:rsidR="007D4640" w:rsidRPr="00701F32">
        <w:rPr>
          <w:rFonts w:ascii="Arial" w:eastAsia="Arial" w:hAnsi="Arial" w:cs="Arial"/>
          <w:sz w:val="20"/>
        </w:rPr>
        <w:t>separado</w:t>
      </w:r>
      <w:r w:rsidRPr="00701F32">
        <w:rPr>
          <w:rFonts w:ascii="Arial" w:eastAsiaTheme="minorHAnsi" w:hAnsi="Arial" w:cs="Arial"/>
          <w:sz w:val="20"/>
        </w:rPr>
        <w:t>, excepto cuando se trata de partidas que deban ser reconocidas directamente en otros resultados integrales. En este caso, el impuesto a las ganancias relacionado de tales partidas también se reconoce en dicho estado.</w:t>
      </w:r>
    </w:p>
    <w:p w14:paraId="27A6EC2D" w14:textId="77777777" w:rsidR="00656E62" w:rsidRPr="00701F32" w:rsidRDefault="00656E62" w:rsidP="00656E62">
      <w:pPr>
        <w:spacing w:after="200"/>
        <w:jc w:val="both"/>
        <w:rPr>
          <w:rFonts w:ascii="Arial" w:eastAsiaTheme="minorHAnsi" w:hAnsi="Arial" w:cs="Arial"/>
          <w:sz w:val="20"/>
        </w:rPr>
      </w:pPr>
      <w:r w:rsidRPr="00701F32">
        <w:rPr>
          <w:rFonts w:ascii="Arial" w:eastAsiaTheme="minorHAnsi" w:hAnsi="Arial" w:cs="Arial"/>
          <w:sz w:val="20"/>
        </w:rPr>
        <w:t>El cargo por impuesto a las ganancias corriente se calcula sobre la base de las leyes impositivas promulgadas o sustancialmente promulgadas a la fecha del estado de situación financiera. La Entidad evalúa periódicamente la posición asumida en las declaraciones juradas de impuestos respecto de situaciones en las que las leyes tributarias son objeto de interpretación. Por su parte, cuando corresponde, constituye provisiones sobre los montos que espera deberá pagar a las autoridades tributarias.</w:t>
      </w:r>
    </w:p>
    <w:p w14:paraId="49BF30AC" w14:textId="77777777" w:rsidR="00656E62" w:rsidRPr="00701F32" w:rsidRDefault="00656E62" w:rsidP="00656E62">
      <w:pPr>
        <w:spacing w:after="200"/>
        <w:jc w:val="both"/>
        <w:rPr>
          <w:rFonts w:ascii="Arial" w:eastAsiaTheme="minorHAnsi" w:hAnsi="Arial" w:cs="Arial"/>
          <w:sz w:val="20"/>
        </w:rPr>
      </w:pPr>
      <w:r w:rsidRPr="00701F32">
        <w:rPr>
          <w:rFonts w:ascii="Arial" w:eastAsiaTheme="minorHAnsi" w:hAnsi="Arial" w:cs="Arial"/>
          <w:sz w:val="20"/>
        </w:rPr>
        <w:t>El impuesto a las ganancias diferido se determina en su totalidad, por el método del pasivo, sobre las diferencias temporales que surgen entre las bases tributarias de activos y pasivos y sus respectivos valores contables. Sin embargo, el impuesto diferido que surge por el reconocimiento inicial de un activo o de un pasivo en una transacción que no corresponda a una combinación de negocios, que al momento de la transacción no afecta ni la utilidad ni la pérdida contable o gravable, no se registra. El impuesto diferido se determina usando tasas tributarias (y legislación) que han sido promulgadas a la fecha del balance general y que se espera serán aplicables cuando el activo por impuesto diferido se realice o el pasivo por impuesto diferido se pague.</w:t>
      </w:r>
    </w:p>
    <w:p w14:paraId="46BB0469" w14:textId="77777777" w:rsidR="00656E62" w:rsidRPr="00701F32" w:rsidRDefault="00656E62" w:rsidP="00656E62">
      <w:pPr>
        <w:spacing w:after="200"/>
        <w:jc w:val="both"/>
        <w:rPr>
          <w:rFonts w:ascii="Arial" w:eastAsiaTheme="minorHAnsi" w:hAnsi="Arial" w:cs="Arial"/>
          <w:sz w:val="20"/>
        </w:rPr>
      </w:pPr>
      <w:r w:rsidRPr="00701F32">
        <w:rPr>
          <w:rFonts w:ascii="Arial" w:eastAsiaTheme="minorHAnsi" w:hAnsi="Arial" w:cs="Arial"/>
          <w:sz w:val="20"/>
        </w:rPr>
        <w:t>Los activos por impuestos diferidos sólo se reconocen en la medida que sea probable que se produzcan beneficios impositivos futuros contra los que se puedan usar las diferencias temporarias.</w:t>
      </w:r>
    </w:p>
    <w:p w14:paraId="0FA50664" w14:textId="77777777" w:rsidR="00656E62" w:rsidRPr="00701F32" w:rsidRDefault="00656E62" w:rsidP="00656E62">
      <w:pPr>
        <w:spacing w:after="200"/>
        <w:jc w:val="both"/>
        <w:rPr>
          <w:rFonts w:ascii="Arial" w:eastAsiaTheme="minorHAnsi" w:hAnsi="Arial" w:cs="Arial"/>
          <w:sz w:val="20"/>
        </w:rPr>
      </w:pPr>
      <w:r w:rsidRPr="00701F32">
        <w:rPr>
          <w:rFonts w:ascii="Arial" w:eastAsiaTheme="minorHAnsi" w:hAnsi="Arial" w:cs="Arial"/>
          <w:sz w:val="20"/>
        </w:rPr>
        <w:t>Los saldos de impuestos a las ganancias diferidos de activos y pasivos se compensan cuando existe el derecho legal a compensar impuestos activos corrientes con impuestos pasivos corrientes y cuando se relacionen con la misma autoridad fiscal del Banco o de las distintas subsidiarias en donde exista intención y posibilidad de liquidar los saldos impositivos sobre bases netas.</w:t>
      </w:r>
    </w:p>
    <w:p w14:paraId="48F2E06D" w14:textId="77777777" w:rsidR="00656E62" w:rsidRPr="00701F32" w:rsidRDefault="00656E62" w:rsidP="00656E62">
      <w:pPr>
        <w:spacing w:after="200"/>
        <w:jc w:val="both"/>
        <w:rPr>
          <w:rFonts w:ascii="Arial" w:eastAsiaTheme="minorHAnsi" w:hAnsi="Arial" w:cs="Arial"/>
          <w:b/>
          <w:sz w:val="20"/>
        </w:rPr>
      </w:pPr>
      <w:r w:rsidRPr="00701F32">
        <w:rPr>
          <w:rFonts w:ascii="Arial" w:eastAsiaTheme="minorHAnsi" w:hAnsi="Arial" w:cs="Arial"/>
          <w:b/>
          <w:sz w:val="20"/>
        </w:rPr>
        <w:t>1.2</w:t>
      </w:r>
      <w:r w:rsidR="003B6D71" w:rsidRPr="00701F32">
        <w:rPr>
          <w:rFonts w:ascii="Arial" w:eastAsiaTheme="minorHAnsi" w:hAnsi="Arial" w:cs="Arial"/>
          <w:b/>
          <w:sz w:val="20"/>
        </w:rPr>
        <w:t>6</w:t>
      </w:r>
      <w:r w:rsidRPr="00701F32">
        <w:rPr>
          <w:rFonts w:ascii="Arial" w:eastAsiaTheme="minorHAnsi" w:hAnsi="Arial" w:cs="Arial"/>
          <w:b/>
          <w:sz w:val="20"/>
        </w:rPr>
        <w:t xml:space="preserve"> Resultado por Acción</w:t>
      </w:r>
    </w:p>
    <w:p w14:paraId="289894FC" w14:textId="77777777" w:rsidR="00656E62" w:rsidRPr="00701F32" w:rsidRDefault="00656E62" w:rsidP="00656E62">
      <w:pPr>
        <w:spacing w:after="200"/>
        <w:jc w:val="both"/>
        <w:rPr>
          <w:rFonts w:ascii="Arial" w:eastAsiaTheme="minorHAnsi" w:hAnsi="Arial" w:cs="Arial"/>
          <w:bCs/>
          <w:sz w:val="20"/>
        </w:rPr>
      </w:pPr>
      <w:r w:rsidRPr="00701F32">
        <w:rPr>
          <w:rFonts w:ascii="Arial" w:eastAsiaTheme="minorHAnsi" w:hAnsi="Arial" w:cs="Arial"/>
          <w:bCs/>
          <w:sz w:val="20"/>
        </w:rPr>
        <w:t>El resultado por acción básico es determinado por el cociente entre el resultado del período atribuible a los accionistas tenedores de acciones ordinarias del Banco por el promedio de acciones ordinarias en circulación durante el presente ejercicio.</w:t>
      </w:r>
    </w:p>
    <w:p w14:paraId="009843CB" w14:textId="77777777" w:rsidR="00656E62" w:rsidRPr="00701F32" w:rsidRDefault="00656E62" w:rsidP="00656E62">
      <w:pPr>
        <w:jc w:val="both"/>
        <w:rPr>
          <w:rFonts w:ascii="Arial" w:eastAsiaTheme="minorHAnsi" w:hAnsi="Arial" w:cs="Arial"/>
          <w:sz w:val="20"/>
        </w:rPr>
      </w:pPr>
      <w:r w:rsidRPr="00701F32">
        <w:rPr>
          <w:rFonts w:ascii="Arial" w:eastAsiaTheme="minorHAnsi" w:hAnsi="Arial" w:cs="Arial"/>
          <w:sz w:val="20"/>
        </w:rPr>
        <w:t>Dado que el Banco no ha emitido instrumentos financieros que tengan un efecto dilutivo en la utilidad por acción, las ganancias básicas y diluidas por acción son iguales.</w:t>
      </w:r>
    </w:p>
    <w:p w14:paraId="6C6D77B8" w14:textId="77777777" w:rsidR="00A33675" w:rsidRPr="00701F32" w:rsidRDefault="00A33675" w:rsidP="00656E62">
      <w:pPr>
        <w:jc w:val="both"/>
        <w:rPr>
          <w:rFonts w:ascii="Arial" w:eastAsiaTheme="minorHAnsi" w:hAnsi="Arial" w:cs="Arial"/>
          <w:sz w:val="20"/>
        </w:rPr>
      </w:pPr>
    </w:p>
    <w:p w14:paraId="3E96B7CB" w14:textId="4CD65C8E" w:rsidR="00656E62" w:rsidRDefault="00656E62" w:rsidP="00656E62">
      <w:pPr>
        <w:keepNext/>
        <w:keepLines/>
        <w:spacing w:before="40" w:line="259" w:lineRule="auto"/>
        <w:jc w:val="both"/>
        <w:outlineLvl w:val="1"/>
        <w:rPr>
          <w:rFonts w:ascii="Arial" w:hAnsi="Arial" w:cs="Arial"/>
          <w:b/>
          <w:sz w:val="20"/>
        </w:rPr>
      </w:pPr>
      <w:r w:rsidRPr="00701F32">
        <w:rPr>
          <w:rFonts w:ascii="Arial" w:hAnsi="Arial" w:cs="Arial"/>
          <w:b/>
          <w:sz w:val="20"/>
        </w:rPr>
        <w:t>2. T</w:t>
      </w:r>
      <w:r w:rsidR="000045FD" w:rsidRPr="00701F32">
        <w:rPr>
          <w:rFonts w:ascii="Arial" w:hAnsi="Arial" w:cs="Arial"/>
          <w:b/>
          <w:sz w:val="20"/>
        </w:rPr>
        <w:t>RANSICION A LAS NIIF</w:t>
      </w:r>
      <w:r w:rsidRPr="00701F32">
        <w:rPr>
          <w:rFonts w:ascii="Arial" w:hAnsi="Arial" w:cs="Arial"/>
          <w:b/>
          <w:sz w:val="20"/>
        </w:rPr>
        <w:t xml:space="preserve"> </w:t>
      </w:r>
    </w:p>
    <w:p w14:paraId="56A99C69" w14:textId="77777777" w:rsidR="006C6698" w:rsidRPr="00701F32" w:rsidRDefault="006C6698" w:rsidP="00656E62">
      <w:pPr>
        <w:keepNext/>
        <w:keepLines/>
        <w:spacing w:before="40" w:line="259" w:lineRule="auto"/>
        <w:jc w:val="both"/>
        <w:outlineLvl w:val="1"/>
        <w:rPr>
          <w:rFonts w:ascii="Arial" w:hAnsi="Arial" w:cs="Arial"/>
          <w:b/>
          <w:sz w:val="20"/>
        </w:rPr>
      </w:pPr>
    </w:p>
    <w:p w14:paraId="3715C5FB" w14:textId="77777777" w:rsidR="00BD0DC8" w:rsidRPr="00701F32" w:rsidRDefault="00BD0DC8" w:rsidP="00BD0DC8">
      <w:pPr>
        <w:keepNext/>
        <w:keepLines/>
        <w:spacing w:before="40"/>
        <w:ind w:left="720" w:hanging="720"/>
        <w:jc w:val="both"/>
        <w:outlineLvl w:val="1"/>
        <w:rPr>
          <w:rFonts w:ascii="Arial" w:hAnsi="Arial" w:cs="Arial"/>
          <w:sz w:val="20"/>
        </w:rPr>
      </w:pPr>
      <w:r w:rsidRPr="00701F32">
        <w:rPr>
          <w:rFonts w:ascii="Arial" w:hAnsi="Arial" w:cs="Arial"/>
          <w:sz w:val="20"/>
        </w:rPr>
        <w:t>2.1 Requerimientos de la transición a NIIF</w:t>
      </w:r>
    </w:p>
    <w:p w14:paraId="595902DA" w14:textId="77777777" w:rsidR="00BD0DC8" w:rsidRPr="00701F32" w:rsidRDefault="00BD0DC8" w:rsidP="00BD0DC8">
      <w:pPr>
        <w:keepNext/>
        <w:keepLines/>
        <w:spacing w:before="40"/>
        <w:ind w:left="720" w:hanging="720"/>
        <w:jc w:val="both"/>
        <w:outlineLvl w:val="1"/>
        <w:rPr>
          <w:rFonts w:ascii="Arial" w:hAnsi="Arial" w:cs="Arial"/>
          <w:sz w:val="20"/>
        </w:rPr>
      </w:pPr>
    </w:p>
    <w:p w14:paraId="46CF48C6" w14:textId="77777777" w:rsidR="00BD0DC8" w:rsidRPr="00701F32" w:rsidRDefault="00BD0DC8" w:rsidP="00BD0DC8">
      <w:pPr>
        <w:keepNext/>
        <w:keepLines/>
        <w:spacing w:before="40"/>
        <w:ind w:hanging="11"/>
        <w:jc w:val="both"/>
        <w:outlineLvl w:val="1"/>
        <w:rPr>
          <w:rFonts w:ascii="Arial" w:hAnsi="Arial" w:cs="Arial"/>
          <w:sz w:val="20"/>
        </w:rPr>
      </w:pPr>
      <w:r w:rsidRPr="00701F32">
        <w:rPr>
          <w:rFonts w:ascii="Arial" w:hAnsi="Arial" w:cs="Arial"/>
          <w:sz w:val="20"/>
        </w:rPr>
        <w:t>A continuación se presenta una conciliación entre las cifras de patrimonio, resultados y otros resultados integrales correspondientes a los estados financieros separados emitidos de acuerdo con el Marco Contable anterior a la fecha de transición (1° de enero de 2017), a la fecha de adopción (31 de diciembre de 2017) y a la fecha de cierre del período comparativo (3</w:t>
      </w:r>
      <w:r w:rsidR="00837BEB" w:rsidRPr="00701F32">
        <w:rPr>
          <w:rFonts w:ascii="Arial" w:hAnsi="Arial" w:cs="Arial"/>
          <w:sz w:val="20"/>
        </w:rPr>
        <w:t>0</w:t>
      </w:r>
      <w:r w:rsidRPr="00701F32">
        <w:rPr>
          <w:rFonts w:ascii="Arial" w:hAnsi="Arial" w:cs="Arial"/>
          <w:sz w:val="20"/>
        </w:rPr>
        <w:t xml:space="preserve"> de </w:t>
      </w:r>
      <w:r w:rsidR="00837BEB" w:rsidRPr="00701F32">
        <w:rPr>
          <w:rFonts w:ascii="Arial" w:hAnsi="Arial" w:cs="Arial"/>
          <w:sz w:val="20"/>
        </w:rPr>
        <w:t xml:space="preserve">septiembre </w:t>
      </w:r>
      <w:r w:rsidRPr="00701F32">
        <w:rPr>
          <w:rFonts w:ascii="Arial" w:hAnsi="Arial" w:cs="Arial"/>
          <w:sz w:val="20"/>
        </w:rPr>
        <w:t>de 2017) y las cifras presentadas en los presentes estados financieros separados condensados intermedios.</w:t>
      </w:r>
    </w:p>
    <w:p w14:paraId="1927BD22" w14:textId="77777777" w:rsidR="00BD0DC8" w:rsidRPr="00701F32" w:rsidRDefault="00BD0DC8" w:rsidP="00BD0DC8">
      <w:pPr>
        <w:keepNext/>
        <w:keepLines/>
        <w:spacing w:before="40"/>
        <w:ind w:hanging="11"/>
        <w:jc w:val="both"/>
        <w:outlineLvl w:val="1"/>
        <w:rPr>
          <w:rFonts w:ascii="Arial" w:hAnsi="Arial" w:cs="Arial"/>
          <w:sz w:val="20"/>
        </w:rPr>
      </w:pPr>
    </w:p>
    <w:p w14:paraId="248F75BA" w14:textId="77777777" w:rsidR="00BD0DC8" w:rsidRPr="00701F32" w:rsidRDefault="00BD0DC8" w:rsidP="00BD0DC8">
      <w:pPr>
        <w:keepNext/>
        <w:keepLines/>
        <w:spacing w:before="40"/>
        <w:ind w:left="720" w:hanging="720"/>
        <w:jc w:val="both"/>
        <w:outlineLvl w:val="1"/>
        <w:rPr>
          <w:rFonts w:ascii="Arial" w:hAnsi="Arial" w:cs="Arial"/>
          <w:sz w:val="20"/>
        </w:rPr>
      </w:pPr>
      <w:r w:rsidRPr="00701F32">
        <w:rPr>
          <w:rFonts w:ascii="Arial" w:hAnsi="Arial" w:cs="Arial"/>
          <w:sz w:val="20"/>
        </w:rPr>
        <w:t>2.1.1. Conciliación del patrimonio neto al 31 de diciembre</w:t>
      </w:r>
      <w:r w:rsidR="003C6E91" w:rsidRPr="00701F32">
        <w:rPr>
          <w:rFonts w:ascii="Arial" w:hAnsi="Arial" w:cs="Arial"/>
          <w:sz w:val="20"/>
        </w:rPr>
        <w:t>, 3</w:t>
      </w:r>
      <w:r w:rsidR="000D601B" w:rsidRPr="00701F32">
        <w:rPr>
          <w:rFonts w:ascii="Arial" w:hAnsi="Arial" w:cs="Arial"/>
          <w:sz w:val="20"/>
        </w:rPr>
        <w:t>0</w:t>
      </w:r>
      <w:r w:rsidR="003C6E91" w:rsidRPr="00701F32">
        <w:rPr>
          <w:rFonts w:ascii="Arial" w:hAnsi="Arial" w:cs="Arial"/>
          <w:sz w:val="20"/>
        </w:rPr>
        <w:t xml:space="preserve"> de </w:t>
      </w:r>
      <w:r w:rsidR="00837BEB" w:rsidRPr="00701F32">
        <w:rPr>
          <w:rFonts w:ascii="Arial" w:hAnsi="Arial" w:cs="Arial"/>
          <w:sz w:val="20"/>
        </w:rPr>
        <w:t>septiembre</w:t>
      </w:r>
      <w:r w:rsidR="000D601B" w:rsidRPr="00701F32">
        <w:rPr>
          <w:rFonts w:ascii="Arial" w:hAnsi="Arial" w:cs="Arial"/>
          <w:sz w:val="20"/>
        </w:rPr>
        <w:t xml:space="preserve"> </w:t>
      </w:r>
      <w:r w:rsidRPr="00701F32">
        <w:rPr>
          <w:rFonts w:ascii="Arial" w:hAnsi="Arial" w:cs="Arial"/>
          <w:sz w:val="20"/>
        </w:rPr>
        <w:t>y al 1 de enero de 2017.</w:t>
      </w:r>
    </w:p>
    <w:p w14:paraId="2EA43923" w14:textId="77777777" w:rsidR="002A3A8E" w:rsidRPr="00701F32" w:rsidRDefault="002A3A8E" w:rsidP="00BD0DC8">
      <w:pPr>
        <w:keepNext/>
        <w:keepLines/>
        <w:spacing w:before="40"/>
        <w:ind w:left="720" w:hanging="720"/>
        <w:jc w:val="both"/>
        <w:outlineLvl w:val="1"/>
        <w:rPr>
          <w:rFonts w:ascii="Arial" w:hAnsi="Arial" w:cs="Arial"/>
          <w:sz w:val="20"/>
        </w:rPr>
      </w:pPr>
    </w:p>
    <w:tbl>
      <w:tblPr>
        <w:tblW w:w="9488" w:type="dxa"/>
        <w:tblInd w:w="80" w:type="dxa"/>
        <w:tblCellMar>
          <w:left w:w="70" w:type="dxa"/>
          <w:right w:w="70" w:type="dxa"/>
        </w:tblCellMar>
        <w:tblLook w:val="04A0" w:firstRow="1" w:lastRow="0" w:firstColumn="1" w:lastColumn="0" w:noHBand="0" w:noVBand="1"/>
      </w:tblPr>
      <w:tblGrid>
        <w:gridCol w:w="3840"/>
        <w:gridCol w:w="780"/>
        <w:gridCol w:w="1180"/>
        <w:gridCol w:w="1360"/>
        <w:gridCol w:w="1194"/>
        <w:gridCol w:w="1134"/>
      </w:tblGrid>
      <w:tr w:rsidR="00CA1364" w:rsidRPr="00701F32" w14:paraId="2355DFC3" w14:textId="77777777" w:rsidTr="00941382">
        <w:trPr>
          <w:trHeight w:val="315"/>
          <w:tblHeader/>
        </w:trPr>
        <w:tc>
          <w:tcPr>
            <w:tcW w:w="3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30C203" w14:textId="77777777" w:rsidR="00CA1364" w:rsidRPr="00701F32" w:rsidRDefault="00CA1364" w:rsidP="00CA1364">
            <w:pPr>
              <w:jc w:val="center"/>
              <w:rPr>
                <w:rFonts w:ascii="Arial" w:hAnsi="Arial" w:cs="Arial"/>
                <w:b/>
                <w:bCs/>
                <w:color w:val="000000"/>
                <w:sz w:val="16"/>
                <w:szCs w:val="16"/>
                <w:lang w:eastAsia="es-AR"/>
              </w:rPr>
            </w:pPr>
          </w:p>
        </w:tc>
        <w:tc>
          <w:tcPr>
            <w:tcW w:w="780" w:type="dxa"/>
            <w:tcBorders>
              <w:top w:val="single" w:sz="8" w:space="0" w:color="auto"/>
              <w:left w:val="nil"/>
              <w:bottom w:val="single" w:sz="8" w:space="0" w:color="auto"/>
              <w:right w:val="single" w:sz="4" w:space="0" w:color="auto"/>
            </w:tcBorders>
            <w:shd w:val="clear" w:color="auto" w:fill="auto"/>
            <w:noWrap/>
            <w:vAlign w:val="center"/>
            <w:hideMark/>
          </w:tcPr>
          <w:p w14:paraId="028FE62E"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14:paraId="657E1434"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30D9F027"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194" w:type="dxa"/>
            <w:tcBorders>
              <w:top w:val="single" w:sz="8" w:space="0" w:color="auto"/>
              <w:left w:val="nil"/>
              <w:bottom w:val="single" w:sz="8" w:space="0" w:color="auto"/>
              <w:right w:val="single" w:sz="4" w:space="0" w:color="auto"/>
            </w:tcBorders>
            <w:shd w:val="clear" w:color="auto" w:fill="auto"/>
            <w:noWrap/>
            <w:vAlign w:val="center"/>
            <w:hideMark/>
          </w:tcPr>
          <w:p w14:paraId="33DEC9CE" w14:textId="77777777" w:rsidR="00CA1364" w:rsidRPr="00701F32" w:rsidRDefault="00CA1364" w:rsidP="00941382">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4F0C22D"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CA1364" w:rsidRPr="00701F32" w14:paraId="4366E219"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0760426"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Efectivo y depósitos en bancos </w:t>
            </w:r>
          </w:p>
        </w:tc>
        <w:tc>
          <w:tcPr>
            <w:tcW w:w="780" w:type="dxa"/>
            <w:tcBorders>
              <w:top w:val="nil"/>
              <w:left w:val="nil"/>
              <w:bottom w:val="nil"/>
              <w:right w:val="single" w:sz="4" w:space="0" w:color="auto"/>
            </w:tcBorders>
            <w:shd w:val="clear" w:color="auto" w:fill="auto"/>
            <w:noWrap/>
            <w:vAlign w:val="center"/>
            <w:hideMark/>
          </w:tcPr>
          <w:p w14:paraId="3A89E425"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57023E13"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11.059.465</w:t>
            </w:r>
          </w:p>
        </w:tc>
        <w:tc>
          <w:tcPr>
            <w:tcW w:w="1360" w:type="dxa"/>
            <w:tcBorders>
              <w:top w:val="nil"/>
              <w:left w:val="nil"/>
              <w:bottom w:val="nil"/>
              <w:right w:val="single" w:sz="4" w:space="0" w:color="auto"/>
            </w:tcBorders>
            <w:shd w:val="clear" w:color="auto" w:fill="auto"/>
            <w:noWrap/>
            <w:vAlign w:val="center"/>
            <w:hideMark/>
          </w:tcPr>
          <w:p w14:paraId="0C14488E"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-29.118 </w:t>
            </w:r>
          </w:p>
        </w:tc>
        <w:tc>
          <w:tcPr>
            <w:tcW w:w="1194" w:type="dxa"/>
            <w:tcBorders>
              <w:top w:val="nil"/>
              <w:left w:val="nil"/>
              <w:bottom w:val="nil"/>
              <w:right w:val="single" w:sz="4" w:space="0" w:color="auto"/>
            </w:tcBorders>
            <w:shd w:val="clear" w:color="auto" w:fill="auto"/>
            <w:noWrap/>
            <w:vAlign w:val="center"/>
            <w:hideMark/>
          </w:tcPr>
          <w:p w14:paraId="01302769"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2F64A6F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11.030.347</w:t>
            </w:r>
          </w:p>
        </w:tc>
      </w:tr>
      <w:tr w:rsidR="00CA1364" w:rsidRPr="00701F32" w14:paraId="7DAB5D51"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5CFCA22C"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públicos y privados </w:t>
            </w:r>
          </w:p>
        </w:tc>
        <w:tc>
          <w:tcPr>
            <w:tcW w:w="780" w:type="dxa"/>
            <w:tcBorders>
              <w:top w:val="nil"/>
              <w:left w:val="nil"/>
              <w:bottom w:val="nil"/>
              <w:right w:val="single" w:sz="4" w:space="0" w:color="auto"/>
            </w:tcBorders>
            <w:shd w:val="clear" w:color="auto" w:fill="auto"/>
            <w:noWrap/>
            <w:vAlign w:val="center"/>
            <w:hideMark/>
          </w:tcPr>
          <w:p w14:paraId="62E66645"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80" w:type="dxa"/>
            <w:tcBorders>
              <w:top w:val="nil"/>
              <w:left w:val="nil"/>
              <w:bottom w:val="nil"/>
              <w:right w:val="single" w:sz="4" w:space="0" w:color="auto"/>
            </w:tcBorders>
            <w:shd w:val="clear" w:color="auto" w:fill="auto"/>
            <w:noWrap/>
            <w:vAlign w:val="center"/>
            <w:hideMark/>
          </w:tcPr>
          <w:p w14:paraId="3BEE61A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15.255.201</w:t>
            </w:r>
          </w:p>
        </w:tc>
        <w:tc>
          <w:tcPr>
            <w:tcW w:w="1360" w:type="dxa"/>
            <w:tcBorders>
              <w:top w:val="nil"/>
              <w:left w:val="nil"/>
              <w:bottom w:val="nil"/>
              <w:right w:val="single" w:sz="4" w:space="0" w:color="auto"/>
            </w:tcBorders>
            <w:shd w:val="clear" w:color="auto" w:fill="auto"/>
            <w:noWrap/>
            <w:vAlign w:val="center"/>
            <w:hideMark/>
          </w:tcPr>
          <w:p w14:paraId="4325DFF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-15.255.201 </w:t>
            </w:r>
          </w:p>
        </w:tc>
        <w:tc>
          <w:tcPr>
            <w:tcW w:w="1194" w:type="dxa"/>
            <w:tcBorders>
              <w:top w:val="nil"/>
              <w:left w:val="nil"/>
              <w:bottom w:val="nil"/>
              <w:right w:val="single" w:sz="4" w:space="0" w:color="auto"/>
            </w:tcBorders>
            <w:shd w:val="clear" w:color="auto" w:fill="auto"/>
            <w:noWrap/>
            <w:vAlign w:val="center"/>
            <w:hideMark/>
          </w:tcPr>
          <w:p w14:paraId="1F0D264D"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56831437"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71A0F5CC"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227D660"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Prestamos </w:t>
            </w:r>
          </w:p>
        </w:tc>
        <w:tc>
          <w:tcPr>
            <w:tcW w:w="780" w:type="dxa"/>
            <w:tcBorders>
              <w:top w:val="nil"/>
              <w:left w:val="nil"/>
              <w:bottom w:val="nil"/>
              <w:right w:val="single" w:sz="4" w:space="0" w:color="auto"/>
            </w:tcBorders>
            <w:shd w:val="clear" w:color="auto" w:fill="auto"/>
            <w:noWrap/>
            <w:vAlign w:val="center"/>
            <w:hideMark/>
          </w:tcPr>
          <w:p w14:paraId="3D57F4B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72541A7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50.776.774</w:t>
            </w:r>
          </w:p>
        </w:tc>
        <w:tc>
          <w:tcPr>
            <w:tcW w:w="1360" w:type="dxa"/>
            <w:tcBorders>
              <w:top w:val="nil"/>
              <w:left w:val="nil"/>
              <w:bottom w:val="nil"/>
              <w:right w:val="single" w:sz="4" w:space="0" w:color="auto"/>
            </w:tcBorders>
            <w:shd w:val="clear" w:color="auto" w:fill="auto"/>
            <w:noWrap/>
            <w:vAlign w:val="center"/>
            <w:hideMark/>
          </w:tcPr>
          <w:p w14:paraId="1F896A4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-50.776.774 </w:t>
            </w:r>
          </w:p>
        </w:tc>
        <w:tc>
          <w:tcPr>
            <w:tcW w:w="1194" w:type="dxa"/>
            <w:tcBorders>
              <w:top w:val="nil"/>
              <w:left w:val="nil"/>
              <w:bottom w:val="nil"/>
              <w:right w:val="single" w:sz="4" w:space="0" w:color="auto"/>
            </w:tcBorders>
            <w:shd w:val="clear" w:color="auto" w:fill="auto"/>
            <w:noWrap/>
            <w:vAlign w:val="center"/>
            <w:hideMark/>
          </w:tcPr>
          <w:p w14:paraId="75C00906"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63273173"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0F8AF87F"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470277F6"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créditos por intermediación financiera </w:t>
            </w:r>
          </w:p>
        </w:tc>
        <w:tc>
          <w:tcPr>
            <w:tcW w:w="780" w:type="dxa"/>
            <w:tcBorders>
              <w:top w:val="nil"/>
              <w:left w:val="nil"/>
              <w:bottom w:val="nil"/>
              <w:right w:val="single" w:sz="4" w:space="0" w:color="auto"/>
            </w:tcBorders>
            <w:shd w:val="clear" w:color="auto" w:fill="auto"/>
            <w:noWrap/>
            <w:vAlign w:val="center"/>
            <w:hideMark/>
          </w:tcPr>
          <w:p w14:paraId="44C10517"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3BED0C56"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5.072.479</w:t>
            </w:r>
          </w:p>
        </w:tc>
        <w:tc>
          <w:tcPr>
            <w:tcW w:w="1360" w:type="dxa"/>
            <w:tcBorders>
              <w:top w:val="nil"/>
              <w:left w:val="nil"/>
              <w:bottom w:val="nil"/>
              <w:right w:val="single" w:sz="4" w:space="0" w:color="auto"/>
            </w:tcBorders>
            <w:shd w:val="clear" w:color="auto" w:fill="auto"/>
            <w:noWrap/>
            <w:vAlign w:val="center"/>
            <w:hideMark/>
          </w:tcPr>
          <w:p w14:paraId="0FFF15F0"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-5.072.479 </w:t>
            </w:r>
          </w:p>
        </w:tc>
        <w:tc>
          <w:tcPr>
            <w:tcW w:w="1194" w:type="dxa"/>
            <w:tcBorders>
              <w:top w:val="nil"/>
              <w:left w:val="nil"/>
              <w:bottom w:val="nil"/>
              <w:right w:val="single" w:sz="4" w:space="0" w:color="auto"/>
            </w:tcBorders>
            <w:shd w:val="clear" w:color="auto" w:fill="auto"/>
            <w:noWrap/>
            <w:vAlign w:val="center"/>
            <w:hideMark/>
          </w:tcPr>
          <w:p w14:paraId="47F951BB"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42C15FF4"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0A21C924"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616BE658"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por arrendamientos financieros </w:t>
            </w:r>
          </w:p>
        </w:tc>
        <w:tc>
          <w:tcPr>
            <w:tcW w:w="780" w:type="dxa"/>
            <w:tcBorders>
              <w:top w:val="nil"/>
              <w:left w:val="nil"/>
              <w:bottom w:val="nil"/>
              <w:right w:val="single" w:sz="4" w:space="0" w:color="auto"/>
            </w:tcBorders>
            <w:shd w:val="clear" w:color="auto" w:fill="auto"/>
            <w:noWrap/>
            <w:vAlign w:val="center"/>
            <w:hideMark/>
          </w:tcPr>
          <w:p w14:paraId="03709F61"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80" w:type="dxa"/>
            <w:tcBorders>
              <w:top w:val="nil"/>
              <w:left w:val="nil"/>
              <w:bottom w:val="nil"/>
              <w:right w:val="single" w:sz="4" w:space="0" w:color="auto"/>
            </w:tcBorders>
            <w:shd w:val="clear" w:color="auto" w:fill="auto"/>
            <w:noWrap/>
            <w:vAlign w:val="center"/>
            <w:hideMark/>
          </w:tcPr>
          <w:p w14:paraId="129F04D0"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2.519.201</w:t>
            </w:r>
          </w:p>
        </w:tc>
        <w:tc>
          <w:tcPr>
            <w:tcW w:w="1360" w:type="dxa"/>
            <w:tcBorders>
              <w:top w:val="nil"/>
              <w:left w:val="nil"/>
              <w:bottom w:val="nil"/>
              <w:right w:val="single" w:sz="4" w:space="0" w:color="auto"/>
            </w:tcBorders>
            <w:shd w:val="clear" w:color="auto" w:fill="auto"/>
            <w:noWrap/>
            <w:vAlign w:val="center"/>
            <w:hideMark/>
          </w:tcPr>
          <w:p w14:paraId="7988585B"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-2.519.201 </w:t>
            </w:r>
          </w:p>
        </w:tc>
        <w:tc>
          <w:tcPr>
            <w:tcW w:w="1194" w:type="dxa"/>
            <w:tcBorders>
              <w:top w:val="nil"/>
              <w:left w:val="nil"/>
              <w:bottom w:val="nil"/>
              <w:right w:val="single" w:sz="4" w:space="0" w:color="auto"/>
            </w:tcBorders>
            <w:shd w:val="clear" w:color="auto" w:fill="auto"/>
            <w:noWrap/>
            <w:vAlign w:val="center"/>
            <w:hideMark/>
          </w:tcPr>
          <w:p w14:paraId="7EB28F1E"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2329800A"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5992BA93"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4D2E24D2"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subsidiarias, asociadas y neg.conjuntos </w:t>
            </w:r>
          </w:p>
        </w:tc>
        <w:tc>
          <w:tcPr>
            <w:tcW w:w="780" w:type="dxa"/>
            <w:tcBorders>
              <w:top w:val="nil"/>
              <w:left w:val="nil"/>
              <w:bottom w:val="nil"/>
              <w:right w:val="single" w:sz="4" w:space="0" w:color="auto"/>
            </w:tcBorders>
            <w:shd w:val="clear" w:color="auto" w:fill="auto"/>
            <w:noWrap/>
            <w:vAlign w:val="center"/>
            <w:hideMark/>
          </w:tcPr>
          <w:p w14:paraId="7E4775B6"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180" w:type="dxa"/>
            <w:tcBorders>
              <w:top w:val="nil"/>
              <w:left w:val="nil"/>
              <w:bottom w:val="nil"/>
              <w:right w:val="single" w:sz="4" w:space="0" w:color="auto"/>
            </w:tcBorders>
            <w:shd w:val="clear" w:color="auto" w:fill="auto"/>
            <w:noWrap/>
            <w:vAlign w:val="center"/>
            <w:hideMark/>
          </w:tcPr>
          <w:p w14:paraId="167BB6C3"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1.511.178</w:t>
            </w:r>
          </w:p>
        </w:tc>
        <w:tc>
          <w:tcPr>
            <w:tcW w:w="1360" w:type="dxa"/>
            <w:tcBorders>
              <w:top w:val="nil"/>
              <w:left w:val="nil"/>
              <w:bottom w:val="nil"/>
              <w:right w:val="single" w:sz="4" w:space="0" w:color="auto"/>
            </w:tcBorders>
            <w:shd w:val="clear" w:color="auto" w:fill="auto"/>
            <w:noWrap/>
            <w:vAlign w:val="center"/>
            <w:hideMark/>
          </w:tcPr>
          <w:p w14:paraId="231F233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-734 </w:t>
            </w:r>
          </w:p>
        </w:tc>
        <w:tc>
          <w:tcPr>
            <w:tcW w:w="1194" w:type="dxa"/>
            <w:tcBorders>
              <w:top w:val="nil"/>
              <w:left w:val="nil"/>
              <w:bottom w:val="nil"/>
              <w:right w:val="single" w:sz="4" w:space="0" w:color="auto"/>
            </w:tcBorders>
            <w:shd w:val="clear" w:color="auto" w:fill="auto"/>
            <w:noWrap/>
            <w:vAlign w:val="center"/>
            <w:hideMark/>
          </w:tcPr>
          <w:p w14:paraId="7C95EC28"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-72.332</w:t>
            </w:r>
          </w:p>
        </w:tc>
        <w:tc>
          <w:tcPr>
            <w:tcW w:w="1134" w:type="dxa"/>
            <w:tcBorders>
              <w:top w:val="nil"/>
              <w:left w:val="nil"/>
              <w:bottom w:val="nil"/>
              <w:right w:val="single" w:sz="8" w:space="0" w:color="auto"/>
            </w:tcBorders>
            <w:shd w:val="clear" w:color="auto" w:fill="auto"/>
            <w:noWrap/>
            <w:vAlign w:val="center"/>
            <w:hideMark/>
          </w:tcPr>
          <w:p w14:paraId="1E91C72D"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1.438.112</w:t>
            </w:r>
          </w:p>
        </w:tc>
      </w:tr>
      <w:tr w:rsidR="00CA1364" w:rsidRPr="00701F32" w14:paraId="6A895B63"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6D0C8034"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diversos </w:t>
            </w:r>
          </w:p>
        </w:tc>
        <w:tc>
          <w:tcPr>
            <w:tcW w:w="780" w:type="dxa"/>
            <w:tcBorders>
              <w:top w:val="nil"/>
              <w:left w:val="nil"/>
              <w:bottom w:val="nil"/>
              <w:right w:val="single" w:sz="4" w:space="0" w:color="auto"/>
            </w:tcBorders>
            <w:shd w:val="clear" w:color="auto" w:fill="auto"/>
            <w:noWrap/>
            <w:vAlign w:val="center"/>
            <w:hideMark/>
          </w:tcPr>
          <w:p w14:paraId="139F2CD3"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5C875DB6"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1.162.611</w:t>
            </w:r>
          </w:p>
        </w:tc>
        <w:tc>
          <w:tcPr>
            <w:tcW w:w="1360" w:type="dxa"/>
            <w:tcBorders>
              <w:top w:val="nil"/>
              <w:left w:val="nil"/>
              <w:bottom w:val="nil"/>
              <w:right w:val="single" w:sz="4" w:space="0" w:color="auto"/>
            </w:tcBorders>
            <w:shd w:val="clear" w:color="auto" w:fill="auto"/>
            <w:noWrap/>
            <w:vAlign w:val="center"/>
            <w:hideMark/>
          </w:tcPr>
          <w:p w14:paraId="5022FEC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-1.162.611 </w:t>
            </w:r>
          </w:p>
        </w:tc>
        <w:tc>
          <w:tcPr>
            <w:tcW w:w="1194" w:type="dxa"/>
            <w:tcBorders>
              <w:top w:val="nil"/>
              <w:left w:val="nil"/>
              <w:bottom w:val="nil"/>
              <w:right w:val="single" w:sz="4" w:space="0" w:color="auto"/>
            </w:tcBorders>
            <w:shd w:val="clear" w:color="auto" w:fill="auto"/>
            <w:noWrap/>
            <w:vAlign w:val="center"/>
            <w:hideMark/>
          </w:tcPr>
          <w:p w14:paraId="69944B0A"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790FB46B"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5D005344"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283E22C"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Bienes de uso y diversos</w:t>
            </w:r>
          </w:p>
        </w:tc>
        <w:tc>
          <w:tcPr>
            <w:tcW w:w="780" w:type="dxa"/>
            <w:tcBorders>
              <w:top w:val="nil"/>
              <w:left w:val="nil"/>
              <w:bottom w:val="nil"/>
              <w:right w:val="single" w:sz="4" w:space="0" w:color="auto"/>
            </w:tcBorders>
            <w:shd w:val="clear" w:color="auto" w:fill="auto"/>
            <w:noWrap/>
            <w:vAlign w:val="center"/>
            <w:hideMark/>
          </w:tcPr>
          <w:p w14:paraId="0888797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76A8AF0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1.139.613</w:t>
            </w:r>
          </w:p>
        </w:tc>
        <w:tc>
          <w:tcPr>
            <w:tcW w:w="1360" w:type="dxa"/>
            <w:tcBorders>
              <w:top w:val="nil"/>
              <w:left w:val="nil"/>
              <w:bottom w:val="nil"/>
              <w:right w:val="single" w:sz="4" w:space="0" w:color="auto"/>
            </w:tcBorders>
            <w:shd w:val="clear" w:color="auto" w:fill="auto"/>
            <w:noWrap/>
            <w:vAlign w:val="center"/>
            <w:hideMark/>
          </w:tcPr>
          <w:p w14:paraId="404EC554"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-1.139.613 </w:t>
            </w:r>
          </w:p>
        </w:tc>
        <w:tc>
          <w:tcPr>
            <w:tcW w:w="1194" w:type="dxa"/>
            <w:tcBorders>
              <w:top w:val="nil"/>
              <w:left w:val="nil"/>
              <w:bottom w:val="nil"/>
              <w:right w:val="single" w:sz="4" w:space="0" w:color="auto"/>
            </w:tcBorders>
            <w:shd w:val="clear" w:color="auto" w:fill="auto"/>
            <w:noWrap/>
            <w:vAlign w:val="center"/>
            <w:hideMark/>
          </w:tcPr>
          <w:p w14:paraId="28F50D0C"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5C023D8E"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5D4B5783"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0873A02"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intangibles </w:t>
            </w:r>
          </w:p>
        </w:tc>
        <w:tc>
          <w:tcPr>
            <w:tcW w:w="780" w:type="dxa"/>
            <w:tcBorders>
              <w:top w:val="nil"/>
              <w:left w:val="nil"/>
              <w:bottom w:val="nil"/>
              <w:right w:val="single" w:sz="4" w:space="0" w:color="auto"/>
            </w:tcBorders>
            <w:shd w:val="clear" w:color="auto" w:fill="auto"/>
            <w:noWrap/>
            <w:vAlign w:val="center"/>
            <w:hideMark/>
          </w:tcPr>
          <w:p w14:paraId="0EC9448F"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f, k</w:t>
            </w:r>
          </w:p>
        </w:tc>
        <w:tc>
          <w:tcPr>
            <w:tcW w:w="1180" w:type="dxa"/>
            <w:tcBorders>
              <w:top w:val="nil"/>
              <w:left w:val="nil"/>
              <w:bottom w:val="nil"/>
              <w:right w:val="single" w:sz="4" w:space="0" w:color="auto"/>
            </w:tcBorders>
            <w:shd w:val="clear" w:color="auto" w:fill="auto"/>
            <w:noWrap/>
            <w:vAlign w:val="center"/>
            <w:hideMark/>
          </w:tcPr>
          <w:p w14:paraId="5A57CFBB"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271.383</w:t>
            </w:r>
          </w:p>
        </w:tc>
        <w:tc>
          <w:tcPr>
            <w:tcW w:w="1360" w:type="dxa"/>
            <w:tcBorders>
              <w:top w:val="nil"/>
              <w:left w:val="nil"/>
              <w:bottom w:val="nil"/>
              <w:right w:val="single" w:sz="4" w:space="0" w:color="auto"/>
            </w:tcBorders>
            <w:shd w:val="clear" w:color="auto" w:fill="auto"/>
            <w:noWrap/>
            <w:vAlign w:val="center"/>
            <w:hideMark/>
          </w:tcPr>
          <w:p w14:paraId="75C91218"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-76.378 </w:t>
            </w:r>
          </w:p>
        </w:tc>
        <w:tc>
          <w:tcPr>
            <w:tcW w:w="1194" w:type="dxa"/>
            <w:tcBorders>
              <w:top w:val="nil"/>
              <w:left w:val="nil"/>
              <w:bottom w:val="nil"/>
              <w:right w:val="single" w:sz="4" w:space="0" w:color="auto"/>
            </w:tcBorders>
            <w:shd w:val="clear" w:color="auto" w:fill="auto"/>
            <w:noWrap/>
            <w:vAlign w:val="center"/>
            <w:hideMark/>
          </w:tcPr>
          <w:p w14:paraId="3DC828C4"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-54.856</w:t>
            </w:r>
          </w:p>
        </w:tc>
        <w:tc>
          <w:tcPr>
            <w:tcW w:w="1134" w:type="dxa"/>
            <w:tcBorders>
              <w:top w:val="nil"/>
              <w:left w:val="nil"/>
              <w:bottom w:val="nil"/>
              <w:right w:val="single" w:sz="8" w:space="0" w:color="auto"/>
            </w:tcBorders>
            <w:shd w:val="clear" w:color="auto" w:fill="auto"/>
            <w:noWrap/>
            <w:vAlign w:val="center"/>
            <w:hideMark/>
          </w:tcPr>
          <w:p w14:paraId="42D0BF65"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140.149</w:t>
            </w:r>
          </w:p>
        </w:tc>
      </w:tr>
      <w:tr w:rsidR="00CA1364" w:rsidRPr="00701F32" w14:paraId="700CB4CA"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2E6923EB"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780" w:type="dxa"/>
            <w:tcBorders>
              <w:top w:val="nil"/>
              <w:left w:val="nil"/>
              <w:bottom w:val="nil"/>
              <w:right w:val="single" w:sz="4" w:space="0" w:color="auto"/>
            </w:tcBorders>
            <w:shd w:val="clear" w:color="auto" w:fill="auto"/>
            <w:noWrap/>
            <w:vAlign w:val="center"/>
            <w:hideMark/>
          </w:tcPr>
          <w:p w14:paraId="1293B45B"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477AD38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40.871</w:t>
            </w:r>
          </w:p>
        </w:tc>
        <w:tc>
          <w:tcPr>
            <w:tcW w:w="1360" w:type="dxa"/>
            <w:tcBorders>
              <w:top w:val="nil"/>
              <w:left w:val="nil"/>
              <w:bottom w:val="nil"/>
              <w:right w:val="single" w:sz="4" w:space="0" w:color="auto"/>
            </w:tcBorders>
            <w:shd w:val="clear" w:color="auto" w:fill="auto"/>
            <w:noWrap/>
            <w:vAlign w:val="center"/>
            <w:hideMark/>
          </w:tcPr>
          <w:p w14:paraId="4E13003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-40.871 </w:t>
            </w:r>
          </w:p>
        </w:tc>
        <w:tc>
          <w:tcPr>
            <w:tcW w:w="1194" w:type="dxa"/>
            <w:tcBorders>
              <w:top w:val="nil"/>
              <w:left w:val="nil"/>
              <w:bottom w:val="nil"/>
              <w:right w:val="single" w:sz="4" w:space="0" w:color="auto"/>
            </w:tcBorders>
            <w:shd w:val="clear" w:color="auto" w:fill="auto"/>
            <w:noWrap/>
            <w:vAlign w:val="center"/>
            <w:hideMark/>
          </w:tcPr>
          <w:p w14:paraId="49FD4EEC"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15C98C01"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36BCFC1F"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2808C97"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de deuda a VR con cambios en resultados </w:t>
            </w:r>
          </w:p>
        </w:tc>
        <w:tc>
          <w:tcPr>
            <w:tcW w:w="780" w:type="dxa"/>
            <w:tcBorders>
              <w:top w:val="nil"/>
              <w:left w:val="nil"/>
              <w:bottom w:val="nil"/>
              <w:right w:val="single" w:sz="4" w:space="0" w:color="auto"/>
            </w:tcBorders>
            <w:shd w:val="clear" w:color="auto" w:fill="auto"/>
            <w:noWrap/>
            <w:vAlign w:val="center"/>
            <w:hideMark/>
          </w:tcPr>
          <w:p w14:paraId="089E433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180" w:type="dxa"/>
            <w:tcBorders>
              <w:top w:val="nil"/>
              <w:left w:val="nil"/>
              <w:bottom w:val="nil"/>
              <w:right w:val="single" w:sz="4" w:space="0" w:color="auto"/>
            </w:tcBorders>
            <w:shd w:val="clear" w:color="auto" w:fill="auto"/>
            <w:noWrap/>
            <w:vAlign w:val="center"/>
            <w:hideMark/>
          </w:tcPr>
          <w:p w14:paraId="3A855DF6"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29727D10"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11.343.891 </w:t>
            </w:r>
          </w:p>
        </w:tc>
        <w:tc>
          <w:tcPr>
            <w:tcW w:w="1194" w:type="dxa"/>
            <w:tcBorders>
              <w:top w:val="nil"/>
              <w:left w:val="nil"/>
              <w:bottom w:val="nil"/>
              <w:right w:val="single" w:sz="4" w:space="0" w:color="auto"/>
            </w:tcBorders>
            <w:shd w:val="clear" w:color="auto" w:fill="auto"/>
            <w:noWrap/>
            <w:vAlign w:val="center"/>
            <w:hideMark/>
          </w:tcPr>
          <w:p w14:paraId="2834885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-15.448</w:t>
            </w:r>
          </w:p>
        </w:tc>
        <w:tc>
          <w:tcPr>
            <w:tcW w:w="1134" w:type="dxa"/>
            <w:tcBorders>
              <w:top w:val="nil"/>
              <w:left w:val="nil"/>
              <w:bottom w:val="nil"/>
              <w:right w:val="single" w:sz="8" w:space="0" w:color="auto"/>
            </w:tcBorders>
            <w:shd w:val="clear" w:color="auto" w:fill="auto"/>
            <w:noWrap/>
            <w:vAlign w:val="center"/>
            <w:hideMark/>
          </w:tcPr>
          <w:p w14:paraId="025FF815"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11.328.443</w:t>
            </w:r>
          </w:p>
        </w:tc>
      </w:tr>
      <w:tr w:rsidR="00CA1364" w:rsidRPr="00701F32" w14:paraId="72F9D197"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0B20F77A"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 </w:t>
            </w:r>
          </w:p>
        </w:tc>
        <w:tc>
          <w:tcPr>
            <w:tcW w:w="780" w:type="dxa"/>
            <w:tcBorders>
              <w:top w:val="nil"/>
              <w:left w:val="nil"/>
              <w:bottom w:val="nil"/>
              <w:right w:val="single" w:sz="4" w:space="0" w:color="auto"/>
            </w:tcBorders>
            <w:shd w:val="clear" w:color="auto" w:fill="auto"/>
            <w:noWrap/>
            <w:vAlign w:val="center"/>
            <w:hideMark/>
          </w:tcPr>
          <w:p w14:paraId="0AC2AF02"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69C08F3B"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1B43AA6B"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26.916 </w:t>
            </w:r>
          </w:p>
        </w:tc>
        <w:tc>
          <w:tcPr>
            <w:tcW w:w="1194" w:type="dxa"/>
            <w:tcBorders>
              <w:top w:val="nil"/>
              <w:left w:val="nil"/>
              <w:bottom w:val="nil"/>
              <w:right w:val="single" w:sz="4" w:space="0" w:color="auto"/>
            </w:tcBorders>
            <w:shd w:val="clear" w:color="auto" w:fill="auto"/>
            <w:noWrap/>
            <w:vAlign w:val="center"/>
            <w:hideMark/>
          </w:tcPr>
          <w:p w14:paraId="0DED9880"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6F0020DE"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26.916</w:t>
            </w:r>
          </w:p>
        </w:tc>
      </w:tr>
      <w:tr w:rsidR="00CA1364" w:rsidRPr="00701F32" w14:paraId="27833AA3"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4EA9240"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780" w:type="dxa"/>
            <w:tcBorders>
              <w:top w:val="nil"/>
              <w:left w:val="nil"/>
              <w:bottom w:val="nil"/>
              <w:right w:val="single" w:sz="4" w:space="0" w:color="auto"/>
            </w:tcBorders>
            <w:shd w:val="clear" w:color="auto" w:fill="auto"/>
            <w:noWrap/>
            <w:vAlign w:val="center"/>
            <w:hideMark/>
          </w:tcPr>
          <w:p w14:paraId="65F99FF4"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80" w:type="dxa"/>
            <w:tcBorders>
              <w:top w:val="nil"/>
              <w:left w:val="nil"/>
              <w:bottom w:val="nil"/>
              <w:right w:val="single" w:sz="4" w:space="0" w:color="auto"/>
            </w:tcBorders>
            <w:shd w:val="clear" w:color="auto" w:fill="auto"/>
            <w:noWrap/>
            <w:vAlign w:val="center"/>
            <w:hideMark/>
          </w:tcPr>
          <w:p w14:paraId="347A337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4F158F0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3.349.822 </w:t>
            </w:r>
          </w:p>
        </w:tc>
        <w:tc>
          <w:tcPr>
            <w:tcW w:w="1194" w:type="dxa"/>
            <w:tcBorders>
              <w:top w:val="nil"/>
              <w:left w:val="nil"/>
              <w:bottom w:val="nil"/>
              <w:right w:val="single" w:sz="4" w:space="0" w:color="auto"/>
            </w:tcBorders>
            <w:shd w:val="clear" w:color="auto" w:fill="auto"/>
            <w:noWrap/>
            <w:vAlign w:val="center"/>
            <w:hideMark/>
          </w:tcPr>
          <w:p w14:paraId="091C28B4"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1852473A"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3.349.822</w:t>
            </w:r>
          </w:p>
        </w:tc>
      </w:tr>
      <w:tr w:rsidR="00CA1364" w:rsidRPr="00701F32" w14:paraId="31101808"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06D4C63"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financieros </w:t>
            </w:r>
          </w:p>
        </w:tc>
        <w:tc>
          <w:tcPr>
            <w:tcW w:w="780" w:type="dxa"/>
            <w:tcBorders>
              <w:top w:val="nil"/>
              <w:left w:val="nil"/>
              <w:bottom w:val="nil"/>
              <w:right w:val="single" w:sz="4" w:space="0" w:color="auto"/>
            </w:tcBorders>
            <w:shd w:val="clear" w:color="auto" w:fill="auto"/>
            <w:noWrap/>
            <w:vAlign w:val="center"/>
            <w:hideMark/>
          </w:tcPr>
          <w:p w14:paraId="2C18759E"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180" w:type="dxa"/>
            <w:tcBorders>
              <w:top w:val="nil"/>
              <w:left w:val="nil"/>
              <w:bottom w:val="nil"/>
              <w:right w:val="single" w:sz="4" w:space="0" w:color="auto"/>
            </w:tcBorders>
            <w:shd w:val="clear" w:color="auto" w:fill="auto"/>
            <w:noWrap/>
            <w:vAlign w:val="center"/>
            <w:hideMark/>
          </w:tcPr>
          <w:p w14:paraId="4164E76B"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570ED67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449.769 </w:t>
            </w:r>
          </w:p>
        </w:tc>
        <w:tc>
          <w:tcPr>
            <w:tcW w:w="1194" w:type="dxa"/>
            <w:tcBorders>
              <w:top w:val="nil"/>
              <w:left w:val="nil"/>
              <w:bottom w:val="nil"/>
              <w:right w:val="single" w:sz="4" w:space="0" w:color="auto"/>
            </w:tcBorders>
            <w:shd w:val="clear" w:color="auto" w:fill="auto"/>
            <w:noWrap/>
            <w:vAlign w:val="center"/>
            <w:hideMark/>
          </w:tcPr>
          <w:p w14:paraId="6F46E1A8"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0D4BD3F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449.769</w:t>
            </w:r>
          </w:p>
        </w:tc>
      </w:tr>
      <w:tr w:rsidR="00CA1364" w:rsidRPr="00701F32" w14:paraId="5DA633DD"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5176A832"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Préstamos y otras financiaciones </w:t>
            </w:r>
          </w:p>
        </w:tc>
        <w:tc>
          <w:tcPr>
            <w:tcW w:w="780" w:type="dxa"/>
            <w:tcBorders>
              <w:top w:val="nil"/>
              <w:left w:val="nil"/>
              <w:bottom w:val="nil"/>
              <w:right w:val="single" w:sz="4" w:space="0" w:color="auto"/>
            </w:tcBorders>
            <w:shd w:val="clear" w:color="auto" w:fill="auto"/>
            <w:noWrap/>
            <w:vAlign w:val="center"/>
            <w:hideMark/>
          </w:tcPr>
          <w:p w14:paraId="501F7655"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a, b, g, m</w:t>
            </w:r>
          </w:p>
        </w:tc>
        <w:tc>
          <w:tcPr>
            <w:tcW w:w="1180" w:type="dxa"/>
            <w:tcBorders>
              <w:top w:val="nil"/>
              <w:left w:val="nil"/>
              <w:bottom w:val="nil"/>
              <w:right w:val="single" w:sz="4" w:space="0" w:color="auto"/>
            </w:tcBorders>
            <w:shd w:val="clear" w:color="auto" w:fill="auto"/>
            <w:noWrap/>
            <w:vAlign w:val="center"/>
            <w:hideMark/>
          </w:tcPr>
          <w:p w14:paraId="620B717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6C0DEE13"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54.172.129 </w:t>
            </w:r>
          </w:p>
        </w:tc>
        <w:tc>
          <w:tcPr>
            <w:tcW w:w="1194" w:type="dxa"/>
            <w:tcBorders>
              <w:top w:val="nil"/>
              <w:left w:val="nil"/>
              <w:bottom w:val="nil"/>
              <w:right w:val="single" w:sz="4" w:space="0" w:color="auto"/>
            </w:tcBorders>
            <w:shd w:val="clear" w:color="auto" w:fill="auto"/>
            <w:noWrap/>
            <w:vAlign w:val="center"/>
            <w:hideMark/>
          </w:tcPr>
          <w:p w14:paraId="6D73400B"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476.619</w:t>
            </w:r>
          </w:p>
        </w:tc>
        <w:tc>
          <w:tcPr>
            <w:tcW w:w="1134" w:type="dxa"/>
            <w:tcBorders>
              <w:top w:val="nil"/>
              <w:left w:val="nil"/>
              <w:bottom w:val="nil"/>
              <w:right w:val="single" w:sz="8" w:space="0" w:color="auto"/>
            </w:tcBorders>
            <w:shd w:val="clear" w:color="auto" w:fill="auto"/>
            <w:noWrap/>
            <w:vAlign w:val="center"/>
            <w:hideMark/>
          </w:tcPr>
          <w:p w14:paraId="796CCA9F"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54.648.748</w:t>
            </w:r>
          </w:p>
        </w:tc>
      </w:tr>
      <w:tr w:rsidR="00CA1364" w:rsidRPr="00701F32" w14:paraId="2317A9FA"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4C209A19"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títulos de deuda </w:t>
            </w:r>
          </w:p>
        </w:tc>
        <w:tc>
          <w:tcPr>
            <w:tcW w:w="780" w:type="dxa"/>
            <w:tcBorders>
              <w:top w:val="nil"/>
              <w:left w:val="nil"/>
              <w:bottom w:val="nil"/>
              <w:right w:val="single" w:sz="4" w:space="0" w:color="auto"/>
            </w:tcBorders>
            <w:shd w:val="clear" w:color="auto" w:fill="auto"/>
            <w:noWrap/>
            <w:vAlign w:val="center"/>
            <w:hideMark/>
          </w:tcPr>
          <w:p w14:paraId="19C491BE"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2517E5A4"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20D18039"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257.003 </w:t>
            </w:r>
          </w:p>
        </w:tc>
        <w:tc>
          <w:tcPr>
            <w:tcW w:w="1194" w:type="dxa"/>
            <w:tcBorders>
              <w:top w:val="nil"/>
              <w:left w:val="nil"/>
              <w:bottom w:val="nil"/>
              <w:right w:val="single" w:sz="4" w:space="0" w:color="auto"/>
            </w:tcBorders>
            <w:shd w:val="clear" w:color="auto" w:fill="auto"/>
            <w:noWrap/>
            <w:vAlign w:val="center"/>
            <w:hideMark/>
          </w:tcPr>
          <w:p w14:paraId="2030D4AA"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0C5B3BF4"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257.003</w:t>
            </w:r>
          </w:p>
        </w:tc>
      </w:tr>
      <w:tr w:rsidR="00CA1364" w:rsidRPr="00701F32" w14:paraId="24678477"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5DE0A759"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financieros entregados en garantía </w:t>
            </w:r>
          </w:p>
        </w:tc>
        <w:tc>
          <w:tcPr>
            <w:tcW w:w="780" w:type="dxa"/>
            <w:tcBorders>
              <w:top w:val="nil"/>
              <w:left w:val="nil"/>
              <w:bottom w:val="nil"/>
              <w:right w:val="single" w:sz="4" w:space="0" w:color="auto"/>
            </w:tcBorders>
            <w:shd w:val="clear" w:color="auto" w:fill="auto"/>
            <w:noWrap/>
            <w:vAlign w:val="center"/>
            <w:hideMark/>
          </w:tcPr>
          <w:p w14:paraId="0E80DEC5"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00EEF274"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69D7F92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1.180.087 </w:t>
            </w:r>
          </w:p>
        </w:tc>
        <w:tc>
          <w:tcPr>
            <w:tcW w:w="1194" w:type="dxa"/>
            <w:tcBorders>
              <w:top w:val="nil"/>
              <w:left w:val="nil"/>
              <w:bottom w:val="nil"/>
              <w:right w:val="single" w:sz="4" w:space="0" w:color="auto"/>
            </w:tcBorders>
            <w:shd w:val="clear" w:color="auto" w:fill="auto"/>
            <w:noWrap/>
            <w:vAlign w:val="center"/>
            <w:hideMark/>
          </w:tcPr>
          <w:p w14:paraId="1D7EED32"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295E5EC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1.180.087</w:t>
            </w:r>
          </w:p>
        </w:tc>
      </w:tr>
      <w:tr w:rsidR="00CA1364" w:rsidRPr="00701F32" w14:paraId="69F38D2E"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251803B"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instrumentos de patrimonio</w:t>
            </w:r>
          </w:p>
        </w:tc>
        <w:tc>
          <w:tcPr>
            <w:tcW w:w="780" w:type="dxa"/>
            <w:tcBorders>
              <w:top w:val="nil"/>
              <w:left w:val="nil"/>
              <w:bottom w:val="nil"/>
              <w:right w:val="single" w:sz="4" w:space="0" w:color="auto"/>
            </w:tcBorders>
            <w:shd w:val="clear" w:color="auto" w:fill="auto"/>
            <w:noWrap/>
            <w:vAlign w:val="center"/>
            <w:hideMark/>
          </w:tcPr>
          <w:p w14:paraId="7BB1175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180" w:type="dxa"/>
            <w:tcBorders>
              <w:top w:val="nil"/>
              <w:left w:val="nil"/>
              <w:bottom w:val="nil"/>
              <w:right w:val="single" w:sz="4" w:space="0" w:color="auto"/>
            </w:tcBorders>
            <w:shd w:val="clear" w:color="auto" w:fill="auto"/>
            <w:noWrap/>
            <w:vAlign w:val="center"/>
            <w:hideMark/>
          </w:tcPr>
          <w:p w14:paraId="53D988D9"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5B63CCA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38.703 </w:t>
            </w:r>
          </w:p>
        </w:tc>
        <w:tc>
          <w:tcPr>
            <w:tcW w:w="1194" w:type="dxa"/>
            <w:tcBorders>
              <w:top w:val="nil"/>
              <w:left w:val="nil"/>
              <w:bottom w:val="nil"/>
              <w:right w:val="single" w:sz="4" w:space="0" w:color="auto"/>
            </w:tcBorders>
            <w:shd w:val="clear" w:color="auto" w:fill="auto"/>
            <w:noWrap/>
            <w:vAlign w:val="center"/>
            <w:hideMark/>
          </w:tcPr>
          <w:p w14:paraId="1EAF7BD0"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7.216</w:t>
            </w:r>
          </w:p>
        </w:tc>
        <w:tc>
          <w:tcPr>
            <w:tcW w:w="1134" w:type="dxa"/>
            <w:tcBorders>
              <w:top w:val="nil"/>
              <w:left w:val="nil"/>
              <w:bottom w:val="nil"/>
              <w:right w:val="single" w:sz="8" w:space="0" w:color="auto"/>
            </w:tcBorders>
            <w:shd w:val="clear" w:color="auto" w:fill="auto"/>
            <w:noWrap/>
            <w:vAlign w:val="center"/>
            <w:hideMark/>
          </w:tcPr>
          <w:p w14:paraId="4D2D9D2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45.919</w:t>
            </w:r>
          </w:p>
        </w:tc>
      </w:tr>
      <w:tr w:rsidR="00CA1364" w:rsidRPr="00701F32" w14:paraId="3853BBBF"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F7C02A4"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impuestos a las ganancias corriente </w:t>
            </w:r>
          </w:p>
        </w:tc>
        <w:tc>
          <w:tcPr>
            <w:tcW w:w="780" w:type="dxa"/>
            <w:tcBorders>
              <w:top w:val="nil"/>
              <w:left w:val="nil"/>
              <w:bottom w:val="nil"/>
              <w:right w:val="single" w:sz="4" w:space="0" w:color="auto"/>
            </w:tcBorders>
            <w:shd w:val="clear" w:color="auto" w:fill="auto"/>
            <w:noWrap/>
            <w:vAlign w:val="center"/>
            <w:hideMark/>
          </w:tcPr>
          <w:p w14:paraId="137E1AC2"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67D53B66"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7A54975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4.881 </w:t>
            </w:r>
          </w:p>
        </w:tc>
        <w:tc>
          <w:tcPr>
            <w:tcW w:w="1194" w:type="dxa"/>
            <w:tcBorders>
              <w:top w:val="nil"/>
              <w:left w:val="nil"/>
              <w:bottom w:val="nil"/>
              <w:right w:val="single" w:sz="4" w:space="0" w:color="auto"/>
            </w:tcBorders>
            <w:shd w:val="clear" w:color="auto" w:fill="auto"/>
            <w:noWrap/>
            <w:vAlign w:val="center"/>
            <w:hideMark/>
          </w:tcPr>
          <w:p w14:paraId="1A3FA66D"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16E05CC5"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4.881</w:t>
            </w:r>
          </w:p>
        </w:tc>
      </w:tr>
      <w:tr w:rsidR="00CA1364" w:rsidRPr="00701F32" w14:paraId="68C8C802"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F56617B"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 a las ganancias diferido </w:t>
            </w:r>
          </w:p>
        </w:tc>
        <w:tc>
          <w:tcPr>
            <w:tcW w:w="780" w:type="dxa"/>
            <w:tcBorders>
              <w:top w:val="nil"/>
              <w:left w:val="nil"/>
              <w:bottom w:val="nil"/>
              <w:right w:val="single" w:sz="4" w:space="0" w:color="auto"/>
            </w:tcBorders>
            <w:shd w:val="clear" w:color="auto" w:fill="auto"/>
            <w:noWrap/>
            <w:vAlign w:val="center"/>
            <w:hideMark/>
          </w:tcPr>
          <w:p w14:paraId="2FE69662"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j</w:t>
            </w:r>
          </w:p>
        </w:tc>
        <w:tc>
          <w:tcPr>
            <w:tcW w:w="1180" w:type="dxa"/>
            <w:tcBorders>
              <w:top w:val="nil"/>
              <w:left w:val="nil"/>
              <w:bottom w:val="nil"/>
              <w:right w:val="single" w:sz="4" w:space="0" w:color="auto"/>
            </w:tcBorders>
            <w:shd w:val="clear" w:color="auto" w:fill="auto"/>
            <w:noWrap/>
            <w:vAlign w:val="center"/>
            <w:hideMark/>
          </w:tcPr>
          <w:p w14:paraId="3C23FA41"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4B44627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nil"/>
              <w:right w:val="single" w:sz="4" w:space="0" w:color="auto"/>
            </w:tcBorders>
            <w:shd w:val="clear" w:color="auto" w:fill="auto"/>
            <w:noWrap/>
            <w:vAlign w:val="center"/>
            <w:hideMark/>
          </w:tcPr>
          <w:p w14:paraId="198304D8"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377.744</w:t>
            </w:r>
          </w:p>
        </w:tc>
        <w:tc>
          <w:tcPr>
            <w:tcW w:w="1134" w:type="dxa"/>
            <w:tcBorders>
              <w:top w:val="nil"/>
              <w:left w:val="nil"/>
              <w:bottom w:val="nil"/>
              <w:right w:val="single" w:sz="8" w:space="0" w:color="auto"/>
            </w:tcBorders>
            <w:shd w:val="clear" w:color="auto" w:fill="auto"/>
            <w:noWrap/>
            <w:vAlign w:val="center"/>
            <w:hideMark/>
          </w:tcPr>
          <w:p w14:paraId="525D851F"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377.744</w:t>
            </w:r>
          </w:p>
        </w:tc>
      </w:tr>
      <w:tr w:rsidR="00CA1364" w:rsidRPr="00701F32" w14:paraId="7DA52936"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9ADD515"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no financieros </w:t>
            </w:r>
          </w:p>
        </w:tc>
        <w:tc>
          <w:tcPr>
            <w:tcW w:w="780" w:type="dxa"/>
            <w:tcBorders>
              <w:top w:val="nil"/>
              <w:left w:val="nil"/>
              <w:bottom w:val="nil"/>
              <w:right w:val="single" w:sz="4" w:space="0" w:color="auto"/>
            </w:tcBorders>
            <w:shd w:val="clear" w:color="auto" w:fill="auto"/>
            <w:noWrap/>
            <w:vAlign w:val="center"/>
            <w:hideMark/>
          </w:tcPr>
          <w:p w14:paraId="1CD47719"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80" w:type="dxa"/>
            <w:tcBorders>
              <w:top w:val="nil"/>
              <w:left w:val="nil"/>
              <w:bottom w:val="nil"/>
              <w:right w:val="single" w:sz="4" w:space="0" w:color="auto"/>
            </w:tcBorders>
            <w:shd w:val="clear" w:color="auto" w:fill="auto"/>
            <w:noWrap/>
            <w:vAlign w:val="center"/>
            <w:hideMark/>
          </w:tcPr>
          <w:p w14:paraId="1DE9C649"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2C68ADF2"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543.267 </w:t>
            </w:r>
          </w:p>
        </w:tc>
        <w:tc>
          <w:tcPr>
            <w:tcW w:w="1194" w:type="dxa"/>
            <w:tcBorders>
              <w:top w:val="nil"/>
              <w:left w:val="nil"/>
              <w:bottom w:val="nil"/>
              <w:right w:val="single" w:sz="4" w:space="0" w:color="auto"/>
            </w:tcBorders>
            <w:shd w:val="clear" w:color="auto" w:fill="auto"/>
            <w:noWrap/>
            <w:vAlign w:val="center"/>
            <w:hideMark/>
          </w:tcPr>
          <w:p w14:paraId="46E5E512"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78.672</w:t>
            </w:r>
          </w:p>
        </w:tc>
        <w:tc>
          <w:tcPr>
            <w:tcW w:w="1134" w:type="dxa"/>
            <w:tcBorders>
              <w:top w:val="nil"/>
              <w:left w:val="nil"/>
              <w:bottom w:val="nil"/>
              <w:right w:val="single" w:sz="8" w:space="0" w:color="auto"/>
            </w:tcBorders>
            <w:shd w:val="clear" w:color="auto" w:fill="auto"/>
            <w:noWrap/>
            <w:vAlign w:val="center"/>
            <w:hideMark/>
          </w:tcPr>
          <w:p w14:paraId="7C91BA4D"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621.939</w:t>
            </w:r>
          </w:p>
        </w:tc>
      </w:tr>
      <w:tr w:rsidR="00CA1364" w:rsidRPr="00701F32" w14:paraId="2FCFEBC8" w14:textId="77777777" w:rsidTr="00941382">
        <w:trPr>
          <w:trHeight w:val="315"/>
        </w:trPr>
        <w:tc>
          <w:tcPr>
            <w:tcW w:w="3840" w:type="dxa"/>
            <w:tcBorders>
              <w:top w:val="nil"/>
              <w:left w:val="single" w:sz="8" w:space="0" w:color="auto"/>
              <w:bottom w:val="nil"/>
              <w:right w:val="single" w:sz="4" w:space="0" w:color="auto"/>
            </w:tcBorders>
            <w:shd w:val="clear" w:color="auto" w:fill="auto"/>
            <w:noWrap/>
            <w:vAlign w:val="center"/>
            <w:hideMark/>
          </w:tcPr>
          <w:p w14:paraId="442AE598"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Propiedad, planta y equipo </w:t>
            </w:r>
          </w:p>
        </w:tc>
        <w:tc>
          <w:tcPr>
            <w:tcW w:w="780" w:type="dxa"/>
            <w:tcBorders>
              <w:top w:val="nil"/>
              <w:left w:val="nil"/>
              <w:bottom w:val="nil"/>
              <w:right w:val="single" w:sz="4" w:space="0" w:color="auto"/>
            </w:tcBorders>
            <w:shd w:val="clear" w:color="auto" w:fill="auto"/>
            <w:noWrap/>
            <w:vAlign w:val="center"/>
            <w:hideMark/>
          </w:tcPr>
          <w:p w14:paraId="3CB6BE21"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180" w:type="dxa"/>
            <w:tcBorders>
              <w:top w:val="nil"/>
              <w:left w:val="nil"/>
              <w:bottom w:val="nil"/>
              <w:right w:val="single" w:sz="4" w:space="0" w:color="auto"/>
            </w:tcBorders>
            <w:shd w:val="clear" w:color="auto" w:fill="auto"/>
            <w:noWrap/>
            <w:vAlign w:val="center"/>
            <w:hideMark/>
          </w:tcPr>
          <w:p w14:paraId="49A8BD8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697B86B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950.881 </w:t>
            </w:r>
          </w:p>
        </w:tc>
        <w:tc>
          <w:tcPr>
            <w:tcW w:w="1194" w:type="dxa"/>
            <w:tcBorders>
              <w:top w:val="nil"/>
              <w:left w:val="nil"/>
              <w:bottom w:val="nil"/>
              <w:right w:val="single" w:sz="4" w:space="0" w:color="auto"/>
            </w:tcBorders>
            <w:shd w:val="clear" w:color="auto" w:fill="auto"/>
            <w:noWrap/>
            <w:vAlign w:val="center"/>
            <w:hideMark/>
          </w:tcPr>
          <w:p w14:paraId="42ECB7F5"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147.556</w:t>
            </w:r>
          </w:p>
        </w:tc>
        <w:tc>
          <w:tcPr>
            <w:tcW w:w="1134" w:type="dxa"/>
            <w:tcBorders>
              <w:top w:val="nil"/>
              <w:left w:val="nil"/>
              <w:bottom w:val="nil"/>
              <w:right w:val="single" w:sz="8" w:space="0" w:color="auto"/>
            </w:tcBorders>
            <w:shd w:val="clear" w:color="auto" w:fill="auto"/>
            <w:noWrap/>
            <w:vAlign w:val="center"/>
            <w:hideMark/>
          </w:tcPr>
          <w:p w14:paraId="0E5A0DCB"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1.098.437</w:t>
            </w:r>
          </w:p>
        </w:tc>
      </w:tr>
      <w:tr w:rsidR="00CA1364" w:rsidRPr="00701F32" w14:paraId="2E31CE03" w14:textId="77777777" w:rsidTr="00941382">
        <w:trPr>
          <w:trHeight w:val="67"/>
        </w:trPr>
        <w:tc>
          <w:tcPr>
            <w:tcW w:w="3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512A0" w14:textId="77777777" w:rsidR="00CA1364" w:rsidRPr="00701F32" w:rsidRDefault="00CA1364" w:rsidP="00CA1364">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2A3A8E" w:rsidRPr="00701F32">
              <w:rPr>
                <w:rFonts w:ascii="Arial" w:hAnsi="Arial" w:cs="Arial"/>
                <w:b/>
                <w:bCs/>
                <w:color w:val="000000"/>
                <w:sz w:val="16"/>
                <w:szCs w:val="16"/>
                <w:lang w:eastAsia="es-AR"/>
              </w:rPr>
              <w:t>l Activo al 31/12/2017</w:t>
            </w:r>
          </w:p>
        </w:tc>
        <w:tc>
          <w:tcPr>
            <w:tcW w:w="780" w:type="dxa"/>
            <w:tcBorders>
              <w:top w:val="single" w:sz="8" w:space="0" w:color="auto"/>
              <w:left w:val="nil"/>
              <w:bottom w:val="single" w:sz="8" w:space="0" w:color="auto"/>
              <w:right w:val="single" w:sz="4" w:space="0" w:color="auto"/>
            </w:tcBorders>
            <w:shd w:val="clear" w:color="auto" w:fill="auto"/>
            <w:noWrap/>
            <w:vAlign w:val="center"/>
            <w:hideMark/>
          </w:tcPr>
          <w:p w14:paraId="2FF85C18"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14:paraId="65F1C1A2"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88.808.776 </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069E578B"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-3.755.631 </w:t>
            </w:r>
          </w:p>
        </w:tc>
        <w:tc>
          <w:tcPr>
            <w:tcW w:w="1194" w:type="dxa"/>
            <w:tcBorders>
              <w:top w:val="single" w:sz="8" w:space="0" w:color="auto"/>
              <w:left w:val="nil"/>
              <w:bottom w:val="single" w:sz="8" w:space="0" w:color="auto"/>
              <w:right w:val="single" w:sz="4" w:space="0" w:color="auto"/>
            </w:tcBorders>
            <w:shd w:val="clear" w:color="auto" w:fill="auto"/>
            <w:noWrap/>
            <w:vAlign w:val="center"/>
            <w:hideMark/>
          </w:tcPr>
          <w:p w14:paraId="0391345C"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945.171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4925E1F"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85.998.316</w:t>
            </w:r>
          </w:p>
        </w:tc>
      </w:tr>
      <w:tr w:rsidR="00CA1364" w:rsidRPr="00701F32" w14:paraId="3F794EB5"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47B92194"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Depósitos </w:t>
            </w:r>
          </w:p>
        </w:tc>
        <w:tc>
          <w:tcPr>
            <w:tcW w:w="780" w:type="dxa"/>
            <w:tcBorders>
              <w:top w:val="nil"/>
              <w:left w:val="nil"/>
              <w:bottom w:val="nil"/>
              <w:right w:val="single" w:sz="4" w:space="0" w:color="auto"/>
            </w:tcBorders>
            <w:shd w:val="clear" w:color="auto" w:fill="auto"/>
            <w:noWrap/>
            <w:vAlign w:val="center"/>
            <w:hideMark/>
          </w:tcPr>
          <w:p w14:paraId="244A1876"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49993DB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60.057.393</w:t>
            </w:r>
          </w:p>
        </w:tc>
        <w:tc>
          <w:tcPr>
            <w:tcW w:w="1360" w:type="dxa"/>
            <w:tcBorders>
              <w:top w:val="nil"/>
              <w:left w:val="nil"/>
              <w:bottom w:val="nil"/>
              <w:right w:val="single" w:sz="4" w:space="0" w:color="auto"/>
            </w:tcBorders>
            <w:shd w:val="clear" w:color="auto" w:fill="auto"/>
            <w:noWrap/>
            <w:vAlign w:val="center"/>
            <w:hideMark/>
          </w:tcPr>
          <w:p w14:paraId="16E1369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-4.176.040 </w:t>
            </w:r>
          </w:p>
        </w:tc>
        <w:tc>
          <w:tcPr>
            <w:tcW w:w="1194" w:type="dxa"/>
            <w:tcBorders>
              <w:top w:val="nil"/>
              <w:left w:val="nil"/>
              <w:bottom w:val="nil"/>
              <w:right w:val="single" w:sz="4" w:space="0" w:color="auto"/>
            </w:tcBorders>
            <w:shd w:val="clear" w:color="auto" w:fill="auto"/>
            <w:noWrap/>
            <w:vAlign w:val="center"/>
            <w:hideMark/>
          </w:tcPr>
          <w:p w14:paraId="58F8705C"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4DFB5F06"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55.881.353</w:t>
            </w:r>
          </w:p>
        </w:tc>
      </w:tr>
      <w:tr w:rsidR="00CA1364" w:rsidRPr="00701F32" w14:paraId="079E97D3"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2BCD5451"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Otras obligaciones por intermediación financiera </w:t>
            </w:r>
          </w:p>
        </w:tc>
        <w:tc>
          <w:tcPr>
            <w:tcW w:w="780" w:type="dxa"/>
            <w:tcBorders>
              <w:top w:val="nil"/>
              <w:left w:val="nil"/>
              <w:bottom w:val="nil"/>
              <w:right w:val="single" w:sz="4" w:space="0" w:color="auto"/>
            </w:tcBorders>
            <w:shd w:val="clear" w:color="auto" w:fill="auto"/>
            <w:noWrap/>
            <w:vAlign w:val="center"/>
            <w:hideMark/>
          </w:tcPr>
          <w:p w14:paraId="7F2863BD"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180" w:type="dxa"/>
            <w:tcBorders>
              <w:top w:val="nil"/>
              <w:left w:val="nil"/>
              <w:bottom w:val="nil"/>
              <w:right w:val="single" w:sz="4" w:space="0" w:color="auto"/>
            </w:tcBorders>
            <w:shd w:val="clear" w:color="auto" w:fill="auto"/>
            <w:noWrap/>
            <w:vAlign w:val="center"/>
            <w:hideMark/>
          </w:tcPr>
          <w:p w14:paraId="4B875254"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16.319.420</w:t>
            </w:r>
          </w:p>
        </w:tc>
        <w:tc>
          <w:tcPr>
            <w:tcW w:w="1360" w:type="dxa"/>
            <w:tcBorders>
              <w:top w:val="nil"/>
              <w:left w:val="nil"/>
              <w:bottom w:val="nil"/>
              <w:right w:val="single" w:sz="4" w:space="0" w:color="auto"/>
            </w:tcBorders>
            <w:shd w:val="clear" w:color="auto" w:fill="auto"/>
            <w:noWrap/>
            <w:vAlign w:val="center"/>
            <w:hideMark/>
          </w:tcPr>
          <w:p w14:paraId="216E4658"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-16.319.420 </w:t>
            </w:r>
          </w:p>
        </w:tc>
        <w:tc>
          <w:tcPr>
            <w:tcW w:w="1194" w:type="dxa"/>
            <w:tcBorders>
              <w:top w:val="nil"/>
              <w:left w:val="nil"/>
              <w:bottom w:val="nil"/>
              <w:right w:val="single" w:sz="4" w:space="0" w:color="auto"/>
            </w:tcBorders>
            <w:shd w:val="clear" w:color="auto" w:fill="auto"/>
            <w:noWrap/>
            <w:vAlign w:val="center"/>
            <w:hideMark/>
          </w:tcPr>
          <w:p w14:paraId="1E8D720A"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335CBBD5"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675D3C4B"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6A332B07"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diversas </w:t>
            </w:r>
          </w:p>
        </w:tc>
        <w:tc>
          <w:tcPr>
            <w:tcW w:w="780" w:type="dxa"/>
            <w:tcBorders>
              <w:top w:val="nil"/>
              <w:left w:val="nil"/>
              <w:bottom w:val="nil"/>
              <w:right w:val="single" w:sz="4" w:space="0" w:color="auto"/>
            </w:tcBorders>
            <w:shd w:val="clear" w:color="auto" w:fill="auto"/>
            <w:noWrap/>
            <w:vAlign w:val="center"/>
            <w:hideMark/>
          </w:tcPr>
          <w:p w14:paraId="4806A04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413FC3D8"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1.645.624</w:t>
            </w:r>
          </w:p>
        </w:tc>
        <w:tc>
          <w:tcPr>
            <w:tcW w:w="1360" w:type="dxa"/>
            <w:tcBorders>
              <w:top w:val="nil"/>
              <w:left w:val="nil"/>
              <w:bottom w:val="nil"/>
              <w:right w:val="single" w:sz="4" w:space="0" w:color="auto"/>
            </w:tcBorders>
            <w:shd w:val="clear" w:color="auto" w:fill="auto"/>
            <w:noWrap/>
            <w:vAlign w:val="center"/>
            <w:hideMark/>
          </w:tcPr>
          <w:p w14:paraId="46491F91"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-1.645.624 </w:t>
            </w:r>
          </w:p>
        </w:tc>
        <w:tc>
          <w:tcPr>
            <w:tcW w:w="1194" w:type="dxa"/>
            <w:tcBorders>
              <w:top w:val="nil"/>
              <w:left w:val="nil"/>
              <w:bottom w:val="nil"/>
              <w:right w:val="single" w:sz="4" w:space="0" w:color="auto"/>
            </w:tcBorders>
            <w:shd w:val="clear" w:color="auto" w:fill="auto"/>
            <w:noWrap/>
            <w:vAlign w:val="center"/>
            <w:hideMark/>
          </w:tcPr>
          <w:p w14:paraId="7E4CDF4E"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661FA72C"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715132C9"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7EDEE601"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Provisiones </w:t>
            </w:r>
          </w:p>
        </w:tc>
        <w:tc>
          <w:tcPr>
            <w:tcW w:w="780" w:type="dxa"/>
            <w:tcBorders>
              <w:top w:val="nil"/>
              <w:left w:val="nil"/>
              <w:bottom w:val="nil"/>
              <w:right w:val="single" w:sz="4" w:space="0" w:color="auto"/>
            </w:tcBorders>
            <w:shd w:val="clear" w:color="auto" w:fill="auto"/>
            <w:noWrap/>
            <w:vAlign w:val="center"/>
            <w:hideMark/>
          </w:tcPr>
          <w:p w14:paraId="482AAF9F"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28A038F6"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52.997</w:t>
            </w:r>
          </w:p>
        </w:tc>
        <w:tc>
          <w:tcPr>
            <w:tcW w:w="1360" w:type="dxa"/>
            <w:tcBorders>
              <w:top w:val="nil"/>
              <w:left w:val="nil"/>
              <w:bottom w:val="nil"/>
              <w:right w:val="single" w:sz="4" w:space="0" w:color="auto"/>
            </w:tcBorders>
            <w:shd w:val="clear" w:color="auto" w:fill="auto"/>
            <w:noWrap/>
            <w:vAlign w:val="center"/>
            <w:hideMark/>
          </w:tcPr>
          <w:p w14:paraId="25B5F2C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nil"/>
              <w:right w:val="single" w:sz="4" w:space="0" w:color="auto"/>
            </w:tcBorders>
            <w:shd w:val="clear" w:color="auto" w:fill="auto"/>
            <w:noWrap/>
            <w:vAlign w:val="center"/>
            <w:hideMark/>
          </w:tcPr>
          <w:p w14:paraId="5030C6F1"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7A4CD9E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52.997</w:t>
            </w:r>
          </w:p>
        </w:tc>
      </w:tr>
      <w:tr w:rsidR="00CA1364" w:rsidRPr="00701F32" w14:paraId="49AD1462"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53163331"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subordinadas </w:t>
            </w:r>
          </w:p>
        </w:tc>
        <w:tc>
          <w:tcPr>
            <w:tcW w:w="780" w:type="dxa"/>
            <w:tcBorders>
              <w:top w:val="nil"/>
              <w:left w:val="nil"/>
              <w:bottom w:val="nil"/>
              <w:right w:val="single" w:sz="4" w:space="0" w:color="auto"/>
            </w:tcBorders>
            <w:shd w:val="clear" w:color="auto" w:fill="auto"/>
            <w:noWrap/>
            <w:vAlign w:val="center"/>
            <w:hideMark/>
          </w:tcPr>
          <w:p w14:paraId="15B6C77A"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200F63A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685.873</w:t>
            </w:r>
          </w:p>
        </w:tc>
        <w:tc>
          <w:tcPr>
            <w:tcW w:w="1360" w:type="dxa"/>
            <w:tcBorders>
              <w:top w:val="nil"/>
              <w:left w:val="nil"/>
              <w:bottom w:val="nil"/>
              <w:right w:val="single" w:sz="4" w:space="0" w:color="auto"/>
            </w:tcBorders>
            <w:shd w:val="clear" w:color="auto" w:fill="auto"/>
            <w:noWrap/>
            <w:vAlign w:val="center"/>
            <w:hideMark/>
          </w:tcPr>
          <w:p w14:paraId="096E7FF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nil"/>
              <w:right w:val="single" w:sz="4" w:space="0" w:color="auto"/>
            </w:tcBorders>
            <w:shd w:val="clear" w:color="auto" w:fill="auto"/>
            <w:noWrap/>
            <w:vAlign w:val="center"/>
            <w:hideMark/>
          </w:tcPr>
          <w:p w14:paraId="6F30FEF3"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45B19BA6"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685.873</w:t>
            </w:r>
          </w:p>
        </w:tc>
      </w:tr>
      <w:tr w:rsidR="00CA1364" w:rsidRPr="00701F32" w14:paraId="45A3AAE8"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0FF3CEB8"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780" w:type="dxa"/>
            <w:tcBorders>
              <w:top w:val="nil"/>
              <w:left w:val="nil"/>
              <w:bottom w:val="nil"/>
              <w:right w:val="single" w:sz="4" w:space="0" w:color="auto"/>
            </w:tcBorders>
            <w:shd w:val="clear" w:color="auto" w:fill="auto"/>
            <w:noWrap/>
            <w:vAlign w:val="center"/>
            <w:hideMark/>
          </w:tcPr>
          <w:p w14:paraId="174E1787"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29E94FBD"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52.782</w:t>
            </w:r>
          </w:p>
        </w:tc>
        <w:tc>
          <w:tcPr>
            <w:tcW w:w="1360" w:type="dxa"/>
            <w:tcBorders>
              <w:top w:val="nil"/>
              <w:left w:val="nil"/>
              <w:bottom w:val="nil"/>
              <w:right w:val="single" w:sz="4" w:space="0" w:color="auto"/>
            </w:tcBorders>
            <w:shd w:val="clear" w:color="auto" w:fill="auto"/>
            <w:noWrap/>
            <w:vAlign w:val="center"/>
            <w:hideMark/>
          </w:tcPr>
          <w:p w14:paraId="76A4DA40"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-52.782 </w:t>
            </w:r>
          </w:p>
        </w:tc>
        <w:tc>
          <w:tcPr>
            <w:tcW w:w="1194" w:type="dxa"/>
            <w:tcBorders>
              <w:top w:val="nil"/>
              <w:left w:val="nil"/>
              <w:bottom w:val="nil"/>
              <w:right w:val="single" w:sz="4" w:space="0" w:color="auto"/>
            </w:tcBorders>
            <w:shd w:val="clear" w:color="auto" w:fill="auto"/>
            <w:noWrap/>
            <w:vAlign w:val="center"/>
            <w:hideMark/>
          </w:tcPr>
          <w:p w14:paraId="2D55CC3A"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4F889407" w14:textId="77777777" w:rsidR="00CA1364" w:rsidRPr="00701F32" w:rsidRDefault="00CA1364" w:rsidP="00941382">
            <w:pPr>
              <w:jc w:val="right"/>
              <w:rPr>
                <w:rFonts w:ascii="Arial" w:hAnsi="Arial" w:cs="Arial"/>
                <w:color w:val="000000"/>
                <w:sz w:val="16"/>
                <w:szCs w:val="16"/>
                <w:lang w:eastAsia="es-AR"/>
              </w:rPr>
            </w:pPr>
          </w:p>
        </w:tc>
      </w:tr>
      <w:tr w:rsidR="00CA1364" w:rsidRPr="00701F32" w14:paraId="025F1FE9"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2E0625F"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Pasivos a VR con cambios en resultados</w:t>
            </w:r>
          </w:p>
        </w:tc>
        <w:tc>
          <w:tcPr>
            <w:tcW w:w="780" w:type="dxa"/>
            <w:tcBorders>
              <w:top w:val="nil"/>
              <w:left w:val="nil"/>
              <w:bottom w:val="nil"/>
              <w:right w:val="single" w:sz="4" w:space="0" w:color="auto"/>
            </w:tcBorders>
            <w:shd w:val="clear" w:color="auto" w:fill="auto"/>
            <w:noWrap/>
            <w:vAlign w:val="center"/>
            <w:hideMark/>
          </w:tcPr>
          <w:p w14:paraId="652A930D"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2D5850E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3025BA4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4.176.040 </w:t>
            </w:r>
          </w:p>
        </w:tc>
        <w:tc>
          <w:tcPr>
            <w:tcW w:w="1194" w:type="dxa"/>
            <w:tcBorders>
              <w:top w:val="nil"/>
              <w:left w:val="nil"/>
              <w:bottom w:val="nil"/>
              <w:right w:val="single" w:sz="4" w:space="0" w:color="auto"/>
            </w:tcBorders>
            <w:shd w:val="clear" w:color="auto" w:fill="auto"/>
            <w:noWrap/>
            <w:vAlign w:val="center"/>
            <w:hideMark/>
          </w:tcPr>
          <w:p w14:paraId="32687E14"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6DB98CE5"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4.176.040</w:t>
            </w:r>
          </w:p>
        </w:tc>
      </w:tr>
      <w:tr w:rsidR="00CA1364" w:rsidRPr="00701F32" w14:paraId="7359B130"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1657E4B8"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financieros </w:t>
            </w:r>
          </w:p>
        </w:tc>
        <w:tc>
          <w:tcPr>
            <w:tcW w:w="780" w:type="dxa"/>
            <w:tcBorders>
              <w:top w:val="nil"/>
              <w:left w:val="nil"/>
              <w:bottom w:val="nil"/>
              <w:right w:val="single" w:sz="4" w:space="0" w:color="auto"/>
            </w:tcBorders>
            <w:shd w:val="clear" w:color="auto" w:fill="auto"/>
            <w:noWrap/>
            <w:vAlign w:val="center"/>
            <w:hideMark/>
          </w:tcPr>
          <w:p w14:paraId="44EE2DBA"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g, m</w:t>
            </w:r>
          </w:p>
        </w:tc>
        <w:tc>
          <w:tcPr>
            <w:tcW w:w="1180" w:type="dxa"/>
            <w:tcBorders>
              <w:top w:val="nil"/>
              <w:left w:val="nil"/>
              <w:bottom w:val="nil"/>
              <w:right w:val="single" w:sz="4" w:space="0" w:color="auto"/>
            </w:tcBorders>
            <w:shd w:val="clear" w:color="auto" w:fill="auto"/>
            <w:noWrap/>
            <w:vAlign w:val="center"/>
            <w:hideMark/>
          </w:tcPr>
          <w:p w14:paraId="005D22F9"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10135B3D"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1.908.920 </w:t>
            </w:r>
          </w:p>
        </w:tc>
        <w:tc>
          <w:tcPr>
            <w:tcW w:w="1194" w:type="dxa"/>
            <w:tcBorders>
              <w:top w:val="nil"/>
              <w:left w:val="nil"/>
              <w:bottom w:val="nil"/>
              <w:right w:val="single" w:sz="4" w:space="0" w:color="auto"/>
            </w:tcBorders>
            <w:shd w:val="clear" w:color="auto" w:fill="auto"/>
            <w:noWrap/>
            <w:vAlign w:val="center"/>
            <w:hideMark/>
          </w:tcPr>
          <w:p w14:paraId="519FF027"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813.062</w:t>
            </w:r>
          </w:p>
        </w:tc>
        <w:tc>
          <w:tcPr>
            <w:tcW w:w="1134" w:type="dxa"/>
            <w:tcBorders>
              <w:top w:val="nil"/>
              <w:left w:val="nil"/>
              <w:bottom w:val="nil"/>
              <w:right w:val="single" w:sz="8" w:space="0" w:color="auto"/>
            </w:tcBorders>
            <w:shd w:val="clear" w:color="auto" w:fill="auto"/>
            <w:noWrap/>
            <w:vAlign w:val="center"/>
            <w:hideMark/>
          </w:tcPr>
          <w:p w14:paraId="7FCCEAD4"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2.721.982</w:t>
            </w:r>
          </w:p>
        </w:tc>
      </w:tr>
      <w:tr w:rsidR="00CA1364" w:rsidRPr="00701F32" w14:paraId="284238AB"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52EF671D"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Financ.recibidas del BCRA y otras inst. financieras </w:t>
            </w:r>
          </w:p>
        </w:tc>
        <w:tc>
          <w:tcPr>
            <w:tcW w:w="780" w:type="dxa"/>
            <w:tcBorders>
              <w:top w:val="nil"/>
              <w:left w:val="nil"/>
              <w:bottom w:val="nil"/>
              <w:right w:val="single" w:sz="4" w:space="0" w:color="auto"/>
            </w:tcBorders>
            <w:shd w:val="clear" w:color="auto" w:fill="auto"/>
            <w:noWrap/>
            <w:vAlign w:val="center"/>
            <w:hideMark/>
          </w:tcPr>
          <w:p w14:paraId="455393EF"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325F0DD8"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03A2DF07"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3.375.493 </w:t>
            </w:r>
          </w:p>
        </w:tc>
        <w:tc>
          <w:tcPr>
            <w:tcW w:w="1194" w:type="dxa"/>
            <w:tcBorders>
              <w:top w:val="nil"/>
              <w:left w:val="nil"/>
              <w:bottom w:val="nil"/>
              <w:right w:val="single" w:sz="4" w:space="0" w:color="auto"/>
            </w:tcBorders>
            <w:shd w:val="clear" w:color="auto" w:fill="auto"/>
            <w:noWrap/>
            <w:vAlign w:val="center"/>
            <w:hideMark/>
          </w:tcPr>
          <w:p w14:paraId="1A52D4EE"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76BF6994"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3.375.493</w:t>
            </w:r>
          </w:p>
        </w:tc>
      </w:tr>
      <w:tr w:rsidR="00CA1364" w:rsidRPr="00701F32" w14:paraId="5A1025D5"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0F84D32A"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emitidas </w:t>
            </w:r>
          </w:p>
        </w:tc>
        <w:tc>
          <w:tcPr>
            <w:tcW w:w="780" w:type="dxa"/>
            <w:tcBorders>
              <w:top w:val="nil"/>
              <w:left w:val="nil"/>
              <w:bottom w:val="nil"/>
              <w:right w:val="single" w:sz="4" w:space="0" w:color="auto"/>
            </w:tcBorders>
            <w:shd w:val="clear" w:color="auto" w:fill="auto"/>
            <w:noWrap/>
            <w:vAlign w:val="center"/>
            <w:hideMark/>
          </w:tcPr>
          <w:p w14:paraId="75A599F8"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6D10A34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325488B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6.651.920 </w:t>
            </w:r>
          </w:p>
        </w:tc>
        <w:tc>
          <w:tcPr>
            <w:tcW w:w="1194" w:type="dxa"/>
            <w:tcBorders>
              <w:top w:val="nil"/>
              <w:left w:val="nil"/>
              <w:bottom w:val="nil"/>
              <w:right w:val="single" w:sz="4" w:space="0" w:color="auto"/>
            </w:tcBorders>
            <w:shd w:val="clear" w:color="auto" w:fill="auto"/>
            <w:noWrap/>
            <w:vAlign w:val="center"/>
            <w:hideMark/>
          </w:tcPr>
          <w:p w14:paraId="700E0861"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65647602"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6.651.920</w:t>
            </w:r>
          </w:p>
        </w:tc>
      </w:tr>
      <w:tr w:rsidR="00CA1364" w:rsidRPr="00701F32" w14:paraId="5F59363B"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388846ED"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 por impuestos a las ganancias corriente </w:t>
            </w:r>
          </w:p>
        </w:tc>
        <w:tc>
          <w:tcPr>
            <w:tcW w:w="780" w:type="dxa"/>
            <w:tcBorders>
              <w:top w:val="nil"/>
              <w:left w:val="nil"/>
              <w:bottom w:val="nil"/>
              <w:right w:val="single" w:sz="4" w:space="0" w:color="auto"/>
            </w:tcBorders>
            <w:shd w:val="clear" w:color="auto" w:fill="auto"/>
            <w:noWrap/>
            <w:vAlign w:val="center"/>
            <w:hideMark/>
          </w:tcPr>
          <w:p w14:paraId="5F15D72D"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63ECB47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0AD3E7E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510.947 </w:t>
            </w:r>
          </w:p>
        </w:tc>
        <w:tc>
          <w:tcPr>
            <w:tcW w:w="1194" w:type="dxa"/>
            <w:tcBorders>
              <w:top w:val="nil"/>
              <w:left w:val="nil"/>
              <w:bottom w:val="nil"/>
              <w:right w:val="single" w:sz="4" w:space="0" w:color="auto"/>
            </w:tcBorders>
            <w:shd w:val="clear" w:color="auto" w:fill="auto"/>
            <w:noWrap/>
            <w:vAlign w:val="center"/>
            <w:hideMark/>
          </w:tcPr>
          <w:p w14:paraId="7E74B5B3"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5E6B8EF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510.947</w:t>
            </w:r>
          </w:p>
        </w:tc>
      </w:tr>
      <w:tr w:rsidR="00CA1364" w:rsidRPr="00701F32" w14:paraId="6A9173F9" w14:textId="77777777" w:rsidTr="00941382">
        <w:trPr>
          <w:trHeight w:val="315"/>
        </w:trPr>
        <w:tc>
          <w:tcPr>
            <w:tcW w:w="3840" w:type="dxa"/>
            <w:tcBorders>
              <w:top w:val="nil"/>
              <w:left w:val="single" w:sz="8" w:space="0" w:color="auto"/>
              <w:bottom w:val="nil"/>
              <w:right w:val="single" w:sz="4" w:space="0" w:color="auto"/>
            </w:tcBorders>
            <w:shd w:val="clear" w:color="auto" w:fill="auto"/>
            <w:noWrap/>
            <w:vAlign w:val="center"/>
            <w:hideMark/>
          </w:tcPr>
          <w:p w14:paraId="7C8269B8"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no financieros </w:t>
            </w:r>
          </w:p>
        </w:tc>
        <w:tc>
          <w:tcPr>
            <w:tcW w:w="780" w:type="dxa"/>
            <w:tcBorders>
              <w:top w:val="nil"/>
              <w:left w:val="nil"/>
              <w:bottom w:val="nil"/>
              <w:right w:val="single" w:sz="4" w:space="0" w:color="auto"/>
            </w:tcBorders>
            <w:shd w:val="clear" w:color="auto" w:fill="auto"/>
            <w:noWrap/>
            <w:vAlign w:val="center"/>
            <w:hideMark/>
          </w:tcPr>
          <w:p w14:paraId="321EB473"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h, l</w:t>
            </w:r>
          </w:p>
        </w:tc>
        <w:tc>
          <w:tcPr>
            <w:tcW w:w="1180" w:type="dxa"/>
            <w:tcBorders>
              <w:top w:val="nil"/>
              <w:left w:val="nil"/>
              <w:bottom w:val="nil"/>
              <w:right w:val="single" w:sz="4" w:space="0" w:color="auto"/>
            </w:tcBorders>
            <w:shd w:val="clear" w:color="auto" w:fill="auto"/>
            <w:noWrap/>
            <w:vAlign w:val="center"/>
            <w:hideMark/>
          </w:tcPr>
          <w:p w14:paraId="5EFD7C50"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60" w:type="dxa"/>
            <w:tcBorders>
              <w:top w:val="nil"/>
              <w:left w:val="nil"/>
              <w:bottom w:val="nil"/>
              <w:right w:val="single" w:sz="4" w:space="0" w:color="auto"/>
            </w:tcBorders>
            <w:shd w:val="clear" w:color="auto" w:fill="auto"/>
            <w:noWrap/>
            <w:vAlign w:val="center"/>
            <w:hideMark/>
          </w:tcPr>
          <w:p w14:paraId="3D96EF6A"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1.814.915 </w:t>
            </w:r>
          </w:p>
        </w:tc>
        <w:tc>
          <w:tcPr>
            <w:tcW w:w="1194" w:type="dxa"/>
            <w:tcBorders>
              <w:top w:val="nil"/>
              <w:left w:val="nil"/>
              <w:bottom w:val="nil"/>
              <w:right w:val="single" w:sz="4" w:space="0" w:color="auto"/>
            </w:tcBorders>
            <w:shd w:val="clear" w:color="auto" w:fill="auto"/>
            <w:noWrap/>
            <w:vAlign w:val="center"/>
            <w:hideMark/>
          </w:tcPr>
          <w:p w14:paraId="626B93FE"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914.976</w:t>
            </w:r>
          </w:p>
        </w:tc>
        <w:tc>
          <w:tcPr>
            <w:tcW w:w="1134" w:type="dxa"/>
            <w:tcBorders>
              <w:top w:val="nil"/>
              <w:left w:val="nil"/>
              <w:bottom w:val="nil"/>
              <w:right w:val="single" w:sz="8" w:space="0" w:color="auto"/>
            </w:tcBorders>
            <w:shd w:val="clear" w:color="auto" w:fill="auto"/>
            <w:noWrap/>
            <w:vAlign w:val="center"/>
            <w:hideMark/>
          </w:tcPr>
          <w:p w14:paraId="541952FC"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2.729.891</w:t>
            </w:r>
          </w:p>
        </w:tc>
      </w:tr>
      <w:tr w:rsidR="00CA1364" w:rsidRPr="00701F32" w14:paraId="458EB09C" w14:textId="77777777" w:rsidTr="00941382">
        <w:trPr>
          <w:trHeight w:val="183"/>
        </w:trPr>
        <w:tc>
          <w:tcPr>
            <w:tcW w:w="3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1AFCE8" w14:textId="77777777" w:rsidR="00CA1364" w:rsidRPr="00701F32" w:rsidRDefault="00CA1364">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2A3A8E" w:rsidRPr="00701F32">
              <w:rPr>
                <w:rFonts w:ascii="Arial" w:hAnsi="Arial" w:cs="Arial"/>
                <w:b/>
                <w:bCs/>
                <w:color w:val="000000"/>
                <w:sz w:val="16"/>
                <w:szCs w:val="16"/>
                <w:lang w:eastAsia="es-AR"/>
              </w:rPr>
              <w:t>l Pasivo al 31/12/2017</w:t>
            </w:r>
            <w:r w:rsidRPr="00701F32">
              <w:rPr>
                <w:rFonts w:ascii="Arial" w:hAnsi="Arial" w:cs="Arial"/>
                <w:b/>
                <w:bCs/>
                <w:color w:val="000000"/>
                <w:sz w:val="16"/>
                <w:szCs w:val="16"/>
                <w:lang w:eastAsia="es-AR"/>
              </w:rPr>
              <w:t xml:space="preserve"> </w:t>
            </w:r>
          </w:p>
        </w:tc>
        <w:tc>
          <w:tcPr>
            <w:tcW w:w="780" w:type="dxa"/>
            <w:tcBorders>
              <w:top w:val="single" w:sz="8" w:space="0" w:color="auto"/>
              <w:left w:val="nil"/>
              <w:bottom w:val="single" w:sz="8" w:space="0" w:color="auto"/>
              <w:right w:val="single" w:sz="4" w:space="0" w:color="auto"/>
            </w:tcBorders>
            <w:shd w:val="clear" w:color="auto" w:fill="auto"/>
            <w:noWrap/>
            <w:vAlign w:val="center"/>
            <w:hideMark/>
          </w:tcPr>
          <w:p w14:paraId="4B654E3C" w14:textId="77777777" w:rsidR="00CA1364" w:rsidRPr="00701F32" w:rsidRDefault="00CA1364" w:rsidP="00CA136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14:paraId="08773A9A"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78.814.089 </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610FE183"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-3.755.631 </w:t>
            </w:r>
          </w:p>
        </w:tc>
        <w:tc>
          <w:tcPr>
            <w:tcW w:w="1194" w:type="dxa"/>
            <w:tcBorders>
              <w:top w:val="single" w:sz="8" w:space="0" w:color="auto"/>
              <w:left w:val="nil"/>
              <w:bottom w:val="single" w:sz="8" w:space="0" w:color="auto"/>
              <w:right w:val="single" w:sz="4" w:space="0" w:color="auto"/>
            </w:tcBorders>
            <w:shd w:val="clear" w:color="auto" w:fill="auto"/>
            <w:noWrap/>
            <w:vAlign w:val="center"/>
            <w:hideMark/>
          </w:tcPr>
          <w:p w14:paraId="394B47F1"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1.728.038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1813AADD"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76.786.496</w:t>
            </w:r>
          </w:p>
        </w:tc>
      </w:tr>
      <w:tr w:rsidR="00CA1364" w:rsidRPr="00701F32" w14:paraId="0D4E88CD"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0E1A1FB9"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Capital, aportes y reservas </w:t>
            </w:r>
          </w:p>
        </w:tc>
        <w:tc>
          <w:tcPr>
            <w:tcW w:w="780" w:type="dxa"/>
            <w:tcBorders>
              <w:top w:val="nil"/>
              <w:left w:val="nil"/>
              <w:bottom w:val="nil"/>
              <w:right w:val="single" w:sz="4" w:space="0" w:color="auto"/>
            </w:tcBorders>
            <w:shd w:val="clear" w:color="auto" w:fill="auto"/>
            <w:noWrap/>
            <w:vAlign w:val="center"/>
            <w:hideMark/>
          </w:tcPr>
          <w:p w14:paraId="1B3FC7E3"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nil"/>
              <w:right w:val="single" w:sz="4" w:space="0" w:color="auto"/>
            </w:tcBorders>
            <w:shd w:val="clear" w:color="auto" w:fill="auto"/>
            <w:noWrap/>
            <w:vAlign w:val="center"/>
            <w:hideMark/>
          </w:tcPr>
          <w:p w14:paraId="78E41478"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8.565.959 </w:t>
            </w:r>
          </w:p>
        </w:tc>
        <w:tc>
          <w:tcPr>
            <w:tcW w:w="1360" w:type="dxa"/>
            <w:tcBorders>
              <w:top w:val="nil"/>
              <w:left w:val="nil"/>
              <w:bottom w:val="nil"/>
              <w:right w:val="single" w:sz="4" w:space="0" w:color="auto"/>
            </w:tcBorders>
            <w:shd w:val="clear" w:color="auto" w:fill="auto"/>
            <w:noWrap/>
            <w:vAlign w:val="center"/>
            <w:hideMark/>
          </w:tcPr>
          <w:p w14:paraId="60F24AF5"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nil"/>
              <w:right w:val="single" w:sz="4" w:space="0" w:color="auto"/>
            </w:tcBorders>
            <w:shd w:val="clear" w:color="auto" w:fill="auto"/>
            <w:noWrap/>
            <w:vAlign w:val="center"/>
            <w:hideMark/>
          </w:tcPr>
          <w:p w14:paraId="4A329383" w14:textId="77777777" w:rsidR="00CA1364" w:rsidRPr="00701F32" w:rsidRDefault="00CA1364" w:rsidP="00941382">
            <w:pPr>
              <w:jc w:val="right"/>
              <w:rPr>
                <w:rFonts w:ascii="Arial" w:hAnsi="Arial" w:cs="Arial"/>
                <w:color w:val="000000"/>
                <w:sz w:val="16"/>
                <w:szCs w:val="16"/>
                <w:lang w:eastAsia="es-AR"/>
              </w:rPr>
            </w:pPr>
          </w:p>
        </w:tc>
        <w:tc>
          <w:tcPr>
            <w:tcW w:w="1134" w:type="dxa"/>
            <w:tcBorders>
              <w:top w:val="nil"/>
              <w:left w:val="nil"/>
              <w:bottom w:val="nil"/>
              <w:right w:val="single" w:sz="8" w:space="0" w:color="auto"/>
            </w:tcBorders>
            <w:shd w:val="clear" w:color="auto" w:fill="auto"/>
            <w:noWrap/>
            <w:vAlign w:val="center"/>
            <w:hideMark/>
          </w:tcPr>
          <w:p w14:paraId="1151E1C2"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8.565.959</w:t>
            </w:r>
          </w:p>
        </w:tc>
      </w:tr>
      <w:tr w:rsidR="00CA1364" w:rsidRPr="00701F32" w14:paraId="1890E76D" w14:textId="77777777" w:rsidTr="00941382">
        <w:trPr>
          <w:trHeight w:val="300"/>
        </w:trPr>
        <w:tc>
          <w:tcPr>
            <w:tcW w:w="3840" w:type="dxa"/>
            <w:tcBorders>
              <w:top w:val="nil"/>
              <w:left w:val="single" w:sz="8" w:space="0" w:color="auto"/>
              <w:bottom w:val="nil"/>
              <w:right w:val="single" w:sz="4" w:space="0" w:color="auto"/>
            </w:tcBorders>
            <w:shd w:val="clear" w:color="auto" w:fill="auto"/>
            <w:noWrap/>
            <w:vAlign w:val="center"/>
            <w:hideMark/>
          </w:tcPr>
          <w:p w14:paraId="18E2D23A"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resultados integrales acumulados </w:t>
            </w:r>
          </w:p>
        </w:tc>
        <w:tc>
          <w:tcPr>
            <w:tcW w:w="780" w:type="dxa"/>
            <w:tcBorders>
              <w:top w:val="nil"/>
              <w:left w:val="nil"/>
              <w:bottom w:val="nil"/>
              <w:right w:val="single" w:sz="4" w:space="0" w:color="auto"/>
            </w:tcBorders>
            <w:shd w:val="clear" w:color="auto" w:fill="auto"/>
            <w:noWrap/>
            <w:vAlign w:val="center"/>
            <w:hideMark/>
          </w:tcPr>
          <w:p w14:paraId="50A7C5EC"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d, e, j</w:t>
            </w:r>
          </w:p>
        </w:tc>
        <w:tc>
          <w:tcPr>
            <w:tcW w:w="1180" w:type="dxa"/>
            <w:tcBorders>
              <w:top w:val="nil"/>
              <w:left w:val="nil"/>
              <w:bottom w:val="nil"/>
              <w:right w:val="single" w:sz="4" w:space="0" w:color="auto"/>
            </w:tcBorders>
            <w:shd w:val="clear" w:color="auto" w:fill="auto"/>
            <w:noWrap/>
            <w:vAlign w:val="center"/>
            <w:hideMark/>
          </w:tcPr>
          <w:p w14:paraId="4F60DA2E"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360" w:type="dxa"/>
            <w:tcBorders>
              <w:top w:val="nil"/>
              <w:left w:val="nil"/>
              <w:bottom w:val="nil"/>
              <w:right w:val="single" w:sz="4" w:space="0" w:color="auto"/>
            </w:tcBorders>
            <w:shd w:val="clear" w:color="auto" w:fill="auto"/>
            <w:noWrap/>
            <w:vAlign w:val="center"/>
            <w:hideMark/>
          </w:tcPr>
          <w:p w14:paraId="519F02AF"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nil"/>
              <w:right w:val="single" w:sz="4" w:space="0" w:color="auto"/>
            </w:tcBorders>
            <w:shd w:val="clear" w:color="auto" w:fill="auto"/>
            <w:noWrap/>
            <w:vAlign w:val="center"/>
            <w:hideMark/>
          </w:tcPr>
          <w:p w14:paraId="5C36C399"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147.358</w:t>
            </w:r>
          </w:p>
        </w:tc>
        <w:tc>
          <w:tcPr>
            <w:tcW w:w="1134" w:type="dxa"/>
            <w:tcBorders>
              <w:top w:val="nil"/>
              <w:left w:val="nil"/>
              <w:bottom w:val="nil"/>
              <w:right w:val="single" w:sz="8" w:space="0" w:color="auto"/>
            </w:tcBorders>
            <w:shd w:val="clear" w:color="auto" w:fill="auto"/>
            <w:noWrap/>
            <w:vAlign w:val="center"/>
            <w:hideMark/>
          </w:tcPr>
          <w:p w14:paraId="3BFA9E1F"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147.358</w:t>
            </w:r>
          </w:p>
        </w:tc>
      </w:tr>
      <w:tr w:rsidR="00CA1364" w:rsidRPr="00701F32" w14:paraId="3EF8C2F0" w14:textId="77777777" w:rsidTr="00941382">
        <w:trPr>
          <w:trHeight w:val="315"/>
        </w:trPr>
        <w:tc>
          <w:tcPr>
            <w:tcW w:w="3840" w:type="dxa"/>
            <w:tcBorders>
              <w:top w:val="nil"/>
              <w:left w:val="single" w:sz="8" w:space="0" w:color="auto"/>
              <w:bottom w:val="single" w:sz="4" w:space="0" w:color="auto"/>
              <w:right w:val="single" w:sz="4" w:space="0" w:color="auto"/>
            </w:tcBorders>
            <w:shd w:val="clear" w:color="auto" w:fill="auto"/>
            <w:noWrap/>
            <w:vAlign w:val="center"/>
            <w:hideMark/>
          </w:tcPr>
          <w:p w14:paraId="0A0B041D" w14:textId="77777777" w:rsidR="00CA1364" w:rsidRPr="00701F32" w:rsidRDefault="00CA1364" w:rsidP="00CA1364">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Resultados no asignados </w:t>
            </w:r>
          </w:p>
        </w:tc>
        <w:tc>
          <w:tcPr>
            <w:tcW w:w="780" w:type="dxa"/>
            <w:tcBorders>
              <w:top w:val="nil"/>
              <w:left w:val="nil"/>
              <w:bottom w:val="single" w:sz="4" w:space="0" w:color="auto"/>
              <w:right w:val="single" w:sz="4" w:space="0" w:color="auto"/>
            </w:tcBorders>
            <w:shd w:val="clear" w:color="auto" w:fill="auto"/>
            <w:noWrap/>
            <w:vAlign w:val="center"/>
            <w:hideMark/>
          </w:tcPr>
          <w:p w14:paraId="63A972E6" w14:textId="77777777" w:rsidR="00CA1364" w:rsidRPr="00701F32" w:rsidRDefault="00CA1364" w:rsidP="00CA1364">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80" w:type="dxa"/>
            <w:tcBorders>
              <w:top w:val="nil"/>
              <w:left w:val="nil"/>
              <w:bottom w:val="single" w:sz="4" w:space="0" w:color="auto"/>
              <w:right w:val="single" w:sz="4" w:space="0" w:color="auto"/>
            </w:tcBorders>
            <w:shd w:val="clear" w:color="auto" w:fill="auto"/>
            <w:noWrap/>
            <w:vAlign w:val="center"/>
            <w:hideMark/>
          </w:tcPr>
          <w:p w14:paraId="76A9BB64"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1.428.728 </w:t>
            </w:r>
          </w:p>
        </w:tc>
        <w:tc>
          <w:tcPr>
            <w:tcW w:w="1360" w:type="dxa"/>
            <w:tcBorders>
              <w:top w:val="nil"/>
              <w:left w:val="nil"/>
              <w:bottom w:val="single" w:sz="4" w:space="0" w:color="auto"/>
              <w:right w:val="single" w:sz="4" w:space="0" w:color="auto"/>
            </w:tcBorders>
            <w:shd w:val="clear" w:color="auto" w:fill="auto"/>
            <w:noWrap/>
            <w:vAlign w:val="center"/>
            <w:hideMark/>
          </w:tcPr>
          <w:p w14:paraId="6886E35C" w14:textId="77777777" w:rsidR="00CA1364" w:rsidRPr="00701F32" w:rsidRDefault="00CA1364" w:rsidP="00CA1364">
            <w:pPr>
              <w:jc w:val="right"/>
              <w:rPr>
                <w:rFonts w:ascii="Arial" w:hAnsi="Arial" w:cs="Arial"/>
                <w:color w:val="000000"/>
                <w:sz w:val="16"/>
                <w:szCs w:val="16"/>
                <w:lang w:eastAsia="es-AR"/>
              </w:rPr>
            </w:pPr>
            <w:r w:rsidRPr="00701F32">
              <w:rPr>
                <w:rFonts w:ascii="Arial" w:hAnsi="Arial" w:cs="Arial"/>
                <w:color w:val="000000"/>
                <w:sz w:val="16"/>
                <w:szCs w:val="16"/>
                <w:lang w:eastAsia="es-AR"/>
              </w:rPr>
              <w:t xml:space="preserve">                        -   </w:t>
            </w:r>
          </w:p>
        </w:tc>
        <w:tc>
          <w:tcPr>
            <w:tcW w:w="1194" w:type="dxa"/>
            <w:tcBorders>
              <w:top w:val="nil"/>
              <w:left w:val="nil"/>
              <w:bottom w:val="single" w:sz="4" w:space="0" w:color="auto"/>
              <w:right w:val="single" w:sz="4" w:space="0" w:color="auto"/>
            </w:tcBorders>
            <w:shd w:val="clear" w:color="auto" w:fill="auto"/>
            <w:noWrap/>
            <w:vAlign w:val="center"/>
            <w:hideMark/>
          </w:tcPr>
          <w:p w14:paraId="19CD4054"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-930.225</w:t>
            </w:r>
          </w:p>
        </w:tc>
        <w:tc>
          <w:tcPr>
            <w:tcW w:w="1134" w:type="dxa"/>
            <w:tcBorders>
              <w:top w:val="nil"/>
              <w:left w:val="nil"/>
              <w:bottom w:val="single" w:sz="4" w:space="0" w:color="auto"/>
              <w:right w:val="single" w:sz="8" w:space="0" w:color="auto"/>
            </w:tcBorders>
            <w:shd w:val="clear" w:color="auto" w:fill="auto"/>
            <w:noWrap/>
            <w:vAlign w:val="center"/>
            <w:hideMark/>
          </w:tcPr>
          <w:p w14:paraId="72298C50" w14:textId="77777777" w:rsidR="00CA1364" w:rsidRPr="00701F32" w:rsidRDefault="00CA1364" w:rsidP="00941382">
            <w:pPr>
              <w:jc w:val="right"/>
              <w:rPr>
                <w:rFonts w:ascii="Arial" w:hAnsi="Arial" w:cs="Arial"/>
                <w:color w:val="000000"/>
                <w:sz w:val="16"/>
                <w:szCs w:val="16"/>
                <w:lang w:eastAsia="es-AR"/>
              </w:rPr>
            </w:pPr>
            <w:r w:rsidRPr="00701F32">
              <w:rPr>
                <w:rFonts w:ascii="Arial" w:hAnsi="Arial" w:cs="Arial"/>
                <w:color w:val="000000"/>
                <w:sz w:val="16"/>
                <w:szCs w:val="16"/>
                <w:lang w:eastAsia="es-AR"/>
              </w:rPr>
              <w:t>498.503</w:t>
            </w:r>
          </w:p>
        </w:tc>
      </w:tr>
      <w:tr w:rsidR="00CA1364" w:rsidRPr="00701F32" w14:paraId="703B710D" w14:textId="77777777" w:rsidTr="00941382">
        <w:trPr>
          <w:trHeight w:val="181"/>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B3DFD" w14:textId="77777777" w:rsidR="00CA1364" w:rsidRPr="00701F32" w:rsidRDefault="00CA1364" w:rsidP="00CA1364">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31/12/2017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F65F3B9" w14:textId="77777777" w:rsidR="00CA1364" w:rsidRPr="00701F32" w:rsidRDefault="00CA1364" w:rsidP="00CA1364">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543A765"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9.994.687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F79A775" w14:textId="77777777" w:rsidR="00CA1364" w:rsidRPr="00701F32" w:rsidRDefault="00CA1364" w:rsidP="00CA1364">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919FE36"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-782.867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3A14C4" w14:textId="77777777" w:rsidR="00CA1364" w:rsidRPr="00701F32" w:rsidRDefault="00CA1364" w:rsidP="00941382">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9.211.820</w:t>
            </w:r>
          </w:p>
        </w:tc>
      </w:tr>
    </w:tbl>
    <w:p w14:paraId="28DEA2E6" w14:textId="77777777" w:rsidR="006E2762" w:rsidRPr="00701F32" w:rsidRDefault="006E2762"/>
    <w:tbl>
      <w:tblPr>
        <w:tblW w:w="9664" w:type="dxa"/>
        <w:tblInd w:w="30" w:type="dxa"/>
        <w:tblCellMar>
          <w:left w:w="70" w:type="dxa"/>
          <w:right w:w="70" w:type="dxa"/>
        </w:tblCellMar>
        <w:tblLook w:val="04A0" w:firstRow="1" w:lastRow="0" w:firstColumn="1" w:lastColumn="0" w:noHBand="0" w:noVBand="1"/>
      </w:tblPr>
      <w:tblGrid>
        <w:gridCol w:w="3929"/>
        <w:gridCol w:w="780"/>
        <w:gridCol w:w="1220"/>
        <w:gridCol w:w="1360"/>
        <w:gridCol w:w="1155"/>
        <w:gridCol w:w="1220"/>
      </w:tblGrid>
      <w:tr w:rsidR="0090604D" w:rsidRPr="00701F32" w14:paraId="4C243FBC" w14:textId="77777777" w:rsidTr="00CF4703">
        <w:trPr>
          <w:trHeight w:val="117"/>
          <w:tblHeader/>
        </w:trPr>
        <w:tc>
          <w:tcPr>
            <w:tcW w:w="392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0DAB27" w14:textId="77777777" w:rsidR="0090604D" w:rsidRPr="00701F32" w:rsidRDefault="0090604D" w:rsidP="00695F25">
            <w:pPr>
              <w:jc w:val="center"/>
              <w:rPr>
                <w:rFonts w:ascii="Arial" w:hAnsi="Arial" w:cs="Arial"/>
                <w:b/>
                <w:bCs/>
                <w:color w:val="000000"/>
                <w:sz w:val="16"/>
                <w:szCs w:val="16"/>
                <w:lang w:eastAsia="es-AR"/>
              </w:rPr>
            </w:pPr>
          </w:p>
        </w:tc>
        <w:tc>
          <w:tcPr>
            <w:tcW w:w="780" w:type="dxa"/>
            <w:tcBorders>
              <w:top w:val="single" w:sz="8" w:space="0" w:color="auto"/>
              <w:left w:val="nil"/>
              <w:bottom w:val="single" w:sz="8" w:space="0" w:color="auto"/>
              <w:right w:val="single" w:sz="4" w:space="0" w:color="auto"/>
            </w:tcBorders>
            <w:shd w:val="clear" w:color="auto" w:fill="auto"/>
            <w:noWrap/>
            <w:vAlign w:val="center"/>
            <w:hideMark/>
          </w:tcPr>
          <w:p w14:paraId="056BE41E" w14:textId="77777777" w:rsidR="0090604D" w:rsidRPr="00701F32" w:rsidRDefault="0090604D" w:rsidP="00695F2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171B0A93" w14:textId="77777777" w:rsidR="0090604D" w:rsidRPr="00701F32" w:rsidRDefault="0090604D" w:rsidP="00695F2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03715B4F" w14:textId="77777777" w:rsidR="0090604D" w:rsidRPr="00701F32" w:rsidRDefault="0090604D" w:rsidP="00695F2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155" w:type="dxa"/>
            <w:tcBorders>
              <w:top w:val="single" w:sz="8" w:space="0" w:color="auto"/>
              <w:left w:val="nil"/>
              <w:bottom w:val="single" w:sz="8" w:space="0" w:color="auto"/>
              <w:right w:val="single" w:sz="4" w:space="0" w:color="auto"/>
            </w:tcBorders>
            <w:shd w:val="clear" w:color="auto" w:fill="auto"/>
            <w:noWrap/>
            <w:vAlign w:val="center"/>
            <w:hideMark/>
          </w:tcPr>
          <w:p w14:paraId="2EC89821" w14:textId="77777777" w:rsidR="0090604D" w:rsidRPr="00701F32" w:rsidRDefault="0090604D" w:rsidP="00695F2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080E6D4" w14:textId="77777777" w:rsidR="0090604D" w:rsidRPr="00701F32" w:rsidRDefault="0090604D" w:rsidP="00695F25">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CF4703" w:rsidRPr="00701F32" w14:paraId="26B368BC"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25ADFEA4" w14:textId="77777777" w:rsidR="00CF4703" w:rsidRPr="00701F32" w:rsidRDefault="00CF4703" w:rsidP="00CF4703">
            <w:pPr>
              <w:rPr>
                <w:rFonts w:ascii="Arial" w:hAnsi="Arial" w:cs="Arial"/>
                <w:color w:val="000000"/>
                <w:sz w:val="16"/>
                <w:szCs w:val="16"/>
                <w:lang w:eastAsia="es-AR"/>
              </w:rPr>
            </w:pPr>
            <w:r w:rsidRPr="00701F32">
              <w:rPr>
                <w:rFonts w:ascii="Arial" w:hAnsi="Arial" w:cs="Arial"/>
                <w:color w:val="000000"/>
                <w:sz w:val="16"/>
                <w:szCs w:val="16"/>
                <w:lang w:eastAsia="es-AR"/>
              </w:rPr>
              <w:t xml:space="preserve"> Efectivo y depósitos en bancos </w:t>
            </w:r>
          </w:p>
        </w:tc>
        <w:tc>
          <w:tcPr>
            <w:tcW w:w="780" w:type="dxa"/>
            <w:tcBorders>
              <w:top w:val="nil"/>
              <w:left w:val="nil"/>
              <w:bottom w:val="nil"/>
              <w:right w:val="single" w:sz="4" w:space="0" w:color="auto"/>
            </w:tcBorders>
            <w:shd w:val="clear" w:color="auto" w:fill="auto"/>
            <w:noWrap/>
            <w:vAlign w:val="bottom"/>
            <w:hideMark/>
          </w:tcPr>
          <w:p w14:paraId="1F0EB046"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118D26F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9.199.279</w:t>
            </w:r>
          </w:p>
        </w:tc>
        <w:tc>
          <w:tcPr>
            <w:tcW w:w="1360" w:type="dxa"/>
            <w:tcBorders>
              <w:top w:val="nil"/>
              <w:left w:val="nil"/>
              <w:bottom w:val="nil"/>
              <w:right w:val="single" w:sz="4" w:space="0" w:color="auto"/>
            </w:tcBorders>
            <w:shd w:val="clear" w:color="auto" w:fill="auto"/>
            <w:noWrap/>
            <w:vAlign w:val="center"/>
            <w:hideMark/>
          </w:tcPr>
          <w:p w14:paraId="6F1D0B7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-262.790</w:t>
            </w:r>
          </w:p>
        </w:tc>
        <w:tc>
          <w:tcPr>
            <w:tcW w:w="1155" w:type="dxa"/>
            <w:tcBorders>
              <w:top w:val="nil"/>
              <w:left w:val="nil"/>
              <w:bottom w:val="nil"/>
              <w:right w:val="single" w:sz="4" w:space="0" w:color="auto"/>
            </w:tcBorders>
            <w:shd w:val="clear" w:color="auto" w:fill="auto"/>
            <w:noWrap/>
            <w:vAlign w:val="center"/>
            <w:hideMark/>
          </w:tcPr>
          <w:p w14:paraId="484E2C2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7A0180B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8.936.489</w:t>
            </w:r>
          </w:p>
        </w:tc>
      </w:tr>
      <w:tr w:rsidR="00CF4703" w:rsidRPr="00701F32" w14:paraId="0DDDE3B1"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4BC5CB23"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públicos y privados </w:t>
            </w:r>
          </w:p>
        </w:tc>
        <w:tc>
          <w:tcPr>
            <w:tcW w:w="780" w:type="dxa"/>
            <w:tcBorders>
              <w:top w:val="nil"/>
              <w:left w:val="nil"/>
              <w:bottom w:val="nil"/>
              <w:right w:val="single" w:sz="4" w:space="0" w:color="auto"/>
            </w:tcBorders>
            <w:shd w:val="clear" w:color="auto" w:fill="auto"/>
            <w:noWrap/>
            <w:vAlign w:val="bottom"/>
            <w:hideMark/>
          </w:tcPr>
          <w:p w14:paraId="7E0EEB8E"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220" w:type="dxa"/>
            <w:tcBorders>
              <w:top w:val="nil"/>
              <w:left w:val="nil"/>
              <w:bottom w:val="nil"/>
              <w:right w:val="single" w:sz="4" w:space="0" w:color="auto"/>
            </w:tcBorders>
            <w:shd w:val="clear" w:color="auto" w:fill="auto"/>
            <w:noWrap/>
            <w:vAlign w:val="center"/>
            <w:hideMark/>
          </w:tcPr>
          <w:p w14:paraId="1D6FB1B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6.128.395</w:t>
            </w:r>
          </w:p>
        </w:tc>
        <w:tc>
          <w:tcPr>
            <w:tcW w:w="1360" w:type="dxa"/>
            <w:tcBorders>
              <w:top w:val="nil"/>
              <w:left w:val="nil"/>
              <w:bottom w:val="nil"/>
              <w:right w:val="single" w:sz="4" w:space="0" w:color="auto"/>
            </w:tcBorders>
            <w:shd w:val="clear" w:color="auto" w:fill="auto"/>
            <w:noWrap/>
            <w:vAlign w:val="center"/>
            <w:hideMark/>
          </w:tcPr>
          <w:p w14:paraId="6102123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-6.128.395</w:t>
            </w:r>
          </w:p>
        </w:tc>
        <w:tc>
          <w:tcPr>
            <w:tcW w:w="1155" w:type="dxa"/>
            <w:tcBorders>
              <w:top w:val="nil"/>
              <w:left w:val="nil"/>
              <w:bottom w:val="nil"/>
              <w:right w:val="single" w:sz="4" w:space="0" w:color="auto"/>
            </w:tcBorders>
            <w:shd w:val="clear" w:color="auto" w:fill="auto"/>
            <w:noWrap/>
            <w:vAlign w:val="center"/>
            <w:hideMark/>
          </w:tcPr>
          <w:p w14:paraId="2782E76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63F3750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219685E0"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1474B5BA"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Prestamos </w:t>
            </w:r>
          </w:p>
        </w:tc>
        <w:tc>
          <w:tcPr>
            <w:tcW w:w="780" w:type="dxa"/>
            <w:tcBorders>
              <w:top w:val="nil"/>
              <w:left w:val="nil"/>
              <w:bottom w:val="nil"/>
              <w:right w:val="single" w:sz="4" w:space="0" w:color="auto"/>
            </w:tcBorders>
            <w:shd w:val="clear" w:color="auto" w:fill="auto"/>
            <w:noWrap/>
            <w:vAlign w:val="bottom"/>
            <w:hideMark/>
          </w:tcPr>
          <w:p w14:paraId="5C6C4B6E"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19690E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44.579.343</w:t>
            </w:r>
          </w:p>
        </w:tc>
        <w:tc>
          <w:tcPr>
            <w:tcW w:w="1360" w:type="dxa"/>
            <w:tcBorders>
              <w:top w:val="nil"/>
              <w:left w:val="nil"/>
              <w:bottom w:val="nil"/>
              <w:right w:val="single" w:sz="4" w:space="0" w:color="auto"/>
            </w:tcBorders>
            <w:shd w:val="clear" w:color="auto" w:fill="auto"/>
            <w:noWrap/>
            <w:vAlign w:val="center"/>
            <w:hideMark/>
          </w:tcPr>
          <w:p w14:paraId="4841D4D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-44.579.343</w:t>
            </w:r>
          </w:p>
        </w:tc>
        <w:tc>
          <w:tcPr>
            <w:tcW w:w="1155" w:type="dxa"/>
            <w:tcBorders>
              <w:top w:val="nil"/>
              <w:left w:val="nil"/>
              <w:bottom w:val="nil"/>
              <w:right w:val="single" w:sz="4" w:space="0" w:color="auto"/>
            </w:tcBorders>
            <w:shd w:val="clear" w:color="auto" w:fill="auto"/>
            <w:noWrap/>
            <w:vAlign w:val="center"/>
            <w:hideMark/>
          </w:tcPr>
          <w:p w14:paraId="2090388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57D5010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0585378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269AABA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créditos por intermediación financiera </w:t>
            </w:r>
          </w:p>
        </w:tc>
        <w:tc>
          <w:tcPr>
            <w:tcW w:w="780" w:type="dxa"/>
            <w:tcBorders>
              <w:top w:val="nil"/>
              <w:left w:val="nil"/>
              <w:bottom w:val="nil"/>
              <w:right w:val="single" w:sz="4" w:space="0" w:color="auto"/>
            </w:tcBorders>
            <w:shd w:val="clear" w:color="auto" w:fill="auto"/>
            <w:noWrap/>
            <w:vAlign w:val="bottom"/>
            <w:hideMark/>
          </w:tcPr>
          <w:p w14:paraId="16B8183C"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2F86853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3.561.009</w:t>
            </w:r>
          </w:p>
        </w:tc>
        <w:tc>
          <w:tcPr>
            <w:tcW w:w="1360" w:type="dxa"/>
            <w:tcBorders>
              <w:top w:val="nil"/>
              <w:left w:val="nil"/>
              <w:bottom w:val="nil"/>
              <w:right w:val="single" w:sz="4" w:space="0" w:color="auto"/>
            </w:tcBorders>
            <w:shd w:val="clear" w:color="auto" w:fill="auto"/>
            <w:noWrap/>
            <w:vAlign w:val="center"/>
            <w:hideMark/>
          </w:tcPr>
          <w:p w14:paraId="56B1A3D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-3.561.009</w:t>
            </w:r>
          </w:p>
        </w:tc>
        <w:tc>
          <w:tcPr>
            <w:tcW w:w="1155" w:type="dxa"/>
            <w:tcBorders>
              <w:top w:val="nil"/>
              <w:left w:val="nil"/>
              <w:bottom w:val="nil"/>
              <w:right w:val="single" w:sz="4" w:space="0" w:color="auto"/>
            </w:tcBorders>
            <w:shd w:val="clear" w:color="auto" w:fill="auto"/>
            <w:noWrap/>
            <w:vAlign w:val="center"/>
            <w:hideMark/>
          </w:tcPr>
          <w:p w14:paraId="77E82C0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20EED59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0FFAAEA0"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2B12EC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por arrendamientos financieros </w:t>
            </w:r>
          </w:p>
        </w:tc>
        <w:tc>
          <w:tcPr>
            <w:tcW w:w="780" w:type="dxa"/>
            <w:tcBorders>
              <w:top w:val="nil"/>
              <w:left w:val="nil"/>
              <w:bottom w:val="nil"/>
              <w:right w:val="single" w:sz="4" w:space="0" w:color="auto"/>
            </w:tcBorders>
            <w:shd w:val="clear" w:color="auto" w:fill="auto"/>
            <w:noWrap/>
            <w:vAlign w:val="bottom"/>
            <w:hideMark/>
          </w:tcPr>
          <w:p w14:paraId="425C9396"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220" w:type="dxa"/>
            <w:tcBorders>
              <w:top w:val="nil"/>
              <w:left w:val="nil"/>
              <w:bottom w:val="nil"/>
              <w:right w:val="single" w:sz="4" w:space="0" w:color="auto"/>
            </w:tcBorders>
            <w:shd w:val="clear" w:color="auto" w:fill="auto"/>
            <w:noWrap/>
            <w:vAlign w:val="center"/>
            <w:hideMark/>
          </w:tcPr>
          <w:p w14:paraId="7496AEA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2.219.887</w:t>
            </w:r>
          </w:p>
        </w:tc>
        <w:tc>
          <w:tcPr>
            <w:tcW w:w="1360" w:type="dxa"/>
            <w:tcBorders>
              <w:top w:val="nil"/>
              <w:left w:val="nil"/>
              <w:bottom w:val="nil"/>
              <w:right w:val="single" w:sz="4" w:space="0" w:color="auto"/>
            </w:tcBorders>
            <w:shd w:val="clear" w:color="auto" w:fill="auto"/>
            <w:noWrap/>
            <w:vAlign w:val="center"/>
            <w:hideMark/>
          </w:tcPr>
          <w:p w14:paraId="53B7B36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-2.219.887</w:t>
            </w:r>
          </w:p>
        </w:tc>
        <w:tc>
          <w:tcPr>
            <w:tcW w:w="1155" w:type="dxa"/>
            <w:tcBorders>
              <w:top w:val="nil"/>
              <w:left w:val="nil"/>
              <w:bottom w:val="nil"/>
              <w:right w:val="single" w:sz="4" w:space="0" w:color="auto"/>
            </w:tcBorders>
            <w:shd w:val="clear" w:color="auto" w:fill="auto"/>
            <w:noWrap/>
            <w:vAlign w:val="center"/>
            <w:hideMark/>
          </w:tcPr>
          <w:p w14:paraId="496A7C2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52A39D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006D2D63"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1F09F3B6"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subsidiarias, asociadas y neg.conjuntos </w:t>
            </w:r>
          </w:p>
        </w:tc>
        <w:tc>
          <w:tcPr>
            <w:tcW w:w="780" w:type="dxa"/>
            <w:tcBorders>
              <w:top w:val="nil"/>
              <w:left w:val="nil"/>
              <w:bottom w:val="nil"/>
              <w:right w:val="single" w:sz="4" w:space="0" w:color="auto"/>
            </w:tcBorders>
            <w:shd w:val="clear" w:color="auto" w:fill="auto"/>
            <w:noWrap/>
            <w:vAlign w:val="bottom"/>
            <w:hideMark/>
          </w:tcPr>
          <w:p w14:paraId="5BD760D0"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220" w:type="dxa"/>
            <w:tcBorders>
              <w:top w:val="nil"/>
              <w:left w:val="nil"/>
              <w:bottom w:val="nil"/>
              <w:right w:val="single" w:sz="4" w:space="0" w:color="auto"/>
            </w:tcBorders>
            <w:shd w:val="clear" w:color="auto" w:fill="auto"/>
            <w:noWrap/>
            <w:vAlign w:val="center"/>
            <w:hideMark/>
          </w:tcPr>
          <w:p w14:paraId="70A9E14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915.019</w:t>
            </w:r>
          </w:p>
        </w:tc>
        <w:tc>
          <w:tcPr>
            <w:tcW w:w="1360" w:type="dxa"/>
            <w:tcBorders>
              <w:top w:val="nil"/>
              <w:left w:val="nil"/>
              <w:bottom w:val="nil"/>
              <w:right w:val="single" w:sz="4" w:space="0" w:color="auto"/>
            </w:tcBorders>
            <w:shd w:val="clear" w:color="auto" w:fill="auto"/>
            <w:noWrap/>
            <w:vAlign w:val="center"/>
            <w:hideMark/>
          </w:tcPr>
          <w:p w14:paraId="4034593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-736</w:t>
            </w:r>
          </w:p>
        </w:tc>
        <w:tc>
          <w:tcPr>
            <w:tcW w:w="1155" w:type="dxa"/>
            <w:tcBorders>
              <w:top w:val="nil"/>
              <w:left w:val="nil"/>
              <w:bottom w:val="nil"/>
              <w:right w:val="single" w:sz="4" w:space="0" w:color="auto"/>
            </w:tcBorders>
            <w:shd w:val="clear" w:color="auto" w:fill="auto"/>
            <w:noWrap/>
            <w:vAlign w:val="center"/>
            <w:hideMark/>
          </w:tcPr>
          <w:p w14:paraId="334EF5D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-44.252</w:t>
            </w:r>
          </w:p>
        </w:tc>
        <w:tc>
          <w:tcPr>
            <w:tcW w:w="1220" w:type="dxa"/>
            <w:tcBorders>
              <w:top w:val="nil"/>
              <w:left w:val="nil"/>
              <w:bottom w:val="nil"/>
              <w:right w:val="single" w:sz="8" w:space="0" w:color="auto"/>
            </w:tcBorders>
            <w:shd w:val="clear" w:color="auto" w:fill="auto"/>
            <w:noWrap/>
            <w:vAlign w:val="center"/>
            <w:hideMark/>
          </w:tcPr>
          <w:p w14:paraId="7739D35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870.031</w:t>
            </w:r>
          </w:p>
        </w:tc>
      </w:tr>
      <w:tr w:rsidR="00CF4703" w:rsidRPr="00701F32" w14:paraId="796F133D"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7772E9C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diversos </w:t>
            </w:r>
          </w:p>
        </w:tc>
        <w:tc>
          <w:tcPr>
            <w:tcW w:w="780" w:type="dxa"/>
            <w:tcBorders>
              <w:top w:val="nil"/>
              <w:left w:val="nil"/>
              <w:bottom w:val="nil"/>
              <w:right w:val="single" w:sz="4" w:space="0" w:color="auto"/>
            </w:tcBorders>
            <w:shd w:val="clear" w:color="auto" w:fill="auto"/>
            <w:noWrap/>
            <w:vAlign w:val="bottom"/>
            <w:hideMark/>
          </w:tcPr>
          <w:p w14:paraId="0E7F8E0E"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E79596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1.230.201</w:t>
            </w:r>
          </w:p>
        </w:tc>
        <w:tc>
          <w:tcPr>
            <w:tcW w:w="1360" w:type="dxa"/>
            <w:tcBorders>
              <w:top w:val="nil"/>
              <w:left w:val="nil"/>
              <w:bottom w:val="nil"/>
              <w:right w:val="single" w:sz="4" w:space="0" w:color="auto"/>
            </w:tcBorders>
            <w:shd w:val="clear" w:color="auto" w:fill="auto"/>
            <w:noWrap/>
            <w:vAlign w:val="center"/>
            <w:hideMark/>
          </w:tcPr>
          <w:p w14:paraId="20684FC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-1.230.201</w:t>
            </w:r>
          </w:p>
        </w:tc>
        <w:tc>
          <w:tcPr>
            <w:tcW w:w="1155" w:type="dxa"/>
            <w:tcBorders>
              <w:top w:val="nil"/>
              <w:left w:val="nil"/>
              <w:bottom w:val="nil"/>
              <w:right w:val="single" w:sz="4" w:space="0" w:color="auto"/>
            </w:tcBorders>
            <w:shd w:val="clear" w:color="auto" w:fill="auto"/>
            <w:noWrap/>
            <w:vAlign w:val="center"/>
            <w:hideMark/>
          </w:tcPr>
          <w:p w14:paraId="5CC8C94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DDE6FA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69B68174"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54211BB"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Bienes de uso y diversos</w:t>
            </w:r>
          </w:p>
        </w:tc>
        <w:tc>
          <w:tcPr>
            <w:tcW w:w="780" w:type="dxa"/>
            <w:tcBorders>
              <w:top w:val="nil"/>
              <w:left w:val="nil"/>
              <w:bottom w:val="nil"/>
              <w:right w:val="single" w:sz="4" w:space="0" w:color="auto"/>
            </w:tcBorders>
            <w:shd w:val="clear" w:color="auto" w:fill="auto"/>
            <w:noWrap/>
            <w:vAlign w:val="bottom"/>
            <w:hideMark/>
          </w:tcPr>
          <w:p w14:paraId="42AF1577"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51D74A9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870.695</w:t>
            </w:r>
          </w:p>
        </w:tc>
        <w:tc>
          <w:tcPr>
            <w:tcW w:w="1360" w:type="dxa"/>
            <w:tcBorders>
              <w:top w:val="nil"/>
              <w:left w:val="nil"/>
              <w:bottom w:val="nil"/>
              <w:right w:val="single" w:sz="4" w:space="0" w:color="auto"/>
            </w:tcBorders>
            <w:shd w:val="clear" w:color="auto" w:fill="auto"/>
            <w:noWrap/>
            <w:vAlign w:val="center"/>
            <w:hideMark/>
          </w:tcPr>
          <w:p w14:paraId="4B55BDA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-870.695</w:t>
            </w:r>
          </w:p>
        </w:tc>
        <w:tc>
          <w:tcPr>
            <w:tcW w:w="1155" w:type="dxa"/>
            <w:tcBorders>
              <w:top w:val="nil"/>
              <w:left w:val="nil"/>
              <w:bottom w:val="nil"/>
              <w:right w:val="single" w:sz="4" w:space="0" w:color="auto"/>
            </w:tcBorders>
            <w:shd w:val="clear" w:color="auto" w:fill="auto"/>
            <w:noWrap/>
            <w:vAlign w:val="center"/>
            <w:hideMark/>
          </w:tcPr>
          <w:p w14:paraId="335982F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0C02FD2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3A2B7BF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1991398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intangibles </w:t>
            </w:r>
          </w:p>
        </w:tc>
        <w:tc>
          <w:tcPr>
            <w:tcW w:w="780" w:type="dxa"/>
            <w:tcBorders>
              <w:top w:val="nil"/>
              <w:left w:val="nil"/>
              <w:bottom w:val="nil"/>
              <w:right w:val="single" w:sz="4" w:space="0" w:color="auto"/>
            </w:tcBorders>
            <w:shd w:val="clear" w:color="auto" w:fill="auto"/>
            <w:noWrap/>
            <w:vAlign w:val="bottom"/>
            <w:hideMark/>
          </w:tcPr>
          <w:p w14:paraId="7357AEBA"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f, k</w:t>
            </w:r>
          </w:p>
        </w:tc>
        <w:tc>
          <w:tcPr>
            <w:tcW w:w="1220" w:type="dxa"/>
            <w:tcBorders>
              <w:top w:val="nil"/>
              <w:left w:val="nil"/>
              <w:bottom w:val="nil"/>
              <w:right w:val="single" w:sz="4" w:space="0" w:color="auto"/>
            </w:tcBorders>
            <w:shd w:val="clear" w:color="auto" w:fill="auto"/>
            <w:noWrap/>
            <w:vAlign w:val="center"/>
            <w:hideMark/>
          </w:tcPr>
          <w:p w14:paraId="05D6FD8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237.959</w:t>
            </w:r>
          </w:p>
        </w:tc>
        <w:tc>
          <w:tcPr>
            <w:tcW w:w="1360" w:type="dxa"/>
            <w:tcBorders>
              <w:top w:val="nil"/>
              <w:left w:val="nil"/>
              <w:bottom w:val="nil"/>
              <w:right w:val="single" w:sz="4" w:space="0" w:color="auto"/>
            </w:tcBorders>
            <w:shd w:val="clear" w:color="auto" w:fill="auto"/>
            <w:noWrap/>
            <w:vAlign w:val="center"/>
            <w:hideMark/>
          </w:tcPr>
          <w:p w14:paraId="23C7C89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-82.881</w:t>
            </w:r>
          </w:p>
        </w:tc>
        <w:tc>
          <w:tcPr>
            <w:tcW w:w="1155" w:type="dxa"/>
            <w:tcBorders>
              <w:top w:val="nil"/>
              <w:left w:val="nil"/>
              <w:bottom w:val="nil"/>
              <w:right w:val="single" w:sz="4" w:space="0" w:color="auto"/>
            </w:tcBorders>
            <w:shd w:val="clear" w:color="auto" w:fill="auto"/>
            <w:noWrap/>
            <w:vAlign w:val="center"/>
            <w:hideMark/>
          </w:tcPr>
          <w:p w14:paraId="4266AEA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-46.457</w:t>
            </w:r>
          </w:p>
        </w:tc>
        <w:tc>
          <w:tcPr>
            <w:tcW w:w="1220" w:type="dxa"/>
            <w:tcBorders>
              <w:top w:val="nil"/>
              <w:left w:val="nil"/>
              <w:bottom w:val="nil"/>
              <w:right w:val="single" w:sz="8" w:space="0" w:color="auto"/>
            </w:tcBorders>
            <w:shd w:val="clear" w:color="auto" w:fill="auto"/>
            <w:noWrap/>
            <w:vAlign w:val="center"/>
            <w:hideMark/>
          </w:tcPr>
          <w:p w14:paraId="784640A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108.621</w:t>
            </w:r>
          </w:p>
        </w:tc>
      </w:tr>
      <w:tr w:rsidR="00CF4703" w:rsidRPr="00701F32" w14:paraId="0345B92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140AEFE"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780" w:type="dxa"/>
            <w:tcBorders>
              <w:top w:val="nil"/>
              <w:left w:val="nil"/>
              <w:bottom w:val="nil"/>
              <w:right w:val="single" w:sz="4" w:space="0" w:color="auto"/>
            </w:tcBorders>
            <w:shd w:val="clear" w:color="auto" w:fill="auto"/>
            <w:noWrap/>
            <w:vAlign w:val="bottom"/>
            <w:hideMark/>
          </w:tcPr>
          <w:p w14:paraId="19861972"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88AF5B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37.515</w:t>
            </w:r>
          </w:p>
        </w:tc>
        <w:tc>
          <w:tcPr>
            <w:tcW w:w="1360" w:type="dxa"/>
            <w:tcBorders>
              <w:top w:val="nil"/>
              <w:left w:val="nil"/>
              <w:bottom w:val="nil"/>
              <w:right w:val="single" w:sz="4" w:space="0" w:color="auto"/>
            </w:tcBorders>
            <w:shd w:val="clear" w:color="auto" w:fill="auto"/>
            <w:noWrap/>
            <w:vAlign w:val="center"/>
            <w:hideMark/>
          </w:tcPr>
          <w:p w14:paraId="16015C6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-37.515</w:t>
            </w:r>
          </w:p>
        </w:tc>
        <w:tc>
          <w:tcPr>
            <w:tcW w:w="1155" w:type="dxa"/>
            <w:tcBorders>
              <w:top w:val="nil"/>
              <w:left w:val="nil"/>
              <w:bottom w:val="nil"/>
              <w:right w:val="single" w:sz="4" w:space="0" w:color="auto"/>
            </w:tcBorders>
            <w:shd w:val="clear" w:color="auto" w:fill="auto"/>
            <w:noWrap/>
            <w:vAlign w:val="center"/>
            <w:hideMark/>
          </w:tcPr>
          <w:p w14:paraId="4D41A21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69F5518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0E17AAA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24DDED55"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de deuda a VR con cambios en resultados </w:t>
            </w:r>
          </w:p>
        </w:tc>
        <w:tc>
          <w:tcPr>
            <w:tcW w:w="780" w:type="dxa"/>
            <w:tcBorders>
              <w:top w:val="nil"/>
              <w:left w:val="nil"/>
              <w:bottom w:val="nil"/>
              <w:right w:val="single" w:sz="4" w:space="0" w:color="auto"/>
            </w:tcBorders>
            <w:shd w:val="clear" w:color="auto" w:fill="auto"/>
            <w:noWrap/>
            <w:vAlign w:val="bottom"/>
            <w:hideMark/>
          </w:tcPr>
          <w:p w14:paraId="70E6A4A1"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220" w:type="dxa"/>
            <w:tcBorders>
              <w:top w:val="nil"/>
              <w:left w:val="nil"/>
              <w:bottom w:val="nil"/>
              <w:right w:val="single" w:sz="4" w:space="0" w:color="auto"/>
            </w:tcBorders>
            <w:shd w:val="clear" w:color="auto" w:fill="auto"/>
            <w:noWrap/>
            <w:vAlign w:val="center"/>
            <w:hideMark/>
          </w:tcPr>
          <w:p w14:paraId="5B46A1A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3FB49CE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4.338.991</w:t>
            </w:r>
          </w:p>
        </w:tc>
        <w:tc>
          <w:tcPr>
            <w:tcW w:w="1155" w:type="dxa"/>
            <w:tcBorders>
              <w:top w:val="nil"/>
              <w:left w:val="nil"/>
              <w:bottom w:val="nil"/>
              <w:right w:val="single" w:sz="4" w:space="0" w:color="auto"/>
            </w:tcBorders>
            <w:shd w:val="clear" w:color="auto" w:fill="auto"/>
            <w:noWrap/>
            <w:vAlign w:val="center"/>
            <w:hideMark/>
          </w:tcPr>
          <w:p w14:paraId="0EF3E87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1.664</w:t>
            </w:r>
          </w:p>
        </w:tc>
        <w:tc>
          <w:tcPr>
            <w:tcW w:w="1220" w:type="dxa"/>
            <w:tcBorders>
              <w:top w:val="nil"/>
              <w:left w:val="nil"/>
              <w:bottom w:val="nil"/>
              <w:right w:val="single" w:sz="8" w:space="0" w:color="auto"/>
            </w:tcBorders>
            <w:shd w:val="clear" w:color="auto" w:fill="auto"/>
            <w:noWrap/>
            <w:vAlign w:val="center"/>
            <w:hideMark/>
          </w:tcPr>
          <w:p w14:paraId="3E2AE17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4.340.655</w:t>
            </w:r>
          </w:p>
        </w:tc>
      </w:tr>
      <w:tr w:rsidR="00CF4703" w:rsidRPr="00701F32" w14:paraId="31402E5B"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CFBAE0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 </w:t>
            </w:r>
          </w:p>
        </w:tc>
        <w:tc>
          <w:tcPr>
            <w:tcW w:w="780" w:type="dxa"/>
            <w:tcBorders>
              <w:top w:val="nil"/>
              <w:left w:val="nil"/>
              <w:bottom w:val="nil"/>
              <w:right w:val="single" w:sz="4" w:space="0" w:color="auto"/>
            </w:tcBorders>
            <w:shd w:val="clear" w:color="auto" w:fill="auto"/>
            <w:noWrap/>
            <w:vAlign w:val="bottom"/>
            <w:hideMark/>
          </w:tcPr>
          <w:p w14:paraId="1E4F1935"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5B86CC9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5D646C0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37.954</w:t>
            </w:r>
          </w:p>
        </w:tc>
        <w:tc>
          <w:tcPr>
            <w:tcW w:w="1155" w:type="dxa"/>
            <w:tcBorders>
              <w:top w:val="nil"/>
              <w:left w:val="nil"/>
              <w:bottom w:val="nil"/>
              <w:right w:val="single" w:sz="4" w:space="0" w:color="auto"/>
            </w:tcBorders>
            <w:shd w:val="clear" w:color="auto" w:fill="auto"/>
            <w:noWrap/>
            <w:vAlign w:val="center"/>
            <w:hideMark/>
          </w:tcPr>
          <w:p w14:paraId="7090AC2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7928E75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37.954</w:t>
            </w:r>
          </w:p>
        </w:tc>
      </w:tr>
      <w:tr w:rsidR="00CF4703" w:rsidRPr="00701F32" w14:paraId="5956A87C"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063F17A1"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780" w:type="dxa"/>
            <w:tcBorders>
              <w:top w:val="nil"/>
              <w:left w:val="nil"/>
              <w:bottom w:val="nil"/>
              <w:right w:val="single" w:sz="4" w:space="0" w:color="auto"/>
            </w:tcBorders>
            <w:shd w:val="clear" w:color="auto" w:fill="auto"/>
            <w:noWrap/>
            <w:vAlign w:val="bottom"/>
            <w:hideMark/>
          </w:tcPr>
          <w:p w14:paraId="3D7A224D"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220" w:type="dxa"/>
            <w:tcBorders>
              <w:top w:val="nil"/>
              <w:left w:val="nil"/>
              <w:bottom w:val="nil"/>
              <w:right w:val="single" w:sz="4" w:space="0" w:color="auto"/>
            </w:tcBorders>
            <w:shd w:val="clear" w:color="auto" w:fill="auto"/>
            <w:noWrap/>
            <w:vAlign w:val="center"/>
            <w:hideMark/>
          </w:tcPr>
          <w:p w14:paraId="1182C14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603CE04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hideMark/>
          </w:tcPr>
          <w:p w14:paraId="1A752C2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C2BD9F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20AAA661"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C8A7443"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financieros </w:t>
            </w:r>
          </w:p>
        </w:tc>
        <w:tc>
          <w:tcPr>
            <w:tcW w:w="780" w:type="dxa"/>
            <w:tcBorders>
              <w:top w:val="nil"/>
              <w:left w:val="nil"/>
              <w:bottom w:val="nil"/>
              <w:right w:val="single" w:sz="4" w:space="0" w:color="auto"/>
            </w:tcBorders>
            <w:shd w:val="clear" w:color="auto" w:fill="auto"/>
            <w:noWrap/>
            <w:vAlign w:val="bottom"/>
            <w:hideMark/>
          </w:tcPr>
          <w:p w14:paraId="169B18AA"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220" w:type="dxa"/>
            <w:tcBorders>
              <w:top w:val="nil"/>
              <w:left w:val="nil"/>
              <w:bottom w:val="nil"/>
              <w:right w:val="single" w:sz="4" w:space="0" w:color="auto"/>
            </w:tcBorders>
            <w:shd w:val="clear" w:color="auto" w:fill="auto"/>
            <w:noWrap/>
            <w:vAlign w:val="center"/>
            <w:hideMark/>
          </w:tcPr>
          <w:p w14:paraId="570E020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4F6FCEC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448.544</w:t>
            </w:r>
          </w:p>
        </w:tc>
        <w:tc>
          <w:tcPr>
            <w:tcW w:w="1155" w:type="dxa"/>
            <w:tcBorders>
              <w:top w:val="nil"/>
              <w:left w:val="nil"/>
              <w:bottom w:val="nil"/>
              <w:right w:val="single" w:sz="4" w:space="0" w:color="auto"/>
            </w:tcBorders>
            <w:shd w:val="clear" w:color="auto" w:fill="auto"/>
            <w:noWrap/>
            <w:vAlign w:val="center"/>
            <w:hideMark/>
          </w:tcPr>
          <w:p w14:paraId="0F5DAB0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775E3A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448.544</w:t>
            </w:r>
          </w:p>
        </w:tc>
      </w:tr>
      <w:tr w:rsidR="00CF4703" w:rsidRPr="00701F32" w14:paraId="563EA2DA"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4DBD99A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Préstamos y otras financiaciones </w:t>
            </w:r>
          </w:p>
        </w:tc>
        <w:tc>
          <w:tcPr>
            <w:tcW w:w="780" w:type="dxa"/>
            <w:tcBorders>
              <w:top w:val="nil"/>
              <w:left w:val="nil"/>
              <w:bottom w:val="nil"/>
              <w:right w:val="single" w:sz="4" w:space="0" w:color="auto"/>
            </w:tcBorders>
            <w:shd w:val="clear" w:color="auto" w:fill="auto"/>
            <w:noWrap/>
            <w:vAlign w:val="bottom"/>
            <w:hideMark/>
          </w:tcPr>
          <w:p w14:paraId="7DBB666A"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a, b, g, m</w:t>
            </w:r>
          </w:p>
        </w:tc>
        <w:tc>
          <w:tcPr>
            <w:tcW w:w="1220" w:type="dxa"/>
            <w:tcBorders>
              <w:top w:val="nil"/>
              <w:left w:val="nil"/>
              <w:bottom w:val="nil"/>
              <w:right w:val="single" w:sz="4" w:space="0" w:color="auto"/>
            </w:tcBorders>
            <w:shd w:val="clear" w:color="auto" w:fill="auto"/>
            <w:noWrap/>
            <w:vAlign w:val="center"/>
            <w:hideMark/>
          </w:tcPr>
          <w:p w14:paraId="1954E1C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6867418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47.840.751</w:t>
            </w:r>
          </w:p>
        </w:tc>
        <w:tc>
          <w:tcPr>
            <w:tcW w:w="1155" w:type="dxa"/>
            <w:tcBorders>
              <w:top w:val="nil"/>
              <w:left w:val="nil"/>
              <w:bottom w:val="nil"/>
              <w:right w:val="single" w:sz="4" w:space="0" w:color="auto"/>
            </w:tcBorders>
            <w:shd w:val="clear" w:color="auto" w:fill="auto"/>
            <w:noWrap/>
            <w:vAlign w:val="center"/>
            <w:hideMark/>
          </w:tcPr>
          <w:p w14:paraId="5C49998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411.355</w:t>
            </w:r>
          </w:p>
        </w:tc>
        <w:tc>
          <w:tcPr>
            <w:tcW w:w="1220" w:type="dxa"/>
            <w:tcBorders>
              <w:top w:val="nil"/>
              <w:left w:val="nil"/>
              <w:bottom w:val="nil"/>
              <w:right w:val="single" w:sz="8" w:space="0" w:color="auto"/>
            </w:tcBorders>
            <w:shd w:val="clear" w:color="auto" w:fill="auto"/>
            <w:noWrap/>
            <w:vAlign w:val="center"/>
            <w:hideMark/>
          </w:tcPr>
          <w:p w14:paraId="0E93C6C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48.252.106</w:t>
            </w:r>
          </w:p>
        </w:tc>
      </w:tr>
      <w:tr w:rsidR="00CF4703" w:rsidRPr="00701F32" w14:paraId="59E3C985"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BFA731E"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títulos de deuda </w:t>
            </w:r>
          </w:p>
        </w:tc>
        <w:tc>
          <w:tcPr>
            <w:tcW w:w="780" w:type="dxa"/>
            <w:tcBorders>
              <w:top w:val="nil"/>
              <w:left w:val="nil"/>
              <w:bottom w:val="nil"/>
              <w:right w:val="single" w:sz="4" w:space="0" w:color="auto"/>
            </w:tcBorders>
            <w:shd w:val="clear" w:color="auto" w:fill="auto"/>
            <w:noWrap/>
            <w:vAlign w:val="bottom"/>
            <w:hideMark/>
          </w:tcPr>
          <w:p w14:paraId="121F0B49"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C00AAA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509F151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2.313.336</w:t>
            </w:r>
          </w:p>
        </w:tc>
        <w:tc>
          <w:tcPr>
            <w:tcW w:w="1155" w:type="dxa"/>
            <w:tcBorders>
              <w:top w:val="nil"/>
              <w:left w:val="nil"/>
              <w:bottom w:val="nil"/>
              <w:right w:val="single" w:sz="4" w:space="0" w:color="auto"/>
            </w:tcBorders>
            <w:shd w:val="clear" w:color="auto" w:fill="auto"/>
            <w:noWrap/>
            <w:vAlign w:val="center"/>
            <w:hideMark/>
          </w:tcPr>
          <w:p w14:paraId="01F9FAF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6E1C974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2.313.336</w:t>
            </w:r>
          </w:p>
        </w:tc>
      </w:tr>
      <w:tr w:rsidR="00CF4703" w:rsidRPr="00701F32" w14:paraId="06F694E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12B6DE8B"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financieros entregados en garantía </w:t>
            </w:r>
          </w:p>
        </w:tc>
        <w:tc>
          <w:tcPr>
            <w:tcW w:w="780" w:type="dxa"/>
            <w:tcBorders>
              <w:top w:val="nil"/>
              <w:left w:val="nil"/>
              <w:bottom w:val="nil"/>
              <w:right w:val="single" w:sz="4" w:space="0" w:color="auto"/>
            </w:tcBorders>
            <w:shd w:val="clear" w:color="auto" w:fill="auto"/>
            <w:noWrap/>
            <w:vAlign w:val="bottom"/>
            <w:hideMark/>
          </w:tcPr>
          <w:p w14:paraId="0C842B34"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57A1FE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79272C6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2.620.132</w:t>
            </w:r>
          </w:p>
        </w:tc>
        <w:tc>
          <w:tcPr>
            <w:tcW w:w="1155" w:type="dxa"/>
            <w:tcBorders>
              <w:top w:val="nil"/>
              <w:left w:val="nil"/>
              <w:bottom w:val="nil"/>
              <w:right w:val="single" w:sz="4" w:space="0" w:color="auto"/>
            </w:tcBorders>
            <w:shd w:val="clear" w:color="auto" w:fill="auto"/>
            <w:noWrap/>
            <w:vAlign w:val="center"/>
            <w:hideMark/>
          </w:tcPr>
          <w:p w14:paraId="6EE011F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251DE56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2.620.132</w:t>
            </w:r>
          </w:p>
        </w:tc>
      </w:tr>
      <w:tr w:rsidR="00CF4703" w:rsidRPr="00701F32" w14:paraId="7EF57555"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CBC599C"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instrumentos de patrimonio</w:t>
            </w:r>
          </w:p>
        </w:tc>
        <w:tc>
          <w:tcPr>
            <w:tcW w:w="780" w:type="dxa"/>
            <w:tcBorders>
              <w:top w:val="nil"/>
              <w:left w:val="nil"/>
              <w:bottom w:val="nil"/>
              <w:right w:val="single" w:sz="4" w:space="0" w:color="auto"/>
            </w:tcBorders>
            <w:shd w:val="clear" w:color="auto" w:fill="auto"/>
            <w:noWrap/>
            <w:vAlign w:val="bottom"/>
            <w:hideMark/>
          </w:tcPr>
          <w:p w14:paraId="20C685C6"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220" w:type="dxa"/>
            <w:tcBorders>
              <w:top w:val="nil"/>
              <w:left w:val="nil"/>
              <w:bottom w:val="nil"/>
              <w:right w:val="single" w:sz="4" w:space="0" w:color="auto"/>
            </w:tcBorders>
            <w:shd w:val="clear" w:color="auto" w:fill="auto"/>
            <w:noWrap/>
            <w:vAlign w:val="center"/>
            <w:hideMark/>
          </w:tcPr>
          <w:p w14:paraId="7B06B71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4BAA2BF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821</w:t>
            </w:r>
          </w:p>
        </w:tc>
        <w:tc>
          <w:tcPr>
            <w:tcW w:w="1155" w:type="dxa"/>
            <w:tcBorders>
              <w:top w:val="nil"/>
              <w:left w:val="nil"/>
              <w:bottom w:val="nil"/>
              <w:right w:val="single" w:sz="4" w:space="0" w:color="auto"/>
            </w:tcBorders>
            <w:shd w:val="clear" w:color="auto" w:fill="auto"/>
            <w:noWrap/>
            <w:vAlign w:val="center"/>
            <w:hideMark/>
          </w:tcPr>
          <w:p w14:paraId="5A64A6D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6.132</w:t>
            </w:r>
          </w:p>
        </w:tc>
        <w:tc>
          <w:tcPr>
            <w:tcW w:w="1220" w:type="dxa"/>
            <w:tcBorders>
              <w:top w:val="nil"/>
              <w:left w:val="nil"/>
              <w:bottom w:val="nil"/>
              <w:right w:val="single" w:sz="8" w:space="0" w:color="auto"/>
            </w:tcBorders>
            <w:shd w:val="clear" w:color="auto" w:fill="auto"/>
            <w:noWrap/>
            <w:vAlign w:val="center"/>
            <w:hideMark/>
          </w:tcPr>
          <w:p w14:paraId="6262AF8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6.953</w:t>
            </w:r>
          </w:p>
        </w:tc>
      </w:tr>
      <w:tr w:rsidR="00CF4703" w:rsidRPr="00701F32" w14:paraId="674F7C7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29A3382A"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impuestos a las ganancias corriente </w:t>
            </w:r>
          </w:p>
        </w:tc>
        <w:tc>
          <w:tcPr>
            <w:tcW w:w="780" w:type="dxa"/>
            <w:tcBorders>
              <w:top w:val="nil"/>
              <w:left w:val="nil"/>
              <w:bottom w:val="nil"/>
              <w:right w:val="single" w:sz="4" w:space="0" w:color="auto"/>
            </w:tcBorders>
            <w:shd w:val="clear" w:color="auto" w:fill="auto"/>
            <w:noWrap/>
            <w:vAlign w:val="bottom"/>
            <w:hideMark/>
          </w:tcPr>
          <w:p w14:paraId="75AE6784"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3EC61F0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51A01A2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3.729</w:t>
            </w:r>
          </w:p>
        </w:tc>
        <w:tc>
          <w:tcPr>
            <w:tcW w:w="1155" w:type="dxa"/>
            <w:tcBorders>
              <w:top w:val="nil"/>
              <w:left w:val="nil"/>
              <w:bottom w:val="nil"/>
              <w:right w:val="single" w:sz="4" w:space="0" w:color="auto"/>
            </w:tcBorders>
            <w:shd w:val="clear" w:color="auto" w:fill="auto"/>
            <w:noWrap/>
            <w:vAlign w:val="center"/>
            <w:hideMark/>
          </w:tcPr>
          <w:p w14:paraId="0617BA7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5758089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3.729</w:t>
            </w:r>
          </w:p>
        </w:tc>
      </w:tr>
      <w:tr w:rsidR="00CF4703" w:rsidRPr="00701F32" w14:paraId="2D605E8A"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F6811F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 a las ganancias diferido </w:t>
            </w:r>
          </w:p>
        </w:tc>
        <w:tc>
          <w:tcPr>
            <w:tcW w:w="780" w:type="dxa"/>
            <w:tcBorders>
              <w:top w:val="nil"/>
              <w:left w:val="nil"/>
              <w:bottom w:val="nil"/>
              <w:right w:val="single" w:sz="4" w:space="0" w:color="auto"/>
            </w:tcBorders>
            <w:shd w:val="clear" w:color="auto" w:fill="auto"/>
            <w:noWrap/>
            <w:vAlign w:val="bottom"/>
            <w:hideMark/>
          </w:tcPr>
          <w:p w14:paraId="0685236B"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j</w:t>
            </w:r>
          </w:p>
        </w:tc>
        <w:tc>
          <w:tcPr>
            <w:tcW w:w="1220" w:type="dxa"/>
            <w:tcBorders>
              <w:top w:val="nil"/>
              <w:left w:val="nil"/>
              <w:bottom w:val="nil"/>
              <w:right w:val="single" w:sz="4" w:space="0" w:color="auto"/>
            </w:tcBorders>
            <w:shd w:val="clear" w:color="auto" w:fill="auto"/>
            <w:noWrap/>
            <w:vAlign w:val="center"/>
            <w:hideMark/>
          </w:tcPr>
          <w:p w14:paraId="3CAC83D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414A528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hideMark/>
          </w:tcPr>
          <w:p w14:paraId="5B4DD2B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417.777</w:t>
            </w:r>
          </w:p>
        </w:tc>
        <w:tc>
          <w:tcPr>
            <w:tcW w:w="1220" w:type="dxa"/>
            <w:tcBorders>
              <w:top w:val="nil"/>
              <w:left w:val="nil"/>
              <w:bottom w:val="nil"/>
              <w:right w:val="single" w:sz="8" w:space="0" w:color="auto"/>
            </w:tcBorders>
            <w:shd w:val="clear" w:color="auto" w:fill="auto"/>
            <w:noWrap/>
            <w:vAlign w:val="center"/>
            <w:hideMark/>
          </w:tcPr>
          <w:p w14:paraId="5398F0F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417.777</w:t>
            </w:r>
          </w:p>
        </w:tc>
      </w:tr>
      <w:tr w:rsidR="00CF4703" w:rsidRPr="00701F32" w14:paraId="3052D5E8"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51799D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no financieros </w:t>
            </w:r>
          </w:p>
        </w:tc>
        <w:tc>
          <w:tcPr>
            <w:tcW w:w="780" w:type="dxa"/>
            <w:tcBorders>
              <w:top w:val="nil"/>
              <w:left w:val="nil"/>
              <w:bottom w:val="nil"/>
              <w:right w:val="single" w:sz="4" w:space="0" w:color="auto"/>
            </w:tcBorders>
            <w:shd w:val="clear" w:color="auto" w:fill="auto"/>
            <w:noWrap/>
            <w:vAlign w:val="bottom"/>
            <w:hideMark/>
          </w:tcPr>
          <w:p w14:paraId="5574BDEB"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220" w:type="dxa"/>
            <w:tcBorders>
              <w:top w:val="nil"/>
              <w:left w:val="nil"/>
              <w:bottom w:val="nil"/>
              <w:right w:val="single" w:sz="4" w:space="0" w:color="auto"/>
            </w:tcBorders>
            <w:shd w:val="clear" w:color="auto" w:fill="auto"/>
            <w:noWrap/>
            <w:vAlign w:val="center"/>
            <w:hideMark/>
          </w:tcPr>
          <w:p w14:paraId="7AA6B5C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6898E2E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552.233</w:t>
            </w:r>
          </w:p>
        </w:tc>
        <w:tc>
          <w:tcPr>
            <w:tcW w:w="1155" w:type="dxa"/>
            <w:tcBorders>
              <w:top w:val="nil"/>
              <w:left w:val="nil"/>
              <w:bottom w:val="nil"/>
              <w:right w:val="single" w:sz="4" w:space="0" w:color="auto"/>
            </w:tcBorders>
            <w:shd w:val="clear" w:color="auto" w:fill="auto"/>
            <w:noWrap/>
            <w:vAlign w:val="center"/>
            <w:hideMark/>
          </w:tcPr>
          <w:p w14:paraId="4C4637C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87.396</w:t>
            </w:r>
          </w:p>
        </w:tc>
        <w:tc>
          <w:tcPr>
            <w:tcW w:w="1220" w:type="dxa"/>
            <w:tcBorders>
              <w:top w:val="nil"/>
              <w:left w:val="nil"/>
              <w:bottom w:val="nil"/>
              <w:right w:val="single" w:sz="8" w:space="0" w:color="auto"/>
            </w:tcBorders>
            <w:shd w:val="clear" w:color="auto" w:fill="auto"/>
            <w:noWrap/>
            <w:vAlign w:val="center"/>
            <w:hideMark/>
          </w:tcPr>
          <w:p w14:paraId="3CD7729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639.629</w:t>
            </w:r>
          </w:p>
        </w:tc>
      </w:tr>
      <w:tr w:rsidR="00CF4703" w:rsidRPr="00701F32" w14:paraId="6EBA8547" w14:textId="77777777" w:rsidTr="00CF4703">
        <w:trPr>
          <w:trHeight w:val="315"/>
        </w:trPr>
        <w:tc>
          <w:tcPr>
            <w:tcW w:w="3929" w:type="dxa"/>
            <w:tcBorders>
              <w:top w:val="nil"/>
              <w:left w:val="single" w:sz="8" w:space="0" w:color="auto"/>
              <w:bottom w:val="nil"/>
              <w:right w:val="single" w:sz="4" w:space="0" w:color="auto"/>
            </w:tcBorders>
            <w:shd w:val="clear" w:color="auto" w:fill="auto"/>
            <w:noWrap/>
            <w:vAlign w:val="bottom"/>
            <w:hideMark/>
          </w:tcPr>
          <w:p w14:paraId="74E4E5B7"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Propiedad, planta y equipo </w:t>
            </w:r>
          </w:p>
        </w:tc>
        <w:tc>
          <w:tcPr>
            <w:tcW w:w="780" w:type="dxa"/>
            <w:tcBorders>
              <w:top w:val="nil"/>
              <w:left w:val="nil"/>
              <w:bottom w:val="nil"/>
              <w:right w:val="single" w:sz="4" w:space="0" w:color="auto"/>
            </w:tcBorders>
            <w:shd w:val="clear" w:color="auto" w:fill="auto"/>
            <w:noWrap/>
            <w:vAlign w:val="bottom"/>
            <w:hideMark/>
          </w:tcPr>
          <w:p w14:paraId="0C4DA5C7"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220" w:type="dxa"/>
            <w:tcBorders>
              <w:top w:val="nil"/>
              <w:left w:val="nil"/>
              <w:bottom w:val="nil"/>
              <w:right w:val="single" w:sz="4" w:space="0" w:color="auto"/>
            </w:tcBorders>
            <w:shd w:val="clear" w:color="auto" w:fill="auto"/>
            <w:noWrap/>
            <w:vAlign w:val="center"/>
            <w:hideMark/>
          </w:tcPr>
          <w:p w14:paraId="19DD865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62781A5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678.512</w:t>
            </w:r>
          </w:p>
        </w:tc>
        <w:tc>
          <w:tcPr>
            <w:tcW w:w="1155" w:type="dxa"/>
            <w:tcBorders>
              <w:top w:val="nil"/>
              <w:left w:val="nil"/>
              <w:bottom w:val="nil"/>
              <w:right w:val="single" w:sz="4" w:space="0" w:color="auto"/>
            </w:tcBorders>
            <w:shd w:val="clear" w:color="auto" w:fill="auto"/>
            <w:noWrap/>
            <w:vAlign w:val="center"/>
            <w:hideMark/>
          </w:tcPr>
          <w:p w14:paraId="349747C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89.517</w:t>
            </w:r>
          </w:p>
        </w:tc>
        <w:tc>
          <w:tcPr>
            <w:tcW w:w="1220" w:type="dxa"/>
            <w:tcBorders>
              <w:top w:val="nil"/>
              <w:left w:val="nil"/>
              <w:bottom w:val="nil"/>
              <w:right w:val="single" w:sz="8" w:space="0" w:color="auto"/>
            </w:tcBorders>
            <w:shd w:val="clear" w:color="auto" w:fill="auto"/>
            <w:noWrap/>
            <w:vAlign w:val="center"/>
            <w:hideMark/>
          </w:tcPr>
          <w:p w14:paraId="2AAA9FA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768.029</w:t>
            </w:r>
          </w:p>
        </w:tc>
      </w:tr>
      <w:tr w:rsidR="00CF4703" w:rsidRPr="00701F32" w14:paraId="6CADE4A1" w14:textId="77777777" w:rsidTr="00CF4703">
        <w:trPr>
          <w:trHeight w:val="74"/>
        </w:trPr>
        <w:tc>
          <w:tcPr>
            <w:tcW w:w="39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497F1ED" w14:textId="77777777" w:rsidR="00CF4703" w:rsidRPr="00701F32" w:rsidRDefault="00CF4703" w:rsidP="00CF4703">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del Activo al 30/09/2017</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14:paraId="5428D1C3" w14:textId="77777777" w:rsidR="00CF4703" w:rsidRPr="00701F32" w:rsidRDefault="00CF4703" w:rsidP="00CF4703">
            <w:pPr>
              <w:jc w:val="center"/>
              <w:rPr>
                <w:rFonts w:ascii="Arial" w:hAnsi="Arial" w:cs="Arial"/>
                <w:b/>
                <w:bCs/>
                <w:color w:val="000000"/>
                <w:sz w:val="16"/>
                <w:szCs w:val="16"/>
                <w:lang w:eastAsia="es-AR"/>
              </w:rPr>
            </w:pP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3D03F650" w14:textId="77777777" w:rsidR="00CF4703" w:rsidRPr="00701F32" w:rsidRDefault="00CF4703" w:rsidP="00CF4703">
            <w:pPr>
              <w:jc w:val="right"/>
              <w:rPr>
                <w:rFonts w:ascii="Arial" w:hAnsi="Arial" w:cs="Arial"/>
                <w:b/>
                <w:color w:val="000000"/>
                <w:sz w:val="16"/>
                <w:szCs w:val="16"/>
                <w:lang w:eastAsia="es-AR"/>
              </w:rPr>
            </w:pPr>
            <w:r w:rsidRPr="00701F32">
              <w:rPr>
                <w:rFonts w:ascii="Arial" w:hAnsi="Arial" w:cs="Arial"/>
                <w:b/>
                <w:color w:val="000000"/>
                <w:sz w:val="16"/>
                <w:szCs w:val="16"/>
                <w:lang w:eastAsia="es-AR"/>
              </w:rPr>
              <w:t>68.979.302</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5C0D380C" w14:textId="77777777" w:rsidR="00CF4703" w:rsidRPr="00701F32" w:rsidRDefault="00CF4703" w:rsidP="00CF4703">
            <w:pPr>
              <w:jc w:val="right"/>
              <w:rPr>
                <w:rFonts w:ascii="Arial" w:hAnsi="Arial" w:cs="Arial"/>
                <w:b/>
                <w:color w:val="000000"/>
                <w:sz w:val="16"/>
                <w:szCs w:val="16"/>
                <w:lang w:eastAsia="es-AR"/>
              </w:rPr>
            </w:pPr>
            <w:r w:rsidRPr="00701F32">
              <w:rPr>
                <w:rFonts w:ascii="Arial" w:hAnsi="Arial" w:cs="Arial"/>
                <w:b/>
                <w:color w:val="000000"/>
                <w:sz w:val="16"/>
                <w:szCs w:val="16"/>
                <w:lang w:eastAsia="es-AR"/>
              </w:rPr>
              <w:t>-138.449</w:t>
            </w:r>
          </w:p>
        </w:tc>
        <w:tc>
          <w:tcPr>
            <w:tcW w:w="1155" w:type="dxa"/>
            <w:tcBorders>
              <w:top w:val="single" w:sz="8" w:space="0" w:color="auto"/>
              <w:left w:val="nil"/>
              <w:bottom w:val="single" w:sz="8" w:space="0" w:color="auto"/>
              <w:right w:val="single" w:sz="4" w:space="0" w:color="auto"/>
            </w:tcBorders>
            <w:shd w:val="clear" w:color="auto" w:fill="auto"/>
            <w:noWrap/>
            <w:vAlign w:val="center"/>
            <w:hideMark/>
          </w:tcPr>
          <w:p w14:paraId="022C0E2A" w14:textId="77777777" w:rsidR="00CF4703" w:rsidRPr="00701F32" w:rsidRDefault="00CF4703" w:rsidP="00CF4703">
            <w:pPr>
              <w:jc w:val="right"/>
              <w:rPr>
                <w:rFonts w:ascii="Arial" w:hAnsi="Arial" w:cs="Arial"/>
                <w:b/>
                <w:color w:val="000000"/>
                <w:sz w:val="16"/>
                <w:szCs w:val="16"/>
                <w:lang w:eastAsia="es-AR"/>
              </w:rPr>
            </w:pPr>
            <w:r w:rsidRPr="00701F32">
              <w:rPr>
                <w:rFonts w:ascii="Arial" w:hAnsi="Arial" w:cs="Arial"/>
                <w:b/>
                <w:color w:val="000000"/>
                <w:sz w:val="16"/>
                <w:szCs w:val="16"/>
                <w:lang w:eastAsia="es-AR"/>
              </w:rPr>
              <w:t>923.132</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F2800A6" w14:textId="77777777" w:rsidR="00CF4703" w:rsidRPr="00701F32" w:rsidRDefault="00CF4703" w:rsidP="00CF4703">
            <w:pPr>
              <w:jc w:val="right"/>
              <w:rPr>
                <w:rFonts w:ascii="Arial" w:hAnsi="Arial" w:cs="Arial"/>
                <w:b/>
                <w:color w:val="000000"/>
                <w:sz w:val="16"/>
                <w:szCs w:val="16"/>
                <w:lang w:eastAsia="es-AR"/>
              </w:rPr>
            </w:pPr>
            <w:r w:rsidRPr="00701F32">
              <w:rPr>
                <w:rFonts w:ascii="Arial" w:hAnsi="Arial" w:cs="Arial"/>
                <w:b/>
                <w:color w:val="000000"/>
                <w:sz w:val="16"/>
                <w:szCs w:val="16"/>
                <w:lang w:eastAsia="es-AR"/>
              </w:rPr>
              <w:t>69.763.985</w:t>
            </w:r>
          </w:p>
        </w:tc>
      </w:tr>
      <w:tr w:rsidR="00CF4703" w:rsidRPr="00701F32" w14:paraId="7D374F51"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628DCDD"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Depósitos </w:t>
            </w:r>
          </w:p>
        </w:tc>
        <w:tc>
          <w:tcPr>
            <w:tcW w:w="780" w:type="dxa"/>
            <w:tcBorders>
              <w:top w:val="nil"/>
              <w:left w:val="nil"/>
              <w:bottom w:val="nil"/>
              <w:right w:val="single" w:sz="4" w:space="0" w:color="auto"/>
            </w:tcBorders>
            <w:shd w:val="clear" w:color="auto" w:fill="auto"/>
            <w:noWrap/>
            <w:vAlign w:val="bottom"/>
            <w:hideMark/>
          </w:tcPr>
          <w:p w14:paraId="48ADE52C"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523DAF7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47.935.263</w:t>
            </w:r>
          </w:p>
        </w:tc>
        <w:tc>
          <w:tcPr>
            <w:tcW w:w="1360" w:type="dxa"/>
            <w:tcBorders>
              <w:top w:val="nil"/>
              <w:left w:val="nil"/>
              <w:bottom w:val="nil"/>
              <w:right w:val="single" w:sz="4" w:space="0" w:color="auto"/>
            </w:tcBorders>
            <w:shd w:val="clear" w:color="auto" w:fill="auto"/>
            <w:noWrap/>
            <w:vAlign w:val="center"/>
            <w:hideMark/>
          </w:tcPr>
          <w:p w14:paraId="2382147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-1.429.398</w:t>
            </w:r>
          </w:p>
        </w:tc>
        <w:tc>
          <w:tcPr>
            <w:tcW w:w="1155" w:type="dxa"/>
            <w:tcBorders>
              <w:top w:val="nil"/>
              <w:left w:val="nil"/>
              <w:bottom w:val="nil"/>
              <w:right w:val="single" w:sz="4" w:space="0" w:color="auto"/>
            </w:tcBorders>
            <w:shd w:val="clear" w:color="auto" w:fill="auto"/>
            <w:noWrap/>
            <w:vAlign w:val="center"/>
            <w:hideMark/>
          </w:tcPr>
          <w:p w14:paraId="5058131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5DE033F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46.505.865</w:t>
            </w:r>
          </w:p>
        </w:tc>
      </w:tr>
      <w:tr w:rsidR="00CF4703" w:rsidRPr="00701F32" w14:paraId="7AAD065E"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4DEAD18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Otras obligaciones por intermediación financiera </w:t>
            </w:r>
          </w:p>
        </w:tc>
        <w:tc>
          <w:tcPr>
            <w:tcW w:w="780" w:type="dxa"/>
            <w:tcBorders>
              <w:top w:val="nil"/>
              <w:left w:val="nil"/>
              <w:bottom w:val="nil"/>
              <w:right w:val="single" w:sz="4" w:space="0" w:color="auto"/>
            </w:tcBorders>
            <w:shd w:val="clear" w:color="auto" w:fill="auto"/>
            <w:noWrap/>
            <w:vAlign w:val="bottom"/>
            <w:hideMark/>
          </w:tcPr>
          <w:p w14:paraId="44753907"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220" w:type="dxa"/>
            <w:tcBorders>
              <w:top w:val="nil"/>
              <w:left w:val="nil"/>
              <w:bottom w:val="nil"/>
              <w:right w:val="single" w:sz="4" w:space="0" w:color="auto"/>
            </w:tcBorders>
            <w:shd w:val="clear" w:color="auto" w:fill="auto"/>
            <w:noWrap/>
            <w:vAlign w:val="center"/>
            <w:hideMark/>
          </w:tcPr>
          <w:p w14:paraId="6019AD9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10.680.535</w:t>
            </w:r>
          </w:p>
        </w:tc>
        <w:tc>
          <w:tcPr>
            <w:tcW w:w="1360" w:type="dxa"/>
            <w:tcBorders>
              <w:top w:val="nil"/>
              <w:left w:val="nil"/>
              <w:bottom w:val="nil"/>
              <w:right w:val="single" w:sz="4" w:space="0" w:color="auto"/>
            </w:tcBorders>
            <w:shd w:val="clear" w:color="auto" w:fill="auto"/>
            <w:noWrap/>
            <w:vAlign w:val="center"/>
            <w:hideMark/>
          </w:tcPr>
          <w:p w14:paraId="542550D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-10.680.535</w:t>
            </w:r>
          </w:p>
        </w:tc>
        <w:tc>
          <w:tcPr>
            <w:tcW w:w="1155" w:type="dxa"/>
            <w:tcBorders>
              <w:top w:val="nil"/>
              <w:left w:val="nil"/>
              <w:bottom w:val="nil"/>
              <w:right w:val="single" w:sz="4" w:space="0" w:color="auto"/>
            </w:tcBorders>
            <w:shd w:val="clear" w:color="auto" w:fill="auto"/>
            <w:noWrap/>
            <w:vAlign w:val="center"/>
            <w:hideMark/>
          </w:tcPr>
          <w:p w14:paraId="369B6A4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0347F5C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7D889752"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5ADA48FF"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diversas </w:t>
            </w:r>
          </w:p>
        </w:tc>
        <w:tc>
          <w:tcPr>
            <w:tcW w:w="780" w:type="dxa"/>
            <w:tcBorders>
              <w:top w:val="nil"/>
              <w:left w:val="nil"/>
              <w:bottom w:val="nil"/>
              <w:right w:val="single" w:sz="4" w:space="0" w:color="auto"/>
            </w:tcBorders>
            <w:shd w:val="clear" w:color="auto" w:fill="auto"/>
            <w:noWrap/>
            <w:vAlign w:val="bottom"/>
            <w:hideMark/>
          </w:tcPr>
          <w:p w14:paraId="032F515B"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4950C70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1.508.798</w:t>
            </w:r>
          </w:p>
        </w:tc>
        <w:tc>
          <w:tcPr>
            <w:tcW w:w="1360" w:type="dxa"/>
            <w:tcBorders>
              <w:top w:val="nil"/>
              <w:left w:val="nil"/>
              <w:bottom w:val="nil"/>
              <w:right w:val="single" w:sz="4" w:space="0" w:color="auto"/>
            </w:tcBorders>
            <w:shd w:val="clear" w:color="auto" w:fill="auto"/>
            <w:noWrap/>
            <w:vAlign w:val="center"/>
            <w:hideMark/>
          </w:tcPr>
          <w:p w14:paraId="3AF14A5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-1.508.798</w:t>
            </w:r>
          </w:p>
        </w:tc>
        <w:tc>
          <w:tcPr>
            <w:tcW w:w="1155" w:type="dxa"/>
            <w:tcBorders>
              <w:top w:val="nil"/>
              <w:left w:val="nil"/>
              <w:bottom w:val="nil"/>
              <w:right w:val="single" w:sz="4" w:space="0" w:color="auto"/>
            </w:tcBorders>
            <w:shd w:val="clear" w:color="auto" w:fill="auto"/>
            <w:noWrap/>
            <w:vAlign w:val="center"/>
            <w:hideMark/>
          </w:tcPr>
          <w:p w14:paraId="55BEC04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1E4471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29986C63"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7C220DAF"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Provisiones </w:t>
            </w:r>
          </w:p>
        </w:tc>
        <w:tc>
          <w:tcPr>
            <w:tcW w:w="780" w:type="dxa"/>
            <w:tcBorders>
              <w:top w:val="nil"/>
              <w:left w:val="nil"/>
              <w:bottom w:val="nil"/>
              <w:right w:val="single" w:sz="4" w:space="0" w:color="auto"/>
            </w:tcBorders>
            <w:shd w:val="clear" w:color="auto" w:fill="auto"/>
            <w:noWrap/>
            <w:vAlign w:val="bottom"/>
            <w:hideMark/>
          </w:tcPr>
          <w:p w14:paraId="4173FE2A"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19EA7A6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48.026</w:t>
            </w:r>
          </w:p>
        </w:tc>
        <w:tc>
          <w:tcPr>
            <w:tcW w:w="1360" w:type="dxa"/>
            <w:tcBorders>
              <w:top w:val="nil"/>
              <w:left w:val="nil"/>
              <w:bottom w:val="nil"/>
              <w:right w:val="single" w:sz="4" w:space="0" w:color="auto"/>
            </w:tcBorders>
            <w:shd w:val="clear" w:color="auto" w:fill="auto"/>
            <w:noWrap/>
            <w:vAlign w:val="center"/>
            <w:hideMark/>
          </w:tcPr>
          <w:p w14:paraId="5365D55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hideMark/>
          </w:tcPr>
          <w:p w14:paraId="04B77A3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0DD7C47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48.026</w:t>
            </w:r>
          </w:p>
        </w:tc>
      </w:tr>
      <w:tr w:rsidR="00CF4703" w:rsidRPr="00701F32" w14:paraId="6B8F65AF"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5782C810"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subordinadas </w:t>
            </w:r>
          </w:p>
        </w:tc>
        <w:tc>
          <w:tcPr>
            <w:tcW w:w="780" w:type="dxa"/>
            <w:tcBorders>
              <w:top w:val="nil"/>
              <w:left w:val="nil"/>
              <w:bottom w:val="nil"/>
              <w:right w:val="single" w:sz="4" w:space="0" w:color="auto"/>
            </w:tcBorders>
            <w:shd w:val="clear" w:color="auto" w:fill="auto"/>
            <w:noWrap/>
            <w:vAlign w:val="bottom"/>
            <w:hideMark/>
          </w:tcPr>
          <w:p w14:paraId="4F41ED32"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2F3579C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1.533.221</w:t>
            </w:r>
          </w:p>
        </w:tc>
        <w:tc>
          <w:tcPr>
            <w:tcW w:w="1360" w:type="dxa"/>
            <w:tcBorders>
              <w:top w:val="nil"/>
              <w:left w:val="nil"/>
              <w:bottom w:val="nil"/>
              <w:right w:val="single" w:sz="4" w:space="0" w:color="auto"/>
            </w:tcBorders>
            <w:shd w:val="clear" w:color="auto" w:fill="auto"/>
            <w:noWrap/>
            <w:vAlign w:val="center"/>
            <w:hideMark/>
          </w:tcPr>
          <w:p w14:paraId="318D55E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hideMark/>
          </w:tcPr>
          <w:p w14:paraId="162568D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3434E05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1.533.221</w:t>
            </w:r>
          </w:p>
        </w:tc>
      </w:tr>
      <w:tr w:rsidR="00CF4703" w:rsidRPr="00701F32" w14:paraId="2ED00018"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773CE2FB"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780" w:type="dxa"/>
            <w:tcBorders>
              <w:top w:val="nil"/>
              <w:left w:val="nil"/>
              <w:bottom w:val="nil"/>
              <w:right w:val="single" w:sz="4" w:space="0" w:color="auto"/>
            </w:tcBorders>
            <w:shd w:val="clear" w:color="auto" w:fill="auto"/>
            <w:noWrap/>
            <w:vAlign w:val="bottom"/>
            <w:hideMark/>
          </w:tcPr>
          <w:p w14:paraId="75DCB37D"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2EDEA97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219.112</w:t>
            </w:r>
          </w:p>
        </w:tc>
        <w:tc>
          <w:tcPr>
            <w:tcW w:w="1360" w:type="dxa"/>
            <w:tcBorders>
              <w:top w:val="nil"/>
              <w:left w:val="nil"/>
              <w:bottom w:val="nil"/>
              <w:right w:val="single" w:sz="4" w:space="0" w:color="auto"/>
            </w:tcBorders>
            <w:shd w:val="clear" w:color="auto" w:fill="auto"/>
            <w:noWrap/>
            <w:vAlign w:val="center"/>
            <w:hideMark/>
          </w:tcPr>
          <w:p w14:paraId="2F16FE3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-219.112</w:t>
            </w:r>
          </w:p>
        </w:tc>
        <w:tc>
          <w:tcPr>
            <w:tcW w:w="1155" w:type="dxa"/>
            <w:tcBorders>
              <w:top w:val="nil"/>
              <w:left w:val="nil"/>
              <w:bottom w:val="nil"/>
              <w:right w:val="single" w:sz="4" w:space="0" w:color="auto"/>
            </w:tcBorders>
            <w:shd w:val="clear" w:color="auto" w:fill="auto"/>
            <w:noWrap/>
            <w:vAlign w:val="center"/>
            <w:hideMark/>
          </w:tcPr>
          <w:p w14:paraId="202427C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2615D66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12C51830"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7CA07327"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Pasivos a VR con cambios en resultados</w:t>
            </w:r>
          </w:p>
        </w:tc>
        <w:tc>
          <w:tcPr>
            <w:tcW w:w="780" w:type="dxa"/>
            <w:tcBorders>
              <w:top w:val="nil"/>
              <w:left w:val="nil"/>
              <w:bottom w:val="nil"/>
              <w:right w:val="single" w:sz="4" w:space="0" w:color="auto"/>
            </w:tcBorders>
            <w:shd w:val="clear" w:color="auto" w:fill="auto"/>
            <w:noWrap/>
            <w:vAlign w:val="bottom"/>
            <w:hideMark/>
          </w:tcPr>
          <w:p w14:paraId="326EA896"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5A46616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591471C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1.430.626</w:t>
            </w:r>
          </w:p>
        </w:tc>
        <w:tc>
          <w:tcPr>
            <w:tcW w:w="1155" w:type="dxa"/>
            <w:tcBorders>
              <w:top w:val="nil"/>
              <w:left w:val="nil"/>
              <w:bottom w:val="nil"/>
              <w:right w:val="single" w:sz="4" w:space="0" w:color="auto"/>
            </w:tcBorders>
            <w:shd w:val="clear" w:color="auto" w:fill="auto"/>
            <w:noWrap/>
            <w:vAlign w:val="center"/>
            <w:hideMark/>
          </w:tcPr>
          <w:p w14:paraId="005CED2E"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0803BF0D"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1.430.626</w:t>
            </w:r>
          </w:p>
        </w:tc>
      </w:tr>
      <w:tr w:rsidR="00CF4703" w:rsidRPr="00701F32" w14:paraId="0CC6DD45"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tcPr>
          <w:p w14:paraId="2E3DAFB6"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w:t>
            </w:r>
          </w:p>
        </w:tc>
        <w:tc>
          <w:tcPr>
            <w:tcW w:w="780" w:type="dxa"/>
            <w:tcBorders>
              <w:top w:val="nil"/>
              <w:left w:val="nil"/>
              <w:bottom w:val="nil"/>
              <w:right w:val="single" w:sz="4" w:space="0" w:color="auto"/>
            </w:tcBorders>
            <w:shd w:val="clear" w:color="auto" w:fill="auto"/>
            <w:noWrap/>
            <w:vAlign w:val="bottom"/>
          </w:tcPr>
          <w:p w14:paraId="0F8AB23F"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tcPr>
          <w:p w14:paraId="56E4E3E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tcPr>
          <w:p w14:paraId="2608024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tcPr>
          <w:p w14:paraId="1C4C286D" w14:textId="77777777" w:rsidR="00CF4703" w:rsidRPr="00701F32" w:rsidRDefault="00CF4703" w:rsidP="00CF4703">
            <w:pPr>
              <w:jc w:val="right"/>
              <w:rPr>
                <w:rFonts w:ascii="Arial" w:hAnsi="Arial" w:cs="Arial"/>
                <w:color w:val="000000"/>
                <w:sz w:val="16"/>
                <w:szCs w:val="16"/>
                <w:lang w:eastAsia="es-AR"/>
              </w:rPr>
            </w:pPr>
          </w:p>
        </w:tc>
        <w:tc>
          <w:tcPr>
            <w:tcW w:w="1220" w:type="dxa"/>
            <w:tcBorders>
              <w:top w:val="nil"/>
              <w:left w:val="nil"/>
              <w:bottom w:val="nil"/>
              <w:right w:val="single" w:sz="8" w:space="0" w:color="auto"/>
            </w:tcBorders>
            <w:shd w:val="clear" w:color="auto" w:fill="auto"/>
            <w:noWrap/>
            <w:vAlign w:val="center"/>
          </w:tcPr>
          <w:p w14:paraId="30B78DC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F4703" w:rsidRPr="00701F32" w14:paraId="00888A46"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tcPr>
          <w:p w14:paraId="4423489A"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w:t>
            </w:r>
          </w:p>
        </w:tc>
        <w:tc>
          <w:tcPr>
            <w:tcW w:w="780" w:type="dxa"/>
            <w:tcBorders>
              <w:top w:val="nil"/>
              <w:left w:val="nil"/>
              <w:bottom w:val="nil"/>
              <w:right w:val="single" w:sz="4" w:space="0" w:color="auto"/>
            </w:tcBorders>
            <w:shd w:val="clear" w:color="auto" w:fill="auto"/>
            <w:noWrap/>
            <w:vAlign w:val="bottom"/>
          </w:tcPr>
          <w:p w14:paraId="18A5200D"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tcPr>
          <w:p w14:paraId="11CB5FF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tcPr>
          <w:p w14:paraId="422DB7B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1.266.045</w:t>
            </w:r>
          </w:p>
        </w:tc>
        <w:tc>
          <w:tcPr>
            <w:tcW w:w="1155" w:type="dxa"/>
            <w:tcBorders>
              <w:top w:val="nil"/>
              <w:left w:val="nil"/>
              <w:bottom w:val="nil"/>
              <w:right w:val="single" w:sz="4" w:space="0" w:color="auto"/>
            </w:tcBorders>
            <w:shd w:val="clear" w:color="auto" w:fill="auto"/>
            <w:noWrap/>
            <w:vAlign w:val="center"/>
          </w:tcPr>
          <w:p w14:paraId="6EED9C4D" w14:textId="77777777" w:rsidR="00CF4703" w:rsidRPr="00701F32" w:rsidRDefault="00CF4703" w:rsidP="00CF4703">
            <w:pPr>
              <w:jc w:val="right"/>
              <w:rPr>
                <w:rFonts w:ascii="Arial" w:hAnsi="Arial" w:cs="Arial"/>
                <w:color w:val="000000"/>
                <w:sz w:val="16"/>
                <w:szCs w:val="16"/>
                <w:lang w:eastAsia="es-AR"/>
              </w:rPr>
            </w:pPr>
          </w:p>
        </w:tc>
        <w:tc>
          <w:tcPr>
            <w:tcW w:w="1220" w:type="dxa"/>
            <w:tcBorders>
              <w:top w:val="nil"/>
              <w:left w:val="nil"/>
              <w:bottom w:val="nil"/>
              <w:right w:val="single" w:sz="8" w:space="0" w:color="auto"/>
            </w:tcBorders>
            <w:shd w:val="clear" w:color="auto" w:fill="auto"/>
            <w:noWrap/>
            <w:vAlign w:val="center"/>
          </w:tcPr>
          <w:p w14:paraId="2C92385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1.266.045</w:t>
            </w:r>
          </w:p>
        </w:tc>
      </w:tr>
      <w:tr w:rsidR="00CF4703" w:rsidRPr="00701F32" w14:paraId="585269F0"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112D4E0A"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financieros </w:t>
            </w:r>
          </w:p>
        </w:tc>
        <w:tc>
          <w:tcPr>
            <w:tcW w:w="780" w:type="dxa"/>
            <w:tcBorders>
              <w:top w:val="nil"/>
              <w:left w:val="nil"/>
              <w:bottom w:val="nil"/>
              <w:right w:val="single" w:sz="4" w:space="0" w:color="auto"/>
            </w:tcBorders>
            <w:shd w:val="clear" w:color="auto" w:fill="auto"/>
            <w:noWrap/>
            <w:vAlign w:val="bottom"/>
            <w:hideMark/>
          </w:tcPr>
          <w:p w14:paraId="1217885D"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g, m</w:t>
            </w:r>
          </w:p>
        </w:tc>
        <w:tc>
          <w:tcPr>
            <w:tcW w:w="1220" w:type="dxa"/>
            <w:tcBorders>
              <w:top w:val="nil"/>
              <w:left w:val="nil"/>
              <w:bottom w:val="nil"/>
              <w:right w:val="single" w:sz="4" w:space="0" w:color="auto"/>
            </w:tcBorders>
            <w:shd w:val="clear" w:color="auto" w:fill="auto"/>
            <w:noWrap/>
            <w:vAlign w:val="center"/>
            <w:hideMark/>
          </w:tcPr>
          <w:p w14:paraId="2BD715A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7565F91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2.069.449</w:t>
            </w:r>
          </w:p>
        </w:tc>
        <w:tc>
          <w:tcPr>
            <w:tcW w:w="1155" w:type="dxa"/>
            <w:tcBorders>
              <w:top w:val="nil"/>
              <w:left w:val="nil"/>
              <w:bottom w:val="nil"/>
              <w:right w:val="single" w:sz="4" w:space="0" w:color="auto"/>
            </w:tcBorders>
            <w:shd w:val="clear" w:color="auto" w:fill="auto"/>
            <w:noWrap/>
            <w:vAlign w:val="center"/>
            <w:hideMark/>
          </w:tcPr>
          <w:p w14:paraId="64122556"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691.855</w:t>
            </w:r>
          </w:p>
        </w:tc>
        <w:tc>
          <w:tcPr>
            <w:tcW w:w="1220" w:type="dxa"/>
            <w:tcBorders>
              <w:top w:val="nil"/>
              <w:left w:val="nil"/>
              <w:bottom w:val="nil"/>
              <w:right w:val="single" w:sz="8" w:space="0" w:color="auto"/>
            </w:tcBorders>
            <w:shd w:val="clear" w:color="auto" w:fill="auto"/>
            <w:noWrap/>
            <w:vAlign w:val="center"/>
            <w:hideMark/>
          </w:tcPr>
          <w:p w14:paraId="272F300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2.761.304</w:t>
            </w:r>
          </w:p>
        </w:tc>
      </w:tr>
      <w:tr w:rsidR="00CF4703" w:rsidRPr="00701F32" w14:paraId="78967D1C"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6CB6FD84"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Financ.recibidas del BCRA y otras inst. financieras </w:t>
            </w:r>
          </w:p>
        </w:tc>
        <w:tc>
          <w:tcPr>
            <w:tcW w:w="780" w:type="dxa"/>
            <w:tcBorders>
              <w:top w:val="nil"/>
              <w:left w:val="nil"/>
              <w:bottom w:val="nil"/>
              <w:right w:val="single" w:sz="4" w:space="0" w:color="auto"/>
            </w:tcBorders>
            <w:shd w:val="clear" w:color="auto" w:fill="auto"/>
            <w:noWrap/>
            <w:vAlign w:val="bottom"/>
            <w:hideMark/>
          </w:tcPr>
          <w:p w14:paraId="4328AF48"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0AD9409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4B8F95C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1.106.658</w:t>
            </w:r>
          </w:p>
        </w:tc>
        <w:tc>
          <w:tcPr>
            <w:tcW w:w="1155" w:type="dxa"/>
            <w:tcBorders>
              <w:top w:val="nil"/>
              <w:left w:val="nil"/>
              <w:bottom w:val="nil"/>
              <w:right w:val="single" w:sz="4" w:space="0" w:color="auto"/>
            </w:tcBorders>
            <w:shd w:val="clear" w:color="auto" w:fill="auto"/>
            <w:noWrap/>
            <w:vAlign w:val="center"/>
            <w:hideMark/>
          </w:tcPr>
          <w:p w14:paraId="5E70F01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2DB7A08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1.106.658</w:t>
            </w:r>
          </w:p>
        </w:tc>
      </w:tr>
      <w:tr w:rsidR="00CF4703" w:rsidRPr="00701F32" w14:paraId="7367F1A0"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404A971B"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emitidas </w:t>
            </w:r>
          </w:p>
        </w:tc>
        <w:tc>
          <w:tcPr>
            <w:tcW w:w="780" w:type="dxa"/>
            <w:tcBorders>
              <w:top w:val="nil"/>
              <w:left w:val="nil"/>
              <w:bottom w:val="nil"/>
              <w:right w:val="single" w:sz="4" w:space="0" w:color="auto"/>
            </w:tcBorders>
            <w:shd w:val="clear" w:color="auto" w:fill="auto"/>
            <w:noWrap/>
            <w:vAlign w:val="bottom"/>
            <w:hideMark/>
          </w:tcPr>
          <w:p w14:paraId="0893AB12"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2416973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11B43CB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5.629.729</w:t>
            </w:r>
          </w:p>
        </w:tc>
        <w:tc>
          <w:tcPr>
            <w:tcW w:w="1155" w:type="dxa"/>
            <w:tcBorders>
              <w:top w:val="nil"/>
              <w:left w:val="nil"/>
              <w:bottom w:val="nil"/>
              <w:right w:val="single" w:sz="4" w:space="0" w:color="auto"/>
            </w:tcBorders>
            <w:shd w:val="clear" w:color="auto" w:fill="auto"/>
            <w:noWrap/>
            <w:vAlign w:val="center"/>
            <w:hideMark/>
          </w:tcPr>
          <w:p w14:paraId="4A89747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164515F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5.629.729</w:t>
            </w:r>
          </w:p>
        </w:tc>
      </w:tr>
      <w:tr w:rsidR="00CF4703" w:rsidRPr="00701F32" w14:paraId="046B234E"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75AD8BF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Pasivo por impuestos a las ganancias corriente </w:t>
            </w:r>
          </w:p>
        </w:tc>
        <w:tc>
          <w:tcPr>
            <w:tcW w:w="780" w:type="dxa"/>
            <w:tcBorders>
              <w:top w:val="nil"/>
              <w:left w:val="nil"/>
              <w:bottom w:val="nil"/>
              <w:right w:val="single" w:sz="4" w:space="0" w:color="auto"/>
            </w:tcBorders>
            <w:shd w:val="clear" w:color="auto" w:fill="auto"/>
            <w:noWrap/>
            <w:vAlign w:val="bottom"/>
            <w:hideMark/>
          </w:tcPr>
          <w:p w14:paraId="1DDFAB3F"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28B956F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694B369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481.157</w:t>
            </w:r>
          </w:p>
        </w:tc>
        <w:tc>
          <w:tcPr>
            <w:tcW w:w="1155" w:type="dxa"/>
            <w:tcBorders>
              <w:top w:val="nil"/>
              <w:left w:val="nil"/>
              <w:bottom w:val="nil"/>
              <w:right w:val="single" w:sz="4" w:space="0" w:color="auto"/>
            </w:tcBorders>
            <w:shd w:val="clear" w:color="auto" w:fill="auto"/>
            <w:noWrap/>
            <w:vAlign w:val="center"/>
            <w:hideMark/>
          </w:tcPr>
          <w:p w14:paraId="05797940"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202D498B"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481.157</w:t>
            </w:r>
          </w:p>
        </w:tc>
      </w:tr>
      <w:tr w:rsidR="00CF4703" w:rsidRPr="00701F32" w14:paraId="7D785FEA" w14:textId="77777777" w:rsidTr="00CF4703">
        <w:trPr>
          <w:trHeight w:val="315"/>
        </w:trPr>
        <w:tc>
          <w:tcPr>
            <w:tcW w:w="3929" w:type="dxa"/>
            <w:tcBorders>
              <w:top w:val="nil"/>
              <w:left w:val="single" w:sz="8" w:space="0" w:color="auto"/>
              <w:bottom w:val="nil"/>
              <w:right w:val="single" w:sz="4" w:space="0" w:color="auto"/>
            </w:tcBorders>
            <w:shd w:val="clear" w:color="auto" w:fill="auto"/>
            <w:noWrap/>
            <w:vAlign w:val="bottom"/>
            <w:hideMark/>
          </w:tcPr>
          <w:p w14:paraId="1D361798"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no financieros </w:t>
            </w:r>
          </w:p>
        </w:tc>
        <w:tc>
          <w:tcPr>
            <w:tcW w:w="780" w:type="dxa"/>
            <w:tcBorders>
              <w:top w:val="nil"/>
              <w:left w:val="nil"/>
              <w:bottom w:val="nil"/>
              <w:right w:val="single" w:sz="4" w:space="0" w:color="auto"/>
            </w:tcBorders>
            <w:shd w:val="clear" w:color="auto" w:fill="auto"/>
            <w:noWrap/>
            <w:vAlign w:val="bottom"/>
            <w:hideMark/>
          </w:tcPr>
          <w:p w14:paraId="3F33D4CC"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h, l</w:t>
            </w:r>
          </w:p>
        </w:tc>
        <w:tc>
          <w:tcPr>
            <w:tcW w:w="1220" w:type="dxa"/>
            <w:tcBorders>
              <w:top w:val="nil"/>
              <w:left w:val="nil"/>
              <w:bottom w:val="nil"/>
              <w:right w:val="single" w:sz="4" w:space="0" w:color="auto"/>
            </w:tcBorders>
            <w:shd w:val="clear" w:color="auto" w:fill="auto"/>
            <w:noWrap/>
            <w:vAlign w:val="center"/>
            <w:hideMark/>
          </w:tcPr>
          <w:p w14:paraId="427760E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78CCC8F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1.715.730</w:t>
            </w:r>
          </w:p>
        </w:tc>
        <w:tc>
          <w:tcPr>
            <w:tcW w:w="1155" w:type="dxa"/>
            <w:tcBorders>
              <w:top w:val="nil"/>
              <w:left w:val="nil"/>
              <w:bottom w:val="nil"/>
              <w:right w:val="single" w:sz="4" w:space="0" w:color="auto"/>
            </w:tcBorders>
            <w:shd w:val="clear" w:color="auto" w:fill="auto"/>
            <w:noWrap/>
            <w:vAlign w:val="center"/>
            <w:hideMark/>
          </w:tcPr>
          <w:p w14:paraId="6345B5A4"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707.313</w:t>
            </w:r>
          </w:p>
        </w:tc>
        <w:tc>
          <w:tcPr>
            <w:tcW w:w="1220" w:type="dxa"/>
            <w:tcBorders>
              <w:top w:val="nil"/>
              <w:left w:val="nil"/>
              <w:bottom w:val="nil"/>
              <w:right w:val="single" w:sz="8" w:space="0" w:color="auto"/>
            </w:tcBorders>
            <w:shd w:val="clear" w:color="auto" w:fill="auto"/>
            <w:noWrap/>
            <w:vAlign w:val="center"/>
            <w:hideMark/>
          </w:tcPr>
          <w:p w14:paraId="04564A9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2.423.043</w:t>
            </w:r>
          </w:p>
        </w:tc>
      </w:tr>
      <w:tr w:rsidR="00CF4703" w:rsidRPr="00701F32" w14:paraId="0873049C" w14:textId="77777777" w:rsidTr="00CF4703">
        <w:trPr>
          <w:trHeight w:val="196"/>
        </w:trPr>
        <w:tc>
          <w:tcPr>
            <w:tcW w:w="39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E0484C7" w14:textId="77777777" w:rsidR="00CF4703" w:rsidRPr="00701F32" w:rsidRDefault="00CF4703" w:rsidP="00CF4703">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del Pasivo al 30/09/2017 </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14:paraId="5E668801" w14:textId="77777777" w:rsidR="00CF4703" w:rsidRPr="00701F32" w:rsidRDefault="00CF4703" w:rsidP="00CF4703">
            <w:pPr>
              <w:jc w:val="center"/>
              <w:rPr>
                <w:rFonts w:ascii="Arial" w:hAnsi="Arial" w:cs="Arial"/>
                <w:b/>
                <w:bCs/>
                <w:color w:val="000000"/>
                <w:sz w:val="16"/>
                <w:szCs w:val="16"/>
                <w:lang w:eastAsia="es-AR"/>
              </w:rPr>
            </w:pP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1E7C73AB"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61.924.955</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276E30C7"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-138.449</w:t>
            </w:r>
          </w:p>
        </w:tc>
        <w:tc>
          <w:tcPr>
            <w:tcW w:w="1155" w:type="dxa"/>
            <w:tcBorders>
              <w:top w:val="single" w:sz="8" w:space="0" w:color="auto"/>
              <w:left w:val="nil"/>
              <w:bottom w:val="single" w:sz="8" w:space="0" w:color="auto"/>
              <w:right w:val="single" w:sz="4" w:space="0" w:color="auto"/>
            </w:tcBorders>
            <w:shd w:val="clear" w:color="auto" w:fill="auto"/>
            <w:noWrap/>
            <w:vAlign w:val="center"/>
            <w:hideMark/>
          </w:tcPr>
          <w:p w14:paraId="49520AF9"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1.399.168</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B7BD3A3"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63.185.674</w:t>
            </w:r>
          </w:p>
        </w:tc>
      </w:tr>
      <w:tr w:rsidR="00CF4703" w:rsidRPr="00701F32" w14:paraId="09425869"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3F8499D5"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Capital, aportes y reservas </w:t>
            </w:r>
          </w:p>
        </w:tc>
        <w:tc>
          <w:tcPr>
            <w:tcW w:w="780" w:type="dxa"/>
            <w:tcBorders>
              <w:top w:val="nil"/>
              <w:left w:val="nil"/>
              <w:bottom w:val="nil"/>
              <w:right w:val="single" w:sz="4" w:space="0" w:color="auto"/>
            </w:tcBorders>
            <w:shd w:val="clear" w:color="auto" w:fill="auto"/>
            <w:noWrap/>
            <w:vAlign w:val="bottom"/>
            <w:hideMark/>
          </w:tcPr>
          <w:p w14:paraId="5D0E4CF4"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nil"/>
              <w:right w:val="single" w:sz="4" w:space="0" w:color="auto"/>
            </w:tcBorders>
            <w:shd w:val="clear" w:color="auto" w:fill="auto"/>
            <w:noWrap/>
            <w:vAlign w:val="center"/>
            <w:hideMark/>
          </w:tcPr>
          <w:p w14:paraId="08AB1EE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6.377.431</w:t>
            </w:r>
          </w:p>
        </w:tc>
        <w:tc>
          <w:tcPr>
            <w:tcW w:w="1360" w:type="dxa"/>
            <w:tcBorders>
              <w:top w:val="nil"/>
              <w:left w:val="nil"/>
              <w:bottom w:val="nil"/>
              <w:right w:val="single" w:sz="4" w:space="0" w:color="auto"/>
            </w:tcBorders>
            <w:shd w:val="clear" w:color="auto" w:fill="auto"/>
            <w:noWrap/>
            <w:vAlign w:val="center"/>
            <w:hideMark/>
          </w:tcPr>
          <w:p w14:paraId="27CD843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-411.472</w:t>
            </w:r>
          </w:p>
        </w:tc>
        <w:tc>
          <w:tcPr>
            <w:tcW w:w="1155" w:type="dxa"/>
            <w:tcBorders>
              <w:top w:val="nil"/>
              <w:left w:val="nil"/>
              <w:bottom w:val="nil"/>
              <w:right w:val="single" w:sz="4" w:space="0" w:color="auto"/>
            </w:tcBorders>
            <w:shd w:val="clear" w:color="auto" w:fill="auto"/>
            <w:noWrap/>
            <w:vAlign w:val="center"/>
            <w:hideMark/>
          </w:tcPr>
          <w:p w14:paraId="12554ACF"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20" w:type="dxa"/>
            <w:tcBorders>
              <w:top w:val="nil"/>
              <w:left w:val="nil"/>
              <w:bottom w:val="nil"/>
              <w:right w:val="single" w:sz="8" w:space="0" w:color="auto"/>
            </w:tcBorders>
            <w:shd w:val="clear" w:color="auto" w:fill="auto"/>
            <w:noWrap/>
            <w:vAlign w:val="center"/>
            <w:hideMark/>
          </w:tcPr>
          <w:p w14:paraId="6D23961A"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5.965.959</w:t>
            </w:r>
          </w:p>
        </w:tc>
      </w:tr>
      <w:tr w:rsidR="00CF4703" w:rsidRPr="00701F32" w14:paraId="020801B7" w14:textId="77777777" w:rsidTr="00CF4703">
        <w:trPr>
          <w:trHeight w:val="300"/>
        </w:trPr>
        <w:tc>
          <w:tcPr>
            <w:tcW w:w="3929" w:type="dxa"/>
            <w:tcBorders>
              <w:top w:val="nil"/>
              <w:left w:val="single" w:sz="8" w:space="0" w:color="auto"/>
              <w:bottom w:val="nil"/>
              <w:right w:val="single" w:sz="4" w:space="0" w:color="auto"/>
            </w:tcBorders>
            <w:shd w:val="clear" w:color="auto" w:fill="auto"/>
            <w:noWrap/>
            <w:vAlign w:val="bottom"/>
            <w:hideMark/>
          </w:tcPr>
          <w:p w14:paraId="51467C73"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Otros resultados integrales acumulados </w:t>
            </w:r>
          </w:p>
        </w:tc>
        <w:tc>
          <w:tcPr>
            <w:tcW w:w="780" w:type="dxa"/>
            <w:tcBorders>
              <w:top w:val="nil"/>
              <w:left w:val="nil"/>
              <w:bottom w:val="nil"/>
              <w:right w:val="single" w:sz="4" w:space="0" w:color="auto"/>
            </w:tcBorders>
            <w:shd w:val="clear" w:color="auto" w:fill="auto"/>
            <w:noWrap/>
            <w:vAlign w:val="bottom"/>
            <w:hideMark/>
          </w:tcPr>
          <w:p w14:paraId="18212C7C" w14:textId="77777777" w:rsidR="00CF4703" w:rsidRPr="00701F32" w:rsidRDefault="00CF4703" w:rsidP="00CF4703">
            <w:pPr>
              <w:jc w:val="center"/>
              <w:rPr>
                <w:rFonts w:ascii="Arial" w:hAnsi="Arial" w:cs="Arial"/>
                <w:color w:val="000000"/>
                <w:sz w:val="16"/>
                <w:szCs w:val="16"/>
                <w:lang w:eastAsia="es-AR"/>
              </w:rPr>
            </w:pPr>
            <w:r w:rsidRPr="00701F32">
              <w:rPr>
                <w:rFonts w:ascii="Arial" w:hAnsi="Arial" w:cs="Arial"/>
                <w:color w:val="000000"/>
                <w:sz w:val="16"/>
                <w:szCs w:val="16"/>
                <w:lang w:eastAsia="es-AR"/>
              </w:rPr>
              <w:t>d, e, j</w:t>
            </w:r>
          </w:p>
        </w:tc>
        <w:tc>
          <w:tcPr>
            <w:tcW w:w="1220" w:type="dxa"/>
            <w:tcBorders>
              <w:top w:val="nil"/>
              <w:left w:val="nil"/>
              <w:bottom w:val="nil"/>
              <w:right w:val="single" w:sz="4" w:space="0" w:color="auto"/>
            </w:tcBorders>
            <w:shd w:val="clear" w:color="auto" w:fill="auto"/>
            <w:noWrap/>
            <w:vAlign w:val="center"/>
            <w:hideMark/>
          </w:tcPr>
          <w:p w14:paraId="4BB44951"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60" w:type="dxa"/>
            <w:tcBorders>
              <w:top w:val="nil"/>
              <w:left w:val="nil"/>
              <w:bottom w:val="nil"/>
              <w:right w:val="single" w:sz="4" w:space="0" w:color="auto"/>
            </w:tcBorders>
            <w:shd w:val="clear" w:color="auto" w:fill="auto"/>
            <w:noWrap/>
            <w:vAlign w:val="center"/>
            <w:hideMark/>
          </w:tcPr>
          <w:p w14:paraId="5E6D9213"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55" w:type="dxa"/>
            <w:tcBorders>
              <w:top w:val="nil"/>
              <w:left w:val="nil"/>
              <w:bottom w:val="nil"/>
              <w:right w:val="single" w:sz="4" w:space="0" w:color="auto"/>
            </w:tcBorders>
            <w:shd w:val="clear" w:color="auto" w:fill="auto"/>
            <w:noWrap/>
            <w:vAlign w:val="center"/>
            <w:hideMark/>
          </w:tcPr>
          <w:p w14:paraId="2C89C117"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105.935</w:t>
            </w:r>
          </w:p>
        </w:tc>
        <w:tc>
          <w:tcPr>
            <w:tcW w:w="1220" w:type="dxa"/>
            <w:tcBorders>
              <w:top w:val="nil"/>
              <w:left w:val="nil"/>
              <w:bottom w:val="nil"/>
              <w:right w:val="single" w:sz="8" w:space="0" w:color="auto"/>
            </w:tcBorders>
            <w:shd w:val="clear" w:color="auto" w:fill="auto"/>
            <w:noWrap/>
            <w:vAlign w:val="center"/>
            <w:hideMark/>
          </w:tcPr>
          <w:p w14:paraId="3BC14F32"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105.935</w:t>
            </w:r>
          </w:p>
        </w:tc>
      </w:tr>
      <w:tr w:rsidR="00CF4703" w:rsidRPr="00701F32" w14:paraId="305CE67A" w14:textId="77777777" w:rsidTr="00CF4703">
        <w:trPr>
          <w:trHeight w:val="315"/>
        </w:trPr>
        <w:tc>
          <w:tcPr>
            <w:tcW w:w="3929" w:type="dxa"/>
            <w:tcBorders>
              <w:top w:val="nil"/>
              <w:left w:val="single" w:sz="8" w:space="0" w:color="auto"/>
              <w:bottom w:val="single" w:sz="4" w:space="0" w:color="auto"/>
              <w:right w:val="single" w:sz="4" w:space="0" w:color="auto"/>
            </w:tcBorders>
            <w:shd w:val="clear" w:color="auto" w:fill="auto"/>
            <w:noWrap/>
            <w:vAlign w:val="bottom"/>
            <w:hideMark/>
          </w:tcPr>
          <w:p w14:paraId="08368713" w14:textId="77777777" w:rsidR="00CF4703" w:rsidRPr="00701F32" w:rsidRDefault="00CF4703" w:rsidP="00CF4703">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Resultados no asignados </w:t>
            </w:r>
          </w:p>
        </w:tc>
        <w:tc>
          <w:tcPr>
            <w:tcW w:w="780" w:type="dxa"/>
            <w:tcBorders>
              <w:top w:val="nil"/>
              <w:left w:val="nil"/>
              <w:bottom w:val="single" w:sz="4" w:space="0" w:color="auto"/>
              <w:right w:val="single" w:sz="4" w:space="0" w:color="auto"/>
            </w:tcBorders>
            <w:shd w:val="clear" w:color="auto" w:fill="auto"/>
            <w:noWrap/>
            <w:vAlign w:val="bottom"/>
            <w:hideMark/>
          </w:tcPr>
          <w:p w14:paraId="2EE8A338" w14:textId="77777777" w:rsidR="00CF4703" w:rsidRPr="00701F32" w:rsidRDefault="00CF4703" w:rsidP="00CF4703">
            <w:pPr>
              <w:jc w:val="center"/>
              <w:rPr>
                <w:rFonts w:ascii="Arial" w:hAnsi="Arial" w:cs="Arial"/>
                <w:color w:val="000000"/>
                <w:sz w:val="16"/>
                <w:szCs w:val="16"/>
                <w:lang w:eastAsia="es-AR"/>
              </w:rPr>
            </w:pPr>
          </w:p>
        </w:tc>
        <w:tc>
          <w:tcPr>
            <w:tcW w:w="1220" w:type="dxa"/>
            <w:tcBorders>
              <w:top w:val="nil"/>
              <w:left w:val="nil"/>
              <w:bottom w:val="single" w:sz="4" w:space="0" w:color="auto"/>
              <w:right w:val="single" w:sz="4" w:space="0" w:color="auto"/>
            </w:tcBorders>
            <w:shd w:val="clear" w:color="auto" w:fill="auto"/>
            <w:noWrap/>
            <w:vAlign w:val="center"/>
            <w:hideMark/>
          </w:tcPr>
          <w:p w14:paraId="2DCA7879"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676.916</w:t>
            </w:r>
          </w:p>
        </w:tc>
        <w:tc>
          <w:tcPr>
            <w:tcW w:w="1360" w:type="dxa"/>
            <w:tcBorders>
              <w:top w:val="nil"/>
              <w:left w:val="nil"/>
              <w:bottom w:val="single" w:sz="4" w:space="0" w:color="auto"/>
              <w:right w:val="single" w:sz="4" w:space="0" w:color="auto"/>
            </w:tcBorders>
            <w:shd w:val="clear" w:color="auto" w:fill="auto"/>
            <w:noWrap/>
            <w:vAlign w:val="center"/>
            <w:hideMark/>
          </w:tcPr>
          <w:p w14:paraId="4B7C7C15"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411.472</w:t>
            </w:r>
          </w:p>
        </w:tc>
        <w:tc>
          <w:tcPr>
            <w:tcW w:w="1155" w:type="dxa"/>
            <w:tcBorders>
              <w:top w:val="nil"/>
              <w:left w:val="nil"/>
              <w:bottom w:val="single" w:sz="4" w:space="0" w:color="auto"/>
              <w:right w:val="single" w:sz="4" w:space="0" w:color="auto"/>
            </w:tcBorders>
            <w:shd w:val="clear" w:color="auto" w:fill="auto"/>
            <w:noWrap/>
            <w:vAlign w:val="center"/>
            <w:hideMark/>
          </w:tcPr>
          <w:p w14:paraId="01B103B8"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-581.971</w:t>
            </w:r>
          </w:p>
        </w:tc>
        <w:tc>
          <w:tcPr>
            <w:tcW w:w="1220" w:type="dxa"/>
            <w:tcBorders>
              <w:top w:val="nil"/>
              <w:left w:val="nil"/>
              <w:bottom w:val="single" w:sz="4" w:space="0" w:color="auto"/>
              <w:right w:val="single" w:sz="8" w:space="0" w:color="auto"/>
            </w:tcBorders>
            <w:shd w:val="clear" w:color="auto" w:fill="auto"/>
            <w:noWrap/>
            <w:vAlign w:val="center"/>
            <w:hideMark/>
          </w:tcPr>
          <w:p w14:paraId="7EE8499C" w14:textId="77777777" w:rsidR="00CF4703" w:rsidRPr="00701F32" w:rsidRDefault="00CF4703" w:rsidP="00CF4703">
            <w:pPr>
              <w:jc w:val="right"/>
              <w:rPr>
                <w:rFonts w:ascii="Arial" w:hAnsi="Arial" w:cs="Arial"/>
                <w:color w:val="000000"/>
                <w:sz w:val="16"/>
                <w:szCs w:val="16"/>
                <w:lang w:eastAsia="es-AR"/>
              </w:rPr>
            </w:pPr>
            <w:r w:rsidRPr="00701F32">
              <w:rPr>
                <w:rFonts w:ascii="Arial" w:hAnsi="Arial" w:cs="Arial"/>
                <w:color w:val="000000"/>
                <w:sz w:val="16"/>
                <w:szCs w:val="16"/>
                <w:lang w:eastAsia="es-AR"/>
              </w:rPr>
              <w:t>506.417</w:t>
            </w:r>
          </w:p>
        </w:tc>
      </w:tr>
      <w:tr w:rsidR="00CF4703" w:rsidRPr="00701F32" w14:paraId="3EDEFF96" w14:textId="77777777" w:rsidTr="00CF4703">
        <w:trPr>
          <w:trHeight w:val="77"/>
        </w:trPr>
        <w:tc>
          <w:tcPr>
            <w:tcW w:w="3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AA03" w14:textId="77777777" w:rsidR="00CF4703" w:rsidRPr="00701F32" w:rsidRDefault="00CF4703" w:rsidP="00CF4703">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30/09/2017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C41312C" w14:textId="77777777" w:rsidR="00CF4703" w:rsidRPr="00701F32" w:rsidRDefault="00CF4703" w:rsidP="00CF4703">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C083708"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7.054.347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23403C6"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3081A2EA"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-476.036</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853B8A1" w14:textId="77777777" w:rsidR="00CF4703" w:rsidRPr="00701F32" w:rsidRDefault="00CF4703" w:rsidP="00CF4703">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6.578.311</w:t>
            </w:r>
          </w:p>
        </w:tc>
      </w:tr>
    </w:tbl>
    <w:p w14:paraId="72E06AA8" w14:textId="77777777" w:rsidR="008517C1" w:rsidRPr="00701F32" w:rsidRDefault="008517C1" w:rsidP="00E311C9">
      <w:pPr>
        <w:rPr>
          <w:rFonts w:ascii="Arial" w:hAnsi="Arial" w:cs="Arial"/>
          <w:sz w:val="20"/>
        </w:rPr>
      </w:pPr>
    </w:p>
    <w:tbl>
      <w:tblPr>
        <w:tblW w:w="9915" w:type="dxa"/>
        <w:tblCellMar>
          <w:left w:w="70" w:type="dxa"/>
          <w:right w:w="70" w:type="dxa"/>
        </w:tblCellMar>
        <w:tblLook w:val="04A0" w:firstRow="1" w:lastRow="0" w:firstColumn="1" w:lastColumn="0" w:noHBand="0" w:noVBand="1"/>
      </w:tblPr>
      <w:tblGrid>
        <w:gridCol w:w="3898"/>
        <w:gridCol w:w="992"/>
        <w:gridCol w:w="1337"/>
        <w:gridCol w:w="1340"/>
        <w:gridCol w:w="1043"/>
        <w:gridCol w:w="1305"/>
      </w:tblGrid>
      <w:tr w:rsidR="00BD0DC8" w:rsidRPr="00701F32" w14:paraId="25C27F9F" w14:textId="77777777" w:rsidTr="005819B2">
        <w:trPr>
          <w:trHeight w:val="300"/>
          <w:tblHeader/>
        </w:trPr>
        <w:tc>
          <w:tcPr>
            <w:tcW w:w="389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689B9B" w14:textId="77777777" w:rsidR="00BD0DC8" w:rsidRPr="00701F32" w:rsidRDefault="00BD0DC8" w:rsidP="00F80107">
            <w:pPr>
              <w:jc w:val="center"/>
              <w:rPr>
                <w:rFonts w:ascii="Arial" w:hAnsi="Arial" w:cs="Arial"/>
                <w:b/>
                <w:bCs/>
                <w:color w:val="000000"/>
                <w:sz w:val="16"/>
                <w:szCs w:val="16"/>
                <w:lang w:eastAsia="es-AR"/>
              </w:rPr>
            </w:pP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626446E"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14:paraId="551BEF80"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14:paraId="2BBFDC8A"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7A7C6834"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305" w:type="dxa"/>
            <w:tcBorders>
              <w:top w:val="single" w:sz="8" w:space="0" w:color="auto"/>
              <w:left w:val="nil"/>
              <w:bottom w:val="single" w:sz="8" w:space="0" w:color="auto"/>
              <w:right w:val="single" w:sz="8" w:space="0" w:color="auto"/>
            </w:tcBorders>
            <w:shd w:val="clear" w:color="auto" w:fill="auto"/>
            <w:noWrap/>
            <w:vAlign w:val="center"/>
            <w:hideMark/>
          </w:tcPr>
          <w:p w14:paraId="11B69D70"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BD0DC8" w:rsidRPr="00701F32" w14:paraId="1675139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1A6B780"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Efectivo y depósitos en bancos </w:t>
            </w:r>
          </w:p>
        </w:tc>
        <w:tc>
          <w:tcPr>
            <w:tcW w:w="992" w:type="dxa"/>
            <w:tcBorders>
              <w:top w:val="nil"/>
              <w:left w:val="nil"/>
              <w:bottom w:val="nil"/>
              <w:right w:val="single" w:sz="4" w:space="0" w:color="auto"/>
            </w:tcBorders>
            <w:shd w:val="clear" w:color="auto" w:fill="auto"/>
            <w:noWrap/>
            <w:vAlign w:val="center"/>
            <w:hideMark/>
          </w:tcPr>
          <w:p w14:paraId="63DA80F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5091766A"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8.088.679</w:t>
            </w:r>
          </w:p>
        </w:tc>
        <w:tc>
          <w:tcPr>
            <w:tcW w:w="1340" w:type="dxa"/>
            <w:tcBorders>
              <w:top w:val="nil"/>
              <w:left w:val="nil"/>
              <w:bottom w:val="nil"/>
              <w:right w:val="single" w:sz="4" w:space="0" w:color="auto"/>
            </w:tcBorders>
            <w:shd w:val="clear" w:color="auto" w:fill="auto"/>
            <w:noWrap/>
            <w:vAlign w:val="center"/>
            <w:hideMark/>
          </w:tcPr>
          <w:p w14:paraId="7778AAA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-138.170</w:t>
            </w:r>
          </w:p>
        </w:tc>
        <w:tc>
          <w:tcPr>
            <w:tcW w:w="1043" w:type="dxa"/>
            <w:tcBorders>
              <w:top w:val="nil"/>
              <w:left w:val="nil"/>
              <w:bottom w:val="nil"/>
              <w:right w:val="single" w:sz="4" w:space="0" w:color="auto"/>
            </w:tcBorders>
            <w:shd w:val="clear" w:color="auto" w:fill="auto"/>
            <w:noWrap/>
            <w:vAlign w:val="center"/>
            <w:hideMark/>
          </w:tcPr>
          <w:p w14:paraId="6B38BDCF"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AD69DEA"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7.950.509</w:t>
            </w:r>
          </w:p>
        </w:tc>
      </w:tr>
      <w:tr w:rsidR="00BD0DC8" w:rsidRPr="00701F32" w14:paraId="43534CC2"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47E66BF"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públicos y privados </w:t>
            </w:r>
          </w:p>
        </w:tc>
        <w:tc>
          <w:tcPr>
            <w:tcW w:w="992" w:type="dxa"/>
            <w:tcBorders>
              <w:top w:val="nil"/>
              <w:left w:val="nil"/>
              <w:bottom w:val="nil"/>
              <w:right w:val="single" w:sz="4" w:space="0" w:color="auto"/>
            </w:tcBorders>
            <w:shd w:val="clear" w:color="auto" w:fill="auto"/>
            <w:noWrap/>
            <w:vAlign w:val="center"/>
            <w:hideMark/>
          </w:tcPr>
          <w:p w14:paraId="203878C4"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337" w:type="dxa"/>
            <w:tcBorders>
              <w:top w:val="nil"/>
              <w:left w:val="nil"/>
              <w:bottom w:val="nil"/>
              <w:right w:val="single" w:sz="4" w:space="0" w:color="auto"/>
            </w:tcBorders>
            <w:shd w:val="clear" w:color="auto" w:fill="auto"/>
            <w:noWrap/>
            <w:vAlign w:val="center"/>
            <w:hideMark/>
          </w:tcPr>
          <w:p w14:paraId="317DC6B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2.247.370</w:t>
            </w:r>
          </w:p>
        </w:tc>
        <w:tc>
          <w:tcPr>
            <w:tcW w:w="1340" w:type="dxa"/>
            <w:tcBorders>
              <w:top w:val="nil"/>
              <w:left w:val="nil"/>
              <w:bottom w:val="nil"/>
              <w:right w:val="single" w:sz="4" w:space="0" w:color="auto"/>
            </w:tcBorders>
            <w:shd w:val="clear" w:color="auto" w:fill="auto"/>
            <w:noWrap/>
            <w:vAlign w:val="center"/>
            <w:hideMark/>
          </w:tcPr>
          <w:p w14:paraId="413CB68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-2.247.370</w:t>
            </w:r>
          </w:p>
        </w:tc>
        <w:tc>
          <w:tcPr>
            <w:tcW w:w="1043" w:type="dxa"/>
            <w:tcBorders>
              <w:top w:val="nil"/>
              <w:left w:val="nil"/>
              <w:bottom w:val="nil"/>
              <w:right w:val="single" w:sz="4" w:space="0" w:color="auto"/>
            </w:tcBorders>
            <w:shd w:val="clear" w:color="auto" w:fill="auto"/>
            <w:noWrap/>
            <w:vAlign w:val="center"/>
            <w:hideMark/>
          </w:tcPr>
          <w:p w14:paraId="5132B899"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21E0ACD6"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52F3AC87"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6DB47F19"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Prestamos </w:t>
            </w:r>
          </w:p>
        </w:tc>
        <w:tc>
          <w:tcPr>
            <w:tcW w:w="992" w:type="dxa"/>
            <w:tcBorders>
              <w:top w:val="nil"/>
              <w:left w:val="nil"/>
              <w:bottom w:val="nil"/>
              <w:right w:val="single" w:sz="4" w:space="0" w:color="auto"/>
            </w:tcBorders>
            <w:shd w:val="clear" w:color="auto" w:fill="auto"/>
            <w:noWrap/>
            <w:vAlign w:val="center"/>
            <w:hideMark/>
          </w:tcPr>
          <w:p w14:paraId="407CCD0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0ED1810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32.180.163</w:t>
            </w:r>
          </w:p>
        </w:tc>
        <w:tc>
          <w:tcPr>
            <w:tcW w:w="1340" w:type="dxa"/>
            <w:tcBorders>
              <w:top w:val="nil"/>
              <w:left w:val="nil"/>
              <w:bottom w:val="nil"/>
              <w:right w:val="single" w:sz="4" w:space="0" w:color="auto"/>
            </w:tcBorders>
            <w:shd w:val="clear" w:color="auto" w:fill="auto"/>
            <w:noWrap/>
            <w:vAlign w:val="center"/>
            <w:hideMark/>
          </w:tcPr>
          <w:p w14:paraId="164E841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-32.180.163</w:t>
            </w:r>
          </w:p>
        </w:tc>
        <w:tc>
          <w:tcPr>
            <w:tcW w:w="1043" w:type="dxa"/>
            <w:tcBorders>
              <w:top w:val="nil"/>
              <w:left w:val="nil"/>
              <w:bottom w:val="nil"/>
              <w:right w:val="single" w:sz="4" w:space="0" w:color="auto"/>
            </w:tcBorders>
            <w:shd w:val="clear" w:color="auto" w:fill="auto"/>
            <w:noWrap/>
            <w:vAlign w:val="center"/>
            <w:hideMark/>
          </w:tcPr>
          <w:p w14:paraId="5D2F1F54"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3D1CEB3"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4B6CBD04"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692E887D"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créditos por intermediación financiera </w:t>
            </w:r>
          </w:p>
        </w:tc>
        <w:tc>
          <w:tcPr>
            <w:tcW w:w="992" w:type="dxa"/>
            <w:tcBorders>
              <w:top w:val="nil"/>
              <w:left w:val="nil"/>
              <w:bottom w:val="nil"/>
              <w:right w:val="single" w:sz="4" w:space="0" w:color="auto"/>
            </w:tcBorders>
            <w:shd w:val="clear" w:color="auto" w:fill="auto"/>
            <w:noWrap/>
            <w:vAlign w:val="center"/>
            <w:hideMark/>
          </w:tcPr>
          <w:p w14:paraId="39370E42"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102AD491"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2.131.334</w:t>
            </w:r>
          </w:p>
        </w:tc>
        <w:tc>
          <w:tcPr>
            <w:tcW w:w="1340" w:type="dxa"/>
            <w:tcBorders>
              <w:top w:val="nil"/>
              <w:left w:val="nil"/>
              <w:bottom w:val="nil"/>
              <w:right w:val="single" w:sz="4" w:space="0" w:color="auto"/>
            </w:tcBorders>
            <w:shd w:val="clear" w:color="auto" w:fill="auto"/>
            <w:noWrap/>
            <w:vAlign w:val="center"/>
            <w:hideMark/>
          </w:tcPr>
          <w:p w14:paraId="5629894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-2.131.334</w:t>
            </w:r>
          </w:p>
        </w:tc>
        <w:tc>
          <w:tcPr>
            <w:tcW w:w="1043" w:type="dxa"/>
            <w:tcBorders>
              <w:top w:val="nil"/>
              <w:left w:val="nil"/>
              <w:bottom w:val="nil"/>
              <w:right w:val="single" w:sz="4" w:space="0" w:color="auto"/>
            </w:tcBorders>
            <w:shd w:val="clear" w:color="auto" w:fill="auto"/>
            <w:noWrap/>
            <w:vAlign w:val="center"/>
            <w:hideMark/>
          </w:tcPr>
          <w:p w14:paraId="12854BE2"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1EBCC8B6"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0AB93124"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59C268F"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por arrendamientos financieros </w:t>
            </w:r>
          </w:p>
        </w:tc>
        <w:tc>
          <w:tcPr>
            <w:tcW w:w="992" w:type="dxa"/>
            <w:tcBorders>
              <w:top w:val="nil"/>
              <w:left w:val="nil"/>
              <w:bottom w:val="nil"/>
              <w:right w:val="single" w:sz="4" w:space="0" w:color="auto"/>
            </w:tcBorders>
            <w:shd w:val="clear" w:color="auto" w:fill="auto"/>
            <w:noWrap/>
            <w:vAlign w:val="center"/>
            <w:hideMark/>
          </w:tcPr>
          <w:p w14:paraId="72800933"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337" w:type="dxa"/>
            <w:tcBorders>
              <w:top w:val="nil"/>
              <w:left w:val="nil"/>
              <w:bottom w:val="nil"/>
              <w:right w:val="single" w:sz="4" w:space="0" w:color="auto"/>
            </w:tcBorders>
            <w:shd w:val="clear" w:color="auto" w:fill="auto"/>
            <w:noWrap/>
            <w:vAlign w:val="center"/>
            <w:hideMark/>
          </w:tcPr>
          <w:p w14:paraId="34EDCDC8"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1.528.254</w:t>
            </w:r>
          </w:p>
        </w:tc>
        <w:tc>
          <w:tcPr>
            <w:tcW w:w="1340" w:type="dxa"/>
            <w:tcBorders>
              <w:top w:val="nil"/>
              <w:left w:val="nil"/>
              <w:bottom w:val="nil"/>
              <w:right w:val="single" w:sz="4" w:space="0" w:color="auto"/>
            </w:tcBorders>
            <w:shd w:val="clear" w:color="auto" w:fill="auto"/>
            <w:noWrap/>
            <w:vAlign w:val="center"/>
            <w:hideMark/>
          </w:tcPr>
          <w:p w14:paraId="21FC4CFF"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-1.528.254</w:t>
            </w:r>
          </w:p>
        </w:tc>
        <w:tc>
          <w:tcPr>
            <w:tcW w:w="1043" w:type="dxa"/>
            <w:tcBorders>
              <w:top w:val="nil"/>
              <w:left w:val="nil"/>
              <w:bottom w:val="nil"/>
              <w:right w:val="single" w:sz="4" w:space="0" w:color="auto"/>
            </w:tcBorders>
            <w:shd w:val="clear" w:color="auto" w:fill="auto"/>
            <w:noWrap/>
            <w:vAlign w:val="center"/>
            <w:hideMark/>
          </w:tcPr>
          <w:p w14:paraId="67229638"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34E9DC67"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027751A9"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7D9EDDC2"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subsidiarias, asociadas y neg.conjuntos </w:t>
            </w:r>
          </w:p>
        </w:tc>
        <w:tc>
          <w:tcPr>
            <w:tcW w:w="992" w:type="dxa"/>
            <w:tcBorders>
              <w:top w:val="nil"/>
              <w:left w:val="nil"/>
              <w:bottom w:val="nil"/>
              <w:right w:val="single" w:sz="4" w:space="0" w:color="auto"/>
            </w:tcBorders>
            <w:shd w:val="clear" w:color="auto" w:fill="auto"/>
            <w:noWrap/>
            <w:vAlign w:val="center"/>
            <w:hideMark/>
          </w:tcPr>
          <w:p w14:paraId="52AE57B5"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337" w:type="dxa"/>
            <w:tcBorders>
              <w:top w:val="nil"/>
              <w:left w:val="nil"/>
              <w:bottom w:val="nil"/>
              <w:right w:val="single" w:sz="4" w:space="0" w:color="auto"/>
            </w:tcBorders>
            <w:shd w:val="clear" w:color="auto" w:fill="auto"/>
            <w:noWrap/>
            <w:vAlign w:val="center"/>
            <w:hideMark/>
          </w:tcPr>
          <w:p w14:paraId="05679AE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627.373</w:t>
            </w:r>
          </w:p>
        </w:tc>
        <w:tc>
          <w:tcPr>
            <w:tcW w:w="1340" w:type="dxa"/>
            <w:tcBorders>
              <w:top w:val="nil"/>
              <w:left w:val="nil"/>
              <w:bottom w:val="nil"/>
              <w:right w:val="single" w:sz="4" w:space="0" w:color="auto"/>
            </w:tcBorders>
            <w:shd w:val="clear" w:color="auto" w:fill="auto"/>
            <w:noWrap/>
            <w:vAlign w:val="center"/>
            <w:hideMark/>
          </w:tcPr>
          <w:p w14:paraId="72ADD20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-736</w:t>
            </w:r>
          </w:p>
        </w:tc>
        <w:tc>
          <w:tcPr>
            <w:tcW w:w="1043" w:type="dxa"/>
            <w:tcBorders>
              <w:top w:val="nil"/>
              <w:left w:val="nil"/>
              <w:bottom w:val="nil"/>
              <w:right w:val="single" w:sz="4" w:space="0" w:color="auto"/>
            </w:tcBorders>
            <w:shd w:val="clear" w:color="auto" w:fill="auto"/>
            <w:noWrap/>
            <w:vAlign w:val="center"/>
            <w:hideMark/>
          </w:tcPr>
          <w:p w14:paraId="115F2F0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-18.922</w:t>
            </w:r>
          </w:p>
        </w:tc>
        <w:tc>
          <w:tcPr>
            <w:tcW w:w="1305" w:type="dxa"/>
            <w:tcBorders>
              <w:top w:val="nil"/>
              <w:left w:val="nil"/>
              <w:bottom w:val="nil"/>
              <w:right w:val="single" w:sz="8" w:space="0" w:color="auto"/>
            </w:tcBorders>
            <w:shd w:val="clear" w:color="auto" w:fill="auto"/>
            <w:noWrap/>
            <w:vAlign w:val="center"/>
            <w:hideMark/>
          </w:tcPr>
          <w:p w14:paraId="0B9C33A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607.715</w:t>
            </w:r>
          </w:p>
        </w:tc>
      </w:tr>
      <w:tr w:rsidR="00BD0DC8" w:rsidRPr="00701F32" w14:paraId="63D3F01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68483C2"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Créditos diversos </w:t>
            </w:r>
          </w:p>
        </w:tc>
        <w:tc>
          <w:tcPr>
            <w:tcW w:w="992" w:type="dxa"/>
            <w:tcBorders>
              <w:top w:val="nil"/>
              <w:left w:val="nil"/>
              <w:bottom w:val="nil"/>
              <w:right w:val="single" w:sz="4" w:space="0" w:color="auto"/>
            </w:tcBorders>
            <w:shd w:val="clear" w:color="auto" w:fill="auto"/>
            <w:noWrap/>
            <w:vAlign w:val="center"/>
            <w:hideMark/>
          </w:tcPr>
          <w:p w14:paraId="14BF6846"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0E0FF1CA"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683.765</w:t>
            </w:r>
          </w:p>
        </w:tc>
        <w:tc>
          <w:tcPr>
            <w:tcW w:w="1340" w:type="dxa"/>
            <w:tcBorders>
              <w:top w:val="nil"/>
              <w:left w:val="nil"/>
              <w:bottom w:val="nil"/>
              <w:right w:val="single" w:sz="4" w:space="0" w:color="auto"/>
            </w:tcBorders>
            <w:shd w:val="clear" w:color="auto" w:fill="auto"/>
            <w:noWrap/>
            <w:vAlign w:val="center"/>
            <w:hideMark/>
          </w:tcPr>
          <w:p w14:paraId="14BB9A3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-683.765</w:t>
            </w:r>
          </w:p>
        </w:tc>
        <w:tc>
          <w:tcPr>
            <w:tcW w:w="1043" w:type="dxa"/>
            <w:tcBorders>
              <w:top w:val="nil"/>
              <w:left w:val="nil"/>
              <w:bottom w:val="nil"/>
              <w:right w:val="single" w:sz="4" w:space="0" w:color="auto"/>
            </w:tcBorders>
            <w:shd w:val="clear" w:color="auto" w:fill="auto"/>
            <w:noWrap/>
            <w:vAlign w:val="center"/>
            <w:hideMark/>
          </w:tcPr>
          <w:p w14:paraId="7C18F76A"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64D894DE"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1473E513"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54AFCF8B"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Bienes de uso y diversos</w:t>
            </w:r>
          </w:p>
        </w:tc>
        <w:tc>
          <w:tcPr>
            <w:tcW w:w="992" w:type="dxa"/>
            <w:tcBorders>
              <w:top w:val="nil"/>
              <w:left w:val="nil"/>
              <w:bottom w:val="nil"/>
              <w:right w:val="single" w:sz="4" w:space="0" w:color="auto"/>
            </w:tcBorders>
            <w:shd w:val="clear" w:color="auto" w:fill="auto"/>
            <w:noWrap/>
            <w:vAlign w:val="center"/>
            <w:hideMark/>
          </w:tcPr>
          <w:p w14:paraId="77B9F21E"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338A54F2"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956.742</w:t>
            </w:r>
          </w:p>
        </w:tc>
        <w:tc>
          <w:tcPr>
            <w:tcW w:w="1340" w:type="dxa"/>
            <w:tcBorders>
              <w:top w:val="nil"/>
              <w:left w:val="nil"/>
              <w:bottom w:val="nil"/>
              <w:right w:val="single" w:sz="4" w:space="0" w:color="auto"/>
            </w:tcBorders>
            <w:shd w:val="clear" w:color="auto" w:fill="auto"/>
            <w:noWrap/>
            <w:vAlign w:val="center"/>
            <w:hideMark/>
          </w:tcPr>
          <w:p w14:paraId="5CE99F0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-956.742</w:t>
            </w:r>
          </w:p>
        </w:tc>
        <w:tc>
          <w:tcPr>
            <w:tcW w:w="1043" w:type="dxa"/>
            <w:tcBorders>
              <w:top w:val="nil"/>
              <w:left w:val="nil"/>
              <w:bottom w:val="nil"/>
              <w:right w:val="single" w:sz="4" w:space="0" w:color="auto"/>
            </w:tcBorders>
            <w:shd w:val="clear" w:color="auto" w:fill="auto"/>
            <w:noWrap/>
            <w:vAlign w:val="center"/>
            <w:hideMark/>
          </w:tcPr>
          <w:p w14:paraId="0987BF72"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37C82659"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3B6051C7"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D27BAFB"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intangibles </w:t>
            </w:r>
          </w:p>
        </w:tc>
        <w:tc>
          <w:tcPr>
            <w:tcW w:w="992" w:type="dxa"/>
            <w:tcBorders>
              <w:top w:val="nil"/>
              <w:left w:val="nil"/>
              <w:bottom w:val="nil"/>
              <w:right w:val="single" w:sz="4" w:space="0" w:color="auto"/>
            </w:tcBorders>
            <w:shd w:val="clear" w:color="auto" w:fill="auto"/>
            <w:noWrap/>
            <w:vAlign w:val="center"/>
            <w:hideMark/>
          </w:tcPr>
          <w:p w14:paraId="383D080D"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f, k</w:t>
            </w:r>
          </w:p>
        </w:tc>
        <w:tc>
          <w:tcPr>
            <w:tcW w:w="1337" w:type="dxa"/>
            <w:tcBorders>
              <w:top w:val="nil"/>
              <w:left w:val="nil"/>
              <w:bottom w:val="nil"/>
              <w:right w:val="single" w:sz="4" w:space="0" w:color="auto"/>
            </w:tcBorders>
            <w:shd w:val="clear" w:color="auto" w:fill="auto"/>
            <w:noWrap/>
            <w:vAlign w:val="center"/>
            <w:hideMark/>
          </w:tcPr>
          <w:p w14:paraId="186A9E8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256.255</w:t>
            </w:r>
          </w:p>
        </w:tc>
        <w:tc>
          <w:tcPr>
            <w:tcW w:w="1340" w:type="dxa"/>
            <w:tcBorders>
              <w:top w:val="nil"/>
              <w:left w:val="nil"/>
              <w:bottom w:val="nil"/>
              <w:right w:val="single" w:sz="4" w:space="0" w:color="auto"/>
            </w:tcBorders>
            <w:shd w:val="clear" w:color="auto" w:fill="auto"/>
            <w:noWrap/>
            <w:vAlign w:val="center"/>
            <w:hideMark/>
          </w:tcPr>
          <w:p w14:paraId="4D50B001"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-92.742</w:t>
            </w:r>
          </w:p>
        </w:tc>
        <w:tc>
          <w:tcPr>
            <w:tcW w:w="1043" w:type="dxa"/>
            <w:tcBorders>
              <w:top w:val="nil"/>
              <w:left w:val="nil"/>
              <w:bottom w:val="nil"/>
              <w:right w:val="single" w:sz="4" w:space="0" w:color="auto"/>
            </w:tcBorders>
            <w:shd w:val="clear" w:color="auto" w:fill="auto"/>
            <w:noWrap/>
            <w:vAlign w:val="center"/>
            <w:hideMark/>
          </w:tcPr>
          <w:p w14:paraId="2B7D0615"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-46.185</w:t>
            </w:r>
          </w:p>
        </w:tc>
        <w:tc>
          <w:tcPr>
            <w:tcW w:w="1305" w:type="dxa"/>
            <w:tcBorders>
              <w:top w:val="nil"/>
              <w:left w:val="nil"/>
              <w:bottom w:val="nil"/>
              <w:right w:val="single" w:sz="8" w:space="0" w:color="auto"/>
            </w:tcBorders>
            <w:shd w:val="clear" w:color="auto" w:fill="auto"/>
            <w:noWrap/>
            <w:vAlign w:val="center"/>
            <w:hideMark/>
          </w:tcPr>
          <w:p w14:paraId="765F26C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117.328</w:t>
            </w:r>
          </w:p>
        </w:tc>
      </w:tr>
      <w:tr w:rsidR="00BD0DC8" w:rsidRPr="00701F32" w14:paraId="0B10C93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792E07E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992" w:type="dxa"/>
            <w:tcBorders>
              <w:top w:val="nil"/>
              <w:left w:val="nil"/>
              <w:bottom w:val="nil"/>
              <w:right w:val="single" w:sz="4" w:space="0" w:color="auto"/>
            </w:tcBorders>
            <w:shd w:val="clear" w:color="auto" w:fill="auto"/>
            <w:noWrap/>
            <w:vAlign w:val="center"/>
            <w:hideMark/>
          </w:tcPr>
          <w:p w14:paraId="75F1DCC4"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5AAF3FB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30.703</w:t>
            </w:r>
          </w:p>
        </w:tc>
        <w:tc>
          <w:tcPr>
            <w:tcW w:w="1340" w:type="dxa"/>
            <w:tcBorders>
              <w:top w:val="nil"/>
              <w:left w:val="nil"/>
              <w:bottom w:val="nil"/>
              <w:right w:val="single" w:sz="4" w:space="0" w:color="auto"/>
            </w:tcBorders>
            <w:shd w:val="clear" w:color="auto" w:fill="auto"/>
            <w:noWrap/>
            <w:vAlign w:val="center"/>
            <w:hideMark/>
          </w:tcPr>
          <w:p w14:paraId="102C3AB5"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-30.703</w:t>
            </w:r>
          </w:p>
        </w:tc>
        <w:tc>
          <w:tcPr>
            <w:tcW w:w="1043" w:type="dxa"/>
            <w:tcBorders>
              <w:top w:val="nil"/>
              <w:left w:val="nil"/>
              <w:bottom w:val="nil"/>
              <w:right w:val="single" w:sz="4" w:space="0" w:color="auto"/>
            </w:tcBorders>
            <w:shd w:val="clear" w:color="auto" w:fill="auto"/>
            <w:noWrap/>
            <w:vAlign w:val="center"/>
            <w:hideMark/>
          </w:tcPr>
          <w:p w14:paraId="0BD4E276"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01007EE5"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1EB5D711"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1E053641"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Títulos de deuda a VR con cambios en resultados </w:t>
            </w:r>
          </w:p>
        </w:tc>
        <w:tc>
          <w:tcPr>
            <w:tcW w:w="992" w:type="dxa"/>
            <w:tcBorders>
              <w:top w:val="nil"/>
              <w:left w:val="nil"/>
              <w:bottom w:val="nil"/>
              <w:right w:val="single" w:sz="4" w:space="0" w:color="auto"/>
            </w:tcBorders>
            <w:shd w:val="clear" w:color="auto" w:fill="auto"/>
            <w:noWrap/>
            <w:vAlign w:val="center"/>
            <w:hideMark/>
          </w:tcPr>
          <w:p w14:paraId="48FF1BB7"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337" w:type="dxa"/>
            <w:tcBorders>
              <w:top w:val="nil"/>
              <w:left w:val="nil"/>
              <w:bottom w:val="nil"/>
              <w:right w:val="single" w:sz="4" w:space="0" w:color="auto"/>
            </w:tcBorders>
            <w:shd w:val="clear" w:color="auto" w:fill="auto"/>
            <w:noWrap/>
            <w:vAlign w:val="center"/>
            <w:hideMark/>
          </w:tcPr>
          <w:p w14:paraId="7DD7113C"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3EBD138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35</w:t>
            </w:r>
            <w:r w:rsidR="00DA58A6" w:rsidRPr="00701F32">
              <w:rPr>
                <w:rFonts w:ascii="Arial" w:hAnsi="Arial" w:cs="Arial"/>
                <w:color w:val="000000"/>
                <w:sz w:val="16"/>
                <w:szCs w:val="16"/>
                <w:lang w:eastAsia="es-AR"/>
              </w:rPr>
              <w:t>7.933</w:t>
            </w:r>
          </w:p>
        </w:tc>
        <w:tc>
          <w:tcPr>
            <w:tcW w:w="1043" w:type="dxa"/>
            <w:tcBorders>
              <w:top w:val="nil"/>
              <w:left w:val="nil"/>
              <w:bottom w:val="nil"/>
              <w:right w:val="single" w:sz="4" w:space="0" w:color="auto"/>
            </w:tcBorders>
            <w:shd w:val="clear" w:color="auto" w:fill="auto"/>
            <w:noWrap/>
            <w:vAlign w:val="center"/>
            <w:hideMark/>
          </w:tcPr>
          <w:p w14:paraId="76A3B94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-9.483</w:t>
            </w:r>
          </w:p>
        </w:tc>
        <w:tc>
          <w:tcPr>
            <w:tcW w:w="1305" w:type="dxa"/>
            <w:tcBorders>
              <w:top w:val="nil"/>
              <w:left w:val="nil"/>
              <w:bottom w:val="nil"/>
              <w:right w:val="single" w:sz="8" w:space="0" w:color="auto"/>
            </w:tcBorders>
            <w:shd w:val="clear" w:color="auto" w:fill="auto"/>
            <w:noWrap/>
            <w:vAlign w:val="center"/>
            <w:hideMark/>
          </w:tcPr>
          <w:p w14:paraId="020897D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34</w:t>
            </w:r>
            <w:r w:rsidR="00DA58A6" w:rsidRPr="00701F32">
              <w:rPr>
                <w:rFonts w:ascii="Arial" w:hAnsi="Arial" w:cs="Arial"/>
                <w:color w:val="000000"/>
                <w:sz w:val="16"/>
                <w:szCs w:val="16"/>
                <w:lang w:eastAsia="es-AR"/>
              </w:rPr>
              <w:t>8.450</w:t>
            </w:r>
          </w:p>
        </w:tc>
      </w:tr>
      <w:tr w:rsidR="00BD0DC8" w:rsidRPr="00701F32" w14:paraId="644F0414"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108775A"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Instrumentos derivados </w:t>
            </w:r>
          </w:p>
        </w:tc>
        <w:tc>
          <w:tcPr>
            <w:tcW w:w="992" w:type="dxa"/>
            <w:tcBorders>
              <w:top w:val="nil"/>
              <w:left w:val="nil"/>
              <w:bottom w:val="nil"/>
              <w:right w:val="single" w:sz="4" w:space="0" w:color="auto"/>
            </w:tcBorders>
            <w:shd w:val="clear" w:color="auto" w:fill="auto"/>
            <w:noWrap/>
            <w:vAlign w:val="center"/>
            <w:hideMark/>
          </w:tcPr>
          <w:p w14:paraId="7CD78FCF"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74B4E96A"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5B6B730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28.304</w:t>
            </w:r>
          </w:p>
        </w:tc>
        <w:tc>
          <w:tcPr>
            <w:tcW w:w="1043" w:type="dxa"/>
            <w:tcBorders>
              <w:top w:val="nil"/>
              <w:left w:val="nil"/>
              <w:bottom w:val="nil"/>
              <w:right w:val="single" w:sz="4" w:space="0" w:color="auto"/>
            </w:tcBorders>
            <w:shd w:val="clear" w:color="auto" w:fill="auto"/>
            <w:noWrap/>
            <w:vAlign w:val="center"/>
            <w:hideMark/>
          </w:tcPr>
          <w:p w14:paraId="4428C68F"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6B562ED1"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28.304</w:t>
            </w:r>
          </w:p>
        </w:tc>
      </w:tr>
      <w:tr w:rsidR="00BD0DC8" w:rsidRPr="00701F32" w14:paraId="77344D6B"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65C72B8"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992" w:type="dxa"/>
            <w:tcBorders>
              <w:top w:val="nil"/>
              <w:left w:val="nil"/>
              <w:bottom w:val="nil"/>
              <w:right w:val="single" w:sz="4" w:space="0" w:color="auto"/>
            </w:tcBorders>
            <w:shd w:val="clear" w:color="auto" w:fill="auto"/>
            <w:noWrap/>
            <w:vAlign w:val="center"/>
            <w:hideMark/>
          </w:tcPr>
          <w:p w14:paraId="63A9D58F"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337" w:type="dxa"/>
            <w:tcBorders>
              <w:top w:val="nil"/>
              <w:left w:val="nil"/>
              <w:bottom w:val="nil"/>
              <w:right w:val="single" w:sz="4" w:space="0" w:color="auto"/>
            </w:tcBorders>
            <w:shd w:val="clear" w:color="auto" w:fill="auto"/>
            <w:noWrap/>
            <w:vAlign w:val="center"/>
            <w:hideMark/>
          </w:tcPr>
          <w:p w14:paraId="0572AB31"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1B1E1AEB"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6CFB71F9"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05505E0A"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BD0DC8" w:rsidRPr="00701F32" w14:paraId="25FA4683"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C8AED0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financieros </w:t>
            </w:r>
          </w:p>
        </w:tc>
        <w:tc>
          <w:tcPr>
            <w:tcW w:w="992" w:type="dxa"/>
            <w:tcBorders>
              <w:top w:val="nil"/>
              <w:left w:val="nil"/>
              <w:bottom w:val="nil"/>
              <w:right w:val="single" w:sz="4" w:space="0" w:color="auto"/>
            </w:tcBorders>
            <w:shd w:val="clear" w:color="auto" w:fill="auto"/>
            <w:noWrap/>
            <w:vAlign w:val="center"/>
            <w:hideMark/>
          </w:tcPr>
          <w:p w14:paraId="68B3A910"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n</w:t>
            </w:r>
          </w:p>
        </w:tc>
        <w:tc>
          <w:tcPr>
            <w:tcW w:w="1337" w:type="dxa"/>
            <w:tcBorders>
              <w:top w:val="nil"/>
              <w:left w:val="nil"/>
              <w:bottom w:val="nil"/>
              <w:right w:val="single" w:sz="4" w:space="0" w:color="auto"/>
            </w:tcBorders>
            <w:shd w:val="clear" w:color="auto" w:fill="auto"/>
            <w:noWrap/>
            <w:vAlign w:val="center"/>
            <w:hideMark/>
          </w:tcPr>
          <w:p w14:paraId="4F69B942"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25F4E8C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493.470</w:t>
            </w:r>
          </w:p>
        </w:tc>
        <w:tc>
          <w:tcPr>
            <w:tcW w:w="1043" w:type="dxa"/>
            <w:tcBorders>
              <w:top w:val="nil"/>
              <w:left w:val="nil"/>
              <w:bottom w:val="nil"/>
              <w:right w:val="single" w:sz="4" w:space="0" w:color="auto"/>
            </w:tcBorders>
            <w:shd w:val="clear" w:color="auto" w:fill="auto"/>
            <w:noWrap/>
            <w:vAlign w:val="center"/>
            <w:hideMark/>
          </w:tcPr>
          <w:p w14:paraId="3F92DEED"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007F12A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493.470</w:t>
            </w:r>
          </w:p>
        </w:tc>
      </w:tr>
      <w:tr w:rsidR="00BD0DC8" w:rsidRPr="00701F32" w14:paraId="68213CC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D6FE6E3"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Préstamos y otras financiaciones </w:t>
            </w:r>
          </w:p>
        </w:tc>
        <w:tc>
          <w:tcPr>
            <w:tcW w:w="992" w:type="dxa"/>
            <w:tcBorders>
              <w:top w:val="nil"/>
              <w:left w:val="nil"/>
              <w:bottom w:val="nil"/>
              <w:right w:val="single" w:sz="4" w:space="0" w:color="auto"/>
            </w:tcBorders>
            <w:shd w:val="clear" w:color="auto" w:fill="auto"/>
            <w:noWrap/>
            <w:vAlign w:val="center"/>
            <w:hideMark/>
          </w:tcPr>
          <w:p w14:paraId="18F94289"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a, b, g, m</w:t>
            </w:r>
          </w:p>
        </w:tc>
        <w:tc>
          <w:tcPr>
            <w:tcW w:w="1337" w:type="dxa"/>
            <w:tcBorders>
              <w:top w:val="nil"/>
              <w:left w:val="nil"/>
              <w:bottom w:val="nil"/>
              <w:right w:val="single" w:sz="4" w:space="0" w:color="auto"/>
            </w:tcBorders>
            <w:shd w:val="clear" w:color="auto" w:fill="auto"/>
            <w:noWrap/>
            <w:vAlign w:val="center"/>
            <w:hideMark/>
          </w:tcPr>
          <w:p w14:paraId="2D7A361C"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447A9212"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34.249.075</w:t>
            </w:r>
          </w:p>
        </w:tc>
        <w:tc>
          <w:tcPr>
            <w:tcW w:w="1043" w:type="dxa"/>
            <w:tcBorders>
              <w:top w:val="nil"/>
              <w:left w:val="nil"/>
              <w:bottom w:val="nil"/>
              <w:right w:val="single" w:sz="4" w:space="0" w:color="auto"/>
            </w:tcBorders>
            <w:shd w:val="clear" w:color="auto" w:fill="auto"/>
            <w:noWrap/>
            <w:vAlign w:val="center"/>
            <w:hideMark/>
          </w:tcPr>
          <w:p w14:paraId="2D42A015"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90.895</w:t>
            </w:r>
          </w:p>
        </w:tc>
        <w:tc>
          <w:tcPr>
            <w:tcW w:w="1305" w:type="dxa"/>
            <w:tcBorders>
              <w:top w:val="nil"/>
              <w:left w:val="nil"/>
              <w:bottom w:val="nil"/>
              <w:right w:val="single" w:sz="8" w:space="0" w:color="auto"/>
            </w:tcBorders>
            <w:shd w:val="clear" w:color="auto" w:fill="auto"/>
            <w:noWrap/>
            <w:vAlign w:val="center"/>
            <w:hideMark/>
          </w:tcPr>
          <w:p w14:paraId="7004183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34.339.970</w:t>
            </w:r>
          </w:p>
        </w:tc>
      </w:tr>
      <w:tr w:rsidR="00BD0DC8" w:rsidRPr="00701F32" w14:paraId="13C97CA9"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5E26BAC6"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títulos de deuda </w:t>
            </w:r>
          </w:p>
        </w:tc>
        <w:tc>
          <w:tcPr>
            <w:tcW w:w="992" w:type="dxa"/>
            <w:tcBorders>
              <w:top w:val="nil"/>
              <w:left w:val="nil"/>
              <w:bottom w:val="nil"/>
              <w:right w:val="single" w:sz="4" w:space="0" w:color="auto"/>
            </w:tcBorders>
            <w:shd w:val="clear" w:color="auto" w:fill="auto"/>
            <w:noWrap/>
            <w:vAlign w:val="center"/>
            <w:hideMark/>
          </w:tcPr>
          <w:p w14:paraId="0ED81526"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12B016C5"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08662D61"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2.01</w:t>
            </w:r>
            <w:r w:rsidR="00DA58A6" w:rsidRPr="00701F32">
              <w:rPr>
                <w:rFonts w:ascii="Arial" w:hAnsi="Arial" w:cs="Arial"/>
                <w:color w:val="000000"/>
                <w:sz w:val="16"/>
                <w:szCs w:val="16"/>
                <w:lang w:eastAsia="es-AR"/>
              </w:rPr>
              <w:t>2.149</w:t>
            </w:r>
          </w:p>
        </w:tc>
        <w:tc>
          <w:tcPr>
            <w:tcW w:w="1043" w:type="dxa"/>
            <w:tcBorders>
              <w:top w:val="nil"/>
              <w:left w:val="nil"/>
              <w:bottom w:val="nil"/>
              <w:right w:val="single" w:sz="4" w:space="0" w:color="auto"/>
            </w:tcBorders>
            <w:shd w:val="clear" w:color="auto" w:fill="auto"/>
            <w:noWrap/>
            <w:vAlign w:val="center"/>
            <w:hideMark/>
          </w:tcPr>
          <w:p w14:paraId="52E7A35A"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1B72879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2.01</w:t>
            </w:r>
            <w:r w:rsidR="00DA58A6" w:rsidRPr="00701F32">
              <w:rPr>
                <w:rFonts w:ascii="Arial" w:hAnsi="Arial" w:cs="Arial"/>
                <w:color w:val="000000"/>
                <w:sz w:val="16"/>
                <w:szCs w:val="16"/>
                <w:lang w:eastAsia="es-AR"/>
              </w:rPr>
              <w:t>2.149</w:t>
            </w:r>
          </w:p>
        </w:tc>
      </w:tr>
      <w:tr w:rsidR="00BD0DC8" w:rsidRPr="00701F32" w14:paraId="1F77758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3C02514"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financieros entregados en garantía </w:t>
            </w:r>
          </w:p>
        </w:tc>
        <w:tc>
          <w:tcPr>
            <w:tcW w:w="992" w:type="dxa"/>
            <w:tcBorders>
              <w:top w:val="nil"/>
              <w:left w:val="nil"/>
              <w:bottom w:val="nil"/>
              <w:right w:val="single" w:sz="4" w:space="0" w:color="auto"/>
            </w:tcBorders>
            <w:shd w:val="clear" w:color="auto" w:fill="auto"/>
            <w:noWrap/>
            <w:vAlign w:val="center"/>
            <w:hideMark/>
          </w:tcPr>
          <w:p w14:paraId="6D5B474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61C98465"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0AE8F33B"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1.361.663</w:t>
            </w:r>
          </w:p>
        </w:tc>
        <w:tc>
          <w:tcPr>
            <w:tcW w:w="1043" w:type="dxa"/>
            <w:tcBorders>
              <w:top w:val="nil"/>
              <w:left w:val="nil"/>
              <w:bottom w:val="nil"/>
              <w:right w:val="single" w:sz="4" w:space="0" w:color="auto"/>
            </w:tcBorders>
            <w:shd w:val="clear" w:color="auto" w:fill="auto"/>
            <w:noWrap/>
            <w:vAlign w:val="center"/>
            <w:hideMark/>
          </w:tcPr>
          <w:p w14:paraId="25C7DE6D"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FACB3B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1.361.663</w:t>
            </w:r>
          </w:p>
        </w:tc>
      </w:tr>
      <w:tr w:rsidR="00BD0DC8" w:rsidRPr="00701F32" w14:paraId="7E778ED6"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4E5AF03"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Inversión en instrumentos de patrimonio</w:t>
            </w:r>
          </w:p>
        </w:tc>
        <w:tc>
          <w:tcPr>
            <w:tcW w:w="992" w:type="dxa"/>
            <w:tcBorders>
              <w:top w:val="nil"/>
              <w:left w:val="nil"/>
              <w:bottom w:val="nil"/>
              <w:right w:val="single" w:sz="4" w:space="0" w:color="auto"/>
            </w:tcBorders>
            <w:shd w:val="clear" w:color="auto" w:fill="auto"/>
            <w:noWrap/>
            <w:vAlign w:val="center"/>
            <w:hideMark/>
          </w:tcPr>
          <w:p w14:paraId="3A77EB8B"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337" w:type="dxa"/>
            <w:tcBorders>
              <w:top w:val="nil"/>
              <w:left w:val="nil"/>
              <w:bottom w:val="nil"/>
              <w:right w:val="single" w:sz="4" w:space="0" w:color="auto"/>
            </w:tcBorders>
            <w:shd w:val="clear" w:color="auto" w:fill="auto"/>
            <w:noWrap/>
            <w:vAlign w:val="center"/>
            <w:hideMark/>
          </w:tcPr>
          <w:p w14:paraId="25940B17"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3B7A31CB"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2.629</w:t>
            </w:r>
          </w:p>
        </w:tc>
        <w:tc>
          <w:tcPr>
            <w:tcW w:w="1043" w:type="dxa"/>
            <w:tcBorders>
              <w:top w:val="nil"/>
              <w:left w:val="nil"/>
              <w:bottom w:val="nil"/>
              <w:right w:val="single" w:sz="4" w:space="0" w:color="auto"/>
            </w:tcBorders>
            <w:shd w:val="clear" w:color="auto" w:fill="auto"/>
            <w:noWrap/>
            <w:vAlign w:val="center"/>
            <w:hideMark/>
          </w:tcPr>
          <w:p w14:paraId="59D51AAD"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5F6D4832"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2.629</w:t>
            </w:r>
          </w:p>
        </w:tc>
      </w:tr>
      <w:tr w:rsidR="00BD0DC8" w:rsidRPr="00701F32" w14:paraId="51DDBB56"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BAF9E6E"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impuestos a las ganancias corriente </w:t>
            </w:r>
          </w:p>
        </w:tc>
        <w:tc>
          <w:tcPr>
            <w:tcW w:w="992" w:type="dxa"/>
            <w:tcBorders>
              <w:top w:val="nil"/>
              <w:left w:val="nil"/>
              <w:bottom w:val="nil"/>
              <w:right w:val="single" w:sz="4" w:space="0" w:color="auto"/>
            </w:tcBorders>
            <w:shd w:val="clear" w:color="auto" w:fill="auto"/>
            <w:noWrap/>
            <w:vAlign w:val="center"/>
            <w:hideMark/>
          </w:tcPr>
          <w:p w14:paraId="2B5DB103"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445C8BC4"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2D6AC99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3.566</w:t>
            </w:r>
          </w:p>
        </w:tc>
        <w:tc>
          <w:tcPr>
            <w:tcW w:w="1043" w:type="dxa"/>
            <w:tcBorders>
              <w:top w:val="nil"/>
              <w:left w:val="nil"/>
              <w:bottom w:val="nil"/>
              <w:right w:val="single" w:sz="4" w:space="0" w:color="auto"/>
            </w:tcBorders>
            <w:shd w:val="clear" w:color="auto" w:fill="auto"/>
            <w:noWrap/>
            <w:vAlign w:val="center"/>
            <w:hideMark/>
          </w:tcPr>
          <w:p w14:paraId="74C3F167"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1C10F6E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3.566</w:t>
            </w:r>
          </w:p>
        </w:tc>
      </w:tr>
      <w:tr w:rsidR="00BD0DC8" w:rsidRPr="00701F32" w14:paraId="0DA80074"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268B8E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Activos por impuesto a las ganancias diferido </w:t>
            </w:r>
          </w:p>
        </w:tc>
        <w:tc>
          <w:tcPr>
            <w:tcW w:w="992" w:type="dxa"/>
            <w:tcBorders>
              <w:top w:val="nil"/>
              <w:left w:val="nil"/>
              <w:bottom w:val="nil"/>
              <w:right w:val="single" w:sz="4" w:space="0" w:color="auto"/>
            </w:tcBorders>
            <w:shd w:val="clear" w:color="auto" w:fill="auto"/>
            <w:noWrap/>
            <w:vAlign w:val="center"/>
            <w:hideMark/>
          </w:tcPr>
          <w:p w14:paraId="4689FD30"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j</w:t>
            </w:r>
          </w:p>
        </w:tc>
        <w:tc>
          <w:tcPr>
            <w:tcW w:w="1337" w:type="dxa"/>
            <w:tcBorders>
              <w:top w:val="nil"/>
              <w:left w:val="nil"/>
              <w:bottom w:val="nil"/>
              <w:right w:val="single" w:sz="4" w:space="0" w:color="auto"/>
            </w:tcBorders>
            <w:shd w:val="clear" w:color="auto" w:fill="auto"/>
            <w:noWrap/>
            <w:vAlign w:val="center"/>
            <w:hideMark/>
          </w:tcPr>
          <w:p w14:paraId="36C2E5AB"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6DF192A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67951AF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290.291</w:t>
            </w:r>
          </w:p>
        </w:tc>
        <w:tc>
          <w:tcPr>
            <w:tcW w:w="1305" w:type="dxa"/>
            <w:tcBorders>
              <w:top w:val="nil"/>
              <w:left w:val="nil"/>
              <w:bottom w:val="nil"/>
              <w:right w:val="single" w:sz="8" w:space="0" w:color="auto"/>
            </w:tcBorders>
            <w:shd w:val="clear" w:color="auto" w:fill="auto"/>
            <w:noWrap/>
            <w:vAlign w:val="center"/>
            <w:hideMark/>
          </w:tcPr>
          <w:p w14:paraId="5E37619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290.291</w:t>
            </w:r>
          </w:p>
        </w:tc>
      </w:tr>
      <w:tr w:rsidR="00BD0DC8" w:rsidRPr="00701F32" w14:paraId="4CF5F385"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1261BC4"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activos no financieros </w:t>
            </w:r>
          </w:p>
        </w:tc>
        <w:tc>
          <w:tcPr>
            <w:tcW w:w="992" w:type="dxa"/>
            <w:tcBorders>
              <w:top w:val="nil"/>
              <w:left w:val="nil"/>
              <w:bottom w:val="nil"/>
              <w:right w:val="single" w:sz="4" w:space="0" w:color="auto"/>
            </w:tcBorders>
            <w:shd w:val="clear" w:color="auto" w:fill="auto"/>
            <w:noWrap/>
            <w:vAlign w:val="center"/>
            <w:hideMark/>
          </w:tcPr>
          <w:p w14:paraId="2E03D578"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337" w:type="dxa"/>
            <w:tcBorders>
              <w:top w:val="nil"/>
              <w:left w:val="nil"/>
              <w:bottom w:val="nil"/>
              <w:right w:val="single" w:sz="4" w:space="0" w:color="auto"/>
            </w:tcBorders>
            <w:shd w:val="clear" w:color="auto" w:fill="auto"/>
            <w:noWrap/>
            <w:vAlign w:val="center"/>
            <w:hideMark/>
          </w:tcPr>
          <w:p w14:paraId="642116F6"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647AD3D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711.479</w:t>
            </w:r>
          </w:p>
        </w:tc>
        <w:tc>
          <w:tcPr>
            <w:tcW w:w="1043" w:type="dxa"/>
            <w:tcBorders>
              <w:top w:val="nil"/>
              <w:left w:val="nil"/>
              <w:bottom w:val="nil"/>
              <w:right w:val="single" w:sz="4" w:space="0" w:color="auto"/>
            </w:tcBorders>
            <w:shd w:val="clear" w:color="auto" w:fill="auto"/>
            <w:noWrap/>
            <w:vAlign w:val="center"/>
            <w:hideMark/>
          </w:tcPr>
          <w:p w14:paraId="571CBF0F"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150.946</w:t>
            </w:r>
          </w:p>
        </w:tc>
        <w:tc>
          <w:tcPr>
            <w:tcW w:w="1305" w:type="dxa"/>
            <w:tcBorders>
              <w:top w:val="nil"/>
              <w:left w:val="nil"/>
              <w:bottom w:val="nil"/>
              <w:right w:val="single" w:sz="8" w:space="0" w:color="auto"/>
            </w:tcBorders>
            <w:shd w:val="clear" w:color="auto" w:fill="auto"/>
            <w:noWrap/>
            <w:vAlign w:val="center"/>
            <w:hideMark/>
          </w:tcPr>
          <w:p w14:paraId="04DA7CE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862.425</w:t>
            </w:r>
          </w:p>
        </w:tc>
      </w:tr>
      <w:tr w:rsidR="00BD0DC8" w:rsidRPr="00701F32" w14:paraId="42F28D59"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128C141B"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Propiedad, planta y equipo </w:t>
            </w:r>
          </w:p>
        </w:tc>
        <w:tc>
          <w:tcPr>
            <w:tcW w:w="992" w:type="dxa"/>
            <w:tcBorders>
              <w:top w:val="nil"/>
              <w:left w:val="nil"/>
              <w:bottom w:val="nil"/>
              <w:right w:val="single" w:sz="4" w:space="0" w:color="auto"/>
            </w:tcBorders>
            <w:shd w:val="clear" w:color="auto" w:fill="auto"/>
            <w:noWrap/>
            <w:vAlign w:val="center"/>
            <w:hideMark/>
          </w:tcPr>
          <w:p w14:paraId="22EBFAAB"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e</w:t>
            </w:r>
          </w:p>
        </w:tc>
        <w:tc>
          <w:tcPr>
            <w:tcW w:w="1337" w:type="dxa"/>
            <w:tcBorders>
              <w:top w:val="nil"/>
              <w:left w:val="nil"/>
              <w:bottom w:val="nil"/>
              <w:right w:val="single" w:sz="4" w:space="0" w:color="auto"/>
            </w:tcBorders>
            <w:shd w:val="clear" w:color="auto" w:fill="auto"/>
            <w:noWrap/>
            <w:vAlign w:val="center"/>
            <w:hideMark/>
          </w:tcPr>
          <w:p w14:paraId="51FC4810"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40" w:type="dxa"/>
            <w:tcBorders>
              <w:top w:val="nil"/>
              <w:left w:val="nil"/>
              <w:bottom w:val="nil"/>
              <w:right w:val="single" w:sz="4" w:space="0" w:color="auto"/>
            </w:tcBorders>
            <w:shd w:val="clear" w:color="auto" w:fill="auto"/>
            <w:noWrap/>
            <w:vAlign w:val="center"/>
            <w:hideMark/>
          </w:tcPr>
          <w:p w14:paraId="566574C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612.673</w:t>
            </w:r>
          </w:p>
        </w:tc>
        <w:tc>
          <w:tcPr>
            <w:tcW w:w="1043" w:type="dxa"/>
            <w:tcBorders>
              <w:top w:val="nil"/>
              <w:left w:val="nil"/>
              <w:bottom w:val="nil"/>
              <w:right w:val="single" w:sz="4" w:space="0" w:color="auto"/>
            </w:tcBorders>
            <w:shd w:val="clear" w:color="auto" w:fill="auto"/>
            <w:noWrap/>
            <w:vAlign w:val="center"/>
            <w:hideMark/>
          </w:tcPr>
          <w:p w14:paraId="0D3D4CB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100.825</w:t>
            </w:r>
          </w:p>
        </w:tc>
        <w:tc>
          <w:tcPr>
            <w:tcW w:w="1305" w:type="dxa"/>
            <w:tcBorders>
              <w:top w:val="nil"/>
              <w:left w:val="nil"/>
              <w:bottom w:val="nil"/>
              <w:right w:val="single" w:sz="8" w:space="0" w:color="auto"/>
            </w:tcBorders>
            <w:shd w:val="clear" w:color="auto" w:fill="auto"/>
            <w:noWrap/>
            <w:vAlign w:val="center"/>
            <w:hideMark/>
          </w:tcPr>
          <w:p w14:paraId="03B49CDD"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713.498</w:t>
            </w:r>
          </w:p>
        </w:tc>
      </w:tr>
      <w:tr w:rsidR="00BD0DC8" w:rsidRPr="00701F32" w14:paraId="4C8102C7" w14:textId="77777777" w:rsidTr="00393CEB">
        <w:trPr>
          <w:trHeight w:val="133"/>
        </w:trPr>
        <w:tc>
          <w:tcPr>
            <w:tcW w:w="389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25589C" w14:textId="77777777" w:rsidR="00BD0DC8" w:rsidRPr="00701F32" w:rsidRDefault="00BD0DC8">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2A3A8E" w:rsidRPr="00701F32">
              <w:rPr>
                <w:rFonts w:ascii="Arial" w:hAnsi="Arial" w:cs="Arial"/>
                <w:b/>
                <w:bCs/>
                <w:color w:val="000000"/>
                <w:sz w:val="16"/>
                <w:szCs w:val="16"/>
                <w:lang w:eastAsia="es-AR"/>
              </w:rPr>
              <w:t>l Activo al 01/01/2017</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29C54B3D"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14:paraId="10E432AA"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48.730.638</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14:paraId="1D784C85"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-157.038</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2B1C5CF7"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558.367</w:t>
            </w:r>
          </w:p>
        </w:tc>
        <w:tc>
          <w:tcPr>
            <w:tcW w:w="1305" w:type="dxa"/>
            <w:tcBorders>
              <w:top w:val="single" w:sz="8" w:space="0" w:color="auto"/>
              <w:left w:val="nil"/>
              <w:bottom w:val="single" w:sz="8" w:space="0" w:color="auto"/>
              <w:right w:val="single" w:sz="8" w:space="0" w:color="auto"/>
            </w:tcBorders>
            <w:shd w:val="clear" w:color="auto" w:fill="auto"/>
            <w:noWrap/>
            <w:vAlign w:val="center"/>
            <w:hideMark/>
          </w:tcPr>
          <w:p w14:paraId="7A27309D"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49.131.967</w:t>
            </w:r>
          </w:p>
        </w:tc>
      </w:tr>
      <w:tr w:rsidR="00BD0DC8" w:rsidRPr="00701F32" w14:paraId="72D30EB9"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C545CFF"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Depósitos </w:t>
            </w:r>
          </w:p>
        </w:tc>
        <w:tc>
          <w:tcPr>
            <w:tcW w:w="992" w:type="dxa"/>
            <w:tcBorders>
              <w:top w:val="nil"/>
              <w:left w:val="nil"/>
              <w:bottom w:val="nil"/>
              <w:right w:val="single" w:sz="4" w:space="0" w:color="auto"/>
            </w:tcBorders>
            <w:shd w:val="clear" w:color="auto" w:fill="auto"/>
            <w:noWrap/>
            <w:vAlign w:val="center"/>
            <w:hideMark/>
          </w:tcPr>
          <w:p w14:paraId="1B8047CE"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234F60E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35.334.530</w:t>
            </w:r>
          </w:p>
        </w:tc>
        <w:tc>
          <w:tcPr>
            <w:tcW w:w="1340" w:type="dxa"/>
            <w:tcBorders>
              <w:top w:val="nil"/>
              <w:left w:val="nil"/>
              <w:bottom w:val="nil"/>
              <w:right w:val="single" w:sz="4" w:space="0" w:color="auto"/>
            </w:tcBorders>
            <w:shd w:val="clear" w:color="auto" w:fill="auto"/>
            <w:noWrap/>
            <w:vAlign w:val="center"/>
            <w:hideMark/>
          </w:tcPr>
          <w:p w14:paraId="3745918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02ECBB71"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4EDF97E5"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35.334.530</w:t>
            </w:r>
          </w:p>
        </w:tc>
      </w:tr>
      <w:tr w:rsidR="00BD0DC8" w:rsidRPr="00701F32" w14:paraId="157F3178"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5E8BA9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Otras obligaciones por intermediación financiera </w:t>
            </w:r>
          </w:p>
        </w:tc>
        <w:tc>
          <w:tcPr>
            <w:tcW w:w="992" w:type="dxa"/>
            <w:tcBorders>
              <w:top w:val="nil"/>
              <w:left w:val="nil"/>
              <w:bottom w:val="nil"/>
              <w:right w:val="single" w:sz="4" w:space="0" w:color="auto"/>
            </w:tcBorders>
            <w:shd w:val="clear" w:color="auto" w:fill="auto"/>
            <w:noWrap/>
            <w:vAlign w:val="center"/>
            <w:hideMark/>
          </w:tcPr>
          <w:p w14:paraId="6C4AA4D7"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i</w:t>
            </w:r>
          </w:p>
        </w:tc>
        <w:tc>
          <w:tcPr>
            <w:tcW w:w="1337" w:type="dxa"/>
            <w:tcBorders>
              <w:top w:val="nil"/>
              <w:left w:val="nil"/>
              <w:bottom w:val="nil"/>
              <w:right w:val="single" w:sz="4" w:space="0" w:color="auto"/>
            </w:tcBorders>
            <w:shd w:val="clear" w:color="auto" w:fill="auto"/>
            <w:noWrap/>
            <w:vAlign w:val="center"/>
            <w:hideMark/>
          </w:tcPr>
          <w:p w14:paraId="06A2CD9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4.639.923</w:t>
            </w:r>
          </w:p>
        </w:tc>
        <w:tc>
          <w:tcPr>
            <w:tcW w:w="1340" w:type="dxa"/>
            <w:tcBorders>
              <w:top w:val="nil"/>
              <w:left w:val="nil"/>
              <w:bottom w:val="nil"/>
              <w:right w:val="single" w:sz="4" w:space="0" w:color="auto"/>
            </w:tcBorders>
            <w:shd w:val="clear" w:color="auto" w:fill="auto"/>
            <w:noWrap/>
            <w:vAlign w:val="center"/>
            <w:hideMark/>
          </w:tcPr>
          <w:p w14:paraId="2EB5A22D"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-4.639.923</w:t>
            </w:r>
          </w:p>
        </w:tc>
        <w:tc>
          <w:tcPr>
            <w:tcW w:w="1043" w:type="dxa"/>
            <w:tcBorders>
              <w:top w:val="nil"/>
              <w:left w:val="nil"/>
              <w:bottom w:val="nil"/>
              <w:right w:val="single" w:sz="4" w:space="0" w:color="auto"/>
            </w:tcBorders>
            <w:shd w:val="clear" w:color="auto" w:fill="auto"/>
            <w:noWrap/>
            <w:vAlign w:val="center"/>
            <w:hideMark/>
          </w:tcPr>
          <w:p w14:paraId="091B520C"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8274496" w14:textId="77777777" w:rsidR="00BD0DC8" w:rsidRPr="00701F32" w:rsidRDefault="00BD0DC8" w:rsidP="00CB22DF">
            <w:pPr>
              <w:jc w:val="right"/>
              <w:rPr>
                <w:rFonts w:ascii="Arial" w:hAnsi="Arial" w:cs="Arial"/>
                <w:color w:val="000000"/>
                <w:sz w:val="16"/>
                <w:szCs w:val="16"/>
                <w:lang w:eastAsia="es-AR"/>
              </w:rPr>
            </w:pPr>
          </w:p>
        </w:tc>
      </w:tr>
      <w:tr w:rsidR="00BD0DC8" w:rsidRPr="00701F32" w14:paraId="110BEE2A"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4B998F8D"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diversas </w:t>
            </w:r>
          </w:p>
        </w:tc>
        <w:tc>
          <w:tcPr>
            <w:tcW w:w="992" w:type="dxa"/>
            <w:tcBorders>
              <w:top w:val="nil"/>
              <w:left w:val="nil"/>
              <w:bottom w:val="nil"/>
              <w:right w:val="single" w:sz="4" w:space="0" w:color="auto"/>
            </w:tcBorders>
            <w:shd w:val="clear" w:color="auto" w:fill="auto"/>
            <w:noWrap/>
            <w:vAlign w:val="center"/>
            <w:hideMark/>
          </w:tcPr>
          <w:p w14:paraId="5D24EE96"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6CE1CC9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1.330.402</w:t>
            </w:r>
          </w:p>
        </w:tc>
        <w:tc>
          <w:tcPr>
            <w:tcW w:w="1340" w:type="dxa"/>
            <w:tcBorders>
              <w:top w:val="nil"/>
              <w:left w:val="nil"/>
              <w:bottom w:val="nil"/>
              <w:right w:val="single" w:sz="4" w:space="0" w:color="auto"/>
            </w:tcBorders>
            <w:shd w:val="clear" w:color="auto" w:fill="auto"/>
            <w:noWrap/>
            <w:vAlign w:val="center"/>
            <w:hideMark/>
          </w:tcPr>
          <w:p w14:paraId="2D722CA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-1.330.402</w:t>
            </w:r>
          </w:p>
        </w:tc>
        <w:tc>
          <w:tcPr>
            <w:tcW w:w="1043" w:type="dxa"/>
            <w:tcBorders>
              <w:top w:val="nil"/>
              <w:left w:val="nil"/>
              <w:bottom w:val="nil"/>
              <w:right w:val="single" w:sz="4" w:space="0" w:color="auto"/>
            </w:tcBorders>
            <w:shd w:val="clear" w:color="auto" w:fill="auto"/>
            <w:noWrap/>
            <w:vAlign w:val="center"/>
            <w:hideMark/>
          </w:tcPr>
          <w:p w14:paraId="10289356"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FA8FD57" w14:textId="77777777" w:rsidR="00BD0DC8" w:rsidRPr="00701F32" w:rsidRDefault="00BD0DC8" w:rsidP="00CB22DF">
            <w:pPr>
              <w:jc w:val="right"/>
              <w:rPr>
                <w:rFonts w:ascii="Arial" w:hAnsi="Arial" w:cs="Arial"/>
                <w:color w:val="000000"/>
                <w:sz w:val="16"/>
                <w:szCs w:val="16"/>
                <w:lang w:eastAsia="es-AR"/>
              </w:rPr>
            </w:pPr>
          </w:p>
        </w:tc>
      </w:tr>
      <w:tr w:rsidR="00BD0DC8" w:rsidRPr="00701F32" w14:paraId="28318BF7"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11BC88F8"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Provisiones </w:t>
            </w:r>
          </w:p>
        </w:tc>
        <w:tc>
          <w:tcPr>
            <w:tcW w:w="992" w:type="dxa"/>
            <w:tcBorders>
              <w:top w:val="nil"/>
              <w:left w:val="nil"/>
              <w:bottom w:val="nil"/>
              <w:right w:val="single" w:sz="4" w:space="0" w:color="auto"/>
            </w:tcBorders>
            <w:shd w:val="clear" w:color="auto" w:fill="auto"/>
            <w:noWrap/>
            <w:vAlign w:val="center"/>
            <w:hideMark/>
          </w:tcPr>
          <w:p w14:paraId="08DF3F0E"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7782AEF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41.732</w:t>
            </w:r>
          </w:p>
        </w:tc>
        <w:tc>
          <w:tcPr>
            <w:tcW w:w="1340" w:type="dxa"/>
            <w:tcBorders>
              <w:top w:val="nil"/>
              <w:left w:val="nil"/>
              <w:bottom w:val="nil"/>
              <w:right w:val="single" w:sz="4" w:space="0" w:color="auto"/>
            </w:tcBorders>
            <w:shd w:val="clear" w:color="auto" w:fill="auto"/>
            <w:noWrap/>
            <w:vAlign w:val="center"/>
            <w:hideMark/>
          </w:tcPr>
          <w:p w14:paraId="6B7EFA0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014A65F7"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1E36679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41.732</w:t>
            </w:r>
          </w:p>
        </w:tc>
      </w:tr>
      <w:tr w:rsidR="00BD0DC8" w:rsidRPr="00701F32" w14:paraId="474C372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FD33BDE"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subordinadas </w:t>
            </w:r>
          </w:p>
        </w:tc>
        <w:tc>
          <w:tcPr>
            <w:tcW w:w="992" w:type="dxa"/>
            <w:tcBorders>
              <w:top w:val="nil"/>
              <w:left w:val="nil"/>
              <w:bottom w:val="nil"/>
              <w:right w:val="single" w:sz="4" w:space="0" w:color="auto"/>
            </w:tcBorders>
            <w:shd w:val="clear" w:color="auto" w:fill="auto"/>
            <w:noWrap/>
            <w:vAlign w:val="center"/>
            <w:hideMark/>
          </w:tcPr>
          <w:p w14:paraId="35AC672A"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31FE783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1.378.758</w:t>
            </w:r>
          </w:p>
        </w:tc>
        <w:tc>
          <w:tcPr>
            <w:tcW w:w="1340" w:type="dxa"/>
            <w:tcBorders>
              <w:top w:val="nil"/>
              <w:left w:val="nil"/>
              <w:bottom w:val="nil"/>
              <w:right w:val="single" w:sz="4" w:space="0" w:color="auto"/>
            </w:tcBorders>
            <w:shd w:val="clear" w:color="auto" w:fill="auto"/>
            <w:noWrap/>
            <w:vAlign w:val="center"/>
            <w:hideMark/>
          </w:tcPr>
          <w:p w14:paraId="0A5759FC"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5423D743"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E06007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1.378.758</w:t>
            </w:r>
          </w:p>
        </w:tc>
      </w:tr>
      <w:tr w:rsidR="00BD0DC8" w:rsidRPr="00701F32" w14:paraId="215D1313"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51EDE63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Partidas pendientes de imputación </w:t>
            </w:r>
          </w:p>
        </w:tc>
        <w:tc>
          <w:tcPr>
            <w:tcW w:w="992" w:type="dxa"/>
            <w:tcBorders>
              <w:top w:val="nil"/>
              <w:left w:val="nil"/>
              <w:bottom w:val="nil"/>
              <w:right w:val="single" w:sz="4" w:space="0" w:color="auto"/>
            </w:tcBorders>
            <w:shd w:val="clear" w:color="auto" w:fill="auto"/>
            <w:noWrap/>
            <w:vAlign w:val="center"/>
            <w:hideMark/>
          </w:tcPr>
          <w:p w14:paraId="2EA55AD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1899DC6B"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134.334</w:t>
            </w:r>
          </w:p>
        </w:tc>
        <w:tc>
          <w:tcPr>
            <w:tcW w:w="1340" w:type="dxa"/>
            <w:tcBorders>
              <w:top w:val="nil"/>
              <w:left w:val="nil"/>
              <w:bottom w:val="nil"/>
              <w:right w:val="single" w:sz="4" w:space="0" w:color="auto"/>
            </w:tcBorders>
            <w:shd w:val="clear" w:color="auto" w:fill="auto"/>
            <w:noWrap/>
            <w:vAlign w:val="center"/>
            <w:hideMark/>
          </w:tcPr>
          <w:p w14:paraId="61A9BC3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-134.334</w:t>
            </w:r>
          </w:p>
        </w:tc>
        <w:tc>
          <w:tcPr>
            <w:tcW w:w="1043" w:type="dxa"/>
            <w:tcBorders>
              <w:top w:val="nil"/>
              <w:left w:val="nil"/>
              <w:bottom w:val="nil"/>
              <w:right w:val="single" w:sz="4" w:space="0" w:color="auto"/>
            </w:tcBorders>
            <w:shd w:val="clear" w:color="auto" w:fill="auto"/>
            <w:noWrap/>
            <w:vAlign w:val="center"/>
            <w:hideMark/>
          </w:tcPr>
          <w:p w14:paraId="47A5EDBB"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439E0CC7" w14:textId="77777777" w:rsidR="00BD0DC8" w:rsidRPr="00701F32" w:rsidRDefault="00BD0DC8" w:rsidP="00CB22DF">
            <w:pPr>
              <w:jc w:val="right"/>
              <w:rPr>
                <w:rFonts w:ascii="Arial" w:hAnsi="Arial" w:cs="Arial"/>
                <w:color w:val="000000"/>
                <w:sz w:val="16"/>
                <w:szCs w:val="16"/>
                <w:lang w:eastAsia="es-AR"/>
              </w:rPr>
            </w:pPr>
          </w:p>
        </w:tc>
      </w:tr>
      <w:tr w:rsidR="00BD0DC8" w:rsidRPr="00701F32" w14:paraId="1E04F4F8"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AB17F25"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Operaciones de pase </w:t>
            </w:r>
          </w:p>
        </w:tc>
        <w:tc>
          <w:tcPr>
            <w:tcW w:w="992" w:type="dxa"/>
            <w:tcBorders>
              <w:top w:val="nil"/>
              <w:left w:val="nil"/>
              <w:bottom w:val="nil"/>
              <w:right w:val="single" w:sz="4" w:space="0" w:color="auto"/>
            </w:tcBorders>
            <w:shd w:val="clear" w:color="auto" w:fill="auto"/>
            <w:noWrap/>
            <w:vAlign w:val="center"/>
            <w:hideMark/>
          </w:tcPr>
          <w:p w14:paraId="56676D9B"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58E4B1DE"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58887454"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590.891</w:t>
            </w:r>
          </w:p>
        </w:tc>
        <w:tc>
          <w:tcPr>
            <w:tcW w:w="1043" w:type="dxa"/>
            <w:tcBorders>
              <w:top w:val="nil"/>
              <w:left w:val="nil"/>
              <w:bottom w:val="nil"/>
              <w:right w:val="single" w:sz="4" w:space="0" w:color="auto"/>
            </w:tcBorders>
            <w:shd w:val="clear" w:color="auto" w:fill="auto"/>
            <w:noWrap/>
            <w:vAlign w:val="center"/>
            <w:hideMark/>
          </w:tcPr>
          <w:p w14:paraId="05E39CD3" w14:textId="77777777" w:rsidR="00BD0DC8" w:rsidRPr="00701F32" w:rsidRDefault="003C6E91"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08040A1F"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590.891</w:t>
            </w:r>
          </w:p>
        </w:tc>
      </w:tr>
      <w:tr w:rsidR="00BD0DC8" w:rsidRPr="00701F32" w14:paraId="69820ED4"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F36A04A"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financieros </w:t>
            </w:r>
          </w:p>
        </w:tc>
        <w:tc>
          <w:tcPr>
            <w:tcW w:w="992" w:type="dxa"/>
            <w:tcBorders>
              <w:top w:val="nil"/>
              <w:left w:val="nil"/>
              <w:bottom w:val="nil"/>
              <w:right w:val="single" w:sz="4" w:space="0" w:color="auto"/>
            </w:tcBorders>
            <w:shd w:val="clear" w:color="auto" w:fill="auto"/>
            <w:noWrap/>
            <w:vAlign w:val="center"/>
            <w:hideMark/>
          </w:tcPr>
          <w:p w14:paraId="2DB01AB0"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g, m</w:t>
            </w:r>
          </w:p>
        </w:tc>
        <w:tc>
          <w:tcPr>
            <w:tcW w:w="1337" w:type="dxa"/>
            <w:tcBorders>
              <w:top w:val="nil"/>
              <w:left w:val="nil"/>
              <w:bottom w:val="nil"/>
              <w:right w:val="single" w:sz="4" w:space="0" w:color="auto"/>
            </w:tcBorders>
            <w:shd w:val="clear" w:color="auto" w:fill="auto"/>
            <w:noWrap/>
            <w:vAlign w:val="center"/>
            <w:hideMark/>
          </w:tcPr>
          <w:p w14:paraId="57FCA9AD"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1306469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1.547.382</w:t>
            </w:r>
          </w:p>
        </w:tc>
        <w:tc>
          <w:tcPr>
            <w:tcW w:w="1043" w:type="dxa"/>
            <w:tcBorders>
              <w:top w:val="nil"/>
              <w:left w:val="nil"/>
              <w:bottom w:val="nil"/>
              <w:right w:val="single" w:sz="4" w:space="0" w:color="auto"/>
            </w:tcBorders>
            <w:shd w:val="clear" w:color="auto" w:fill="auto"/>
            <w:noWrap/>
            <w:vAlign w:val="center"/>
            <w:hideMark/>
          </w:tcPr>
          <w:p w14:paraId="72CEC22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231.129</w:t>
            </w:r>
          </w:p>
        </w:tc>
        <w:tc>
          <w:tcPr>
            <w:tcW w:w="1305" w:type="dxa"/>
            <w:tcBorders>
              <w:top w:val="nil"/>
              <w:left w:val="nil"/>
              <w:bottom w:val="nil"/>
              <w:right w:val="single" w:sz="8" w:space="0" w:color="auto"/>
            </w:tcBorders>
            <w:shd w:val="clear" w:color="auto" w:fill="auto"/>
            <w:noWrap/>
            <w:vAlign w:val="center"/>
            <w:hideMark/>
          </w:tcPr>
          <w:p w14:paraId="00FC48D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1.778.511</w:t>
            </w:r>
          </w:p>
        </w:tc>
      </w:tr>
      <w:tr w:rsidR="00BD0DC8" w:rsidRPr="00701F32" w14:paraId="078F641F"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3D7FCEDB"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Financ.recibidas del BCRA y otras inst. financieras </w:t>
            </w:r>
          </w:p>
        </w:tc>
        <w:tc>
          <w:tcPr>
            <w:tcW w:w="992" w:type="dxa"/>
            <w:tcBorders>
              <w:top w:val="nil"/>
              <w:left w:val="nil"/>
              <w:bottom w:val="nil"/>
              <w:right w:val="single" w:sz="4" w:space="0" w:color="auto"/>
            </w:tcBorders>
            <w:shd w:val="clear" w:color="auto" w:fill="auto"/>
            <w:noWrap/>
            <w:vAlign w:val="center"/>
            <w:hideMark/>
          </w:tcPr>
          <w:p w14:paraId="6B2F85D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192D9019"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03FDDB9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868.162</w:t>
            </w:r>
          </w:p>
        </w:tc>
        <w:tc>
          <w:tcPr>
            <w:tcW w:w="1043" w:type="dxa"/>
            <w:tcBorders>
              <w:top w:val="nil"/>
              <w:left w:val="nil"/>
              <w:bottom w:val="nil"/>
              <w:right w:val="single" w:sz="4" w:space="0" w:color="auto"/>
            </w:tcBorders>
            <w:shd w:val="clear" w:color="auto" w:fill="auto"/>
            <w:noWrap/>
            <w:vAlign w:val="center"/>
            <w:hideMark/>
          </w:tcPr>
          <w:p w14:paraId="3CDDCE6D" w14:textId="77777777" w:rsidR="00BD0DC8"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244509A2"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868.162</w:t>
            </w:r>
          </w:p>
        </w:tc>
      </w:tr>
      <w:tr w:rsidR="00BD0DC8" w:rsidRPr="00701F32" w14:paraId="459844BE"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300ABB1"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Obligaciones negociables emitidas </w:t>
            </w:r>
          </w:p>
        </w:tc>
        <w:tc>
          <w:tcPr>
            <w:tcW w:w="992" w:type="dxa"/>
            <w:tcBorders>
              <w:top w:val="nil"/>
              <w:left w:val="nil"/>
              <w:bottom w:val="nil"/>
              <w:right w:val="single" w:sz="4" w:space="0" w:color="auto"/>
            </w:tcBorders>
            <w:shd w:val="clear" w:color="auto" w:fill="auto"/>
            <w:noWrap/>
            <w:vAlign w:val="center"/>
            <w:hideMark/>
          </w:tcPr>
          <w:p w14:paraId="6BC76224"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5B0CEBCC"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19BEE088"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1.069.851</w:t>
            </w:r>
          </w:p>
        </w:tc>
        <w:tc>
          <w:tcPr>
            <w:tcW w:w="1043" w:type="dxa"/>
            <w:tcBorders>
              <w:top w:val="nil"/>
              <w:left w:val="nil"/>
              <w:bottom w:val="nil"/>
              <w:right w:val="single" w:sz="4" w:space="0" w:color="auto"/>
            </w:tcBorders>
            <w:shd w:val="clear" w:color="auto" w:fill="auto"/>
            <w:noWrap/>
            <w:vAlign w:val="center"/>
            <w:hideMark/>
          </w:tcPr>
          <w:p w14:paraId="4AB878B4" w14:textId="77777777" w:rsidR="00BD0DC8"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21FB6D2E"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1.069.851</w:t>
            </w:r>
          </w:p>
        </w:tc>
      </w:tr>
      <w:tr w:rsidR="00BD0DC8" w:rsidRPr="00701F32" w14:paraId="62D70202"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7D920E5A"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Pasivo por impuestos a las ganancias corriente </w:t>
            </w:r>
          </w:p>
        </w:tc>
        <w:tc>
          <w:tcPr>
            <w:tcW w:w="992" w:type="dxa"/>
            <w:tcBorders>
              <w:top w:val="nil"/>
              <w:left w:val="nil"/>
              <w:bottom w:val="nil"/>
              <w:right w:val="single" w:sz="4" w:space="0" w:color="auto"/>
            </w:tcBorders>
            <w:shd w:val="clear" w:color="auto" w:fill="auto"/>
            <w:noWrap/>
            <w:vAlign w:val="center"/>
            <w:hideMark/>
          </w:tcPr>
          <w:p w14:paraId="673D9106"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3FF1769C"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2D6019F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431.753</w:t>
            </w:r>
          </w:p>
        </w:tc>
        <w:tc>
          <w:tcPr>
            <w:tcW w:w="1043" w:type="dxa"/>
            <w:tcBorders>
              <w:top w:val="nil"/>
              <w:left w:val="nil"/>
              <w:bottom w:val="nil"/>
              <w:right w:val="single" w:sz="4" w:space="0" w:color="auto"/>
            </w:tcBorders>
            <w:shd w:val="clear" w:color="auto" w:fill="auto"/>
            <w:noWrap/>
            <w:vAlign w:val="center"/>
            <w:hideMark/>
          </w:tcPr>
          <w:p w14:paraId="5ACFC8CE" w14:textId="77777777" w:rsidR="00BD0DC8"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70575EA6"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431.753</w:t>
            </w:r>
          </w:p>
        </w:tc>
      </w:tr>
      <w:tr w:rsidR="00BD0DC8" w:rsidRPr="00701F32" w14:paraId="543FBB93"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6D7502BB"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pasivos no financieros </w:t>
            </w:r>
          </w:p>
        </w:tc>
        <w:tc>
          <w:tcPr>
            <w:tcW w:w="992" w:type="dxa"/>
            <w:tcBorders>
              <w:top w:val="nil"/>
              <w:left w:val="nil"/>
              <w:bottom w:val="nil"/>
              <w:right w:val="single" w:sz="4" w:space="0" w:color="auto"/>
            </w:tcBorders>
            <w:shd w:val="clear" w:color="auto" w:fill="auto"/>
            <w:noWrap/>
            <w:vAlign w:val="center"/>
            <w:hideMark/>
          </w:tcPr>
          <w:p w14:paraId="3CF6B160"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h, l</w:t>
            </w:r>
          </w:p>
        </w:tc>
        <w:tc>
          <w:tcPr>
            <w:tcW w:w="1337" w:type="dxa"/>
            <w:tcBorders>
              <w:top w:val="nil"/>
              <w:left w:val="nil"/>
              <w:bottom w:val="nil"/>
              <w:right w:val="single" w:sz="4" w:space="0" w:color="auto"/>
            </w:tcBorders>
            <w:shd w:val="clear" w:color="auto" w:fill="auto"/>
            <w:noWrap/>
            <w:vAlign w:val="center"/>
            <w:hideMark/>
          </w:tcPr>
          <w:p w14:paraId="5EFF8A03" w14:textId="77777777" w:rsidR="00BD0DC8" w:rsidRPr="00701F32" w:rsidRDefault="00CB22DF" w:rsidP="00F80107">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r w:rsidR="00BD0DC8" w:rsidRPr="00701F32">
              <w:rPr>
                <w:rFonts w:ascii="Arial" w:hAnsi="Arial" w:cs="Arial"/>
                <w:color w:val="000000"/>
                <w:sz w:val="16"/>
                <w:szCs w:val="16"/>
                <w:lang w:eastAsia="es-AR"/>
              </w:rPr>
              <w:t> </w:t>
            </w:r>
          </w:p>
        </w:tc>
        <w:tc>
          <w:tcPr>
            <w:tcW w:w="1340" w:type="dxa"/>
            <w:tcBorders>
              <w:top w:val="nil"/>
              <w:left w:val="nil"/>
              <w:bottom w:val="nil"/>
              <w:right w:val="single" w:sz="4" w:space="0" w:color="auto"/>
            </w:tcBorders>
            <w:shd w:val="clear" w:color="auto" w:fill="auto"/>
            <w:noWrap/>
            <w:vAlign w:val="center"/>
            <w:hideMark/>
          </w:tcPr>
          <w:p w14:paraId="0C5E82A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1.439.582</w:t>
            </w:r>
          </w:p>
        </w:tc>
        <w:tc>
          <w:tcPr>
            <w:tcW w:w="1043" w:type="dxa"/>
            <w:tcBorders>
              <w:top w:val="nil"/>
              <w:left w:val="nil"/>
              <w:bottom w:val="nil"/>
              <w:right w:val="single" w:sz="4" w:space="0" w:color="auto"/>
            </w:tcBorders>
            <w:shd w:val="clear" w:color="auto" w:fill="auto"/>
            <w:noWrap/>
            <w:vAlign w:val="center"/>
            <w:hideMark/>
          </w:tcPr>
          <w:p w14:paraId="20C6701F"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547.731</w:t>
            </w:r>
          </w:p>
        </w:tc>
        <w:tc>
          <w:tcPr>
            <w:tcW w:w="1305" w:type="dxa"/>
            <w:tcBorders>
              <w:top w:val="nil"/>
              <w:left w:val="nil"/>
              <w:bottom w:val="nil"/>
              <w:right w:val="single" w:sz="8" w:space="0" w:color="auto"/>
            </w:tcBorders>
            <w:shd w:val="clear" w:color="auto" w:fill="auto"/>
            <w:noWrap/>
            <w:vAlign w:val="center"/>
            <w:hideMark/>
          </w:tcPr>
          <w:p w14:paraId="77C824FB"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1.987.313</w:t>
            </w:r>
          </w:p>
        </w:tc>
      </w:tr>
      <w:tr w:rsidR="00BD0DC8" w:rsidRPr="00701F32" w14:paraId="52CFE539" w14:textId="77777777" w:rsidTr="00393CEB">
        <w:trPr>
          <w:trHeight w:val="120"/>
        </w:trPr>
        <w:tc>
          <w:tcPr>
            <w:tcW w:w="389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0BE320" w14:textId="77777777" w:rsidR="00BD0DC8" w:rsidRPr="00701F32" w:rsidRDefault="00BD0DC8">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de</w:t>
            </w:r>
            <w:r w:rsidR="002A3A8E" w:rsidRPr="00701F32">
              <w:rPr>
                <w:rFonts w:ascii="Arial" w:hAnsi="Arial" w:cs="Arial"/>
                <w:b/>
                <w:bCs/>
                <w:color w:val="000000"/>
                <w:sz w:val="16"/>
                <w:szCs w:val="16"/>
                <w:lang w:eastAsia="es-AR"/>
              </w:rPr>
              <w:t>l Pasivo al 01/01/2017</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150B9B" w14:textId="77777777" w:rsidR="00BD0DC8" w:rsidRPr="00701F32" w:rsidRDefault="00BD0DC8" w:rsidP="00F80107">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14:paraId="456B1000" w14:textId="77777777" w:rsidR="00BD0DC8" w:rsidRPr="00701F32" w:rsidRDefault="00BD0DC8" w:rsidP="00F80107">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42.859.679 </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14:paraId="3751AFE9"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-157.038</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53D6444D"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778.860</w:t>
            </w:r>
          </w:p>
        </w:tc>
        <w:tc>
          <w:tcPr>
            <w:tcW w:w="1305" w:type="dxa"/>
            <w:tcBorders>
              <w:top w:val="single" w:sz="8" w:space="0" w:color="auto"/>
              <w:left w:val="nil"/>
              <w:bottom w:val="single" w:sz="8" w:space="0" w:color="auto"/>
              <w:right w:val="single" w:sz="8" w:space="0" w:color="auto"/>
            </w:tcBorders>
            <w:shd w:val="clear" w:color="auto" w:fill="auto"/>
            <w:noWrap/>
            <w:vAlign w:val="center"/>
            <w:hideMark/>
          </w:tcPr>
          <w:p w14:paraId="5E0722D3"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43.481.501</w:t>
            </w:r>
          </w:p>
        </w:tc>
      </w:tr>
      <w:tr w:rsidR="00BD0DC8" w:rsidRPr="00701F32" w14:paraId="761F3CD0"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0C999D1E"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Capital, aportes y reservas </w:t>
            </w:r>
          </w:p>
        </w:tc>
        <w:tc>
          <w:tcPr>
            <w:tcW w:w="992" w:type="dxa"/>
            <w:tcBorders>
              <w:top w:val="nil"/>
              <w:left w:val="nil"/>
              <w:bottom w:val="nil"/>
              <w:right w:val="single" w:sz="4" w:space="0" w:color="auto"/>
            </w:tcBorders>
            <w:shd w:val="clear" w:color="auto" w:fill="auto"/>
            <w:noWrap/>
            <w:vAlign w:val="center"/>
            <w:hideMark/>
          </w:tcPr>
          <w:p w14:paraId="7C2D4077"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nil"/>
              <w:right w:val="single" w:sz="4" w:space="0" w:color="auto"/>
            </w:tcBorders>
            <w:shd w:val="clear" w:color="auto" w:fill="auto"/>
            <w:noWrap/>
            <w:vAlign w:val="center"/>
            <w:hideMark/>
          </w:tcPr>
          <w:p w14:paraId="6F0F1AC0" w14:textId="77777777" w:rsidR="00BD0DC8" w:rsidRPr="00701F32" w:rsidRDefault="00BD0DC8" w:rsidP="00712ADC">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 xml:space="preserve">   4.945.610 </w:t>
            </w:r>
          </w:p>
        </w:tc>
        <w:tc>
          <w:tcPr>
            <w:tcW w:w="1340" w:type="dxa"/>
            <w:tcBorders>
              <w:top w:val="nil"/>
              <w:left w:val="nil"/>
              <w:bottom w:val="nil"/>
              <w:right w:val="single" w:sz="4" w:space="0" w:color="auto"/>
            </w:tcBorders>
            <w:shd w:val="clear" w:color="auto" w:fill="auto"/>
            <w:noWrap/>
            <w:vAlign w:val="center"/>
            <w:hideMark/>
          </w:tcPr>
          <w:p w14:paraId="31822BF7"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69DD7214" w14:textId="77777777" w:rsidR="00BD0DC8"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305" w:type="dxa"/>
            <w:tcBorders>
              <w:top w:val="nil"/>
              <w:left w:val="nil"/>
              <w:bottom w:val="nil"/>
              <w:right w:val="single" w:sz="8" w:space="0" w:color="auto"/>
            </w:tcBorders>
            <w:shd w:val="clear" w:color="auto" w:fill="auto"/>
            <w:noWrap/>
            <w:vAlign w:val="center"/>
            <w:hideMark/>
          </w:tcPr>
          <w:p w14:paraId="6F6E50D0"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4.945.610</w:t>
            </w:r>
          </w:p>
        </w:tc>
      </w:tr>
      <w:tr w:rsidR="00BD0DC8" w:rsidRPr="00701F32" w14:paraId="52480878" w14:textId="77777777" w:rsidTr="0086282C">
        <w:trPr>
          <w:trHeight w:val="300"/>
        </w:trPr>
        <w:tc>
          <w:tcPr>
            <w:tcW w:w="3898" w:type="dxa"/>
            <w:tcBorders>
              <w:top w:val="nil"/>
              <w:left w:val="single" w:sz="8" w:space="0" w:color="auto"/>
              <w:bottom w:val="nil"/>
              <w:right w:val="single" w:sz="4" w:space="0" w:color="auto"/>
            </w:tcBorders>
            <w:shd w:val="clear" w:color="auto" w:fill="auto"/>
            <w:noWrap/>
            <w:vAlign w:val="center"/>
            <w:hideMark/>
          </w:tcPr>
          <w:p w14:paraId="276CDE24"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resultados integrales acumulados </w:t>
            </w:r>
          </w:p>
        </w:tc>
        <w:tc>
          <w:tcPr>
            <w:tcW w:w="992" w:type="dxa"/>
            <w:tcBorders>
              <w:top w:val="nil"/>
              <w:left w:val="nil"/>
              <w:bottom w:val="nil"/>
              <w:right w:val="single" w:sz="4" w:space="0" w:color="auto"/>
            </w:tcBorders>
            <w:shd w:val="clear" w:color="auto" w:fill="auto"/>
            <w:noWrap/>
            <w:vAlign w:val="center"/>
            <w:hideMark/>
          </w:tcPr>
          <w:p w14:paraId="1692D82F"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d, e, j</w:t>
            </w:r>
          </w:p>
        </w:tc>
        <w:tc>
          <w:tcPr>
            <w:tcW w:w="1337" w:type="dxa"/>
            <w:tcBorders>
              <w:top w:val="nil"/>
              <w:left w:val="nil"/>
              <w:bottom w:val="nil"/>
              <w:right w:val="single" w:sz="4" w:space="0" w:color="auto"/>
            </w:tcBorders>
            <w:shd w:val="clear" w:color="auto" w:fill="auto"/>
            <w:noWrap/>
            <w:vAlign w:val="center"/>
            <w:hideMark/>
          </w:tcPr>
          <w:p w14:paraId="1A7C3308" w14:textId="77777777" w:rsidR="00BD0DC8" w:rsidRPr="00701F32" w:rsidRDefault="00BD0DC8" w:rsidP="00712ADC">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 xml:space="preserve">                -   </w:t>
            </w:r>
          </w:p>
        </w:tc>
        <w:tc>
          <w:tcPr>
            <w:tcW w:w="1340" w:type="dxa"/>
            <w:tcBorders>
              <w:top w:val="nil"/>
              <w:left w:val="nil"/>
              <w:bottom w:val="nil"/>
              <w:right w:val="single" w:sz="4" w:space="0" w:color="auto"/>
            </w:tcBorders>
            <w:shd w:val="clear" w:color="auto" w:fill="auto"/>
            <w:noWrap/>
            <w:vAlign w:val="center"/>
            <w:hideMark/>
          </w:tcPr>
          <w:p w14:paraId="29BE76F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nil"/>
              <w:right w:val="single" w:sz="4" w:space="0" w:color="auto"/>
            </w:tcBorders>
            <w:shd w:val="clear" w:color="auto" w:fill="auto"/>
            <w:noWrap/>
            <w:vAlign w:val="center"/>
            <w:hideMark/>
          </w:tcPr>
          <w:p w14:paraId="0AE709B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77.797</w:t>
            </w:r>
          </w:p>
        </w:tc>
        <w:tc>
          <w:tcPr>
            <w:tcW w:w="1305" w:type="dxa"/>
            <w:tcBorders>
              <w:top w:val="nil"/>
              <w:left w:val="nil"/>
              <w:bottom w:val="nil"/>
              <w:right w:val="single" w:sz="8" w:space="0" w:color="auto"/>
            </w:tcBorders>
            <w:shd w:val="clear" w:color="auto" w:fill="auto"/>
            <w:noWrap/>
            <w:vAlign w:val="center"/>
            <w:hideMark/>
          </w:tcPr>
          <w:p w14:paraId="5C6CBAD3"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77.797</w:t>
            </w:r>
          </w:p>
        </w:tc>
      </w:tr>
      <w:tr w:rsidR="00BD0DC8" w:rsidRPr="00701F32" w14:paraId="57718EC3" w14:textId="77777777" w:rsidTr="0086282C">
        <w:trPr>
          <w:trHeight w:val="300"/>
        </w:trPr>
        <w:tc>
          <w:tcPr>
            <w:tcW w:w="3898" w:type="dxa"/>
            <w:tcBorders>
              <w:top w:val="nil"/>
              <w:left w:val="single" w:sz="8" w:space="0" w:color="auto"/>
              <w:bottom w:val="single" w:sz="4" w:space="0" w:color="auto"/>
              <w:right w:val="single" w:sz="4" w:space="0" w:color="auto"/>
            </w:tcBorders>
            <w:shd w:val="clear" w:color="auto" w:fill="auto"/>
            <w:noWrap/>
            <w:vAlign w:val="center"/>
            <w:hideMark/>
          </w:tcPr>
          <w:p w14:paraId="3079B8F0" w14:textId="77777777" w:rsidR="00BD0DC8" w:rsidRPr="00701F32" w:rsidRDefault="00BD0DC8" w:rsidP="00F80107">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Resultados no asignados </w:t>
            </w:r>
          </w:p>
        </w:tc>
        <w:tc>
          <w:tcPr>
            <w:tcW w:w="992" w:type="dxa"/>
            <w:tcBorders>
              <w:top w:val="nil"/>
              <w:left w:val="nil"/>
              <w:bottom w:val="single" w:sz="4" w:space="0" w:color="auto"/>
              <w:right w:val="single" w:sz="4" w:space="0" w:color="auto"/>
            </w:tcBorders>
            <w:shd w:val="clear" w:color="auto" w:fill="auto"/>
            <w:noWrap/>
            <w:vAlign w:val="center"/>
            <w:hideMark/>
          </w:tcPr>
          <w:p w14:paraId="48B8A4C1" w14:textId="77777777" w:rsidR="00BD0DC8" w:rsidRPr="00701F32" w:rsidRDefault="00BD0DC8" w:rsidP="00F80107">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337" w:type="dxa"/>
            <w:tcBorders>
              <w:top w:val="nil"/>
              <w:left w:val="nil"/>
              <w:bottom w:val="single" w:sz="4" w:space="0" w:color="auto"/>
              <w:right w:val="single" w:sz="4" w:space="0" w:color="auto"/>
            </w:tcBorders>
            <w:shd w:val="clear" w:color="auto" w:fill="auto"/>
            <w:noWrap/>
            <w:vAlign w:val="center"/>
            <w:hideMark/>
          </w:tcPr>
          <w:p w14:paraId="6E956A95" w14:textId="77777777" w:rsidR="00BD0DC8" w:rsidRPr="00701F32" w:rsidRDefault="00BD0DC8" w:rsidP="00712ADC">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 xml:space="preserve">      925.349 </w:t>
            </w:r>
          </w:p>
        </w:tc>
        <w:tc>
          <w:tcPr>
            <w:tcW w:w="1340" w:type="dxa"/>
            <w:tcBorders>
              <w:top w:val="nil"/>
              <w:left w:val="nil"/>
              <w:bottom w:val="single" w:sz="4" w:space="0" w:color="auto"/>
              <w:right w:val="single" w:sz="4" w:space="0" w:color="auto"/>
            </w:tcBorders>
            <w:shd w:val="clear" w:color="auto" w:fill="auto"/>
            <w:noWrap/>
            <w:vAlign w:val="center"/>
            <w:hideMark/>
          </w:tcPr>
          <w:p w14:paraId="7526DA99"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043" w:type="dxa"/>
            <w:tcBorders>
              <w:top w:val="nil"/>
              <w:left w:val="nil"/>
              <w:bottom w:val="single" w:sz="4" w:space="0" w:color="auto"/>
              <w:right w:val="single" w:sz="4" w:space="0" w:color="auto"/>
            </w:tcBorders>
            <w:shd w:val="clear" w:color="auto" w:fill="auto"/>
            <w:noWrap/>
            <w:vAlign w:val="center"/>
            <w:hideMark/>
          </w:tcPr>
          <w:p w14:paraId="6E9D252D"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-298.290</w:t>
            </w:r>
          </w:p>
        </w:tc>
        <w:tc>
          <w:tcPr>
            <w:tcW w:w="1305" w:type="dxa"/>
            <w:tcBorders>
              <w:top w:val="nil"/>
              <w:left w:val="nil"/>
              <w:bottom w:val="single" w:sz="4" w:space="0" w:color="auto"/>
              <w:right w:val="single" w:sz="8" w:space="0" w:color="auto"/>
            </w:tcBorders>
            <w:shd w:val="clear" w:color="auto" w:fill="auto"/>
            <w:noWrap/>
            <w:vAlign w:val="center"/>
            <w:hideMark/>
          </w:tcPr>
          <w:p w14:paraId="1DA82A75" w14:textId="77777777" w:rsidR="00BD0DC8" w:rsidRPr="00701F32" w:rsidRDefault="00BD0DC8"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627.059</w:t>
            </w:r>
          </w:p>
        </w:tc>
      </w:tr>
      <w:tr w:rsidR="00BD0DC8" w:rsidRPr="00701F32" w14:paraId="6A5746C5" w14:textId="77777777" w:rsidTr="00393CEB">
        <w:trPr>
          <w:trHeight w:val="190"/>
        </w:trPr>
        <w:tc>
          <w:tcPr>
            <w:tcW w:w="3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EBAE3" w14:textId="77777777" w:rsidR="00BD0DC8" w:rsidRPr="00701F32" w:rsidRDefault="00BD0DC8" w:rsidP="00F80107">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Patrimonio neto al 01/01/2017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AD46D75" w14:textId="77777777" w:rsidR="00BD0DC8" w:rsidRPr="00701F32" w:rsidRDefault="00BD0DC8" w:rsidP="00F80107">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3277F6EC" w14:textId="77777777" w:rsidR="00BD0DC8" w:rsidRPr="00701F32" w:rsidRDefault="00BD0DC8" w:rsidP="00712ADC">
            <w:pPr>
              <w:jc w:val="right"/>
              <w:rPr>
                <w:rFonts w:ascii="Arial" w:hAnsi="Arial" w:cs="Arial"/>
                <w:b/>
                <w:bCs/>
                <w:color w:val="000000"/>
                <w:sz w:val="16"/>
                <w:szCs w:val="16"/>
                <w:lang w:val="es-ES_tradnl" w:eastAsia="es-AR"/>
              </w:rPr>
            </w:pPr>
            <w:r w:rsidRPr="00701F32">
              <w:rPr>
                <w:rFonts w:ascii="Arial" w:hAnsi="Arial" w:cs="Arial"/>
                <w:b/>
                <w:bCs/>
                <w:color w:val="000000"/>
                <w:sz w:val="16"/>
                <w:szCs w:val="16"/>
                <w:lang w:eastAsia="es-AR"/>
              </w:rPr>
              <w:t xml:space="preserve">   5.870.959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F489845"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5F06756B"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-220.493</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15D3685C" w14:textId="77777777" w:rsidR="00BD0DC8" w:rsidRPr="00701F32" w:rsidRDefault="00BD0DC8"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5.650.466</w:t>
            </w:r>
          </w:p>
        </w:tc>
      </w:tr>
    </w:tbl>
    <w:p w14:paraId="3142D9FF" w14:textId="77777777" w:rsidR="00BD0DC8" w:rsidRPr="00701F32" w:rsidRDefault="00BD0DC8" w:rsidP="00BD0DC8">
      <w:pPr>
        <w:keepNext/>
        <w:keepLines/>
        <w:spacing w:before="40"/>
        <w:ind w:left="720" w:hanging="720"/>
        <w:outlineLvl w:val="1"/>
        <w:rPr>
          <w:rFonts w:ascii="Arial" w:hAnsi="Arial" w:cs="Arial"/>
          <w:sz w:val="20"/>
        </w:rPr>
      </w:pPr>
    </w:p>
    <w:p w14:paraId="6CB1CAB9" w14:textId="77777777" w:rsidR="00BD0DC8" w:rsidRPr="00701F32" w:rsidRDefault="00BD0DC8" w:rsidP="00C21A91">
      <w:pPr>
        <w:keepNext/>
        <w:keepLines/>
        <w:spacing w:before="40"/>
        <w:ind w:firstLine="2"/>
        <w:jc w:val="both"/>
        <w:outlineLvl w:val="1"/>
        <w:rPr>
          <w:rFonts w:ascii="Arial" w:hAnsi="Arial" w:cs="Arial"/>
          <w:sz w:val="20"/>
        </w:rPr>
      </w:pPr>
      <w:r w:rsidRPr="00701F32">
        <w:rPr>
          <w:rFonts w:ascii="Arial" w:hAnsi="Arial" w:cs="Arial"/>
          <w:sz w:val="20"/>
        </w:rPr>
        <w:t xml:space="preserve">2.1.2. </w:t>
      </w:r>
      <w:r w:rsidR="00C21A91" w:rsidRPr="00701F32">
        <w:rPr>
          <w:rFonts w:ascii="Arial" w:hAnsi="Arial" w:cs="Arial"/>
          <w:sz w:val="20"/>
        </w:rPr>
        <w:t>Conciliación del resultado neto por el ejercicio finalizado el 31 de diciembre de 2017 y el período finalizado el 3</w:t>
      </w:r>
      <w:r w:rsidR="004963DF" w:rsidRPr="00701F32">
        <w:rPr>
          <w:rFonts w:ascii="Arial" w:hAnsi="Arial" w:cs="Arial"/>
          <w:sz w:val="20"/>
        </w:rPr>
        <w:t>0</w:t>
      </w:r>
      <w:r w:rsidR="00C21A91" w:rsidRPr="00701F32">
        <w:rPr>
          <w:rFonts w:ascii="Arial" w:hAnsi="Arial" w:cs="Arial"/>
          <w:sz w:val="20"/>
        </w:rPr>
        <w:t xml:space="preserve"> de </w:t>
      </w:r>
      <w:r w:rsidR="00837BEB" w:rsidRPr="00701F32">
        <w:rPr>
          <w:rFonts w:ascii="Arial" w:hAnsi="Arial" w:cs="Arial"/>
          <w:sz w:val="20"/>
        </w:rPr>
        <w:t>septiembre</w:t>
      </w:r>
      <w:r w:rsidR="00C21A91" w:rsidRPr="00701F32">
        <w:rPr>
          <w:rFonts w:ascii="Arial" w:hAnsi="Arial" w:cs="Arial"/>
          <w:sz w:val="20"/>
        </w:rPr>
        <w:t xml:space="preserve"> de 2017</w:t>
      </w:r>
    </w:p>
    <w:p w14:paraId="7BBB1928" w14:textId="77777777" w:rsidR="003C6E91" w:rsidRPr="00701F32" w:rsidRDefault="003C6E91" w:rsidP="00BD0DC8">
      <w:pPr>
        <w:keepNext/>
        <w:keepLines/>
        <w:spacing w:before="40"/>
        <w:ind w:left="1416" w:hanging="1416"/>
        <w:jc w:val="both"/>
        <w:outlineLvl w:val="1"/>
        <w:rPr>
          <w:rFonts w:ascii="Arial" w:hAnsi="Arial" w:cs="Arial"/>
          <w:sz w:val="20"/>
        </w:rPr>
      </w:pPr>
    </w:p>
    <w:tbl>
      <w:tblPr>
        <w:tblW w:w="9987" w:type="dxa"/>
        <w:tblInd w:w="-72" w:type="dxa"/>
        <w:tblCellMar>
          <w:left w:w="70" w:type="dxa"/>
          <w:right w:w="70" w:type="dxa"/>
        </w:tblCellMar>
        <w:tblLook w:val="04A0" w:firstRow="1" w:lastRow="0" w:firstColumn="1" w:lastColumn="0" w:noHBand="0" w:noVBand="1"/>
      </w:tblPr>
      <w:tblGrid>
        <w:gridCol w:w="3970"/>
        <w:gridCol w:w="850"/>
        <w:gridCol w:w="1134"/>
        <w:gridCol w:w="1559"/>
        <w:gridCol w:w="1276"/>
        <w:gridCol w:w="1198"/>
      </w:tblGrid>
      <w:tr w:rsidR="00351646" w:rsidRPr="00701F32" w14:paraId="2929FD47" w14:textId="77777777" w:rsidTr="0086282C">
        <w:trPr>
          <w:trHeight w:val="285"/>
          <w:tblHeader/>
        </w:trPr>
        <w:tc>
          <w:tcPr>
            <w:tcW w:w="39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120C5"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Estado de Resultados al 31/12/2017</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33130E8B"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D21B053"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0766B73"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2A04C1AB"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198" w:type="dxa"/>
            <w:tcBorders>
              <w:top w:val="single" w:sz="8" w:space="0" w:color="auto"/>
              <w:left w:val="nil"/>
              <w:bottom w:val="single" w:sz="8" w:space="0" w:color="auto"/>
              <w:right w:val="single" w:sz="8" w:space="0" w:color="auto"/>
            </w:tcBorders>
            <w:shd w:val="clear" w:color="auto" w:fill="auto"/>
            <w:noWrap/>
            <w:vAlign w:val="center"/>
            <w:hideMark/>
          </w:tcPr>
          <w:p w14:paraId="13867B04" w14:textId="77777777" w:rsidR="00A85D3C" w:rsidRPr="00701F32" w:rsidRDefault="00A85D3C" w:rsidP="00A85D3C">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351646" w:rsidRPr="00701F32" w14:paraId="7980DC6F"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4AE668CE"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financieros </w:t>
            </w:r>
          </w:p>
        </w:tc>
        <w:tc>
          <w:tcPr>
            <w:tcW w:w="850" w:type="dxa"/>
            <w:tcBorders>
              <w:top w:val="nil"/>
              <w:left w:val="single" w:sz="8" w:space="0" w:color="auto"/>
              <w:bottom w:val="nil"/>
              <w:right w:val="nil"/>
            </w:tcBorders>
            <w:shd w:val="clear" w:color="auto" w:fill="auto"/>
            <w:noWrap/>
            <w:vAlign w:val="center"/>
            <w:hideMark/>
          </w:tcPr>
          <w:p w14:paraId="044F82C7"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7958BAE5"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12.167.106</w:t>
            </w:r>
          </w:p>
        </w:tc>
        <w:tc>
          <w:tcPr>
            <w:tcW w:w="1559" w:type="dxa"/>
            <w:tcBorders>
              <w:top w:val="nil"/>
              <w:left w:val="single" w:sz="8" w:space="0" w:color="auto"/>
              <w:bottom w:val="nil"/>
              <w:right w:val="single" w:sz="8" w:space="0" w:color="auto"/>
            </w:tcBorders>
            <w:shd w:val="clear" w:color="auto" w:fill="auto"/>
            <w:noWrap/>
            <w:vAlign w:val="center"/>
            <w:hideMark/>
          </w:tcPr>
          <w:p w14:paraId="5C06E2A5"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-12.167.106</w:t>
            </w:r>
          </w:p>
        </w:tc>
        <w:tc>
          <w:tcPr>
            <w:tcW w:w="1276" w:type="dxa"/>
            <w:tcBorders>
              <w:top w:val="nil"/>
              <w:left w:val="nil"/>
              <w:bottom w:val="nil"/>
              <w:right w:val="single" w:sz="8" w:space="0" w:color="auto"/>
            </w:tcBorders>
            <w:shd w:val="clear" w:color="auto" w:fill="auto"/>
            <w:noWrap/>
            <w:vAlign w:val="center"/>
            <w:hideMark/>
          </w:tcPr>
          <w:p w14:paraId="0F31ACBC"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7FBC6523"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3B9CC3BD"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5F957DBE"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financieros </w:t>
            </w:r>
          </w:p>
        </w:tc>
        <w:tc>
          <w:tcPr>
            <w:tcW w:w="850" w:type="dxa"/>
            <w:tcBorders>
              <w:top w:val="nil"/>
              <w:left w:val="single" w:sz="8" w:space="0" w:color="auto"/>
              <w:bottom w:val="nil"/>
              <w:right w:val="nil"/>
            </w:tcBorders>
            <w:shd w:val="clear" w:color="auto" w:fill="auto"/>
            <w:noWrap/>
            <w:vAlign w:val="center"/>
            <w:hideMark/>
          </w:tcPr>
          <w:p w14:paraId="0505BFC3"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489A583B"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5.284.236</w:t>
            </w:r>
          </w:p>
        </w:tc>
        <w:tc>
          <w:tcPr>
            <w:tcW w:w="1559" w:type="dxa"/>
            <w:tcBorders>
              <w:top w:val="nil"/>
              <w:left w:val="single" w:sz="8" w:space="0" w:color="auto"/>
              <w:bottom w:val="nil"/>
              <w:right w:val="single" w:sz="8" w:space="0" w:color="auto"/>
            </w:tcBorders>
            <w:shd w:val="clear" w:color="auto" w:fill="auto"/>
            <w:noWrap/>
            <w:vAlign w:val="center"/>
            <w:hideMark/>
          </w:tcPr>
          <w:p w14:paraId="6437B8B5"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-5.284.236</w:t>
            </w:r>
          </w:p>
        </w:tc>
        <w:tc>
          <w:tcPr>
            <w:tcW w:w="1276" w:type="dxa"/>
            <w:tcBorders>
              <w:top w:val="nil"/>
              <w:left w:val="nil"/>
              <w:bottom w:val="nil"/>
              <w:right w:val="single" w:sz="8" w:space="0" w:color="auto"/>
            </w:tcBorders>
            <w:shd w:val="clear" w:color="auto" w:fill="auto"/>
            <w:noWrap/>
            <w:vAlign w:val="center"/>
            <w:hideMark/>
          </w:tcPr>
          <w:p w14:paraId="48B5D976"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0364585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40967D77"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080DF8DD"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Cargo por incobrabilidad </w:t>
            </w:r>
          </w:p>
        </w:tc>
        <w:tc>
          <w:tcPr>
            <w:tcW w:w="850" w:type="dxa"/>
            <w:tcBorders>
              <w:top w:val="nil"/>
              <w:left w:val="single" w:sz="8" w:space="0" w:color="auto"/>
              <w:bottom w:val="nil"/>
              <w:right w:val="nil"/>
            </w:tcBorders>
            <w:shd w:val="clear" w:color="auto" w:fill="auto"/>
            <w:noWrap/>
            <w:vAlign w:val="center"/>
            <w:hideMark/>
          </w:tcPr>
          <w:p w14:paraId="1B10E98A"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m</w:t>
            </w:r>
          </w:p>
        </w:tc>
        <w:tc>
          <w:tcPr>
            <w:tcW w:w="1134" w:type="dxa"/>
            <w:tcBorders>
              <w:top w:val="nil"/>
              <w:left w:val="single" w:sz="8" w:space="0" w:color="auto"/>
              <w:bottom w:val="nil"/>
              <w:right w:val="nil"/>
            </w:tcBorders>
            <w:shd w:val="clear" w:color="auto" w:fill="auto"/>
            <w:noWrap/>
            <w:vAlign w:val="center"/>
            <w:hideMark/>
          </w:tcPr>
          <w:p w14:paraId="72DC0FE6"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894.238</w:t>
            </w:r>
          </w:p>
        </w:tc>
        <w:tc>
          <w:tcPr>
            <w:tcW w:w="1559" w:type="dxa"/>
            <w:tcBorders>
              <w:top w:val="nil"/>
              <w:left w:val="single" w:sz="8" w:space="0" w:color="auto"/>
              <w:bottom w:val="nil"/>
              <w:right w:val="single" w:sz="8" w:space="0" w:color="auto"/>
            </w:tcBorders>
            <w:shd w:val="clear" w:color="auto" w:fill="auto"/>
            <w:noWrap/>
            <w:vAlign w:val="center"/>
            <w:hideMark/>
          </w:tcPr>
          <w:p w14:paraId="7F5AD04E"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26.742</w:t>
            </w:r>
          </w:p>
        </w:tc>
        <w:tc>
          <w:tcPr>
            <w:tcW w:w="1276" w:type="dxa"/>
            <w:tcBorders>
              <w:top w:val="nil"/>
              <w:left w:val="nil"/>
              <w:bottom w:val="nil"/>
              <w:right w:val="single" w:sz="8" w:space="0" w:color="auto"/>
            </w:tcBorders>
            <w:shd w:val="clear" w:color="auto" w:fill="auto"/>
            <w:noWrap/>
            <w:vAlign w:val="center"/>
            <w:hideMark/>
          </w:tcPr>
          <w:p w14:paraId="59F633F3"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5533D59B"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920.980</w:t>
            </w:r>
          </w:p>
        </w:tc>
      </w:tr>
      <w:tr w:rsidR="00351646" w:rsidRPr="00701F32" w14:paraId="493A7DFD"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6858161F"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servicios </w:t>
            </w:r>
          </w:p>
        </w:tc>
        <w:tc>
          <w:tcPr>
            <w:tcW w:w="850" w:type="dxa"/>
            <w:tcBorders>
              <w:top w:val="nil"/>
              <w:left w:val="single" w:sz="8" w:space="0" w:color="auto"/>
              <w:bottom w:val="nil"/>
              <w:right w:val="nil"/>
            </w:tcBorders>
            <w:shd w:val="clear" w:color="auto" w:fill="auto"/>
            <w:noWrap/>
            <w:vAlign w:val="center"/>
            <w:hideMark/>
          </w:tcPr>
          <w:p w14:paraId="16557F94"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690BFBD9"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3.706.949</w:t>
            </w:r>
          </w:p>
        </w:tc>
        <w:tc>
          <w:tcPr>
            <w:tcW w:w="1559" w:type="dxa"/>
            <w:tcBorders>
              <w:top w:val="nil"/>
              <w:left w:val="single" w:sz="8" w:space="0" w:color="auto"/>
              <w:bottom w:val="nil"/>
              <w:right w:val="single" w:sz="8" w:space="0" w:color="auto"/>
            </w:tcBorders>
            <w:shd w:val="clear" w:color="auto" w:fill="auto"/>
            <w:noWrap/>
            <w:vAlign w:val="center"/>
            <w:hideMark/>
          </w:tcPr>
          <w:p w14:paraId="0BC99EA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-3.706.949</w:t>
            </w:r>
          </w:p>
        </w:tc>
        <w:tc>
          <w:tcPr>
            <w:tcW w:w="1276" w:type="dxa"/>
            <w:tcBorders>
              <w:top w:val="nil"/>
              <w:left w:val="nil"/>
              <w:bottom w:val="nil"/>
              <w:right w:val="single" w:sz="8" w:space="0" w:color="auto"/>
            </w:tcBorders>
            <w:shd w:val="clear" w:color="auto" w:fill="auto"/>
            <w:noWrap/>
            <w:vAlign w:val="center"/>
            <w:hideMark/>
          </w:tcPr>
          <w:p w14:paraId="50D953CC"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3C70AA1A"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58765685"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640024E1"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servicios </w:t>
            </w:r>
          </w:p>
        </w:tc>
        <w:tc>
          <w:tcPr>
            <w:tcW w:w="850" w:type="dxa"/>
            <w:tcBorders>
              <w:top w:val="nil"/>
              <w:left w:val="single" w:sz="8" w:space="0" w:color="auto"/>
              <w:bottom w:val="nil"/>
              <w:right w:val="nil"/>
            </w:tcBorders>
            <w:shd w:val="clear" w:color="auto" w:fill="auto"/>
            <w:noWrap/>
            <w:vAlign w:val="center"/>
            <w:hideMark/>
          </w:tcPr>
          <w:p w14:paraId="7493C100"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6360011A"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1.302.539</w:t>
            </w:r>
          </w:p>
        </w:tc>
        <w:tc>
          <w:tcPr>
            <w:tcW w:w="1559" w:type="dxa"/>
            <w:tcBorders>
              <w:top w:val="nil"/>
              <w:left w:val="single" w:sz="8" w:space="0" w:color="auto"/>
              <w:bottom w:val="nil"/>
              <w:right w:val="single" w:sz="8" w:space="0" w:color="auto"/>
            </w:tcBorders>
            <w:shd w:val="clear" w:color="auto" w:fill="auto"/>
            <w:noWrap/>
            <w:vAlign w:val="center"/>
            <w:hideMark/>
          </w:tcPr>
          <w:p w14:paraId="7517360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-1.302.539</w:t>
            </w:r>
          </w:p>
        </w:tc>
        <w:tc>
          <w:tcPr>
            <w:tcW w:w="1276" w:type="dxa"/>
            <w:tcBorders>
              <w:top w:val="nil"/>
              <w:left w:val="nil"/>
              <w:bottom w:val="nil"/>
              <w:right w:val="single" w:sz="8" w:space="0" w:color="auto"/>
            </w:tcBorders>
            <w:shd w:val="clear" w:color="auto" w:fill="auto"/>
            <w:noWrap/>
            <w:vAlign w:val="center"/>
            <w:hideMark/>
          </w:tcPr>
          <w:p w14:paraId="1681C1B5"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0AF0F1BB"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2B08957D"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4EE20003"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Gastos de administración </w:t>
            </w:r>
          </w:p>
        </w:tc>
        <w:tc>
          <w:tcPr>
            <w:tcW w:w="850" w:type="dxa"/>
            <w:tcBorders>
              <w:top w:val="nil"/>
              <w:left w:val="single" w:sz="8" w:space="0" w:color="auto"/>
              <w:bottom w:val="nil"/>
              <w:right w:val="nil"/>
            </w:tcBorders>
            <w:shd w:val="clear" w:color="auto" w:fill="auto"/>
            <w:noWrap/>
            <w:vAlign w:val="center"/>
            <w:hideMark/>
          </w:tcPr>
          <w:p w14:paraId="4F2748CF"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3120FF3F"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6.794.266</w:t>
            </w:r>
          </w:p>
        </w:tc>
        <w:tc>
          <w:tcPr>
            <w:tcW w:w="1559" w:type="dxa"/>
            <w:tcBorders>
              <w:top w:val="nil"/>
              <w:left w:val="single" w:sz="8" w:space="0" w:color="auto"/>
              <w:bottom w:val="nil"/>
              <w:right w:val="single" w:sz="8" w:space="0" w:color="auto"/>
            </w:tcBorders>
            <w:shd w:val="clear" w:color="auto" w:fill="auto"/>
            <w:noWrap/>
            <w:vAlign w:val="center"/>
            <w:hideMark/>
          </w:tcPr>
          <w:p w14:paraId="59ECE9C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-6.794.266</w:t>
            </w:r>
          </w:p>
        </w:tc>
        <w:tc>
          <w:tcPr>
            <w:tcW w:w="1276" w:type="dxa"/>
            <w:tcBorders>
              <w:top w:val="nil"/>
              <w:left w:val="nil"/>
              <w:bottom w:val="nil"/>
              <w:right w:val="single" w:sz="8" w:space="0" w:color="auto"/>
            </w:tcBorders>
            <w:shd w:val="clear" w:color="auto" w:fill="auto"/>
            <w:noWrap/>
            <w:vAlign w:val="center"/>
            <w:hideMark/>
          </w:tcPr>
          <w:p w14:paraId="70D07118"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078F99B6"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234CAC8B"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035BA2FF"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Utilidades diversas  </w:t>
            </w:r>
          </w:p>
        </w:tc>
        <w:tc>
          <w:tcPr>
            <w:tcW w:w="850" w:type="dxa"/>
            <w:tcBorders>
              <w:top w:val="nil"/>
              <w:left w:val="single" w:sz="8" w:space="0" w:color="auto"/>
              <w:bottom w:val="nil"/>
              <w:right w:val="nil"/>
            </w:tcBorders>
            <w:shd w:val="clear" w:color="auto" w:fill="auto"/>
            <w:noWrap/>
            <w:vAlign w:val="center"/>
            <w:hideMark/>
          </w:tcPr>
          <w:p w14:paraId="6D88C828"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33739739"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592.428</w:t>
            </w:r>
          </w:p>
        </w:tc>
        <w:tc>
          <w:tcPr>
            <w:tcW w:w="1559" w:type="dxa"/>
            <w:tcBorders>
              <w:top w:val="nil"/>
              <w:left w:val="single" w:sz="8" w:space="0" w:color="auto"/>
              <w:bottom w:val="nil"/>
              <w:right w:val="single" w:sz="8" w:space="0" w:color="auto"/>
            </w:tcBorders>
            <w:shd w:val="clear" w:color="auto" w:fill="auto"/>
            <w:noWrap/>
            <w:vAlign w:val="center"/>
            <w:hideMark/>
          </w:tcPr>
          <w:p w14:paraId="747D46BC"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-592.428</w:t>
            </w:r>
          </w:p>
        </w:tc>
        <w:tc>
          <w:tcPr>
            <w:tcW w:w="1276" w:type="dxa"/>
            <w:tcBorders>
              <w:top w:val="nil"/>
              <w:left w:val="nil"/>
              <w:bottom w:val="nil"/>
              <w:right w:val="single" w:sz="8" w:space="0" w:color="auto"/>
            </w:tcBorders>
            <w:shd w:val="clear" w:color="auto" w:fill="auto"/>
            <w:noWrap/>
            <w:vAlign w:val="center"/>
            <w:hideMark/>
          </w:tcPr>
          <w:p w14:paraId="050FA31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43F18373"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3A724B51"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4F841B33"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Perdidas diversas </w:t>
            </w:r>
          </w:p>
        </w:tc>
        <w:tc>
          <w:tcPr>
            <w:tcW w:w="850" w:type="dxa"/>
            <w:tcBorders>
              <w:top w:val="nil"/>
              <w:left w:val="single" w:sz="8" w:space="0" w:color="auto"/>
              <w:bottom w:val="nil"/>
              <w:right w:val="nil"/>
            </w:tcBorders>
            <w:shd w:val="clear" w:color="auto" w:fill="auto"/>
            <w:noWrap/>
            <w:vAlign w:val="center"/>
            <w:hideMark/>
          </w:tcPr>
          <w:p w14:paraId="1A14510A"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1875BA7C"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301.735</w:t>
            </w:r>
          </w:p>
        </w:tc>
        <w:tc>
          <w:tcPr>
            <w:tcW w:w="1559" w:type="dxa"/>
            <w:tcBorders>
              <w:top w:val="nil"/>
              <w:left w:val="single" w:sz="8" w:space="0" w:color="auto"/>
              <w:bottom w:val="nil"/>
              <w:right w:val="single" w:sz="8" w:space="0" w:color="auto"/>
            </w:tcBorders>
            <w:shd w:val="clear" w:color="auto" w:fill="auto"/>
            <w:noWrap/>
            <w:vAlign w:val="center"/>
            <w:hideMark/>
          </w:tcPr>
          <w:p w14:paraId="777FF65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-301.735</w:t>
            </w:r>
          </w:p>
        </w:tc>
        <w:tc>
          <w:tcPr>
            <w:tcW w:w="1276" w:type="dxa"/>
            <w:tcBorders>
              <w:top w:val="nil"/>
              <w:left w:val="nil"/>
              <w:bottom w:val="nil"/>
              <w:right w:val="single" w:sz="8" w:space="0" w:color="auto"/>
            </w:tcBorders>
            <w:shd w:val="clear" w:color="auto" w:fill="auto"/>
            <w:noWrap/>
            <w:vAlign w:val="center"/>
            <w:hideMark/>
          </w:tcPr>
          <w:p w14:paraId="0319886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0591839A"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r>
      <w:tr w:rsidR="00351646" w:rsidRPr="00701F32" w14:paraId="7D317F2E"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4DC03EE1"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Impuesto a las ganancias </w:t>
            </w:r>
          </w:p>
        </w:tc>
        <w:tc>
          <w:tcPr>
            <w:tcW w:w="850" w:type="dxa"/>
            <w:tcBorders>
              <w:top w:val="nil"/>
              <w:left w:val="single" w:sz="8" w:space="0" w:color="auto"/>
              <w:bottom w:val="nil"/>
              <w:right w:val="nil"/>
            </w:tcBorders>
            <w:shd w:val="clear" w:color="auto" w:fill="auto"/>
            <w:noWrap/>
            <w:vAlign w:val="center"/>
            <w:hideMark/>
          </w:tcPr>
          <w:p w14:paraId="63390DD6"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j</w:t>
            </w:r>
          </w:p>
        </w:tc>
        <w:tc>
          <w:tcPr>
            <w:tcW w:w="1134" w:type="dxa"/>
            <w:tcBorders>
              <w:top w:val="nil"/>
              <w:left w:val="single" w:sz="8" w:space="0" w:color="auto"/>
              <w:bottom w:val="nil"/>
              <w:right w:val="nil"/>
            </w:tcBorders>
            <w:shd w:val="clear" w:color="auto" w:fill="auto"/>
            <w:noWrap/>
            <w:vAlign w:val="center"/>
            <w:hideMark/>
          </w:tcPr>
          <w:p w14:paraId="1ED4AB41"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460.741</w:t>
            </w:r>
          </w:p>
        </w:tc>
        <w:tc>
          <w:tcPr>
            <w:tcW w:w="1559" w:type="dxa"/>
            <w:tcBorders>
              <w:top w:val="nil"/>
              <w:left w:val="single" w:sz="8" w:space="0" w:color="auto"/>
              <w:bottom w:val="nil"/>
              <w:right w:val="single" w:sz="8" w:space="0" w:color="auto"/>
            </w:tcBorders>
            <w:shd w:val="clear" w:color="auto" w:fill="auto"/>
            <w:noWrap/>
            <w:vAlign w:val="center"/>
            <w:hideMark/>
          </w:tcPr>
          <w:p w14:paraId="5FBA8E4A"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276" w:type="dxa"/>
            <w:tcBorders>
              <w:top w:val="nil"/>
              <w:left w:val="nil"/>
              <w:bottom w:val="nil"/>
              <w:right w:val="single" w:sz="8" w:space="0" w:color="auto"/>
            </w:tcBorders>
            <w:shd w:val="clear" w:color="auto" w:fill="auto"/>
            <w:noWrap/>
            <w:vAlign w:val="center"/>
            <w:hideMark/>
          </w:tcPr>
          <w:p w14:paraId="12F19722"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-108.717</w:t>
            </w:r>
          </w:p>
        </w:tc>
        <w:tc>
          <w:tcPr>
            <w:tcW w:w="1198" w:type="dxa"/>
            <w:tcBorders>
              <w:top w:val="nil"/>
              <w:left w:val="nil"/>
              <w:bottom w:val="nil"/>
              <w:right w:val="single" w:sz="8" w:space="0" w:color="auto"/>
            </w:tcBorders>
            <w:shd w:val="clear" w:color="auto" w:fill="auto"/>
            <w:noWrap/>
            <w:vAlign w:val="center"/>
            <w:hideMark/>
          </w:tcPr>
          <w:p w14:paraId="593FBC8E"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352.024</w:t>
            </w:r>
          </w:p>
        </w:tc>
      </w:tr>
      <w:tr w:rsidR="00351646" w:rsidRPr="00701F32" w14:paraId="5B194B99"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6EE9019E"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intereses </w:t>
            </w:r>
          </w:p>
        </w:tc>
        <w:tc>
          <w:tcPr>
            <w:tcW w:w="850" w:type="dxa"/>
            <w:tcBorders>
              <w:top w:val="nil"/>
              <w:left w:val="single" w:sz="8" w:space="0" w:color="auto"/>
              <w:bottom w:val="nil"/>
              <w:right w:val="nil"/>
            </w:tcBorders>
            <w:shd w:val="clear" w:color="auto" w:fill="auto"/>
            <w:noWrap/>
            <w:vAlign w:val="center"/>
            <w:hideMark/>
          </w:tcPr>
          <w:p w14:paraId="7BEFF89D"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a, b, l, m</w:t>
            </w:r>
          </w:p>
        </w:tc>
        <w:tc>
          <w:tcPr>
            <w:tcW w:w="1134" w:type="dxa"/>
            <w:tcBorders>
              <w:top w:val="nil"/>
              <w:left w:val="single" w:sz="8" w:space="0" w:color="auto"/>
              <w:bottom w:val="nil"/>
              <w:right w:val="nil"/>
            </w:tcBorders>
            <w:shd w:val="clear" w:color="auto" w:fill="auto"/>
            <w:noWrap/>
            <w:vAlign w:val="center"/>
            <w:hideMark/>
          </w:tcPr>
          <w:p w14:paraId="4021A6BB"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66062BF9"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10.097.700</w:t>
            </w:r>
          </w:p>
        </w:tc>
        <w:tc>
          <w:tcPr>
            <w:tcW w:w="1276" w:type="dxa"/>
            <w:tcBorders>
              <w:top w:val="nil"/>
              <w:left w:val="nil"/>
              <w:bottom w:val="nil"/>
              <w:right w:val="single" w:sz="8" w:space="0" w:color="auto"/>
            </w:tcBorders>
            <w:shd w:val="clear" w:color="auto" w:fill="auto"/>
            <w:noWrap/>
            <w:vAlign w:val="center"/>
            <w:hideMark/>
          </w:tcPr>
          <w:p w14:paraId="15D1D9B5"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474.254</w:t>
            </w:r>
          </w:p>
        </w:tc>
        <w:tc>
          <w:tcPr>
            <w:tcW w:w="1198" w:type="dxa"/>
            <w:tcBorders>
              <w:top w:val="nil"/>
              <w:left w:val="nil"/>
              <w:bottom w:val="nil"/>
              <w:right w:val="single" w:sz="8" w:space="0" w:color="auto"/>
            </w:tcBorders>
            <w:shd w:val="clear" w:color="auto" w:fill="auto"/>
            <w:noWrap/>
            <w:vAlign w:val="center"/>
            <w:hideMark/>
          </w:tcPr>
          <w:p w14:paraId="2E99BDF6"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10.571.954</w:t>
            </w:r>
          </w:p>
        </w:tc>
      </w:tr>
      <w:tr w:rsidR="00351646" w:rsidRPr="00701F32" w14:paraId="2DECA9D8"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7476267D"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intereses </w:t>
            </w:r>
          </w:p>
        </w:tc>
        <w:tc>
          <w:tcPr>
            <w:tcW w:w="850" w:type="dxa"/>
            <w:tcBorders>
              <w:top w:val="nil"/>
              <w:left w:val="single" w:sz="8" w:space="0" w:color="auto"/>
              <w:bottom w:val="nil"/>
              <w:right w:val="nil"/>
            </w:tcBorders>
            <w:shd w:val="clear" w:color="auto" w:fill="auto"/>
            <w:noWrap/>
            <w:vAlign w:val="center"/>
            <w:hideMark/>
          </w:tcPr>
          <w:p w14:paraId="73AF778D"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m</w:t>
            </w:r>
          </w:p>
        </w:tc>
        <w:tc>
          <w:tcPr>
            <w:tcW w:w="1134" w:type="dxa"/>
            <w:tcBorders>
              <w:top w:val="nil"/>
              <w:left w:val="single" w:sz="8" w:space="0" w:color="auto"/>
              <w:bottom w:val="nil"/>
              <w:right w:val="nil"/>
            </w:tcBorders>
            <w:shd w:val="clear" w:color="auto" w:fill="auto"/>
            <w:noWrap/>
            <w:vAlign w:val="center"/>
            <w:hideMark/>
          </w:tcPr>
          <w:p w14:paraId="2D8A5D07"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01F925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4.464.223</w:t>
            </w:r>
          </w:p>
        </w:tc>
        <w:tc>
          <w:tcPr>
            <w:tcW w:w="1276" w:type="dxa"/>
            <w:tcBorders>
              <w:top w:val="nil"/>
              <w:left w:val="nil"/>
              <w:bottom w:val="nil"/>
              <w:right w:val="single" w:sz="8" w:space="0" w:color="auto"/>
            </w:tcBorders>
            <w:shd w:val="clear" w:color="auto" w:fill="auto"/>
            <w:noWrap/>
            <w:vAlign w:val="center"/>
            <w:hideMark/>
          </w:tcPr>
          <w:p w14:paraId="463CC674" w14:textId="77777777" w:rsidR="00A85D3C" w:rsidRPr="00701F32" w:rsidRDefault="008F6497"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24961D3E"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4.464.223</w:t>
            </w:r>
          </w:p>
        </w:tc>
      </w:tr>
      <w:tr w:rsidR="00351646" w:rsidRPr="00701F32" w14:paraId="00BB0864"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6B3C8088"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comisiones </w:t>
            </w:r>
          </w:p>
        </w:tc>
        <w:tc>
          <w:tcPr>
            <w:tcW w:w="850" w:type="dxa"/>
            <w:tcBorders>
              <w:top w:val="nil"/>
              <w:left w:val="single" w:sz="8" w:space="0" w:color="auto"/>
              <w:bottom w:val="nil"/>
              <w:right w:val="nil"/>
            </w:tcBorders>
            <w:shd w:val="clear" w:color="auto" w:fill="auto"/>
            <w:noWrap/>
            <w:vAlign w:val="center"/>
            <w:hideMark/>
          </w:tcPr>
          <w:p w14:paraId="0B1BE309"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a</w:t>
            </w:r>
          </w:p>
        </w:tc>
        <w:tc>
          <w:tcPr>
            <w:tcW w:w="1134" w:type="dxa"/>
            <w:tcBorders>
              <w:top w:val="nil"/>
              <w:left w:val="single" w:sz="8" w:space="0" w:color="auto"/>
              <w:bottom w:val="nil"/>
              <w:right w:val="nil"/>
            </w:tcBorders>
            <w:shd w:val="clear" w:color="auto" w:fill="auto"/>
            <w:noWrap/>
            <w:vAlign w:val="center"/>
            <w:hideMark/>
          </w:tcPr>
          <w:p w14:paraId="47E18D09"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2EC7806"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3.204.035</w:t>
            </w:r>
          </w:p>
        </w:tc>
        <w:tc>
          <w:tcPr>
            <w:tcW w:w="1276" w:type="dxa"/>
            <w:tcBorders>
              <w:top w:val="nil"/>
              <w:left w:val="nil"/>
              <w:bottom w:val="nil"/>
              <w:right w:val="single" w:sz="8" w:space="0" w:color="auto"/>
            </w:tcBorders>
            <w:shd w:val="clear" w:color="auto" w:fill="auto"/>
            <w:noWrap/>
            <w:vAlign w:val="center"/>
            <w:hideMark/>
          </w:tcPr>
          <w:p w14:paraId="34C54B48"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-346.820</w:t>
            </w:r>
          </w:p>
        </w:tc>
        <w:tc>
          <w:tcPr>
            <w:tcW w:w="1198" w:type="dxa"/>
            <w:tcBorders>
              <w:top w:val="nil"/>
              <w:left w:val="nil"/>
              <w:bottom w:val="nil"/>
              <w:right w:val="single" w:sz="8" w:space="0" w:color="auto"/>
            </w:tcBorders>
            <w:shd w:val="clear" w:color="auto" w:fill="auto"/>
            <w:noWrap/>
            <w:vAlign w:val="center"/>
            <w:hideMark/>
          </w:tcPr>
          <w:p w14:paraId="0FE5DF7A"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2.857.215</w:t>
            </w:r>
          </w:p>
        </w:tc>
      </w:tr>
      <w:tr w:rsidR="00351646" w:rsidRPr="00701F32" w14:paraId="312FA171"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223D993B"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comisiones </w:t>
            </w:r>
          </w:p>
        </w:tc>
        <w:tc>
          <w:tcPr>
            <w:tcW w:w="850" w:type="dxa"/>
            <w:tcBorders>
              <w:top w:val="nil"/>
              <w:left w:val="single" w:sz="8" w:space="0" w:color="auto"/>
              <w:bottom w:val="nil"/>
              <w:right w:val="nil"/>
            </w:tcBorders>
            <w:shd w:val="clear" w:color="auto" w:fill="auto"/>
            <w:noWrap/>
            <w:vAlign w:val="center"/>
            <w:hideMark/>
          </w:tcPr>
          <w:p w14:paraId="302C290E"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292FBB0B"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272752A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540.338</w:t>
            </w:r>
          </w:p>
        </w:tc>
        <w:tc>
          <w:tcPr>
            <w:tcW w:w="1276" w:type="dxa"/>
            <w:tcBorders>
              <w:top w:val="nil"/>
              <w:left w:val="nil"/>
              <w:bottom w:val="nil"/>
              <w:right w:val="single" w:sz="8" w:space="0" w:color="auto"/>
            </w:tcBorders>
            <w:shd w:val="clear" w:color="auto" w:fill="auto"/>
            <w:noWrap/>
            <w:vAlign w:val="center"/>
            <w:hideMark/>
          </w:tcPr>
          <w:p w14:paraId="2A999A1B" w14:textId="77777777" w:rsidR="00A85D3C" w:rsidRPr="00701F32" w:rsidRDefault="008F6497"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61B9D51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540.338</w:t>
            </w:r>
          </w:p>
        </w:tc>
      </w:tr>
      <w:tr w:rsidR="00351646" w:rsidRPr="00701F32" w14:paraId="3E861BCC"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0B5126F3"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 por inst.financieros a VR con cbios en result.</w:t>
            </w:r>
          </w:p>
        </w:tc>
        <w:tc>
          <w:tcPr>
            <w:tcW w:w="850" w:type="dxa"/>
            <w:tcBorders>
              <w:top w:val="nil"/>
              <w:left w:val="single" w:sz="8" w:space="0" w:color="auto"/>
              <w:bottom w:val="nil"/>
              <w:right w:val="nil"/>
            </w:tcBorders>
            <w:shd w:val="clear" w:color="auto" w:fill="auto"/>
            <w:noWrap/>
            <w:vAlign w:val="center"/>
            <w:hideMark/>
          </w:tcPr>
          <w:p w14:paraId="434FE2E9"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134" w:type="dxa"/>
            <w:tcBorders>
              <w:top w:val="nil"/>
              <w:left w:val="single" w:sz="8" w:space="0" w:color="auto"/>
              <w:bottom w:val="nil"/>
              <w:right w:val="nil"/>
            </w:tcBorders>
            <w:shd w:val="clear" w:color="auto" w:fill="auto"/>
            <w:noWrap/>
            <w:vAlign w:val="center"/>
            <w:hideMark/>
          </w:tcPr>
          <w:p w14:paraId="6AC0EC0B"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062C555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1.772.474</w:t>
            </w:r>
          </w:p>
        </w:tc>
        <w:tc>
          <w:tcPr>
            <w:tcW w:w="1276" w:type="dxa"/>
            <w:tcBorders>
              <w:top w:val="nil"/>
              <w:left w:val="nil"/>
              <w:bottom w:val="nil"/>
              <w:right w:val="single" w:sz="8" w:space="0" w:color="auto"/>
            </w:tcBorders>
            <w:shd w:val="clear" w:color="auto" w:fill="auto"/>
            <w:noWrap/>
            <w:vAlign w:val="center"/>
            <w:hideMark/>
          </w:tcPr>
          <w:p w14:paraId="6DD1A67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-6.080</w:t>
            </w:r>
          </w:p>
        </w:tc>
        <w:tc>
          <w:tcPr>
            <w:tcW w:w="1198" w:type="dxa"/>
            <w:tcBorders>
              <w:top w:val="nil"/>
              <w:left w:val="nil"/>
              <w:bottom w:val="nil"/>
              <w:right w:val="single" w:sz="8" w:space="0" w:color="auto"/>
            </w:tcBorders>
            <w:shd w:val="clear" w:color="auto" w:fill="auto"/>
            <w:noWrap/>
            <w:vAlign w:val="center"/>
            <w:hideMark/>
          </w:tcPr>
          <w:p w14:paraId="1EEB28BA"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1.766.394</w:t>
            </w:r>
          </w:p>
        </w:tc>
      </w:tr>
      <w:tr w:rsidR="00351646" w:rsidRPr="00701F32" w14:paraId="3DE5DAB2"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39E52BBD"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Diferencia de cotización de oro y moneda extranjera     </w:t>
            </w:r>
          </w:p>
        </w:tc>
        <w:tc>
          <w:tcPr>
            <w:tcW w:w="850" w:type="dxa"/>
            <w:tcBorders>
              <w:top w:val="nil"/>
              <w:left w:val="single" w:sz="8" w:space="0" w:color="auto"/>
              <w:bottom w:val="nil"/>
              <w:right w:val="nil"/>
            </w:tcBorders>
            <w:shd w:val="clear" w:color="auto" w:fill="auto"/>
            <w:noWrap/>
            <w:vAlign w:val="center"/>
            <w:hideMark/>
          </w:tcPr>
          <w:p w14:paraId="27CBC834"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 </w:t>
            </w:r>
          </w:p>
        </w:tc>
        <w:tc>
          <w:tcPr>
            <w:tcW w:w="1134" w:type="dxa"/>
            <w:tcBorders>
              <w:top w:val="nil"/>
              <w:left w:val="single" w:sz="8" w:space="0" w:color="auto"/>
              <w:bottom w:val="nil"/>
              <w:right w:val="nil"/>
            </w:tcBorders>
            <w:shd w:val="clear" w:color="auto" w:fill="auto"/>
            <w:noWrap/>
            <w:vAlign w:val="center"/>
            <w:hideMark/>
          </w:tcPr>
          <w:p w14:paraId="4FCC44DD"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6A7AA12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243.318</w:t>
            </w:r>
          </w:p>
        </w:tc>
        <w:tc>
          <w:tcPr>
            <w:tcW w:w="1276" w:type="dxa"/>
            <w:tcBorders>
              <w:top w:val="nil"/>
              <w:left w:val="nil"/>
              <w:bottom w:val="nil"/>
              <w:right w:val="single" w:sz="8" w:space="0" w:color="auto"/>
            </w:tcBorders>
            <w:shd w:val="clear" w:color="auto" w:fill="auto"/>
            <w:noWrap/>
            <w:vAlign w:val="center"/>
            <w:hideMark/>
          </w:tcPr>
          <w:p w14:paraId="7D866C2D" w14:textId="77777777" w:rsidR="00A85D3C" w:rsidRPr="00701F32" w:rsidRDefault="008F6497"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w:t>
            </w:r>
          </w:p>
        </w:tc>
        <w:tc>
          <w:tcPr>
            <w:tcW w:w="1198" w:type="dxa"/>
            <w:tcBorders>
              <w:top w:val="nil"/>
              <w:left w:val="nil"/>
              <w:bottom w:val="nil"/>
              <w:right w:val="single" w:sz="8" w:space="0" w:color="auto"/>
            </w:tcBorders>
            <w:shd w:val="clear" w:color="auto" w:fill="auto"/>
            <w:noWrap/>
            <w:vAlign w:val="center"/>
            <w:hideMark/>
          </w:tcPr>
          <w:p w14:paraId="28F0EDF7"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243.318</w:t>
            </w:r>
          </w:p>
        </w:tc>
      </w:tr>
      <w:tr w:rsidR="00351646" w:rsidRPr="00701F32" w14:paraId="6B6397E1"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3603C0D2"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ingresos operativos </w:t>
            </w:r>
          </w:p>
        </w:tc>
        <w:tc>
          <w:tcPr>
            <w:tcW w:w="850" w:type="dxa"/>
            <w:tcBorders>
              <w:top w:val="nil"/>
              <w:left w:val="single" w:sz="8" w:space="0" w:color="auto"/>
              <w:bottom w:val="nil"/>
              <w:right w:val="nil"/>
            </w:tcBorders>
            <w:shd w:val="clear" w:color="auto" w:fill="auto"/>
            <w:noWrap/>
            <w:vAlign w:val="center"/>
            <w:hideMark/>
          </w:tcPr>
          <w:p w14:paraId="4909102E"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e, g</w:t>
            </w:r>
          </w:p>
        </w:tc>
        <w:tc>
          <w:tcPr>
            <w:tcW w:w="1134" w:type="dxa"/>
            <w:tcBorders>
              <w:top w:val="nil"/>
              <w:left w:val="single" w:sz="8" w:space="0" w:color="auto"/>
              <w:bottom w:val="nil"/>
              <w:right w:val="nil"/>
            </w:tcBorders>
            <w:shd w:val="clear" w:color="auto" w:fill="auto"/>
            <w:noWrap/>
            <w:vAlign w:val="center"/>
            <w:hideMark/>
          </w:tcPr>
          <w:p w14:paraId="7BBE9105"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58CE64A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1.016.843</w:t>
            </w:r>
          </w:p>
        </w:tc>
        <w:tc>
          <w:tcPr>
            <w:tcW w:w="1276" w:type="dxa"/>
            <w:tcBorders>
              <w:top w:val="nil"/>
              <w:left w:val="nil"/>
              <w:bottom w:val="nil"/>
              <w:right w:val="single" w:sz="8" w:space="0" w:color="auto"/>
            </w:tcBorders>
            <w:shd w:val="clear" w:color="auto" w:fill="auto"/>
            <w:noWrap/>
            <w:vAlign w:val="center"/>
            <w:hideMark/>
          </w:tcPr>
          <w:p w14:paraId="00F7390D"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-69.902</w:t>
            </w:r>
          </w:p>
        </w:tc>
        <w:tc>
          <w:tcPr>
            <w:tcW w:w="1198" w:type="dxa"/>
            <w:tcBorders>
              <w:top w:val="nil"/>
              <w:left w:val="nil"/>
              <w:bottom w:val="nil"/>
              <w:right w:val="single" w:sz="8" w:space="0" w:color="auto"/>
            </w:tcBorders>
            <w:shd w:val="clear" w:color="auto" w:fill="auto"/>
            <w:noWrap/>
            <w:vAlign w:val="center"/>
            <w:hideMark/>
          </w:tcPr>
          <w:p w14:paraId="275462EB"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946.941</w:t>
            </w:r>
          </w:p>
        </w:tc>
      </w:tr>
      <w:tr w:rsidR="00351646" w:rsidRPr="00701F32" w14:paraId="774AF5D6"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66C67528"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Beneficios al personal     </w:t>
            </w:r>
          </w:p>
        </w:tc>
        <w:tc>
          <w:tcPr>
            <w:tcW w:w="850" w:type="dxa"/>
            <w:tcBorders>
              <w:top w:val="nil"/>
              <w:left w:val="single" w:sz="8" w:space="0" w:color="auto"/>
              <w:bottom w:val="nil"/>
              <w:right w:val="nil"/>
            </w:tcBorders>
            <w:shd w:val="clear" w:color="auto" w:fill="auto"/>
            <w:noWrap/>
            <w:vAlign w:val="center"/>
            <w:hideMark/>
          </w:tcPr>
          <w:p w14:paraId="66895CAA"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b, h</w:t>
            </w:r>
          </w:p>
        </w:tc>
        <w:tc>
          <w:tcPr>
            <w:tcW w:w="1134" w:type="dxa"/>
            <w:tcBorders>
              <w:top w:val="nil"/>
              <w:left w:val="single" w:sz="8" w:space="0" w:color="auto"/>
              <w:bottom w:val="nil"/>
              <w:right w:val="nil"/>
            </w:tcBorders>
            <w:shd w:val="clear" w:color="auto" w:fill="auto"/>
            <w:noWrap/>
            <w:vAlign w:val="center"/>
            <w:hideMark/>
          </w:tcPr>
          <w:p w14:paraId="3EB4DD7E"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BA20EA7"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4.062.031</w:t>
            </w:r>
          </w:p>
        </w:tc>
        <w:tc>
          <w:tcPr>
            <w:tcW w:w="1276" w:type="dxa"/>
            <w:tcBorders>
              <w:top w:val="nil"/>
              <w:left w:val="nil"/>
              <w:bottom w:val="nil"/>
              <w:right w:val="single" w:sz="8" w:space="0" w:color="auto"/>
            </w:tcBorders>
            <w:shd w:val="clear" w:color="auto" w:fill="auto"/>
            <w:noWrap/>
            <w:vAlign w:val="center"/>
            <w:hideMark/>
          </w:tcPr>
          <w:p w14:paraId="5318FB60"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402.361</w:t>
            </w:r>
          </w:p>
        </w:tc>
        <w:tc>
          <w:tcPr>
            <w:tcW w:w="1198" w:type="dxa"/>
            <w:tcBorders>
              <w:top w:val="nil"/>
              <w:left w:val="nil"/>
              <w:bottom w:val="nil"/>
              <w:right w:val="single" w:sz="8" w:space="0" w:color="auto"/>
            </w:tcBorders>
            <w:shd w:val="clear" w:color="auto" w:fill="auto"/>
            <w:noWrap/>
            <w:vAlign w:val="center"/>
            <w:hideMark/>
          </w:tcPr>
          <w:p w14:paraId="0070827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4.464.392</w:t>
            </w:r>
          </w:p>
        </w:tc>
      </w:tr>
      <w:tr w:rsidR="00351646" w:rsidRPr="00701F32" w14:paraId="7613EFF5"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11C5F953"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Gastos de administración</w:t>
            </w:r>
          </w:p>
        </w:tc>
        <w:tc>
          <w:tcPr>
            <w:tcW w:w="850" w:type="dxa"/>
            <w:tcBorders>
              <w:top w:val="nil"/>
              <w:left w:val="single" w:sz="8" w:space="0" w:color="auto"/>
              <w:bottom w:val="nil"/>
              <w:right w:val="nil"/>
            </w:tcBorders>
            <w:shd w:val="clear" w:color="auto" w:fill="auto"/>
            <w:noWrap/>
            <w:vAlign w:val="center"/>
            <w:hideMark/>
          </w:tcPr>
          <w:p w14:paraId="72FA976D"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a</w:t>
            </w:r>
          </w:p>
        </w:tc>
        <w:tc>
          <w:tcPr>
            <w:tcW w:w="1134" w:type="dxa"/>
            <w:tcBorders>
              <w:top w:val="nil"/>
              <w:left w:val="single" w:sz="8" w:space="0" w:color="auto"/>
              <w:bottom w:val="nil"/>
              <w:right w:val="nil"/>
            </w:tcBorders>
            <w:shd w:val="clear" w:color="auto" w:fill="auto"/>
            <w:noWrap/>
            <w:vAlign w:val="center"/>
            <w:hideMark/>
          </w:tcPr>
          <w:p w14:paraId="12902C3C"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FFDA22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2.512.051</w:t>
            </w:r>
          </w:p>
        </w:tc>
        <w:tc>
          <w:tcPr>
            <w:tcW w:w="1276" w:type="dxa"/>
            <w:tcBorders>
              <w:top w:val="nil"/>
              <w:left w:val="nil"/>
              <w:bottom w:val="nil"/>
              <w:right w:val="single" w:sz="8" w:space="0" w:color="auto"/>
            </w:tcBorders>
            <w:shd w:val="clear" w:color="auto" w:fill="auto"/>
            <w:noWrap/>
            <w:vAlign w:val="center"/>
            <w:hideMark/>
          </w:tcPr>
          <w:p w14:paraId="0043BB3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14.915</w:t>
            </w:r>
          </w:p>
        </w:tc>
        <w:tc>
          <w:tcPr>
            <w:tcW w:w="1198" w:type="dxa"/>
            <w:tcBorders>
              <w:top w:val="nil"/>
              <w:left w:val="nil"/>
              <w:bottom w:val="nil"/>
              <w:right w:val="single" w:sz="8" w:space="0" w:color="auto"/>
            </w:tcBorders>
            <w:shd w:val="clear" w:color="auto" w:fill="auto"/>
            <w:noWrap/>
            <w:vAlign w:val="center"/>
            <w:hideMark/>
          </w:tcPr>
          <w:p w14:paraId="41730F04"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2.526.966</w:t>
            </w:r>
          </w:p>
        </w:tc>
      </w:tr>
      <w:tr w:rsidR="00351646" w:rsidRPr="00701F32" w14:paraId="47A09192"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75E97A9E"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Depreciaciones y desvalorizaciones de bienes </w:t>
            </w:r>
          </w:p>
        </w:tc>
        <w:tc>
          <w:tcPr>
            <w:tcW w:w="850" w:type="dxa"/>
            <w:tcBorders>
              <w:top w:val="nil"/>
              <w:left w:val="single" w:sz="8" w:space="0" w:color="auto"/>
              <w:bottom w:val="nil"/>
              <w:right w:val="nil"/>
            </w:tcBorders>
            <w:shd w:val="clear" w:color="auto" w:fill="auto"/>
            <w:noWrap/>
            <w:vAlign w:val="center"/>
            <w:hideMark/>
          </w:tcPr>
          <w:p w14:paraId="1911FFE7"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e, f</w:t>
            </w:r>
          </w:p>
        </w:tc>
        <w:tc>
          <w:tcPr>
            <w:tcW w:w="1134" w:type="dxa"/>
            <w:tcBorders>
              <w:top w:val="nil"/>
              <w:left w:val="single" w:sz="8" w:space="0" w:color="auto"/>
              <w:bottom w:val="nil"/>
              <w:right w:val="nil"/>
            </w:tcBorders>
            <w:shd w:val="clear" w:color="auto" w:fill="auto"/>
            <w:noWrap/>
            <w:vAlign w:val="center"/>
            <w:hideMark/>
          </w:tcPr>
          <w:p w14:paraId="6293082C"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DAD7639"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224.724</w:t>
            </w:r>
          </w:p>
        </w:tc>
        <w:tc>
          <w:tcPr>
            <w:tcW w:w="1276" w:type="dxa"/>
            <w:tcBorders>
              <w:top w:val="nil"/>
              <w:left w:val="nil"/>
              <w:bottom w:val="nil"/>
              <w:right w:val="single" w:sz="8" w:space="0" w:color="auto"/>
            </w:tcBorders>
            <w:shd w:val="clear" w:color="auto" w:fill="auto"/>
            <w:noWrap/>
            <w:vAlign w:val="center"/>
            <w:hideMark/>
          </w:tcPr>
          <w:p w14:paraId="429D344F"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45.487</w:t>
            </w:r>
          </w:p>
        </w:tc>
        <w:tc>
          <w:tcPr>
            <w:tcW w:w="1198" w:type="dxa"/>
            <w:tcBorders>
              <w:top w:val="nil"/>
              <w:left w:val="nil"/>
              <w:bottom w:val="nil"/>
              <w:right w:val="single" w:sz="8" w:space="0" w:color="auto"/>
            </w:tcBorders>
            <w:shd w:val="clear" w:color="auto" w:fill="auto"/>
            <w:noWrap/>
            <w:vAlign w:val="center"/>
            <w:hideMark/>
          </w:tcPr>
          <w:p w14:paraId="23EC9F1B"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270.211</w:t>
            </w:r>
          </w:p>
        </w:tc>
      </w:tr>
      <w:tr w:rsidR="00351646" w:rsidRPr="00701F32" w14:paraId="6EEE0813"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75FD61CE"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Otros gastos operativos </w:t>
            </w:r>
          </w:p>
        </w:tc>
        <w:tc>
          <w:tcPr>
            <w:tcW w:w="850" w:type="dxa"/>
            <w:tcBorders>
              <w:top w:val="nil"/>
              <w:left w:val="single" w:sz="8" w:space="0" w:color="auto"/>
              <w:bottom w:val="nil"/>
              <w:right w:val="nil"/>
            </w:tcBorders>
            <w:shd w:val="clear" w:color="auto" w:fill="auto"/>
            <w:noWrap/>
            <w:vAlign w:val="center"/>
            <w:hideMark/>
          </w:tcPr>
          <w:p w14:paraId="149E1EE3"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b, k</w:t>
            </w:r>
          </w:p>
        </w:tc>
        <w:tc>
          <w:tcPr>
            <w:tcW w:w="1134" w:type="dxa"/>
            <w:tcBorders>
              <w:top w:val="nil"/>
              <w:left w:val="single" w:sz="8" w:space="0" w:color="auto"/>
              <w:bottom w:val="nil"/>
              <w:right w:val="nil"/>
            </w:tcBorders>
            <w:shd w:val="clear" w:color="auto" w:fill="auto"/>
            <w:noWrap/>
            <w:vAlign w:val="center"/>
            <w:hideMark/>
          </w:tcPr>
          <w:p w14:paraId="1113B878"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3C988A71"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1.882.298</w:t>
            </w:r>
          </w:p>
        </w:tc>
        <w:tc>
          <w:tcPr>
            <w:tcW w:w="1276" w:type="dxa"/>
            <w:tcBorders>
              <w:top w:val="nil"/>
              <w:left w:val="nil"/>
              <w:bottom w:val="nil"/>
              <w:right w:val="single" w:sz="8" w:space="0" w:color="auto"/>
            </w:tcBorders>
            <w:shd w:val="clear" w:color="auto" w:fill="auto"/>
            <w:noWrap/>
            <w:vAlign w:val="center"/>
            <w:hideMark/>
          </w:tcPr>
          <w:p w14:paraId="4303E964"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275.</w:t>
            </w:r>
            <w:r w:rsidR="00DA58A6" w:rsidRPr="00701F32">
              <w:rPr>
                <w:rFonts w:ascii="Arial" w:hAnsi="Arial" w:cs="Arial"/>
                <w:color w:val="000000"/>
                <w:sz w:val="16"/>
                <w:szCs w:val="16"/>
                <w:lang w:eastAsia="es-AR"/>
              </w:rPr>
              <w:t>875</w:t>
            </w:r>
          </w:p>
        </w:tc>
        <w:tc>
          <w:tcPr>
            <w:tcW w:w="1198" w:type="dxa"/>
            <w:tcBorders>
              <w:top w:val="nil"/>
              <w:left w:val="nil"/>
              <w:bottom w:val="nil"/>
              <w:right w:val="single" w:sz="8" w:space="0" w:color="auto"/>
            </w:tcBorders>
            <w:shd w:val="clear" w:color="auto" w:fill="auto"/>
            <w:noWrap/>
            <w:vAlign w:val="center"/>
            <w:hideMark/>
          </w:tcPr>
          <w:p w14:paraId="081D8117"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2.158.</w:t>
            </w:r>
            <w:r w:rsidR="00DA58A6" w:rsidRPr="00701F32">
              <w:rPr>
                <w:rFonts w:ascii="Arial" w:hAnsi="Arial" w:cs="Arial"/>
                <w:color w:val="000000"/>
                <w:sz w:val="16"/>
                <w:szCs w:val="16"/>
                <w:lang w:eastAsia="es-AR"/>
              </w:rPr>
              <w:t>173</w:t>
            </w:r>
          </w:p>
        </w:tc>
      </w:tr>
      <w:tr w:rsidR="00351646" w:rsidRPr="00701F32" w14:paraId="741F77FF" w14:textId="77777777" w:rsidTr="0086282C">
        <w:trPr>
          <w:trHeight w:val="285"/>
        </w:trPr>
        <w:tc>
          <w:tcPr>
            <w:tcW w:w="3970" w:type="dxa"/>
            <w:tcBorders>
              <w:top w:val="nil"/>
              <w:left w:val="single" w:sz="8" w:space="0" w:color="auto"/>
              <w:bottom w:val="nil"/>
              <w:right w:val="nil"/>
            </w:tcBorders>
            <w:shd w:val="clear" w:color="auto" w:fill="auto"/>
            <w:noWrap/>
            <w:vAlign w:val="center"/>
            <w:hideMark/>
          </w:tcPr>
          <w:p w14:paraId="3CB8AE00" w14:textId="77777777" w:rsidR="00A85D3C" w:rsidRPr="00701F32" w:rsidRDefault="00A85D3C" w:rsidP="00A85D3C">
            <w:pPr>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por asociadas y negocios conjuntos </w:t>
            </w:r>
          </w:p>
        </w:tc>
        <w:tc>
          <w:tcPr>
            <w:tcW w:w="850" w:type="dxa"/>
            <w:tcBorders>
              <w:top w:val="nil"/>
              <w:left w:val="single" w:sz="8" w:space="0" w:color="auto"/>
              <w:bottom w:val="nil"/>
              <w:right w:val="nil"/>
            </w:tcBorders>
            <w:shd w:val="clear" w:color="auto" w:fill="auto"/>
            <w:noWrap/>
            <w:vAlign w:val="center"/>
            <w:hideMark/>
          </w:tcPr>
          <w:p w14:paraId="13F7FB76" w14:textId="77777777" w:rsidR="00A85D3C" w:rsidRPr="00701F32" w:rsidRDefault="00A85D3C" w:rsidP="00A85D3C">
            <w:pPr>
              <w:jc w:val="center"/>
              <w:rPr>
                <w:rFonts w:ascii="Arial" w:hAnsi="Arial" w:cs="Arial"/>
                <w:color w:val="000000"/>
                <w:sz w:val="16"/>
                <w:szCs w:val="16"/>
                <w:lang w:eastAsia="es-AR"/>
              </w:rPr>
            </w:pPr>
            <w:r w:rsidRPr="00701F32">
              <w:rPr>
                <w:rFonts w:ascii="Arial" w:hAnsi="Arial" w:cs="Arial"/>
                <w:color w:val="000000"/>
                <w:sz w:val="16"/>
                <w:szCs w:val="16"/>
                <w:lang w:eastAsia="es-AR"/>
              </w:rPr>
              <w:t>d</w:t>
            </w:r>
          </w:p>
        </w:tc>
        <w:tc>
          <w:tcPr>
            <w:tcW w:w="1134" w:type="dxa"/>
            <w:tcBorders>
              <w:top w:val="nil"/>
              <w:left w:val="single" w:sz="8" w:space="0" w:color="auto"/>
              <w:bottom w:val="nil"/>
              <w:right w:val="nil"/>
            </w:tcBorders>
            <w:shd w:val="clear" w:color="auto" w:fill="auto"/>
            <w:noWrap/>
            <w:vAlign w:val="center"/>
            <w:hideMark/>
          </w:tcPr>
          <w:p w14:paraId="2B769FF5" w14:textId="77777777" w:rsidR="00A85D3C" w:rsidRPr="00701F32" w:rsidRDefault="00A85D3C"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559" w:type="dxa"/>
            <w:tcBorders>
              <w:top w:val="nil"/>
              <w:left w:val="single" w:sz="8" w:space="0" w:color="auto"/>
              <w:bottom w:val="nil"/>
              <w:right w:val="single" w:sz="8" w:space="0" w:color="auto"/>
            </w:tcBorders>
            <w:shd w:val="clear" w:color="auto" w:fill="auto"/>
            <w:noWrap/>
            <w:vAlign w:val="center"/>
            <w:hideMark/>
          </w:tcPr>
          <w:p w14:paraId="00E3356D"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161.744</w:t>
            </w:r>
          </w:p>
        </w:tc>
        <w:tc>
          <w:tcPr>
            <w:tcW w:w="1276" w:type="dxa"/>
            <w:tcBorders>
              <w:top w:val="nil"/>
              <w:left w:val="nil"/>
              <w:bottom w:val="nil"/>
              <w:right w:val="single" w:sz="8" w:space="0" w:color="auto"/>
            </w:tcBorders>
            <w:shd w:val="clear" w:color="auto" w:fill="auto"/>
            <w:noWrap/>
            <w:vAlign w:val="center"/>
            <w:hideMark/>
          </w:tcPr>
          <w:p w14:paraId="27854BA6"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-53.466</w:t>
            </w:r>
          </w:p>
        </w:tc>
        <w:tc>
          <w:tcPr>
            <w:tcW w:w="1198" w:type="dxa"/>
            <w:tcBorders>
              <w:top w:val="nil"/>
              <w:left w:val="nil"/>
              <w:bottom w:val="single" w:sz="8" w:space="0" w:color="auto"/>
              <w:right w:val="single" w:sz="8" w:space="0" w:color="auto"/>
            </w:tcBorders>
            <w:shd w:val="clear" w:color="auto" w:fill="auto"/>
            <w:noWrap/>
            <w:vAlign w:val="center"/>
            <w:hideMark/>
          </w:tcPr>
          <w:p w14:paraId="3FB3E9DC" w14:textId="77777777" w:rsidR="00A85D3C" w:rsidRPr="00701F32" w:rsidRDefault="00A85D3C" w:rsidP="00CB22DF">
            <w:pPr>
              <w:jc w:val="right"/>
              <w:rPr>
                <w:rFonts w:ascii="Arial" w:hAnsi="Arial" w:cs="Arial"/>
                <w:color w:val="000000"/>
                <w:sz w:val="16"/>
                <w:szCs w:val="16"/>
                <w:lang w:val="es-ES_tradnl" w:eastAsia="es-AR"/>
              </w:rPr>
            </w:pPr>
            <w:r w:rsidRPr="00701F32">
              <w:rPr>
                <w:rFonts w:ascii="Arial" w:hAnsi="Arial" w:cs="Arial"/>
                <w:color w:val="000000"/>
                <w:sz w:val="16"/>
                <w:szCs w:val="16"/>
                <w:lang w:eastAsia="es-AR"/>
              </w:rPr>
              <w:t>108.278</w:t>
            </w:r>
          </w:p>
        </w:tc>
      </w:tr>
      <w:tr w:rsidR="00351646" w:rsidRPr="00701F32" w14:paraId="6ED108B4" w14:textId="77777777" w:rsidTr="0086282C">
        <w:trPr>
          <w:trHeight w:val="285"/>
        </w:trPr>
        <w:tc>
          <w:tcPr>
            <w:tcW w:w="3970" w:type="dxa"/>
            <w:tcBorders>
              <w:top w:val="single" w:sz="8" w:space="0" w:color="auto"/>
              <w:left w:val="single" w:sz="8" w:space="0" w:color="auto"/>
              <w:bottom w:val="single" w:sz="8" w:space="0" w:color="auto"/>
              <w:right w:val="nil"/>
            </w:tcBorders>
            <w:shd w:val="clear" w:color="auto" w:fill="auto"/>
            <w:noWrap/>
            <w:vAlign w:val="center"/>
            <w:hideMark/>
          </w:tcPr>
          <w:p w14:paraId="764B5656" w14:textId="77777777" w:rsidR="00A85D3C" w:rsidRPr="00701F32" w:rsidRDefault="00A85D3C" w:rsidP="00A85D3C">
            <w:pP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RESULTADO NETO DEL EJERCICIO</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433C263D" w14:textId="77777777" w:rsidR="00A85D3C" w:rsidRPr="00701F32" w:rsidRDefault="00A85D3C" w:rsidP="00A85D3C">
            <w:pPr>
              <w:rPr>
                <w:rFonts w:ascii="Arial" w:hAnsi="Arial" w:cs="Arial"/>
                <w:b/>
                <w:bCs/>
                <w:color w:val="000000"/>
                <w:sz w:val="16"/>
                <w:szCs w:val="16"/>
                <w:lang w:eastAsia="es-AR"/>
              </w:rPr>
            </w:pPr>
            <w:r w:rsidRPr="00701F32">
              <w:rPr>
                <w:rFonts w:ascii="Arial" w:hAnsi="Arial" w:cs="Arial"/>
                <w:b/>
                <w:bCs/>
                <w:color w:val="000000"/>
                <w:sz w:val="16"/>
                <w:szCs w:val="16"/>
                <w:lang w:eastAsia="es-AR"/>
              </w:rPr>
              <w:t> </w:t>
            </w:r>
          </w:p>
        </w:tc>
        <w:tc>
          <w:tcPr>
            <w:tcW w:w="1134" w:type="dxa"/>
            <w:tcBorders>
              <w:top w:val="single" w:sz="8" w:space="0" w:color="auto"/>
              <w:left w:val="single" w:sz="8" w:space="0" w:color="auto"/>
              <w:bottom w:val="single" w:sz="8" w:space="0" w:color="auto"/>
              <w:right w:val="nil"/>
            </w:tcBorders>
            <w:shd w:val="clear" w:color="auto" w:fill="auto"/>
            <w:noWrap/>
            <w:vAlign w:val="center"/>
            <w:hideMark/>
          </w:tcPr>
          <w:p w14:paraId="7593DBE2" w14:textId="77777777" w:rsidR="00A85D3C" w:rsidRPr="00701F32" w:rsidRDefault="00A85D3C" w:rsidP="00CB22DF">
            <w:pPr>
              <w:jc w:val="right"/>
              <w:rPr>
                <w:rFonts w:ascii="Arial" w:hAnsi="Arial" w:cs="Arial"/>
                <w:b/>
                <w:bCs/>
                <w:color w:val="000000"/>
                <w:sz w:val="16"/>
                <w:szCs w:val="16"/>
                <w:lang w:eastAsia="es-AR"/>
              </w:rPr>
            </w:pPr>
            <w:r w:rsidRPr="00701F32">
              <w:rPr>
                <w:rFonts w:ascii="Arial" w:hAnsi="Arial" w:cs="Arial"/>
                <w:b/>
                <w:bCs/>
                <w:color w:val="000000"/>
                <w:sz w:val="16"/>
                <w:szCs w:val="16"/>
                <w:lang w:eastAsia="es-AR"/>
              </w:rPr>
              <w:t>1.428.728</w:t>
            </w:r>
          </w:p>
        </w:tc>
        <w:tc>
          <w:tcPr>
            <w:tcW w:w="1559" w:type="dxa"/>
            <w:tcBorders>
              <w:top w:val="single" w:sz="8" w:space="0" w:color="auto"/>
              <w:left w:val="single" w:sz="8" w:space="0" w:color="auto"/>
              <w:bottom w:val="single" w:sz="8" w:space="0" w:color="auto"/>
              <w:right w:val="nil"/>
            </w:tcBorders>
            <w:shd w:val="clear" w:color="auto" w:fill="auto"/>
            <w:noWrap/>
            <w:vAlign w:val="center"/>
            <w:hideMark/>
          </w:tcPr>
          <w:p w14:paraId="44675241" w14:textId="77777777" w:rsidR="00A85D3C" w:rsidRPr="00701F32" w:rsidRDefault="00A85D3C" w:rsidP="00CB22DF">
            <w:pPr>
              <w:jc w:val="right"/>
              <w:rPr>
                <w:rFonts w:ascii="Arial" w:hAnsi="Arial" w:cs="Arial"/>
                <w:b/>
                <w:bCs/>
                <w:color w:val="000000"/>
                <w:sz w:val="16"/>
                <w:szCs w:val="16"/>
                <w:lang w:val="es-ES_tradnl" w:eastAsia="es-AR"/>
              </w:rPr>
            </w:pPr>
            <w:r w:rsidRPr="00701F32">
              <w:rPr>
                <w:rFonts w:ascii="Arial" w:hAnsi="Arial" w:cs="Arial"/>
                <w:b/>
                <w:bCs/>
                <w:color w:val="000000"/>
                <w:sz w:val="16"/>
                <w:szCs w:val="16"/>
                <w:lang w:eastAsia="es-AR"/>
              </w:rPr>
              <w:t>-</w:t>
            </w:r>
          </w:p>
        </w:tc>
        <w:tc>
          <w:tcPr>
            <w:tcW w:w="1276" w:type="dxa"/>
            <w:tcBorders>
              <w:top w:val="single" w:sz="8" w:space="0" w:color="auto"/>
              <w:left w:val="single" w:sz="8" w:space="0" w:color="auto"/>
              <w:bottom w:val="single" w:sz="8" w:space="0" w:color="auto"/>
              <w:right w:val="nil"/>
            </w:tcBorders>
            <w:shd w:val="clear" w:color="auto" w:fill="auto"/>
            <w:noWrap/>
            <w:vAlign w:val="center"/>
            <w:hideMark/>
          </w:tcPr>
          <w:p w14:paraId="4ACB69D8" w14:textId="77777777" w:rsidR="00A85D3C" w:rsidRPr="00701F32" w:rsidRDefault="00A85D3C" w:rsidP="00CB22DF">
            <w:pPr>
              <w:jc w:val="right"/>
              <w:rPr>
                <w:rFonts w:ascii="Arial" w:hAnsi="Arial" w:cs="Arial"/>
                <w:b/>
                <w:bCs/>
                <w:color w:val="000000"/>
                <w:sz w:val="16"/>
                <w:szCs w:val="16"/>
                <w:lang w:val="es-ES_tradnl" w:eastAsia="es-AR"/>
              </w:rPr>
            </w:pPr>
            <w:r w:rsidRPr="00701F32">
              <w:rPr>
                <w:rFonts w:ascii="Arial" w:hAnsi="Arial" w:cs="Arial"/>
                <w:b/>
                <w:bCs/>
                <w:color w:val="000000"/>
                <w:sz w:val="16"/>
                <w:szCs w:val="16"/>
                <w:lang w:eastAsia="es-AR"/>
              </w:rPr>
              <w:t>-631.</w:t>
            </w:r>
            <w:r w:rsidR="00DA58A6" w:rsidRPr="00701F32">
              <w:rPr>
                <w:rFonts w:ascii="Arial" w:hAnsi="Arial" w:cs="Arial"/>
                <w:b/>
                <w:bCs/>
                <w:color w:val="000000"/>
                <w:sz w:val="16"/>
                <w:szCs w:val="16"/>
                <w:lang w:eastAsia="es-AR"/>
              </w:rPr>
              <w:t>935</w:t>
            </w:r>
          </w:p>
        </w:tc>
        <w:tc>
          <w:tcPr>
            <w:tcW w:w="1198" w:type="dxa"/>
            <w:tcBorders>
              <w:top w:val="nil"/>
              <w:left w:val="single" w:sz="8" w:space="0" w:color="auto"/>
              <w:bottom w:val="single" w:sz="8" w:space="0" w:color="auto"/>
              <w:right w:val="single" w:sz="8" w:space="0" w:color="auto"/>
            </w:tcBorders>
            <w:shd w:val="clear" w:color="auto" w:fill="auto"/>
            <w:noWrap/>
            <w:vAlign w:val="center"/>
            <w:hideMark/>
          </w:tcPr>
          <w:p w14:paraId="78A86253" w14:textId="77777777" w:rsidR="00A85D3C" w:rsidRPr="00701F32" w:rsidRDefault="00A85D3C" w:rsidP="00CB22DF">
            <w:pPr>
              <w:jc w:val="right"/>
              <w:rPr>
                <w:rFonts w:ascii="Arial" w:hAnsi="Arial" w:cs="Arial"/>
                <w:b/>
                <w:bCs/>
                <w:color w:val="000000"/>
                <w:sz w:val="16"/>
                <w:szCs w:val="16"/>
                <w:lang w:val="es-ES_tradnl" w:eastAsia="es-AR"/>
              </w:rPr>
            </w:pPr>
            <w:r w:rsidRPr="00701F32">
              <w:rPr>
                <w:rFonts w:ascii="Arial" w:hAnsi="Arial" w:cs="Arial"/>
                <w:b/>
                <w:bCs/>
                <w:color w:val="000000"/>
                <w:sz w:val="16"/>
                <w:szCs w:val="16"/>
                <w:lang w:eastAsia="es-AR"/>
              </w:rPr>
              <w:t>796.</w:t>
            </w:r>
            <w:r w:rsidR="00DA58A6" w:rsidRPr="00701F32">
              <w:rPr>
                <w:rFonts w:ascii="Arial" w:hAnsi="Arial" w:cs="Arial"/>
                <w:b/>
                <w:bCs/>
                <w:color w:val="000000"/>
                <w:sz w:val="16"/>
                <w:szCs w:val="16"/>
                <w:lang w:eastAsia="es-AR"/>
              </w:rPr>
              <w:t>793</w:t>
            </w:r>
          </w:p>
        </w:tc>
      </w:tr>
    </w:tbl>
    <w:p w14:paraId="6447D9A6" w14:textId="77777777" w:rsidR="00A85D3C" w:rsidRPr="00701F32" w:rsidRDefault="00A85D3C" w:rsidP="00BD0DC8">
      <w:pPr>
        <w:keepNext/>
        <w:keepLines/>
        <w:spacing w:before="40"/>
        <w:ind w:left="1416" w:hanging="1416"/>
        <w:jc w:val="both"/>
        <w:outlineLvl w:val="1"/>
        <w:rPr>
          <w:rFonts w:ascii="Arial" w:hAnsi="Arial" w:cs="Arial"/>
          <w:sz w:val="20"/>
        </w:rPr>
      </w:pPr>
    </w:p>
    <w:tbl>
      <w:tblPr>
        <w:tblW w:w="9575" w:type="dxa"/>
        <w:tblCellMar>
          <w:left w:w="70" w:type="dxa"/>
          <w:right w:w="70" w:type="dxa"/>
        </w:tblCellMar>
        <w:tblLook w:val="04A0" w:firstRow="1" w:lastRow="0" w:firstColumn="1" w:lastColumn="0" w:noHBand="0" w:noVBand="1"/>
      </w:tblPr>
      <w:tblGrid>
        <w:gridCol w:w="3631"/>
        <w:gridCol w:w="791"/>
        <w:gridCol w:w="1056"/>
        <w:gridCol w:w="1452"/>
        <w:gridCol w:w="1188"/>
        <w:gridCol w:w="1457"/>
      </w:tblGrid>
      <w:tr w:rsidR="0090604D" w:rsidRPr="00701F32" w14:paraId="4D0D9D20" w14:textId="77777777" w:rsidTr="00E311C9">
        <w:trPr>
          <w:trHeight w:val="284"/>
          <w:tblHeader/>
        </w:trPr>
        <w:tc>
          <w:tcPr>
            <w:tcW w:w="36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375A3AD"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Estado de Resultados al 30/0</w:t>
            </w:r>
            <w:r w:rsidR="00837BEB" w:rsidRPr="00701F32">
              <w:rPr>
                <w:rFonts w:ascii="Arial" w:hAnsi="Arial" w:cs="Arial"/>
                <w:b/>
                <w:bCs/>
                <w:color w:val="000000"/>
                <w:sz w:val="16"/>
                <w:szCs w:val="16"/>
                <w:lang w:eastAsia="es-AR"/>
              </w:rPr>
              <w:t>9</w:t>
            </w:r>
            <w:r w:rsidRPr="00701F32">
              <w:rPr>
                <w:rFonts w:ascii="Arial" w:hAnsi="Arial" w:cs="Arial"/>
                <w:b/>
                <w:bCs/>
                <w:color w:val="000000"/>
                <w:sz w:val="16"/>
                <w:szCs w:val="16"/>
                <w:lang w:eastAsia="es-AR"/>
              </w:rPr>
              <w:t>/2017</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ECAE"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Ref.</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97F8"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BCRA</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AC6E1"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Reclasificación</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9202"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Ajustes NIIF</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42B4" w14:textId="77777777" w:rsidR="0090604D" w:rsidRPr="00701F32" w:rsidRDefault="0090604D" w:rsidP="00711B49">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NIIF</w:t>
            </w:r>
          </w:p>
        </w:tc>
      </w:tr>
      <w:tr w:rsidR="00CB22DF" w:rsidRPr="00701F32" w14:paraId="41978F9D" w14:textId="77777777" w:rsidTr="00E311C9">
        <w:trPr>
          <w:trHeight w:val="284"/>
        </w:trPr>
        <w:tc>
          <w:tcPr>
            <w:tcW w:w="3631" w:type="dxa"/>
            <w:tcBorders>
              <w:top w:val="single" w:sz="4" w:space="0" w:color="auto"/>
              <w:left w:val="single" w:sz="4" w:space="0" w:color="auto"/>
              <w:right w:val="single" w:sz="4" w:space="0" w:color="auto"/>
            </w:tcBorders>
            <w:shd w:val="clear" w:color="auto" w:fill="auto"/>
            <w:noWrap/>
            <w:vAlign w:val="bottom"/>
            <w:hideMark/>
          </w:tcPr>
          <w:p w14:paraId="1E51B523" w14:textId="77777777" w:rsidR="00CB22DF" w:rsidRPr="00701F32" w:rsidRDefault="00CB22DF" w:rsidP="00CB22DF">
            <w:pPr>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financieros </w:t>
            </w:r>
          </w:p>
        </w:tc>
        <w:tc>
          <w:tcPr>
            <w:tcW w:w="791" w:type="dxa"/>
            <w:tcBorders>
              <w:top w:val="single" w:sz="4" w:space="0" w:color="auto"/>
              <w:left w:val="single" w:sz="4" w:space="0" w:color="auto"/>
              <w:right w:val="single" w:sz="4" w:space="0" w:color="auto"/>
            </w:tcBorders>
            <w:shd w:val="clear" w:color="auto" w:fill="auto"/>
            <w:noWrap/>
            <w:vAlign w:val="bottom"/>
            <w:hideMark/>
          </w:tcPr>
          <w:p w14:paraId="3F9EB165" w14:textId="77777777" w:rsidR="00CB22DF" w:rsidRPr="00701F32" w:rsidRDefault="00CB22DF" w:rsidP="00CB22DF">
            <w:pPr>
              <w:jc w:val="center"/>
              <w:rPr>
                <w:rFonts w:ascii="Arial" w:hAnsi="Arial" w:cs="Arial"/>
                <w:color w:val="000000"/>
                <w:sz w:val="16"/>
                <w:szCs w:val="16"/>
                <w:lang w:eastAsia="es-AR"/>
              </w:rPr>
            </w:pPr>
          </w:p>
        </w:tc>
        <w:tc>
          <w:tcPr>
            <w:tcW w:w="1056" w:type="dxa"/>
            <w:tcBorders>
              <w:top w:val="single" w:sz="4" w:space="0" w:color="auto"/>
              <w:left w:val="single" w:sz="4" w:space="0" w:color="auto"/>
              <w:right w:val="single" w:sz="4" w:space="0" w:color="auto"/>
            </w:tcBorders>
            <w:shd w:val="clear" w:color="auto" w:fill="auto"/>
            <w:noWrap/>
            <w:vAlign w:val="center"/>
            <w:hideMark/>
          </w:tcPr>
          <w:p w14:paraId="4608339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8.613.813</w:t>
            </w:r>
          </w:p>
        </w:tc>
        <w:tc>
          <w:tcPr>
            <w:tcW w:w="1452" w:type="dxa"/>
            <w:tcBorders>
              <w:top w:val="single" w:sz="4" w:space="0" w:color="auto"/>
              <w:left w:val="single" w:sz="4" w:space="0" w:color="auto"/>
              <w:right w:val="single" w:sz="4" w:space="0" w:color="auto"/>
            </w:tcBorders>
            <w:shd w:val="clear" w:color="auto" w:fill="auto"/>
            <w:noWrap/>
            <w:vAlign w:val="center"/>
            <w:hideMark/>
          </w:tcPr>
          <w:p w14:paraId="43AF7DF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-8.613.813</w:t>
            </w:r>
          </w:p>
        </w:tc>
        <w:tc>
          <w:tcPr>
            <w:tcW w:w="1188" w:type="dxa"/>
            <w:tcBorders>
              <w:top w:val="single" w:sz="4" w:space="0" w:color="auto"/>
              <w:left w:val="single" w:sz="4" w:space="0" w:color="auto"/>
              <w:right w:val="single" w:sz="4" w:space="0" w:color="auto"/>
            </w:tcBorders>
            <w:shd w:val="clear" w:color="auto" w:fill="auto"/>
            <w:noWrap/>
            <w:vAlign w:val="center"/>
            <w:hideMark/>
          </w:tcPr>
          <w:p w14:paraId="3E807EB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top w:val="single" w:sz="4" w:space="0" w:color="auto"/>
              <w:left w:val="single" w:sz="4" w:space="0" w:color="auto"/>
              <w:right w:val="single" w:sz="4" w:space="0" w:color="auto"/>
            </w:tcBorders>
            <w:shd w:val="clear" w:color="auto" w:fill="auto"/>
            <w:noWrap/>
            <w:vAlign w:val="center"/>
            <w:hideMark/>
          </w:tcPr>
          <w:p w14:paraId="62891FD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41CF0A40"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6E6D5452"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financieros </w:t>
            </w:r>
          </w:p>
        </w:tc>
        <w:tc>
          <w:tcPr>
            <w:tcW w:w="791" w:type="dxa"/>
            <w:tcBorders>
              <w:left w:val="single" w:sz="4" w:space="0" w:color="auto"/>
              <w:right w:val="single" w:sz="4" w:space="0" w:color="auto"/>
            </w:tcBorders>
            <w:shd w:val="clear" w:color="auto" w:fill="auto"/>
            <w:noWrap/>
            <w:vAlign w:val="bottom"/>
            <w:hideMark/>
          </w:tcPr>
          <w:p w14:paraId="7348C945"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4A5E431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3.612.732</w:t>
            </w:r>
          </w:p>
        </w:tc>
        <w:tc>
          <w:tcPr>
            <w:tcW w:w="1452" w:type="dxa"/>
            <w:tcBorders>
              <w:left w:val="single" w:sz="4" w:space="0" w:color="auto"/>
              <w:right w:val="single" w:sz="4" w:space="0" w:color="auto"/>
            </w:tcBorders>
            <w:shd w:val="clear" w:color="auto" w:fill="auto"/>
            <w:noWrap/>
            <w:vAlign w:val="center"/>
            <w:hideMark/>
          </w:tcPr>
          <w:p w14:paraId="1D40C04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-3.612.732</w:t>
            </w:r>
          </w:p>
        </w:tc>
        <w:tc>
          <w:tcPr>
            <w:tcW w:w="1188" w:type="dxa"/>
            <w:tcBorders>
              <w:left w:val="single" w:sz="4" w:space="0" w:color="auto"/>
              <w:right w:val="single" w:sz="4" w:space="0" w:color="auto"/>
            </w:tcBorders>
            <w:shd w:val="clear" w:color="auto" w:fill="auto"/>
            <w:noWrap/>
            <w:vAlign w:val="center"/>
            <w:hideMark/>
          </w:tcPr>
          <w:p w14:paraId="581CD4A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651716B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449196BA"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3EC913B0"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Cargo por incobrabilidad </w:t>
            </w:r>
          </w:p>
        </w:tc>
        <w:tc>
          <w:tcPr>
            <w:tcW w:w="791" w:type="dxa"/>
            <w:tcBorders>
              <w:left w:val="single" w:sz="4" w:space="0" w:color="auto"/>
              <w:right w:val="single" w:sz="4" w:space="0" w:color="auto"/>
            </w:tcBorders>
            <w:shd w:val="clear" w:color="auto" w:fill="auto"/>
            <w:noWrap/>
            <w:vAlign w:val="bottom"/>
            <w:hideMark/>
          </w:tcPr>
          <w:p w14:paraId="430529FE"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m</w:t>
            </w:r>
          </w:p>
        </w:tc>
        <w:tc>
          <w:tcPr>
            <w:tcW w:w="1056" w:type="dxa"/>
            <w:tcBorders>
              <w:left w:val="single" w:sz="4" w:space="0" w:color="auto"/>
              <w:right w:val="single" w:sz="4" w:space="0" w:color="auto"/>
            </w:tcBorders>
            <w:shd w:val="clear" w:color="auto" w:fill="auto"/>
            <w:noWrap/>
            <w:vAlign w:val="center"/>
            <w:hideMark/>
          </w:tcPr>
          <w:p w14:paraId="3828D40F"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638.293</w:t>
            </w:r>
          </w:p>
        </w:tc>
        <w:tc>
          <w:tcPr>
            <w:tcW w:w="1452" w:type="dxa"/>
            <w:tcBorders>
              <w:left w:val="single" w:sz="4" w:space="0" w:color="auto"/>
              <w:right w:val="single" w:sz="4" w:space="0" w:color="auto"/>
            </w:tcBorders>
            <w:shd w:val="clear" w:color="auto" w:fill="auto"/>
            <w:noWrap/>
            <w:vAlign w:val="center"/>
            <w:hideMark/>
          </w:tcPr>
          <w:p w14:paraId="115C14A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21.597</w:t>
            </w:r>
          </w:p>
        </w:tc>
        <w:tc>
          <w:tcPr>
            <w:tcW w:w="1188" w:type="dxa"/>
            <w:tcBorders>
              <w:left w:val="single" w:sz="4" w:space="0" w:color="auto"/>
              <w:right w:val="single" w:sz="4" w:space="0" w:color="auto"/>
            </w:tcBorders>
            <w:shd w:val="clear" w:color="auto" w:fill="auto"/>
            <w:noWrap/>
            <w:vAlign w:val="center"/>
            <w:hideMark/>
          </w:tcPr>
          <w:p w14:paraId="1491E06E"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3B5B9C8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659.890</w:t>
            </w:r>
          </w:p>
        </w:tc>
      </w:tr>
      <w:tr w:rsidR="00CB22DF" w:rsidRPr="00701F32" w14:paraId="1917907C"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20503EAE"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servicios </w:t>
            </w:r>
          </w:p>
        </w:tc>
        <w:tc>
          <w:tcPr>
            <w:tcW w:w="791" w:type="dxa"/>
            <w:tcBorders>
              <w:left w:val="single" w:sz="4" w:space="0" w:color="auto"/>
              <w:right w:val="single" w:sz="4" w:space="0" w:color="auto"/>
            </w:tcBorders>
            <w:shd w:val="clear" w:color="auto" w:fill="auto"/>
            <w:noWrap/>
            <w:vAlign w:val="bottom"/>
            <w:hideMark/>
          </w:tcPr>
          <w:p w14:paraId="41815C46"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1ABDB2B6"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2.672.380</w:t>
            </w:r>
          </w:p>
        </w:tc>
        <w:tc>
          <w:tcPr>
            <w:tcW w:w="1452" w:type="dxa"/>
            <w:tcBorders>
              <w:left w:val="single" w:sz="4" w:space="0" w:color="auto"/>
              <w:right w:val="single" w:sz="4" w:space="0" w:color="auto"/>
            </w:tcBorders>
            <w:shd w:val="clear" w:color="auto" w:fill="auto"/>
            <w:noWrap/>
            <w:vAlign w:val="center"/>
            <w:hideMark/>
          </w:tcPr>
          <w:p w14:paraId="7A7DBC5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-2.672.380</w:t>
            </w:r>
          </w:p>
        </w:tc>
        <w:tc>
          <w:tcPr>
            <w:tcW w:w="1188" w:type="dxa"/>
            <w:tcBorders>
              <w:left w:val="single" w:sz="4" w:space="0" w:color="auto"/>
              <w:right w:val="single" w:sz="4" w:space="0" w:color="auto"/>
            </w:tcBorders>
            <w:shd w:val="clear" w:color="auto" w:fill="auto"/>
            <w:noWrap/>
            <w:vAlign w:val="center"/>
            <w:hideMark/>
          </w:tcPr>
          <w:p w14:paraId="44AE653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716DB722"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250EE885"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380EA5B6"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servicios </w:t>
            </w:r>
          </w:p>
        </w:tc>
        <w:tc>
          <w:tcPr>
            <w:tcW w:w="791" w:type="dxa"/>
            <w:tcBorders>
              <w:left w:val="single" w:sz="4" w:space="0" w:color="auto"/>
              <w:right w:val="single" w:sz="4" w:space="0" w:color="auto"/>
            </w:tcBorders>
            <w:shd w:val="clear" w:color="auto" w:fill="auto"/>
            <w:noWrap/>
            <w:vAlign w:val="bottom"/>
            <w:hideMark/>
          </w:tcPr>
          <w:p w14:paraId="24F80798"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5A4808D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955.935</w:t>
            </w:r>
          </w:p>
        </w:tc>
        <w:tc>
          <w:tcPr>
            <w:tcW w:w="1452" w:type="dxa"/>
            <w:tcBorders>
              <w:left w:val="single" w:sz="4" w:space="0" w:color="auto"/>
              <w:right w:val="single" w:sz="4" w:space="0" w:color="auto"/>
            </w:tcBorders>
            <w:shd w:val="clear" w:color="auto" w:fill="auto"/>
            <w:noWrap/>
            <w:vAlign w:val="center"/>
            <w:hideMark/>
          </w:tcPr>
          <w:p w14:paraId="188809E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-955.935</w:t>
            </w:r>
          </w:p>
        </w:tc>
        <w:tc>
          <w:tcPr>
            <w:tcW w:w="1188" w:type="dxa"/>
            <w:tcBorders>
              <w:left w:val="single" w:sz="4" w:space="0" w:color="auto"/>
              <w:right w:val="single" w:sz="4" w:space="0" w:color="auto"/>
            </w:tcBorders>
            <w:shd w:val="clear" w:color="auto" w:fill="auto"/>
            <w:noWrap/>
            <w:vAlign w:val="center"/>
            <w:hideMark/>
          </w:tcPr>
          <w:p w14:paraId="35F0CF0A"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7243909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16652418"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47FAECF0"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Gastos de administración </w:t>
            </w:r>
          </w:p>
        </w:tc>
        <w:tc>
          <w:tcPr>
            <w:tcW w:w="791" w:type="dxa"/>
            <w:tcBorders>
              <w:left w:val="single" w:sz="4" w:space="0" w:color="auto"/>
              <w:right w:val="single" w:sz="4" w:space="0" w:color="auto"/>
            </w:tcBorders>
            <w:shd w:val="clear" w:color="auto" w:fill="auto"/>
            <w:noWrap/>
            <w:vAlign w:val="bottom"/>
            <w:hideMark/>
          </w:tcPr>
          <w:p w14:paraId="00609CFE"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15735BA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4.850.675</w:t>
            </w:r>
          </w:p>
        </w:tc>
        <w:tc>
          <w:tcPr>
            <w:tcW w:w="1452" w:type="dxa"/>
            <w:tcBorders>
              <w:left w:val="single" w:sz="4" w:space="0" w:color="auto"/>
              <w:right w:val="single" w:sz="4" w:space="0" w:color="auto"/>
            </w:tcBorders>
            <w:shd w:val="clear" w:color="auto" w:fill="auto"/>
            <w:noWrap/>
            <w:vAlign w:val="center"/>
            <w:hideMark/>
          </w:tcPr>
          <w:p w14:paraId="05908D16"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-4.850.675</w:t>
            </w:r>
          </w:p>
        </w:tc>
        <w:tc>
          <w:tcPr>
            <w:tcW w:w="1188" w:type="dxa"/>
            <w:tcBorders>
              <w:left w:val="single" w:sz="4" w:space="0" w:color="auto"/>
              <w:right w:val="single" w:sz="4" w:space="0" w:color="auto"/>
            </w:tcBorders>
            <w:shd w:val="clear" w:color="auto" w:fill="auto"/>
            <w:noWrap/>
            <w:vAlign w:val="center"/>
            <w:hideMark/>
          </w:tcPr>
          <w:p w14:paraId="15813E4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1A3FA33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2FDC075B"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412671B6"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monetario por egresos operativos </w:t>
            </w:r>
          </w:p>
        </w:tc>
        <w:tc>
          <w:tcPr>
            <w:tcW w:w="791" w:type="dxa"/>
            <w:tcBorders>
              <w:left w:val="single" w:sz="4" w:space="0" w:color="auto"/>
              <w:right w:val="single" w:sz="4" w:space="0" w:color="auto"/>
            </w:tcBorders>
            <w:shd w:val="clear" w:color="auto" w:fill="auto"/>
            <w:noWrap/>
            <w:vAlign w:val="bottom"/>
            <w:hideMark/>
          </w:tcPr>
          <w:p w14:paraId="7AE5199A"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42142E1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1B39200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798E165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5AFCD09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5AF52A1A"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2712EC40"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por participaciones de terceros </w:t>
            </w:r>
          </w:p>
        </w:tc>
        <w:tc>
          <w:tcPr>
            <w:tcW w:w="791" w:type="dxa"/>
            <w:tcBorders>
              <w:left w:val="single" w:sz="4" w:space="0" w:color="auto"/>
              <w:right w:val="single" w:sz="4" w:space="0" w:color="auto"/>
            </w:tcBorders>
            <w:shd w:val="clear" w:color="auto" w:fill="auto"/>
            <w:noWrap/>
            <w:vAlign w:val="bottom"/>
            <w:hideMark/>
          </w:tcPr>
          <w:p w14:paraId="1BFE23F3"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7FB5ECC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014A784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20F4DC6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6CB79C5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7C5EF5B4"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0A5D191D"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Utilidades diversas  </w:t>
            </w:r>
          </w:p>
        </w:tc>
        <w:tc>
          <w:tcPr>
            <w:tcW w:w="791" w:type="dxa"/>
            <w:tcBorders>
              <w:left w:val="single" w:sz="4" w:space="0" w:color="auto"/>
              <w:right w:val="single" w:sz="4" w:space="0" w:color="auto"/>
            </w:tcBorders>
            <w:shd w:val="clear" w:color="auto" w:fill="auto"/>
            <w:noWrap/>
            <w:vAlign w:val="bottom"/>
            <w:hideMark/>
          </w:tcPr>
          <w:p w14:paraId="30993611"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00BBFD6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442.210</w:t>
            </w:r>
          </w:p>
        </w:tc>
        <w:tc>
          <w:tcPr>
            <w:tcW w:w="1452" w:type="dxa"/>
            <w:tcBorders>
              <w:left w:val="single" w:sz="4" w:space="0" w:color="auto"/>
              <w:right w:val="single" w:sz="4" w:space="0" w:color="auto"/>
            </w:tcBorders>
            <w:shd w:val="clear" w:color="auto" w:fill="auto"/>
            <w:noWrap/>
            <w:vAlign w:val="center"/>
            <w:hideMark/>
          </w:tcPr>
          <w:p w14:paraId="46F5EA8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-442.210</w:t>
            </w:r>
          </w:p>
        </w:tc>
        <w:tc>
          <w:tcPr>
            <w:tcW w:w="1188" w:type="dxa"/>
            <w:tcBorders>
              <w:left w:val="single" w:sz="4" w:space="0" w:color="auto"/>
              <w:right w:val="single" w:sz="4" w:space="0" w:color="auto"/>
            </w:tcBorders>
            <w:shd w:val="clear" w:color="auto" w:fill="auto"/>
            <w:noWrap/>
            <w:vAlign w:val="center"/>
            <w:hideMark/>
          </w:tcPr>
          <w:p w14:paraId="633241A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1A0CE94D"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23D5BA77"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6204E636"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Perdidas diversas </w:t>
            </w:r>
          </w:p>
        </w:tc>
        <w:tc>
          <w:tcPr>
            <w:tcW w:w="791" w:type="dxa"/>
            <w:tcBorders>
              <w:left w:val="single" w:sz="4" w:space="0" w:color="auto"/>
              <w:right w:val="single" w:sz="4" w:space="0" w:color="auto"/>
            </w:tcBorders>
            <w:shd w:val="clear" w:color="auto" w:fill="auto"/>
            <w:noWrap/>
            <w:vAlign w:val="bottom"/>
            <w:hideMark/>
          </w:tcPr>
          <w:p w14:paraId="71008E24"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3D59E3D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197.054</w:t>
            </w:r>
          </w:p>
        </w:tc>
        <w:tc>
          <w:tcPr>
            <w:tcW w:w="1452" w:type="dxa"/>
            <w:tcBorders>
              <w:left w:val="single" w:sz="4" w:space="0" w:color="auto"/>
              <w:right w:val="single" w:sz="4" w:space="0" w:color="auto"/>
            </w:tcBorders>
            <w:shd w:val="clear" w:color="auto" w:fill="auto"/>
            <w:noWrap/>
            <w:vAlign w:val="center"/>
            <w:hideMark/>
          </w:tcPr>
          <w:p w14:paraId="3C86137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-197.054</w:t>
            </w:r>
          </w:p>
        </w:tc>
        <w:tc>
          <w:tcPr>
            <w:tcW w:w="1188" w:type="dxa"/>
            <w:tcBorders>
              <w:left w:val="single" w:sz="4" w:space="0" w:color="auto"/>
              <w:right w:val="single" w:sz="4" w:space="0" w:color="auto"/>
            </w:tcBorders>
            <w:shd w:val="clear" w:color="auto" w:fill="auto"/>
            <w:noWrap/>
            <w:vAlign w:val="center"/>
            <w:hideMark/>
          </w:tcPr>
          <w:p w14:paraId="7EA5485E"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25D6285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620DAF76"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595F378D"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monetario por otras operaciones </w:t>
            </w:r>
          </w:p>
        </w:tc>
        <w:tc>
          <w:tcPr>
            <w:tcW w:w="791" w:type="dxa"/>
            <w:tcBorders>
              <w:left w:val="single" w:sz="4" w:space="0" w:color="auto"/>
              <w:right w:val="single" w:sz="4" w:space="0" w:color="auto"/>
            </w:tcBorders>
            <w:shd w:val="clear" w:color="auto" w:fill="auto"/>
            <w:noWrap/>
            <w:vAlign w:val="bottom"/>
            <w:hideMark/>
          </w:tcPr>
          <w:p w14:paraId="34E311A3"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062865E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56D9C73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7BBBD48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6FD5398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58FBE77D"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42112898"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Resultado de filiales en el exterior </w:t>
            </w:r>
          </w:p>
        </w:tc>
        <w:tc>
          <w:tcPr>
            <w:tcW w:w="791" w:type="dxa"/>
            <w:tcBorders>
              <w:left w:val="single" w:sz="4" w:space="0" w:color="auto"/>
              <w:right w:val="single" w:sz="4" w:space="0" w:color="auto"/>
            </w:tcBorders>
            <w:shd w:val="clear" w:color="auto" w:fill="auto"/>
            <w:noWrap/>
            <w:vAlign w:val="bottom"/>
            <w:hideMark/>
          </w:tcPr>
          <w:p w14:paraId="274F2A2F"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2312142F"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079D110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2FA273F0"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06467B7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5029B1BE"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52EC7D07"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Impuesto a las ganancias </w:t>
            </w:r>
          </w:p>
        </w:tc>
        <w:tc>
          <w:tcPr>
            <w:tcW w:w="791" w:type="dxa"/>
            <w:tcBorders>
              <w:left w:val="single" w:sz="4" w:space="0" w:color="auto"/>
              <w:right w:val="single" w:sz="4" w:space="0" w:color="auto"/>
            </w:tcBorders>
            <w:shd w:val="clear" w:color="auto" w:fill="auto"/>
            <w:noWrap/>
            <w:vAlign w:val="bottom"/>
            <w:hideMark/>
          </w:tcPr>
          <w:p w14:paraId="55854E7B"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j</w:t>
            </w:r>
          </w:p>
        </w:tc>
        <w:tc>
          <w:tcPr>
            <w:tcW w:w="1056" w:type="dxa"/>
            <w:tcBorders>
              <w:left w:val="single" w:sz="4" w:space="0" w:color="auto"/>
              <w:right w:val="single" w:sz="4" w:space="0" w:color="auto"/>
            </w:tcBorders>
            <w:shd w:val="clear" w:color="auto" w:fill="auto"/>
            <w:noWrap/>
            <w:vAlign w:val="center"/>
            <w:hideMark/>
          </w:tcPr>
          <w:p w14:paraId="7620B5D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385.326</w:t>
            </w:r>
          </w:p>
        </w:tc>
        <w:tc>
          <w:tcPr>
            <w:tcW w:w="1452" w:type="dxa"/>
            <w:tcBorders>
              <w:left w:val="single" w:sz="4" w:space="0" w:color="auto"/>
              <w:right w:val="single" w:sz="4" w:space="0" w:color="auto"/>
            </w:tcBorders>
            <w:shd w:val="clear" w:color="auto" w:fill="auto"/>
            <w:noWrap/>
            <w:vAlign w:val="center"/>
            <w:hideMark/>
          </w:tcPr>
          <w:p w14:paraId="5FEC442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05FE9629"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-142.637</w:t>
            </w:r>
          </w:p>
        </w:tc>
        <w:tc>
          <w:tcPr>
            <w:tcW w:w="1457" w:type="dxa"/>
            <w:tcBorders>
              <w:left w:val="single" w:sz="4" w:space="0" w:color="auto"/>
              <w:right w:val="single" w:sz="4" w:space="0" w:color="auto"/>
            </w:tcBorders>
            <w:shd w:val="clear" w:color="auto" w:fill="auto"/>
            <w:noWrap/>
            <w:vAlign w:val="center"/>
            <w:hideMark/>
          </w:tcPr>
          <w:p w14:paraId="12D3532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242.689</w:t>
            </w:r>
          </w:p>
        </w:tc>
      </w:tr>
      <w:tr w:rsidR="00CB22DF" w:rsidRPr="00701F32" w14:paraId="0640A4DE"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6A94B72A"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intereses </w:t>
            </w:r>
          </w:p>
        </w:tc>
        <w:tc>
          <w:tcPr>
            <w:tcW w:w="791" w:type="dxa"/>
            <w:tcBorders>
              <w:left w:val="single" w:sz="4" w:space="0" w:color="auto"/>
              <w:right w:val="single" w:sz="4" w:space="0" w:color="auto"/>
            </w:tcBorders>
            <w:shd w:val="clear" w:color="auto" w:fill="auto"/>
            <w:noWrap/>
            <w:vAlign w:val="bottom"/>
            <w:hideMark/>
          </w:tcPr>
          <w:p w14:paraId="6643AABC"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a, b, l, m</w:t>
            </w:r>
          </w:p>
        </w:tc>
        <w:tc>
          <w:tcPr>
            <w:tcW w:w="1056" w:type="dxa"/>
            <w:tcBorders>
              <w:left w:val="single" w:sz="4" w:space="0" w:color="auto"/>
              <w:right w:val="single" w:sz="4" w:space="0" w:color="auto"/>
            </w:tcBorders>
            <w:shd w:val="clear" w:color="auto" w:fill="auto"/>
            <w:noWrap/>
            <w:vAlign w:val="center"/>
            <w:hideMark/>
          </w:tcPr>
          <w:p w14:paraId="4CF9DE6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28D571FB"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7.019.037</w:t>
            </w:r>
          </w:p>
        </w:tc>
        <w:tc>
          <w:tcPr>
            <w:tcW w:w="1188" w:type="dxa"/>
            <w:tcBorders>
              <w:left w:val="single" w:sz="4" w:space="0" w:color="auto"/>
              <w:right w:val="single" w:sz="4" w:space="0" w:color="auto"/>
            </w:tcBorders>
            <w:shd w:val="clear" w:color="auto" w:fill="auto"/>
            <w:noWrap/>
            <w:vAlign w:val="center"/>
            <w:hideMark/>
          </w:tcPr>
          <w:p w14:paraId="1F8260E2"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323.585</w:t>
            </w:r>
          </w:p>
        </w:tc>
        <w:tc>
          <w:tcPr>
            <w:tcW w:w="1457" w:type="dxa"/>
            <w:tcBorders>
              <w:left w:val="single" w:sz="4" w:space="0" w:color="auto"/>
              <w:right w:val="single" w:sz="4" w:space="0" w:color="auto"/>
            </w:tcBorders>
            <w:shd w:val="clear" w:color="auto" w:fill="auto"/>
            <w:noWrap/>
            <w:vAlign w:val="center"/>
            <w:hideMark/>
          </w:tcPr>
          <w:p w14:paraId="67CB888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7.342.622</w:t>
            </w:r>
          </w:p>
        </w:tc>
      </w:tr>
      <w:tr w:rsidR="00CB22DF" w:rsidRPr="00701F32" w14:paraId="734BAB86"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7901909E"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intereses </w:t>
            </w:r>
          </w:p>
        </w:tc>
        <w:tc>
          <w:tcPr>
            <w:tcW w:w="791" w:type="dxa"/>
            <w:tcBorders>
              <w:left w:val="single" w:sz="4" w:space="0" w:color="auto"/>
              <w:right w:val="single" w:sz="4" w:space="0" w:color="auto"/>
            </w:tcBorders>
            <w:shd w:val="clear" w:color="auto" w:fill="auto"/>
            <w:noWrap/>
            <w:vAlign w:val="bottom"/>
            <w:hideMark/>
          </w:tcPr>
          <w:p w14:paraId="4C15F189"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m</w:t>
            </w:r>
          </w:p>
        </w:tc>
        <w:tc>
          <w:tcPr>
            <w:tcW w:w="1056" w:type="dxa"/>
            <w:tcBorders>
              <w:left w:val="single" w:sz="4" w:space="0" w:color="auto"/>
              <w:right w:val="single" w:sz="4" w:space="0" w:color="auto"/>
            </w:tcBorders>
            <w:shd w:val="clear" w:color="auto" w:fill="auto"/>
            <w:noWrap/>
            <w:vAlign w:val="center"/>
            <w:hideMark/>
          </w:tcPr>
          <w:p w14:paraId="00E0039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2CF68422"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3.054.119</w:t>
            </w:r>
          </w:p>
        </w:tc>
        <w:tc>
          <w:tcPr>
            <w:tcW w:w="1188" w:type="dxa"/>
            <w:tcBorders>
              <w:left w:val="single" w:sz="4" w:space="0" w:color="auto"/>
              <w:right w:val="single" w:sz="4" w:space="0" w:color="auto"/>
            </w:tcBorders>
            <w:shd w:val="clear" w:color="auto" w:fill="auto"/>
            <w:noWrap/>
            <w:vAlign w:val="center"/>
            <w:hideMark/>
          </w:tcPr>
          <w:p w14:paraId="0837E2C0"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630288E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3.054.119</w:t>
            </w:r>
          </w:p>
        </w:tc>
      </w:tr>
      <w:tr w:rsidR="00CB22DF" w:rsidRPr="00701F32" w14:paraId="3BB13EC7"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3900177C"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Ingresos por comisiones </w:t>
            </w:r>
          </w:p>
        </w:tc>
        <w:tc>
          <w:tcPr>
            <w:tcW w:w="791" w:type="dxa"/>
            <w:tcBorders>
              <w:left w:val="single" w:sz="4" w:space="0" w:color="auto"/>
              <w:right w:val="single" w:sz="4" w:space="0" w:color="auto"/>
            </w:tcBorders>
            <w:shd w:val="clear" w:color="auto" w:fill="auto"/>
            <w:noWrap/>
            <w:vAlign w:val="bottom"/>
            <w:hideMark/>
          </w:tcPr>
          <w:p w14:paraId="5391C7C9"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a</w:t>
            </w:r>
          </w:p>
        </w:tc>
        <w:tc>
          <w:tcPr>
            <w:tcW w:w="1056" w:type="dxa"/>
            <w:tcBorders>
              <w:left w:val="single" w:sz="4" w:space="0" w:color="auto"/>
              <w:right w:val="single" w:sz="4" w:space="0" w:color="auto"/>
            </w:tcBorders>
            <w:shd w:val="clear" w:color="auto" w:fill="auto"/>
            <w:noWrap/>
            <w:vAlign w:val="center"/>
            <w:hideMark/>
          </w:tcPr>
          <w:p w14:paraId="1AAA5EC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1502122B"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2.291.286</w:t>
            </w:r>
          </w:p>
        </w:tc>
        <w:tc>
          <w:tcPr>
            <w:tcW w:w="1188" w:type="dxa"/>
            <w:tcBorders>
              <w:left w:val="single" w:sz="4" w:space="0" w:color="auto"/>
              <w:right w:val="single" w:sz="4" w:space="0" w:color="auto"/>
            </w:tcBorders>
            <w:shd w:val="clear" w:color="auto" w:fill="auto"/>
            <w:noWrap/>
            <w:vAlign w:val="center"/>
            <w:hideMark/>
          </w:tcPr>
          <w:p w14:paraId="0B7FBF5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-269.588</w:t>
            </w:r>
          </w:p>
        </w:tc>
        <w:tc>
          <w:tcPr>
            <w:tcW w:w="1457" w:type="dxa"/>
            <w:tcBorders>
              <w:left w:val="single" w:sz="4" w:space="0" w:color="auto"/>
              <w:right w:val="single" w:sz="4" w:space="0" w:color="auto"/>
            </w:tcBorders>
            <w:shd w:val="clear" w:color="auto" w:fill="auto"/>
            <w:noWrap/>
            <w:vAlign w:val="center"/>
            <w:hideMark/>
          </w:tcPr>
          <w:p w14:paraId="3EDCE7B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2.021.698</w:t>
            </w:r>
          </w:p>
        </w:tc>
      </w:tr>
      <w:tr w:rsidR="00CB22DF" w:rsidRPr="00701F32" w14:paraId="6E037757"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19C22B17"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Egresos por comisiones </w:t>
            </w:r>
          </w:p>
        </w:tc>
        <w:tc>
          <w:tcPr>
            <w:tcW w:w="791" w:type="dxa"/>
            <w:tcBorders>
              <w:left w:val="single" w:sz="4" w:space="0" w:color="auto"/>
              <w:right w:val="single" w:sz="4" w:space="0" w:color="auto"/>
            </w:tcBorders>
            <w:shd w:val="clear" w:color="auto" w:fill="auto"/>
            <w:noWrap/>
            <w:vAlign w:val="bottom"/>
            <w:hideMark/>
          </w:tcPr>
          <w:p w14:paraId="48FBE02E"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01D421DA"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4223533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373.480</w:t>
            </w:r>
          </w:p>
        </w:tc>
        <w:tc>
          <w:tcPr>
            <w:tcW w:w="1188" w:type="dxa"/>
            <w:tcBorders>
              <w:left w:val="single" w:sz="4" w:space="0" w:color="auto"/>
              <w:right w:val="single" w:sz="4" w:space="0" w:color="auto"/>
            </w:tcBorders>
            <w:shd w:val="clear" w:color="auto" w:fill="auto"/>
            <w:noWrap/>
            <w:vAlign w:val="center"/>
            <w:hideMark/>
          </w:tcPr>
          <w:p w14:paraId="603BD5C5"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7284DC4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373.480</w:t>
            </w:r>
          </w:p>
        </w:tc>
      </w:tr>
      <w:tr w:rsidR="00CB22DF" w:rsidRPr="00701F32" w14:paraId="179535EA"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16064602"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 por inst.financieros a VR con cbios en result.</w:t>
            </w:r>
          </w:p>
        </w:tc>
        <w:tc>
          <w:tcPr>
            <w:tcW w:w="791" w:type="dxa"/>
            <w:tcBorders>
              <w:left w:val="single" w:sz="4" w:space="0" w:color="auto"/>
              <w:right w:val="single" w:sz="4" w:space="0" w:color="auto"/>
            </w:tcBorders>
            <w:shd w:val="clear" w:color="auto" w:fill="auto"/>
            <w:noWrap/>
            <w:vAlign w:val="bottom"/>
            <w:hideMark/>
          </w:tcPr>
          <w:p w14:paraId="09B888E1" w14:textId="77777777" w:rsidR="00CB22DF" w:rsidRPr="00701F32" w:rsidRDefault="00CB22DF" w:rsidP="00CB22DF">
            <w:pPr>
              <w:jc w:val="center"/>
              <w:rPr>
                <w:rFonts w:ascii="Arial" w:hAnsi="Arial" w:cs="Arial"/>
                <w:color w:val="000000"/>
                <w:sz w:val="16"/>
                <w:szCs w:val="16"/>
                <w:lang w:eastAsia="es-AR"/>
              </w:rPr>
            </w:pPr>
            <w:r w:rsidRPr="00701F32">
              <w:rPr>
                <w:rFonts w:ascii="Arial" w:hAnsi="Arial" w:cs="Arial"/>
                <w:color w:val="000000"/>
                <w:sz w:val="16"/>
                <w:szCs w:val="16"/>
                <w:lang w:eastAsia="es-AR"/>
              </w:rPr>
              <w:t>c</w:t>
            </w:r>
          </w:p>
        </w:tc>
        <w:tc>
          <w:tcPr>
            <w:tcW w:w="1056" w:type="dxa"/>
            <w:tcBorders>
              <w:left w:val="single" w:sz="4" w:space="0" w:color="auto"/>
              <w:right w:val="single" w:sz="4" w:space="0" w:color="auto"/>
            </w:tcBorders>
            <w:shd w:val="clear" w:color="auto" w:fill="auto"/>
            <w:noWrap/>
            <w:vAlign w:val="center"/>
            <w:hideMark/>
          </w:tcPr>
          <w:p w14:paraId="0767E48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37B6B8C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1.435.905</w:t>
            </w:r>
          </w:p>
        </w:tc>
        <w:tc>
          <w:tcPr>
            <w:tcW w:w="1188" w:type="dxa"/>
            <w:tcBorders>
              <w:left w:val="single" w:sz="4" w:space="0" w:color="auto"/>
              <w:right w:val="single" w:sz="4" w:space="0" w:color="auto"/>
            </w:tcBorders>
            <w:shd w:val="clear" w:color="auto" w:fill="auto"/>
            <w:noWrap/>
            <w:vAlign w:val="center"/>
            <w:hideMark/>
          </w:tcPr>
          <w:p w14:paraId="77DB8AC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-2.342</w:t>
            </w:r>
          </w:p>
        </w:tc>
        <w:tc>
          <w:tcPr>
            <w:tcW w:w="1457" w:type="dxa"/>
            <w:tcBorders>
              <w:left w:val="single" w:sz="4" w:space="0" w:color="auto"/>
              <w:right w:val="single" w:sz="4" w:space="0" w:color="auto"/>
            </w:tcBorders>
            <w:shd w:val="clear" w:color="auto" w:fill="auto"/>
            <w:noWrap/>
            <w:vAlign w:val="center"/>
            <w:hideMark/>
          </w:tcPr>
          <w:p w14:paraId="3C68B28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1.433.563</w:t>
            </w:r>
          </w:p>
        </w:tc>
      </w:tr>
      <w:tr w:rsidR="00CB22DF" w:rsidRPr="00701F32" w14:paraId="2631CC84"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5242222E"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Resul. por baja de activos a costo amortizado     </w:t>
            </w:r>
          </w:p>
        </w:tc>
        <w:tc>
          <w:tcPr>
            <w:tcW w:w="791" w:type="dxa"/>
            <w:tcBorders>
              <w:left w:val="single" w:sz="4" w:space="0" w:color="auto"/>
              <w:right w:val="single" w:sz="4" w:space="0" w:color="auto"/>
            </w:tcBorders>
            <w:shd w:val="clear" w:color="auto" w:fill="auto"/>
            <w:noWrap/>
            <w:vAlign w:val="bottom"/>
            <w:hideMark/>
          </w:tcPr>
          <w:p w14:paraId="4E262630"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2893D35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4A2034AE"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188" w:type="dxa"/>
            <w:tcBorders>
              <w:left w:val="single" w:sz="4" w:space="0" w:color="auto"/>
              <w:right w:val="single" w:sz="4" w:space="0" w:color="auto"/>
            </w:tcBorders>
            <w:shd w:val="clear" w:color="auto" w:fill="auto"/>
            <w:noWrap/>
            <w:vAlign w:val="center"/>
            <w:hideMark/>
          </w:tcPr>
          <w:p w14:paraId="5091E342"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07C831F9"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r>
      <w:tr w:rsidR="00CB22DF" w:rsidRPr="00701F32" w14:paraId="4D63378C"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5F7F9A20" w14:textId="77777777" w:rsidR="00CB22DF" w:rsidRPr="00701F32" w:rsidRDefault="00CB22DF" w:rsidP="00CB22DF">
            <w:pPr>
              <w:jc w:val="both"/>
              <w:rPr>
                <w:rFonts w:ascii="Arial" w:hAnsi="Arial" w:cs="Arial"/>
                <w:color w:val="000000"/>
                <w:sz w:val="16"/>
                <w:szCs w:val="16"/>
                <w:lang w:eastAsia="es-AR"/>
              </w:rPr>
            </w:pPr>
            <w:r w:rsidRPr="00701F32">
              <w:rPr>
                <w:rFonts w:ascii="Arial" w:hAnsi="Arial" w:cs="Arial"/>
                <w:color w:val="000000"/>
                <w:sz w:val="16"/>
                <w:szCs w:val="16"/>
                <w:lang w:eastAsia="es-AR"/>
              </w:rPr>
              <w:t xml:space="preserve"> Diferencia de cotización de oro y moneda extranjera     </w:t>
            </w:r>
          </w:p>
        </w:tc>
        <w:tc>
          <w:tcPr>
            <w:tcW w:w="791" w:type="dxa"/>
            <w:tcBorders>
              <w:left w:val="single" w:sz="4" w:space="0" w:color="auto"/>
              <w:right w:val="single" w:sz="4" w:space="0" w:color="auto"/>
            </w:tcBorders>
            <w:shd w:val="clear" w:color="auto" w:fill="auto"/>
            <w:noWrap/>
            <w:vAlign w:val="bottom"/>
            <w:hideMark/>
          </w:tcPr>
          <w:p w14:paraId="3D48A3FA" w14:textId="77777777" w:rsidR="00CB22DF" w:rsidRPr="00701F32" w:rsidRDefault="00CB22DF" w:rsidP="00CB22DF">
            <w:pPr>
              <w:jc w:val="center"/>
              <w:rPr>
                <w:rFonts w:ascii="Arial" w:hAnsi="Arial" w:cs="Arial"/>
                <w:color w:val="000000"/>
                <w:sz w:val="16"/>
                <w:szCs w:val="16"/>
                <w:lang w:eastAsia="es-AR"/>
              </w:rPr>
            </w:pPr>
          </w:p>
        </w:tc>
        <w:tc>
          <w:tcPr>
            <w:tcW w:w="1056" w:type="dxa"/>
            <w:tcBorders>
              <w:left w:val="single" w:sz="4" w:space="0" w:color="auto"/>
              <w:right w:val="single" w:sz="4" w:space="0" w:color="auto"/>
            </w:tcBorders>
            <w:shd w:val="clear" w:color="auto" w:fill="auto"/>
            <w:noWrap/>
            <w:vAlign w:val="center"/>
            <w:hideMark/>
          </w:tcPr>
          <w:p w14:paraId="26C78C4F"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505E680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130.002</w:t>
            </w:r>
          </w:p>
        </w:tc>
        <w:tc>
          <w:tcPr>
            <w:tcW w:w="1188" w:type="dxa"/>
            <w:tcBorders>
              <w:left w:val="single" w:sz="4" w:space="0" w:color="auto"/>
              <w:right w:val="single" w:sz="4" w:space="0" w:color="auto"/>
            </w:tcBorders>
            <w:shd w:val="clear" w:color="auto" w:fill="auto"/>
            <w:noWrap/>
            <w:vAlign w:val="center"/>
            <w:hideMark/>
          </w:tcPr>
          <w:p w14:paraId="50CA7AC9"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7" w:type="dxa"/>
            <w:tcBorders>
              <w:left w:val="single" w:sz="4" w:space="0" w:color="auto"/>
              <w:right w:val="single" w:sz="4" w:space="0" w:color="auto"/>
            </w:tcBorders>
            <w:shd w:val="clear" w:color="auto" w:fill="auto"/>
            <w:noWrap/>
            <w:vAlign w:val="center"/>
            <w:hideMark/>
          </w:tcPr>
          <w:p w14:paraId="02D5567A"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130.002</w:t>
            </w:r>
          </w:p>
        </w:tc>
      </w:tr>
      <w:tr w:rsidR="00CB22DF" w:rsidRPr="00701F32" w14:paraId="77FA6654"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7256DCA9"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ingresos operativos </w:t>
            </w:r>
          </w:p>
        </w:tc>
        <w:tc>
          <w:tcPr>
            <w:tcW w:w="791" w:type="dxa"/>
            <w:tcBorders>
              <w:left w:val="single" w:sz="4" w:space="0" w:color="auto"/>
              <w:right w:val="single" w:sz="4" w:space="0" w:color="auto"/>
            </w:tcBorders>
            <w:shd w:val="clear" w:color="auto" w:fill="auto"/>
            <w:noWrap/>
            <w:vAlign w:val="bottom"/>
            <w:hideMark/>
          </w:tcPr>
          <w:p w14:paraId="095C3855"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 g</w:t>
            </w:r>
          </w:p>
        </w:tc>
        <w:tc>
          <w:tcPr>
            <w:tcW w:w="1056" w:type="dxa"/>
            <w:tcBorders>
              <w:left w:val="single" w:sz="4" w:space="0" w:color="auto"/>
              <w:right w:val="single" w:sz="4" w:space="0" w:color="auto"/>
            </w:tcBorders>
            <w:shd w:val="clear" w:color="auto" w:fill="auto"/>
            <w:noWrap/>
            <w:vAlign w:val="center"/>
            <w:hideMark/>
          </w:tcPr>
          <w:p w14:paraId="31E9CEF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71B51159" w14:textId="18C28B98" w:rsidR="00CB22DF" w:rsidRPr="00701F32" w:rsidRDefault="009A69FD"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755.833</w:t>
            </w:r>
          </w:p>
        </w:tc>
        <w:tc>
          <w:tcPr>
            <w:tcW w:w="1188" w:type="dxa"/>
            <w:tcBorders>
              <w:left w:val="single" w:sz="4" w:space="0" w:color="auto"/>
              <w:right w:val="single" w:sz="4" w:space="0" w:color="auto"/>
            </w:tcBorders>
            <w:shd w:val="clear" w:color="auto" w:fill="auto"/>
            <w:noWrap/>
            <w:vAlign w:val="center"/>
            <w:hideMark/>
          </w:tcPr>
          <w:p w14:paraId="4A6771B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-61.901</w:t>
            </w:r>
          </w:p>
        </w:tc>
        <w:tc>
          <w:tcPr>
            <w:tcW w:w="1457" w:type="dxa"/>
            <w:tcBorders>
              <w:left w:val="single" w:sz="4" w:space="0" w:color="auto"/>
              <w:right w:val="single" w:sz="4" w:space="0" w:color="auto"/>
            </w:tcBorders>
            <w:shd w:val="clear" w:color="auto" w:fill="auto"/>
            <w:noWrap/>
            <w:vAlign w:val="center"/>
            <w:hideMark/>
          </w:tcPr>
          <w:p w14:paraId="7D81CF4B" w14:textId="7A720155" w:rsidR="00CB22DF" w:rsidRPr="00701F32" w:rsidRDefault="009A69FD"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693.932</w:t>
            </w:r>
          </w:p>
        </w:tc>
      </w:tr>
      <w:tr w:rsidR="00CB22DF" w:rsidRPr="00701F32" w14:paraId="58699688"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5C34AEE8"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Beneficios al personal     </w:t>
            </w:r>
          </w:p>
        </w:tc>
        <w:tc>
          <w:tcPr>
            <w:tcW w:w="791" w:type="dxa"/>
            <w:tcBorders>
              <w:left w:val="single" w:sz="4" w:space="0" w:color="auto"/>
              <w:right w:val="single" w:sz="4" w:space="0" w:color="auto"/>
            </w:tcBorders>
            <w:shd w:val="clear" w:color="auto" w:fill="auto"/>
            <w:noWrap/>
            <w:vAlign w:val="bottom"/>
            <w:hideMark/>
          </w:tcPr>
          <w:p w14:paraId="6C26E700"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b, h</w:t>
            </w:r>
          </w:p>
        </w:tc>
        <w:tc>
          <w:tcPr>
            <w:tcW w:w="1056" w:type="dxa"/>
            <w:tcBorders>
              <w:left w:val="single" w:sz="4" w:space="0" w:color="auto"/>
              <w:right w:val="single" w:sz="4" w:space="0" w:color="auto"/>
            </w:tcBorders>
            <w:shd w:val="clear" w:color="auto" w:fill="auto"/>
            <w:noWrap/>
            <w:vAlign w:val="center"/>
            <w:hideMark/>
          </w:tcPr>
          <w:p w14:paraId="2B78DA58"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565D38CF"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2.926.764</w:t>
            </w:r>
          </w:p>
        </w:tc>
        <w:tc>
          <w:tcPr>
            <w:tcW w:w="1188" w:type="dxa"/>
            <w:tcBorders>
              <w:left w:val="single" w:sz="4" w:space="0" w:color="auto"/>
              <w:right w:val="single" w:sz="4" w:space="0" w:color="auto"/>
            </w:tcBorders>
            <w:shd w:val="clear" w:color="auto" w:fill="auto"/>
            <w:noWrap/>
            <w:vAlign w:val="center"/>
            <w:hideMark/>
          </w:tcPr>
          <w:p w14:paraId="51594B0B"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166.108</w:t>
            </w:r>
          </w:p>
        </w:tc>
        <w:tc>
          <w:tcPr>
            <w:tcW w:w="1457" w:type="dxa"/>
            <w:tcBorders>
              <w:left w:val="single" w:sz="4" w:space="0" w:color="auto"/>
              <w:right w:val="single" w:sz="4" w:space="0" w:color="auto"/>
            </w:tcBorders>
            <w:shd w:val="clear" w:color="auto" w:fill="auto"/>
            <w:noWrap/>
            <w:vAlign w:val="center"/>
            <w:hideMark/>
          </w:tcPr>
          <w:p w14:paraId="69A0C9C6"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3.092.872</w:t>
            </w:r>
          </w:p>
        </w:tc>
      </w:tr>
      <w:tr w:rsidR="00CB22DF" w:rsidRPr="00701F32" w14:paraId="248867A5"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65C0C4EF"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Gastos de administración</w:t>
            </w:r>
          </w:p>
        </w:tc>
        <w:tc>
          <w:tcPr>
            <w:tcW w:w="791" w:type="dxa"/>
            <w:tcBorders>
              <w:left w:val="single" w:sz="4" w:space="0" w:color="auto"/>
              <w:right w:val="single" w:sz="4" w:space="0" w:color="auto"/>
            </w:tcBorders>
            <w:shd w:val="clear" w:color="auto" w:fill="auto"/>
            <w:noWrap/>
            <w:vAlign w:val="bottom"/>
            <w:hideMark/>
          </w:tcPr>
          <w:p w14:paraId="2F4FE363"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a</w:t>
            </w:r>
          </w:p>
        </w:tc>
        <w:tc>
          <w:tcPr>
            <w:tcW w:w="1056" w:type="dxa"/>
            <w:tcBorders>
              <w:left w:val="single" w:sz="4" w:space="0" w:color="auto"/>
              <w:right w:val="single" w:sz="4" w:space="0" w:color="auto"/>
            </w:tcBorders>
            <w:shd w:val="clear" w:color="auto" w:fill="auto"/>
            <w:noWrap/>
            <w:vAlign w:val="center"/>
            <w:hideMark/>
          </w:tcPr>
          <w:p w14:paraId="26D30949"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0917F17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1.764.013</w:t>
            </w:r>
          </w:p>
        </w:tc>
        <w:tc>
          <w:tcPr>
            <w:tcW w:w="1188" w:type="dxa"/>
            <w:tcBorders>
              <w:left w:val="single" w:sz="4" w:space="0" w:color="auto"/>
              <w:right w:val="single" w:sz="4" w:space="0" w:color="auto"/>
            </w:tcBorders>
            <w:shd w:val="clear" w:color="auto" w:fill="auto"/>
            <w:noWrap/>
            <w:vAlign w:val="center"/>
            <w:hideMark/>
          </w:tcPr>
          <w:p w14:paraId="769721B1"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17.767</w:t>
            </w:r>
          </w:p>
        </w:tc>
        <w:tc>
          <w:tcPr>
            <w:tcW w:w="1457" w:type="dxa"/>
            <w:tcBorders>
              <w:left w:val="single" w:sz="4" w:space="0" w:color="auto"/>
              <w:right w:val="single" w:sz="4" w:space="0" w:color="auto"/>
            </w:tcBorders>
            <w:shd w:val="clear" w:color="auto" w:fill="auto"/>
            <w:noWrap/>
            <w:vAlign w:val="center"/>
            <w:hideMark/>
          </w:tcPr>
          <w:p w14:paraId="1EF47DB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1.781.780</w:t>
            </w:r>
          </w:p>
        </w:tc>
      </w:tr>
      <w:tr w:rsidR="00CB22DF" w:rsidRPr="00701F32" w14:paraId="4DD34BB5"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1FFCF052"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Depreciaciones y desvalorizaciones de bienes </w:t>
            </w:r>
          </w:p>
        </w:tc>
        <w:tc>
          <w:tcPr>
            <w:tcW w:w="791" w:type="dxa"/>
            <w:tcBorders>
              <w:left w:val="single" w:sz="4" w:space="0" w:color="auto"/>
              <w:right w:val="single" w:sz="4" w:space="0" w:color="auto"/>
            </w:tcBorders>
            <w:shd w:val="clear" w:color="auto" w:fill="auto"/>
            <w:noWrap/>
            <w:vAlign w:val="bottom"/>
            <w:hideMark/>
          </w:tcPr>
          <w:p w14:paraId="459C494A"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e, f</w:t>
            </w:r>
          </w:p>
        </w:tc>
        <w:tc>
          <w:tcPr>
            <w:tcW w:w="1056" w:type="dxa"/>
            <w:tcBorders>
              <w:left w:val="single" w:sz="4" w:space="0" w:color="auto"/>
              <w:right w:val="single" w:sz="4" w:space="0" w:color="auto"/>
            </w:tcBorders>
            <w:shd w:val="clear" w:color="auto" w:fill="auto"/>
            <w:noWrap/>
            <w:vAlign w:val="center"/>
            <w:hideMark/>
          </w:tcPr>
          <w:p w14:paraId="17B46B0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7F79FE5E"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164.119</w:t>
            </w:r>
          </w:p>
        </w:tc>
        <w:tc>
          <w:tcPr>
            <w:tcW w:w="1188" w:type="dxa"/>
            <w:tcBorders>
              <w:left w:val="single" w:sz="4" w:space="0" w:color="auto"/>
              <w:right w:val="single" w:sz="4" w:space="0" w:color="auto"/>
            </w:tcBorders>
            <w:shd w:val="clear" w:color="auto" w:fill="auto"/>
            <w:noWrap/>
            <w:vAlign w:val="center"/>
            <w:hideMark/>
          </w:tcPr>
          <w:p w14:paraId="062069C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24.588</w:t>
            </w:r>
          </w:p>
        </w:tc>
        <w:tc>
          <w:tcPr>
            <w:tcW w:w="1457" w:type="dxa"/>
            <w:tcBorders>
              <w:left w:val="single" w:sz="4" w:space="0" w:color="auto"/>
              <w:right w:val="single" w:sz="4" w:space="0" w:color="auto"/>
            </w:tcBorders>
            <w:shd w:val="clear" w:color="auto" w:fill="auto"/>
            <w:noWrap/>
            <w:vAlign w:val="center"/>
            <w:hideMark/>
          </w:tcPr>
          <w:p w14:paraId="2486435F"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188.707</w:t>
            </w:r>
          </w:p>
        </w:tc>
      </w:tr>
      <w:tr w:rsidR="00CB22DF" w:rsidRPr="00701F32" w14:paraId="6ED4F184" w14:textId="77777777" w:rsidTr="00E311C9">
        <w:trPr>
          <w:trHeight w:val="284"/>
        </w:trPr>
        <w:tc>
          <w:tcPr>
            <w:tcW w:w="3631" w:type="dxa"/>
            <w:tcBorders>
              <w:left w:val="single" w:sz="4" w:space="0" w:color="auto"/>
              <w:right w:val="single" w:sz="4" w:space="0" w:color="auto"/>
            </w:tcBorders>
            <w:shd w:val="clear" w:color="auto" w:fill="auto"/>
            <w:noWrap/>
            <w:vAlign w:val="bottom"/>
            <w:hideMark/>
          </w:tcPr>
          <w:p w14:paraId="3E0C416F"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Otros gastos operativos </w:t>
            </w:r>
          </w:p>
        </w:tc>
        <w:tc>
          <w:tcPr>
            <w:tcW w:w="791" w:type="dxa"/>
            <w:tcBorders>
              <w:left w:val="single" w:sz="4" w:space="0" w:color="auto"/>
              <w:right w:val="single" w:sz="4" w:space="0" w:color="auto"/>
            </w:tcBorders>
            <w:shd w:val="clear" w:color="auto" w:fill="auto"/>
            <w:noWrap/>
            <w:vAlign w:val="bottom"/>
            <w:hideMark/>
          </w:tcPr>
          <w:p w14:paraId="773721A1"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b, k</w:t>
            </w:r>
          </w:p>
        </w:tc>
        <w:tc>
          <w:tcPr>
            <w:tcW w:w="1056" w:type="dxa"/>
            <w:tcBorders>
              <w:left w:val="single" w:sz="4" w:space="0" w:color="auto"/>
              <w:right w:val="single" w:sz="4" w:space="0" w:color="auto"/>
            </w:tcBorders>
            <w:shd w:val="clear" w:color="auto" w:fill="auto"/>
            <w:noWrap/>
            <w:vAlign w:val="center"/>
            <w:hideMark/>
          </w:tcPr>
          <w:p w14:paraId="19120352"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right w:val="single" w:sz="4" w:space="0" w:color="auto"/>
            </w:tcBorders>
            <w:shd w:val="clear" w:color="auto" w:fill="auto"/>
            <w:noWrap/>
            <w:vAlign w:val="center"/>
            <w:hideMark/>
          </w:tcPr>
          <w:p w14:paraId="63160E92" w14:textId="02AA2626" w:rsidR="00CB22DF" w:rsidRPr="00701F32" w:rsidRDefault="009A69FD"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1.351.548</w:t>
            </w:r>
          </w:p>
        </w:tc>
        <w:tc>
          <w:tcPr>
            <w:tcW w:w="1188" w:type="dxa"/>
            <w:tcBorders>
              <w:left w:val="single" w:sz="4" w:space="0" w:color="auto"/>
              <w:right w:val="single" w:sz="4" w:space="0" w:color="auto"/>
            </w:tcBorders>
            <w:shd w:val="clear" w:color="auto" w:fill="auto"/>
            <w:noWrap/>
            <w:vAlign w:val="center"/>
            <w:hideMark/>
          </w:tcPr>
          <w:p w14:paraId="6039D034"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182.279</w:t>
            </w:r>
          </w:p>
        </w:tc>
        <w:tc>
          <w:tcPr>
            <w:tcW w:w="1457" w:type="dxa"/>
            <w:tcBorders>
              <w:left w:val="single" w:sz="4" w:space="0" w:color="auto"/>
              <w:right w:val="single" w:sz="4" w:space="0" w:color="auto"/>
            </w:tcBorders>
            <w:shd w:val="clear" w:color="auto" w:fill="auto"/>
            <w:noWrap/>
            <w:vAlign w:val="center"/>
            <w:hideMark/>
          </w:tcPr>
          <w:p w14:paraId="24F53A93" w14:textId="5486347A" w:rsidR="00CB22DF" w:rsidRPr="00701F32" w:rsidRDefault="009A69FD"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1.533.827</w:t>
            </w:r>
          </w:p>
        </w:tc>
      </w:tr>
      <w:tr w:rsidR="00CB22DF" w:rsidRPr="00701F32" w14:paraId="22A68831" w14:textId="77777777" w:rsidTr="00E311C9">
        <w:trPr>
          <w:trHeight w:val="284"/>
        </w:trPr>
        <w:tc>
          <w:tcPr>
            <w:tcW w:w="3631" w:type="dxa"/>
            <w:tcBorders>
              <w:left w:val="single" w:sz="4" w:space="0" w:color="auto"/>
              <w:bottom w:val="single" w:sz="4" w:space="0" w:color="auto"/>
              <w:right w:val="single" w:sz="4" w:space="0" w:color="auto"/>
            </w:tcBorders>
            <w:shd w:val="clear" w:color="auto" w:fill="auto"/>
            <w:noWrap/>
            <w:vAlign w:val="bottom"/>
            <w:hideMark/>
          </w:tcPr>
          <w:p w14:paraId="7A42462B" w14:textId="77777777" w:rsidR="00CB22DF" w:rsidRPr="00701F32" w:rsidRDefault="00CB22DF" w:rsidP="00CB22DF">
            <w:pPr>
              <w:jc w:val="both"/>
              <w:rPr>
                <w:rFonts w:ascii="Arial" w:hAnsi="Arial" w:cs="Arial"/>
                <w:bCs/>
                <w:color w:val="000000"/>
                <w:sz w:val="16"/>
                <w:szCs w:val="16"/>
                <w:lang w:eastAsia="es-AR"/>
              </w:rPr>
            </w:pPr>
            <w:r w:rsidRPr="00701F32">
              <w:rPr>
                <w:rFonts w:ascii="Arial" w:hAnsi="Arial" w:cs="Arial"/>
                <w:bCs/>
                <w:color w:val="000000"/>
                <w:sz w:val="16"/>
                <w:szCs w:val="16"/>
                <w:lang w:eastAsia="es-AR"/>
              </w:rPr>
              <w:t xml:space="preserve"> Resultado por asociadas y negocios conjuntos </w:t>
            </w:r>
          </w:p>
        </w:tc>
        <w:tc>
          <w:tcPr>
            <w:tcW w:w="791" w:type="dxa"/>
            <w:tcBorders>
              <w:left w:val="single" w:sz="4" w:space="0" w:color="auto"/>
              <w:bottom w:val="single" w:sz="4" w:space="0" w:color="auto"/>
              <w:right w:val="single" w:sz="4" w:space="0" w:color="auto"/>
            </w:tcBorders>
            <w:shd w:val="clear" w:color="auto" w:fill="auto"/>
            <w:noWrap/>
            <w:vAlign w:val="bottom"/>
            <w:hideMark/>
          </w:tcPr>
          <w:p w14:paraId="5B8ACB24" w14:textId="77777777" w:rsidR="00CB22DF" w:rsidRPr="00701F32" w:rsidRDefault="00CB22DF" w:rsidP="00CB22DF">
            <w:pPr>
              <w:jc w:val="center"/>
              <w:rPr>
                <w:rFonts w:ascii="Arial" w:hAnsi="Arial" w:cs="Arial"/>
                <w:bCs/>
                <w:color w:val="000000"/>
                <w:sz w:val="16"/>
                <w:szCs w:val="16"/>
                <w:lang w:eastAsia="es-AR"/>
              </w:rPr>
            </w:pPr>
            <w:r w:rsidRPr="00701F32">
              <w:rPr>
                <w:rFonts w:ascii="Arial" w:hAnsi="Arial" w:cs="Arial"/>
                <w:bCs/>
                <w:color w:val="000000"/>
                <w:sz w:val="16"/>
                <w:szCs w:val="16"/>
                <w:lang w:eastAsia="es-AR"/>
              </w:rPr>
              <w:t>d</w:t>
            </w:r>
          </w:p>
        </w:tc>
        <w:tc>
          <w:tcPr>
            <w:tcW w:w="1056" w:type="dxa"/>
            <w:tcBorders>
              <w:left w:val="single" w:sz="4" w:space="0" w:color="auto"/>
              <w:bottom w:val="single" w:sz="4" w:space="0" w:color="auto"/>
              <w:right w:val="single" w:sz="4" w:space="0" w:color="auto"/>
            </w:tcBorders>
            <w:shd w:val="clear" w:color="auto" w:fill="auto"/>
            <w:noWrap/>
            <w:vAlign w:val="center"/>
            <w:hideMark/>
          </w:tcPr>
          <w:p w14:paraId="76A01717"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452" w:type="dxa"/>
            <w:tcBorders>
              <w:left w:val="single" w:sz="4" w:space="0" w:color="auto"/>
              <w:bottom w:val="single" w:sz="4" w:space="0" w:color="auto"/>
              <w:right w:val="single" w:sz="4" w:space="0" w:color="auto"/>
            </w:tcBorders>
            <w:shd w:val="clear" w:color="auto" w:fill="auto"/>
            <w:noWrap/>
            <w:vAlign w:val="center"/>
            <w:hideMark/>
          </w:tcPr>
          <w:p w14:paraId="76A2C696"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135.584</w:t>
            </w:r>
          </w:p>
        </w:tc>
        <w:tc>
          <w:tcPr>
            <w:tcW w:w="1188" w:type="dxa"/>
            <w:tcBorders>
              <w:left w:val="single" w:sz="4" w:space="0" w:color="auto"/>
              <w:bottom w:val="single" w:sz="4" w:space="0" w:color="auto"/>
              <w:right w:val="single" w:sz="4" w:space="0" w:color="auto"/>
            </w:tcBorders>
            <w:shd w:val="clear" w:color="auto" w:fill="auto"/>
            <w:noWrap/>
            <w:vAlign w:val="center"/>
            <w:hideMark/>
          </w:tcPr>
          <w:p w14:paraId="5DA964CC"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-25.330</w:t>
            </w:r>
          </w:p>
        </w:tc>
        <w:tc>
          <w:tcPr>
            <w:tcW w:w="1457" w:type="dxa"/>
            <w:tcBorders>
              <w:left w:val="single" w:sz="4" w:space="0" w:color="auto"/>
              <w:bottom w:val="single" w:sz="4" w:space="0" w:color="auto"/>
              <w:right w:val="single" w:sz="4" w:space="0" w:color="auto"/>
            </w:tcBorders>
            <w:shd w:val="clear" w:color="auto" w:fill="auto"/>
            <w:noWrap/>
            <w:vAlign w:val="center"/>
            <w:hideMark/>
          </w:tcPr>
          <w:p w14:paraId="468CCD23" w14:textId="77777777" w:rsidR="00CB22DF" w:rsidRPr="00701F32" w:rsidRDefault="00CB22DF" w:rsidP="00CB22DF">
            <w:pPr>
              <w:jc w:val="right"/>
              <w:rPr>
                <w:rFonts w:ascii="Arial" w:hAnsi="Arial" w:cs="Arial"/>
                <w:color w:val="000000"/>
                <w:sz w:val="16"/>
                <w:szCs w:val="16"/>
                <w:lang w:eastAsia="es-AR"/>
              </w:rPr>
            </w:pPr>
            <w:r w:rsidRPr="00701F32">
              <w:rPr>
                <w:rFonts w:ascii="Arial" w:hAnsi="Arial" w:cs="Arial"/>
                <w:color w:val="000000"/>
                <w:sz w:val="16"/>
                <w:szCs w:val="16"/>
                <w:lang w:eastAsia="es-AR"/>
              </w:rPr>
              <w:t>110.254</w:t>
            </w:r>
          </w:p>
        </w:tc>
      </w:tr>
      <w:tr w:rsidR="00CB22DF" w:rsidRPr="00701F32" w14:paraId="76E06089" w14:textId="77777777" w:rsidTr="00E311C9">
        <w:trPr>
          <w:trHeight w:val="284"/>
        </w:trPr>
        <w:tc>
          <w:tcPr>
            <w:tcW w:w="3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766C" w14:textId="77777777" w:rsidR="00CB22DF" w:rsidRPr="00701F32" w:rsidRDefault="00CB22DF" w:rsidP="00CB22DF">
            <w:pPr>
              <w:jc w:val="both"/>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RESULTADO NETO DEL PERIODO </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2F709" w14:textId="77777777" w:rsidR="00CB22DF" w:rsidRPr="00701F32" w:rsidRDefault="00CB22DF" w:rsidP="00CB22DF">
            <w:pPr>
              <w:jc w:val="center"/>
              <w:rPr>
                <w:rFonts w:ascii="Arial" w:hAnsi="Arial" w:cs="Arial"/>
                <w:b/>
                <w:bCs/>
                <w:color w:val="000000"/>
                <w:sz w:val="16"/>
                <w:szCs w:val="16"/>
                <w:lang w:eastAsia="es-AR"/>
              </w:rPr>
            </w:pP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BDA08" w14:textId="77777777" w:rsidR="00CB22DF" w:rsidRPr="00701F32" w:rsidRDefault="00CB22DF" w:rsidP="00CB22DF">
            <w:pPr>
              <w:jc w:val="right"/>
              <w:rPr>
                <w:rFonts w:ascii="Arial" w:hAnsi="Arial" w:cs="Arial"/>
                <w:b/>
                <w:color w:val="000000"/>
                <w:sz w:val="16"/>
                <w:szCs w:val="16"/>
                <w:lang w:eastAsia="es-AR"/>
              </w:rPr>
            </w:pPr>
            <w:r w:rsidRPr="00701F32">
              <w:rPr>
                <w:rFonts w:ascii="Arial" w:hAnsi="Arial" w:cs="Arial"/>
                <w:b/>
                <w:color w:val="000000"/>
                <w:sz w:val="16"/>
                <w:szCs w:val="16"/>
                <w:lang w:eastAsia="es-AR"/>
              </w:rPr>
              <w:t>1.088.388</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81C80" w14:textId="77777777" w:rsidR="00CB22DF" w:rsidRPr="00701F32" w:rsidRDefault="00CB22DF" w:rsidP="00CB22DF">
            <w:pPr>
              <w:jc w:val="right"/>
              <w:rPr>
                <w:rFonts w:ascii="Arial" w:hAnsi="Arial" w:cs="Arial"/>
                <w:b/>
                <w:color w:val="000000"/>
                <w:sz w:val="16"/>
                <w:szCs w:val="16"/>
                <w:lang w:eastAsia="es-AR"/>
              </w:rPr>
            </w:pPr>
            <w:r w:rsidRPr="00701F32">
              <w:rPr>
                <w:rFonts w:ascii="Arial" w:hAnsi="Arial" w:cs="Arial"/>
                <w:b/>
                <w:color w:val="000000"/>
                <w:sz w:val="16"/>
                <w:szCs w:val="16"/>
                <w:lang w:eastAsia="es-AR"/>
              </w:rPr>
              <w:t>-</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5229" w14:textId="77777777" w:rsidR="00CB22DF" w:rsidRPr="00701F32" w:rsidRDefault="00CB22DF" w:rsidP="00CB22DF">
            <w:pPr>
              <w:jc w:val="right"/>
              <w:rPr>
                <w:rFonts w:ascii="Arial" w:hAnsi="Arial" w:cs="Arial"/>
                <w:b/>
                <w:color w:val="000000"/>
                <w:sz w:val="16"/>
                <w:szCs w:val="16"/>
                <w:lang w:eastAsia="es-AR"/>
              </w:rPr>
            </w:pPr>
            <w:r w:rsidRPr="00701F32">
              <w:rPr>
                <w:rFonts w:ascii="Arial" w:hAnsi="Arial" w:cs="Arial"/>
                <w:b/>
                <w:color w:val="000000"/>
                <w:sz w:val="16"/>
                <w:szCs w:val="16"/>
                <w:lang w:eastAsia="es-AR"/>
              </w:rPr>
              <w:t>-283.681</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CBE2" w14:textId="77777777" w:rsidR="00CB22DF" w:rsidRPr="00701F32" w:rsidRDefault="00CB22DF" w:rsidP="00CB22DF">
            <w:pPr>
              <w:jc w:val="right"/>
              <w:rPr>
                <w:rFonts w:ascii="Arial" w:hAnsi="Arial" w:cs="Arial"/>
                <w:b/>
                <w:color w:val="000000"/>
                <w:sz w:val="16"/>
                <w:szCs w:val="16"/>
                <w:lang w:eastAsia="es-AR"/>
              </w:rPr>
            </w:pPr>
            <w:r w:rsidRPr="00701F32">
              <w:rPr>
                <w:rFonts w:ascii="Arial" w:hAnsi="Arial" w:cs="Arial"/>
                <w:b/>
                <w:color w:val="000000"/>
                <w:sz w:val="16"/>
                <w:szCs w:val="16"/>
                <w:lang w:eastAsia="es-AR"/>
              </w:rPr>
              <w:t>804.707</w:t>
            </w:r>
          </w:p>
        </w:tc>
      </w:tr>
    </w:tbl>
    <w:p w14:paraId="52E1A211" w14:textId="77777777" w:rsidR="009A69FD" w:rsidRPr="00701F32" w:rsidRDefault="009A69FD" w:rsidP="00BD0DC8">
      <w:pPr>
        <w:keepNext/>
        <w:keepLines/>
        <w:spacing w:before="40"/>
        <w:ind w:left="720" w:hanging="720"/>
        <w:jc w:val="both"/>
        <w:outlineLvl w:val="1"/>
        <w:rPr>
          <w:rFonts w:ascii="Arial" w:hAnsi="Arial" w:cs="Arial"/>
          <w:sz w:val="20"/>
        </w:rPr>
      </w:pPr>
    </w:p>
    <w:p w14:paraId="0A732FDE" w14:textId="77777777" w:rsidR="00BD0DC8" w:rsidRPr="00701F32" w:rsidRDefault="00BD0DC8" w:rsidP="00BD0DC8">
      <w:pPr>
        <w:keepNext/>
        <w:keepLines/>
        <w:spacing w:before="40"/>
        <w:ind w:left="720" w:hanging="720"/>
        <w:jc w:val="both"/>
        <w:outlineLvl w:val="1"/>
        <w:rPr>
          <w:rFonts w:ascii="Arial" w:hAnsi="Arial" w:cs="Arial"/>
          <w:sz w:val="20"/>
        </w:rPr>
      </w:pPr>
      <w:r w:rsidRPr="00701F32">
        <w:rPr>
          <w:rFonts w:ascii="Arial" w:hAnsi="Arial" w:cs="Arial"/>
          <w:sz w:val="20"/>
        </w:rPr>
        <w:t xml:space="preserve">2.1.3. Conciliación del resultado integral por el ejercicio finalizado el </w:t>
      </w:r>
      <w:r w:rsidR="008F6497" w:rsidRPr="00701F32">
        <w:rPr>
          <w:rFonts w:ascii="Arial" w:hAnsi="Arial" w:cs="Arial"/>
          <w:sz w:val="20"/>
        </w:rPr>
        <w:t xml:space="preserve">31 de diciembre de 2017 y el período finalizado el </w:t>
      </w:r>
      <w:r w:rsidR="000D4978" w:rsidRPr="00701F32">
        <w:rPr>
          <w:rFonts w:ascii="Arial" w:hAnsi="Arial" w:cs="Arial"/>
          <w:sz w:val="20"/>
        </w:rPr>
        <w:t xml:space="preserve">30 de </w:t>
      </w:r>
      <w:r w:rsidR="00837BEB" w:rsidRPr="00701F32">
        <w:rPr>
          <w:rFonts w:ascii="Arial" w:hAnsi="Arial" w:cs="Arial"/>
          <w:sz w:val="20"/>
        </w:rPr>
        <w:t>septiembre</w:t>
      </w:r>
      <w:r w:rsidR="000D4978" w:rsidRPr="00701F32">
        <w:rPr>
          <w:rFonts w:ascii="Arial" w:hAnsi="Arial" w:cs="Arial"/>
          <w:sz w:val="20"/>
        </w:rPr>
        <w:t xml:space="preserve"> de 2017</w:t>
      </w:r>
    </w:p>
    <w:tbl>
      <w:tblPr>
        <w:tblW w:w="8505" w:type="dxa"/>
        <w:tblInd w:w="70" w:type="dxa"/>
        <w:tblLayout w:type="fixed"/>
        <w:tblCellMar>
          <w:left w:w="70" w:type="dxa"/>
          <w:right w:w="70" w:type="dxa"/>
        </w:tblCellMar>
        <w:tblLook w:val="04A0" w:firstRow="1" w:lastRow="0" w:firstColumn="1" w:lastColumn="0" w:noHBand="0" w:noVBand="1"/>
      </w:tblPr>
      <w:tblGrid>
        <w:gridCol w:w="4856"/>
        <w:gridCol w:w="827"/>
        <w:gridCol w:w="1118"/>
        <w:gridCol w:w="378"/>
        <w:gridCol w:w="1326"/>
      </w:tblGrid>
      <w:tr w:rsidR="006D4ED3" w:rsidRPr="00701F32" w14:paraId="678A6079" w14:textId="77777777" w:rsidTr="00831174">
        <w:trPr>
          <w:trHeight w:val="315"/>
        </w:trPr>
        <w:tc>
          <w:tcPr>
            <w:tcW w:w="4856" w:type="dxa"/>
            <w:tcBorders>
              <w:top w:val="nil"/>
              <w:left w:val="nil"/>
              <w:bottom w:val="nil"/>
              <w:right w:val="nil"/>
            </w:tcBorders>
            <w:shd w:val="clear" w:color="auto" w:fill="auto"/>
            <w:vAlign w:val="center"/>
            <w:hideMark/>
          </w:tcPr>
          <w:p w14:paraId="0000098E" w14:textId="77777777" w:rsidR="006D4ED3" w:rsidRPr="00701F32" w:rsidRDefault="006D4ED3" w:rsidP="006D4ED3">
            <w:pPr>
              <w:rPr>
                <w:sz w:val="18"/>
                <w:lang w:eastAsia="es-AR"/>
              </w:rPr>
            </w:pPr>
          </w:p>
        </w:tc>
        <w:tc>
          <w:tcPr>
            <w:tcW w:w="827" w:type="dxa"/>
            <w:tcBorders>
              <w:top w:val="nil"/>
              <w:left w:val="nil"/>
              <w:bottom w:val="nil"/>
              <w:right w:val="nil"/>
            </w:tcBorders>
            <w:shd w:val="clear" w:color="auto" w:fill="auto"/>
            <w:vAlign w:val="center"/>
            <w:hideMark/>
          </w:tcPr>
          <w:p w14:paraId="1C7B3F04" w14:textId="77777777" w:rsidR="006D4ED3" w:rsidRPr="00701F32" w:rsidRDefault="006D4ED3" w:rsidP="006D4ED3">
            <w:pPr>
              <w:jc w:val="both"/>
              <w:rPr>
                <w:sz w:val="18"/>
              </w:rPr>
            </w:pPr>
          </w:p>
        </w:tc>
        <w:tc>
          <w:tcPr>
            <w:tcW w:w="1118" w:type="dxa"/>
            <w:tcBorders>
              <w:top w:val="nil"/>
              <w:left w:val="nil"/>
              <w:bottom w:val="single" w:sz="8" w:space="0" w:color="auto"/>
              <w:right w:val="nil"/>
            </w:tcBorders>
            <w:shd w:val="clear" w:color="auto" w:fill="auto"/>
            <w:vAlign w:val="center"/>
            <w:hideMark/>
          </w:tcPr>
          <w:p w14:paraId="3F2D394C" w14:textId="77777777" w:rsidR="006D4ED3" w:rsidRPr="00701F32" w:rsidRDefault="006D4ED3" w:rsidP="006D4ED3">
            <w:pPr>
              <w:jc w:val="center"/>
              <w:rPr>
                <w:rFonts w:ascii="Arial" w:hAnsi="Arial" w:cs="Arial"/>
                <w:b/>
                <w:bCs/>
                <w:color w:val="000000"/>
                <w:sz w:val="18"/>
              </w:rPr>
            </w:pPr>
            <w:r w:rsidRPr="00701F32">
              <w:rPr>
                <w:rFonts w:ascii="Arial" w:hAnsi="Arial" w:cs="Arial"/>
                <w:b/>
                <w:bCs/>
                <w:color w:val="000000"/>
                <w:sz w:val="18"/>
              </w:rPr>
              <w:t>31/12/2017</w:t>
            </w:r>
          </w:p>
        </w:tc>
        <w:tc>
          <w:tcPr>
            <w:tcW w:w="378" w:type="dxa"/>
            <w:tcBorders>
              <w:top w:val="nil"/>
              <w:left w:val="nil"/>
              <w:right w:val="nil"/>
            </w:tcBorders>
          </w:tcPr>
          <w:p w14:paraId="44FBECC1" w14:textId="77777777" w:rsidR="006D4ED3" w:rsidRPr="00701F32" w:rsidRDefault="006D4ED3" w:rsidP="006D4ED3">
            <w:pPr>
              <w:jc w:val="center"/>
              <w:rPr>
                <w:rFonts w:ascii="Arial" w:hAnsi="Arial" w:cs="Arial"/>
                <w:b/>
                <w:bCs/>
                <w:sz w:val="18"/>
              </w:rPr>
            </w:pPr>
          </w:p>
        </w:tc>
        <w:tc>
          <w:tcPr>
            <w:tcW w:w="1326" w:type="dxa"/>
            <w:tcBorders>
              <w:top w:val="nil"/>
              <w:left w:val="nil"/>
              <w:bottom w:val="single" w:sz="8" w:space="0" w:color="auto"/>
              <w:right w:val="nil"/>
            </w:tcBorders>
            <w:vAlign w:val="center"/>
          </w:tcPr>
          <w:p w14:paraId="0FB68148" w14:textId="77777777" w:rsidR="006D4ED3" w:rsidRPr="00701F32" w:rsidRDefault="000D4978" w:rsidP="006D4ED3">
            <w:pPr>
              <w:jc w:val="center"/>
              <w:rPr>
                <w:rFonts w:ascii="Arial" w:hAnsi="Arial" w:cs="Arial"/>
                <w:b/>
                <w:bCs/>
                <w:color w:val="000000"/>
                <w:sz w:val="18"/>
              </w:rPr>
            </w:pPr>
            <w:r w:rsidRPr="00701F32">
              <w:rPr>
                <w:rFonts w:ascii="Arial" w:hAnsi="Arial" w:cs="Arial"/>
                <w:b/>
                <w:bCs/>
                <w:sz w:val="18"/>
              </w:rPr>
              <w:t>30/0</w:t>
            </w:r>
            <w:r w:rsidR="00837BEB" w:rsidRPr="00701F32">
              <w:rPr>
                <w:rFonts w:ascii="Arial" w:hAnsi="Arial" w:cs="Arial"/>
                <w:b/>
                <w:bCs/>
                <w:sz w:val="18"/>
              </w:rPr>
              <w:t>9</w:t>
            </w:r>
            <w:r w:rsidRPr="00701F32">
              <w:rPr>
                <w:rFonts w:ascii="Arial" w:hAnsi="Arial" w:cs="Arial"/>
                <w:b/>
                <w:bCs/>
                <w:sz w:val="18"/>
              </w:rPr>
              <w:t>/2017</w:t>
            </w:r>
          </w:p>
        </w:tc>
      </w:tr>
      <w:tr w:rsidR="006D4ED3" w:rsidRPr="00701F32" w14:paraId="60760E1D" w14:textId="77777777" w:rsidTr="00701F32">
        <w:trPr>
          <w:trHeight w:val="300"/>
        </w:trPr>
        <w:tc>
          <w:tcPr>
            <w:tcW w:w="4856" w:type="dxa"/>
            <w:tcBorders>
              <w:top w:val="nil"/>
              <w:left w:val="nil"/>
              <w:bottom w:val="nil"/>
              <w:right w:val="nil"/>
            </w:tcBorders>
            <w:shd w:val="clear" w:color="auto" w:fill="auto"/>
            <w:vAlign w:val="center"/>
            <w:hideMark/>
          </w:tcPr>
          <w:p w14:paraId="42A40070" w14:textId="77777777" w:rsidR="006D4ED3" w:rsidRPr="00701F32" w:rsidRDefault="006D4ED3" w:rsidP="006D4ED3">
            <w:pPr>
              <w:jc w:val="both"/>
              <w:rPr>
                <w:rFonts w:ascii="Arial" w:hAnsi="Arial" w:cs="Arial"/>
                <w:b/>
                <w:bCs/>
                <w:color w:val="000000"/>
                <w:sz w:val="18"/>
              </w:rPr>
            </w:pPr>
            <w:r w:rsidRPr="00701F32">
              <w:rPr>
                <w:rFonts w:ascii="Arial" w:hAnsi="Arial" w:cs="Arial"/>
                <w:b/>
                <w:bCs/>
                <w:color w:val="000000"/>
                <w:sz w:val="18"/>
              </w:rPr>
              <w:t>Otros resultados integrales atribuible a Banco Supervielle</w:t>
            </w:r>
          </w:p>
        </w:tc>
        <w:tc>
          <w:tcPr>
            <w:tcW w:w="827" w:type="dxa"/>
            <w:tcBorders>
              <w:top w:val="nil"/>
              <w:left w:val="nil"/>
              <w:bottom w:val="nil"/>
              <w:right w:val="nil"/>
            </w:tcBorders>
            <w:shd w:val="clear" w:color="auto" w:fill="auto"/>
            <w:vAlign w:val="center"/>
            <w:hideMark/>
          </w:tcPr>
          <w:p w14:paraId="28B1938B" w14:textId="77777777" w:rsidR="006D4ED3" w:rsidRPr="00701F32" w:rsidRDefault="006D4ED3" w:rsidP="006D4ED3">
            <w:pPr>
              <w:jc w:val="both"/>
              <w:rPr>
                <w:rFonts w:ascii="Arial" w:hAnsi="Arial" w:cs="Arial"/>
                <w:b/>
                <w:bCs/>
                <w:color w:val="000000"/>
                <w:sz w:val="18"/>
              </w:rPr>
            </w:pPr>
          </w:p>
        </w:tc>
        <w:tc>
          <w:tcPr>
            <w:tcW w:w="1118" w:type="dxa"/>
            <w:tcBorders>
              <w:top w:val="nil"/>
              <w:left w:val="nil"/>
              <w:bottom w:val="nil"/>
              <w:right w:val="nil"/>
            </w:tcBorders>
            <w:shd w:val="clear" w:color="auto" w:fill="auto"/>
            <w:vAlign w:val="center"/>
          </w:tcPr>
          <w:p w14:paraId="3F760095" w14:textId="2CCB5A84" w:rsidR="006D4ED3" w:rsidRPr="00701F32" w:rsidRDefault="006D4ED3" w:rsidP="006D4ED3">
            <w:pPr>
              <w:jc w:val="right"/>
              <w:rPr>
                <w:rFonts w:ascii="Arial" w:hAnsi="Arial" w:cs="Arial"/>
                <w:b/>
                <w:bCs/>
                <w:color w:val="000000"/>
                <w:sz w:val="18"/>
              </w:rPr>
            </w:pPr>
          </w:p>
        </w:tc>
        <w:tc>
          <w:tcPr>
            <w:tcW w:w="378" w:type="dxa"/>
            <w:tcBorders>
              <w:top w:val="nil"/>
              <w:left w:val="nil"/>
              <w:bottom w:val="nil"/>
              <w:right w:val="nil"/>
            </w:tcBorders>
          </w:tcPr>
          <w:p w14:paraId="2D0119BD" w14:textId="77777777" w:rsidR="006D4ED3" w:rsidRPr="00701F32" w:rsidRDefault="006D4ED3" w:rsidP="006D4ED3">
            <w:pPr>
              <w:jc w:val="right"/>
              <w:rPr>
                <w:rFonts w:ascii="Arial" w:hAnsi="Arial" w:cs="Arial"/>
                <w:b/>
                <w:bCs/>
                <w:sz w:val="18"/>
              </w:rPr>
            </w:pPr>
          </w:p>
        </w:tc>
        <w:tc>
          <w:tcPr>
            <w:tcW w:w="1326" w:type="dxa"/>
            <w:tcBorders>
              <w:top w:val="nil"/>
              <w:left w:val="nil"/>
              <w:bottom w:val="nil"/>
              <w:right w:val="nil"/>
            </w:tcBorders>
            <w:vAlign w:val="center"/>
          </w:tcPr>
          <w:p w14:paraId="1E4537B0" w14:textId="105C4F26" w:rsidR="006D4ED3" w:rsidRPr="00701F32" w:rsidRDefault="006D4ED3" w:rsidP="006D4ED3">
            <w:pPr>
              <w:jc w:val="right"/>
              <w:rPr>
                <w:rFonts w:ascii="Arial" w:hAnsi="Arial" w:cs="Arial"/>
                <w:b/>
                <w:bCs/>
                <w:color w:val="000000"/>
                <w:sz w:val="18"/>
              </w:rPr>
            </w:pPr>
          </w:p>
        </w:tc>
      </w:tr>
      <w:tr w:rsidR="006D4ED3" w:rsidRPr="00701F32" w14:paraId="0BCF8FFC" w14:textId="77777777" w:rsidTr="00831174">
        <w:trPr>
          <w:trHeight w:val="300"/>
        </w:trPr>
        <w:tc>
          <w:tcPr>
            <w:tcW w:w="4856" w:type="dxa"/>
            <w:tcBorders>
              <w:top w:val="nil"/>
              <w:left w:val="nil"/>
              <w:bottom w:val="nil"/>
              <w:right w:val="nil"/>
            </w:tcBorders>
            <w:shd w:val="clear" w:color="auto" w:fill="auto"/>
            <w:vAlign w:val="center"/>
            <w:hideMark/>
          </w:tcPr>
          <w:p w14:paraId="2C084AB3" w14:textId="77777777" w:rsidR="006D4ED3" w:rsidRPr="00701F32" w:rsidRDefault="006D4ED3" w:rsidP="006D4ED3">
            <w:pPr>
              <w:jc w:val="both"/>
              <w:rPr>
                <w:rFonts w:ascii="Arial" w:hAnsi="Arial" w:cs="Arial"/>
                <w:color w:val="000000"/>
                <w:sz w:val="18"/>
              </w:rPr>
            </w:pPr>
            <w:r w:rsidRPr="00701F32">
              <w:rPr>
                <w:rFonts w:ascii="Arial" w:hAnsi="Arial" w:cs="Arial"/>
                <w:color w:val="000000"/>
                <w:sz w:val="18"/>
              </w:rPr>
              <w:t>Inversiones en Títulos Públicos y Privados</w:t>
            </w:r>
          </w:p>
        </w:tc>
        <w:tc>
          <w:tcPr>
            <w:tcW w:w="827" w:type="dxa"/>
            <w:tcBorders>
              <w:top w:val="nil"/>
              <w:left w:val="nil"/>
              <w:bottom w:val="nil"/>
              <w:right w:val="nil"/>
            </w:tcBorders>
            <w:shd w:val="clear" w:color="auto" w:fill="auto"/>
            <w:vAlign w:val="center"/>
            <w:hideMark/>
          </w:tcPr>
          <w:p w14:paraId="55267889" w14:textId="77777777" w:rsidR="006D4ED3" w:rsidRPr="00701F32" w:rsidRDefault="006D4ED3" w:rsidP="006D4ED3">
            <w:pPr>
              <w:jc w:val="center"/>
              <w:rPr>
                <w:rFonts w:ascii="Arial" w:hAnsi="Arial" w:cs="Arial"/>
                <w:color w:val="000000"/>
                <w:sz w:val="18"/>
              </w:rPr>
            </w:pPr>
            <w:r w:rsidRPr="00701F32">
              <w:rPr>
                <w:rFonts w:ascii="Arial" w:hAnsi="Arial" w:cs="Arial"/>
                <w:color w:val="000000"/>
                <w:sz w:val="18"/>
              </w:rPr>
              <w:t>(c)</w:t>
            </w:r>
          </w:p>
        </w:tc>
        <w:tc>
          <w:tcPr>
            <w:tcW w:w="1118" w:type="dxa"/>
            <w:tcBorders>
              <w:top w:val="nil"/>
              <w:left w:val="nil"/>
              <w:bottom w:val="nil"/>
              <w:right w:val="nil"/>
            </w:tcBorders>
            <w:shd w:val="clear" w:color="auto" w:fill="auto"/>
            <w:vAlign w:val="center"/>
            <w:hideMark/>
          </w:tcPr>
          <w:p w14:paraId="3FEB12DC" w14:textId="77777777" w:rsidR="006D4ED3" w:rsidRPr="00701F32" w:rsidRDefault="006D4ED3" w:rsidP="006D4ED3">
            <w:pPr>
              <w:jc w:val="right"/>
              <w:rPr>
                <w:rFonts w:ascii="Arial" w:hAnsi="Arial" w:cs="Arial"/>
                <w:color w:val="000000"/>
                <w:sz w:val="18"/>
              </w:rPr>
            </w:pPr>
            <w:r w:rsidRPr="00701F32">
              <w:rPr>
                <w:rFonts w:ascii="Arial" w:hAnsi="Arial" w:cs="Arial"/>
                <w:color w:val="000000"/>
                <w:sz w:val="18"/>
              </w:rPr>
              <w:t>417</w:t>
            </w:r>
          </w:p>
        </w:tc>
        <w:tc>
          <w:tcPr>
            <w:tcW w:w="378" w:type="dxa"/>
            <w:tcBorders>
              <w:top w:val="nil"/>
              <w:left w:val="nil"/>
              <w:bottom w:val="nil"/>
              <w:right w:val="nil"/>
            </w:tcBorders>
          </w:tcPr>
          <w:p w14:paraId="383F5BC3" w14:textId="77777777" w:rsidR="006D4ED3" w:rsidRPr="00701F32" w:rsidRDefault="006D4ED3" w:rsidP="006D4ED3">
            <w:pPr>
              <w:jc w:val="right"/>
              <w:rPr>
                <w:rFonts w:ascii="Arial" w:hAnsi="Arial" w:cs="Arial"/>
                <w:sz w:val="18"/>
              </w:rPr>
            </w:pPr>
          </w:p>
        </w:tc>
        <w:tc>
          <w:tcPr>
            <w:tcW w:w="1326" w:type="dxa"/>
            <w:tcBorders>
              <w:top w:val="nil"/>
              <w:left w:val="nil"/>
              <w:bottom w:val="nil"/>
              <w:right w:val="nil"/>
            </w:tcBorders>
            <w:vAlign w:val="center"/>
          </w:tcPr>
          <w:p w14:paraId="71B01982" w14:textId="40552C70" w:rsidR="006D4ED3" w:rsidRPr="00701F32" w:rsidRDefault="00FB5A40" w:rsidP="006D4ED3">
            <w:pPr>
              <w:jc w:val="right"/>
              <w:rPr>
                <w:rFonts w:ascii="Arial" w:hAnsi="Arial" w:cs="Arial"/>
                <w:color w:val="000000"/>
                <w:sz w:val="18"/>
              </w:rPr>
            </w:pPr>
            <w:r w:rsidRPr="00701F32">
              <w:rPr>
                <w:rFonts w:ascii="Arial" w:hAnsi="Arial" w:cs="Arial"/>
                <w:color w:val="000000"/>
                <w:sz w:val="18"/>
              </w:rPr>
              <w:t>23.668</w:t>
            </w:r>
          </w:p>
        </w:tc>
      </w:tr>
      <w:tr w:rsidR="006D4ED3" w:rsidRPr="00701F32" w14:paraId="0F8144F9" w14:textId="77777777" w:rsidTr="00831174">
        <w:trPr>
          <w:trHeight w:val="300"/>
        </w:trPr>
        <w:tc>
          <w:tcPr>
            <w:tcW w:w="4856" w:type="dxa"/>
            <w:tcBorders>
              <w:top w:val="nil"/>
              <w:left w:val="nil"/>
              <w:bottom w:val="nil"/>
              <w:right w:val="nil"/>
            </w:tcBorders>
            <w:shd w:val="clear" w:color="auto" w:fill="auto"/>
            <w:vAlign w:val="center"/>
            <w:hideMark/>
          </w:tcPr>
          <w:p w14:paraId="34D35E7C" w14:textId="77777777" w:rsidR="006D4ED3" w:rsidRPr="00701F32" w:rsidRDefault="006D4ED3" w:rsidP="006D4ED3">
            <w:pPr>
              <w:jc w:val="both"/>
              <w:rPr>
                <w:rFonts w:ascii="Arial" w:hAnsi="Arial" w:cs="Arial"/>
                <w:color w:val="000000"/>
                <w:sz w:val="18"/>
              </w:rPr>
            </w:pPr>
            <w:r w:rsidRPr="00701F32">
              <w:rPr>
                <w:rFonts w:ascii="Arial" w:hAnsi="Arial" w:cs="Arial"/>
                <w:color w:val="000000"/>
                <w:sz w:val="18"/>
              </w:rPr>
              <w:t xml:space="preserve">Propiedad, Planta y Equipo </w:t>
            </w:r>
          </w:p>
        </w:tc>
        <w:tc>
          <w:tcPr>
            <w:tcW w:w="827" w:type="dxa"/>
            <w:tcBorders>
              <w:top w:val="nil"/>
              <w:left w:val="nil"/>
              <w:bottom w:val="nil"/>
              <w:right w:val="nil"/>
            </w:tcBorders>
            <w:shd w:val="clear" w:color="auto" w:fill="auto"/>
            <w:vAlign w:val="center"/>
            <w:hideMark/>
          </w:tcPr>
          <w:p w14:paraId="2BDC8DC5" w14:textId="77777777" w:rsidR="006D4ED3" w:rsidRPr="00701F32" w:rsidRDefault="006D4ED3" w:rsidP="006D4ED3">
            <w:pPr>
              <w:jc w:val="center"/>
              <w:rPr>
                <w:rFonts w:ascii="Arial" w:hAnsi="Arial" w:cs="Arial"/>
                <w:color w:val="000000"/>
                <w:sz w:val="18"/>
              </w:rPr>
            </w:pPr>
            <w:r w:rsidRPr="00701F32">
              <w:rPr>
                <w:rFonts w:ascii="Arial" w:hAnsi="Arial" w:cs="Arial"/>
                <w:color w:val="000000"/>
                <w:sz w:val="18"/>
              </w:rPr>
              <w:t>(e)</w:t>
            </w:r>
          </w:p>
        </w:tc>
        <w:tc>
          <w:tcPr>
            <w:tcW w:w="1118" w:type="dxa"/>
            <w:tcBorders>
              <w:top w:val="nil"/>
              <w:left w:val="nil"/>
              <w:bottom w:val="nil"/>
              <w:right w:val="nil"/>
            </w:tcBorders>
            <w:shd w:val="clear" w:color="auto" w:fill="auto"/>
            <w:vAlign w:val="center"/>
            <w:hideMark/>
          </w:tcPr>
          <w:p w14:paraId="4737866C" w14:textId="77777777" w:rsidR="006D4ED3" w:rsidRPr="00701F32" w:rsidRDefault="006D4ED3" w:rsidP="006D4ED3">
            <w:pPr>
              <w:jc w:val="right"/>
              <w:rPr>
                <w:rFonts w:ascii="Arial" w:hAnsi="Arial" w:cs="Arial"/>
                <w:color w:val="000000"/>
                <w:sz w:val="18"/>
              </w:rPr>
            </w:pPr>
            <w:r w:rsidRPr="00701F32">
              <w:rPr>
                <w:rFonts w:ascii="Arial" w:hAnsi="Arial" w:cs="Arial"/>
                <w:color w:val="000000"/>
                <w:sz w:val="18"/>
              </w:rPr>
              <w:t>83.191</w:t>
            </w:r>
          </w:p>
        </w:tc>
        <w:tc>
          <w:tcPr>
            <w:tcW w:w="378" w:type="dxa"/>
            <w:tcBorders>
              <w:top w:val="nil"/>
              <w:left w:val="nil"/>
              <w:bottom w:val="nil"/>
              <w:right w:val="nil"/>
            </w:tcBorders>
          </w:tcPr>
          <w:p w14:paraId="382CBE7E" w14:textId="77777777" w:rsidR="006D4ED3" w:rsidRPr="00701F32" w:rsidRDefault="006D4ED3" w:rsidP="006D4ED3">
            <w:pPr>
              <w:jc w:val="right"/>
              <w:rPr>
                <w:rFonts w:ascii="Arial" w:hAnsi="Arial" w:cs="Arial"/>
                <w:sz w:val="18"/>
              </w:rPr>
            </w:pPr>
          </w:p>
        </w:tc>
        <w:tc>
          <w:tcPr>
            <w:tcW w:w="1326" w:type="dxa"/>
            <w:tcBorders>
              <w:top w:val="nil"/>
              <w:left w:val="nil"/>
              <w:bottom w:val="nil"/>
              <w:right w:val="nil"/>
            </w:tcBorders>
            <w:vAlign w:val="center"/>
          </w:tcPr>
          <w:p w14:paraId="2794B8C6" w14:textId="1E96910B" w:rsidR="006D4ED3" w:rsidRPr="00701F32" w:rsidRDefault="00FB5A40">
            <w:pPr>
              <w:jc w:val="right"/>
              <w:rPr>
                <w:rFonts w:ascii="Arial" w:hAnsi="Arial" w:cs="Arial"/>
                <w:color w:val="000000"/>
                <w:sz w:val="18"/>
                <w:lang w:val="es-ES_tradnl"/>
              </w:rPr>
            </w:pPr>
            <w:r w:rsidRPr="00701F32">
              <w:rPr>
                <w:rFonts w:ascii="Arial" w:hAnsi="Arial" w:cs="Arial"/>
                <w:color w:val="000000"/>
                <w:sz w:val="18"/>
              </w:rPr>
              <w:t>13.489</w:t>
            </w:r>
          </w:p>
        </w:tc>
      </w:tr>
      <w:tr w:rsidR="006D4ED3" w:rsidRPr="00701F32" w14:paraId="61C82D81" w14:textId="77777777" w:rsidTr="00831174">
        <w:trPr>
          <w:trHeight w:val="300"/>
        </w:trPr>
        <w:tc>
          <w:tcPr>
            <w:tcW w:w="4856" w:type="dxa"/>
            <w:tcBorders>
              <w:top w:val="nil"/>
              <w:left w:val="nil"/>
              <w:bottom w:val="nil"/>
              <w:right w:val="nil"/>
            </w:tcBorders>
            <w:shd w:val="clear" w:color="auto" w:fill="auto"/>
            <w:vAlign w:val="center"/>
            <w:hideMark/>
          </w:tcPr>
          <w:p w14:paraId="6D3FAB0B" w14:textId="77777777" w:rsidR="006D4ED3" w:rsidRPr="00701F32" w:rsidRDefault="006D4ED3" w:rsidP="006D4ED3">
            <w:pPr>
              <w:jc w:val="both"/>
              <w:rPr>
                <w:rFonts w:ascii="Arial" w:hAnsi="Arial" w:cs="Arial"/>
                <w:color w:val="000000"/>
                <w:sz w:val="18"/>
              </w:rPr>
            </w:pPr>
            <w:r w:rsidRPr="00701F32">
              <w:rPr>
                <w:rFonts w:ascii="Arial" w:hAnsi="Arial" w:cs="Arial"/>
                <w:color w:val="000000"/>
                <w:sz w:val="18"/>
              </w:rPr>
              <w:t>Inversión en otros instrumentos de patrimonio</w:t>
            </w:r>
          </w:p>
        </w:tc>
        <w:tc>
          <w:tcPr>
            <w:tcW w:w="827" w:type="dxa"/>
            <w:tcBorders>
              <w:top w:val="nil"/>
              <w:left w:val="nil"/>
              <w:bottom w:val="nil"/>
              <w:right w:val="nil"/>
            </w:tcBorders>
            <w:shd w:val="clear" w:color="auto" w:fill="auto"/>
            <w:vAlign w:val="center"/>
            <w:hideMark/>
          </w:tcPr>
          <w:p w14:paraId="3E91B3BE" w14:textId="77777777" w:rsidR="006D4ED3" w:rsidRPr="00701F32" w:rsidRDefault="006D4ED3" w:rsidP="006D4ED3">
            <w:pPr>
              <w:jc w:val="center"/>
              <w:rPr>
                <w:rFonts w:ascii="Arial" w:hAnsi="Arial" w:cs="Arial"/>
                <w:color w:val="000000"/>
                <w:sz w:val="18"/>
              </w:rPr>
            </w:pPr>
            <w:r w:rsidRPr="00701F32">
              <w:rPr>
                <w:rFonts w:ascii="Arial" w:hAnsi="Arial" w:cs="Arial"/>
                <w:color w:val="000000"/>
                <w:sz w:val="18"/>
              </w:rPr>
              <w:t>(d)</w:t>
            </w:r>
          </w:p>
        </w:tc>
        <w:tc>
          <w:tcPr>
            <w:tcW w:w="1118" w:type="dxa"/>
            <w:tcBorders>
              <w:top w:val="nil"/>
              <w:left w:val="nil"/>
              <w:bottom w:val="nil"/>
              <w:right w:val="nil"/>
            </w:tcBorders>
            <w:shd w:val="clear" w:color="auto" w:fill="auto"/>
            <w:vAlign w:val="center"/>
            <w:hideMark/>
          </w:tcPr>
          <w:p w14:paraId="76A9457B" w14:textId="77777777" w:rsidR="006D4ED3" w:rsidRPr="00701F32" w:rsidRDefault="006D4ED3" w:rsidP="006D4ED3">
            <w:pPr>
              <w:jc w:val="right"/>
              <w:rPr>
                <w:rFonts w:ascii="Arial" w:hAnsi="Arial" w:cs="Arial"/>
                <w:color w:val="000000"/>
                <w:sz w:val="18"/>
              </w:rPr>
            </w:pPr>
            <w:r w:rsidRPr="00701F32">
              <w:rPr>
                <w:rFonts w:ascii="Arial" w:hAnsi="Arial" w:cs="Arial"/>
                <w:color w:val="000000"/>
                <w:sz w:val="18"/>
              </w:rPr>
              <w:t>7.216</w:t>
            </w:r>
          </w:p>
        </w:tc>
        <w:tc>
          <w:tcPr>
            <w:tcW w:w="378" w:type="dxa"/>
            <w:tcBorders>
              <w:top w:val="nil"/>
              <w:left w:val="nil"/>
              <w:bottom w:val="nil"/>
              <w:right w:val="nil"/>
            </w:tcBorders>
          </w:tcPr>
          <w:p w14:paraId="56DB6822" w14:textId="77777777" w:rsidR="006D4ED3" w:rsidRPr="00701F32" w:rsidRDefault="006D4ED3" w:rsidP="006D4ED3">
            <w:pPr>
              <w:jc w:val="right"/>
              <w:rPr>
                <w:rFonts w:ascii="Arial" w:hAnsi="Arial" w:cs="Arial"/>
                <w:sz w:val="18"/>
              </w:rPr>
            </w:pPr>
          </w:p>
        </w:tc>
        <w:tc>
          <w:tcPr>
            <w:tcW w:w="1326" w:type="dxa"/>
            <w:tcBorders>
              <w:top w:val="nil"/>
              <w:left w:val="nil"/>
              <w:bottom w:val="nil"/>
              <w:right w:val="nil"/>
            </w:tcBorders>
            <w:vAlign w:val="center"/>
          </w:tcPr>
          <w:p w14:paraId="3A36C249" w14:textId="77777777" w:rsidR="006D4ED3" w:rsidRPr="00701F32" w:rsidRDefault="00AE0B3F" w:rsidP="006D4ED3">
            <w:pPr>
              <w:jc w:val="right"/>
              <w:rPr>
                <w:rFonts w:ascii="Arial" w:hAnsi="Arial" w:cs="Arial"/>
                <w:color w:val="000000"/>
                <w:sz w:val="18"/>
              </w:rPr>
            </w:pPr>
            <w:r w:rsidRPr="00701F32">
              <w:rPr>
                <w:rFonts w:ascii="Arial" w:hAnsi="Arial" w:cs="Arial"/>
                <w:color w:val="000000"/>
                <w:sz w:val="18"/>
              </w:rPr>
              <w:t>6.132</w:t>
            </w:r>
          </w:p>
        </w:tc>
      </w:tr>
      <w:tr w:rsidR="006D4ED3" w:rsidRPr="00701F32" w14:paraId="200545F0" w14:textId="77777777" w:rsidTr="00831174">
        <w:trPr>
          <w:trHeight w:val="300"/>
        </w:trPr>
        <w:tc>
          <w:tcPr>
            <w:tcW w:w="4856" w:type="dxa"/>
            <w:tcBorders>
              <w:top w:val="nil"/>
              <w:left w:val="nil"/>
              <w:bottom w:val="nil"/>
              <w:right w:val="nil"/>
            </w:tcBorders>
            <w:shd w:val="clear" w:color="auto" w:fill="auto"/>
            <w:vAlign w:val="center"/>
            <w:hideMark/>
          </w:tcPr>
          <w:p w14:paraId="57869689" w14:textId="77777777" w:rsidR="006D4ED3" w:rsidRPr="00701F32" w:rsidRDefault="006D4ED3" w:rsidP="006D4ED3">
            <w:pPr>
              <w:jc w:val="both"/>
              <w:rPr>
                <w:rFonts w:ascii="Arial" w:hAnsi="Arial" w:cs="Arial"/>
                <w:color w:val="000000"/>
                <w:sz w:val="18"/>
              </w:rPr>
            </w:pPr>
            <w:r w:rsidRPr="00701F32">
              <w:rPr>
                <w:rFonts w:ascii="Arial" w:hAnsi="Arial" w:cs="Arial"/>
                <w:color w:val="000000"/>
                <w:sz w:val="18"/>
              </w:rPr>
              <w:t>Impuesto a las Ganancias</w:t>
            </w:r>
          </w:p>
        </w:tc>
        <w:tc>
          <w:tcPr>
            <w:tcW w:w="827" w:type="dxa"/>
            <w:tcBorders>
              <w:top w:val="nil"/>
              <w:left w:val="nil"/>
              <w:bottom w:val="nil"/>
              <w:right w:val="nil"/>
            </w:tcBorders>
            <w:shd w:val="clear" w:color="auto" w:fill="auto"/>
            <w:vAlign w:val="center"/>
            <w:hideMark/>
          </w:tcPr>
          <w:p w14:paraId="6149FC74" w14:textId="77777777" w:rsidR="006D4ED3" w:rsidRPr="00701F32" w:rsidRDefault="006D4ED3" w:rsidP="006D4ED3">
            <w:pPr>
              <w:jc w:val="center"/>
              <w:rPr>
                <w:rFonts w:ascii="Arial" w:hAnsi="Arial" w:cs="Arial"/>
                <w:color w:val="000000"/>
                <w:sz w:val="18"/>
              </w:rPr>
            </w:pPr>
            <w:r w:rsidRPr="00701F32">
              <w:rPr>
                <w:rFonts w:ascii="Arial" w:hAnsi="Arial" w:cs="Arial"/>
                <w:color w:val="000000"/>
                <w:sz w:val="18"/>
              </w:rPr>
              <w:t>(j)</w:t>
            </w:r>
          </w:p>
        </w:tc>
        <w:tc>
          <w:tcPr>
            <w:tcW w:w="1118" w:type="dxa"/>
            <w:tcBorders>
              <w:top w:val="nil"/>
              <w:left w:val="nil"/>
              <w:bottom w:val="single" w:sz="12" w:space="0" w:color="auto"/>
              <w:right w:val="nil"/>
            </w:tcBorders>
            <w:shd w:val="clear" w:color="auto" w:fill="auto"/>
            <w:vAlign w:val="center"/>
            <w:hideMark/>
          </w:tcPr>
          <w:p w14:paraId="6E66E38D" w14:textId="77777777" w:rsidR="006D4ED3" w:rsidRPr="00701F32" w:rsidRDefault="006D4ED3" w:rsidP="006D4ED3">
            <w:pPr>
              <w:jc w:val="right"/>
              <w:rPr>
                <w:rFonts w:ascii="Arial" w:hAnsi="Arial" w:cs="Arial"/>
                <w:color w:val="000000"/>
                <w:sz w:val="18"/>
              </w:rPr>
            </w:pPr>
            <w:r w:rsidRPr="00701F32">
              <w:rPr>
                <w:rFonts w:ascii="Arial" w:hAnsi="Arial" w:cs="Arial"/>
                <w:color w:val="000000"/>
                <w:sz w:val="18"/>
              </w:rPr>
              <w:t>(21.263)</w:t>
            </w:r>
          </w:p>
        </w:tc>
        <w:tc>
          <w:tcPr>
            <w:tcW w:w="378" w:type="dxa"/>
            <w:tcBorders>
              <w:top w:val="nil"/>
              <w:left w:val="nil"/>
              <w:right w:val="nil"/>
            </w:tcBorders>
          </w:tcPr>
          <w:p w14:paraId="7C348A43" w14:textId="77777777" w:rsidR="006D4ED3" w:rsidRPr="00701F32" w:rsidRDefault="006D4ED3" w:rsidP="006D4ED3">
            <w:pPr>
              <w:jc w:val="right"/>
              <w:rPr>
                <w:rFonts w:ascii="Arial" w:hAnsi="Arial" w:cs="Arial"/>
                <w:sz w:val="18"/>
              </w:rPr>
            </w:pPr>
          </w:p>
        </w:tc>
        <w:tc>
          <w:tcPr>
            <w:tcW w:w="1326" w:type="dxa"/>
            <w:tcBorders>
              <w:top w:val="nil"/>
              <w:left w:val="nil"/>
              <w:bottom w:val="single" w:sz="12" w:space="0" w:color="auto"/>
              <w:right w:val="nil"/>
            </w:tcBorders>
            <w:vAlign w:val="center"/>
          </w:tcPr>
          <w:p w14:paraId="06A917DE" w14:textId="77777777" w:rsidR="006D4ED3" w:rsidRPr="00701F32" w:rsidRDefault="00AE0B3F" w:rsidP="006D4ED3">
            <w:pPr>
              <w:jc w:val="right"/>
              <w:rPr>
                <w:rFonts w:ascii="Arial" w:hAnsi="Arial" w:cs="Arial"/>
                <w:color w:val="000000"/>
                <w:sz w:val="18"/>
              </w:rPr>
            </w:pPr>
            <w:r w:rsidRPr="00701F32">
              <w:rPr>
                <w:rFonts w:ascii="Arial" w:hAnsi="Arial" w:cs="Arial"/>
                <w:color w:val="000000"/>
                <w:sz w:val="18"/>
              </w:rPr>
              <w:t>(15.151)</w:t>
            </w:r>
          </w:p>
        </w:tc>
      </w:tr>
      <w:tr w:rsidR="006D4ED3" w:rsidRPr="00701F32" w14:paraId="313E0B30" w14:textId="77777777" w:rsidTr="00831174">
        <w:trPr>
          <w:trHeight w:val="315"/>
        </w:trPr>
        <w:tc>
          <w:tcPr>
            <w:tcW w:w="4856" w:type="dxa"/>
            <w:tcBorders>
              <w:top w:val="nil"/>
              <w:left w:val="nil"/>
              <w:bottom w:val="nil"/>
              <w:right w:val="nil"/>
            </w:tcBorders>
            <w:shd w:val="clear" w:color="auto" w:fill="auto"/>
            <w:vAlign w:val="center"/>
            <w:hideMark/>
          </w:tcPr>
          <w:p w14:paraId="0558DB10" w14:textId="77777777" w:rsidR="006D4ED3" w:rsidRPr="00701F32" w:rsidRDefault="006D4ED3" w:rsidP="006D4ED3">
            <w:pPr>
              <w:jc w:val="both"/>
              <w:rPr>
                <w:rFonts w:ascii="Arial" w:hAnsi="Arial" w:cs="Arial"/>
                <w:b/>
                <w:bCs/>
                <w:color w:val="000000"/>
                <w:sz w:val="18"/>
              </w:rPr>
            </w:pPr>
            <w:r w:rsidRPr="00701F32">
              <w:rPr>
                <w:rFonts w:ascii="Arial" w:hAnsi="Arial" w:cs="Arial"/>
                <w:b/>
                <w:bCs/>
                <w:color w:val="000000"/>
                <w:sz w:val="18"/>
              </w:rPr>
              <w:t>Total de otros resultados integrales bajo NIIF</w:t>
            </w:r>
          </w:p>
        </w:tc>
        <w:tc>
          <w:tcPr>
            <w:tcW w:w="827" w:type="dxa"/>
            <w:tcBorders>
              <w:top w:val="nil"/>
              <w:left w:val="nil"/>
              <w:bottom w:val="nil"/>
              <w:right w:val="nil"/>
            </w:tcBorders>
            <w:shd w:val="clear" w:color="auto" w:fill="auto"/>
            <w:vAlign w:val="center"/>
            <w:hideMark/>
          </w:tcPr>
          <w:p w14:paraId="3CD8A43E" w14:textId="77777777" w:rsidR="006D4ED3" w:rsidRPr="00701F32" w:rsidRDefault="006D4ED3" w:rsidP="006D4ED3">
            <w:pPr>
              <w:jc w:val="both"/>
              <w:rPr>
                <w:rFonts w:ascii="Arial" w:hAnsi="Arial" w:cs="Arial"/>
                <w:b/>
                <w:bCs/>
                <w:color w:val="000000"/>
                <w:sz w:val="18"/>
              </w:rPr>
            </w:pPr>
          </w:p>
        </w:tc>
        <w:tc>
          <w:tcPr>
            <w:tcW w:w="1118" w:type="dxa"/>
            <w:tcBorders>
              <w:top w:val="single" w:sz="12" w:space="0" w:color="auto"/>
              <w:left w:val="nil"/>
              <w:bottom w:val="double" w:sz="6" w:space="0" w:color="auto"/>
              <w:right w:val="nil"/>
            </w:tcBorders>
            <w:shd w:val="clear" w:color="auto" w:fill="auto"/>
            <w:vAlign w:val="center"/>
            <w:hideMark/>
          </w:tcPr>
          <w:p w14:paraId="5E21B789" w14:textId="77777777" w:rsidR="006D4ED3" w:rsidRPr="00701F32" w:rsidRDefault="006D4ED3" w:rsidP="006D4ED3">
            <w:pPr>
              <w:jc w:val="right"/>
              <w:rPr>
                <w:rFonts w:ascii="Arial" w:hAnsi="Arial" w:cs="Arial"/>
                <w:b/>
                <w:bCs/>
                <w:color w:val="000000"/>
                <w:sz w:val="18"/>
              </w:rPr>
            </w:pPr>
            <w:r w:rsidRPr="00701F32">
              <w:rPr>
                <w:rFonts w:ascii="Arial" w:hAnsi="Arial" w:cs="Arial"/>
                <w:b/>
                <w:bCs/>
                <w:color w:val="000000"/>
                <w:sz w:val="18"/>
              </w:rPr>
              <w:t>69.561</w:t>
            </w:r>
          </w:p>
        </w:tc>
        <w:tc>
          <w:tcPr>
            <w:tcW w:w="378" w:type="dxa"/>
            <w:tcBorders>
              <w:left w:val="nil"/>
              <w:right w:val="nil"/>
            </w:tcBorders>
          </w:tcPr>
          <w:p w14:paraId="4E8AFAE1" w14:textId="77777777" w:rsidR="006D4ED3" w:rsidRPr="00701F32" w:rsidRDefault="006D4ED3" w:rsidP="006D4ED3">
            <w:pPr>
              <w:jc w:val="right"/>
              <w:rPr>
                <w:rFonts w:ascii="Arial" w:hAnsi="Arial" w:cs="Arial"/>
                <w:b/>
                <w:bCs/>
                <w:sz w:val="18"/>
              </w:rPr>
            </w:pPr>
          </w:p>
        </w:tc>
        <w:tc>
          <w:tcPr>
            <w:tcW w:w="1326" w:type="dxa"/>
            <w:tcBorders>
              <w:top w:val="single" w:sz="12" w:space="0" w:color="auto"/>
              <w:left w:val="nil"/>
              <w:bottom w:val="double" w:sz="6" w:space="0" w:color="auto"/>
              <w:right w:val="nil"/>
            </w:tcBorders>
            <w:vAlign w:val="center"/>
          </w:tcPr>
          <w:p w14:paraId="44C76A19" w14:textId="77777777" w:rsidR="006D4ED3" w:rsidRPr="00701F32" w:rsidRDefault="00AE0B3F" w:rsidP="006D4ED3">
            <w:pPr>
              <w:jc w:val="right"/>
              <w:rPr>
                <w:rFonts w:ascii="Arial" w:hAnsi="Arial" w:cs="Arial"/>
                <w:b/>
                <w:bCs/>
                <w:color w:val="000000"/>
                <w:sz w:val="18"/>
              </w:rPr>
            </w:pPr>
            <w:r w:rsidRPr="00701F32">
              <w:rPr>
                <w:rFonts w:ascii="Arial" w:hAnsi="Arial" w:cs="Arial"/>
                <w:b/>
                <w:bCs/>
                <w:color w:val="000000"/>
                <w:sz w:val="18"/>
              </w:rPr>
              <w:t>28.138</w:t>
            </w:r>
          </w:p>
        </w:tc>
      </w:tr>
    </w:tbl>
    <w:p w14:paraId="343FFC91" w14:textId="77777777" w:rsidR="00BD0DC8" w:rsidRPr="00701F32" w:rsidRDefault="00BD0DC8" w:rsidP="00BD0DC8">
      <w:pPr>
        <w:keepNext/>
        <w:keepLines/>
        <w:spacing w:before="40"/>
        <w:ind w:left="720" w:hanging="720"/>
        <w:jc w:val="both"/>
        <w:outlineLvl w:val="1"/>
        <w:rPr>
          <w:rFonts w:ascii="Arial" w:hAnsi="Arial" w:cs="Arial"/>
          <w:sz w:val="20"/>
        </w:rPr>
      </w:pPr>
      <w:r w:rsidRPr="00701F32">
        <w:rPr>
          <w:rFonts w:ascii="Arial" w:hAnsi="Arial" w:cs="Arial"/>
          <w:sz w:val="20"/>
        </w:rPr>
        <w:t xml:space="preserve">2.1.4. Conciliación del resultado integral y resultado neto por el </w:t>
      </w:r>
      <w:r w:rsidR="004F6FF7" w:rsidRPr="00701F32">
        <w:rPr>
          <w:rFonts w:ascii="Arial" w:hAnsi="Arial" w:cs="Arial"/>
          <w:sz w:val="20"/>
        </w:rPr>
        <w:t xml:space="preserve">el ejercicio finalizado el 31 de diciembre de 2017 y el </w:t>
      </w:r>
      <w:r w:rsidRPr="00701F32">
        <w:rPr>
          <w:rFonts w:ascii="Arial" w:hAnsi="Arial" w:cs="Arial"/>
          <w:sz w:val="20"/>
        </w:rPr>
        <w:t xml:space="preserve">período finalizado el </w:t>
      </w:r>
      <w:r w:rsidR="000D4978" w:rsidRPr="00701F32">
        <w:rPr>
          <w:rFonts w:ascii="Arial" w:hAnsi="Arial" w:cs="Arial"/>
          <w:sz w:val="20"/>
        </w:rPr>
        <w:t xml:space="preserve">30 de </w:t>
      </w:r>
      <w:r w:rsidR="00837BEB" w:rsidRPr="00701F32">
        <w:rPr>
          <w:rFonts w:ascii="Arial" w:hAnsi="Arial" w:cs="Arial"/>
          <w:sz w:val="20"/>
        </w:rPr>
        <w:t>septiembre</w:t>
      </w:r>
      <w:r w:rsidRPr="00701F32">
        <w:rPr>
          <w:rFonts w:ascii="Arial" w:hAnsi="Arial" w:cs="Arial"/>
          <w:sz w:val="20"/>
        </w:rPr>
        <w:t xml:space="preserve"> de 2017</w:t>
      </w:r>
    </w:p>
    <w:p w14:paraId="15C90F22" w14:textId="77777777" w:rsidR="006D4ED3" w:rsidRPr="00701F32" w:rsidRDefault="006D4ED3" w:rsidP="00BD0DC8">
      <w:pPr>
        <w:keepNext/>
        <w:keepLines/>
        <w:spacing w:before="40"/>
        <w:ind w:left="720" w:hanging="720"/>
        <w:jc w:val="both"/>
        <w:outlineLvl w:val="1"/>
        <w:rPr>
          <w:rFonts w:ascii="Arial" w:hAnsi="Arial" w:cs="Arial"/>
          <w:sz w:val="20"/>
        </w:rPr>
      </w:pPr>
    </w:p>
    <w:tbl>
      <w:tblPr>
        <w:tblW w:w="7797" w:type="dxa"/>
        <w:tblInd w:w="70" w:type="dxa"/>
        <w:tblLayout w:type="fixed"/>
        <w:tblCellMar>
          <w:left w:w="70" w:type="dxa"/>
          <w:right w:w="70" w:type="dxa"/>
        </w:tblCellMar>
        <w:tblLook w:val="04A0" w:firstRow="1" w:lastRow="0" w:firstColumn="1" w:lastColumn="0" w:noHBand="0" w:noVBand="1"/>
      </w:tblPr>
      <w:tblGrid>
        <w:gridCol w:w="3502"/>
        <w:gridCol w:w="1216"/>
        <w:gridCol w:w="1128"/>
        <w:gridCol w:w="817"/>
        <w:gridCol w:w="1134"/>
      </w:tblGrid>
      <w:tr w:rsidR="006D4ED3" w:rsidRPr="00701F32" w14:paraId="40A8514D" w14:textId="77777777" w:rsidTr="00831174">
        <w:trPr>
          <w:trHeight w:val="315"/>
        </w:trPr>
        <w:tc>
          <w:tcPr>
            <w:tcW w:w="3502" w:type="dxa"/>
            <w:tcBorders>
              <w:top w:val="nil"/>
              <w:left w:val="nil"/>
              <w:bottom w:val="nil"/>
              <w:right w:val="nil"/>
            </w:tcBorders>
            <w:shd w:val="clear" w:color="auto" w:fill="auto"/>
            <w:vAlign w:val="center"/>
            <w:hideMark/>
          </w:tcPr>
          <w:p w14:paraId="5D5657A1" w14:textId="77777777" w:rsidR="006D4ED3" w:rsidRPr="00701F32" w:rsidRDefault="006D4ED3" w:rsidP="006D4ED3">
            <w:pPr>
              <w:keepNext/>
              <w:keepLines/>
              <w:spacing w:before="40"/>
              <w:ind w:left="720" w:hanging="720"/>
              <w:jc w:val="both"/>
              <w:outlineLvl w:val="1"/>
              <w:rPr>
                <w:rFonts w:ascii="Arial" w:hAnsi="Arial" w:cs="Arial"/>
                <w:sz w:val="18"/>
                <w:szCs w:val="18"/>
              </w:rPr>
            </w:pPr>
          </w:p>
        </w:tc>
        <w:tc>
          <w:tcPr>
            <w:tcW w:w="1216" w:type="dxa"/>
            <w:tcBorders>
              <w:top w:val="nil"/>
              <w:left w:val="nil"/>
              <w:bottom w:val="nil"/>
              <w:right w:val="nil"/>
            </w:tcBorders>
            <w:shd w:val="clear" w:color="auto" w:fill="auto"/>
            <w:noWrap/>
            <w:vAlign w:val="bottom"/>
            <w:hideMark/>
          </w:tcPr>
          <w:p w14:paraId="546C91E1" w14:textId="77777777" w:rsidR="006D4ED3" w:rsidRPr="00701F32" w:rsidRDefault="006D4ED3" w:rsidP="006D4ED3">
            <w:pPr>
              <w:keepNext/>
              <w:keepLines/>
              <w:spacing w:before="40"/>
              <w:ind w:left="720" w:hanging="720"/>
              <w:jc w:val="both"/>
              <w:outlineLvl w:val="1"/>
              <w:rPr>
                <w:rFonts w:ascii="Arial" w:hAnsi="Arial" w:cs="Arial"/>
                <w:sz w:val="18"/>
                <w:szCs w:val="18"/>
              </w:rPr>
            </w:pPr>
          </w:p>
        </w:tc>
        <w:tc>
          <w:tcPr>
            <w:tcW w:w="1128" w:type="dxa"/>
            <w:tcBorders>
              <w:top w:val="nil"/>
              <w:left w:val="nil"/>
              <w:bottom w:val="single" w:sz="8" w:space="0" w:color="auto"/>
              <w:right w:val="nil"/>
            </w:tcBorders>
            <w:shd w:val="clear" w:color="auto" w:fill="auto"/>
            <w:vAlign w:val="center"/>
            <w:hideMark/>
          </w:tcPr>
          <w:p w14:paraId="64254F22" w14:textId="77777777" w:rsidR="006D4ED3" w:rsidRPr="00701F32" w:rsidRDefault="006D4ED3">
            <w:pPr>
              <w:keepNext/>
              <w:keepLines/>
              <w:spacing w:before="40"/>
              <w:ind w:left="720" w:hanging="720"/>
              <w:jc w:val="right"/>
              <w:outlineLvl w:val="1"/>
              <w:rPr>
                <w:rFonts w:ascii="Arial" w:hAnsi="Arial" w:cs="Arial"/>
                <w:b/>
                <w:bCs/>
                <w:sz w:val="18"/>
                <w:szCs w:val="18"/>
              </w:rPr>
            </w:pPr>
            <w:r w:rsidRPr="00701F32">
              <w:rPr>
                <w:rFonts w:ascii="Arial" w:hAnsi="Arial" w:cs="Arial"/>
                <w:b/>
                <w:bCs/>
                <w:sz w:val="18"/>
                <w:szCs w:val="18"/>
              </w:rPr>
              <w:t>31/12/2017</w:t>
            </w:r>
          </w:p>
        </w:tc>
        <w:tc>
          <w:tcPr>
            <w:tcW w:w="817" w:type="dxa"/>
            <w:tcBorders>
              <w:top w:val="nil"/>
              <w:left w:val="nil"/>
              <w:right w:val="nil"/>
            </w:tcBorders>
          </w:tcPr>
          <w:p w14:paraId="0659C8DC" w14:textId="77777777" w:rsidR="006D4ED3" w:rsidRPr="00701F32" w:rsidRDefault="006D4ED3" w:rsidP="006D4ED3">
            <w:pPr>
              <w:keepNext/>
              <w:keepLines/>
              <w:spacing w:before="40"/>
              <w:ind w:left="720" w:hanging="720"/>
              <w:jc w:val="right"/>
              <w:outlineLvl w:val="1"/>
              <w:rPr>
                <w:rFonts w:ascii="Arial" w:hAnsi="Arial" w:cs="Arial"/>
                <w:b/>
                <w:bCs/>
                <w:sz w:val="18"/>
                <w:szCs w:val="18"/>
              </w:rPr>
            </w:pPr>
          </w:p>
        </w:tc>
        <w:tc>
          <w:tcPr>
            <w:tcW w:w="1134" w:type="dxa"/>
            <w:tcBorders>
              <w:top w:val="nil"/>
              <w:left w:val="nil"/>
              <w:bottom w:val="single" w:sz="8" w:space="0" w:color="auto"/>
              <w:right w:val="nil"/>
            </w:tcBorders>
            <w:vAlign w:val="center"/>
          </w:tcPr>
          <w:p w14:paraId="3D7B5CEA" w14:textId="77777777" w:rsidR="006D4ED3" w:rsidRPr="00701F32" w:rsidRDefault="008C615D" w:rsidP="006D4ED3">
            <w:pPr>
              <w:keepNext/>
              <w:keepLines/>
              <w:spacing w:before="40"/>
              <w:ind w:left="720" w:hanging="720"/>
              <w:jc w:val="right"/>
              <w:outlineLvl w:val="1"/>
              <w:rPr>
                <w:rFonts w:ascii="Arial" w:hAnsi="Arial" w:cs="Arial"/>
                <w:b/>
                <w:bCs/>
                <w:sz w:val="18"/>
                <w:szCs w:val="18"/>
              </w:rPr>
            </w:pPr>
            <w:r w:rsidRPr="00701F32">
              <w:rPr>
                <w:rFonts w:ascii="Arial" w:hAnsi="Arial" w:cs="Arial"/>
                <w:b/>
                <w:bCs/>
                <w:sz w:val="18"/>
                <w:szCs w:val="18"/>
              </w:rPr>
              <w:t>30/0</w:t>
            </w:r>
            <w:r w:rsidR="00837BEB" w:rsidRPr="00701F32">
              <w:rPr>
                <w:rFonts w:ascii="Arial" w:hAnsi="Arial" w:cs="Arial"/>
                <w:b/>
                <w:bCs/>
                <w:sz w:val="18"/>
                <w:szCs w:val="18"/>
              </w:rPr>
              <w:t>9</w:t>
            </w:r>
            <w:r w:rsidRPr="00701F32">
              <w:rPr>
                <w:rFonts w:ascii="Arial" w:hAnsi="Arial" w:cs="Arial"/>
                <w:b/>
                <w:bCs/>
                <w:sz w:val="18"/>
                <w:szCs w:val="18"/>
              </w:rPr>
              <w:t>/201</w:t>
            </w:r>
            <w:r w:rsidR="00837BEB" w:rsidRPr="00701F32">
              <w:rPr>
                <w:rFonts w:ascii="Arial" w:hAnsi="Arial" w:cs="Arial"/>
                <w:b/>
                <w:bCs/>
                <w:sz w:val="18"/>
                <w:szCs w:val="18"/>
              </w:rPr>
              <w:t>7</w:t>
            </w:r>
          </w:p>
        </w:tc>
      </w:tr>
      <w:tr w:rsidR="006D4ED3" w:rsidRPr="00701F32" w14:paraId="39914802" w14:textId="77777777" w:rsidTr="00831174">
        <w:trPr>
          <w:trHeight w:val="300"/>
        </w:trPr>
        <w:tc>
          <w:tcPr>
            <w:tcW w:w="3502" w:type="dxa"/>
            <w:tcBorders>
              <w:top w:val="nil"/>
              <w:left w:val="nil"/>
              <w:bottom w:val="nil"/>
              <w:right w:val="nil"/>
            </w:tcBorders>
            <w:shd w:val="clear" w:color="auto" w:fill="auto"/>
            <w:vAlign w:val="center"/>
            <w:hideMark/>
          </w:tcPr>
          <w:p w14:paraId="1443DE14" w14:textId="77777777" w:rsidR="006D4ED3" w:rsidRPr="00701F32" w:rsidRDefault="006D4ED3" w:rsidP="006D4ED3">
            <w:pPr>
              <w:keepNext/>
              <w:keepLines/>
              <w:spacing w:before="40"/>
              <w:ind w:left="720" w:hanging="720"/>
              <w:outlineLvl w:val="1"/>
              <w:rPr>
                <w:rFonts w:ascii="Arial" w:hAnsi="Arial" w:cs="Arial"/>
                <w:sz w:val="18"/>
                <w:szCs w:val="18"/>
              </w:rPr>
            </w:pPr>
            <w:r w:rsidRPr="00701F32">
              <w:rPr>
                <w:rFonts w:ascii="Arial" w:hAnsi="Arial" w:cs="Arial"/>
                <w:sz w:val="18"/>
                <w:szCs w:val="18"/>
              </w:rPr>
              <w:t xml:space="preserve">Resultado neto bajo NIIF </w:t>
            </w:r>
          </w:p>
        </w:tc>
        <w:tc>
          <w:tcPr>
            <w:tcW w:w="1216" w:type="dxa"/>
            <w:tcBorders>
              <w:top w:val="nil"/>
              <w:left w:val="nil"/>
              <w:bottom w:val="nil"/>
              <w:right w:val="nil"/>
            </w:tcBorders>
            <w:shd w:val="clear" w:color="auto" w:fill="auto"/>
            <w:noWrap/>
            <w:vAlign w:val="center"/>
            <w:hideMark/>
          </w:tcPr>
          <w:p w14:paraId="0AAB5659" w14:textId="77777777" w:rsidR="006D4ED3" w:rsidRPr="00701F32" w:rsidRDefault="006D4ED3" w:rsidP="006D4ED3">
            <w:pPr>
              <w:keepNext/>
              <w:keepLines/>
              <w:spacing w:before="40"/>
              <w:ind w:left="720" w:hanging="720"/>
              <w:jc w:val="right"/>
              <w:outlineLvl w:val="1"/>
              <w:rPr>
                <w:rFonts w:ascii="Arial" w:hAnsi="Arial" w:cs="Arial"/>
                <w:sz w:val="18"/>
                <w:szCs w:val="18"/>
              </w:rPr>
            </w:pPr>
          </w:p>
        </w:tc>
        <w:tc>
          <w:tcPr>
            <w:tcW w:w="1128" w:type="dxa"/>
            <w:tcBorders>
              <w:top w:val="nil"/>
              <w:left w:val="nil"/>
              <w:bottom w:val="nil"/>
              <w:right w:val="nil"/>
            </w:tcBorders>
            <w:shd w:val="clear" w:color="auto" w:fill="auto"/>
            <w:vAlign w:val="center"/>
            <w:hideMark/>
          </w:tcPr>
          <w:p w14:paraId="6A1C46D5" w14:textId="77777777" w:rsidR="006D4ED3" w:rsidRPr="00701F32" w:rsidRDefault="006D4ED3" w:rsidP="006D4ED3">
            <w:pPr>
              <w:keepNext/>
              <w:keepLines/>
              <w:spacing w:before="40"/>
              <w:ind w:left="720" w:hanging="720"/>
              <w:jc w:val="right"/>
              <w:outlineLvl w:val="1"/>
              <w:rPr>
                <w:rFonts w:ascii="Arial" w:hAnsi="Arial" w:cs="Arial"/>
                <w:sz w:val="18"/>
                <w:szCs w:val="18"/>
              </w:rPr>
            </w:pPr>
            <w:r w:rsidRPr="00701F32">
              <w:rPr>
                <w:rFonts w:ascii="Arial" w:hAnsi="Arial" w:cs="Arial"/>
                <w:sz w:val="18"/>
                <w:szCs w:val="18"/>
              </w:rPr>
              <w:t>796.799</w:t>
            </w:r>
          </w:p>
        </w:tc>
        <w:tc>
          <w:tcPr>
            <w:tcW w:w="817" w:type="dxa"/>
            <w:tcBorders>
              <w:top w:val="nil"/>
              <w:left w:val="nil"/>
              <w:bottom w:val="nil"/>
              <w:right w:val="nil"/>
            </w:tcBorders>
          </w:tcPr>
          <w:p w14:paraId="59D6438D" w14:textId="77777777" w:rsidR="006D4ED3" w:rsidRPr="00701F32" w:rsidRDefault="006D4ED3" w:rsidP="006D4ED3">
            <w:pPr>
              <w:keepNext/>
              <w:keepLines/>
              <w:spacing w:before="40"/>
              <w:ind w:left="720" w:hanging="720"/>
              <w:jc w:val="right"/>
              <w:outlineLvl w:val="1"/>
              <w:rPr>
                <w:rFonts w:ascii="Arial" w:hAnsi="Arial" w:cs="Arial"/>
                <w:sz w:val="18"/>
                <w:szCs w:val="18"/>
              </w:rPr>
            </w:pPr>
          </w:p>
        </w:tc>
        <w:tc>
          <w:tcPr>
            <w:tcW w:w="1134" w:type="dxa"/>
            <w:tcBorders>
              <w:top w:val="nil"/>
              <w:left w:val="nil"/>
              <w:bottom w:val="nil"/>
              <w:right w:val="nil"/>
            </w:tcBorders>
            <w:vAlign w:val="center"/>
          </w:tcPr>
          <w:p w14:paraId="0BEA60D3" w14:textId="77777777" w:rsidR="006D4ED3" w:rsidRPr="00701F32" w:rsidRDefault="00AE0B3F" w:rsidP="006D4ED3">
            <w:pPr>
              <w:keepNext/>
              <w:keepLines/>
              <w:spacing w:before="40"/>
              <w:ind w:left="720" w:hanging="720"/>
              <w:jc w:val="right"/>
              <w:outlineLvl w:val="1"/>
              <w:rPr>
                <w:rFonts w:ascii="Arial" w:hAnsi="Arial" w:cs="Arial"/>
                <w:sz w:val="18"/>
                <w:szCs w:val="18"/>
              </w:rPr>
            </w:pPr>
            <w:r w:rsidRPr="00701F32">
              <w:rPr>
                <w:rFonts w:ascii="Arial" w:hAnsi="Arial" w:cs="Arial"/>
                <w:sz w:val="18"/>
                <w:szCs w:val="18"/>
              </w:rPr>
              <w:t>804.707</w:t>
            </w:r>
          </w:p>
        </w:tc>
      </w:tr>
      <w:tr w:rsidR="006D4ED3" w:rsidRPr="00701F32" w14:paraId="7E8BEA91" w14:textId="77777777" w:rsidTr="00831174">
        <w:trPr>
          <w:trHeight w:val="600"/>
        </w:trPr>
        <w:tc>
          <w:tcPr>
            <w:tcW w:w="3502" w:type="dxa"/>
            <w:tcBorders>
              <w:top w:val="nil"/>
              <w:left w:val="nil"/>
              <w:bottom w:val="nil"/>
              <w:right w:val="nil"/>
            </w:tcBorders>
            <w:shd w:val="clear" w:color="auto" w:fill="auto"/>
            <w:vAlign w:val="center"/>
            <w:hideMark/>
          </w:tcPr>
          <w:p w14:paraId="158447E6" w14:textId="77777777" w:rsidR="006D4ED3" w:rsidRPr="00701F32" w:rsidRDefault="006D4ED3" w:rsidP="006D4ED3">
            <w:pPr>
              <w:keepNext/>
              <w:keepLines/>
              <w:spacing w:before="40"/>
              <w:jc w:val="both"/>
              <w:outlineLvl w:val="1"/>
              <w:rPr>
                <w:rFonts w:ascii="Arial" w:hAnsi="Arial" w:cs="Arial"/>
                <w:sz w:val="18"/>
                <w:szCs w:val="18"/>
              </w:rPr>
            </w:pPr>
            <w:r w:rsidRPr="00701F32">
              <w:rPr>
                <w:rFonts w:ascii="Arial" w:hAnsi="Arial" w:cs="Arial"/>
                <w:sz w:val="18"/>
                <w:szCs w:val="18"/>
              </w:rPr>
              <w:t xml:space="preserve">Otros resultados integrales bajo NIIF </w:t>
            </w:r>
          </w:p>
        </w:tc>
        <w:tc>
          <w:tcPr>
            <w:tcW w:w="1216" w:type="dxa"/>
            <w:tcBorders>
              <w:top w:val="nil"/>
              <w:left w:val="nil"/>
              <w:bottom w:val="nil"/>
              <w:right w:val="nil"/>
            </w:tcBorders>
            <w:shd w:val="clear" w:color="auto" w:fill="auto"/>
            <w:noWrap/>
            <w:vAlign w:val="center"/>
            <w:hideMark/>
          </w:tcPr>
          <w:p w14:paraId="0EC70DDC" w14:textId="77777777" w:rsidR="006D4ED3" w:rsidRPr="00701F32" w:rsidRDefault="006D4ED3" w:rsidP="006D4ED3">
            <w:pPr>
              <w:keepNext/>
              <w:keepLines/>
              <w:spacing w:before="40"/>
              <w:ind w:left="720" w:hanging="720"/>
              <w:jc w:val="right"/>
              <w:outlineLvl w:val="1"/>
              <w:rPr>
                <w:rFonts w:ascii="Arial" w:hAnsi="Arial" w:cs="Arial"/>
                <w:sz w:val="18"/>
                <w:szCs w:val="18"/>
              </w:rPr>
            </w:pPr>
          </w:p>
        </w:tc>
        <w:tc>
          <w:tcPr>
            <w:tcW w:w="1128" w:type="dxa"/>
            <w:tcBorders>
              <w:top w:val="nil"/>
              <w:left w:val="nil"/>
              <w:bottom w:val="single" w:sz="8" w:space="0" w:color="auto"/>
              <w:right w:val="nil"/>
            </w:tcBorders>
            <w:shd w:val="clear" w:color="auto" w:fill="auto"/>
            <w:vAlign w:val="center"/>
            <w:hideMark/>
          </w:tcPr>
          <w:p w14:paraId="056B7975" w14:textId="77777777" w:rsidR="006D4ED3" w:rsidRPr="00701F32" w:rsidRDefault="006D4ED3" w:rsidP="006D4ED3">
            <w:pPr>
              <w:keepNext/>
              <w:keepLines/>
              <w:spacing w:before="40"/>
              <w:ind w:left="720" w:hanging="720"/>
              <w:jc w:val="right"/>
              <w:outlineLvl w:val="1"/>
              <w:rPr>
                <w:rFonts w:ascii="Arial" w:hAnsi="Arial" w:cs="Arial"/>
                <w:sz w:val="18"/>
                <w:szCs w:val="18"/>
              </w:rPr>
            </w:pPr>
            <w:r w:rsidRPr="00701F32">
              <w:rPr>
                <w:rFonts w:ascii="Arial" w:hAnsi="Arial" w:cs="Arial"/>
                <w:sz w:val="18"/>
                <w:szCs w:val="18"/>
              </w:rPr>
              <w:t>69.561</w:t>
            </w:r>
          </w:p>
        </w:tc>
        <w:tc>
          <w:tcPr>
            <w:tcW w:w="817" w:type="dxa"/>
            <w:tcBorders>
              <w:top w:val="nil"/>
              <w:left w:val="nil"/>
              <w:right w:val="nil"/>
            </w:tcBorders>
          </w:tcPr>
          <w:p w14:paraId="071F2A64" w14:textId="77777777" w:rsidR="006D4ED3" w:rsidRPr="00701F32" w:rsidRDefault="006D4ED3" w:rsidP="006D4ED3">
            <w:pPr>
              <w:keepNext/>
              <w:keepLines/>
              <w:spacing w:before="40"/>
              <w:ind w:left="720" w:hanging="720"/>
              <w:jc w:val="right"/>
              <w:outlineLvl w:val="1"/>
              <w:rPr>
                <w:rFonts w:ascii="Arial" w:hAnsi="Arial" w:cs="Arial"/>
                <w:sz w:val="18"/>
                <w:szCs w:val="18"/>
              </w:rPr>
            </w:pPr>
          </w:p>
        </w:tc>
        <w:tc>
          <w:tcPr>
            <w:tcW w:w="1134" w:type="dxa"/>
            <w:tcBorders>
              <w:top w:val="nil"/>
              <w:left w:val="nil"/>
              <w:bottom w:val="single" w:sz="8" w:space="0" w:color="auto"/>
              <w:right w:val="nil"/>
            </w:tcBorders>
            <w:vAlign w:val="center"/>
          </w:tcPr>
          <w:p w14:paraId="51A9EA3C" w14:textId="77777777" w:rsidR="006D4ED3" w:rsidRPr="00701F32" w:rsidRDefault="00AE0B3F" w:rsidP="006D4ED3">
            <w:pPr>
              <w:keepNext/>
              <w:keepLines/>
              <w:spacing w:before="40"/>
              <w:ind w:left="720" w:hanging="720"/>
              <w:jc w:val="right"/>
              <w:outlineLvl w:val="1"/>
              <w:rPr>
                <w:rFonts w:ascii="Arial" w:hAnsi="Arial" w:cs="Arial"/>
                <w:sz w:val="18"/>
                <w:szCs w:val="18"/>
              </w:rPr>
            </w:pPr>
            <w:r w:rsidRPr="00701F32">
              <w:rPr>
                <w:rFonts w:ascii="Arial" w:hAnsi="Arial" w:cs="Arial"/>
                <w:sz w:val="18"/>
                <w:szCs w:val="18"/>
              </w:rPr>
              <w:t>28.138</w:t>
            </w:r>
          </w:p>
        </w:tc>
      </w:tr>
      <w:tr w:rsidR="006D4ED3" w:rsidRPr="00701F32" w14:paraId="46533BF1" w14:textId="77777777" w:rsidTr="00831174">
        <w:trPr>
          <w:trHeight w:val="525"/>
        </w:trPr>
        <w:tc>
          <w:tcPr>
            <w:tcW w:w="3502" w:type="dxa"/>
            <w:tcBorders>
              <w:top w:val="nil"/>
              <w:left w:val="nil"/>
              <w:bottom w:val="nil"/>
              <w:right w:val="nil"/>
            </w:tcBorders>
            <w:shd w:val="clear" w:color="auto" w:fill="auto"/>
            <w:vAlign w:val="center"/>
            <w:hideMark/>
          </w:tcPr>
          <w:p w14:paraId="58B2B6A8" w14:textId="77777777" w:rsidR="006D4ED3" w:rsidRPr="00701F32" w:rsidRDefault="006D4ED3" w:rsidP="006D4ED3">
            <w:pPr>
              <w:keepNext/>
              <w:keepLines/>
              <w:spacing w:before="40"/>
              <w:jc w:val="both"/>
              <w:outlineLvl w:val="1"/>
              <w:rPr>
                <w:rFonts w:ascii="Arial" w:hAnsi="Arial" w:cs="Arial"/>
                <w:b/>
                <w:bCs/>
                <w:sz w:val="18"/>
                <w:szCs w:val="18"/>
              </w:rPr>
            </w:pPr>
            <w:r w:rsidRPr="00701F32">
              <w:rPr>
                <w:rFonts w:ascii="Arial" w:hAnsi="Arial" w:cs="Arial"/>
                <w:b/>
                <w:bCs/>
                <w:sz w:val="18"/>
                <w:szCs w:val="18"/>
              </w:rPr>
              <w:t>Total del resultado neto más resultado integral bajo NIIF</w:t>
            </w:r>
          </w:p>
        </w:tc>
        <w:tc>
          <w:tcPr>
            <w:tcW w:w="1216" w:type="dxa"/>
            <w:tcBorders>
              <w:top w:val="nil"/>
              <w:left w:val="nil"/>
              <w:bottom w:val="nil"/>
              <w:right w:val="nil"/>
            </w:tcBorders>
            <w:shd w:val="clear" w:color="auto" w:fill="auto"/>
            <w:noWrap/>
            <w:vAlign w:val="bottom"/>
            <w:hideMark/>
          </w:tcPr>
          <w:p w14:paraId="5B164025" w14:textId="77777777" w:rsidR="006D4ED3" w:rsidRPr="00701F32" w:rsidRDefault="006D4ED3" w:rsidP="006D4ED3">
            <w:pPr>
              <w:keepNext/>
              <w:keepLines/>
              <w:spacing w:before="40"/>
              <w:ind w:left="720" w:hanging="720"/>
              <w:jc w:val="both"/>
              <w:outlineLvl w:val="1"/>
              <w:rPr>
                <w:rFonts w:ascii="Arial" w:hAnsi="Arial" w:cs="Arial"/>
                <w:b/>
                <w:bCs/>
                <w:sz w:val="18"/>
                <w:szCs w:val="18"/>
              </w:rPr>
            </w:pPr>
          </w:p>
        </w:tc>
        <w:tc>
          <w:tcPr>
            <w:tcW w:w="1128" w:type="dxa"/>
            <w:tcBorders>
              <w:top w:val="nil"/>
              <w:left w:val="nil"/>
              <w:bottom w:val="double" w:sz="6" w:space="0" w:color="auto"/>
              <w:right w:val="nil"/>
            </w:tcBorders>
            <w:shd w:val="clear" w:color="auto" w:fill="auto"/>
            <w:vAlign w:val="center"/>
            <w:hideMark/>
          </w:tcPr>
          <w:p w14:paraId="7FA7A19B" w14:textId="77777777" w:rsidR="006D4ED3" w:rsidRPr="00701F32" w:rsidRDefault="006D4ED3" w:rsidP="006D4ED3">
            <w:pPr>
              <w:keepNext/>
              <w:keepLines/>
              <w:spacing w:before="40"/>
              <w:ind w:left="720" w:hanging="720"/>
              <w:jc w:val="right"/>
              <w:outlineLvl w:val="1"/>
              <w:rPr>
                <w:rFonts w:ascii="Arial" w:hAnsi="Arial" w:cs="Arial"/>
                <w:b/>
                <w:bCs/>
                <w:sz w:val="18"/>
                <w:szCs w:val="18"/>
              </w:rPr>
            </w:pPr>
            <w:r w:rsidRPr="00701F32">
              <w:rPr>
                <w:rFonts w:ascii="Arial" w:hAnsi="Arial" w:cs="Arial"/>
                <w:b/>
                <w:bCs/>
                <w:sz w:val="18"/>
                <w:szCs w:val="18"/>
              </w:rPr>
              <w:t>866.360</w:t>
            </w:r>
          </w:p>
        </w:tc>
        <w:tc>
          <w:tcPr>
            <w:tcW w:w="817" w:type="dxa"/>
            <w:tcBorders>
              <w:top w:val="nil"/>
              <w:left w:val="nil"/>
              <w:right w:val="nil"/>
            </w:tcBorders>
          </w:tcPr>
          <w:p w14:paraId="5CEFB32A" w14:textId="77777777" w:rsidR="006D4ED3" w:rsidRPr="00701F32" w:rsidRDefault="006D4ED3" w:rsidP="006D4ED3">
            <w:pPr>
              <w:keepNext/>
              <w:keepLines/>
              <w:spacing w:before="40"/>
              <w:ind w:left="720" w:hanging="720"/>
              <w:jc w:val="right"/>
              <w:outlineLvl w:val="1"/>
              <w:rPr>
                <w:rFonts w:ascii="Arial" w:hAnsi="Arial" w:cs="Arial"/>
                <w:b/>
                <w:bCs/>
                <w:sz w:val="18"/>
                <w:szCs w:val="18"/>
              </w:rPr>
            </w:pPr>
          </w:p>
        </w:tc>
        <w:tc>
          <w:tcPr>
            <w:tcW w:w="1134" w:type="dxa"/>
            <w:tcBorders>
              <w:top w:val="nil"/>
              <w:left w:val="nil"/>
              <w:bottom w:val="double" w:sz="6" w:space="0" w:color="auto"/>
              <w:right w:val="nil"/>
            </w:tcBorders>
            <w:vAlign w:val="center"/>
          </w:tcPr>
          <w:p w14:paraId="72B935D6" w14:textId="77777777" w:rsidR="006D4ED3" w:rsidRPr="00701F32" w:rsidRDefault="00AE0B3F" w:rsidP="006D4ED3">
            <w:pPr>
              <w:keepNext/>
              <w:keepLines/>
              <w:spacing w:before="40"/>
              <w:ind w:left="720" w:hanging="720"/>
              <w:jc w:val="right"/>
              <w:outlineLvl w:val="1"/>
              <w:rPr>
                <w:rFonts w:ascii="Arial" w:hAnsi="Arial" w:cs="Arial"/>
                <w:b/>
                <w:bCs/>
                <w:sz w:val="18"/>
                <w:szCs w:val="18"/>
              </w:rPr>
            </w:pPr>
            <w:r w:rsidRPr="00701F32">
              <w:rPr>
                <w:rFonts w:ascii="Arial" w:hAnsi="Arial" w:cs="Arial"/>
                <w:b/>
                <w:bCs/>
                <w:sz w:val="18"/>
                <w:szCs w:val="18"/>
              </w:rPr>
              <w:t>832.845</w:t>
            </w:r>
          </w:p>
        </w:tc>
      </w:tr>
    </w:tbl>
    <w:p w14:paraId="022F674B" w14:textId="77777777" w:rsidR="006D4ED3" w:rsidRPr="00701F32" w:rsidRDefault="006D4ED3" w:rsidP="00BD0DC8">
      <w:pPr>
        <w:keepNext/>
        <w:keepLines/>
        <w:spacing w:before="40"/>
        <w:ind w:left="720" w:hanging="720"/>
        <w:jc w:val="both"/>
        <w:outlineLvl w:val="1"/>
        <w:rPr>
          <w:rFonts w:ascii="Arial" w:hAnsi="Arial" w:cs="Arial"/>
          <w:sz w:val="20"/>
        </w:rPr>
      </w:pPr>
    </w:p>
    <w:p w14:paraId="6F9A5A72" w14:textId="77777777" w:rsidR="00BD0DC8" w:rsidRPr="00701F32" w:rsidRDefault="00BD0DC8" w:rsidP="00BD0DC8">
      <w:pPr>
        <w:keepNext/>
        <w:keepLines/>
        <w:spacing w:before="40"/>
        <w:jc w:val="both"/>
        <w:outlineLvl w:val="1"/>
        <w:rPr>
          <w:rFonts w:ascii="Arial" w:hAnsi="Arial" w:cs="Arial"/>
          <w:sz w:val="20"/>
        </w:rPr>
      </w:pPr>
      <w:r w:rsidRPr="00701F32">
        <w:rPr>
          <w:rFonts w:ascii="Arial" w:hAnsi="Arial" w:cs="Arial"/>
          <w:sz w:val="20"/>
        </w:rPr>
        <w:t xml:space="preserve">2.1.5. Explicación de los ajustes </w:t>
      </w:r>
    </w:p>
    <w:p w14:paraId="0F8CBC15" w14:textId="77777777" w:rsidR="000045FD" w:rsidRPr="00701F32" w:rsidRDefault="000045FD" w:rsidP="00BD0DC8">
      <w:pPr>
        <w:keepNext/>
        <w:keepLines/>
        <w:spacing w:before="40"/>
        <w:jc w:val="both"/>
        <w:outlineLvl w:val="1"/>
        <w:rPr>
          <w:rFonts w:ascii="Arial" w:hAnsi="Arial" w:cs="Arial"/>
          <w:sz w:val="20"/>
        </w:rPr>
      </w:pPr>
    </w:p>
    <w:p w14:paraId="251834FE" w14:textId="77777777" w:rsidR="00BD0DC8" w:rsidRPr="00701F32" w:rsidRDefault="00BD0DC8" w:rsidP="00712ADC">
      <w:pPr>
        <w:pStyle w:val="Prrafodelista"/>
        <w:numPr>
          <w:ilvl w:val="0"/>
          <w:numId w:val="90"/>
        </w:numPr>
        <w:spacing w:before="90"/>
        <w:contextualSpacing/>
        <w:rPr>
          <w:rFonts w:ascii="Arial" w:hAnsi="Arial" w:cs="Arial"/>
          <w:sz w:val="20"/>
          <w:lang w:eastAsia="es-AR"/>
        </w:rPr>
      </w:pPr>
      <w:r w:rsidRPr="00701F32">
        <w:rPr>
          <w:rFonts w:ascii="Arial" w:hAnsi="Arial" w:cs="Arial"/>
          <w:b/>
          <w:sz w:val="20"/>
          <w:lang w:eastAsia="es-AR"/>
        </w:rPr>
        <w:t>Ajuste en el reconocimiento de ingresos por intereses a través del método de la tasa efectiva.</w:t>
      </w:r>
    </w:p>
    <w:p w14:paraId="2CB5B311" w14:textId="5586C79F" w:rsidR="00BD0DC8" w:rsidRDefault="00BD0DC8" w:rsidP="00BD0DC8">
      <w:pPr>
        <w:pStyle w:val="Prrafodelista"/>
        <w:spacing w:before="90"/>
        <w:ind w:left="0"/>
        <w:jc w:val="both"/>
        <w:rPr>
          <w:rFonts w:ascii="Arial" w:hAnsi="Arial" w:cs="Arial"/>
          <w:sz w:val="20"/>
          <w:lang w:eastAsia="es-AR"/>
        </w:rPr>
      </w:pPr>
      <w:r w:rsidRPr="00701F32">
        <w:rPr>
          <w:rFonts w:ascii="Arial" w:hAnsi="Arial" w:cs="Arial"/>
          <w:sz w:val="20"/>
          <w:lang w:eastAsia="es-AR"/>
        </w:rPr>
        <w:t>Bajo NIIF los costos e ingresos relacionados directamente con el otorgamiento de un préstamo no se imputan directamente a resultados sino que se incorporan dentro de la tasa del préstamo y se devengan a lo largo de la vida del mismo. Como consecuencia de la aplicación de este método disminuyeron los ingresos por comisiones y los gastos de administración y se incrementaron los ingresos por intereses, con contrapartida en los activos registrados en préstamos y otras financiaciones</w:t>
      </w:r>
    </w:p>
    <w:p w14:paraId="2EA50C9C" w14:textId="1456B191" w:rsidR="006C6698" w:rsidRDefault="006C6698" w:rsidP="00BD0DC8">
      <w:pPr>
        <w:pStyle w:val="Prrafodelista"/>
        <w:spacing w:before="90"/>
        <w:ind w:left="0"/>
        <w:jc w:val="both"/>
        <w:rPr>
          <w:rFonts w:ascii="Arial" w:hAnsi="Arial" w:cs="Arial"/>
          <w:sz w:val="20"/>
          <w:lang w:eastAsia="es-AR"/>
        </w:rPr>
      </w:pPr>
    </w:p>
    <w:p w14:paraId="5CE6D47A" w14:textId="0EA9C90F" w:rsidR="006C6698" w:rsidRDefault="006C6698" w:rsidP="00BD0DC8">
      <w:pPr>
        <w:pStyle w:val="Prrafodelista"/>
        <w:spacing w:before="90"/>
        <w:ind w:left="0"/>
        <w:jc w:val="both"/>
        <w:rPr>
          <w:rFonts w:ascii="Arial" w:hAnsi="Arial" w:cs="Arial"/>
          <w:sz w:val="20"/>
          <w:lang w:eastAsia="es-AR"/>
        </w:rPr>
      </w:pPr>
    </w:p>
    <w:p w14:paraId="2292FD19" w14:textId="77777777" w:rsidR="006C6698" w:rsidRPr="00701F32" w:rsidRDefault="006C6698" w:rsidP="00BD0DC8">
      <w:pPr>
        <w:pStyle w:val="Prrafodelista"/>
        <w:spacing w:before="90"/>
        <w:ind w:left="0"/>
        <w:jc w:val="both"/>
        <w:rPr>
          <w:rFonts w:ascii="Arial" w:hAnsi="Arial" w:cs="Arial"/>
          <w:sz w:val="20"/>
          <w:lang w:eastAsia="es-AR"/>
        </w:rPr>
      </w:pPr>
    </w:p>
    <w:p w14:paraId="0116781E" w14:textId="19F2C18A" w:rsidR="00BD0DC8" w:rsidRDefault="00BD0DC8" w:rsidP="00712ADC">
      <w:pPr>
        <w:pStyle w:val="Prrafodelista"/>
        <w:numPr>
          <w:ilvl w:val="0"/>
          <w:numId w:val="90"/>
        </w:numPr>
        <w:spacing w:before="90"/>
        <w:rPr>
          <w:rFonts w:ascii="Arial" w:hAnsi="Arial" w:cs="Arial"/>
          <w:b/>
          <w:sz w:val="20"/>
          <w:lang w:eastAsia="es-AR"/>
        </w:rPr>
      </w:pPr>
      <w:r w:rsidRPr="00701F32">
        <w:rPr>
          <w:rFonts w:ascii="Arial" w:hAnsi="Arial" w:cs="Arial"/>
          <w:b/>
          <w:sz w:val="20"/>
          <w:lang w:eastAsia="es-AR"/>
        </w:rPr>
        <w:t>Ajuste en el valor inicial de financiaciones a tasas inferiores a las de mercado</w:t>
      </w:r>
    </w:p>
    <w:p w14:paraId="708506D7" w14:textId="6D3D61EE" w:rsidR="002C3A48" w:rsidRDefault="00BD0DC8" w:rsidP="00701F32">
      <w:pPr>
        <w:spacing w:before="90"/>
        <w:jc w:val="both"/>
        <w:rPr>
          <w:rFonts w:ascii="Arial" w:hAnsi="Arial" w:cs="Arial"/>
          <w:sz w:val="20"/>
          <w:lang w:eastAsia="es-AR"/>
        </w:rPr>
      </w:pPr>
      <w:r w:rsidRPr="00701F32">
        <w:rPr>
          <w:rFonts w:ascii="Arial" w:hAnsi="Arial" w:cs="Arial"/>
          <w:sz w:val="20"/>
          <w:lang w:eastAsia="es-AR"/>
        </w:rPr>
        <w:t>Se ajustó el valor inicial de operaciones de financiación a través de tarjetas de crédito y préstamos hipotecarios a tasas inferiores a las de mercado, reconociendo una pérdida al momento inicial por aplicación de la tasa de mercado que luego se devenga como ingreso por intereses a lo largo de la vida del préstamo. La pérdida está imputada en otros gastos operativos y en beneficios al personal para los préstamos hipotecarios. La utilidad se registró dentro de los ingresos por intereses y se modificó el valor del activo registrado en préstamos y otras financiaciones</w:t>
      </w:r>
    </w:p>
    <w:p w14:paraId="66E2E676" w14:textId="77777777" w:rsidR="006C6698" w:rsidRPr="00701F32" w:rsidRDefault="006C6698" w:rsidP="00701F32">
      <w:pPr>
        <w:spacing w:before="90"/>
        <w:jc w:val="both"/>
        <w:rPr>
          <w:rFonts w:ascii="Arial" w:hAnsi="Arial" w:cs="Arial"/>
          <w:sz w:val="20"/>
          <w:lang w:eastAsia="es-AR"/>
        </w:rPr>
      </w:pPr>
    </w:p>
    <w:p w14:paraId="218AC418" w14:textId="77777777" w:rsidR="00BD0DC8" w:rsidRPr="00701F32" w:rsidRDefault="00BD0DC8" w:rsidP="00712ADC">
      <w:pPr>
        <w:pStyle w:val="Prrafodelista"/>
        <w:numPr>
          <w:ilvl w:val="0"/>
          <w:numId w:val="90"/>
        </w:numPr>
        <w:spacing w:before="90"/>
        <w:rPr>
          <w:rFonts w:ascii="Arial" w:hAnsi="Arial" w:cs="Arial"/>
          <w:b/>
          <w:sz w:val="20"/>
          <w:lang w:eastAsia="es-AR"/>
        </w:rPr>
      </w:pPr>
      <w:r w:rsidRPr="00701F32">
        <w:rPr>
          <w:rFonts w:ascii="Arial" w:hAnsi="Arial" w:cs="Arial"/>
          <w:b/>
          <w:sz w:val="20"/>
          <w:lang w:eastAsia="es-AR"/>
        </w:rPr>
        <w:t>Valuación de inversiones a valor razonable.</w:t>
      </w:r>
    </w:p>
    <w:p w14:paraId="61F5388E" w14:textId="6D573B8C" w:rsidR="00BD0DC8" w:rsidRPr="00701F32" w:rsidRDefault="00BD0DC8" w:rsidP="00701F32">
      <w:pPr>
        <w:spacing w:before="90"/>
        <w:jc w:val="both"/>
        <w:rPr>
          <w:rFonts w:ascii="Arial" w:hAnsi="Arial" w:cs="Arial"/>
          <w:sz w:val="20"/>
          <w:lang w:eastAsia="es-AR"/>
        </w:rPr>
      </w:pPr>
      <w:r w:rsidRPr="00701F32">
        <w:rPr>
          <w:rFonts w:ascii="Arial" w:hAnsi="Arial" w:cs="Arial"/>
          <w:sz w:val="20"/>
          <w:lang w:eastAsia="es-AR"/>
        </w:rPr>
        <w:t>De acuerdo a lo establecido por el BCRA, la Entidad valuaba sus inversiones en títulos públicos en función del destino más probable del activo. Las especies que constaban en listados de volatilidades o de valores presentes emitidos por el BCRA se valuaban a su valor de mercado, mientras aquellas que no se encontraban en los listados mencionados se valuaban a su valor de incorporación acrecentado en forma exponencial en función a su tasa interna de retorno.</w:t>
      </w:r>
    </w:p>
    <w:p w14:paraId="17879274" w14:textId="77777777" w:rsidR="00BD0DC8" w:rsidRPr="00701F32" w:rsidRDefault="00BD0DC8" w:rsidP="00BD0DC8">
      <w:pPr>
        <w:pStyle w:val="Prrafodelista"/>
        <w:spacing w:before="90"/>
        <w:ind w:left="0"/>
        <w:jc w:val="both"/>
        <w:rPr>
          <w:rFonts w:ascii="Arial" w:hAnsi="Arial" w:cs="Arial"/>
          <w:sz w:val="20"/>
          <w:lang w:eastAsia="es-AR"/>
        </w:rPr>
      </w:pPr>
      <w:r w:rsidRPr="00701F32">
        <w:rPr>
          <w:rFonts w:ascii="Arial" w:hAnsi="Arial" w:cs="Arial"/>
          <w:sz w:val="20"/>
          <w:lang w:eastAsia="es-AR"/>
        </w:rPr>
        <w:t>La NIIF 9 “Instrumentos Financieros” establece que una entidad debe clasificar sus activos financieros de acuerdo al modelo de negocio que utilice para gestionarlos y de las características de los flujos de efectivo contractuales. En función de lo mencionado, la Entidad ha clasificado su cartera de inversión en aquellos que mantiene para trading, los cuales fueron valuados a valor razonable con cambios en resultados y los que mantiene para investment, los cuales fueron valuados a valor razonable con cambios en otro resultado integral.</w:t>
      </w:r>
    </w:p>
    <w:p w14:paraId="470A3113" w14:textId="77777777" w:rsidR="00BD0DC8" w:rsidRPr="00701F32" w:rsidRDefault="00BD0DC8" w:rsidP="00BD0DC8">
      <w:pPr>
        <w:jc w:val="both"/>
        <w:rPr>
          <w:rFonts w:ascii="Arial" w:hAnsi="Arial" w:cs="Arial"/>
          <w:sz w:val="20"/>
          <w:lang w:eastAsia="es-AR"/>
        </w:rPr>
      </w:pPr>
    </w:p>
    <w:p w14:paraId="6D0983EF" w14:textId="77777777" w:rsidR="00BD0DC8" w:rsidRPr="00701F32" w:rsidRDefault="00BD0DC8" w:rsidP="00712ADC">
      <w:pPr>
        <w:pStyle w:val="Prrafodelista"/>
        <w:numPr>
          <w:ilvl w:val="0"/>
          <w:numId w:val="90"/>
        </w:numPr>
        <w:contextualSpacing/>
        <w:jc w:val="both"/>
        <w:rPr>
          <w:rFonts w:ascii="Arial" w:hAnsi="Arial" w:cs="Arial"/>
          <w:lang w:eastAsia="es-AR"/>
        </w:rPr>
      </w:pPr>
      <w:r w:rsidRPr="00701F32">
        <w:rPr>
          <w:rFonts w:ascii="Arial" w:hAnsi="Arial" w:cs="Arial"/>
          <w:b/>
          <w:bCs/>
          <w:iCs/>
          <w:sz w:val="20"/>
          <w:lang w:eastAsia="es-AR"/>
        </w:rPr>
        <w:t>Inversiones en subsidiarias y en otros instrumentos de patrimonio</w:t>
      </w:r>
    </w:p>
    <w:p w14:paraId="21176675" w14:textId="77777777" w:rsidR="00BD0DC8" w:rsidRPr="00701F32" w:rsidRDefault="00BD0DC8" w:rsidP="00BD0DC8">
      <w:pPr>
        <w:pStyle w:val="Prrafodelista"/>
        <w:ind w:left="360"/>
        <w:jc w:val="both"/>
        <w:rPr>
          <w:rFonts w:ascii="Arial" w:hAnsi="Arial" w:cs="Arial"/>
          <w:lang w:eastAsia="es-AR"/>
        </w:rPr>
      </w:pPr>
    </w:p>
    <w:p w14:paraId="19C24915" w14:textId="77777777" w:rsidR="00BD0DC8" w:rsidRPr="00701F32" w:rsidRDefault="00BD0DC8" w:rsidP="00BD0DC8">
      <w:pPr>
        <w:autoSpaceDE w:val="0"/>
        <w:autoSpaceDN w:val="0"/>
        <w:adjustRightInd w:val="0"/>
        <w:jc w:val="both"/>
        <w:rPr>
          <w:rFonts w:ascii="Arial" w:hAnsi="Arial" w:cs="Arial"/>
          <w:sz w:val="20"/>
        </w:rPr>
      </w:pPr>
      <w:r w:rsidRPr="00701F32">
        <w:rPr>
          <w:rFonts w:ascii="Arial" w:hAnsi="Arial" w:cs="Arial"/>
          <w:sz w:val="20"/>
        </w:rPr>
        <w:t>El Banco cuenta con una participación del 95% en el capital de Cordial Compañía Financiera S.A, lo que le otorga el control sobre la sociedad, razón por la cual se consolida en los estados contables según NIIF 10. Dicha participación se mide utilizando el método de la participación previsto en la NIC 28 y generó un ajuste de valuación por los cambios originados por aplicación de las NIIF en la sociedad controlada</w:t>
      </w:r>
    </w:p>
    <w:p w14:paraId="4D7A7568" w14:textId="77777777" w:rsidR="00BD0DC8" w:rsidRPr="00701F32" w:rsidRDefault="00BD0DC8" w:rsidP="00BD0DC8">
      <w:pPr>
        <w:autoSpaceDE w:val="0"/>
        <w:autoSpaceDN w:val="0"/>
        <w:adjustRightInd w:val="0"/>
        <w:jc w:val="both"/>
        <w:rPr>
          <w:rFonts w:ascii="Arial" w:hAnsi="Arial" w:cs="Arial"/>
          <w:sz w:val="20"/>
        </w:rPr>
      </w:pPr>
    </w:p>
    <w:p w14:paraId="6DF6FB42" w14:textId="77777777" w:rsidR="00BD0DC8" w:rsidRPr="00701F32" w:rsidRDefault="00BD0DC8" w:rsidP="00BD0DC8">
      <w:pPr>
        <w:autoSpaceDE w:val="0"/>
        <w:autoSpaceDN w:val="0"/>
        <w:adjustRightInd w:val="0"/>
        <w:jc w:val="both"/>
        <w:rPr>
          <w:rFonts w:ascii="Arial" w:hAnsi="Arial" w:cs="Arial"/>
          <w:sz w:val="20"/>
          <w:lang w:eastAsia="es-AR"/>
        </w:rPr>
      </w:pPr>
      <w:r w:rsidRPr="00701F32">
        <w:rPr>
          <w:rFonts w:ascii="Arial" w:hAnsi="Arial" w:cs="Arial"/>
          <w:sz w:val="20"/>
        </w:rPr>
        <w:t>Bajo</w:t>
      </w:r>
      <w:r w:rsidRPr="00701F32">
        <w:rPr>
          <w:rFonts w:ascii="Arial" w:hAnsi="Arial" w:cs="Arial"/>
          <w:sz w:val="20"/>
          <w:lang w:eastAsia="es-AR"/>
        </w:rPr>
        <w:t xml:space="preserve"> NIIF las inversiones en las cuales el Banco no posee control ni influencia significativa deben ser medidas a valor razonable. Bajo normas BCRA dichas inversiones se encuentran medidas a valor de costo con el límite en el valor patrimonial proporcional. El ajuste a valor razonable de las inversiones implicó un aumento con contrapartida en otros resultados integrales por aplicación de la excepción de NIIF 1.</w:t>
      </w:r>
    </w:p>
    <w:p w14:paraId="37120312" w14:textId="77777777" w:rsidR="00BD0DC8" w:rsidRPr="00701F32" w:rsidRDefault="00BD0DC8" w:rsidP="00BD0DC8">
      <w:pPr>
        <w:pStyle w:val="Prrafodelista"/>
        <w:spacing w:before="90"/>
        <w:ind w:left="0"/>
        <w:jc w:val="both"/>
        <w:rPr>
          <w:rFonts w:ascii="Arial" w:hAnsi="Arial" w:cs="Arial"/>
          <w:sz w:val="20"/>
          <w:lang w:eastAsia="es-AR"/>
        </w:rPr>
      </w:pPr>
    </w:p>
    <w:p w14:paraId="490C9930" w14:textId="77777777" w:rsidR="00BD0DC8" w:rsidRPr="00701F32" w:rsidRDefault="00BD0DC8" w:rsidP="00712ADC">
      <w:pPr>
        <w:pStyle w:val="Prrafodelista"/>
        <w:numPr>
          <w:ilvl w:val="0"/>
          <w:numId w:val="90"/>
        </w:numPr>
        <w:spacing w:before="90"/>
        <w:contextualSpacing/>
        <w:rPr>
          <w:rFonts w:ascii="Arial" w:hAnsi="Arial" w:cs="Arial"/>
          <w:sz w:val="20"/>
          <w:lang w:eastAsia="es-AR"/>
        </w:rPr>
      </w:pPr>
      <w:r w:rsidRPr="00701F32">
        <w:rPr>
          <w:rFonts w:ascii="Arial" w:hAnsi="Arial" w:cs="Arial"/>
          <w:b/>
          <w:sz w:val="20"/>
          <w:lang w:eastAsia="es-AR"/>
        </w:rPr>
        <w:t>Propiedad, planta y equipo y otros activos no financieros</w:t>
      </w:r>
    </w:p>
    <w:p w14:paraId="035DA381" w14:textId="77777777" w:rsidR="00BD0DC8" w:rsidRPr="00701F32" w:rsidRDefault="00BD0DC8" w:rsidP="00BD0DC8">
      <w:pPr>
        <w:pStyle w:val="Prrafodelista"/>
        <w:ind w:left="0"/>
        <w:jc w:val="both"/>
        <w:rPr>
          <w:rFonts w:ascii="Arial" w:hAnsi="Arial" w:cs="Arial"/>
          <w:sz w:val="20"/>
          <w:lang w:eastAsia="es-AR"/>
        </w:rPr>
      </w:pPr>
    </w:p>
    <w:p w14:paraId="3A562FE8" w14:textId="469467BD" w:rsidR="00BD0DC8" w:rsidRPr="00701F32" w:rsidRDefault="00BD0DC8" w:rsidP="00BD0DC8">
      <w:pPr>
        <w:pStyle w:val="Prrafodelista"/>
        <w:ind w:left="0"/>
        <w:jc w:val="both"/>
        <w:rPr>
          <w:rFonts w:ascii="Arial" w:hAnsi="Arial" w:cs="Arial"/>
          <w:sz w:val="20"/>
          <w:lang w:eastAsia="es-AR"/>
        </w:rPr>
      </w:pPr>
      <w:r w:rsidRPr="00701F32">
        <w:rPr>
          <w:rFonts w:ascii="Arial" w:hAnsi="Arial" w:cs="Arial"/>
          <w:sz w:val="20"/>
          <w:lang w:eastAsia="es-AR"/>
        </w:rPr>
        <w:t>Por la aplicación de NIC 16 y NIC 40, el Banco adopt</w:t>
      </w:r>
      <w:r w:rsidR="00FB5A40" w:rsidRPr="00701F32">
        <w:rPr>
          <w:rFonts w:ascii="Arial" w:hAnsi="Arial" w:cs="Arial"/>
          <w:sz w:val="20"/>
          <w:lang w:eastAsia="es-AR"/>
        </w:rPr>
        <w:t>ó</w:t>
      </w:r>
      <w:r w:rsidRPr="00701F32">
        <w:rPr>
          <w:rFonts w:ascii="Arial" w:hAnsi="Arial" w:cs="Arial"/>
          <w:sz w:val="20"/>
          <w:lang w:eastAsia="es-AR"/>
        </w:rPr>
        <w:t xml:space="preserve"> el modelo de revaluación para sus inmuebles y el modelo del valor razonable</w:t>
      </w:r>
      <w:r w:rsidRPr="00701F32">
        <w:rPr>
          <w:rFonts w:ascii="Arial" w:hAnsi="Arial" w:cs="Arial"/>
          <w:sz w:val="20"/>
        </w:rPr>
        <w:t xml:space="preserve"> para sus propiedades de inversión</w:t>
      </w:r>
      <w:r w:rsidRPr="00701F32">
        <w:rPr>
          <w:rFonts w:ascii="Arial" w:hAnsi="Arial" w:cs="Arial"/>
          <w:sz w:val="20"/>
          <w:lang w:eastAsia="es-AR"/>
        </w:rPr>
        <w:t>. Bajo normas BCRA dichos bienes eran contabilizados a su valor histórico menos amortización acumulada.</w:t>
      </w:r>
    </w:p>
    <w:p w14:paraId="177898EC" w14:textId="77777777" w:rsidR="00BD0DC8" w:rsidRPr="00701F32" w:rsidRDefault="00BD0DC8" w:rsidP="00BD0DC8">
      <w:pPr>
        <w:pStyle w:val="Prrafodelista"/>
        <w:ind w:left="0"/>
        <w:jc w:val="both"/>
        <w:rPr>
          <w:rFonts w:ascii="Arial" w:hAnsi="Arial" w:cs="Arial"/>
          <w:sz w:val="20"/>
          <w:lang w:eastAsia="es-AR"/>
        </w:rPr>
      </w:pPr>
    </w:p>
    <w:p w14:paraId="088F4DB6" w14:textId="77777777" w:rsidR="00BD0DC8" w:rsidRPr="00701F32" w:rsidRDefault="00BD0DC8" w:rsidP="00BD0DC8">
      <w:pPr>
        <w:pStyle w:val="Prrafodelista"/>
        <w:ind w:left="0"/>
        <w:jc w:val="both"/>
        <w:rPr>
          <w:rFonts w:ascii="Arial" w:hAnsi="Arial" w:cs="Arial"/>
          <w:sz w:val="20"/>
          <w:lang w:eastAsia="es-AR"/>
        </w:rPr>
      </w:pPr>
      <w:r w:rsidRPr="00701F32">
        <w:rPr>
          <w:rFonts w:ascii="Arial" w:hAnsi="Arial" w:cs="Arial"/>
          <w:sz w:val="20"/>
          <w:lang w:eastAsia="es-AR"/>
        </w:rPr>
        <w:t>El revalúo de los inmuebles afectados como propiedad, planta y equipo se imputó contra otros resultados integrales e incrementó el cargo por depreciaciones. Para el caso de las propiedades de inversión, el incremento por revaluó se imputó en otros ingresos operativos dentro del estado de resultados.</w:t>
      </w:r>
    </w:p>
    <w:p w14:paraId="7CA4E687" w14:textId="77777777" w:rsidR="00BD0DC8" w:rsidRPr="00701F32" w:rsidRDefault="00BD0DC8" w:rsidP="00BD0DC8">
      <w:pPr>
        <w:pStyle w:val="Prrafodelista"/>
        <w:ind w:left="0"/>
        <w:jc w:val="both"/>
        <w:rPr>
          <w:rFonts w:ascii="Arial" w:hAnsi="Arial" w:cs="Arial"/>
          <w:sz w:val="20"/>
          <w:lang w:eastAsia="es-AR"/>
        </w:rPr>
      </w:pPr>
    </w:p>
    <w:p w14:paraId="5D2CB7B6" w14:textId="77777777" w:rsidR="00BD0DC8" w:rsidRPr="00701F32" w:rsidRDefault="00BD0DC8" w:rsidP="00BD0DC8">
      <w:pPr>
        <w:pStyle w:val="Prrafodelista"/>
        <w:ind w:left="0"/>
        <w:jc w:val="both"/>
        <w:rPr>
          <w:rFonts w:ascii="Arial" w:hAnsi="Arial" w:cs="Arial"/>
          <w:sz w:val="20"/>
          <w:lang w:eastAsia="es-AR"/>
        </w:rPr>
      </w:pPr>
      <w:r w:rsidRPr="00701F32">
        <w:rPr>
          <w:rFonts w:ascii="Arial" w:hAnsi="Arial" w:cs="Arial"/>
          <w:sz w:val="20"/>
          <w:lang w:eastAsia="es-AR"/>
        </w:rPr>
        <w:t xml:space="preserve">Bajo normas BCRA se reconocieron en otros activos no financieros gastos de papelería y útiles que no cumplen con los requisitos de NIIF para ser reconocidos como activos. La baja de dichos activos originó un incremento de los gastos de administración </w:t>
      </w:r>
    </w:p>
    <w:p w14:paraId="4E636D38" w14:textId="77777777" w:rsidR="00F5117A" w:rsidRPr="00701F32" w:rsidRDefault="00F5117A" w:rsidP="00BD0DC8">
      <w:pPr>
        <w:pStyle w:val="Prrafodelista"/>
        <w:ind w:left="0"/>
        <w:jc w:val="both"/>
        <w:rPr>
          <w:rFonts w:ascii="Arial" w:hAnsi="Arial" w:cs="Arial"/>
          <w:sz w:val="20"/>
          <w:lang w:eastAsia="es-AR"/>
        </w:rPr>
      </w:pPr>
    </w:p>
    <w:p w14:paraId="70F42493" w14:textId="77777777" w:rsidR="006470AD" w:rsidRPr="00701F32" w:rsidRDefault="006470AD" w:rsidP="00BD0DC8">
      <w:pPr>
        <w:pStyle w:val="Prrafodelista"/>
        <w:ind w:left="0"/>
        <w:jc w:val="both"/>
        <w:rPr>
          <w:rFonts w:ascii="Arial" w:hAnsi="Arial" w:cs="Arial"/>
          <w:sz w:val="20"/>
          <w:lang w:eastAsia="es-AR"/>
        </w:rPr>
      </w:pPr>
    </w:p>
    <w:p w14:paraId="233927CC" w14:textId="77777777" w:rsidR="00BD0DC8" w:rsidRPr="00701F32" w:rsidRDefault="00BD0DC8" w:rsidP="00712ADC">
      <w:pPr>
        <w:pStyle w:val="Prrafodelista"/>
        <w:numPr>
          <w:ilvl w:val="0"/>
          <w:numId w:val="90"/>
        </w:numPr>
        <w:spacing w:before="90"/>
        <w:contextualSpacing/>
        <w:rPr>
          <w:rFonts w:ascii="Arial" w:hAnsi="Arial" w:cs="Arial"/>
          <w:sz w:val="20"/>
          <w:lang w:eastAsia="es-AR"/>
        </w:rPr>
      </w:pPr>
      <w:r w:rsidRPr="00701F32">
        <w:rPr>
          <w:rFonts w:ascii="Arial" w:hAnsi="Arial" w:cs="Arial"/>
          <w:b/>
          <w:sz w:val="20"/>
          <w:lang w:eastAsia="es-AR"/>
        </w:rPr>
        <w:t xml:space="preserve">Bienes intangibles </w:t>
      </w:r>
    </w:p>
    <w:p w14:paraId="62B87C46" w14:textId="77777777" w:rsidR="00BD0DC8" w:rsidRPr="00701F32" w:rsidRDefault="00BD0DC8" w:rsidP="00BD0DC8">
      <w:pPr>
        <w:pStyle w:val="Prrafodelista"/>
        <w:ind w:left="0"/>
        <w:jc w:val="both"/>
        <w:rPr>
          <w:rFonts w:ascii="Arial" w:hAnsi="Arial" w:cs="Arial"/>
          <w:sz w:val="20"/>
          <w:lang w:eastAsia="es-AR"/>
        </w:rPr>
      </w:pPr>
    </w:p>
    <w:p w14:paraId="5A8467FD" w14:textId="77777777" w:rsidR="00BD0DC8" w:rsidRPr="00701F32" w:rsidRDefault="00BD0DC8" w:rsidP="00BD0DC8">
      <w:pPr>
        <w:pStyle w:val="Prrafodelista"/>
        <w:ind w:left="0"/>
        <w:jc w:val="both"/>
        <w:rPr>
          <w:rFonts w:ascii="Arial" w:hAnsi="Arial" w:cs="Arial"/>
          <w:sz w:val="20"/>
          <w:lang w:eastAsia="es-AR"/>
        </w:rPr>
      </w:pPr>
      <w:r w:rsidRPr="00701F32">
        <w:rPr>
          <w:rFonts w:ascii="Arial" w:hAnsi="Arial" w:cs="Arial"/>
          <w:sz w:val="20"/>
          <w:lang w:eastAsia="es-AR"/>
        </w:rPr>
        <w:t xml:space="preserve">De acuerdo con NIIF, un activo intangible es un activo identificable de carácter no monetario que no posee sustancia física. A fin de poder ser reconocido, el Banco debe tener control sobre el mismo y el activo debe generar beneficios económicos futuros. </w:t>
      </w:r>
    </w:p>
    <w:p w14:paraId="24963798" w14:textId="77777777" w:rsidR="00BD0DC8" w:rsidRPr="00701F32" w:rsidRDefault="00BD0DC8" w:rsidP="00BD0DC8">
      <w:pPr>
        <w:pStyle w:val="Prrafodelista"/>
        <w:ind w:left="0"/>
        <w:jc w:val="both"/>
        <w:rPr>
          <w:rFonts w:ascii="Arial" w:hAnsi="Arial" w:cs="Arial"/>
          <w:sz w:val="20"/>
          <w:lang w:eastAsia="es-AR"/>
        </w:rPr>
      </w:pPr>
    </w:p>
    <w:p w14:paraId="31DF7E2A" w14:textId="77777777" w:rsidR="00BD0DC8" w:rsidRPr="00701F32" w:rsidRDefault="00BD0DC8" w:rsidP="00BD0DC8">
      <w:pPr>
        <w:pStyle w:val="Prrafodelista"/>
        <w:ind w:left="0"/>
        <w:jc w:val="both"/>
        <w:rPr>
          <w:rFonts w:ascii="Arial" w:hAnsi="Arial" w:cs="Arial"/>
          <w:sz w:val="20"/>
          <w:lang w:eastAsia="es-AR"/>
        </w:rPr>
      </w:pPr>
      <w:r w:rsidRPr="00701F32">
        <w:rPr>
          <w:rFonts w:ascii="Arial" w:hAnsi="Arial" w:cs="Arial"/>
          <w:sz w:val="20"/>
          <w:lang w:eastAsia="es-AR"/>
        </w:rPr>
        <w:t>Bajo normas BCRA se reconocieron activos intangibles que no cumplen con los requisitos de NIIF para ser reconocidos. El ajuste corresponde a la baja de dichos activos y la reversión de la amortización acumulada se imputó contra resultados por depreciaciones y desvalorizaciones de bienes.</w:t>
      </w:r>
    </w:p>
    <w:p w14:paraId="65F7D0B8" w14:textId="77777777" w:rsidR="00BD0DC8" w:rsidRPr="00701F32" w:rsidRDefault="00BD0DC8" w:rsidP="00BD0DC8">
      <w:pPr>
        <w:pStyle w:val="Prrafodelista"/>
        <w:ind w:left="0"/>
        <w:jc w:val="both"/>
        <w:rPr>
          <w:rFonts w:ascii="Arial" w:hAnsi="Arial" w:cs="Arial"/>
          <w:sz w:val="20"/>
          <w:lang w:eastAsia="es-AR"/>
        </w:rPr>
      </w:pPr>
    </w:p>
    <w:p w14:paraId="6F0F1D46" w14:textId="77777777" w:rsidR="00BD0DC8" w:rsidRPr="00701F32" w:rsidRDefault="00BD0DC8" w:rsidP="00712ADC">
      <w:pPr>
        <w:pStyle w:val="Prrafodelista"/>
        <w:numPr>
          <w:ilvl w:val="0"/>
          <w:numId w:val="90"/>
        </w:numPr>
        <w:contextualSpacing/>
        <w:jc w:val="both"/>
        <w:rPr>
          <w:rFonts w:ascii="Arial" w:hAnsi="Arial" w:cs="Arial"/>
          <w:sz w:val="20"/>
          <w:lang w:eastAsia="es-AR"/>
        </w:rPr>
      </w:pPr>
      <w:r w:rsidRPr="00701F32">
        <w:rPr>
          <w:rFonts w:ascii="Arial" w:hAnsi="Arial" w:cs="Arial"/>
          <w:b/>
          <w:sz w:val="20"/>
          <w:lang w:eastAsia="es-AR"/>
        </w:rPr>
        <w:t>Garantías Otorgadas</w:t>
      </w:r>
    </w:p>
    <w:p w14:paraId="31E2FEFE" w14:textId="77777777" w:rsidR="00BD0DC8" w:rsidRPr="00701F32" w:rsidRDefault="00BD0DC8" w:rsidP="00BD0DC8">
      <w:pPr>
        <w:pStyle w:val="Prrafodelista"/>
        <w:ind w:left="360"/>
        <w:jc w:val="both"/>
        <w:rPr>
          <w:rFonts w:ascii="Arial" w:hAnsi="Arial" w:cs="Arial"/>
          <w:sz w:val="20"/>
          <w:lang w:eastAsia="es-AR"/>
        </w:rPr>
      </w:pPr>
    </w:p>
    <w:p w14:paraId="6C5D13CA"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Bajo NIIF, las garantías financieras otorgadas deben ser reconocidas inicialmente a su valor razonable, el cual equivale a la comisión cobrada en la mayoría de los casos. Dicho monto es posteriormente amortizado en línea recta durante la vida del contrato. A cada cierre, las garantías financieras son medidas por el mayor entre: (i) el valor de la comisión pendiente de devengar al cierre del período y (ii) la mejor estimación del monto a abonar para resolver el contrato descontado a su valor presente al cierre del período.</w:t>
      </w:r>
    </w:p>
    <w:p w14:paraId="49CD0B18" w14:textId="77777777" w:rsidR="00BD0DC8" w:rsidRPr="00701F32" w:rsidRDefault="00BD0DC8" w:rsidP="00BD0DC8">
      <w:pPr>
        <w:jc w:val="both"/>
        <w:rPr>
          <w:rFonts w:ascii="Arial" w:hAnsi="Arial" w:cs="Arial"/>
          <w:sz w:val="20"/>
          <w:lang w:eastAsia="es-AR"/>
        </w:rPr>
      </w:pPr>
    </w:p>
    <w:p w14:paraId="5A2F61F9"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 xml:space="preserve">Bajo normas BCRA las comisiones cobradas en los acuerdos de garantía financiera son imputadas a resultados en el momento en el que se cobran. </w:t>
      </w:r>
    </w:p>
    <w:p w14:paraId="66CE6785" w14:textId="77777777" w:rsidR="00BD0DC8" w:rsidRPr="00701F32" w:rsidRDefault="00BD0DC8" w:rsidP="00BD0DC8">
      <w:pPr>
        <w:jc w:val="both"/>
        <w:rPr>
          <w:rFonts w:ascii="Arial" w:hAnsi="Arial" w:cs="Arial"/>
          <w:sz w:val="20"/>
          <w:lang w:eastAsia="es-AR"/>
        </w:rPr>
      </w:pPr>
    </w:p>
    <w:p w14:paraId="17663FE5" w14:textId="77777777" w:rsidR="00BD0DC8" w:rsidRPr="00701F32" w:rsidRDefault="00BD0DC8" w:rsidP="00BD0DC8">
      <w:pPr>
        <w:jc w:val="both"/>
        <w:rPr>
          <w:rFonts w:ascii="Arial" w:hAnsi="Arial" w:cs="Arial"/>
          <w:sz w:val="20"/>
        </w:rPr>
      </w:pPr>
      <w:r w:rsidRPr="00701F32">
        <w:rPr>
          <w:rFonts w:ascii="Arial" w:hAnsi="Arial" w:cs="Arial"/>
          <w:sz w:val="20"/>
        </w:rPr>
        <w:t>Como consecuencia de la aplicación de las NIIF se reconoció un activo en préstamos y otras financiaciones y un pasivo en otros pasivos financieros. El impacto en resultados fue una disminución de los otros ingresos operativos.</w:t>
      </w:r>
    </w:p>
    <w:p w14:paraId="48AE0138" w14:textId="77777777" w:rsidR="00BD0DC8" w:rsidRPr="00701F32" w:rsidRDefault="00BD0DC8" w:rsidP="00BD0DC8">
      <w:pPr>
        <w:jc w:val="both"/>
        <w:rPr>
          <w:rFonts w:ascii="Arial" w:hAnsi="Arial" w:cs="Arial"/>
          <w:sz w:val="20"/>
        </w:rPr>
      </w:pPr>
    </w:p>
    <w:p w14:paraId="567190B1" w14:textId="77777777" w:rsidR="00BD0DC8" w:rsidRPr="00701F32" w:rsidRDefault="00BD0DC8" w:rsidP="00712ADC">
      <w:pPr>
        <w:pStyle w:val="Prrafodelista"/>
        <w:numPr>
          <w:ilvl w:val="0"/>
          <w:numId w:val="90"/>
        </w:numPr>
        <w:contextualSpacing/>
        <w:jc w:val="both"/>
        <w:rPr>
          <w:rFonts w:ascii="Arial" w:hAnsi="Arial" w:cs="Arial"/>
          <w:b/>
          <w:sz w:val="20"/>
          <w:lang w:eastAsia="es-AR"/>
        </w:rPr>
      </w:pPr>
      <w:r w:rsidRPr="00701F32">
        <w:rPr>
          <w:rFonts w:ascii="Arial" w:hAnsi="Arial" w:cs="Arial"/>
          <w:b/>
          <w:sz w:val="20"/>
          <w:lang w:eastAsia="es-AR"/>
        </w:rPr>
        <w:t>Beneficios a empleados</w:t>
      </w:r>
    </w:p>
    <w:p w14:paraId="5DC8BDDA" w14:textId="77777777" w:rsidR="00BD0DC8" w:rsidRPr="00701F32" w:rsidRDefault="00BD0DC8" w:rsidP="00BD0DC8">
      <w:pPr>
        <w:pStyle w:val="Prrafodelista"/>
        <w:ind w:left="360"/>
        <w:jc w:val="both"/>
        <w:rPr>
          <w:rFonts w:ascii="Arial" w:hAnsi="Arial" w:cs="Arial"/>
          <w:b/>
          <w:sz w:val="20"/>
          <w:lang w:eastAsia="es-AR"/>
        </w:rPr>
      </w:pPr>
    </w:p>
    <w:p w14:paraId="79282F15"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Bajo NIIF, los beneficios a empleados a corto plazo tales como vacaciones, salario y contribuciones a la seguridad social, se reconocen como un pasivo equivalente al monto sin descontar que el Banco espera abonar por dicho beneficio. Adicionalmente, los beneficios a largo plazo tales como premios a trayectoria y prejubilaciones, se reconocen como un pasivo equivalente al monto descontado del beneficio que el Banco espera abonar.</w:t>
      </w:r>
    </w:p>
    <w:p w14:paraId="15A31F22" w14:textId="77777777" w:rsidR="00BD0DC8" w:rsidRPr="00701F32" w:rsidRDefault="00BD0DC8" w:rsidP="00BD0DC8">
      <w:pPr>
        <w:jc w:val="both"/>
        <w:rPr>
          <w:rFonts w:ascii="Arial" w:hAnsi="Arial" w:cs="Arial"/>
          <w:sz w:val="20"/>
          <w:lang w:eastAsia="es-AR"/>
        </w:rPr>
      </w:pPr>
    </w:p>
    <w:p w14:paraId="2DEE2169"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El reconocimiento de estos pasivos generó un incremento en otros pasivos no financieros y un resultado negativo dentro de beneficios al personal</w:t>
      </w:r>
    </w:p>
    <w:p w14:paraId="23848C9E" w14:textId="77777777" w:rsidR="00BD0DC8" w:rsidRPr="00701F32" w:rsidRDefault="00BD0DC8" w:rsidP="00BD0DC8">
      <w:pPr>
        <w:jc w:val="both"/>
        <w:rPr>
          <w:rFonts w:ascii="Arial" w:hAnsi="Arial" w:cs="Arial"/>
          <w:sz w:val="20"/>
          <w:lang w:eastAsia="es-AR"/>
        </w:rPr>
      </w:pPr>
    </w:p>
    <w:p w14:paraId="2F134A36" w14:textId="77777777" w:rsidR="00BD0DC8" w:rsidRPr="00701F32" w:rsidRDefault="00BD0DC8" w:rsidP="00712ADC">
      <w:pPr>
        <w:pStyle w:val="Prrafodelista"/>
        <w:numPr>
          <w:ilvl w:val="0"/>
          <w:numId w:val="90"/>
        </w:numPr>
        <w:contextualSpacing/>
        <w:jc w:val="both"/>
        <w:rPr>
          <w:rFonts w:ascii="Arial" w:hAnsi="Arial" w:cs="Arial"/>
          <w:b/>
          <w:sz w:val="20"/>
          <w:lang w:eastAsia="es-AR"/>
        </w:rPr>
      </w:pPr>
      <w:r w:rsidRPr="00701F32">
        <w:rPr>
          <w:rFonts w:ascii="Arial" w:hAnsi="Arial" w:cs="Arial"/>
          <w:b/>
          <w:sz w:val="20"/>
          <w:lang w:eastAsia="es-AR"/>
        </w:rPr>
        <w:t>Pases</w:t>
      </w:r>
    </w:p>
    <w:p w14:paraId="1212D808" w14:textId="77777777" w:rsidR="00BD0DC8" w:rsidRPr="00701F32" w:rsidRDefault="00BD0DC8" w:rsidP="00BD0DC8">
      <w:pPr>
        <w:pStyle w:val="Prrafodelista"/>
        <w:ind w:left="426"/>
        <w:jc w:val="both"/>
        <w:rPr>
          <w:rFonts w:ascii="Arial" w:hAnsi="Arial" w:cs="Arial"/>
          <w:b/>
          <w:sz w:val="20"/>
          <w:lang w:eastAsia="es-AR"/>
        </w:rPr>
      </w:pPr>
    </w:p>
    <w:p w14:paraId="77F65949" w14:textId="77777777" w:rsidR="00BD0DC8" w:rsidRPr="00701F32" w:rsidRDefault="00BD0DC8" w:rsidP="00BD0DC8">
      <w:pPr>
        <w:jc w:val="both"/>
        <w:rPr>
          <w:rFonts w:ascii="Arial" w:hAnsi="Arial" w:cs="Arial"/>
          <w:bCs/>
          <w:i/>
          <w:color w:val="000000"/>
          <w:sz w:val="20"/>
          <w:lang w:eastAsia="es-AR"/>
        </w:rPr>
      </w:pPr>
      <w:r w:rsidRPr="00701F32">
        <w:rPr>
          <w:rFonts w:ascii="Arial" w:hAnsi="Arial" w:cs="Arial"/>
          <w:bCs/>
          <w:i/>
          <w:color w:val="000000"/>
          <w:sz w:val="20"/>
          <w:lang w:eastAsia="es-AR"/>
        </w:rPr>
        <w:t>Pases activos</w:t>
      </w:r>
    </w:p>
    <w:p w14:paraId="40CC3011" w14:textId="77777777" w:rsidR="00BD0DC8" w:rsidRPr="00701F32" w:rsidRDefault="00BD0DC8" w:rsidP="00BD0DC8">
      <w:pPr>
        <w:jc w:val="both"/>
        <w:rPr>
          <w:rFonts w:ascii="Arial" w:hAnsi="Arial" w:cs="Arial"/>
          <w:bCs/>
          <w:i/>
          <w:color w:val="000000"/>
          <w:sz w:val="20"/>
          <w:lang w:eastAsia="es-AR"/>
        </w:rPr>
      </w:pPr>
    </w:p>
    <w:p w14:paraId="745CE167" w14:textId="77777777" w:rsidR="00BD0DC8" w:rsidRPr="00701F32" w:rsidRDefault="00BD0DC8" w:rsidP="00BD0DC8">
      <w:pPr>
        <w:jc w:val="both"/>
        <w:rPr>
          <w:rFonts w:ascii="Arial" w:hAnsi="Arial" w:cs="Arial"/>
          <w:bCs/>
          <w:color w:val="000000"/>
          <w:sz w:val="20"/>
          <w:lang w:eastAsia="es-AR"/>
        </w:rPr>
      </w:pPr>
      <w:r w:rsidRPr="00701F32">
        <w:rPr>
          <w:rFonts w:ascii="Arial" w:hAnsi="Arial" w:cs="Arial"/>
          <w:bCs/>
          <w:color w:val="000000"/>
          <w:sz w:val="20"/>
          <w:lang w:eastAsia="es-AR"/>
        </w:rPr>
        <w:t>Bajo NIIF, una operación de pase activo es reconocida como una financiación otorgada con garantía de títulos valores. Bajo normas BCRA, se registra el título recibido en garantía con contrapartida en otras obligaciones por intermediación financiera por el monto acordado de la venta a término por operación de pase.</w:t>
      </w:r>
    </w:p>
    <w:p w14:paraId="2A401578" w14:textId="77777777" w:rsidR="00BD0DC8" w:rsidRPr="00701F32" w:rsidRDefault="00BD0DC8" w:rsidP="00BD0DC8">
      <w:pPr>
        <w:jc w:val="both"/>
        <w:rPr>
          <w:rFonts w:ascii="Arial" w:hAnsi="Arial" w:cs="Arial"/>
          <w:bCs/>
          <w:color w:val="000000"/>
          <w:sz w:val="20"/>
          <w:lang w:eastAsia="es-AR"/>
        </w:rPr>
      </w:pPr>
    </w:p>
    <w:p w14:paraId="7784698B" w14:textId="77777777" w:rsidR="00BD0DC8" w:rsidRPr="00701F32" w:rsidRDefault="00BD0DC8" w:rsidP="00BD0DC8">
      <w:pPr>
        <w:jc w:val="both"/>
        <w:rPr>
          <w:rFonts w:ascii="Arial" w:hAnsi="Arial" w:cs="Arial"/>
          <w:bCs/>
          <w:color w:val="000000"/>
          <w:sz w:val="20"/>
          <w:lang w:eastAsia="es-AR"/>
        </w:rPr>
      </w:pPr>
      <w:r w:rsidRPr="00701F32">
        <w:rPr>
          <w:rFonts w:ascii="Arial" w:hAnsi="Arial" w:cs="Arial"/>
          <w:bCs/>
          <w:color w:val="000000"/>
          <w:sz w:val="20"/>
          <w:lang w:eastAsia="es-AR"/>
        </w:rPr>
        <w:t>Como consecuencia se reclasificó la financiación que anteriormente se registraba en otros créditos por intermediación financiera al rubro operaciones de pase y se procedió a la baja en el activo de los títulos recibidos por operaciones de pase con la consiguiente reversión de la obligación por intermediación financiera.</w:t>
      </w:r>
    </w:p>
    <w:p w14:paraId="2DD1E83E" w14:textId="77777777" w:rsidR="00BD0DC8" w:rsidRPr="00701F32" w:rsidRDefault="00BD0DC8" w:rsidP="00BD0DC8">
      <w:pPr>
        <w:jc w:val="both"/>
        <w:rPr>
          <w:rFonts w:ascii="Arial" w:hAnsi="Arial" w:cs="Arial"/>
          <w:bCs/>
          <w:color w:val="000000"/>
          <w:sz w:val="20"/>
          <w:lang w:eastAsia="es-AR"/>
        </w:rPr>
      </w:pPr>
    </w:p>
    <w:p w14:paraId="68C757FB" w14:textId="77777777" w:rsidR="00BD0DC8" w:rsidRPr="00701F32" w:rsidRDefault="00BD0DC8" w:rsidP="00712ADC">
      <w:pPr>
        <w:pStyle w:val="Prrafodelista"/>
        <w:numPr>
          <w:ilvl w:val="0"/>
          <w:numId w:val="90"/>
        </w:numPr>
        <w:ind w:left="426" w:hanging="350"/>
        <w:contextualSpacing/>
        <w:jc w:val="both"/>
        <w:rPr>
          <w:rFonts w:ascii="Arial" w:hAnsi="Arial" w:cs="Arial"/>
          <w:b/>
          <w:i/>
          <w:sz w:val="20"/>
        </w:rPr>
      </w:pPr>
      <w:r w:rsidRPr="00701F32">
        <w:rPr>
          <w:rFonts w:ascii="Arial" w:hAnsi="Arial" w:cs="Arial"/>
          <w:b/>
          <w:bCs/>
          <w:iCs/>
          <w:sz w:val="20"/>
          <w:lang w:eastAsia="es-AR"/>
        </w:rPr>
        <w:t>Impuesto a las ganancias</w:t>
      </w:r>
    </w:p>
    <w:p w14:paraId="428720A2" w14:textId="77777777" w:rsidR="00BD0DC8" w:rsidRPr="00701F32" w:rsidRDefault="00BD0DC8" w:rsidP="00BD0DC8">
      <w:pPr>
        <w:pStyle w:val="Prrafodelista"/>
        <w:ind w:left="426"/>
        <w:jc w:val="both"/>
        <w:rPr>
          <w:rFonts w:ascii="Arial" w:hAnsi="Arial" w:cs="Arial"/>
          <w:b/>
          <w:i/>
          <w:sz w:val="20"/>
        </w:rPr>
      </w:pPr>
    </w:p>
    <w:p w14:paraId="54FBC8A2"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Bajo NIIF el cargo por impuestos del ejercicio comprende los impuestos corrientes y diferidos. El impuesto a las ganancias corriente se calcula en base a las leyes aprobadas o sustancialmente aprobadas a la fecha de balance. El impuesto diferido se reconoce de acuerdo con el método de pasivo, por las diferencias temporarias que surgen entre las bases fiscales de los activos y pasivos y sus importes en libros en los estados financieros separados. Bajo normas BCRA, el Banco reconoce el impuesto corriente correspondiente al ejercicio.</w:t>
      </w:r>
    </w:p>
    <w:p w14:paraId="5A4CCA43" w14:textId="77777777" w:rsidR="00BD0DC8" w:rsidRPr="00701F32" w:rsidRDefault="00BD0DC8" w:rsidP="00BD0DC8">
      <w:pPr>
        <w:jc w:val="both"/>
        <w:rPr>
          <w:rFonts w:ascii="Arial" w:hAnsi="Arial" w:cs="Arial"/>
          <w:sz w:val="20"/>
          <w:lang w:eastAsia="es-AR"/>
        </w:rPr>
      </w:pPr>
    </w:p>
    <w:p w14:paraId="4EF85D42" w14:textId="77777777" w:rsidR="00BD0DC8" w:rsidRPr="00701F32" w:rsidRDefault="00BD0DC8" w:rsidP="00BD0DC8">
      <w:pPr>
        <w:jc w:val="both"/>
        <w:rPr>
          <w:rFonts w:ascii="Arial" w:hAnsi="Arial" w:cs="Arial"/>
          <w:sz w:val="20"/>
          <w:lang w:eastAsia="es-AR"/>
        </w:rPr>
      </w:pPr>
      <w:r w:rsidRPr="00701F32">
        <w:rPr>
          <w:rFonts w:ascii="Arial" w:hAnsi="Arial" w:cs="Arial"/>
          <w:sz w:val="20"/>
          <w:lang w:eastAsia="es-AR"/>
        </w:rPr>
        <w:t>El efecto impositivo del reconocimiento del impuesto diferido representa un incremento en activos por impuesto diferido, un ajuste a resultados en impuesto a las ganancias y un ajuste en otros resultados integrales por el impuesto correspondiente a los resultados ahí registrados.</w:t>
      </w:r>
    </w:p>
    <w:p w14:paraId="291E7C8D" w14:textId="77777777" w:rsidR="00BD0DC8" w:rsidRPr="00701F32" w:rsidRDefault="00BD0DC8" w:rsidP="00BD0DC8">
      <w:pPr>
        <w:jc w:val="both"/>
        <w:rPr>
          <w:rFonts w:ascii="Arial" w:hAnsi="Arial" w:cs="Arial"/>
          <w:sz w:val="20"/>
          <w:lang w:eastAsia="es-AR"/>
        </w:rPr>
      </w:pPr>
    </w:p>
    <w:p w14:paraId="119D0352" w14:textId="77777777" w:rsidR="00BD0DC8" w:rsidRPr="00701F32" w:rsidRDefault="00BD0DC8" w:rsidP="00712ADC">
      <w:pPr>
        <w:pStyle w:val="Prrafodelista"/>
        <w:numPr>
          <w:ilvl w:val="0"/>
          <w:numId w:val="90"/>
        </w:numPr>
        <w:ind w:left="426"/>
        <w:contextualSpacing/>
        <w:jc w:val="both"/>
        <w:rPr>
          <w:rFonts w:ascii="Arial" w:hAnsi="Arial" w:cs="Arial"/>
          <w:b/>
          <w:i/>
          <w:sz w:val="20"/>
        </w:rPr>
      </w:pPr>
      <w:r w:rsidRPr="00701F32">
        <w:rPr>
          <w:rFonts w:ascii="Arial" w:hAnsi="Arial" w:cs="Arial"/>
          <w:b/>
          <w:bCs/>
          <w:iCs/>
          <w:sz w:val="20"/>
          <w:lang w:eastAsia="es-AR"/>
        </w:rPr>
        <w:t>Llave de Negocio</w:t>
      </w:r>
    </w:p>
    <w:p w14:paraId="4F9508F3" w14:textId="77777777" w:rsidR="00BD0DC8" w:rsidRPr="00701F32" w:rsidRDefault="00BD0DC8" w:rsidP="00BD0DC8">
      <w:pPr>
        <w:pStyle w:val="Prrafodelista"/>
        <w:ind w:left="0"/>
        <w:mirrorIndents/>
        <w:jc w:val="both"/>
        <w:rPr>
          <w:rFonts w:ascii="Arial" w:hAnsi="Arial" w:cs="Arial"/>
          <w:sz w:val="20"/>
          <w:lang w:eastAsia="es-AR"/>
        </w:rPr>
      </w:pPr>
    </w:p>
    <w:p w14:paraId="238539E8" w14:textId="77777777" w:rsidR="00BD0DC8" w:rsidRPr="00701F32" w:rsidRDefault="00BD0DC8" w:rsidP="00BD0DC8">
      <w:pPr>
        <w:pStyle w:val="Prrafodelista"/>
        <w:ind w:left="0"/>
        <w:mirrorIndents/>
        <w:jc w:val="both"/>
        <w:rPr>
          <w:rFonts w:ascii="Arial" w:hAnsi="Arial" w:cs="Arial"/>
          <w:sz w:val="20"/>
          <w:lang w:eastAsia="es-AR"/>
        </w:rPr>
      </w:pPr>
      <w:r w:rsidRPr="00701F32">
        <w:rPr>
          <w:rFonts w:ascii="Arial" w:hAnsi="Arial" w:cs="Arial"/>
          <w:sz w:val="20"/>
          <w:lang w:eastAsia="es-AR"/>
        </w:rPr>
        <w:t>Bajo normas BCRA, la llave de negocio reconocida se amortiza en un plazo máximo de 120 meses. De acuerdo con las NIIF, la llave de negocio no es amortizada, sino que se prueba por desvalorización anualmente. Como consecuencia incrementó el valor de los activos intangibles con contrapartida en otros gastos operativos</w:t>
      </w:r>
    </w:p>
    <w:p w14:paraId="490B34C6" w14:textId="77777777" w:rsidR="00BD0DC8" w:rsidRPr="00701F32" w:rsidRDefault="00BD0DC8" w:rsidP="00BD0DC8">
      <w:pPr>
        <w:pStyle w:val="Prrafodelista"/>
        <w:ind w:left="142"/>
        <w:mirrorIndents/>
        <w:jc w:val="both"/>
        <w:rPr>
          <w:rFonts w:ascii="Arial" w:hAnsi="Arial" w:cs="Arial"/>
          <w:sz w:val="20"/>
          <w:lang w:eastAsia="es-AR"/>
        </w:rPr>
      </w:pPr>
    </w:p>
    <w:p w14:paraId="4DF4724F" w14:textId="77777777" w:rsidR="00BD0DC8" w:rsidRPr="00701F32" w:rsidRDefault="00BD0DC8" w:rsidP="00712ADC">
      <w:pPr>
        <w:pStyle w:val="Prrafodelista"/>
        <w:numPr>
          <w:ilvl w:val="0"/>
          <w:numId w:val="90"/>
        </w:numPr>
        <w:ind w:left="426"/>
        <w:contextualSpacing/>
        <w:jc w:val="both"/>
        <w:rPr>
          <w:rFonts w:ascii="Arial" w:hAnsi="Arial" w:cs="Arial"/>
          <w:b/>
          <w:i/>
          <w:sz w:val="20"/>
        </w:rPr>
      </w:pPr>
      <w:r w:rsidRPr="00701F32">
        <w:rPr>
          <w:rFonts w:ascii="Arial" w:hAnsi="Arial" w:cs="Arial"/>
          <w:b/>
          <w:bCs/>
          <w:iCs/>
          <w:sz w:val="20"/>
          <w:lang w:eastAsia="es-AR"/>
        </w:rPr>
        <w:t>Programas de fidelización</w:t>
      </w:r>
    </w:p>
    <w:p w14:paraId="35D22D7F" w14:textId="77777777" w:rsidR="00BD0DC8" w:rsidRPr="00701F32" w:rsidRDefault="00BD0DC8" w:rsidP="00BD0DC8">
      <w:pPr>
        <w:pStyle w:val="Prrafodelista"/>
        <w:ind w:left="426"/>
        <w:jc w:val="both"/>
        <w:rPr>
          <w:rFonts w:ascii="Arial" w:hAnsi="Arial" w:cs="Arial"/>
          <w:b/>
          <w:i/>
          <w:sz w:val="20"/>
        </w:rPr>
      </w:pPr>
    </w:p>
    <w:p w14:paraId="5B283115" w14:textId="77777777" w:rsidR="00BD0DC8" w:rsidRPr="00701F32" w:rsidRDefault="00BD0DC8" w:rsidP="00BD0DC8">
      <w:pPr>
        <w:jc w:val="both"/>
        <w:rPr>
          <w:rFonts w:ascii="Arial" w:hAnsi="Arial" w:cs="Arial"/>
          <w:sz w:val="20"/>
        </w:rPr>
      </w:pPr>
      <w:r w:rsidRPr="00701F32">
        <w:rPr>
          <w:rFonts w:ascii="Arial" w:hAnsi="Arial" w:cs="Arial"/>
          <w:sz w:val="20"/>
        </w:rPr>
        <w:t>Como parte de los programas de fidelización de clientes, el Banco cuenta con un programa de acumulación de puntos en base a los consumos de las tarjetas de débito y crédito que luego pueden ser canjeados por diferentes productos o servicios de turismo. Los puntos tienen un plazo de vigencia luego del cual los mismos vencen y no pueden ser canjeados.</w:t>
      </w:r>
    </w:p>
    <w:p w14:paraId="2FEFEB91" w14:textId="77777777" w:rsidR="00BD0DC8" w:rsidRPr="00701F32" w:rsidRDefault="00BD0DC8" w:rsidP="00BD0DC8">
      <w:pPr>
        <w:jc w:val="both"/>
        <w:rPr>
          <w:rFonts w:ascii="Arial" w:hAnsi="Arial" w:cs="Arial"/>
          <w:sz w:val="20"/>
        </w:rPr>
      </w:pPr>
    </w:p>
    <w:p w14:paraId="222CD399" w14:textId="77777777" w:rsidR="00BD0DC8" w:rsidRPr="00701F32" w:rsidRDefault="00BD0DC8" w:rsidP="00BD0DC8">
      <w:pPr>
        <w:jc w:val="both"/>
        <w:rPr>
          <w:rFonts w:ascii="Arial" w:hAnsi="Arial" w:cs="Arial"/>
          <w:sz w:val="20"/>
        </w:rPr>
      </w:pPr>
      <w:r w:rsidRPr="00701F32">
        <w:rPr>
          <w:rFonts w:ascii="Arial" w:hAnsi="Arial" w:cs="Arial"/>
          <w:sz w:val="20"/>
        </w:rPr>
        <w:t>De acuerdo con la NIIF 15, el Banco establece un pasivo en base al valor razonable de los puntos ganados que se espera sean canjeados por los clientes. Los puntos a canjear son estimados en base al comportamiento de rescate pasado, tipo de producto de tarjeta, y otros rendimientos históricos de la tarjeta. El pasivo se reduce a medida que los puntos son canjeados por los clientes.</w:t>
      </w:r>
    </w:p>
    <w:p w14:paraId="2CBE57B8" w14:textId="77777777" w:rsidR="00BD0DC8" w:rsidRPr="00701F32" w:rsidRDefault="00BD0DC8" w:rsidP="00BD0DC8">
      <w:pPr>
        <w:jc w:val="both"/>
        <w:rPr>
          <w:rFonts w:ascii="Arial" w:hAnsi="Arial" w:cs="Arial"/>
          <w:sz w:val="20"/>
        </w:rPr>
      </w:pPr>
    </w:p>
    <w:p w14:paraId="1D37FE18" w14:textId="77777777" w:rsidR="00BD0DC8" w:rsidRPr="00701F32" w:rsidRDefault="00BD0DC8" w:rsidP="00BD0DC8">
      <w:pPr>
        <w:jc w:val="both"/>
        <w:rPr>
          <w:rFonts w:ascii="Arial" w:hAnsi="Arial" w:cs="Arial"/>
          <w:sz w:val="20"/>
        </w:rPr>
      </w:pPr>
      <w:r w:rsidRPr="00701F32">
        <w:rPr>
          <w:rFonts w:ascii="Arial" w:hAnsi="Arial" w:cs="Arial"/>
          <w:sz w:val="20"/>
        </w:rPr>
        <w:t>El ajuste al pasivo incrementó los otros pasivos no financieros y generó un resultado negativo que se registró como una disminución de ingresos por intereses.</w:t>
      </w:r>
    </w:p>
    <w:p w14:paraId="081BA6CE" w14:textId="77777777" w:rsidR="00BD0DC8" w:rsidRPr="00701F32" w:rsidRDefault="00BD0DC8" w:rsidP="00BD0DC8">
      <w:pPr>
        <w:jc w:val="both"/>
        <w:rPr>
          <w:rFonts w:ascii="Arial" w:hAnsi="Arial" w:cs="Arial"/>
          <w:sz w:val="20"/>
        </w:rPr>
      </w:pPr>
    </w:p>
    <w:p w14:paraId="27DAD646" w14:textId="77777777" w:rsidR="00BD0DC8" w:rsidRPr="00701F32" w:rsidRDefault="00BD0DC8" w:rsidP="00712ADC">
      <w:pPr>
        <w:pStyle w:val="Prrafodelista"/>
        <w:numPr>
          <w:ilvl w:val="0"/>
          <w:numId w:val="90"/>
        </w:numPr>
        <w:spacing w:after="200"/>
        <w:contextualSpacing/>
        <w:jc w:val="both"/>
        <w:rPr>
          <w:rFonts w:ascii="Arial" w:hAnsi="Arial" w:cs="Arial"/>
          <w:b/>
          <w:sz w:val="20"/>
          <w:lang w:eastAsia="es-AR"/>
        </w:rPr>
      </w:pPr>
      <w:r w:rsidRPr="00701F32">
        <w:rPr>
          <w:rFonts w:ascii="Arial" w:hAnsi="Arial" w:cs="Arial"/>
          <w:b/>
          <w:sz w:val="20"/>
          <w:lang w:eastAsia="es-AR"/>
        </w:rPr>
        <w:t>Baja de activos financieros</w:t>
      </w:r>
    </w:p>
    <w:p w14:paraId="73D6EA5C" w14:textId="26641D18" w:rsidR="006E2762" w:rsidRPr="00701F32" w:rsidRDefault="00BD0DC8" w:rsidP="00BD0DC8">
      <w:pPr>
        <w:spacing w:after="200"/>
        <w:contextualSpacing/>
        <w:jc w:val="both"/>
        <w:rPr>
          <w:rFonts w:ascii="Arial" w:hAnsi="Arial" w:cs="Arial"/>
          <w:sz w:val="20"/>
          <w:lang w:eastAsia="es-AR"/>
        </w:rPr>
      </w:pPr>
      <w:r w:rsidRPr="00701F32">
        <w:rPr>
          <w:rFonts w:ascii="Arial" w:hAnsi="Arial" w:cs="Arial"/>
          <w:sz w:val="20"/>
          <w:lang w:eastAsia="es-AR"/>
        </w:rPr>
        <w:t>De acuerdo al marco contable anterior, la Entidad reconoce como bajas en activos las cesiones de cartera para la constitución de fideicomisos financieros y las ventas de cartera con recurso para el cedente. De acuerdo a lo establecido por la NIIF 9 “Instrumentos Financieros” se debe analizar si la Entidad ha transferido sustancialmente todos los riesgos y recompensas inherentes a la propiedad del activo transferido. Del análisis efectuado surge que esto no se cumple por lo que la Entidad continuará reconociendo dicho activo transferido en su integridad, y reconocerá un pasivo financiero por la contraprestación recibida.</w:t>
      </w:r>
    </w:p>
    <w:p w14:paraId="16E9C6E8" w14:textId="77777777" w:rsidR="006E2762" w:rsidRPr="00701F32" w:rsidRDefault="006E2762" w:rsidP="00BD0DC8">
      <w:pPr>
        <w:spacing w:after="200"/>
        <w:contextualSpacing/>
        <w:jc w:val="both"/>
        <w:rPr>
          <w:rFonts w:ascii="Arial" w:hAnsi="Arial" w:cs="Arial"/>
          <w:sz w:val="20"/>
          <w:lang w:eastAsia="es-AR"/>
        </w:rPr>
      </w:pPr>
    </w:p>
    <w:p w14:paraId="7414E4B6" w14:textId="69BCF20A" w:rsidR="006470AD" w:rsidRPr="00701F32" w:rsidRDefault="00BD0DC8">
      <w:pPr>
        <w:spacing w:after="200"/>
        <w:contextualSpacing/>
        <w:jc w:val="both"/>
        <w:rPr>
          <w:rFonts w:ascii="Arial" w:hAnsi="Arial" w:cs="Arial"/>
          <w:sz w:val="20"/>
          <w:lang w:eastAsia="es-AR"/>
        </w:rPr>
      </w:pPr>
      <w:r w:rsidRPr="00701F32">
        <w:rPr>
          <w:rFonts w:ascii="Arial" w:hAnsi="Arial" w:cs="Arial"/>
          <w:sz w:val="20"/>
          <w:lang w:eastAsia="es-AR"/>
        </w:rPr>
        <w:t>En consecuencia, la Sociedad reconoció un activo por las carteras transferidas dentro de préstamos y otras financiaciones y un pasivo por la contraprestación recibida dentro de otros pasivos financieros, y un ajuste en ingresos por intereses, egresos por intereses y cargo por incobrabilidad.</w:t>
      </w:r>
      <w:r w:rsidR="000B2ED3" w:rsidRPr="00701F32">
        <w:rPr>
          <w:rFonts w:ascii="Arial" w:hAnsi="Arial" w:cs="Arial"/>
          <w:sz w:val="20"/>
          <w:lang w:eastAsia="es-AR"/>
        </w:rPr>
        <w:t xml:space="preserve">        </w:t>
      </w:r>
    </w:p>
    <w:p w14:paraId="4C3B4672" w14:textId="77777777" w:rsidR="006470AD" w:rsidRPr="00701F32" w:rsidRDefault="006470AD" w:rsidP="00E311C9">
      <w:pPr>
        <w:tabs>
          <w:tab w:val="left" w:pos="4739"/>
        </w:tabs>
        <w:rPr>
          <w:rFonts w:ascii="Arial" w:hAnsi="Arial" w:cs="Arial"/>
          <w:sz w:val="20"/>
          <w:lang w:eastAsia="es-AR"/>
        </w:rPr>
      </w:pPr>
    </w:p>
    <w:p w14:paraId="60971958" w14:textId="5C946317" w:rsidR="00E67CF8" w:rsidRPr="00701F32" w:rsidRDefault="00656E62" w:rsidP="006470AD">
      <w:pPr>
        <w:tabs>
          <w:tab w:val="left" w:pos="4739"/>
        </w:tabs>
        <w:rPr>
          <w:rFonts w:ascii="Arial" w:hAnsi="Arial" w:cs="Arial"/>
          <w:sz w:val="20"/>
        </w:rPr>
      </w:pPr>
      <w:r w:rsidRPr="00701F32">
        <w:rPr>
          <w:rFonts w:ascii="Arial" w:hAnsi="Arial" w:cs="Arial"/>
          <w:sz w:val="20"/>
        </w:rPr>
        <w:t xml:space="preserve">2.2 Exenciones optativas a las NIIF </w:t>
      </w:r>
    </w:p>
    <w:p w14:paraId="1697CBAD" w14:textId="77777777" w:rsidR="00E67CF8" w:rsidRPr="00701F32" w:rsidRDefault="00E67CF8" w:rsidP="00701F32">
      <w:pPr>
        <w:rPr>
          <w:rFonts w:ascii="Arial" w:hAnsi="Arial" w:cs="Arial"/>
          <w:sz w:val="20"/>
        </w:rPr>
      </w:pPr>
    </w:p>
    <w:p w14:paraId="0AF7DA2F" w14:textId="77777777" w:rsidR="0037456B" w:rsidRPr="00701F32" w:rsidRDefault="0037456B" w:rsidP="0037456B">
      <w:pPr>
        <w:keepNext/>
        <w:keepLines/>
        <w:spacing w:before="40" w:line="259" w:lineRule="auto"/>
        <w:jc w:val="both"/>
        <w:outlineLvl w:val="1"/>
        <w:rPr>
          <w:rFonts w:ascii="Arial" w:hAnsi="Arial" w:cs="Arial"/>
          <w:sz w:val="20"/>
        </w:rPr>
      </w:pPr>
      <w:r w:rsidRPr="00701F32">
        <w:rPr>
          <w:rFonts w:ascii="Arial" w:hAnsi="Arial" w:cs="Arial"/>
          <w:sz w:val="20"/>
        </w:rPr>
        <w:t>La NIIF 1 permite a las entidades que adoptan por primera vez las NIIF considerar determinadas excepciones de única vez. Dichas excepciones han sido previstas por el IASB para simplificar la primera aplicación de ciertas NIIF, eliminando la obligatoriedad de su aplicación retroactiva.</w:t>
      </w:r>
    </w:p>
    <w:p w14:paraId="6179F2A5" w14:textId="77777777" w:rsidR="0037456B" w:rsidRPr="00701F32" w:rsidRDefault="0037456B" w:rsidP="0037456B">
      <w:pPr>
        <w:keepNext/>
        <w:keepLines/>
        <w:spacing w:before="40" w:line="259" w:lineRule="auto"/>
        <w:ind w:left="720" w:hanging="720"/>
        <w:jc w:val="both"/>
        <w:outlineLvl w:val="1"/>
        <w:rPr>
          <w:rFonts w:ascii="Arial" w:hAnsi="Arial" w:cs="Arial"/>
          <w:sz w:val="20"/>
        </w:rPr>
      </w:pPr>
    </w:p>
    <w:p w14:paraId="1E5E9F47" w14:textId="77777777" w:rsidR="0037456B" w:rsidRPr="00701F32" w:rsidRDefault="0037456B" w:rsidP="0037456B">
      <w:pPr>
        <w:keepNext/>
        <w:keepLines/>
        <w:spacing w:before="40" w:line="259" w:lineRule="auto"/>
        <w:ind w:left="720" w:hanging="720"/>
        <w:jc w:val="both"/>
        <w:outlineLvl w:val="1"/>
        <w:rPr>
          <w:rFonts w:ascii="Arial" w:hAnsi="Arial" w:cs="Arial"/>
          <w:sz w:val="20"/>
        </w:rPr>
      </w:pPr>
      <w:r w:rsidRPr="00701F32">
        <w:rPr>
          <w:rFonts w:ascii="Arial" w:hAnsi="Arial" w:cs="Arial"/>
          <w:sz w:val="20"/>
        </w:rPr>
        <w:t>A continuación, se detallan las exenciones optativas aplicables bajo NIIF 1:</w:t>
      </w:r>
    </w:p>
    <w:p w14:paraId="2F111985" w14:textId="77777777" w:rsidR="0037456B" w:rsidRPr="00701F32" w:rsidRDefault="0037456B" w:rsidP="0037456B">
      <w:pPr>
        <w:keepNext/>
        <w:keepLines/>
        <w:spacing w:before="40" w:line="259" w:lineRule="auto"/>
        <w:jc w:val="both"/>
        <w:outlineLvl w:val="1"/>
        <w:rPr>
          <w:rFonts w:ascii="Arial" w:hAnsi="Arial" w:cs="Arial"/>
          <w:sz w:val="20"/>
        </w:rPr>
      </w:pPr>
    </w:p>
    <w:p w14:paraId="3E0CDC08" w14:textId="77777777" w:rsidR="0037456B" w:rsidRPr="00701F32" w:rsidRDefault="0037456B" w:rsidP="0037456B">
      <w:pPr>
        <w:pStyle w:val="Prrafodelista"/>
        <w:keepNext/>
        <w:keepLines/>
        <w:numPr>
          <w:ilvl w:val="0"/>
          <w:numId w:val="104"/>
        </w:numPr>
        <w:spacing w:before="40" w:line="259" w:lineRule="auto"/>
        <w:contextualSpacing/>
        <w:jc w:val="both"/>
        <w:outlineLvl w:val="1"/>
        <w:rPr>
          <w:rFonts w:ascii="Arial" w:hAnsi="Arial" w:cs="Arial"/>
          <w:sz w:val="20"/>
        </w:rPr>
      </w:pPr>
      <w:r w:rsidRPr="00701F32">
        <w:rPr>
          <w:rFonts w:ascii="Arial" w:hAnsi="Arial" w:cs="Arial"/>
          <w:sz w:val="20"/>
        </w:rPr>
        <w:t>Combinaciones de negocio: el Banco ha optado por no aplicar la NIIF 3 “Combinaciones de negocios” retroactivamente para las combinaciones de negocios anteriores a la fecha de transición a las NIIF.</w:t>
      </w:r>
    </w:p>
    <w:p w14:paraId="0E61FB25" w14:textId="77777777" w:rsidR="0037456B" w:rsidRPr="00701F32" w:rsidRDefault="0037456B" w:rsidP="0037456B">
      <w:pPr>
        <w:keepNext/>
        <w:keepLines/>
        <w:spacing w:before="40" w:line="259" w:lineRule="auto"/>
        <w:ind w:hanging="11"/>
        <w:jc w:val="both"/>
        <w:outlineLvl w:val="1"/>
        <w:rPr>
          <w:rFonts w:ascii="Arial" w:hAnsi="Arial" w:cs="Arial"/>
          <w:sz w:val="20"/>
        </w:rPr>
      </w:pPr>
    </w:p>
    <w:p w14:paraId="5FEC84EB" w14:textId="77777777" w:rsidR="0037456B" w:rsidRPr="00701F32" w:rsidRDefault="0037456B" w:rsidP="0037456B">
      <w:pPr>
        <w:pStyle w:val="Prrafodelista"/>
        <w:keepNext/>
        <w:keepLines/>
        <w:numPr>
          <w:ilvl w:val="0"/>
          <w:numId w:val="104"/>
        </w:numPr>
        <w:spacing w:before="40" w:line="259" w:lineRule="auto"/>
        <w:contextualSpacing/>
        <w:jc w:val="both"/>
        <w:outlineLvl w:val="1"/>
        <w:rPr>
          <w:rFonts w:ascii="Arial" w:hAnsi="Arial" w:cs="Arial"/>
          <w:sz w:val="20"/>
        </w:rPr>
      </w:pPr>
      <w:r w:rsidRPr="00701F32">
        <w:rPr>
          <w:rFonts w:ascii="Arial" w:hAnsi="Arial" w:cs="Arial"/>
          <w:sz w:val="20"/>
        </w:rPr>
        <w:t>Designación de instrumentos financieros reconocidos previamente: La Entidad ha optado por designar ciertas inversiones en instrumentos de patrimonio como medidos a valor razonable con cambios en otro resultado integral de acuerdo con el párrafo 5.7.5 de la NIIF 9 sobre la base de los hechos y circunstancias existentes en la fecha de transición a las NIIF.</w:t>
      </w:r>
    </w:p>
    <w:p w14:paraId="0FB41A58" w14:textId="77777777" w:rsidR="0037456B" w:rsidRPr="00701F32" w:rsidRDefault="0037456B" w:rsidP="0037456B">
      <w:pPr>
        <w:keepNext/>
        <w:keepLines/>
        <w:spacing w:before="40" w:line="259" w:lineRule="auto"/>
        <w:jc w:val="both"/>
        <w:outlineLvl w:val="1"/>
        <w:rPr>
          <w:rFonts w:ascii="Arial" w:hAnsi="Arial" w:cs="Arial"/>
          <w:sz w:val="20"/>
        </w:rPr>
      </w:pPr>
    </w:p>
    <w:p w14:paraId="0B6355D3" w14:textId="77777777" w:rsidR="0037456B" w:rsidRPr="00701F32" w:rsidRDefault="0037456B" w:rsidP="0037456B">
      <w:pPr>
        <w:pStyle w:val="Prrafodelista"/>
        <w:keepNext/>
        <w:keepLines/>
        <w:numPr>
          <w:ilvl w:val="0"/>
          <w:numId w:val="104"/>
        </w:numPr>
        <w:spacing w:before="40" w:line="259" w:lineRule="auto"/>
        <w:contextualSpacing/>
        <w:jc w:val="both"/>
        <w:outlineLvl w:val="1"/>
        <w:rPr>
          <w:rFonts w:ascii="Arial" w:hAnsi="Arial" w:cs="Arial"/>
          <w:sz w:val="20"/>
        </w:rPr>
      </w:pPr>
      <w:r w:rsidRPr="00701F32">
        <w:rPr>
          <w:rFonts w:ascii="Arial" w:hAnsi="Arial" w:cs="Arial"/>
          <w:sz w:val="20"/>
        </w:rPr>
        <w:t>Inversiones en subsidiarias, entidades controladas de forma conjunta y asociadas: El Banco podrá optar por medir dichas inversiones al costo; de acuerdo con NIIF 9; o por el método de la valuación patrimonial proporcional descripto en la NIC 28.</w:t>
      </w:r>
    </w:p>
    <w:p w14:paraId="42C86EC4" w14:textId="77777777" w:rsidR="0037456B" w:rsidRPr="00701F32" w:rsidRDefault="0037456B" w:rsidP="00E67CF8">
      <w:pPr>
        <w:rPr>
          <w:rFonts w:ascii="Arial" w:hAnsi="Arial" w:cs="Arial"/>
          <w:sz w:val="20"/>
        </w:rPr>
      </w:pPr>
    </w:p>
    <w:p w14:paraId="0DF4AC54" w14:textId="77777777" w:rsidR="00656E62" w:rsidRPr="00701F32" w:rsidRDefault="00656E62" w:rsidP="00701F32">
      <w:pPr>
        <w:keepNext/>
        <w:keepLines/>
        <w:spacing w:before="40" w:line="259" w:lineRule="auto"/>
        <w:jc w:val="both"/>
        <w:outlineLvl w:val="1"/>
        <w:rPr>
          <w:rFonts w:ascii="Arial" w:hAnsi="Arial" w:cs="Arial"/>
          <w:sz w:val="20"/>
        </w:rPr>
      </w:pPr>
      <w:r w:rsidRPr="00701F32">
        <w:rPr>
          <w:rFonts w:ascii="Arial" w:hAnsi="Arial" w:cs="Arial"/>
          <w:sz w:val="20"/>
        </w:rPr>
        <w:t>El Banco no ha hecho uso de las otras exenciones disponibles en la NIIF 1.</w:t>
      </w:r>
    </w:p>
    <w:p w14:paraId="7E83C038" w14:textId="77777777" w:rsidR="00656E62" w:rsidRPr="00701F32" w:rsidRDefault="00656E62" w:rsidP="00656E62">
      <w:pPr>
        <w:keepNext/>
        <w:keepLines/>
        <w:spacing w:before="40" w:line="259" w:lineRule="auto"/>
        <w:ind w:hanging="11"/>
        <w:jc w:val="both"/>
        <w:outlineLvl w:val="1"/>
        <w:rPr>
          <w:rFonts w:ascii="Arial" w:hAnsi="Arial" w:cs="Arial"/>
          <w:sz w:val="20"/>
        </w:rPr>
      </w:pPr>
    </w:p>
    <w:p w14:paraId="1F721CE8" w14:textId="77777777" w:rsidR="00656E62" w:rsidRPr="00701F32" w:rsidRDefault="00656E62" w:rsidP="00656E62">
      <w:pPr>
        <w:keepNext/>
        <w:keepLines/>
        <w:spacing w:before="40" w:line="259" w:lineRule="auto"/>
        <w:ind w:hanging="11"/>
        <w:jc w:val="both"/>
        <w:outlineLvl w:val="1"/>
        <w:rPr>
          <w:rFonts w:ascii="Arial" w:hAnsi="Arial" w:cs="Arial"/>
          <w:sz w:val="20"/>
        </w:rPr>
      </w:pPr>
      <w:r w:rsidRPr="00701F32">
        <w:rPr>
          <w:rFonts w:ascii="Arial" w:hAnsi="Arial" w:cs="Arial"/>
          <w:sz w:val="20"/>
        </w:rPr>
        <w:t>2.3 Excepciones obligatorias a las NIIF</w:t>
      </w:r>
    </w:p>
    <w:p w14:paraId="77CBADCB" w14:textId="77777777" w:rsidR="00656E62" w:rsidRPr="00701F32" w:rsidRDefault="00656E62" w:rsidP="00656E62">
      <w:pPr>
        <w:keepNext/>
        <w:keepLines/>
        <w:spacing w:before="40" w:line="259" w:lineRule="auto"/>
        <w:jc w:val="both"/>
        <w:outlineLvl w:val="1"/>
        <w:rPr>
          <w:rFonts w:ascii="Arial" w:hAnsi="Arial" w:cs="Arial"/>
          <w:sz w:val="20"/>
        </w:rPr>
      </w:pPr>
    </w:p>
    <w:p w14:paraId="5BD749D1" w14:textId="77777777" w:rsidR="00656E62" w:rsidRPr="00701F32" w:rsidRDefault="00656E62" w:rsidP="00656E62">
      <w:pPr>
        <w:keepNext/>
        <w:keepLines/>
        <w:spacing w:before="40" w:line="259" w:lineRule="auto"/>
        <w:ind w:hanging="11"/>
        <w:jc w:val="both"/>
        <w:outlineLvl w:val="1"/>
        <w:rPr>
          <w:rFonts w:ascii="Arial" w:hAnsi="Arial" w:cs="Arial"/>
          <w:sz w:val="20"/>
        </w:rPr>
      </w:pPr>
      <w:r w:rsidRPr="00701F32">
        <w:rPr>
          <w:rFonts w:ascii="Arial" w:hAnsi="Arial" w:cs="Arial"/>
          <w:sz w:val="20"/>
        </w:rPr>
        <w:t xml:space="preserve">A continuación, se detallan las excepciones obligatorias aplicables bajo NIIF 1: </w:t>
      </w:r>
    </w:p>
    <w:p w14:paraId="6D37C78A" w14:textId="77777777" w:rsidR="00656E62" w:rsidRPr="00701F32" w:rsidRDefault="00656E62" w:rsidP="00656E62">
      <w:pPr>
        <w:keepNext/>
        <w:keepLines/>
        <w:spacing w:before="40" w:line="259" w:lineRule="auto"/>
        <w:ind w:hanging="11"/>
        <w:jc w:val="both"/>
        <w:outlineLvl w:val="1"/>
        <w:rPr>
          <w:rFonts w:ascii="Arial" w:hAnsi="Arial" w:cs="Arial"/>
          <w:sz w:val="20"/>
        </w:rPr>
      </w:pPr>
    </w:p>
    <w:p w14:paraId="0FEEF990" w14:textId="77777777" w:rsidR="00656E62" w:rsidRPr="00701F32" w:rsidRDefault="00656E62" w:rsidP="0086282C">
      <w:pPr>
        <w:pStyle w:val="Prrafodelista"/>
        <w:keepNext/>
        <w:keepLines/>
        <w:numPr>
          <w:ilvl w:val="0"/>
          <w:numId w:val="105"/>
        </w:numPr>
        <w:spacing w:before="40" w:line="259" w:lineRule="auto"/>
        <w:contextualSpacing/>
        <w:jc w:val="both"/>
        <w:outlineLvl w:val="1"/>
        <w:rPr>
          <w:rFonts w:ascii="Arial" w:hAnsi="Arial" w:cs="Arial"/>
          <w:sz w:val="20"/>
        </w:rPr>
      </w:pPr>
      <w:r w:rsidRPr="00701F32">
        <w:rPr>
          <w:rFonts w:ascii="Arial" w:hAnsi="Arial" w:cs="Arial"/>
          <w:sz w:val="20"/>
        </w:rPr>
        <w:t>Estimaciones: las estimaciones realizadas por el Banco según NIIF al 1 de enero de 2017 (fecha de transición a las NIIF), son consistentes con las estimaciones realizadas a la misma fecha según las normas contables del Banco Central de la República Argentina, considerando lo descripto en Nota 1 (no aplicación del capítulo de deterioro de la NIIF 9).</w:t>
      </w:r>
    </w:p>
    <w:p w14:paraId="5DE8C9AD" w14:textId="77777777" w:rsidR="00656E62" w:rsidRPr="00701F32" w:rsidRDefault="00656E62" w:rsidP="00656E62">
      <w:pPr>
        <w:pStyle w:val="Prrafodelista"/>
        <w:keepNext/>
        <w:keepLines/>
        <w:spacing w:before="40" w:line="259" w:lineRule="auto"/>
        <w:jc w:val="both"/>
        <w:outlineLvl w:val="1"/>
        <w:rPr>
          <w:rFonts w:ascii="Arial" w:hAnsi="Arial" w:cs="Arial"/>
          <w:sz w:val="20"/>
        </w:rPr>
      </w:pPr>
    </w:p>
    <w:p w14:paraId="468DCCCF" w14:textId="77777777" w:rsidR="00656E62" w:rsidRPr="00701F32" w:rsidRDefault="00656E62" w:rsidP="0086282C">
      <w:pPr>
        <w:pStyle w:val="Prrafodelista"/>
        <w:keepNext/>
        <w:keepLines/>
        <w:numPr>
          <w:ilvl w:val="0"/>
          <w:numId w:val="105"/>
        </w:numPr>
        <w:spacing w:before="40" w:line="259" w:lineRule="auto"/>
        <w:contextualSpacing/>
        <w:jc w:val="both"/>
        <w:outlineLvl w:val="1"/>
        <w:rPr>
          <w:rFonts w:ascii="Arial" w:hAnsi="Arial" w:cs="Arial"/>
          <w:sz w:val="20"/>
        </w:rPr>
      </w:pPr>
      <w:r w:rsidRPr="00701F32">
        <w:rPr>
          <w:rFonts w:ascii="Arial" w:hAnsi="Arial" w:cs="Arial"/>
          <w:sz w:val="20"/>
        </w:rPr>
        <w:t>Baja contable de activos y pasivos financieros: La Entidad aplicó los criterios de baja contable de activos y pasivos financieros bajo NIIF 9 de manera prospectiva para transacciones ocurridas con posterioridad al 1 de enero de 2017.</w:t>
      </w:r>
    </w:p>
    <w:p w14:paraId="48F70EAB" w14:textId="77777777" w:rsidR="00656E62" w:rsidRPr="00701F32" w:rsidRDefault="00656E62" w:rsidP="00656E62">
      <w:pPr>
        <w:pStyle w:val="Prrafodelista"/>
        <w:keepNext/>
        <w:keepLines/>
        <w:spacing w:before="40" w:line="259" w:lineRule="auto"/>
        <w:jc w:val="both"/>
        <w:outlineLvl w:val="1"/>
        <w:rPr>
          <w:rFonts w:ascii="Arial" w:hAnsi="Arial" w:cs="Arial"/>
          <w:sz w:val="20"/>
        </w:rPr>
      </w:pPr>
    </w:p>
    <w:p w14:paraId="48FA9E6C" w14:textId="77777777" w:rsidR="00656E62" w:rsidRPr="00701F32" w:rsidRDefault="00656E62" w:rsidP="0086282C">
      <w:pPr>
        <w:pStyle w:val="Prrafodelista"/>
        <w:keepNext/>
        <w:keepLines/>
        <w:numPr>
          <w:ilvl w:val="0"/>
          <w:numId w:val="105"/>
        </w:numPr>
        <w:spacing w:before="40" w:line="259" w:lineRule="auto"/>
        <w:contextualSpacing/>
        <w:jc w:val="both"/>
        <w:outlineLvl w:val="1"/>
        <w:rPr>
          <w:rFonts w:ascii="Arial" w:hAnsi="Arial" w:cs="Arial"/>
          <w:sz w:val="20"/>
        </w:rPr>
      </w:pPr>
      <w:r w:rsidRPr="00701F32">
        <w:rPr>
          <w:rFonts w:ascii="Arial" w:hAnsi="Arial" w:cs="Arial"/>
          <w:sz w:val="20"/>
        </w:rPr>
        <w:t>Clasificación y medición de activos financieros: el Banc</w:t>
      </w:r>
      <w:r w:rsidR="00BD0DC8" w:rsidRPr="00701F32">
        <w:rPr>
          <w:rFonts w:ascii="Arial" w:hAnsi="Arial" w:cs="Arial"/>
          <w:sz w:val="20"/>
        </w:rPr>
        <w:t>o</w:t>
      </w:r>
      <w:r w:rsidRPr="00701F32">
        <w:rPr>
          <w:rFonts w:ascii="Arial" w:hAnsi="Arial" w:cs="Arial"/>
          <w:sz w:val="20"/>
        </w:rPr>
        <w:t xml:space="preserve"> ha tenido en cuenta los hechos y circunstancias existentes al 1 de enero de 2017 en su evaluación sobre si los activos financieros cumplen con las características para ser clasificados como activo medido a costo amortizado, a valor razonable con cambios en resultados o a valor razonable con cambios en otros resultados integrales.</w:t>
      </w:r>
    </w:p>
    <w:p w14:paraId="519C6914" w14:textId="77777777" w:rsidR="00656E62" w:rsidRPr="00701F32" w:rsidRDefault="00656E62" w:rsidP="00656E62">
      <w:pPr>
        <w:pStyle w:val="Prrafodelista"/>
        <w:rPr>
          <w:rFonts w:ascii="Arial" w:hAnsi="Arial" w:cs="Arial"/>
          <w:sz w:val="20"/>
        </w:rPr>
      </w:pPr>
    </w:p>
    <w:p w14:paraId="787807EB" w14:textId="77777777" w:rsidR="00656E62" w:rsidRPr="00701F32" w:rsidRDefault="00656E62" w:rsidP="0086282C">
      <w:pPr>
        <w:pStyle w:val="Prrafodelista"/>
        <w:keepNext/>
        <w:keepLines/>
        <w:numPr>
          <w:ilvl w:val="0"/>
          <w:numId w:val="105"/>
        </w:numPr>
        <w:spacing w:before="40" w:line="259" w:lineRule="auto"/>
        <w:contextualSpacing/>
        <w:jc w:val="both"/>
        <w:outlineLvl w:val="1"/>
        <w:rPr>
          <w:rFonts w:ascii="Arial" w:hAnsi="Arial" w:cs="Arial"/>
          <w:sz w:val="20"/>
        </w:rPr>
      </w:pPr>
      <w:r w:rsidRPr="00701F32">
        <w:rPr>
          <w:rFonts w:ascii="Arial" w:hAnsi="Arial" w:cs="Arial"/>
          <w:sz w:val="20"/>
        </w:rPr>
        <w:t>Otras excepciones obligatorias establecidas en la NIIF 1 que no se han aplicado por no ser relevantes para la Entidad son</w:t>
      </w:r>
    </w:p>
    <w:p w14:paraId="2FD4B28A" w14:textId="77777777" w:rsidR="00656E62" w:rsidRPr="00701F32" w:rsidRDefault="00656E62" w:rsidP="00656E62">
      <w:pPr>
        <w:keepNext/>
        <w:keepLines/>
        <w:spacing w:before="40" w:line="259" w:lineRule="auto"/>
        <w:jc w:val="both"/>
        <w:outlineLvl w:val="1"/>
        <w:rPr>
          <w:rFonts w:ascii="Arial" w:hAnsi="Arial" w:cs="Arial"/>
          <w:sz w:val="20"/>
        </w:rPr>
      </w:pPr>
    </w:p>
    <w:p w14:paraId="0DD22ED4" w14:textId="77777777" w:rsidR="00656E62" w:rsidRPr="00701F32" w:rsidRDefault="00656E62" w:rsidP="00656E62">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Contabilidad de coberturas.</w:t>
      </w:r>
    </w:p>
    <w:p w14:paraId="535B348F" w14:textId="77777777" w:rsidR="00656E62" w:rsidRPr="00701F32" w:rsidRDefault="00656E62" w:rsidP="00656E62">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Participaciones no controladoras.</w:t>
      </w:r>
    </w:p>
    <w:p w14:paraId="6CFC3EF8" w14:textId="77777777" w:rsidR="00656E62" w:rsidRPr="00701F32" w:rsidRDefault="00656E62" w:rsidP="00656E62">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Derivados implícitos.</w:t>
      </w:r>
    </w:p>
    <w:p w14:paraId="240894F3" w14:textId="77777777" w:rsidR="00656E62" w:rsidRPr="00701F32" w:rsidRDefault="00656E62" w:rsidP="00656E62">
      <w:pPr>
        <w:pStyle w:val="Prrafodelista"/>
        <w:keepNext/>
        <w:keepLines/>
        <w:numPr>
          <w:ilvl w:val="0"/>
          <w:numId w:val="52"/>
        </w:numPr>
        <w:spacing w:before="40" w:line="259" w:lineRule="auto"/>
        <w:contextualSpacing/>
        <w:jc w:val="both"/>
        <w:outlineLvl w:val="1"/>
        <w:rPr>
          <w:rFonts w:ascii="Arial" w:hAnsi="Arial" w:cs="Arial"/>
          <w:sz w:val="20"/>
        </w:rPr>
      </w:pPr>
      <w:r w:rsidRPr="00701F32">
        <w:rPr>
          <w:rFonts w:ascii="Arial" w:hAnsi="Arial" w:cs="Arial"/>
          <w:sz w:val="20"/>
        </w:rPr>
        <w:t>Préstamos del gobierno.</w:t>
      </w:r>
    </w:p>
    <w:p w14:paraId="7846F4A2" w14:textId="77777777" w:rsidR="00656E62" w:rsidRPr="00701F32" w:rsidRDefault="00656E62" w:rsidP="00656E62">
      <w:pPr>
        <w:keepNext/>
        <w:keepLines/>
        <w:spacing w:before="40" w:line="259" w:lineRule="auto"/>
        <w:ind w:hanging="11"/>
        <w:jc w:val="both"/>
        <w:outlineLvl w:val="1"/>
        <w:rPr>
          <w:rFonts w:ascii="Arial" w:hAnsi="Arial" w:cs="Arial"/>
          <w:sz w:val="20"/>
        </w:rPr>
      </w:pPr>
    </w:p>
    <w:p w14:paraId="5523DA32" w14:textId="77777777" w:rsidR="00656E62" w:rsidRPr="00701F32" w:rsidRDefault="00656E62" w:rsidP="00656E62">
      <w:pPr>
        <w:keepNext/>
        <w:keepLines/>
        <w:spacing w:before="40" w:line="259" w:lineRule="auto"/>
        <w:ind w:hanging="11"/>
        <w:jc w:val="both"/>
        <w:outlineLvl w:val="1"/>
        <w:rPr>
          <w:rFonts w:ascii="Arial" w:hAnsi="Arial" w:cs="Arial"/>
          <w:sz w:val="20"/>
        </w:rPr>
      </w:pPr>
      <w:r w:rsidRPr="00701F32">
        <w:rPr>
          <w:rFonts w:ascii="Arial" w:hAnsi="Arial" w:cs="Arial"/>
          <w:sz w:val="20"/>
        </w:rPr>
        <w:t>Las otras excepciones obligatorias establecidas en la NIIF 1 no se han aplicado por no ser relevantes para el Banco</w:t>
      </w:r>
    </w:p>
    <w:p w14:paraId="5B768701" w14:textId="77777777" w:rsidR="00656E62" w:rsidRPr="00701F32" w:rsidRDefault="00656E62" w:rsidP="00656E62">
      <w:pPr>
        <w:keepNext/>
        <w:keepLines/>
        <w:spacing w:before="40" w:line="259" w:lineRule="auto"/>
        <w:ind w:left="720" w:hanging="720"/>
        <w:jc w:val="both"/>
        <w:outlineLvl w:val="1"/>
        <w:rPr>
          <w:rFonts w:ascii="Arial" w:hAnsi="Arial" w:cs="Arial"/>
          <w:b/>
          <w:sz w:val="20"/>
        </w:rPr>
      </w:pPr>
    </w:p>
    <w:p w14:paraId="6D261F35" w14:textId="77777777" w:rsidR="00656E62" w:rsidRPr="00701F32" w:rsidRDefault="00656E62" w:rsidP="00656E62">
      <w:pPr>
        <w:keepNext/>
        <w:keepLines/>
        <w:spacing w:before="40" w:line="259" w:lineRule="auto"/>
        <w:ind w:left="720" w:hanging="720"/>
        <w:jc w:val="both"/>
        <w:outlineLvl w:val="1"/>
        <w:rPr>
          <w:rFonts w:ascii="Arial" w:hAnsi="Arial" w:cs="Arial"/>
          <w:b/>
          <w:sz w:val="20"/>
        </w:rPr>
      </w:pPr>
      <w:r w:rsidRPr="00701F32">
        <w:rPr>
          <w:rFonts w:ascii="Arial" w:hAnsi="Arial" w:cs="Arial"/>
          <w:b/>
          <w:sz w:val="20"/>
        </w:rPr>
        <w:t xml:space="preserve">3. POLÍTICAS Y ESTIMACIONES CONTABLES CRÍTICAS </w:t>
      </w:r>
    </w:p>
    <w:p w14:paraId="6A881908" w14:textId="77777777" w:rsidR="00656E62" w:rsidRPr="00701F32" w:rsidRDefault="00656E62" w:rsidP="00656E62">
      <w:pPr>
        <w:autoSpaceDE w:val="0"/>
        <w:autoSpaceDN w:val="0"/>
        <w:adjustRightInd w:val="0"/>
        <w:jc w:val="both"/>
        <w:rPr>
          <w:rFonts w:ascii="Arial" w:eastAsia="Calibri" w:hAnsi="Arial" w:cs="Arial"/>
          <w:noProof/>
          <w:sz w:val="20"/>
        </w:rPr>
      </w:pPr>
    </w:p>
    <w:p w14:paraId="02352D97" w14:textId="77777777" w:rsidR="00656E62" w:rsidRPr="00701F32" w:rsidRDefault="00656E62" w:rsidP="00656E62">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 xml:space="preserve">La preparación de estados financieros </w:t>
      </w:r>
      <w:r w:rsidR="007D4640" w:rsidRPr="00701F32">
        <w:rPr>
          <w:rFonts w:ascii="Arial" w:eastAsia="Arial" w:hAnsi="Arial" w:cs="Arial"/>
          <w:sz w:val="20"/>
        </w:rPr>
        <w:t>separados</w:t>
      </w:r>
      <w:r w:rsidR="007D4640" w:rsidRPr="00701F32" w:rsidDel="007D4640">
        <w:rPr>
          <w:rFonts w:ascii="Arial" w:eastAsia="Calibri" w:hAnsi="Arial" w:cs="Arial"/>
          <w:noProof/>
          <w:sz w:val="20"/>
        </w:rPr>
        <w:t xml:space="preserve"> </w:t>
      </w:r>
      <w:r w:rsidRPr="00701F32">
        <w:rPr>
          <w:rFonts w:ascii="Arial" w:eastAsia="Calibri" w:hAnsi="Arial" w:cs="Arial"/>
          <w:noProof/>
          <w:sz w:val="20"/>
        </w:rPr>
        <w:t>condensados intermedios de conformidad con el marco contable establecido por el BCRA requiere el uso de ciertas estimaciones contables críticas. También requiere que la Gerencia ejerza su juicio en el proceso de aplicación de las normas contables establecidas por el BCRA las políticas contables de la Entidad.</w:t>
      </w:r>
    </w:p>
    <w:p w14:paraId="4D2299A0" w14:textId="77777777" w:rsidR="00656E62" w:rsidRPr="00701F32" w:rsidRDefault="00656E62" w:rsidP="00656E62">
      <w:pPr>
        <w:autoSpaceDE w:val="0"/>
        <w:autoSpaceDN w:val="0"/>
        <w:adjustRightInd w:val="0"/>
        <w:jc w:val="both"/>
        <w:rPr>
          <w:rFonts w:ascii="Arial" w:eastAsia="Calibri" w:hAnsi="Arial" w:cs="Arial"/>
          <w:noProof/>
          <w:sz w:val="20"/>
        </w:rPr>
      </w:pPr>
    </w:p>
    <w:p w14:paraId="436C6991" w14:textId="77777777" w:rsidR="00656E62" w:rsidRPr="00701F32" w:rsidRDefault="00656E62" w:rsidP="00656E62">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 xml:space="preserve">La Entidad ha identificado las siguientes áreas que implican un mayor grado de juicio o complejidad, o áreas en las que los supuestos y estimaciones son significativos para los estados financieros </w:t>
      </w:r>
      <w:r w:rsidR="007D4640" w:rsidRPr="00701F32">
        <w:rPr>
          <w:rFonts w:ascii="Arial" w:eastAsia="Arial" w:hAnsi="Arial" w:cs="Arial"/>
          <w:sz w:val="20"/>
        </w:rPr>
        <w:t>separados</w:t>
      </w:r>
      <w:r w:rsidR="007D4640" w:rsidRPr="00701F32" w:rsidDel="007D4640">
        <w:rPr>
          <w:rFonts w:ascii="Arial" w:eastAsia="Calibri" w:hAnsi="Arial" w:cs="Arial"/>
          <w:noProof/>
          <w:sz w:val="20"/>
        </w:rPr>
        <w:t xml:space="preserve"> </w:t>
      </w:r>
      <w:r w:rsidRPr="00701F32">
        <w:rPr>
          <w:rFonts w:ascii="Arial" w:eastAsia="Calibri" w:hAnsi="Arial" w:cs="Arial"/>
          <w:noProof/>
          <w:sz w:val="20"/>
        </w:rPr>
        <w:t>condensados intermedios que son esenciales para la comprensión de los riesgos informativos contables / financieros subyacentes:</w:t>
      </w:r>
    </w:p>
    <w:p w14:paraId="311AB35F" w14:textId="77777777" w:rsidR="00656E62" w:rsidRPr="00701F32" w:rsidRDefault="00656E62" w:rsidP="00656E62">
      <w:pPr>
        <w:autoSpaceDE w:val="0"/>
        <w:autoSpaceDN w:val="0"/>
        <w:adjustRightInd w:val="0"/>
        <w:jc w:val="both"/>
        <w:rPr>
          <w:rFonts w:ascii="Arial" w:eastAsia="Calibri" w:hAnsi="Arial" w:cs="Arial"/>
          <w:noProof/>
          <w:sz w:val="20"/>
        </w:rPr>
      </w:pPr>
      <w:r w:rsidRPr="00701F32">
        <w:rPr>
          <w:rFonts w:ascii="Arial" w:eastAsia="Calibri" w:hAnsi="Arial" w:cs="Arial"/>
          <w:noProof/>
          <w:sz w:val="20"/>
        </w:rPr>
        <w:t xml:space="preserve"> </w:t>
      </w:r>
    </w:p>
    <w:p w14:paraId="6860193A" w14:textId="77777777" w:rsidR="00656E62" w:rsidRPr="00701F32" w:rsidRDefault="00656E62" w:rsidP="0086282C">
      <w:pPr>
        <w:numPr>
          <w:ilvl w:val="0"/>
          <w:numId w:val="106"/>
        </w:numPr>
        <w:spacing w:after="160" w:line="259" w:lineRule="auto"/>
        <w:contextualSpacing/>
        <w:jc w:val="both"/>
        <w:rPr>
          <w:rFonts w:ascii="Arial" w:eastAsia="Calibri" w:hAnsi="Arial" w:cs="Arial"/>
          <w:sz w:val="20"/>
        </w:rPr>
      </w:pPr>
      <w:r w:rsidRPr="00701F32">
        <w:rPr>
          <w:rFonts w:ascii="Arial" w:eastAsia="Calibri" w:hAnsi="Arial" w:cs="Arial"/>
          <w:sz w:val="20"/>
        </w:rPr>
        <w:t>Valor razonable de derivados y otros instrumentos</w:t>
      </w:r>
    </w:p>
    <w:p w14:paraId="49B4BE7B"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35FC4A8D"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El valor razonable de los instrumentos financieros que no cotizan en los mercados activos son determinados usando técnicas de valuación. Dichas técnicas, son validadas y revisadas periódicamente por personal calificado independiente del área que las creó. Todos los modelos son evaluados y ajustados antes de ser usados, para asegurar que los resultados reflejen la información actual y precios comparativos del mercado. En lo posible, los modelos usan solamente información observable; sin embargo, factores como riesgo de crédito (propio y de la contraparte), volatilidades y correlaciones requieren de la utilización de estimados. Los cambios en los supuestos acerca de estos factores pueden afectar el valor razonable reportado de los instrumentos financieros.</w:t>
      </w:r>
    </w:p>
    <w:p w14:paraId="2AC4E335"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La información referida a los instrumentos que no han sido valuados en base a información del mercado se encuentra detallada en la Nota 6 sobre valores razonables. Al respecto, la Gerencia determina si los riesgos significativos y beneficios de la propiedad de los activos financieros y leasing financieros son transferidos a la contraparte, particularmente aquellos de mayor riesgo.</w:t>
      </w:r>
    </w:p>
    <w:p w14:paraId="5E4D35E1" w14:textId="77777777" w:rsidR="00656E62" w:rsidRPr="00701F32" w:rsidRDefault="00656E62" w:rsidP="0086282C">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Arial" w:hAnsi="Arial" w:cs="Arial"/>
          <w:sz w:val="20"/>
          <w:lang w:eastAsia="es-AR"/>
        </w:rPr>
      </w:pPr>
      <w:r w:rsidRPr="00701F32">
        <w:rPr>
          <w:rFonts w:ascii="Arial" w:hAnsi="Arial" w:cs="Arial"/>
          <w:sz w:val="20"/>
          <w:lang w:eastAsia="es-AR"/>
        </w:rPr>
        <w:t>Pérdidas por deterioro de préstamos y anticipos.</w:t>
      </w:r>
    </w:p>
    <w:p w14:paraId="5318D978"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La Entidad realiza estimaciones sobre las capacidades de repago de los clientes para determinar el nivel de previsionamiento que le corresponde según la normativa BCRA.</w:t>
      </w:r>
    </w:p>
    <w:p w14:paraId="7B5BBD89"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09833506"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Dichas estimaciones son efectuadas con la periodicidad correspondiente requerida por las normas mínimas de previsionamiento del B.C.R.A.</w:t>
      </w:r>
    </w:p>
    <w:p w14:paraId="0995CB39"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52A20B58" w14:textId="77777777" w:rsidR="00656E62" w:rsidRPr="00701F32" w:rsidRDefault="00656E62" w:rsidP="0086282C">
      <w:pPr>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Arial" w:hAnsi="Arial" w:cs="Arial"/>
          <w:sz w:val="20"/>
          <w:lang w:eastAsia="es-AR"/>
        </w:rPr>
      </w:pPr>
      <w:r w:rsidRPr="00701F32">
        <w:rPr>
          <w:rFonts w:ascii="Arial" w:hAnsi="Arial" w:cs="Arial"/>
          <w:sz w:val="20"/>
          <w:lang w:eastAsia="es-AR"/>
        </w:rPr>
        <w:t xml:space="preserve">Deterioro de activos no financieros </w:t>
      </w:r>
    </w:p>
    <w:p w14:paraId="2D9A0D4E"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Los activos intangibles con vidas finitas y propiedades, planta y equipo se amortizan o deprecian a lo largo de su vida útil estimada en forma lineal. La Entidad monitorea las condiciones relacionadas con estos activos para determinar si los eventos y circunstancias justifican una revisión del período de amortización o depreciación restante y si existen factores o circunstancias que impliquen un deterioro en el valor de los activos que no pueda ser recuperado. </w:t>
      </w:r>
    </w:p>
    <w:p w14:paraId="09FD371D"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52381BD7"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 xml:space="preserve"> La Entidad ha aplicado el juicio en la identificación de los indicadores de deterioro de propiedad, planta y equipo y activos intangibles. Asimismo, ha determinado que no hubo indicios de deterioro para ninguno de los períodos presentados en sus estados financieros condensados </w:t>
      </w:r>
      <w:r w:rsidR="007D4640" w:rsidRPr="00701F32">
        <w:rPr>
          <w:rFonts w:ascii="Arial" w:eastAsia="Arial" w:hAnsi="Arial" w:cs="Arial"/>
          <w:sz w:val="20"/>
        </w:rPr>
        <w:t>separados</w:t>
      </w:r>
      <w:r w:rsidRPr="00701F32">
        <w:rPr>
          <w:rFonts w:ascii="Arial" w:hAnsi="Arial" w:cs="Arial"/>
          <w:sz w:val="20"/>
          <w:lang w:eastAsia="es-AR"/>
        </w:rPr>
        <w:t>, por lo cual no se ha estimado ningún valor recuperable.</w:t>
      </w:r>
    </w:p>
    <w:p w14:paraId="4D90EBCF" w14:textId="77777777" w:rsidR="00656E62" w:rsidRPr="00701F32" w:rsidRDefault="00656E62" w:rsidP="00656E62">
      <w:pPr>
        <w:shd w:val="clear" w:color="auto" w:fill="FFFFFF"/>
        <w:spacing w:line="259" w:lineRule="auto"/>
        <w:jc w:val="both"/>
        <w:rPr>
          <w:rFonts w:ascii="Arial" w:hAnsi="Arial" w:cs="Arial"/>
          <w:strike/>
          <w:sz w:val="20"/>
        </w:rPr>
      </w:pPr>
    </w:p>
    <w:p w14:paraId="4BB342D5" w14:textId="77777777" w:rsidR="004F6FF7" w:rsidRPr="00701F32" w:rsidRDefault="004F6FF7" w:rsidP="004F6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El proceso de evaluación del deterioro potencial de un activo de vida útil indefinida es subjetivo y requiere un juicio significativo en muchos puntos durante el análisis, incluida la identificación de su unidad generadora de efectivo, la identificación y asignación de los activos y pasivos a la unidad generadora de efectivo y la determinación de su valor recuperable.  El valor recuperable es comparado con su valor en libros para así establecer la porción no recuperable del mismo. Al estimar el valor recuperable de la unidad generadora de efectivo a los fines de sus análisis de deterioro anual o periódico, el Banco realiza estimaciones y juicios significativos sobre los flujos de efectivo futuros de esa unidad generadora de efectivo. Sus pronósticos de flujo de caja se basan en supuestos que representan el mejor y más alto uso para su unidad generadora de efectivo.</w:t>
      </w:r>
    </w:p>
    <w:p w14:paraId="3717CF07" w14:textId="77777777" w:rsidR="004F6FF7" w:rsidRPr="00701F32" w:rsidRDefault="004F6FF7" w:rsidP="004F6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276E1DBB" w14:textId="77777777" w:rsidR="004F6FF7" w:rsidRPr="00701F32" w:rsidRDefault="004F6FF7" w:rsidP="004F6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Si bien el Banco cree que las suposiciones y estimaciones utilizadas son apropiadas en función de la información disponible para la administración, los cambios en las suposiciones o circunstancias podrían requerir cambios en el análisis. Los cambios adversos en los supuestos utilizados dentro de su prueba de deterioro del activo intangible de duración indefinida podrían causar una reducción o eliminación del exceso del valor razonable sobre el valor en libros, lo que daría como resultado el reconocimiento potencial del deterioro.</w:t>
      </w:r>
    </w:p>
    <w:p w14:paraId="46774EC6" w14:textId="77777777" w:rsidR="004F6FF7" w:rsidRPr="00701F32" w:rsidRDefault="004F6FF7" w:rsidP="004F6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6A15D27A" w14:textId="77777777" w:rsidR="004F6FF7" w:rsidRPr="00701F32" w:rsidRDefault="004F6FF7" w:rsidP="004F6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La Entidad concluyó que no sería necesario reconocer ninguna pérdida por deterioro en los activos intangibles de vida útil indefinida bajo estas condiciones</w:t>
      </w:r>
    </w:p>
    <w:p w14:paraId="62387646" w14:textId="77777777" w:rsidR="004F6FF7" w:rsidRPr="00701F32" w:rsidRDefault="004F6FF7" w:rsidP="00656E62">
      <w:pPr>
        <w:shd w:val="clear" w:color="auto" w:fill="FFFFFF"/>
        <w:spacing w:line="259" w:lineRule="auto"/>
        <w:jc w:val="both"/>
        <w:rPr>
          <w:rFonts w:ascii="Arial" w:hAnsi="Arial" w:cs="Arial"/>
          <w:strike/>
          <w:sz w:val="20"/>
        </w:rPr>
      </w:pPr>
    </w:p>
    <w:p w14:paraId="2B1E411C" w14:textId="77777777" w:rsidR="00656E62" w:rsidRPr="00701F32" w:rsidRDefault="00656E62" w:rsidP="0086282C">
      <w:pPr>
        <w:numPr>
          <w:ilvl w:val="0"/>
          <w:numId w:val="106"/>
        </w:numPr>
        <w:shd w:val="clear" w:color="auto" w:fill="FFFFFF"/>
        <w:spacing w:after="160" w:line="259" w:lineRule="auto"/>
        <w:contextualSpacing/>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 Entidades estructuradas. </w:t>
      </w:r>
    </w:p>
    <w:p w14:paraId="42B4954E"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hd w:val="clear" w:color="auto" w:fill="FFFFFF"/>
          <w:lang w:eastAsia="es-AR"/>
        </w:rPr>
      </w:pPr>
    </w:p>
    <w:p w14:paraId="24D0ABC7" w14:textId="77777777" w:rsidR="00656E62" w:rsidRPr="00701F32" w:rsidRDefault="00656E62" w:rsidP="00656E62">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Las entidades estructuradas están diseñadas para que el voto o derechos similares no sean el factor dominante para decidir quién controla la entidad. También se requiere juicio para determinar si la relación entre el Banco y una entidad estructurada indica que la entidad estructurada está controlada por el Banco. La Entidad no consolida entidades estructuradas que no controla. </w:t>
      </w:r>
    </w:p>
    <w:p w14:paraId="745AADFB" w14:textId="77777777" w:rsidR="00656E62" w:rsidRPr="00701F32" w:rsidRDefault="00656E62" w:rsidP="00656E62">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Como a veces puede ser difícil determinar si la Entidad controla una entidad estructurada, la administración evalúa su exposición a los riesgos y las recompensas, así como su capacidad para tomar decisiones operativas para la entidad estructurada en cuestión. En muchos casos, existen elementos que, considerados de forma aislada, indican el control o la falta de control sobre una entidad estructurada, pero cuando se los considera en conjunto dificultan llegar a una conclusión clara. En los casos en que existen más argumentos para la existencia de control, la entidad estructurada se consolida. La Entidad ha evaluado para determinar la existencia, o no de control lo siguiente: </w:t>
      </w:r>
    </w:p>
    <w:p w14:paraId="55D17B55"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el propósito y diseño del fideicomiso</w:t>
      </w:r>
    </w:p>
    <w:p w14:paraId="60753D2D"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identificación de las actividades relevantes</w:t>
      </w:r>
    </w:p>
    <w:p w14:paraId="0CB8C443"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proceso decisorio sobre dichas actividades</w:t>
      </w:r>
    </w:p>
    <w:p w14:paraId="274DFACF"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los derechos que el Banco posee le permiten dirigir las actividades relevantes del fideicomiso</w:t>
      </w:r>
    </w:p>
    <w:p w14:paraId="759BA113"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el Banco está expuesto, o tiene derecho a los resultados variables provenientes de su participación en dicho fideicomiso</w:t>
      </w:r>
    </w:p>
    <w:p w14:paraId="6E7F59D9" w14:textId="77777777" w:rsidR="00656E62" w:rsidRPr="00701F32" w:rsidRDefault="00656E62" w:rsidP="00656E62">
      <w:pPr>
        <w:numPr>
          <w:ilvl w:val="0"/>
          <w:numId w:val="29"/>
        </w:numPr>
        <w:spacing w:after="200" w:line="259" w:lineRule="auto"/>
        <w:ind w:left="1068"/>
        <w:contextualSpacing/>
        <w:jc w:val="both"/>
        <w:rPr>
          <w:rFonts w:ascii="Arial" w:eastAsia="Calibri" w:hAnsi="Arial" w:cs="Arial"/>
          <w:sz w:val="20"/>
          <w:szCs w:val="22"/>
        </w:rPr>
      </w:pPr>
      <w:r w:rsidRPr="00701F32">
        <w:rPr>
          <w:rFonts w:ascii="Arial" w:eastAsia="Calibri" w:hAnsi="Arial" w:cs="Arial"/>
          <w:sz w:val="20"/>
          <w:szCs w:val="22"/>
        </w:rPr>
        <w:t>si el Banco tiene la capacidad de afectar dichos resultados a través de su poder sobre el fideicomiso</w:t>
      </w:r>
    </w:p>
    <w:p w14:paraId="26A6D517" w14:textId="77777777" w:rsidR="00656E62" w:rsidRPr="00701F32" w:rsidRDefault="00656E62" w:rsidP="00656E62">
      <w:pPr>
        <w:spacing w:after="200" w:line="259" w:lineRule="auto"/>
        <w:contextualSpacing/>
        <w:jc w:val="both"/>
        <w:rPr>
          <w:rFonts w:ascii="Arial" w:eastAsia="Calibri" w:hAnsi="Arial" w:cs="Arial"/>
          <w:sz w:val="20"/>
          <w:szCs w:val="22"/>
        </w:rPr>
      </w:pPr>
    </w:p>
    <w:p w14:paraId="6949A58D" w14:textId="77777777" w:rsidR="00656E62" w:rsidRPr="00701F32" w:rsidRDefault="00656E62" w:rsidP="0086282C">
      <w:pPr>
        <w:numPr>
          <w:ilvl w:val="0"/>
          <w:numId w:val="106"/>
        </w:numPr>
        <w:shd w:val="clear" w:color="auto" w:fill="FFFFFF"/>
        <w:spacing w:after="160" w:line="259" w:lineRule="auto"/>
        <w:contextualSpacing/>
        <w:jc w:val="both"/>
        <w:rPr>
          <w:rFonts w:ascii="Arial" w:eastAsia="Calibri" w:hAnsi="Arial" w:cs="Arial"/>
          <w:sz w:val="20"/>
          <w:shd w:val="clear" w:color="auto" w:fill="FFFFFF"/>
        </w:rPr>
      </w:pPr>
      <w:r w:rsidRPr="00701F32">
        <w:rPr>
          <w:rFonts w:ascii="Arial" w:eastAsia="Calibri" w:hAnsi="Arial" w:cs="Arial"/>
          <w:sz w:val="20"/>
          <w:shd w:val="clear" w:color="auto" w:fill="FFFFFF"/>
        </w:rPr>
        <w:t>Impuesto a las ganancias e impuesto diferido</w:t>
      </w:r>
    </w:p>
    <w:p w14:paraId="4960F607"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hd w:val="clear" w:color="auto" w:fill="FFFFFF"/>
          <w:lang w:eastAsia="es-AR"/>
        </w:rPr>
      </w:pPr>
    </w:p>
    <w:p w14:paraId="27CB4249" w14:textId="77777777" w:rsidR="00656E62" w:rsidRPr="00701F32" w:rsidRDefault="00656E62" w:rsidP="00656E62">
      <w:pPr>
        <w:shd w:val="clear" w:color="auto" w:fill="FFFFFF"/>
        <w:spacing w:after="160" w:line="259" w:lineRule="auto"/>
        <w:jc w:val="both"/>
        <w:rPr>
          <w:rFonts w:ascii="Arial" w:eastAsia="Calibri" w:hAnsi="Arial" w:cs="Arial"/>
          <w:sz w:val="20"/>
        </w:rPr>
      </w:pPr>
      <w:r w:rsidRPr="00701F32">
        <w:rPr>
          <w:rFonts w:ascii="Arial" w:eastAsia="Calibri" w:hAnsi="Arial" w:cs="Arial"/>
          <w:sz w:val="20"/>
        </w:rPr>
        <w:t>Se requiere un juicio significativo al determinar los pasivos y activos por impuestos corrientes y diferidos. El impuesto corriente se provisiona de acuerdo a los montos que se espera pagar y el impuesto diferido se provisiona sobre las diferencias temporarias entre las bases impositivas de los activos y pasivos y sus valores en libros, a las alícuotas que se espera estén vigentes al momento de reversión de las mismas.</w:t>
      </w:r>
    </w:p>
    <w:p w14:paraId="3BBAB8E5" w14:textId="77777777" w:rsidR="00656E62" w:rsidRPr="00701F32" w:rsidRDefault="00656E62" w:rsidP="00656E62">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rPr>
        <w:t>Se reconoce un activo por impuesto diferido en la medida en que exista la probabilidad de que se disponga de ganancias imponibles futuras contra las cuales se puedan utilizar las diferencias temporarias, basado en los presupuestos de la gerencia con respecto a los montos y la oportunidad de las ganancias imponibles futuras. Luego se debe determinar la posibilidad de que los activos por impuesto diferido se utilicen y compensen contra ganancias imponibles futuras. Los resultados reales pueden diferir de estas estimaciones, por ejemplo, cambios en la legislación impositiva o el resultado de la revisión definitiva de las declaraciones juradas de impuestos por parte del fisco y los tribunales fiscales.</w:t>
      </w:r>
    </w:p>
    <w:p w14:paraId="055402E2" w14:textId="77777777" w:rsidR="00656E62" w:rsidRPr="00701F32" w:rsidRDefault="00656E62" w:rsidP="00656E62">
      <w:pPr>
        <w:shd w:val="clear" w:color="auto" w:fill="FFFFFF"/>
        <w:spacing w:after="160" w:line="259" w:lineRule="auto"/>
        <w:jc w:val="both"/>
        <w:rPr>
          <w:rFonts w:ascii="Arial" w:eastAsia="Calibri" w:hAnsi="Arial" w:cs="Arial"/>
          <w:sz w:val="20"/>
          <w:shd w:val="clear" w:color="auto" w:fill="FFFFFF"/>
        </w:rPr>
      </w:pPr>
      <w:r w:rsidRPr="00701F32">
        <w:rPr>
          <w:rFonts w:ascii="Arial" w:eastAsia="Calibri" w:hAnsi="Arial" w:cs="Arial"/>
          <w:sz w:val="20"/>
          <w:shd w:val="clear" w:color="auto" w:fill="FFFFFF"/>
        </w:rPr>
        <w:t xml:space="preserve">Las ganancias fiscales futuras y la cantidad de beneficios fiscales que son probables en el futuro se basan en un plan de negocios a mediano plazo preparado por la administración el cual se basa en expectativas que se consideran razonables. </w:t>
      </w:r>
    </w:p>
    <w:p w14:paraId="02FF5BD7" w14:textId="77777777" w:rsidR="00656E62" w:rsidRPr="00701F32" w:rsidRDefault="00656E62" w:rsidP="00656E62">
      <w:pPr>
        <w:spacing w:after="160" w:line="259" w:lineRule="auto"/>
        <w:jc w:val="both"/>
        <w:rPr>
          <w:rFonts w:ascii="Arial" w:eastAsia="Calibri" w:hAnsi="Arial" w:cs="Arial"/>
          <w:b/>
          <w:bCs/>
          <w:sz w:val="20"/>
        </w:rPr>
      </w:pPr>
      <w:r w:rsidRPr="00701F32">
        <w:rPr>
          <w:rFonts w:ascii="Arial" w:eastAsia="Calibri" w:hAnsi="Arial" w:cs="Arial"/>
          <w:b/>
          <w:bCs/>
          <w:sz w:val="20"/>
        </w:rPr>
        <w:t>4. I</w:t>
      </w:r>
      <w:r w:rsidR="000045FD" w:rsidRPr="00701F32">
        <w:rPr>
          <w:rFonts w:ascii="Arial" w:eastAsia="Calibri" w:hAnsi="Arial" w:cs="Arial"/>
          <w:b/>
          <w:bCs/>
          <w:sz w:val="20"/>
        </w:rPr>
        <w:t>NFORMACION POR SEGMENTOS</w:t>
      </w:r>
    </w:p>
    <w:p w14:paraId="19730260"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La Entidad determina los segmentos operativos sobre la base de los informes de gestión que son revisados por el Directorio y el personal clave de la Gerencia, y los actualiza a medida que los mismos presentan cambios.</w:t>
      </w:r>
    </w:p>
    <w:p w14:paraId="6C2EEA5A" w14:textId="77777777" w:rsidR="00656E62" w:rsidRPr="00701F32" w:rsidRDefault="00656E62" w:rsidP="00656E62">
      <w:pPr>
        <w:tabs>
          <w:tab w:val="left" w:pos="1909"/>
        </w:tabs>
        <w:spacing w:after="160" w:line="259" w:lineRule="auto"/>
        <w:jc w:val="both"/>
        <w:rPr>
          <w:rFonts w:ascii="Arial" w:eastAsia="Calibri" w:hAnsi="Arial" w:cs="Arial"/>
          <w:bCs/>
          <w:sz w:val="20"/>
        </w:rPr>
      </w:pPr>
      <w:r w:rsidRPr="00701F32">
        <w:rPr>
          <w:rFonts w:ascii="Arial" w:eastAsia="Calibri" w:hAnsi="Arial" w:cs="Arial"/>
          <w:bCs/>
          <w:sz w:val="20"/>
        </w:rPr>
        <w:t xml:space="preserve">La Entidad ha identificado los siguientes segmentos operativos </w:t>
      </w:r>
      <w:r w:rsidRPr="00701F32">
        <w:rPr>
          <w:rFonts w:ascii="Arial" w:eastAsia="Calibri" w:hAnsi="Arial" w:cs="Arial"/>
          <w:sz w:val="20"/>
        </w:rPr>
        <w:t xml:space="preserve">sobre los cuales dispone de información financiera diferenciada, teniendo en cuenta la naturaleza de sus riesgos y rendimientos así como también </w:t>
      </w:r>
      <w:r w:rsidRPr="00701F32">
        <w:rPr>
          <w:rFonts w:ascii="Arial" w:eastAsia="Calibri" w:hAnsi="Arial" w:cs="Arial"/>
          <w:bCs/>
          <w:sz w:val="20"/>
        </w:rPr>
        <w:t>los tipos de productos y servicios ofrecidos:</w:t>
      </w:r>
    </w:p>
    <w:p w14:paraId="5EE1687E" w14:textId="77777777" w:rsidR="00656E62" w:rsidRPr="00701F32" w:rsidRDefault="00656E62" w:rsidP="00712ADC">
      <w:pPr>
        <w:numPr>
          <w:ilvl w:val="0"/>
          <w:numId w:val="96"/>
        </w:numPr>
        <w:spacing w:after="160" w:line="259" w:lineRule="auto"/>
        <w:contextualSpacing/>
        <w:jc w:val="both"/>
        <w:rPr>
          <w:rFonts w:ascii="Arial" w:eastAsia="Calibri" w:hAnsi="Arial" w:cs="Arial"/>
          <w:bCs/>
          <w:sz w:val="20"/>
        </w:rPr>
      </w:pPr>
      <w:r w:rsidRPr="00701F32">
        <w:rPr>
          <w:rFonts w:ascii="Arial" w:eastAsia="Calibri" w:hAnsi="Arial" w:cs="Arial"/>
          <w:bCs/>
          <w:sz w:val="20"/>
        </w:rPr>
        <w:t>Banca Minorista – Incluye una amplia gama de productos y servicios financieros destinados a clientes de los segmentos de pequeñas empresas, agrupadas en Emprendedores &amp; Pymes, y los clientes personas de renta alta dentro identificados con la propuesta Identité. Adicionalmente, el Banco ofrece productos y servicios destinados a atender las necesidades de jubilados y pensionados.</w:t>
      </w:r>
    </w:p>
    <w:p w14:paraId="087295E6" w14:textId="77777777" w:rsidR="00656E62" w:rsidRPr="00701F32" w:rsidRDefault="00656E62" w:rsidP="00656E62">
      <w:pPr>
        <w:spacing w:after="160" w:line="259" w:lineRule="auto"/>
        <w:ind w:left="720"/>
        <w:contextualSpacing/>
        <w:jc w:val="both"/>
        <w:rPr>
          <w:rFonts w:ascii="Arial" w:eastAsia="Calibri" w:hAnsi="Arial" w:cs="Arial"/>
          <w:bCs/>
          <w:sz w:val="20"/>
        </w:rPr>
      </w:pPr>
    </w:p>
    <w:p w14:paraId="2EED5027" w14:textId="77777777" w:rsidR="00656E62" w:rsidRPr="00701F32" w:rsidRDefault="00656E62" w:rsidP="00712ADC">
      <w:pPr>
        <w:numPr>
          <w:ilvl w:val="0"/>
          <w:numId w:val="96"/>
        </w:numPr>
        <w:spacing w:after="160" w:line="259" w:lineRule="auto"/>
        <w:contextualSpacing/>
        <w:jc w:val="both"/>
        <w:rPr>
          <w:rFonts w:ascii="Arial" w:eastAsia="Calibri" w:hAnsi="Arial" w:cs="Arial"/>
          <w:bCs/>
          <w:sz w:val="20"/>
        </w:rPr>
      </w:pPr>
      <w:r w:rsidRPr="00701F32">
        <w:rPr>
          <w:rFonts w:ascii="Arial" w:eastAsia="Calibri" w:hAnsi="Arial" w:cs="Arial"/>
          <w:bCs/>
          <w:sz w:val="20"/>
        </w:rPr>
        <w:t>Banca Empresa: Incluye los servicios de asesoramiento en materia corporativa y financiera, así como la gestión de activos y el otorgamiento de financiaciones a Pymes, empresas medianas y grandes empresas.</w:t>
      </w:r>
      <w:r w:rsidRPr="00701F32">
        <w:rPr>
          <w:rFonts w:ascii="Calibri" w:eastAsia="Calibri" w:hAnsi="Calibri"/>
          <w:sz w:val="22"/>
          <w:szCs w:val="22"/>
        </w:rPr>
        <w:t xml:space="preserve"> </w:t>
      </w:r>
    </w:p>
    <w:p w14:paraId="6128B977" w14:textId="77777777" w:rsidR="00656E62" w:rsidRPr="00701F32" w:rsidRDefault="00656E62" w:rsidP="00656E62">
      <w:pPr>
        <w:spacing w:after="160" w:line="259" w:lineRule="auto"/>
        <w:contextualSpacing/>
        <w:jc w:val="both"/>
        <w:rPr>
          <w:rFonts w:ascii="Arial" w:eastAsia="Calibri" w:hAnsi="Arial" w:cs="Arial"/>
          <w:bCs/>
          <w:sz w:val="20"/>
        </w:rPr>
      </w:pPr>
    </w:p>
    <w:p w14:paraId="725FE724" w14:textId="77777777" w:rsidR="00656E62" w:rsidRPr="00701F32" w:rsidRDefault="00656E62" w:rsidP="00712ADC">
      <w:pPr>
        <w:numPr>
          <w:ilvl w:val="0"/>
          <w:numId w:val="96"/>
        </w:numPr>
        <w:spacing w:after="160" w:line="259" w:lineRule="auto"/>
        <w:contextualSpacing/>
        <w:jc w:val="both"/>
        <w:rPr>
          <w:rFonts w:ascii="Arial" w:eastAsia="Calibri" w:hAnsi="Arial" w:cs="Arial"/>
          <w:bCs/>
          <w:sz w:val="20"/>
        </w:rPr>
      </w:pPr>
      <w:r w:rsidRPr="00701F32">
        <w:rPr>
          <w:rFonts w:ascii="Arial" w:eastAsia="Calibri" w:hAnsi="Arial" w:cs="Arial"/>
          <w:bCs/>
          <w:sz w:val="20"/>
        </w:rPr>
        <w:t>Tesorería: Este segmento es el responsable de la asignación de liquidez de la Entidad según las necesidades de las bancas y sus necesidades propias.</w:t>
      </w:r>
      <w:r w:rsidRPr="00701F32">
        <w:rPr>
          <w:rFonts w:ascii="Calibri" w:eastAsia="Calibri" w:hAnsi="Calibri"/>
          <w:sz w:val="22"/>
          <w:szCs w:val="22"/>
        </w:rPr>
        <w:t xml:space="preserve"> </w:t>
      </w:r>
      <w:r w:rsidRPr="00701F32">
        <w:rPr>
          <w:rFonts w:ascii="Arial" w:eastAsia="Calibri" w:hAnsi="Arial" w:cs="Arial"/>
          <w:bCs/>
          <w:sz w:val="20"/>
        </w:rPr>
        <w:t>El segmento Tesorería implementa las políticas de gestión de riesgo financiero del Banco, gestiona las operaciones de su mesa de dinero, distribuye productos financieros, por ejemplo valores negociables, y desarrolla negocios con los clientes del sector financiero y no financiero mayorista.</w:t>
      </w:r>
    </w:p>
    <w:p w14:paraId="1B34DE9A" w14:textId="77777777" w:rsidR="00656E62" w:rsidRPr="00701F32" w:rsidRDefault="00656E62" w:rsidP="00701F32">
      <w:pPr>
        <w:spacing w:after="160" w:line="259" w:lineRule="auto"/>
        <w:contextualSpacing/>
        <w:jc w:val="both"/>
        <w:rPr>
          <w:rFonts w:ascii="Arial" w:eastAsia="Calibri" w:hAnsi="Arial" w:cs="Arial"/>
          <w:bCs/>
          <w:color w:val="0000CC"/>
          <w:sz w:val="20"/>
        </w:rPr>
      </w:pPr>
    </w:p>
    <w:p w14:paraId="564C7822"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 xml:space="preserve">Los resultados operativos de los distintos segmentos operativos de la Entidad se monitorean por separado con el propósito de tomar decisiones sobre la asignación de recursos y la evaluación del desempeño de cada uno de los segmentos. El rendimiento de los mismos es evaluado basado en las ganancias o pérdidas operativas y es medido consistentemente con las ganancias y pérdidas operativas del estado </w:t>
      </w:r>
      <w:r w:rsidR="007D4640" w:rsidRPr="00701F32">
        <w:rPr>
          <w:rFonts w:ascii="Arial" w:eastAsia="Arial" w:hAnsi="Arial" w:cs="Arial"/>
          <w:sz w:val="20"/>
        </w:rPr>
        <w:t xml:space="preserve">separado </w:t>
      </w:r>
      <w:r w:rsidRPr="00701F32">
        <w:rPr>
          <w:rFonts w:ascii="Arial" w:eastAsia="Calibri" w:hAnsi="Arial" w:cs="Arial"/>
          <w:bCs/>
          <w:sz w:val="20"/>
        </w:rPr>
        <w:t>de ganancias y pérdidas.</w:t>
      </w:r>
    </w:p>
    <w:p w14:paraId="4EA9A769"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Cuando ocurre alguna transacción, los precios de transferencia entre los segmentos operativos son contratados en forma independiente y equitativa de manera similar a las transacciones realizadas con terceros. Los ingresos, los gastos y los resultados producidos por las transferencias entre los segmentos operativos son luego eliminadas de la consolidación.</w:t>
      </w:r>
    </w:p>
    <w:p w14:paraId="5D885909" w14:textId="77777777" w:rsidR="00656E62" w:rsidRPr="00701F32" w:rsidRDefault="00656E62" w:rsidP="00656E62">
      <w:pPr>
        <w:autoSpaceDE w:val="0"/>
        <w:autoSpaceDN w:val="0"/>
        <w:adjustRightInd w:val="0"/>
        <w:spacing w:after="160" w:line="259" w:lineRule="auto"/>
        <w:jc w:val="both"/>
        <w:rPr>
          <w:rFonts w:ascii="Arial" w:eastAsia="Calibri" w:hAnsi="Arial" w:cs="Arial"/>
          <w:color w:val="0000CC"/>
          <w:sz w:val="20"/>
        </w:rPr>
      </w:pPr>
      <w:r w:rsidRPr="00701F32">
        <w:rPr>
          <w:rFonts w:ascii="Arial" w:eastAsia="Calibri" w:hAnsi="Arial" w:cs="Arial"/>
          <w:sz w:val="20"/>
        </w:rPr>
        <w:t>La Entidad no presenta información por segmentos geográficos porque no existen explotaciones en entornos económicos con riesgos y rendimientos que sean significativamente diferentes</w:t>
      </w:r>
      <w:r w:rsidRPr="00701F32">
        <w:rPr>
          <w:rFonts w:ascii="Arial" w:eastAsia="Calibri" w:hAnsi="Arial" w:cs="Arial"/>
          <w:color w:val="0000CC"/>
          <w:sz w:val="20"/>
        </w:rPr>
        <w:t xml:space="preserve">. </w:t>
      </w:r>
    </w:p>
    <w:p w14:paraId="52CC8BB4" w14:textId="77777777" w:rsidR="008C57F0" w:rsidRPr="00701F32" w:rsidRDefault="00656E62" w:rsidP="0086282C">
      <w:pPr>
        <w:spacing w:after="160" w:line="259" w:lineRule="auto"/>
        <w:jc w:val="both"/>
        <w:rPr>
          <w:rFonts w:ascii="Arial" w:eastAsia="Calibri" w:hAnsi="Arial" w:cs="Arial"/>
          <w:bCs/>
          <w:sz w:val="20"/>
        </w:rPr>
      </w:pPr>
      <w:r w:rsidRPr="00701F32">
        <w:rPr>
          <w:rFonts w:ascii="Arial" w:eastAsia="Calibri" w:hAnsi="Arial" w:cs="Arial"/>
          <w:bCs/>
          <w:sz w:val="20"/>
        </w:rPr>
        <w:t xml:space="preserve">A continuación, se presenta la información por segmentos pertinente al </w:t>
      </w:r>
      <w:r w:rsidR="003915DE" w:rsidRPr="00701F32">
        <w:rPr>
          <w:rFonts w:ascii="Arial" w:eastAsia="Calibri" w:hAnsi="Arial" w:cs="Arial"/>
          <w:bCs/>
          <w:sz w:val="20"/>
        </w:rPr>
        <w:t xml:space="preserve">30 de </w:t>
      </w:r>
      <w:r w:rsidR="00837BEB" w:rsidRPr="00701F32">
        <w:rPr>
          <w:rFonts w:ascii="Arial" w:eastAsia="Calibri" w:hAnsi="Arial" w:cs="Arial"/>
          <w:bCs/>
          <w:sz w:val="20"/>
        </w:rPr>
        <w:t>septiembre</w:t>
      </w:r>
      <w:r w:rsidRPr="00701F32">
        <w:rPr>
          <w:rFonts w:ascii="Arial" w:eastAsia="Calibri" w:hAnsi="Arial" w:cs="Arial"/>
          <w:bCs/>
          <w:sz w:val="20"/>
        </w:rPr>
        <w:t xml:space="preserve"> de 2018 y 2017 respectivamente:</w:t>
      </w:r>
    </w:p>
    <w:tbl>
      <w:tblPr>
        <w:tblpPr w:leftFromText="141" w:rightFromText="141" w:vertAnchor="text" w:tblpX="-1136" w:tblpY="1"/>
        <w:tblOverlap w:val="never"/>
        <w:tblW w:w="11045" w:type="dxa"/>
        <w:tblCellMar>
          <w:left w:w="70" w:type="dxa"/>
          <w:right w:w="70" w:type="dxa"/>
        </w:tblCellMar>
        <w:tblLook w:val="04A0" w:firstRow="1" w:lastRow="0" w:firstColumn="1" w:lastColumn="0" w:noHBand="0" w:noVBand="1"/>
      </w:tblPr>
      <w:tblGrid>
        <w:gridCol w:w="668"/>
        <w:gridCol w:w="1780"/>
        <w:gridCol w:w="1193"/>
        <w:gridCol w:w="807"/>
        <w:gridCol w:w="74"/>
        <w:gridCol w:w="1481"/>
        <w:gridCol w:w="298"/>
        <w:gridCol w:w="1184"/>
        <w:gridCol w:w="298"/>
        <w:gridCol w:w="1185"/>
        <w:gridCol w:w="523"/>
        <w:gridCol w:w="1554"/>
      </w:tblGrid>
      <w:tr w:rsidR="00C13420" w:rsidRPr="00701F32" w14:paraId="0AD31A8C" w14:textId="77777777" w:rsidTr="006C6698">
        <w:trPr>
          <w:trHeight w:val="445"/>
          <w:tblHeader/>
        </w:trPr>
        <w:tc>
          <w:tcPr>
            <w:tcW w:w="444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C1865A4" w14:textId="77777777" w:rsidR="00C13420" w:rsidRPr="00701F32" w:rsidRDefault="00C13420" w:rsidP="00FF0E34">
            <w:pPr>
              <w:jc w:val="both"/>
              <w:rPr>
                <w:rFonts w:ascii="Arial" w:hAnsi="Arial" w:cs="Arial"/>
                <w:b/>
                <w:bCs/>
                <w:sz w:val="16"/>
                <w:szCs w:val="16"/>
                <w:lang w:eastAsia="es-AR"/>
              </w:rPr>
            </w:pPr>
            <w:r w:rsidRPr="00701F32">
              <w:rPr>
                <w:rFonts w:ascii="Arial" w:hAnsi="Arial" w:cs="Arial"/>
                <w:b/>
                <w:bCs/>
                <w:sz w:val="16"/>
                <w:szCs w:val="16"/>
                <w:lang w:eastAsia="es-AR"/>
              </w:rPr>
              <w:t>ACTIVO al 30/0</w:t>
            </w:r>
            <w:r w:rsidR="00837BEB" w:rsidRPr="00701F32">
              <w:rPr>
                <w:rFonts w:ascii="Arial" w:hAnsi="Arial" w:cs="Arial"/>
                <w:b/>
                <w:bCs/>
                <w:sz w:val="16"/>
                <w:szCs w:val="16"/>
                <w:lang w:eastAsia="es-AR"/>
              </w:rPr>
              <w:t>9</w:t>
            </w:r>
            <w:r w:rsidRPr="00701F32">
              <w:rPr>
                <w:rFonts w:ascii="Arial" w:hAnsi="Arial" w:cs="Arial"/>
                <w:b/>
                <w:bCs/>
                <w:sz w:val="16"/>
                <w:szCs w:val="16"/>
                <w:lang w:eastAsia="es-AR"/>
              </w:rPr>
              <w:t>/2018</w:t>
            </w:r>
          </w:p>
        </w:tc>
        <w:tc>
          <w:tcPr>
            <w:tcW w:w="1555" w:type="dxa"/>
            <w:gridSpan w:val="2"/>
            <w:tcBorders>
              <w:top w:val="single" w:sz="4" w:space="0" w:color="auto"/>
              <w:left w:val="nil"/>
              <w:bottom w:val="single" w:sz="4" w:space="0" w:color="auto"/>
              <w:right w:val="single" w:sz="4" w:space="0" w:color="auto"/>
            </w:tcBorders>
            <w:shd w:val="clear" w:color="auto" w:fill="auto"/>
            <w:vAlign w:val="center"/>
            <w:hideMark/>
          </w:tcPr>
          <w:p w14:paraId="1EFFF19D"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482" w:type="dxa"/>
            <w:gridSpan w:val="2"/>
            <w:tcBorders>
              <w:top w:val="single" w:sz="4" w:space="0" w:color="auto"/>
              <w:left w:val="nil"/>
              <w:bottom w:val="single" w:sz="4" w:space="0" w:color="auto"/>
              <w:right w:val="single" w:sz="4" w:space="0" w:color="auto"/>
            </w:tcBorders>
            <w:shd w:val="clear" w:color="auto" w:fill="auto"/>
            <w:vAlign w:val="center"/>
            <w:hideMark/>
          </w:tcPr>
          <w:p w14:paraId="5BE4CDE1"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483" w:type="dxa"/>
            <w:gridSpan w:val="2"/>
            <w:tcBorders>
              <w:top w:val="single" w:sz="4" w:space="0" w:color="auto"/>
              <w:left w:val="nil"/>
              <w:bottom w:val="single" w:sz="4" w:space="0" w:color="auto"/>
              <w:right w:val="single" w:sz="4" w:space="0" w:color="auto"/>
            </w:tcBorders>
            <w:shd w:val="clear" w:color="auto" w:fill="auto"/>
            <w:vAlign w:val="center"/>
            <w:hideMark/>
          </w:tcPr>
          <w:p w14:paraId="73BB1344"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20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DF126F"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9131FC" w:rsidRPr="00701F32" w14:paraId="69B52F44" w14:textId="77777777" w:rsidTr="006C6698">
        <w:trPr>
          <w:trHeight w:val="243"/>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5FAE27D4"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73AC7FB" w14:textId="316BF78C"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254.566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6516CB76" w14:textId="160496D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4.511.593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3688618F" w14:textId="491AAB6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28.849.348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29136FCF" w14:textId="1F2ED30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33.615.507 </w:t>
            </w:r>
          </w:p>
        </w:tc>
      </w:tr>
      <w:tr w:rsidR="009131FC" w:rsidRPr="00701F32" w14:paraId="645F4581"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66E32016"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Efectivo</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252EAC6" w14:textId="6262A55B"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253.769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32056E4B" w14:textId="7D6E90E3"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4.151.016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15650E36" w14:textId="15B945D6"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60DEF4B9" w14:textId="7FB8CF79"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4.404.785 </w:t>
            </w:r>
          </w:p>
        </w:tc>
      </w:tr>
      <w:tr w:rsidR="009131FC" w:rsidRPr="00701F32" w14:paraId="49BA063A"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35FA6012"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tcPr>
          <w:p w14:paraId="61447631" w14:textId="6FFC3FA7" w:rsidR="009131FC" w:rsidRPr="00701F32" w:rsidRDefault="009131FC" w:rsidP="006912D8">
            <w:pPr>
              <w:jc w:val="right"/>
              <w:rPr>
                <w:rFonts w:ascii="Arial" w:hAnsi="Arial" w:cs="Arial"/>
                <w:bCs/>
                <w:sz w:val="16"/>
                <w:szCs w:val="16"/>
                <w:lang w:val="es-ES" w:eastAsia="es-AR"/>
              </w:rPr>
            </w:pPr>
          </w:p>
        </w:tc>
        <w:tc>
          <w:tcPr>
            <w:tcW w:w="1482" w:type="dxa"/>
            <w:gridSpan w:val="2"/>
            <w:tcBorders>
              <w:top w:val="nil"/>
              <w:left w:val="nil"/>
              <w:bottom w:val="single" w:sz="4" w:space="0" w:color="auto"/>
              <w:right w:val="single" w:sz="4" w:space="0" w:color="auto"/>
            </w:tcBorders>
            <w:shd w:val="clear" w:color="000000" w:fill="FFFFFF"/>
            <w:noWrap/>
            <w:vAlign w:val="bottom"/>
          </w:tcPr>
          <w:p w14:paraId="1A7725F9" w14:textId="3B22DCAF" w:rsidR="009131FC" w:rsidRPr="00701F32" w:rsidRDefault="009131FC" w:rsidP="006912D8">
            <w:pPr>
              <w:jc w:val="right"/>
              <w:rPr>
                <w:rFonts w:ascii="Arial" w:hAnsi="Arial" w:cs="Arial"/>
                <w:bCs/>
                <w:sz w:val="16"/>
                <w:szCs w:val="16"/>
                <w:lang w:val="es-ES" w:eastAsia="es-AR"/>
              </w:rPr>
            </w:pPr>
          </w:p>
        </w:tc>
        <w:tc>
          <w:tcPr>
            <w:tcW w:w="1483" w:type="dxa"/>
            <w:gridSpan w:val="2"/>
            <w:tcBorders>
              <w:top w:val="nil"/>
              <w:left w:val="nil"/>
              <w:bottom w:val="single" w:sz="4" w:space="0" w:color="auto"/>
              <w:right w:val="single" w:sz="4" w:space="0" w:color="auto"/>
            </w:tcBorders>
            <w:shd w:val="clear" w:color="000000" w:fill="FFFFFF"/>
            <w:noWrap/>
            <w:vAlign w:val="bottom"/>
          </w:tcPr>
          <w:p w14:paraId="67F871B5" w14:textId="4378F885" w:rsidR="009131FC" w:rsidRPr="00701F32" w:rsidRDefault="009131FC" w:rsidP="006912D8">
            <w:pPr>
              <w:jc w:val="right"/>
              <w:rPr>
                <w:rFonts w:ascii="Arial" w:hAnsi="Arial" w:cs="Arial"/>
                <w:bCs/>
                <w:sz w:val="16"/>
                <w:szCs w:val="16"/>
                <w:lang w:val="es-ES" w:eastAsia="es-AR"/>
              </w:rPr>
            </w:pPr>
          </w:p>
        </w:tc>
        <w:tc>
          <w:tcPr>
            <w:tcW w:w="2077" w:type="dxa"/>
            <w:gridSpan w:val="2"/>
            <w:tcBorders>
              <w:top w:val="nil"/>
              <w:left w:val="nil"/>
              <w:bottom w:val="single" w:sz="4" w:space="0" w:color="auto"/>
              <w:right w:val="single" w:sz="4" w:space="0" w:color="auto"/>
            </w:tcBorders>
            <w:shd w:val="clear" w:color="000000" w:fill="FFFFFF"/>
            <w:noWrap/>
            <w:vAlign w:val="bottom"/>
          </w:tcPr>
          <w:p w14:paraId="412F2C0F" w14:textId="12E2E315" w:rsidR="009131FC" w:rsidRPr="00701F32" w:rsidRDefault="009131FC" w:rsidP="006912D8">
            <w:pPr>
              <w:jc w:val="right"/>
              <w:rPr>
                <w:rFonts w:ascii="Arial" w:hAnsi="Arial" w:cs="Arial"/>
                <w:bCs/>
                <w:sz w:val="16"/>
                <w:szCs w:val="16"/>
                <w:lang w:val="es-ES" w:eastAsia="es-AR"/>
              </w:rPr>
            </w:pPr>
          </w:p>
        </w:tc>
      </w:tr>
      <w:tr w:rsidR="009131FC" w:rsidRPr="00701F32" w14:paraId="5C87A6B2" w14:textId="77777777" w:rsidTr="006C6698">
        <w:trPr>
          <w:trHeight w:val="242"/>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008DC38E"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BCRA</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993C1F3" w14:textId="252E4B29"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14847D4B" w14:textId="7C063603"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281.646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39C76869" w14:textId="1553144B"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28.237.499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31FD4688" w14:textId="2F3E36D2"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28.519.145 </w:t>
            </w:r>
          </w:p>
        </w:tc>
      </w:tr>
      <w:tr w:rsidR="009131FC" w:rsidRPr="00701F32" w14:paraId="141C0DEE"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5B12EBF4"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FF2E20D" w14:textId="00C9EB43"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23D71AF0" w14:textId="5D531C11"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0E3139BD" w14:textId="586890E4"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649.641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1180C541" w14:textId="3E8B6287"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649.641 </w:t>
            </w:r>
          </w:p>
        </w:tc>
      </w:tr>
      <w:tr w:rsidR="009131FC" w:rsidRPr="00701F32" w14:paraId="450664C4" w14:textId="77777777" w:rsidTr="006C6698">
        <w:trPr>
          <w:trHeight w:val="196"/>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134F2999"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Otros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FB86A8" w14:textId="044FBDDF"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797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7269BE15" w14:textId="0233CBEA"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78.931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5DAE30C6" w14:textId="18227074"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-37.792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7E921396" w14:textId="7C40DE91"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41.936 </w:t>
            </w:r>
          </w:p>
        </w:tc>
      </w:tr>
      <w:tr w:rsidR="009131FC" w:rsidRPr="00701F32" w14:paraId="689FF8F5" w14:textId="77777777" w:rsidTr="006C6698">
        <w:trPr>
          <w:trHeight w:val="445"/>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21549609"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50CA126" w14:textId="5FA75C0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108F0C65" w14:textId="328191F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5ADB2D25" w14:textId="2FC9976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13.553.237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255FD5F6" w14:textId="63C15E9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13.553.237 </w:t>
            </w:r>
          </w:p>
        </w:tc>
      </w:tr>
      <w:tr w:rsidR="009131FC" w:rsidRPr="00701F32" w14:paraId="49DC7503"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5C1ED0DA"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53F3315" w14:textId="0C56DED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04977816" w14:textId="7BAE931F"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41E69419" w14:textId="734F09F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196.638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45CC4E16" w14:textId="3A3F275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196.638 </w:t>
            </w:r>
          </w:p>
        </w:tc>
      </w:tr>
      <w:tr w:rsidR="009131FC" w:rsidRPr="00701F32" w14:paraId="46874BE2"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2981D7D2"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541640F" w14:textId="23D44ABC"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68A88C4E" w14:textId="2243CEE3"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251B8C17" w14:textId="1E64A3F9"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111.738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2CDA1C95" w14:textId="15F3423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111.738 </w:t>
            </w:r>
          </w:p>
        </w:tc>
      </w:tr>
      <w:tr w:rsidR="009131FC" w:rsidRPr="00701F32" w14:paraId="02BF346E"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4F76E914"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FD88526" w14:textId="303F87F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078D753" w14:textId="104F64EC"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624.347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46E960CC" w14:textId="50DF7DF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124.023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02333D31" w14:textId="28EF2F9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748.370 </w:t>
            </w:r>
          </w:p>
        </w:tc>
      </w:tr>
      <w:tr w:rsidR="009131FC" w:rsidRPr="00701F32" w14:paraId="0E77DDAE"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7C4B1935"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812EE66" w14:textId="7B02623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43.542.111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3950A3D5" w14:textId="658449B3"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29.650.98</w:t>
            </w:r>
            <w:r w:rsidR="00740206" w:rsidRPr="00701F32">
              <w:rPr>
                <w:rFonts w:ascii="Arial" w:hAnsi="Arial" w:cs="Arial"/>
                <w:b/>
                <w:sz w:val="16"/>
                <w:szCs w:val="16"/>
              </w:rPr>
              <w:t>1</w:t>
            </w:r>
            <w:r w:rsidRPr="00701F32">
              <w:rPr>
                <w:rFonts w:ascii="Arial" w:hAnsi="Arial" w:cs="Arial"/>
                <w:b/>
                <w:sz w:val="16"/>
                <w:szCs w:val="16"/>
              </w:rPr>
              <w:t xml:space="preserve">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65AA07FB" w14:textId="76B6E367" w:rsidR="009131FC" w:rsidRPr="00701F32" w:rsidRDefault="00740206" w:rsidP="006912D8">
            <w:pPr>
              <w:jc w:val="right"/>
              <w:rPr>
                <w:rFonts w:ascii="Arial" w:hAnsi="Arial" w:cs="Arial"/>
                <w:b/>
                <w:bCs/>
                <w:sz w:val="16"/>
                <w:szCs w:val="16"/>
                <w:lang w:val="es-ES" w:eastAsia="es-AR"/>
              </w:rPr>
            </w:pPr>
            <w:r w:rsidRPr="00701F32">
              <w:rPr>
                <w:rFonts w:ascii="Arial" w:hAnsi="Arial" w:cs="Arial"/>
                <w:b/>
                <w:sz w:val="16"/>
                <w:szCs w:val="16"/>
              </w:rPr>
              <w:t xml:space="preserve">3.989.452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47010DB6" w14:textId="613EEAD1"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77.182.544 </w:t>
            </w:r>
          </w:p>
        </w:tc>
      </w:tr>
      <w:tr w:rsidR="009131FC" w:rsidRPr="00701F32" w14:paraId="2178FBCC"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noWrap/>
            <w:hideMark/>
          </w:tcPr>
          <w:p w14:paraId="27801888"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839D559" w14:textId="45C32C44"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28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DBA9D28" w14:textId="71F4BFF8" w:rsidR="009131FC" w:rsidRPr="00701F32" w:rsidRDefault="009131FC" w:rsidP="00C86BED">
            <w:pPr>
              <w:jc w:val="right"/>
              <w:rPr>
                <w:rFonts w:ascii="Arial" w:hAnsi="Arial" w:cs="Arial"/>
                <w:bCs/>
                <w:sz w:val="16"/>
                <w:szCs w:val="16"/>
                <w:lang w:val="es-ES" w:eastAsia="es-AR"/>
              </w:rPr>
            </w:pPr>
            <w:r w:rsidRPr="00701F32">
              <w:rPr>
                <w:rFonts w:ascii="Arial" w:hAnsi="Arial" w:cs="Arial"/>
                <w:sz w:val="16"/>
                <w:szCs w:val="16"/>
              </w:rPr>
              <w:t xml:space="preserve"> </w:t>
            </w:r>
            <w:r w:rsidR="00094A10" w:rsidRPr="00701F32">
              <w:rPr>
                <w:rFonts w:ascii="Arial" w:hAnsi="Arial" w:cs="Arial"/>
                <w:sz w:val="16"/>
                <w:szCs w:val="16"/>
              </w:rPr>
              <w:t xml:space="preserve">375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5B2C020A" w14:textId="5553FC72"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35.1</w:t>
            </w:r>
            <w:r w:rsidR="00740206" w:rsidRPr="00701F32">
              <w:rPr>
                <w:rFonts w:ascii="Arial" w:hAnsi="Arial" w:cs="Arial"/>
                <w:sz w:val="16"/>
                <w:szCs w:val="16"/>
              </w:rPr>
              <w:t>72</w:t>
            </w:r>
            <w:r w:rsidRPr="00701F32">
              <w:rPr>
                <w:rFonts w:ascii="Arial" w:hAnsi="Arial" w:cs="Arial"/>
                <w:sz w:val="16"/>
                <w:szCs w:val="16"/>
              </w:rPr>
              <w:t xml:space="preserve">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425712CC" w14:textId="12089435"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35.575 </w:t>
            </w:r>
          </w:p>
        </w:tc>
      </w:tr>
      <w:tr w:rsidR="009131FC" w:rsidRPr="00701F32" w14:paraId="682D60BB"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30090758" w14:textId="77777777" w:rsidR="009131FC" w:rsidRPr="00701F32" w:rsidRDefault="009131FC" w:rsidP="006912D8">
            <w:pPr>
              <w:rPr>
                <w:rFonts w:ascii="Arial" w:hAnsi="Arial" w:cs="Arial"/>
                <w:sz w:val="16"/>
                <w:szCs w:val="16"/>
                <w:lang w:val="es-ES" w:eastAsia="es-AR"/>
              </w:rPr>
            </w:pPr>
            <w:r w:rsidRPr="00701F32">
              <w:rPr>
                <w:rFonts w:ascii="Arial" w:hAnsi="Arial" w:cs="Arial"/>
                <w:sz w:val="16"/>
                <w:szCs w:val="16"/>
                <w:lang w:eastAsia="es-AR"/>
              </w:rPr>
              <w:t xml:space="preserve">   Otras entidades financieras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6B7E7A" w14:textId="6E2A7338"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365.180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67E00168" w14:textId="6D930D7F"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-24.373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17A2F2FD" w14:textId="3D79BF8B"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3.656.115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61507F38" w14:textId="02B5FB76"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3.996.922 </w:t>
            </w:r>
          </w:p>
        </w:tc>
      </w:tr>
      <w:tr w:rsidR="009131FC" w:rsidRPr="00701F32" w14:paraId="22B308D8" w14:textId="77777777" w:rsidTr="006C6698">
        <w:trPr>
          <w:trHeight w:val="280"/>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2FE4DA86" w14:textId="77777777" w:rsidR="009131FC" w:rsidRPr="00701F32" w:rsidRDefault="009131FC" w:rsidP="009131FC">
            <w:pPr>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9A0126E" w14:textId="1A7C87AE"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43.176.903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0CEFF84E" w14:textId="366DDF54"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29.674.979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6D158301" w14:textId="71AEE075"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298.16</w:t>
            </w:r>
            <w:r w:rsidR="00740206" w:rsidRPr="00701F32">
              <w:rPr>
                <w:rFonts w:ascii="Arial" w:hAnsi="Arial" w:cs="Arial"/>
                <w:sz w:val="16"/>
                <w:szCs w:val="16"/>
              </w:rPr>
              <w:t>5</w:t>
            </w:r>
            <w:r w:rsidRPr="00701F32">
              <w:rPr>
                <w:rFonts w:ascii="Arial" w:hAnsi="Arial" w:cs="Arial"/>
                <w:sz w:val="16"/>
                <w:szCs w:val="16"/>
              </w:rPr>
              <w:t xml:space="preserve">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6D4F9FD1" w14:textId="5CE5D560"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73.150.047 </w:t>
            </w:r>
          </w:p>
        </w:tc>
      </w:tr>
      <w:tr w:rsidR="009131FC" w:rsidRPr="00701F32" w14:paraId="45BB120B"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4966F9F2"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E8F8A97" w14:textId="78379AD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39.186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33C475E2" w14:textId="083D0C1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12EB2D54" w14:textId="36FB6078" w:rsidR="009131FC" w:rsidRPr="00701F32" w:rsidRDefault="00740206" w:rsidP="006912D8">
            <w:pPr>
              <w:jc w:val="right"/>
              <w:rPr>
                <w:rFonts w:ascii="Arial" w:hAnsi="Arial" w:cs="Arial"/>
                <w:b/>
                <w:bCs/>
                <w:sz w:val="16"/>
                <w:szCs w:val="16"/>
                <w:lang w:val="es-ES" w:eastAsia="es-AR"/>
              </w:rPr>
            </w:pPr>
            <w:r w:rsidRPr="00701F32">
              <w:rPr>
                <w:rFonts w:ascii="Arial" w:hAnsi="Arial" w:cs="Arial"/>
                <w:b/>
                <w:sz w:val="16"/>
                <w:szCs w:val="16"/>
              </w:rPr>
              <w:t xml:space="preserve">4.099.898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6336BB44" w14:textId="64B0BA1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4.139.084 </w:t>
            </w:r>
          </w:p>
        </w:tc>
      </w:tr>
      <w:tr w:rsidR="009131FC" w:rsidRPr="00701F32" w14:paraId="068EC955" w14:textId="77777777" w:rsidTr="006C6698">
        <w:trPr>
          <w:trHeight w:val="325"/>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34B010E1"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1845C41" w14:textId="6ADF6CF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2DD4259F" w14:textId="1864994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231.263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3EB40FD7" w14:textId="6657EB6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2.310.774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1CD08519" w14:textId="55EF2011"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2.542.037 </w:t>
            </w:r>
          </w:p>
        </w:tc>
      </w:tr>
      <w:tr w:rsidR="009131FC" w:rsidRPr="00701F32" w14:paraId="61311D1A" w14:textId="77777777" w:rsidTr="006C6698">
        <w:trPr>
          <w:trHeight w:val="295"/>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2ECE6CAA"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02B84BC" w14:textId="51AE0EDB"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608FE501" w14:textId="1D7CC9DE"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0B5146DC" w14:textId="5759091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271.184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48182430" w14:textId="0DBF719C"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271.184 </w:t>
            </w:r>
          </w:p>
        </w:tc>
      </w:tr>
      <w:tr w:rsidR="009131FC" w:rsidRPr="00701F32" w14:paraId="759201B2" w14:textId="77777777" w:rsidTr="006C6698">
        <w:trPr>
          <w:trHeight w:val="236"/>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34365C37"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7C87CB" w14:textId="0476198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190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8723A1B" w14:textId="41BD4DAB"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1.426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312C02F7" w14:textId="165970D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6.762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007A7974" w14:textId="004B9CA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8.378 </w:t>
            </w:r>
          </w:p>
        </w:tc>
      </w:tr>
      <w:tr w:rsidR="009131FC" w:rsidRPr="00701F32" w14:paraId="0BD5D5B2" w14:textId="77777777" w:rsidTr="006C6698">
        <w:trPr>
          <w:trHeight w:val="289"/>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7D581075"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67C5B8E" w14:textId="6FC5D91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BD12496" w14:textId="1425E4BB"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01756BB5" w14:textId="0CC4A397"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1.642.080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10B1B0BC" w14:textId="6EC4A089"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1.642.080 </w:t>
            </w:r>
          </w:p>
        </w:tc>
      </w:tr>
      <w:tr w:rsidR="009131FC" w:rsidRPr="00701F32" w14:paraId="623ED1DE"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2573D1E3"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747C6D8" w14:textId="084F88F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47A438B4" w14:textId="6E45C2BE"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022026AA" w14:textId="054CE58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1.319.645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2677EFFF" w14:textId="720DC16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1.319.645 </w:t>
            </w:r>
          </w:p>
        </w:tc>
      </w:tr>
      <w:tr w:rsidR="009131FC" w:rsidRPr="00701F32" w14:paraId="19C23724"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1F062664"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FB7DA7" w14:textId="14C1A56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01059C4" w14:textId="63F3F6C6"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1E5095D6" w14:textId="214F024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247.304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14910039" w14:textId="6F16B99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247.304 </w:t>
            </w:r>
          </w:p>
        </w:tc>
      </w:tr>
      <w:tr w:rsidR="009131FC" w:rsidRPr="00701F32" w14:paraId="131DBC52" w14:textId="77777777" w:rsidTr="006C6698">
        <w:trPr>
          <w:trHeight w:val="25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4ACA2EE7"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76310E" w14:textId="55DB2D0C"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5644B775" w14:textId="545C18F9"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253EE763" w14:textId="6C36ECB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43.638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793F794F" w14:textId="1223DD4F"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43.638 </w:t>
            </w:r>
          </w:p>
        </w:tc>
      </w:tr>
      <w:tr w:rsidR="009131FC" w:rsidRPr="00701F32" w14:paraId="108D6511" w14:textId="77777777" w:rsidTr="006C6698">
        <w:trPr>
          <w:trHeight w:val="221"/>
          <w:tblHeader/>
        </w:trPr>
        <w:tc>
          <w:tcPr>
            <w:tcW w:w="4448" w:type="dxa"/>
            <w:gridSpan w:val="4"/>
            <w:tcBorders>
              <w:top w:val="nil"/>
              <w:left w:val="single" w:sz="4" w:space="0" w:color="auto"/>
              <w:bottom w:val="single" w:sz="4" w:space="0" w:color="363639"/>
              <w:right w:val="single" w:sz="4" w:space="0" w:color="363639"/>
            </w:tcBorders>
            <w:shd w:val="clear" w:color="000000" w:fill="FFFFFF"/>
            <w:hideMark/>
          </w:tcPr>
          <w:p w14:paraId="76CE4990"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55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2E906DB" w14:textId="04EDD56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8.840 </w:t>
            </w:r>
          </w:p>
        </w:tc>
        <w:tc>
          <w:tcPr>
            <w:tcW w:w="1482" w:type="dxa"/>
            <w:gridSpan w:val="2"/>
            <w:tcBorders>
              <w:top w:val="nil"/>
              <w:left w:val="nil"/>
              <w:bottom w:val="single" w:sz="4" w:space="0" w:color="auto"/>
              <w:right w:val="single" w:sz="4" w:space="0" w:color="auto"/>
            </w:tcBorders>
            <w:shd w:val="clear" w:color="000000" w:fill="FFFFFF"/>
            <w:noWrap/>
            <w:vAlign w:val="bottom"/>
            <w:hideMark/>
          </w:tcPr>
          <w:p w14:paraId="20B8EEFB" w14:textId="3321732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160.120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14:paraId="71B4CA7A" w14:textId="254AFCE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717.088 </w:t>
            </w:r>
          </w:p>
        </w:tc>
        <w:tc>
          <w:tcPr>
            <w:tcW w:w="2077" w:type="dxa"/>
            <w:gridSpan w:val="2"/>
            <w:tcBorders>
              <w:top w:val="nil"/>
              <w:left w:val="nil"/>
              <w:bottom w:val="single" w:sz="4" w:space="0" w:color="auto"/>
              <w:right w:val="single" w:sz="4" w:space="0" w:color="auto"/>
            </w:tcBorders>
            <w:shd w:val="clear" w:color="000000" w:fill="FFFFFF"/>
            <w:noWrap/>
            <w:vAlign w:val="bottom"/>
            <w:hideMark/>
          </w:tcPr>
          <w:p w14:paraId="3FC8AC79" w14:textId="48D5E99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886.048 </w:t>
            </w:r>
          </w:p>
        </w:tc>
      </w:tr>
      <w:tr w:rsidR="009131FC" w:rsidRPr="00701F32" w14:paraId="48A3EA51" w14:textId="77777777" w:rsidTr="006C6698">
        <w:trPr>
          <w:trHeight w:val="221"/>
          <w:tblHeader/>
        </w:trPr>
        <w:tc>
          <w:tcPr>
            <w:tcW w:w="4448" w:type="dxa"/>
            <w:gridSpan w:val="4"/>
            <w:tcBorders>
              <w:top w:val="single" w:sz="4" w:space="0" w:color="auto"/>
              <w:left w:val="single" w:sz="4" w:space="0" w:color="auto"/>
              <w:bottom w:val="single" w:sz="4" w:space="0" w:color="auto"/>
              <w:right w:val="single" w:sz="4" w:space="0" w:color="363639"/>
            </w:tcBorders>
            <w:shd w:val="clear" w:color="000000" w:fill="FFFFFF"/>
            <w:vAlign w:val="bottom"/>
            <w:hideMark/>
          </w:tcPr>
          <w:p w14:paraId="28CCB6C6" w14:textId="77777777" w:rsidR="009131FC" w:rsidRPr="00701F32" w:rsidRDefault="009131FC" w:rsidP="00701F32">
            <w:pPr>
              <w:rPr>
                <w:rFonts w:ascii="Arial" w:hAnsi="Arial" w:cs="Arial"/>
                <w:b/>
                <w:bCs/>
                <w:sz w:val="16"/>
                <w:szCs w:val="16"/>
                <w:lang w:val="es-ES" w:eastAsia="es-AR"/>
              </w:rPr>
            </w:pPr>
            <w:r w:rsidRPr="00701F32">
              <w:rPr>
                <w:rFonts w:ascii="Arial" w:hAnsi="Arial" w:cs="Arial"/>
                <w:b/>
                <w:bCs/>
                <w:sz w:val="16"/>
                <w:szCs w:val="16"/>
                <w:lang w:eastAsia="es-AR"/>
              </w:rPr>
              <w:t>TOTAL ACTIVO</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C8100" w14:textId="516E0E81"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43.844.893 </w:t>
            </w:r>
          </w:p>
        </w:tc>
        <w:tc>
          <w:tcPr>
            <w:tcW w:w="148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93DCA3F" w14:textId="6170BC46"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35.179.73</w:t>
            </w:r>
            <w:r w:rsidR="00740206" w:rsidRPr="00701F32">
              <w:rPr>
                <w:rFonts w:ascii="Arial" w:hAnsi="Arial" w:cs="Arial"/>
                <w:b/>
                <w:sz w:val="16"/>
                <w:szCs w:val="16"/>
              </w:rPr>
              <w:t>0</w:t>
            </w:r>
            <w:r w:rsidRPr="00701F32">
              <w:rPr>
                <w:rFonts w:ascii="Arial" w:hAnsi="Arial" w:cs="Arial"/>
                <w:b/>
                <w:sz w:val="16"/>
                <w:szCs w:val="16"/>
              </w:rPr>
              <w:t xml:space="preserve"> </w:t>
            </w:r>
          </w:p>
        </w:tc>
        <w:tc>
          <w:tcPr>
            <w:tcW w:w="148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284A649" w14:textId="6A5279A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57.482.80</w:t>
            </w:r>
            <w:r w:rsidR="00740206" w:rsidRPr="00701F32">
              <w:rPr>
                <w:rFonts w:ascii="Arial" w:hAnsi="Arial" w:cs="Arial"/>
                <w:b/>
                <w:sz w:val="16"/>
                <w:szCs w:val="16"/>
              </w:rPr>
              <w:t>9</w:t>
            </w:r>
            <w:r w:rsidRPr="00701F32">
              <w:rPr>
                <w:rFonts w:ascii="Arial" w:hAnsi="Arial" w:cs="Arial"/>
                <w:b/>
                <w:sz w:val="16"/>
                <w:szCs w:val="16"/>
              </w:rPr>
              <w:t xml:space="preserve"> </w:t>
            </w:r>
          </w:p>
        </w:tc>
        <w:tc>
          <w:tcPr>
            <w:tcW w:w="2077"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5EBF85E" w14:textId="79121FE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136.507.432 </w:t>
            </w:r>
          </w:p>
        </w:tc>
      </w:tr>
      <w:tr w:rsidR="00FF0E34" w:rsidRPr="00701F32" w14:paraId="291D5218" w14:textId="77777777" w:rsidTr="006C6698">
        <w:trPr>
          <w:gridBefore w:val="1"/>
          <w:gridAfter w:val="9"/>
          <w:wBefore w:w="668" w:type="dxa"/>
          <w:wAfter w:w="7404" w:type="dxa"/>
          <w:trHeight w:val="221"/>
          <w:tblHeader/>
        </w:trPr>
        <w:tc>
          <w:tcPr>
            <w:tcW w:w="1780" w:type="dxa"/>
            <w:tcBorders>
              <w:top w:val="nil"/>
              <w:left w:val="nil"/>
              <w:bottom w:val="nil"/>
              <w:right w:val="nil"/>
            </w:tcBorders>
            <w:shd w:val="clear" w:color="000000" w:fill="FFFFFF"/>
            <w:noWrap/>
            <w:vAlign w:val="center"/>
            <w:hideMark/>
          </w:tcPr>
          <w:p w14:paraId="78490EB1" w14:textId="77777777" w:rsidR="00FF0E34" w:rsidRPr="00701F32" w:rsidRDefault="00FF0E34" w:rsidP="00FF0E34">
            <w:pPr>
              <w:jc w:val="right"/>
              <w:rPr>
                <w:rFonts w:ascii="Arial" w:hAnsi="Arial" w:cs="Arial"/>
                <w:b/>
                <w:bCs/>
                <w:sz w:val="16"/>
                <w:szCs w:val="16"/>
                <w:lang w:eastAsia="es-AR"/>
              </w:rPr>
            </w:pPr>
            <w:r w:rsidRPr="00701F32">
              <w:rPr>
                <w:rFonts w:ascii="Arial" w:hAnsi="Arial" w:cs="Arial"/>
                <w:b/>
                <w:bCs/>
                <w:sz w:val="16"/>
                <w:szCs w:val="16"/>
                <w:lang w:eastAsia="es-AR"/>
              </w:rPr>
              <w:t> </w:t>
            </w:r>
          </w:p>
        </w:tc>
        <w:tc>
          <w:tcPr>
            <w:tcW w:w="1193" w:type="dxa"/>
            <w:tcBorders>
              <w:top w:val="nil"/>
              <w:left w:val="nil"/>
              <w:bottom w:val="nil"/>
              <w:right w:val="nil"/>
            </w:tcBorders>
            <w:shd w:val="clear" w:color="000000" w:fill="FFFFFF"/>
            <w:noWrap/>
            <w:vAlign w:val="center"/>
            <w:hideMark/>
          </w:tcPr>
          <w:p w14:paraId="25C59CCE" w14:textId="77777777" w:rsidR="00FF0E34" w:rsidRPr="00701F32" w:rsidRDefault="00FF0E34" w:rsidP="00FF0E34">
            <w:pPr>
              <w:jc w:val="right"/>
              <w:rPr>
                <w:rFonts w:ascii="Arial" w:hAnsi="Arial" w:cs="Arial"/>
                <w:b/>
                <w:bCs/>
                <w:sz w:val="16"/>
                <w:szCs w:val="16"/>
                <w:lang w:eastAsia="es-AR"/>
              </w:rPr>
            </w:pPr>
            <w:r w:rsidRPr="00701F32">
              <w:rPr>
                <w:rFonts w:ascii="Arial" w:hAnsi="Arial" w:cs="Arial"/>
                <w:b/>
                <w:bCs/>
                <w:sz w:val="16"/>
                <w:szCs w:val="16"/>
                <w:lang w:eastAsia="es-AR"/>
              </w:rPr>
              <w:t> </w:t>
            </w:r>
          </w:p>
        </w:tc>
      </w:tr>
      <w:tr w:rsidR="00C13420" w:rsidRPr="00701F32" w14:paraId="7F4826B4" w14:textId="77777777" w:rsidTr="006C6698">
        <w:trPr>
          <w:trHeight w:val="445"/>
          <w:tblHeader/>
        </w:trPr>
        <w:tc>
          <w:tcPr>
            <w:tcW w:w="4522"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4E33297" w14:textId="77777777" w:rsidR="00C13420" w:rsidRPr="00701F32" w:rsidRDefault="00C13420" w:rsidP="00FF0E34">
            <w:pPr>
              <w:rPr>
                <w:rFonts w:ascii="Arial" w:hAnsi="Arial" w:cs="Arial"/>
                <w:b/>
                <w:bCs/>
                <w:sz w:val="16"/>
                <w:szCs w:val="16"/>
                <w:lang w:eastAsia="es-AR"/>
              </w:rPr>
            </w:pPr>
            <w:r w:rsidRPr="00701F32">
              <w:rPr>
                <w:rFonts w:ascii="Arial" w:hAnsi="Arial" w:cs="Arial"/>
                <w:b/>
                <w:bCs/>
                <w:sz w:val="16"/>
                <w:szCs w:val="16"/>
                <w:lang w:eastAsia="es-AR"/>
              </w:rPr>
              <w:t>PASIVO al 30/0</w:t>
            </w:r>
            <w:r w:rsidR="00837BEB" w:rsidRPr="00701F32">
              <w:rPr>
                <w:rFonts w:ascii="Arial" w:hAnsi="Arial" w:cs="Arial"/>
                <w:b/>
                <w:bCs/>
                <w:sz w:val="16"/>
                <w:szCs w:val="16"/>
                <w:lang w:eastAsia="es-AR"/>
              </w:rPr>
              <w:t>9</w:t>
            </w:r>
            <w:r w:rsidRPr="00701F32">
              <w:rPr>
                <w:rFonts w:ascii="Arial" w:hAnsi="Arial" w:cs="Arial"/>
                <w:b/>
                <w:bCs/>
                <w:sz w:val="16"/>
                <w:szCs w:val="16"/>
                <w:lang w:eastAsia="es-AR"/>
              </w:rPr>
              <w:t>/2018</w:t>
            </w:r>
          </w:p>
        </w:tc>
        <w:tc>
          <w:tcPr>
            <w:tcW w:w="1779" w:type="dxa"/>
            <w:gridSpan w:val="2"/>
            <w:tcBorders>
              <w:top w:val="single" w:sz="4" w:space="0" w:color="auto"/>
              <w:left w:val="nil"/>
              <w:bottom w:val="single" w:sz="4" w:space="0" w:color="auto"/>
              <w:right w:val="single" w:sz="4" w:space="0" w:color="auto"/>
            </w:tcBorders>
            <w:shd w:val="clear" w:color="auto" w:fill="auto"/>
            <w:vAlign w:val="center"/>
            <w:hideMark/>
          </w:tcPr>
          <w:p w14:paraId="7B18BCD1"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482" w:type="dxa"/>
            <w:gridSpan w:val="2"/>
            <w:tcBorders>
              <w:top w:val="single" w:sz="4" w:space="0" w:color="auto"/>
              <w:left w:val="nil"/>
              <w:bottom w:val="single" w:sz="4" w:space="0" w:color="auto"/>
              <w:right w:val="single" w:sz="4" w:space="0" w:color="auto"/>
            </w:tcBorders>
            <w:shd w:val="clear" w:color="auto" w:fill="auto"/>
            <w:vAlign w:val="center"/>
            <w:hideMark/>
          </w:tcPr>
          <w:p w14:paraId="7F10A8B0"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708" w:type="dxa"/>
            <w:gridSpan w:val="2"/>
            <w:tcBorders>
              <w:top w:val="single" w:sz="4" w:space="0" w:color="auto"/>
              <w:left w:val="nil"/>
              <w:bottom w:val="single" w:sz="4" w:space="0" w:color="auto"/>
              <w:right w:val="single" w:sz="4" w:space="0" w:color="auto"/>
            </w:tcBorders>
            <w:shd w:val="clear" w:color="auto" w:fill="auto"/>
            <w:vAlign w:val="center"/>
            <w:hideMark/>
          </w:tcPr>
          <w:p w14:paraId="3D24776D"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3B066471" w14:textId="77777777" w:rsidR="00C13420" w:rsidRPr="00701F32" w:rsidRDefault="00C13420" w:rsidP="00FF0E34">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9131FC" w:rsidRPr="00701F32" w14:paraId="660A461D" w14:textId="77777777" w:rsidTr="006C6698">
        <w:trPr>
          <w:trHeight w:val="253"/>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0E01B790"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72EBBFA3" w14:textId="475F0D7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-10.239.836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5923D67C" w14:textId="2494E773"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-47.286.923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4EE84011" w14:textId="6A34BB22" w:rsidR="009131FC" w:rsidRPr="00701F32" w:rsidRDefault="00740206" w:rsidP="006912D8">
            <w:pPr>
              <w:jc w:val="right"/>
              <w:rPr>
                <w:rFonts w:ascii="Arial" w:hAnsi="Arial" w:cs="Arial"/>
                <w:b/>
                <w:bCs/>
                <w:sz w:val="16"/>
                <w:szCs w:val="16"/>
                <w:lang w:val="es-ES" w:eastAsia="es-AR"/>
              </w:rPr>
            </w:pPr>
            <w:r w:rsidRPr="00701F32">
              <w:rPr>
                <w:rFonts w:ascii="Arial" w:hAnsi="Arial" w:cs="Arial"/>
                <w:b/>
                <w:sz w:val="16"/>
                <w:szCs w:val="16"/>
              </w:rPr>
              <w:t xml:space="preserve">-39.859.934 </w:t>
            </w:r>
          </w:p>
        </w:tc>
        <w:tc>
          <w:tcPr>
            <w:tcW w:w="1554" w:type="dxa"/>
            <w:tcBorders>
              <w:top w:val="nil"/>
              <w:left w:val="nil"/>
              <w:bottom w:val="single" w:sz="4" w:space="0" w:color="auto"/>
              <w:right w:val="single" w:sz="4" w:space="0" w:color="auto"/>
            </w:tcBorders>
            <w:shd w:val="clear" w:color="auto" w:fill="auto"/>
            <w:noWrap/>
            <w:vAlign w:val="bottom"/>
            <w:hideMark/>
          </w:tcPr>
          <w:p w14:paraId="3EEEB108" w14:textId="72B5928E" w:rsidR="009131FC" w:rsidRPr="00701F32" w:rsidRDefault="00380A63" w:rsidP="006912D8">
            <w:pPr>
              <w:jc w:val="right"/>
              <w:rPr>
                <w:rFonts w:ascii="Arial" w:hAnsi="Arial" w:cs="Arial"/>
                <w:b/>
                <w:bCs/>
                <w:sz w:val="16"/>
                <w:szCs w:val="16"/>
                <w:lang w:val="es-ES" w:eastAsia="es-AR"/>
              </w:rPr>
            </w:pPr>
            <w:r w:rsidRPr="00701F32">
              <w:rPr>
                <w:rFonts w:ascii="Arial" w:hAnsi="Arial" w:cs="Arial"/>
                <w:b/>
                <w:sz w:val="16"/>
                <w:szCs w:val="16"/>
              </w:rPr>
              <w:t>-97.386.693</w:t>
            </w:r>
          </w:p>
        </w:tc>
      </w:tr>
      <w:tr w:rsidR="009131FC" w:rsidRPr="00701F32" w14:paraId="454F0715" w14:textId="77777777" w:rsidTr="006C6698">
        <w:trPr>
          <w:trHeight w:val="300"/>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3330A7F1" w14:textId="77777777" w:rsidR="009131FC" w:rsidRPr="00701F32" w:rsidRDefault="009131FC" w:rsidP="009131FC">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público no financiero</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6CA7A77C" w14:textId="3AC43C82"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-2.243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76D11F34" w14:textId="155228DC"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-1.169.956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4FA7021B" w14:textId="030414DB"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w:t>
            </w:r>
            <w:r w:rsidR="00740206" w:rsidRPr="00701F32">
              <w:rPr>
                <w:rFonts w:ascii="Arial" w:hAnsi="Arial" w:cs="Arial"/>
                <w:sz w:val="16"/>
                <w:szCs w:val="16"/>
              </w:rPr>
              <w:t xml:space="preserve"> -10.818.762 </w:t>
            </w:r>
          </w:p>
        </w:tc>
        <w:tc>
          <w:tcPr>
            <w:tcW w:w="1554" w:type="dxa"/>
            <w:tcBorders>
              <w:top w:val="nil"/>
              <w:left w:val="nil"/>
              <w:bottom w:val="single" w:sz="4" w:space="0" w:color="auto"/>
              <w:right w:val="single" w:sz="4" w:space="0" w:color="auto"/>
            </w:tcBorders>
            <w:shd w:val="clear" w:color="auto" w:fill="auto"/>
            <w:noWrap/>
            <w:vAlign w:val="bottom"/>
            <w:hideMark/>
          </w:tcPr>
          <w:p w14:paraId="55089528" w14:textId="07A6A2F5" w:rsidR="009131FC" w:rsidRPr="00701F32" w:rsidRDefault="00380A63" w:rsidP="006912D8">
            <w:pPr>
              <w:jc w:val="right"/>
              <w:rPr>
                <w:rFonts w:ascii="Arial" w:hAnsi="Arial" w:cs="Arial"/>
                <w:bCs/>
                <w:sz w:val="16"/>
                <w:szCs w:val="16"/>
                <w:lang w:val="es-ES" w:eastAsia="es-AR"/>
              </w:rPr>
            </w:pPr>
            <w:r w:rsidRPr="00701F32">
              <w:rPr>
                <w:rFonts w:ascii="Arial" w:hAnsi="Arial" w:cs="Arial"/>
                <w:sz w:val="16"/>
                <w:szCs w:val="16"/>
              </w:rPr>
              <w:t>-11.990.961</w:t>
            </w:r>
          </w:p>
        </w:tc>
      </w:tr>
      <w:tr w:rsidR="009131FC" w:rsidRPr="00701F32" w14:paraId="5956EEDD"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03CF8B85" w14:textId="77777777" w:rsidR="009131FC" w:rsidRPr="00701F32" w:rsidRDefault="009131FC" w:rsidP="009131FC">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financiero</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4C282D74" w14:textId="1EC65305"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-25.553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3C64A790" w14:textId="396B9B44"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7C7D12C7" w14:textId="0AC27158"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-25</w:t>
            </w:r>
            <w:r w:rsidR="00380A63" w:rsidRPr="00701F32">
              <w:rPr>
                <w:rFonts w:ascii="Arial" w:hAnsi="Arial" w:cs="Arial"/>
                <w:sz w:val="16"/>
                <w:szCs w:val="16"/>
              </w:rPr>
              <w:t>4</w:t>
            </w:r>
            <w:r w:rsidRPr="00701F32">
              <w:rPr>
                <w:rFonts w:ascii="Arial" w:hAnsi="Arial" w:cs="Arial"/>
                <w:sz w:val="16"/>
                <w:szCs w:val="16"/>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654669D5" w14:textId="19522278" w:rsidR="009131FC" w:rsidRPr="00701F32" w:rsidRDefault="00380A63" w:rsidP="006912D8">
            <w:pPr>
              <w:jc w:val="right"/>
              <w:rPr>
                <w:rFonts w:ascii="Arial" w:hAnsi="Arial" w:cs="Arial"/>
                <w:bCs/>
                <w:sz w:val="16"/>
                <w:szCs w:val="16"/>
                <w:lang w:val="es-ES" w:eastAsia="es-AR"/>
              </w:rPr>
            </w:pPr>
            <w:r w:rsidRPr="00701F32">
              <w:rPr>
                <w:rFonts w:ascii="Arial" w:hAnsi="Arial" w:cs="Arial"/>
                <w:sz w:val="16"/>
                <w:szCs w:val="16"/>
              </w:rPr>
              <w:t>-25.807</w:t>
            </w:r>
          </w:p>
        </w:tc>
      </w:tr>
      <w:tr w:rsidR="009131FC" w:rsidRPr="00701F32" w14:paraId="250E013D"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noWrap/>
            <w:hideMark/>
          </w:tcPr>
          <w:p w14:paraId="77166FFF" w14:textId="77777777" w:rsidR="009131FC" w:rsidRPr="00701F32" w:rsidRDefault="009131FC" w:rsidP="009131FC">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privado no financiero y residentes en el exterior</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32D37011" w14:textId="7F011A00"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-10.212.040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747EFB56" w14:textId="684F6BFB" w:rsidR="009131FC" w:rsidRPr="00701F32" w:rsidRDefault="009131FC" w:rsidP="006912D8">
            <w:pPr>
              <w:jc w:val="right"/>
              <w:rPr>
                <w:rFonts w:ascii="Arial" w:hAnsi="Arial" w:cs="Arial"/>
                <w:bCs/>
                <w:sz w:val="16"/>
                <w:szCs w:val="16"/>
                <w:lang w:val="es-ES" w:eastAsia="es-AR"/>
              </w:rPr>
            </w:pPr>
            <w:r w:rsidRPr="00701F32">
              <w:rPr>
                <w:rFonts w:ascii="Arial" w:hAnsi="Arial" w:cs="Arial"/>
                <w:sz w:val="16"/>
                <w:szCs w:val="16"/>
              </w:rPr>
              <w:t xml:space="preserve"> -46.116.967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467D172A" w14:textId="5B7D46C7" w:rsidR="009131FC" w:rsidRPr="00701F32" w:rsidRDefault="00380A63" w:rsidP="006912D8">
            <w:pPr>
              <w:jc w:val="right"/>
              <w:rPr>
                <w:rFonts w:ascii="Arial" w:hAnsi="Arial" w:cs="Arial"/>
                <w:bCs/>
                <w:sz w:val="16"/>
                <w:szCs w:val="16"/>
                <w:lang w:val="es-ES" w:eastAsia="es-AR"/>
              </w:rPr>
            </w:pPr>
            <w:r w:rsidRPr="00701F32">
              <w:rPr>
                <w:rFonts w:ascii="Arial" w:hAnsi="Arial" w:cs="Arial"/>
                <w:sz w:val="16"/>
                <w:szCs w:val="16"/>
              </w:rPr>
              <w:t xml:space="preserve">-29.040.918 </w:t>
            </w:r>
          </w:p>
        </w:tc>
        <w:tc>
          <w:tcPr>
            <w:tcW w:w="1554" w:type="dxa"/>
            <w:tcBorders>
              <w:top w:val="nil"/>
              <w:left w:val="nil"/>
              <w:bottom w:val="single" w:sz="4" w:space="0" w:color="auto"/>
              <w:right w:val="single" w:sz="4" w:space="0" w:color="auto"/>
            </w:tcBorders>
            <w:shd w:val="clear" w:color="auto" w:fill="auto"/>
            <w:noWrap/>
            <w:vAlign w:val="bottom"/>
            <w:hideMark/>
          </w:tcPr>
          <w:p w14:paraId="47EE8917" w14:textId="5A7DA386" w:rsidR="009131FC" w:rsidRPr="00701F32" w:rsidRDefault="00380A63" w:rsidP="006912D8">
            <w:pPr>
              <w:jc w:val="right"/>
              <w:rPr>
                <w:rFonts w:ascii="Arial" w:hAnsi="Arial" w:cs="Arial"/>
                <w:bCs/>
                <w:sz w:val="16"/>
                <w:szCs w:val="16"/>
                <w:lang w:val="es-ES" w:eastAsia="es-AR"/>
              </w:rPr>
            </w:pPr>
            <w:r w:rsidRPr="00701F32">
              <w:rPr>
                <w:rFonts w:ascii="Arial" w:hAnsi="Arial" w:cs="Arial"/>
                <w:sz w:val="16"/>
                <w:szCs w:val="16"/>
              </w:rPr>
              <w:t>-85.369.925</w:t>
            </w:r>
          </w:p>
        </w:tc>
      </w:tr>
      <w:tr w:rsidR="009131FC" w:rsidRPr="00701F32" w14:paraId="04AB79EE"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625E03C1"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Instrumentos derivados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4BC2FBD3" w14:textId="20F72DE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12439909" w14:textId="45A92281"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46529768" w14:textId="049D870F"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-328.076 </w:t>
            </w:r>
          </w:p>
        </w:tc>
        <w:tc>
          <w:tcPr>
            <w:tcW w:w="1554" w:type="dxa"/>
            <w:tcBorders>
              <w:top w:val="nil"/>
              <w:left w:val="nil"/>
              <w:bottom w:val="single" w:sz="4" w:space="0" w:color="auto"/>
              <w:right w:val="single" w:sz="4" w:space="0" w:color="auto"/>
            </w:tcBorders>
            <w:shd w:val="clear" w:color="auto" w:fill="auto"/>
            <w:noWrap/>
            <w:vAlign w:val="bottom"/>
            <w:hideMark/>
          </w:tcPr>
          <w:p w14:paraId="69873FE7" w14:textId="4BB0AC9B" w:rsidR="009131FC" w:rsidRPr="00701F32" w:rsidRDefault="00380A63" w:rsidP="006912D8">
            <w:pPr>
              <w:jc w:val="right"/>
              <w:rPr>
                <w:rFonts w:ascii="Arial" w:hAnsi="Arial" w:cs="Arial"/>
                <w:b/>
                <w:bCs/>
                <w:sz w:val="16"/>
                <w:szCs w:val="16"/>
                <w:lang w:val="es-ES" w:eastAsia="es-AR"/>
              </w:rPr>
            </w:pPr>
            <w:r w:rsidRPr="00701F32">
              <w:rPr>
                <w:rFonts w:ascii="Arial" w:hAnsi="Arial" w:cs="Arial"/>
                <w:b/>
                <w:sz w:val="16"/>
                <w:szCs w:val="16"/>
              </w:rPr>
              <w:t>-328.076</w:t>
            </w:r>
          </w:p>
        </w:tc>
      </w:tr>
      <w:tr w:rsidR="009131FC" w:rsidRPr="00701F32" w14:paraId="02A13BD5"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09797D56"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14C9F455" w14:textId="53DAA2A7"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-1.234.632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22AF1B2D" w14:textId="059ED389"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-1.888.306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32B24CF7" w14:textId="3925F3B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-297.245 </w:t>
            </w:r>
          </w:p>
        </w:tc>
        <w:tc>
          <w:tcPr>
            <w:tcW w:w="1554" w:type="dxa"/>
            <w:tcBorders>
              <w:top w:val="nil"/>
              <w:left w:val="nil"/>
              <w:bottom w:val="single" w:sz="4" w:space="0" w:color="auto"/>
              <w:right w:val="single" w:sz="4" w:space="0" w:color="auto"/>
            </w:tcBorders>
            <w:shd w:val="clear" w:color="auto" w:fill="auto"/>
            <w:noWrap/>
            <w:vAlign w:val="bottom"/>
            <w:hideMark/>
          </w:tcPr>
          <w:p w14:paraId="7D3F5B5F" w14:textId="12B313DE" w:rsidR="009131FC" w:rsidRPr="00701F32" w:rsidRDefault="00380A63" w:rsidP="006912D8">
            <w:pPr>
              <w:jc w:val="right"/>
              <w:rPr>
                <w:rFonts w:ascii="Arial" w:hAnsi="Arial" w:cs="Arial"/>
                <w:b/>
                <w:bCs/>
                <w:sz w:val="16"/>
                <w:szCs w:val="16"/>
                <w:lang w:val="es-ES" w:eastAsia="es-AR"/>
              </w:rPr>
            </w:pPr>
            <w:r w:rsidRPr="00701F32">
              <w:rPr>
                <w:rFonts w:ascii="Arial" w:hAnsi="Arial" w:cs="Arial"/>
                <w:b/>
                <w:sz w:val="16"/>
                <w:szCs w:val="16"/>
              </w:rPr>
              <w:t>-3.420.183</w:t>
            </w:r>
          </w:p>
        </w:tc>
      </w:tr>
      <w:tr w:rsidR="009131FC" w:rsidRPr="00701F32" w14:paraId="7832BDBA"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noWrap/>
            <w:hideMark/>
          </w:tcPr>
          <w:p w14:paraId="7E8118A4"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399B499C" w14:textId="7B0DDE13"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-4.586.390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1563C429" w14:textId="5E0D6FEE"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-8.698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2F690E3F" w14:textId="448BEAC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-5.857.267 </w:t>
            </w:r>
          </w:p>
        </w:tc>
        <w:tc>
          <w:tcPr>
            <w:tcW w:w="1554" w:type="dxa"/>
            <w:tcBorders>
              <w:top w:val="nil"/>
              <w:left w:val="nil"/>
              <w:bottom w:val="single" w:sz="4" w:space="0" w:color="auto"/>
              <w:right w:val="single" w:sz="4" w:space="0" w:color="auto"/>
            </w:tcBorders>
            <w:shd w:val="clear" w:color="auto" w:fill="auto"/>
            <w:noWrap/>
            <w:vAlign w:val="bottom"/>
            <w:hideMark/>
          </w:tcPr>
          <w:p w14:paraId="6C5446F3" w14:textId="46BAD50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-10.452.355</w:t>
            </w:r>
          </w:p>
        </w:tc>
      </w:tr>
      <w:tr w:rsidR="009131FC" w:rsidRPr="00701F32" w14:paraId="2812824D"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4DA586AD"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622C694C" w14:textId="088AFCE8"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5CD06944" w14:textId="57150CD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42633BAE" w14:textId="5D99CB80"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-8.542.923 </w:t>
            </w:r>
          </w:p>
        </w:tc>
        <w:tc>
          <w:tcPr>
            <w:tcW w:w="1554" w:type="dxa"/>
            <w:tcBorders>
              <w:top w:val="nil"/>
              <w:left w:val="nil"/>
              <w:bottom w:val="single" w:sz="4" w:space="0" w:color="auto"/>
              <w:right w:val="single" w:sz="4" w:space="0" w:color="auto"/>
            </w:tcBorders>
            <w:shd w:val="clear" w:color="auto" w:fill="auto"/>
            <w:noWrap/>
            <w:vAlign w:val="bottom"/>
            <w:hideMark/>
          </w:tcPr>
          <w:p w14:paraId="73F56437" w14:textId="7020C6F6"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-8.542.923</w:t>
            </w:r>
          </w:p>
        </w:tc>
      </w:tr>
      <w:tr w:rsidR="009131FC" w:rsidRPr="00701F32" w14:paraId="19B83E92" w14:textId="77777777" w:rsidTr="006C6698">
        <w:trPr>
          <w:trHeight w:val="209"/>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4F2C38DE"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6E8E7B94" w14:textId="347DC6E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6B27E249" w14:textId="584539CE"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7420FEBB" w14:textId="72C76727"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-1.490.246 </w:t>
            </w:r>
          </w:p>
        </w:tc>
        <w:tc>
          <w:tcPr>
            <w:tcW w:w="1554" w:type="dxa"/>
            <w:tcBorders>
              <w:top w:val="nil"/>
              <w:left w:val="nil"/>
              <w:bottom w:val="single" w:sz="4" w:space="0" w:color="auto"/>
              <w:right w:val="single" w:sz="4" w:space="0" w:color="auto"/>
            </w:tcBorders>
            <w:shd w:val="clear" w:color="auto" w:fill="auto"/>
            <w:noWrap/>
            <w:vAlign w:val="bottom"/>
            <w:hideMark/>
          </w:tcPr>
          <w:p w14:paraId="30D941A6" w14:textId="66CD42C5"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-1.490.246</w:t>
            </w:r>
          </w:p>
        </w:tc>
      </w:tr>
      <w:tr w:rsidR="009131FC" w:rsidRPr="00701F32" w14:paraId="05446833"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4C452288"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Provisiones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134A9DCA" w14:textId="6B87664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-20.662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309414D1" w14:textId="446C2636"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-24.714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3BEF65E0" w14:textId="75AEDD3F"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-6.2</w:t>
            </w:r>
            <w:r w:rsidR="00380A63" w:rsidRPr="00701F32">
              <w:rPr>
                <w:rFonts w:ascii="Arial" w:hAnsi="Arial" w:cs="Arial"/>
                <w:b/>
                <w:sz w:val="16"/>
                <w:szCs w:val="16"/>
              </w:rPr>
              <w:t>79</w:t>
            </w:r>
            <w:r w:rsidRPr="00701F32">
              <w:rPr>
                <w:rFonts w:ascii="Arial" w:hAnsi="Arial" w:cs="Arial"/>
                <w:b/>
                <w:sz w:val="16"/>
                <w:szCs w:val="16"/>
              </w:rPr>
              <w:t xml:space="preserve"> </w:t>
            </w:r>
          </w:p>
        </w:tc>
        <w:tc>
          <w:tcPr>
            <w:tcW w:w="1554" w:type="dxa"/>
            <w:tcBorders>
              <w:top w:val="nil"/>
              <w:left w:val="nil"/>
              <w:bottom w:val="single" w:sz="4" w:space="0" w:color="auto"/>
              <w:right w:val="single" w:sz="4" w:space="0" w:color="auto"/>
            </w:tcBorders>
            <w:shd w:val="clear" w:color="auto" w:fill="auto"/>
            <w:noWrap/>
            <w:vAlign w:val="bottom"/>
            <w:hideMark/>
          </w:tcPr>
          <w:p w14:paraId="6A2414F2" w14:textId="506AABD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-51.656</w:t>
            </w:r>
          </w:p>
        </w:tc>
      </w:tr>
      <w:tr w:rsidR="009131FC" w:rsidRPr="00701F32" w14:paraId="7B0B19CD"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vAlign w:val="bottom"/>
            <w:hideMark/>
          </w:tcPr>
          <w:p w14:paraId="637AD89F" w14:textId="77777777" w:rsidR="009131FC" w:rsidRPr="00701F32" w:rsidRDefault="009131FC" w:rsidP="006912D8">
            <w:pPr>
              <w:rPr>
                <w:rFonts w:ascii="Arial" w:hAnsi="Arial" w:cs="Arial"/>
                <w:b/>
                <w:bCs/>
                <w:sz w:val="16"/>
                <w:szCs w:val="16"/>
                <w:lang w:val="es-ES" w:eastAsia="es-AR"/>
              </w:rPr>
            </w:pPr>
            <w:r w:rsidRPr="00701F32">
              <w:rPr>
                <w:rFonts w:ascii="Arial" w:hAnsi="Arial" w:cs="Arial"/>
                <w:b/>
                <w:bCs/>
                <w:sz w:val="16"/>
                <w:szCs w:val="16"/>
                <w:lang w:eastAsia="es-AR"/>
              </w:rPr>
              <w:t>Otros pasivos no financieros</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7AD5496A" w14:textId="274FAEA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-30.766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636E58CC" w14:textId="36ECEC94"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-1.015.005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1B517C87" w14:textId="3A3CB96A"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-2.405.371 </w:t>
            </w:r>
          </w:p>
        </w:tc>
        <w:tc>
          <w:tcPr>
            <w:tcW w:w="1554" w:type="dxa"/>
            <w:tcBorders>
              <w:top w:val="nil"/>
              <w:left w:val="nil"/>
              <w:bottom w:val="single" w:sz="4" w:space="0" w:color="auto"/>
              <w:right w:val="single" w:sz="4" w:space="0" w:color="auto"/>
            </w:tcBorders>
            <w:shd w:val="clear" w:color="auto" w:fill="auto"/>
            <w:noWrap/>
            <w:vAlign w:val="bottom"/>
            <w:hideMark/>
          </w:tcPr>
          <w:p w14:paraId="20230888" w14:textId="46A1F492"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-3.451.142</w:t>
            </w:r>
          </w:p>
        </w:tc>
      </w:tr>
      <w:tr w:rsidR="009131FC" w:rsidRPr="00701F32" w14:paraId="1DA3D008" w14:textId="77777777" w:rsidTr="006C6698">
        <w:trPr>
          <w:trHeight w:val="221"/>
          <w:tblHeader/>
        </w:trPr>
        <w:tc>
          <w:tcPr>
            <w:tcW w:w="4522" w:type="dxa"/>
            <w:gridSpan w:val="5"/>
            <w:tcBorders>
              <w:top w:val="nil"/>
              <w:left w:val="single" w:sz="4" w:space="0" w:color="auto"/>
              <w:bottom w:val="single" w:sz="4" w:space="0" w:color="auto"/>
              <w:right w:val="single" w:sz="4" w:space="0" w:color="auto"/>
            </w:tcBorders>
            <w:shd w:val="clear" w:color="auto" w:fill="auto"/>
            <w:hideMark/>
          </w:tcPr>
          <w:p w14:paraId="73E9C9DA" w14:textId="77777777" w:rsidR="009131FC" w:rsidRPr="00701F32" w:rsidRDefault="009131FC" w:rsidP="009131FC">
            <w:pPr>
              <w:rPr>
                <w:rFonts w:ascii="Arial" w:hAnsi="Arial" w:cs="Arial"/>
                <w:b/>
                <w:bCs/>
                <w:sz w:val="16"/>
                <w:szCs w:val="16"/>
                <w:lang w:eastAsia="es-AR"/>
              </w:rPr>
            </w:pPr>
            <w:r w:rsidRPr="00701F32">
              <w:rPr>
                <w:rFonts w:ascii="Arial" w:hAnsi="Arial" w:cs="Arial"/>
                <w:b/>
                <w:bCs/>
                <w:sz w:val="16"/>
                <w:szCs w:val="16"/>
                <w:lang w:eastAsia="es-AR"/>
              </w:rPr>
              <w:t>TOTAL PASIVO</w:t>
            </w:r>
          </w:p>
        </w:tc>
        <w:tc>
          <w:tcPr>
            <w:tcW w:w="1779" w:type="dxa"/>
            <w:gridSpan w:val="2"/>
            <w:tcBorders>
              <w:top w:val="nil"/>
              <w:left w:val="nil"/>
              <w:bottom w:val="single" w:sz="4" w:space="0" w:color="auto"/>
              <w:right w:val="single" w:sz="4" w:space="0" w:color="auto"/>
            </w:tcBorders>
            <w:shd w:val="clear" w:color="auto" w:fill="auto"/>
            <w:noWrap/>
            <w:vAlign w:val="bottom"/>
            <w:hideMark/>
          </w:tcPr>
          <w:p w14:paraId="6AF19E1D" w14:textId="4E304F71"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-16.112.286 </w:t>
            </w:r>
          </w:p>
        </w:tc>
        <w:tc>
          <w:tcPr>
            <w:tcW w:w="1482" w:type="dxa"/>
            <w:gridSpan w:val="2"/>
            <w:tcBorders>
              <w:top w:val="nil"/>
              <w:left w:val="nil"/>
              <w:bottom w:val="single" w:sz="4" w:space="0" w:color="auto"/>
              <w:right w:val="single" w:sz="4" w:space="0" w:color="auto"/>
            </w:tcBorders>
            <w:shd w:val="clear" w:color="auto" w:fill="auto"/>
            <w:noWrap/>
            <w:vAlign w:val="bottom"/>
            <w:hideMark/>
          </w:tcPr>
          <w:p w14:paraId="524BAA5B" w14:textId="2E648A0D"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-50.223.646 </w:t>
            </w:r>
          </w:p>
        </w:tc>
        <w:tc>
          <w:tcPr>
            <w:tcW w:w="1708" w:type="dxa"/>
            <w:gridSpan w:val="2"/>
            <w:tcBorders>
              <w:top w:val="nil"/>
              <w:left w:val="nil"/>
              <w:bottom w:val="single" w:sz="4" w:space="0" w:color="auto"/>
              <w:right w:val="single" w:sz="4" w:space="0" w:color="auto"/>
            </w:tcBorders>
            <w:shd w:val="clear" w:color="auto" w:fill="auto"/>
            <w:noWrap/>
            <w:vAlign w:val="bottom"/>
            <w:hideMark/>
          </w:tcPr>
          <w:p w14:paraId="3BD34D96" w14:textId="6210F30E" w:rsidR="009131FC" w:rsidRPr="00701F32" w:rsidRDefault="009131FC" w:rsidP="006912D8">
            <w:pPr>
              <w:jc w:val="right"/>
              <w:rPr>
                <w:rFonts w:ascii="Arial" w:hAnsi="Arial" w:cs="Arial"/>
                <w:b/>
                <w:bCs/>
                <w:sz w:val="16"/>
                <w:szCs w:val="16"/>
                <w:lang w:val="es-ES" w:eastAsia="es-AR"/>
              </w:rPr>
            </w:pPr>
            <w:r w:rsidRPr="00701F32">
              <w:rPr>
                <w:rFonts w:ascii="Arial" w:hAnsi="Arial" w:cs="Arial"/>
                <w:b/>
                <w:sz w:val="16"/>
                <w:szCs w:val="16"/>
              </w:rPr>
              <w:t xml:space="preserve"> -58.787.341 </w:t>
            </w:r>
          </w:p>
        </w:tc>
        <w:tc>
          <w:tcPr>
            <w:tcW w:w="1554" w:type="dxa"/>
            <w:tcBorders>
              <w:top w:val="nil"/>
              <w:left w:val="nil"/>
              <w:bottom w:val="single" w:sz="4" w:space="0" w:color="auto"/>
              <w:right w:val="single" w:sz="4" w:space="0" w:color="auto"/>
            </w:tcBorders>
            <w:shd w:val="clear" w:color="auto" w:fill="auto"/>
            <w:noWrap/>
            <w:vAlign w:val="bottom"/>
            <w:hideMark/>
          </w:tcPr>
          <w:p w14:paraId="345435E1" w14:textId="7B30FD5F" w:rsidR="009131FC" w:rsidRPr="00701F32" w:rsidRDefault="00380A63" w:rsidP="006912D8">
            <w:pPr>
              <w:jc w:val="right"/>
              <w:rPr>
                <w:rFonts w:ascii="Arial" w:hAnsi="Arial" w:cs="Arial"/>
                <w:b/>
                <w:bCs/>
                <w:sz w:val="16"/>
                <w:szCs w:val="16"/>
                <w:lang w:val="es-ES" w:eastAsia="es-AR"/>
              </w:rPr>
            </w:pPr>
            <w:r w:rsidRPr="00701F32">
              <w:rPr>
                <w:rFonts w:ascii="Arial" w:hAnsi="Arial" w:cs="Arial"/>
                <w:b/>
                <w:sz w:val="16"/>
                <w:szCs w:val="16"/>
              </w:rPr>
              <w:t>-125.123.273</w:t>
            </w:r>
          </w:p>
        </w:tc>
      </w:tr>
    </w:tbl>
    <w:p w14:paraId="30708DD6" w14:textId="7FBD62ED" w:rsidR="00303D20" w:rsidRPr="00701F32" w:rsidRDefault="00303D20" w:rsidP="0086282C">
      <w:pPr>
        <w:spacing w:after="160" w:line="259" w:lineRule="auto"/>
        <w:jc w:val="both"/>
        <w:rPr>
          <w:rFonts w:ascii="Arial" w:eastAsia="Calibri" w:hAnsi="Arial" w:cs="Arial"/>
          <w:bCs/>
          <w:sz w:val="20"/>
        </w:rPr>
      </w:pPr>
    </w:p>
    <w:tbl>
      <w:tblPr>
        <w:tblW w:w="10993" w:type="dxa"/>
        <w:tblInd w:w="-1064" w:type="dxa"/>
        <w:tblCellMar>
          <w:left w:w="70" w:type="dxa"/>
          <w:right w:w="70" w:type="dxa"/>
        </w:tblCellMar>
        <w:tblLook w:val="04A0" w:firstRow="1" w:lastRow="0" w:firstColumn="1" w:lastColumn="0" w:noHBand="0" w:noVBand="1"/>
      </w:tblPr>
      <w:tblGrid>
        <w:gridCol w:w="3509"/>
        <w:gridCol w:w="1462"/>
        <w:gridCol w:w="1597"/>
        <w:gridCol w:w="1602"/>
        <w:gridCol w:w="1078"/>
        <w:gridCol w:w="1745"/>
      </w:tblGrid>
      <w:tr w:rsidR="00FF0E34" w:rsidRPr="00701F32" w14:paraId="3428DE94" w14:textId="77777777" w:rsidTr="00E311C9">
        <w:trPr>
          <w:trHeight w:val="229"/>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16CB" w14:textId="77777777" w:rsidR="00303D20" w:rsidRPr="00701F32" w:rsidRDefault="00303D20" w:rsidP="00303D20">
            <w:pPr>
              <w:rPr>
                <w:rFonts w:ascii="Arial" w:hAnsi="Arial" w:cs="Arial"/>
                <w:b/>
                <w:bCs/>
                <w:sz w:val="16"/>
                <w:szCs w:val="18"/>
                <w:lang w:eastAsia="es-AR"/>
              </w:rPr>
            </w:pPr>
            <w:r w:rsidRPr="00701F32">
              <w:rPr>
                <w:rFonts w:ascii="Arial" w:hAnsi="Arial" w:cs="Arial"/>
                <w:b/>
                <w:bCs/>
                <w:sz w:val="16"/>
                <w:szCs w:val="18"/>
                <w:lang w:eastAsia="es-AR"/>
              </w:rPr>
              <w:t>Resultado por Segmentos al 30/0</w:t>
            </w:r>
            <w:r w:rsidR="00837BEB" w:rsidRPr="00701F32">
              <w:rPr>
                <w:rFonts w:ascii="Arial" w:hAnsi="Arial" w:cs="Arial"/>
                <w:b/>
                <w:bCs/>
                <w:sz w:val="16"/>
                <w:szCs w:val="18"/>
                <w:lang w:eastAsia="es-AR"/>
              </w:rPr>
              <w:t>9</w:t>
            </w:r>
            <w:r w:rsidRPr="00701F32">
              <w:rPr>
                <w:rFonts w:ascii="Arial" w:hAnsi="Arial" w:cs="Arial"/>
                <w:b/>
                <w:bCs/>
                <w:sz w:val="16"/>
                <w:szCs w:val="18"/>
                <w:lang w:eastAsia="es-AR"/>
              </w:rPr>
              <w:t>/2018</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D5198" w14:textId="77777777" w:rsidR="00303D20" w:rsidRPr="00701F32" w:rsidRDefault="00303D20" w:rsidP="00303D20">
            <w:pPr>
              <w:jc w:val="center"/>
              <w:rPr>
                <w:rFonts w:ascii="Arial" w:hAnsi="Arial" w:cs="Arial"/>
                <w:b/>
                <w:bCs/>
                <w:sz w:val="16"/>
                <w:szCs w:val="18"/>
                <w:lang w:eastAsia="es-AR"/>
              </w:rPr>
            </w:pPr>
            <w:r w:rsidRPr="00701F32">
              <w:rPr>
                <w:rFonts w:ascii="Arial" w:hAnsi="Arial" w:cs="Arial"/>
                <w:b/>
                <w:bCs/>
                <w:sz w:val="16"/>
                <w:szCs w:val="18"/>
                <w:lang w:eastAsia="es-AR"/>
              </w:rPr>
              <w:t>Banca Empresa</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02AFB" w14:textId="77777777" w:rsidR="00303D20" w:rsidRPr="00701F32" w:rsidRDefault="00303D20" w:rsidP="00303D20">
            <w:pPr>
              <w:jc w:val="center"/>
              <w:rPr>
                <w:rFonts w:ascii="Arial" w:hAnsi="Arial" w:cs="Arial"/>
                <w:b/>
                <w:bCs/>
                <w:sz w:val="16"/>
                <w:szCs w:val="18"/>
                <w:lang w:eastAsia="es-AR"/>
              </w:rPr>
            </w:pPr>
            <w:r w:rsidRPr="00701F32">
              <w:rPr>
                <w:rFonts w:ascii="Arial" w:hAnsi="Arial" w:cs="Arial"/>
                <w:b/>
                <w:bCs/>
                <w:sz w:val="16"/>
                <w:szCs w:val="18"/>
                <w:lang w:eastAsia="es-AR"/>
              </w:rPr>
              <w:t>Banca Minorista</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B547" w14:textId="77777777" w:rsidR="00303D20" w:rsidRPr="00701F32" w:rsidRDefault="00303D20" w:rsidP="00303D20">
            <w:pPr>
              <w:jc w:val="center"/>
              <w:rPr>
                <w:rFonts w:ascii="Arial" w:hAnsi="Arial" w:cs="Arial"/>
                <w:b/>
                <w:bCs/>
                <w:sz w:val="16"/>
                <w:szCs w:val="18"/>
                <w:lang w:eastAsia="es-AR"/>
              </w:rPr>
            </w:pPr>
            <w:r w:rsidRPr="00701F32">
              <w:rPr>
                <w:rFonts w:ascii="Arial" w:hAnsi="Arial" w:cs="Arial"/>
                <w:b/>
                <w:bCs/>
                <w:sz w:val="16"/>
                <w:szCs w:val="18"/>
                <w:lang w:eastAsia="es-AR"/>
              </w:rPr>
              <w:t>Tesorería</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03352" w14:textId="77777777" w:rsidR="00303D20" w:rsidRPr="00701F32" w:rsidRDefault="00303D20" w:rsidP="00303D20">
            <w:pPr>
              <w:jc w:val="center"/>
              <w:rPr>
                <w:rFonts w:ascii="Arial" w:hAnsi="Arial" w:cs="Arial"/>
                <w:b/>
                <w:bCs/>
                <w:sz w:val="16"/>
                <w:szCs w:val="18"/>
                <w:lang w:eastAsia="es-AR"/>
              </w:rPr>
            </w:pPr>
            <w:r w:rsidRPr="00701F32">
              <w:rPr>
                <w:rFonts w:ascii="Arial" w:hAnsi="Arial" w:cs="Arial"/>
                <w:b/>
                <w:bCs/>
                <w:sz w:val="16"/>
                <w:szCs w:val="18"/>
                <w:lang w:eastAsia="es-AR"/>
              </w:rPr>
              <w:t>Ajustes</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D920D" w14:textId="77777777" w:rsidR="00303D20" w:rsidRPr="00701F32" w:rsidRDefault="00303D20" w:rsidP="00303D20">
            <w:pPr>
              <w:jc w:val="center"/>
              <w:rPr>
                <w:rFonts w:ascii="Arial" w:hAnsi="Arial" w:cs="Arial"/>
                <w:b/>
                <w:bCs/>
                <w:sz w:val="16"/>
                <w:szCs w:val="18"/>
                <w:lang w:eastAsia="es-AR"/>
              </w:rPr>
            </w:pPr>
            <w:r w:rsidRPr="00701F32">
              <w:rPr>
                <w:rFonts w:ascii="Arial" w:hAnsi="Arial" w:cs="Arial"/>
                <w:b/>
                <w:bCs/>
                <w:sz w:val="16"/>
                <w:szCs w:val="18"/>
                <w:lang w:eastAsia="es-AR"/>
              </w:rPr>
              <w:t>TOTAL</w:t>
            </w:r>
          </w:p>
        </w:tc>
      </w:tr>
      <w:tr w:rsidR="00FF0E34" w:rsidRPr="00701F32" w14:paraId="7659E531" w14:textId="77777777" w:rsidTr="00E311C9">
        <w:trPr>
          <w:trHeight w:val="240"/>
        </w:trPr>
        <w:tc>
          <w:tcPr>
            <w:tcW w:w="3509" w:type="dxa"/>
            <w:tcBorders>
              <w:top w:val="single" w:sz="4" w:space="0" w:color="auto"/>
              <w:left w:val="single" w:sz="4" w:space="0" w:color="auto"/>
              <w:bottom w:val="nil"/>
              <w:right w:val="single" w:sz="4" w:space="0" w:color="auto"/>
            </w:tcBorders>
            <w:shd w:val="clear" w:color="auto" w:fill="auto"/>
            <w:noWrap/>
            <w:vAlign w:val="center"/>
            <w:hideMark/>
          </w:tcPr>
          <w:p w14:paraId="1EEFB626"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Ingresos por intereses </w:t>
            </w:r>
          </w:p>
        </w:tc>
        <w:tc>
          <w:tcPr>
            <w:tcW w:w="1462" w:type="dxa"/>
            <w:tcBorders>
              <w:top w:val="single" w:sz="4" w:space="0" w:color="auto"/>
              <w:left w:val="single" w:sz="4" w:space="0" w:color="auto"/>
              <w:bottom w:val="nil"/>
              <w:right w:val="single" w:sz="4" w:space="0" w:color="auto"/>
            </w:tcBorders>
            <w:shd w:val="clear" w:color="auto" w:fill="auto"/>
            <w:noWrap/>
            <w:vAlign w:val="bottom"/>
            <w:hideMark/>
          </w:tcPr>
          <w:p w14:paraId="6D2B963C" w14:textId="444A3AAF" w:rsidR="004C518C" w:rsidRPr="00701F32" w:rsidRDefault="0036760D">
            <w:pPr>
              <w:jc w:val="right"/>
              <w:rPr>
                <w:rFonts w:ascii="Arial" w:hAnsi="Arial" w:cs="Arial"/>
                <w:sz w:val="16"/>
                <w:szCs w:val="18"/>
                <w:lang w:val="es-ES_tradnl"/>
              </w:rPr>
            </w:pPr>
            <w:r w:rsidRPr="00701F32">
              <w:rPr>
                <w:rFonts w:ascii="Arial" w:hAnsi="Arial" w:cs="Arial"/>
                <w:sz w:val="16"/>
                <w:szCs w:val="18"/>
              </w:rPr>
              <w:t>5.632.167</w:t>
            </w:r>
          </w:p>
        </w:tc>
        <w:tc>
          <w:tcPr>
            <w:tcW w:w="1597" w:type="dxa"/>
            <w:tcBorders>
              <w:top w:val="single" w:sz="4" w:space="0" w:color="auto"/>
              <w:left w:val="single" w:sz="4" w:space="0" w:color="auto"/>
              <w:bottom w:val="nil"/>
              <w:right w:val="single" w:sz="4" w:space="0" w:color="auto"/>
            </w:tcBorders>
            <w:shd w:val="clear" w:color="auto" w:fill="auto"/>
            <w:noWrap/>
            <w:vAlign w:val="bottom"/>
            <w:hideMark/>
          </w:tcPr>
          <w:p w14:paraId="3C2F721C" w14:textId="6EBA2FC0" w:rsidR="004C518C" w:rsidRPr="00701F32" w:rsidRDefault="0036760D">
            <w:pPr>
              <w:jc w:val="right"/>
              <w:rPr>
                <w:rFonts w:ascii="Arial" w:hAnsi="Arial" w:cs="Arial"/>
                <w:sz w:val="16"/>
                <w:szCs w:val="18"/>
                <w:lang w:val="es-ES_tradnl"/>
              </w:rPr>
            </w:pPr>
            <w:r w:rsidRPr="00701F32">
              <w:rPr>
                <w:rFonts w:ascii="Arial" w:hAnsi="Arial" w:cs="Arial"/>
                <w:sz w:val="16"/>
                <w:szCs w:val="18"/>
              </w:rPr>
              <w:t>7.299.150</w:t>
            </w:r>
          </w:p>
        </w:tc>
        <w:tc>
          <w:tcPr>
            <w:tcW w:w="1602" w:type="dxa"/>
            <w:tcBorders>
              <w:top w:val="single" w:sz="4" w:space="0" w:color="auto"/>
              <w:left w:val="single" w:sz="4" w:space="0" w:color="auto"/>
              <w:bottom w:val="nil"/>
              <w:right w:val="single" w:sz="4" w:space="0" w:color="auto"/>
            </w:tcBorders>
            <w:shd w:val="clear" w:color="auto" w:fill="auto"/>
            <w:noWrap/>
            <w:vAlign w:val="bottom"/>
            <w:hideMark/>
          </w:tcPr>
          <w:p w14:paraId="03396ED2" w14:textId="77C6D354"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1.185.498</w:t>
            </w:r>
          </w:p>
        </w:tc>
        <w:tc>
          <w:tcPr>
            <w:tcW w:w="1078" w:type="dxa"/>
            <w:tcBorders>
              <w:top w:val="single" w:sz="4" w:space="0" w:color="auto"/>
              <w:left w:val="single" w:sz="4" w:space="0" w:color="auto"/>
              <w:bottom w:val="nil"/>
              <w:right w:val="single" w:sz="4" w:space="0" w:color="auto"/>
            </w:tcBorders>
            <w:shd w:val="clear" w:color="auto" w:fill="auto"/>
            <w:noWrap/>
            <w:vAlign w:val="bottom"/>
            <w:hideMark/>
          </w:tcPr>
          <w:p w14:paraId="4D5D2F2D"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nil"/>
              <w:right w:val="single" w:sz="4" w:space="0" w:color="auto"/>
            </w:tcBorders>
            <w:shd w:val="clear" w:color="auto" w:fill="auto"/>
            <w:noWrap/>
            <w:vAlign w:val="bottom"/>
            <w:hideMark/>
          </w:tcPr>
          <w:p w14:paraId="0AE7B6BB" w14:textId="21A64404" w:rsidR="004C518C" w:rsidRPr="00701F32" w:rsidRDefault="0036760D">
            <w:pPr>
              <w:jc w:val="right"/>
              <w:rPr>
                <w:rFonts w:ascii="Arial" w:hAnsi="Arial" w:cs="Arial"/>
                <w:sz w:val="16"/>
                <w:szCs w:val="18"/>
                <w:lang w:val="es-ES_tradnl"/>
              </w:rPr>
            </w:pPr>
            <w:r w:rsidRPr="00701F32">
              <w:rPr>
                <w:rFonts w:ascii="Arial" w:hAnsi="Arial" w:cs="Arial"/>
                <w:sz w:val="16"/>
                <w:szCs w:val="18"/>
              </w:rPr>
              <w:t>14.116.815</w:t>
            </w:r>
          </w:p>
        </w:tc>
      </w:tr>
      <w:tr w:rsidR="00FF0E34" w:rsidRPr="00701F32" w14:paraId="58FCC6FF" w14:textId="77777777" w:rsidTr="00E311C9">
        <w:trPr>
          <w:trHeight w:val="240"/>
        </w:trPr>
        <w:tc>
          <w:tcPr>
            <w:tcW w:w="3509" w:type="dxa"/>
            <w:tcBorders>
              <w:top w:val="nil"/>
              <w:left w:val="single" w:sz="4" w:space="0" w:color="auto"/>
              <w:bottom w:val="nil"/>
              <w:right w:val="single" w:sz="4" w:space="0" w:color="auto"/>
            </w:tcBorders>
            <w:shd w:val="clear" w:color="auto" w:fill="auto"/>
            <w:noWrap/>
            <w:vAlign w:val="center"/>
            <w:hideMark/>
          </w:tcPr>
          <w:p w14:paraId="71BA9105"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 xml:space="preserve">Egresos por intereses </w:t>
            </w:r>
          </w:p>
        </w:tc>
        <w:tc>
          <w:tcPr>
            <w:tcW w:w="1462" w:type="dxa"/>
            <w:tcBorders>
              <w:top w:val="nil"/>
              <w:left w:val="single" w:sz="4" w:space="0" w:color="auto"/>
              <w:bottom w:val="nil"/>
              <w:right w:val="single" w:sz="4" w:space="0" w:color="auto"/>
            </w:tcBorders>
            <w:shd w:val="clear" w:color="auto" w:fill="auto"/>
            <w:noWrap/>
            <w:vAlign w:val="bottom"/>
            <w:hideMark/>
          </w:tcPr>
          <w:p w14:paraId="1D5A4F59" w14:textId="028C02BB"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562.355</w:t>
            </w:r>
          </w:p>
        </w:tc>
        <w:tc>
          <w:tcPr>
            <w:tcW w:w="1597" w:type="dxa"/>
            <w:tcBorders>
              <w:top w:val="nil"/>
              <w:left w:val="single" w:sz="4" w:space="0" w:color="auto"/>
              <w:bottom w:val="nil"/>
              <w:right w:val="single" w:sz="4" w:space="0" w:color="auto"/>
            </w:tcBorders>
            <w:shd w:val="clear" w:color="auto" w:fill="auto"/>
            <w:noWrap/>
            <w:vAlign w:val="bottom"/>
            <w:hideMark/>
          </w:tcPr>
          <w:p w14:paraId="2CA2DDC7" w14:textId="50517907" w:rsidR="004C518C" w:rsidRPr="00701F32" w:rsidRDefault="0036760D">
            <w:pPr>
              <w:jc w:val="right"/>
              <w:rPr>
                <w:rFonts w:ascii="Arial" w:hAnsi="Arial" w:cs="Arial"/>
                <w:sz w:val="16"/>
                <w:szCs w:val="18"/>
                <w:lang w:val="es-ES_tradnl"/>
              </w:rPr>
            </w:pPr>
            <w:r w:rsidRPr="00701F32">
              <w:rPr>
                <w:rFonts w:ascii="Arial" w:hAnsi="Arial" w:cs="Arial"/>
                <w:sz w:val="16"/>
                <w:szCs w:val="18"/>
              </w:rPr>
              <w:t>1.983.420</w:t>
            </w:r>
          </w:p>
        </w:tc>
        <w:tc>
          <w:tcPr>
            <w:tcW w:w="1602" w:type="dxa"/>
            <w:tcBorders>
              <w:top w:val="nil"/>
              <w:left w:val="single" w:sz="4" w:space="0" w:color="auto"/>
              <w:bottom w:val="nil"/>
              <w:right w:val="single" w:sz="4" w:space="0" w:color="auto"/>
            </w:tcBorders>
            <w:shd w:val="clear" w:color="auto" w:fill="auto"/>
            <w:noWrap/>
            <w:vAlign w:val="bottom"/>
            <w:hideMark/>
          </w:tcPr>
          <w:p w14:paraId="7F22E9F7" w14:textId="609CEB1E" w:rsidR="004C518C" w:rsidRPr="00701F32" w:rsidRDefault="0036760D">
            <w:pPr>
              <w:jc w:val="right"/>
              <w:rPr>
                <w:rFonts w:ascii="Arial" w:hAnsi="Arial" w:cs="Arial"/>
                <w:sz w:val="16"/>
                <w:szCs w:val="18"/>
                <w:lang w:val="es-ES_tradnl"/>
              </w:rPr>
            </w:pPr>
            <w:r w:rsidRPr="00701F32">
              <w:rPr>
                <w:rFonts w:ascii="Arial" w:hAnsi="Arial" w:cs="Arial"/>
                <w:sz w:val="16"/>
                <w:szCs w:val="18"/>
              </w:rPr>
              <w:t>5.359.866</w:t>
            </w:r>
          </w:p>
        </w:tc>
        <w:tc>
          <w:tcPr>
            <w:tcW w:w="1078" w:type="dxa"/>
            <w:tcBorders>
              <w:top w:val="nil"/>
              <w:left w:val="single" w:sz="4" w:space="0" w:color="auto"/>
              <w:bottom w:val="nil"/>
              <w:right w:val="single" w:sz="4" w:space="0" w:color="auto"/>
            </w:tcBorders>
            <w:shd w:val="clear" w:color="auto" w:fill="auto"/>
            <w:noWrap/>
            <w:vAlign w:val="bottom"/>
            <w:hideMark/>
          </w:tcPr>
          <w:p w14:paraId="79769E4A"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nil"/>
              <w:right w:val="single" w:sz="4" w:space="0" w:color="auto"/>
            </w:tcBorders>
            <w:shd w:val="clear" w:color="auto" w:fill="auto"/>
            <w:noWrap/>
            <w:vAlign w:val="bottom"/>
            <w:hideMark/>
          </w:tcPr>
          <w:p w14:paraId="56A37CEF" w14:textId="7EF4CC1D" w:rsidR="004C518C" w:rsidRPr="00701F32" w:rsidRDefault="0036760D">
            <w:pPr>
              <w:jc w:val="right"/>
              <w:rPr>
                <w:rFonts w:ascii="Arial" w:hAnsi="Arial" w:cs="Arial"/>
                <w:sz w:val="16"/>
                <w:szCs w:val="18"/>
                <w:lang w:val="es-ES_tradnl"/>
              </w:rPr>
            </w:pPr>
            <w:r w:rsidRPr="00701F32">
              <w:rPr>
                <w:rFonts w:ascii="Arial" w:hAnsi="Arial" w:cs="Arial"/>
                <w:sz w:val="16"/>
                <w:szCs w:val="18"/>
              </w:rPr>
              <w:t>7.905.641</w:t>
            </w:r>
          </w:p>
        </w:tc>
      </w:tr>
      <w:tr w:rsidR="00FF0E34" w:rsidRPr="00701F32" w14:paraId="2403B7F5" w14:textId="77777777" w:rsidTr="00E311C9">
        <w:trPr>
          <w:trHeight w:val="240"/>
        </w:trPr>
        <w:tc>
          <w:tcPr>
            <w:tcW w:w="3509" w:type="dxa"/>
            <w:tcBorders>
              <w:top w:val="nil"/>
              <w:left w:val="single" w:sz="4" w:space="0" w:color="auto"/>
              <w:bottom w:val="single" w:sz="4" w:space="0" w:color="auto"/>
              <w:right w:val="single" w:sz="4" w:space="0" w:color="auto"/>
            </w:tcBorders>
            <w:shd w:val="clear" w:color="auto" w:fill="auto"/>
            <w:noWrap/>
            <w:vAlign w:val="center"/>
            <w:hideMark/>
          </w:tcPr>
          <w:p w14:paraId="746B0D3C"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 xml:space="preserve">Resultados por interés de Transferencia </w:t>
            </w:r>
          </w:p>
        </w:tc>
        <w:tc>
          <w:tcPr>
            <w:tcW w:w="1462" w:type="dxa"/>
            <w:tcBorders>
              <w:top w:val="nil"/>
              <w:left w:val="single" w:sz="4" w:space="0" w:color="auto"/>
              <w:bottom w:val="single" w:sz="4" w:space="0" w:color="auto"/>
              <w:right w:val="single" w:sz="4" w:space="0" w:color="auto"/>
            </w:tcBorders>
            <w:shd w:val="clear" w:color="auto" w:fill="auto"/>
            <w:noWrap/>
            <w:vAlign w:val="bottom"/>
            <w:hideMark/>
          </w:tcPr>
          <w:p w14:paraId="49E7A684" w14:textId="10477C29" w:rsidR="004C518C" w:rsidRPr="00701F32" w:rsidRDefault="0036760D">
            <w:pPr>
              <w:jc w:val="right"/>
              <w:rPr>
                <w:rFonts w:ascii="Arial" w:hAnsi="Arial" w:cs="Arial"/>
                <w:sz w:val="16"/>
                <w:szCs w:val="18"/>
                <w:lang w:val="es-ES_tradnl"/>
              </w:rPr>
            </w:pPr>
            <w:r w:rsidRPr="00701F32">
              <w:rPr>
                <w:rFonts w:ascii="Arial" w:hAnsi="Arial" w:cs="Arial"/>
                <w:sz w:val="16"/>
                <w:szCs w:val="18"/>
              </w:rPr>
              <w:t>-2.680.493</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6EBE933" w14:textId="2172DBAE" w:rsidR="004C518C" w:rsidRPr="00701F32" w:rsidRDefault="0036760D">
            <w:pPr>
              <w:jc w:val="right"/>
              <w:rPr>
                <w:rFonts w:ascii="Arial" w:hAnsi="Arial" w:cs="Arial"/>
                <w:sz w:val="16"/>
                <w:szCs w:val="18"/>
                <w:lang w:val="es-ES_tradnl"/>
              </w:rPr>
            </w:pPr>
            <w:r w:rsidRPr="00701F32">
              <w:rPr>
                <w:rFonts w:ascii="Arial" w:hAnsi="Arial" w:cs="Arial"/>
                <w:sz w:val="16"/>
                <w:szCs w:val="18"/>
              </w:rPr>
              <w:t>479.272</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35E1BCD" w14:textId="4E62712F" w:rsidR="004C518C" w:rsidRPr="00701F32" w:rsidRDefault="0036760D">
            <w:pPr>
              <w:jc w:val="right"/>
              <w:rPr>
                <w:rFonts w:ascii="Arial" w:hAnsi="Arial" w:cs="Arial"/>
                <w:sz w:val="16"/>
                <w:szCs w:val="18"/>
                <w:lang w:val="es-ES_tradnl"/>
              </w:rPr>
            </w:pPr>
            <w:r w:rsidRPr="00701F32">
              <w:rPr>
                <w:rFonts w:ascii="Arial" w:hAnsi="Arial" w:cs="Arial"/>
                <w:sz w:val="16"/>
                <w:szCs w:val="18"/>
              </w:rPr>
              <w:t>2.201.221</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3C5D4BE2"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6234F0B8"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r>
      <w:tr w:rsidR="00FF0E34" w:rsidRPr="00701F32" w14:paraId="045FE8C6" w14:textId="77777777" w:rsidTr="00E311C9">
        <w:trPr>
          <w:trHeight w:val="151"/>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5082C"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Resultado neto por intereses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7557A" w14:textId="319D0326" w:rsidR="004C518C" w:rsidRPr="00701F32" w:rsidRDefault="0036760D">
            <w:pPr>
              <w:jc w:val="right"/>
              <w:rPr>
                <w:rFonts w:ascii="Arial" w:hAnsi="Arial" w:cs="Arial"/>
                <w:b/>
                <w:sz w:val="16"/>
                <w:szCs w:val="18"/>
              </w:rPr>
            </w:pPr>
            <w:r w:rsidRPr="00701F32">
              <w:rPr>
                <w:rFonts w:ascii="Arial" w:hAnsi="Arial" w:cs="Arial"/>
                <w:b/>
                <w:sz w:val="16"/>
                <w:szCs w:val="18"/>
              </w:rPr>
              <w:t>2.389.319</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70CD3" w14:textId="6F8E91EF" w:rsidR="004C518C" w:rsidRPr="00701F32" w:rsidRDefault="0036760D">
            <w:pPr>
              <w:jc w:val="right"/>
              <w:rPr>
                <w:rFonts w:ascii="Arial" w:hAnsi="Arial" w:cs="Arial"/>
                <w:b/>
                <w:sz w:val="16"/>
                <w:szCs w:val="18"/>
              </w:rPr>
            </w:pPr>
            <w:r w:rsidRPr="00701F32">
              <w:rPr>
                <w:rFonts w:ascii="Arial" w:hAnsi="Arial" w:cs="Arial"/>
                <w:b/>
                <w:sz w:val="16"/>
                <w:szCs w:val="18"/>
              </w:rPr>
              <w:t>5.795.002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3DCE2" w14:textId="4B816274" w:rsidR="004C518C" w:rsidRPr="00701F32" w:rsidRDefault="0036760D">
            <w:pPr>
              <w:jc w:val="right"/>
              <w:rPr>
                <w:rFonts w:ascii="Arial" w:hAnsi="Arial" w:cs="Arial"/>
                <w:b/>
                <w:sz w:val="16"/>
                <w:szCs w:val="18"/>
              </w:rPr>
            </w:pPr>
            <w:r w:rsidRPr="00701F32">
              <w:rPr>
                <w:rFonts w:ascii="Arial" w:hAnsi="Arial" w:cs="Arial"/>
                <w:b/>
                <w:sz w:val="16"/>
                <w:szCs w:val="18"/>
              </w:rPr>
              <w:t>-1.973.147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DA8F6" w14:textId="77777777" w:rsidR="004C518C" w:rsidRPr="00701F32" w:rsidRDefault="004C518C">
            <w:pPr>
              <w:jc w:val="right"/>
              <w:rPr>
                <w:rFonts w:ascii="Arial" w:hAnsi="Arial" w:cs="Arial"/>
                <w:b/>
                <w:sz w:val="16"/>
                <w:szCs w:val="18"/>
              </w:rPr>
            </w:pPr>
            <w:r w:rsidRPr="00701F32">
              <w:rPr>
                <w:rFonts w:ascii="Arial" w:hAnsi="Arial" w:cs="Arial"/>
                <w:b/>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BD8E" w14:textId="3DAAD3E2" w:rsidR="004C518C" w:rsidRPr="00701F32" w:rsidRDefault="0036760D">
            <w:pPr>
              <w:jc w:val="right"/>
              <w:rPr>
                <w:rFonts w:ascii="Arial" w:hAnsi="Arial" w:cs="Arial"/>
                <w:b/>
                <w:sz w:val="16"/>
                <w:szCs w:val="18"/>
              </w:rPr>
            </w:pPr>
            <w:r w:rsidRPr="00701F32">
              <w:rPr>
                <w:rFonts w:ascii="Arial" w:hAnsi="Arial" w:cs="Arial"/>
                <w:b/>
                <w:sz w:val="16"/>
                <w:szCs w:val="18"/>
              </w:rPr>
              <w:t>6.211.174</w:t>
            </w:r>
          </w:p>
        </w:tc>
      </w:tr>
      <w:tr w:rsidR="00FF0E34" w:rsidRPr="00701F32" w14:paraId="1A615FAC" w14:textId="77777777" w:rsidTr="00E311C9">
        <w:trPr>
          <w:trHeight w:val="240"/>
        </w:trPr>
        <w:tc>
          <w:tcPr>
            <w:tcW w:w="3509" w:type="dxa"/>
            <w:tcBorders>
              <w:top w:val="single" w:sz="4" w:space="0" w:color="auto"/>
              <w:left w:val="single" w:sz="4" w:space="0" w:color="auto"/>
              <w:bottom w:val="nil"/>
              <w:right w:val="single" w:sz="4" w:space="0" w:color="auto"/>
            </w:tcBorders>
            <w:shd w:val="clear" w:color="auto" w:fill="auto"/>
            <w:noWrap/>
            <w:vAlign w:val="center"/>
            <w:hideMark/>
          </w:tcPr>
          <w:p w14:paraId="6E71B4E4"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 xml:space="preserve">Ingresos por comisiones </w:t>
            </w:r>
          </w:p>
        </w:tc>
        <w:tc>
          <w:tcPr>
            <w:tcW w:w="1462" w:type="dxa"/>
            <w:tcBorders>
              <w:top w:val="single" w:sz="4" w:space="0" w:color="auto"/>
              <w:left w:val="single" w:sz="4" w:space="0" w:color="auto"/>
              <w:bottom w:val="nil"/>
              <w:right w:val="single" w:sz="4" w:space="0" w:color="auto"/>
            </w:tcBorders>
            <w:shd w:val="clear" w:color="auto" w:fill="auto"/>
            <w:noWrap/>
            <w:vAlign w:val="bottom"/>
            <w:hideMark/>
          </w:tcPr>
          <w:p w14:paraId="1B357B2D" w14:textId="5D8F537A" w:rsidR="004C518C" w:rsidRPr="00701F32" w:rsidRDefault="0036760D">
            <w:pPr>
              <w:jc w:val="right"/>
              <w:rPr>
                <w:rFonts w:ascii="Arial" w:hAnsi="Arial" w:cs="Arial"/>
                <w:sz w:val="16"/>
                <w:szCs w:val="18"/>
                <w:lang w:val="es-ES_tradnl"/>
              </w:rPr>
            </w:pPr>
            <w:r w:rsidRPr="00701F32">
              <w:rPr>
                <w:rFonts w:ascii="Arial" w:hAnsi="Arial" w:cs="Arial"/>
                <w:sz w:val="16"/>
                <w:szCs w:val="18"/>
              </w:rPr>
              <w:t>337.993</w:t>
            </w:r>
          </w:p>
        </w:tc>
        <w:tc>
          <w:tcPr>
            <w:tcW w:w="1597" w:type="dxa"/>
            <w:tcBorders>
              <w:top w:val="single" w:sz="4" w:space="0" w:color="auto"/>
              <w:left w:val="single" w:sz="4" w:space="0" w:color="auto"/>
              <w:bottom w:val="nil"/>
              <w:right w:val="single" w:sz="4" w:space="0" w:color="auto"/>
            </w:tcBorders>
            <w:shd w:val="clear" w:color="auto" w:fill="auto"/>
            <w:noWrap/>
            <w:vAlign w:val="bottom"/>
            <w:hideMark/>
          </w:tcPr>
          <w:p w14:paraId="6DC339FF" w14:textId="5E824902"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181856" w:rsidRPr="00701F32">
              <w:rPr>
                <w:rFonts w:ascii="Arial" w:hAnsi="Arial" w:cs="Arial"/>
                <w:sz w:val="16"/>
                <w:szCs w:val="18"/>
              </w:rPr>
              <w:t xml:space="preserve"> </w:t>
            </w:r>
            <w:r w:rsidR="0036760D" w:rsidRPr="00701F32">
              <w:rPr>
                <w:rFonts w:ascii="Arial" w:hAnsi="Arial" w:cs="Arial"/>
                <w:sz w:val="16"/>
                <w:szCs w:val="18"/>
              </w:rPr>
              <w:t>2.214.057</w:t>
            </w:r>
          </w:p>
        </w:tc>
        <w:tc>
          <w:tcPr>
            <w:tcW w:w="1602" w:type="dxa"/>
            <w:tcBorders>
              <w:top w:val="single" w:sz="4" w:space="0" w:color="auto"/>
              <w:left w:val="single" w:sz="4" w:space="0" w:color="auto"/>
              <w:bottom w:val="nil"/>
              <w:right w:val="single" w:sz="4" w:space="0" w:color="auto"/>
            </w:tcBorders>
            <w:shd w:val="clear" w:color="auto" w:fill="auto"/>
            <w:noWrap/>
            <w:vAlign w:val="bottom"/>
            <w:hideMark/>
          </w:tcPr>
          <w:p w14:paraId="7594E4DE" w14:textId="4737BBD3" w:rsidR="004C518C" w:rsidRPr="00701F32" w:rsidRDefault="0036760D">
            <w:pPr>
              <w:jc w:val="right"/>
              <w:rPr>
                <w:rFonts w:ascii="Arial" w:hAnsi="Arial" w:cs="Arial"/>
                <w:sz w:val="16"/>
                <w:szCs w:val="18"/>
                <w:lang w:val="es-ES_tradnl"/>
              </w:rPr>
            </w:pPr>
            <w:r w:rsidRPr="00701F32">
              <w:rPr>
                <w:rFonts w:ascii="Arial" w:hAnsi="Arial" w:cs="Arial"/>
                <w:sz w:val="16"/>
                <w:szCs w:val="18"/>
              </w:rPr>
              <w:t>15.545</w:t>
            </w:r>
          </w:p>
        </w:tc>
        <w:tc>
          <w:tcPr>
            <w:tcW w:w="1078" w:type="dxa"/>
            <w:tcBorders>
              <w:top w:val="single" w:sz="4" w:space="0" w:color="auto"/>
              <w:left w:val="single" w:sz="4" w:space="0" w:color="auto"/>
              <w:bottom w:val="nil"/>
              <w:right w:val="single" w:sz="4" w:space="0" w:color="auto"/>
            </w:tcBorders>
            <w:shd w:val="clear" w:color="auto" w:fill="auto"/>
            <w:noWrap/>
            <w:vAlign w:val="bottom"/>
            <w:hideMark/>
          </w:tcPr>
          <w:p w14:paraId="6C1D14F4"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nil"/>
              <w:right w:val="single" w:sz="4" w:space="0" w:color="auto"/>
            </w:tcBorders>
            <w:shd w:val="clear" w:color="auto" w:fill="auto"/>
            <w:noWrap/>
            <w:vAlign w:val="bottom"/>
            <w:hideMark/>
          </w:tcPr>
          <w:p w14:paraId="32B9BBAB" w14:textId="402D6F49" w:rsidR="004C518C" w:rsidRPr="00701F32" w:rsidRDefault="0036760D">
            <w:pPr>
              <w:jc w:val="right"/>
              <w:rPr>
                <w:rFonts w:ascii="Arial" w:hAnsi="Arial" w:cs="Arial"/>
                <w:sz w:val="16"/>
                <w:szCs w:val="18"/>
                <w:lang w:val="es-ES_tradnl"/>
              </w:rPr>
            </w:pPr>
            <w:r w:rsidRPr="00701F32">
              <w:rPr>
                <w:rFonts w:ascii="Arial" w:hAnsi="Arial" w:cs="Arial"/>
                <w:sz w:val="16"/>
                <w:szCs w:val="18"/>
              </w:rPr>
              <w:t>2.567.595</w:t>
            </w:r>
          </w:p>
        </w:tc>
      </w:tr>
      <w:tr w:rsidR="00FF0E34" w:rsidRPr="00701F32" w14:paraId="18B9F120" w14:textId="77777777" w:rsidTr="00E311C9">
        <w:trPr>
          <w:trHeight w:val="240"/>
        </w:trPr>
        <w:tc>
          <w:tcPr>
            <w:tcW w:w="3509" w:type="dxa"/>
            <w:tcBorders>
              <w:top w:val="nil"/>
              <w:left w:val="single" w:sz="4" w:space="0" w:color="auto"/>
              <w:bottom w:val="single" w:sz="4" w:space="0" w:color="auto"/>
              <w:right w:val="single" w:sz="4" w:space="0" w:color="auto"/>
            </w:tcBorders>
            <w:shd w:val="clear" w:color="auto" w:fill="auto"/>
            <w:noWrap/>
            <w:vAlign w:val="center"/>
            <w:hideMark/>
          </w:tcPr>
          <w:p w14:paraId="24A00714"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 xml:space="preserve">Egresos por comisiones </w:t>
            </w:r>
          </w:p>
        </w:tc>
        <w:tc>
          <w:tcPr>
            <w:tcW w:w="1462" w:type="dxa"/>
            <w:tcBorders>
              <w:top w:val="nil"/>
              <w:left w:val="single" w:sz="4" w:space="0" w:color="auto"/>
              <w:bottom w:val="single" w:sz="4" w:space="0" w:color="auto"/>
              <w:right w:val="single" w:sz="4" w:space="0" w:color="auto"/>
            </w:tcBorders>
            <w:shd w:val="clear" w:color="auto" w:fill="auto"/>
            <w:noWrap/>
            <w:vAlign w:val="bottom"/>
            <w:hideMark/>
          </w:tcPr>
          <w:p w14:paraId="2A3C4995" w14:textId="2A1310FF" w:rsidR="004C518C" w:rsidRPr="00701F32" w:rsidRDefault="0036760D">
            <w:pPr>
              <w:jc w:val="right"/>
              <w:rPr>
                <w:rFonts w:ascii="Arial" w:hAnsi="Arial" w:cs="Arial"/>
                <w:sz w:val="16"/>
                <w:szCs w:val="18"/>
                <w:lang w:val="es-ES_tradnl"/>
              </w:rPr>
            </w:pPr>
            <w:r w:rsidRPr="00701F32">
              <w:rPr>
                <w:rFonts w:ascii="Arial" w:hAnsi="Arial" w:cs="Arial"/>
                <w:sz w:val="16"/>
                <w:szCs w:val="18"/>
              </w:rPr>
              <w:t xml:space="preserve">34.402 </w:t>
            </w:r>
            <w:r w:rsidR="004C518C" w:rsidRPr="00701F32">
              <w:rPr>
                <w:rFonts w:ascii="Arial" w:hAnsi="Arial" w:cs="Arial"/>
                <w:sz w:val="16"/>
                <w:szCs w:val="18"/>
              </w:rPr>
              <w:t xml:space="preserve"> </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5DF9F43" w14:textId="387FD96F" w:rsidR="004C518C" w:rsidRPr="00701F32" w:rsidRDefault="0036760D">
            <w:pPr>
              <w:jc w:val="right"/>
              <w:rPr>
                <w:rFonts w:ascii="Arial" w:hAnsi="Arial" w:cs="Arial"/>
                <w:sz w:val="16"/>
                <w:szCs w:val="18"/>
                <w:lang w:val="es-ES_tradnl"/>
              </w:rPr>
            </w:pPr>
            <w:r w:rsidRPr="00701F32">
              <w:rPr>
                <w:rFonts w:ascii="Arial" w:hAnsi="Arial" w:cs="Arial"/>
                <w:sz w:val="16"/>
                <w:szCs w:val="18"/>
              </w:rPr>
              <w:t>516.040</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4EEDA7C7" w14:textId="1BC5462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34.613</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0E4A605A"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565F151E" w14:textId="7A20FCF0" w:rsidR="004C518C" w:rsidRPr="00701F32" w:rsidRDefault="0036760D">
            <w:pPr>
              <w:jc w:val="right"/>
              <w:rPr>
                <w:rFonts w:ascii="Arial" w:hAnsi="Arial" w:cs="Arial"/>
                <w:sz w:val="16"/>
                <w:szCs w:val="18"/>
                <w:lang w:val="es-ES_tradnl"/>
              </w:rPr>
            </w:pPr>
            <w:r w:rsidRPr="00701F32">
              <w:rPr>
                <w:rFonts w:ascii="Arial" w:hAnsi="Arial" w:cs="Arial"/>
                <w:sz w:val="16"/>
                <w:szCs w:val="18"/>
              </w:rPr>
              <w:t>585.055</w:t>
            </w:r>
          </w:p>
        </w:tc>
      </w:tr>
      <w:tr w:rsidR="00FF0E34" w:rsidRPr="00701F32" w14:paraId="30BB2EA0" w14:textId="77777777" w:rsidTr="00E311C9">
        <w:trPr>
          <w:trHeight w:val="163"/>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0835"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Resultado neto por comisiones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B99D9" w14:textId="5E947AEC" w:rsidR="004C518C" w:rsidRPr="00701F32" w:rsidRDefault="0036760D">
            <w:pPr>
              <w:jc w:val="right"/>
              <w:rPr>
                <w:rFonts w:ascii="Arial" w:hAnsi="Arial" w:cs="Arial"/>
                <w:b/>
                <w:sz w:val="16"/>
                <w:szCs w:val="18"/>
              </w:rPr>
            </w:pPr>
            <w:r w:rsidRPr="00701F32">
              <w:rPr>
                <w:rFonts w:ascii="Arial" w:hAnsi="Arial" w:cs="Arial"/>
                <w:b/>
                <w:sz w:val="16"/>
                <w:szCs w:val="18"/>
              </w:rPr>
              <w:t>303.591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9BCF9" w14:textId="013C93C5" w:rsidR="004C518C" w:rsidRPr="00701F32" w:rsidRDefault="0036760D">
            <w:pPr>
              <w:jc w:val="right"/>
              <w:rPr>
                <w:rFonts w:ascii="Arial" w:hAnsi="Arial" w:cs="Arial"/>
                <w:b/>
                <w:sz w:val="16"/>
                <w:szCs w:val="18"/>
              </w:rPr>
            </w:pPr>
            <w:r w:rsidRPr="00701F32">
              <w:rPr>
                <w:rFonts w:ascii="Arial" w:hAnsi="Arial" w:cs="Arial"/>
                <w:b/>
                <w:sz w:val="16"/>
                <w:szCs w:val="18"/>
              </w:rPr>
              <w:t>1.698.017</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7D90" w14:textId="0BFD8C7D" w:rsidR="004C518C" w:rsidRPr="00701F32" w:rsidRDefault="0036760D">
            <w:pPr>
              <w:jc w:val="right"/>
              <w:rPr>
                <w:rFonts w:ascii="Arial" w:hAnsi="Arial" w:cs="Arial"/>
                <w:b/>
                <w:sz w:val="16"/>
                <w:szCs w:val="18"/>
              </w:rPr>
            </w:pPr>
            <w:r w:rsidRPr="00701F32">
              <w:rPr>
                <w:rFonts w:ascii="Arial" w:hAnsi="Arial" w:cs="Arial"/>
                <w:b/>
                <w:sz w:val="16"/>
                <w:szCs w:val="18"/>
              </w:rPr>
              <w:t>-19.068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4E6BD" w14:textId="77777777" w:rsidR="004C518C" w:rsidRPr="00701F32" w:rsidRDefault="004C518C">
            <w:pPr>
              <w:jc w:val="right"/>
              <w:rPr>
                <w:rFonts w:ascii="Arial" w:hAnsi="Arial" w:cs="Arial"/>
                <w:b/>
                <w:sz w:val="16"/>
                <w:szCs w:val="18"/>
              </w:rPr>
            </w:pPr>
            <w:r w:rsidRPr="00701F32">
              <w:rPr>
                <w:rFonts w:ascii="Arial" w:hAnsi="Arial" w:cs="Arial"/>
                <w:b/>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AA04" w14:textId="308A6A8D" w:rsidR="004C518C" w:rsidRPr="00701F32" w:rsidRDefault="0036760D">
            <w:pPr>
              <w:jc w:val="right"/>
              <w:rPr>
                <w:rFonts w:ascii="Arial" w:hAnsi="Arial" w:cs="Arial"/>
                <w:b/>
                <w:sz w:val="16"/>
                <w:szCs w:val="18"/>
              </w:rPr>
            </w:pPr>
            <w:r w:rsidRPr="00701F32">
              <w:rPr>
                <w:rFonts w:ascii="Arial" w:hAnsi="Arial" w:cs="Arial"/>
                <w:b/>
                <w:sz w:val="16"/>
                <w:szCs w:val="18"/>
              </w:rPr>
              <w:t>1.982.540</w:t>
            </w:r>
          </w:p>
        </w:tc>
      </w:tr>
      <w:tr w:rsidR="00FF0E34" w:rsidRPr="00701F32" w14:paraId="2ECA9367" w14:textId="77777777" w:rsidTr="00E311C9">
        <w:trPr>
          <w:trHeight w:val="105"/>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87B6E"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Subtotal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F37E" w14:textId="49266B0B" w:rsidR="004C518C" w:rsidRPr="00701F32" w:rsidRDefault="0036760D">
            <w:pPr>
              <w:jc w:val="right"/>
              <w:rPr>
                <w:rFonts w:ascii="Arial" w:hAnsi="Arial" w:cs="Arial"/>
                <w:b/>
                <w:sz w:val="16"/>
                <w:szCs w:val="18"/>
              </w:rPr>
            </w:pPr>
            <w:r w:rsidRPr="00701F32">
              <w:rPr>
                <w:rFonts w:ascii="Arial" w:hAnsi="Arial" w:cs="Arial"/>
                <w:b/>
                <w:sz w:val="16"/>
                <w:szCs w:val="18"/>
              </w:rPr>
              <w:t>2.692.910</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0FC05" w14:textId="352B13B2" w:rsidR="004C518C" w:rsidRPr="00701F32" w:rsidRDefault="0036760D">
            <w:pPr>
              <w:jc w:val="right"/>
              <w:rPr>
                <w:rFonts w:ascii="Arial" w:hAnsi="Arial" w:cs="Arial"/>
                <w:b/>
                <w:sz w:val="16"/>
                <w:szCs w:val="18"/>
              </w:rPr>
            </w:pPr>
            <w:r w:rsidRPr="00701F32">
              <w:rPr>
                <w:rFonts w:ascii="Arial" w:hAnsi="Arial" w:cs="Arial"/>
                <w:b/>
                <w:sz w:val="16"/>
                <w:szCs w:val="18"/>
              </w:rPr>
              <w:t>7.493.019</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1E16" w14:textId="509F6436" w:rsidR="004C518C" w:rsidRPr="00701F32" w:rsidRDefault="0036760D">
            <w:pPr>
              <w:jc w:val="right"/>
              <w:rPr>
                <w:rFonts w:ascii="Arial" w:hAnsi="Arial" w:cs="Arial"/>
                <w:b/>
                <w:sz w:val="16"/>
                <w:szCs w:val="18"/>
              </w:rPr>
            </w:pPr>
            <w:r w:rsidRPr="00701F32">
              <w:rPr>
                <w:rFonts w:ascii="Arial" w:hAnsi="Arial" w:cs="Arial"/>
                <w:b/>
                <w:sz w:val="16"/>
                <w:szCs w:val="18"/>
              </w:rPr>
              <w:t>-1.992.215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C1CC5" w14:textId="77777777" w:rsidR="004C518C" w:rsidRPr="00701F32" w:rsidRDefault="004C518C">
            <w:pPr>
              <w:jc w:val="right"/>
              <w:rPr>
                <w:rFonts w:ascii="Arial" w:hAnsi="Arial" w:cs="Arial"/>
                <w:b/>
                <w:sz w:val="16"/>
                <w:szCs w:val="18"/>
              </w:rPr>
            </w:pPr>
            <w:r w:rsidRPr="00701F32">
              <w:rPr>
                <w:rFonts w:ascii="Arial" w:hAnsi="Arial" w:cs="Arial"/>
                <w:b/>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85ED3" w14:textId="24FD79B8" w:rsidR="004C518C" w:rsidRPr="00701F32" w:rsidRDefault="0036760D">
            <w:pPr>
              <w:jc w:val="right"/>
              <w:rPr>
                <w:rFonts w:ascii="Arial" w:hAnsi="Arial" w:cs="Arial"/>
                <w:b/>
                <w:sz w:val="16"/>
                <w:szCs w:val="18"/>
              </w:rPr>
            </w:pPr>
            <w:r w:rsidRPr="00701F32">
              <w:rPr>
                <w:rFonts w:ascii="Arial" w:hAnsi="Arial" w:cs="Arial"/>
                <w:b/>
                <w:sz w:val="16"/>
                <w:szCs w:val="18"/>
              </w:rPr>
              <w:t>8.193.714</w:t>
            </w:r>
          </w:p>
        </w:tc>
      </w:tr>
      <w:tr w:rsidR="00FF0E34" w:rsidRPr="00701F32" w14:paraId="3F68171F" w14:textId="77777777" w:rsidTr="00E311C9">
        <w:trPr>
          <w:trHeight w:val="240"/>
        </w:trPr>
        <w:tc>
          <w:tcPr>
            <w:tcW w:w="3509" w:type="dxa"/>
            <w:tcBorders>
              <w:top w:val="single" w:sz="4" w:space="0" w:color="auto"/>
              <w:left w:val="single" w:sz="4" w:space="0" w:color="auto"/>
              <w:bottom w:val="nil"/>
              <w:right w:val="single" w:sz="4" w:space="0" w:color="auto"/>
            </w:tcBorders>
            <w:shd w:val="clear" w:color="auto" w:fill="auto"/>
            <w:noWrap/>
            <w:vAlign w:val="center"/>
            <w:hideMark/>
          </w:tcPr>
          <w:p w14:paraId="2C85AC96"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Resultado neto por medición de instrumentos financieros a valor razonable con cambios en resultados </w:t>
            </w:r>
          </w:p>
        </w:tc>
        <w:tc>
          <w:tcPr>
            <w:tcW w:w="1462" w:type="dxa"/>
            <w:tcBorders>
              <w:top w:val="single" w:sz="4" w:space="0" w:color="auto"/>
              <w:left w:val="single" w:sz="4" w:space="0" w:color="auto"/>
              <w:bottom w:val="nil"/>
              <w:right w:val="single" w:sz="4" w:space="0" w:color="auto"/>
            </w:tcBorders>
            <w:shd w:val="clear" w:color="auto" w:fill="auto"/>
            <w:noWrap/>
            <w:vAlign w:val="bottom"/>
            <w:hideMark/>
          </w:tcPr>
          <w:p w14:paraId="1F3ACBFD" w14:textId="2B334DFA" w:rsidR="004C518C" w:rsidRPr="00701F32" w:rsidRDefault="0036760D">
            <w:pPr>
              <w:jc w:val="right"/>
              <w:rPr>
                <w:rFonts w:ascii="Arial" w:hAnsi="Arial" w:cs="Arial"/>
                <w:sz w:val="16"/>
                <w:szCs w:val="18"/>
                <w:lang w:val="es-ES_tradnl"/>
              </w:rPr>
            </w:pPr>
            <w:r w:rsidRPr="00701F32">
              <w:rPr>
                <w:rFonts w:ascii="Arial" w:hAnsi="Arial" w:cs="Arial"/>
                <w:sz w:val="16"/>
                <w:szCs w:val="18"/>
              </w:rPr>
              <w:t>-3.708</w:t>
            </w:r>
          </w:p>
        </w:tc>
        <w:tc>
          <w:tcPr>
            <w:tcW w:w="1597" w:type="dxa"/>
            <w:tcBorders>
              <w:top w:val="single" w:sz="4" w:space="0" w:color="auto"/>
              <w:left w:val="single" w:sz="4" w:space="0" w:color="auto"/>
              <w:bottom w:val="nil"/>
              <w:right w:val="single" w:sz="4" w:space="0" w:color="auto"/>
            </w:tcBorders>
            <w:shd w:val="clear" w:color="auto" w:fill="auto"/>
            <w:noWrap/>
            <w:vAlign w:val="bottom"/>
            <w:hideMark/>
          </w:tcPr>
          <w:p w14:paraId="2DB0660E"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602" w:type="dxa"/>
            <w:tcBorders>
              <w:top w:val="single" w:sz="4" w:space="0" w:color="auto"/>
              <w:left w:val="single" w:sz="4" w:space="0" w:color="auto"/>
              <w:bottom w:val="nil"/>
              <w:right w:val="single" w:sz="4" w:space="0" w:color="auto"/>
            </w:tcBorders>
            <w:shd w:val="clear" w:color="auto" w:fill="auto"/>
            <w:noWrap/>
            <w:vAlign w:val="bottom"/>
            <w:hideMark/>
          </w:tcPr>
          <w:p w14:paraId="6347E2F4" w14:textId="6A434A42" w:rsidR="004C518C" w:rsidRPr="00701F32" w:rsidRDefault="0036760D">
            <w:pPr>
              <w:jc w:val="right"/>
              <w:rPr>
                <w:rFonts w:ascii="Arial" w:hAnsi="Arial" w:cs="Arial"/>
                <w:sz w:val="16"/>
                <w:szCs w:val="18"/>
                <w:lang w:val="es-ES_tradnl"/>
              </w:rPr>
            </w:pPr>
            <w:r w:rsidRPr="00701F32">
              <w:rPr>
                <w:rFonts w:ascii="Arial" w:hAnsi="Arial" w:cs="Arial"/>
                <w:sz w:val="16"/>
                <w:szCs w:val="18"/>
              </w:rPr>
              <w:t>2.373.553</w:t>
            </w:r>
          </w:p>
        </w:tc>
        <w:tc>
          <w:tcPr>
            <w:tcW w:w="1078" w:type="dxa"/>
            <w:tcBorders>
              <w:top w:val="single" w:sz="4" w:space="0" w:color="auto"/>
              <w:left w:val="single" w:sz="4" w:space="0" w:color="auto"/>
              <w:bottom w:val="nil"/>
              <w:right w:val="single" w:sz="4" w:space="0" w:color="auto"/>
            </w:tcBorders>
            <w:shd w:val="clear" w:color="auto" w:fill="auto"/>
            <w:noWrap/>
            <w:vAlign w:val="bottom"/>
            <w:hideMark/>
          </w:tcPr>
          <w:p w14:paraId="57DA8980"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nil"/>
              <w:right w:val="single" w:sz="4" w:space="0" w:color="auto"/>
            </w:tcBorders>
            <w:shd w:val="clear" w:color="auto" w:fill="auto"/>
            <w:noWrap/>
            <w:vAlign w:val="bottom"/>
            <w:hideMark/>
          </w:tcPr>
          <w:p w14:paraId="75D9CBB0" w14:textId="3284A908" w:rsidR="004C518C" w:rsidRPr="00701F32" w:rsidRDefault="0036760D">
            <w:pPr>
              <w:jc w:val="right"/>
              <w:rPr>
                <w:rFonts w:ascii="Arial" w:hAnsi="Arial" w:cs="Arial"/>
                <w:sz w:val="16"/>
                <w:szCs w:val="18"/>
                <w:lang w:val="es-ES_tradnl"/>
              </w:rPr>
            </w:pPr>
            <w:r w:rsidRPr="00701F32">
              <w:rPr>
                <w:rFonts w:ascii="Arial" w:hAnsi="Arial" w:cs="Arial"/>
                <w:sz w:val="16"/>
                <w:szCs w:val="18"/>
              </w:rPr>
              <w:t>2.369.845</w:t>
            </w:r>
          </w:p>
        </w:tc>
      </w:tr>
      <w:tr w:rsidR="00FF0E34" w:rsidRPr="00701F32" w14:paraId="25899097" w14:textId="77777777" w:rsidTr="00E311C9">
        <w:trPr>
          <w:trHeight w:val="240"/>
        </w:trPr>
        <w:tc>
          <w:tcPr>
            <w:tcW w:w="3509" w:type="dxa"/>
            <w:tcBorders>
              <w:top w:val="nil"/>
              <w:left w:val="single" w:sz="4" w:space="0" w:color="auto"/>
              <w:bottom w:val="nil"/>
              <w:right w:val="single" w:sz="4" w:space="0" w:color="auto"/>
            </w:tcBorders>
            <w:shd w:val="clear" w:color="auto" w:fill="auto"/>
            <w:noWrap/>
            <w:vAlign w:val="center"/>
            <w:hideMark/>
          </w:tcPr>
          <w:p w14:paraId="174BE797"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Diferencia de cotización de oro y moneda extranjera </w:t>
            </w:r>
          </w:p>
        </w:tc>
        <w:tc>
          <w:tcPr>
            <w:tcW w:w="1462" w:type="dxa"/>
            <w:tcBorders>
              <w:top w:val="nil"/>
              <w:left w:val="single" w:sz="4" w:space="0" w:color="auto"/>
              <w:bottom w:val="nil"/>
              <w:right w:val="single" w:sz="4" w:space="0" w:color="auto"/>
            </w:tcBorders>
            <w:shd w:val="clear" w:color="auto" w:fill="auto"/>
            <w:noWrap/>
            <w:vAlign w:val="bottom"/>
            <w:hideMark/>
          </w:tcPr>
          <w:p w14:paraId="560051D6" w14:textId="265576B1" w:rsidR="004C518C" w:rsidRPr="00701F32" w:rsidRDefault="0036760D">
            <w:pPr>
              <w:jc w:val="right"/>
              <w:rPr>
                <w:rFonts w:ascii="Arial" w:hAnsi="Arial" w:cs="Arial"/>
                <w:sz w:val="16"/>
                <w:szCs w:val="18"/>
                <w:lang w:val="es-ES_tradnl"/>
              </w:rPr>
            </w:pPr>
            <w:r w:rsidRPr="00701F32">
              <w:rPr>
                <w:rFonts w:ascii="Arial" w:hAnsi="Arial" w:cs="Arial"/>
                <w:sz w:val="16"/>
                <w:szCs w:val="18"/>
              </w:rPr>
              <w:t>33.250</w:t>
            </w:r>
          </w:p>
        </w:tc>
        <w:tc>
          <w:tcPr>
            <w:tcW w:w="1597" w:type="dxa"/>
            <w:tcBorders>
              <w:top w:val="nil"/>
              <w:left w:val="single" w:sz="4" w:space="0" w:color="auto"/>
              <w:bottom w:val="nil"/>
              <w:right w:val="single" w:sz="4" w:space="0" w:color="auto"/>
            </w:tcBorders>
            <w:shd w:val="clear" w:color="auto" w:fill="auto"/>
            <w:noWrap/>
            <w:vAlign w:val="bottom"/>
            <w:hideMark/>
          </w:tcPr>
          <w:p w14:paraId="6550719B" w14:textId="37B73586" w:rsidR="004C518C" w:rsidRPr="00701F32" w:rsidRDefault="0036760D">
            <w:pPr>
              <w:jc w:val="right"/>
              <w:rPr>
                <w:rFonts w:ascii="Arial" w:hAnsi="Arial" w:cs="Arial"/>
                <w:sz w:val="16"/>
                <w:szCs w:val="18"/>
                <w:lang w:val="es-ES_tradnl"/>
              </w:rPr>
            </w:pPr>
            <w:r w:rsidRPr="00701F32">
              <w:rPr>
                <w:rFonts w:ascii="Arial" w:hAnsi="Arial" w:cs="Arial"/>
                <w:sz w:val="16"/>
                <w:szCs w:val="18"/>
              </w:rPr>
              <w:t>421.621</w:t>
            </w:r>
          </w:p>
        </w:tc>
        <w:tc>
          <w:tcPr>
            <w:tcW w:w="1602" w:type="dxa"/>
            <w:tcBorders>
              <w:top w:val="nil"/>
              <w:left w:val="single" w:sz="4" w:space="0" w:color="auto"/>
              <w:bottom w:val="nil"/>
              <w:right w:val="single" w:sz="4" w:space="0" w:color="auto"/>
            </w:tcBorders>
            <w:shd w:val="clear" w:color="auto" w:fill="auto"/>
            <w:noWrap/>
            <w:vAlign w:val="bottom"/>
            <w:hideMark/>
          </w:tcPr>
          <w:p w14:paraId="5A23329B" w14:textId="0A8D2BA0"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-161.257</w:t>
            </w:r>
          </w:p>
        </w:tc>
        <w:tc>
          <w:tcPr>
            <w:tcW w:w="1078" w:type="dxa"/>
            <w:tcBorders>
              <w:top w:val="nil"/>
              <w:left w:val="single" w:sz="4" w:space="0" w:color="auto"/>
              <w:bottom w:val="nil"/>
              <w:right w:val="single" w:sz="4" w:space="0" w:color="auto"/>
            </w:tcBorders>
            <w:shd w:val="clear" w:color="auto" w:fill="auto"/>
            <w:noWrap/>
            <w:vAlign w:val="bottom"/>
            <w:hideMark/>
          </w:tcPr>
          <w:p w14:paraId="13594259"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nil"/>
              <w:right w:val="single" w:sz="4" w:space="0" w:color="auto"/>
            </w:tcBorders>
            <w:shd w:val="clear" w:color="auto" w:fill="auto"/>
            <w:noWrap/>
            <w:vAlign w:val="bottom"/>
            <w:hideMark/>
          </w:tcPr>
          <w:p w14:paraId="6253023C" w14:textId="64CF59B6" w:rsidR="004C518C" w:rsidRPr="00701F32" w:rsidRDefault="0036760D">
            <w:pPr>
              <w:jc w:val="right"/>
              <w:rPr>
                <w:rFonts w:ascii="Arial" w:hAnsi="Arial" w:cs="Arial"/>
                <w:sz w:val="16"/>
                <w:szCs w:val="18"/>
                <w:lang w:val="es-ES_tradnl"/>
              </w:rPr>
            </w:pPr>
            <w:r w:rsidRPr="00701F32">
              <w:rPr>
                <w:rFonts w:ascii="Arial" w:hAnsi="Arial" w:cs="Arial"/>
                <w:sz w:val="16"/>
                <w:szCs w:val="18"/>
              </w:rPr>
              <w:t>293.614</w:t>
            </w:r>
          </w:p>
        </w:tc>
      </w:tr>
      <w:tr w:rsidR="00FF0E34" w:rsidRPr="00701F32" w14:paraId="33CEF7DB" w14:textId="77777777" w:rsidTr="00E311C9">
        <w:trPr>
          <w:trHeight w:val="240"/>
        </w:trPr>
        <w:tc>
          <w:tcPr>
            <w:tcW w:w="3509" w:type="dxa"/>
            <w:tcBorders>
              <w:top w:val="nil"/>
              <w:left w:val="single" w:sz="4" w:space="0" w:color="auto"/>
              <w:bottom w:val="nil"/>
              <w:right w:val="single" w:sz="4" w:space="0" w:color="auto"/>
            </w:tcBorders>
            <w:shd w:val="clear" w:color="auto" w:fill="auto"/>
            <w:noWrap/>
            <w:vAlign w:val="center"/>
            <w:hideMark/>
          </w:tcPr>
          <w:p w14:paraId="297CADB3"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Otros ingresos operativos </w:t>
            </w:r>
          </w:p>
        </w:tc>
        <w:tc>
          <w:tcPr>
            <w:tcW w:w="1462" w:type="dxa"/>
            <w:tcBorders>
              <w:top w:val="nil"/>
              <w:left w:val="single" w:sz="4" w:space="0" w:color="auto"/>
              <w:bottom w:val="nil"/>
              <w:right w:val="single" w:sz="4" w:space="0" w:color="auto"/>
            </w:tcBorders>
            <w:shd w:val="clear" w:color="auto" w:fill="auto"/>
            <w:noWrap/>
            <w:vAlign w:val="bottom"/>
            <w:hideMark/>
          </w:tcPr>
          <w:p w14:paraId="2F207263" w14:textId="01B18AFD"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427.986</w:t>
            </w:r>
          </w:p>
        </w:tc>
        <w:tc>
          <w:tcPr>
            <w:tcW w:w="1597" w:type="dxa"/>
            <w:tcBorders>
              <w:top w:val="nil"/>
              <w:left w:val="single" w:sz="4" w:space="0" w:color="auto"/>
              <w:bottom w:val="nil"/>
              <w:right w:val="single" w:sz="4" w:space="0" w:color="auto"/>
            </w:tcBorders>
            <w:shd w:val="clear" w:color="auto" w:fill="auto"/>
            <w:noWrap/>
            <w:vAlign w:val="bottom"/>
            <w:hideMark/>
          </w:tcPr>
          <w:p w14:paraId="0AD108F3" w14:textId="5E2ADE18" w:rsidR="004C518C" w:rsidRPr="00701F32" w:rsidRDefault="0036760D">
            <w:pPr>
              <w:jc w:val="right"/>
              <w:rPr>
                <w:rFonts w:ascii="Arial" w:hAnsi="Arial" w:cs="Arial"/>
                <w:sz w:val="16"/>
                <w:szCs w:val="18"/>
                <w:lang w:val="es-ES_tradnl"/>
              </w:rPr>
            </w:pPr>
            <w:r w:rsidRPr="00701F32">
              <w:rPr>
                <w:rFonts w:ascii="Arial" w:hAnsi="Arial" w:cs="Arial"/>
                <w:sz w:val="16"/>
                <w:szCs w:val="18"/>
              </w:rPr>
              <w:t>517.366</w:t>
            </w:r>
          </w:p>
        </w:tc>
        <w:tc>
          <w:tcPr>
            <w:tcW w:w="1602" w:type="dxa"/>
            <w:tcBorders>
              <w:top w:val="nil"/>
              <w:left w:val="single" w:sz="4" w:space="0" w:color="auto"/>
              <w:bottom w:val="nil"/>
              <w:right w:val="single" w:sz="4" w:space="0" w:color="auto"/>
            </w:tcBorders>
            <w:shd w:val="clear" w:color="auto" w:fill="auto"/>
            <w:noWrap/>
            <w:vAlign w:val="bottom"/>
            <w:hideMark/>
          </w:tcPr>
          <w:p w14:paraId="1051029C" w14:textId="2D971F01"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40.025</w:t>
            </w:r>
          </w:p>
        </w:tc>
        <w:tc>
          <w:tcPr>
            <w:tcW w:w="1078" w:type="dxa"/>
            <w:tcBorders>
              <w:top w:val="nil"/>
              <w:left w:val="single" w:sz="4" w:space="0" w:color="auto"/>
              <w:bottom w:val="nil"/>
              <w:right w:val="single" w:sz="4" w:space="0" w:color="auto"/>
            </w:tcBorders>
            <w:shd w:val="clear" w:color="auto" w:fill="auto"/>
            <w:noWrap/>
            <w:vAlign w:val="bottom"/>
            <w:hideMark/>
          </w:tcPr>
          <w:p w14:paraId="0EDDD438"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nil"/>
              <w:right w:val="single" w:sz="4" w:space="0" w:color="auto"/>
            </w:tcBorders>
            <w:shd w:val="clear" w:color="auto" w:fill="auto"/>
            <w:noWrap/>
            <w:vAlign w:val="bottom"/>
            <w:hideMark/>
          </w:tcPr>
          <w:p w14:paraId="6F232F00" w14:textId="198D2C80" w:rsidR="004C518C" w:rsidRPr="00701F32" w:rsidRDefault="0036760D">
            <w:pPr>
              <w:jc w:val="right"/>
              <w:rPr>
                <w:rFonts w:ascii="Arial" w:hAnsi="Arial" w:cs="Arial"/>
                <w:sz w:val="16"/>
                <w:szCs w:val="18"/>
                <w:lang w:val="es-ES_tradnl"/>
              </w:rPr>
            </w:pPr>
            <w:r w:rsidRPr="00701F32">
              <w:rPr>
                <w:rFonts w:ascii="Arial" w:hAnsi="Arial" w:cs="Arial"/>
                <w:sz w:val="16"/>
                <w:szCs w:val="18"/>
              </w:rPr>
              <w:t>985.377</w:t>
            </w:r>
          </w:p>
        </w:tc>
      </w:tr>
      <w:tr w:rsidR="00FF0E34" w:rsidRPr="00701F32" w14:paraId="10524B45" w14:textId="77777777" w:rsidTr="00E311C9">
        <w:trPr>
          <w:trHeight w:val="240"/>
        </w:trPr>
        <w:tc>
          <w:tcPr>
            <w:tcW w:w="3509" w:type="dxa"/>
            <w:tcBorders>
              <w:top w:val="nil"/>
              <w:left w:val="single" w:sz="4" w:space="0" w:color="auto"/>
              <w:bottom w:val="single" w:sz="4" w:space="0" w:color="auto"/>
              <w:right w:val="single" w:sz="4" w:space="0" w:color="auto"/>
            </w:tcBorders>
            <w:shd w:val="clear" w:color="auto" w:fill="auto"/>
            <w:noWrap/>
            <w:vAlign w:val="center"/>
            <w:hideMark/>
          </w:tcPr>
          <w:p w14:paraId="260752EB"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Cargo por incobrabilidad </w:t>
            </w:r>
          </w:p>
        </w:tc>
        <w:tc>
          <w:tcPr>
            <w:tcW w:w="1462" w:type="dxa"/>
            <w:tcBorders>
              <w:top w:val="nil"/>
              <w:left w:val="single" w:sz="4" w:space="0" w:color="auto"/>
              <w:bottom w:val="single" w:sz="4" w:space="0" w:color="auto"/>
              <w:right w:val="single" w:sz="4" w:space="0" w:color="auto"/>
            </w:tcBorders>
            <w:shd w:val="clear" w:color="auto" w:fill="auto"/>
            <w:noWrap/>
            <w:vAlign w:val="bottom"/>
            <w:hideMark/>
          </w:tcPr>
          <w:p w14:paraId="0204CA5B" w14:textId="57F0FABF" w:rsidR="004C518C" w:rsidRPr="00701F32" w:rsidRDefault="0036760D">
            <w:pPr>
              <w:jc w:val="right"/>
              <w:rPr>
                <w:rFonts w:ascii="Arial" w:hAnsi="Arial" w:cs="Arial"/>
                <w:sz w:val="16"/>
                <w:szCs w:val="18"/>
                <w:lang w:val="es-ES_tradnl"/>
              </w:rPr>
            </w:pPr>
            <w:r w:rsidRPr="00701F32">
              <w:rPr>
                <w:rFonts w:ascii="Arial" w:hAnsi="Arial" w:cs="Arial"/>
                <w:sz w:val="16"/>
                <w:szCs w:val="18"/>
              </w:rPr>
              <w:t>471.536</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CD3B564" w14:textId="52D05FD5" w:rsidR="004C518C" w:rsidRPr="00701F32" w:rsidRDefault="0036760D">
            <w:pPr>
              <w:jc w:val="right"/>
              <w:rPr>
                <w:rFonts w:ascii="Arial" w:hAnsi="Arial" w:cs="Arial"/>
                <w:sz w:val="16"/>
                <w:szCs w:val="18"/>
                <w:lang w:val="es-ES_tradnl"/>
              </w:rPr>
            </w:pPr>
            <w:r w:rsidRPr="00701F32">
              <w:rPr>
                <w:rFonts w:ascii="Arial" w:hAnsi="Arial" w:cs="Arial"/>
                <w:sz w:val="16"/>
                <w:szCs w:val="18"/>
              </w:rPr>
              <w:t>957.874</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0E276E0" w14:textId="1EF93E2E" w:rsidR="004C518C" w:rsidRPr="00701F32" w:rsidRDefault="0036760D">
            <w:pPr>
              <w:jc w:val="right"/>
              <w:rPr>
                <w:rFonts w:ascii="Arial" w:hAnsi="Arial" w:cs="Arial"/>
                <w:sz w:val="16"/>
                <w:szCs w:val="18"/>
                <w:lang w:val="es-ES_tradnl"/>
              </w:rPr>
            </w:pPr>
            <w:r w:rsidRPr="00701F32">
              <w:rPr>
                <w:rFonts w:ascii="Arial" w:hAnsi="Arial" w:cs="Arial"/>
                <w:sz w:val="16"/>
                <w:szCs w:val="18"/>
              </w:rPr>
              <w:t>18.725</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7AF74D06"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7C52D214" w14:textId="5AD32F58" w:rsidR="004C518C" w:rsidRPr="00701F32" w:rsidRDefault="0036760D">
            <w:pPr>
              <w:jc w:val="right"/>
              <w:rPr>
                <w:rFonts w:ascii="Arial" w:hAnsi="Arial" w:cs="Arial"/>
                <w:sz w:val="16"/>
                <w:szCs w:val="18"/>
                <w:lang w:val="es-ES_tradnl"/>
              </w:rPr>
            </w:pPr>
            <w:r w:rsidRPr="00701F32">
              <w:rPr>
                <w:rFonts w:ascii="Arial" w:hAnsi="Arial" w:cs="Arial"/>
                <w:sz w:val="16"/>
                <w:szCs w:val="18"/>
              </w:rPr>
              <w:t>1.448.135</w:t>
            </w:r>
          </w:p>
        </w:tc>
      </w:tr>
      <w:tr w:rsidR="00FF0E34" w:rsidRPr="00701F32" w14:paraId="0DE93290" w14:textId="77777777" w:rsidTr="00E311C9">
        <w:trPr>
          <w:trHeight w:val="17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E4F3D" w14:textId="77777777" w:rsidR="004C518C" w:rsidRPr="00701F32" w:rsidRDefault="004C518C" w:rsidP="004C518C">
            <w:pPr>
              <w:rPr>
                <w:rFonts w:ascii="Arial" w:hAnsi="Arial" w:cs="Arial"/>
                <w:b/>
                <w:bCs/>
                <w:sz w:val="16"/>
                <w:szCs w:val="18"/>
                <w:lang w:eastAsia="es-AR"/>
              </w:rPr>
            </w:pPr>
            <w:r w:rsidRPr="00701F32">
              <w:rPr>
                <w:rFonts w:ascii="Arial" w:hAnsi="Arial" w:cs="Arial"/>
                <w:b/>
                <w:bCs/>
                <w:sz w:val="16"/>
                <w:szCs w:val="18"/>
                <w:lang w:eastAsia="es-AR"/>
              </w:rPr>
              <w:t xml:space="preserve">Ingreso operativo neto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A156" w14:textId="72CC2B7E" w:rsidR="004C518C" w:rsidRPr="00701F32" w:rsidRDefault="0036760D">
            <w:pPr>
              <w:jc w:val="right"/>
              <w:rPr>
                <w:rFonts w:ascii="Arial" w:hAnsi="Arial" w:cs="Arial"/>
                <w:b/>
                <w:sz w:val="16"/>
                <w:szCs w:val="18"/>
              </w:rPr>
            </w:pPr>
            <w:r w:rsidRPr="00701F32">
              <w:rPr>
                <w:rFonts w:ascii="Arial" w:hAnsi="Arial" w:cs="Arial"/>
                <w:b/>
                <w:sz w:val="16"/>
                <w:szCs w:val="18"/>
              </w:rPr>
              <w:t>2.678.902</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59B3" w14:textId="20B61120" w:rsidR="004C518C" w:rsidRPr="00701F32" w:rsidRDefault="0036760D">
            <w:pPr>
              <w:jc w:val="right"/>
              <w:rPr>
                <w:rFonts w:ascii="Arial" w:hAnsi="Arial" w:cs="Arial"/>
                <w:b/>
                <w:sz w:val="16"/>
                <w:szCs w:val="18"/>
              </w:rPr>
            </w:pPr>
            <w:r w:rsidRPr="00701F32">
              <w:rPr>
                <w:rFonts w:ascii="Arial" w:hAnsi="Arial" w:cs="Arial"/>
                <w:b/>
                <w:sz w:val="16"/>
                <w:szCs w:val="18"/>
              </w:rPr>
              <w:t>7.474.132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212B9" w14:textId="03BBAB21" w:rsidR="004C518C" w:rsidRPr="00701F32" w:rsidRDefault="004C518C">
            <w:pPr>
              <w:jc w:val="right"/>
              <w:rPr>
                <w:rFonts w:ascii="Arial" w:hAnsi="Arial" w:cs="Arial"/>
                <w:b/>
                <w:sz w:val="16"/>
                <w:szCs w:val="18"/>
              </w:rPr>
            </w:pPr>
            <w:r w:rsidRPr="00701F32">
              <w:rPr>
                <w:rFonts w:ascii="Arial" w:hAnsi="Arial" w:cs="Arial"/>
                <w:b/>
                <w:sz w:val="16"/>
                <w:szCs w:val="18"/>
              </w:rPr>
              <w:t xml:space="preserve"> </w:t>
            </w:r>
            <w:r w:rsidR="0036760D" w:rsidRPr="00701F32">
              <w:rPr>
                <w:rFonts w:ascii="Arial" w:hAnsi="Arial" w:cs="Arial"/>
                <w:b/>
                <w:sz w:val="16"/>
                <w:szCs w:val="18"/>
              </w:rPr>
              <w:t>241.381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53639" w14:textId="77777777" w:rsidR="004C518C" w:rsidRPr="00701F32" w:rsidRDefault="004C518C">
            <w:pPr>
              <w:jc w:val="right"/>
              <w:rPr>
                <w:rFonts w:ascii="Arial" w:hAnsi="Arial" w:cs="Arial"/>
                <w:b/>
                <w:sz w:val="16"/>
                <w:szCs w:val="18"/>
              </w:rPr>
            </w:pPr>
            <w:r w:rsidRPr="00701F32">
              <w:rPr>
                <w:rFonts w:ascii="Arial" w:hAnsi="Arial" w:cs="Arial"/>
                <w:b/>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DFB94" w14:textId="51A0D4CC" w:rsidR="004C518C" w:rsidRPr="00701F32" w:rsidRDefault="0036760D">
            <w:pPr>
              <w:jc w:val="right"/>
              <w:rPr>
                <w:rFonts w:ascii="Arial" w:hAnsi="Arial" w:cs="Arial"/>
                <w:b/>
                <w:sz w:val="16"/>
                <w:szCs w:val="18"/>
              </w:rPr>
            </w:pPr>
            <w:r w:rsidRPr="00701F32">
              <w:rPr>
                <w:rFonts w:ascii="Arial" w:hAnsi="Arial" w:cs="Arial"/>
                <w:b/>
                <w:sz w:val="16"/>
                <w:szCs w:val="18"/>
              </w:rPr>
              <w:t>10.394.415</w:t>
            </w:r>
          </w:p>
        </w:tc>
      </w:tr>
      <w:tr w:rsidR="00FF0E34" w:rsidRPr="00701F32" w14:paraId="47B5A3AE" w14:textId="77777777" w:rsidTr="00E311C9">
        <w:trPr>
          <w:trHeight w:val="240"/>
        </w:trPr>
        <w:tc>
          <w:tcPr>
            <w:tcW w:w="3509" w:type="dxa"/>
            <w:tcBorders>
              <w:top w:val="single" w:sz="4" w:space="0" w:color="auto"/>
              <w:left w:val="single" w:sz="4" w:space="0" w:color="auto"/>
              <w:bottom w:val="nil"/>
              <w:right w:val="single" w:sz="4" w:space="0" w:color="auto"/>
            </w:tcBorders>
            <w:shd w:val="clear" w:color="auto" w:fill="auto"/>
            <w:noWrap/>
            <w:vAlign w:val="center"/>
            <w:hideMark/>
          </w:tcPr>
          <w:p w14:paraId="464570F7"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Beneficios al personal </w:t>
            </w:r>
          </w:p>
        </w:tc>
        <w:tc>
          <w:tcPr>
            <w:tcW w:w="1462" w:type="dxa"/>
            <w:tcBorders>
              <w:top w:val="single" w:sz="4" w:space="0" w:color="auto"/>
              <w:left w:val="single" w:sz="4" w:space="0" w:color="auto"/>
              <w:bottom w:val="nil"/>
              <w:right w:val="single" w:sz="4" w:space="0" w:color="auto"/>
            </w:tcBorders>
            <w:shd w:val="clear" w:color="auto" w:fill="auto"/>
            <w:noWrap/>
            <w:vAlign w:val="bottom"/>
            <w:hideMark/>
          </w:tcPr>
          <w:p w14:paraId="710B8579" w14:textId="22107EB6"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565.625</w:t>
            </w:r>
          </w:p>
        </w:tc>
        <w:tc>
          <w:tcPr>
            <w:tcW w:w="1597" w:type="dxa"/>
            <w:tcBorders>
              <w:top w:val="single" w:sz="4" w:space="0" w:color="auto"/>
              <w:left w:val="single" w:sz="4" w:space="0" w:color="auto"/>
              <w:bottom w:val="nil"/>
              <w:right w:val="single" w:sz="4" w:space="0" w:color="auto"/>
            </w:tcBorders>
            <w:shd w:val="clear" w:color="auto" w:fill="auto"/>
            <w:noWrap/>
            <w:vAlign w:val="bottom"/>
            <w:hideMark/>
          </w:tcPr>
          <w:p w14:paraId="620C79AD" w14:textId="6DD9D578"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36760D" w:rsidRPr="00701F32">
              <w:rPr>
                <w:rFonts w:ascii="Arial" w:hAnsi="Arial" w:cs="Arial"/>
                <w:sz w:val="16"/>
                <w:szCs w:val="18"/>
              </w:rPr>
              <w:t>3.202.240</w:t>
            </w:r>
          </w:p>
        </w:tc>
        <w:tc>
          <w:tcPr>
            <w:tcW w:w="1602" w:type="dxa"/>
            <w:tcBorders>
              <w:top w:val="single" w:sz="4" w:space="0" w:color="auto"/>
              <w:left w:val="single" w:sz="4" w:space="0" w:color="auto"/>
              <w:bottom w:val="nil"/>
              <w:right w:val="single" w:sz="4" w:space="0" w:color="auto"/>
            </w:tcBorders>
            <w:shd w:val="clear" w:color="auto" w:fill="auto"/>
            <w:noWrap/>
            <w:vAlign w:val="bottom"/>
            <w:hideMark/>
          </w:tcPr>
          <w:p w14:paraId="13A4D278" w14:textId="58DF5620" w:rsidR="004C518C" w:rsidRPr="00701F32" w:rsidRDefault="0036760D">
            <w:pPr>
              <w:jc w:val="right"/>
              <w:rPr>
                <w:rFonts w:ascii="Arial" w:hAnsi="Arial" w:cs="Arial"/>
                <w:sz w:val="16"/>
                <w:szCs w:val="18"/>
                <w:lang w:val="es-ES_tradnl"/>
              </w:rPr>
            </w:pPr>
            <w:r w:rsidRPr="00701F32">
              <w:rPr>
                <w:rFonts w:ascii="Arial" w:hAnsi="Arial" w:cs="Arial"/>
                <w:sz w:val="16"/>
                <w:szCs w:val="18"/>
              </w:rPr>
              <w:t>190.036</w:t>
            </w:r>
          </w:p>
        </w:tc>
        <w:tc>
          <w:tcPr>
            <w:tcW w:w="1078" w:type="dxa"/>
            <w:tcBorders>
              <w:top w:val="single" w:sz="4" w:space="0" w:color="auto"/>
              <w:left w:val="single" w:sz="4" w:space="0" w:color="auto"/>
              <w:bottom w:val="nil"/>
              <w:right w:val="single" w:sz="4" w:space="0" w:color="auto"/>
            </w:tcBorders>
            <w:shd w:val="clear" w:color="auto" w:fill="auto"/>
            <w:noWrap/>
            <w:vAlign w:val="bottom"/>
            <w:hideMark/>
          </w:tcPr>
          <w:p w14:paraId="352AF94C"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nil"/>
              <w:right w:val="single" w:sz="4" w:space="0" w:color="auto"/>
            </w:tcBorders>
            <w:shd w:val="clear" w:color="auto" w:fill="auto"/>
            <w:noWrap/>
            <w:vAlign w:val="bottom"/>
            <w:hideMark/>
          </w:tcPr>
          <w:p w14:paraId="4CAA98D3" w14:textId="0AF7FB72" w:rsidR="004C518C" w:rsidRPr="00701F32" w:rsidRDefault="0036760D">
            <w:pPr>
              <w:jc w:val="right"/>
              <w:rPr>
                <w:rFonts w:ascii="Arial" w:hAnsi="Arial" w:cs="Arial"/>
                <w:sz w:val="16"/>
                <w:szCs w:val="18"/>
                <w:lang w:val="es-ES_tradnl"/>
              </w:rPr>
            </w:pPr>
            <w:r w:rsidRPr="00701F32">
              <w:rPr>
                <w:rFonts w:ascii="Arial" w:hAnsi="Arial" w:cs="Arial"/>
                <w:sz w:val="16"/>
                <w:szCs w:val="18"/>
              </w:rPr>
              <w:t xml:space="preserve">3.957.901 </w:t>
            </w:r>
            <w:r w:rsidR="004C518C" w:rsidRPr="00701F32">
              <w:rPr>
                <w:rFonts w:ascii="Arial" w:hAnsi="Arial" w:cs="Arial"/>
                <w:sz w:val="16"/>
                <w:szCs w:val="18"/>
              </w:rPr>
              <w:t xml:space="preserve"> </w:t>
            </w:r>
          </w:p>
        </w:tc>
      </w:tr>
      <w:tr w:rsidR="00FF0E34" w:rsidRPr="00701F32" w14:paraId="16D8E7C4" w14:textId="77777777" w:rsidTr="00E311C9">
        <w:trPr>
          <w:trHeight w:val="240"/>
        </w:trPr>
        <w:tc>
          <w:tcPr>
            <w:tcW w:w="3509" w:type="dxa"/>
            <w:tcBorders>
              <w:top w:val="nil"/>
              <w:left w:val="single" w:sz="4" w:space="0" w:color="auto"/>
              <w:bottom w:val="nil"/>
              <w:right w:val="single" w:sz="4" w:space="0" w:color="auto"/>
            </w:tcBorders>
            <w:shd w:val="clear" w:color="auto" w:fill="auto"/>
            <w:noWrap/>
            <w:vAlign w:val="center"/>
            <w:hideMark/>
          </w:tcPr>
          <w:p w14:paraId="1E551990"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Gastos de administración </w:t>
            </w:r>
          </w:p>
        </w:tc>
        <w:tc>
          <w:tcPr>
            <w:tcW w:w="1462" w:type="dxa"/>
            <w:tcBorders>
              <w:top w:val="nil"/>
              <w:left w:val="single" w:sz="4" w:space="0" w:color="auto"/>
              <w:bottom w:val="nil"/>
              <w:right w:val="single" w:sz="4" w:space="0" w:color="auto"/>
            </w:tcBorders>
            <w:shd w:val="clear" w:color="auto" w:fill="auto"/>
            <w:noWrap/>
            <w:vAlign w:val="bottom"/>
            <w:hideMark/>
          </w:tcPr>
          <w:p w14:paraId="41C26A80" w14:textId="6675F484" w:rsidR="004C518C" w:rsidRPr="00701F32" w:rsidRDefault="0036760D">
            <w:pPr>
              <w:jc w:val="right"/>
              <w:rPr>
                <w:rFonts w:ascii="Arial" w:hAnsi="Arial" w:cs="Arial"/>
                <w:sz w:val="16"/>
                <w:szCs w:val="18"/>
                <w:lang w:val="es-ES_tradnl"/>
              </w:rPr>
            </w:pPr>
            <w:r w:rsidRPr="00701F32">
              <w:rPr>
                <w:rFonts w:ascii="Arial" w:hAnsi="Arial" w:cs="Arial"/>
                <w:sz w:val="16"/>
                <w:szCs w:val="18"/>
              </w:rPr>
              <w:t>263.363</w:t>
            </w:r>
          </w:p>
        </w:tc>
        <w:tc>
          <w:tcPr>
            <w:tcW w:w="1597" w:type="dxa"/>
            <w:tcBorders>
              <w:top w:val="nil"/>
              <w:left w:val="single" w:sz="4" w:space="0" w:color="auto"/>
              <w:bottom w:val="nil"/>
              <w:right w:val="single" w:sz="4" w:space="0" w:color="auto"/>
            </w:tcBorders>
            <w:shd w:val="clear" w:color="auto" w:fill="auto"/>
            <w:noWrap/>
            <w:vAlign w:val="bottom"/>
            <w:hideMark/>
          </w:tcPr>
          <w:p w14:paraId="5A7C8B63" w14:textId="56325D52" w:rsidR="004C518C" w:rsidRPr="00701F32" w:rsidRDefault="0036760D">
            <w:pPr>
              <w:jc w:val="right"/>
              <w:rPr>
                <w:rFonts w:ascii="Arial" w:hAnsi="Arial" w:cs="Arial"/>
                <w:sz w:val="16"/>
                <w:szCs w:val="18"/>
                <w:lang w:val="es-ES_tradnl"/>
              </w:rPr>
            </w:pPr>
            <w:r w:rsidRPr="00701F32">
              <w:rPr>
                <w:rFonts w:ascii="Arial" w:hAnsi="Arial" w:cs="Arial"/>
                <w:sz w:val="16"/>
                <w:szCs w:val="18"/>
              </w:rPr>
              <w:t>2.127.533</w:t>
            </w:r>
          </w:p>
        </w:tc>
        <w:tc>
          <w:tcPr>
            <w:tcW w:w="1602" w:type="dxa"/>
            <w:tcBorders>
              <w:top w:val="nil"/>
              <w:left w:val="single" w:sz="4" w:space="0" w:color="auto"/>
              <w:bottom w:val="nil"/>
              <w:right w:val="single" w:sz="4" w:space="0" w:color="auto"/>
            </w:tcBorders>
            <w:shd w:val="clear" w:color="auto" w:fill="auto"/>
            <w:noWrap/>
            <w:vAlign w:val="bottom"/>
            <w:hideMark/>
          </w:tcPr>
          <w:p w14:paraId="76FC3B77" w14:textId="6532E5CF" w:rsidR="004C518C" w:rsidRPr="00701F32" w:rsidRDefault="0036760D">
            <w:pPr>
              <w:jc w:val="right"/>
              <w:rPr>
                <w:rFonts w:ascii="Arial" w:hAnsi="Arial" w:cs="Arial"/>
                <w:sz w:val="16"/>
                <w:szCs w:val="18"/>
                <w:lang w:val="es-ES_tradnl"/>
              </w:rPr>
            </w:pPr>
            <w:r w:rsidRPr="00701F32">
              <w:rPr>
                <w:rFonts w:ascii="Arial" w:hAnsi="Arial" w:cs="Arial"/>
                <w:sz w:val="16"/>
                <w:szCs w:val="18"/>
              </w:rPr>
              <w:t>102.676</w:t>
            </w:r>
          </w:p>
        </w:tc>
        <w:tc>
          <w:tcPr>
            <w:tcW w:w="1078" w:type="dxa"/>
            <w:tcBorders>
              <w:top w:val="nil"/>
              <w:left w:val="single" w:sz="4" w:space="0" w:color="auto"/>
              <w:bottom w:val="nil"/>
              <w:right w:val="single" w:sz="4" w:space="0" w:color="auto"/>
            </w:tcBorders>
            <w:shd w:val="clear" w:color="auto" w:fill="auto"/>
            <w:noWrap/>
            <w:vAlign w:val="bottom"/>
            <w:hideMark/>
          </w:tcPr>
          <w:p w14:paraId="458230A7"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nil"/>
              <w:right w:val="single" w:sz="4" w:space="0" w:color="auto"/>
            </w:tcBorders>
            <w:shd w:val="clear" w:color="auto" w:fill="auto"/>
            <w:noWrap/>
            <w:vAlign w:val="bottom"/>
            <w:hideMark/>
          </w:tcPr>
          <w:p w14:paraId="2E914A37" w14:textId="6CA719ED" w:rsidR="004C518C" w:rsidRPr="00701F32" w:rsidRDefault="0036760D">
            <w:pPr>
              <w:jc w:val="right"/>
              <w:rPr>
                <w:rFonts w:ascii="Arial" w:hAnsi="Arial" w:cs="Arial"/>
                <w:sz w:val="16"/>
                <w:szCs w:val="18"/>
                <w:lang w:val="es-ES_tradnl"/>
              </w:rPr>
            </w:pPr>
            <w:r w:rsidRPr="00701F32">
              <w:rPr>
                <w:rFonts w:ascii="Arial" w:hAnsi="Arial" w:cs="Arial"/>
                <w:sz w:val="16"/>
                <w:szCs w:val="18"/>
              </w:rPr>
              <w:t>2.493.572</w:t>
            </w:r>
          </w:p>
        </w:tc>
      </w:tr>
      <w:tr w:rsidR="00FF0E34" w:rsidRPr="00701F32" w14:paraId="6C9F82F2" w14:textId="77777777" w:rsidTr="00E311C9">
        <w:trPr>
          <w:trHeight w:val="240"/>
        </w:trPr>
        <w:tc>
          <w:tcPr>
            <w:tcW w:w="3509" w:type="dxa"/>
            <w:tcBorders>
              <w:top w:val="nil"/>
              <w:left w:val="single" w:sz="4" w:space="0" w:color="auto"/>
              <w:bottom w:val="nil"/>
              <w:right w:val="single" w:sz="4" w:space="0" w:color="auto"/>
            </w:tcBorders>
            <w:shd w:val="clear" w:color="auto" w:fill="auto"/>
            <w:noWrap/>
            <w:vAlign w:val="center"/>
            <w:hideMark/>
          </w:tcPr>
          <w:p w14:paraId="1A3FFE22"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Depreciaciones y desvalorizaciones de bienes </w:t>
            </w:r>
          </w:p>
        </w:tc>
        <w:tc>
          <w:tcPr>
            <w:tcW w:w="1462" w:type="dxa"/>
            <w:tcBorders>
              <w:top w:val="nil"/>
              <w:left w:val="single" w:sz="4" w:space="0" w:color="auto"/>
              <w:bottom w:val="nil"/>
              <w:right w:val="single" w:sz="4" w:space="0" w:color="auto"/>
            </w:tcBorders>
            <w:shd w:val="clear" w:color="auto" w:fill="auto"/>
            <w:noWrap/>
            <w:vAlign w:val="bottom"/>
            <w:hideMark/>
          </w:tcPr>
          <w:p w14:paraId="24050D1C" w14:textId="619A903B" w:rsidR="004C518C" w:rsidRPr="00701F32" w:rsidRDefault="0036760D">
            <w:pPr>
              <w:jc w:val="right"/>
              <w:rPr>
                <w:rFonts w:ascii="Arial" w:hAnsi="Arial" w:cs="Arial"/>
                <w:sz w:val="16"/>
                <w:szCs w:val="18"/>
                <w:lang w:val="es-ES_tradnl"/>
              </w:rPr>
            </w:pPr>
            <w:r w:rsidRPr="00701F32">
              <w:rPr>
                <w:rFonts w:ascii="Arial" w:hAnsi="Arial" w:cs="Arial"/>
                <w:sz w:val="16"/>
                <w:szCs w:val="18"/>
              </w:rPr>
              <w:t xml:space="preserve">44.606 </w:t>
            </w:r>
            <w:r w:rsidR="004C518C" w:rsidRPr="00701F32">
              <w:rPr>
                <w:rFonts w:ascii="Arial" w:hAnsi="Arial" w:cs="Arial"/>
                <w:sz w:val="16"/>
                <w:szCs w:val="18"/>
              </w:rPr>
              <w:t xml:space="preserve"> </w:t>
            </w:r>
          </w:p>
        </w:tc>
        <w:tc>
          <w:tcPr>
            <w:tcW w:w="1597" w:type="dxa"/>
            <w:tcBorders>
              <w:top w:val="nil"/>
              <w:left w:val="single" w:sz="4" w:space="0" w:color="auto"/>
              <w:bottom w:val="nil"/>
              <w:right w:val="single" w:sz="4" w:space="0" w:color="auto"/>
            </w:tcBorders>
            <w:shd w:val="clear" w:color="auto" w:fill="auto"/>
            <w:noWrap/>
            <w:vAlign w:val="bottom"/>
            <w:hideMark/>
          </w:tcPr>
          <w:p w14:paraId="70D4ABD5" w14:textId="019C2072" w:rsidR="004C518C" w:rsidRPr="00701F32" w:rsidRDefault="0036760D">
            <w:pPr>
              <w:jc w:val="right"/>
              <w:rPr>
                <w:rFonts w:ascii="Arial" w:hAnsi="Arial" w:cs="Arial"/>
                <w:sz w:val="16"/>
                <w:szCs w:val="18"/>
                <w:lang w:val="es-ES_tradnl"/>
              </w:rPr>
            </w:pPr>
            <w:r w:rsidRPr="00701F32">
              <w:rPr>
                <w:rFonts w:ascii="Arial" w:hAnsi="Arial" w:cs="Arial"/>
                <w:sz w:val="16"/>
                <w:szCs w:val="18"/>
              </w:rPr>
              <w:t>148.575</w:t>
            </w:r>
          </w:p>
        </w:tc>
        <w:tc>
          <w:tcPr>
            <w:tcW w:w="1602" w:type="dxa"/>
            <w:tcBorders>
              <w:top w:val="nil"/>
              <w:left w:val="single" w:sz="4" w:space="0" w:color="auto"/>
              <w:bottom w:val="nil"/>
              <w:right w:val="single" w:sz="4" w:space="0" w:color="auto"/>
            </w:tcBorders>
            <w:shd w:val="clear" w:color="auto" w:fill="auto"/>
            <w:noWrap/>
            <w:vAlign w:val="bottom"/>
            <w:hideMark/>
          </w:tcPr>
          <w:p w14:paraId="29D10138" w14:textId="5D95764D"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730F1A" w:rsidRPr="00701F32">
              <w:rPr>
                <w:rFonts w:ascii="Arial" w:hAnsi="Arial" w:cs="Arial"/>
                <w:sz w:val="16"/>
                <w:szCs w:val="18"/>
              </w:rPr>
              <w:t>10.903</w:t>
            </w:r>
          </w:p>
        </w:tc>
        <w:tc>
          <w:tcPr>
            <w:tcW w:w="1078" w:type="dxa"/>
            <w:tcBorders>
              <w:top w:val="nil"/>
              <w:left w:val="single" w:sz="4" w:space="0" w:color="auto"/>
              <w:bottom w:val="nil"/>
              <w:right w:val="single" w:sz="4" w:space="0" w:color="auto"/>
            </w:tcBorders>
            <w:shd w:val="clear" w:color="auto" w:fill="auto"/>
            <w:noWrap/>
            <w:vAlign w:val="bottom"/>
            <w:hideMark/>
          </w:tcPr>
          <w:p w14:paraId="5228781E"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nil"/>
              <w:right w:val="single" w:sz="4" w:space="0" w:color="auto"/>
            </w:tcBorders>
            <w:shd w:val="clear" w:color="auto" w:fill="auto"/>
            <w:noWrap/>
            <w:vAlign w:val="bottom"/>
            <w:hideMark/>
          </w:tcPr>
          <w:p w14:paraId="7594E845" w14:textId="49E84D5A" w:rsidR="004C518C" w:rsidRPr="00701F32" w:rsidRDefault="00730F1A">
            <w:pPr>
              <w:jc w:val="right"/>
              <w:rPr>
                <w:rFonts w:ascii="Arial" w:hAnsi="Arial" w:cs="Arial"/>
                <w:sz w:val="16"/>
                <w:szCs w:val="18"/>
                <w:lang w:val="es-ES_tradnl"/>
              </w:rPr>
            </w:pPr>
            <w:r w:rsidRPr="00701F32">
              <w:rPr>
                <w:rFonts w:ascii="Arial" w:hAnsi="Arial" w:cs="Arial"/>
                <w:sz w:val="16"/>
                <w:szCs w:val="18"/>
              </w:rPr>
              <w:t>204.084</w:t>
            </w:r>
          </w:p>
        </w:tc>
      </w:tr>
      <w:tr w:rsidR="00FF0E34" w:rsidRPr="00701F32" w14:paraId="23043732" w14:textId="77777777" w:rsidTr="00E311C9">
        <w:trPr>
          <w:trHeight w:val="240"/>
        </w:trPr>
        <w:tc>
          <w:tcPr>
            <w:tcW w:w="3509" w:type="dxa"/>
            <w:tcBorders>
              <w:top w:val="nil"/>
              <w:left w:val="single" w:sz="4" w:space="0" w:color="auto"/>
              <w:bottom w:val="single" w:sz="4" w:space="0" w:color="auto"/>
              <w:right w:val="single" w:sz="4" w:space="0" w:color="auto"/>
            </w:tcBorders>
            <w:shd w:val="clear" w:color="auto" w:fill="auto"/>
            <w:noWrap/>
            <w:vAlign w:val="center"/>
            <w:hideMark/>
          </w:tcPr>
          <w:p w14:paraId="3E6F5CB3"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Otros gastos operativos </w:t>
            </w:r>
          </w:p>
        </w:tc>
        <w:tc>
          <w:tcPr>
            <w:tcW w:w="1462" w:type="dxa"/>
            <w:tcBorders>
              <w:top w:val="nil"/>
              <w:left w:val="single" w:sz="4" w:space="0" w:color="auto"/>
              <w:bottom w:val="single" w:sz="4" w:space="0" w:color="auto"/>
              <w:right w:val="single" w:sz="4" w:space="0" w:color="auto"/>
            </w:tcBorders>
            <w:shd w:val="clear" w:color="auto" w:fill="auto"/>
            <w:noWrap/>
            <w:vAlign w:val="bottom"/>
            <w:hideMark/>
          </w:tcPr>
          <w:p w14:paraId="51441053" w14:textId="6FEC51C8" w:rsidR="004C518C" w:rsidRPr="00701F32" w:rsidRDefault="0036760D">
            <w:pPr>
              <w:jc w:val="right"/>
              <w:rPr>
                <w:rFonts w:ascii="Arial" w:hAnsi="Arial" w:cs="Arial"/>
                <w:sz w:val="16"/>
                <w:szCs w:val="18"/>
                <w:lang w:val="es-ES_tradnl"/>
              </w:rPr>
            </w:pPr>
            <w:r w:rsidRPr="00701F32">
              <w:rPr>
                <w:rFonts w:ascii="Arial" w:hAnsi="Arial" w:cs="Arial"/>
                <w:sz w:val="16"/>
                <w:szCs w:val="18"/>
              </w:rPr>
              <w:t>506.507</w:t>
            </w:r>
          </w:p>
        </w:tc>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3B331D10" w14:textId="580A488F" w:rsidR="004C518C" w:rsidRPr="00701F32" w:rsidRDefault="0036760D">
            <w:pPr>
              <w:jc w:val="right"/>
              <w:rPr>
                <w:rFonts w:ascii="Arial" w:hAnsi="Arial" w:cs="Arial"/>
                <w:sz w:val="16"/>
                <w:szCs w:val="18"/>
                <w:lang w:val="es-ES_tradnl"/>
              </w:rPr>
            </w:pPr>
            <w:r w:rsidRPr="00701F32">
              <w:rPr>
                <w:rFonts w:ascii="Arial" w:hAnsi="Arial" w:cs="Arial"/>
                <w:sz w:val="16"/>
                <w:szCs w:val="18"/>
              </w:rPr>
              <w:t>1.444.798</w:t>
            </w:r>
          </w:p>
        </w:tc>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32EED1A5" w14:textId="1D8E8D2A" w:rsidR="004C518C" w:rsidRPr="00701F32" w:rsidRDefault="0036760D">
            <w:pPr>
              <w:jc w:val="right"/>
              <w:rPr>
                <w:rFonts w:ascii="Arial" w:hAnsi="Arial" w:cs="Arial"/>
                <w:sz w:val="16"/>
                <w:szCs w:val="18"/>
                <w:lang w:val="es-ES_tradnl"/>
              </w:rPr>
            </w:pPr>
            <w:r w:rsidRPr="00701F32">
              <w:rPr>
                <w:rFonts w:ascii="Arial" w:hAnsi="Arial" w:cs="Arial"/>
                <w:sz w:val="16"/>
                <w:szCs w:val="18"/>
              </w:rPr>
              <w:t>135.012</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0EED70D3"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460E05E0" w14:textId="00CA375D" w:rsidR="004C518C" w:rsidRPr="00701F32" w:rsidRDefault="00730F1A">
            <w:pPr>
              <w:jc w:val="right"/>
              <w:rPr>
                <w:rFonts w:ascii="Arial" w:hAnsi="Arial" w:cs="Arial"/>
                <w:sz w:val="16"/>
                <w:szCs w:val="18"/>
                <w:lang w:val="es-ES_tradnl"/>
              </w:rPr>
            </w:pPr>
            <w:r w:rsidRPr="00701F32">
              <w:rPr>
                <w:rFonts w:ascii="Arial" w:hAnsi="Arial" w:cs="Arial"/>
                <w:sz w:val="16"/>
                <w:szCs w:val="18"/>
              </w:rPr>
              <w:t>2.086.317</w:t>
            </w:r>
          </w:p>
        </w:tc>
      </w:tr>
      <w:tr w:rsidR="00FF0E34" w:rsidRPr="00701F32" w14:paraId="5A8863AD"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64450" w14:textId="77777777" w:rsidR="004C518C" w:rsidRPr="00701F32" w:rsidRDefault="004C518C" w:rsidP="004C518C">
            <w:pPr>
              <w:rPr>
                <w:rFonts w:ascii="Arial" w:hAnsi="Arial" w:cs="Arial"/>
                <w:b/>
                <w:bCs/>
                <w:sz w:val="16"/>
                <w:szCs w:val="18"/>
                <w:lang w:eastAsia="es-AR"/>
              </w:rPr>
            </w:pPr>
            <w:r w:rsidRPr="00701F32">
              <w:rPr>
                <w:rFonts w:ascii="Arial" w:hAnsi="Arial" w:cs="Arial"/>
                <w:b/>
                <w:bCs/>
                <w:sz w:val="16"/>
                <w:szCs w:val="18"/>
                <w:lang w:eastAsia="es-AR"/>
              </w:rPr>
              <w:t xml:space="preserve">Resultado operativo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B863" w14:textId="68BA999D" w:rsidR="004C518C" w:rsidRPr="00701F32" w:rsidRDefault="0036760D">
            <w:pPr>
              <w:jc w:val="right"/>
              <w:rPr>
                <w:rFonts w:ascii="Arial" w:hAnsi="Arial" w:cs="Arial"/>
                <w:b/>
                <w:sz w:val="16"/>
                <w:szCs w:val="18"/>
              </w:rPr>
            </w:pPr>
            <w:r w:rsidRPr="00701F32">
              <w:rPr>
                <w:rFonts w:ascii="Arial" w:hAnsi="Arial" w:cs="Arial"/>
                <w:b/>
                <w:sz w:val="16"/>
                <w:szCs w:val="18"/>
              </w:rPr>
              <w:t>1.298.801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9633E" w14:textId="59A40A08" w:rsidR="004C518C" w:rsidRPr="00701F32" w:rsidRDefault="0036760D">
            <w:pPr>
              <w:jc w:val="right"/>
              <w:rPr>
                <w:rFonts w:ascii="Arial" w:hAnsi="Arial" w:cs="Arial"/>
                <w:b/>
                <w:sz w:val="16"/>
                <w:szCs w:val="18"/>
              </w:rPr>
            </w:pPr>
            <w:r w:rsidRPr="00701F32">
              <w:rPr>
                <w:rFonts w:ascii="Arial" w:hAnsi="Arial" w:cs="Arial"/>
                <w:b/>
                <w:sz w:val="16"/>
                <w:szCs w:val="18"/>
              </w:rPr>
              <w:t>550.986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0FA9E" w14:textId="0521ACBA" w:rsidR="004C518C" w:rsidRPr="00701F32" w:rsidRDefault="0036760D">
            <w:pPr>
              <w:jc w:val="right"/>
              <w:rPr>
                <w:rFonts w:ascii="Arial" w:hAnsi="Arial" w:cs="Arial"/>
                <w:b/>
                <w:sz w:val="16"/>
                <w:szCs w:val="18"/>
              </w:rPr>
            </w:pPr>
            <w:r w:rsidRPr="00701F32">
              <w:rPr>
                <w:rFonts w:ascii="Arial" w:hAnsi="Arial" w:cs="Arial"/>
                <w:b/>
                <w:sz w:val="16"/>
                <w:szCs w:val="18"/>
              </w:rPr>
              <w:t>-197.246</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B68F9" w14:textId="77777777" w:rsidR="004C518C" w:rsidRPr="00701F32" w:rsidRDefault="004C518C">
            <w:pPr>
              <w:jc w:val="right"/>
              <w:rPr>
                <w:rFonts w:ascii="Arial" w:hAnsi="Arial" w:cs="Arial"/>
                <w:b/>
                <w:sz w:val="16"/>
                <w:szCs w:val="18"/>
              </w:rPr>
            </w:pPr>
            <w:r w:rsidRPr="00701F32">
              <w:rPr>
                <w:rFonts w:ascii="Arial" w:hAnsi="Arial" w:cs="Arial"/>
                <w:b/>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6EFBF" w14:textId="77EC0A8C" w:rsidR="004C518C" w:rsidRPr="00701F32" w:rsidRDefault="00730F1A">
            <w:pPr>
              <w:jc w:val="right"/>
              <w:rPr>
                <w:rFonts w:ascii="Arial" w:hAnsi="Arial" w:cs="Arial"/>
                <w:b/>
                <w:sz w:val="16"/>
                <w:szCs w:val="18"/>
              </w:rPr>
            </w:pPr>
            <w:r w:rsidRPr="00701F32">
              <w:rPr>
                <w:rFonts w:ascii="Arial" w:hAnsi="Arial" w:cs="Arial"/>
                <w:b/>
                <w:sz w:val="16"/>
                <w:szCs w:val="18"/>
              </w:rPr>
              <w:t>1.652.541</w:t>
            </w:r>
          </w:p>
        </w:tc>
      </w:tr>
      <w:tr w:rsidR="00FF0E34" w:rsidRPr="00701F32" w14:paraId="03CEC119"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D643"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Resultado por asociadas y negocios conjuntos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B030"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01833"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D328C"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EC6A" w14:textId="355D98CB" w:rsidR="004C518C" w:rsidRPr="00701F32" w:rsidRDefault="00730F1A">
            <w:pPr>
              <w:jc w:val="right"/>
              <w:rPr>
                <w:rFonts w:ascii="Arial" w:hAnsi="Arial" w:cs="Arial"/>
                <w:sz w:val="16"/>
                <w:szCs w:val="18"/>
                <w:lang w:val="es-ES_tradnl"/>
              </w:rPr>
            </w:pPr>
            <w:r w:rsidRPr="00701F32">
              <w:rPr>
                <w:rFonts w:ascii="Arial" w:hAnsi="Arial" w:cs="Arial"/>
                <w:sz w:val="16"/>
                <w:szCs w:val="18"/>
              </w:rPr>
              <w:t>-187.034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8A42" w14:textId="62BB6801" w:rsidR="004C518C" w:rsidRPr="00701F32" w:rsidRDefault="00730F1A">
            <w:pPr>
              <w:jc w:val="right"/>
              <w:rPr>
                <w:rFonts w:ascii="Arial" w:hAnsi="Arial" w:cs="Arial"/>
                <w:sz w:val="16"/>
                <w:szCs w:val="18"/>
                <w:lang w:val="es-ES_tradnl"/>
              </w:rPr>
            </w:pPr>
            <w:r w:rsidRPr="00701F32">
              <w:rPr>
                <w:rFonts w:ascii="Arial" w:hAnsi="Arial" w:cs="Arial"/>
                <w:sz w:val="16"/>
                <w:szCs w:val="18"/>
              </w:rPr>
              <w:t>-187.034</w:t>
            </w:r>
          </w:p>
        </w:tc>
      </w:tr>
      <w:tr w:rsidR="00FF0E34" w:rsidRPr="00701F32" w14:paraId="2B5F1614"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9B9F" w14:textId="77777777" w:rsidR="004C518C" w:rsidRPr="00701F32" w:rsidRDefault="004C518C" w:rsidP="004C518C">
            <w:pPr>
              <w:rPr>
                <w:rFonts w:ascii="Arial" w:hAnsi="Arial" w:cs="Arial"/>
                <w:b/>
                <w:bCs/>
                <w:sz w:val="16"/>
                <w:szCs w:val="18"/>
                <w:lang w:eastAsia="es-AR"/>
              </w:rPr>
            </w:pPr>
            <w:r w:rsidRPr="00701F32">
              <w:rPr>
                <w:rFonts w:ascii="Arial" w:hAnsi="Arial" w:cs="Arial"/>
                <w:b/>
                <w:bCs/>
                <w:sz w:val="16"/>
                <w:szCs w:val="18"/>
                <w:lang w:eastAsia="es-AR"/>
              </w:rPr>
              <w:t xml:space="preserve">Resultado antes de impuesto de las actividades que continúan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FDCE" w14:textId="4A91DA69" w:rsidR="004C518C" w:rsidRPr="00701F32" w:rsidRDefault="004C518C">
            <w:pPr>
              <w:jc w:val="right"/>
              <w:rPr>
                <w:rFonts w:ascii="Arial" w:hAnsi="Arial" w:cs="Arial"/>
                <w:b/>
                <w:sz w:val="16"/>
                <w:szCs w:val="18"/>
              </w:rPr>
            </w:pPr>
            <w:r w:rsidRPr="00701F32">
              <w:rPr>
                <w:rFonts w:ascii="Arial" w:hAnsi="Arial" w:cs="Arial"/>
                <w:b/>
                <w:sz w:val="16"/>
                <w:szCs w:val="18"/>
              </w:rPr>
              <w:t xml:space="preserve"> </w:t>
            </w:r>
            <w:r w:rsidR="0036760D" w:rsidRPr="00701F32">
              <w:rPr>
                <w:rFonts w:ascii="Arial" w:hAnsi="Arial" w:cs="Arial"/>
                <w:b/>
                <w:sz w:val="16"/>
                <w:szCs w:val="18"/>
              </w:rPr>
              <w:t>1.298.801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D6F8D" w14:textId="5874C523" w:rsidR="004C518C" w:rsidRPr="00701F32" w:rsidRDefault="00730F1A">
            <w:pPr>
              <w:jc w:val="right"/>
              <w:rPr>
                <w:rFonts w:ascii="Arial" w:hAnsi="Arial" w:cs="Arial"/>
                <w:b/>
                <w:sz w:val="16"/>
                <w:szCs w:val="18"/>
              </w:rPr>
            </w:pPr>
            <w:r w:rsidRPr="00701F32">
              <w:rPr>
                <w:rFonts w:ascii="Arial" w:hAnsi="Arial" w:cs="Arial"/>
                <w:b/>
                <w:sz w:val="16"/>
                <w:szCs w:val="18"/>
              </w:rPr>
              <w:t>550.986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D320A" w14:textId="12BBA523" w:rsidR="004C518C" w:rsidRPr="00701F32" w:rsidRDefault="004C518C">
            <w:pPr>
              <w:jc w:val="right"/>
              <w:rPr>
                <w:rFonts w:ascii="Arial" w:hAnsi="Arial" w:cs="Arial"/>
                <w:b/>
                <w:sz w:val="16"/>
                <w:szCs w:val="18"/>
              </w:rPr>
            </w:pPr>
            <w:r w:rsidRPr="00701F32">
              <w:rPr>
                <w:rFonts w:ascii="Arial" w:hAnsi="Arial" w:cs="Arial"/>
                <w:b/>
                <w:sz w:val="16"/>
                <w:szCs w:val="18"/>
              </w:rPr>
              <w:t xml:space="preserve"> </w:t>
            </w:r>
            <w:r w:rsidR="00730F1A" w:rsidRPr="00701F32">
              <w:rPr>
                <w:rFonts w:ascii="Arial" w:hAnsi="Arial" w:cs="Arial"/>
                <w:b/>
                <w:sz w:val="16"/>
                <w:szCs w:val="18"/>
              </w:rPr>
              <w:t>-197.246</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57DDB" w14:textId="43BAE5E3" w:rsidR="004C518C" w:rsidRPr="00701F32" w:rsidRDefault="00730F1A">
            <w:pPr>
              <w:jc w:val="right"/>
              <w:rPr>
                <w:rFonts w:ascii="Arial" w:hAnsi="Arial" w:cs="Arial"/>
                <w:b/>
                <w:sz w:val="16"/>
                <w:szCs w:val="18"/>
              </w:rPr>
            </w:pPr>
            <w:r w:rsidRPr="00701F32">
              <w:rPr>
                <w:rFonts w:ascii="Arial" w:hAnsi="Arial" w:cs="Arial"/>
                <w:b/>
                <w:sz w:val="16"/>
                <w:szCs w:val="18"/>
              </w:rPr>
              <w:t>-187.034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9F454" w14:textId="74121BD0" w:rsidR="004C518C" w:rsidRPr="00701F32" w:rsidRDefault="00730F1A">
            <w:pPr>
              <w:jc w:val="right"/>
              <w:rPr>
                <w:rFonts w:ascii="Arial" w:hAnsi="Arial" w:cs="Arial"/>
                <w:b/>
                <w:sz w:val="16"/>
                <w:szCs w:val="18"/>
              </w:rPr>
            </w:pPr>
            <w:r w:rsidRPr="00701F32">
              <w:rPr>
                <w:rFonts w:ascii="Arial" w:hAnsi="Arial" w:cs="Arial"/>
                <w:b/>
                <w:sz w:val="16"/>
                <w:szCs w:val="18"/>
              </w:rPr>
              <w:t>1.465.507</w:t>
            </w:r>
          </w:p>
        </w:tc>
      </w:tr>
      <w:tr w:rsidR="00FF0E34" w:rsidRPr="00701F32" w14:paraId="4239C74E"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D5C1" w14:textId="77777777" w:rsidR="004C518C" w:rsidRPr="00701F32" w:rsidRDefault="004C518C" w:rsidP="004C518C">
            <w:pPr>
              <w:rPr>
                <w:rFonts w:ascii="Arial" w:hAnsi="Arial" w:cs="Arial"/>
                <w:sz w:val="16"/>
                <w:szCs w:val="18"/>
                <w:lang w:eastAsia="es-AR"/>
              </w:rPr>
            </w:pPr>
            <w:r w:rsidRPr="00701F32">
              <w:rPr>
                <w:rFonts w:ascii="Arial" w:hAnsi="Arial" w:cs="Arial"/>
                <w:sz w:val="16"/>
                <w:szCs w:val="18"/>
                <w:lang w:eastAsia="es-AR"/>
              </w:rPr>
              <w:t xml:space="preserve">Impuesto a las ganancias de las actividades que continúan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B3ACE" w14:textId="75C1FF68" w:rsidR="004C518C" w:rsidRPr="00701F32" w:rsidRDefault="00730F1A">
            <w:pPr>
              <w:jc w:val="right"/>
              <w:rPr>
                <w:rFonts w:ascii="Arial" w:hAnsi="Arial" w:cs="Arial"/>
                <w:sz w:val="16"/>
                <w:szCs w:val="18"/>
                <w:lang w:val="es-ES_tradnl"/>
              </w:rPr>
            </w:pPr>
            <w:r w:rsidRPr="00701F32">
              <w:rPr>
                <w:rFonts w:ascii="Arial" w:hAnsi="Arial" w:cs="Arial"/>
                <w:sz w:val="16"/>
                <w:szCs w:val="18"/>
              </w:rPr>
              <w:t>264.924</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EE0A" w14:textId="2E703AEF" w:rsidR="004C518C" w:rsidRPr="00701F32" w:rsidRDefault="00730F1A">
            <w:pPr>
              <w:jc w:val="right"/>
              <w:rPr>
                <w:rFonts w:ascii="Arial" w:hAnsi="Arial" w:cs="Arial"/>
                <w:sz w:val="16"/>
                <w:szCs w:val="18"/>
                <w:lang w:val="es-ES_tradnl"/>
              </w:rPr>
            </w:pPr>
            <w:r w:rsidRPr="00701F32">
              <w:rPr>
                <w:rFonts w:ascii="Arial" w:hAnsi="Arial" w:cs="Arial"/>
                <w:sz w:val="16"/>
                <w:szCs w:val="18"/>
              </w:rPr>
              <w:t>124.498</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7E38E" w14:textId="2291A9EF" w:rsidR="004C518C" w:rsidRPr="00701F32" w:rsidRDefault="00730F1A">
            <w:pPr>
              <w:jc w:val="right"/>
              <w:rPr>
                <w:rFonts w:ascii="Arial" w:hAnsi="Arial" w:cs="Arial"/>
                <w:sz w:val="16"/>
                <w:szCs w:val="18"/>
                <w:lang w:val="es-ES_tradnl"/>
              </w:rPr>
            </w:pPr>
            <w:r w:rsidRPr="00701F32">
              <w:rPr>
                <w:rFonts w:ascii="Arial" w:hAnsi="Arial" w:cs="Arial"/>
                <w:sz w:val="16"/>
                <w:szCs w:val="18"/>
              </w:rPr>
              <w:t>-57.269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183F8"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A293" w14:textId="4930F7C3" w:rsidR="004C518C" w:rsidRPr="00701F32" w:rsidRDefault="00730F1A">
            <w:pPr>
              <w:jc w:val="right"/>
              <w:rPr>
                <w:rFonts w:ascii="Arial" w:hAnsi="Arial" w:cs="Arial"/>
                <w:sz w:val="16"/>
                <w:szCs w:val="18"/>
                <w:lang w:val="es-ES_tradnl"/>
              </w:rPr>
            </w:pPr>
            <w:r w:rsidRPr="00701F32">
              <w:rPr>
                <w:rFonts w:ascii="Arial" w:hAnsi="Arial" w:cs="Arial"/>
                <w:sz w:val="16"/>
                <w:szCs w:val="18"/>
              </w:rPr>
              <w:t>332.153</w:t>
            </w:r>
          </w:p>
        </w:tc>
      </w:tr>
      <w:tr w:rsidR="00FF0E34" w:rsidRPr="00701F32" w14:paraId="5B534BFB"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D660"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Resultado neto de las actividades que continúan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EEF3" w14:textId="769DC7AE" w:rsidR="004C518C" w:rsidRPr="00701F32" w:rsidRDefault="00730F1A">
            <w:pPr>
              <w:jc w:val="right"/>
              <w:rPr>
                <w:rFonts w:ascii="Arial" w:hAnsi="Arial" w:cs="Arial"/>
                <w:b/>
                <w:sz w:val="16"/>
                <w:szCs w:val="18"/>
              </w:rPr>
            </w:pPr>
            <w:r w:rsidRPr="00701F32">
              <w:rPr>
                <w:rFonts w:ascii="Arial" w:hAnsi="Arial" w:cs="Arial"/>
                <w:b/>
                <w:sz w:val="16"/>
                <w:szCs w:val="18"/>
              </w:rPr>
              <w:t>1.033.877</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C476" w14:textId="1E02683B" w:rsidR="004C518C" w:rsidRPr="00701F32" w:rsidRDefault="00730F1A">
            <w:pPr>
              <w:jc w:val="right"/>
              <w:rPr>
                <w:rFonts w:ascii="Arial" w:hAnsi="Arial" w:cs="Arial"/>
                <w:b/>
                <w:sz w:val="16"/>
                <w:szCs w:val="18"/>
              </w:rPr>
            </w:pPr>
            <w:r w:rsidRPr="00701F32">
              <w:rPr>
                <w:rFonts w:ascii="Arial" w:hAnsi="Arial" w:cs="Arial"/>
                <w:b/>
                <w:sz w:val="16"/>
                <w:szCs w:val="18"/>
              </w:rPr>
              <w:t>426.488</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390B9" w14:textId="5D656963" w:rsidR="004C518C" w:rsidRPr="00701F32" w:rsidRDefault="004C518C" w:rsidP="00730F1A">
            <w:pPr>
              <w:jc w:val="right"/>
              <w:rPr>
                <w:rFonts w:ascii="Arial" w:hAnsi="Arial" w:cs="Arial"/>
                <w:b/>
                <w:sz w:val="16"/>
                <w:szCs w:val="18"/>
              </w:rPr>
            </w:pPr>
            <w:r w:rsidRPr="00701F32">
              <w:rPr>
                <w:rFonts w:ascii="Arial" w:hAnsi="Arial" w:cs="Arial"/>
                <w:b/>
                <w:sz w:val="16"/>
                <w:szCs w:val="18"/>
              </w:rPr>
              <w:t xml:space="preserve"> </w:t>
            </w:r>
            <w:r w:rsidR="00730F1A" w:rsidRPr="00701F32">
              <w:rPr>
                <w:rFonts w:ascii="Arial" w:hAnsi="Arial" w:cs="Arial"/>
                <w:b/>
                <w:sz w:val="16"/>
                <w:szCs w:val="18"/>
              </w:rPr>
              <w:t>-139.977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E958" w14:textId="1688DF85" w:rsidR="004C518C" w:rsidRPr="00701F32" w:rsidRDefault="00730F1A" w:rsidP="00730F1A">
            <w:pPr>
              <w:jc w:val="right"/>
              <w:rPr>
                <w:rFonts w:ascii="Arial" w:hAnsi="Arial" w:cs="Arial"/>
                <w:b/>
                <w:sz w:val="16"/>
                <w:szCs w:val="18"/>
              </w:rPr>
            </w:pPr>
            <w:r w:rsidRPr="00701F32">
              <w:rPr>
                <w:rFonts w:ascii="Arial" w:hAnsi="Arial" w:cs="Arial"/>
                <w:b/>
                <w:sz w:val="16"/>
                <w:szCs w:val="18"/>
              </w:rPr>
              <w:t>-187.034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B8A3F" w14:textId="1BF3C204" w:rsidR="004C518C" w:rsidRPr="00701F32" w:rsidRDefault="00730F1A" w:rsidP="00730F1A">
            <w:pPr>
              <w:jc w:val="right"/>
              <w:rPr>
                <w:rFonts w:ascii="Arial" w:hAnsi="Arial" w:cs="Arial"/>
                <w:b/>
                <w:sz w:val="16"/>
                <w:szCs w:val="18"/>
              </w:rPr>
            </w:pPr>
            <w:r w:rsidRPr="00701F32">
              <w:rPr>
                <w:rFonts w:ascii="Arial" w:hAnsi="Arial" w:cs="Arial"/>
                <w:b/>
                <w:sz w:val="16"/>
                <w:szCs w:val="18"/>
              </w:rPr>
              <w:t>1.133.354</w:t>
            </w:r>
          </w:p>
        </w:tc>
      </w:tr>
      <w:tr w:rsidR="00FF0E34" w:rsidRPr="00701F32" w14:paraId="7820230C" w14:textId="77777777" w:rsidTr="00E311C9">
        <w:trPr>
          <w:trHeight w:val="334"/>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6C5C2"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neto del periodo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7AB2" w14:textId="7166DEFA" w:rsidR="004C518C" w:rsidRPr="00701F32" w:rsidRDefault="004C518C">
            <w:pPr>
              <w:jc w:val="right"/>
              <w:rPr>
                <w:rFonts w:ascii="Arial" w:hAnsi="Arial" w:cs="Arial"/>
                <w:b/>
                <w:sz w:val="16"/>
                <w:szCs w:val="18"/>
              </w:rPr>
            </w:pPr>
            <w:r w:rsidRPr="00701F32">
              <w:rPr>
                <w:rFonts w:ascii="Arial" w:hAnsi="Arial" w:cs="Arial"/>
                <w:b/>
                <w:sz w:val="16"/>
                <w:szCs w:val="18"/>
              </w:rPr>
              <w:t xml:space="preserve"> </w:t>
            </w:r>
            <w:r w:rsidR="00730F1A" w:rsidRPr="00701F32">
              <w:rPr>
                <w:rFonts w:ascii="Arial" w:hAnsi="Arial" w:cs="Arial"/>
                <w:b/>
                <w:sz w:val="16"/>
                <w:szCs w:val="18"/>
              </w:rPr>
              <w:t>1.033.877</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8C29F" w14:textId="1285209F" w:rsidR="004C518C" w:rsidRPr="00701F32" w:rsidRDefault="00730F1A">
            <w:pPr>
              <w:jc w:val="right"/>
              <w:rPr>
                <w:rFonts w:ascii="Arial" w:hAnsi="Arial" w:cs="Arial"/>
                <w:b/>
                <w:sz w:val="16"/>
                <w:szCs w:val="18"/>
              </w:rPr>
            </w:pPr>
            <w:r w:rsidRPr="00701F32">
              <w:rPr>
                <w:rFonts w:ascii="Arial" w:hAnsi="Arial" w:cs="Arial"/>
                <w:b/>
                <w:sz w:val="16"/>
                <w:szCs w:val="18"/>
              </w:rPr>
              <w:t>426.488</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F444C" w14:textId="18413AB9" w:rsidR="004C518C" w:rsidRPr="00701F32" w:rsidRDefault="00730F1A" w:rsidP="00730F1A">
            <w:pPr>
              <w:jc w:val="right"/>
              <w:rPr>
                <w:rFonts w:ascii="Arial" w:hAnsi="Arial" w:cs="Arial"/>
                <w:b/>
                <w:sz w:val="16"/>
                <w:szCs w:val="18"/>
              </w:rPr>
            </w:pPr>
            <w:r w:rsidRPr="00701F32">
              <w:rPr>
                <w:rFonts w:ascii="Arial" w:hAnsi="Arial" w:cs="Arial"/>
                <w:b/>
                <w:sz w:val="16"/>
                <w:szCs w:val="18"/>
              </w:rPr>
              <w:t>-139.977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BFF3C" w14:textId="19767F36" w:rsidR="004C518C" w:rsidRPr="00701F32" w:rsidRDefault="00730F1A" w:rsidP="00730F1A">
            <w:pPr>
              <w:jc w:val="right"/>
              <w:rPr>
                <w:rFonts w:ascii="Arial" w:hAnsi="Arial" w:cs="Arial"/>
                <w:b/>
                <w:sz w:val="16"/>
                <w:szCs w:val="18"/>
              </w:rPr>
            </w:pPr>
            <w:r w:rsidRPr="00701F32">
              <w:rPr>
                <w:rFonts w:ascii="Arial" w:hAnsi="Arial" w:cs="Arial"/>
                <w:b/>
                <w:sz w:val="16"/>
                <w:szCs w:val="18"/>
              </w:rPr>
              <w:t>-187.034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B82A6" w14:textId="71FAF057" w:rsidR="004C518C" w:rsidRPr="00701F32" w:rsidRDefault="00730F1A" w:rsidP="00730F1A">
            <w:pPr>
              <w:jc w:val="right"/>
              <w:rPr>
                <w:rFonts w:ascii="Arial" w:hAnsi="Arial" w:cs="Arial"/>
                <w:b/>
                <w:sz w:val="16"/>
                <w:szCs w:val="18"/>
              </w:rPr>
            </w:pPr>
            <w:r w:rsidRPr="00701F32">
              <w:rPr>
                <w:rFonts w:ascii="Arial" w:hAnsi="Arial" w:cs="Arial"/>
                <w:b/>
                <w:sz w:val="16"/>
                <w:szCs w:val="18"/>
              </w:rPr>
              <w:t>1.133.354</w:t>
            </w:r>
          </w:p>
        </w:tc>
      </w:tr>
      <w:tr w:rsidR="00FF0E34" w:rsidRPr="00701F32" w14:paraId="60367C70"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D703C"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 xml:space="preserve"> ORI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5E6D" w14:textId="42E31C83"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w:t>
            </w:r>
            <w:r w:rsidR="00730F1A" w:rsidRPr="00701F32">
              <w:rPr>
                <w:rFonts w:ascii="Arial" w:hAnsi="Arial" w:cs="Arial"/>
                <w:sz w:val="16"/>
                <w:szCs w:val="18"/>
              </w:rPr>
              <w:t>127.396</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5105" w14:textId="1DC99E71" w:rsidR="004C518C" w:rsidRPr="00701F32" w:rsidRDefault="00730F1A">
            <w:pPr>
              <w:jc w:val="right"/>
              <w:rPr>
                <w:rFonts w:ascii="Arial" w:hAnsi="Arial" w:cs="Arial"/>
                <w:sz w:val="16"/>
                <w:szCs w:val="18"/>
                <w:lang w:val="es-ES_tradnl"/>
              </w:rPr>
            </w:pPr>
            <w:r w:rsidRPr="00701F32">
              <w:rPr>
                <w:rFonts w:ascii="Arial" w:hAnsi="Arial" w:cs="Arial"/>
                <w:sz w:val="16"/>
                <w:szCs w:val="18"/>
              </w:rPr>
              <w:t>12.302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E2FD" w14:textId="5AD00827" w:rsidR="004C518C" w:rsidRPr="00701F32" w:rsidRDefault="00730F1A">
            <w:pPr>
              <w:jc w:val="right"/>
              <w:rPr>
                <w:rFonts w:ascii="Arial" w:hAnsi="Arial" w:cs="Arial"/>
                <w:sz w:val="16"/>
                <w:szCs w:val="18"/>
                <w:lang w:val="es-ES_tradnl"/>
              </w:rPr>
            </w:pPr>
            <w:r w:rsidRPr="00701F32">
              <w:rPr>
                <w:rFonts w:ascii="Arial" w:hAnsi="Arial" w:cs="Arial"/>
                <w:sz w:val="16"/>
                <w:szCs w:val="18"/>
              </w:rPr>
              <w:t>95.425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EEA42" w14:textId="77777777" w:rsidR="004C518C" w:rsidRPr="00701F32" w:rsidRDefault="004C518C">
            <w:pPr>
              <w:jc w:val="right"/>
              <w:rPr>
                <w:rFonts w:ascii="Arial" w:hAnsi="Arial" w:cs="Arial"/>
                <w:sz w:val="16"/>
                <w:szCs w:val="18"/>
                <w:lang w:val="es-ES_tradnl"/>
              </w:rPr>
            </w:pPr>
            <w:r w:rsidRPr="00701F32">
              <w:rPr>
                <w:rFonts w:ascii="Arial" w:hAnsi="Arial" w:cs="Arial"/>
                <w:sz w:val="16"/>
                <w:szCs w:val="18"/>
              </w:rPr>
              <w:t xml:space="preserve"> -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DEAD2" w14:textId="79D5955C" w:rsidR="004C518C" w:rsidRPr="00701F32" w:rsidRDefault="00730F1A">
            <w:pPr>
              <w:jc w:val="right"/>
              <w:rPr>
                <w:rFonts w:ascii="Arial" w:hAnsi="Arial" w:cs="Arial"/>
                <w:sz w:val="16"/>
                <w:szCs w:val="18"/>
                <w:lang w:val="es-ES_tradnl"/>
              </w:rPr>
            </w:pPr>
            <w:r w:rsidRPr="00701F32">
              <w:rPr>
                <w:rFonts w:ascii="Arial" w:hAnsi="Arial" w:cs="Arial"/>
                <w:sz w:val="16"/>
                <w:szCs w:val="18"/>
              </w:rPr>
              <w:t>235.123</w:t>
            </w:r>
          </w:p>
        </w:tc>
      </w:tr>
      <w:tr w:rsidR="00FF0E34" w:rsidRPr="00701F32" w14:paraId="15E16BE6"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0C229" w14:textId="77777777" w:rsidR="004C518C" w:rsidRPr="00701F32" w:rsidRDefault="004C518C" w:rsidP="004C518C">
            <w:pPr>
              <w:jc w:val="both"/>
              <w:rPr>
                <w:rFonts w:ascii="Arial" w:hAnsi="Arial" w:cs="Arial"/>
                <w:sz w:val="16"/>
                <w:szCs w:val="18"/>
                <w:lang w:eastAsia="es-AR"/>
              </w:rPr>
            </w:pPr>
            <w:r w:rsidRPr="00701F32">
              <w:rPr>
                <w:rFonts w:ascii="Arial" w:hAnsi="Arial" w:cs="Arial"/>
                <w:sz w:val="16"/>
                <w:szCs w:val="18"/>
                <w:lang w:eastAsia="es-AR"/>
              </w:rPr>
              <w:t>Impuesto a las ganancias ORI</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560D5" w14:textId="11CFD86B" w:rsidR="004C518C" w:rsidRPr="00701F32" w:rsidRDefault="00730F1A">
            <w:pPr>
              <w:jc w:val="right"/>
              <w:rPr>
                <w:rFonts w:ascii="Arial" w:hAnsi="Arial" w:cs="Arial"/>
                <w:sz w:val="16"/>
                <w:szCs w:val="18"/>
                <w:lang w:val="es-ES_tradnl"/>
              </w:rPr>
            </w:pPr>
            <w:r w:rsidRPr="00701F32">
              <w:rPr>
                <w:rFonts w:ascii="Arial" w:hAnsi="Arial" w:cs="Arial"/>
                <w:sz w:val="16"/>
                <w:szCs w:val="18"/>
              </w:rPr>
              <w:t>-30.959</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09F39" w14:textId="6DAE4D38" w:rsidR="004C518C" w:rsidRPr="00701F32" w:rsidRDefault="00730F1A">
            <w:pPr>
              <w:jc w:val="right"/>
              <w:rPr>
                <w:rFonts w:ascii="Arial" w:hAnsi="Arial" w:cs="Arial"/>
                <w:sz w:val="16"/>
                <w:szCs w:val="18"/>
                <w:lang w:val="es-ES_tradnl"/>
              </w:rPr>
            </w:pPr>
            <w:r w:rsidRPr="00701F32">
              <w:rPr>
                <w:rFonts w:ascii="Arial" w:hAnsi="Arial" w:cs="Arial"/>
                <w:sz w:val="16"/>
                <w:szCs w:val="18"/>
              </w:rPr>
              <w:t xml:space="preserve">-23.189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9315D" w14:textId="52D56111" w:rsidR="004C518C" w:rsidRPr="00701F32" w:rsidRDefault="00730F1A">
            <w:pPr>
              <w:jc w:val="right"/>
              <w:rPr>
                <w:rFonts w:ascii="Arial" w:hAnsi="Arial" w:cs="Arial"/>
                <w:sz w:val="16"/>
                <w:szCs w:val="18"/>
                <w:lang w:val="es-ES_tradnl"/>
              </w:rPr>
            </w:pPr>
            <w:r w:rsidRPr="00701F32">
              <w:rPr>
                <w:rFonts w:ascii="Arial" w:hAnsi="Arial" w:cs="Arial"/>
                <w:sz w:val="16"/>
                <w:szCs w:val="18"/>
              </w:rPr>
              <w:t>-2.989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78698" w14:textId="77777777" w:rsidR="004C518C" w:rsidRPr="00701F32" w:rsidRDefault="004C518C">
            <w:pPr>
              <w:jc w:val="right"/>
              <w:rPr>
                <w:rFonts w:ascii="Arial" w:hAnsi="Arial" w:cs="Arial"/>
                <w:sz w:val="16"/>
                <w:szCs w:val="18"/>
                <w:lang w:val="es-ES_tradnl"/>
              </w:rPr>
            </w:pP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32579" w14:textId="5EF9AF9A" w:rsidR="004C518C" w:rsidRPr="00701F32" w:rsidRDefault="00730F1A">
            <w:pPr>
              <w:jc w:val="right"/>
              <w:rPr>
                <w:rFonts w:ascii="Arial" w:hAnsi="Arial" w:cs="Arial"/>
                <w:sz w:val="16"/>
                <w:szCs w:val="18"/>
                <w:lang w:val="es-ES_tradnl"/>
              </w:rPr>
            </w:pPr>
            <w:r w:rsidRPr="00701F32">
              <w:rPr>
                <w:rFonts w:ascii="Arial" w:hAnsi="Arial" w:cs="Arial"/>
                <w:sz w:val="16"/>
                <w:szCs w:val="18"/>
              </w:rPr>
              <w:t>-57.137</w:t>
            </w:r>
          </w:p>
        </w:tc>
      </w:tr>
      <w:tr w:rsidR="00FF0E34" w:rsidRPr="00701F32" w14:paraId="318B6B54" w14:textId="77777777" w:rsidTr="00E311C9">
        <w:trPr>
          <w:trHeight w:val="240"/>
        </w:trPr>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2156" w14:textId="77777777" w:rsidR="004C518C" w:rsidRPr="00701F32" w:rsidRDefault="004C518C" w:rsidP="004C518C">
            <w:pPr>
              <w:jc w:val="both"/>
              <w:rPr>
                <w:rFonts w:ascii="Arial" w:hAnsi="Arial" w:cs="Arial"/>
                <w:b/>
                <w:bCs/>
                <w:sz w:val="16"/>
                <w:szCs w:val="18"/>
                <w:lang w:eastAsia="es-AR"/>
              </w:rPr>
            </w:pPr>
            <w:r w:rsidRPr="00701F32">
              <w:rPr>
                <w:rFonts w:ascii="Arial" w:hAnsi="Arial" w:cs="Arial"/>
                <w:b/>
                <w:bCs/>
                <w:sz w:val="16"/>
                <w:szCs w:val="18"/>
                <w:lang w:eastAsia="es-AR"/>
              </w:rPr>
              <w:t xml:space="preserve"> Resultado Integral del periodo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C9E5B" w14:textId="4760FCA5" w:rsidR="004C518C" w:rsidRPr="00701F32" w:rsidRDefault="00730F1A">
            <w:pPr>
              <w:jc w:val="right"/>
              <w:rPr>
                <w:rFonts w:ascii="Arial" w:hAnsi="Arial" w:cs="Arial"/>
                <w:b/>
                <w:sz w:val="16"/>
                <w:szCs w:val="18"/>
              </w:rPr>
            </w:pPr>
            <w:r w:rsidRPr="00701F32">
              <w:rPr>
                <w:rFonts w:ascii="Arial" w:hAnsi="Arial" w:cs="Arial"/>
                <w:b/>
                <w:sz w:val="16"/>
                <w:szCs w:val="18"/>
              </w:rPr>
              <w:t>1.130.314</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3F926" w14:textId="7202B810" w:rsidR="004C518C" w:rsidRPr="00701F32" w:rsidRDefault="00730F1A">
            <w:pPr>
              <w:jc w:val="right"/>
              <w:rPr>
                <w:rFonts w:ascii="Arial" w:hAnsi="Arial" w:cs="Arial"/>
                <w:b/>
                <w:sz w:val="16"/>
                <w:szCs w:val="18"/>
              </w:rPr>
            </w:pPr>
            <w:r w:rsidRPr="00701F32">
              <w:rPr>
                <w:rFonts w:ascii="Arial" w:hAnsi="Arial" w:cs="Arial"/>
                <w:b/>
                <w:sz w:val="16"/>
                <w:szCs w:val="18"/>
              </w:rPr>
              <w:t>415.601</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1CD2" w14:textId="734287FE" w:rsidR="004C518C" w:rsidRPr="00701F32" w:rsidRDefault="00730F1A">
            <w:pPr>
              <w:jc w:val="right"/>
              <w:rPr>
                <w:rFonts w:ascii="Arial" w:hAnsi="Arial" w:cs="Arial"/>
                <w:b/>
                <w:sz w:val="16"/>
                <w:szCs w:val="18"/>
              </w:rPr>
            </w:pPr>
            <w:r w:rsidRPr="00701F32">
              <w:rPr>
                <w:rFonts w:ascii="Arial" w:hAnsi="Arial" w:cs="Arial"/>
                <w:b/>
                <w:sz w:val="16"/>
                <w:szCs w:val="18"/>
              </w:rPr>
              <w:t>-47.541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05B11" w14:textId="5A680885" w:rsidR="004C518C" w:rsidRPr="00701F32" w:rsidRDefault="004C518C" w:rsidP="00730F1A">
            <w:pPr>
              <w:jc w:val="right"/>
              <w:rPr>
                <w:rFonts w:ascii="Arial" w:hAnsi="Arial" w:cs="Arial"/>
                <w:b/>
                <w:sz w:val="16"/>
                <w:szCs w:val="18"/>
              </w:rPr>
            </w:pPr>
            <w:r w:rsidRPr="00701F32">
              <w:rPr>
                <w:rFonts w:ascii="Arial" w:hAnsi="Arial" w:cs="Arial"/>
                <w:b/>
                <w:sz w:val="16"/>
                <w:szCs w:val="18"/>
              </w:rPr>
              <w:t xml:space="preserve"> </w:t>
            </w:r>
            <w:r w:rsidR="00730F1A" w:rsidRPr="00701F32">
              <w:rPr>
                <w:rFonts w:ascii="Arial" w:hAnsi="Arial" w:cs="Arial"/>
                <w:b/>
                <w:sz w:val="16"/>
                <w:szCs w:val="18"/>
              </w:rPr>
              <w:t>-187.034</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4630" w14:textId="641BA9DC" w:rsidR="004C518C" w:rsidRPr="00701F32" w:rsidRDefault="00730F1A">
            <w:pPr>
              <w:jc w:val="right"/>
              <w:rPr>
                <w:rFonts w:ascii="Arial" w:hAnsi="Arial" w:cs="Arial"/>
                <w:b/>
                <w:sz w:val="16"/>
                <w:szCs w:val="18"/>
              </w:rPr>
            </w:pPr>
            <w:r w:rsidRPr="00701F32">
              <w:rPr>
                <w:rFonts w:ascii="Arial" w:hAnsi="Arial" w:cs="Arial"/>
                <w:b/>
                <w:sz w:val="16"/>
                <w:szCs w:val="18"/>
              </w:rPr>
              <w:t>1.311.340</w:t>
            </w:r>
          </w:p>
        </w:tc>
      </w:tr>
    </w:tbl>
    <w:p w14:paraId="4CA13893" w14:textId="77777777" w:rsidR="00303D20" w:rsidRPr="00701F32" w:rsidRDefault="00303D20" w:rsidP="0086282C">
      <w:pPr>
        <w:spacing w:after="160" w:line="259" w:lineRule="auto"/>
        <w:jc w:val="both"/>
        <w:rPr>
          <w:rFonts w:ascii="Arial" w:eastAsia="Calibri" w:hAnsi="Arial" w:cs="Arial"/>
          <w:bCs/>
          <w:sz w:val="20"/>
        </w:rPr>
      </w:pPr>
    </w:p>
    <w:tbl>
      <w:tblPr>
        <w:tblW w:w="11057" w:type="dxa"/>
        <w:tblInd w:w="-1064" w:type="dxa"/>
        <w:tblCellMar>
          <w:left w:w="70" w:type="dxa"/>
          <w:right w:w="70" w:type="dxa"/>
        </w:tblCellMar>
        <w:tblLook w:val="04A0" w:firstRow="1" w:lastRow="0" w:firstColumn="1" w:lastColumn="0" w:noHBand="0" w:noVBand="1"/>
      </w:tblPr>
      <w:tblGrid>
        <w:gridCol w:w="4111"/>
        <w:gridCol w:w="1985"/>
        <w:gridCol w:w="1701"/>
        <w:gridCol w:w="1701"/>
        <w:gridCol w:w="1559"/>
      </w:tblGrid>
      <w:tr w:rsidR="002F6C11" w:rsidRPr="00701F32" w14:paraId="470F8B88" w14:textId="77777777" w:rsidTr="00E311C9">
        <w:trPr>
          <w:trHeight w:val="423"/>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C56D83" w14:textId="77777777" w:rsidR="002F6C11" w:rsidRPr="00701F32" w:rsidRDefault="002F6C11" w:rsidP="00DC5640">
            <w:pPr>
              <w:jc w:val="center"/>
              <w:rPr>
                <w:rFonts w:ascii="Arial" w:hAnsi="Arial" w:cs="Arial"/>
                <w:b/>
                <w:bCs/>
                <w:sz w:val="16"/>
                <w:szCs w:val="16"/>
                <w:lang w:val="es-ES_tradnl" w:eastAsia="es-AR"/>
              </w:rPr>
            </w:pPr>
            <w:r w:rsidRPr="00701F32">
              <w:rPr>
                <w:rFonts w:ascii="Arial" w:hAnsi="Arial" w:cs="Arial"/>
                <w:b/>
                <w:bCs/>
                <w:sz w:val="16"/>
                <w:szCs w:val="16"/>
                <w:lang w:eastAsia="es-AR"/>
              </w:rPr>
              <w:t>ACTIVO al 30/09/2017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D072404"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5FD76CF"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C3B65E"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3825D1"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2F6C11" w:rsidRPr="00701F32" w14:paraId="58E7F3DC" w14:textId="77777777" w:rsidTr="00E311C9">
        <w:trPr>
          <w:trHeight w:val="230"/>
        </w:trPr>
        <w:tc>
          <w:tcPr>
            <w:tcW w:w="4111" w:type="dxa"/>
            <w:tcBorders>
              <w:top w:val="nil"/>
              <w:left w:val="single" w:sz="4" w:space="0" w:color="auto"/>
              <w:bottom w:val="single" w:sz="4" w:space="0" w:color="363639"/>
              <w:right w:val="single" w:sz="4" w:space="0" w:color="363639"/>
            </w:tcBorders>
            <w:shd w:val="clear" w:color="000000" w:fill="FFFFFF"/>
            <w:hideMark/>
          </w:tcPr>
          <w:p w14:paraId="3A68BA9F"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5ECC33E9"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194.198</w:t>
            </w:r>
          </w:p>
        </w:tc>
        <w:tc>
          <w:tcPr>
            <w:tcW w:w="1701" w:type="dxa"/>
            <w:tcBorders>
              <w:top w:val="nil"/>
              <w:left w:val="nil"/>
              <w:bottom w:val="single" w:sz="4" w:space="0" w:color="auto"/>
              <w:right w:val="single" w:sz="4" w:space="0" w:color="auto"/>
            </w:tcBorders>
            <w:shd w:val="clear" w:color="000000" w:fill="FFFFFF"/>
            <w:noWrap/>
            <w:vAlign w:val="bottom"/>
            <w:hideMark/>
          </w:tcPr>
          <w:p w14:paraId="5AF05CC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2.174.574</w:t>
            </w:r>
          </w:p>
        </w:tc>
        <w:tc>
          <w:tcPr>
            <w:tcW w:w="1701" w:type="dxa"/>
            <w:tcBorders>
              <w:top w:val="nil"/>
              <w:left w:val="nil"/>
              <w:bottom w:val="single" w:sz="4" w:space="0" w:color="auto"/>
              <w:right w:val="single" w:sz="4" w:space="0" w:color="auto"/>
            </w:tcBorders>
            <w:shd w:val="clear" w:color="000000" w:fill="FFFFFF"/>
            <w:noWrap/>
            <w:vAlign w:val="bottom"/>
            <w:hideMark/>
          </w:tcPr>
          <w:p w14:paraId="5224A7D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6.567.717</w:t>
            </w:r>
          </w:p>
        </w:tc>
        <w:tc>
          <w:tcPr>
            <w:tcW w:w="1559" w:type="dxa"/>
            <w:tcBorders>
              <w:top w:val="nil"/>
              <w:left w:val="nil"/>
              <w:bottom w:val="single" w:sz="4" w:space="0" w:color="auto"/>
              <w:right w:val="single" w:sz="4" w:space="0" w:color="auto"/>
            </w:tcBorders>
            <w:shd w:val="clear" w:color="000000" w:fill="FFFFFF"/>
            <w:noWrap/>
            <w:vAlign w:val="bottom"/>
            <w:hideMark/>
          </w:tcPr>
          <w:p w14:paraId="6347E9F9"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8.936.489</w:t>
            </w:r>
          </w:p>
        </w:tc>
      </w:tr>
      <w:tr w:rsidR="002F6C11" w:rsidRPr="00701F32" w14:paraId="14EE520C"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noWrap/>
            <w:hideMark/>
          </w:tcPr>
          <w:p w14:paraId="5583292B"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Efectivo</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23CF4631"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193.760</w:t>
            </w:r>
          </w:p>
        </w:tc>
        <w:tc>
          <w:tcPr>
            <w:tcW w:w="1701" w:type="dxa"/>
            <w:tcBorders>
              <w:top w:val="nil"/>
              <w:left w:val="nil"/>
              <w:bottom w:val="single" w:sz="4" w:space="0" w:color="auto"/>
              <w:right w:val="single" w:sz="4" w:space="0" w:color="auto"/>
            </w:tcBorders>
            <w:shd w:val="clear" w:color="000000" w:fill="FFFFFF"/>
            <w:noWrap/>
            <w:vAlign w:val="bottom"/>
            <w:hideMark/>
          </w:tcPr>
          <w:p w14:paraId="61C48B08"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2.131.241</w:t>
            </w:r>
          </w:p>
        </w:tc>
        <w:tc>
          <w:tcPr>
            <w:tcW w:w="1701" w:type="dxa"/>
            <w:tcBorders>
              <w:top w:val="nil"/>
              <w:left w:val="nil"/>
              <w:bottom w:val="single" w:sz="4" w:space="0" w:color="auto"/>
              <w:right w:val="single" w:sz="4" w:space="0" w:color="auto"/>
            </w:tcBorders>
            <w:shd w:val="clear" w:color="000000" w:fill="FFFFFF"/>
            <w:noWrap/>
            <w:vAlign w:val="bottom"/>
            <w:hideMark/>
          </w:tcPr>
          <w:p w14:paraId="4C16ABD0"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1CCA38B6" w14:textId="77777777" w:rsidR="002F6C11" w:rsidRPr="00701F32" w:rsidRDefault="002F6C11" w:rsidP="00DC5640">
            <w:pPr>
              <w:jc w:val="right"/>
              <w:rPr>
                <w:rFonts w:ascii="Arial" w:hAnsi="Arial" w:cs="Arial"/>
                <w:bCs/>
                <w:sz w:val="16"/>
                <w:szCs w:val="16"/>
                <w:lang w:val="es-ES_tradnl" w:eastAsia="es-AR"/>
              </w:rPr>
            </w:pPr>
            <w:r w:rsidRPr="00701F32">
              <w:rPr>
                <w:rFonts w:ascii="Arial" w:hAnsi="Arial" w:cs="Arial"/>
                <w:bCs/>
                <w:sz w:val="16"/>
                <w:szCs w:val="16"/>
                <w:lang w:eastAsia="es-AR"/>
              </w:rPr>
              <w:t>2.325.001</w:t>
            </w:r>
          </w:p>
        </w:tc>
      </w:tr>
      <w:tr w:rsidR="002F6C11" w:rsidRPr="00701F32" w14:paraId="3FD90104"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noWrap/>
            <w:hideMark/>
          </w:tcPr>
          <w:p w14:paraId="15CE451E"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253E5090"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62A574C9"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07E2002"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19EB02B"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r>
      <w:tr w:rsidR="002F6C11" w:rsidRPr="00701F32" w14:paraId="7BD49D14" w14:textId="77777777" w:rsidTr="00E311C9">
        <w:trPr>
          <w:trHeight w:val="229"/>
        </w:trPr>
        <w:tc>
          <w:tcPr>
            <w:tcW w:w="4111" w:type="dxa"/>
            <w:tcBorders>
              <w:top w:val="nil"/>
              <w:left w:val="single" w:sz="4" w:space="0" w:color="auto"/>
              <w:bottom w:val="single" w:sz="4" w:space="0" w:color="363639"/>
              <w:right w:val="single" w:sz="4" w:space="0" w:color="363639"/>
            </w:tcBorders>
            <w:shd w:val="clear" w:color="000000" w:fill="FFFFFF"/>
            <w:noWrap/>
            <w:hideMark/>
          </w:tcPr>
          <w:p w14:paraId="0308DFEB"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BCRA</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0682DCFE"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6564AC9A"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623E86D8" w14:textId="77777777" w:rsidR="002F6C11" w:rsidRPr="00701F32" w:rsidRDefault="002F6C11" w:rsidP="00DC5640">
            <w:pPr>
              <w:jc w:val="right"/>
              <w:rPr>
                <w:rFonts w:ascii="Arial" w:hAnsi="Arial" w:cs="Arial"/>
                <w:bCs/>
                <w:sz w:val="16"/>
                <w:szCs w:val="16"/>
                <w:lang w:val="es-ES_tradnl" w:eastAsia="es-AR"/>
              </w:rPr>
            </w:pPr>
            <w:r w:rsidRPr="00701F32">
              <w:rPr>
                <w:rFonts w:ascii="Arial" w:hAnsi="Arial" w:cs="Arial"/>
                <w:bCs/>
                <w:sz w:val="16"/>
                <w:szCs w:val="16"/>
                <w:lang w:eastAsia="es-AR"/>
              </w:rPr>
              <w:t>6.507.584</w:t>
            </w:r>
          </w:p>
        </w:tc>
        <w:tc>
          <w:tcPr>
            <w:tcW w:w="1559" w:type="dxa"/>
            <w:tcBorders>
              <w:top w:val="nil"/>
              <w:left w:val="nil"/>
              <w:bottom w:val="single" w:sz="4" w:space="0" w:color="auto"/>
              <w:right w:val="single" w:sz="4" w:space="0" w:color="auto"/>
            </w:tcBorders>
            <w:shd w:val="clear" w:color="000000" w:fill="FFFFFF"/>
            <w:noWrap/>
            <w:vAlign w:val="bottom"/>
            <w:hideMark/>
          </w:tcPr>
          <w:p w14:paraId="13C80781" w14:textId="77777777" w:rsidR="002F6C11" w:rsidRPr="00701F32" w:rsidRDefault="002F6C11" w:rsidP="00DC5640">
            <w:pPr>
              <w:jc w:val="right"/>
              <w:rPr>
                <w:rFonts w:ascii="Arial" w:hAnsi="Arial" w:cs="Arial"/>
                <w:bCs/>
                <w:sz w:val="16"/>
                <w:szCs w:val="16"/>
                <w:lang w:val="es-ES_tradnl" w:eastAsia="es-AR"/>
              </w:rPr>
            </w:pPr>
            <w:r w:rsidRPr="00701F32">
              <w:rPr>
                <w:rFonts w:ascii="Arial" w:hAnsi="Arial" w:cs="Arial"/>
                <w:bCs/>
                <w:sz w:val="16"/>
                <w:szCs w:val="16"/>
                <w:lang w:eastAsia="es-AR"/>
              </w:rPr>
              <w:t>6.507.584</w:t>
            </w:r>
          </w:p>
        </w:tc>
      </w:tr>
      <w:tr w:rsidR="002F6C11" w:rsidRPr="00701F32" w14:paraId="5C08AFD2"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noWrap/>
            <w:hideMark/>
          </w:tcPr>
          <w:p w14:paraId="269AF178"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212E3CF9"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5E5CEAA"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5C35F7B1"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60.133</w:t>
            </w:r>
          </w:p>
        </w:tc>
        <w:tc>
          <w:tcPr>
            <w:tcW w:w="1559" w:type="dxa"/>
            <w:tcBorders>
              <w:top w:val="nil"/>
              <w:left w:val="nil"/>
              <w:bottom w:val="single" w:sz="4" w:space="0" w:color="auto"/>
              <w:right w:val="single" w:sz="4" w:space="0" w:color="auto"/>
            </w:tcBorders>
            <w:shd w:val="clear" w:color="000000" w:fill="FFFFFF"/>
            <w:noWrap/>
            <w:vAlign w:val="bottom"/>
            <w:hideMark/>
          </w:tcPr>
          <w:p w14:paraId="1D6C3A63"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60.133</w:t>
            </w:r>
          </w:p>
        </w:tc>
      </w:tr>
      <w:tr w:rsidR="002F6C11" w:rsidRPr="00701F32" w14:paraId="3AB7304B" w14:textId="77777777" w:rsidTr="00E311C9">
        <w:trPr>
          <w:trHeight w:val="186"/>
        </w:trPr>
        <w:tc>
          <w:tcPr>
            <w:tcW w:w="4111" w:type="dxa"/>
            <w:tcBorders>
              <w:top w:val="nil"/>
              <w:left w:val="single" w:sz="4" w:space="0" w:color="auto"/>
              <w:bottom w:val="single" w:sz="4" w:space="0" w:color="363639"/>
              <w:right w:val="single" w:sz="4" w:space="0" w:color="363639"/>
            </w:tcBorders>
            <w:shd w:val="clear" w:color="000000" w:fill="FFFFFF"/>
            <w:noWrap/>
            <w:hideMark/>
          </w:tcPr>
          <w:p w14:paraId="544DEC8C"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Otros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4C7887DB"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438</w:t>
            </w:r>
          </w:p>
        </w:tc>
        <w:tc>
          <w:tcPr>
            <w:tcW w:w="1701" w:type="dxa"/>
            <w:tcBorders>
              <w:top w:val="nil"/>
              <w:left w:val="nil"/>
              <w:bottom w:val="single" w:sz="4" w:space="0" w:color="auto"/>
              <w:right w:val="single" w:sz="4" w:space="0" w:color="auto"/>
            </w:tcBorders>
            <w:shd w:val="clear" w:color="000000" w:fill="FFFFFF"/>
            <w:noWrap/>
            <w:vAlign w:val="bottom"/>
            <w:hideMark/>
          </w:tcPr>
          <w:p w14:paraId="4700C3F6"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43.333</w:t>
            </w:r>
          </w:p>
        </w:tc>
        <w:tc>
          <w:tcPr>
            <w:tcW w:w="1701" w:type="dxa"/>
            <w:tcBorders>
              <w:top w:val="nil"/>
              <w:left w:val="nil"/>
              <w:bottom w:val="single" w:sz="4" w:space="0" w:color="auto"/>
              <w:right w:val="single" w:sz="4" w:space="0" w:color="auto"/>
            </w:tcBorders>
            <w:shd w:val="clear" w:color="000000" w:fill="FFFFFF"/>
            <w:noWrap/>
            <w:vAlign w:val="bottom"/>
            <w:hideMark/>
          </w:tcPr>
          <w:p w14:paraId="036A8153"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27EFEF2C"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43.771</w:t>
            </w:r>
          </w:p>
        </w:tc>
      </w:tr>
      <w:tr w:rsidR="002F6C11" w:rsidRPr="00701F32" w14:paraId="790D8687" w14:textId="77777777" w:rsidTr="00E311C9">
        <w:trPr>
          <w:trHeight w:val="423"/>
        </w:trPr>
        <w:tc>
          <w:tcPr>
            <w:tcW w:w="4111" w:type="dxa"/>
            <w:tcBorders>
              <w:top w:val="nil"/>
              <w:left w:val="single" w:sz="4" w:space="0" w:color="auto"/>
              <w:bottom w:val="single" w:sz="4" w:space="0" w:color="363639"/>
              <w:right w:val="single" w:sz="4" w:space="0" w:color="363639"/>
            </w:tcBorders>
            <w:shd w:val="clear" w:color="000000" w:fill="FFFFFF"/>
            <w:hideMark/>
          </w:tcPr>
          <w:p w14:paraId="20C487C3"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2E990780"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3FC1942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05DE0D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4.340.655</w:t>
            </w:r>
          </w:p>
        </w:tc>
        <w:tc>
          <w:tcPr>
            <w:tcW w:w="1559" w:type="dxa"/>
            <w:tcBorders>
              <w:top w:val="nil"/>
              <w:left w:val="nil"/>
              <w:bottom w:val="single" w:sz="4" w:space="0" w:color="auto"/>
              <w:right w:val="single" w:sz="4" w:space="0" w:color="auto"/>
            </w:tcBorders>
            <w:shd w:val="clear" w:color="000000" w:fill="FFFFFF"/>
            <w:noWrap/>
            <w:vAlign w:val="bottom"/>
            <w:hideMark/>
          </w:tcPr>
          <w:p w14:paraId="2C8803F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4.340.655</w:t>
            </w:r>
          </w:p>
        </w:tc>
      </w:tr>
      <w:tr w:rsidR="002F6C11" w:rsidRPr="00701F32" w14:paraId="58819429"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16EEE92C"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667407D6"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C5D8831"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7B3E856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37.954</w:t>
            </w:r>
          </w:p>
        </w:tc>
        <w:tc>
          <w:tcPr>
            <w:tcW w:w="1559" w:type="dxa"/>
            <w:tcBorders>
              <w:top w:val="nil"/>
              <w:left w:val="nil"/>
              <w:bottom w:val="single" w:sz="4" w:space="0" w:color="auto"/>
              <w:right w:val="single" w:sz="4" w:space="0" w:color="auto"/>
            </w:tcBorders>
            <w:shd w:val="clear" w:color="000000" w:fill="FFFFFF"/>
            <w:noWrap/>
            <w:vAlign w:val="bottom"/>
            <w:hideMark/>
          </w:tcPr>
          <w:p w14:paraId="2890DD2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37.954</w:t>
            </w:r>
          </w:p>
        </w:tc>
      </w:tr>
      <w:tr w:rsidR="002F6C11" w:rsidRPr="00701F32" w14:paraId="5961B75A"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7E1DC50E"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571D93F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24C2112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44197F6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213A6C8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r>
      <w:tr w:rsidR="002F6C11" w:rsidRPr="00701F32" w14:paraId="447891D5"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14C3E8C4"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3AC55E5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40C1708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168.177</w:t>
            </w:r>
          </w:p>
        </w:tc>
        <w:tc>
          <w:tcPr>
            <w:tcW w:w="1701" w:type="dxa"/>
            <w:tcBorders>
              <w:top w:val="nil"/>
              <w:left w:val="nil"/>
              <w:bottom w:val="single" w:sz="4" w:space="0" w:color="auto"/>
              <w:right w:val="single" w:sz="4" w:space="0" w:color="auto"/>
            </w:tcBorders>
            <w:shd w:val="clear" w:color="000000" w:fill="FFFFFF"/>
            <w:noWrap/>
            <w:vAlign w:val="bottom"/>
            <w:hideMark/>
          </w:tcPr>
          <w:p w14:paraId="58077A2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280.367</w:t>
            </w:r>
          </w:p>
        </w:tc>
        <w:tc>
          <w:tcPr>
            <w:tcW w:w="1559" w:type="dxa"/>
            <w:tcBorders>
              <w:top w:val="nil"/>
              <w:left w:val="nil"/>
              <w:bottom w:val="single" w:sz="4" w:space="0" w:color="auto"/>
              <w:right w:val="single" w:sz="4" w:space="0" w:color="auto"/>
            </w:tcBorders>
            <w:shd w:val="clear" w:color="000000" w:fill="FFFFFF"/>
            <w:noWrap/>
            <w:vAlign w:val="bottom"/>
            <w:hideMark/>
          </w:tcPr>
          <w:p w14:paraId="31E54AE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448.544</w:t>
            </w:r>
          </w:p>
        </w:tc>
      </w:tr>
      <w:tr w:rsidR="002F6C11" w:rsidRPr="00701F32" w14:paraId="06CCAF82" w14:textId="77777777" w:rsidTr="00E311C9">
        <w:trPr>
          <w:trHeight w:val="228"/>
        </w:trPr>
        <w:tc>
          <w:tcPr>
            <w:tcW w:w="4111" w:type="dxa"/>
            <w:tcBorders>
              <w:top w:val="nil"/>
              <w:left w:val="single" w:sz="4" w:space="0" w:color="auto"/>
              <w:bottom w:val="single" w:sz="4" w:space="0" w:color="363639"/>
              <w:right w:val="single" w:sz="4" w:space="0" w:color="363639"/>
            </w:tcBorders>
            <w:shd w:val="clear" w:color="000000" w:fill="FFFFFF"/>
            <w:hideMark/>
          </w:tcPr>
          <w:p w14:paraId="607F7E81"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16250AC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26.117.504</w:t>
            </w:r>
          </w:p>
        </w:tc>
        <w:tc>
          <w:tcPr>
            <w:tcW w:w="1701" w:type="dxa"/>
            <w:tcBorders>
              <w:top w:val="nil"/>
              <w:left w:val="nil"/>
              <w:bottom w:val="single" w:sz="4" w:space="0" w:color="auto"/>
              <w:right w:val="single" w:sz="4" w:space="0" w:color="auto"/>
            </w:tcBorders>
            <w:shd w:val="clear" w:color="000000" w:fill="FFFFFF"/>
            <w:noWrap/>
            <w:vAlign w:val="bottom"/>
            <w:hideMark/>
          </w:tcPr>
          <w:p w14:paraId="261C68E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19.074.953</w:t>
            </w:r>
          </w:p>
        </w:tc>
        <w:tc>
          <w:tcPr>
            <w:tcW w:w="1701" w:type="dxa"/>
            <w:tcBorders>
              <w:top w:val="nil"/>
              <w:left w:val="nil"/>
              <w:bottom w:val="single" w:sz="4" w:space="0" w:color="auto"/>
              <w:right w:val="single" w:sz="4" w:space="0" w:color="auto"/>
            </w:tcBorders>
            <w:shd w:val="clear" w:color="000000" w:fill="FFFFFF"/>
            <w:noWrap/>
            <w:vAlign w:val="bottom"/>
            <w:hideMark/>
          </w:tcPr>
          <w:p w14:paraId="2AF197F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3.059.649</w:t>
            </w:r>
          </w:p>
        </w:tc>
        <w:tc>
          <w:tcPr>
            <w:tcW w:w="1559" w:type="dxa"/>
            <w:tcBorders>
              <w:top w:val="nil"/>
              <w:left w:val="nil"/>
              <w:bottom w:val="single" w:sz="4" w:space="0" w:color="auto"/>
              <w:right w:val="single" w:sz="4" w:space="0" w:color="auto"/>
            </w:tcBorders>
            <w:shd w:val="clear" w:color="000000" w:fill="FFFFFF"/>
            <w:noWrap/>
            <w:vAlign w:val="bottom"/>
            <w:hideMark/>
          </w:tcPr>
          <w:p w14:paraId="115F0EE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48.252.106</w:t>
            </w:r>
          </w:p>
        </w:tc>
      </w:tr>
      <w:tr w:rsidR="002F6C11" w:rsidRPr="00701F32" w14:paraId="291E158E"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noWrap/>
            <w:hideMark/>
          </w:tcPr>
          <w:p w14:paraId="7575C90B"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42AE9B64"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3F8C107D"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32.296</w:t>
            </w:r>
          </w:p>
        </w:tc>
        <w:tc>
          <w:tcPr>
            <w:tcW w:w="1701" w:type="dxa"/>
            <w:tcBorders>
              <w:top w:val="nil"/>
              <w:left w:val="nil"/>
              <w:bottom w:val="single" w:sz="4" w:space="0" w:color="auto"/>
              <w:right w:val="single" w:sz="4" w:space="0" w:color="auto"/>
            </w:tcBorders>
            <w:shd w:val="clear" w:color="000000" w:fill="FFFFFF"/>
            <w:noWrap/>
            <w:vAlign w:val="bottom"/>
            <w:hideMark/>
          </w:tcPr>
          <w:p w14:paraId="7B6157FC"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30.214</w:t>
            </w:r>
          </w:p>
        </w:tc>
        <w:tc>
          <w:tcPr>
            <w:tcW w:w="1559" w:type="dxa"/>
            <w:tcBorders>
              <w:top w:val="nil"/>
              <w:left w:val="nil"/>
              <w:bottom w:val="single" w:sz="4" w:space="0" w:color="auto"/>
              <w:right w:val="single" w:sz="4" w:space="0" w:color="auto"/>
            </w:tcBorders>
            <w:shd w:val="clear" w:color="000000" w:fill="FFFFFF"/>
            <w:noWrap/>
            <w:vAlign w:val="bottom"/>
            <w:hideMark/>
          </w:tcPr>
          <w:p w14:paraId="607950D0"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62.510</w:t>
            </w:r>
          </w:p>
        </w:tc>
      </w:tr>
      <w:tr w:rsidR="002F6C11" w:rsidRPr="00701F32" w14:paraId="6212DB06"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3F263FF3"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Otras entidades financieras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39703414"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145.228</w:t>
            </w:r>
          </w:p>
        </w:tc>
        <w:tc>
          <w:tcPr>
            <w:tcW w:w="1701" w:type="dxa"/>
            <w:tcBorders>
              <w:top w:val="nil"/>
              <w:left w:val="nil"/>
              <w:bottom w:val="single" w:sz="4" w:space="0" w:color="auto"/>
              <w:right w:val="single" w:sz="4" w:space="0" w:color="auto"/>
            </w:tcBorders>
            <w:shd w:val="clear" w:color="000000" w:fill="FFFFFF"/>
            <w:noWrap/>
            <w:vAlign w:val="bottom"/>
            <w:hideMark/>
          </w:tcPr>
          <w:p w14:paraId="208AC533"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6BBF884" w14:textId="77777777" w:rsidR="002F6C11" w:rsidRPr="00701F32" w:rsidRDefault="002F6C11" w:rsidP="00DC5640">
            <w:pPr>
              <w:jc w:val="right"/>
              <w:rPr>
                <w:rFonts w:ascii="Arial" w:hAnsi="Arial" w:cs="Arial"/>
                <w:bCs/>
                <w:sz w:val="16"/>
                <w:szCs w:val="16"/>
                <w:lang w:val="es-ES_tradnl" w:eastAsia="es-AR"/>
              </w:rPr>
            </w:pPr>
            <w:r w:rsidRPr="00701F32">
              <w:rPr>
                <w:rFonts w:ascii="Arial" w:hAnsi="Arial" w:cs="Arial"/>
                <w:bCs/>
                <w:sz w:val="16"/>
                <w:szCs w:val="16"/>
                <w:lang w:eastAsia="es-AR"/>
              </w:rPr>
              <w:t>2.222.712</w:t>
            </w:r>
          </w:p>
        </w:tc>
        <w:tc>
          <w:tcPr>
            <w:tcW w:w="1559" w:type="dxa"/>
            <w:tcBorders>
              <w:top w:val="nil"/>
              <w:left w:val="nil"/>
              <w:bottom w:val="single" w:sz="4" w:space="0" w:color="auto"/>
              <w:right w:val="single" w:sz="4" w:space="0" w:color="auto"/>
            </w:tcBorders>
            <w:shd w:val="clear" w:color="000000" w:fill="FFFFFF"/>
            <w:noWrap/>
            <w:vAlign w:val="bottom"/>
            <w:hideMark/>
          </w:tcPr>
          <w:p w14:paraId="7439A243"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2.367.940</w:t>
            </w:r>
          </w:p>
        </w:tc>
      </w:tr>
      <w:tr w:rsidR="002F6C11" w:rsidRPr="00701F32" w14:paraId="0A47F635" w14:textId="77777777" w:rsidTr="00E311C9">
        <w:trPr>
          <w:trHeight w:val="266"/>
        </w:trPr>
        <w:tc>
          <w:tcPr>
            <w:tcW w:w="4111" w:type="dxa"/>
            <w:tcBorders>
              <w:top w:val="nil"/>
              <w:left w:val="single" w:sz="4" w:space="0" w:color="auto"/>
              <w:bottom w:val="single" w:sz="4" w:space="0" w:color="363639"/>
              <w:right w:val="single" w:sz="4" w:space="0" w:color="363639"/>
            </w:tcBorders>
            <w:shd w:val="clear" w:color="000000" w:fill="FFFFFF"/>
            <w:hideMark/>
          </w:tcPr>
          <w:p w14:paraId="08696A99" w14:textId="77777777" w:rsidR="002F6C11" w:rsidRPr="00701F32" w:rsidRDefault="002F6C11" w:rsidP="00DC5640">
            <w:pPr>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4F2B14E5"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25.972.276</w:t>
            </w:r>
          </w:p>
        </w:tc>
        <w:tc>
          <w:tcPr>
            <w:tcW w:w="1701" w:type="dxa"/>
            <w:tcBorders>
              <w:top w:val="nil"/>
              <w:left w:val="nil"/>
              <w:bottom w:val="single" w:sz="4" w:space="0" w:color="auto"/>
              <w:right w:val="single" w:sz="4" w:space="0" w:color="auto"/>
            </w:tcBorders>
            <w:shd w:val="clear" w:color="000000" w:fill="FFFFFF"/>
            <w:noWrap/>
            <w:vAlign w:val="bottom"/>
            <w:hideMark/>
          </w:tcPr>
          <w:p w14:paraId="42CD8090"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19.042.657</w:t>
            </w:r>
          </w:p>
        </w:tc>
        <w:tc>
          <w:tcPr>
            <w:tcW w:w="1701" w:type="dxa"/>
            <w:tcBorders>
              <w:top w:val="nil"/>
              <w:left w:val="nil"/>
              <w:bottom w:val="single" w:sz="4" w:space="0" w:color="auto"/>
              <w:right w:val="single" w:sz="4" w:space="0" w:color="auto"/>
            </w:tcBorders>
            <w:shd w:val="clear" w:color="000000" w:fill="FFFFFF"/>
            <w:noWrap/>
            <w:vAlign w:val="bottom"/>
            <w:hideMark/>
          </w:tcPr>
          <w:p w14:paraId="60C9F950"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806.723</w:t>
            </w:r>
          </w:p>
        </w:tc>
        <w:tc>
          <w:tcPr>
            <w:tcW w:w="1559" w:type="dxa"/>
            <w:tcBorders>
              <w:top w:val="nil"/>
              <w:left w:val="nil"/>
              <w:bottom w:val="single" w:sz="4" w:space="0" w:color="auto"/>
              <w:right w:val="single" w:sz="4" w:space="0" w:color="auto"/>
            </w:tcBorders>
            <w:shd w:val="clear" w:color="000000" w:fill="FFFFFF"/>
            <w:noWrap/>
            <w:vAlign w:val="bottom"/>
            <w:hideMark/>
          </w:tcPr>
          <w:p w14:paraId="3F6E6C92"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45.821.656</w:t>
            </w:r>
          </w:p>
        </w:tc>
      </w:tr>
      <w:tr w:rsidR="002F6C11" w:rsidRPr="00701F32" w14:paraId="609B32D4"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05BD0894"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3FFEC78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2C39042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2261D11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2.313.336</w:t>
            </w:r>
          </w:p>
        </w:tc>
        <w:tc>
          <w:tcPr>
            <w:tcW w:w="1559" w:type="dxa"/>
            <w:tcBorders>
              <w:top w:val="nil"/>
              <w:left w:val="nil"/>
              <w:bottom w:val="single" w:sz="4" w:space="0" w:color="auto"/>
              <w:right w:val="single" w:sz="4" w:space="0" w:color="auto"/>
            </w:tcBorders>
            <w:shd w:val="clear" w:color="000000" w:fill="FFFFFF"/>
            <w:noWrap/>
            <w:vAlign w:val="bottom"/>
            <w:hideMark/>
          </w:tcPr>
          <w:p w14:paraId="1D9E6526"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2.313.336</w:t>
            </w:r>
          </w:p>
        </w:tc>
      </w:tr>
      <w:tr w:rsidR="002F6C11" w:rsidRPr="00701F32" w14:paraId="3E5CB033" w14:textId="77777777" w:rsidTr="00E311C9">
        <w:trPr>
          <w:trHeight w:val="308"/>
        </w:trPr>
        <w:tc>
          <w:tcPr>
            <w:tcW w:w="4111" w:type="dxa"/>
            <w:tcBorders>
              <w:top w:val="nil"/>
              <w:left w:val="single" w:sz="4" w:space="0" w:color="auto"/>
              <w:bottom w:val="single" w:sz="4" w:space="0" w:color="363639"/>
              <w:right w:val="single" w:sz="4" w:space="0" w:color="363639"/>
            </w:tcBorders>
            <w:shd w:val="clear" w:color="000000" w:fill="FFFFFF"/>
            <w:hideMark/>
          </w:tcPr>
          <w:p w14:paraId="3CF9C88E"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558FCBB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21.201</w:t>
            </w:r>
          </w:p>
        </w:tc>
        <w:tc>
          <w:tcPr>
            <w:tcW w:w="1701" w:type="dxa"/>
            <w:tcBorders>
              <w:top w:val="nil"/>
              <w:left w:val="nil"/>
              <w:bottom w:val="single" w:sz="4" w:space="0" w:color="auto"/>
              <w:right w:val="single" w:sz="4" w:space="0" w:color="auto"/>
            </w:tcBorders>
            <w:shd w:val="clear" w:color="000000" w:fill="FFFFFF"/>
            <w:noWrap/>
            <w:vAlign w:val="bottom"/>
            <w:hideMark/>
          </w:tcPr>
          <w:p w14:paraId="0888484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137.363</w:t>
            </w:r>
          </w:p>
        </w:tc>
        <w:tc>
          <w:tcPr>
            <w:tcW w:w="1701" w:type="dxa"/>
            <w:tcBorders>
              <w:top w:val="nil"/>
              <w:left w:val="nil"/>
              <w:bottom w:val="single" w:sz="4" w:space="0" w:color="auto"/>
              <w:right w:val="single" w:sz="4" w:space="0" w:color="auto"/>
            </w:tcBorders>
            <w:shd w:val="clear" w:color="000000" w:fill="FFFFFF"/>
            <w:noWrap/>
            <w:vAlign w:val="bottom"/>
            <w:hideMark/>
          </w:tcPr>
          <w:p w14:paraId="6F48FF10" w14:textId="77777777" w:rsidR="002F6C11" w:rsidRPr="00701F32" w:rsidRDefault="002F6C11" w:rsidP="00DC5640">
            <w:pPr>
              <w:jc w:val="right"/>
              <w:rPr>
                <w:rFonts w:ascii="Arial" w:hAnsi="Arial" w:cs="Arial"/>
                <w:b/>
                <w:bCs/>
                <w:sz w:val="16"/>
                <w:szCs w:val="16"/>
                <w:lang w:val="es-ES_tradnl" w:eastAsia="es-AR"/>
              </w:rPr>
            </w:pPr>
            <w:r w:rsidRPr="00701F32">
              <w:rPr>
                <w:rFonts w:ascii="Arial" w:hAnsi="Arial" w:cs="Arial"/>
                <w:b/>
                <w:bCs/>
                <w:sz w:val="16"/>
                <w:szCs w:val="16"/>
                <w:lang w:eastAsia="es-AR"/>
              </w:rPr>
              <w:t>2.461.568</w:t>
            </w:r>
          </w:p>
        </w:tc>
        <w:tc>
          <w:tcPr>
            <w:tcW w:w="1559" w:type="dxa"/>
            <w:tcBorders>
              <w:top w:val="nil"/>
              <w:left w:val="nil"/>
              <w:bottom w:val="single" w:sz="4" w:space="0" w:color="auto"/>
              <w:right w:val="single" w:sz="4" w:space="0" w:color="auto"/>
            </w:tcBorders>
            <w:shd w:val="clear" w:color="000000" w:fill="FFFFFF"/>
            <w:noWrap/>
            <w:vAlign w:val="bottom"/>
            <w:hideMark/>
          </w:tcPr>
          <w:p w14:paraId="5E6E090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2.620.132</w:t>
            </w:r>
          </w:p>
        </w:tc>
      </w:tr>
      <w:tr w:rsidR="002F6C11" w:rsidRPr="00701F32" w14:paraId="2ED3E6E4" w14:textId="77777777" w:rsidTr="00E311C9">
        <w:trPr>
          <w:trHeight w:val="281"/>
        </w:trPr>
        <w:tc>
          <w:tcPr>
            <w:tcW w:w="4111" w:type="dxa"/>
            <w:tcBorders>
              <w:top w:val="nil"/>
              <w:left w:val="single" w:sz="4" w:space="0" w:color="auto"/>
              <w:bottom w:val="single" w:sz="4" w:space="0" w:color="363639"/>
              <w:right w:val="single" w:sz="4" w:space="0" w:color="363639"/>
            </w:tcBorders>
            <w:shd w:val="clear" w:color="000000" w:fill="FFFFFF"/>
            <w:hideMark/>
          </w:tcPr>
          <w:p w14:paraId="04E074E4"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31F0F29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396972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4332151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3.729</w:t>
            </w:r>
          </w:p>
        </w:tc>
        <w:tc>
          <w:tcPr>
            <w:tcW w:w="1559" w:type="dxa"/>
            <w:tcBorders>
              <w:top w:val="nil"/>
              <w:left w:val="nil"/>
              <w:bottom w:val="single" w:sz="4" w:space="0" w:color="auto"/>
              <w:right w:val="single" w:sz="4" w:space="0" w:color="auto"/>
            </w:tcBorders>
            <w:shd w:val="clear" w:color="000000" w:fill="FFFFFF"/>
            <w:noWrap/>
            <w:vAlign w:val="bottom"/>
            <w:hideMark/>
          </w:tcPr>
          <w:p w14:paraId="735F6C8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3.729</w:t>
            </w:r>
          </w:p>
        </w:tc>
      </w:tr>
      <w:tr w:rsidR="002F6C11" w:rsidRPr="00701F32" w14:paraId="5E448685" w14:textId="77777777" w:rsidTr="00E311C9">
        <w:trPr>
          <w:trHeight w:val="223"/>
        </w:trPr>
        <w:tc>
          <w:tcPr>
            <w:tcW w:w="4111" w:type="dxa"/>
            <w:tcBorders>
              <w:top w:val="nil"/>
              <w:left w:val="single" w:sz="4" w:space="0" w:color="auto"/>
              <w:bottom w:val="single" w:sz="4" w:space="0" w:color="363639"/>
              <w:right w:val="single" w:sz="4" w:space="0" w:color="363639"/>
            </w:tcBorders>
            <w:shd w:val="clear" w:color="000000" w:fill="FFFFFF"/>
            <w:hideMark/>
          </w:tcPr>
          <w:p w14:paraId="124D7CF1"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41BEE14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52D5FFD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76C4D62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6.953</w:t>
            </w:r>
          </w:p>
        </w:tc>
        <w:tc>
          <w:tcPr>
            <w:tcW w:w="1559" w:type="dxa"/>
            <w:tcBorders>
              <w:top w:val="nil"/>
              <w:left w:val="nil"/>
              <w:bottom w:val="single" w:sz="4" w:space="0" w:color="auto"/>
              <w:right w:val="single" w:sz="4" w:space="0" w:color="auto"/>
            </w:tcBorders>
            <w:shd w:val="clear" w:color="000000" w:fill="FFFFFF"/>
            <w:noWrap/>
            <w:vAlign w:val="bottom"/>
            <w:hideMark/>
          </w:tcPr>
          <w:p w14:paraId="7857E04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6.953</w:t>
            </w:r>
          </w:p>
        </w:tc>
      </w:tr>
      <w:tr w:rsidR="002F6C11" w:rsidRPr="00701F32" w14:paraId="3AD12BEF" w14:textId="77777777" w:rsidTr="00E311C9">
        <w:trPr>
          <w:trHeight w:val="274"/>
        </w:trPr>
        <w:tc>
          <w:tcPr>
            <w:tcW w:w="4111" w:type="dxa"/>
            <w:tcBorders>
              <w:top w:val="nil"/>
              <w:left w:val="single" w:sz="4" w:space="0" w:color="auto"/>
              <w:bottom w:val="single" w:sz="4" w:space="0" w:color="363639"/>
              <w:right w:val="single" w:sz="4" w:space="0" w:color="363639"/>
            </w:tcBorders>
            <w:shd w:val="clear" w:color="000000" w:fill="FFFFFF"/>
            <w:hideMark/>
          </w:tcPr>
          <w:p w14:paraId="05E97E1A"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6997607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6F5DB2B0"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789CFFD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870.031</w:t>
            </w:r>
          </w:p>
        </w:tc>
        <w:tc>
          <w:tcPr>
            <w:tcW w:w="1559" w:type="dxa"/>
            <w:tcBorders>
              <w:top w:val="nil"/>
              <w:left w:val="nil"/>
              <w:bottom w:val="single" w:sz="4" w:space="0" w:color="auto"/>
              <w:right w:val="single" w:sz="4" w:space="0" w:color="auto"/>
            </w:tcBorders>
            <w:shd w:val="clear" w:color="000000" w:fill="FFFFFF"/>
            <w:noWrap/>
            <w:vAlign w:val="bottom"/>
            <w:hideMark/>
          </w:tcPr>
          <w:p w14:paraId="3A110A9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870.031</w:t>
            </w:r>
          </w:p>
        </w:tc>
      </w:tr>
      <w:tr w:rsidR="002F6C11" w:rsidRPr="00701F32" w14:paraId="335DA4C4"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058F562E"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66E9DAD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347CF91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396CCDC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768.029</w:t>
            </w:r>
          </w:p>
        </w:tc>
        <w:tc>
          <w:tcPr>
            <w:tcW w:w="1559" w:type="dxa"/>
            <w:tcBorders>
              <w:top w:val="nil"/>
              <w:left w:val="nil"/>
              <w:bottom w:val="single" w:sz="4" w:space="0" w:color="auto"/>
              <w:right w:val="single" w:sz="4" w:space="0" w:color="auto"/>
            </w:tcBorders>
            <w:shd w:val="clear" w:color="000000" w:fill="FFFFFF"/>
            <w:noWrap/>
            <w:vAlign w:val="bottom"/>
            <w:hideMark/>
          </w:tcPr>
          <w:p w14:paraId="1E1F571D" w14:textId="77777777" w:rsidR="002F6C11" w:rsidRPr="00701F32" w:rsidRDefault="002F6C11" w:rsidP="00DC5640">
            <w:pPr>
              <w:jc w:val="right"/>
              <w:rPr>
                <w:rFonts w:ascii="Arial" w:hAnsi="Arial" w:cs="Arial"/>
                <w:b/>
                <w:bCs/>
                <w:sz w:val="16"/>
                <w:szCs w:val="16"/>
                <w:lang w:val="es-ES_tradnl" w:eastAsia="es-AR"/>
              </w:rPr>
            </w:pPr>
            <w:r w:rsidRPr="00701F32">
              <w:rPr>
                <w:rFonts w:ascii="Arial" w:hAnsi="Arial" w:cs="Arial"/>
                <w:b/>
                <w:bCs/>
                <w:sz w:val="16"/>
                <w:szCs w:val="16"/>
                <w:lang w:eastAsia="es-AR"/>
              </w:rPr>
              <w:t>768.029</w:t>
            </w:r>
          </w:p>
        </w:tc>
      </w:tr>
      <w:tr w:rsidR="002F6C11" w:rsidRPr="00701F32" w14:paraId="03CB42E9"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2A86B3A5"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0CA67C8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6A03709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2102A01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108.621</w:t>
            </w:r>
          </w:p>
        </w:tc>
        <w:tc>
          <w:tcPr>
            <w:tcW w:w="1559" w:type="dxa"/>
            <w:tcBorders>
              <w:top w:val="nil"/>
              <w:left w:val="nil"/>
              <w:bottom w:val="single" w:sz="4" w:space="0" w:color="auto"/>
              <w:right w:val="single" w:sz="4" w:space="0" w:color="auto"/>
            </w:tcBorders>
            <w:shd w:val="clear" w:color="000000" w:fill="FFFFFF"/>
            <w:noWrap/>
            <w:vAlign w:val="bottom"/>
            <w:hideMark/>
          </w:tcPr>
          <w:p w14:paraId="7CC3EF96"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108.621</w:t>
            </w:r>
          </w:p>
        </w:tc>
      </w:tr>
      <w:tr w:rsidR="002F6C11" w:rsidRPr="00701F32" w14:paraId="7C026B4A" w14:textId="77777777" w:rsidTr="00E311C9">
        <w:trPr>
          <w:trHeight w:val="237"/>
        </w:trPr>
        <w:tc>
          <w:tcPr>
            <w:tcW w:w="4111" w:type="dxa"/>
            <w:tcBorders>
              <w:top w:val="nil"/>
              <w:left w:val="single" w:sz="4" w:space="0" w:color="auto"/>
              <w:bottom w:val="single" w:sz="4" w:space="0" w:color="363639"/>
              <w:right w:val="single" w:sz="4" w:space="0" w:color="363639"/>
            </w:tcBorders>
            <w:shd w:val="clear" w:color="000000" w:fill="FFFFFF"/>
            <w:hideMark/>
          </w:tcPr>
          <w:p w14:paraId="27D28A09"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5306473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32E81CC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01" w:type="dxa"/>
            <w:tcBorders>
              <w:top w:val="nil"/>
              <w:left w:val="nil"/>
              <w:bottom w:val="single" w:sz="4" w:space="0" w:color="auto"/>
              <w:right w:val="single" w:sz="4" w:space="0" w:color="auto"/>
            </w:tcBorders>
            <w:shd w:val="clear" w:color="000000" w:fill="FFFFFF"/>
            <w:noWrap/>
            <w:vAlign w:val="bottom"/>
            <w:hideMark/>
          </w:tcPr>
          <w:p w14:paraId="0DA48617"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417.777</w:t>
            </w:r>
          </w:p>
        </w:tc>
        <w:tc>
          <w:tcPr>
            <w:tcW w:w="1559" w:type="dxa"/>
            <w:tcBorders>
              <w:top w:val="nil"/>
              <w:left w:val="nil"/>
              <w:bottom w:val="single" w:sz="4" w:space="0" w:color="auto"/>
              <w:right w:val="single" w:sz="4" w:space="0" w:color="auto"/>
            </w:tcBorders>
            <w:shd w:val="clear" w:color="000000" w:fill="FFFFFF"/>
            <w:noWrap/>
            <w:vAlign w:val="bottom"/>
            <w:hideMark/>
          </w:tcPr>
          <w:p w14:paraId="7BB8CFA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417.777</w:t>
            </w:r>
          </w:p>
        </w:tc>
      </w:tr>
      <w:tr w:rsidR="002F6C11" w:rsidRPr="00701F32" w14:paraId="406A4AAA" w14:textId="77777777" w:rsidTr="00E311C9">
        <w:trPr>
          <w:trHeight w:val="210"/>
        </w:trPr>
        <w:tc>
          <w:tcPr>
            <w:tcW w:w="4111" w:type="dxa"/>
            <w:tcBorders>
              <w:top w:val="nil"/>
              <w:left w:val="single" w:sz="4" w:space="0" w:color="auto"/>
              <w:bottom w:val="single" w:sz="4" w:space="0" w:color="363639"/>
              <w:right w:val="single" w:sz="4" w:space="0" w:color="363639"/>
            </w:tcBorders>
            <w:shd w:val="clear" w:color="000000" w:fill="FFFFFF"/>
            <w:hideMark/>
          </w:tcPr>
          <w:p w14:paraId="03DAF664"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14:paraId="022AFB3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8.716</w:t>
            </w:r>
          </w:p>
        </w:tc>
        <w:tc>
          <w:tcPr>
            <w:tcW w:w="1701" w:type="dxa"/>
            <w:tcBorders>
              <w:top w:val="nil"/>
              <w:left w:val="nil"/>
              <w:bottom w:val="single" w:sz="4" w:space="0" w:color="auto"/>
              <w:right w:val="single" w:sz="4" w:space="0" w:color="auto"/>
            </w:tcBorders>
            <w:shd w:val="clear" w:color="000000" w:fill="FFFFFF"/>
            <w:noWrap/>
            <w:vAlign w:val="bottom"/>
            <w:hideMark/>
          </w:tcPr>
          <w:p w14:paraId="45F4899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16.302</w:t>
            </w:r>
          </w:p>
        </w:tc>
        <w:tc>
          <w:tcPr>
            <w:tcW w:w="1701" w:type="dxa"/>
            <w:tcBorders>
              <w:top w:val="nil"/>
              <w:left w:val="nil"/>
              <w:bottom w:val="single" w:sz="4" w:space="0" w:color="auto"/>
              <w:right w:val="single" w:sz="4" w:space="0" w:color="auto"/>
            </w:tcBorders>
            <w:shd w:val="clear" w:color="000000" w:fill="FFFFFF"/>
            <w:noWrap/>
            <w:vAlign w:val="bottom"/>
            <w:hideMark/>
          </w:tcPr>
          <w:p w14:paraId="514EE4B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614.611</w:t>
            </w:r>
          </w:p>
        </w:tc>
        <w:tc>
          <w:tcPr>
            <w:tcW w:w="1559" w:type="dxa"/>
            <w:tcBorders>
              <w:top w:val="nil"/>
              <w:left w:val="nil"/>
              <w:bottom w:val="single" w:sz="4" w:space="0" w:color="auto"/>
              <w:right w:val="single" w:sz="4" w:space="0" w:color="auto"/>
            </w:tcBorders>
            <w:shd w:val="clear" w:color="000000" w:fill="FFFFFF"/>
            <w:noWrap/>
            <w:vAlign w:val="bottom"/>
            <w:hideMark/>
          </w:tcPr>
          <w:p w14:paraId="5AA9D557"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639.629</w:t>
            </w:r>
          </w:p>
        </w:tc>
      </w:tr>
      <w:tr w:rsidR="002F6C11" w:rsidRPr="00701F32" w14:paraId="3D7680EA" w14:textId="77777777" w:rsidTr="00E311C9">
        <w:trPr>
          <w:trHeight w:val="210"/>
        </w:trPr>
        <w:tc>
          <w:tcPr>
            <w:tcW w:w="4111" w:type="dxa"/>
            <w:tcBorders>
              <w:top w:val="single" w:sz="4" w:space="0" w:color="auto"/>
              <w:left w:val="single" w:sz="4" w:space="0" w:color="auto"/>
              <w:bottom w:val="single" w:sz="4" w:space="0" w:color="auto"/>
              <w:right w:val="single" w:sz="4" w:space="0" w:color="363639"/>
            </w:tcBorders>
            <w:shd w:val="clear" w:color="000000" w:fill="FFFFFF"/>
            <w:vAlign w:val="center"/>
            <w:hideMark/>
          </w:tcPr>
          <w:p w14:paraId="1B68DD4F"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TOTAL ACTIVO</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EE17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26.341.619</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6D1D3E51"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21.571.369</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15EC955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21.850.997</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30295A3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69.763.985</w:t>
            </w:r>
          </w:p>
        </w:tc>
      </w:tr>
    </w:tbl>
    <w:p w14:paraId="063C6CCC" w14:textId="77777777" w:rsidR="00A737B4" w:rsidRPr="00701F32" w:rsidRDefault="00A737B4" w:rsidP="008C57F0">
      <w:pPr>
        <w:jc w:val="both"/>
        <w:rPr>
          <w:rFonts w:ascii="Arial" w:hAnsi="Arial" w:cs="Arial"/>
          <w:sz w:val="20"/>
        </w:rPr>
      </w:pPr>
    </w:p>
    <w:p w14:paraId="3A644A23" w14:textId="77777777" w:rsidR="002C3A48" w:rsidRPr="00701F32" w:rsidRDefault="002C3A48" w:rsidP="008C57F0">
      <w:pPr>
        <w:jc w:val="both"/>
        <w:rPr>
          <w:rFonts w:ascii="Arial" w:hAnsi="Arial" w:cs="Arial"/>
          <w:sz w:val="20"/>
        </w:rPr>
      </w:pPr>
    </w:p>
    <w:p w14:paraId="347CE713" w14:textId="77777777" w:rsidR="002C3A48" w:rsidRPr="00701F32" w:rsidRDefault="002C3A48" w:rsidP="008C57F0">
      <w:pPr>
        <w:jc w:val="both"/>
        <w:rPr>
          <w:rFonts w:ascii="Arial" w:hAnsi="Arial" w:cs="Arial"/>
          <w:sz w:val="20"/>
        </w:rPr>
      </w:pPr>
    </w:p>
    <w:tbl>
      <w:tblPr>
        <w:tblW w:w="11016" w:type="dxa"/>
        <w:tblInd w:w="-923" w:type="dxa"/>
        <w:tblCellMar>
          <w:left w:w="70" w:type="dxa"/>
          <w:right w:w="70" w:type="dxa"/>
        </w:tblCellMar>
        <w:tblLook w:val="04A0" w:firstRow="1" w:lastRow="0" w:firstColumn="1" w:lastColumn="0" w:noHBand="0" w:noVBand="1"/>
      </w:tblPr>
      <w:tblGrid>
        <w:gridCol w:w="4352"/>
        <w:gridCol w:w="1648"/>
        <w:gridCol w:w="1791"/>
        <w:gridCol w:w="1792"/>
        <w:gridCol w:w="1433"/>
      </w:tblGrid>
      <w:tr w:rsidR="002F6C11" w:rsidRPr="00701F32" w14:paraId="29EF1F3C" w14:textId="77777777" w:rsidTr="00DC5640">
        <w:trPr>
          <w:trHeight w:val="782"/>
        </w:trPr>
        <w:tc>
          <w:tcPr>
            <w:tcW w:w="4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69524" w14:textId="77777777" w:rsidR="002F6C11" w:rsidRPr="00701F32" w:rsidRDefault="002F6C11" w:rsidP="00DC5640">
            <w:pPr>
              <w:jc w:val="center"/>
              <w:rPr>
                <w:rFonts w:ascii="Arial" w:hAnsi="Arial" w:cs="Arial"/>
                <w:b/>
                <w:bCs/>
                <w:sz w:val="16"/>
                <w:szCs w:val="16"/>
                <w:lang w:eastAsia="es-AR"/>
              </w:rPr>
            </w:pPr>
            <w:r w:rsidRPr="00701F32">
              <w:rPr>
                <w:rFonts w:ascii="Arial" w:hAnsi="Arial" w:cs="Arial"/>
                <w:b/>
                <w:bCs/>
                <w:sz w:val="16"/>
                <w:szCs w:val="16"/>
                <w:lang w:eastAsia="es-AR"/>
              </w:rPr>
              <w:t>PASIVO al 30/09/2017</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14:paraId="7E346768"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Empresa </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14:paraId="3B6FFF1C"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Banca Minorista </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529AB89A"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Tesorería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4A8C736" w14:textId="77777777" w:rsidR="002F6C11" w:rsidRPr="00701F32" w:rsidRDefault="002F6C11" w:rsidP="00DC5640">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 xml:space="preserve"> TOTAL </w:t>
            </w:r>
          </w:p>
        </w:tc>
      </w:tr>
      <w:tr w:rsidR="002F6C11" w:rsidRPr="00701F32" w14:paraId="487B436F" w14:textId="77777777" w:rsidTr="00DC5640">
        <w:trPr>
          <w:trHeight w:val="204"/>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558E189D" w14:textId="77777777" w:rsidR="002F6C11" w:rsidRPr="00701F32" w:rsidRDefault="002F6C11" w:rsidP="00DC5640">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648" w:type="dxa"/>
            <w:tcBorders>
              <w:top w:val="nil"/>
              <w:left w:val="nil"/>
              <w:bottom w:val="single" w:sz="4" w:space="0" w:color="auto"/>
              <w:right w:val="single" w:sz="4" w:space="0" w:color="auto"/>
            </w:tcBorders>
            <w:shd w:val="clear" w:color="auto" w:fill="auto"/>
            <w:noWrap/>
            <w:vAlign w:val="bottom"/>
            <w:hideMark/>
          </w:tcPr>
          <w:p w14:paraId="47531461"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-3.459.501</w:t>
            </w:r>
          </w:p>
        </w:tc>
        <w:tc>
          <w:tcPr>
            <w:tcW w:w="1791" w:type="dxa"/>
            <w:tcBorders>
              <w:top w:val="nil"/>
              <w:left w:val="nil"/>
              <w:bottom w:val="single" w:sz="4" w:space="0" w:color="auto"/>
              <w:right w:val="single" w:sz="4" w:space="0" w:color="auto"/>
            </w:tcBorders>
            <w:shd w:val="clear" w:color="auto" w:fill="auto"/>
            <w:noWrap/>
            <w:vAlign w:val="bottom"/>
            <w:hideMark/>
          </w:tcPr>
          <w:p w14:paraId="5941A2C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-31.340.908</w:t>
            </w:r>
          </w:p>
        </w:tc>
        <w:tc>
          <w:tcPr>
            <w:tcW w:w="1792" w:type="dxa"/>
            <w:tcBorders>
              <w:top w:val="nil"/>
              <w:left w:val="nil"/>
              <w:bottom w:val="single" w:sz="4" w:space="0" w:color="auto"/>
              <w:right w:val="single" w:sz="4" w:space="0" w:color="auto"/>
            </w:tcBorders>
            <w:shd w:val="clear" w:color="auto" w:fill="auto"/>
            <w:noWrap/>
            <w:vAlign w:val="bottom"/>
            <w:hideMark/>
          </w:tcPr>
          <w:p w14:paraId="460FA34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-11.705.456</w:t>
            </w:r>
          </w:p>
        </w:tc>
        <w:tc>
          <w:tcPr>
            <w:tcW w:w="1433" w:type="dxa"/>
            <w:tcBorders>
              <w:top w:val="nil"/>
              <w:left w:val="nil"/>
              <w:bottom w:val="single" w:sz="4" w:space="0" w:color="auto"/>
              <w:right w:val="single" w:sz="4" w:space="0" w:color="auto"/>
            </w:tcBorders>
            <w:shd w:val="clear" w:color="auto" w:fill="auto"/>
            <w:noWrap/>
            <w:vAlign w:val="bottom"/>
            <w:hideMark/>
          </w:tcPr>
          <w:p w14:paraId="60F8EBCF"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-46.505.865</w:t>
            </w:r>
          </w:p>
        </w:tc>
      </w:tr>
      <w:tr w:rsidR="002F6C11" w:rsidRPr="00701F32" w14:paraId="334C427E" w14:textId="77777777" w:rsidTr="00DC5640">
        <w:trPr>
          <w:trHeight w:val="278"/>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3BD6CDFE" w14:textId="77777777" w:rsidR="002F6C11" w:rsidRPr="00701F32" w:rsidRDefault="002F6C11" w:rsidP="00DC5640">
            <w:pPr>
              <w:jc w:val="both"/>
              <w:rPr>
                <w:rFonts w:ascii="Arial" w:hAnsi="Arial" w:cs="Arial"/>
                <w:color w:val="000000"/>
                <w:sz w:val="16"/>
                <w:szCs w:val="16"/>
                <w:lang w:eastAsia="es-AR"/>
              </w:rPr>
            </w:pPr>
            <w:r w:rsidRPr="00701F32">
              <w:rPr>
                <w:rFonts w:ascii="Arial" w:hAnsi="Arial" w:cs="Arial"/>
                <w:color w:val="000000"/>
                <w:sz w:val="16"/>
                <w:szCs w:val="16"/>
                <w:lang w:eastAsia="es-AR"/>
              </w:rPr>
              <w:t>Sector público no financiero</w:t>
            </w:r>
          </w:p>
        </w:tc>
        <w:tc>
          <w:tcPr>
            <w:tcW w:w="1648" w:type="dxa"/>
            <w:tcBorders>
              <w:top w:val="nil"/>
              <w:left w:val="nil"/>
              <w:bottom w:val="single" w:sz="4" w:space="0" w:color="auto"/>
              <w:right w:val="single" w:sz="4" w:space="0" w:color="auto"/>
            </w:tcBorders>
            <w:shd w:val="clear" w:color="auto" w:fill="auto"/>
            <w:noWrap/>
            <w:vAlign w:val="bottom"/>
            <w:hideMark/>
          </w:tcPr>
          <w:p w14:paraId="3AA96CDB"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-670</w:t>
            </w:r>
          </w:p>
        </w:tc>
        <w:tc>
          <w:tcPr>
            <w:tcW w:w="1791" w:type="dxa"/>
            <w:tcBorders>
              <w:top w:val="nil"/>
              <w:left w:val="nil"/>
              <w:bottom w:val="single" w:sz="4" w:space="0" w:color="auto"/>
              <w:right w:val="single" w:sz="4" w:space="0" w:color="auto"/>
            </w:tcBorders>
            <w:shd w:val="clear" w:color="auto" w:fill="auto"/>
            <w:noWrap/>
            <w:vAlign w:val="bottom"/>
            <w:hideMark/>
          </w:tcPr>
          <w:p w14:paraId="10C1D066"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-1.102.642</w:t>
            </w:r>
          </w:p>
        </w:tc>
        <w:tc>
          <w:tcPr>
            <w:tcW w:w="1792" w:type="dxa"/>
            <w:tcBorders>
              <w:top w:val="nil"/>
              <w:left w:val="nil"/>
              <w:bottom w:val="single" w:sz="4" w:space="0" w:color="auto"/>
              <w:right w:val="single" w:sz="4" w:space="0" w:color="auto"/>
            </w:tcBorders>
            <w:shd w:val="clear" w:color="auto" w:fill="auto"/>
            <w:noWrap/>
            <w:vAlign w:val="bottom"/>
            <w:hideMark/>
          </w:tcPr>
          <w:p w14:paraId="76648D6D"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-5.870.127</w:t>
            </w:r>
          </w:p>
        </w:tc>
        <w:tc>
          <w:tcPr>
            <w:tcW w:w="1433" w:type="dxa"/>
            <w:tcBorders>
              <w:top w:val="nil"/>
              <w:left w:val="nil"/>
              <w:bottom w:val="single" w:sz="4" w:space="0" w:color="auto"/>
              <w:right w:val="single" w:sz="4" w:space="0" w:color="auto"/>
            </w:tcBorders>
            <w:shd w:val="clear" w:color="auto" w:fill="auto"/>
            <w:noWrap/>
            <w:vAlign w:val="bottom"/>
            <w:hideMark/>
          </w:tcPr>
          <w:p w14:paraId="0A928D88"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-6.973.439</w:t>
            </w:r>
          </w:p>
        </w:tc>
      </w:tr>
      <w:tr w:rsidR="002F6C11" w:rsidRPr="00701F32" w14:paraId="27A62BD7" w14:textId="77777777" w:rsidTr="00DC5640">
        <w:trPr>
          <w:trHeight w:val="268"/>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0F9FBC6F" w14:textId="77777777" w:rsidR="002F6C11" w:rsidRPr="00701F32" w:rsidRDefault="002F6C11" w:rsidP="00DC5640">
            <w:pPr>
              <w:jc w:val="both"/>
              <w:rPr>
                <w:rFonts w:ascii="Arial" w:hAnsi="Arial" w:cs="Arial"/>
                <w:color w:val="000000"/>
                <w:sz w:val="16"/>
                <w:szCs w:val="16"/>
                <w:lang w:eastAsia="es-AR"/>
              </w:rPr>
            </w:pPr>
            <w:r w:rsidRPr="00701F32">
              <w:rPr>
                <w:rFonts w:ascii="Arial" w:hAnsi="Arial" w:cs="Arial"/>
                <w:color w:val="000000"/>
                <w:sz w:val="16"/>
                <w:szCs w:val="16"/>
                <w:lang w:eastAsia="es-AR"/>
              </w:rPr>
              <w:t>Sector financiero</w:t>
            </w:r>
          </w:p>
        </w:tc>
        <w:tc>
          <w:tcPr>
            <w:tcW w:w="1648" w:type="dxa"/>
            <w:tcBorders>
              <w:top w:val="nil"/>
              <w:left w:val="nil"/>
              <w:bottom w:val="single" w:sz="4" w:space="0" w:color="auto"/>
              <w:right w:val="single" w:sz="4" w:space="0" w:color="auto"/>
            </w:tcBorders>
            <w:shd w:val="clear" w:color="auto" w:fill="auto"/>
            <w:noWrap/>
            <w:vAlign w:val="bottom"/>
            <w:hideMark/>
          </w:tcPr>
          <w:p w14:paraId="7E0CADEF"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-8.836</w:t>
            </w:r>
          </w:p>
        </w:tc>
        <w:tc>
          <w:tcPr>
            <w:tcW w:w="1791" w:type="dxa"/>
            <w:tcBorders>
              <w:top w:val="nil"/>
              <w:left w:val="nil"/>
              <w:bottom w:val="single" w:sz="4" w:space="0" w:color="auto"/>
              <w:right w:val="single" w:sz="4" w:space="0" w:color="auto"/>
            </w:tcBorders>
            <w:shd w:val="clear" w:color="auto" w:fill="auto"/>
            <w:noWrap/>
            <w:vAlign w:val="bottom"/>
            <w:hideMark/>
          </w:tcPr>
          <w:p w14:paraId="4779B232"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22B5F21F"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-5</w:t>
            </w:r>
          </w:p>
        </w:tc>
        <w:tc>
          <w:tcPr>
            <w:tcW w:w="1433" w:type="dxa"/>
            <w:tcBorders>
              <w:top w:val="nil"/>
              <w:left w:val="nil"/>
              <w:bottom w:val="single" w:sz="4" w:space="0" w:color="auto"/>
              <w:right w:val="single" w:sz="4" w:space="0" w:color="auto"/>
            </w:tcBorders>
            <w:shd w:val="clear" w:color="auto" w:fill="auto"/>
            <w:noWrap/>
            <w:vAlign w:val="bottom"/>
            <w:hideMark/>
          </w:tcPr>
          <w:p w14:paraId="39164D74"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-8.841</w:t>
            </w:r>
          </w:p>
        </w:tc>
      </w:tr>
      <w:tr w:rsidR="002F6C11" w:rsidRPr="00701F32" w14:paraId="789D91E9" w14:textId="77777777" w:rsidTr="00DC5640">
        <w:trPr>
          <w:trHeight w:val="272"/>
        </w:trPr>
        <w:tc>
          <w:tcPr>
            <w:tcW w:w="4352" w:type="dxa"/>
            <w:tcBorders>
              <w:top w:val="nil"/>
              <w:left w:val="single" w:sz="4" w:space="0" w:color="auto"/>
              <w:bottom w:val="single" w:sz="4" w:space="0" w:color="auto"/>
              <w:right w:val="single" w:sz="4" w:space="0" w:color="auto"/>
            </w:tcBorders>
            <w:shd w:val="clear" w:color="auto" w:fill="auto"/>
            <w:noWrap/>
            <w:vAlign w:val="bottom"/>
            <w:hideMark/>
          </w:tcPr>
          <w:p w14:paraId="2CECA2A2" w14:textId="77777777" w:rsidR="002F6C11" w:rsidRPr="00701F32" w:rsidRDefault="002F6C11" w:rsidP="00DC5640">
            <w:pPr>
              <w:jc w:val="both"/>
              <w:rPr>
                <w:rFonts w:ascii="Arial" w:hAnsi="Arial" w:cs="Arial"/>
                <w:color w:val="000000"/>
                <w:sz w:val="16"/>
                <w:szCs w:val="16"/>
                <w:lang w:eastAsia="es-AR"/>
              </w:rPr>
            </w:pPr>
            <w:r w:rsidRPr="00701F32">
              <w:rPr>
                <w:rFonts w:ascii="Arial" w:hAnsi="Arial" w:cs="Arial"/>
                <w:color w:val="000000"/>
                <w:sz w:val="16"/>
                <w:szCs w:val="16"/>
                <w:lang w:eastAsia="es-AR"/>
              </w:rPr>
              <w:t>Sector privado no financiero y residentes en el exterior</w:t>
            </w:r>
          </w:p>
        </w:tc>
        <w:tc>
          <w:tcPr>
            <w:tcW w:w="1648" w:type="dxa"/>
            <w:tcBorders>
              <w:top w:val="nil"/>
              <w:left w:val="nil"/>
              <w:bottom w:val="single" w:sz="4" w:space="0" w:color="auto"/>
              <w:right w:val="single" w:sz="4" w:space="0" w:color="auto"/>
            </w:tcBorders>
            <w:shd w:val="clear" w:color="auto" w:fill="auto"/>
            <w:noWrap/>
            <w:vAlign w:val="bottom"/>
            <w:hideMark/>
          </w:tcPr>
          <w:p w14:paraId="0D27FE4A"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-3.449.995</w:t>
            </w:r>
          </w:p>
        </w:tc>
        <w:tc>
          <w:tcPr>
            <w:tcW w:w="1791" w:type="dxa"/>
            <w:tcBorders>
              <w:top w:val="nil"/>
              <w:left w:val="nil"/>
              <w:bottom w:val="single" w:sz="4" w:space="0" w:color="auto"/>
              <w:right w:val="single" w:sz="4" w:space="0" w:color="auto"/>
            </w:tcBorders>
            <w:shd w:val="clear" w:color="auto" w:fill="auto"/>
            <w:noWrap/>
            <w:vAlign w:val="bottom"/>
            <w:hideMark/>
          </w:tcPr>
          <w:p w14:paraId="525323C4"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-30.238.266</w:t>
            </w:r>
          </w:p>
        </w:tc>
        <w:tc>
          <w:tcPr>
            <w:tcW w:w="1792" w:type="dxa"/>
            <w:tcBorders>
              <w:top w:val="nil"/>
              <w:left w:val="nil"/>
              <w:bottom w:val="single" w:sz="4" w:space="0" w:color="auto"/>
              <w:right w:val="single" w:sz="4" w:space="0" w:color="auto"/>
            </w:tcBorders>
            <w:shd w:val="clear" w:color="auto" w:fill="auto"/>
            <w:noWrap/>
            <w:vAlign w:val="bottom"/>
            <w:hideMark/>
          </w:tcPr>
          <w:p w14:paraId="5A8FE999"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-5.835.324</w:t>
            </w:r>
          </w:p>
        </w:tc>
        <w:tc>
          <w:tcPr>
            <w:tcW w:w="1433" w:type="dxa"/>
            <w:tcBorders>
              <w:top w:val="nil"/>
              <w:left w:val="nil"/>
              <w:bottom w:val="single" w:sz="4" w:space="0" w:color="auto"/>
              <w:right w:val="single" w:sz="4" w:space="0" w:color="auto"/>
            </w:tcBorders>
            <w:shd w:val="clear" w:color="auto" w:fill="auto"/>
            <w:noWrap/>
            <w:vAlign w:val="bottom"/>
            <w:hideMark/>
          </w:tcPr>
          <w:p w14:paraId="5E0172CA" w14:textId="77777777" w:rsidR="002F6C11" w:rsidRPr="00701F32" w:rsidRDefault="002F6C11" w:rsidP="00DC5640">
            <w:pPr>
              <w:jc w:val="right"/>
              <w:rPr>
                <w:rFonts w:ascii="Arial" w:hAnsi="Arial" w:cs="Arial"/>
                <w:bCs/>
                <w:sz w:val="16"/>
                <w:szCs w:val="16"/>
                <w:lang w:eastAsia="es-AR"/>
              </w:rPr>
            </w:pPr>
            <w:r w:rsidRPr="00701F32">
              <w:rPr>
                <w:rFonts w:ascii="Arial" w:hAnsi="Arial" w:cs="Arial"/>
                <w:bCs/>
                <w:sz w:val="16"/>
                <w:szCs w:val="16"/>
                <w:lang w:eastAsia="es-AR"/>
              </w:rPr>
              <w:t>-39.523.585</w:t>
            </w:r>
          </w:p>
        </w:tc>
      </w:tr>
      <w:tr w:rsidR="002F6C11" w:rsidRPr="00701F32" w14:paraId="7BF97F77" w14:textId="77777777" w:rsidTr="00DC5640">
        <w:trPr>
          <w:trHeight w:val="276"/>
        </w:trPr>
        <w:tc>
          <w:tcPr>
            <w:tcW w:w="4352" w:type="dxa"/>
            <w:tcBorders>
              <w:top w:val="nil"/>
              <w:left w:val="single" w:sz="4" w:space="0" w:color="auto"/>
              <w:bottom w:val="single" w:sz="4" w:space="0" w:color="auto"/>
              <w:right w:val="single" w:sz="4" w:space="0" w:color="auto"/>
            </w:tcBorders>
            <w:shd w:val="clear" w:color="auto" w:fill="auto"/>
            <w:noWrap/>
            <w:vAlign w:val="bottom"/>
            <w:hideMark/>
          </w:tcPr>
          <w:p w14:paraId="4FF39260"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Pasivos a valor razonable con cambios en resultados</w:t>
            </w:r>
          </w:p>
        </w:tc>
        <w:tc>
          <w:tcPr>
            <w:tcW w:w="1648" w:type="dxa"/>
            <w:tcBorders>
              <w:top w:val="nil"/>
              <w:left w:val="nil"/>
              <w:bottom w:val="single" w:sz="4" w:space="0" w:color="auto"/>
              <w:right w:val="single" w:sz="4" w:space="0" w:color="auto"/>
            </w:tcBorders>
            <w:shd w:val="clear" w:color="auto" w:fill="auto"/>
            <w:noWrap/>
            <w:vAlign w:val="bottom"/>
            <w:hideMark/>
          </w:tcPr>
          <w:p w14:paraId="4E435B18"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1" w:type="dxa"/>
            <w:tcBorders>
              <w:top w:val="nil"/>
              <w:left w:val="nil"/>
              <w:bottom w:val="single" w:sz="4" w:space="0" w:color="auto"/>
              <w:right w:val="single" w:sz="4" w:space="0" w:color="auto"/>
            </w:tcBorders>
            <w:shd w:val="clear" w:color="auto" w:fill="auto"/>
            <w:noWrap/>
            <w:vAlign w:val="bottom"/>
            <w:hideMark/>
          </w:tcPr>
          <w:p w14:paraId="090A88F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7435AFD1"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-1.430.626</w:t>
            </w:r>
          </w:p>
        </w:tc>
        <w:tc>
          <w:tcPr>
            <w:tcW w:w="1433" w:type="dxa"/>
            <w:tcBorders>
              <w:top w:val="nil"/>
              <w:left w:val="nil"/>
              <w:bottom w:val="single" w:sz="4" w:space="0" w:color="auto"/>
              <w:right w:val="single" w:sz="4" w:space="0" w:color="auto"/>
            </w:tcBorders>
            <w:shd w:val="clear" w:color="auto" w:fill="auto"/>
            <w:noWrap/>
            <w:vAlign w:val="bottom"/>
            <w:hideMark/>
          </w:tcPr>
          <w:p w14:paraId="4AA6CC5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-1.430.626</w:t>
            </w:r>
          </w:p>
        </w:tc>
      </w:tr>
      <w:tr w:rsidR="002F6C11" w:rsidRPr="00701F32" w14:paraId="75EA2467" w14:textId="77777777" w:rsidTr="00DC5640">
        <w:trPr>
          <w:trHeight w:val="284"/>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58C386CD"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Operaciones de pase</w:t>
            </w:r>
          </w:p>
        </w:tc>
        <w:tc>
          <w:tcPr>
            <w:tcW w:w="1648" w:type="dxa"/>
            <w:tcBorders>
              <w:top w:val="nil"/>
              <w:left w:val="nil"/>
              <w:bottom w:val="single" w:sz="4" w:space="0" w:color="auto"/>
              <w:right w:val="single" w:sz="4" w:space="0" w:color="auto"/>
            </w:tcBorders>
            <w:shd w:val="clear" w:color="auto" w:fill="auto"/>
            <w:noWrap/>
            <w:vAlign w:val="bottom"/>
            <w:hideMark/>
          </w:tcPr>
          <w:p w14:paraId="60173CF0"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1" w:type="dxa"/>
            <w:tcBorders>
              <w:top w:val="nil"/>
              <w:left w:val="nil"/>
              <w:bottom w:val="single" w:sz="4" w:space="0" w:color="auto"/>
              <w:right w:val="single" w:sz="4" w:space="0" w:color="auto"/>
            </w:tcBorders>
            <w:shd w:val="clear" w:color="auto" w:fill="auto"/>
            <w:noWrap/>
            <w:vAlign w:val="bottom"/>
            <w:hideMark/>
          </w:tcPr>
          <w:p w14:paraId="7689B48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1BE07E9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-1.266.045</w:t>
            </w:r>
          </w:p>
        </w:tc>
        <w:tc>
          <w:tcPr>
            <w:tcW w:w="1433" w:type="dxa"/>
            <w:tcBorders>
              <w:top w:val="nil"/>
              <w:left w:val="nil"/>
              <w:bottom w:val="single" w:sz="4" w:space="0" w:color="auto"/>
              <w:right w:val="single" w:sz="4" w:space="0" w:color="auto"/>
            </w:tcBorders>
            <w:shd w:val="clear" w:color="auto" w:fill="auto"/>
            <w:noWrap/>
            <w:vAlign w:val="bottom"/>
            <w:hideMark/>
          </w:tcPr>
          <w:p w14:paraId="0E65E40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-1.266.045</w:t>
            </w:r>
          </w:p>
        </w:tc>
      </w:tr>
      <w:tr w:rsidR="002F6C11" w:rsidRPr="00701F32" w14:paraId="5A52CDBE" w14:textId="77777777" w:rsidTr="00DC5640">
        <w:trPr>
          <w:trHeight w:val="274"/>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32837C47"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648" w:type="dxa"/>
            <w:tcBorders>
              <w:top w:val="nil"/>
              <w:left w:val="nil"/>
              <w:bottom w:val="single" w:sz="4" w:space="0" w:color="auto"/>
              <w:right w:val="single" w:sz="4" w:space="0" w:color="auto"/>
            </w:tcBorders>
            <w:shd w:val="clear" w:color="auto" w:fill="auto"/>
            <w:noWrap/>
            <w:vAlign w:val="bottom"/>
            <w:hideMark/>
          </w:tcPr>
          <w:p w14:paraId="7943892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-258.836</w:t>
            </w:r>
          </w:p>
        </w:tc>
        <w:tc>
          <w:tcPr>
            <w:tcW w:w="1791" w:type="dxa"/>
            <w:tcBorders>
              <w:top w:val="nil"/>
              <w:left w:val="nil"/>
              <w:bottom w:val="single" w:sz="4" w:space="0" w:color="auto"/>
              <w:right w:val="single" w:sz="4" w:space="0" w:color="auto"/>
            </w:tcBorders>
            <w:shd w:val="clear" w:color="auto" w:fill="auto"/>
            <w:noWrap/>
            <w:vAlign w:val="bottom"/>
            <w:hideMark/>
          </w:tcPr>
          <w:p w14:paraId="2EF29E4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-1.953.395</w:t>
            </w:r>
          </w:p>
        </w:tc>
        <w:tc>
          <w:tcPr>
            <w:tcW w:w="1792" w:type="dxa"/>
            <w:tcBorders>
              <w:top w:val="nil"/>
              <w:left w:val="nil"/>
              <w:bottom w:val="single" w:sz="4" w:space="0" w:color="auto"/>
              <w:right w:val="single" w:sz="4" w:space="0" w:color="auto"/>
            </w:tcBorders>
            <w:shd w:val="clear" w:color="auto" w:fill="auto"/>
            <w:noWrap/>
            <w:vAlign w:val="bottom"/>
            <w:hideMark/>
          </w:tcPr>
          <w:p w14:paraId="2CAFBBB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-549.073</w:t>
            </w:r>
          </w:p>
        </w:tc>
        <w:tc>
          <w:tcPr>
            <w:tcW w:w="1433" w:type="dxa"/>
            <w:tcBorders>
              <w:top w:val="nil"/>
              <w:left w:val="nil"/>
              <w:bottom w:val="single" w:sz="4" w:space="0" w:color="auto"/>
              <w:right w:val="single" w:sz="4" w:space="0" w:color="auto"/>
            </w:tcBorders>
            <w:shd w:val="clear" w:color="auto" w:fill="auto"/>
            <w:noWrap/>
            <w:vAlign w:val="bottom"/>
            <w:hideMark/>
          </w:tcPr>
          <w:p w14:paraId="6CC19A8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-2.761.304</w:t>
            </w:r>
          </w:p>
        </w:tc>
      </w:tr>
      <w:tr w:rsidR="002F6C11" w:rsidRPr="00701F32" w14:paraId="185DB127" w14:textId="77777777" w:rsidTr="00DC5640">
        <w:trPr>
          <w:trHeight w:val="388"/>
        </w:trPr>
        <w:tc>
          <w:tcPr>
            <w:tcW w:w="4352" w:type="dxa"/>
            <w:tcBorders>
              <w:top w:val="nil"/>
              <w:left w:val="single" w:sz="4" w:space="0" w:color="auto"/>
              <w:bottom w:val="single" w:sz="4" w:space="0" w:color="auto"/>
              <w:right w:val="single" w:sz="4" w:space="0" w:color="auto"/>
            </w:tcBorders>
            <w:shd w:val="clear" w:color="auto" w:fill="auto"/>
            <w:noWrap/>
            <w:vAlign w:val="bottom"/>
            <w:hideMark/>
          </w:tcPr>
          <w:p w14:paraId="35ABC69E"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648" w:type="dxa"/>
            <w:tcBorders>
              <w:top w:val="nil"/>
              <w:left w:val="nil"/>
              <w:bottom w:val="single" w:sz="4" w:space="0" w:color="auto"/>
              <w:right w:val="single" w:sz="4" w:space="0" w:color="auto"/>
            </w:tcBorders>
            <w:shd w:val="clear" w:color="auto" w:fill="auto"/>
            <w:noWrap/>
            <w:vAlign w:val="bottom"/>
            <w:hideMark/>
          </w:tcPr>
          <w:p w14:paraId="19EF780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-822.627</w:t>
            </w:r>
          </w:p>
        </w:tc>
        <w:tc>
          <w:tcPr>
            <w:tcW w:w="1791" w:type="dxa"/>
            <w:tcBorders>
              <w:top w:val="nil"/>
              <w:left w:val="nil"/>
              <w:bottom w:val="single" w:sz="4" w:space="0" w:color="auto"/>
              <w:right w:val="single" w:sz="4" w:space="0" w:color="auto"/>
            </w:tcBorders>
            <w:shd w:val="clear" w:color="auto" w:fill="auto"/>
            <w:noWrap/>
            <w:vAlign w:val="bottom"/>
            <w:hideMark/>
          </w:tcPr>
          <w:p w14:paraId="12DBD20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-5.436</w:t>
            </w:r>
          </w:p>
        </w:tc>
        <w:tc>
          <w:tcPr>
            <w:tcW w:w="1792" w:type="dxa"/>
            <w:tcBorders>
              <w:top w:val="nil"/>
              <w:left w:val="nil"/>
              <w:bottom w:val="single" w:sz="4" w:space="0" w:color="auto"/>
              <w:right w:val="single" w:sz="4" w:space="0" w:color="auto"/>
            </w:tcBorders>
            <w:shd w:val="clear" w:color="auto" w:fill="auto"/>
            <w:noWrap/>
            <w:vAlign w:val="bottom"/>
            <w:hideMark/>
          </w:tcPr>
          <w:p w14:paraId="1615F0BA"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-278.595</w:t>
            </w:r>
          </w:p>
        </w:tc>
        <w:tc>
          <w:tcPr>
            <w:tcW w:w="1433" w:type="dxa"/>
            <w:tcBorders>
              <w:top w:val="nil"/>
              <w:left w:val="nil"/>
              <w:bottom w:val="single" w:sz="4" w:space="0" w:color="auto"/>
              <w:right w:val="single" w:sz="4" w:space="0" w:color="auto"/>
            </w:tcBorders>
            <w:shd w:val="clear" w:color="auto" w:fill="auto"/>
            <w:noWrap/>
            <w:vAlign w:val="bottom"/>
            <w:hideMark/>
          </w:tcPr>
          <w:p w14:paraId="62C0C54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-1.106.658</w:t>
            </w:r>
          </w:p>
        </w:tc>
      </w:tr>
      <w:tr w:rsidR="002F6C11" w:rsidRPr="00701F32" w14:paraId="2DC72529" w14:textId="77777777" w:rsidTr="00DC5640">
        <w:trPr>
          <w:trHeight w:val="284"/>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5D61F604"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648" w:type="dxa"/>
            <w:tcBorders>
              <w:top w:val="nil"/>
              <w:left w:val="nil"/>
              <w:bottom w:val="single" w:sz="4" w:space="0" w:color="auto"/>
              <w:right w:val="single" w:sz="4" w:space="0" w:color="auto"/>
            </w:tcBorders>
            <w:shd w:val="clear" w:color="auto" w:fill="auto"/>
            <w:noWrap/>
            <w:vAlign w:val="bottom"/>
            <w:hideMark/>
          </w:tcPr>
          <w:p w14:paraId="1227D0EC"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1" w:type="dxa"/>
            <w:tcBorders>
              <w:top w:val="nil"/>
              <w:left w:val="nil"/>
              <w:bottom w:val="single" w:sz="4" w:space="0" w:color="auto"/>
              <w:right w:val="single" w:sz="4" w:space="0" w:color="auto"/>
            </w:tcBorders>
            <w:shd w:val="clear" w:color="auto" w:fill="auto"/>
            <w:noWrap/>
            <w:vAlign w:val="bottom"/>
            <w:hideMark/>
          </w:tcPr>
          <w:p w14:paraId="1C869C91"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73312E4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-5.629.729</w:t>
            </w:r>
          </w:p>
        </w:tc>
        <w:tc>
          <w:tcPr>
            <w:tcW w:w="1433" w:type="dxa"/>
            <w:tcBorders>
              <w:top w:val="nil"/>
              <w:left w:val="nil"/>
              <w:bottom w:val="single" w:sz="4" w:space="0" w:color="auto"/>
              <w:right w:val="single" w:sz="4" w:space="0" w:color="auto"/>
            </w:tcBorders>
            <w:shd w:val="clear" w:color="auto" w:fill="auto"/>
            <w:noWrap/>
            <w:vAlign w:val="bottom"/>
            <w:hideMark/>
          </w:tcPr>
          <w:p w14:paraId="40CA590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-5.629.729</w:t>
            </w:r>
          </w:p>
        </w:tc>
      </w:tr>
      <w:tr w:rsidR="002F6C11" w:rsidRPr="00701F32" w14:paraId="333E56B9" w14:textId="77777777" w:rsidTr="00DC5640">
        <w:trPr>
          <w:trHeight w:val="288"/>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4BE95CC7"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Pasivo por impuestos a las ganancias corriente</w:t>
            </w:r>
          </w:p>
        </w:tc>
        <w:tc>
          <w:tcPr>
            <w:tcW w:w="1648" w:type="dxa"/>
            <w:tcBorders>
              <w:top w:val="nil"/>
              <w:left w:val="nil"/>
              <w:bottom w:val="single" w:sz="4" w:space="0" w:color="auto"/>
              <w:right w:val="single" w:sz="4" w:space="0" w:color="auto"/>
            </w:tcBorders>
            <w:shd w:val="clear" w:color="auto" w:fill="auto"/>
            <w:noWrap/>
            <w:vAlign w:val="bottom"/>
            <w:hideMark/>
          </w:tcPr>
          <w:p w14:paraId="529911B0"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1" w:type="dxa"/>
            <w:tcBorders>
              <w:top w:val="nil"/>
              <w:left w:val="nil"/>
              <w:bottom w:val="single" w:sz="4" w:space="0" w:color="auto"/>
              <w:right w:val="single" w:sz="4" w:space="0" w:color="auto"/>
            </w:tcBorders>
            <w:shd w:val="clear" w:color="auto" w:fill="auto"/>
            <w:noWrap/>
            <w:vAlign w:val="bottom"/>
            <w:hideMark/>
          </w:tcPr>
          <w:p w14:paraId="55486D2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569006F9"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-481.157</w:t>
            </w:r>
          </w:p>
        </w:tc>
        <w:tc>
          <w:tcPr>
            <w:tcW w:w="1433" w:type="dxa"/>
            <w:tcBorders>
              <w:top w:val="nil"/>
              <w:left w:val="nil"/>
              <w:bottom w:val="single" w:sz="4" w:space="0" w:color="auto"/>
              <w:right w:val="single" w:sz="4" w:space="0" w:color="auto"/>
            </w:tcBorders>
            <w:shd w:val="clear" w:color="auto" w:fill="auto"/>
            <w:noWrap/>
            <w:vAlign w:val="bottom"/>
            <w:hideMark/>
          </w:tcPr>
          <w:p w14:paraId="6E6852D3"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-481.157</w:t>
            </w:r>
          </w:p>
        </w:tc>
      </w:tr>
      <w:tr w:rsidR="002F6C11" w:rsidRPr="00701F32" w14:paraId="4EACD329" w14:textId="77777777" w:rsidTr="00DC5640">
        <w:trPr>
          <w:trHeight w:val="264"/>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7991CA99"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648" w:type="dxa"/>
            <w:tcBorders>
              <w:top w:val="nil"/>
              <w:left w:val="nil"/>
              <w:bottom w:val="single" w:sz="4" w:space="0" w:color="auto"/>
              <w:right w:val="single" w:sz="4" w:space="0" w:color="auto"/>
            </w:tcBorders>
            <w:shd w:val="clear" w:color="auto" w:fill="auto"/>
            <w:noWrap/>
            <w:vAlign w:val="bottom"/>
            <w:hideMark/>
          </w:tcPr>
          <w:p w14:paraId="69165627"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1" w:type="dxa"/>
            <w:tcBorders>
              <w:top w:val="nil"/>
              <w:left w:val="nil"/>
              <w:bottom w:val="single" w:sz="4" w:space="0" w:color="auto"/>
              <w:right w:val="single" w:sz="4" w:space="0" w:color="auto"/>
            </w:tcBorders>
            <w:shd w:val="clear" w:color="auto" w:fill="auto"/>
            <w:noWrap/>
            <w:vAlign w:val="bottom"/>
            <w:hideMark/>
          </w:tcPr>
          <w:p w14:paraId="18F3F8B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w:t>
            </w:r>
          </w:p>
        </w:tc>
        <w:tc>
          <w:tcPr>
            <w:tcW w:w="1792" w:type="dxa"/>
            <w:tcBorders>
              <w:top w:val="nil"/>
              <w:left w:val="nil"/>
              <w:bottom w:val="single" w:sz="4" w:space="0" w:color="auto"/>
              <w:right w:val="single" w:sz="4" w:space="0" w:color="auto"/>
            </w:tcBorders>
            <w:shd w:val="clear" w:color="auto" w:fill="auto"/>
            <w:noWrap/>
            <w:vAlign w:val="bottom"/>
            <w:hideMark/>
          </w:tcPr>
          <w:p w14:paraId="6298BF65"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-1.533.221</w:t>
            </w:r>
          </w:p>
        </w:tc>
        <w:tc>
          <w:tcPr>
            <w:tcW w:w="1433" w:type="dxa"/>
            <w:tcBorders>
              <w:top w:val="nil"/>
              <w:left w:val="nil"/>
              <w:bottom w:val="single" w:sz="4" w:space="0" w:color="auto"/>
              <w:right w:val="single" w:sz="4" w:space="0" w:color="auto"/>
            </w:tcBorders>
            <w:shd w:val="clear" w:color="auto" w:fill="auto"/>
            <w:noWrap/>
            <w:vAlign w:val="bottom"/>
            <w:hideMark/>
          </w:tcPr>
          <w:p w14:paraId="18F373C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-1.533.221</w:t>
            </w:r>
          </w:p>
        </w:tc>
      </w:tr>
      <w:tr w:rsidR="002F6C11" w:rsidRPr="00701F32" w14:paraId="36EA5CCE" w14:textId="77777777" w:rsidTr="00DC5640">
        <w:trPr>
          <w:trHeight w:val="282"/>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572DA522"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Provisiones</w:t>
            </w:r>
          </w:p>
        </w:tc>
        <w:tc>
          <w:tcPr>
            <w:tcW w:w="1648" w:type="dxa"/>
            <w:tcBorders>
              <w:top w:val="nil"/>
              <w:left w:val="nil"/>
              <w:bottom w:val="single" w:sz="4" w:space="0" w:color="auto"/>
              <w:right w:val="single" w:sz="4" w:space="0" w:color="auto"/>
            </w:tcBorders>
            <w:shd w:val="clear" w:color="auto" w:fill="auto"/>
            <w:noWrap/>
            <w:vAlign w:val="bottom"/>
            <w:hideMark/>
          </w:tcPr>
          <w:p w14:paraId="0D24F00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-19.210</w:t>
            </w:r>
          </w:p>
        </w:tc>
        <w:tc>
          <w:tcPr>
            <w:tcW w:w="1791" w:type="dxa"/>
            <w:tcBorders>
              <w:top w:val="nil"/>
              <w:left w:val="nil"/>
              <w:bottom w:val="single" w:sz="4" w:space="0" w:color="auto"/>
              <w:right w:val="single" w:sz="4" w:space="0" w:color="auto"/>
            </w:tcBorders>
            <w:shd w:val="clear" w:color="auto" w:fill="auto"/>
            <w:noWrap/>
            <w:vAlign w:val="bottom"/>
            <w:hideMark/>
          </w:tcPr>
          <w:p w14:paraId="5D182A5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-23.519</w:t>
            </w:r>
          </w:p>
        </w:tc>
        <w:tc>
          <w:tcPr>
            <w:tcW w:w="1792" w:type="dxa"/>
            <w:tcBorders>
              <w:top w:val="nil"/>
              <w:left w:val="nil"/>
              <w:bottom w:val="single" w:sz="4" w:space="0" w:color="auto"/>
              <w:right w:val="single" w:sz="4" w:space="0" w:color="auto"/>
            </w:tcBorders>
            <w:shd w:val="clear" w:color="auto" w:fill="auto"/>
            <w:noWrap/>
            <w:vAlign w:val="bottom"/>
            <w:hideMark/>
          </w:tcPr>
          <w:p w14:paraId="031DD6A7"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-5.297</w:t>
            </w:r>
          </w:p>
        </w:tc>
        <w:tc>
          <w:tcPr>
            <w:tcW w:w="1433" w:type="dxa"/>
            <w:tcBorders>
              <w:top w:val="nil"/>
              <w:left w:val="nil"/>
              <w:bottom w:val="single" w:sz="4" w:space="0" w:color="auto"/>
              <w:right w:val="single" w:sz="4" w:space="0" w:color="auto"/>
            </w:tcBorders>
            <w:shd w:val="clear" w:color="auto" w:fill="auto"/>
            <w:noWrap/>
            <w:vAlign w:val="bottom"/>
            <w:hideMark/>
          </w:tcPr>
          <w:p w14:paraId="2AC0863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-48.026</w:t>
            </w:r>
          </w:p>
        </w:tc>
      </w:tr>
      <w:tr w:rsidR="002F6C11" w:rsidRPr="00701F32" w14:paraId="07BE8113" w14:textId="77777777" w:rsidTr="00DC5640">
        <w:trPr>
          <w:trHeight w:val="273"/>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746DBD2D"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Otros pasivos no financieros</w:t>
            </w:r>
          </w:p>
        </w:tc>
        <w:tc>
          <w:tcPr>
            <w:tcW w:w="1648" w:type="dxa"/>
            <w:tcBorders>
              <w:top w:val="nil"/>
              <w:left w:val="nil"/>
              <w:bottom w:val="single" w:sz="4" w:space="0" w:color="auto"/>
              <w:right w:val="single" w:sz="4" w:space="0" w:color="auto"/>
            </w:tcBorders>
            <w:shd w:val="clear" w:color="auto" w:fill="auto"/>
            <w:noWrap/>
            <w:vAlign w:val="bottom"/>
            <w:hideMark/>
          </w:tcPr>
          <w:p w14:paraId="30FF5F6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-97.937</w:t>
            </w:r>
          </w:p>
        </w:tc>
        <w:tc>
          <w:tcPr>
            <w:tcW w:w="1791" w:type="dxa"/>
            <w:tcBorders>
              <w:top w:val="nil"/>
              <w:left w:val="nil"/>
              <w:bottom w:val="single" w:sz="4" w:space="0" w:color="auto"/>
              <w:right w:val="single" w:sz="4" w:space="0" w:color="auto"/>
            </w:tcBorders>
            <w:shd w:val="clear" w:color="auto" w:fill="auto"/>
            <w:noWrap/>
            <w:vAlign w:val="bottom"/>
            <w:hideMark/>
          </w:tcPr>
          <w:p w14:paraId="4FFB0C2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-1.476.431</w:t>
            </w:r>
          </w:p>
        </w:tc>
        <w:tc>
          <w:tcPr>
            <w:tcW w:w="1792" w:type="dxa"/>
            <w:tcBorders>
              <w:top w:val="nil"/>
              <w:left w:val="nil"/>
              <w:bottom w:val="single" w:sz="4" w:space="0" w:color="auto"/>
              <w:right w:val="single" w:sz="4" w:space="0" w:color="auto"/>
            </w:tcBorders>
            <w:shd w:val="clear" w:color="auto" w:fill="auto"/>
            <w:noWrap/>
            <w:vAlign w:val="bottom"/>
            <w:hideMark/>
          </w:tcPr>
          <w:p w14:paraId="6D0D9D3D"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-848.675</w:t>
            </w:r>
          </w:p>
        </w:tc>
        <w:tc>
          <w:tcPr>
            <w:tcW w:w="1433" w:type="dxa"/>
            <w:tcBorders>
              <w:top w:val="nil"/>
              <w:left w:val="nil"/>
              <w:bottom w:val="single" w:sz="4" w:space="0" w:color="auto"/>
              <w:right w:val="single" w:sz="4" w:space="0" w:color="auto"/>
            </w:tcBorders>
            <w:shd w:val="clear" w:color="auto" w:fill="auto"/>
            <w:noWrap/>
            <w:vAlign w:val="bottom"/>
            <w:hideMark/>
          </w:tcPr>
          <w:p w14:paraId="3E561709"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-2.423.043</w:t>
            </w:r>
          </w:p>
        </w:tc>
      </w:tr>
      <w:tr w:rsidR="002F6C11" w:rsidRPr="00701F32" w14:paraId="3D570E1B" w14:textId="77777777" w:rsidTr="00DC5640">
        <w:trPr>
          <w:trHeight w:val="262"/>
        </w:trPr>
        <w:tc>
          <w:tcPr>
            <w:tcW w:w="4352" w:type="dxa"/>
            <w:tcBorders>
              <w:top w:val="nil"/>
              <w:left w:val="single" w:sz="4" w:space="0" w:color="auto"/>
              <w:bottom w:val="single" w:sz="4" w:space="0" w:color="auto"/>
              <w:right w:val="single" w:sz="4" w:space="0" w:color="auto"/>
            </w:tcBorders>
            <w:shd w:val="clear" w:color="auto" w:fill="auto"/>
            <w:vAlign w:val="bottom"/>
            <w:hideMark/>
          </w:tcPr>
          <w:p w14:paraId="326A7059" w14:textId="77777777" w:rsidR="002F6C11" w:rsidRPr="00701F32" w:rsidRDefault="002F6C11" w:rsidP="00DC5640">
            <w:pPr>
              <w:jc w:val="both"/>
              <w:rPr>
                <w:rFonts w:ascii="Arial" w:hAnsi="Arial" w:cs="Arial"/>
                <w:b/>
                <w:bCs/>
                <w:sz w:val="16"/>
                <w:szCs w:val="16"/>
                <w:lang w:eastAsia="es-AR"/>
              </w:rPr>
            </w:pPr>
            <w:r w:rsidRPr="00701F32">
              <w:rPr>
                <w:rFonts w:ascii="Arial" w:hAnsi="Arial" w:cs="Arial"/>
                <w:b/>
                <w:bCs/>
                <w:sz w:val="16"/>
                <w:szCs w:val="16"/>
                <w:lang w:eastAsia="es-AR"/>
              </w:rPr>
              <w:t>TOTAL PASIVO</w:t>
            </w:r>
          </w:p>
        </w:tc>
        <w:tc>
          <w:tcPr>
            <w:tcW w:w="1648" w:type="dxa"/>
            <w:tcBorders>
              <w:top w:val="nil"/>
              <w:left w:val="nil"/>
              <w:bottom w:val="single" w:sz="4" w:space="0" w:color="auto"/>
              <w:right w:val="single" w:sz="4" w:space="0" w:color="auto"/>
            </w:tcBorders>
            <w:shd w:val="clear" w:color="auto" w:fill="auto"/>
            <w:noWrap/>
            <w:vAlign w:val="bottom"/>
            <w:hideMark/>
          </w:tcPr>
          <w:p w14:paraId="3864D3E2"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-4.658.111</w:t>
            </w:r>
          </w:p>
        </w:tc>
        <w:tc>
          <w:tcPr>
            <w:tcW w:w="1791" w:type="dxa"/>
            <w:tcBorders>
              <w:top w:val="nil"/>
              <w:left w:val="nil"/>
              <w:bottom w:val="single" w:sz="4" w:space="0" w:color="auto"/>
              <w:right w:val="single" w:sz="4" w:space="0" w:color="auto"/>
            </w:tcBorders>
            <w:shd w:val="clear" w:color="auto" w:fill="auto"/>
            <w:noWrap/>
            <w:vAlign w:val="bottom"/>
            <w:hideMark/>
          </w:tcPr>
          <w:p w14:paraId="0F215EDE"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-34.799.689</w:t>
            </w:r>
          </w:p>
        </w:tc>
        <w:tc>
          <w:tcPr>
            <w:tcW w:w="1792" w:type="dxa"/>
            <w:tcBorders>
              <w:top w:val="nil"/>
              <w:left w:val="nil"/>
              <w:bottom w:val="single" w:sz="4" w:space="0" w:color="auto"/>
              <w:right w:val="single" w:sz="4" w:space="0" w:color="auto"/>
            </w:tcBorders>
            <w:shd w:val="clear" w:color="auto" w:fill="auto"/>
            <w:noWrap/>
            <w:vAlign w:val="bottom"/>
            <w:hideMark/>
          </w:tcPr>
          <w:p w14:paraId="0E41355B"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-23.727.874</w:t>
            </w:r>
          </w:p>
        </w:tc>
        <w:tc>
          <w:tcPr>
            <w:tcW w:w="1433" w:type="dxa"/>
            <w:tcBorders>
              <w:top w:val="nil"/>
              <w:left w:val="nil"/>
              <w:bottom w:val="single" w:sz="4" w:space="0" w:color="auto"/>
              <w:right w:val="single" w:sz="4" w:space="0" w:color="auto"/>
            </w:tcBorders>
            <w:shd w:val="clear" w:color="auto" w:fill="auto"/>
            <w:noWrap/>
            <w:vAlign w:val="bottom"/>
            <w:hideMark/>
          </w:tcPr>
          <w:p w14:paraId="76A89B34" w14:textId="77777777" w:rsidR="002F6C11" w:rsidRPr="00701F32" w:rsidRDefault="002F6C11" w:rsidP="00DC5640">
            <w:pPr>
              <w:jc w:val="right"/>
              <w:rPr>
                <w:rFonts w:ascii="Arial" w:hAnsi="Arial" w:cs="Arial"/>
                <w:b/>
                <w:bCs/>
                <w:sz w:val="16"/>
                <w:szCs w:val="16"/>
                <w:lang w:eastAsia="es-AR"/>
              </w:rPr>
            </w:pPr>
            <w:r w:rsidRPr="00701F32">
              <w:rPr>
                <w:rFonts w:ascii="Arial" w:hAnsi="Arial" w:cs="Arial"/>
                <w:b/>
                <w:bCs/>
                <w:sz w:val="16"/>
                <w:szCs w:val="16"/>
                <w:lang w:eastAsia="es-AR"/>
              </w:rPr>
              <w:t>-63.185.674</w:t>
            </w:r>
          </w:p>
        </w:tc>
      </w:tr>
    </w:tbl>
    <w:p w14:paraId="30C78372" w14:textId="77777777" w:rsidR="00651863" w:rsidRPr="00701F32" w:rsidRDefault="00651863" w:rsidP="008C57F0">
      <w:pPr>
        <w:jc w:val="both"/>
        <w:rPr>
          <w:rFonts w:ascii="Arial" w:hAnsi="Arial" w:cs="Arial"/>
          <w:sz w:val="20"/>
        </w:rPr>
      </w:pPr>
    </w:p>
    <w:tbl>
      <w:tblPr>
        <w:tblW w:w="11067" w:type="dxa"/>
        <w:tblInd w:w="-998" w:type="dxa"/>
        <w:tblCellMar>
          <w:left w:w="70" w:type="dxa"/>
          <w:right w:w="70" w:type="dxa"/>
        </w:tblCellMar>
        <w:tblLook w:val="04A0" w:firstRow="1" w:lastRow="0" w:firstColumn="1" w:lastColumn="0" w:noHBand="0" w:noVBand="1"/>
      </w:tblPr>
      <w:tblGrid>
        <w:gridCol w:w="3704"/>
        <w:gridCol w:w="1475"/>
        <w:gridCol w:w="1563"/>
        <w:gridCol w:w="1519"/>
        <w:gridCol w:w="1143"/>
        <w:gridCol w:w="1663"/>
      </w:tblGrid>
      <w:tr w:rsidR="001A7B09" w:rsidRPr="00701F32" w14:paraId="60ACDE8D" w14:textId="77777777" w:rsidTr="00E311C9">
        <w:trPr>
          <w:trHeight w:val="254"/>
          <w:tblHeader/>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891ED"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Resultado por Segmentos al 30/09/2017</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F908"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Banca Empresa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869C5"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Banca Minorista</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E7772"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Tesorería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11D4"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Ajustes</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DBB73" w14:textId="77777777" w:rsidR="001A7B09" w:rsidRPr="00701F32" w:rsidRDefault="001A7B09" w:rsidP="00DC5640">
            <w:pPr>
              <w:jc w:val="center"/>
              <w:rPr>
                <w:rFonts w:ascii="Arial" w:hAnsi="Arial" w:cs="Arial"/>
                <w:b/>
                <w:bCs/>
                <w:sz w:val="16"/>
                <w:szCs w:val="18"/>
                <w:lang w:eastAsia="es-AR"/>
              </w:rPr>
            </w:pPr>
            <w:r w:rsidRPr="00701F32">
              <w:rPr>
                <w:rFonts w:ascii="Arial" w:hAnsi="Arial" w:cs="Arial"/>
                <w:b/>
                <w:bCs/>
                <w:sz w:val="16"/>
                <w:szCs w:val="18"/>
                <w:lang w:eastAsia="es-AR"/>
              </w:rPr>
              <w:t>TOTAL</w:t>
            </w:r>
          </w:p>
        </w:tc>
      </w:tr>
      <w:tr w:rsidR="001A7B09" w:rsidRPr="00701F32" w14:paraId="56732B6E" w14:textId="77777777" w:rsidTr="00E311C9">
        <w:trPr>
          <w:trHeight w:val="269"/>
        </w:trPr>
        <w:tc>
          <w:tcPr>
            <w:tcW w:w="3704" w:type="dxa"/>
            <w:tcBorders>
              <w:top w:val="single" w:sz="4" w:space="0" w:color="auto"/>
              <w:left w:val="single" w:sz="4" w:space="0" w:color="auto"/>
              <w:bottom w:val="nil"/>
              <w:right w:val="single" w:sz="4" w:space="0" w:color="auto"/>
            </w:tcBorders>
            <w:shd w:val="clear" w:color="auto" w:fill="auto"/>
            <w:noWrap/>
            <w:vAlign w:val="center"/>
            <w:hideMark/>
          </w:tcPr>
          <w:p w14:paraId="62E2B4C4"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Ingresos por intereses </w:t>
            </w:r>
          </w:p>
        </w:tc>
        <w:tc>
          <w:tcPr>
            <w:tcW w:w="1475" w:type="dxa"/>
            <w:tcBorders>
              <w:top w:val="single" w:sz="4" w:space="0" w:color="auto"/>
              <w:left w:val="single" w:sz="4" w:space="0" w:color="auto"/>
              <w:bottom w:val="nil"/>
              <w:right w:val="single" w:sz="4" w:space="0" w:color="auto"/>
            </w:tcBorders>
            <w:shd w:val="clear" w:color="auto" w:fill="auto"/>
            <w:noWrap/>
            <w:vAlign w:val="bottom"/>
            <w:hideMark/>
          </w:tcPr>
          <w:p w14:paraId="2E3DB27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2.434.974</w:t>
            </w:r>
          </w:p>
        </w:tc>
        <w:tc>
          <w:tcPr>
            <w:tcW w:w="1563" w:type="dxa"/>
            <w:tcBorders>
              <w:top w:val="single" w:sz="4" w:space="0" w:color="auto"/>
              <w:left w:val="single" w:sz="4" w:space="0" w:color="auto"/>
              <w:bottom w:val="nil"/>
              <w:right w:val="single" w:sz="4" w:space="0" w:color="auto"/>
            </w:tcBorders>
            <w:shd w:val="clear" w:color="auto" w:fill="auto"/>
            <w:noWrap/>
            <w:vAlign w:val="bottom"/>
            <w:hideMark/>
          </w:tcPr>
          <w:p w14:paraId="0FF49BA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4.277.938</w:t>
            </w:r>
          </w:p>
        </w:tc>
        <w:tc>
          <w:tcPr>
            <w:tcW w:w="1519" w:type="dxa"/>
            <w:tcBorders>
              <w:top w:val="single" w:sz="4" w:space="0" w:color="auto"/>
              <w:left w:val="single" w:sz="4" w:space="0" w:color="auto"/>
              <w:bottom w:val="nil"/>
              <w:right w:val="single" w:sz="4" w:space="0" w:color="auto"/>
            </w:tcBorders>
            <w:shd w:val="clear" w:color="auto" w:fill="auto"/>
            <w:noWrap/>
            <w:vAlign w:val="bottom"/>
            <w:hideMark/>
          </w:tcPr>
          <w:p w14:paraId="3605463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629.710</w:t>
            </w:r>
          </w:p>
        </w:tc>
        <w:tc>
          <w:tcPr>
            <w:tcW w:w="1143" w:type="dxa"/>
            <w:tcBorders>
              <w:top w:val="single" w:sz="4" w:space="0" w:color="auto"/>
              <w:left w:val="single" w:sz="4" w:space="0" w:color="auto"/>
              <w:bottom w:val="nil"/>
              <w:right w:val="single" w:sz="4" w:space="0" w:color="auto"/>
            </w:tcBorders>
            <w:shd w:val="clear" w:color="auto" w:fill="auto"/>
            <w:noWrap/>
            <w:vAlign w:val="bottom"/>
            <w:hideMark/>
          </w:tcPr>
          <w:p w14:paraId="03647EC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14:paraId="41618D3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7.342.622</w:t>
            </w:r>
          </w:p>
        </w:tc>
      </w:tr>
      <w:tr w:rsidR="001A7B09" w:rsidRPr="00701F32" w14:paraId="42C88C01" w14:textId="77777777" w:rsidTr="00E311C9">
        <w:trPr>
          <w:trHeight w:val="269"/>
        </w:trPr>
        <w:tc>
          <w:tcPr>
            <w:tcW w:w="3704" w:type="dxa"/>
            <w:tcBorders>
              <w:top w:val="nil"/>
              <w:left w:val="single" w:sz="4" w:space="0" w:color="auto"/>
              <w:bottom w:val="nil"/>
              <w:right w:val="single" w:sz="4" w:space="0" w:color="auto"/>
            </w:tcBorders>
            <w:shd w:val="clear" w:color="auto" w:fill="auto"/>
            <w:noWrap/>
            <w:vAlign w:val="center"/>
            <w:hideMark/>
          </w:tcPr>
          <w:p w14:paraId="1B55FA7F"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Egresos por intereses </w:t>
            </w:r>
          </w:p>
        </w:tc>
        <w:tc>
          <w:tcPr>
            <w:tcW w:w="1475" w:type="dxa"/>
            <w:tcBorders>
              <w:top w:val="nil"/>
              <w:left w:val="single" w:sz="4" w:space="0" w:color="auto"/>
              <w:bottom w:val="nil"/>
              <w:right w:val="single" w:sz="4" w:space="0" w:color="auto"/>
            </w:tcBorders>
            <w:shd w:val="clear" w:color="auto" w:fill="auto"/>
            <w:noWrap/>
            <w:vAlign w:val="bottom"/>
            <w:hideMark/>
          </w:tcPr>
          <w:p w14:paraId="4C77A451"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104.568</w:t>
            </w:r>
          </w:p>
        </w:tc>
        <w:tc>
          <w:tcPr>
            <w:tcW w:w="1563" w:type="dxa"/>
            <w:tcBorders>
              <w:top w:val="nil"/>
              <w:left w:val="single" w:sz="4" w:space="0" w:color="auto"/>
              <w:bottom w:val="nil"/>
              <w:right w:val="single" w:sz="4" w:space="0" w:color="auto"/>
            </w:tcBorders>
            <w:shd w:val="clear" w:color="auto" w:fill="auto"/>
            <w:noWrap/>
            <w:vAlign w:val="bottom"/>
            <w:hideMark/>
          </w:tcPr>
          <w:p w14:paraId="24E78A8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1.014.577</w:t>
            </w:r>
          </w:p>
        </w:tc>
        <w:tc>
          <w:tcPr>
            <w:tcW w:w="1519" w:type="dxa"/>
            <w:tcBorders>
              <w:top w:val="nil"/>
              <w:left w:val="single" w:sz="4" w:space="0" w:color="auto"/>
              <w:bottom w:val="nil"/>
              <w:right w:val="single" w:sz="4" w:space="0" w:color="auto"/>
            </w:tcBorders>
            <w:shd w:val="clear" w:color="auto" w:fill="auto"/>
            <w:noWrap/>
            <w:vAlign w:val="bottom"/>
            <w:hideMark/>
          </w:tcPr>
          <w:p w14:paraId="61B9FB03" w14:textId="55758EA5" w:rsidR="001A7B09" w:rsidRPr="00701F32" w:rsidRDefault="001A7B09">
            <w:pPr>
              <w:jc w:val="right"/>
              <w:rPr>
                <w:rFonts w:ascii="Arial" w:hAnsi="Arial" w:cs="Arial"/>
                <w:sz w:val="16"/>
                <w:szCs w:val="18"/>
                <w:lang w:val="es-ES_tradnl"/>
              </w:rPr>
            </w:pPr>
            <w:r w:rsidRPr="00701F32">
              <w:rPr>
                <w:rFonts w:ascii="Arial" w:hAnsi="Arial" w:cs="Arial"/>
                <w:sz w:val="16"/>
                <w:szCs w:val="18"/>
              </w:rPr>
              <w:t xml:space="preserve">  1.934.</w:t>
            </w:r>
            <w:r w:rsidR="0091482B" w:rsidRPr="00701F32">
              <w:rPr>
                <w:rFonts w:ascii="Arial" w:hAnsi="Arial" w:cs="Arial"/>
                <w:sz w:val="16"/>
                <w:szCs w:val="18"/>
              </w:rPr>
              <w:t>974</w:t>
            </w:r>
          </w:p>
        </w:tc>
        <w:tc>
          <w:tcPr>
            <w:tcW w:w="1143" w:type="dxa"/>
            <w:tcBorders>
              <w:top w:val="nil"/>
              <w:left w:val="single" w:sz="4" w:space="0" w:color="auto"/>
              <w:bottom w:val="nil"/>
              <w:right w:val="single" w:sz="4" w:space="0" w:color="auto"/>
            </w:tcBorders>
            <w:shd w:val="clear" w:color="auto" w:fill="auto"/>
            <w:noWrap/>
            <w:vAlign w:val="bottom"/>
            <w:hideMark/>
          </w:tcPr>
          <w:p w14:paraId="36DF951B"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nil"/>
              <w:left w:val="single" w:sz="4" w:space="0" w:color="auto"/>
              <w:bottom w:val="nil"/>
              <w:right w:val="single" w:sz="4" w:space="0" w:color="auto"/>
            </w:tcBorders>
            <w:shd w:val="clear" w:color="auto" w:fill="auto"/>
            <w:noWrap/>
            <w:vAlign w:val="bottom"/>
            <w:hideMark/>
          </w:tcPr>
          <w:p w14:paraId="3A67FFA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3.054.119</w:t>
            </w:r>
          </w:p>
        </w:tc>
      </w:tr>
      <w:tr w:rsidR="001A7B09" w:rsidRPr="00701F32" w14:paraId="6D4FF183" w14:textId="77777777" w:rsidTr="00E311C9">
        <w:trPr>
          <w:trHeight w:val="269"/>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22AFDB61"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Resultados por Interes de Transferencia </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4F7FE9FC"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-1.450.435</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794048E7"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780.231</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14:paraId="3239B663"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670.204</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6B16C02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62D7010B"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r>
      <w:tr w:rsidR="001A7B09" w:rsidRPr="00701F32" w14:paraId="1A3553D9" w14:textId="77777777" w:rsidTr="00E311C9">
        <w:trPr>
          <w:trHeight w:val="167"/>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2BB9"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neto por intereses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718DE"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879.971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1F37B"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4.043.592</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6B92F"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-635.060</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B1186"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062B"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4.288.503</w:t>
            </w:r>
          </w:p>
        </w:tc>
      </w:tr>
      <w:tr w:rsidR="001A7B09" w:rsidRPr="00701F32" w14:paraId="711176C3" w14:textId="77777777" w:rsidTr="00E311C9">
        <w:trPr>
          <w:trHeight w:val="269"/>
        </w:trPr>
        <w:tc>
          <w:tcPr>
            <w:tcW w:w="3704" w:type="dxa"/>
            <w:tcBorders>
              <w:top w:val="single" w:sz="4" w:space="0" w:color="auto"/>
              <w:left w:val="single" w:sz="4" w:space="0" w:color="auto"/>
              <w:bottom w:val="nil"/>
              <w:right w:val="single" w:sz="4" w:space="0" w:color="auto"/>
            </w:tcBorders>
            <w:shd w:val="clear" w:color="auto" w:fill="auto"/>
            <w:noWrap/>
            <w:vAlign w:val="center"/>
            <w:hideMark/>
          </w:tcPr>
          <w:p w14:paraId="0ADE7677"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Ingresos por comisiones </w:t>
            </w:r>
          </w:p>
        </w:tc>
        <w:tc>
          <w:tcPr>
            <w:tcW w:w="1475" w:type="dxa"/>
            <w:tcBorders>
              <w:top w:val="single" w:sz="4" w:space="0" w:color="auto"/>
              <w:left w:val="single" w:sz="4" w:space="0" w:color="auto"/>
              <w:bottom w:val="nil"/>
              <w:right w:val="single" w:sz="4" w:space="0" w:color="auto"/>
            </w:tcBorders>
            <w:shd w:val="clear" w:color="auto" w:fill="auto"/>
            <w:noWrap/>
            <w:vAlign w:val="bottom"/>
            <w:hideMark/>
          </w:tcPr>
          <w:p w14:paraId="1373636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299.384</w:t>
            </w:r>
          </w:p>
        </w:tc>
        <w:tc>
          <w:tcPr>
            <w:tcW w:w="1563" w:type="dxa"/>
            <w:tcBorders>
              <w:top w:val="single" w:sz="4" w:space="0" w:color="auto"/>
              <w:left w:val="single" w:sz="4" w:space="0" w:color="auto"/>
              <w:bottom w:val="nil"/>
              <w:right w:val="single" w:sz="4" w:space="0" w:color="auto"/>
            </w:tcBorders>
            <w:shd w:val="clear" w:color="auto" w:fill="auto"/>
            <w:noWrap/>
            <w:vAlign w:val="bottom"/>
            <w:hideMark/>
          </w:tcPr>
          <w:p w14:paraId="4CB9851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1.709.473</w:t>
            </w:r>
          </w:p>
        </w:tc>
        <w:tc>
          <w:tcPr>
            <w:tcW w:w="1519" w:type="dxa"/>
            <w:tcBorders>
              <w:top w:val="single" w:sz="4" w:space="0" w:color="auto"/>
              <w:left w:val="single" w:sz="4" w:space="0" w:color="auto"/>
              <w:bottom w:val="nil"/>
              <w:right w:val="single" w:sz="4" w:space="0" w:color="auto"/>
            </w:tcBorders>
            <w:shd w:val="clear" w:color="auto" w:fill="auto"/>
            <w:noWrap/>
            <w:vAlign w:val="bottom"/>
            <w:hideMark/>
          </w:tcPr>
          <w:p w14:paraId="04349EC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12.841</w:t>
            </w:r>
          </w:p>
        </w:tc>
        <w:tc>
          <w:tcPr>
            <w:tcW w:w="1143" w:type="dxa"/>
            <w:tcBorders>
              <w:top w:val="single" w:sz="4" w:space="0" w:color="auto"/>
              <w:left w:val="single" w:sz="4" w:space="0" w:color="auto"/>
              <w:bottom w:val="nil"/>
              <w:right w:val="single" w:sz="4" w:space="0" w:color="auto"/>
            </w:tcBorders>
            <w:shd w:val="clear" w:color="auto" w:fill="auto"/>
            <w:noWrap/>
            <w:vAlign w:val="bottom"/>
            <w:hideMark/>
          </w:tcPr>
          <w:p w14:paraId="71BCDC3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14:paraId="7558F73B"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2.021.698</w:t>
            </w:r>
          </w:p>
        </w:tc>
      </w:tr>
      <w:tr w:rsidR="001A7B09" w:rsidRPr="00701F32" w14:paraId="306DDDDA" w14:textId="77777777" w:rsidTr="00E311C9">
        <w:trPr>
          <w:trHeight w:val="269"/>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4605F912"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Egresos por comisiones </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E31067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12.146</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69D22F1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349.056</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14:paraId="3F665FC0"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12.278</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5574180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61CA7EC3"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373.480</w:t>
            </w:r>
          </w:p>
        </w:tc>
      </w:tr>
      <w:tr w:rsidR="001A7B09" w:rsidRPr="00701F32" w14:paraId="1D8E6FA0" w14:textId="77777777" w:rsidTr="00E311C9">
        <w:trPr>
          <w:trHeight w:val="17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4B3F7"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neto por comisiones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8ADF2"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  287.238</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604FE"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1.360.417</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A5A37"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563</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3D6EE"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5854"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1.648.218</w:t>
            </w:r>
          </w:p>
        </w:tc>
      </w:tr>
      <w:tr w:rsidR="001A7B09" w:rsidRPr="00701F32" w14:paraId="77850626" w14:textId="77777777" w:rsidTr="00E311C9">
        <w:trPr>
          <w:trHeight w:val="116"/>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102F"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Subtotal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2CAB8"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1.167.209</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C132"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5.404.009</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B7886"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-634.498</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B92F5"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9886"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5.936.721</w:t>
            </w:r>
          </w:p>
        </w:tc>
      </w:tr>
      <w:tr w:rsidR="001A7B09" w:rsidRPr="00701F32" w14:paraId="34981859" w14:textId="77777777" w:rsidTr="00E311C9">
        <w:trPr>
          <w:trHeight w:val="269"/>
        </w:trPr>
        <w:tc>
          <w:tcPr>
            <w:tcW w:w="3704" w:type="dxa"/>
            <w:tcBorders>
              <w:top w:val="single" w:sz="4" w:space="0" w:color="auto"/>
              <w:left w:val="single" w:sz="4" w:space="0" w:color="auto"/>
              <w:bottom w:val="nil"/>
              <w:right w:val="single" w:sz="4" w:space="0" w:color="auto"/>
            </w:tcBorders>
            <w:shd w:val="clear" w:color="auto" w:fill="auto"/>
            <w:noWrap/>
            <w:vAlign w:val="center"/>
            <w:hideMark/>
          </w:tcPr>
          <w:p w14:paraId="4549C5DB"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Resultado neto por medición de instrumentos financieros a valor razonable con cambios en resultados </w:t>
            </w:r>
          </w:p>
        </w:tc>
        <w:tc>
          <w:tcPr>
            <w:tcW w:w="1475" w:type="dxa"/>
            <w:tcBorders>
              <w:top w:val="single" w:sz="4" w:space="0" w:color="auto"/>
              <w:left w:val="single" w:sz="4" w:space="0" w:color="auto"/>
              <w:bottom w:val="nil"/>
              <w:right w:val="single" w:sz="4" w:space="0" w:color="auto"/>
            </w:tcBorders>
            <w:shd w:val="clear" w:color="auto" w:fill="auto"/>
            <w:noWrap/>
            <w:vAlign w:val="bottom"/>
            <w:hideMark/>
          </w:tcPr>
          <w:p w14:paraId="3A384BA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-11.318  </w:t>
            </w:r>
          </w:p>
        </w:tc>
        <w:tc>
          <w:tcPr>
            <w:tcW w:w="1563" w:type="dxa"/>
            <w:tcBorders>
              <w:top w:val="single" w:sz="4" w:space="0" w:color="auto"/>
              <w:left w:val="single" w:sz="4" w:space="0" w:color="auto"/>
              <w:bottom w:val="nil"/>
              <w:right w:val="single" w:sz="4" w:space="0" w:color="auto"/>
            </w:tcBorders>
            <w:shd w:val="clear" w:color="auto" w:fill="auto"/>
            <w:noWrap/>
            <w:vAlign w:val="bottom"/>
            <w:hideMark/>
          </w:tcPr>
          <w:p w14:paraId="1CBC4C5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-10.635</w:t>
            </w:r>
          </w:p>
        </w:tc>
        <w:tc>
          <w:tcPr>
            <w:tcW w:w="1519" w:type="dxa"/>
            <w:tcBorders>
              <w:top w:val="single" w:sz="4" w:space="0" w:color="auto"/>
              <w:left w:val="single" w:sz="4" w:space="0" w:color="auto"/>
              <w:bottom w:val="nil"/>
              <w:right w:val="single" w:sz="4" w:space="0" w:color="auto"/>
            </w:tcBorders>
            <w:shd w:val="clear" w:color="auto" w:fill="auto"/>
            <w:noWrap/>
            <w:vAlign w:val="bottom"/>
            <w:hideMark/>
          </w:tcPr>
          <w:p w14:paraId="7EC9A8A7"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1.455.516</w:t>
            </w:r>
          </w:p>
        </w:tc>
        <w:tc>
          <w:tcPr>
            <w:tcW w:w="1143" w:type="dxa"/>
            <w:tcBorders>
              <w:top w:val="single" w:sz="4" w:space="0" w:color="auto"/>
              <w:left w:val="single" w:sz="4" w:space="0" w:color="auto"/>
              <w:bottom w:val="nil"/>
              <w:right w:val="single" w:sz="4" w:space="0" w:color="auto"/>
            </w:tcBorders>
            <w:shd w:val="clear" w:color="auto" w:fill="auto"/>
            <w:noWrap/>
            <w:vAlign w:val="bottom"/>
            <w:hideMark/>
          </w:tcPr>
          <w:p w14:paraId="195802F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14:paraId="6076473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1.433.563</w:t>
            </w:r>
          </w:p>
        </w:tc>
      </w:tr>
      <w:tr w:rsidR="001A7B09" w:rsidRPr="00701F32" w14:paraId="0342FFFA" w14:textId="77777777" w:rsidTr="00E311C9">
        <w:trPr>
          <w:trHeight w:val="269"/>
        </w:trPr>
        <w:tc>
          <w:tcPr>
            <w:tcW w:w="3704" w:type="dxa"/>
            <w:tcBorders>
              <w:top w:val="nil"/>
              <w:left w:val="single" w:sz="4" w:space="0" w:color="auto"/>
              <w:bottom w:val="nil"/>
              <w:right w:val="single" w:sz="4" w:space="0" w:color="auto"/>
            </w:tcBorders>
            <w:shd w:val="clear" w:color="auto" w:fill="auto"/>
            <w:noWrap/>
            <w:vAlign w:val="center"/>
            <w:hideMark/>
          </w:tcPr>
          <w:p w14:paraId="49EAEDB7"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Diferencia de cotización de oro y moneda extranjera </w:t>
            </w:r>
          </w:p>
        </w:tc>
        <w:tc>
          <w:tcPr>
            <w:tcW w:w="1475" w:type="dxa"/>
            <w:tcBorders>
              <w:top w:val="nil"/>
              <w:left w:val="single" w:sz="4" w:space="0" w:color="auto"/>
              <w:bottom w:val="nil"/>
              <w:right w:val="single" w:sz="4" w:space="0" w:color="auto"/>
            </w:tcBorders>
            <w:shd w:val="clear" w:color="auto" w:fill="auto"/>
            <w:noWrap/>
            <w:vAlign w:val="bottom"/>
            <w:hideMark/>
          </w:tcPr>
          <w:p w14:paraId="54AE681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-24.449</w:t>
            </w:r>
          </w:p>
        </w:tc>
        <w:tc>
          <w:tcPr>
            <w:tcW w:w="1563" w:type="dxa"/>
            <w:tcBorders>
              <w:top w:val="nil"/>
              <w:left w:val="single" w:sz="4" w:space="0" w:color="auto"/>
              <w:bottom w:val="nil"/>
              <w:right w:val="single" w:sz="4" w:space="0" w:color="auto"/>
            </w:tcBorders>
            <w:shd w:val="clear" w:color="auto" w:fill="auto"/>
            <w:noWrap/>
            <w:vAlign w:val="bottom"/>
            <w:hideMark/>
          </w:tcPr>
          <w:p w14:paraId="41DBEF5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111.821</w:t>
            </w:r>
          </w:p>
        </w:tc>
        <w:tc>
          <w:tcPr>
            <w:tcW w:w="1519" w:type="dxa"/>
            <w:tcBorders>
              <w:top w:val="nil"/>
              <w:left w:val="single" w:sz="4" w:space="0" w:color="auto"/>
              <w:bottom w:val="nil"/>
              <w:right w:val="single" w:sz="4" w:space="0" w:color="auto"/>
            </w:tcBorders>
            <w:shd w:val="clear" w:color="auto" w:fill="auto"/>
            <w:noWrap/>
            <w:vAlign w:val="bottom"/>
            <w:hideMark/>
          </w:tcPr>
          <w:p w14:paraId="2D795377"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42.630</w:t>
            </w:r>
          </w:p>
        </w:tc>
        <w:tc>
          <w:tcPr>
            <w:tcW w:w="1143" w:type="dxa"/>
            <w:tcBorders>
              <w:top w:val="nil"/>
              <w:left w:val="single" w:sz="4" w:space="0" w:color="auto"/>
              <w:bottom w:val="nil"/>
              <w:right w:val="single" w:sz="4" w:space="0" w:color="auto"/>
            </w:tcBorders>
            <w:shd w:val="clear" w:color="auto" w:fill="auto"/>
            <w:noWrap/>
            <w:vAlign w:val="bottom"/>
            <w:hideMark/>
          </w:tcPr>
          <w:p w14:paraId="2283CFE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nil"/>
              <w:left w:val="single" w:sz="4" w:space="0" w:color="auto"/>
              <w:bottom w:val="nil"/>
              <w:right w:val="single" w:sz="4" w:space="0" w:color="auto"/>
            </w:tcBorders>
            <w:shd w:val="clear" w:color="auto" w:fill="auto"/>
            <w:noWrap/>
            <w:vAlign w:val="bottom"/>
            <w:hideMark/>
          </w:tcPr>
          <w:p w14:paraId="35CC8CD1"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130.002</w:t>
            </w:r>
          </w:p>
        </w:tc>
      </w:tr>
      <w:tr w:rsidR="001A7B09" w:rsidRPr="00701F32" w14:paraId="085952C4" w14:textId="77777777" w:rsidTr="00E311C9">
        <w:trPr>
          <w:trHeight w:val="269"/>
        </w:trPr>
        <w:tc>
          <w:tcPr>
            <w:tcW w:w="3704" w:type="dxa"/>
            <w:tcBorders>
              <w:top w:val="nil"/>
              <w:left w:val="single" w:sz="4" w:space="0" w:color="auto"/>
              <w:bottom w:val="nil"/>
              <w:right w:val="single" w:sz="4" w:space="0" w:color="auto"/>
            </w:tcBorders>
            <w:shd w:val="clear" w:color="auto" w:fill="auto"/>
            <w:noWrap/>
            <w:vAlign w:val="center"/>
            <w:hideMark/>
          </w:tcPr>
          <w:p w14:paraId="3C62C953"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Otros ingresos operativos </w:t>
            </w:r>
          </w:p>
        </w:tc>
        <w:tc>
          <w:tcPr>
            <w:tcW w:w="1475" w:type="dxa"/>
            <w:tcBorders>
              <w:top w:val="nil"/>
              <w:left w:val="single" w:sz="4" w:space="0" w:color="auto"/>
              <w:bottom w:val="nil"/>
              <w:right w:val="single" w:sz="4" w:space="0" w:color="auto"/>
            </w:tcBorders>
            <w:shd w:val="clear" w:color="auto" w:fill="auto"/>
            <w:noWrap/>
            <w:vAlign w:val="bottom"/>
            <w:hideMark/>
          </w:tcPr>
          <w:p w14:paraId="34D2552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148.934</w:t>
            </w:r>
          </w:p>
        </w:tc>
        <w:tc>
          <w:tcPr>
            <w:tcW w:w="1563" w:type="dxa"/>
            <w:tcBorders>
              <w:top w:val="nil"/>
              <w:left w:val="single" w:sz="4" w:space="0" w:color="auto"/>
              <w:bottom w:val="nil"/>
              <w:right w:val="single" w:sz="4" w:space="0" w:color="auto"/>
            </w:tcBorders>
            <w:shd w:val="clear" w:color="auto" w:fill="auto"/>
            <w:noWrap/>
            <w:vAlign w:val="bottom"/>
            <w:hideMark/>
          </w:tcPr>
          <w:p w14:paraId="04190459" w14:textId="5A9ECA1F" w:rsidR="001A7B09" w:rsidRPr="00701F32" w:rsidRDefault="001A7B09">
            <w:pPr>
              <w:jc w:val="right"/>
              <w:rPr>
                <w:rFonts w:ascii="Arial" w:hAnsi="Arial" w:cs="Arial"/>
                <w:sz w:val="16"/>
                <w:szCs w:val="18"/>
                <w:lang w:val="es-ES_tradnl"/>
              </w:rPr>
            </w:pPr>
            <w:r w:rsidRPr="00701F32">
              <w:rPr>
                <w:rFonts w:ascii="Arial" w:hAnsi="Arial" w:cs="Arial"/>
                <w:sz w:val="16"/>
                <w:szCs w:val="18"/>
              </w:rPr>
              <w:t xml:space="preserve">  506.</w:t>
            </w:r>
            <w:r w:rsidR="00594190" w:rsidRPr="00701F32">
              <w:rPr>
                <w:rFonts w:ascii="Arial" w:hAnsi="Arial" w:cs="Arial"/>
                <w:sz w:val="16"/>
                <w:szCs w:val="18"/>
              </w:rPr>
              <w:t>206</w:t>
            </w:r>
          </w:p>
        </w:tc>
        <w:tc>
          <w:tcPr>
            <w:tcW w:w="1519" w:type="dxa"/>
            <w:tcBorders>
              <w:top w:val="nil"/>
              <w:left w:val="single" w:sz="4" w:space="0" w:color="auto"/>
              <w:bottom w:val="nil"/>
              <w:right w:val="single" w:sz="4" w:space="0" w:color="auto"/>
            </w:tcBorders>
            <w:shd w:val="clear" w:color="auto" w:fill="auto"/>
            <w:noWrap/>
            <w:vAlign w:val="bottom"/>
            <w:hideMark/>
          </w:tcPr>
          <w:p w14:paraId="4EC87BA2"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38.792</w:t>
            </w:r>
          </w:p>
        </w:tc>
        <w:tc>
          <w:tcPr>
            <w:tcW w:w="1143" w:type="dxa"/>
            <w:tcBorders>
              <w:top w:val="nil"/>
              <w:left w:val="single" w:sz="4" w:space="0" w:color="auto"/>
              <w:bottom w:val="nil"/>
              <w:right w:val="single" w:sz="4" w:space="0" w:color="auto"/>
            </w:tcBorders>
            <w:shd w:val="clear" w:color="auto" w:fill="auto"/>
            <w:noWrap/>
            <w:vAlign w:val="bottom"/>
            <w:hideMark/>
          </w:tcPr>
          <w:p w14:paraId="7C3BE39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nil"/>
              <w:left w:val="single" w:sz="4" w:space="0" w:color="auto"/>
              <w:bottom w:val="nil"/>
              <w:right w:val="single" w:sz="4" w:space="0" w:color="auto"/>
            </w:tcBorders>
            <w:shd w:val="clear" w:color="auto" w:fill="auto"/>
            <w:noWrap/>
            <w:vAlign w:val="bottom"/>
            <w:hideMark/>
          </w:tcPr>
          <w:p w14:paraId="20982893" w14:textId="21753095" w:rsidR="001A7B09" w:rsidRPr="00701F32" w:rsidRDefault="00DB7006" w:rsidP="00DC5640">
            <w:pPr>
              <w:jc w:val="right"/>
              <w:rPr>
                <w:rFonts w:ascii="Arial" w:hAnsi="Arial" w:cs="Arial"/>
                <w:sz w:val="16"/>
                <w:szCs w:val="18"/>
                <w:lang w:val="es-ES_tradnl"/>
              </w:rPr>
            </w:pPr>
            <w:r w:rsidRPr="00701F32">
              <w:rPr>
                <w:rFonts w:ascii="Arial" w:hAnsi="Arial" w:cs="Arial"/>
                <w:sz w:val="16"/>
                <w:szCs w:val="18"/>
              </w:rPr>
              <w:t>693.932</w:t>
            </w:r>
          </w:p>
        </w:tc>
      </w:tr>
      <w:tr w:rsidR="001A7B09" w:rsidRPr="00701F32" w14:paraId="37614C90" w14:textId="77777777" w:rsidTr="00E311C9">
        <w:trPr>
          <w:trHeight w:val="269"/>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65C8E7FE"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Cargo por incobrabilidad </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778DD5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95.536</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22D0BCFC" w14:textId="77777777" w:rsidR="001A7B09" w:rsidRPr="00701F32" w:rsidRDefault="001A7B09" w:rsidP="00DC5640">
            <w:pPr>
              <w:jc w:val="right"/>
              <w:rPr>
                <w:rFonts w:ascii="Arial" w:hAnsi="Arial" w:cs="Arial"/>
                <w:sz w:val="16"/>
                <w:szCs w:val="18"/>
              </w:rPr>
            </w:pPr>
            <w:r w:rsidRPr="00701F32">
              <w:rPr>
                <w:rFonts w:ascii="Arial" w:hAnsi="Arial" w:cs="Arial"/>
                <w:sz w:val="16"/>
                <w:szCs w:val="18"/>
              </w:rPr>
              <w:t>557.705</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14:paraId="3CEEC99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6.649</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2FB9837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7AF580F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659.890</w:t>
            </w:r>
          </w:p>
        </w:tc>
      </w:tr>
      <w:tr w:rsidR="001A7B09" w:rsidRPr="00701F32" w14:paraId="0CE692D7" w14:textId="77777777" w:rsidTr="00E311C9">
        <w:trPr>
          <w:trHeight w:val="1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F912"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Ingreso operativo neto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E954"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1.184.840</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016D"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5.453.696</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87821"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895.792</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7969"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F6872" w14:textId="27D57C67" w:rsidR="001A7B09" w:rsidRPr="00701F32" w:rsidRDefault="00DB7006" w:rsidP="00DC5640">
            <w:pPr>
              <w:jc w:val="right"/>
              <w:rPr>
                <w:rFonts w:ascii="Arial" w:hAnsi="Arial" w:cs="Arial"/>
                <w:b/>
                <w:sz w:val="16"/>
                <w:szCs w:val="18"/>
              </w:rPr>
            </w:pPr>
            <w:r w:rsidRPr="00701F32">
              <w:rPr>
                <w:rFonts w:ascii="Arial" w:hAnsi="Arial" w:cs="Arial"/>
                <w:b/>
                <w:sz w:val="16"/>
                <w:szCs w:val="18"/>
              </w:rPr>
              <w:t>7.534.328</w:t>
            </w:r>
          </w:p>
        </w:tc>
      </w:tr>
      <w:tr w:rsidR="001A7B09" w:rsidRPr="00701F32" w14:paraId="1F26FA20" w14:textId="77777777" w:rsidTr="00E311C9">
        <w:trPr>
          <w:trHeight w:val="269"/>
        </w:trPr>
        <w:tc>
          <w:tcPr>
            <w:tcW w:w="3704" w:type="dxa"/>
            <w:tcBorders>
              <w:top w:val="single" w:sz="4" w:space="0" w:color="auto"/>
              <w:left w:val="single" w:sz="4" w:space="0" w:color="auto"/>
              <w:bottom w:val="nil"/>
              <w:right w:val="single" w:sz="4" w:space="0" w:color="auto"/>
            </w:tcBorders>
            <w:shd w:val="clear" w:color="auto" w:fill="auto"/>
            <w:noWrap/>
            <w:vAlign w:val="center"/>
            <w:hideMark/>
          </w:tcPr>
          <w:p w14:paraId="049C0925"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Beneficios al personal </w:t>
            </w:r>
          </w:p>
        </w:tc>
        <w:tc>
          <w:tcPr>
            <w:tcW w:w="1475" w:type="dxa"/>
            <w:tcBorders>
              <w:top w:val="single" w:sz="4" w:space="0" w:color="auto"/>
              <w:left w:val="single" w:sz="4" w:space="0" w:color="auto"/>
              <w:bottom w:val="nil"/>
              <w:right w:val="single" w:sz="4" w:space="0" w:color="auto"/>
            </w:tcBorders>
            <w:shd w:val="clear" w:color="auto" w:fill="auto"/>
            <w:noWrap/>
            <w:vAlign w:val="bottom"/>
            <w:hideMark/>
          </w:tcPr>
          <w:p w14:paraId="71177C0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457.002</w:t>
            </w:r>
          </w:p>
        </w:tc>
        <w:tc>
          <w:tcPr>
            <w:tcW w:w="1563" w:type="dxa"/>
            <w:tcBorders>
              <w:top w:val="single" w:sz="4" w:space="0" w:color="auto"/>
              <w:left w:val="single" w:sz="4" w:space="0" w:color="auto"/>
              <w:bottom w:val="nil"/>
              <w:right w:val="single" w:sz="4" w:space="0" w:color="auto"/>
            </w:tcBorders>
            <w:shd w:val="clear" w:color="auto" w:fill="auto"/>
            <w:noWrap/>
            <w:vAlign w:val="bottom"/>
            <w:hideMark/>
          </w:tcPr>
          <w:p w14:paraId="2CFE71A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2.469.464</w:t>
            </w:r>
          </w:p>
        </w:tc>
        <w:tc>
          <w:tcPr>
            <w:tcW w:w="1519" w:type="dxa"/>
            <w:tcBorders>
              <w:top w:val="single" w:sz="4" w:space="0" w:color="auto"/>
              <w:left w:val="single" w:sz="4" w:space="0" w:color="auto"/>
              <w:bottom w:val="nil"/>
              <w:right w:val="single" w:sz="4" w:space="0" w:color="auto"/>
            </w:tcBorders>
            <w:shd w:val="clear" w:color="auto" w:fill="auto"/>
            <w:noWrap/>
            <w:vAlign w:val="bottom"/>
            <w:hideMark/>
          </w:tcPr>
          <w:p w14:paraId="385A63A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166.406</w:t>
            </w:r>
          </w:p>
        </w:tc>
        <w:tc>
          <w:tcPr>
            <w:tcW w:w="1143" w:type="dxa"/>
            <w:tcBorders>
              <w:top w:val="single" w:sz="4" w:space="0" w:color="auto"/>
              <w:left w:val="single" w:sz="4" w:space="0" w:color="auto"/>
              <w:bottom w:val="nil"/>
              <w:right w:val="single" w:sz="4" w:space="0" w:color="auto"/>
            </w:tcBorders>
            <w:shd w:val="clear" w:color="auto" w:fill="auto"/>
            <w:noWrap/>
            <w:vAlign w:val="bottom"/>
            <w:hideMark/>
          </w:tcPr>
          <w:p w14:paraId="7EAD53DB"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single" w:sz="4" w:space="0" w:color="auto"/>
              <w:left w:val="single" w:sz="4" w:space="0" w:color="auto"/>
              <w:bottom w:val="nil"/>
              <w:right w:val="single" w:sz="4" w:space="0" w:color="auto"/>
            </w:tcBorders>
            <w:shd w:val="clear" w:color="auto" w:fill="auto"/>
            <w:noWrap/>
            <w:vAlign w:val="bottom"/>
            <w:hideMark/>
          </w:tcPr>
          <w:p w14:paraId="5A76EB1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3.092.872</w:t>
            </w:r>
          </w:p>
        </w:tc>
      </w:tr>
      <w:tr w:rsidR="001A7B09" w:rsidRPr="00701F32" w14:paraId="46910CC7" w14:textId="77777777" w:rsidTr="00E311C9">
        <w:trPr>
          <w:trHeight w:val="269"/>
        </w:trPr>
        <w:tc>
          <w:tcPr>
            <w:tcW w:w="3704" w:type="dxa"/>
            <w:tcBorders>
              <w:top w:val="nil"/>
              <w:left w:val="single" w:sz="4" w:space="0" w:color="auto"/>
              <w:bottom w:val="nil"/>
              <w:right w:val="single" w:sz="4" w:space="0" w:color="auto"/>
            </w:tcBorders>
            <w:shd w:val="clear" w:color="auto" w:fill="auto"/>
            <w:noWrap/>
            <w:vAlign w:val="center"/>
            <w:hideMark/>
          </w:tcPr>
          <w:p w14:paraId="35566CC0"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Gastos de administración </w:t>
            </w:r>
          </w:p>
        </w:tc>
        <w:tc>
          <w:tcPr>
            <w:tcW w:w="1475" w:type="dxa"/>
            <w:tcBorders>
              <w:top w:val="nil"/>
              <w:left w:val="single" w:sz="4" w:space="0" w:color="auto"/>
              <w:bottom w:val="nil"/>
              <w:right w:val="single" w:sz="4" w:space="0" w:color="auto"/>
            </w:tcBorders>
            <w:shd w:val="clear" w:color="auto" w:fill="auto"/>
            <w:noWrap/>
            <w:vAlign w:val="bottom"/>
            <w:hideMark/>
          </w:tcPr>
          <w:p w14:paraId="4F96D465"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184.351</w:t>
            </w:r>
          </w:p>
        </w:tc>
        <w:tc>
          <w:tcPr>
            <w:tcW w:w="1563" w:type="dxa"/>
            <w:tcBorders>
              <w:top w:val="nil"/>
              <w:left w:val="single" w:sz="4" w:space="0" w:color="auto"/>
              <w:bottom w:val="nil"/>
              <w:right w:val="single" w:sz="4" w:space="0" w:color="auto"/>
            </w:tcBorders>
            <w:shd w:val="clear" w:color="auto" w:fill="auto"/>
            <w:noWrap/>
            <w:vAlign w:val="bottom"/>
            <w:hideMark/>
          </w:tcPr>
          <w:p w14:paraId="685F0DF1"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1.499.954</w:t>
            </w:r>
          </w:p>
        </w:tc>
        <w:tc>
          <w:tcPr>
            <w:tcW w:w="1519" w:type="dxa"/>
            <w:tcBorders>
              <w:top w:val="nil"/>
              <w:left w:val="single" w:sz="4" w:space="0" w:color="auto"/>
              <w:bottom w:val="nil"/>
              <w:right w:val="single" w:sz="4" w:space="0" w:color="auto"/>
            </w:tcBorders>
            <w:shd w:val="clear" w:color="auto" w:fill="auto"/>
            <w:noWrap/>
            <w:vAlign w:val="bottom"/>
            <w:hideMark/>
          </w:tcPr>
          <w:p w14:paraId="21A6BBE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97.475</w:t>
            </w:r>
          </w:p>
        </w:tc>
        <w:tc>
          <w:tcPr>
            <w:tcW w:w="1143" w:type="dxa"/>
            <w:tcBorders>
              <w:top w:val="nil"/>
              <w:left w:val="single" w:sz="4" w:space="0" w:color="auto"/>
              <w:bottom w:val="nil"/>
              <w:right w:val="single" w:sz="4" w:space="0" w:color="auto"/>
            </w:tcBorders>
            <w:shd w:val="clear" w:color="auto" w:fill="auto"/>
            <w:noWrap/>
            <w:vAlign w:val="bottom"/>
            <w:hideMark/>
          </w:tcPr>
          <w:p w14:paraId="14846A16"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w:t>
            </w:r>
          </w:p>
        </w:tc>
        <w:tc>
          <w:tcPr>
            <w:tcW w:w="1663" w:type="dxa"/>
            <w:tcBorders>
              <w:top w:val="nil"/>
              <w:left w:val="single" w:sz="4" w:space="0" w:color="auto"/>
              <w:bottom w:val="nil"/>
              <w:right w:val="single" w:sz="4" w:space="0" w:color="auto"/>
            </w:tcBorders>
            <w:shd w:val="clear" w:color="auto" w:fill="auto"/>
            <w:noWrap/>
            <w:vAlign w:val="bottom"/>
            <w:hideMark/>
          </w:tcPr>
          <w:p w14:paraId="36E6928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1.781.780</w:t>
            </w:r>
          </w:p>
        </w:tc>
      </w:tr>
      <w:tr w:rsidR="001A7B09" w:rsidRPr="00701F32" w14:paraId="2FB41ACD" w14:textId="77777777" w:rsidTr="00E311C9">
        <w:trPr>
          <w:trHeight w:val="269"/>
        </w:trPr>
        <w:tc>
          <w:tcPr>
            <w:tcW w:w="3704" w:type="dxa"/>
            <w:tcBorders>
              <w:top w:val="nil"/>
              <w:left w:val="single" w:sz="4" w:space="0" w:color="auto"/>
              <w:bottom w:val="nil"/>
              <w:right w:val="single" w:sz="4" w:space="0" w:color="auto"/>
            </w:tcBorders>
            <w:shd w:val="clear" w:color="auto" w:fill="auto"/>
            <w:noWrap/>
            <w:vAlign w:val="center"/>
            <w:hideMark/>
          </w:tcPr>
          <w:p w14:paraId="45A41B2A"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Depreciaciones y desvalorizaciones de bienes </w:t>
            </w:r>
          </w:p>
        </w:tc>
        <w:tc>
          <w:tcPr>
            <w:tcW w:w="1475" w:type="dxa"/>
            <w:tcBorders>
              <w:top w:val="nil"/>
              <w:left w:val="single" w:sz="4" w:space="0" w:color="auto"/>
              <w:bottom w:val="nil"/>
              <w:right w:val="single" w:sz="4" w:space="0" w:color="auto"/>
            </w:tcBorders>
            <w:shd w:val="clear" w:color="auto" w:fill="auto"/>
            <w:noWrap/>
            <w:vAlign w:val="bottom"/>
            <w:hideMark/>
          </w:tcPr>
          <w:p w14:paraId="43B2F12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25.181</w:t>
            </w:r>
          </w:p>
        </w:tc>
        <w:tc>
          <w:tcPr>
            <w:tcW w:w="1563" w:type="dxa"/>
            <w:tcBorders>
              <w:top w:val="nil"/>
              <w:left w:val="single" w:sz="4" w:space="0" w:color="auto"/>
              <w:bottom w:val="nil"/>
              <w:right w:val="single" w:sz="4" w:space="0" w:color="auto"/>
            </w:tcBorders>
            <w:shd w:val="clear" w:color="auto" w:fill="auto"/>
            <w:noWrap/>
            <w:vAlign w:val="bottom"/>
            <w:hideMark/>
          </w:tcPr>
          <w:p w14:paraId="42DB19CC"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151.200</w:t>
            </w:r>
          </w:p>
        </w:tc>
        <w:tc>
          <w:tcPr>
            <w:tcW w:w="1519" w:type="dxa"/>
            <w:tcBorders>
              <w:top w:val="nil"/>
              <w:left w:val="single" w:sz="4" w:space="0" w:color="auto"/>
              <w:bottom w:val="nil"/>
              <w:right w:val="single" w:sz="4" w:space="0" w:color="auto"/>
            </w:tcBorders>
            <w:shd w:val="clear" w:color="auto" w:fill="auto"/>
            <w:noWrap/>
            <w:vAlign w:val="bottom"/>
            <w:hideMark/>
          </w:tcPr>
          <w:p w14:paraId="6A7987C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12.326</w:t>
            </w:r>
          </w:p>
        </w:tc>
        <w:tc>
          <w:tcPr>
            <w:tcW w:w="1143" w:type="dxa"/>
            <w:tcBorders>
              <w:top w:val="nil"/>
              <w:left w:val="single" w:sz="4" w:space="0" w:color="auto"/>
              <w:bottom w:val="nil"/>
              <w:right w:val="single" w:sz="4" w:space="0" w:color="auto"/>
            </w:tcBorders>
            <w:shd w:val="clear" w:color="auto" w:fill="auto"/>
            <w:noWrap/>
            <w:vAlign w:val="bottom"/>
            <w:hideMark/>
          </w:tcPr>
          <w:p w14:paraId="535A502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nil"/>
              <w:left w:val="single" w:sz="4" w:space="0" w:color="auto"/>
              <w:bottom w:val="nil"/>
              <w:right w:val="single" w:sz="4" w:space="0" w:color="auto"/>
            </w:tcBorders>
            <w:shd w:val="clear" w:color="auto" w:fill="auto"/>
            <w:noWrap/>
            <w:vAlign w:val="bottom"/>
            <w:hideMark/>
          </w:tcPr>
          <w:p w14:paraId="4AC2D6B8"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188.707</w:t>
            </w:r>
          </w:p>
        </w:tc>
      </w:tr>
      <w:tr w:rsidR="001A7B09" w:rsidRPr="00701F32" w14:paraId="12687B11" w14:textId="77777777" w:rsidTr="00E311C9">
        <w:trPr>
          <w:trHeight w:val="269"/>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2B74E8AA"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Otros gastos operativos </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3F0E9275"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264.570</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2D155E08"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1.164.534</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14:paraId="27C53658"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104.723</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14:paraId="53C294D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6AD54297"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1.533.827</w:t>
            </w:r>
          </w:p>
        </w:tc>
      </w:tr>
      <w:tr w:rsidR="001A7B09" w:rsidRPr="00701F32" w14:paraId="5FB923F9" w14:textId="77777777" w:rsidTr="00E311C9">
        <w:trPr>
          <w:trHeight w:val="194"/>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5F758"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operativo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EBF57"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  253.736</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344F"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168.544</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6B463" w14:textId="47EED910" w:rsidR="001A7B09" w:rsidRPr="00701F32" w:rsidRDefault="00BC20C6" w:rsidP="00DC5640">
            <w:pPr>
              <w:jc w:val="right"/>
              <w:rPr>
                <w:rFonts w:ascii="Arial" w:hAnsi="Arial" w:cs="Arial"/>
                <w:b/>
                <w:sz w:val="16"/>
                <w:szCs w:val="18"/>
              </w:rPr>
            </w:pPr>
            <w:r w:rsidRPr="00701F32">
              <w:rPr>
                <w:rFonts w:ascii="Arial" w:hAnsi="Arial" w:cs="Arial"/>
                <w:b/>
                <w:sz w:val="16"/>
                <w:szCs w:val="18"/>
              </w:rPr>
              <w:t>514.862</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2ECD8"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4DAC3"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937.142</w:t>
            </w:r>
          </w:p>
        </w:tc>
      </w:tr>
      <w:tr w:rsidR="001A7B09" w:rsidRPr="00701F32" w14:paraId="34E7074B"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E155"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Resultado por asociadas y negocios conjuntos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2622D"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528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F53F"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11554"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110.254</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C0E23"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110.254</w:t>
            </w:r>
          </w:p>
        </w:tc>
      </w:tr>
      <w:tr w:rsidR="001A7B09" w:rsidRPr="00701F32" w14:paraId="3BD3F97F"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9307"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antes de impuesto de las actividades que continúan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848A9"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  253.736</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626C"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168.544</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499B4" w14:textId="1B9BF797" w:rsidR="001A7B09" w:rsidRPr="00701F32" w:rsidRDefault="00BC20C6" w:rsidP="00DC5640">
            <w:pPr>
              <w:jc w:val="right"/>
              <w:rPr>
                <w:rFonts w:ascii="Arial" w:hAnsi="Arial" w:cs="Arial"/>
                <w:b/>
                <w:sz w:val="16"/>
                <w:szCs w:val="18"/>
              </w:rPr>
            </w:pPr>
            <w:r w:rsidRPr="00701F32">
              <w:rPr>
                <w:rFonts w:ascii="Arial" w:hAnsi="Arial" w:cs="Arial"/>
                <w:b/>
                <w:sz w:val="16"/>
                <w:szCs w:val="18"/>
              </w:rPr>
              <w:t>514.862</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991BE"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110.254</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E98A"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1.047.396</w:t>
            </w:r>
          </w:p>
        </w:tc>
      </w:tr>
      <w:tr w:rsidR="001A7B09" w:rsidRPr="00701F32" w14:paraId="050B8966"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56FA"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w:t>
            </w:r>
          </w:p>
          <w:p w14:paraId="7070867D"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Impuesto a las ganancias de las actividades que continúan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4692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65.109</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3E90"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36.149</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C6AC"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141.431</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97C57"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025E"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242.689</w:t>
            </w:r>
          </w:p>
        </w:tc>
      </w:tr>
      <w:tr w:rsidR="001A7B09" w:rsidRPr="00701F32" w14:paraId="55375C9C"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B8D7"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neto de las actividades que continúan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DF14"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  188.627</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FED56"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132.395</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EBBD" w14:textId="174F34B3" w:rsidR="001A7B09" w:rsidRPr="00701F32" w:rsidRDefault="00BC20C6" w:rsidP="00DC5640">
            <w:pPr>
              <w:jc w:val="right"/>
              <w:rPr>
                <w:rFonts w:ascii="Arial" w:hAnsi="Arial" w:cs="Arial"/>
                <w:b/>
                <w:sz w:val="16"/>
                <w:szCs w:val="18"/>
              </w:rPr>
            </w:pPr>
            <w:r w:rsidRPr="00701F32">
              <w:rPr>
                <w:rFonts w:ascii="Arial" w:hAnsi="Arial" w:cs="Arial"/>
                <w:b/>
                <w:sz w:val="16"/>
                <w:szCs w:val="18"/>
              </w:rPr>
              <w:t>373.431</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06FED"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110.254</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2AEC3"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804.707</w:t>
            </w:r>
          </w:p>
        </w:tc>
      </w:tr>
      <w:tr w:rsidR="001A7B09" w:rsidRPr="00701F32" w14:paraId="15454362"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8AA8F"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neto del periodo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FA47"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188.627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56D4"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132.395</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0BF1C" w14:textId="79A405E1" w:rsidR="001A7B09" w:rsidRPr="00701F32" w:rsidRDefault="00BC20C6" w:rsidP="00DC5640">
            <w:pPr>
              <w:jc w:val="right"/>
              <w:rPr>
                <w:rFonts w:ascii="Arial" w:hAnsi="Arial" w:cs="Arial"/>
                <w:b/>
                <w:sz w:val="16"/>
                <w:szCs w:val="18"/>
              </w:rPr>
            </w:pPr>
            <w:r w:rsidRPr="00701F32">
              <w:rPr>
                <w:rFonts w:ascii="Arial" w:hAnsi="Arial" w:cs="Arial"/>
                <w:b/>
                <w:sz w:val="16"/>
                <w:szCs w:val="18"/>
              </w:rPr>
              <w:t>373.431</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6293"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110.254</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6D3A"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804.707</w:t>
            </w:r>
          </w:p>
        </w:tc>
      </w:tr>
      <w:tr w:rsidR="001A7B09" w:rsidRPr="00701F32" w14:paraId="55005A3F"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6BD14" w14:textId="77777777" w:rsidR="001A7B09" w:rsidRPr="00701F32" w:rsidRDefault="001A7B09" w:rsidP="00DC5640">
            <w:pPr>
              <w:rPr>
                <w:rFonts w:ascii="Arial" w:hAnsi="Arial" w:cs="Arial"/>
                <w:sz w:val="16"/>
                <w:szCs w:val="18"/>
                <w:lang w:eastAsia="es-AR"/>
              </w:rPr>
            </w:pPr>
            <w:r w:rsidRPr="00701F32">
              <w:rPr>
                <w:rFonts w:ascii="Arial" w:hAnsi="Arial" w:cs="Arial"/>
                <w:sz w:val="16"/>
                <w:szCs w:val="18"/>
                <w:lang w:eastAsia="es-AR"/>
              </w:rPr>
              <w:t xml:space="preserve"> ORI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05DC3"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4.130</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9F635"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3.881</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061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20.127</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EBC9"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 xml:space="preserve"> - </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F5DDA" w14:textId="77777777" w:rsidR="001A7B09" w:rsidRPr="00701F32" w:rsidRDefault="001A7B09" w:rsidP="00DC5640">
            <w:pPr>
              <w:jc w:val="right"/>
              <w:rPr>
                <w:rFonts w:ascii="Arial" w:hAnsi="Arial" w:cs="Arial"/>
                <w:sz w:val="16"/>
                <w:szCs w:val="18"/>
                <w:lang w:val="es-ES_tradnl"/>
              </w:rPr>
            </w:pPr>
            <w:r w:rsidRPr="00701F32">
              <w:rPr>
                <w:rFonts w:ascii="Arial" w:hAnsi="Arial" w:cs="Arial"/>
                <w:sz w:val="16"/>
                <w:szCs w:val="18"/>
              </w:rPr>
              <w:t>28.138</w:t>
            </w:r>
          </w:p>
        </w:tc>
      </w:tr>
      <w:tr w:rsidR="001A7B09" w:rsidRPr="00701F32" w14:paraId="21B00163" w14:textId="77777777" w:rsidTr="00E311C9">
        <w:trPr>
          <w:trHeight w:val="269"/>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30C04" w14:textId="77777777" w:rsidR="001A7B09" w:rsidRPr="00701F32" w:rsidRDefault="001A7B09" w:rsidP="00DC5640">
            <w:pPr>
              <w:rPr>
                <w:rFonts w:ascii="Arial" w:hAnsi="Arial" w:cs="Arial"/>
                <w:b/>
                <w:bCs/>
                <w:sz w:val="16"/>
                <w:szCs w:val="18"/>
                <w:lang w:eastAsia="es-AR"/>
              </w:rPr>
            </w:pPr>
            <w:r w:rsidRPr="00701F32">
              <w:rPr>
                <w:rFonts w:ascii="Arial" w:hAnsi="Arial" w:cs="Arial"/>
                <w:b/>
                <w:bCs/>
                <w:sz w:val="16"/>
                <w:szCs w:val="18"/>
                <w:lang w:eastAsia="es-AR"/>
              </w:rPr>
              <w:t xml:space="preserve"> Resultado Integral del periodo </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A2DC"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192.757</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4AE9B"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 xml:space="preserve">   136.276</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B649A"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393.558</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F17D3"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110.254</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1D61D" w14:textId="77777777" w:rsidR="001A7B09" w:rsidRPr="00701F32" w:rsidRDefault="001A7B09" w:rsidP="00DC5640">
            <w:pPr>
              <w:jc w:val="right"/>
              <w:rPr>
                <w:rFonts w:ascii="Arial" w:hAnsi="Arial" w:cs="Arial"/>
                <w:b/>
                <w:sz w:val="16"/>
                <w:szCs w:val="18"/>
              </w:rPr>
            </w:pPr>
            <w:r w:rsidRPr="00701F32">
              <w:rPr>
                <w:rFonts w:ascii="Arial" w:hAnsi="Arial" w:cs="Arial"/>
                <w:b/>
                <w:sz w:val="16"/>
                <w:szCs w:val="18"/>
              </w:rPr>
              <w:t>832.845</w:t>
            </w:r>
          </w:p>
        </w:tc>
      </w:tr>
    </w:tbl>
    <w:p w14:paraId="46BC3EA7" w14:textId="77777777" w:rsidR="00330F2E" w:rsidRPr="00701F32" w:rsidRDefault="00330F2E" w:rsidP="00656E62">
      <w:pPr>
        <w:jc w:val="both"/>
        <w:rPr>
          <w:rFonts w:ascii="Arial" w:hAnsi="Arial" w:cs="Arial"/>
          <w:sz w:val="20"/>
        </w:rPr>
      </w:pPr>
    </w:p>
    <w:p w14:paraId="5BCC855F" w14:textId="77777777" w:rsidR="00330F2E" w:rsidRPr="00701F32" w:rsidRDefault="00330F2E" w:rsidP="00656E62">
      <w:pPr>
        <w:jc w:val="both"/>
        <w:rPr>
          <w:rFonts w:ascii="Arial" w:hAnsi="Arial" w:cs="Arial"/>
          <w:sz w:val="20"/>
        </w:rPr>
      </w:pPr>
    </w:p>
    <w:p w14:paraId="6E9BA46C" w14:textId="77777777" w:rsidR="00656E62" w:rsidRPr="00701F32" w:rsidRDefault="00B225FD" w:rsidP="00656E62">
      <w:pPr>
        <w:jc w:val="both"/>
        <w:rPr>
          <w:rFonts w:ascii="Arial" w:eastAsia="Calibri" w:hAnsi="Arial" w:cs="Arial"/>
          <w:b/>
          <w:color w:val="C45911"/>
          <w:sz w:val="20"/>
        </w:rPr>
      </w:pPr>
      <w:r w:rsidRPr="00701F32">
        <w:rPr>
          <w:rFonts w:ascii="Arial" w:eastAsia="Calibri" w:hAnsi="Arial" w:cs="Arial"/>
          <w:b/>
          <w:noProof/>
          <w:sz w:val="20"/>
        </w:rPr>
        <w:t>5. IMPUESTO A LAS GANANCIAS</w:t>
      </w:r>
      <w:r w:rsidR="00656E62" w:rsidRPr="00701F32">
        <w:rPr>
          <w:rFonts w:ascii="Arial" w:eastAsia="Calibri" w:hAnsi="Arial" w:cs="Arial"/>
          <w:b/>
          <w:noProof/>
          <w:sz w:val="20"/>
        </w:rPr>
        <w:t xml:space="preserve"> </w:t>
      </w:r>
    </w:p>
    <w:p w14:paraId="63FFAE9B" w14:textId="77777777" w:rsidR="00656E62" w:rsidRPr="00701F32" w:rsidRDefault="00656E62" w:rsidP="00656E62">
      <w:pPr>
        <w:jc w:val="both"/>
        <w:rPr>
          <w:rFonts w:ascii="Arial" w:eastAsia="Calibri" w:hAnsi="Arial" w:cs="Arial"/>
          <w:noProof/>
          <w:sz w:val="20"/>
        </w:rPr>
      </w:pPr>
    </w:p>
    <w:p w14:paraId="62DA5563" w14:textId="77777777" w:rsidR="00656E62" w:rsidRPr="00701F32" w:rsidRDefault="00656E62" w:rsidP="00656E62">
      <w:pPr>
        <w:spacing w:after="160" w:line="276" w:lineRule="auto"/>
        <w:jc w:val="both"/>
        <w:rPr>
          <w:rFonts w:ascii="Arial" w:eastAsia="Calibri" w:hAnsi="Arial" w:cs="Arial"/>
          <w:sz w:val="20"/>
        </w:rPr>
      </w:pPr>
      <w:r w:rsidRPr="00701F32">
        <w:rPr>
          <w:rFonts w:ascii="Arial" w:eastAsia="Calibri" w:hAnsi="Arial" w:cs="Arial"/>
          <w:sz w:val="20"/>
        </w:rPr>
        <w:t>El 29 de diciembre de 2017 el Poder Ejecutivo Nacional promulgó la Ley 27430 – Impuesto a las Ganancias. Esta ley ha introducido varios cambios en el tratamiento del impuesto a las ganancias cuyos componentes clave son los siguientes:</w:t>
      </w:r>
    </w:p>
    <w:p w14:paraId="6D0A9213" w14:textId="77777777" w:rsidR="00656E62" w:rsidRPr="00701F32" w:rsidRDefault="00656E62" w:rsidP="00656E62">
      <w:pPr>
        <w:spacing w:after="160" w:line="276" w:lineRule="auto"/>
        <w:jc w:val="both"/>
        <w:rPr>
          <w:rFonts w:ascii="Arial" w:eastAsia="Calibri" w:hAnsi="Arial" w:cs="Arial"/>
          <w:sz w:val="20"/>
        </w:rPr>
      </w:pPr>
      <w:r w:rsidRPr="00701F32">
        <w:rPr>
          <w:rFonts w:ascii="Arial" w:eastAsia="Calibri" w:hAnsi="Arial" w:cs="Arial"/>
          <w:sz w:val="20"/>
          <w:u w:val="single"/>
        </w:rPr>
        <w:t>Alícuota de impuesto a las ganancias</w:t>
      </w:r>
      <w:r w:rsidRPr="00701F32">
        <w:rPr>
          <w:rFonts w:ascii="Arial" w:eastAsia="Calibri" w:hAnsi="Arial" w:cs="Arial"/>
          <w:sz w:val="20"/>
        </w:rPr>
        <w:t>: La alícuota del impuesto a las ganancias para las sociedades argentinas se reducirá gradualmente desde el 35% al 30% para los ejercicios fiscales que comiencen a partir del 1 de enero de 2018 hasta el 31 de diciembre de 2019 y al 25% para los ejercicios fiscales que comiencen a partir del 1 de enero de 2020, inclusive.</w:t>
      </w:r>
    </w:p>
    <w:p w14:paraId="4992DE4F" w14:textId="77777777" w:rsidR="00656E62" w:rsidRPr="00701F32" w:rsidRDefault="00656E62" w:rsidP="00656E62">
      <w:pPr>
        <w:spacing w:after="160" w:line="276" w:lineRule="auto"/>
        <w:jc w:val="both"/>
        <w:rPr>
          <w:rFonts w:ascii="Arial" w:eastAsia="Calibri" w:hAnsi="Arial" w:cs="Arial"/>
          <w:sz w:val="20"/>
        </w:rPr>
      </w:pPr>
      <w:r w:rsidRPr="00701F32">
        <w:rPr>
          <w:rFonts w:ascii="Arial" w:eastAsia="Calibri" w:hAnsi="Arial" w:cs="Arial"/>
          <w:sz w:val="20"/>
          <w:u w:val="single"/>
        </w:rPr>
        <w:t>Impuesto a los dividendos:</w:t>
      </w:r>
      <w:r w:rsidRPr="00701F32">
        <w:rPr>
          <w:rFonts w:ascii="Arial" w:eastAsia="Calibri" w:hAnsi="Arial" w:cs="Arial"/>
          <w:sz w:val="20"/>
        </w:rPr>
        <w:t xml:space="preserve"> Se introduce un impuesto sobre los dividendos o utilidades distribuidas, entre otros, por sociedades argentinas o establecimientos  permanentes a: personas humanas, sucesiones indivisas o beneficiarios del exterior, con las siguientes consideraciones: (i) los dividendos derivados de las utilidades generadas durante los ejercicios fiscales que se inicien a partir del 1 de enero 2018 y hasta el 31 de diciembre de 2019 estarán sujetos a una retención del 7%; y (ii) los dividendos originados por las ganancias obtenidas por ejercicios iniciados a partir del 1 de enero de 2020 en adelante estarán sujetos a retención del 13%. </w:t>
      </w:r>
    </w:p>
    <w:p w14:paraId="22675CD6" w14:textId="77777777" w:rsidR="00656E62" w:rsidRPr="00701F32" w:rsidRDefault="00656E62" w:rsidP="00656E62">
      <w:pPr>
        <w:spacing w:after="160" w:line="276" w:lineRule="auto"/>
        <w:jc w:val="both"/>
        <w:rPr>
          <w:rFonts w:ascii="Arial" w:eastAsia="Calibri" w:hAnsi="Arial" w:cs="Arial"/>
          <w:sz w:val="20"/>
        </w:rPr>
      </w:pPr>
      <w:r w:rsidRPr="00701F32">
        <w:rPr>
          <w:rFonts w:ascii="Arial" w:eastAsia="Calibri" w:hAnsi="Arial" w:cs="Arial"/>
          <w:sz w:val="20"/>
        </w:rPr>
        <w:t>Los dividendos originados por beneficios obtenidos hasta el ejercicio anterior al iniciado a partir del 1 de enero de 2018 seguirán sujetos, para todos los beneficiarios de los mismos, a la retención del 35% sobre el monto que exceda las ganancias acumuladas distribuibles libres de impuestos (período de transición del impuesto de igualación)</w:t>
      </w:r>
    </w:p>
    <w:p w14:paraId="726132F0" w14:textId="77777777" w:rsidR="00656E62" w:rsidRPr="00701F32" w:rsidRDefault="00656E62" w:rsidP="00656E62">
      <w:pPr>
        <w:spacing w:after="160" w:line="276" w:lineRule="auto"/>
        <w:jc w:val="both"/>
        <w:rPr>
          <w:rFonts w:ascii="Arial" w:eastAsia="Calibri" w:hAnsi="Arial" w:cs="Arial"/>
          <w:sz w:val="20"/>
        </w:rPr>
      </w:pPr>
      <w:r w:rsidRPr="00701F32">
        <w:rPr>
          <w:rFonts w:ascii="Arial" w:eastAsia="Calibri" w:hAnsi="Arial" w:cs="Arial"/>
          <w:sz w:val="20"/>
          <w:u w:val="single"/>
        </w:rPr>
        <w:t>Actualizaciones de deducciones</w:t>
      </w:r>
      <w:r w:rsidRPr="00701F32">
        <w:rPr>
          <w:rFonts w:ascii="Arial" w:eastAsia="Calibri" w:hAnsi="Arial" w:cs="Arial"/>
          <w:sz w:val="20"/>
        </w:rPr>
        <w:t>: Las adquisiciones o inversiones efectuadas en los ejercicios fiscales que se inicien a partir del 1 de enero de 2018, se actualizarán sobre la base de las variaciones porcentuales del Índice de Precios Internos al por Mayor (IPIM) que suministre el Instituto Nacional de Estadística y Censos, situación que incrementará la amortización deducible y su costo computable en caso de venta.</w:t>
      </w:r>
    </w:p>
    <w:p w14:paraId="15EC200B" w14:textId="77777777" w:rsidR="00656E62" w:rsidRPr="00701F32" w:rsidRDefault="00656E62" w:rsidP="00656E62">
      <w:pPr>
        <w:spacing w:after="120"/>
        <w:jc w:val="both"/>
        <w:rPr>
          <w:rFonts w:ascii="Arial" w:eastAsia="SimSun" w:hAnsi="Arial" w:cs="Arial"/>
          <w:sz w:val="20"/>
          <w:lang w:eastAsia="zh-CN"/>
        </w:rPr>
      </w:pPr>
      <w:r w:rsidRPr="00701F32">
        <w:rPr>
          <w:rFonts w:ascii="Arial" w:eastAsia="SimSun" w:hAnsi="Arial" w:cs="Arial"/>
          <w:sz w:val="20"/>
          <w:lang w:eastAsia="zh-CN"/>
        </w:rPr>
        <w:t>La evolución de los conceptos por impuesto a las ganancias para los períodos finalizados el 3</w:t>
      </w:r>
      <w:r w:rsidR="00CC090B" w:rsidRPr="00701F32">
        <w:rPr>
          <w:rFonts w:ascii="Arial" w:eastAsia="SimSun" w:hAnsi="Arial" w:cs="Arial"/>
          <w:sz w:val="20"/>
          <w:lang w:eastAsia="zh-CN"/>
        </w:rPr>
        <w:t>0</w:t>
      </w:r>
      <w:r w:rsidRPr="00701F32">
        <w:rPr>
          <w:rFonts w:ascii="Arial" w:eastAsia="SimSun" w:hAnsi="Arial" w:cs="Arial"/>
          <w:sz w:val="20"/>
          <w:lang w:eastAsia="zh-CN"/>
        </w:rPr>
        <w:t xml:space="preserve"> de</w:t>
      </w:r>
      <w:r w:rsidR="00837BEB" w:rsidRPr="00701F32">
        <w:rPr>
          <w:rFonts w:ascii="Arial" w:eastAsia="SimSun" w:hAnsi="Arial" w:cs="Arial"/>
          <w:sz w:val="20"/>
          <w:lang w:eastAsia="zh-CN"/>
        </w:rPr>
        <w:t xml:space="preserve"> septiembre</w:t>
      </w:r>
      <w:r w:rsidR="00CC090B" w:rsidRPr="00701F32">
        <w:rPr>
          <w:rFonts w:ascii="Arial" w:eastAsia="SimSun" w:hAnsi="Arial" w:cs="Arial"/>
          <w:sz w:val="20"/>
          <w:lang w:eastAsia="zh-CN"/>
        </w:rPr>
        <w:t xml:space="preserve"> </w:t>
      </w:r>
      <w:r w:rsidRPr="00701F32">
        <w:rPr>
          <w:rFonts w:ascii="Arial" w:eastAsia="SimSun" w:hAnsi="Arial" w:cs="Arial"/>
          <w:sz w:val="20"/>
          <w:lang w:eastAsia="zh-CN"/>
        </w:rPr>
        <w:t>de 2018 y 2017 se detalla en el siguiente cuadro:</w:t>
      </w:r>
    </w:p>
    <w:tbl>
      <w:tblPr>
        <w:tblW w:w="8692" w:type="dxa"/>
        <w:tblInd w:w="40" w:type="dxa"/>
        <w:tblCellMar>
          <w:left w:w="70" w:type="dxa"/>
          <w:right w:w="70" w:type="dxa"/>
        </w:tblCellMar>
        <w:tblLook w:val="04A0" w:firstRow="1" w:lastRow="0" w:firstColumn="1" w:lastColumn="0" w:noHBand="0" w:noVBand="1"/>
      </w:tblPr>
      <w:tblGrid>
        <w:gridCol w:w="5094"/>
        <w:gridCol w:w="1799"/>
        <w:gridCol w:w="1799"/>
      </w:tblGrid>
      <w:tr w:rsidR="00656E62" w:rsidRPr="00701F32" w14:paraId="2AE6133E" w14:textId="77777777" w:rsidTr="00831174">
        <w:trPr>
          <w:trHeight w:val="266"/>
          <w:tblHeader/>
        </w:trPr>
        <w:tc>
          <w:tcPr>
            <w:tcW w:w="5094" w:type="dxa"/>
            <w:tcBorders>
              <w:top w:val="single" w:sz="4" w:space="0" w:color="auto"/>
              <w:left w:val="single" w:sz="4" w:space="0" w:color="auto"/>
              <w:bottom w:val="single" w:sz="4" w:space="0" w:color="auto"/>
              <w:right w:val="nil"/>
            </w:tcBorders>
            <w:shd w:val="clear" w:color="auto" w:fill="auto"/>
            <w:noWrap/>
            <w:vAlign w:val="bottom"/>
            <w:hideMark/>
          </w:tcPr>
          <w:p w14:paraId="71E3AE59" w14:textId="77777777" w:rsidR="00656E62" w:rsidRPr="00701F32" w:rsidRDefault="00656E62" w:rsidP="00464C0F">
            <w:pPr>
              <w:jc w:val="both"/>
              <w:rPr>
                <w:sz w:val="18"/>
                <w:lang w:eastAsia="es-AR"/>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803F" w14:textId="77777777" w:rsidR="00656E62" w:rsidRPr="00701F32" w:rsidRDefault="00CC090B" w:rsidP="00464C0F">
            <w:pPr>
              <w:jc w:val="center"/>
              <w:rPr>
                <w:rFonts w:ascii="Arial" w:hAnsi="Arial" w:cs="Arial"/>
                <w:b/>
                <w:bCs/>
                <w:color w:val="000000"/>
                <w:sz w:val="18"/>
                <w:lang w:eastAsia="es-AR"/>
              </w:rPr>
            </w:pPr>
            <w:r w:rsidRPr="00701F32">
              <w:rPr>
                <w:rFonts w:ascii="Arial" w:hAnsi="Arial" w:cs="Arial"/>
                <w:b/>
                <w:bCs/>
                <w:color w:val="000000"/>
                <w:sz w:val="18"/>
                <w:lang w:eastAsia="es-AR"/>
              </w:rPr>
              <w:t>30/0</w:t>
            </w:r>
            <w:r w:rsidR="00837BEB" w:rsidRPr="00701F32">
              <w:rPr>
                <w:rFonts w:ascii="Arial" w:hAnsi="Arial" w:cs="Arial"/>
                <w:b/>
                <w:bCs/>
                <w:color w:val="000000"/>
                <w:sz w:val="18"/>
                <w:lang w:eastAsia="es-AR"/>
              </w:rPr>
              <w:t>9</w:t>
            </w:r>
            <w:r w:rsidRPr="00701F32">
              <w:rPr>
                <w:rFonts w:ascii="Arial" w:hAnsi="Arial" w:cs="Arial"/>
                <w:b/>
                <w:bCs/>
                <w:color w:val="000000"/>
                <w:sz w:val="18"/>
                <w:lang w:eastAsia="es-AR"/>
              </w:rPr>
              <w:t>/2018</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2FD8CABA" w14:textId="77777777" w:rsidR="00656E62" w:rsidRPr="00701F32" w:rsidRDefault="00CC090B" w:rsidP="00464C0F">
            <w:pPr>
              <w:jc w:val="center"/>
              <w:rPr>
                <w:rFonts w:ascii="Arial" w:hAnsi="Arial" w:cs="Arial"/>
                <w:b/>
                <w:bCs/>
                <w:color w:val="000000"/>
                <w:sz w:val="18"/>
                <w:lang w:eastAsia="es-AR"/>
              </w:rPr>
            </w:pPr>
            <w:r w:rsidRPr="00701F32">
              <w:rPr>
                <w:rFonts w:ascii="Arial" w:hAnsi="Arial" w:cs="Arial"/>
                <w:b/>
                <w:bCs/>
                <w:color w:val="000000"/>
                <w:sz w:val="18"/>
                <w:lang w:eastAsia="es-AR"/>
              </w:rPr>
              <w:t>30/0</w:t>
            </w:r>
            <w:r w:rsidR="00837BEB" w:rsidRPr="00701F32">
              <w:rPr>
                <w:rFonts w:ascii="Arial" w:hAnsi="Arial" w:cs="Arial"/>
                <w:b/>
                <w:bCs/>
                <w:color w:val="000000"/>
                <w:sz w:val="18"/>
                <w:lang w:eastAsia="es-AR"/>
              </w:rPr>
              <w:t>9</w:t>
            </w:r>
            <w:r w:rsidRPr="00701F32">
              <w:rPr>
                <w:rFonts w:ascii="Arial" w:hAnsi="Arial" w:cs="Arial"/>
                <w:b/>
                <w:bCs/>
                <w:color w:val="000000"/>
                <w:sz w:val="18"/>
                <w:lang w:eastAsia="es-AR"/>
              </w:rPr>
              <w:t>/2017</w:t>
            </w:r>
          </w:p>
        </w:tc>
      </w:tr>
      <w:tr w:rsidR="00656E62" w:rsidRPr="00701F32" w14:paraId="625C3B46" w14:textId="77777777" w:rsidTr="00831174">
        <w:trPr>
          <w:trHeight w:val="266"/>
        </w:trPr>
        <w:tc>
          <w:tcPr>
            <w:tcW w:w="5094" w:type="dxa"/>
            <w:tcBorders>
              <w:top w:val="single" w:sz="4" w:space="0" w:color="auto"/>
              <w:left w:val="single" w:sz="4" w:space="0" w:color="auto"/>
              <w:bottom w:val="nil"/>
              <w:right w:val="nil"/>
            </w:tcBorders>
            <w:shd w:val="clear" w:color="auto" w:fill="auto"/>
            <w:noWrap/>
            <w:vAlign w:val="bottom"/>
            <w:hideMark/>
          </w:tcPr>
          <w:p w14:paraId="577D0AE9" w14:textId="77777777" w:rsidR="00656E62" w:rsidRPr="00701F32" w:rsidRDefault="00656E62" w:rsidP="0086282C">
            <w:pPr>
              <w:jc w:val="both"/>
              <w:rPr>
                <w:rFonts w:ascii="Arial" w:hAnsi="Arial" w:cs="Arial"/>
                <w:color w:val="000000"/>
                <w:sz w:val="18"/>
                <w:lang w:eastAsia="es-AR"/>
              </w:rPr>
            </w:pPr>
            <w:r w:rsidRPr="00701F32">
              <w:rPr>
                <w:rFonts w:ascii="Arial" w:hAnsi="Arial" w:cs="Arial"/>
                <w:color w:val="000000"/>
                <w:sz w:val="18"/>
                <w:lang w:eastAsia="es-AR"/>
              </w:rPr>
              <w:t>Quebranto / Impuesto ganancias corriente</w:t>
            </w:r>
          </w:p>
        </w:tc>
        <w:tc>
          <w:tcPr>
            <w:tcW w:w="1799" w:type="dxa"/>
            <w:tcBorders>
              <w:top w:val="single" w:sz="4" w:space="0" w:color="auto"/>
              <w:left w:val="single" w:sz="4" w:space="0" w:color="auto"/>
              <w:bottom w:val="nil"/>
              <w:right w:val="single" w:sz="4" w:space="0" w:color="auto"/>
            </w:tcBorders>
            <w:shd w:val="clear" w:color="auto" w:fill="auto"/>
            <w:noWrap/>
            <w:vAlign w:val="bottom"/>
            <w:hideMark/>
          </w:tcPr>
          <w:p w14:paraId="7318813B" w14:textId="14504B12" w:rsidR="00656E62" w:rsidRPr="00701F32" w:rsidRDefault="00274DF6" w:rsidP="00941382">
            <w:pPr>
              <w:jc w:val="right"/>
              <w:rPr>
                <w:rFonts w:ascii="Arial" w:hAnsi="Arial" w:cs="Arial"/>
                <w:color w:val="000000"/>
                <w:sz w:val="18"/>
                <w:lang w:eastAsia="es-AR"/>
              </w:rPr>
            </w:pPr>
            <w:r w:rsidRPr="00701F32">
              <w:rPr>
                <w:rFonts w:ascii="Arial" w:hAnsi="Arial" w:cs="Arial"/>
                <w:color w:val="000000"/>
                <w:sz w:val="18"/>
                <w:lang w:eastAsia="es-AR"/>
              </w:rPr>
              <w:t>-21.124</w:t>
            </w:r>
          </w:p>
        </w:tc>
        <w:tc>
          <w:tcPr>
            <w:tcW w:w="1799" w:type="dxa"/>
            <w:tcBorders>
              <w:top w:val="single" w:sz="4" w:space="0" w:color="auto"/>
              <w:left w:val="nil"/>
              <w:bottom w:val="nil"/>
              <w:right w:val="single" w:sz="4" w:space="0" w:color="auto"/>
            </w:tcBorders>
            <w:shd w:val="clear" w:color="auto" w:fill="auto"/>
            <w:noWrap/>
            <w:vAlign w:val="bottom"/>
            <w:hideMark/>
          </w:tcPr>
          <w:p w14:paraId="0E22A68E" w14:textId="675CA576" w:rsidR="00656E62" w:rsidRPr="00701F32" w:rsidRDefault="00274DF6" w:rsidP="00941382">
            <w:pPr>
              <w:jc w:val="right"/>
              <w:rPr>
                <w:rFonts w:ascii="Arial" w:hAnsi="Arial" w:cs="Arial"/>
                <w:color w:val="000000"/>
                <w:sz w:val="18"/>
                <w:lang w:eastAsia="es-AR"/>
              </w:rPr>
            </w:pPr>
            <w:r w:rsidRPr="00701F32">
              <w:rPr>
                <w:rFonts w:ascii="Arial" w:hAnsi="Arial" w:cs="Arial"/>
                <w:color w:val="000000"/>
                <w:sz w:val="18"/>
                <w:lang w:eastAsia="es-AR"/>
              </w:rPr>
              <w:t>370.175</w:t>
            </w:r>
          </w:p>
        </w:tc>
      </w:tr>
      <w:tr w:rsidR="00656E62" w:rsidRPr="00701F32" w14:paraId="757698DD" w14:textId="77777777" w:rsidTr="00831174">
        <w:trPr>
          <w:trHeight w:val="266"/>
        </w:trPr>
        <w:tc>
          <w:tcPr>
            <w:tcW w:w="5094" w:type="dxa"/>
            <w:tcBorders>
              <w:top w:val="nil"/>
              <w:left w:val="single" w:sz="4" w:space="0" w:color="auto"/>
              <w:bottom w:val="nil"/>
              <w:right w:val="nil"/>
            </w:tcBorders>
            <w:shd w:val="clear" w:color="auto" w:fill="auto"/>
            <w:noWrap/>
            <w:vAlign w:val="bottom"/>
            <w:hideMark/>
          </w:tcPr>
          <w:p w14:paraId="075AD449" w14:textId="77777777" w:rsidR="00656E62" w:rsidRPr="00701F32" w:rsidRDefault="00656E62" w:rsidP="00464C0F">
            <w:pPr>
              <w:jc w:val="both"/>
              <w:rPr>
                <w:rFonts w:ascii="Arial" w:hAnsi="Arial" w:cs="Arial"/>
                <w:color w:val="000000"/>
                <w:sz w:val="18"/>
                <w:lang w:eastAsia="es-AR"/>
              </w:rPr>
            </w:pPr>
            <w:r w:rsidRPr="00701F32">
              <w:rPr>
                <w:rFonts w:ascii="Arial" w:hAnsi="Arial" w:cs="Arial"/>
                <w:color w:val="000000"/>
                <w:sz w:val="18"/>
                <w:lang w:eastAsia="es-AR"/>
              </w:rPr>
              <w:t>Impuesto - método diferido</w:t>
            </w:r>
          </w:p>
        </w:tc>
        <w:tc>
          <w:tcPr>
            <w:tcW w:w="1799" w:type="dxa"/>
            <w:tcBorders>
              <w:top w:val="nil"/>
              <w:left w:val="single" w:sz="4" w:space="0" w:color="auto"/>
              <w:bottom w:val="nil"/>
              <w:right w:val="single" w:sz="4" w:space="0" w:color="auto"/>
            </w:tcBorders>
            <w:shd w:val="clear" w:color="auto" w:fill="auto"/>
            <w:noWrap/>
            <w:vAlign w:val="bottom"/>
            <w:hideMark/>
          </w:tcPr>
          <w:p w14:paraId="428E9E8E" w14:textId="2B088C5C" w:rsidR="00656E62" w:rsidRPr="00701F32" w:rsidRDefault="00274DF6" w:rsidP="00941382">
            <w:pPr>
              <w:jc w:val="right"/>
              <w:rPr>
                <w:rFonts w:ascii="Arial" w:hAnsi="Arial" w:cs="Arial"/>
                <w:color w:val="000000"/>
                <w:sz w:val="18"/>
                <w:lang w:val="es-ES_tradnl" w:eastAsia="es-AR"/>
              </w:rPr>
            </w:pPr>
            <w:r w:rsidRPr="00701F32">
              <w:rPr>
                <w:rFonts w:ascii="Arial" w:hAnsi="Arial" w:cs="Arial"/>
                <w:color w:val="000000"/>
                <w:sz w:val="18"/>
                <w:lang w:eastAsia="es-AR"/>
              </w:rPr>
              <w:t>353.277</w:t>
            </w:r>
          </w:p>
        </w:tc>
        <w:tc>
          <w:tcPr>
            <w:tcW w:w="1799" w:type="dxa"/>
            <w:tcBorders>
              <w:top w:val="nil"/>
              <w:left w:val="nil"/>
              <w:bottom w:val="nil"/>
              <w:right w:val="single" w:sz="4" w:space="0" w:color="auto"/>
            </w:tcBorders>
            <w:shd w:val="clear" w:color="auto" w:fill="auto"/>
            <w:noWrap/>
            <w:vAlign w:val="bottom"/>
            <w:hideMark/>
          </w:tcPr>
          <w:p w14:paraId="7465839A" w14:textId="19EE2C08" w:rsidR="00656E62" w:rsidRPr="00701F32" w:rsidRDefault="00274DF6">
            <w:pPr>
              <w:jc w:val="right"/>
              <w:rPr>
                <w:rFonts w:ascii="Arial" w:hAnsi="Arial" w:cs="Arial"/>
                <w:color w:val="000000"/>
                <w:sz w:val="18"/>
                <w:lang w:eastAsia="es-AR"/>
              </w:rPr>
            </w:pPr>
            <w:r w:rsidRPr="00701F32">
              <w:rPr>
                <w:rFonts w:ascii="Arial" w:hAnsi="Arial" w:cs="Arial"/>
                <w:color w:val="000000"/>
                <w:sz w:val="18"/>
                <w:lang w:eastAsia="es-AR"/>
              </w:rPr>
              <w:t>-127.</w:t>
            </w:r>
            <w:r w:rsidR="00E67CF8" w:rsidRPr="00701F32">
              <w:rPr>
                <w:rFonts w:ascii="Arial" w:hAnsi="Arial" w:cs="Arial"/>
                <w:color w:val="000000"/>
                <w:sz w:val="18"/>
                <w:lang w:eastAsia="es-AR"/>
              </w:rPr>
              <w:t>486</w:t>
            </w:r>
          </w:p>
        </w:tc>
      </w:tr>
      <w:tr w:rsidR="00656E62" w:rsidRPr="00701F32" w14:paraId="6D17C6C7" w14:textId="77777777" w:rsidTr="00831174">
        <w:trPr>
          <w:trHeight w:val="266"/>
        </w:trPr>
        <w:tc>
          <w:tcPr>
            <w:tcW w:w="5094" w:type="dxa"/>
            <w:tcBorders>
              <w:top w:val="nil"/>
              <w:left w:val="single" w:sz="4" w:space="0" w:color="auto"/>
              <w:bottom w:val="nil"/>
              <w:right w:val="nil"/>
            </w:tcBorders>
            <w:shd w:val="clear" w:color="auto" w:fill="auto"/>
            <w:noWrap/>
            <w:vAlign w:val="bottom"/>
            <w:hideMark/>
          </w:tcPr>
          <w:p w14:paraId="61D3421B" w14:textId="77777777" w:rsidR="00656E62" w:rsidRPr="00701F32" w:rsidRDefault="00656E62" w:rsidP="00464C0F">
            <w:pPr>
              <w:jc w:val="both"/>
              <w:rPr>
                <w:rFonts w:ascii="Arial" w:hAnsi="Arial" w:cs="Arial"/>
                <w:b/>
                <w:bCs/>
                <w:color w:val="000000"/>
                <w:sz w:val="18"/>
                <w:lang w:eastAsia="es-AR"/>
              </w:rPr>
            </w:pPr>
            <w:r w:rsidRPr="00701F32">
              <w:rPr>
                <w:rFonts w:ascii="Arial" w:hAnsi="Arial" w:cs="Arial"/>
                <w:b/>
                <w:bCs/>
                <w:color w:val="000000"/>
                <w:sz w:val="18"/>
                <w:lang w:eastAsia="es-AR"/>
              </w:rPr>
              <w:t>Impuesto a las  Ganancias</w:t>
            </w:r>
          </w:p>
        </w:tc>
        <w:tc>
          <w:tcPr>
            <w:tcW w:w="1799" w:type="dxa"/>
            <w:tcBorders>
              <w:top w:val="nil"/>
              <w:left w:val="single" w:sz="4" w:space="0" w:color="auto"/>
              <w:bottom w:val="nil"/>
              <w:right w:val="single" w:sz="4" w:space="0" w:color="auto"/>
            </w:tcBorders>
            <w:shd w:val="clear" w:color="auto" w:fill="auto"/>
            <w:noWrap/>
            <w:vAlign w:val="bottom"/>
            <w:hideMark/>
          </w:tcPr>
          <w:p w14:paraId="009BEE56" w14:textId="73A0AF2D" w:rsidR="00656E62" w:rsidRPr="00701F32" w:rsidRDefault="00274DF6" w:rsidP="00941382">
            <w:pPr>
              <w:jc w:val="right"/>
              <w:rPr>
                <w:rFonts w:ascii="Arial" w:hAnsi="Arial" w:cs="Arial"/>
                <w:b/>
                <w:bCs/>
                <w:color w:val="000000"/>
                <w:sz w:val="18"/>
                <w:lang w:eastAsia="es-AR"/>
              </w:rPr>
            </w:pPr>
            <w:r w:rsidRPr="00701F32">
              <w:rPr>
                <w:rFonts w:ascii="Arial" w:hAnsi="Arial" w:cs="Arial"/>
                <w:b/>
                <w:bCs/>
                <w:color w:val="000000"/>
                <w:sz w:val="18"/>
                <w:lang w:eastAsia="es-AR"/>
              </w:rPr>
              <w:t>332.153</w:t>
            </w:r>
          </w:p>
        </w:tc>
        <w:tc>
          <w:tcPr>
            <w:tcW w:w="1799" w:type="dxa"/>
            <w:tcBorders>
              <w:top w:val="nil"/>
              <w:left w:val="nil"/>
              <w:bottom w:val="nil"/>
              <w:right w:val="single" w:sz="4" w:space="0" w:color="auto"/>
            </w:tcBorders>
            <w:shd w:val="clear" w:color="auto" w:fill="auto"/>
            <w:noWrap/>
            <w:vAlign w:val="bottom"/>
            <w:hideMark/>
          </w:tcPr>
          <w:p w14:paraId="79131BA0" w14:textId="611BEB72" w:rsidR="00656E62" w:rsidRPr="00701F32" w:rsidRDefault="00274DF6">
            <w:pPr>
              <w:jc w:val="right"/>
              <w:rPr>
                <w:rFonts w:ascii="Arial" w:hAnsi="Arial" w:cs="Arial"/>
                <w:b/>
                <w:bCs/>
                <w:color w:val="000000"/>
                <w:sz w:val="18"/>
                <w:lang w:eastAsia="es-AR"/>
              </w:rPr>
            </w:pPr>
            <w:r w:rsidRPr="00701F32">
              <w:rPr>
                <w:rFonts w:ascii="Arial" w:hAnsi="Arial" w:cs="Arial"/>
                <w:b/>
                <w:bCs/>
                <w:color w:val="000000"/>
                <w:sz w:val="18"/>
                <w:lang w:eastAsia="es-AR"/>
              </w:rPr>
              <w:t>242.</w:t>
            </w:r>
            <w:r w:rsidR="00E67CF8" w:rsidRPr="00701F32">
              <w:rPr>
                <w:rFonts w:ascii="Arial" w:hAnsi="Arial" w:cs="Arial"/>
                <w:b/>
                <w:bCs/>
                <w:color w:val="000000"/>
                <w:sz w:val="18"/>
                <w:lang w:eastAsia="es-AR"/>
              </w:rPr>
              <w:t>689</w:t>
            </w:r>
          </w:p>
        </w:tc>
      </w:tr>
      <w:tr w:rsidR="00656E62" w:rsidRPr="00701F32" w14:paraId="035ED70E" w14:textId="77777777" w:rsidTr="00831174">
        <w:trPr>
          <w:trHeight w:val="266"/>
        </w:trPr>
        <w:tc>
          <w:tcPr>
            <w:tcW w:w="5094" w:type="dxa"/>
            <w:tcBorders>
              <w:top w:val="single" w:sz="4" w:space="0" w:color="auto"/>
              <w:left w:val="single" w:sz="4" w:space="0" w:color="auto"/>
              <w:bottom w:val="single" w:sz="4" w:space="0" w:color="auto"/>
              <w:right w:val="nil"/>
            </w:tcBorders>
            <w:shd w:val="clear" w:color="auto" w:fill="auto"/>
            <w:noWrap/>
            <w:vAlign w:val="bottom"/>
            <w:hideMark/>
          </w:tcPr>
          <w:p w14:paraId="4431BD33" w14:textId="77777777" w:rsidR="00656E62" w:rsidRPr="00701F32" w:rsidRDefault="00656E62" w:rsidP="00464C0F">
            <w:pPr>
              <w:jc w:val="both"/>
              <w:rPr>
                <w:rFonts w:ascii="Arial" w:hAnsi="Arial" w:cs="Arial"/>
                <w:b/>
                <w:bCs/>
                <w:color w:val="000000"/>
                <w:sz w:val="18"/>
                <w:lang w:eastAsia="es-AR"/>
              </w:rPr>
            </w:pPr>
            <w:r w:rsidRPr="00701F32">
              <w:rPr>
                <w:rFonts w:ascii="Arial" w:hAnsi="Arial" w:cs="Arial"/>
                <w:b/>
                <w:bCs/>
                <w:color w:val="000000"/>
                <w:sz w:val="18"/>
                <w:lang w:eastAsia="es-AR"/>
              </w:rPr>
              <w:t>Subtotal</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1F93" w14:textId="5782FDA4" w:rsidR="00656E62" w:rsidRPr="00701F32" w:rsidRDefault="00274DF6" w:rsidP="00941382">
            <w:pPr>
              <w:jc w:val="right"/>
              <w:rPr>
                <w:rFonts w:ascii="Arial" w:hAnsi="Arial" w:cs="Arial"/>
                <w:b/>
                <w:bCs/>
                <w:color w:val="000000"/>
                <w:sz w:val="18"/>
                <w:lang w:eastAsia="es-AR"/>
              </w:rPr>
            </w:pPr>
            <w:r w:rsidRPr="00701F32">
              <w:rPr>
                <w:rFonts w:ascii="Arial" w:hAnsi="Arial" w:cs="Arial"/>
                <w:b/>
                <w:bCs/>
                <w:color w:val="000000"/>
                <w:sz w:val="18"/>
                <w:lang w:eastAsia="es-AR"/>
              </w:rPr>
              <w:t>332.153</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41AC2045" w14:textId="07246BA1" w:rsidR="00656E62" w:rsidRPr="00701F32" w:rsidRDefault="00274DF6">
            <w:pPr>
              <w:jc w:val="right"/>
              <w:rPr>
                <w:rFonts w:ascii="Arial" w:hAnsi="Arial" w:cs="Arial"/>
                <w:b/>
                <w:bCs/>
                <w:color w:val="000000"/>
                <w:sz w:val="18"/>
                <w:lang w:eastAsia="es-AR"/>
              </w:rPr>
            </w:pPr>
            <w:r w:rsidRPr="00701F32">
              <w:rPr>
                <w:rFonts w:ascii="Arial" w:hAnsi="Arial" w:cs="Arial"/>
                <w:b/>
                <w:bCs/>
                <w:color w:val="000000"/>
                <w:sz w:val="18"/>
                <w:lang w:eastAsia="es-AR"/>
              </w:rPr>
              <w:t>242.</w:t>
            </w:r>
            <w:r w:rsidR="00E67CF8" w:rsidRPr="00701F32">
              <w:rPr>
                <w:rFonts w:ascii="Arial" w:hAnsi="Arial" w:cs="Arial"/>
                <w:b/>
                <w:bCs/>
                <w:color w:val="000000"/>
                <w:sz w:val="18"/>
                <w:lang w:eastAsia="es-AR"/>
              </w:rPr>
              <w:t>689</w:t>
            </w:r>
          </w:p>
        </w:tc>
      </w:tr>
      <w:tr w:rsidR="00656E62" w:rsidRPr="00701F32" w14:paraId="774F305C" w14:textId="77777777" w:rsidTr="00831174">
        <w:trPr>
          <w:trHeight w:val="266"/>
        </w:trPr>
        <w:tc>
          <w:tcPr>
            <w:tcW w:w="5094" w:type="dxa"/>
            <w:tcBorders>
              <w:top w:val="nil"/>
              <w:left w:val="single" w:sz="4" w:space="0" w:color="auto"/>
              <w:bottom w:val="nil"/>
              <w:right w:val="nil"/>
            </w:tcBorders>
            <w:shd w:val="clear" w:color="auto" w:fill="auto"/>
            <w:noWrap/>
            <w:vAlign w:val="bottom"/>
            <w:hideMark/>
          </w:tcPr>
          <w:p w14:paraId="686CDB59" w14:textId="77777777" w:rsidR="00656E62" w:rsidRPr="00701F32" w:rsidRDefault="00656E62" w:rsidP="00464C0F">
            <w:pPr>
              <w:jc w:val="both"/>
              <w:rPr>
                <w:rFonts w:ascii="Arial" w:hAnsi="Arial" w:cs="Arial"/>
                <w:color w:val="000000"/>
                <w:sz w:val="18"/>
                <w:lang w:eastAsia="es-AR"/>
              </w:rPr>
            </w:pPr>
            <w:r w:rsidRPr="00701F32">
              <w:rPr>
                <w:rFonts w:ascii="Arial" w:hAnsi="Arial" w:cs="Arial"/>
                <w:color w:val="000000"/>
                <w:sz w:val="18"/>
                <w:lang w:eastAsia="es-AR"/>
              </w:rPr>
              <w:t>Cargo por impuesto diferido reconocido en el resultado del período</w:t>
            </w:r>
          </w:p>
        </w:tc>
        <w:tc>
          <w:tcPr>
            <w:tcW w:w="1799" w:type="dxa"/>
            <w:tcBorders>
              <w:top w:val="nil"/>
              <w:left w:val="single" w:sz="4" w:space="0" w:color="auto"/>
              <w:bottom w:val="nil"/>
              <w:right w:val="single" w:sz="4" w:space="0" w:color="auto"/>
            </w:tcBorders>
            <w:shd w:val="clear" w:color="auto" w:fill="auto"/>
            <w:noWrap/>
            <w:vAlign w:val="bottom"/>
            <w:hideMark/>
          </w:tcPr>
          <w:p w14:paraId="3327C611" w14:textId="23BEFAD3" w:rsidR="00656E62" w:rsidRPr="00701F32" w:rsidRDefault="00274DF6" w:rsidP="00941382">
            <w:pPr>
              <w:jc w:val="right"/>
              <w:rPr>
                <w:rFonts w:ascii="Arial" w:hAnsi="Arial" w:cs="Arial"/>
                <w:color w:val="000000"/>
                <w:sz w:val="18"/>
                <w:lang w:val="es-ES_tradnl" w:eastAsia="es-AR"/>
              </w:rPr>
            </w:pPr>
            <w:r w:rsidRPr="00701F32">
              <w:rPr>
                <w:rFonts w:ascii="Arial" w:hAnsi="Arial" w:cs="Arial"/>
                <w:color w:val="000000"/>
                <w:sz w:val="18"/>
                <w:lang w:eastAsia="es-AR"/>
              </w:rPr>
              <w:t>332.153</w:t>
            </w:r>
          </w:p>
        </w:tc>
        <w:tc>
          <w:tcPr>
            <w:tcW w:w="1799" w:type="dxa"/>
            <w:tcBorders>
              <w:top w:val="nil"/>
              <w:left w:val="nil"/>
              <w:bottom w:val="nil"/>
              <w:right w:val="single" w:sz="4" w:space="0" w:color="auto"/>
            </w:tcBorders>
            <w:shd w:val="clear" w:color="auto" w:fill="auto"/>
            <w:noWrap/>
            <w:vAlign w:val="bottom"/>
            <w:hideMark/>
          </w:tcPr>
          <w:p w14:paraId="17E640C3" w14:textId="1B41B298" w:rsidR="00656E62" w:rsidRPr="00701F32" w:rsidRDefault="00274DF6">
            <w:pPr>
              <w:jc w:val="right"/>
              <w:rPr>
                <w:rFonts w:ascii="Arial" w:hAnsi="Arial" w:cs="Arial"/>
                <w:color w:val="000000"/>
                <w:sz w:val="18"/>
                <w:lang w:eastAsia="es-AR"/>
              </w:rPr>
            </w:pPr>
            <w:r w:rsidRPr="00701F32">
              <w:rPr>
                <w:rFonts w:ascii="Arial" w:hAnsi="Arial" w:cs="Arial"/>
                <w:color w:val="000000"/>
                <w:sz w:val="18"/>
                <w:lang w:eastAsia="es-AR"/>
              </w:rPr>
              <w:t>242.</w:t>
            </w:r>
            <w:r w:rsidR="00E67CF8" w:rsidRPr="00701F32">
              <w:rPr>
                <w:rFonts w:ascii="Arial" w:hAnsi="Arial" w:cs="Arial"/>
                <w:color w:val="000000"/>
                <w:sz w:val="18"/>
                <w:lang w:eastAsia="es-AR"/>
              </w:rPr>
              <w:t>689</w:t>
            </w:r>
          </w:p>
        </w:tc>
      </w:tr>
      <w:tr w:rsidR="00656E62" w:rsidRPr="00701F32" w14:paraId="135981C1" w14:textId="77777777" w:rsidTr="00831174">
        <w:trPr>
          <w:trHeight w:val="266"/>
        </w:trPr>
        <w:tc>
          <w:tcPr>
            <w:tcW w:w="5094" w:type="dxa"/>
            <w:tcBorders>
              <w:top w:val="nil"/>
              <w:left w:val="single" w:sz="4" w:space="0" w:color="auto"/>
              <w:bottom w:val="nil"/>
              <w:right w:val="nil"/>
            </w:tcBorders>
            <w:shd w:val="clear" w:color="auto" w:fill="auto"/>
            <w:noWrap/>
            <w:vAlign w:val="bottom"/>
            <w:hideMark/>
          </w:tcPr>
          <w:p w14:paraId="33FF2A1D" w14:textId="77777777" w:rsidR="00656E62" w:rsidRPr="00701F32" w:rsidRDefault="00656E62" w:rsidP="00464C0F">
            <w:pPr>
              <w:jc w:val="both"/>
              <w:rPr>
                <w:rFonts w:ascii="Arial" w:hAnsi="Arial" w:cs="Arial"/>
                <w:color w:val="000000"/>
                <w:sz w:val="18"/>
                <w:lang w:eastAsia="es-AR"/>
              </w:rPr>
            </w:pPr>
            <w:r w:rsidRPr="00701F32">
              <w:rPr>
                <w:rFonts w:ascii="Arial" w:hAnsi="Arial" w:cs="Arial"/>
                <w:color w:val="000000"/>
                <w:sz w:val="18"/>
                <w:lang w:eastAsia="es-AR"/>
              </w:rPr>
              <w:t>Cargo por impuesto diferido reconocido en el ORI</w:t>
            </w:r>
          </w:p>
        </w:tc>
        <w:tc>
          <w:tcPr>
            <w:tcW w:w="1799" w:type="dxa"/>
            <w:tcBorders>
              <w:top w:val="nil"/>
              <w:left w:val="single" w:sz="4" w:space="0" w:color="auto"/>
              <w:bottom w:val="nil"/>
              <w:right w:val="single" w:sz="4" w:space="0" w:color="auto"/>
            </w:tcBorders>
            <w:shd w:val="clear" w:color="auto" w:fill="auto"/>
            <w:noWrap/>
            <w:vAlign w:val="bottom"/>
            <w:hideMark/>
          </w:tcPr>
          <w:p w14:paraId="5EFF7B91" w14:textId="29707763" w:rsidR="00656E62" w:rsidRPr="00701F32" w:rsidRDefault="00274DF6" w:rsidP="00941382">
            <w:pPr>
              <w:jc w:val="right"/>
              <w:rPr>
                <w:rFonts w:ascii="Arial" w:hAnsi="Arial" w:cs="Arial"/>
                <w:color w:val="000000"/>
                <w:sz w:val="18"/>
                <w:lang w:eastAsia="es-AR"/>
              </w:rPr>
            </w:pPr>
            <w:r w:rsidRPr="00701F32">
              <w:rPr>
                <w:rFonts w:ascii="Arial" w:hAnsi="Arial" w:cs="Arial"/>
                <w:color w:val="000000"/>
                <w:sz w:val="18"/>
                <w:lang w:eastAsia="es-AR"/>
              </w:rPr>
              <w:t>57.137</w:t>
            </w:r>
          </w:p>
        </w:tc>
        <w:tc>
          <w:tcPr>
            <w:tcW w:w="1799" w:type="dxa"/>
            <w:tcBorders>
              <w:top w:val="nil"/>
              <w:left w:val="nil"/>
              <w:bottom w:val="nil"/>
              <w:right w:val="single" w:sz="4" w:space="0" w:color="auto"/>
            </w:tcBorders>
            <w:shd w:val="clear" w:color="auto" w:fill="auto"/>
            <w:noWrap/>
            <w:vAlign w:val="bottom"/>
            <w:hideMark/>
          </w:tcPr>
          <w:p w14:paraId="0A344C23" w14:textId="68124CE3" w:rsidR="00656E62" w:rsidRPr="00701F32" w:rsidRDefault="00330F2E" w:rsidP="00941382">
            <w:pPr>
              <w:jc w:val="right"/>
              <w:rPr>
                <w:rFonts w:ascii="Arial" w:hAnsi="Arial" w:cs="Arial"/>
                <w:color w:val="000000"/>
                <w:sz w:val="18"/>
                <w:lang w:eastAsia="es-AR"/>
              </w:rPr>
            </w:pPr>
            <w:r w:rsidRPr="00701F32">
              <w:rPr>
                <w:rFonts w:ascii="Arial" w:hAnsi="Arial" w:cs="Arial"/>
                <w:color w:val="000000"/>
                <w:sz w:val="18"/>
                <w:lang w:eastAsia="es-AR"/>
              </w:rPr>
              <w:t>15.151</w:t>
            </w:r>
          </w:p>
        </w:tc>
      </w:tr>
      <w:tr w:rsidR="00656E62" w:rsidRPr="00701F32" w14:paraId="1EFE5452" w14:textId="77777777" w:rsidTr="00831174">
        <w:trPr>
          <w:trHeight w:val="266"/>
        </w:trPr>
        <w:tc>
          <w:tcPr>
            <w:tcW w:w="5094" w:type="dxa"/>
            <w:tcBorders>
              <w:top w:val="single" w:sz="4" w:space="0" w:color="auto"/>
              <w:left w:val="single" w:sz="4" w:space="0" w:color="auto"/>
              <w:bottom w:val="single" w:sz="4" w:space="0" w:color="auto"/>
              <w:right w:val="nil"/>
            </w:tcBorders>
            <w:shd w:val="clear" w:color="auto" w:fill="auto"/>
            <w:noWrap/>
            <w:vAlign w:val="bottom"/>
            <w:hideMark/>
          </w:tcPr>
          <w:p w14:paraId="6BD394F0" w14:textId="77777777" w:rsidR="00656E62" w:rsidRPr="00701F32" w:rsidRDefault="00656E62" w:rsidP="00464C0F">
            <w:pPr>
              <w:jc w:val="both"/>
              <w:rPr>
                <w:rFonts w:ascii="Arial" w:hAnsi="Arial" w:cs="Arial"/>
                <w:b/>
                <w:bCs/>
                <w:color w:val="000000"/>
                <w:sz w:val="18"/>
                <w:lang w:eastAsia="es-AR"/>
              </w:rPr>
            </w:pPr>
            <w:r w:rsidRPr="00701F32">
              <w:rPr>
                <w:rFonts w:ascii="Arial" w:hAnsi="Arial" w:cs="Arial"/>
                <w:b/>
                <w:bCs/>
                <w:color w:val="000000"/>
                <w:sz w:val="18"/>
                <w:lang w:eastAsia="es-AR"/>
              </w:rPr>
              <w:t>Total cargo Impuesto a las ganancias</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5B47F" w14:textId="61BCD842" w:rsidR="00656E62" w:rsidRPr="00701F32" w:rsidRDefault="00274DF6" w:rsidP="00941382">
            <w:pPr>
              <w:jc w:val="right"/>
              <w:rPr>
                <w:rFonts w:ascii="Arial" w:hAnsi="Arial" w:cs="Arial"/>
                <w:b/>
                <w:bCs/>
                <w:color w:val="000000"/>
                <w:sz w:val="18"/>
                <w:lang w:val="es-ES_tradnl" w:eastAsia="es-AR"/>
              </w:rPr>
            </w:pPr>
            <w:r w:rsidRPr="00701F32">
              <w:rPr>
                <w:rFonts w:ascii="Arial" w:hAnsi="Arial" w:cs="Arial"/>
                <w:b/>
                <w:bCs/>
                <w:color w:val="000000"/>
                <w:sz w:val="18"/>
                <w:lang w:eastAsia="es-AR"/>
              </w:rPr>
              <w:t>389.290</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14:paraId="08EA48FA" w14:textId="6F735A5A" w:rsidR="00656E62" w:rsidRPr="00701F32" w:rsidRDefault="00274DF6">
            <w:pPr>
              <w:jc w:val="right"/>
              <w:rPr>
                <w:rFonts w:ascii="Arial" w:hAnsi="Arial" w:cs="Arial"/>
                <w:b/>
                <w:color w:val="000000"/>
                <w:sz w:val="18"/>
                <w:lang w:val="es-ES_tradnl" w:eastAsia="es-AR"/>
              </w:rPr>
            </w:pPr>
            <w:r w:rsidRPr="00701F32">
              <w:rPr>
                <w:rFonts w:ascii="Arial" w:hAnsi="Arial" w:cs="Arial"/>
                <w:b/>
                <w:color w:val="000000"/>
                <w:sz w:val="18"/>
                <w:lang w:eastAsia="es-AR"/>
              </w:rPr>
              <w:t>257.</w:t>
            </w:r>
            <w:r w:rsidR="00924BD6" w:rsidRPr="00701F32">
              <w:rPr>
                <w:rFonts w:ascii="Arial" w:hAnsi="Arial" w:cs="Arial"/>
                <w:b/>
                <w:color w:val="000000"/>
                <w:sz w:val="18"/>
                <w:lang w:eastAsia="es-AR"/>
              </w:rPr>
              <w:t>84</w:t>
            </w:r>
            <w:r w:rsidR="00E67CF8" w:rsidRPr="00701F32">
              <w:rPr>
                <w:rFonts w:ascii="Arial" w:hAnsi="Arial" w:cs="Arial"/>
                <w:b/>
                <w:color w:val="000000"/>
                <w:sz w:val="18"/>
                <w:lang w:eastAsia="es-AR"/>
              </w:rPr>
              <w:t>0</w:t>
            </w:r>
          </w:p>
        </w:tc>
      </w:tr>
    </w:tbl>
    <w:p w14:paraId="1DF59BCB" w14:textId="77777777" w:rsidR="00CC090B" w:rsidRPr="00701F32" w:rsidRDefault="00CC090B" w:rsidP="00656E62">
      <w:pPr>
        <w:spacing w:after="120"/>
        <w:jc w:val="both"/>
        <w:rPr>
          <w:rFonts w:ascii="Arial" w:eastAsia="SimSun" w:hAnsi="Arial" w:cs="Arial"/>
          <w:sz w:val="20"/>
          <w:lang w:eastAsia="zh-CN"/>
        </w:rPr>
      </w:pPr>
    </w:p>
    <w:p w14:paraId="72667197" w14:textId="77777777" w:rsidR="00656E62" w:rsidRPr="00701F32" w:rsidRDefault="00656E62" w:rsidP="00656E62">
      <w:pPr>
        <w:spacing w:after="120"/>
        <w:jc w:val="both"/>
        <w:rPr>
          <w:rFonts w:ascii="Arial" w:eastAsia="SimSun" w:hAnsi="Arial" w:cs="Arial"/>
          <w:sz w:val="20"/>
          <w:lang w:eastAsia="zh-CN"/>
        </w:rPr>
      </w:pPr>
      <w:r w:rsidRPr="00701F32">
        <w:rPr>
          <w:rFonts w:ascii="Arial" w:eastAsia="SimSun" w:hAnsi="Arial" w:cs="Arial"/>
          <w:sz w:val="20"/>
          <w:lang w:eastAsia="zh-CN"/>
        </w:rPr>
        <w:t>A continuación, se presenta una conciliación entre el impuesto a las ganancias cargado a resultados al 3</w:t>
      </w:r>
      <w:r w:rsidR="004D2E39" w:rsidRPr="00701F32">
        <w:rPr>
          <w:rFonts w:ascii="Arial" w:eastAsia="SimSun" w:hAnsi="Arial" w:cs="Arial"/>
          <w:sz w:val="20"/>
          <w:lang w:eastAsia="zh-CN"/>
        </w:rPr>
        <w:t>0</w:t>
      </w:r>
      <w:r w:rsidRPr="00701F32">
        <w:rPr>
          <w:rFonts w:ascii="Arial" w:eastAsia="SimSun" w:hAnsi="Arial" w:cs="Arial"/>
          <w:sz w:val="20"/>
          <w:lang w:eastAsia="zh-CN"/>
        </w:rPr>
        <w:t xml:space="preserve"> de </w:t>
      </w:r>
      <w:r w:rsidR="00837BEB" w:rsidRPr="00701F32">
        <w:rPr>
          <w:rFonts w:ascii="Arial" w:eastAsia="SimSun" w:hAnsi="Arial" w:cs="Arial"/>
          <w:sz w:val="20"/>
          <w:lang w:eastAsia="zh-CN"/>
        </w:rPr>
        <w:t xml:space="preserve">septiembre </w:t>
      </w:r>
      <w:r w:rsidRPr="00701F32">
        <w:rPr>
          <w:rFonts w:ascii="Arial" w:eastAsia="SimSun" w:hAnsi="Arial" w:cs="Arial"/>
          <w:sz w:val="20"/>
          <w:lang w:eastAsia="zh-CN"/>
        </w:rPr>
        <w:t>de 2018 y 2017 y el que resultaría de aplicar la tasa del impuesto vigente sobre la utilidad contable:</w:t>
      </w:r>
    </w:p>
    <w:tbl>
      <w:tblPr>
        <w:tblW w:w="8734" w:type="dxa"/>
        <w:tblInd w:w="-5" w:type="dxa"/>
        <w:tblCellMar>
          <w:left w:w="70" w:type="dxa"/>
          <w:right w:w="70" w:type="dxa"/>
        </w:tblCellMar>
        <w:tblLook w:val="04A0" w:firstRow="1" w:lastRow="0" w:firstColumn="1" w:lastColumn="0" w:noHBand="0" w:noVBand="1"/>
      </w:tblPr>
      <w:tblGrid>
        <w:gridCol w:w="5290"/>
        <w:gridCol w:w="1722"/>
        <w:gridCol w:w="1722"/>
      </w:tblGrid>
      <w:tr w:rsidR="00656E62" w:rsidRPr="00701F32" w14:paraId="10797FBB" w14:textId="77777777" w:rsidTr="00E311C9">
        <w:trPr>
          <w:trHeight w:val="427"/>
          <w:tblHeader/>
        </w:trPr>
        <w:tc>
          <w:tcPr>
            <w:tcW w:w="5290" w:type="dxa"/>
            <w:tcBorders>
              <w:top w:val="single" w:sz="4" w:space="0" w:color="auto"/>
              <w:left w:val="single" w:sz="4" w:space="0" w:color="auto"/>
              <w:bottom w:val="single" w:sz="4" w:space="0" w:color="auto"/>
              <w:right w:val="nil"/>
            </w:tcBorders>
            <w:shd w:val="clear" w:color="auto" w:fill="auto"/>
            <w:vAlign w:val="center"/>
            <w:hideMark/>
          </w:tcPr>
          <w:p w14:paraId="5F20AC8F" w14:textId="77777777" w:rsidR="00656E62" w:rsidRPr="00701F32" w:rsidRDefault="00656E62" w:rsidP="00464C0F">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8C9C9" w14:textId="77777777" w:rsidR="00656E62" w:rsidRPr="00701F32" w:rsidRDefault="00CC090B" w:rsidP="00464C0F">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30/0</w:t>
            </w:r>
            <w:r w:rsidR="00837BEB" w:rsidRPr="00701F32">
              <w:rPr>
                <w:rFonts w:ascii="Arial" w:hAnsi="Arial" w:cs="Arial"/>
                <w:b/>
                <w:bCs/>
                <w:color w:val="000000"/>
                <w:sz w:val="18"/>
                <w:szCs w:val="18"/>
                <w:lang w:eastAsia="es-AR"/>
              </w:rPr>
              <w:t>9</w:t>
            </w:r>
            <w:r w:rsidRPr="00701F32">
              <w:rPr>
                <w:rFonts w:ascii="Arial" w:hAnsi="Arial" w:cs="Arial"/>
                <w:b/>
                <w:bCs/>
                <w:color w:val="000000"/>
                <w:sz w:val="18"/>
                <w:szCs w:val="18"/>
                <w:lang w:eastAsia="es-AR"/>
              </w:rPr>
              <w:t>/2018</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14:paraId="31B1E3B6" w14:textId="77777777" w:rsidR="00656E62" w:rsidRPr="00701F32" w:rsidRDefault="00CC090B" w:rsidP="00464C0F">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30/0</w:t>
            </w:r>
            <w:r w:rsidR="00837BEB" w:rsidRPr="00701F32">
              <w:rPr>
                <w:rFonts w:ascii="Arial" w:hAnsi="Arial" w:cs="Arial"/>
                <w:b/>
                <w:bCs/>
                <w:color w:val="000000"/>
                <w:sz w:val="18"/>
                <w:szCs w:val="18"/>
                <w:lang w:eastAsia="es-AR"/>
              </w:rPr>
              <w:t>9</w:t>
            </w:r>
            <w:r w:rsidRPr="00701F32">
              <w:rPr>
                <w:rFonts w:ascii="Arial" w:hAnsi="Arial" w:cs="Arial"/>
                <w:b/>
                <w:bCs/>
                <w:color w:val="000000"/>
                <w:sz w:val="18"/>
                <w:szCs w:val="18"/>
                <w:lang w:eastAsia="es-AR"/>
              </w:rPr>
              <w:t>/2017</w:t>
            </w:r>
          </w:p>
        </w:tc>
      </w:tr>
      <w:tr w:rsidR="00656E62" w:rsidRPr="00701F32" w14:paraId="49B05354" w14:textId="77777777" w:rsidTr="00E311C9">
        <w:trPr>
          <w:trHeight w:val="285"/>
        </w:trPr>
        <w:tc>
          <w:tcPr>
            <w:tcW w:w="5290" w:type="dxa"/>
            <w:tcBorders>
              <w:top w:val="nil"/>
              <w:left w:val="single" w:sz="4" w:space="0" w:color="auto"/>
              <w:bottom w:val="nil"/>
              <w:right w:val="nil"/>
            </w:tcBorders>
            <w:shd w:val="clear" w:color="auto" w:fill="auto"/>
            <w:vAlign w:val="bottom"/>
            <w:hideMark/>
          </w:tcPr>
          <w:p w14:paraId="2025EEC5" w14:textId="77777777" w:rsidR="00656E62" w:rsidRPr="00701F32" w:rsidRDefault="00656E62" w:rsidP="00C23045">
            <w:pPr>
              <w:rPr>
                <w:rFonts w:ascii="Arial" w:hAnsi="Arial" w:cs="Arial"/>
                <w:color w:val="000000"/>
                <w:sz w:val="18"/>
                <w:szCs w:val="18"/>
                <w:lang w:eastAsia="es-AR"/>
              </w:rPr>
            </w:pPr>
            <w:r w:rsidRPr="00701F32">
              <w:rPr>
                <w:rFonts w:ascii="Arial" w:hAnsi="Arial" w:cs="Arial"/>
                <w:color w:val="000000"/>
                <w:sz w:val="18"/>
                <w:szCs w:val="18"/>
                <w:lang w:eastAsia="es-AR"/>
              </w:rPr>
              <w:t>Resultado del ejercicio antes de impuesto a las ganancias</w:t>
            </w:r>
          </w:p>
        </w:tc>
        <w:tc>
          <w:tcPr>
            <w:tcW w:w="1722" w:type="dxa"/>
            <w:tcBorders>
              <w:top w:val="nil"/>
              <w:left w:val="single" w:sz="4" w:space="0" w:color="auto"/>
              <w:bottom w:val="nil"/>
              <w:right w:val="single" w:sz="4" w:space="0" w:color="auto"/>
            </w:tcBorders>
            <w:shd w:val="clear" w:color="auto" w:fill="auto"/>
            <w:vAlign w:val="bottom"/>
            <w:hideMark/>
          </w:tcPr>
          <w:p w14:paraId="6A45BA21" w14:textId="54CE36DA"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1.465.507</w:t>
            </w:r>
          </w:p>
        </w:tc>
        <w:tc>
          <w:tcPr>
            <w:tcW w:w="1722" w:type="dxa"/>
            <w:tcBorders>
              <w:top w:val="nil"/>
              <w:left w:val="nil"/>
              <w:bottom w:val="nil"/>
              <w:right w:val="single" w:sz="4" w:space="0" w:color="auto"/>
            </w:tcBorders>
            <w:shd w:val="clear" w:color="auto" w:fill="auto"/>
            <w:vAlign w:val="bottom"/>
            <w:hideMark/>
          </w:tcPr>
          <w:p w14:paraId="10027788" w14:textId="061B35FF"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1.047.396</w:t>
            </w:r>
          </w:p>
        </w:tc>
      </w:tr>
      <w:tr w:rsidR="00656E62" w:rsidRPr="00701F32" w14:paraId="0790272F" w14:textId="77777777" w:rsidTr="00E311C9">
        <w:trPr>
          <w:trHeight w:val="385"/>
        </w:trPr>
        <w:tc>
          <w:tcPr>
            <w:tcW w:w="5290" w:type="dxa"/>
            <w:tcBorders>
              <w:top w:val="nil"/>
              <w:left w:val="single" w:sz="4" w:space="0" w:color="auto"/>
              <w:bottom w:val="nil"/>
              <w:right w:val="nil"/>
            </w:tcBorders>
            <w:shd w:val="clear" w:color="auto" w:fill="auto"/>
            <w:vAlign w:val="bottom"/>
            <w:hideMark/>
          </w:tcPr>
          <w:p w14:paraId="0C799CD4" w14:textId="77777777" w:rsidR="00656E62" w:rsidRPr="00701F32" w:rsidRDefault="00656E62" w:rsidP="00C23045">
            <w:pPr>
              <w:rPr>
                <w:rFonts w:ascii="Arial" w:hAnsi="Arial" w:cs="Arial"/>
                <w:color w:val="000000"/>
                <w:sz w:val="18"/>
                <w:szCs w:val="18"/>
                <w:lang w:eastAsia="es-AR"/>
              </w:rPr>
            </w:pPr>
            <w:r w:rsidRPr="00701F32">
              <w:rPr>
                <w:rFonts w:ascii="Arial" w:hAnsi="Arial" w:cs="Arial"/>
                <w:color w:val="000000"/>
                <w:sz w:val="18"/>
                <w:szCs w:val="18"/>
                <w:lang w:eastAsia="es-AR"/>
              </w:rPr>
              <w:t>Tasa del impuesto vigente</w:t>
            </w:r>
          </w:p>
        </w:tc>
        <w:tc>
          <w:tcPr>
            <w:tcW w:w="1722" w:type="dxa"/>
            <w:tcBorders>
              <w:top w:val="nil"/>
              <w:left w:val="single" w:sz="4" w:space="0" w:color="auto"/>
              <w:bottom w:val="nil"/>
              <w:right w:val="single" w:sz="4" w:space="0" w:color="auto"/>
            </w:tcBorders>
            <w:shd w:val="clear" w:color="auto" w:fill="auto"/>
            <w:vAlign w:val="bottom"/>
            <w:hideMark/>
          </w:tcPr>
          <w:p w14:paraId="3082264A" w14:textId="77777777" w:rsidR="00656E62" w:rsidRPr="00701F32" w:rsidRDefault="00656E62"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30%</w:t>
            </w:r>
          </w:p>
        </w:tc>
        <w:tc>
          <w:tcPr>
            <w:tcW w:w="1722" w:type="dxa"/>
            <w:tcBorders>
              <w:top w:val="nil"/>
              <w:left w:val="nil"/>
              <w:bottom w:val="nil"/>
              <w:right w:val="single" w:sz="4" w:space="0" w:color="auto"/>
            </w:tcBorders>
            <w:shd w:val="clear" w:color="auto" w:fill="auto"/>
            <w:vAlign w:val="bottom"/>
            <w:hideMark/>
          </w:tcPr>
          <w:p w14:paraId="0C03C458" w14:textId="77777777" w:rsidR="00656E62" w:rsidRPr="00701F32" w:rsidRDefault="00656E62"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35%</w:t>
            </w:r>
          </w:p>
        </w:tc>
      </w:tr>
      <w:tr w:rsidR="00656E62" w:rsidRPr="00701F32" w14:paraId="0D96FC43" w14:textId="77777777" w:rsidTr="00E311C9">
        <w:trPr>
          <w:trHeight w:val="314"/>
        </w:trPr>
        <w:tc>
          <w:tcPr>
            <w:tcW w:w="5290" w:type="dxa"/>
            <w:tcBorders>
              <w:top w:val="single" w:sz="4" w:space="0" w:color="auto"/>
              <w:left w:val="single" w:sz="4" w:space="0" w:color="auto"/>
              <w:bottom w:val="single" w:sz="4" w:space="0" w:color="auto"/>
              <w:right w:val="nil"/>
            </w:tcBorders>
            <w:shd w:val="clear" w:color="auto" w:fill="auto"/>
            <w:vAlign w:val="bottom"/>
            <w:hideMark/>
          </w:tcPr>
          <w:p w14:paraId="403BE6EE" w14:textId="77777777" w:rsidR="00656E62" w:rsidRPr="00701F32" w:rsidRDefault="00656E62" w:rsidP="00C23045">
            <w:pPr>
              <w:rPr>
                <w:rFonts w:ascii="Arial" w:hAnsi="Arial" w:cs="Arial"/>
                <w:color w:val="000000"/>
                <w:sz w:val="18"/>
                <w:szCs w:val="18"/>
                <w:lang w:eastAsia="es-AR"/>
              </w:rPr>
            </w:pPr>
            <w:r w:rsidRPr="00701F32">
              <w:rPr>
                <w:rFonts w:ascii="Arial" w:hAnsi="Arial" w:cs="Arial"/>
                <w:color w:val="000000"/>
                <w:sz w:val="18"/>
                <w:szCs w:val="18"/>
                <w:lang w:eastAsia="es-AR"/>
              </w:rPr>
              <w:t xml:space="preserve">Resultado del </w:t>
            </w:r>
            <w:r w:rsidR="002E6AB0" w:rsidRPr="00701F32">
              <w:rPr>
                <w:rFonts w:ascii="Arial" w:hAnsi="Arial" w:cs="Arial"/>
                <w:color w:val="000000"/>
                <w:sz w:val="18"/>
                <w:szCs w:val="18"/>
                <w:lang w:eastAsia="es-AR"/>
              </w:rPr>
              <w:t xml:space="preserve">período </w:t>
            </w:r>
            <w:r w:rsidRPr="00701F32">
              <w:rPr>
                <w:rFonts w:ascii="Arial" w:hAnsi="Arial" w:cs="Arial"/>
                <w:color w:val="000000"/>
                <w:sz w:val="18"/>
                <w:szCs w:val="18"/>
                <w:lang w:eastAsia="es-AR"/>
              </w:rPr>
              <w:t>a la tasa del impuesto</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6FC6C" w14:textId="5CF32138"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439.652</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6DDE8B68" w14:textId="764E5A46"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366.589</w:t>
            </w:r>
          </w:p>
        </w:tc>
      </w:tr>
      <w:tr w:rsidR="00656E62" w:rsidRPr="00701F32" w14:paraId="379484F1" w14:textId="77777777" w:rsidTr="00E311C9">
        <w:trPr>
          <w:trHeight w:val="285"/>
        </w:trPr>
        <w:tc>
          <w:tcPr>
            <w:tcW w:w="5290" w:type="dxa"/>
            <w:tcBorders>
              <w:top w:val="nil"/>
              <w:left w:val="single" w:sz="4" w:space="0" w:color="auto"/>
              <w:bottom w:val="nil"/>
              <w:right w:val="nil"/>
            </w:tcBorders>
            <w:shd w:val="clear" w:color="auto" w:fill="auto"/>
            <w:vAlign w:val="bottom"/>
            <w:hideMark/>
          </w:tcPr>
          <w:p w14:paraId="745843F8" w14:textId="77777777" w:rsidR="00656E62" w:rsidRPr="00701F32" w:rsidRDefault="00656E62" w:rsidP="00C23045">
            <w:pPr>
              <w:rPr>
                <w:rFonts w:ascii="Arial" w:hAnsi="Arial" w:cs="Arial"/>
                <w:b/>
                <w:bCs/>
                <w:color w:val="000000"/>
                <w:sz w:val="18"/>
                <w:szCs w:val="18"/>
                <w:lang w:eastAsia="es-AR"/>
              </w:rPr>
            </w:pPr>
            <w:r w:rsidRPr="00701F32">
              <w:rPr>
                <w:rFonts w:ascii="Arial" w:hAnsi="Arial" w:cs="Arial"/>
                <w:b/>
                <w:bCs/>
                <w:color w:val="000000"/>
                <w:sz w:val="18"/>
                <w:szCs w:val="18"/>
                <w:lang w:eastAsia="es-AR"/>
              </w:rPr>
              <w:t>Diferencias permanentes a la tasa del impuesto</w:t>
            </w:r>
          </w:p>
        </w:tc>
        <w:tc>
          <w:tcPr>
            <w:tcW w:w="1722" w:type="dxa"/>
            <w:tcBorders>
              <w:top w:val="nil"/>
              <w:left w:val="single" w:sz="4" w:space="0" w:color="auto"/>
              <w:bottom w:val="nil"/>
              <w:right w:val="single" w:sz="4" w:space="0" w:color="auto"/>
            </w:tcBorders>
            <w:shd w:val="clear" w:color="auto" w:fill="auto"/>
            <w:vAlign w:val="bottom"/>
            <w:hideMark/>
          </w:tcPr>
          <w:p w14:paraId="793472AF" w14:textId="36EA3614" w:rsidR="00656E62" w:rsidRPr="00701F32" w:rsidRDefault="00274DF6"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-107.499</w:t>
            </w:r>
          </w:p>
        </w:tc>
        <w:tc>
          <w:tcPr>
            <w:tcW w:w="1722" w:type="dxa"/>
            <w:tcBorders>
              <w:top w:val="nil"/>
              <w:left w:val="nil"/>
              <w:bottom w:val="nil"/>
              <w:right w:val="single" w:sz="4" w:space="0" w:color="auto"/>
            </w:tcBorders>
            <w:shd w:val="clear" w:color="auto" w:fill="auto"/>
            <w:vAlign w:val="bottom"/>
            <w:hideMark/>
          </w:tcPr>
          <w:p w14:paraId="6C208B7F" w14:textId="5229607A" w:rsidR="00656E62" w:rsidRPr="00701F32" w:rsidRDefault="00274DF6"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-123.900</w:t>
            </w:r>
          </w:p>
        </w:tc>
      </w:tr>
      <w:tr w:rsidR="00656E62" w:rsidRPr="00701F32" w14:paraId="309C321F" w14:textId="77777777" w:rsidTr="00E311C9">
        <w:trPr>
          <w:trHeight w:val="285"/>
        </w:trPr>
        <w:tc>
          <w:tcPr>
            <w:tcW w:w="5290" w:type="dxa"/>
            <w:tcBorders>
              <w:top w:val="single" w:sz="4" w:space="0" w:color="auto"/>
              <w:left w:val="single" w:sz="4" w:space="0" w:color="auto"/>
              <w:bottom w:val="single" w:sz="4" w:space="0" w:color="auto"/>
              <w:right w:val="nil"/>
            </w:tcBorders>
            <w:shd w:val="clear" w:color="auto" w:fill="auto"/>
            <w:vAlign w:val="bottom"/>
            <w:hideMark/>
          </w:tcPr>
          <w:p w14:paraId="57BCEA7D" w14:textId="77777777" w:rsidR="00656E62" w:rsidRPr="00701F32" w:rsidRDefault="00656E62" w:rsidP="00C23045">
            <w:pPr>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Total cargo por impuesto a las ganancias del </w:t>
            </w:r>
            <w:r w:rsidR="00EE0940" w:rsidRPr="00701F32">
              <w:rPr>
                <w:rFonts w:ascii="Arial" w:hAnsi="Arial" w:cs="Arial"/>
                <w:b/>
                <w:bCs/>
                <w:color w:val="000000"/>
                <w:sz w:val="18"/>
                <w:szCs w:val="18"/>
                <w:lang w:eastAsia="es-AR"/>
              </w:rPr>
              <w:t>período</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7CAE8E" w14:textId="1866FF8A"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332.153</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1B413BB4" w14:textId="42661518"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242.689</w:t>
            </w:r>
          </w:p>
        </w:tc>
      </w:tr>
      <w:tr w:rsidR="00656E62" w:rsidRPr="00701F32" w14:paraId="0A5CFD47" w14:textId="77777777" w:rsidTr="00E311C9">
        <w:trPr>
          <w:trHeight w:val="285"/>
        </w:trPr>
        <w:tc>
          <w:tcPr>
            <w:tcW w:w="5290" w:type="dxa"/>
            <w:tcBorders>
              <w:top w:val="nil"/>
              <w:left w:val="single" w:sz="4" w:space="0" w:color="auto"/>
              <w:bottom w:val="nil"/>
              <w:right w:val="nil"/>
            </w:tcBorders>
            <w:shd w:val="clear" w:color="auto" w:fill="auto"/>
            <w:vAlign w:val="bottom"/>
            <w:hideMark/>
          </w:tcPr>
          <w:p w14:paraId="733B9EE8" w14:textId="77777777" w:rsidR="00656E62" w:rsidRPr="00701F32" w:rsidRDefault="00656E62" w:rsidP="00C23045">
            <w:pPr>
              <w:rPr>
                <w:rFonts w:ascii="Arial" w:hAnsi="Arial" w:cs="Arial"/>
                <w:b/>
                <w:bCs/>
                <w:color w:val="000000"/>
                <w:sz w:val="18"/>
                <w:szCs w:val="18"/>
                <w:lang w:eastAsia="es-AR"/>
              </w:rPr>
            </w:pPr>
            <w:r w:rsidRPr="00701F32">
              <w:rPr>
                <w:rFonts w:ascii="Arial" w:hAnsi="Arial" w:cs="Arial"/>
                <w:b/>
                <w:bCs/>
                <w:color w:val="000000"/>
                <w:sz w:val="18"/>
                <w:szCs w:val="18"/>
                <w:lang w:eastAsia="es-AR"/>
              </w:rPr>
              <w:t>- Diferencias temporarias a la tasa del impuesto</w:t>
            </w:r>
          </w:p>
        </w:tc>
        <w:tc>
          <w:tcPr>
            <w:tcW w:w="1722" w:type="dxa"/>
            <w:tcBorders>
              <w:top w:val="nil"/>
              <w:left w:val="single" w:sz="4" w:space="0" w:color="auto"/>
              <w:bottom w:val="nil"/>
              <w:right w:val="single" w:sz="4" w:space="0" w:color="auto"/>
            </w:tcBorders>
            <w:shd w:val="clear" w:color="auto" w:fill="auto"/>
            <w:vAlign w:val="bottom"/>
            <w:hideMark/>
          </w:tcPr>
          <w:p w14:paraId="514C2DB4" w14:textId="614409E4" w:rsidR="00656E62" w:rsidRPr="00701F32" w:rsidRDefault="00274DF6"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-298.093</w:t>
            </w:r>
          </w:p>
        </w:tc>
        <w:tc>
          <w:tcPr>
            <w:tcW w:w="1722" w:type="dxa"/>
            <w:tcBorders>
              <w:top w:val="nil"/>
              <w:left w:val="nil"/>
              <w:bottom w:val="nil"/>
              <w:right w:val="single" w:sz="4" w:space="0" w:color="auto"/>
            </w:tcBorders>
            <w:shd w:val="clear" w:color="auto" w:fill="auto"/>
            <w:vAlign w:val="bottom"/>
            <w:hideMark/>
          </w:tcPr>
          <w:p w14:paraId="7282434E" w14:textId="0A3C574F" w:rsidR="00656E62" w:rsidRPr="00701F32" w:rsidRDefault="00274DF6"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127.486</w:t>
            </w:r>
          </w:p>
        </w:tc>
      </w:tr>
      <w:tr w:rsidR="00CC090B" w:rsidRPr="00701F32" w14:paraId="25155B4B" w14:textId="77777777" w:rsidTr="00E311C9">
        <w:trPr>
          <w:trHeight w:val="510"/>
        </w:trPr>
        <w:tc>
          <w:tcPr>
            <w:tcW w:w="5290" w:type="dxa"/>
            <w:tcBorders>
              <w:top w:val="nil"/>
              <w:left w:val="single" w:sz="4" w:space="0" w:color="auto"/>
              <w:bottom w:val="nil"/>
              <w:right w:val="nil"/>
            </w:tcBorders>
            <w:shd w:val="clear" w:color="auto" w:fill="auto"/>
            <w:vAlign w:val="bottom"/>
          </w:tcPr>
          <w:p w14:paraId="2C6D3CAC" w14:textId="77777777" w:rsidR="00CC090B" w:rsidRPr="00701F32" w:rsidRDefault="00CC090B" w:rsidP="00C23045">
            <w:pPr>
              <w:ind w:left="5" w:hanging="5"/>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Diferencia entre DDJJ y provisión del impuesto a las </w:t>
            </w:r>
            <w:r w:rsidR="00EE0940" w:rsidRPr="00701F32">
              <w:rPr>
                <w:rFonts w:ascii="Arial" w:hAnsi="Arial" w:cs="Arial"/>
                <w:b/>
                <w:bCs/>
                <w:color w:val="000000"/>
                <w:sz w:val="18"/>
                <w:szCs w:val="18"/>
                <w:lang w:eastAsia="es-AR"/>
              </w:rPr>
              <w:t xml:space="preserve">  </w:t>
            </w:r>
            <w:r w:rsidRPr="00701F32">
              <w:rPr>
                <w:rFonts w:ascii="Arial" w:hAnsi="Arial" w:cs="Arial"/>
                <w:b/>
                <w:bCs/>
                <w:color w:val="000000"/>
                <w:sz w:val="18"/>
                <w:szCs w:val="18"/>
                <w:lang w:eastAsia="es-AR"/>
              </w:rPr>
              <w:t>ganancias</w:t>
            </w:r>
          </w:p>
        </w:tc>
        <w:tc>
          <w:tcPr>
            <w:tcW w:w="1722" w:type="dxa"/>
            <w:tcBorders>
              <w:top w:val="nil"/>
              <w:left w:val="single" w:sz="4" w:space="0" w:color="auto"/>
              <w:bottom w:val="nil"/>
              <w:right w:val="single" w:sz="4" w:space="0" w:color="auto"/>
            </w:tcBorders>
            <w:shd w:val="clear" w:color="auto" w:fill="auto"/>
            <w:vAlign w:val="bottom"/>
          </w:tcPr>
          <w:p w14:paraId="75BD6EF1" w14:textId="77777777" w:rsidR="00CC090B" w:rsidRPr="00701F32" w:rsidRDefault="00CC090B"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-55.184</w:t>
            </w:r>
          </w:p>
        </w:tc>
        <w:tc>
          <w:tcPr>
            <w:tcW w:w="1722" w:type="dxa"/>
            <w:tcBorders>
              <w:top w:val="nil"/>
              <w:left w:val="nil"/>
              <w:bottom w:val="nil"/>
              <w:right w:val="single" w:sz="4" w:space="0" w:color="auto"/>
            </w:tcBorders>
            <w:shd w:val="clear" w:color="auto" w:fill="auto"/>
            <w:vAlign w:val="bottom"/>
          </w:tcPr>
          <w:p w14:paraId="7F56194B" w14:textId="3FC6DE4A" w:rsidR="00CC090B" w:rsidRPr="00701F32" w:rsidRDefault="00A844A1"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w:t>
            </w:r>
          </w:p>
        </w:tc>
      </w:tr>
      <w:tr w:rsidR="00656E62" w:rsidRPr="00701F32" w14:paraId="5C387954" w14:textId="77777777" w:rsidTr="00E311C9">
        <w:trPr>
          <w:trHeight w:val="285"/>
        </w:trPr>
        <w:tc>
          <w:tcPr>
            <w:tcW w:w="5290" w:type="dxa"/>
            <w:tcBorders>
              <w:top w:val="single" w:sz="4" w:space="0" w:color="auto"/>
              <w:left w:val="single" w:sz="4" w:space="0" w:color="auto"/>
              <w:bottom w:val="single" w:sz="4" w:space="0" w:color="auto"/>
              <w:right w:val="nil"/>
            </w:tcBorders>
            <w:shd w:val="clear" w:color="auto" w:fill="auto"/>
            <w:vAlign w:val="bottom"/>
            <w:hideMark/>
          </w:tcPr>
          <w:p w14:paraId="3F5C0844" w14:textId="77777777" w:rsidR="00656E62" w:rsidRPr="00701F32" w:rsidRDefault="00656E62" w:rsidP="00C23045">
            <w:pPr>
              <w:rPr>
                <w:rFonts w:ascii="Arial" w:hAnsi="Arial" w:cs="Arial"/>
                <w:b/>
                <w:bCs/>
                <w:color w:val="000000"/>
                <w:sz w:val="18"/>
                <w:szCs w:val="18"/>
                <w:lang w:eastAsia="es-AR"/>
              </w:rPr>
            </w:pPr>
            <w:r w:rsidRPr="00701F32">
              <w:rPr>
                <w:rFonts w:ascii="Arial" w:hAnsi="Arial" w:cs="Arial"/>
                <w:b/>
                <w:bCs/>
                <w:color w:val="000000"/>
                <w:sz w:val="18"/>
                <w:szCs w:val="18"/>
                <w:lang w:eastAsia="es-AR"/>
              </w:rPr>
              <w:t>Total impuesto del ejercicio determinado a los fines fiscales</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B5DF23" w14:textId="47EE1F41"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-21.124</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043E11AB" w14:textId="1531EB3D"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370.175</w:t>
            </w:r>
          </w:p>
        </w:tc>
      </w:tr>
      <w:tr w:rsidR="00656E62" w:rsidRPr="00701F32" w14:paraId="5AE13FD0" w14:textId="77777777" w:rsidTr="00E311C9">
        <w:trPr>
          <w:trHeight w:val="285"/>
        </w:trPr>
        <w:tc>
          <w:tcPr>
            <w:tcW w:w="5290" w:type="dxa"/>
            <w:tcBorders>
              <w:top w:val="nil"/>
              <w:left w:val="single" w:sz="4" w:space="0" w:color="auto"/>
              <w:bottom w:val="nil"/>
              <w:right w:val="nil"/>
            </w:tcBorders>
            <w:shd w:val="clear" w:color="auto" w:fill="auto"/>
            <w:vAlign w:val="bottom"/>
            <w:hideMark/>
          </w:tcPr>
          <w:p w14:paraId="7D936BCC" w14:textId="77777777" w:rsidR="00656E62" w:rsidRPr="00701F32" w:rsidRDefault="00656E62" w:rsidP="00C23045">
            <w:pPr>
              <w:rPr>
                <w:rFonts w:ascii="Arial" w:hAnsi="Arial" w:cs="Arial"/>
                <w:color w:val="000000"/>
                <w:sz w:val="18"/>
                <w:szCs w:val="18"/>
                <w:lang w:eastAsia="es-AR"/>
              </w:rPr>
            </w:pPr>
            <w:r w:rsidRPr="00701F32">
              <w:rPr>
                <w:rFonts w:ascii="Arial" w:hAnsi="Arial" w:cs="Arial"/>
                <w:color w:val="000000"/>
                <w:sz w:val="18"/>
                <w:szCs w:val="18"/>
                <w:lang w:eastAsia="es-AR"/>
              </w:rPr>
              <w:t>Pagos a cuenta del impuesto a las ganancias</w:t>
            </w:r>
          </w:p>
        </w:tc>
        <w:tc>
          <w:tcPr>
            <w:tcW w:w="1722" w:type="dxa"/>
            <w:tcBorders>
              <w:top w:val="nil"/>
              <w:left w:val="single" w:sz="4" w:space="0" w:color="auto"/>
              <w:bottom w:val="nil"/>
              <w:right w:val="single" w:sz="4" w:space="0" w:color="auto"/>
            </w:tcBorders>
            <w:shd w:val="clear" w:color="auto" w:fill="auto"/>
            <w:vAlign w:val="bottom"/>
            <w:hideMark/>
          </w:tcPr>
          <w:p w14:paraId="1B9B5A9C" w14:textId="77777777" w:rsidR="00656E62" w:rsidRPr="00701F32" w:rsidRDefault="00656E62"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w:t>
            </w:r>
          </w:p>
        </w:tc>
        <w:tc>
          <w:tcPr>
            <w:tcW w:w="1722" w:type="dxa"/>
            <w:tcBorders>
              <w:top w:val="nil"/>
              <w:left w:val="nil"/>
              <w:bottom w:val="nil"/>
              <w:right w:val="single" w:sz="4" w:space="0" w:color="auto"/>
            </w:tcBorders>
            <w:shd w:val="clear" w:color="auto" w:fill="auto"/>
            <w:vAlign w:val="bottom"/>
            <w:hideMark/>
          </w:tcPr>
          <w:p w14:paraId="31EFE2EC" w14:textId="77777777" w:rsidR="00656E62" w:rsidRPr="00701F32" w:rsidRDefault="00656E62" w:rsidP="00941382">
            <w:pPr>
              <w:jc w:val="right"/>
              <w:rPr>
                <w:rFonts w:ascii="Arial" w:hAnsi="Arial" w:cs="Arial"/>
                <w:color w:val="000000"/>
                <w:sz w:val="18"/>
                <w:szCs w:val="18"/>
                <w:lang w:eastAsia="es-AR"/>
              </w:rPr>
            </w:pPr>
            <w:r w:rsidRPr="00701F32">
              <w:rPr>
                <w:rFonts w:ascii="Arial" w:hAnsi="Arial" w:cs="Arial"/>
                <w:color w:val="000000"/>
                <w:sz w:val="18"/>
                <w:szCs w:val="18"/>
                <w:lang w:eastAsia="es-AR"/>
              </w:rPr>
              <w:t>-</w:t>
            </w:r>
          </w:p>
        </w:tc>
      </w:tr>
      <w:tr w:rsidR="00656E62" w:rsidRPr="00701F32" w14:paraId="1B12AA43" w14:textId="77777777" w:rsidTr="00E311C9">
        <w:trPr>
          <w:trHeight w:val="285"/>
        </w:trPr>
        <w:tc>
          <w:tcPr>
            <w:tcW w:w="5290" w:type="dxa"/>
            <w:tcBorders>
              <w:top w:val="single" w:sz="4" w:space="0" w:color="auto"/>
              <w:left w:val="single" w:sz="4" w:space="0" w:color="auto"/>
              <w:bottom w:val="single" w:sz="4" w:space="0" w:color="auto"/>
              <w:right w:val="nil"/>
            </w:tcBorders>
            <w:shd w:val="clear" w:color="auto" w:fill="auto"/>
            <w:vAlign w:val="bottom"/>
            <w:hideMark/>
          </w:tcPr>
          <w:p w14:paraId="0E5A04BA" w14:textId="77777777" w:rsidR="00656E62" w:rsidRPr="00701F32" w:rsidRDefault="00656E62" w:rsidP="00C23045">
            <w:pPr>
              <w:rPr>
                <w:rFonts w:ascii="Arial" w:hAnsi="Arial" w:cs="Arial"/>
                <w:b/>
                <w:bCs/>
                <w:color w:val="000000"/>
                <w:sz w:val="18"/>
                <w:szCs w:val="18"/>
                <w:lang w:eastAsia="es-AR"/>
              </w:rPr>
            </w:pPr>
            <w:r w:rsidRPr="00701F32">
              <w:rPr>
                <w:rFonts w:ascii="Arial" w:hAnsi="Arial" w:cs="Arial"/>
                <w:b/>
                <w:bCs/>
                <w:color w:val="000000"/>
                <w:sz w:val="18"/>
                <w:szCs w:val="18"/>
                <w:lang w:eastAsia="es-AR"/>
              </w:rPr>
              <w:t>Impuesto a las ganancias a pagar/ Quebranto</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41835" w14:textId="371A48D8"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-21.124</w:t>
            </w:r>
          </w:p>
        </w:tc>
        <w:tc>
          <w:tcPr>
            <w:tcW w:w="1722" w:type="dxa"/>
            <w:tcBorders>
              <w:top w:val="single" w:sz="4" w:space="0" w:color="auto"/>
              <w:left w:val="nil"/>
              <w:bottom w:val="single" w:sz="4" w:space="0" w:color="auto"/>
              <w:right w:val="single" w:sz="4" w:space="0" w:color="auto"/>
            </w:tcBorders>
            <w:shd w:val="clear" w:color="auto" w:fill="auto"/>
            <w:vAlign w:val="bottom"/>
            <w:hideMark/>
          </w:tcPr>
          <w:p w14:paraId="36D16B6B" w14:textId="06695D77" w:rsidR="00656E62" w:rsidRPr="00701F32" w:rsidRDefault="00274DF6" w:rsidP="00941382">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370.175</w:t>
            </w:r>
          </w:p>
        </w:tc>
      </w:tr>
    </w:tbl>
    <w:p w14:paraId="361A7D45" w14:textId="77777777" w:rsidR="00656E62" w:rsidRPr="00701F32" w:rsidRDefault="00656E62" w:rsidP="00656E62">
      <w:pPr>
        <w:jc w:val="both"/>
        <w:rPr>
          <w:rFonts w:ascii="Arial" w:hAnsi="Arial" w:cs="Arial"/>
          <w:sz w:val="20"/>
        </w:rPr>
      </w:pPr>
    </w:p>
    <w:p w14:paraId="31448AFF" w14:textId="77777777" w:rsidR="00656E62" w:rsidRPr="00701F32" w:rsidRDefault="00656E62" w:rsidP="00656E62">
      <w:pPr>
        <w:jc w:val="both"/>
        <w:rPr>
          <w:rFonts w:ascii="Arial" w:hAnsi="Arial" w:cs="Arial"/>
          <w:sz w:val="20"/>
        </w:rPr>
      </w:pPr>
    </w:p>
    <w:p w14:paraId="2D9524B1" w14:textId="77777777" w:rsidR="00656E62" w:rsidRPr="00701F32" w:rsidRDefault="00B225FD" w:rsidP="00656E62">
      <w:pPr>
        <w:spacing w:after="160" w:line="259" w:lineRule="auto"/>
        <w:jc w:val="both"/>
        <w:rPr>
          <w:rFonts w:ascii="Arial" w:eastAsia="Calibri" w:hAnsi="Arial" w:cs="Arial"/>
          <w:b/>
          <w:color w:val="943634"/>
          <w:sz w:val="20"/>
        </w:rPr>
      </w:pPr>
      <w:r w:rsidRPr="00701F32">
        <w:rPr>
          <w:rFonts w:ascii="Arial" w:eastAsia="Calibri" w:hAnsi="Arial" w:cs="Arial"/>
          <w:b/>
          <w:bCs/>
          <w:sz w:val="20"/>
        </w:rPr>
        <w:t>6. VALORES RAZONABLES</w:t>
      </w:r>
    </w:p>
    <w:p w14:paraId="4DAD5BCA"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r w:rsidRPr="00701F32">
        <w:rPr>
          <w:rFonts w:ascii="Arial" w:hAnsi="Arial" w:cs="Arial"/>
          <w:sz w:val="20"/>
          <w:lang w:eastAsia="es-AR"/>
        </w:rPr>
        <w:t>El valor razonable es definido como el importe por el cual un activo podría ser intercambiado o un pasivo liquidado, en condiciones de independencia mutua entre participantes del mercado principal (o más ventajoso) correctamente informados y dispuestos a ello en una transacción ordenada y corriente, a la fecha de medición en las condiciones actuales del mercado independientemente de si ese precio es directamente observable o estimado utilizando una técnica de valoración bajo el supuesto que la Entidad es una empresa en marcha .</w:t>
      </w:r>
    </w:p>
    <w:p w14:paraId="0EA724C9" w14:textId="77777777" w:rsidR="00656E62" w:rsidRPr="00701F32" w:rsidRDefault="00656E62" w:rsidP="00656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lang w:eastAsia="es-AR"/>
        </w:rPr>
      </w:pPr>
    </w:p>
    <w:p w14:paraId="3D3AE2AD" w14:textId="77777777" w:rsidR="00656E62" w:rsidRPr="00701F32" w:rsidRDefault="00656E62" w:rsidP="00656E62">
      <w:pPr>
        <w:spacing w:after="160" w:line="259" w:lineRule="auto"/>
        <w:jc w:val="both"/>
        <w:rPr>
          <w:rFonts w:ascii="Arial" w:hAnsi="Arial" w:cs="Arial"/>
          <w:sz w:val="20"/>
          <w:lang w:eastAsia="es-AR"/>
        </w:rPr>
      </w:pPr>
      <w:r w:rsidRPr="00701F32">
        <w:rPr>
          <w:rFonts w:ascii="Arial" w:hAnsi="Arial" w:cs="Arial"/>
          <w:sz w:val="20"/>
          <w:lang w:eastAsia="es-AR"/>
        </w:rPr>
        <w:t xml:space="preserve">Cuando un instrumento financiero es comercializado en un mercado líquido y activo, su precio negociado en el mercado en una transacción real brinda la mejor evidencia de su valor razonable. Cuando no se cuenta con el precio estipulado en el mercado o éste no puede ser un indicativo del valor razonable del instrumento, para determinar dicho valor razonable se puede utilizar el valor de mercado de otro instrumento de similares características, el análisis de flujos descontados u otras técnicas aplicables; las cuales se ven afectadas de manera significativa por los supuestos utilizados.   </w:t>
      </w:r>
    </w:p>
    <w:p w14:paraId="1716CE68"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 xml:space="preserve">La Entidad clasifica los valores razonables de los instrumentos financieros en tres niveles, de acuerdo a la calidad de los datos utilizados para su determinación. </w:t>
      </w:r>
    </w:p>
    <w:p w14:paraId="60F9312A"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Valor Razonable Nivel 1: El</w:t>
      </w:r>
      <w:r w:rsidRPr="00701F32">
        <w:rPr>
          <w:rFonts w:ascii="Arial" w:eastAsia="Calibri" w:hAnsi="Arial" w:cs="Arial"/>
          <w:color w:val="000000"/>
          <w:sz w:val="20"/>
        </w:rPr>
        <w:t xml:space="preserve"> valor razonable de los instrumentos financieros negociados en mercados activos (como derivados negociados públicamente, inversiones negociables o disponibles para la venta) se basa en los precios de cotización de los mercados (sin ajustar) a la fecha del periodo de reporte. El precio de mercado utilizado en los activos financieros mantenidos por la Entidad es el precio de compra actual. Estos instrumentos se incluyen en el nivel 1. </w:t>
      </w:r>
    </w:p>
    <w:p w14:paraId="52DFF9BD" w14:textId="77777777" w:rsidR="00656E62" w:rsidRPr="00701F32" w:rsidRDefault="00656E62" w:rsidP="00656E62">
      <w:pPr>
        <w:autoSpaceDE w:val="0"/>
        <w:autoSpaceDN w:val="0"/>
        <w:adjustRightInd w:val="0"/>
        <w:jc w:val="both"/>
        <w:rPr>
          <w:rFonts w:ascii="Arial" w:eastAsia="Calibri" w:hAnsi="Arial" w:cs="Arial"/>
          <w:bCs/>
          <w:color w:val="000000"/>
          <w:sz w:val="20"/>
        </w:rPr>
      </w:pPr>
    </w:p>
    <w:p w14:paraId="757CAD8F"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2: </w:t>
      </w:r>
      <w:r w:rsidRPr="00701F32">
        <w:rPr>
          <w:rFonts w:ascii="Arial" w:eastAsia="Calibri" w:hAnsi="Arial" w:cs="Arial"/>
          <w:color w:val="000000"/>
          <w:sz w:val="20"/>
        </w:rPr>
        <w:t xml:space="preserve">El valor razonable de instrumentos financieros que no se negocian en mercados activos, por ejemplo, los derivados disponibles fuera de bolsa (over-the-counter), se determina utilizando técnicas de valuación que maximizan el uso de información observable y deposita la menor confianza posible en estimados específicos de la gerencia. Si todas las variables relevantes para establecer el valor razonable de un instrumento financiero son observables, el instrumento se incluye en el nivel 2. </w:t>
      </w:r>
    </w:p>
    <w:p w14:paraId="4B1B485A" w14:textId="77777777" w:rsidR="00656E62" w:rsidRPr="00701F32" w:rsidRDefault="00656E62" w:rsidP="00656E62">
      <w:pPr>
        <w:autoSpaceDE w:val="0"/>
        <w:autoSpaceDN w:val="0"/>
        <w:adjustRightInd w:val="0"/>
        <w:jc w:val="both"/>
        <w:rPr>
          <w:rFonts w:ascii="Arial" w:eastAsia="Calibri" w:hAnsi="Arial" w:cs="Arial"/>
          <w:bCs/>
          <w:color w:val="000000"/>
          <w:sz w:val="20"/>
        </w:rPr>
      </w:pPr>
    </w:p>
    <w:p w14:paraId="70B372D8"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3: </w:t>
      </w:r>
      <w:r w:rsidRPr="00701F32">
        <w:rPr>
          <w:rFonts w:ascii="Arial" w:eastAsia="Calibri" w:hAnsi="Arial" w:cs="Arial"/>
          <w:color w:val="000000"/>
          <w:sz w:val="20"/>
        </w:rPr>
        <w:t xml:space="preserve">Si una o más variables relevantes no se basan en información observable de mercado, el instrumento se incluye en el nivel 3. </w:t>
      </w:r>
    </w:p>
    <w:p w14:paraId="2F49B39E" w14:textId="77777777" w:rsidR="00656E62" w:rsidRPr="00701F32" w:rsidRDefault="00656E62" w:rsidP="00656E62">
      <w:pPr>
        <w:autoSpaceDE w:val="0"/>
        <w:autoSpaceDN w:val="0"/>
        <w:adjustRightInd w:val="0"/>
        <w:jc w:val="both"/>
        <w:rPr>
          <w:rFonts w:ascii="Arial" w:eastAsia="Calibri" w:hAnsi="Arial" w:cs="Arial"/>
          <w:color w:val="000000"/>
          <w:sz w:val="20"/>
        </w:rPr>
      </w:pPr>
    </w:p>
    <w:p w14:paraId="397C84A6"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A continuación se detallan los instrumentos financieros registrados a valor razonable al cierre del período:</w:t>
      </w:r>
    </w:p>
    <w:tbl>
      <w:tblPr>
        <w:tblW w:w="5206" w:type="pct"/>
        <w:tblLayout w:type="fixed"/>
        <w:tblCellMar>
          <w:left w:w="70" w:type="dxa"/>
          <w:right w:w="70" w:type="dxa"/>
        </w:tblCellMar>
        <w:tblLook w:val="04A0" w:firstRow="1" w:lastRow="0" w:firstColumn="1" w:lastColumn="0" w:noHBand="0" w:noVBand="1"/>
      </w:tblPr>
      <w:tblGrid>
        <w:gridCol w:w="4464"/>
        <w:gridCol w:w="1134"/>
        <w:gridCol w:w="1275"/>
        <w:gridCol w:w="1134"/>
        <w:gridCol w:w="994"/>
      </w:tblGrid>
      <w:tr w:rsidR="008C4C54" w:rsidRPr="00701F32" w14:paraId="772BB8B5" w14:textId="77777777" w:rsidTr="005819B2">
        <w:trPr>
          <w:trHeight w:val="239"/>
          <w:tblHeader/>
        </w:trPr>
        <w:tc>
          <w:tcPr>
            <w:tcW w:w="2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99C62" w14:textId="77777777" w:rsidR="00FD6B54" w:rsidRPr="00701F32" w:rsidRDefault="00B225FD">
            <w:pPr>
              <w:jc w:val="center"/>
              <w:rPr>
                <w:rFonts w:ascii="Arial" w:hAnsi="Arial" w:cs="Arial"/>
                <w:b/>
                <w:sz w:val="16"/>
                <w:lang w:eastAsia="es-AR"/>
              </w:rPr>
            </w:pPr>
            <w:r w:rsidRPr="00701F32">
              <w:rPr>
                <w:rFonts w:ascii="Arial" w:hAnsi="Arial" w:cs="Arial"/>
                <w:b/>
                <w:sz w:val="16"/>
                <w:lang w:eastAsia="es-AR"/>
              </w:rPr>
              <w:t>Cartera de instrumentos al 30/0</w:t>
            </w:r>
            <w:r w:rsidR="00837BEB" w:rsidRPr="00701F32">
              <w:rPr>
                <w:rFonts w:ascii="Arial" w:hAnsi="Arial" w:cs="Arial"/>
                <w:b/>
                <w:sz w:val="16"/>
                <w:lang w:eastAsia="es-AR"/>
              </w:rPr>
              <w:t>9</w:t>
            </w:r>
            <w:r w:rsidRPr="00701F32">
              <w:rPr>
                <w:rFonts w:ascii="Arial" w:hAnsi="Arial" w:cs="Arial"/>
                <w:b/>
                <w:sz w:val="16"/>
                <w:lang w:eastAsia="es-AR"/>
              </w:rPr>
              <w:t>/2018</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1AF151C4" w14:textId="77777777" w:rsidR="008C4C54" w:rsidRPr="00701F32" w:rsidRDefault="00B225FD" w:rsidP="008628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16"/>
                <w:lang w:eastAsia="es-AR"/>
              </w:rPr>
            </w:pPr>
            <w:r w:rsidRPr="00701F32">
              <w:rPr>
                <w:rFonts w:ascii="Arial" w:hAnsi="Arial" w:cs="Arial"/>
                <w:b/>
                <w:sz w:val="16"/>
                <w:lang w:eastAsia="es-AR"/>
              </w:rPr>
              <w:t>VR nivel 1</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14:paraId="36DA90EA" w14:textId="77777777" w:rsidR="008C4C54" w:rsidRPr="00701F32" w:rsidRDefault="00B225FD" w:rsidP="008628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16"/>
                <w:lang w:eastAsia="es-AR"/>
              </w:rPr>
            </w:pPr>
            <w:r w:rsidRPr="00701F32">
              <w:rPr>
                <w:rFonts w:ascii="Arial" w:hAnsi="Arial" w:cs="Arial"/>
                <w:b/>
                <w:sz w:val="16"/>
                <w:lang w:eastAsia="es-AR"/>
              </w:rPr>
              <w:t>VR nivel 2</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9F62A22" w14:textId="77777777" w:rsidR="008C4C54" w:rsidRPr="00701F32" w:rsidRDefault="00B225FD" w:rsidP="008628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16"/>
                <w:lang w:eastAsia="es-AR"/>
              </w:rPr>
            </w:pPr>
            <w:r w:rsidRPr="00701F32">
              <w:rPr>
                <w:rFonts w:ascii="Arial" w:hAnsi="Arial" w:cs="Arial"/>
                <w:b/>
                <w:sz w:val="16"/>
                <w:lang w:eastAsia="es-AR"/>
              </w:rPr>
              <w:t>VR nivel 3</w:t>
            </w:r>
          </w:p>
        </w:tc>
        <w:tc>
          <w:tcPr>
            <w:tcW w:w="552" w:type="pct"/>
            <w:tcBorders>
              <w:top w:val="single" w:sz="4" w:space="0" w:color="auto"/>
              <w:left w:val="nil"/>
              <w:bottom w:val="single" w:sz="4" w:space="0" w:color="auto"/>
              <w:right w:val="single" w:sz="4" w:space="0" w:color="auto"/>
            </w:tcBorders>
            <w:vAlign w:val="center"/>
          </w:tcPr>
          <w:p w14:paraId="73BB6557" w14:textId="77777777" w:rsidR="008C4C54" w:rsidRPr="00701F32" w:rsidRDefault="00B225FD" w:rsidP="008628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16"/>
                <w:lang w:eastAsia="es-AR"/>
              </w:rPr>
            </w:pPr>
            <w:r w:rsidRPr="00701F32">
              <w:rPr>
                <w:rFonts w:ascii="Arial" w:hAnsi="Arial" w:cs="Arial"/>
                <w:b/>
                <w:sz w:val="16"/>
                <w:lang w:eastAsia="es-AR"/>
              </w:rPr>
              <w:t>Total</w:t>
            </w:r>
          </w:p>
        </w:tc>
      </w:tr>
      <w:tr w:rsidR="008C4C54" w:rsidRPr="00701F32" w14:paraId="312D8C6A"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6359EC91" w14:textId="77777777" w:rsidR="008C4C54" w:rsidRPr="00701F32" w:rsidRDefault="008C4C54" w:rsidP="00464C0F">
            <w:pPr>
              <w:jc w:val="both"/>
              <w:rPr>
                <w:rFonts w:ascii="Arial" w:hAnsi="Arial" w:cs="Arial"/>
                <w:b/>
                <w:bCs/>
                <w:sz w:val="16"/>
                <w:lang w:eastAsia="es-AR"/>
              </w:rPr>
            </w:pPr>
            <w:r w:rsidRPr="00701F32">
              <w:rPr>
                <w:rFonts w:ascii="Arial" w:hAnsi="Arial" w:cs="Arial"/>
                <w:b/>
                <w:bCs/>
                <w:sz w:val="16"/>
                <w:lang w:eastAsia="es-AR"/>
              </w:rPr>
              <w:t>Activos</w:t>
            </w:r>
          </w:p>
        </w:tc>
        <w:tc>
          <w:tcPr>
            <w:tcW w:w="630" w:type="pct"/>
            <w:tcBorders>
              <w:top w:val="nil"/>
              <w:left w:val="nil"/>
              <w:bottom w:val="single" w:sz="4" w:space="0" w:color="auto"/>
              <w:right w:val="single" w:sz="4" w:space="0" w:color="auto"/>
            </w:tcBorders>
            <w:shd w:val="clear" w:color="auto" w:fill="auto"/>
            <w:noWrap/>
            <w:vAlign w:val="bottom"/>
            <w:hideMark/>
          </w:tcPr>
          <w:p w14:paraId="0BD55769" w14:textId="77777777" w:rsidR="008C4C54" w:rsidRPr="00701F32" w:rsidRDefault="008C4C54" w:rsidP="00464C0F">
            <w:pPr>
              <w:jc w:val="both"/>
              <w:rPr>
                <w:rFonts w:ascii="Arial" w:hAnsi="Arial" w:cs="Arial"/>
                <w:b/>
                <w:bCs/>
                <w:sz w:val="18"/>
                <w:lang w:eastAsia="es-AR"/>
              </w:rPr>
            </w:pPr>
            <w:r w:rsidRPr="00701F32">
              <w:rPr>
                <w:rFonts w:ascii="Arial" w:hAnsi="Arial" w:cs="Arial"/>
                <w:b/>
                <w:bCs/>
                <w:sz w:val="18"/>
                <w:lang w:eastAsia="es-AR"/>
              </w:rPr>
              <w:t> </w:t>
            </w:r>
          </w:p>
        </w:tc>
        <w:tc>
          <w:tcPr>
            <w:tcW w:w="708" w:type="pct"/>
            <w:tcBorders>
              <w:top w:val="nil"/>
              <w:left w:val="nil"/>
              <w:bottom w:val="single" w:sz="4" w:space="0" w:color="auto"/>
              <w:right w:val="single" w:sz="4" w:space="0" w:color="auto"/>
            </w:tcBorders>
            <w:shd w:val="clear" w:color="auto" w:fill="auto"/>
            <w:noWrap/>
            <w:vAlign w:val="bottom"/>
            <w:hideMark/>
          </w:tcPr>
          <w:p w14:paraId="12871DBB" w14:textId="77777777" w:rsidR="008C4C54" w:rsidRPr="00701F32" w:rsidRDefault="008C4C54" w:rsidP="00464C0F">
            <w:pPr>
              <w:jc w:val="both"/>
              <w:rPr>
                <w:rFonts w:ascii="Arial" w:hAnsi="Arial" w:cs="Arial"/>
                <w:b/>
                <w:bCs/>
                <w:sz w:val="18"/>
                <w:lang w:eastAsia="es-AR"/>
              </w:rPr>
            </w:pPr>
            <w:r w:rsidRPr="00701F32">
              <w:rPr>
                <w:rFonts w:ascii="Arial" w:hAnsi="Arial" w:cs="Arial"/>
                <w:b/>
                <w:bCs/>
                <w:sz w:val="18"/>
                <w:lang w:eastAsia="es-AR"/>
              </w:rPr>
              <w:t> </w:t>
            </w:r>
          </w:p>
        </w:tc>
        <w:tc>
          <w:tcPr>
            <w:tcW w:w="630" w:type="pct"/>
            <w:tcBorders>
              <w:top w:val="nil"/>
              <w:left w:val="nil"/>
              <w:bottom w:val="single" w:sz="4" w:space="0" w:color="auto"/>
              <w:right w:val="single" w:sz="4" w:space="0" w:color="auto"/>
            </w:tcBorders>
            <w:shd w:val="clear" w:color="auto" w:fill="auto"/>
            <w:noWrap/>
            <w:vAlign w:val="bottom"/>
            <w:hideMark/>
          </w:tcPr>
          <w:p w14:paraId="648C4674" w14:textId="77777777" w:rsidR="008C4C54" w:rsidRPr="00701F32" w:rsidRDefault="008C4C54" w:rsidP="00464C0F">
            <w:pPr>
              <w:jc w:val="both"/>
              <w:rPr>
                <w:rFonts w:ascii="Arial" w:hAnsi="Arial" w:cs="Arial"/>
                <w:b/>
                <w:bCs/>
                <w:sz w:val="18"/>
                <w:lang w:eastAsia="es-AR"/>
              </w:rPr>
            </w:pPr>
            <w:r w:rsidRPr="00701F32">
              <w:rPr>
                <w:rFonts w:ascii="Arial" w:hAnsi="Arial" w:cs="Arial"/>
                <w:b/>
                <w:bCs/>
                <w:sz w:val="18"/>
                <w:lang w:eastAsia="es-AR"/>
              </w:rPr>
              <w:t> </w:t>
            </w:r>
          </w:p>
        </w:tc>
        <w:tc>
          <w:tcPr>
            <w:tcW w:w="552" w:type="pct"/>
            <w:tcBorders>
              <w:top w:val="nil"/>
              <w:left w:val="nil"/>
              <w:bottom w:val="single" w:sz="4" w:space="0" w:color="auto"/>
              <w:right w:val="single" w:sz="4" w:space="0" w:color="auto"/>
            </w:tcBorders>
          </w:tcPr>
          <w:p w14:paraId="7477C0D4" w14:textId="77777777" w:rsidR="008C4C54" w:rsidRPr="00701F32" w:rsidRDefault="008C4C54" w:rsidP="00464C0F">
            <w:pPr>
              <w:jc w:val="both"/>
              <w:rPr>
                <w:rFonts w:ascii="Arial" w:hAnsi="Arial" w:cs="Arial"/>
                <w:b/>
                <w:bCs/>
                <w:sz w:val="18"/>
                <w:lang w:eastAsia="es-AR"/>
              </w:rPr>
            </w:pPr>
          </w:p>
        </w:tc>
      </w:tr>
      <w:tr w:rsidR="008C4C54" w:rsidRPr="00701F32" w14:paraId="3BC8DC73"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3B707AAD"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Títulos de Deuda a Valor Razonable con Cambio en Resultados</w:t>
            </w:r>
          </w:p>
        </w:tc>
        <w:tc>
          <w:tcPr>
            <w:tcW w:w="630" w:type="pct"/>
            <w:tcBorders>
              <w:top w:val="nil"/>
              <w:left w:val="nil"/>
              <w:bottom w:val="single" w:sz="4" w:space="0" w:color="auto"/>
              <w:right w:val="single" w:sz="4" w:space="0" w:color="auto"/>
            </w:tcBorders>
            <w:shd w:val="clear" w:color="auto" w:fill="auto"/>
            <w:noWrap/>
            <w:vAlign w:val="center"/>
            <w:hideMark/>
          </w:tcPr>
          <w:p w14:paraId="651F1337" w14:textId="13334D4A"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1.121.984</w:t>
            </w:r>
          </w:p>
        </w:tc>
        <w:tc>
          <w:tcPr>
            <w:tcW w:w="708" w:type="pct"/>
            <w:tcBorders>
              <w:top w:val="nil"/>
              <w:left w:val="nil"/>
              <w:bottom w:val="single" w:sz="4" w:space="0" w:color="auto"/>
              <w:right w:val="single" w:sz="4" w:space="0" w:color="auto"/>
            </w:tcBorders>
            <w:shd w:val="clear" w:color="auto" w:fill="auto"/>
            <w:noWrap/>
            <w:vAlign w:val="center"/>
            <w:hideMark/>
          </w:tcPr>
          <w:p w14:paraId="7431130C" w14:textId="3228C60F"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12.431.253</w:t>
            </w:r>
          </w:p>
        </w:tc>
        <w:tc>
          <w:tcPr>
            <w:tcW w:w="630" w:type="pct"/>
            <w:tcBorders>
              <w:top w:val="nil"/>
              <w:left w:val="nil"/>
              <w:bottom w:val="single" w:sz="4" w:space="0" w:color="auto"/>
              <w:right w:val="single" w:sz="4" w:space="0" w:color="auto"/>
            </w:tcBorders>
            <w:shd w:val="clear" w:color="auto" w:fill="auto"/>
            <w:noWrap/>
            <w:vAlign w:val="center"/>
            <w:hideMark/>
          </w:tcPr>
          <w:p w14:paraId="19B4AD0C"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435F583C" w14:textId="6142ED70"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13.553.237</w:t>
            </w:r>
          </w:p>
        </w:tc>
      </w:tr>
      <w:tr w:rsidR="008C4C54" w:rsidRPr="00701F32" w14:paraId="25AF1994"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23BDFBC6"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Instrumentos Derivados</w:t>
            </w:r>
          </w:p>
        </w:tc>
        <w:tc>
          <w:tcPr>
            <w:tcW w:w="630" w:type="pct"/>
            <w:tcBorders>
              <w:top w:val="nil"/>
              <w:left w:val="nil"/>
              <w:bottom w:val="single" w:sz="4" w:space="0" w:color="auto"/>
              <w:right w:val="single" w:sz="4" w:space="0" w:color="auto"/>
            </w:tcBorders>
            <w:shd w:val="clear" w:color="auto" w:fill="auto"/>
            <w:noWrap/>
            <w:vAlign w:val="center"/>
            <w:hideMark/>
          </w:tcPr>
          <w:p w14:paraId="4A70A628" w14:textId="5F9BC02C"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196.638</w:t>
            </w:r>
          </w:p>
        </w:tc>
        <w:tc>
          <w:tcPr>
            <w:tcW w:w="708" w:type="pct"/>
            <w:tcBorders>
              <w:top w:val="nil"/>
              <w:left w:val="nil"/>
              <w:bottom w:val="single" w:sz="4" w:space="0" w:color="auto"/>
              <w:right w:val="single" w:sz="4" w:space="0" w:color="auto"/>
            </w:tcBorders>
            <w:shd w:val="clear" w:color="auto" w:fill="auto"/>
            <w:noWrap/>
            <w:vAlign w:val="center"/>
            <w:hideMark/>
          </w:tcPr>
          <w:p w14:paraId="5EA33475"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362043DF"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0ED893E9" w14:textId="752833B2"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196.638</w:t>
            </w:r>
          </w:p>
        </w:tc>
      </w:tr>
      <w:tr w:rsidR="008C4C54" w:rsidRPr="00701F32" w14:paraId="2C4FA284"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497504A1"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Otros Activos Financieros</w:t>
            </w:r>
          </w:p>
        </w:tc>
        <w:tc>
          <w:tcPr>
            <w:tcW w:w="630" w:type="pct"/>
            <w:tcBorders>
              <w:top w:val="nil"/>
              <w:left w:val="nil"/>
              <w:bottom w:val="single" w:sz="4" w:space="0" w:color="auto"/>
              <w:right w:val="single" w:sz="4" w:space="0" w:color="auto"/>
            </w:tcBorders>
            <w:shd w:val="clear" w:color="auto" w:fill="auto"/>
            <w:noWrap/>
            <w:vAlign w:val="center"/>
            <w:hideMark/>
          </w:tcPr>
          <w:p w14:paraId="293F615E" w14:textId="22541A18"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w:t>
            </w:r>
            <w:r w:rsidR="00CC090B" w:rsidRPr="00701F32">
              <w:rPr>
                <w:rFonts w:ascii="Arial" w:eastAsia="Calibri" w:hAnsi="Arial" w:cs="Arial"/>
                <w:color w:val="000000"/>
                <w:sz w:val="16"/>
              </w:rPr>
              <w:t xml:space="preserve"> </w:t>
            </w:r>
            <w:r w:rsidR="00556F6F" w:rsidRPr="00701F32">
              <w:rPr>
                <w:rFonts w:ascii="Arial" w:eastAsia="Calibri" w:hAnsi="Arial" w:cs="Arial"/>
                <w:color w:val="000000"/>
                <w:sz w:val="16"/>
              </w:rPr>
              <w:t xml:space="preserve"> 56.907</w:t>
            </w:r>
          </w:p>
        </w:tc>
        <w:tc>
          <w:tcPr>
            <w:tcW w:w="708" w:type="pct"/>
            <w:tcBorders>
              <w:top w:val="nil"/>
              <w:left w:val="nil"/>
              <w:bottom w:val="single" w:sz="4" w:space="0" w:color="auto"/>
              <w:right w:val="single" w:sz="4" w:space="0" w:color="auto"/>
            </w:tcBorders>
            <w:shd w:val="clear" w:color="auto" w:fill="auto"/>
            <w:noWrap/>
            <w:vAlign w:val="center"/>
            <w:hideMark/>
          </w:tcPr>
          <w:p w14:paraId="7F87148F"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C2CA1BD"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5745D029" w14:textId="0F79C9E3"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56.907</w:t>
            </w:r>
          </w:p>
        </w:tc>
      </w:tr>
      <w:tr w:rsidR="008C4C54" w:rsidRPr="00701F32" w14:paraId="08A2E189"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061A71D5"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Otros Títulos de Deuda</w:t>
            </w:r>
          </w:p>
        </w:tc>
        <w:tc>
          <w:tcPr>
            <w:tcW w:w="630" w:type="pct"/>
            <w:tcBorders>
              <w:top w:val="nil"/>
              <w:left w:val="nil"/>
              <w:bottom w:val="single" w:sz="4" w:space="0" w:color="auto"/>
              <w:right w:val="single" w:sz="4" w:space="0" w:color="auto"/>
            </w:tcBorders>
            <w:shd w:val="clear" w:color="auto" w:fill="auto"/>
            <w:noWrap/>
            <w:vAlign w:val="center"/>
            <w:hideMark/>
          </w:tcPr>
          <w:p w14:paraId="3F8D9D9E" w14:textId="4E42C1A9"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32</w:t>
            </w:r>
          </w:p>
        </w:tc>
        <w:tc>
          <w:tcPr>
            <w:tcW w:w="708" w:type="pct"/>
            <w:tcBorders>
              <w:top w:val="nil"/>
              <w:left w:val="nil"/>
              <w:bottom w:val="single" w:sz="4" w:space="0" w:color="auto"/>
              <w:right w:val="single" w:sz="4" w:space="0" w:color="auto"/>
            </w:tcBorders>
            <w:shd w:val="clear" w:color="auto" w:fill="auto"/>
            <w:noWrap/>
            <w:vAlign w:val="center"/>
            <w:hideMark/>
          </w:tcPr>
          <w:p w14:paraId="36E49ACE"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B139398"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3912285A" w14:textId="77777777" w:rsidR="008C4C54" w:rsidRPr="00701F32" w:rsidRDefault="008C4C54">
            <w:pPr>
              <w:jc w:val="right"/>
              <w:rPr>
                <w:rFonts w:ascii="Arial" w:eastAsia="Calibri" w:hAnsi="Arial" w:cs="Arial"/>
                <w:color w:val="000000"/>
                <w:sz w:val="16"/>
              </w:rPr>
            </w:pPr>
            <w:r w:rsidRPr="00701F32">
              <w:rPr>
                <w:rFonts w:ascii="Arial" w:eastAsia="Calibri" w:hAnsi="Arial" w:cs="Arial"/>
                <w:color w:val="000000"/>
                <w:sz w:val="16"/>
              </w:rPr>
              <w:t>32</w:t>
            </w:r>
          </w:p>
        </w:tc>
      </w:tr>
      <w:tr w:rsidR="008C4C54" w:rsidRPr="00701F32" w14:paraId="60416A01"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6BB2FA44"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Activos Financieros entregados en Garantía</w:t>
            </w:r>
          </w:p>
        </w:tc>
        <w:tc>
          <w:tcPr>
            <w:tcW w:w="630" w:type="pct"/>
            <w:tcBorders>
              <w:top w:val="nil"/>
              <w:left w:val="nil"/>
              <w:bottom w:val="single" w:sz="4" w:space="0" w:color="auto"/>
              <w:right w:val="single" w:sz="4" w:space="0" w:color="auto"/>
            </w:tcBorders>
            <w:shd w:val="clear" w:color="auto" w:fill="auto"/>
            <w:noWrap/>
            <w:vAlign w:val="center"/>
            <w:hideMark/>
          </w:tcPr>
          <w:p w14:paraId="4C37F711" w14:textId="720C5313"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2.542.037</w:t>
            </w:r>
          </w:p>
        </w:tc>
        <w:tc>
          <w:tcPr>
            <w:tcW w:w="708" w:type="pct"/>
            <w:tcBorders>
              <w:top w:val="nil"/>
              <w:left w:val="nil"/>
              <w:bottom w:val="single" w:sz="4" w:space="0" w:color="auto"/>
              <w:right w:val="single" w:sz="4" w:space="0" w:color="auto"/>
            </w:tcBorders>
            <w:shd w:val="clear" w:color="auto" w:fill="auto"/>
            <w:noWrap/>
            <w:vAlign w:val="center"/>
            <w:hideMark/>
          </w:tcPr>
          <w:p w14:paraId="1A0E2477"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2B99A22D"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3FEF73FC" w14:textId="5DDBE235"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2.542.037</w:t>
            </w:r>
          </w:p>
        </w:tc>
      </w:tr>
      <w:tr w:rsidR="008C4C54" w:rsidRPr="00701F32" w14:paraId="4E499192"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488C91F0"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Inversiones en instrumentos de patrimonio</w:t>
            </w:r>
          </w:p>
        </w:tc>
        <w:tc>
          <w:tcPr>
            <w:tcW w:w="630" w:type="pct"/>
            <w:tcBorders>
              <w:top w:val="nil"/>
              <w:left w:val="nil"/>
              <w:bottom w:val="single" w:sz="4" w:space="0" w:color="auto"/>
              <w:right w:val="single" w:sz="4" w:space="0" w:color="auto"/>
            </w:tcBorders>
            <w:shd w:val="clear" w:color="auto" w:fill="auto"/>
            <w:noWrap/>
            <w:vAlign w:val="center"/>
            <w:hideMark/>
          </w:tcPr>
          <w:p w14:paraId="53C77B67" w14:textId="5781F115"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79</w:t>
            </w:r>
          </w:p>
        </w:tc>
        <w:tc>
          <w:tcPr>
            <w:tcW w:w="708" w:type="pct"/>
            <w:tcBorders>
              <w:top w:val="nil"/>
              <w:left w:val="nil"/>
              <w:bottom w:val="single" w:sz="4" w:space="0" w:color="auto"/>
              <w:right w:val="single" w:sz="4" w:space="0" w:color="auto"/>
            </w:tcBorders>
            <w:shd w:val="clear" w:color="auto" w:fill="auto"/>
            <w:noWrap/>
            <w:vAlign w:val="center"/>
            <w:hideMark/>
          </w:tcPr>
          <w:p w14:paraId="26D608BE"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8.299    </w:t>
            </w:r>
          </w:p>
        </w:tc>
        <w:tc>
          <w:tcPr>
            <w:tcW w:w="630" w:type="pct"/>
            <w:tcBorders>
              <w:top w:val="nil"/>
              <w:left w:val="nil"/>
              <w:bottom w:val="single" w:sz="4" w:space="0" w:color="auto"/>
              <w:right w:val="single" w:sz="4" w:space="0" w:color="auto"/>
            </w:tcBorders>
            <w:shd w:val="clear" w:color="auto" w:fill="auto"/>
            <w:noWrap/>
            <w:vAlign w:val="center"/>
            <w:hideMark/>
          </w:tcPr>
          <w:p w14:paraId="7C1A3132"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13DE32A5" w14:textId="2F0A86B3"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8.378</w:t>
            </w:r>
          </w:p>
        </w:tc>
      </w:tr>
      <w:tr w:rsidR="008C4C54" w:rsidRPr="00701F32" w14:paraId="0D9A85DA"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tcPr>
          <w:p w14:paraId="77627FA1" w14:textId="77777777" w:rsidR="008C4C54" w:rsidRPr="00701F32" w:rsidRDefault="008C4C54" w:rsidP="00464C0F">
            <w:pPr>
              <w:jc w:val="both"/>
              <w:rPr>
                <w:rFonts w:ascii="Arial" w:hAnsi="Arial" w:cs="Arial"/>
                <w:b/>
                <w:sz w:val="16"/>
                <w:lang w:eastAsia="es-AR"/>
              </w:rPr>
            </w:pPr>
            <w:r w:rsidRPr="00701F32">
              <w:rPr>
                <w:rFonts w:ascii="Arial" w:hAnsi="Arial" w:cs="Arial"/>
                <w:b/>
                <w:sz w:val="16"/>
                <w:lang w:eastAsia="es-AR"/>
              </w:rPr>
              <w:t>Total Activo</w:t>
            </w:r>
          </w:p>
        </w:tc>
        <w:tc>
          <w:tcPr>
            <w:tcW w:w="630" w:type="pct"/>
            <w:tcBorders>
              <w:top w:val="nil"/>
              <w:left w:val="nil"/>
              <w:bottom w:val="single" w:sz="4" w:space="0" w:color="auto"/>
              <w:right w:val="single" w:sz="4" w:space="0" w:color="auto"/>
            </w:tcBorders>
            <w:shd w:val="clear" w:color="auto" w:fill="auto"/>
            <w:noWrap/>
            <w:vAlign w:val="center"/>
          </w:tcPr>
          <w:p w14:paraId="18C72B6B" w14:textId="41DE5339" w:rsidR="008C4C54" w:rsidRPr="00701F32" w:rsidRDefault="00556F6F">
            <w:pPr>
              <w:jc w:val="right"/>
              <w:rPr>
                <w:rFonts w:ascii="Arial" w:eastAsia="Calibri" w:hAnsi="Arial" w:cs="Arial"/>
                <w:b/>
                <w:color w:val="000000"/>
                <w:sz w:val="16"/>
              </w:rPr>
            </w:pPr>
            <w:r w:rsidRPr="00701F32">
              <w:rPr>
                <w:rFonts w:ascii="Arial" w:eastAsia="Calibri" w:hAnsi="Arial" w:cs="Arial"/>
                <w:b/>
                <w:color w:val="000000"/>
                <w:sz w:val="16"/>
              </w:rPr>
              <w:t>3.917.677</w:t>
            </w:r>
          </w:p>
        </w:tc>
        <w:tc>
          <w:tcPr>
            <w:tcW w:w="708" w:type="pct"/>
            <w:tcBorders>
              <w:top w:val="nil"/>
              <w:left w:val="nil"/>
              <w:bottom w:val="single" w:sz="4" w:space="0" w:color="auto"/>
              <w:right w:val="single" w:sz="4" w:space="0" w:color="auto"/>
            </w:tcBorders>
            <w:shd w:val="clear" w:color="auto" w:fill="auto"/>
            <w:noWrap/>
            <w:vAlign w:val="center"/>
          </w:tcPr>
          <w:p w14:paraId="2BD958F3" w14:textId="092B9584" w:rsidR="008C4C54" w:rsidRPr="00701F32" w:rsidRDefault="00556F6F">
            <w:pPr>
              <w:jc w:val="right"/>
              <w:rPr>
                <w:rFonts w:ascii="Arial" w:eastAsia="Calibri" w:hAnsi="Arial" w:cs="Arial"/>
                <w:b/>
                <w:color w:val="000000"/>
                <w:sz w:val="16"/>
              </w:rPr>
            </w:pPr>
            <w:r w:rsidRPr="00701F32">
              <w:rPr>
                <w:rFonts w:ascii="Arial" w:eastAsia="Calibri" w:hAnsi="Arial" w:cs="Arial"/>
                <w:b/>
                <w:color w:val="000000"/>
                <w:sz w:val="16"/>
              </w:rPr>
              <w:t>12.439.552</w:t>
            </w:r>
          </w:p>
        </w:tc>
        <w:tc>
          <w:tcPr>
            <w:tcW w:w="630" w:type="pct"/>
            <w:tcBorders>
              <w:top w:val="nil"/>
              <w:left w:val="nil"/>
              <w:bottom w:val="single" w:sz="4" w:space="0" w:color="auto"/>
              <w:right w:val="single" w:sz="4" w:space="0" w:color="auto"/>
            </w:tcBorders>
            <w:shd w:val="clear" w:color="auto" w:fill="auto"/>
            <w:noWrap/>
            <w:vAlign w:val="center"/>
          </w:tcPr>
          <w:p w14:paraId="4C363B24" w14:textId="77777777" w:rsidR="008C4C54" w:rsidRPr="00701F32" w:rsidRDefault="008C4C54">
            <w:pPr>
              <w:jc w:val="right"/>
              <w:rPr>
                <w:rFonts w:ascii="Arial" w:eastAsia="Calibri" w:hAnsi="Arial" w:cs="Arial"/>
                <w:b/>
                <w:color w:val="000000"/>
                <w:sz w:val="16"/>
              </w:rPr>
            </w:pPr>
          </w:p>
        </w:tc>
        <w:tc>
          <w:tcPr>
            <w:tcW w:w="552" w:type="pct"/>
            <w:tcBorders>
              <w:top w:val="nil"/>
              <w:left w:val="nil"/>
              <w:bottom w:val="single" w:sz="4" w:space="0" w:color="auto"/>
              <w:right w:val="single" w:sz="4" w:space="0" w:color="auto"/>
            </w:tcBorders>
            <w:vAlign w:val="center"/>
          </w:tcPr>
          <w:p w14:paraId="5787BE40" w14:textId="68139A54" w:rsidR="008C4C54" w:rsidRPr="00701F32" w:rsidRDefault="00556F6F">
            <w:pPr>
              <w:jc w:val="right"/>
              <w:rPr>
                <w:rFonts w:ascii="Arial" w:eastAsia="Calibri" w:hAnsi="Arial" w:cs="Arial"/>
                <w:b/>
                <w:color w:val="000000"/>
                <w:sz w:val="16"/>
              </w:rPr>
            </w:pPr>
            <w:r w:rsidRPr="00701F32">
              <w:rPr>
                <w:rFonts w:ascii="Arial" w:eastAsia="Calibri" w:hAnsi="Arial" w:cs="Arial"/>
                <w:b/>
                <w:color w:val="000000"/>
                <w:sz w:val="16"/>
              </w:rPr>
              <w:t>16.357.229</w:t>
            </w:r>
          </w:p>
        </w:tc>
      </w:tr>
      <w:tr w:rsidR="008C4C54" w:rsidRPr="00701F32" w14:paraId="712ED853"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7C0DC58C" w14:textId="77777777" w:rsidR="008C4C54" w:rsidRPr="00701F32" w:rsidRDefault="008C4C54" w:rsidP="00464C0F">
            <w:pPr>
              <w:jc w:val="both"/>
              <w:rPr>
                <w:rFonts w:ascii="Arial" w:hAnsi="Arial" w:cs="Arial"/>
                <w:b/>
                <w:bCs/>
                <w:sz w:val="16"/>
                <w:lang w:eastAsia="es-AR"/>
              </w:rPr>
            </w:pPr>
            <w:r w:rsidRPr="00701F32">
              <w:rPr>
                <w:rFonts w:ascii="Arial" w:hAnsi="Arial" w:cs="Arial"/>
                <w:b/>
                <w:bCs/>
                <w:sz w:val="16"/>
                <w:lang w:eastAsia="es-AR"/>
              </w:rPr>
              <w:t>Pasivos</w:t>
            </w:r>
          </w:p>
        </w:tc>
        <w:tc>
          <w:tcPr>
            <w:tcW w:w="630" w:type="pct"/>
            <w:tcBorders>
              <w:top w:val="nil"/>
              <w:left w:val="nil"/>
              <w:bottom w:val="single" w:sz="4" w:space="0" w:color="auto"/>
              <w:right w:val="single" w:sz="4" w:space="0" w:color="auto"/>
            </w:tcBorders>
            <w:shd w:val="clear" w:color="auto" w:fill="auto"/>
            <w:noWrap/>
            <w:vAlign w:val="center"/>
            <w:hideMark/>
          </w:tcPr>
          <w:p w14:paraId="37608565" w14:textId="77777777" w:rsidR="008C4C54" w:rsidRPr="00701F32" w:rsidRDefault="008C4C54">
            <w:pPr>
              <w:jc w:val="right"/>
              <w:rPr>
                <w:rFonts w:ascii="Arial" w:hAnsi="Arial" w:cs="Arial"/>
                <w:b/>
                <w:bCs/>
                <w:sz w:val="16"/>
                <w:lang w:eastAsia="es-AR"/>
              </w:rPr>
            </w:pPr>
          </w:p>
        </w:tc>
        <w:tc>
          <w:tcPr>
            <w:tcW w:w="708" w:type="pct"/>
            <w:tcBorders>
              <w:top w:val="nil"/>
              <w:left w:val="nil"/>
              <w:bottom w:val="single" w:sz="4" w:space="0" w:color="auto"/>
              <w:right w:val="single" w:sz="4" w:space="0" w:color="auto"/>
            </w:tcBorders>
            <w:shd w:val="clear" w:color="auto" w:fill="auto"/>
            <w:noWrap/>
            <w:vAlign w:val="center"/>
            <w:hideMark/>
          </w:tcPr>
          <w:p w14:paraId="0CEA3F26" w14:textId="77777777" w:rsidR="008C4C54" w:rsidRPr="00701F32" w:rsidRDefault="008C4C54">
            <w:pPr>
              <w:jc w:val="right"/>
              <w:rPr>
                <w:rFonts w:ascii="Arial" w:hAnsi="Arial" w:cs="Arial"/>
                <w:b/>
                <w:bCs/>
                <w:sz w:val="16"/>
                <w:lang w:eastAsia="es-AR"/>
              </w:rPr>
            </w:pPr>
          </w:p>
        </w:tc>
        <w:tc>
          <w:tcPr>
            <w:tcW w:w="630" w:type="pct"/>
            <w:tcBorders>
              <w:top w:val="nil"/>
              <w:left w:val="nil"/>
              <w:bottom w:val="single" w:sz="4" w:space="0" w:color="auto"/>
              <w:right w:val="single" w:sz="4" w:space="0" w:color="auto"/>
            </w:tcBorders>
            <w:shd w:val="clear" w:color="auto" w:fill="auto"/>
            <w:noWrap/>
            <w:vAlign w:val="center"/>
            <w:hideMark/>
          </w:tcPr>
          <w:p w14:paraId="118544E9" w14:textId="77777777" w:rsidR="008C4C54" w:rsidRPr="00701F32" w:rsidRDefault="008C4C54">
            <w:pPr>
              <w:jc w:val="right"/>
              <w:rPr>
                <w:rFonts w:ascii="Arial" w:hAnsi="Arial" w:cs="Arial"/>
                <w:b/>
                <w:bCs/>
                <w:sz w:val="16"/>
                <w:lang w:eastAsia="es-AR"/>
              </w:rPr>
            </w:pPr>
          </w:p>
        </w:tc>
        <w:tc>
          <w:tcPr>
            <w:tcW w:w="552" w:type="pct"/>
            <w:tcBorders>
              <w:top w:val="nil"/>
              <w:left w:val="nil"/>
              <w:bottom w:val="single" w:sz="4" w:space="0" w:color="auto"/>
              <w:right w:val="single" w:sz="4" w:space="0" w:color="auto"/>
            </w:tcBorders>
            <w:vAlign w:val="center"/>
          </w:tcPr>
          <w:p w14:paraId="40B169A6" w14:textId="77777777" w:rsidR="008C4C54" w:rsidRPr="00701F32" w:rsidRDefault="008C4C54">
            <w:pPr>
              <w:jc w:val="right"/>
              <w:rPr>
                <w:rFonts w:ascii="Arial" w:hAnsi="Arial" w:cs="Arial"/>
                <w:b/>
                <w:bCs/>
                <w:sz w:val="16"/>
                <w:lang w:eastAsia="es-AR"/>
              </w:rPr>
            </w:pPr>
          </w:p>
        </w:tc>
      </w:tr>
      <w:tr w:rsidR="008C4C54" w:rsidRPr="00701F32" w14:paraId="7F2E6C2B"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2D2DCBE2" w14:textId="77777777" w:rsidR="00FD6B54" w:rsidRPr="00701F32" w:rsidRDefault="008C4C54">
            <w:pPr>
              <w:jc w:val="both"/>
              <w:rPr>
                <w:rFonts w:ascii="Arial" w:hAnsi="Arial" w:cs="Arial"/>
                <w:sz w:val="16"/>
                <w:lang w:eastAsia="es-AR"/>
              </w:rPr>
            </w:pPr>
            <w:r w:rsidRPr="00701F32">
              <w:rPr>
                <w:rFonts w:ascii="Arial" w:hAnsi="Arial" w:cs="Arial"/>
                <w:sz w:val="16"/>
                <w:lang w:eastAsia="es-AR"/>
              </w:rPr>
              <w:t xml:space="preserve">- </w:t>
            </w:r>
            <w:r w:rsidR="00CC090B" w:rsidRPr="00701F32">
              <w:rPr>
                <w:rFonts w:ascii="Arial" w:hAnsi="Arial" w:cs="Arial"/>
                <w:sz w:val="16"/>
                <w:lang w:eastAsia="es-AR"/>
              </w:rPr>
              <w:t>Instrumentos derivados</w:t>
            </w:r>
          </w:p>
        </w:tc>
        <w:tc>
          <w:tcPr>
            <w:tcW w:w="630" w:type="pct"/>
            <w:tcBorders>
              <w:top w:val="nil"/>
              <w:left w:val="nil"/>
              <w:bottom w:val="single" w:sz="4" w:space="0" w:color="auto"/>
              <w:right w:val="single" w:sz="4" w:space="0" w:color="auto"/>
            </w:tcBorders>
            <w:shd w:val="clear" w:color="auto" w:fill="auto"/>
            <w:noWrap/>
            <w:vAlign w:val="center"/>
            <w:hideMark/>
          </w:tcPr>
          <w:p w14:paraId="50F36DF3" w14:textId="53147D41"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328.076</w:t>
            </w:r>
          </w:p>
        </w:tc>
        <w:tc>
          <w:tcPr>
            <w:tcW w:w="708" w:type="pct"/>
            <w:tcBorders>
              <w:top w:val="nil"/>
              <w:left w:val="nil"/>
              <w:bottom w:val="single" w:sz="4" w:space="0" w:color="auto"/>
              <w:right w:val="single" w:sz="4" w:space="0" w:color="auto"/>
            </w:tcBorders>
            <w:shd w:val="clear" w:color="auto" w:fill="auto"/>
            <w:noWrap/>
            <w:vAlign w:val="center"/>
            <w:hideMark/>
          </w:tcPr>
          <w:p w14:paraId="25CDDCBE"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659A3A37"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68B83DF9" w14:textId="5416004D"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328.076</w:t>
            </w:r>
          </w:p>
        </w:tc>
      </w:tr>
      <w:tr w:rsidR="008C4C54" w:rsidRPr="00701F32" w14:paraId="3DADE3B0"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tcPr>
          <w:p w14:paraId="32F8B159" w14:textId="77777777" w:rsidR="008C4C54" w:rsidRPr="00701F32" w:rsidRDefault="008C4C54" w:rsidP="00464C0F">
            <w:pPr>
              <w:numPr>
                <w:ilvl w:val="0"/>
                <w:numId w:val="46"/>
              </w:numPr>
              <w:spacing w:after="160" w:line="259" w:lineRule="auto"/>
              <w:ind w:left="66" w:hanging="77"/>
              <w:contextualSpacing/>
              <w:jc w:val="both"/>
              <w:rPr>
                <w:rFonts w:ascii="Arial" w:hAnsi="Arial" w:cs="Arial"/>
                <w:sz w:val="16"/>
                <w:lang w:eastAsia="es-AR"/>
              </w:rPr>
            </w:pPr>
            <w:r w:rsidRPr="00701F32">
              <w:rPr>
                <w:rFonts w:ascii="Arial" w:hAnsi="Arial" w:cs="Arial"/>
                <w:sz w:val="16"/>
                <w:lang w:eastAsia="es-AR"/>
              </w:rPr>
              <w:t xml:space="preserve"> Otros Pasivos Financieros</w:t>
            </w:r>
          </w:p>
        </w:tc>
        <w:tc>
          <w:tcPr>
            <w:tcW w:w="630" w:type="pct"/>
            <w:tcBorders>
              <w:top w:val="nil"/>
              <w:left w:val="nil"/>
              <w:bottom w:val="single" w:sz="4" w:space="0" w:color="auto"/>
              <w:right w:val="single" w:sz="4" w:space="0" w:color="auto"/>
            </w:tcBorders>
            <w:shd w:val="clear" w:color="auto" w:fill="auto"/>
            <w:noWrap/>
            <w:vAlign w:val="center"/>
          </w:tcPr>
          <w:p w14:paraId="09B86366" w14:textId="6B167412"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2.869.382</w:t>
            </w:r>
          </w:p>
        </w:tc>
        <w:tc>
          <w:tcPr>
            <w:tcW w:w="708" w:type="pct"/>
            <w:tcBorders>
              <w:top w:val="nil"/>
              <w:left w:val="nil"/>
              <w:bottom w:val="single" w:sz="4" w:space="0" w:color="auto"/>
              <w:right w:val="single" w:sz="4" w:space="0" w:color="auto"/>
            </w:tcBorders>
            <w:shd w:val="clear" w:color="auto" w:fill="auto"/>
            <w:noWrap/>
            <w:vAlign w:val="center"/>
          </w:tcPr>
          <w:p w14:paraId="01C9FF26"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tcPr>
          <w:p w14:paraId="3D4E0608"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754A47B5" w14:textId="576FB82B"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2.869.382</w:t>
            </w:r>
          </w:p>
        </w:tc>
      </w:tr>
      <w:tr w:rsidR="008C4C54" w:rsidRPr="00701F32" w14:paraId="2A352AE5"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tcPr>
          <w:p w14:paraId="5304B75F" w14:textId="77777777" w:rsidR="008C4C54" w:rsidRPr="00701F32" w:rsidRDefault="008C4C54" w:rsidP="00464C0F">
            <w:pPr>
              <w:jc w:val="both"/>
              <w:rPr>
                <w:rFonts w:ascii="Arial" w:hAnsi="Arial" w:cs="Arial"/>
                <w:sz w:val="16"/>
                <w:lang w:eastAsia="es-AR"/>
              </w:rPr>
            </w:pPr>
            <w:r w:rsidRPr="00701F32">
              <w:rPr>
                <w:rFonts w:ascii="Arial" w:hAnsi="Arial" w:cs="Arial"/>
                <w:sz w:val="16"/>
                <w:lang w:eastAsia="es-AR"/>
              </w:rPr>
              <w:t>- Financiaciones recibidas del BCRA y otras instituciones financieras</w:t>
            </w:r>
          </w:p>
        </w:tc>
        <w:tc>
          <w:tcPr>
            <w:tcW w:w="630" w:type="pct"/>
            <w:tcBorders>
              <w:top w:val="nil"/>
              <w:left w:val="nil"/>
              <w:bottom w:val="single" w:sz="4" w:space="0" w:color="auto"/>
              <w:right w:val="single" w:sz="4" w:space="0" w:color="auto"/>
            </w:tcBorders>
            <w:shd w:val="clear" w:color="auto" w:fill="auto"/>
            <w:noWrap/>
            <w:vAlign w:val="center"/>
          </w:tcPr>
          <w:p w14:paraId="76FB8895" w14:textId="73F93D88" w:rsidR="008C4C54" w:rsidRPr="00701F32" w:rsidRDefault="00556F6F">
            <w:pPr>
              <w:jc w:val="right"/>
              <w:rPr>
                <w:rFonts w:ascii="Arial" w:hAnsi="Arial" w:cs="Arial"/>
                <w:sz w:val="16"/>
                <w:lang w:eastAsia="es-AR"/>
              </w:rPr>
            </w:pPr>
            <w:r w:rsidRPr="00701F32">
              <w:rPr>
                <w:rFonts w:ascii="Arial" w:eastAsia="Calibri" w:hAnsi="Arial" w:cs="Arial"/>
                <w:color w:val="000000"/>
                <w:sz w:val="16"/>
              </w:rPr>
              <w:t>10.309</w:t>
            </w:r>
          </w:p>
        </w:tc>
        <w:tc>
          <w:tcPr>
            <w:tcW w:w="708" w:type="pct"/>
            <w:tcBorders>
              <w:top w:val="nil"/>
              <w:left w:val="nil"/>
              <w:bottom w:val="single" w:sz="4" w:space="0" w:color="auto"/>
              <w:right w:val="single" w:sz="4" w:space="0" w:color="auto"/>
            </w:tcBorders>
            <w:shd w:val="clear" w:color="auto" w:fill="auto"/>
            <w:noWrap/>
            <w:vAlign w:val="center"/>
          </w:tcPr>
          <w:p w14:paraId="2AB3AA80"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630" w:type="pct"/>
            <w:tcBorders>
              <w:top w:val="nil"/>
              <w:left w:val="nil"/>
              <w:bottom w:val="single" w:sz="4" w:space="0" w:color="auto"/>
              <w:right w:val="single" w:sz="4" w:space="0" w:color="auto"/>
            </w:tcBorders>
            <w:shd w:val="clear" w:color="auto" w:fill="auto"/>
            <w:noWrap/>
            <w:vAlign w:val="center"/>
          </w:tcPr>
          <w:p w14:paraId="49A0B968" w14:textId="77777777" w:rsidR="008C4C54" w:rsidRPr="00701F32" w:rsidRDefault="008C4C54">
            <w:pPr>
              <w:jc w:val="right"/>
              <w:rPr>
                <w:rFonts w:ascii="Arial" w:hAnsi="Arial" w:cs="Arial"/>
                <w:sz w:val="16"/>
                <w:lang w:eastAsia="es-AR"/>
              </w:rPr>
            </w:pPr>
            <w:r w:rsidRPr="00701F32">
              <w:rPr>
                <w:rFonts w:ascii="Arial" w:eastAsia="Calibri" w:hAnsi="Arial" w:cs="Arial"/>
                <w:color w:val="000000"/>
                <w:sz w:val="16"/>
              </w:rPr>
              <w:t xml:space="preserve">              -   </w:t>
            </w:r>
          </w:p>
        </w:tc>
        <w:tc>
          <w:tcPr>
            <w:tcW w:w="552" w:type="pct"/>
            <w:tcBorders>
              <w:top w:val="nil"/>
              <w:left w:val="nil"/>
              <w:bottom w:val="single" w:sz="4" w:space="0" w:color="auto"/>
              <w:right w:val="single" w:sz="4" w:space="0" w:color="auto"/>
            </w:tcBorders>
            <w:vAlign w:val="center"/>
          </w:tcPr>
          <w:p w14:paraId="35F59A82" w14:textId="3BBA8A89" w:rsidR="008C4C54" w:rsidRPr="00701F32" w:rsidRDefault="00556F6F">
            <w:pPr>
              <w:jc w:val="right"/>
              <w:rPr>
                <w:rFonts w:ascii="Arial" w:eastAsia="Calibri" w:hAnsi="Arial" w:cs="Arial"/>
                <w:color w:val="000000"/>
                <w:sz w:val="16"/>
              </w:rPr>
            </w:pPr>
            <w:r w:rsidRPr="00701F32">
              <w:rPr>
                <w:rFonts w:ascii="Arial" w:eastAsia="Calibri" w:hAnsi="Arial" w:cs="Arial"/>
                <w:color w:val="000000"/>
                <w:sz w:val="16"/>
              </w:rPr>
              <w:t>10.309</w:t>
            </w:r>
          </w:p>
        </w:tc>
      </w:tr>
      <w:tr w:rsidR="008C4C54" w:rsidRPr="00701F32" w14:paraId="461F8ED4" w14:textId="77777777" w:rsidTr="0086282C">
        <w:trPr>
          <w:trHeight w:val="239"/>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54BB5979" w14:textId="77777777" w:rsidR="008C4C54" w:rsidRPr="00701F32" w:rsidRDefault="008C4C54" w:rsidP="00464C0F">
            <w:pPr>
              <w:jc w:val="both"/>
              <w:rPr>
                <w:rFonts w:ascii="Arial" w:hAnsi="Arial" w:cs="Arial"/>
                <w:b/>
                <w:bCs/>
                <w:sz w:val="16"/>
                <w:lang w:eastAsia="es-AR"/>
              </w:rPr>
            </w:pPr>
            <w:r w:rsidRPr="00701F32">
              <w:rPr>
                <w:rFonts w:ascii="Arial" w:hAnsi="Arial" w:cs="Arial"/>
                <w:b/>
                <w:bCs/>
                <w:sz w:val="16"/>
                <w:lang w:eastAsia="es-AR"/>
              </w:rPr>
              <w:t>Total Pasivo</w:t>
            </w:r>
          </w:p>
        </w:tc>
        <w:tc>
          <w:tcPr>
            <w:tcW w:w="630" w:type="pct"/>
            <w:tcBorders>
              <w:top w:val="nil"/>
              <w:left w:val="nil"/>
              <w:bottom w:val="single" w:sz="4" w:space="0" w:color="auto"/>
              <w:right w:val="single" w:sz="4" w:space="0" w:color="auto"/>
            </w:tcBorders>
            <w:shd w:val="clear" w:color="auto" w:fill="auto"/>
            <w:noWrap/>
            <w:vAlign w:val="center"/>
            <w:hideMark/>
          </w:tcPr>
          <w:p w14:paraId="32645F55" w14:textId="7E61749F" w:rsidR="008C4C54" w:rsidRPr="00701F32" w:rsidRDefault="00556F6F">
            <w:pPr>
              <w:jc w:val="right"/>
              <w:rPr>
                <w:rFonts w:ascii="Arial" w:hAnsi="Arial" w:cs="Arial"/>
                <w:b/>
                <w:bCs/>
                <w:sz w:val="16"/>
                <w:lang w:eastAsia="es-AR"/>
              </w:rPr>
            </w:pPr>
            <w:r w:rsidRPr="00701F32">
              <w:rPr>
                <w:rFonts w:ascii="Arial" w:hAnsi="Arial" w:cs="Arial"/>
                <w:b/>
                <w:bCs/>
                <w:sz w:val="16"/>
                <w:lang w:eastAsia="es-AR"/>
              </w:rPr>
              <w:t>3.207.767</w:t>
            </w:r>
          </w:p>
        </w:tc>
        <w:tc>
          <w:tcPr>
            <w:tcW w:w="708" w:type="pct"/>
            <w:tcBorders>
              <w:top w:val="nil"/>
              <w:left w:val="nil"/>
              <w:bottom w:val="single" w:sz="4" w:space="0" w:color="auto"/>
              <w:right w:val="single" w:sz="4" w:space="0" w:color="auto"/>
            </w:tcBorders>
            <w:shd w:val="clear" w:color="auto" w:fill="auto"/>
            <w:noWrap/>
            <w:vAlign w:val="center"/>
            <w:hideMark/>
          </w:tcPr>
          <w:p w14:paraId="4FAA1AB1" w14:textId="77777777" w:rsidR="008C4C54" w:rsidRPr="00701F32" w:rsidRDefault="008C4C54">
            <w:pPr>
              <w:jc w:val="right"/>
              <w:rPr>
                <w:rFonts w:ascii="Arial" w:eastAsia="Calibri" w:hAnsi="Arial" w:cs="Arial"/>
                <w:b/>
                <w:bCs/>
                <w:color w:val="000000"/>
                <w:sz w:val="16"/>
              </w:rPr>
            </w:pPr>
            <w:r w:rsidRPr="00701F32">
              <w:rPr>
                <w:rFonts w:ascii="Arial" w:eastAsia="Calibri" w:hAnsi="Arial" w:cs="Arial"/>
                <w:b/>
                <w:bCs/>
                <w:color w:val="000000"/>
                <w:sz w:val="16"/>
              </w:rPr>
              <w:t xml:space="preserve">- </w:t>
            </w:r>
          </w:p>
        </w:tc>
        <w:tc>
          <w:tcPr>
            <w:tcW w:w="630" w:type="pct"/>
            <w:tcBorders>
              <w:top w:val="nil"/>
              <w:left w:val="nil"/>
              <w:bottom w:val="single" w:sz="4" w:space="0" w:color="auto"/>
              <w:right w:val="single" w:sz="4" w:space="0" w:color="auto"/>
            </w:tcBorders>
            <w:shd w:val="clear" w:color="auto" w:fill="auto"/>
            <w:noWrap/>
            <w:vAlign w:val="center"/>
            <w:hideMark/>
          </w:tcPr>
          <w:p w14:paraId="4BCED7D5" w14:textId="77777777" w:rsidR="008C4C54" w:rsidRPr="00701F32" w:rsidRDefault="008C4C54">
            <w:pPr>
              <w:jc w:val="right"/>
              <w:rPr>
                <w:rFonts w:ascii="Arial" w:hAnsi="Arial" w:cs="Arial"/>
                <w:b/>
                <w:bCs/>
                <w:sz w:val="16"/>
                <w:lang w:eastAsia="es-AR"/>
              </w:rPr>
            </w:pPr>
            <w:r w:rsidRPr="00701F32">
              <w:rPr>
                <w:rFonts w:ascii="Arial" w:hAnsi="Arial" w:cs="Arial"/>
                <w:b/>
                <w:bCs/>
                <w:sz w:val="16"/>
                <w:lang w:eastAsia="es-AR"/>
              </w:rPr>
              <w:t>-</w:t>
            </w:r>
          </w:p>
        </w:tc>
        <w:tc>
          <w:tcPr>
            <w:tcW w:w="552" w:type="pct"/>
            <w:tcBorders>
              <w:top w:val="nil"/>
              <w:left w:val="nil"/>
              <w:bottom w:val="single" w:sz="4" w:space="0" w:color="auto"/>
              <w:right w:val="single" w:sz="4" w:space="0" w:color="auto"/>
            </w:tcBorders>
            <w:vAlign w:val="center"/>
          </w:tcPr>
          <w:p w14:paraId="593AF6EC" w14:textId="7BC3E335" w:rsidR="008C4C54" w:rsidRPr="00701F32" w:rsidRDefault="00556F6F">
            <w:pPr>
              <w:jc w:val="right"/>
              <w:rPr>
                <w:rFonts w:ascii="Arial" w:hAnsi="Arial" w:cs="Arial"/>
                <w:b/>
                <w:bCs/>
                <w:sz w:val="16"/>
                <w:lang w:eastAsia="es-AR"/>
              </w:rPr>
            </w:pPr>
            <w:r w:rsidRPr="00701F32">
              <w:rPr>
                <w:rFonts w:ascii="Arial" w:hAnsi="Arial" w:cs="Arial"/>
                <w:b/>
                <w:bCs/>
                <w:sz w:val="16"/>
                <w:lang w:eastAsia="es-AR"/>
              </w:rPr>
              <w:t>3.207.767</w:t>
            </w:r>
          </w:p>
        </w:tc>
      </w:tr>
    </w:tbl>
    <w:p w14:paraId="43B745B7" w14:textId="5ACA26C3" w:rsidR="00656E62" w:rsidRDefault="00656E62" w:rsidP="00656E62">
      <w:pPr>
        <w:spacing w:after="160" w:line="259" w:lineRule="auto"/>
        <w:jc w:val="both"/>
        <w:rPr>
          <w:rFonts w:ascii="Arial" w:eastAsia="Calibri" w:hAnsi="Arial" w:cs="Arial"/>
          <w:bCs/>
          <w:sz w:val="20"/>
        </w:rPr>
      </w:pPr>
    </w:p>
    <w:p w14:paraId="183DF73C" w14:textId="77777777" w:rsidR="006C6698" w:rsidRPr="00701F32" w:rsidRDefault="006C6698" w:rsidP="00656E62">
      <w:pPr>
        <w:spacing w:after="160" w:line="259" w:lineRule="auto"/>
        <w:jc w:val="both"/>
        <w:rPr>
          <w:rFonts w:ascii="Arial" w:eastAsia="Calibri" w:hAnsi="Arial" w:cs="Arial"/>
          <w:bCs/>
          <w:sz w:val="20"/>
        </w:rPr>
      </w:pPr>
    </w:p>
    <w:p w14:paraId="68FA4A21" w14:textId="77777777" w:rsidR="00656E62" w:rsidRPr="00701F32" w:rsidRDefault="00656E62" w:rsidP="00656E62">
      <w:pPr>
        <w:spacing w:after="160" w:line="259" w:lineRule="auto"/>
        <w:jc w:val="both"/>
        <w:rPr>
          <w:rFonts w:ascii="Arial" w:eastAsia="Calibri" w:hAnsi="Arial" w:cs="Arial"/>
          <w:b/>
          <w:bCs/>
          <w:sz w:val="20"/>
        </w:rPr>
      </w:pPr>
      <w:r w:rsidRPr="00701F32">
        <w:rPr>
          <w:rFonts w:ascii="Arial" w:eastAsia="Calibri" w:hAnsi="Arial" w:cs="Arial"/>
          <w:b/>
          <w:bCs/>
          <w:sz w:val="20"/>
        </w:rPr>
        <w:t>Técnicas de Valuación</w:t>
      </w:r>
    </w:p>
    <w:p w14:paraId="64FACD38"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Las técnicas de valuación para la determinación de los Valores Razonables incluyen:</w:t>
      </w:r>
    </w:p>
    <w:p w14:paraId="049FD981" w14:textId="77777777" w:rsidR="00656E62" w:rsidRPr="00701F32" w:rsidRDefault="00656E62" w:rsidP="00656E62">
      <w:pPr>
        <w:numPr>
          <w:ilvl w:val="0"/>
          <w:numId w:val="46"/>
        </w:numPr>
        <w:spacing w:after="160" w:line="259" w:lineRule="auto"/>
        <w:contextualSpacing/>
        <w:jc w:val="both"/>
        <w:rPr>
          <w:rFonts w:ascii="Arial" w:eastAsia="Calibri" w:hAnsi="Arial" w:cs="Arial"/>
          <w:bCs/>
          <w:sz w:val="20"/>
        </w:rPr>
      </w:pPr>
      <w:r w:rsidRPr="00701F32">
        <w:rPr>
          <w:rFonts w:ascii="Arial" w:eastAsia="Calibri" w:hAnsi="Arial" w:cs="Arial"/>
          <w:bCs/>
          <w:sz w:val="20"/>
        </w:rPr>
        <w:t>Precios de mercado o cotizaciones de instrumentos similares.</w:t>
      </w:r>
    </w:p>
    <w:p w14:paraId="0367DC85" w14:textId="77777777" w:rsidR="00656E62" w:rsidRPr="00701F32" w:rsidRDefault="00656E62" w:rsidP="00656E62">
      <w:pPr>
        <w:numPr>
          <w:ilvl w:val="0"/>
          <w:numId w:val="46"/>
        </w:numPr>
        <w:spacing w:after="160" w:line="259" w:lineRule="auto"/>
        <w:contextualSpacing/>
        <w:jc w:val="both"/>
        <w:rPr>
          <w:rFonts w:ascii="Arial" w:eastAsia="Calibri" w:hAnsi="Arial" w:cs="Arial"/>
          <w:bCs/>
          <w:sz w:val="20"/>
        </w:rPr>
      </w:pPr>
      <w:r w:rsidRPr="00701F32">
        <w:rPr>
          <w:rFonts w:ascii="Arial" w:eastAsia="Calibri" w:hAnsi="Arial" w:cs="Arial"/>
          <w:bCs/>
          <w:sz w:val="20"/>
        </w:rPr>
        <w:t>Determinación de valor actual estimado de los instrumentos.</w:t>
      </w:r>
    </w:p>
    <w:p w14:paraId="428385B3" w14:textId="77777777" w:rsidR="00656E62" w:rsidRPr="00701F32" w:rsidRDefault="00656E62" w:rsidP="00656E62">
      <w:pPr>
        <w:spacing w:after="160" w:line="259" w:lineRule="auto"/>
        <w:ind w:left="720"/>
        <w:contextualSpacing/>
        <w:jc w:val="both"/>
        <w:rPr>
          <w:rFonts w:ascii="Arial" w:eastAsia="Calibri" w:hAnsi="Arial" w:cs="Arial"/>
          <w:bCs/>
          <w:sz w:val="20"/>
        </w:rPr>
      </w:pPr>
    </w:p>
    <w:p w14:paraId="4AAD0463" w14:textId="77777777" w:rsidR="00556F6F" w:rsidRPr="00701F32" w:rsidRDefault="00656E62" w:rsidP="00556F6F">
      <w:pPr>
        <w:spacing w:after="160" w:line="259" w:lineRule="auto"/>
        <w:jc w:val="both"/>
        <w:rPr>
          <w:rFonts w:ascii="Arial" w:eastAsia="Calibri" w:hAnsi="Arial" w:cs="Arial"/>
          <w:bCs/>
          <w:sz w:val="20"/>
        </w:rPr>
      </w:pPr>
      <w:r w:rsidRPr="00701F32">
        <w:rPr>
          <w:rFonts w:ascii="Arial" w:eastAsia="Calibri" w:hAnsi="Arial" w:cs="Arial"/>
          <w:bCs/>
          <w:sz w:val="20"/>
        </w:rPr>
        <w:t xml:space="preserve">Todas las estimaciones del valor razonable se incluyen en el nivel 2. Para ello, la Entidad utiliza técnicas de valorización por medio de curvas de tasa spot que estiman curvas de rendimiento en base a precios de mercado. </w:t>
      </w:r>
      <w:r w:rsidR="00556F6F" w:rsidRPr="00701F32">
        <w:rPr>
          <w:rFonts w:ascii="Arial" w:eastAsia="Calibri" w:hAnsi="Arial" w:cs="Arial"/>
          <w:bCs/>
          <w:sz w:val="20"/>
        </w:rPr>
        <w:t>Las mismas se detallan a continuación:</w:t>
      </w:r>
    </w:p>
    <w:p w14:paraId="6A8E1411" w14:textId="786CD2C7" w:rsidR="00556F6F" w:rsidRPr="00701F32" w:rsidRDefault="00556F6F" w:rsidP="00556F6F">
      <w:pPr>
        <w:spacing w:after="160" w:line="259" w:lineRule="auto"/>
        <w:jc w:val="both"/>
        <w:rPr>
          <w:rFonts w:ascii="Arial" w:eastAsia="Calibri" w:hAnsi="Arial" w:cs="Arial"/>
          <w:bCs/>
          <w:sz w:val="20"/>
        </w:rPr>
      </w:pPr>
      <w:r w:rsidRPr="00701F32">
        <w:rPr>
          <w:rFonts w:ascii="Arial" w:eastAsia="Calibri" w:hAnsi="Arial" w:cs="Arial"/>
          <w:bCs/>
          <w:sz w:val="20"/>
        </w:rPr>
        <w:t>-</w:t>
      </w:r>
      <w:r w:rsidRPr="00701F32">
        <w:rPr>
          <w:rFonts w:ascii="Arial" w:eastAsia="Calibri" w:hAnsi="Arial" w:cs="Arial"/>
          <w:bCs/>
          <w:sz w:val="20"/>
        </w:rPr>
        <w:tab/>
        <w:t xml:space="preserve">Modelo de interpolación: Consiste en la determinación del valor de instrumentos financieros que no poseen precio de mercado a la fecha de cierre, a partir de las cotizaciones de especies asimilables (tanto en condiciones de emisión, moneda, y duración) en mercado activo (MAE, Bolsar o secundarios) por medio de la interpolación lineal de las mismas. Esta técnica ha sido utilizada por la Entidad para determinar el valor razonable de los instrumentos emitidos por el BCRA </w:t>
      </w:r>
      <w:r w:rsidR="00284EEC" w:rsidRPr="00701F32">
        <w:rPr>
          <w:rFonts w:ascii="Arial" w:eastAsia="Calibri" w:hAnsi="Arial" w:cs="Arial"/>
          <w:bCs/>
          <w:sz w:val="20"/>
        </w:rPr>
        <w:t xml:space="preserve">y Letras del Tesoro </w:t>
      </w:r>
      <w:r w:rsidRPr="00701F32">
        <w:rPr>
          <w:rFonts w:ascii="Arial" w:eastAsia="Calibri" w:hAnsi="Arial" w:cs="Arial"/>
          <w:bCs/>
          <w:sz w:val="20"/>
        </w:rPr>
        <w:t>sin cotización al cierre del presente periodo.</w:t>
      </w:r>
    </w:p>
    <w:p w14:paraId="67A4C2AA" w14:textId="77777777" w:rsidR="00556F6F" w:rsidRPr="00701F32" w:rsidRDefault="00556F6F" w:rsidP="00656E62">
      <w:pPr>
        <w:spacing w:after="160" w:line="259" w:lineRule="auto"/>
        <w:jc w:val="both"/>
        <w:rPr>
          <w:rFonts w:ascii="Arial" w:eastAsia="Calibri" w:hAnsi="Arial" w:cs="Arial"/>
          <w:bCs/>
          <w:sz w:val="20"/>
        </w:rPr>
      </w:pPr>
      <w:r w:rsidRPr="00701F32">
        <w:rPr>
          <w:rFonts w:ascii="Arial" w:eastAsia="Calibri" w:hAnsi="Arial" w:cs="Arial"/>
          <w:bCs/>
          <w:sz w:val="20"/>
        </w:rPr>
        <w:t>-</w:t>
      </w:r>
      <w:r w:rsidRPr="00701F32">
        <w:rPr>
          <w:rFonts w:ascii="Arial" w:eastAsia="Calibri" w:hAnsi="Arial" w:cs="Arial"/>
          <w:bCs/>
          <w:sz w:val="20"/>
        </w:rPr>
        <w:tab/>
        <w:t>Modelo de Curvas de rendimiento bajo Nelson Siegel: Este modelo propone una función continua para modelar la trayectoria de la tasa de interés forward instantánea considerando como dominio el plazo comprendido hasta el próximo pago de interés y/o capital. Consiste en la determinación del precio de una especie por medio de un modelo de valor de riesgo a precio teórico, estimándose para ello la volatilidad a través de curvas de mercado. La Entidad ha utilizado este modelo para estimar precios en obligaciones negociables o especies ajustables por tasa BADLAR o por inflación.</w:t>
      </w:r>
    </w:p>
    <w:p w14:paraId="36CCE294" w14:textId="77777777" w:rsidR="00656E62" w:rsidRPr="00701F32" w:rsidRDefault="00656E62" w:rsidP="00656E62">
      <w:pPr>
        <w:spacing w:after="160" w:line="259" w:lineRule="auto"/>
        <w:jc w:val="both"/>
        <w:rPr>
          <w:rFonts w:ascii="Arial" w:eastAsia="Calibri" w:hAnsi="Arial" w:cs="Arial"/>
          <w:bCs/>
          <w:color w:val="0000CC"/>
          <w:sz w:val="20"/>
        </w:rPr>
      </w:pPr>
      <w:r w:rsidRPr="00701F32">
        <w:rPr>
          <w:rFonts w:ascii="Arial" w:eastAsia="Calibri" w:hAnsi="Arial" w:cs="Arial"/>
          <w:bCs/>
          <w:sz w:val="20"/>
        </w:rPr>
        <w:t>La entidad evalúa periódicamente la performance de los modelos en función de indicadores los cuales poseen definidos umbrales de tolerancia</w:t>
      </w:r>
      <w:r w:rsidRPr="00701F32">
        <w:rPr>
          <w:rFonts w:ascii="Arial" w:eastAsia="Calibri" w:hAnsi="Arial" w:cs="Arial"/>
          <w:bCs/>
          <w:color w:val="0000CC"/>
          <w:sz w:val="20"/>
        </w:rPr>
        <w:t xml:space="preserve">. </w:t>
      </w:r>
    </w:p>
    <w:p w14:paraId="6D1D140A" w14:textId="1D6C05CF" w:rsidR="00656E6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De acuerdo a las NIIF, el valor residual estimado de un instrumento al inicio es, generalmente, el precio de la transacción. En el caso que el precio de transacción difiera del valor razonable determinado, la diferencia será reconocida en el estado de resultados en forma proporcional durante la duración del instrumento. Al 3</w:t>
      </w:r>
      <w:r w:rsidR="002226E8" w:rsidRPr="00701F32">
        <w:rPr>
          <w:rFonts w:ascii="Arial" w:eastAsia="Calibri" w:hAnsi="Arial" w:cs="Arial"/>
          <w:bCs/>
          <w:sz w:val="20"/>
        </w:rPr>
        <w:t>0 de septiembre</w:t>
      </w:r>
      <w:r w:rsidRPr="00701F32">
        <w:rPr>
          <w:rFonts w:ascii="Arial" w:eastAsia="Calibri" w:hAnsi="Arial" w:cs="Arial"/>
          <w:bCs/>
          <w:sz w:val="20"/>
        </w:rPr>
        <w:t xml:space="preserve"> de 2018 no se han registrado diferencias respecto del ejercicio precedente.</w:t>
      </w:r>
    </w:p>
    <w:p w14:paraId="0F96C064" w14:textId="77777777" w:rsidR="00D57127" w:rsidRPr="00701F32" w:rsidRDefault="00D57127" w:rsidP="00656E62">
      <w:pPr>
        <w:spacing w:after="160" w:line="259" w:lineRule="auto"/>
        <w:jc w:val="both"/>
        <w:rPr>
          <w:rFonts w:ascii="Arial" w:eastAsia="Calibri" w:hAnsi="Arial" w:cs="Arial"/>
          <w:b/>
          <w:sz w:val="20"/>
        </w:rPr>
      </w:pPr>
      <w:r w:rsidRPr="00701F32">
        <w:rPr>
          <w:rFonts w:ascii="Arial" w:eastAsia="Calibri" w:hAnsi="Arial" w:cs="Arial"/>
          <w:b/>
          <w:sz w:val="20"/>
        </w:rPr>
        <w:t>7. DETALLE DE PRINCIPALES RUBROS</w:t>
      </w:r>
    </w:p>
    <w:p w14:paraId="255F8071"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7.1 Títulos de deuda</w:t>
      </w:r>
    </w:p>
    <w:p w14:paraId="5BCF26CC" w14:textId="77777777" w:rsidR="002E6AB0" w:rsidRPr="00701F32" w:rsidRDefault="002E6AB0" w:rsidP="00D57127">
      <w:pPr>
        <w:rPr>
          <w:rFonts w:ascii="Arial" w:hAnsi="Arial" w:cs="Arial"/>
          <w:bCs/>
          <w:color w:val="000000"/>
          <w:sz w:val="20"/>
          <w:lang w:eastAsia="es-AR"/>
        </w:rPr>
      </w:pPr>
    </w:p>
    <w:p w14:paraId="4B5AE7A3" w14:textId="2E09154F" w:rsidR="000B2ED3" w:rsidRDefault="00D57127" w:rsidP="00D57127">
      <w:pPr>
        <w:spacing w:after="160" w:line="259" w:lineRule="auto"/>
        <w:rPr>
          <w:rFonts w:ascii="Arial" w:eastAsiaTheme="minorHAnsi" w:hAnsi="Arial" w:cs="Arial"/>
          <w:sz w:val="22"/>
          <w:szCs w:val="22"/>
        </w:rPr>
      </w:pPr>
      <w:r w:rsidRPr="00701F32">
        <w:rPr>
          <w:rFonts w:ascii="Arial" w:eastAsiaTheme="minorHAnsi" w:hAnsi="Arial" w:cs="Arial"/>
          <w:sz w:val="20"/>
          <w:szCs w:val="22"/>
        </w:rPr>
        <w:t xml:space="preserve">Los principales componentes del rubro títulos de deuda </w:t>
      </w:r>
      <w:r w:rsidR="002E6AB0" w:rsidRPr="00701F32">
        <w:rPr>
          <w:rFonts w:ascii="Arial" w:eastAsiaTheme="minorHAnsi" w:hAnsi="Arial" w:cs="Arial"/>
          <w:sz w:val="20"/>
          <w:szCs w:val="22"/>
        </w:rPr>
        <w:t>a valor razonable con cambios en resultados al</w:t>
      </w:r>
      <w:r w:rsidRPr="00701F32">
        <w:rPr>
          <w:rFonts w:ascii="Arial" w:eastAsiaTheme="minorHAnsi" w:hAnsi="Arial" w:cs="Arial"/>
          <w:sz w:val="20"/>
          <w:szCs w:val="22"/>
        </w:rPr>
        <w:t xml:space="preserve"> 3</w:t>
      </w:r>
      <w:r w:rsidR="007E0DB2" w:rsidRPr="00701F32">
        <w:rPr>
          <w:rFonts w:ascii="Arial" w:eastAsiaTheme="minorHAnsi" w:hAnsi="Arial" w:cs="Arial"/>
          <w:sz w:val="20"/>
          <w:szCs w:val="22"/>
        </w:rPr>
        <w:t xml:space="preserve">0 </w:t>
      </w:r>
      <w:r w:rsidRPr="00701F32">
        <w:rPr>
          <w:rFonts w:ascii="Arial" w:eastAsiaTheme="minorHAnsi" w:hAnsi="Arial" w:cs="Arial"/>
          <w:sz w:val="20"/>
          <w:szCs w:val="22"/>
        </w:rPr>
        <w:t xml:space="preserve">de </w:t>
      </w:r>
      <w:r w:rsidR="00837BEB" w:rsidRPr="00701F32">
        <w:rPr>
          <w:rFonts w:ascii="Arial" w:eastAsiaTheme="minorHAnsi" w:hAnsi="Arial" w:cs="Arial"/>
          <w:sz w:val="20"/>
          <w:szCs w:val="22"/>
        </w:rPr>
        <w:t>septiembre</w:t>
      </w:r>
      <w:r w:rsidR="006D5978"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r w:rsidRPr="00701F32">
        <w:rPr>
          <w:rFonts w:ascii="Arial" w:eastAsiaTheme="minorHAnsi" w:hAnsi="Arial" w:cs="Arial"/>
          <w:sz w:val="22"/>
          <w:szCs w:val="22"/>
        </w:rPr>
        <w:t>:</w:t>
      </w:r>
    </w:p>
    <w:p w14:paraId="2D8346C0" w14:textId="77777777" w:rsidR="006C6698" w:rsidRPr="00701F32" w:rsidRDefault="006C6698" w:rsidP="00D57127">
      <w:pPr>
        <w:spacing w:after="160" w:line="259" w:lineRule="auto"/>
        <w:rPr>
          <w:rFonts w:ascii="Arial" w:eastAsiaTheme="minorHAnsi" w:hAnsi="Arial" w:cs="Arial"/>
          <w:sz w:val="22"/>
          <w:szCs w:val="22"/>
        </w:rPr>
      </w:pPr>
    </w:p>
    <w:tbl>
      <w:tblPr>
        <w:tblW w:w="6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1376"/>
        <w:gridCol w:w="1376"/>
        <w:gridCol w:w="1376"/>
      </w:tblGrid>
      <w:tr w:rsidR="00D57127" w:rsidRPr="00701F32" w14:paraId="66932C18" w14:textId="77777777" w:rsidTr="0086282C">
        <w:trPr>
          <w:trHeight w:val="255"/>
          <w:jc w:val="center"/>
        </w:trPr>
        <w:tc>
          <w:tcPr>
            <w:tcW w:w="2036" w:type="dxa"/>
            <w:shd w:val="clear" w:color="auto" w:fill="auto"/>
            <w:noWrap/>
            <w:vAlign w:val="bottom"/>
            <w:hideMark/>
          </w:tcPr>
          <w:p w14:paraId="79753BCB" w14:textId="77777777" w:rsidR="00D57127" w:rsidRPr="00701F32" w:rsidRDefault="00D57127" w:rsidP="00D57127">
            <w:pPr>
              <w:rPr>
                <w:rFonts w:ascii="Arial" w:hAnsi="Arial" w:cs="Arial"/>
                <w:b/>
                <w:bCs/>
                <w:color w:val="000000"/>
                <w:sz w:val="20"/>
                <w:u w:val="single"/>
                <w:lang w:eastAsia="es-AR"/>
              </w:rPr>
            </w:pPr>
          </w:p>
        </w:tc>
        <w:tc>
          <w:tcPr>
            <w:tcW w:w="1376" w:type="dxa"/>
            <w:shd w:val="clear" w:color="auto" w:fill="auto"/>
            <w:noWrap/>
            <w:vAlign w:val="bottom"/>
            <w:hideMark/>
          </w:tcPr>
          <w:p w14:paraId="2183C3F3" w14:textId="77777777" w:rsidR="00D57127" w:rsidRPr="00701F32" w:rsidRDefault="00D57127"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5700F5A7"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5ADCE03B"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25BC2A9E" w14:textId="77777777" w:rsidTr="00E311C9">
        <w:trPr>
          <w:trHeight w:val="255"/>
          <w:jc w:val="center"/>
        </w:trPr>
        <w:tc>
          <w:tcPr>
            <w:tcW w:w="2036" w:type="dxa"/>
            <w:shd w:val="clear" w:color="auto" w:fill="auto"/>
            <w:noWrap/>
            <w:vAlign w:val="bottom"/>
            <w:hideMark/>
          </w:tcPr>
          <w:p w14:paraId="0E9B4F61"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Títulos públicos</w:t>
            </w:r>
          </w:p>
        </w:tc>
        <w:tc>
          <w:tcPr>
            <w:tcW w:w="1376" w:type="dxa"/>
            <w:shd w:val="clear" w:color="auto" w:fill="auto"/>
            <w:noWrap/>
            <w:vAlign w:val="bottom"/>
          </w:tcPr>
          <w:p w14:paraId="7741049E" w14:textId="0DCD8BC4"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sz w:val="20"/>
              </w:rPr>
              <w:t xml:space="preserve">1.263.897 </w:t>
            </w:r>
          </w:p>
        </w:tc>
        <w:tc>
          <w:tcPr>
            <w:tcW w:w="1376" w:type="dxa"/>
            <w:shd w:val="clear" w:color="auto" w:fill="auto"/>
            <w:noWrap/>
            <w:vAlign w:val="bottom"/>
            <w:hideMark/>
          </w:tcPr>
          <w:p w14:paraId="145B0D1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1.479.924 </w:t>
            </w:r>
          </w:p>
        </w:tc>
        <w:tc>
          <w:tcPr>
            <w:tcW w:w="1376" w:type="dxa"/>
            <w:shd w:val="clear" w:color="auto" w:fill="auto"/>
            <w:noWrap/>
            <w:vAlign w:val="bottom"/>
            <w:hideMark/>
          </w:tcPr>
          <w:p w14:paraId="04114622"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115.745 </w:t>
            </w:r>
          </w:p>
        </w:tc>
      </w:tr>
      <w:tr w:rsidR="005B0E46" w:rsidRPr="00701F32" w14:paraId="40162043" w14:textId="77777777" w:rsidTr="00E311C9">
        <w:trPr>
          <w:trHeight w:val="255"/>
          <w:jc w:val="center"/>
        </w:trPr>
        <w:tc>
          <w:tcPr>
            <w:tcW w:w="2036" w:type="dxa"/>
            <w:shd w:val="clear" w:color="auto" w:fill="auto"/>
            <w:noWrap/>
            <w:vAlign w:val="bottom"/>
            <w:hideMark/>
          </w:tcPr>
          <w:p w14:paraId="3EBBC5F1"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Títulos privados</w:t>
            </w:r>
          </w:p>
        </w:tc>
        <w:tc>
          <w:tcPr>
            <w:tcW w:w="1376" w:type="dxa"/>
            <w:shd w:val="clear" w:color="auto" w:fill="auto"/>
            <w:noWrap/>
            <w:vAlign w:val="bottom"/>
          </w:tcPr>
          <w:p w14:paraId="44A58086" w14:textId="21778A1D"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sz w:val="20"/>
              </w:rPr>
              <w:t xml:space="preserve">80.295 </w:t>
            </w:r>
          </w:p>
        </w:tc>
        <w:tc>
          <w:tcPr>
            <w:tcW w:w="1376" w:type="dxa"/>
            <w:shd w:val="clear" w:color="auto" w:fill="auto"/>
            <w:noWrap/>
            <w:vAlign w:val="bottom"/>
            <w:hideMark/>
          </w:tcPr>
          <w:p w14:paraId="1C406395"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52.727 </w:t>
            </w:r>
          </w:p>
        </w:tc>
        <w:tc>
          <w:tcPr>
            <w:tcW w:w="1376" w:type="dxa"/>
            <w:shd w:val="clear" w:color="auto" w:fill="auto"/>
            <w:noWrap/>
            <w:vAlign w:val="bottom"/>
            <w:hideMark/>
          </w:tcPr>
          <w:p w14:paraId="6D3908DE"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w:t>
            </w:r>
          </w:p>
        </w:tc>
      </w:tr>
      <w:tr w:rsidR="005B0E46" w:rsidRPr="00701F32" w14:paraId="548481E9" w14:textId="77777777" w:rsidTr="00E311C9">
        <w:trPr>
          <w:trHeight w:val="255"/>
          <w:jc w:val="center"/>
        </w:trPr>
        <w:tc>
          <w:tcPr>
            <w:tcW w:w="2036" w:type="dxa"/>
            <w:shd w:val="clear" w:color="auto" w:fill="auto"/>
            <w:noWrap/>
            <w:vAlign w:val="bottom"/>
            <w:hideMark/>
          </w:tcPr>
          <w:p w14:paraId="2BE08EAC"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Letras del BCRA</w:t>
            </w:r>
          </w:p>
        </w:tc>
        <w:tc>
          <w:tcPr>
            <w:tcW w:w="1376" w:type="dxa"/>
            <w:shd w:val="clear" w:color="auto" w:fill="auto"/>
            <w:noWrap/>
            <w:vAlign w:val="bottom"/>
          </w:tcPr>
          <w:p w14:paraId="60CE1847" w14:textId="01FA3EF3"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sz w:val="20"/>
              </w:rPr>
              <w:t xml:space="preserve">12.209.045 </w:t>
            </w:r>
          </w:p>
        </w:tc>
        <w:tc>
          <w:tcPr>
            <w:tcW w:w="1376" w:type="dxa"/>
            <w:shd w:val="clear" w:color="auto" w:fill="auto"/>
            <w:noWrap/>
            <w:vAlign w:val="bottom"/>
            <w:hideMark/>
          </w:tcPr>
          <w:p w14:paraId="5D8633AF"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9.795.792 </w:t>
            </w:r>
          </w:p>
        </w:tc>
        <w:tc>
          <w:tcPr>
            <w:tcW w:w="1376" w:type="dxa"/>
            <w:shd w:val="clear" w:color="auto" w:fill="auto"/>
            <w:noWrap/>
            <w:vAlign w:val="bottom"/>
            <w:hideMark/>
          </w:tcPr>
          <w:p w14:paraId="00799CE4"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232.705 </w:t>
            </w:r>
          </w:p>
        </w:tc>
      </w:tr>
      <w:tr w:rsidR="00D57127" w:rsidRPr="00701F32" w14:paraId="6910C47F" w14:textId="77777777" w:rsidTr="00E311C9">
        <w:trPr>
          <w:trHeight w:val="270"/>
          <w:jc w:val="center"/>
        </w:trPr>
        <w:tc>
          <w:tcPr>
            <w:tcW w:w="2036" w:type="dxa"/>
            <w:shd w:val="clear" w:color="auto" w:fill="auto"/>
            <w:noWrap/>
            <w:vAlign w:val="bottom"/>
            <w:hideMark/>
          </w:tcPr>
          <w:p w14:paraId="7A78B27D" w14:textId="77777777" w:rsidR="00D57127" w:rsidRPr="00701F32" w:rsidRDefault="00D57127" w:rsidP="00D57127">
            <w:pPr>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036471D4" w14:textId="16EBBAC2"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13.553.237</w:t>
            </w:r>
          </w:p>
        </w:tc>
        <w:tc>
          <w:tcPr>
            <w:tcW w:w="1376" w:type="dxa"/>
            <w:shd w:val="clear" w:color="auto" w:fill="auto"/>
            <w:noWrap/>
            <w:vAlign w:val="bottom"/>
            <w:hideMark/>
          </w:tcPr>
          <w:p w14:paraId="3F6F94C7"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11.328.443 </w:t>
            </w:r>
          </w:p>
        </w:tc>
        <w:tc>
          <w:tcPr>
            <w:tcW w:w="1376" w:type="dxa"/>
            <w:shd w:val="clear" w:color="auto" w:fill="auto"/>
            <w:noWrap/>
            <w:vAlign w:val="bottom"/>
            <w:hideMark/>
          </w:tcPr>
          <w:p w14:paraId="36AB6A10"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348.450 </w:t>
            </w:r>
          </w:p>
        </w:tc>
      </w:tr>
    </w:tbl>
    <w:p w14:paraId="434F306D" w14:textId="77777777" w:rsidR="00D57127" w:rsidRPr="00701F32" w:rsidRDefault="00D57127" w:rsidP="00D57127">
      <w:pPr>
        <w:spacing w:after="160" w:line="259" w:lineRule="auto"/>
        <w:rPr>
          <w:rFonts w:ascii="Arial" w:eastAsiaTheme="minorHAnsi" w:hAnsi="Arial" w:cs="Arial"/>
          <w:sz w:val="22"/>
          <w:szCs w:val="22"/>
        </w:rPr>
      </w:pPr>
    </w:p>
    <w:p w14:paraId="50019BD7" w14:textId="77777777" w:rsidR="00367CA1" w:rsidRPr="00701F32" w:rsidRDefault="00367CA1" w:rsidP="00367CA1">
      <w:pPr>
        <w:tabs>
          <w:tab w:val="left" w:pos="142"/>
          <w:tab w:val="left" w:pos="851"/>
        </w:tabs>
        <w:spacing w:after="200" w:line="276" w:lineRule="auto"/>
        <w:contextualSpacing/>
        <w:jc w:val="both"/>
        <w:rPr>
          <w:rFonts w:ascii="Arial" w:hAnsi="Arial" w:cs="Arial"/>
          <w:sz w:val="20"/>
          <w:lang w:eastAsia="es-AR"/>
        </w:rPr>
      </w:pPr>
      <w:r w:rsidRPr="00701F32">
        <w:rPr>
          <w:rFonts w:ascii="Arial" w:hAnsi="Arial" w:cs="Arial"/>
          <w:bCs/>
          <w:color w:val="000000"/>
          <w:sz w:val="20"/>
          <w:lang w:eastAsia="es-AR"/>
        </w:rPr>
        <w:t>7.2</w:t>
      </w:r>
      <w:r w:rsidRPr="00701F32">
        <w:rPr>
          <w:rFonts w:ascii="Arial" w:hAnsi="Arial" w:cs="Arial"/>
          <w:sz w:val="20"/>
          <w:lang w:eastAsia="es-AR"/>
        </w:rPr>
        <w:t xml:space="preserve"> Operaciones de Pases Activos y Pasivos:</w:t>
      </w:r>
    </w:p>
    <w:p w14:paraId="68C46391" w14:textId="77777777" w:rsidR="00367CA1" w:rsidRPr="00701F32" w:rsidRDefault="00367CA1" w:rsidP="00367CA1">
      <w:pPr>
        <w:tabs>
          <w:tab w:val="left" w:pos="142"/>
          <w:tab w:val="left" w:pos="2694"/>
        </w:tabs>
        <w:jc w:val="both"/>
        <w:rPr>
          <w:rFonts w:ascii="Arial" w:hAnsi="Arial" w:cs="Arial"/>
          <w:b/>
          <w:sz w:val="20"/>
        </w:rPr>
      </w:pPr>
    </w:p>
    <w:p w14:paraId="512C910F" w14:textId="77777777" w:rsidR="00367CA1" w:rsidRPr="00701F32" w:rsidRDefault="00367CA1" w:rsidP="00367CA1">
      <w:pPr>
        <w:jc w:val="both"/>
        <w:rPr>
          <w:rFonts w:ascii="Arial" w:hAnsi="Arial" w:cs="Arial"/>
          <w:sz w:val="20"/>
          <w:szCs w:val="22"/>
        </w:rPr>
      </w:pPr>
      <w:r w:rsidRPr="00701F32">
        <w:rPr>
          <w:rFonts w:ascii="Arial" w:hAnsi="Arial" w:cs="Arial"/>
          <w:sz w:val="20"/>
          <w:szCs w:val="22"/>
        </w:rPr>
        <w:t>La Entidad mantiene operaciones de pase, por las cuales realiza operaciones de compra y venta al contado de un título valor con la correspondiente concertación de la operación a término del mismo, reteniendo de esta manera sustancialmente todos los riesgos y beneficios asociados a los instrumentos.</w:t>
      </w:r>
    </w:p>
    <w:p w14:paraId="35C5CF0E" w14:textId="77777777" w:rsidR="00367CA1" w:rsidRPr="00701F32" w:rsidRDefault="00367CA1" w:rsidP="00367CA1">
      <w:pPr>
        <w:jc w:val="both"/>
        <w:rPr>
          <w:rFonts w:ascii="Arial" w:hAnsi="Arial" w:cs="Arial"/>
          <w:sz w:val="20"/>
          <w:szCs w:val="22"/>
        </w:rPr>
      </w:pPr>
      <w:r w:rsidRPr="00701F32">
        <w:rPr>
          <w:rFonts w:ascii="Arial" w:hAnsi="Arial" w:cs="Arial"/>
          <w:sz w:val="20"/>
          <w:szCs w:val="22"/>
        </w:rPr>
        <w:t>Los precios de las operaciones a término son valuados de acuerdo a la cotización de los títulos valores a la fecha de cierre, correspondiendo la diferencia entre el precio de concertación y el de cierre a la prima devengada, a favor o en contra según corresponda.</w:t>
      </w:r>
    </w:p>
    <w:p w14:paraId="00A5276D" w14:textId="77777777" w:rsidR="00367CA1" w:rsidRPr="00701F32" w:rsidRDefault="00367CA1" w:rsidP="00367CA1">
      <w:pPr>
        <w:jc w:val="both"/>
        <w:rPr>
          <w:rFonts w:ascii="Arial" w:hAnsi="Arial" w:cs="Arial"/>
          <w:sz w:val="20"/>
          <w:szCs w:val="22"/>
        </w:rPr>
      </w:pPr>
    </w:p>
    <w:p w14:paraId="5AE6442F" w14:textId="77777777" w:rsidR="00367CA1" w:rsidRPr="00701F32" w:rsidRDefault="00367CA1" w:rsidP="00367CA1">
      <w:pPr>
        <w:jc w:val="both"/>
        <w:rPr>
          <w:rFonts w:ascii="Arial" w:hAnsi="Arial" w:cs="Arial"/>
          <w:sz w:val="22"/>
          <w:szCs w:val="22"/>
        </w:rPr>
      </w:pPr>
      <w:r w:rsidRPr="00701F32">
        <w:rPr>
          <w:rFonts w:ascii="Arial" w:hAnsi="Arial" w:cs="Arial"/>
          <w:sz w:val="20"/>
          <w:szCs w:val="22"/>
        </w:rPr>
        <w:t xml:space="preserve">Al </w:t>
      </w:r>
      <w:r w:rsidR="006D5978" w:rsidRPr="00701F32">
        <w:rPr>
          <w:rFonts w:ascii="Arial" w:eastAsiaTheme="minorHAnsi" w:hAnsi="Arial" w:cs="Arial"/>
          <w:sz w:val="20"/>
          <w:szCs w:val="22"/>
        </w:rPr>
        <w:t xml:space="preserve">30 de </w:t>
      </w:r>
      <w:r w:rsidR="00837BEB" w:rsidRPr="00701F32">
        <w:rPr>
          <w:rFonts w:ascii="Arial" w:eastAsiaTheme="minorHAnsi" w:hAnsi="Arial" w:cs="Arial"/>
          <w:sz w:val="20"/>
          <w:szCs w:val="22"/>
        </w:rPr>
        <w:t xml:space="preserve">septiembre </w:t>
      </w:r>
      <w:r w:rsidR="006D5978" w:rsidRPr="00701F32">
        <w:rPr>
          <w:rFonts w:ascii="Arial" w:eastAsiaTheme="minorHAnsi" w:hAnsi="Arial" w:cs="Arial"/>
          <w:sz w:val="20"/>
          <w:szCs w:val="22"/>
        </w:rPr>
        <w:t>de 2018</w:t>
      </w:r>
      <w:r w:rsidRPr="00701F32">
        <w:rPr>
          <w:rFonts w:ascii="Arial" w:hAnsi="Arial" w:cs="Arial"/>
          <w:sz w:val="20"/>
          <w:szCs w:val="22"/>
        </w:rPr>
        <w:t>, 31 de diciembre de y 1 de enero de 2017 se encontraban registrados los siguientes saldos por operaciones de pases</w:t>
      </w:r>
      <w:r w:rsidRPr="00701F32">
        <w:rPr>
          <w:rFonts w:ascii="Arial" w:hAnsi="Arial" w:cs="Arial"/>
          <w:sz w:val="22"/>
          <w:szCs w:val="22"/>
        </w:rPr>
        <w:t>:</w:t>
      </w:r>
    </w:p>
    <w:p w14:paraId="4ED292C5" w14:textId="77777777" w:rsidR="00D12E45" w:rsidRPr="00701F32" w:rsidRDefault="00D12E45" w:rsidP="00367CA1">
      <w:pPr>
        <w:tabs>
          <w:tab w:val="left" w:pos="142"/>
        </w:tabs>
        <w:jc w:val="both"/>
        <w:rPr>
          <w:rFonts w:ascii="Arial" w:hAnsi="Arial" w:cs="Arial"/>
          <w:b/>
          <w:sz w:val="20"/>
        </w:rPr>
      </w:pPr>
    </w:p>
    <w:p w14:paraId="23FEB125" w14:textId="77777777" w:rsidR="000761A8" w:rsidRPr="00701F32" w:rsidRDefault="000761A8" w:rsidP="00367CA1">
      <w:pPr>
        <w:tabs>
          <w:tab w:val="left" w:pos="142"/>
        </w:tabs>
        <w:jc w:val="both"/>
        <w:rPr>
          <w:rFonts w:ascii="Arial" w:hAnsi="Arial" w:cs="Arial"/>
          <w:b/>
          <w:sz w:val="20"/>
        </w:rPr>
      </w:pPr>
    </w:p>
    <w:p w14:paraId="7F5570BF" w14:textId="77777777" w:rsidR="00367CA1" w:rsidRPr="00701F32" w:rsidRDefault="00913516" w:rsidP="00367CA1">
      <w:pPr>
        <w:tabs>
          <w:tab w:val="left" w:pos="142"/>
        </w:tabs>
        <w:jc w:val="both"/>
        <w:rPr>
          <w:rFonts w:ascii="Arial" w:hAnsi="Arial" w:cs="Arial"/>
          <w:b/>
          <w:sz w:val="20"/>
        </w:rPr>
      </w:pPr>
      <w:r w:rsidRPr="00701F32">
        <w:rPr>
          <w:rFonts w:ascii="Arial" w:hAnsi="Arial" w:cs="Arial"/>
          <w:b/>
          <w:sz w:val="20"/>
        </w:rPr>
        <w:t>O</w:t>
      </w:r>
      <w:r w:rsidR="00367CA1" w:rsidRPr="00701F32">
        <w:rPr>
          <w:rFonts w:ascii="Arial" w:hAnsi="Arial" w:cs="Arial"/>
          <w:b/>
          <w:sz w:val="20"/>
        </w:rPr>
        <w:t>peraciones de pases activos:</w:t>
      </w:r>
    </w:p>
    <w:p w14:paraId="0BD33FC8" w14:textId="77777777" w:rsidR="00367CA1" w:rsidRPr="00701F32" w:rsidRDefault="00367CA1" w:rsidP="00367CA1">
      <w:pPr>
        <w:tabs>
          <w:tab w:val="left" w:pos="142"/>
        </w:tabs>
        <w:jc w:val="both"/>
        <w:rPr>
          <w:rFonts w:ascii="Arial" w:hAnsi="Arial" w:cs="Arial"/>
          <w:sz w:val="20"/>
        </w:rPr>
      </w:pPr>
    </w:p>
    <w:p w14:paraId="7D84B759" w14:textId="77777777" w:rsidR="007A57C2" w:rsidRPr="00701F32" w:rsidRDefault="007A57C2" w:rsidP="00367CA1">
      <w:pPr>
        <w:tabs>
          <w:tab w:val="left" w:pos="142"/>
        </w:tabs>
        <w:jc w:val="both"/>
        <w:rPr>
          <w:rFonts w:ascii="Arial" w:hAnsi="Arial" w:cs="Arial"/>
          <w:sz w:val="20"/>
        </w:rPr>
      </w:pPr>
    </w:p>
    <w:tbl>
      <w:tblPr>
        <w:tblW w:w="822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57"/>
        <w:gridCol w:w="1654"/>
        <w:gridCol w:w="851"/>
        <w:gridCol w:w="1842"/>
        <w:gridCol w:w="1418"/>
      </w:tblGrid>
      <w:tr w:rsidR="007A57C2" w:rsidRPr="00701F32" w14:paraId="2AC010DB" w14:textId="77777777" w:rsidTr="00E311C9">
        <w:trPr>
          <w:trHeight w:val="498"/>
          <w:tblHeader/>
        </w:trPr>
        <w:tc>
          <w:tcPr>
            <w:tcW w:w="2457" w:type="dxa"/>
            <w:tcBorders>
              <w:top w:val="single" w:sz="12" w:space="0" w:color="auto"/>
              <w:left w:val="single" w:sz="12" w:space="0" w:color="auto"/>
              <w:bottom w:val="dashSmallGap" w:sz="4" w:space="0" w:color="auto"/>
              <w:right w:val="single" w:sz="6" w:space="0" w:color="auto"/>
            </w:tcBorders>
            <w:vAlign w:val="center"/>
          </w:tcPr>
          <w:p w14:paraId="6B2784B9" w14:textId="77777777" w:rsidR="007A57C2" w:rsidRPr="00701F32" w:rsidRDefault="007A57C2" w:rsidP="007A3D85">
            <w:pPr>
              <w:jc w:val="center"/>
              <w:rPr>
                <w:rFonts w:ascii="Arial" w:hAnsi="Arial" w:cs="Arial"/>
                <w:b/>
                <w:bCs/>
                <w:sz w:val="20"/>
              </w:rPr>
            </w:pPr>
            <w:r w:rsidRPr="00701F32">
              <w:rPr>
                <w:rFonts w:ascii="Arial" w:hAnsi="Arial" w:cs="Arial"/>
                <w:b/>
                <w:bCs/>
                <w:sz w:val="20"/>
              </w:rPr>
              <w:t>Especie</w:t>
            </w:r>
          </w:p>
        </w:tc>
        <w:tc>
          <w:tcPr>
            <w:tcW w:w="1654" w:type="dxa"/>
            <w:tcBorders>
              <w:top w:val="single" w:sz="12" w:space="0" w:color="auto"/>
              <w:left w:val="single" w:sz="6" w:space="0" w:color="auto"/>
              <w:bottom w:val="dashSmallGap" w:sz="4" w:space="0" w:color="auto"/>
              <w:right w:val="single" w:sz="6" w:space="0" w:color="auto"/>
            </w:tcBorders>
            <w:vAlign w:val="center"/>
          </w:tcPr>
          <w:p w14:paraId="661B95A8" w14:textId="77777777" w:rsidR="007A57C2" w:rsidRPr="00701F32" w:rsidRDefault="007A57C2" w:rsidP="007A3D85">
            <w:pPr>
              <w:tabs>
                <w:tab w:val="left" w:pos="142"/>
              </w:tabs>
              <w:jc w:val="center"/>
              <w:rPr>
                <w:rFonts w:ascii="Arial" w:hAnsi="Arial" w:cs="Arial"/>
                <w:b/>
                <w:bCs/>
                <w:sz w:val="20"/>
              </w:rPr>
            </w:pPr>
            <w:r w:rsidRPr="00701F32">
              <w:rPr>
                <w:rFonts w:ascii="Arial" w:hAnsi="Arial" w:cs="Arial"/>
                <w:b/>
                <w:bCs/>
                <w:sz w:val="20"/>
              </w:rPr>
              <w:t>Fecha de Vencimiento</w:t>
            </w:r>
          </w:p>
        </w:tc>
        <w:tc>
          <w:tcPr>
            <w:tcW w:w="851" w:type="dxa"/>
            <w:tcBorders>
              <w:top w:val="single" w:sz="12" w:space="0" w:color="auto"/>
              <w:left w:val="single" w:sz="6" w:space="0" w:color="auto"/>
              <w:bottom w:val="dashSmallGap" w:sz="4" w:space="0" w:color="auto"/>
              <w:right w:val="single" w:sz="6" w:space="0" w:color="auto"/>
            </w:tcBorders>
            <w:vAlign w:val="center"/>
          </w:tcPr>
          <w:p w14:paraId="4B492FF6" w14:textId="77777777" w:rsidR="007A57C2" w:rsidRPr="00701F32" w:rsidRDefault="007A57C2" w:rsidP="007A3D85">
            <w:pPr>
              <w:tabs>
                <w:tab w:val="left" w:pos="142"/>
              </w:tabs>
              <w:jc w:val="center"/>
              <w:rPr>
                <w:rFonts w:ascii="Arial" w:hAnsi="Arial" w:cs="Arial"/>
                <w:b/>
                <w:bCs/>
                <w:sz w:val="20"/>
              </w:rPr>
            </w:pPr>
            <w:r w:rsidRPr="00701F32">
              <w:rPr>
                <w:rFonts w:ascii="Arial" w:hAnsi="Arial" w:cs="Arial"/>
                <w:b/>
                <w:bCs/>
                <w:sz w:val="20"/>
              </w:rPr>
              <w:t>Plazo</w:t>
            </w:r>
          </w:p>
        </w:tc>
        <w:tc>
          <w:tcPr>
            <w:tcW w:w="1842" w:type="dxa"/>
            <w:tcBorders>
              <w:top w:val="single" w:sz="12" w:space="0" w:color="auto"/>
              <w:left w:val="single" w:sz="6" w:space="0" w:color="auto"/>
              <w:bottom w:val="dashSmallGap" w:sz="4" w:space="0" w:color="auto"/>
              <w:right w:val="single" w:sz="6" w:space="0" w:color="auto"/>
            </w:tcBorders>
            <w:vAlign w:val="center"/>
          </w:tcPr>
          <w:p w14:paraId="51C1D9B7" w14:textId="77777777" w:rsidR="007A57C2" w:rsidRPr="00701F32" w:rsidRDefault="007A57C2" w:rsidP="007A3D85">
            <w:pPr>
              <w:tabs>
                <w:tab w:val="left" w:pos="142"/>
              </w:tabs>
              <w:jc w:val="center"/>
              <w:rPr>
                <w:rFonts w:ascii="Arial" w:hAnsi="Arial" w:cs="Arial"/>
                <w:b/>
                <w:bCs/>
                <w:sz w:val="20"/>
              </w:rPr>
            </w:pPr>
            <w:r w:rsidRPr="00701F32">
              <w:rPr>
                <w:rFonts w:ascii="Arial" w:hAnsi="Arial" w:cs="Arial"/>
                <w:b/>
                <w:bCs/>
                <w:sz w:val="20"/>
              </w:rPr>
              <w:t>Valor Nominal</w:t>
            </w:r>
          </w:p>
        </w:tc>
        <w:tc>
          <w:tcPr>
            <w:tcW w:w="1418" w:type="dxa"/>
            <w:tcBorders>
              <w:top w:val="single" w:sz="12" w:space="0" w:color="auto"/>
              <w:left w:val="single" w:sz="6" w:space="0" w:color="auto"/>
              <w:bottom w:val="dashSmallGap" w:sz="4" w:space="0" w:color="auto"/>
              <w:right w:val="single" w:sz="12" w:space="0" w:color="auto"/>
            </w:tcBorders>
            <w:vAlign w:val="center"/>
          </w:tcPr>
          <w:p w14:paraId="14CA2A29" w14:textId="77777777" w:rsidR="007A57C2" w:rsidRPr="00701F32" w:rsidRDefault="007A57C2" w:rsidP="007A3D85">
            <w:pPr>
              <w:tabs>
                <w:tab w:val="left" w:pos="142"/>
              </w:tabs>
              <w:jc w:val="center"/>
              <w:rPr>
                <w:rFonts w:ascii="Arial" w:hAnsi="Arial" w:cs="Arial"/>
                <w:b/>
                <w:bCs/>
                <w:sz w:val="20"/>
              </w:rPr>
            </w:pPr>
            <w:r w:rsidRPr="00701F32">
              <w:rPr>
                <w:rFonts w:ascii="Arial" w:hAnsi="Arial" w:cs="Arial"/>
                <w:b/>
                <w:bCs/>
                <w:sz w:val="20"/>
              </w:rPr>
              <w:t>Valor al Cierre</w:t>
            </w:r>
          </w:p>
        </w:tc>
      </w:tr>
      <w:tr w:rsidR="007A57C2" w:rsidRPr="00701F32" w14:paraId="461277FB" w14:textId="77777777" w:rsidTr="00E311C9">
        <w:trPr>
          <w:trHeight w:val="498"/>
          <w:tblHeader/>
        </w:trPr>
        <w:tc>
          <w:tcPr>
            <w:tcW w:w="2457" w:type="dxa"/>
            <w:tcBorders>
              <w:top w:val="single" w:sz="12" w:space="0" w:color="auto"/>
              <w:left w:val="single" w:sz="12" w:space="0" w:color="auto"/>
              <w:bottom w:val="dashSmallGap" w:sz="4" w:space="0" w:color="auto"/>
              <w:right w:val="single" w:sz="6" w:space="0" w:color="auto"/>
            </w:tcBorders>
            <w:vAlign w:val="center"/>
          </w:tcPr>
          <w:p w14:paraId="2553709C" w14:textId="77777777" w:rsidR="007A57C2" w:rsidRPr="00701F32" w:rsidRDefault="007A57C2" w:rsidP="007A3D85">
            <w:pPr>
              <w:jc w:val="center"/>
              <w:rPr>
                <w:rFonts w:ascii="Arial" w:hAnsi="Arial" w:cs="Arial"/>
                <w:bCs/>
                <w:sz w:val="20"/>
              </w:rPr>
            </w:pPr>
            <w:r w:rsidRPr="00701F32">
              <w:rPr>
                <w:rFonts w:ascii="Arial" w:hAnsi="Arial" w:cs="Arial"/>
                <w:bCs/>
                <w:sz w:val="20"/>
              </w:rPr>
              <w:t>DICY-BONO C/DT</w:t>
            </w:r>
          </w:p>
        </w:tc>
        <w:tc>
          <w:tcPr>
            <w:tcW w:w="1654" w:type="dxa"/>
            <w:tcBorders>
              <w:top w:val="single" w:sz="12" w:space="0" w:color="auto"/>
              <w:left w:val="single" w:sz="6" w:space="0" w:color="auto"/>
              <w:bottom w:val="dashSmallGap" w:sz="4" w:space="0" w:color="auto"/>
              <w:right w:val="single" w:sz="6" w:space="0" w:color="auto"/>
            </w:tcBorders>
            <w:vAlign w:val="center"/>
          </w:tcPr>
          <w:p w14:paraId="0D13DC5A" w14:textId="77777777" w:rsidR="007A57C2" w:rsidRPr="00701F32" w:rsidRDefault="007A57C2" w:rsidP="007A3D85">
            <w:pPr>
              <w:tabs>
                <w:tab w:val="left" w:pos="142"/>
              </w:tabs>
              <w:jc w:val="center"/>
              <w:rPr>
                <w:rFonts w:ascii="Arial" w:hAnsi="Arial" w:cs="Arial"/>
                <w:bCs/>
                <w:sz w:val="20"/>
              </w:rPr>
            </w:pPr>
            <w:r w:rsidRPr="00701F32">
              <w:rPr>
                <w:rFonts w:ascii="Arial" w:hAnsi="Arial" w:cs="Arial"/>
                <w:bCs/>
                <w:sz w:val="20"/>
              </w:rPr>
              <w:t>01/10/2018</w:t>
            </w:r>
          </w:p>
        </w:tc>
        <w:tc>
          <w:tcPr>
            <w:tcW w:w="851" w:type="dxa"/>
            <w:tcBorders>
              <w:top w:val="single" w:sz="12" w:space="0" w:color="auto"/>
              <w:left w:val="single" w:sz="6" w:space="0" w:color="auto"/>
              <w:bottom w:val="dashSmallGap" w:sz="4" w:space="0" w:color="auto"/>
              <w:right w:val="single" w:sz="6" w:space="0" w:color="auto"/>
            </w:tcBorders>
            <w:vAlign w:val="center"/>
          </w:tcPr>
          <w:p w14:paraId="4DF92DB4" w14:textId="77777777" w:rsidR="007A57C2" w:rsidRPr="00701F32" w:rsidRDefault="007A57C2" w:rsidP="007A3D85">
            <w:pPr>
              <w:tabs>
                <w:tab w:val="left" w:pos="142"/>
              </w:tabs>
              <w:jc w:val="center"/>
              <w:rPr>
                <w:rFonts w:ascii="Arial" w:hAnsi="Arial" w:cs="Arial"/>
                <w:bCs/>
                <w:sz w:val="20"/>
              </w:rPr>
            </w:pPr>
            <w:r w:rsidRPr="00701F32">
              <w:rPr>
                <w:rFonts w:ascii="Arial" w:hAnsi="Arial" w:cs="Arial"/>
                <w:bCs/>
                <w:sz w:val="20"/>
              </w:rPr>
              <w:t>3</w:t>
            </w:r>
          </w:p>
        </w:tc>
        <w:tc>
          <w:tcPr>
            <w:tcW w:w="1842" w:type="dxa"/>
            <w:tcBorders>
              <w:top w:val="single" w:sz="12" w:space="0" w:color="auto"/>
              <w:left w:val="single" w:sz="6" w:space="0" w:color="auto"/>
              <w:bottom w:val="dashSmallGap" w:sz="4" w:space="0" w:color="auto"/>
              <w:right w:val="single" w:sz="6" w:space="0" w:color="auto"/>
            </w:tcBorders>
            <w:vAlign w:val="center"/>
          </w:tcPr>
          <w:p w14:paraId="6B5B3764" w14:textId="77777777" w:rsidR="007A57C2" w:rsidRPr="00701F32" w:rsidRDefault="007A57C2" w:rsidP="00E311C9">
            <w:pPr>
              <w:tabs>
                <w:tab w:val="left" w:pos="142"/>
              </w:tabs>
              <w:jc w:val="right"/>
              <w:rPr>
                <w:rFonts w:ascii="Arial" w:hAnsi="Arial" w:cs="Arial"/>
                <w:bCs/>
                <w:sz w:val="20"/>
              </w:rPr>
            </w:pPr>
            <w:r w:rsidRPr="00701F32">
              <w:rPr>
                <w:rFonts w:ascii="Arial" w:hAnsi="Arial" w:cs="Arial"/>
                <w:bCs/>
                <w:sz w:val="20"/>
              </w:rPr>
              <w:t>1.000.000</w:t>
            </w:r>
          </w:p>
        </w:tc>
        <w:tc>
          <w:tcPr>
            <w:tcW w:w="1418" w:type="dxa"/>
            <w:tcBorders>
              <w:top w:val="single" w:sz="12" w:space="0" w:color="auto"/>
              <w:left w:val="single" w:sz="6" w:space="0" w:color="auto"/>
              <w:bottom w:val="dashSmallGap" w:sz="4" w:space="0" w:color="auto"/>
              <w:right w:val="single" w:sz="12" w:space="0" w:color="auto"/>
            </w:tcBorders>
            <w:vAlign w:val="center"/>
          </w:tcPr>
          <w:p w14:paraId="2568F1D6" w14:textId="24F05461" w:rsidR="007A57C2" w:rsidRPr="00701F32" w:rsidRDefault="006470AD" w:rsidP="00E311C9">
            <w:pPr>
              <w:tabs>
                <w:tab w:val="left" w:pos="142"/>
              </w:tabs>
              <w:jc w:val="right"/>
              <w:rPr>
                <w:rFonts w:ascii="Arial" w:hAnsi="Arial" w:cs="Arial"/>
                <w:bCs/>
                <w:sz w:val="20"/>
              </w:rPr>
            </w:pPr>
            <w:r w:rsidRPr="00701F32">
              <w:rPr>
                <w:rFonts w:ascii="Arial" w:hAnsi="Arial" w:cs="Arial"/>
                <w:bCs/>
                <w:sz w:val="20"/>
              </w:rPr>
              <w:t>44.323</w:t>
            </w:r>
          </w:p>
        </w:tc>
      </w:tr>
      <w:tr w:rsidR="007A57C2" w:rsidRPr="00701F32" w14:paraId="0E5CDD90" w14:textId="77777777" w:rsidTr="00E311C9">
        <w:trPr>
          <w:trHeight w:val="498"/>
          <w:tblHeader/>
        </w:trPr>
        <w:tc>
          <w:tcPr>
            <w:tcW w:w="2457" w:type="dxa"/>
            <w:tcBorders>
              <w:top w:val="single" w:sz="12" w:space="0" w:color="auto"/>
              <w:left w:val="single" w:sz="12" w:space="0" w:color="auto"/>
              <w:bottom w:val="dashSmallGap" w:sz="4" w:space="0" w:color="auto"/>
              <w:right w:val="single" w:sz="6" w:space="0" w:color="auto"/>
            </w:tcBorders>
            <w:vAlign w:val="center"/>
          </w:tcPr>
          <w:p w14:paraId="4D91BED6" w14:textId="77777777" w:rsidR="007A57C2" w:rsidRPr="00701F32" w:rsidRDefault="007A57C2" w:rsidP="007A3D85">
            <w:pPr>
              <w:jc w:val="center"/>
              <w:rPr>
                <w:rFonts w:ascii="Arial" w:hAnsi="Arial" w:cs="Arial"/>
                <w:bCs/>
                <w:sz w:val="20"/>
              </w:rPr>
            </w:pPr>
            <w:r w:rsidRPr="00701F32">
              <w:rPr>
                <w:rFonts w:ascii="Arial" w:hAnsi="Arial" w:cs="Arial"/>
                <w:bCs/>
                <w:sz w:val="20"/>
              </w:rPr>
              <w:t>DICA-BONO RA C</w:t>
            </w:r>
          </w:p>
        </w:tc>
        <w:tc>
          <w:tcPr>
            <w:tcW w:w="1654" w:type="dxa"/>
            <w:tcBorders>
              <w:top w:val="single" w:sz="12" w:space="0" w:color="auto"/>
              <w:left w:val="single" w:sz="6" w:space="0" w:color="auto"/>
              <w:bottom w:val="dashSmallGap" w:sz="4" w:space="0" w:color="auto"/>
              <w:right w:val="single" w:sz="6" w:space="0" w:color="auto"/>
            </w:tcBorders>
            <w:vAlign w:val="center"/>
          </w:tcPr>
          <w:p w14:paraId="6B52EBBC" w14:textId="77777777" w:rsidR="007A57C2" w:rsidRPr="00701F32" w:rsidRDefault="007A57C2" w:rsidP="007A3D85">
            <w:pPr>
              <w:tabs>
                <w:tab w:val="left" w:pos="142"/>
              </w:tabs>
              <w:jc w:val="center"/>
              <w:rPr>
                <w:rFonts w:ascii="Arial" w:hAnsi="Arial" w:cs="Arial"/>
                <w:bCs/>
                <w:sz w:val="20"/>
              </w:rPr>
            </w:pPr>
            <w:r w:rsidRPr="00701F32">
              <w:rPr>
                <w:rFonts w:ascii="Arial" w:hAnsi="Arial" w:cs="Arial"/>
                <w:bCs/>
                <w:sz w:val="20"/>
              </w:rPr>
              <w:t>01/10/2018</w:t>
            </w:r>
          </w:p>
        </w:tc>
        <w:tc>
          <w:tcPr>
            <w:tcW w:w="851" w:type="dxa"/>
            <w:tcBorders>
              <w:top w:val="single" w:sz="12" w:space="0" w:color="auto"/>
              <w:left w:val="single" w:sz="6" w:space="0" w:color="auto"/>
              <w:bottom w:val="dashSmallGap" w:sz="4" w:space="0" w:color="auto"/>
              <w:right w:val="single" w:sz="6" w:space="0" w:color="auto"/>
            </w:tcBorders>
            <w:vAlign w:val="center"/>
          </w:tcPr>
          <w:p w14:paraId="672A7CE3" w14:textId="77777777" w:rsidR="007A57C2" w:rsidRPr="00701F32" w:rsidRDefault="007A57C2" w:rsidP="007A3D85">
            <w:pPr>
              <w:tabs>
                <w:tab w:val="left" w:pos="142"/>
              </w:tabs>
              <w:jc w:val="center"/>
              <w:rPr>
                <w:rFonts w:ascii="Arial" w:hAnsi="Arial" w:cs="Arial"/>
                <w:bCs/>
                <w:sz w:val="20"/>
              </w:rPr>
            </w:pPr>
            <w:r w:rsidRPr="00701F32">
              <w:rPr>
                <w:rFonts w:ascii="Arial" w:hAnsi="Arial" w:cs="Arial"/>
                <w:bCs/>
                <w:sz w:val="20"/>
              </w:rPr>
              <w:t>3</w:t>
            </w:r>
          </w:p>
        </w:tc>
        <w:tc>
          <w:tcPr>
            <w:tcW w:w="1842" w:type="dxa"/>
            <w:tcBorders>
              <w:top w:val="single" w:sz="12" w:space="0" w:color="auto"/>
              <w:left w:val="single" w:sz="6" w:space="0" w:color="auto"/>
              <w:bottom w:val="dashSmallGap" w:sz="4" w:space="0" w:color="auto"/>
              <w:right w:val="single" w:sz="6" w:space="0" w:color="auto"/>
            </w:tcBorders>
            <w:vAlign w:val="center"/>
          </w:tcPr>
          <w:p w14:paraId="6405F863" w14:textId="77777777" w:rsidR="007A57C2" w:rsidRPr="00701F32" w:rsidRDefault="007A57C2" w:rsidP="00E311C9">
            <w:pPr>
              <w:tabs>
                <w:tab w:val="left" w:pos="142"/>
              </w:tabs>
              <w:jc w:val="right"/>
              <w:rPr>
                <w:rFonts w:ascii="Arial" w:hAnsi="Arial" w:cs="Arial"/>
                <w:bCs/>
                <w:sz w:val="20"/>
              </w:rPr>
            </w:pPr>
            <w:r w:rsidRPr="00701F32">
              <w:rPr>
                <w:rFonts w:ascii="Arial" w:hAnsi="Arial" w:cs="Arial"/>
                <w:bCs/>
                <w:sz w:val="20"/>
              </w:rPr>
              <w:t>1.500.000</w:t>
            </w:r>
          </w:p>
        </w:tc>
        <w:tc>
          <w:tcPr>
            <w:tcW w:w="1418" w:type="dxa"/>
            <w:tcBorders>
              <w:top w:val="single" w:sz="12" w:space="0" w:color="auto"/>
              <w:left w:val="single" w:sz="6" w:space="0" w:color="auto"/>
              <w:bottom w:val="dashSmallGap" w:sz="4" w:space="0" w:color="auto"/>
              <w:right w:val="single" w:sz="12" w:space="0" w:color="auto"/>
            </w:tcBorders>
            <w:vAlign w:val="center"/>
          </w:tcPr>
          <w:p w14:paraId="5416EBB2" w14:textId="32E1C4E9" w:rsidR="007A57C2" w:rsidRPr="00701F32" w:rsidRDefault="006470AD" w:rsidP="00E311C9">
            <w:pPr>
              <w:tabs>
                <w:tab w:val="left" w:pos="142"/>
              </w:tabs>
              <w:jc w:val="right"/>
              <w:rPr>
                <w:rFonts w:ascii="Arial" w:hAnsi="Arial" w:cs="Arial"/>
                <w:bCs/>
                <w:sz w:val="20"/>
              </w:rPr>
            </w:pPr>
            <w:r w:rsidRPr="00701F32">
              <w:rPr>
                <w:rFonts w:ascii="Arial" w:hAnsi="Arial" w:cs="Arial"/>
                <w:bCs/>
                <w:sz w:val="20"/>
              </w:rPr>
              <w:t>67.415</w:t>
            </w:r>
          </w:p>
        </w:tc>
      </w:tr>
      <w:tr w:rsidR="007A57C2" w:rsidRPr="00701F32" w14:paraId="048966E8" w14:textId="77777777" w:rsidTr="00E311C9">
        <w:trPr>
          <w:trHeight w:val="498"/>
        </w:trPr>
        <w:tc>
          <w:tcPr>
            <w:tcW w:w="4962" w:type="dxa"/>
            <w:gridSpan w:val="3"/>
            <w:tcBorders>
              <w:top w:val="single" w:sz="4" w:space="0" w:color="auto"/>
              <w:left w:val="single" w:sz="4" w:space="0" w:color="auto"/>
              <w:bottom w:val="single" w:sz="4" w:space="0" w:color="auto"/>
              <w:right w:val="single" w:sz="4" w:space="0" w:color="auto"/>
            </w:tcBorders>
            <w:vAlign w:val="center"/>
          </w:tcPr>
          <w:p w14:paraId="1BACA53F" w14:textId="77777777" w:rsidR="007A57C2" w:rsidRPr="00701F32" w:rsidRDefault="007A57C2" w:rsidP="00E311C9">
            <w:pPr>
              <w:jc w:val="right"/>
              <w:rPr>
                <w:rFonts w:ascii="Arial" w:hAnsi="Arial" w:cs="Arial"/>
                <w:sz w:val="20"/>
                <w:lang w:val="es-ES_tradnl"/>
              </w:rPr>
            </w:pPr>
            <w:r w:rsidRPr="00701F32">
              <w:rPr>
                <w:rFonts w:ascii="Arial" w:hAnsi="Arial" w:cs="Arial"/>
                <w:b/>
                <w:sz w:val="20"/>
              </w:rPr>
              <w:t>Total al 30 de septiembre de 2018</w:t>
            </w:r>
          </w:p>
        </w:tc>
        <w:tc>
          <w:tcPr>
            <w:tcW w:w="1842" w:type="dxa"/>
            <w:tcBorders>
              <w:top w:val="single" w:sz="4" w:space="0" w:color="auto"/>
              <w:left w:val="single" w:sz="4" w:space="0" w:color="auto"/>
              <w:bottom w:val="single" w:sz="4" w:space="0" w:color="auto"/>
              <w:right w:val="single" w:sz="4" w:space="0" w:color="auto"/>
            </w:tcBorders>
            <w:vAlign w:val="center"/>
          </w:tcPr>
          <w:p w14:paraId="494C23C0" w14:textId="77777777" w:rsidR="007A57C2" w:rsidRPr="00701F32" w:rsidRDefault="007A57C2" w:rsidP="007A3D85">
            <w:pPr>
              <w:tabs>
                <w:tab w:val="left" w:pos="142"/>
              </w:tabs>
              <w:jc w:val="right"/>
              <w:rPr>
                <w:rFonts w:ascii="Arial" w:hAnsi="Arial" w:cs="Arial"/>
                <w:b/>
                <w:sz w:val="20"/>
                <w:lang w:val="es-ES_tradnl"/>
              </w:rPr>
            </w:pPr>
            <w:r w:rsidRPr="00701F32">
              <w:rPr>
                <w:rFonts w:ascii="Arial" w:hAnsi="Arial" w:cs="Arial"/>
                <w:b/>
                <w:sz w:val="20"/>
              </w:rPr>
              <w:t>2.500.000</w:t>
            </w:r>
          </w:p>
        </w:tc>
        <w:tc>
          <w:tcPr>
            <w:tcW w:w="1418" w:type="dxa"/>
            <w:tcBorders>
              <w:top w:val="single" w:sz="4" w:space="0" w:color="auto"/>
              <w:left w:val="single" w:sz="4" w:space="0" w:color="auto"/>
              <w:bottom w:val="single" w:sz="4" w:space="0" w:color="auto"/>
              <w:right w:val="single" w:sz="4" w:space="0" w:color="auto"/>
            </w:tcBorders>
            <w:vAlign w:val="center"/>
          </w:tcPr>
          <w:p w14:paraId="090449A1" w14:textId="1A4BF6EA" w:rsidR="007A57C2" w:rsidRPr="00701F32" w:rsidRDefault="006470AD" w:rsidP="007A3D85">
            <w:pPr>
              <w:tabs>
                <w:tab w:val="left" w:pos="142"/>
              </w:tabs>
              <w:jc w:val="right"/>
              <w:rPr>
                <w:rFonts w:ascii="Arial" w:hAnsi="Arial" w:cs="Arial"/>
                <w:b/>
                <w:bCs/>
                <w:sz w:val="20"/>
                <w:lang w:val="es-ES_tradnl"/>
              </w:rPr>
            </w:pPr>
            <w:r w:rsidRPr="00701F32">
              <w:rPr>
                <w:rFonts w:ascii="Arial" w:hAnsi="Arial" w:cs="Arial"/>
                <w:b/>
                <w:bCs/>
                <w:sz w:val="20"/>
              </w:rPr>
              <w:t>111.738</w:t>
            </w:r>
          </w:p>
        </w:tc>
      </w:tr>
    </w:tbl>
    <w:p w14:paraId="23903F48" w14:textId="77777777" w:rsidR="007A57C2" w:rsidRPr="00701F32" w:rsidRDefault="007A57C2" w:rsidP="00367CA1">
      <w:pPr>
        <w:tabs>
          <w:tab w:val="left" w:pos="142"/>
        </w:tabs>
        <w:jc w:val="both"/>
        <w:rPr>
          <w:rFonts w:ascii="Arial" w:hAnsi="Arial" w:cs="Arial"/>
          <w:sz w:val="20"/>
        </w:rPr>
      </w:pPr>
    </w:p>
    <w:tbl>
      <w:tblPr>
        <w:tblW w:w="82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09"/>
        <w:gridCol w:w="1503"/>
        <w:gridCol w:w="1418"/>
        <w:gridCol w:w="850"/>
        <w:gridCol w:w="1824"/>
        <w:gridCol w:w="1466"/>
      </w:tblGrid>
      <w:tr w:rsidR="00367CA1" w:rsidRPr="00701F32" w14:paraId="33BE9E1D" w14:textId="77777777" w:rsidTr="0030003C">
        <w:trPr>
          <w:trHeight w:val="498"/>
          <w:tblHeader/>
        </w:trPr>
        <w:tc>
          <w:tcPr>
            <w:tcW w:w="2712" w:type="dxa"/>
            <w:gridSpan w:val="2"/>
            <w:tcBorders>
              <w:top w:val="single" w:sz="12" w:space="0" w:color="auto"/>
              <w:bottom w:val="dashSmallGap" w:sz="4" w:space="0" w:color="auto"/>
            </w:tcBorders>
            <w:vAlign w:val="center"/>
          </w:tcPr>
          <w:p w14:paraId="790F3F6F" w14:textId="77777777" w:rsidR="00367CA1" w:rsidRPr="00701F32" w:rsidRDefault="00367CA1" w:rsidP="0030003C">
            <w:pPr>
              <w:jc w:val="center"/>
              <w:rPr>
                <w:rFonts w:ascii="Arial" w:hAnsi="Arial" w:cs="Arial"/>
                <w:b/>
                <w:bCs/>
                <w:sz w:val="20"/>
              </w:rPr>
            </w:pPr>
            <w:r w:rsidRPr="00701F32">
              <w:rPr>
                <w:rFonts w:ascii="Arial" w:hAnsi="Arial" w:cs="Arial"/>
                <w:b/>
                <w:bCs/>
                <w:sz w:val="20"/>
              </w:rPr>
              <w:t>Especie</w:t>
            </w:r>
          </w:p>
        </w:tc>
        <w:tc>
          <w:tcPr>
            <w:tcW w:w="1418" w:type="dxa"/>
            <w:tcBorders>
              <w:top w:val="single" w:sz="12" w:space="0" w:color="auto"/>
              <w:bottom w:val="dashSmallGap" w:sz="4" w:space="0" w:color="auto"/>
            </w:tcBorders>
            <w:vAlign w:val="center"/>
          </w:tcPr>
          <w:p w14:paraId="59018BD2"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Fecha de Vencimiento</w:t>
            </w:r>
          </w:p>
        </w:tc>
        <w:tc>
          <w:tcPr>
            <w:tcW w:w="850" w:type="dxa"/>
            <w:tcBorders>
              <w:top w:val="single" w:sz="12" w:space="0" w:color="auto"/>
              <w:bottom w:val="dashSmallGap" w:sz="4" w:space="0" w:color="auto"/>
            </w:tcBorders>
            <w:vAlign w:val="center"/>
          </w:tcPr>
          <w:p w14:paraId="2B5DD2EE"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Plazo</w:t>
            </w:r>
          </w:p>
        </w:tc>
        <w:tc>
          <w:tcPr>
            <w:tcW w:w="1824" w:type="dxa"/>
            <w:tcBorders>
              <w:top w:val="single" w:sz="12" w:space="0" w:color="auto"/>
              <w:bottom w:val="dashSmallGap" w:sz="4" w:space="0" w:color="auto"/>
            </w:tcBorders>
            <w:vAlign w:val="center"/>
          </w:tcPr>
          <w:p w14:paraId="4971AD8E"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Valor Nominal</w:t>
            </w:r>
          </w:p>
        </w:tc>
        <w:tc>
          <w:tcPr>
            <w:tcW w:w="1466" w:type="dxa"/>
            <w:tcBorders>
              <w:top w:val="single" w:sz="12" w:space="0" w:color="auto"/>
              <w:bottom w:val="dashSmallGap" w:sz="4" w:space="0" w:color="auto"/>
            </w:tcBorders>
            <w:vAlign w:val="center"/>
          </w:tcPr>
          <w:p w14:paraId="291C0A29"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Valor al Cierre</w:t>
            </w:r>
          </w:p>
        </w:tc>
      </w:tr>
      <w:tr w:rsidR="00367CA1" w:rsidRPr="00701F32" w14:paraId="19DF3534" w14:textId="77777777" w:rsidTr="0030003C">
        <w:trPr>
          <w:trHeight w:val="498"/>
          <w:tblHeader/>
        </w:trPr>
        <w:tc>
          <w:tcPr>
            <w:tcW w:w="2712" w:type="dxa"/>
            <w:gridSpan w:val="2"/>
            <w:tcBorders>
              <w:top w:val="dashSmallGap" w:sz="4" w:space="0" w:color="auto"/>
              <w:bottom w:val="dashSmallGap" w:sz="4" w:space="0" w:color="auto"/>
            </w:tcBorders>
            <w:vAlign w:val="center"/>
          </w:tcPr>
          <w:p w14:paraId="32C4827F" w14:textId="77777777" w:rsidR="00367CA1" w:rsidRPr="00701F32" w:rsidRDefault="00367CA1" w:rsidP="0030003C">
            <w:pPr>
              <w:jc w:val="center"/>
              <w:rPr>
                <w:rFonts w:ascii="Arial" w:hAnsi="Arial" w:cs="Arial"/>
                <w:bCs/>
                <w:sz w:val="20"/>
              </w:rPr>
            </w:pPr>
            <w:r w:rsidRPr="00701F32">
              <w:rPr>
                <w:rFonts w:ascii="Arial" w:hAnsi="Arial" w:cs="Arial"/>
                <w:bCs/>
                <w:sz w:val="20"/>
              </w:rPr>
              <w:t>I16Y8 LEBAC</w:t>
            </w:r>
          </w:p>
        </w:tc>
        <w:tc>
          <w:tcPr>
            <w:tcW w:w="1418" w:type="dxa"/>
            <w:tcBorders>
              <w:top w:val="dashSmallGap" w:sz="4" w:space="0" w:color="auto"/>
              <w:bottom w:val="dashSmallGap" w:sz="4" w:space="0" w:color="auto"/>
            </w:tcBorders>
            <w:vAlign w:val="center"/>
          </w:tcPr>
          <w:p w14:paraId="37CF1250"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02/01/2018</w:t>
            </w:r>
          </w:p>
        </w:tc>
        <w:tc>
          <w:tcPr>
            <w:tcW w:w="850" w:type="dxa"/>
            <w:tcBorders>
              <w:top w:val="dashSmallGap" w:sz="4" w:space="0" w:color="auto"/>
              <w:bottom w:val="dashSmallGap" w:sz="4" w:space="0" w:color="auto"/>
            </w:tcBorders>
            <w:vAlign w:val="center"/>
          </w:tcPr>
          <w:p w14:paraId="1DFE482D"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4</w:t>
            </w:r>
          </w:p>
        </w:tc>
        <w:tc>
          <w:tcPr>
            <w:tcW w:w="1824" w:type="dxa"/>
            <w:tcBorders>
              <w:top w:val="dashSmallGap" w:sz="4" w:space="0" w:color="auto"/>
              <w:bottom w:val="dashSmallGap" w:sz="4" w:space="0" w:color="auto"/>
            </w:tcBorders>
            <w:vAlign w:val="center"/>
          </w:tcPr>
          <w:p w14:paraId="3F23BA45"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4.100.000.000</w:t>
            </w:r>
          </w:p>
        </w:tc>
        <w:tc>
          <w:tcPr>
            <w:tcW w:w="1466" w:type="dxa"/>
            <w:tcBorders>
              <w:top w:val="dashSmallGap" w:sz="4" w:space="0" w:color="auto"/>
              <w:bottom w:val="dashSmallGap" w:sz="4" w:space="0" w:color="auto"/>
            </w:tcBorders>
            <w:vAlign w:val="center"/>
          </w:tcPr>
          <w:p w14:paraId="58ADAD53"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3.349.822</w:t>
            </w:r>
          </w:p>
        </w:tc>
      </w:tr>
      <w:tr w:rsidR="00367CA1" w:rsidRPr="00701F32" w14:paraId="2E57646B" w14:textId="77777777" w:rsidTr="0030003C">
        <w:trPr>
          <w:trHeight w:val="498"/>
        </w:trPr>
        <w:tc>
          <w:tcPr>
            <w:tcW w:w="1209" w:type="dxa"/>
            <w:tcBorders>
              <w:top w:val="single" w:sz="12" w:space="0" w:color="auto"/>
              <w:left w:val="single" w:sz="12" w:space="0" w:color="auto"/>
              <w:bottom w:val="single" w:sz="12" w:space="0" w:color="auto"/>
              <w:right w:val="nil"/>
            </w:tcBorders>
          </w:tcPr>
          <w:p w14:paraId="2308BC85" w14:textId="77777777" w:rsidR="00367CA1" w:rsidRPr="00701F32" w:rsidRDefault="00367CA1" w:rsidP="0030003C">
            <w:pPr>
              <w:tabs>
                <w:tab w:val="left" w:pos="142"/>
              </w:tabs>
              <w:jc w:val="both"/>
              <w:rPr>
                <w:rFonts w:ascii="Arial" w:hAnsi="Arial" w:cs="Arial"/>
                <w:b/>
                <w:bCs/>
                <w:sz w:val="20"/>
              </w:rPr>
            </w:pPr>
          </w:p>
        </w:tc>
        <w:tc>
          <w:tcPr>
            <w:tcW w:w="3771" w:type="dxa"/>
            <w:gridSpan w:val="3"/>
            <w:tcBorders>
              <w:top w:val="single" w:sz="12" w:space="0" w:color="auto"/>
              <w:left w:val="nil"/>
              <w:bottom w:val="single" w:sz="12" w:space="0" w:color="auto"/>
              <w:right w:val="single" w:sz="2" w:space="0" w:color="auto"/>
            </w:tcBorders>
            <w:vAlign w:val="center"/>
          </w:tcPr>
          <w:p w14:paraId="21350FBD" w14:textId="77777777" w:rsidR="00367CA1" w:rsidRPr="00701F32" w:rsidRDefault="00367CA1" w:rsidP="0030003C">
            <w:pPr>
              <w:jc w:val="right"/>
              <w:rPr>
                <w:rFonts w:ascii="Arial" w:hAnsi="Arial" w:cs="Arial"/>
                <w:sz w:val="20"/>
              </w:rPr>
            </w:pPr>
            <w:r w:rsidRPr="00701F32">
              <w:rPr>
                <w:rFonts w:ascii="Arial" w:hAnsi="Arial" w:cs="Arial"/>
                <w:b/>
                <w:sz w:val="20"/>
              </w:rPr>
              <w:t>Total al 31 de diciembre de 2017</w:t>
            </w:r>
          </w:p>
        </w:tc>
        <w:tc>
          <w:tcPr>
            <w:tcW w:w="1824" w:type="dxa"/>
            <w:tcBorders>
              <w:top w:val="single" w:sz="12" w:space="0" w:color="auto"/>
              <w:left w:val="single" w:sz="2" w:space="0" w:color="auto"/>
              <w:bottom w:val="single" w:sz="12" w:space="0" w:color="auto"/>
              <w:right w:val="single" w:sz="4" w:space="0" w:color="auto"/>
            </w:tcBorders>
            <w:vAlign w:val="center"/>
          </w:tcPr>
          <w:p w14:paraId="0BA97BD6" w14:textId="77777777" w:rsidR="00367CA1" w:rsidRPr="00701F32" w:rsidRDefault="00367CA1" w:rsidP="0030003C">
            <w:pPr>
              <w:tabs>
                <w:tab w:val="left" w:pos="142"/>
              </w:tabs>
              <w:jc w:val="right"/>
              <w:rPr>
                <w:rFonts w:ascii="Arial" w:hAnsi="Arial" w:cs="Arial"/>
                <w:b/>
                <w:sz w:val="20"/>
              </w:rPr>
            </w:pPr>
            <w:r w:rsidRPr="00701F32">
              <w:rPr>
                <w:rFonts w:ascii="Arial" w:hAnsi="Arial" w:cs="Arial"/>
                <w:b/>
                <w:sz w:val="20"/>
              </w:rPr>
              <w:t>4.100.000.000</w:t>
            </w:r>
          </w:p>
        </w:tc>
        <w:tc>
          <w:tcPr>
            <w:tcW w:w="1466" w:type="dxa"/>
            <w:tcBorders>
              <w:top w:val="single" w:sz="12" w:space="0" w:color="auto"/>
              <w:left w:val="single" w:sz="4" w:space="0" w:color="auto"/>
              <w:bottom w:val="single" w:sz="12" w:space="0" w:color="auto"/>
              <w:right w:val="single" w:sz="12" w:space="0" w:color="auto"/>
            </w:tcBorders>
            <w:vAlign w:val="center"/>
          </w:tcPr>
          <w:p w14:paraId="000080BC" w14:textId="77777777" w:rsidR="00367CA1" w:rsidRPr="00701F32" w:rsidRDefault="00367CA1" w:rsidP="0030003C">
            <w:pPr>
              <w:tabs>
                <w:tab w:val="left" w:pos="142"/>
              </w:tabs>
              <w:jc w:val="right"/>
              <w:rPr>
                <w:rFonts w:ascii="Arial" w:hAnsi="Arial" w:cs="Arial"/>
                <w:b/>
                <w:bCs/>
                <w:sz w:val="20"/>
              </w:rPr>
            </w:pPr>
            <w:r w:rsidRPr="00701F32">
              <w:rPr>
                <w:rFonts w:ascii="Arial" w:hAnsi="Arial" w:cs="Arial"/>
                <w:b/>
                <w:bCs/>
                <w:sz w:val="20"/>
              </w:rPr>
              <w:t>3.349.822</w:t>
            </w:r>
          </w:p>
        </w:tc>
      </w:tr>
    </w:tbl>
    <w:p w14:paraId="69B43895" w14:textId="77777777" w:rsidR="00367CA1" w:rsidRPr="00701F32" w:rsidRDefault="00367CA1" w:rsidP="00367CA1">
      <w:pPr>
        <w:tabs>
          <w:tab w:val="left" w:pos="142"/>
        </w:tabs>
        <w:jc w:val="both"/>
        <w:rPr>
          <w:rFonts w:ascii="Arial" w:hAnsi="Arial" w:cs="Arial"/>
          <w:sz w:val="20"/>
        </w:rPr>
      </w:pPr>
    </w:p>
    <w:p w14:paraId="095C19B7" w14:textId="77777777" w:rsidR="006C6698" w:rsidRDefault="006C6698" w:rsidP="00367CA1">
      <w:pPr>
        <w:jc w:val="both"/>
        <w:rPr>
          <w:rFonts w:ascii="Arial" w:hAnsi="Arial" w:cs="Arial"/>
          <w:b/>
          <w:sz w:val="20"/>
        </w:rPr>
      </w:pPr>
    </w:p>
    <w:p w14:paraId="5407B101" w14:textId="77777777" w:rsidR="006C6698" w:rsidRDefault="006C6698" w:rsidP="00367CA1">
      <w:pPr>
        <w:jc w:val="both"/>
        <w:rPr>
          <w:rFonts w:ascii="Arial" w:hAnsi="Arial" w:cs="Arial"/>
          <w:b/>
          <w:sz w:val="20"/>
        </w:rPr>
      </w:pPr>
    </w:p>
    <w:p w14:paraId="36EE6E19" w14:textId="77777777" w:rsidR="006C6698" w:rsidRDefault="006C6698" w:rsidP="00367CA1">
      <w:pPr>
        <w:jc w:val="both"/>
        <w:rPr>
          <w:rFonts w:ascii="Arial" w:hAnsi="Arial" w:cs="Arial"/>
          <w:b/>
          <w:sz w:val="20"/>
        </w:rPr>
      </w:pPr>
    </w:p>
    <w:p w14:paraId="41EBA058" w14:textId="744FDD6C" w:rsidR="00367CA1" w:rsidRPr="00701F32" w:rsidRDefault="00913516" w:rsidP="00367CA1">
      <w:pPr>
        <w:jc w:val="both"/>
        <w:rPr>
          <w:rFonts w:ascii="Arial" w:hAnsi="Arial" w:cs="Arial"/>
          <w:b/>
          <w:sz w:val="20"/>
        </w:rPr>
      </w:pPr>
      <w:r w:rsidRPr="00701F32">
        <w:rPr>
          <w:rFonts w:ascii="Arial" w:hAnsi="Arial" w:cs="Arial"/>
          <w:b/>
          <w:sz w:val="20"/>
        </w:rPr>
        <w:t>O</w:t>
      </w:r>
      <w:r w:rsidR="00367CA1" w:rsidRPr="00701F32">
        <w:rPr>
          <w:rFonts w:ascii="Arial" w:hAnsi="Arial" w:cs="Arial"/>
          <w:b/>
          <w:sz w:val="20"/>
        </w:rPr>
        <w:t>peraciones de pases pasivos:</w:t>
      </w:r>
    </w:p>
    <w:p w14:paraId="4CD7F481" w14:textId="77777777" w:rsidR="00367CA1" w:rsidRPr="00701F32" w:rsidRDefault="00367CA1" w:rsidP="00367CA1">
      <w:pPr>
        <w:tabs>
          <w:tab w:val="left" w:pos="142"/>
        </w:tabs>
        <w:jc w:val="both"/>
        <w:rPr>
          <w:rFonts w:ascii="Arial" w:hAnsi="Arial" w:cs="Arial"/>
          <w:sz w:val="20"/>
        </w:rPr>
      </w:pPr>
    </w:p>
    <w:tbl>
      <w:tblPr>
        <w:tblW w:w="82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88"/>
        <w:gridCol w:w="1324"/>
        <w:gridCol w:w="1418"/>
        <w:gridCol w:w="850"/>
        <w:gridCol w:w="1824"/>
        <w:gridCol w:w="1466"/>
      </w:tblGrid>
      <w:tr w:rsidR="00367CA1" w:rsidRPr="00701F32" w14:paraId="11A03808" w14:textId="77777777" w:rsidTr="0030003C">
        <w:trPr>
          <w:trHeight w:val="498"/>
          <w:tblHeader/>
        </w:trPr>
        <w:tc>
          <w:tcPr>
            <w:tcW w:w="2712" w:type="dxa"/>
            <w:gridSpan w:val="2"/>
            <w:tcBorders>
              <w:top w:val="single" w:sz="12" w:space="0" w:color="auto"/>
              <w:bottom w:val="dashSmallGap" w:sz="4" w:space="0" w:color="auto"/>
            </w:tcBorders>
            <w:vAlign w:val="center"/>
          </w:tcPr>
          <w:p w14:paraId="13CBE19E" w14:textId="77777777" w:rsidR="00367CA1" w:rsidRPr="00701F32" w:rsidRDefault="00367CA1" w:rsidP="0030003C">
            <w:pPr>
              <w:jc w:val="center"/>
              <w:rPr>
                <w:rFonts w:ascii="Arial" w:hAnsi="Arial" w:cs="Arial"/>
                <w:b/>
                <w:bCs/>
                <w:sz w:val="20"/>
              </w:rPr>
            </w:pPr>
            <w:r w:rsidRPr="00701F32">
              <w:rPr>
                <w:rFonts w:ascii="Arial" w:hAnsi="Arial" w:cs="Arial"/>
                <w:b/>
                <w:bCs/>
                <w:sz w:val="20"/>
              </w:rPr>
              <w:t>Especie</w:t>
            </w:r>
          </w:p>
        </w:tc>
        <w:tc>
          <w:tcPr>
            <w:tcW w:w="1418" w:type="dxa"/>
            <w:tcBorders>
              <w:top w:val="single" w:sz="12" w:space="0" w:color="auto"/>
              <w:bottom w:val="dashSmallGap" w:sz="4" w:space="0" w:color="auto"/>
            </w:tcBorders>
            <w:vAlign w:val="center"/>
          </w:tcPr>
          <w:p w14:paraId="0F9B1B54"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Fecha de Vencimiento</w:t>
            </w:r>
          </w:p>
        </w:tc>
        <w:tc>
          <w:tcPr>
            <w:tcW w:w="850" w:type="dxa"/>
            <w:tcBorders>
              <w:top w:val="single" w:sz="12" w:space="0" w:color="auto"/>
              <w:bottom w:val="dashSmallGap" w:sz="4" w:space="0" w:color="auto"/>
            </w:tcBorders>
            <w:vAlign w:val="center"/>
          </w:tcPr>
          <w:p w14:paraId="4C743072"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Plazo</w:t>
            </w:r>
          </w:p>
        </w:tc>
        <w:tc>
          <w:tcPr>
            <w:tcW w:w="1824" w:type="dxa"/>
            <w:tcBorders>
              <w:top w:val="single" w:sz="12" w:space="0" w:color="auto"/>
              <w:bottom w:val="dashSmallGap" w:sz="4" w:space="0" w:color="auto"/>
            </w:tcBorders>
            <w:vAlign w:val="center"/>
          </w:tcPr>
          <w:p w14:paraId="20735178"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Valor Nominal</w:t>
            </w:r>
          </w:p>
        </w:tc>
        <w:tc>
          <w:tcPr>
            <w:tcW w:w="1466" w:type="dxa"/>
            <w:tcBorders>
              <w:top w:val="single" w:sz="12" w:space="0" w:color="auto"/>
              <w:bottom w:val="dashSmallGap" w:sz="4" w:space="0" w:color="auto"/>
            </w:tcBorders>
            <w:vAlign w:val="center"/>
          </w:tcPr>
          <w:p w14:paraId="03092A16" w14:textId="77777777" w:rsidR="00367CA1" w:rsidRPr="00701F32" w:rsidRDefault="00367CA1" w:rsidP="0030003C">
            <w:pPr>
              <w:tabs>
                <w:tab w:val="left" w:pos="142"/>
              </w:tabs>
              <w:jc w:val="center"/>
              <w:rPr>
                <w:rFonts w:ascii="Arial" w:hAnsi="Arial" w:cs="Arial"/>
                <w:b/>
                <w:bCs/>
                <w:sz w:val="20"/>
              </w:rPr>
            </w:pPr>
            <w:r w:rsidRPr="00701F32">
              <w:rPr>
                <w:rFonts w:ascii="Arial" w:hAnsi="Arial" w:cs="Arial"/>
                <w:b/>
                <w:bCs/>
                <w:sz w:val="20"/>
              </w:rPr>
              <w:t>Valor al Cierre</w:t>
            </w:r>
          </w:p>
        </w:tc>
      </w:tr>
      <w:tr w:rsidR="00367CA1" w:rsidRPr="00701F32" w14:paraId="1BAE9FC9" w14:textId="77777777" w:rsidTr="0030003C">
        <w:trPr>
          <w:trHeight w:val="498"/>
          <w:tblHeader/>
        </w:trPr>
        <w:tc>
          <w:tcPr>
            <w:tcW w:w="2712" w:type="dxa"/>
            <w:gridSpan w:val="2"/>
            <w:tcBorders>
              <w:top w:val="dashSmallGap" w:sz="4" w:space="0" w:color="auto"/>
              <w:bottom w:val="dashSmallGap" w:sz="4" w:space="0" w:color="auto"/>
            </w:tcBorders>
            <w:vAlign w:val="center"/>
          </w:tcPr>
          <w:p w14:paraId="4A923A90" w14:textId="77777777" w:rsidR="00367CA1" w:rsidRPr="00701F32" w:rsidRDefault="00367CA1" w:rsidP="0030003C">
            <w:pPr>
              <w:jc w:val="center"/>
              <w:rPr>
                <w:rFonts w:ascii="Arial" w:hAnsi="Arial" w:cs="Arial"/>
                <w:bCs/>
                <w:sz w:val="20"/>
              </w:rPr>
            </w:pPr>
            <w:r w:rsidRPr="00701F32">
              <w:rPr>
                <w:rFonts w:ascii="Arial" w:hAnsi="Arial" w:cs="Arial"/>
                <w:bCs/>
                <w:sz w:val="20"/>
              </w:rPr>
              <w:t>I04E7 LEBAC INT</w:t>
            </w:r>
          </w:p>
        </w:tc>
        <w:tc>
          <w:tcPr>
            <w:tcW w:w="1418" w:type="dxa"/>
            <w:tcBorders>
              <w:top w:val="dashSmallGap" w:sz="4" w:space="0" w:color="auto"/>
              <w:bottom w:val="dashSmallGap" w:sz="4" w:space="0" w:color="auto"/>
            </w:tcBorders>
            <w:vAlign w:val="center"/>
          </w:tcPr>
          <w:p w14:paraId="66DD84DF"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02/01/2017</w:t>
            </w:r>
          </w:p>
        </w:tc>
        <w:tc>
          <w:tcPr>
            <w:tcW w:w="850" w:type="dxa"/>
            <w:tcBorders>
              <w:top w:val="dashSmallGap" w:sz="4" w:space="0" w:color="auto"/>
              <w:bottom w:val="dashSmallGap" w:sz="4" w:space="0" w:color="auto"/>
            </w:tcBorders>
            <w:vAlign w:val="center"/>
          </w:tcPr>
          <w:p w14:paraId="5B3F41B1"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3</w:t>
            </w:r>
          </w:p>
        </w:tc>
        <w:tc>
          <w:tcPr>
            <w:tcW w:w="1824" w:type="dxa"/>
            <w:tcBorders>
              <w:top w:val="dashSmallGap" w:sz="4" w:space="0" w:color="auto"/>
              <w:bottom w:val="dashSmallGap" w:sz="4" w:space="0" w:color="auto"/>
            </w:tcBorders>
            <w:vAlign w:val="center"/>
          </w:tcPr>
          <w:p w14:paraId="24C8059C"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300.000.000</w:t>
            </w:r>
          </w:p>
        </w:tc>
        <w:tc>
          <w:tcPr>
            <w:tcW w:w="1466" w:type="dxa"/>
            <w:tcBorders>
              <w:top w:val="dashSmallGap" w:sz="4" w:space="0" w:color="auto"/>
              <w:bottom w:val="dashSmallGap" w:sz="4" w:space="0" w:color="auto"/>
            </w:tcBorders>
            <w:vAlign w:val="center"/>
          </w:tcPr>
          <w:p w14:paraId="288BF123"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299.184</w:t>
            </w:r>
          </w:p>
        </w:tc>
      </w:tr>
      <w:tr w:rsidR="00367CA1" w:rsidRPr="00701F32" w14:paraId="6BF286F5" w14:textId="77777777" w:rsidTr="0030003C">
        <w:trPr>
          <w:trHeight w:val="498"/>
          <w:tblHeader/>
        </w:trPr>
        <w:tc>
          <w:tcPr>
            <w:tcW w:w="2712" w:type="dxa"/>
            <w:gridSpan w:val="2"/>
            <w:tcBorders>
              <w:top w:val="dashSmallGap" w:sz="4" w:space="0" w:color="auto"/>
              <w:bottom w:val="dashSmallGap" w:sz="4" w:space="0" w:color="auto"/>
            </w:tcBorders>
            <w:vAlign w:val="center"/>
          </w:tcPr>
          <w:p w14:paraId="1534B438" w14:textId="77777777" w:rsidR="00367CA1" w:rsidRPr="00701F32" w:rsidRDefault="00367CA1" w:rsidP="0030003C">
            <w:pPr>
              <w:jc w:val="center"/>
              <w:rPr>
                <w:rFonts w:ascii="Arial" w:hAnsi="Arial" w:cs="Arial"/>
                <w:bCs/>
                <w:sz w:val="20"/>
              </w:rPr>
            </w:pPr>
            <w:r w:rsidRPr="00701F32">
              <w:rPr>
                <w:rFonts w:ascii="Arial" w:hAnsi="Arial" w:cs="Arial"/>
                <w:bCs/>
                <w:sz w:val="20"/>
              </w:rPr>
              <w:t>I15F7 LEBAC INT</w:t>
            </w:r>
          </w:p>
        </w:tc>
        <w:tc>
          <w:tcPr>
            <w:tcW w:w="1418" w:type="dxa"/>
            <w:tcBorders>
              <w:top w:val="dashSmallGap" w:sz="4" w:space="0" w:color="auto"/>
              <w:bottom w:val="dashSmallGap" w:sz="4" w:space="0" w:color="auto"/>
            </w:tcBorders>
            <w:vAlign w:val="center"/>
          </w:tcPr>
          <w:p w14:paraId="21F285CA"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02/01/2017</w:t>
            </w:r>
          </w:p>
        </w:tc>
        <w:tc>
          <w:tcPr>
            <w:tcW w:w="850" w:type="dxa"/>
            <w:tcBorders>
              <w:top w:val="dashSmallGap" w:sz="4" w:space="0" w:color="auto"/>
              <w:bottom w:val="dashSmallGap" w:sz="4" w:space="0" w:color="auto"/>
            </w:tcBorders>
            <w:vAlign w:val="center"/>
          </w:tcPr>
          <w:p w14:paraId="700347C2" w14:textId="77777777" w:rsidR="00367CA1" w:rsidRPr="00701F32" w:rsidRDefault="00367CA1" w:rsidP="0030003C">
            <w:pPr>
              <w:tabs>
                <w:tab w:val="left" w:pos="142"/>
              </w:tabs>
              <w:jc w:val="center"/>
              <w:rPr>
                <w:rFonts w:ascii="Arial" w:hAnsi="Arial" w:cs="Arial"/>
                <w:bCs/>
                <w:sz w:val="20"/>
              </w:rPr>
            </w:pPr>
            <w:r w:rsidRPr="00701F32">
              <w:rPr>
                <w:rFonts w:ascii="Arial" w:hAnsi="Arial" w:cs="Arial"/>
                <w:bCs/>
                <w:sz w:val="20"/>
              </w:rPr>
              <w:t>3</w:t>
            </w:r>
          </w:p>
        </w:tc>
        <w:tc>
          <w:tcPr>
            <w:tcW w:w="1824" w:type="dxa"/>
            <w:tcBorders>
              <w:top w:val="dashSmallGap" w:sz="4" w:space="0" w:color="auto"/>
              <w:bottom w:val="dashSmallGap" w:sz="4" w:space="0" w:color="auto"/>
            </w:tcBorders>
            <w:vAlign w:val="center"/>
          </w:tcPr>
          <w:p w14:paraId="48E4D237"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300.000.000</w:t>
            </w:r>
          </w:p>
        </w:tc>
        <w:tc>
          <w:tcPr>
            <w:tcW w:w="1466" w:type="dxa"/>
            <w:tcBorders>
              <w:top w:val="dashSmallGap" w:sz="4" w:space="0" w:color="auto"/>
              <w:bottom w:val="dashSmallGap" w:sz="4" w:space="0" w:color="auto"/>
            </w:tcBorders>
            <w:vAlign w:val="center"/>
          </w:tcPr>
          <w:p w14:paraId="0D6161D3" w14:textId="77777777" w:rsidR="00367CA1" w:rsidRPr="00701F32" w:rsidRDefault="00367CA1" w:rsidP="0030003C">
            <w:pPr>
              <w:tabs>
                <w:tab w:val="left" w:pos="142"/>
              </w:tabs>
              <w:jc w:val="right"/>
              <w:rPr>
                <w:rFonts w:ascii="Arial" w:hAnsi="Arial" w:cs="Arial"/>
                <w:bCs/>
                <w:sz w:val="20"/>
              </w:rPr>
            </w:pPr>
            <w:r w:rsidRPr="00701F32">
              <w:rPr>
                <w:rFonts w:ascii="Arial" w:hAnsi="Arial" w:cs="Arial"/>
                <w:bCs/>
                <w:sz w:val="20"/>
              </w:rPr>
              <w:t>291.707</w:t>
            </w:r>
          </w:p>
        </w:tc>
      </w:tr>
      <w:tr w:rsidR="00367CA1" w:rsidRPr="00701F32" w14:paraId="473685F5" w14:textId="77777777" w:rsidTr="0030003C">
        <w:trPr>
          <w:trHeight w:val="498"/>
        </w:trPr>
        <w:tc>
          <w:tcPr>
            <w:tcW w:w="1388" w:type="dxa"/>
            <w:tcBorders>
              <w:top w:val="single" w:sz="12" w:space="0" w:color="auto"/>
              <w:left w:val="single" w:sz="12" w:space="0" w:color="auto"/>
              <w:bottom w:val="single" w:sz="12" w:space="0" w:color="auto"/>
              <w:right w:val="nil"/>
            </w:tcBorders>
          </w:tcPr>
          <w:p w14:paraId="523064C2" w14:textId="77777777" w:rsidR="00367CA1" w:rsidRPr="00701F32" w:rsidRDefault="00367CA1" w:rsidP="0030003C">
            <w:pPr>
              <w:tabs>
                <w:tab w:val="left" w:pos="142"/>
              </w:tabs>
              <w:jc w:val="both"/>
              <w:rPr>
                <w:rFonts w:ascii="Arial" w:hAnsi="Arial" w:cs="Arial"/>
                <w:b/>
                <w:bCs/>
                <w:sz w:val="20"/>
              </w:rPr>
            </w:pPr>
          </w:p>
        </w:tc>
        <w:tc>
          <w:tcPr>
            <w:tcW w:w="3592" w:type="dxa"/>
            <w:gridSpan w:val="3"/>
            <w:tcBorders>
              <w:top w:val="single" w:sz="12" w:space="0" w:color="auto"/>
              <w:left w:val="nil"/>
              <w:bottom w:val="single" w:sz="12" w:space="0" w:color="auto"/>
              <w:right w:val="single" w:sz="2" w:space="0" w:color="auto"/>
            </w:tcBorders>
            <w:vAlign w:val="center"/>
          </w:tcPr>
          <w:p w14:paraId="259634C7" w14:textId="77777777" w:rsidR="00367CA1" w:rsidRPr="00701F32" w:rsidRDefault="00367CA1" w:rsidP="0030003C">
            <w:pPr>
              <w:jc w:val="right"/>
              <w:rPr>
                <w:rFonts w:ascii="Arial" w:hAnsi="Arial" w:cs="Arial"/>
                <w:sz w:val="20"/>
              </w:rPr>
            </w:pPr>
            <w:r w:rsidRPr="00701F32">
              <w:rPr>
                <w:rFonts w:ascii="Arial" w:hAnsi="Arial" w:cs="Arial"/>
                <w:b/>
                <w:sz w:val="20"/>
              </w:rPr>
              <w:t>Total al 1ro de enero de 2017</w:t>
            </w:r>
          </w:p>
        </w:tc>
        <w:tc>
          <w:tcPr>
            <w:tcW w:w="1824" w:type="dxa"/>
            <w:tcBorders>
              <w:top w:val="single" w:sz="12" w:space="0" w:color="auto"/>
              <w:left w:val="single" w:sz="2" w:space="0" w:color="auto"/>
              <w:bottom w:val="single" w:sz="12" w:space="0" w:color="auto"/>
              <w:right w:val="single" w:sz="4" w:space="0" w:color="auto"/>
            </w:tcBorders>
            <w:vAlign w:val="center"/>
          </w:tcPr>
          <w:p w14:paraId="0E738904" w14:textId="77777777" w:rsidR="00367CA1" w:rsidRPr="00701F32" w:rsidRDefault="00367CA1" w:rsidP="0030003C">
            <w:pPr>
              <w:tabs>
                <w:tab w:val="left" w:pos="142"/>
              </w:tabs>
              <w:jc w:val="right"/>
              <w:rPr>
                <w:rFonts w:ascii="Arial" w:hAnsi="Arial" w:cs="Arial"/>
                <w:b/>
                <w:sz w:val="20"/>
              </w:rPr>
            </w:pPr>
            <w:r w:rsidRPr="00701F32">
              <w:rPr>
                <w:rFonts w:ascii="Arial" w:hAnsi="Arial" w:cs="Arial"/>
                <w:b/>
                <w:sz w:val="20"/>
              </w:rPr>
              <w:t>600.000.000</w:t>
            </w:r>
          </w:p>
        </w:tc>
        <w:tc>
          <w:tcPr>
            <w:tcW w:w="1466" w:type="dxa"/>
            <w:tcBorders>
              <w:top w:val="single" w:sz="12" w:space="0" w:color="auto"/>
              <w:left w:val="single" w:sz="4" w:space="0" w:color="auto"/>
              <w:bottom w:val="single" w:sz="12" w:space="0" w:color="auto"/>
              <w:right w:val="single" w:sz="12" w:space="0" w:color="auto"/>
            </w:tcBorders>
            <w:vAlign w:val="center"/>
          </w:tcPr>
          <w:p w14:paraId="015C2650" w14:textId="77777777" w:rsidR="00367CA1" w:rsidRPr="00701F32" w:rsidRDefault="00367CA1" w:rsidP="0030003C">
            <w:pPr>
              <w:tabs>
                <w:tab w:val="left" w:pos="142"/>
              </w:tabs>
              <w:jc w:val="right"/>
              <w:rPr>
                <w:rFonts w:ascii="Arial" w:hAnsi="Arial" w:cs="Arial"/>
                <w:b/>
                <w:bCs/>
                <w:sz w:val="20"/>
              </w:rPr>
            </w:pPr>
            <w:r w:rsidRPr="00701F32">
              <w:rPr>
                <w:rFonts w:ascii="Arial" w:hAnsi="Arial" w:cs="Arial"/>
                <w:b/>
                <w:bCs/>
                <w:sz w:val="20"/>
              </w:rPr>
              <w:t>590.891</w:t>
            </w:r>
          </w:p>
        </w:tc>
      </w:tr>
    </w:tbl>
    <w:p w14:paraId="11BDD901" w14:textId="77777777" w:rsidR="00367CA1" w:rsidRPr="00701F32" w:rsidRDefault="00367CA1" w:rsidP="00367CA1">
      <w:pPr>
        <w:tabs>
          <w:tab w:val="left" w:pos="142"/>
        </w:tabs>
        <w:jc w:val="both"/>
        <w:rPr>
          <w:rFonts w:ascii="Arial" w:hAnsi="Arial" w:cs="Arial"/>
          <w:sz w:val="20"/>
        </w:rPr>
      </w:pPr>
    </w:p>
    <w:p w14:paraId="59125495"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367CA1" w:rsidRPr="00701F32">
        <w:rPr>
          <w:rFonts w:ascii="Arial" w:hAnsi="Arial" w:cs="Arial"/>
          <w:bCs/>
          <w:color w:val="000000"/>
          <w:sz w:val="20"/>
          <w:lang w:eastAsia="es-AR"/>
        </w:rPr>
        <w:t>3</w:t>
      </w:r>
      <w:r w:rsidRPr="00701F32">
        <w:rPr>
          <w:rFonts w:ascii="Arial" w:hAnsi="Arial" w:cs="Arial"/>
          <w:bCs/>
          <w:color w:val="000000"/>
          <w:sz w:val="20"/>
          <w:lang w:eastAsia="es-AR"/>
        </w:rPr>
        <w:t xml:space="preserve"> Otros activos financieros</w:t>
      </w:r>
    </w:p>
    <w:p w14:paraId="2F43B62A" w14:textId="77777777" w:rsidR="00367CA1" w:rsidRPr="00701F32" w:rsidRDefault="00367CA1" w:rsidP="00D57127">
      <w:pPr>
        <w:rPr>
          <w:rFonts w:ascii="Arial" w:hAnsi="Arial" w:cs="Arial"/>
          <w:bCs/>
          <w:color w:val="000000"/>
          <w:sz w:val="20"/>
          <w:u w:val="single"/>
          <w:lang w:eastAsia="es-AR"/>
        </w:rPr>
      </w:pPr>
    </w:p>
    <w:p w14:paraId="53B04186" w14:textId="77777777" w:rsidR="00D57127"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 xml:space="preserve">Los principales componentes del rubro otros activos financieros al </w:t>
      </w:r>
      <w:r w:rsidR="006D5978" w:rsidRPr="00701F32">
        <w:rPr>
          <w:rFonts w:ascii="Arial" w:eastAsiaTheme="minorHAnsi" w:hAnsi="Arial" w:cs="Arial"/>
          <w:sz w:val="20"/>
          <w:szCs w:val="22"/>
        </w:rPr>
        <w:t xml:space="preserve">30 de </w:t>
      </w:r>
      <w:r w:rsidR="00837BEB" w:rsidRPr="00701F32">
        <w:rPr>
          <w:rFonts w:ascii="Arial" w:eastAsiaTheme="minorHAnsi" w:hAnsi="Arial" w:cs="Arial"/>
          <w:sz w:val="20"/>
          <w:szCs w:val="22"/>
        </w:rPr>
        <w:t>septiembre</w:t>
      </w:r>
      <w:r w:rsidR="006D5978" w:rsidRPr="00701F32">
        <w:rPr>
          <w:rFonts w:ascii="Arial" w:eastAsiaTheme="minorHAnsi" w:hAnsi="Arial" w:cs="Arial"/>
          <w:sz w:val="20"/>
          <w:szCs w:val="22"/>
        </w:rPr>
        <w:t xml:space="preserve"> de 2018</w:t>
      </w:r>
      <w:r w:rsidRPr="00701F32">
        <w:rPr>
          <w:rFonts w:ascii="Arial" w:eastAsiaTheme="minorHAnsi" w:hAnsi="Arial" w:cs="Arial"/>
          <w:sz w:val="20"/>
          <w:szCs w:val="22"/>
        </w:rPr>
        <w:t>, 31 de diciembre y 1 de enero de 2017 son los siguientes: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276"/>
        <w:gridCol w:w="1275"/>
        <w:gridCol w:w="1204"/>
      </w:tblGrid>
      <w:tr w:rsidR="00D57127" w:rsidRPr="00701F32" w14:paraId="4C6AF21D" w14:textId="77777777" w:rsidTr="0086282C">
        <w:trPr>
          <w:trHeight w:val="255"/>
        </w:trPr>
        <w:tc>
          <w:tcPr>
            <w:tcW w:w="4820" w:type="dxa"/>
            <w:shd w:val="clear" w:color="auto" w:fill="auto"/>
            <w:noWrap/>
            <w:vAlign w:val="bottom"/>
            <w:hideMark/>
          </w:tcPr>
          <w:p w14:paraId="2BCE8A79" w14:textId="77777777" w:rsidR="00D57127" w:rsidRPr="00701F32" w:rsidRDefault="00D57127" w:rsidP="00D57127">
            <w:pPr>
              <w:rPr>
                <w:rFonts w:ascii="Arial" w:hAnsi="Arial" w:cs="Arial"/>
                <w:b/>
                <w:bCs/>
                <w:color w:val="000000"/>
                <w:sz w:val="20"/>
                <w:u w:val="single"/>
                <w:lang w:eastAsia="es-AR"/>
              </w:rPr>
            </w:pPr>
          </w:p>
        </w:tc>
        <w:tc>
          <w:tcPr>
            <w:tcW w:w="1276" w:type="dxa"/>
            <w:shd w:val="clear" w:color="auto" w:fill="auto"/>
            <w:noWrap/>
            <w:vAlign w:val="bottom"/>
            <w:hideMark/>
          </w:tcPr>
          <w:p w14:paraId="2DA300CD" w14:textId="77777777" w:rsidR="00D57127" w:rsidRPr="00701F32" w:rsidRDefault="002E6AB0" w:rsidP="007E0DB2">
            <w:pPr>
              <w:jc w:val="center"/>
              <w:rPr>
                <w:rFonts w:ascii="Arial" w:hAnsi="Arial" w:cs="Arial"/>
                <w:b/>
                <w:color w:val="000000"/>
                <w:sz w:val="20"/>
                <w:lang w:eastAsia="es-AR"/>
              </w:rPr>
            </w:pPr>
            <w:r w:rsidRPr="00701F32">
              <w:rPr>
                <w:rFonts w:ascii="Arial" w:hAnsi="Arial" w:cs="Arial"/>
                <w:b/>
                <w:color w:val="000000"/>
                <w:sz w:val="20"/>
                <w:lang w:eastAsia="es-AR"/>
              </w:rPr>
              <w:softHyphen/>
            </w:r>
            <w:r w:rsidR="00D57127"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00D57127"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00D57127" w:rsidRPr="00701F32">
              <w:rPr>
                <w:rFonts w:ascii="Arial" w:hAnsi="Arial" w:cs="Arial"/>
                <w:b/>
                <w:color w:val="000000"/>
                <w:sz w:val="20"/>
                <w:lang w:eastAsia="es-AR"/>
              </w:rPr>
              <w:t>/2018</w:t>
            </w:r>
          </w:p>
        </w:tc>
        <w:tc>
          <w:tcPr>
            <w:tcW w:w="1275" w:type="dxa"/>
            <w:shd w:val="clear" w:color="auto" w:fill="auto"/>
            <w:noWrap/>
            <w:vAlign w:val="bottom"/>
            <w:hideMark/>
          </w:tcPr>
          <w:p w14:paraId="61627ED4" w14:textId="77777777" w:rsidR="00D57127" w:rsidRPr="00701F32" w:rsidRDefault="00D57127" w:rsidP="0086282C">
            <w:pPr>
              <w:jc w:val="center"/>
              <w:rPr>
                <w:rFonts w:ascii="Arial" w:hAnsi="Arial" w:cs="Arial"/>
                <w:b/>
                <w:color w:val="000000"/>
                <w:sz w:val="20"/>
                <w:lang w:eastAsia="es-AR"/>
              </w:rPr>
            </w:pPr>
            <w:r w:rsidRPr="00701F32">
              <w:rPr>
                <w:rFonts w:ascii="Arial" w:hAnsi="Arial" w:cs="Arial"/>
                <w:b/>
                <w:color w:val="000000"/>
                <w:sz w:val="20"/>
                <w:lang w:eastAsia="es-AR"/>
              </w:rPr>
              <w:t>31/12/2017</w:t>
            </w:r>
          </w:p>
        </w:tc>
        <w:tc>
          <w:tcPr>
            <w:tcW w:w="1204" w:type="dxa"/>
            <w:shd w:val="clear" w:color="auto" w:fill="auto"/>
            <w:noWrap/>
            <w:vAlign w:val="bottom"/>
            <w:hideMark/>
          </w:tcPr>
          <w:p w14:paraId="1AA87A5D" w14:textId="77777777" w:rsidR="00D57127" w:rsidRPr="00701F32" w:rsidRDefault="00D57127" w:rsidP="0086282C">
            <w:pPr>
              <w:jc w:val="center"/>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7FEF7880" w14:textId="77777777" w:rsidTr="00E311C9">
        <w:trPr>
          <w:trHeight w:val="255"/>
        </w:trPr>
        <w:tc>
          <w:tcPr>
            <w:tcW w:w="4820" w:type="dxa"/>
            <w:shd w:val="clear" w:color="auto" w:fill="auto"/>
            <w:noWrap/>
            <w:vAlign w:val="bottom"/>
            <w:hideMark/>
          </w:tcPr>
          <w:p w14:paraId="29AC2174"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Certificados Participacion Fideicomisos Financieros</w:t>
            </w:r>
          </w:p>
        </w:tc>
        <w:tc>
          <w:tcPr>
            <w:tcW w:w="1276" w:type="dxa"/>
            <w:shd w:val="clear" w:color="auto" w:fill="auto"/>
            <w:noWrap/>
            <w:vAlign w:val="bottom"/>
          </w:tcPr>
          <w:p w14:paraId="4B8C1876" w14:textId="67A02F86"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11.841 </w:t>
            </w:r>
          </w:p>
        </w:tc>
        <w:tc>
          <w:tcPr>
            <w:tcW w:w="1275" w:type="dxa"/>
            <w:shd w:val="clear" w:color="auto" w:fill="auto"/>
            <w:noWrap/>
            <w:vAlign w:val="bottom"/>
            <w:hideMark/>
          </w:tcPr>
          <w:p w14:paraId="58933EF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3.595 </w:t>
            </w:r>
          </w:p>
        </w:tc>
        <w:tc>
          <w:tcPr>
            <w:tcW w:w="1204" w:type="dxa"/>
            <w:shd w:val="clear" w:color="auto" w:fill="auto"/>
            <w:noWrap/>
            <w:vAlign w:val="bottom"/>
            <w:hideMark/>
          </w:tcPr>
          <w:p w14:paraId="23E4146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349.408 </w:t>
            </w:r>
          </w:p>
        </w:tc>
      </w:tr>
      <w:tr w:rsidR="005B0E46" w:rsidRPr="00701F32" w14:paraId="2B602CB0" w14:textId="77777777" w:rsidTr="00E311C9">
        <w:trPr>
          <w:trHeight w:val="255"/>
        </w:trPr>
        <w:tc>
          <w:tcPr>
            <w:tcW w:w="4820" w:type="dxa"/>
            <w:shd w:val="clear" w:color="auto" w:fill="auto"/>
            <w:noWrap/>
            <w:vAlign w:val="bottom"/>
            <w:hideMark/>
          </w:tcPr>
          <w:p w14:paraId="20EEB279"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Deudores por operaciones contado a liquidar</w:t>
            </w:r>
          </w:p>
        </w:tc>
        <w:tc>
          <w:tcPr>
            <w:tcW w:w="1276" w:type="dxa"/>
            <w:shd w:val="clear" w:color="auto" w:fill="auto"/>
            <w:noWrap/>
            <w:vAlign w:val="bottom"/>
          </w:tcPr>
          <w:p w14:paraId="00419C0F" w14:textId="074C23B1"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45.066 </w:t>
            </w:r>
          </w:p>
        </w:tc>
        <w:tc>
          <w:tcPr>
            <w:tcW w:w="1275" w:type="dxa"/>
            <w:shd w:val="clear" w:color="auto" w:fill="auto"/>
            <w:noWrap/>
            <w:vAlign w:val="bottom"/>
            <w:hideMark/>
          </w:tcPr>
          <w:p w14:paraId="700CA59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22.669 </w:t>
            </w:r>
          </w:p>
        </w:tc>
        <w:tc>
          <w:tcPr>
            <w:tcW w:w="1204" w:type="dxa"/>
            <w:shd w:val="clear" w:color="auto" w:fill="auto"/>
            <w:noWrap/>
            <w:vAlign w:val="bottom"/>
            <w:hideMark/>
          </w:tcPr>
          <w:p w14:paraId="30399043"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4.745 </w:t>
            </w:r>
          </w:p>
        </w:tc>
      </w:tr>
      <w:tr w:rsidR="005B0E46" w:rsidRPr="00701F32" w14:paraId="090FE8F3" w14:textId="77777777" w:rsidTr="00E311C9">
        <w:trPr>
          <w:trHeight w:val="255"/>
        </w:trPr>
        <w:tc>
          <w:tcPr>
            <w:tcW w:w="4820" w:type="dxa"/>
            <w:shd w:val="clear" w:color="auto" w:fill="auto"/>
            <w:noWrap/>
            <w:vAlign w:val="bottom"/>
            <w:hideMark/>
          </w:tcPr>
          <w:p w14:paraId="239F2751"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Deudores Varios</w:t>
            </w:r>
          </w:p>
        </w:tc>
        <w:tc>
          <w:tcPr>
            <w:tcW w:w="1276" w:type="dxa"/>
            <w:shd w:val="clear" w:color="auto" w:fill="auto"/>
            <w:noWrap/>
            <w:vAlign w:val="bottom"/>
          </w:tcPr>
          <w:p w14:paraId="2BB41DED" w14:textId="0F01E205"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417.870 </w:t>
            </w:r>
          </w:p>
        </w:tc>
        <w:tc>
          <w:tcPr>
            <w:tcW w:w="1275" w:type="dxa"/>
            <w:shd w:val="clear" w:color="auto" w:fill="auto"/>
            <w:noWrap/>
            <w:vAlign w:val="bottom"/>
            <w:hideMark/>
          </w:tcPr>
          <w:p w14:paraId="37ECDC39"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250.127 </w:t>
            </w:r>
          </w:p>
        </w:tc>
        <w:tc>
          <w:tcPr>
            <w:tcW w:w="1204" w:type="dxa"/>
            <w:shd w:val="clear" w:color="auto" w:fill="auto"/>
            <w:noWrap/>
            <w:vAlign w:val="bottom"/>
            <w:hideMark/>
          </w:tcPr>
          <w:p w14:paraId="14C9495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48.682 </w:t>
            </w:r>
          </w:p>
        </w:tc>
      </w:tr>
      <w:tr w:rsidR="005B0E46" w:rsidRPr="00701F32" w14:paraId="05E19718" w14:textId="77777777" w:rsidTr="00E311C9">
        <w:trPr>
          <w:trHeight w:val="255"/>
        </w:trPr>
        <w:tc>
          <w:tcPr>
            <w:tcW w:w="4820" w:type="dxa"/>
            <w:shd w:val="clear" w:color="auto" w:fill="auto"/>
            <w:noWrap/>
            <w:vAlign w:val="bottom"/>
            <w:hideMark/>
          </w:tcPr>
          <w:p w14:paraId="4268714B" w14:textId="77777777" w:rsidR="005B0E46" w:rsidRPr="00701F32" w:rsidRDefault="005B0E46">
            <w:pPr>
              <w:rPr>
                <w:rFonts w:ascii="Arial" w:hAnsi="Arial" w:cs="Arial"/>
                <w:color w:val="000000"/>
                <w:sz w:val="20"/>
                <w:lang w:eastAsia="es-AR"/>
              </w:rPr>
            </w:pPr>
            <w:r w:rsidRPr="00701F32">
              <w:rPr>
                <w:rFonts w:ascii="Arial" w:hAnsi="Arial" w:cs="Arial"/>
                <w:color w:val="000000"/>
                <w:sz w:val="20"/>
                <w:lang w:eastAsia="es-AR"/>
              </w:rPr>
              <w:t>Deudores Varios por operaciones de tarjeta de crédito</w:t>
            </w:r>
          </w:p>
        </w:tc>
        <w:tc>
          <w:tcPr>
            <w:tcW w:w="1276" w:type="dxa"/>
            <w:shd w:val="clear" w:color="auto" w:fill="auto"/>
            <w:noWrap/>
            <w:vAlign w:val="bottom"/>
          </w:tcPr>
          <w:p w14:paraId="3BCF1ADF" w14:textId="56488D71"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273.593 </w:t>
            </w:r>
          </w:p>
        </w:tc>
        <w:tc>
          <w:tcPr>
            <w:tcW w:w="1275" w:type="dxa"/>
            <w:shd w:val="clear" w:color="auto" w:fill="auto"/>
            <w:noWrap/>
            <w:vAlign w:val="bottom"/>
            <w:hideMark/>
          </w:tcPr>
          <w:p w14:paraId="1346A193"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173.378 </w:t>
            </w:r>
          </w:p>
        </w:tc>
        <w:tc>
          <w:tcPr>
            <w:tcW w:w="1204" w:type="dxa"/>
            <w:shd w:val="clear" w:color="auto" w:fill="auto"/>
            <w:noWrap/>
            <w:vAlign w:val="bottom"/>
            <w:hideMark/>
          </w:tcPr>
          <w:p w14:paraId="17B13F99"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90.635 </w:t>
            </w:r>
          </w:p>
        </w:tc>
      </w:tr>
      <w:tr w:rsidR="00D57127" w:rsidRPr="00701F32" w14:paraId="52C69D34" w14:textId="77777777" w:rsidTr="00E311C9">
        <w:trPr>
          <w:trHeight w:val="270"/>
        </w:trPr>
        <w:tc>
          <w:tcPr>
            <w:tcW w:w="4820" w:type="dxa"/>
            <w:shd w:val="clear" w:color="auto" w:fill="auto"/>
            <w:noWrap/>
            <w:vAlign w:val="bottom"/>
            <w:hideMark/>
          </w:tcPr>
          <w:p w14:paraId="3A6E2446" w14:textId="77777777" w:rsidR="00D57127" w:rsidRPr="00701F32" w:rsidRDefault="00D57127" w:rsidP="00D57127">
            <w:pPr>
              <w:rPr>
                <w:rFonts w:ascii="Arial" w:hAnsi="Arial" w:cs="Arial"/>
                <w:b/>
                <w:color w:val="000000"/>
                <w:sz w:val="20"/>
                <w:lang w:eastAsia="es-AR"/>
              </w:rPr>
            </w:pPr>
            <w:r w:rsidRPr="00701F32">
              <w:rPr>
                <w:rFonts w:ascii="Arial" w:hAnsi="Arial" w:cs="Arial"/>
                <w:b/>
                <w:color w:val="000000"/>
                <w:sz w:val="20"/>
                <w:lang w:eastAsia="es-AR"/>
              </w:rPr>
              <w:t>Total</w:t>
            </w:r>
          </w:p>
        </w:tc>
        <w:tc>
          <w:tcPr>
            <w:tcW w:w="1276" w:type="dxa"/>
            <w:shd w:val="clear" w:color="auto" w:fill="auto"/>
            <w:noWrap/>
            <w:vAlign w:val="bottom"/>
          </w:tcPr>
          <w:p w14:paraId="2E725FE2" w14:textId="3667027B" w:rsidR="00D57127" w:rsidRPr="00701F32" w:rsidRDefault="005B0E46">
            <w:pPr>
              <w:jc w:val="right"/>
              <w:rPr>
                <w:rFonts w:ascii="Arial" w:eastAsiaTheme="minorHAnsi" w:hAnsi="Arial" w:cs="Arial"/>
                <w:b/>
                <w:color w:val="000000"/>
                <w:sz w:val="20"/>
                <w:lang w:val="es-ES_tradnl"/>
              </w:rPr>
            </w:pPr>
            <w:r w:rsidRPr="00701F32">
              <w:rPr>
                <w:rFonts w:ascii="Arial" w:eastAsiaTheme="minorHAnsi" w:hAnsi="Arial" w:cs="Arial"/>
                <w:b/>
                <w:color w:val="000000"/>
                <w:sz w:val="20"/>
                <w:lang w:val="es-ES_tradnl"/>
              </w:rPr>
              <w:t>748.370</w:t>
            </w:r>
          </w:p>
        </w:tc>
        <w:tc>
          <w:tcPr>
            <w:tcW w:w="1275" w:type="dxa"/>
            <w:shd w:val="clear" w:color="auto" w:fill="auto"/>
            <w:noWrap/>
            <w:vAlign w:val="bottom"/>
            <w:hideMark/>
          </w:tcPr>
          <w:p w14:paraId="74D51B65" w14:textId="77777777" w:rsidR="00D57127" w:rsidRPr="00701F32" w:rsidRDefault="00D57127">
            <w:pPr>
              <w:autoSpaceDE w:val="0"/>
              <w:autoSpaceDN w:val="0"/>
              <w:adjustRightInd w:val="0"/>
              <w:jc w:val="right"/>
              <w:rPr>
                <w:rFonts w:ascii="Arial" w:eastAsiaTheme="minorHAnsi" w:hAnsi="Arial" w:cs="Arial"/>
                <w:b/>
                <w:color w:val="000000"/>
                <w:sz w:val="20"/>
                <w:lang w:val="es-ES_tradnl"/>
              </w:rPr>
            </w:pPr>
            <w:r w:rsidRPr="00701F32">
              <w:rPr>
                <w:rFonts w:ascii="Arial" w:eastAsiaTheme="minorHAnsi" w:hAnsi="Arial" w:cs="Arial"/>
                <w:b/>
                <w:color w:val="000000"/>
                <w:sz w:val="20"/>
              </w:rPr>
              <w:t xml:space="preserve">449.769 </w:t>
            </w:r>
          </w:p>
        </w:tc>
        <w:tc>
          <w:tcPr>
            <w:tcW w:w="1204" w:type="dxa"/>
            <w:shd w:val="clear" w:color="auto" w:fill="auto"/>
            <w:noWrap/>
            <w:vAlign w:val="bottom"/>
            <w:hideMark/>
          </w:tcPr>
          <w:p w14:paraId="2E88D7AC" w14:textId="77777777" w:rsidR="00D57127" w:rsidRPr="00701F32" w:rsidRDefault="00D57127">
            <w:pPr>
              <w:autoSpaceDE w:val="0"/>
              <w:autoSpaceDN w:val="0"/>
              <w:adjustRightInd w:val="0"/>
              <w:jc w:val="right"/>
              <w:rPr>
                <w:rFonts w:ascii="Arial" w:eastAsiaTheme="minorHAnsi" w:hAnsi="Arial" w:cs="Arial"/>
                <w:b/>
                <w:color w:val="000000"/>
                <w:sz w:val="20"/>
                <w:lang w:val="es-ES_tradnl"/>
              </w:rPr>
            </w:pPr>
            <w:r w:rsidRPr="00701F32">
              <w:rPr>
                <w:rFonts w:ascii="Arial" w:eastAsiaTheme="minorHAnsi" w:hAnsi="Arial" w:cs="Arial"/>
                <w:b/>
                <w:color w:val="000000"/>
                <w:sz w:val="20"/>
              </w:rPr>
              <w:t xml:space="preserve">493.470 </w:t>
            </w:r>
          </w:p>
        </w:tc>
      </w:tr>
    </w:tbl>
    <w:p w14:paraId="2889A4D1" w14:textId="77777777" w:rsidR="00D57127" w:rsidRPr="00701F32" w:rsidRDefault="00D57127" w:rsidP="00D57127">
      <w:pPr>
        <w:spacing w:after="160" w:line="259" w:lineRule="auto"/>
        <w:rPr>
          <w:rFonts w:ascii="Arial" w:eastAsiaTheme="minorHAnsi" w:hAnsi="Arial" w:cs="Arial"/>
          <w:sz w:val="22"/>
          <w:szCs w:val="22"/>
        </w:rPr>
      </w:pPr>
    </w:p>
    <w:p w14:paraId="43849FFF"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367CA1" w:rsidRPr="00701F32">
        <w:rPr>
          <w:rFonts w:ascii="Arial" w:hAnsi="Arial" w:cs="Arial"/>
          <w:bCs/>
          <w:color w:val="000000"/>
          <w:sz w:val="20"/>
          <w:lang w:eastAsia="es-AR"/>
        </w:rPr>
        <w:t>4</w:t>
      </w:r>
      <w:r w:rsidRPr="00701F32">
        <w:rPr>
          <w:rFonts w:ascii="Arial" w:hAnsi="Arial" w:cs="Arial"/>
          <w:bCs/>
          <w:color w:val="000000"/>
          <w:sz w:val="20"/>
          <w:lang w:eastAsia="es-AR"/>
        </w:rPr>
        <w:t xml:space="preserve"> Préstamos y otras financiaciones</w:t>
      </w:r>
    </w:p>
    <w:p w14:paraId="51FACAB5" w14:textId="77777777" w:rsidR="00367CA1" w:rsidRPr="00701F32" w:rsidRDefault="00367CA1" w:rsidP="00D57127">
      <w:pPr>
        <w:rPr>
          <w:rFonts w:ascii="Arial" w:hAnsi="Arial" w:cs="Arial"/>
          <w:bCs/>
          <w:color w:val="000000"/>
          <w:sz w:val="20"/>
          <w:lang w:eastAsia="es-AR"/>
        </w:rPr>
      </w:pPr>
    </w:p>
    <w:p w14:paraId="1D3F7020" w14:textId="77777777" w:rsidR="00D57127"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 xml:space="preserve">Los principales componentes del rubro préstamos y otras financiaciones para los períodos al </w:t>
      </w:r>
      <w:r w:rsidR="006D5978" w:rsidRPr="00701F32">
        <w:rPr>
          <w:rFonts w:ascii="Arial" w:eastAsiaTheme="minorHAnsi" w:hAnsi="Arial" w:cs="Arial"/>
          <w:sz w:val="20"/>
          <w:szCs w:val="22"/>
        </w:rPr>
        <w:t xml:space="preserve">30 de </w:t>
      </w:r>
      <w:r w:rsidR="00837BEB" w:rsidRPr="00701F32">
        <w:rPr>
          <w:rFonts w:ascii="Arial" w:eastAsiaTheme="minorHAnsi" w:hAnsi="Arial" w:cs="Arial"/>
          <w:sz w:val="20"/>
          <w:szCs w:val="22"/>
        </w:rPr>
        <w:t>septiembre</w:t>
      </w:r>
      <w:r w:rsidR="006D5978" w:rsidRPr="00701F32">
        <w:rPr>
          <w:rFonts w:ascii="Arial" w:eastAsiaTheme="minorHAnsi" w:hAnsi="Arial" w:cs="Arial"/>
          <w:sz w:val="20"/>
          <w:szCs w:val="22"/>
        </w:rPr>
        <w:t xml:space="preserve"> de 2018</w:t>
      </w:r>
      <w:r w:rsidRPr="00701F32">
        <w:rPr>
          <w:rFonts w:ascii="Arial" w:eastAsiaTheme="minorHAnsi" w:hAnsi="Arial" w:cs="Arial"/>
          <w:sz w:val="20"/>
          <w:szCs w:val="22"/>
        </w:rPr>
        <w:t>, 31 de diciembre 2017 y 1 de enero de 2017 son los siguientes:</w:t>
      </w:r>
    </w:p>
    <w:tbl>
      <w:tblPr>
        <w:tblW w:w="82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6"/>
        <w:gridCol w:w="1376"/>
        <w:gridCol w:w="1376"/>
        <w:gridCol w:w="1376"/>
      </w:tblGrid>
      <w:tr w:rsidR="00D57127" w:rsidRPr="00701F32" w14:paraId="4F0AFD16" w14:textId="77777777" w:rsidTr="00D57127">
        <w:trPr>
          <w:trHeight w:val="255"/>
        </w:trPr>
        <w:tc>
          <w:tcPr>
            <w:tcW w:w="4076" w:type="dxa"/>
            <w:shd w:val="clear" w:color="auto" w:fill="auto"/>
            <w:noWrap/>
            <w:vAlign w:val="bottom"/>
            <w:hideMark/>
          </w:tcPr>
          <w:p w14:paraId="25BD4475" w14:textId="77777777" w:rsidR="00D57127" w:rsidRPr="00701F32" w:rsidRDefault="00D57127" w:rsidP="00D57127">
            <w:pPr>
              <w:rPr>
                <w:rFonts w:ascii="Arial" w:hAnsi="Arial" w:cs="Arial"/>
                <w:b/>
                <w:bCs/>
                <w:color w:val="000000"/>
                <w:sz w:val="20"/>
                <w:u w:val="single"/>
                <w:lang w:eastAsia="es-AR"/>
              </w:rPr>
            </w:pPr>
          </w:p>
        </w:tc>
        <w:tc>
          <w:tcPr>
            <w:tcW w:w="1376" w:type="dxa"/>
            <w:shd w:val="clear" w:color="auto" w:fill="auto"/>
            <w:noWrap/>
            <w:vAlign w:val="bottom"/>
            <w:hideMark/>
          </w:tcPr>
          <w:p w14:paraId="68F80542" w14:textId="77777777" w:rsidR="00D57127" w:rsidRPr="00701F32" w:rsidRDefault="00D57127"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0DEE9D21"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160EC0E6"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6E0D44F6" w14:textId="77777777" w:rsidTr="00E311C9">
        <w:trPr>
          <w:trHeight w:val="255"/>
        </w:trPr>
        <w:tc>
          <w:tcPr>
            <w:tcW w:w="4076" w:type="dxa"/>
            <w:shd w:val="clear" w:color="auto" w:fill="auto"/>
            <w:noWrap/>
            <w:vAlign w:val="bottom"/>
            <w:hideMark/>
          </w:tcPr>
          <w:p w14:paraId="232401BC"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Sector público</w:t>
            </w:r>
          </w:p>
        </w:tc>
        <w:tc>
          <w:tcPr>
            <w:tcW w:w="1376" w:type="dxa"/>
            <w:shd w:val="clear" w:color="auto" w:fill="auto"/>
            <w:noWrap/>
            <w:vAlign w:val="bottom"/>
          </w:tcPr>
          <w:p w14:paraId="37634624" w14:textId="0CA621E2"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35.575 </w:t>
            </w:r>
          </w:p>
        </w:tc>
        <w:tc>
          <w:tcPr>
            <w:tcW w:w="1376" w:type="dxa"/>
            <w:shd w:val="clear" w:color="auto" w:fill="auto"/>
            <w:noWrap/>
            <w:vAlign w:val="bottom"/>
            <w:hideMark/>
          </w:tcPr>
          <w:p w14:paraId="7686996F"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32.607 </w:t>
            </w:r>
          </w:p>
        </w:tc>
        <w:tc>
          <w:tcPr>
            <w:tcW w:w="1376" w:type="dxa"/>
            <w:shd w:val="clear" w:color="auto" w:fill="auto"/>
            <w:noWrap/>
            <w:vAlign w:val="bottom"/>
            <w:hideMark/>
          </w:tcPr>
          <w:p w14:paraId="24B926A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4.306 </w:t>
            </w:r>
          </w:p>
        </w:tc>
      </w:tr>
      <w:tr w:rsidR="005B0E46" w:rsidRPr="00701F32" w14:paraId="165267E6" w14:textId="77777777" w:rsidTr="00E311C9">
        <w:trPr>
          <w:trHeight w:val="255"/>
        </w:trPr>
        <w:tc>
          <w:tcPr>
            <w:tcW w:w="4076" w:type="dxa"/>
            <w:shd w:val="clear" w:color="auto" w:fill="auto"/>
            <w:noWrap/>
            <w:vAlign w:val="bottom"/>
            <w:hideMark/>
          </w:tcPr>
          <w:p w14:paraId="0E1B7F37"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Sector financiero</w:t>
            </w:r>
          </w:p>
        </w:tc>
        <w:tc>
          <w:tcPr>
            <w:tcW w:w="1376" w:type="dxa"/>
            <w:shd w:val="clear" w:color="auto" w:fill="auto"/>
            <w:noWrap/>
            <w:vAlign w:val="bottom"/>
          </w:tcPr>
          <w:p w14:paraId="4FEC1F8C" w14:textId="5C6E9339"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3.996.922 </w:t>
            </w:r>
          </w:p>
        </w:tc>
        <w:tc>
          <w:tcPr>
            <w:tcW w:w="1376" w:type="dxa"/>
            <w:shd w:val="clear" w:color="auto" w:fill="auto"/>
            <w:noWrap/>
            <w:vAlign w:val="bottom"/>
            <w:hideMark/>
          </w:tcPr>
          <w:p w14:paraId="30830B09"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2.200.439 </w:t>
            </w:r>
          </w:p>
        </w:tc>
        <w:tc>
          <w:tcPr>
            <w:tcW w:w="1376" w:type="dxa"/>
            <w:shd w:val="clear" w:color="auto" w:fill="auto"/>
            <w:noWrap/>
            <w:vAlign w:val="bottom"/>
            <w:hideMark/>
          </w:tcPr>
          <w:p w14:paraId="2E4B358F"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1.843.097 </w:t>
            </w:r>
          </w:p>
        </w:tc>
      </w:tr>
      <w:tr w:rsidR="005B0E46" w:rsidRPr="00701F32" w14:paraId="1CB507DE" w14:textId="77777777" w:rsidTr="00E311C9">
        <w:trPr>
          <w:trHeight w:val="255"/>
        </w:trPr>
        <w:tc>
          <w:tcPr>
            <w:tcW w:w="4076" w:type="dxa"/>
            <w:shd w:val="clear" w:color="auto" w:fill="auto"/>
            <w:noWrap/>
            <w:vAlign w:val="bottom"/>
            <w:hideMark/>
          </w:tcPr>
          <w:p w14:paraId="726897D3"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Adelantos</w:t>
            </w:r>
          </w:p>
        </w:tc>
        <w:tc>
          <w:tcPr>
            <w:tcW w:w="1376" w:type="dxa"/>
            <w:shd w:val="clear" w:color="auto" w:fill="auto"/>
            <w:noWrap/>
            <w:vAlign w:val="bottom"/>
          </w:tcPr>
          <w:p w14:paraId="31957F7A" w14:textId="1912CD6C"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5.511.256 </w:t>
            </w:r>
          </w:p>
        </w:tc>
        <w:tc>
          <w:tcPr>
            <w:tcW w:w="1376" w:type="dxa"/>
            <w:shd w:val="clear" w:color="auto" w:fill="auto"/>
            <w:noWrap/>
            <w:vAlign w:val="bottom"/>
            <w:hideMark/>
          </w:tcPr>
          <w:p w14:paraId="4F482EAE"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3.771.379 </w:t>
            </w:r>
          </w:p>
        </w:tc>
        <w:tc>
          <w:tcPr>
            <w:tcW w:w="1376" w:type="dxa"/>
            <w:shd w:val="clear" w:color="auto" w:fill="auto"/>
            <w:noWrap/>
            <w:vAlign w:val="bottom"/>
            <w:hideMark/>
          </w:tcPr>
          <w:p w14:paraId="1F33AE5E"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3.219.731 </w:t>
            </w:r>
          </w:p>
        </w:tc>
      </w:tr>
      <w:tr w:rsidR="005B0E46" w:rsidRPr="00701F32" w14:paraId="5756DBD6" w14:textId="77777777" w:rsidTr="00E311C9">
        <w:trPr>
          <w:trHeight w:val="255"/>
        </w:trPr>
        <w:tc>
          <w:tcPr>
            <w:tcW w:w="4076" w:type="dxa"/>
            <w:shd w:val="clear" w:color="auto" w:fill="auto"/>
            <w:noWrap/>
            <w:vAlign w:val="bottom"/>
            <w:hideMark/>
          </w:tcPr>
          <w:p w14:paraId="67FBA092"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Documentos</w:t>
            </w:r>
          </w:p>
        </w:tc>
        <w:tc>
          <w:tcPr>
            <w:tcW w:w="1376" w:type="dxa"/>
            <w:shd w:val="clear" w:color="auto" w:fill="auto"/>
            <w:noWrap/>
            <w:vAlign w:val="bottom"/>
          </w:tcPr>
          <w:p w14:paraId="3B4BE179" w14:textId="015F684D"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14.799.511 </w:t>
            </w:r>
          </w:p>
        </w:tc>
        <w:tc>
          <w:tcPr>
            <w:tcW w:w="1376" w:type="dxa"/>
            <w:shd w:val="clear" w:color="auto" w:fill="auto"/>
            <w:noWrap/>
            <w:vAlign w:val="bottom"/>
            <w:hideMark/>
          </w:tcPr>
          <w:p w14:paraId="6915B00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14.665.561 </w:t>
            </w:r>
          </w:p>
        </w:tc>
        <w:tc>
          <w:tcPr>
            <w:tcW w:w="1376" w:type="dxa"/>
            <w:shd w:val="clear" w:color="auto" w:fill="auto"/>
            <w:noWrap/>
            <w:vAlign w:val="bottom"/>
            <w:hideMark/>
          </w:tcPr>
          <w:p w14:paraId="000EEAE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9.125.835 </w:t>
            </w:r>
          </w:p>
        </w:tc>
      </w:tr>
      <w:tr w:rsidR="005B0E46" w:rsidRPr="00701F32" w14:paraId="48D64731" w14:textId="77777777" w:rsidTr="00E311C9">
        <w:trPr>
          <w:trHeight w:val="255"/>
        </w:trPr>
        <w:tc>
          <w:tcPr>
            <w:tcW w:w="4076" w:type="dxa"/>
            <w:shd w:val="clear" w:color="auto" w:fill="auto"/>
            <w:noWrap/>
            <w:vAlign w:val="bottom"/>
            <w:hideMark/>
          </w:tcPr>
          <w:p w14:paraId="3A3C8FDD"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Hipotecarios</w:t>
            </w:r>
          </w:p>
        </w:tc>
        <w:tc>
          <w:tcPr>
            <w:tcW w:w="1376" w:type="dxa"/>
            <w:shd w:val="clear" w:color="auto" w:fill="auto"/>
            <w:noWrap/>
            <w:vAlign w:val="bottom"/>
          </w:tcPr>
          <w:p w14:paraId="4067E0B6" w14:textId="44311110"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4.580.329 </w:t>
            </w:r>
          </w:p>
        </w:tc>
        <w:tc>
          <w:tcPr>
            <w:tcW w:w="1376" w:type="dxa"/>
            <w:shd w:val="clear" w:color="auto" w:fill="auto"/>
            <w:noWrap/>
            <w:vAlign w:val="bottom"/>
            <w:hideMark/>
          </w:tcPr>
          <w:p w14:paraId="6C246E45"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1.637.631 </w:t>
            </w:r>
          </w:p>
        </w:tc>
        <w:tc>
          <w:tcPr>
            <w:tcW w:w="1376" w:type="dxa"/>
            <w:shd w:val="clear" w:color="auto" w:fill="auto"/>
            <w:noWrap/>
            <w:vAlign w:val="bottom"/>
            <w:hideMark/>
          </w:tcPr>
          <w:p w14:paraId="4CA74A32"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79.746 </w:t>
            </w:r>
          </w:p>
        </w:tc>
      </w:tr>
      <w:tr w:rsidR="005B0E46" w:rsidRPr="00701F32" w14:paraId="12446378" w14:textId="77777777" w:rsidTr="00E311C9">
        <w:trPr>
          <w:trHeight w:val="255"/>
        </w:trPr>
        <w:tc>
          <w:tcPr>
            <w:tcW w:w="4076" w:type="dxa"/>
            <w:shd w:val="clear" w:color="auto" w:fill="auto"/>
            <w:noWrap/>
            <w:vAlign w:val="bottom"/>
            <w:hideMark/>
          </w:tcPr>
          <w:p w14:paraId="5F75F346"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Prendarios</w:t>
            </w:r>
          </w:p>
        </w:tc>
        <w:tc>
          <w:tcPr>
            <w:tcW w:w="1376" w:type="dxa"/>
            <w:shd w:val="clear" w:color="auto" w:fill="auto"/>
            <w:noWrap/>
            <w:vAlign w:val="bottom"/>
          </w:tcPr>
          <w:p w14:paraId="4B02A16A" w14:textId="29686A68"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517.896 </w:t>
            </w:r>
          </w:p>
        </w:tc>
        <w:tc>
          <w:tcPr>
            <w:tcW w:w="1376" w:type="dxa"/>
            <w:shd w:val="clear" w:color="auto" w:fill="auto"/>
            <w:noWrap/>
            <w:vAlign w:val="bottom"/>
            <w:hideMark/>
          </w:tcPr>
          <w:p w14:paraId="3EF7494F"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317.836 </w:t>
            </w:r>
          </w:p>
        </w:tc>
        <w:tc>
          <w:tcPr>
            <w:tcW w:w="1376" w:type="dxa"/>
            <w:shd w:val="clear" w:color="auto" w:fill="auto"/>
            <w:noWrap/>
            <w:vAlign w:val="bottom"/>
            <w:hideMark/>
          </w:tcPr>
          <w:p w14:paraId="2FC42175"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66.040 </w:t>
            </w:r>
          </w:p>
        </w:tc>
      </w:tr>
      <w:tr w:rsidR="005B0E46" w:rsidRPr="00701F32" w14:paraId="30753954" w14:textId="77777777" w:rsidTr="00E311C9">
        <w:trPr>
          <w:trHeight w:val="255"/>
        </w:trPr>
        <w:tc>
          <w:tcPr>
            <w:tcW w:w="4076" w:type="dxa"/>
            <w:shd w:val="clear" w:color="auto" w:fill="auto"/>
            <w:noWrap/>
            <w:vAlign w:val="bottom"/>
            <w:hideMark/>
          </w:tcPr>
          <w:p w14:paraId="64A89D87"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Personales</w:t>
            </w:r>
          </w:p>
        </w:tc>
        <w:tc>
          <w:tcPr>
            <w:tcW w:w="1376" w:type="dxa"/>
            <w:shd w:val="clear" w:color="auto" w:fill="auto"/>
            <w:noWrap/>
            <w:vAlign w:val="bottom"/>
          </w:tcPr>
          <w:p w14:paraId="33B020F5" w14:textId="25C6E3AF"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14.204.358 </w:t>
            </w:r>
          </w:p>
        </w:tc>
        <w:tc>
          <w:tcPr>
            <w:tcW w:w="1376" w:type="dxa"/>
            <w:shd w:val="clear" w:color="auto" w:fill="auto"/>
            <w:noWrap/>
            <w:vAlign w:val="bottom"/>
            <w:hideMark/>
          </w:tcPr>
          <w:p w14:paraId="06ED137A"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11.598.449 </w:t>
            </w:r>
          </w:p>
        </w:tc>
        <w:tc>
          <w:tcPr>
            <w:tcW w:w="1376" w:type="dxa"/>
            <w:shd w:val="clear" w:color="auto" w:fill="auto"/>
            <w:noWrap/>
            <w:vAlign w:val="bottom"/>
            <w:hideMark/>
          </w:tcPr>
          <w:p w14:paraId="5010D2D6"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7.379.203 </w:t>
            </w:r>
          </w:p>
        </w:tc>
      </w:tr>
      <w:tr w:rsidR="005B0E46" w:rsidRPr="00701F32" w14:paraId="31770D45" w14:textId="77777777" w:rsidTr="00E311C9">
        <w:trPr>
          <w:trHeight w:val="255"/>
        </w:trPr>
        <w:tc>
          <w:tcPr>
            <w:tcW w:w="4076" w:type="dxa"/>
            <w:shd w:val="clear" w:color="auto" w:fill="auto"/>
            <w:noWrap/>
            <w:vAlign w:val="bottom"/>
            <w:hideMark/>
          </w:tcPr>
          <w:p w14:paraId="1C252056"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Tarjetas de Crédito</w:t>
            </w:r>
          </w:p>
        </w:tc>
        <w:tc>
          <w:tcPr>
            <w:tcW w:w="1376" w:type="dxa"/>
            <w:shd w:val="clear" w:color="auto" w:fill="auto"/>
            <w:noWrap/>
            <w:vAlign w:val="bottom"/>
          </w:tcPr>
          <w:p w14:paraId="57564E65" w14:textId="5A198A7D"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6.345.469 </w:t>
            </w:r>
          </w:p>
        </w:tc>
        <w:tc>
          <w:tcPr>
            <w:tcW w:w="1376" w:type="dxa"/>
            <w:shd w:val="clear" w:color="auto" w:fill="auto"/>
            <w:noWrap/>
            <w:vAlign w:val="bottom"/>
            <w:hideMark/>
          </w:tcPr>
          <w:p w14:paraId="250A59A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5.522.704 </w:t>
            </w:r>
          </w:p>
        </w:tc>
        <w:tc>
          <w:tcPr>
            <w:tcW w:w="1376" w:type="dxa"/>
            <w:shd w:val="clear" w:color="auto" w:fill="auto"/>
            <w:noWrap/>
            <w:vAlign w:val="bottom"/>
            <w:hideMark/>
          </w:tcPr>
          <w:p w14:paraId="191E10C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5.082.803 </w:t>
            </w:r>
          </w:p>
        </w:tc>
      </w:tr>
      <w:tr w:rsidR="005B0E46" w:rsidRPr="00701F32" w14:paraId="7A121641" w14:textId="77777777" w:rsidTr="00E311C9">
        <w:trPr>
          <w:trHeight w:val="255"/>
        </w:trPr>
        <w:tc>
          <w:tcPr>
            <w:tcW w:w="4076" w:type="dxa"/>
            <w:shd w:val="clear" w:color="auto" w:fill="auto"/>
            <w:noWrap/>
            <w:vAlign w:val="bottom"/>
            <w:hideMark/>
          </w:tcPr>
          <w:p w14:paraId="3F44DB85"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Préstamos Comex</w:t>
            </w:r>
          </w:p>
        </w:tc>
        <w:tc>
          <w:tcPr>
            <w:tcW w:w="1376" w:type="dxa"/>
            <w:shd w:val="clear" w:color="auto" w:fill="auto"/>
            <w:noWrap/>
            <w:vAlign w:val="bottom"/>
          </w:tcPr>
          <w:p w14:paraId="4FA653C8" w14:textId="20E2B60D"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14.916.111 </w:t>
            </w:r>
          </w:p>
        </w:tc>
        <w:tc>
          <w:tcPr>
            <w:tcW w:w="1376" w:type="dxa"/>
            <w:shd w:val="clear" w:color="auto" w:fill="auto"/>
            <w:noWrap/>
            <w:vAlign w:val="bottom"/>
            <w:hideMark/>
          </w:tcPr>
          <w:p w14:paraId="3AE91106"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8.117.012 </w:t>
            </w:r>
          </w:p>
        </w:tc>
        <w:tc>
          <w:tcPr>
            <w:tcW w:w="1376" w:type="dxa"/>
            <w:shd w:val="clear" w:color="auto" w:fill="auto"/>
            <w:noWrap/>
            <w:vAlign w:val="bottom"/>
            <w:hideMark/>
          </w:tcPr>
          <w:p w14:paraId="1A3EE634"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3.322.524 </w:t>
            </w:r>
          </w:p>
        </w:tc>
      </w:tr>
      <w:tr w:rsidR="005B0E46" w:rsidRPr="00701F32" w14:paraId="42634FD3" w14:textId="77777777" w:rsidTr="00E311C9">
        <w:trPr>
          <w:trHeight w:val="255"/>
        </w:trPr>
        <w:tc>
          <w:tcPr>
            <w:tcW w:w="4076" w:type="dxa"/>
            <w:shd w:val="clear" w:color="auto" w:fill="auto"/>
            <w:noWrap/>
            <w:vAlign w:val="bottom"/>
            <w:hideMark/>
          </w:tcPr>
          <w:p w14:paraId="22ECB2C0"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Arrendamientos Financieros</w:t>
            </w:r>
          </w:p>
        </w:tc>
        <w:tc>
          <w:tcPr>
            <w:tcW w:w="1376" w:type="dxa"/>
            <w:shd w:val="clear" w:color="auto" w:fill="auto"/>
            <w:noWrap/>
            <w:vAlign w:val="bottom"/>
          </w:tcPr>
          <w:p w14:paraId="6D924265" w14:textId="346EE5FE"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sz w:val="20"/>
              </w:rPr>
              <w:t xml:space="preserve">3.603.755 </w:t>
            </w:r>
          </w:p>
        </w:tc>
        <w:tc>
          <w:tcPr>
            <w:tcW w:w="1376" w:type="dxa"/>
            <w:shd w:val="clear" w:color="auto" w:fill="auto"/>
            <w:noWrap/>
            <w:vAlign w:val="bottom"/>
            <w:hideMark/>
          </w:tcPr>
          <w:p w14:paraId="1F0A03F2"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2.472.287 </w:t>
            </w:r>
          </w:p>
        </w:tc>
        <w:tc>
          <w:tcPr>
            <w:tcW w:w="1376" w:type="dxa"/>
            <w:shd w:val="clear" w:color="auto" w:fill="auto"/>
            <w:noWrap/>
            <w:vAlign w:val="bottom"/>
            <w:hideMark/>
          </w:tcPr>
          <w:p w14:paraId="5E461A14"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1.528.254 </w:t>
            </w:r>
          </w:p>
        </w:tc>
      </w:tr>
      <w:tr w:rsidR="005B0E46" w:rsidRPr="00701F32" w14:paraId="76F7A7F9" w14:textId="77777777" w:rsidTr="00E311C9">
        <w:trPr>
          <w:trHeight w:val="255"/>
        </w:trPr>
        <w:tc>
          <w:tcPr>
            <w:tcW w:w="4076" w:type="dxa"/>
            <w:shd w:val="clear" w:color="auto" w:fill="auto"/>
            <w:noWrap/>
            <w:vAlign w:val="bottom"/>
            <w:hideMark/>
          </w:tcPr>
          <w:p w14:paraId="76FA3454"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Otros</w:t>
            </w:r>
          </w:p>
        </w:tc>
        <w:tc>
          <w:tcPr>
            <w:tcW w:w="1376" w:type="dxa"/>
            <w:shd w:val="clear" w:color="auto" w:fill="auto"/>
            <w:noWrap/>
            <w:vAlign w:val="bottom"/>
          </w:tcPr>
          <w:p w14:paraId="77B6832F" w14:textId="1D7A0FE0"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sz w:val="20"/>
              </w:rPr>
              <w:t xml:space="preserve">8.671.362 </w:t>
            </w:r>
          </w:p>
        </w:tc>
        <w:tc>
          <w:tcPr>
            <w:tcW w:w="1376" w:type="dxa"/>
            <w:shd w:val="clear" w:color="auto" w:fill="auto"/>
            <w:noWrap/>
            <w:vAlign w:val="bottom"/>
            <w:hideMark/>
          </w:tcPr>
          <w:p w14:paraId="2FD387E7"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4.312.843 </w:t>
            </w:r>
          </w:p>
        </w:tc>
        <w:tc>
          <w:tcPr>
            <w:tcW w:w="1376" w:type="dxa"/>
            <w:shd w:val="clear" w:color="auto" w:fill="auto"/>
            <w:noWrap/>
            <w:vAlign w:val="bottom"/>
            <w:hideMark/>
          </w:tcPr>
          <w:p w14:paraId="61117D10"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2.688.431 </w:t>
            </w:r>
          </w:p>
        </w:tc>
      </w:tr>
      <w:tr w:rsidR="00D57127" w:rsidRPr="00701F32" w14:paraId="60B3B1A7" w14:textId="77777777" w:rsidTr="00E311C9">
        <w:trPr>
          <w:trHeight w:val="270"/>
        </w:trPr>
        <w:tc>
          <w:tcPr>
            <w:tcW w:w="4076" w:type="dxa"/>
            <w:shd w:val="clear" w:color="auto" w:fill="auto"/>
            <w:noWrap/>
            <w:vAlign w:val="bottom"/>
            <w:hideMark/>
          </w:tcPr>
          <w:p w14:paraId="15F40182" w14:textId="77777777" w:rsidR="00D57127" w:rsidRPr="00701F32" w:rsidRDefault="00D57127" w:rsidP="00D57127">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4CEA8A0E" w14:textId="63BC78F7"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77.182.544</w:t>
            </w:r>
          </w:p>
        </w:tc>
        <w:tc>
          <w:tcPr>
            <w:tcW w:w="1376" w:type="dxa"/>
            <w:shd w:val="clear" w:color="auto" w:fill="auto"/>
            <w:noWrap/>
            <w:vAlign w:val="bottom"/>
            <w:hideMark/>
          </w:tcPr>
          <w:p w14:paraId="5CBF0CE8"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54.648.748 </w:t>
            </w:r>
          </w:p>
        </w:tc>
        <w:tc>
          <w:tcPr>
            <w:tcW w:w="1376" w:type="dxa"/>
            <w:shd w:val="clear" w:color="auto" w:fill="auto"/>
            <w:noWrap/>
            <w:vAlign w:val="bottom"/>
            <w:hideMark/>
          </w:tcPr>
          <w:p w14:paraId="285F079C"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34.339.970 </w:t>
            </w:r>
          </w:p>
        </w:tc>
      </w:tr>
    </w:tbl>
    <w:p w14:paraId="68B34688" w14:textId="77777777" w:rsidR="00D12E45" w:rsidRPr="00701F32" w:rsidRDefault="00D12E45" w:rsidP="00D57127">
      <w:pPr>
        <w:spacing w:after="160" w:line="259" w:lineRule="auto"/>
        <w:rPr>
          <w:rFonts w:ascii="Arial" w:eastAsiaTheme="minorHAnsi" w:hAnsi="Arial" w:cs="Arial"/>
          <w:sz w:val="22"/>
          <w:szCs w:val="22"/>
        </w:rPr>
      </w:pPr>
    </w:p>
    <w:p w14:paraId="40A5BAB4"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367CA1" w:rsidRPr="00701F32">
        <w:rPr>
          <w:rFonts w:ascii="Arial" w:hAnsi="Arial" w:cs="Arial"/>
          <w:bCs/>
          <w:color w:val="000000"/>
          <w:sz w:val="20"/>
          <w:lang w:eastAsia="es-AR"/>
        </w:rPr>
        <w:t>5</w:t>
      </w:r>
      <w:r w:rsidRPr="00701F32">
        <w:rPr>
          <w:rFonts w:ascii="Arial" w:hAnsi="Arial" w:cs="Arial"/>
          <w:bCs/>
          <w:color w:val="000000"/>
          <w:sz w:val="20"/>
          <w:lang w:eastAsia="es-AR"/>
        </w:rPr>
        <w:t xml:space="preserve"> Otros títulos de deuda</w:t>
      </w:r>
    </w:p>
    <w:p w14:paraId="30F8696D" w14:textId="77777777" w:rsidR="002E6AB0" w:rsidRPr="00701F32" w:rsidRDefault="002E6AB0" w:rsidP="00D57127">
      <w:pPr>
        <w:rPr>
          <w:rFonts w:ascii="Arial" w:hAnsi="Arial" w:cs="Arial"/>
          <w:bCs/>
          <w:color w:val="000000"/>
          <w:sz w:val="20"/>
          <w:lang w:eastAsia="es-AR"/>
        </w:rPr>
      </w:pPr>
    </w:p>
    <w:p w14:paraId="7904C112" w14:textId="029CAC9B" w:rsidR="00837BEB"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 xml:space="preserve">Los principales componentes del rubro otros títulos de deuda al </w:t>
      </w:r>
      <w:r w:rsidR="006D5978" w:rsidRPr="00701F32">
        <w:rPr>
          <w:rFonts w:ascii="Arial" w:eastAsiaTheme="minorHAnsi" w:hAnsi="Arial" w:cs="Arial"/>
          <w:sz w:val="20"/>
          <w:szCs w:val="22"/>
        </w:rPr>
        <w:t>30 d</w:t>
      </w:r>
      <w:r w:rsidR="00837BEB" w:rsidRPr="00701F32">
        <w:rPr>
          <w:rFonts w:ascii="Arial" w:eastAsiaTheme="minorHAnsi" w:hAnsi="Arial" w:cs="Arial"/>
          <w:sz w:val="20"/>
          <w:szCs w:val="22"/>
        </w:rPr>
        <w:t>e septiembre</w:t>
      </w:r>
      <w:r w:rsidR="006D5978" w:rsidRPr="00701F32">
        <w:rPr>
          <w:rFonts w:ascii="Arial" w:eastAsiaTheme="minorHAnsi" w:hAnsi="Arial" w:cs="Arial"/>
          <w:sz w:val="20"/>
          <w:szCs w:val="22"/>
        </w:rPr>
        <w:t xml:space="preserve"> de 2018</w:t>
      </w:r>
      <w:r w:rsidRPr="00701F32">
        <w:rPr>
          <w:rFonts w:ascii="Arial" w:eastAsiaTheme="minorHAnsi" w:hAnsi="Arial" w:cs="Arial"/>
          <w:sz w:val="20"/>
          <w:szCs w:val="22"/>
        </w:rPr>
        <w:t>, 31 de diciembre y 1 de enero de 2017 son los siguientes:</w:t>
      </w:r>
    </w:p>
    <w:tbl>
      <w:tblPr>
        <w:tblW w:w="83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364"/>
        <w:gridCol w:w="1376"/>
        <w:gridCol w:w="1376"/>
      </w:tblGrid>
      <w:tr w:rsidR="00D57127" w:rsidRPr="00701F32" w14:paraId="017B83F2" w14:textId="77777777" w:rsidTr="007E0DB2">
        <w:trPr>
          <w:trHeight w:val="255"/>
        </w:trPr>
        <w:tc>
          <w:tcPr>
            <w:tcW w:w="4253" w:type="dxa"/>
            <w:shd w:val="clear" w:color="auto" w:fill="auto"/>
            <w:noWrap/>
            <w:vAlign w:val="bottom"/>
            <w:hideMark/>
          </w:tcPr>
          <w:p w14:paraId="466FD91B" w14:textId="77777777" w:rsidR="00D57127" w:rsidRPr="00701F32" w:rsidRDefault="00D57127" w:rsidP="00D57127">
            <w:pPr>
              <w:rPr>
                <w:rFonts w:ascii="Arial" w:hAnsi="Arial" w:cs="Arial"/>
                <w:b/>
                <w:bCs/>
                <w:color w:val="000000"/>
                <w:sz w:val="20"/>
                <w:u w:val="single"/>
                <w:lang w:eastAsia="es-AR"/>
              </w:rPr>
            </w:pPr>
          </w:p>
        </w:tc>
        <w:tc>
          <w:tcPr>
            <w:tcW w:w="1364" w:type="dxa"/>
            <w:shd w:val="clear" w:color="auto" w:fill="auto"/>
            <w:noWrap/>
            <w:vAlign w:val="bottom"/>
            <w:hideMark/>
          </w:tcPr>
          <w:p w14:paraId="4BE8CD87" w14:textId="77777777" w:rsidR="00D57127" w:rsidRPr="00701F32" w:rsidRDefault="00D57127"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3D21A363"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4E85E3A8"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64DF87B2" w14:textId="77777777" w:rsidTr="00E311C9">
        <w:trPr>
          <w:trHeight w:val="255"/>
        </w:trPr>
        <w:tc>
          <w:tcPr>
            <w:tcW w:w="4253" w:type="dxa"/>
            <w:shd w:val="clear" w:color="auto" w:fill="auto"/>
            <w:noWrap/>
            <w:vAlign w:val="bottom"/>
            <w:hideMark/>
          </w:tcPr>
          <w:p w14:paraId="2D7B8EC3"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Obligaciones negociables</w:t>
            </w:r>
          </w:p>
        </w:tc>
        <w:tc>
          <w:tcPr>
            <w:tcW w:w="1364" w:type="dxa"/>
            <w:shd w:val="clear" w:color="auto" w:fill="auto"/>
            <w:noWrap/>
            <w:vAlign w:val="bottom"/>
          </w:tcPr>
          <w:p w14:paraId="7820974B" w14:textId="77CC8D16"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2.587 </w:t>
            </w:r>
          </w:p>
        </w:tc>
        <w:tc>
          <w:tcPr>
            <w:tcW w:w="1376" w:type="dxa"/>
            <w:shd w:val="clear" w:color="auto" w:fill="auto"/>
            <w:noWrap/>
            <w:vAlign w:val="bottom"/>
            <w:hideMark/>
          </w:tcPr>
          <w:p w14:paraId="15590AE4"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3.636 </w:t>
            </w:r>
          </w:p>
        </w:tc>
        <w:tc>
          <w:tcPr>
            <w:tcW w:w="1376" w:type="dxa"/>
            <w:shd w:val="clear" w:color="auto" w:fill="auto"/>
            <w:noWrap/>
            <w:vAlign w:val="bottom"/>
            <w:hideMark/>
          </w:tcPr>
          <w:p w14:paraId="14037D0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23.845 </w:t>
            </w:r>
          </w:p>
        </w:tc>
      </w:tr>
      <w:tr w:rsidR="005B0E46" w:rsidRPr="00701F32" w14:paraId="215EE912" w14:textId="77777777" w:rsidTr="00E311C9">
        <w:trPr>
          <w:trHeight w:val="255"/>
        </w:trPr>
        <w:tc>
          <w:tcPr>
            <w:tcW w:w="4253" w:type="dxa"/>
            <w:shd w:val="clear" w:color="auto" w:fill="auto"/>
            <w:noWrap/>
            <w:vAlign w:val="bottom"/>
            <w:hideMark/>
          </w:tcPr>
          <w:p w14:paraId="6E65ACED"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Títulos de deuda de fideicomisos financieros</w:t>
            </w:r>
          </w:p>
        </w:tc>
        <w:tc>
          <w:tcPr>
            <w:tcW w:w="1364" w:type="dxa"/>
            <w:shd w:val="clear" w:color="auto" w:fill="auto"/>
            <w:noWrap/>
            <w:vAlign w:val="bottom"/>
          </w:tcPr>
          <w:p w14:paraId="4DA7E434" w14:textId="7D4D6DAA"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44.050 </w:t>
            </w:r>
          </w:p>
        </w:tc>
        <w:tc>
          <w:tcPr>
            <w:tcW w:w="1376" w:type="dxa"/>
            <w:shd w:val="clear" w:color="auto" w:fill="auto"/>
            <w:noWrap/>
            <w:vAlign w:val="bottom"/>
            <w:hideMark/>
          </w:tcPr>
          <w:p w14:paraId="3CEA6C24"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58.796 </w:t>
            </w:r>
          </w:p>
        </w:tc>
        <w:tc>
          <w:tcPr>
            <w:tcW w:w="1376" w:type="dxa"/>
            <w:shd w:val="clear" w:color="auto" w:fill="auto"/>
            <w:noWrap/>
            <w:vAlign w:val="bottom"/>
            <w:hideMark/>
          </w:tcPr>
          <w:p w14:paraId="08438556"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100.644 </w:t>
            </w:r>
          </w:p>
        </w:tc>
      </w:tr>
      <w:tr w:rsidR="005B0E46" w:rsidRPr="00701F32" w14:paraId="42A44EBD" w14:textId="77777777" w:rsidTr="00E311C9">
        <w:trPr>
          <w:trHeight w:val="255"/>
        </w:trPr>
        <w:tc>
          <w:tcPr>
            <w:tcW w:w="4253" w:type="dxa"/>
            <w:shd w:val="clear" w:color="auto" w:fill="auto"/>
            <w:noWrap/>
            <w:vAlign w:val="bottom"/>
            <w:hideMark/>
          </w:tcPr>
          <w:p w14:paraId="51200D30"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Títulos públicos</w:t>
            </w:r>
          </w:p>
        </w:tc>
        <w:tc>
          <w:tcPr>
            <w:tcW w:w="1364" w:type="dxa"/>
            <w:shd w:val="clear" w:color="auto" w:fill="auto"/>
            <w:noWrap/>
            <w:vAlign w:val="bottom"/>
          </w:tcPr>
          <w:p w14:paraId="55A6C660" w14:textId="1E750986"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4.092.415 </w:t>
            </w:r>
          </w:p>
        </w:tc>
        <w:tc>
          <w:tcPr>
            <w:tcW w:w="1376" w:type="dxa"/>
            <w:shd w:val="clear" w:color="auto" w:fill="auto"/>
            <w:noWrap/>
            <w:vAlign w:val="bottom"/>
            <w:hideMark/>
          </w:tcPr>
          <w:p w14:paraId="7A1525D7"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194.539 </w:t>
            </w:r>
          </w:p>
        </w:tc>
        <w:tc>
          <w:tcPr>
            <w:tcW w:w="1376" w:type="dxa"/>
            <w:shd w:val="clear" w:color="auto" w:fill="auto"/>
            <w:noWrap/>
            <w:vAlign w:val="bottom"/>
            <w:hideMark/>
          </w:tcPr>
          <w:p w14:paraId="1859A890"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1.887.660 </w:t>
            </w:r>
          </w:p>
        </w:tc>
      </w:tr>
      <w:tr w:rsidR="005B0E46" w:rsidRPr="00701F32" w14:paraId="49C68252" w14:textId="77777777" w:rsidTr="00E311C9">
        <w:trPr>
          <w:trHeight w:val="255"/>
        </w:trPr>
        <w:tc>
          <w:tcPr>
            <w:tcW w:w="4253" w:type="dxa"/>
            <w:shd w:val="clear" w:color="auto" w:fill="auto"/>
            <w:noWrap/>
            <w:vAlign w:val="bottom"/>
            <w:hideMark/>
          </w:tcPr>
          <w:p w14:paraId="346D8BDE"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Otros</w:t>
            </w:r>
          </w:p>
        </w:tc>
        <w:tc>
          <w:tcPr>
            <w:tcW w:w="1364" w:type="dxa"/>
            <w:shd w:val="clear" w:color="auto" w:fill="auto"/>
            <w:noWrap/>
            <w:vAlign w:val="bottom"/>
          </w:tcPr>
          <w:p w14:paraId="699B8A01" w14:textId="0AFB096A"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32 </w:t>
            </w:r>
          </w:p>
        </w:tc>
        <w:tc>
          <w:tcPr>
            <w:tcW w:w="1376" w:type="dxa"/>
            <w:shd w:val="clear" w:color="auto" w:fill="auto"/>
            <w:noWrap/>
            <w:vAlign w:val="bottom"/>
            <w:hideMark/>
          </w:tcPr>
          <w:p w14:paraId="0F0A37B6"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32 </w:t>
            </w:r>
          </w:p>
        </w:tc>
        <w:tc>
          <w:tcPr>
            <w:tcW w:w="1376" w:type="dxa"/>
            <w:shd w:val="clear" w:color="auto" w:fill="auto"/>
            <w:noWrap/>
            <w:vAlign w:val="bottom"/>
            <w:hideMark/>
          </w:tcPr>
          <w:p w14:paraId="1607F17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 </w:t>
            </w:r>
          </w:p>
        </w:tc>
      </w:tr>
      <w:tr w:rsidR="00D57127" w:rsidRPr="00701F32" w14:paraId="4AE5E49A" w14:textId="77777777" w:rsidTr="00E311C9">
        <w:trPr>
          <w:trHeight w:val="270"/>
        </w:trPr>
        <w:tc>
          <w:tcPr>
            <w:tcW w:w="4253" w:type="dxa"/>
            <w:shd w:val="clear" w:color="auto" w:fill="auto"/>
            <w:noWrap/>
            <w:vAlign w:val="bottom"/>
            <w:hideMark/>
          </w:tcPr>
          <w:p w14:paraId="5F8270CF" w14:textId="77777777" w:rsidR="00D57127" w:rsidRPr="00701F32" w:rsidRDefault="00D57127" w:rsidP="00D57127">
            <w:pPr>
              <w:rPr>
                <w:rFonts w:ascii="Arial" w:hAnsi="Arial" w:cs="Arial"/>
                <w:b/>
                <w:color w:val="000000"/>
                <w:sz w:val="20"/>
                <w:lang w:eastAsia="es-AR"/>
              </w:rPr>
            </w:pPr>
            <w:r w:rsidRPr="00701F32">
              <w:rPr>
                <w:rFonts w:ascii="Arial" w:hAnsi="Arial" w:cs="Arial"/>
                <w:b/>
                <w:color w:val="000000"/>
                <w:sz w:val="20"/>
                <w:lang w:eastAsia="es-AR"/>
              </w:rPr>
              <w:t>Total</w:t>
            </w:r>
          </w:p>
        </w:tc>
        <w:tc>
          <w:tcPr>
            <w:tcW w:w="1364" w:type="dxa"/>
            <w:shd w:val="clear" w:color="auto" w:fill="auto"/>
            <w:noWrap/>
            <w:vAlign w:val="bottom"/>
          </w:tcPr>
          <w:p w14:paraId="2A2E9A0E" w14:textId="704D916F"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4.139.084</w:t>
            </w:r>
          </w:p>
        </w:tc>
        <w:tc>
          <w:tcPr>
            <w:tcW w:w="1376" w:type="dxa"/>
            <w:shd w:val="clear" w:color="auto" w:fill="auto"/>
            <w:noWrap/>
            <w:vAlign w:val="bottom"/>
            <w:hideMark/>
          </w:tcPr>
          <w:p w14:paraId="58D8D14B"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257.003 </w:t>
            </w:r>
          </w:p>
        </w:tc>
        <w:tc>
          <w:tcPr>
            <w:tcW w:w="1376" w:type="dxa"/>
            <w:shd w:val="clear" w:color="auto" w:fill="auto"/>
            <w:noWrap/>
            <w:vAlign w:val="bottom"/>
            <w:hideMark/>
          </w:tcPr>
          <w:p w14:paraId="10E20BA8"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2.012.149 </w:t>
            </w:r>
          </w:p>
        </w:tc>
      </w:tr>
    </w:tbl>
    <w:p w14:paraId="707FC71A" w14:textId="77777777" w:rsidR="00D57127" w:rsidRPr="00701F32" w:rsidRDefault="00D57127" w:rsidP="00D57127">
      <w:pPr>
        <w:spacing w:after="160" w:line="259" w:lineRule="auto"/>
        <w:rPr>
          <w:rFonts w:ascii="Arial" w:eastAsiaTheme="minorHAnsi" w:hAnsi="Arial" w:cs="Arial"/>
          <w:sz w:val="22"/>
          <w:szCs w:val="22"/>
        </w:rPr>
      </w:pPr>
    </w:p>
    <w:p w14:paraId="71062482"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367CA1" w:rsidRPr="00701F32">
        <w:rPr>
          <w:rFonts w:ascii="Arial" w:hAnsi="Arial" w:cs="Arial"/>
          <w:bCs/>
          <w:color w:val="000000"/>
          <w:sz w:val="20"/>
          <w:lang w:eastAsia="es-AR"/>
        </w:rPr>
        <w:t>6</w:t>
      </w:r>
      <w:r w:rsidRPr="00701F32">
        <w:rPr>
          <w:rFonts w:ascii="Arial" w:hAnsi="Arial" w:cs="Arial"/>
          <w:bCs/>
          <w:color w:val="000000"/>
          <w:sz w:val="20"/>
          <w:lang w:eastAsia="es-AR"/>
        </w:rPr>
        <w:t xml:space="preserve"> Activos financieros entregados en </w:t>
      </w:r>
      <w:r w:rsidR="002E6AB0" w:rsidRPr="00701F32">
        <w:rPr>
          <w:rFonts w:ascii="Arial" w:hAnsi="Arial" w:cs="Arial"/>
          <w:bCs/>
          <w:color w:val="000000"/>
          <w:sz w:val="20"/>
          <w:lang w:eastAsia="es-AR"/>
        </w:rPr>
        <w:t>garantía</w:t>
      </w:r>
    </w:p>
    <w:p w14:paraId="13B37701" w14:textId="77777777" w:rsidR="002E6AB0" w:rsidRPr="00701F32" w:rsidRDefault="002E6AB0" w:rsidP="00D57127">
      <w:pPr>
        <w:rPr>
          <w:rFonts w:ascii="Arial" w:hAnsi="Arial" w:cs="Arial"/>
          <w:bCs/>
          <w:color w:val="000000"/>
          <w:sz w:val="20"/>
          <w:lang w:eastAsia="es-AR"/>
        </w:rPr>
      </w:pPr>
    </w:p>
    <w:p w14:paraId="66E92ADE" w14:textId="77777777" w:rsidR="00D57127"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 xml:space="preserve">Los principales componentes del rubro activos financieros entregados en garantía al </w:t>
      </w:r>
      <w:r w:rsidR="006D5978" w:rsidRPr="00701F32">
        <w:rPr>
          <w:rFonts w:ascii="Arial" w:eastAsiaTheme="minorHAnsi" w:hAnsi="Arial" w:cs="Arial"/>
          <w:sz w:val="20"/>
          <w:szCs w:val="22"/>
        </w:rPr>
        <w:t xml:space="preserve">30 de </w:t>
      </w:r>
      <w:r w:rsidR="00837BEB" w:rsidRPr="00701F32">
        <w:rPr>
          <w:rFonts w:ascii="Arial" w:eastAsiaTheme="minorHAnsi" w:hAnsi="Arial" w:cs="Arial"/>
          <w:sz w:val="20"/>
          <w:szCs w:val="22"/>
        </w:rPr>
        <w:t>septiembre</w:t>
      </w:r>
      <w:r w:rsidR="006D5978" w:rsidRPr="00701F32">
        <w:rPr>
          <w:rFonts w:ascii="Arial" w:eastAsiaTheme="minorHAnsi" w:hAnsi="Arial" w:cs="Arial"/>
          <w:sz w:val="20"/>
          <w:szCs w:val="22"/>
        </w:rPr>
        <w:t xml:space="preserve"> de 2018</w:t>
      </w:r>
      <w:r w:rsidRPr="00701F32">
        <w:rPr>
          <w:rFonts w:ascii="Arial" w:eastAsiaTheme="minorHAnsi" w:hAnsi="Arial" w:cs="Arial"/>
          <w:sz w:val="20"/>
          <w:szCs w:val="22"/>
        </w:rPr>
        <w:t>, 31 de diciembre y 1 de enero de 2017 son los siguientes:</w:t>
      </w:r>
    </w:p>
    <w:tbl>
      <w:tblPr>
        <w:tblW w:w="84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0"/>
        <w:gridCol w:w="1312"/>
        <w:gridCol w:w="1312"/>
        <w:gridCol w:w="1312"/>
      </w:tblGrid>
      <w:tr w:rsidR="00D57127" w:rsidRPr="00701F32" w14:paraId="3504FA9E" w14:textId="77777777" w:rsidTr="00C23045">
        <w:trPr>
          <w:trHeight w:val="257"/>
        </w:trPr>
        <w:tc>
          <w:tcPr>
            <w:tcW w:w="4480" w:type="dxa"/>
            <w:shd w:val="clear" w:color="auto" w:fill="auto"/>
            <w:noWrap/>
            <w:vAlign w:val="bottom"/>
            <w:hideMark/>
          </w:tcPr>
          <w:p w14:paraId="1A1E67C2" w14:textId="77777777" w:rsidR="00D57127" w:rsidRPr="00701F32" w:rsidRDefault="00D57127" w:rsidP="00D57127">
            <w:pPr>
              <w:rPr>
                <w:rFonts w:ascii="Arial" w:hAnsi="Arial" w:cs="Arial"/>
                <w:b/>
                <w:bCs/>
                <w:color w:val="000000"/>
                <w:sz w:val="20"/>
                <w:u w:val="single"/>
                <w:lang w:eastAsia="es-AR"/>
              </w:rPr>
            </w:pPr>
          </w:p>
        </w:tc>
        <w:tc>
          <w:tcPr>
            <w:tcW w:w="1312" w:type="dxa"/>
            <w:shd w:val="clear" w:color="auto" w:fill="auto"/>
            <w:noWrap/>
            <w:vAlign w:val="bottom"/>
            <w:hideMark/>
          </w:tcPr>
          <w:p w14:paraId="1B7F408A" w14:textId="77777777" w:rsidR="00D57127" w:rsidRPr="00701F32" w:rsidRDefault="00D57127"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12" w:type="dxa"/>
            <w:shd w:val="clear" w:color="auto" w:fill="auto"/>
            <w:noWrap/>
            <w:vAlign w:val="bottom"/>
            <w:hideMark/>
          </w:tcPr>
          <w:p w14:paraId="7BDBB769"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12" w:type="dxa"/>
            <w:shd w:val="clear" w:color="auto" w:fill="auto"/>
            <w:noWrap/>
            <w:vAlign w:val="bottom"/>
            <w:hideMark/>
          </w:tcPr>
          <w:p w14:paraId="371829B6"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5230F2F1" w14:textId="77777777" w:rsidTr="00E311C9">
        <w:trPr>
          <w:trHeight w:val="257"/>
        </w:trPr>
        <w:tc>
          <w:tcPr>
            <w:tcW w:w="4480" w:type="dxa"/>
            <w:shd w:val="clear" w:color="auto" w:fill="auto"/>
            <w:noWrap/>
            <w:vAlign w:val="bottom"/>
            <w:hideMark/>
          </w:tcPr>
          <w:p w14:paraId="6370FEDB"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Títulos en garantia por operaciones de pase</w:t>
            </w:r>
          </w:p>
        </w:tc>
        <w:tc>
          <w:tcPr>
            <w:tcW w:w="1312" w:type="dxa"/>
            <w:shd w:val="clear" w:color="auto" w:fill="auto"/>
            <w:noWrap/>
            <w:vAlign w:val="bottom"/>
          </w:tcPr>
          <w:p w14:paraId="00EDF91F" w14:textId="510A741A"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 </w:t>
            </w:r>
          </w:p>
        </w:tc>
        <w:tc>
          <w:tcPr>
            <w:tcW w:w="1312" w:type="dxa"/>
            <w:shd w:val="clear" w:color="auto" w:fill="auto"/>
            <w:noWrap/>
            <w:vAlign w:val="bottom"/>
            <w:hideMark/>
          </w:tcPr>
          <w:p w14:paraId="447ABA68"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 </w:t>
            </w:r>
          </w:p>
        </w:tc>
        <w:tc>
          <w:tcPr>
            <w:tcW w:w="1312" w:type="dxa"/>
            <w:shd w:val="clear" w:color="auto" w:fill="auto"/>
            <w:noWrap/>
            <w:vAlign w:val="bottom"/>
            <w:hideMark/>
          </w:tcPr>
          <w:p w14:paraId="334DFEB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590.266 </w:t>
            </w:r>
          </w:p>
        </w:tc>
      </w:tr>
      <w:tr w:rsidR="005B0E46" w:rsidRPr="00701F32" w14:paraId="2054F74F" w14:textId="77777777" w:rsidTr="00E311C9">
        <w:trPr>
          <w:trHeight w:val="257"/>
        </w:trPr>
        <w:tc>
          <w:tcPr>
            <w:tcW w:w="4480" w:type="dxa"/>
            <w:shd w:val="clear" w:color="auto" w:fill="auto"/>
            <w:noWrap/>
            <w:vAlign w:val="bottom"/>
            <w:hideMark/>
          </w:tcPr>
          <w:p w14:paraId="3AE4E031"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BCRA Cuentas especiales de garantías.</w:t>
            </w:r>
          </w:p>
        </w:tc>
        <w:tc>
          <w:tcPr>
            <w:tcW w:w="1312" w:type="dxa"/>
            <w:shd w:val="clear" w:color="auto" w:fill="auto"/>
            <w:noWrap/>
            <w:vAlign w:val="bottom"/>
          </w:tcPr>
          <w:p w14:paraId="79798D11" w14:textId="5CE9C122"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1.132.573 </w:t>
            </w:r>
          </w:p>
        </w:tc>
        <w:tc>
          <w:tcPr>
            <w:tcW w:w="1312" w:type="dxa"/>
            <w:shd w:val="clear" w:color="auto" w:fill="auto"/>
            <w:noWrap/>
            <w:vAlign w:val="bottom"/>
            <w:hideMark/>
          </w:tcPr>
          <w:p w14:paraId="4725BA24"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753.141 </w:t>
            </w:r>
          </w:p>
        </w:tc>
        <w:tc>
          <w:tcPr>
            <w:tcW w:w="1312" w:type="dxa"/>
            <w:shd w:val="clear" w:color="auto" w:fill="auto"/>
            <w:noWrap/>
            <w:vAlign w:val="bottom"/>
            <w:hideMark/>
          </w:tcPr>
          <w:p w14:paraId="0D62BF6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481.939 </w:t>
            </w:r>
          </w:p>
        </w:tc>
      </w:tr>
      <w:tr w:rsidR="005B0E46" w:rsidRPr="00701F32" w14:paraId="6DE76EB4" w14:textId="77777777" w:rsidTr="00E311C9">
        <w:trPr>
          <w:trHeight w:val="257"/>
        </w:trPr>
        <w:tc>
          <w:tcPr>
            <w:tcW w:w="4480" w:type="dxa"/>
            <w:shd w:val="clear" w:color="auto" w:fill="auto"/>
            <w:noWrap/>
            <w:vAlign w:val="bottom"/>
            <w:hideMark/>
          </w:tcPr>
          <w:p w14:paraId="76A049F8"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Depósitos en garantía</w:t>
            </w:r>
          </w:p>
        </w:tc>
        <w:tc>
          <w:tcPr>
            <w:tcW w:w="1312" w:type="dxa"/>
            <w:shd w:val="clear" w:color="auto" w:fill="auto"/>
            <w:noWrap/>
            <w:vAlign w:val="bottom"/>
          </w:tcPr>
          <w:p w14:paraId="7E4298BD" w14:textId="0EA31C62"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1.409.464 </w:t>
            </w:r>
          </w:p>
        </w:tc>
        <w:tc>
          <w:tcPr>
            <w:tcW w:w="1312" w:type="dxa"/>
            <w:shd w:val="clear" w:color="auto" w:fill="auto"/>
            <w:noWrap/>
            <w:vAlign w:val="bottom"/>
            <w:hideMark/>
          </w:tcPr>
          <w:p w14:paraId="5BEA8F5B"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426.946 </w:t>
            </w:r>
          </w:p>
        </w:tc>
        <w:tc>
          <w:tcPr>
            <w:tcW w:w="1312" w:type="dxa"/>
            <w:shd w:val="clear" w:color="auto" w:fill="auto"/>
            <w:noWrap/>
            <w:vAlign w:val="bottom"/>
            <w:hideMark/>
          </w:tcPr>
          <w:p w14:paraId="508A8A46"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289.458 </w:t>
            </w:r>
          </w:p>
        </w:tc>
      </w:tr>
      <w:tr w:rsidR="00D57127" w:rsidRPr="00701F32" w14:paraId="2E955C48" w14:textId="77777777" w:rsidTr="00E311C9">
        <w:trPr>
          <w:trHeight w:val="272"/>
        </w:trPr>
        <w:tc>
          <w:tcPr>
            <w:tcW w:w="4480" w:type="dxa"/>
            <w:shd w:val="clear" w:color="auto" w:fill="auto"/>
            <w:noWrap/>
            <w:vAlign w:val="bottom"/>
            <w:hideMark/>
          </w:tcPr>
          <w:p w14:paraId="628ECFF9" w14:textId="77777777" w:rsidR="00D57127" w:rsidRPr="00701F32" w:rsidRDefault="00D57127" w:rsidP="00D57127">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12" w:type="dxa"/>
            <w:shd w:val="clear" w:color="auto" w:fill="auto"/>
            <w:noWrap/>
            <w:vAlign w:val="bottom"/>
          </w:tcPr>
          <w:p w14:paraId="1BCD628B" w14:textId="400B0548"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2.542.037</w:t>
            </w:r>
          </w:p>
        </w:tc>
        <w:tc>
          <w:tcPr>
            <w:tcW w:w="1312" w:type="dxa"/>
            <w:shd w:val="clear" w:color="auto" w:fill="auto"/>
            <w:noWrap/>
            <w:vAlign w:val="bottom"/>
            <w:hideMark/>
          </w:tcPr>
          <w:p w14:paraId="314A353B"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1.180.087 </w:t>
            </w:r>
          </w:p>
        </w:tc>
        <w:tc>
          <w:tcPr>
            <w:tcW w:w="1312" w:type="dxa"/>
            <w:shd w:val="clear" w:color="auto" w:fill="auto"/>
            <w:noWrap/>
            <w:vAlign w:val="bottom"/>
            <w:hideMark/>
          </w:tcPr>
          <w:p w14:paraId="06E8DDE5"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1.361.663 </w:t>
            </w:r>
          </w:p>
        </w:tc>
      </w:tr>
    </w:tbl>
    <w:p w14:paraId="478E16FF" w14:textId="77777777" w:rsidR="00A844A1" w:rsidRPr="00701F32" w:rsidRDefault="00A844A1" w:rsidP="004303F7">
      <w:pPr>
        <w:rPr>
          <w:rFonts w:ascii="Arial" w:hAnsi="Arial" w:cs="Arial"/>
          <w:bCs/>
          <w:color w:val="000000"/>
          <w:sz w:val="20"/>
          <w:lang w:eastAsia="es-AR"/>
        </w:rPr>
      </w:pPr>
    </w:p>
    <w:p w14:paraId="6C9D6FD0" w14:textId="77777777" w:rsidR="004303F7" w:rsidRPr="00701F32" w:rsidRDefault="004303F7" w:rsidP="004303F7">
      <w:pPr>
        <w:rPr>
          <w:rFonts w:ascii="Arial" w:hAnsi="Arial" w:cs="Arial"/>
          <w:bCs/>
          <w:color w:val="000000"/>
          <w:sz w:val="20"/>
          <w:lang w:eastAsia="es-AR"/>
        </w:rPr>
      </w:pPr>
      <w:r w:rsidRPr="00701F32">
        <w:rPr>
          <w:rFonts w:ascii="Arial" w:hAnsi="Arial" w:cs="Arial"/>
          <w:bCs/>
          <w:color w:val="000000"/>
          <w:sz w:val="20"/>
          <w:lang w:eastAsia="es-AR"/>
        </w:rPr>
        <w:t>7.7 Otros activos no financieros.</w:t>
      </w:r>
    </w:p>
    <w:p w14:paraId="6ED76F7A" w14:textId="77777777" w:rsidR="004303F7" w:rsidRPr="00701F32" w:rsidRDefault="004303F7" w:rsidP="004303F7">
      <w:pPr>
        <w:rPr>
          <w:rFonts w:ascii="Arial" w:hAnsi="Arial" w:cs="Arial"/>
          <w:bCs/>
          <w:color w:val="000000"/>
          <w:sz w:val="20"/>
          <w:lang w:eastAsia="es-AR"/>
        </w:rPr>
      </w:pPr>
    </w:p>
    <w:p w14:paraId="59DC9155" w14:textId="77777777" w:rsidR="004303F7" w:rsidRPr="00701F32" w:rsidRDefault="004303F7" w:rsidP="004303F7">
      <w:pPr>
        <w:rPr>
          <w:rFonts w:ascii="Arial" w:eastAsiaTheme="minorHAnsi" w:hAnsi="Arial" w:cs="Arial"/>
          <w:sz w:val="20"/>
        </w:rPr>
      </w:pPr>
      <w:r w:rsidRPr="00701F32">
        <w:rPr>
          <w:rFonts w:ascii="Arial" w:eastAsiaTheme="minorHAnsi" w:hAnsi="Arial" w:cs="Arial"/>
          <w:sz w:val="20"/>
        </w:rPr>
        <w:t xml:space="preserve">Los principales componentes del rubro </w:t>
      </w:r>
      <w:r w:rsidRPr="00701F32">
        <w:rPr>
          <w:rFonts w:ascii="Arial" w:hAnsi="Arial" w:cs="Arial"/>
          <w:bCs/>
          <w:color w:val="000000"/>
          <w:sz w:val="20"/>
          <w:lang w:eastAsia="es-AR"/>
        </w:rPr>
        <w:t xml:space="preserve">otros activos no financieros </w:t>
      </w:r>
      <w:r w:rsidRPr="00701F32">
        <w:rPr>
          <w:rFonts w:ascii="Arial" w:eastAsiaTheme="minorHAnsi" w:hAnsi="Arial" w:cs="Arial"/>
          <w:sz w:val="20"/>
        </w:rPr>
        <w:t>al 3</w:t>
      </w:r>
      <w:r w:rsidR="007E0DB2" w:rsidRPr="00701F32">
        <w:rPr>
          <w:rFonts w:ascii="Arial" w:eastAsiaTheme="minorHAnsi" w:hAnsi="Arial" w:cs="Arial"/>
          <w:sz w:val="20"/>
        </w:rPr>
        <w:t>0</w:t>
      </w:r>
      <w:r w:rsidRPr="00701F32">
        <w:rPr>
          <w:rFonts w:ascii="Arial" w:eastAsiaTheme="minorHAnsi" w:hAnsi="Arial" w:cs="Arial"/>
          <w:sz w:val="20"/>
        </w:rPr>
        <w:t xml:space="preserve"> de </w:t>
      </w:r>
      <w:r w:rsidR="00837BEB" w:rsidRPr="00701F32">
        <w:rPr>
          <w:rFonts w:ascii="Arial" w:eastAsiaTheme="minorHAnsi" w:hAnsi="Arial" w:cs="Arial"/>
          <w:sz w:val="20"/>
        </w:rPr>
        <w:t>septiembre</w:t>
      </w:r>
      <w:r w:rsidRPr="00701F32">
        <w:rPr>
          <w:rFonts w:ascii="Arial" w:eastAsiaTheme="minorHAnsi" w:hAnsi="Arial" w:cs="Arial"/>
          <w:sz w:val="20"/>
        </w:rPr>
        <w:t xml:space="preserve"> 2018, 31 de diciembre y 1 de enero de 2017 son los siguientes:</w:t>
      </w:r>
    </w:p>
    <w:p w14:paraId="7DC04703" w14:textId="77777777" w:rsidR="004303F7" w:rsidRPr="00701F32" w:rsidRDefault="004303F7" w:rsidP="00D57127">
      <w:pPr>
        <w:rPr>
          <w:rFonts w:ascii="Arial" w:hAnsi="Arial" w:cs="Arial"/>
          <w:bCs/>
          <w:color w:val="000000"/>
          <w:sz w:val="20"/>
          <w:lang w:eastAsia="es-AR"/>
        </w:rPr>
      </w:pPr>
    </w:p>
    <w:tbl>
      <w:tblPr>
        <w:tblW w:w="85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1376"/>
        <w:gridCol w:w="1376"/>
        <w:gridCol w:w="1376"/>
      </w:tblGrid>
      <w:tr w:rsidR="00C32D44" w:rsidRPr="00701F32" w14:paraId="3151E6A4" w14:textId="77777777" w:rsidTr="00C23045">
        <w:trPr>
          <w:trHeight w:val="255"/>
        </w:trPr>
        <w:tc>
          <w:tcPr>
            <w:tcW w:w="4395" w:type="dxa"/>
            <w:shd w:val="clear" w:color="auto" w:fill="auto"/>
            <w:noWrap/>
            <w:vAlign w:val="bottom"/>
            <w:hideMark/>
          </w:tcPr>
          <w:p w14:paraId="547135D3" w14:textId="77777777" w:rsidR="00C32D44" w:rsidRPr="00701F32" w:rsidRDefault="00C32D44" w:rsidP="0030003C">
            <w:pPr>
              <w:rPr>
                <w:rFonts w:ascii="Arial" w:hAnsi="Arial" w:cs="Arial"/>
                <w:b/>
                <w:bCs/>
                <w:color w:val="000000"/>
                <w:sz w:val="20"/>
                <w:u w:val="single"/>
                <w:lang w:eastAsia="es-AR"/>
              </w:rPr>
            </w:pPr>
          </w:p>
        </w:tc>
        <w:tc>
          <w:tcPr>
            <w:tcW w:w="1376" w:type="dxa"/>
            <w:shd w:val="clear" w:color="auto" w:fill="auto"/>
            <w:noWrap/>
            <w:vAlign w:val="bottom"/>
            <w:hideMark/>
          </w:tcPr>
          <w:p w14:paraId="162AC3AF" w14:textId="77777777" w:rsidR="00C32D44" w:rsidRPr="00701F32" w:rsidRDefault="00C32D44"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01A1D6DC" w14:textId="77777777" w:rsidR="00C32D44" w:rsidRPr="00701F32" w:rsidRDefault="00C32D44" w:rsidP="0030003C">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38BC77EF" w14:textId="77777777" w:rsidR="00C32D44" w:rsidRPr="00701F32" w:rsidRDefault="00C32D44" w:rsidP="0030003C">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23239562" w14:textId="77777777" w:rsidTr="00E311C9">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A548A" w14:textId="77777777" w:rsidR="005B0E46" w:rsidRPr="00701F32" w:rsidRDefault="005B0E46" w:rsidP="00C32D44">
            <w:pPr>
              <w:rPr>
                <w:rFonts w:ascii="Arial" w:hAnsi="Arial" w:cs="Arial"/>
                <w:color w:val="000000"/>
                <w:sz w:val="20"/>
                <w:lang w:eastAsia="es-AR"/>
              </w:rPr>
            </w:pPr>
            <w:r w:rsidRPr="00701F32">
              <w:rPr>
                <w:rFonts w:ascii="Arial" w:hAnsi="Arial" w:cs="Arial"/>
                <w:color w:val="000000"/>
                <w:sz w:val="20"/>
                <w:lang w:eastAsia="es-AR"/>
              </w:rPr>
              <w:t>Anticipos al personal</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A19FC" w14:textId="02CC89FD"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color w:val="000000"/>
                <w:sz w:val="20"/>
              </w:rPr>
              <w:t xml:space="preserve">148.402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3A8F3"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153.597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521EF"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177.595 </w:t>
            </w:r>
          </w:p>
        </w:tc>
      </w:tr>
      <w:tr w:rsidR="005B0E46" w:rsidRPr="00701F32" w14:paraId="32934038" w14:textId="77777777" w:rsidTr="00E311C9">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695FD" w14:textId="77777777" w:rsidR="005B0E46" w:rsidRPr="00701F32" w:rsidRDefault="005B0E46" w:rsidP="00C32D44">
            <w:pPr>
              <w:rPr>
                <w:rFonts w:ascii="Arial" w:hAnsi="Arial" w:cs="Arial"/>
                <w:color w:val="000000"/>
                <w:sz w:val="20"/>
                <w:lang w:eastAsia="es-AR"/>
              </w:rPr>
            </w:pPr>
            <w:r w:rsidRPr="00701F32">
              <w:rPr>
                <w:rFonts w:ascii="Arial" w:hAnsi="Arial" w:cs="Arial"/>
                <w:color w:val="000000"/>
                <w:sz w:val="20"/>
                <w:lang w:eastAsia="es-AR"/>
              </w:rPr>
              <w:t xml:space="preserve">Propiedades de inversión - Bienes alquilados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4C608" w14:textId="7BD67231"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color w:val="000000"/>
                <w:sz w:val="20"/>
              </w:rPr>
              <w:t xml:space="preserve">295.719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E072"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198.371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85075"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481.529 </w:t>
            </w:r>
          </w:p>
        </w:tc>
      </w:tr>
      <w:tr w:rsidR="005B0E46" w:rsidRPr="00701F32" w14:paraId="54689810" w14:textId="77777777" w:rsidTr="00E311C9">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36229" w14:textId="77777777" w:rsidR="005B0E46" w:rsidRPr="00701F32" w:rsidRDefault="005B0E46" w:rsidP="00C32D44">
            <w:pPr>
              <w:rPr>
                <w:rFonts w:ascii="Arial" w:hAnsi="Arial" w:cs="Arial"/>
                <w:color w:val="000000"/>
                <w:sz w:val="20"/>
                <w:lang w:eastAsia="es-AR"/>
              </w:rPr>
            </w:pPr>
            <w:r w:rsidRPr="00701F32">
              <w:rPr>
                <w:rFonts w:ascii="Arial" w:hAnsi="Arial" w:cs="Arial"/>
                <w:color w:val="000000"/>
                <w:sz w:val="20"/>
                <w:lang w:eastAsia="es-AR"/>
              </w:rPr>
              <w:t>Pagos efectuados por adelantado</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9931D" w14:textId="6CE7C659"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color w:val="000000"/>
                <w:sz w:val="20"/>
              </w:rPr>
              <w:t xml:space="preserve">227.386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D9FAB"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125.030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33EB0"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97.234 </w:t>
            </w:r>
          </w:p>
        </w:tc>
      </w:tr>
      <w:tr w:rsidR="005B0E46" w:rsidRPr="00701F32" w14:paraId="6BB71FD2" w14:textId="77777777" w:rsidTr="00E311C9">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E8B82" w14:textId="77777777" w:rsidR="005B0E46" w:rsidRPr="00701F32" w:rsidRDefault="005B0E46" w:rsidP="00C32D44">
            <w:pPr>
              <w:rPr>
                <w:rFonts w:ascii="Arial" w:hAnsi="Arial" w:cs="Arial"/>
                <w:color w:val="000000"/>
                <w:sz w:val="20"/>
                <w:lang w:eastAsia="es-AR"/>
              </w:rPr>
            </w:pPr>
            <w:r w:rsidRPr="00701F32">
              <w:rPr>
                <w:rFonts w:ascii="Arial" w:hAnsi="Arial" w:cs="Arial"/>
                <w:color w:val="000000"/>
                <w:sz w:val="20"/>
                <w:lang w:eastAsia="es-AR"/>
              </w:rPr>
              <w:t>Bienes diversos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AD112" w14:textId="12B1418A"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color w:val="000000"/>
                <w:sz w:val="20"/>
              </w:rPr>
              <w:t xml:space="preserve">210.706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36705"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141.202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40F9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102.612 </w:t>
            </w:r>
          </w:p>
        </w:tc>
      </w:tr>
      <w:tr w:rsidR="005B0E46" w:rsidRPr="00701F32" w14:paraId="52132D2A" w14:textId="77777777" w:rsidTr="00E311C9">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CA0D1" w14:textId="77777777" w:rsidR="005B0E46" w:rsidRPr="00701F32" w:rsidRDefault="005B0E46" w:rsidP="00C32D44">
            <w:pPr>
              <w:rPr>
                <w:rFonts w:ascii="Arial" w:hAnsi="Arial" w:cs="Arial"/>
                <w:color w:val="000000"/>
                <w:sz w:val="20"/>
                <w:lang w:eastAsia="es-AR"/>
              </w:rPr>
            </w:pPr>
            <w:r w:rsidRPr="00701F32">
              <w:rPr>
                <w:rFonts w:ascii="Arial" w:hAnsi="Arial" w:cs="Arial"/>
                <w:color w:val="000000"/>
                <w:sz w:val="20"/>
                <w:lang w:eastAsia="es-AR"/>
              </w:rPr>
              <w:t>Obras de arte y piezas de colección</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2508F" w14:textId="352C12B1"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hAnsi="Arial" w:cs="Arial"/>
                <w:color w:val="000000"/>
                <w:sz w:val="20"/>
              </w:rPr>
              <w:t xml:space="preserve">3.835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967AC"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3.739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B16B7" w14:textId="77777777" w:rsidR="005B0E46" w:rsidRPr="00701F32" w:rsidRDefault="005B0E46">
            <w:pPr>
              <w:autoSpaceDE w:val="0"/>
              <w:autoSpaceDN w:val="0"/>
              <w:adjustRightInd w:val="0"/>
              <w:jc w:val="right"/>
              <w:rPr>
                <w:rFonts w:ascii="Arial" w:eastAsiaTheme="minorHAnsi" w:hAnsi="Arial" w:cs="Arial"/>
                <w:color w:val="000000"/>
                <w:sz w:val="20"/>
                <w:lang w:val="es-ES_tradnl"/>
              </w:rPr>
            </w:pPr>
            <w:r w:rsidRPr="00701F32">
              <w:rPr>
                <w:rFonts w:ascii="Arial" w:eastAsiaTheme="minorHAnsi" w:hAnsi="Arial" w:cs="Arial"/>
                <w:color w:val="000000"/>
                <w:sz w:val="20"/>
              </w:rPr>
              <w:t xml:space="preserve">3.455 </w:t>
            </w:r>
          </w:p>
        </w:tc>
      </w:tr>
      <w:tr w:rsidR="00C32D44" w:rsidRPr="00701F32" w14:paraId="5DAE8AB3" w14:textId="77777777" w:rsidTr="00E311C9">
        <w:trPr>
          <w:trHeight w:val="270"/>
        </w:trPr>
        <w:tc>
          <w:tcPr>
            <w:tcW w:w="4395" w:type="dxa"/>
            <w:shd w:val="clear" w:color="auto" w:fill="auto"/>
            <w:noWrap/>
            <w:vAlign w:val="bottom"/>
            <w:hideMark/>
          </w:tcPr>
          <w:p w14:paraId="44B8976C" w14:textId="77777777" w:rsidR="00C32D44" w:rsidRPr="00701F32" w:rsidRDefault="00C32D44" w:rsidP="0030003C">
            <w:pPr>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7895EB0A" w14:textId="6DF5669D" w:rsidR="00C32D44" w:rsidRPr="00701F32" w:rsidRDefault="005B0E46">
            <w:pPr>
              <w:autoSpaceDE w:val="0"/>
              <w:autoSpaceDN w:val="0"/>
              <w:adjustRightInd w:val="0"/>
              <w:jc w:val="right"/>
              <w:rPr>
                <w:rFonts w:ascii="Arial" w:eastAsiaTheme="minorHAnsi" w:hAnsi="Arial" w:cs="Arial"/>
                <w:b/>
                <w:color w:val="000000"/>
                <w:sz w:val="20"/>
                <w:lang w:val="es-ES_tradnl"/>
              </w:rPr>
            </w:pPr>
            <w:r w:rsidRPr="00701F32">
              <w:rPr>
                <w:rFonts w:ascii="Arial" w:eastAsiaTheme="minorHAnsi" w:hAnsi="Arial" w:cs="Arial"/>
                <w:b/>
                <w:color w:val="000000"/>
                <w:sz w:val="20"/>
                <w:lang w:val="es-ES_tradnl"/>
              </w:rPr>
              <w:t>886.048</w:t>
            </w:r>
          </w:p>
        </w:tc>
        <w:tc>
          <w:tcPr>
            <w:tcW w:w="1376" w:type="dxa"/>
            <w:shd w:val="clear" w:color="auto" w:fill="auto"/>
            <w:noWrap/>
            <w:vAlign w:val="bottom"/>
          </w:tcPr>
          <w:p w14:paraId="2A66D28C" w14:textId="77777777" w:rsidR="00C32D44" w:rsidRPr="00701F32" w:rsidRDefault="00C32D44">
            <w:pPr>
              <w:autoSpaceDE w:val="0"/>
              <w:autoSpaceDN w:val="0"/>
              <w:adjustRightInd w:val="0"/>
              <w:jc w:val="right"/>
              <w:rPr>
                <w:rFonts w:ascii="Arial" w:eastAsiaTheme="minorHAnsi" w:hAnsi="Arial" w:cs="Arial"/>
                <w:b/>
                <w:color w:val="000000"/>
                <w:sz w:val="20"/>
                <w:lang w:val="es-ES_tradnl"/>
              </w:rPr>
            </w:pPr>
            <w:r w:rsidRPr="00701F32">
              <w:rPr>
                <w:rFonts w:ascii="Arial" w:eastAsiaTheme="minorHAnsi" w:hAnsi="Arial" w:cs="Arial"/>
                <w:b/>
                <w:color w:val="000000"/>
                <w:sz w:val="20"/>
              </w:rPr>
              <w:t>621.939</w:t>
            </w:r>
          </w:p>
        </w:tc>
        <w:tc>
          <w:tcPr>
            <w:tcW w:w="1376" w:type="dxa"/>
            <w:shd w:val="clear" w:color="auto" w:fill="auto"/>
            <w:noWrap/>
            <w:vAlign w:val="bottom"/>
          </w:tcPr>
          <w:p w14:paraId="45A81EB3" w14:textId="77777777" w:rsidR="00C32D44" w:rsidRPr="00701F32" w:rsidRDefault="00C32D44">
            <w:pPr>
              <w:autoSpaceDE w:val="0"/>
              <w:autoSpaceDN w:val="0"/>
              <w:adjustRightInd w:val="0"/>
              <w:jc w:val="right"/>
              <w:rPr>
                <w:rFonts w:ascii="Arial" w:eastAsiaTheme="minorHAnsi" w:hAnsi="Arial" w:cs="Arial"/>
                <w:b/>
                <w:color w:val="000000"/>
                <w:sz w:val="20"/>
                <w:lang w:val="es-ES_tradnl"/>
              </w:rPr>
            </w:pPr>
            <w:r w:rsidRPr="00701F32">
              <w:rPr>
                <w:rFonts w:ascii="Arial" w:eastAsiaTheme="minorHAnsi" w:hAnsi="Arial" w:cs="Arial"/>
                <w:b/>
                <w:color w:val="000000"/>
                <w:sz w:val="20"/>
              </w:rPr>
              <w:t>862.425</w:t>
            </w:r>
          </w:p>
        </w:tc>
      </w:tr>
    </w:tbl>
    <w:p w14:paraId="0C0BCE6C" w14:textId="77777777" w:rsidR="004303F7" w:rsidRPr="00701F32" w:rsidRDefault="004303F7" w:rsidP="00D57127">
      <w:pPr>
        <w:rPr>
          <w:rFonts w:ascii="Arial" w:hAnsi="Arial" w:cs="Arial"/>
          <w:bCs/>
          <w:color w:val="000000"/>
          <w:sz w:val="20"/>
          <w:lang w:eastAsia="es-AR"/>
        </w:rPr>
      </w:pPr>
    </w:p>
    <w:p w14:paraId="3BFAAD19" w14:textId="77777777" w:rsidR="00C32D44" w:rsidRPr="00701F32" w:rsidRDefault="00C32D44" w:rsidP="00D57127">
      <w:pPr>
        <w:rPr>
          <w:rFonts w:ascii="Arial" w:hAnsi="Arial" w:cs="Arial"/>
          <w:bCs/>
          <w:color w:val="000000"/>
          <w:sz w:val="20"/>
          <w:lang w:eastAsia="es-AR"/>
        </w:rPr>
      </w:pPr>
    </w:p>
    <w:p w14:paraId="1ACF63D6"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4303F7" w:rsidRPr="00701F32">
        <w:rPr>
          <w:rFonts w:ascii="Arial" w:hAnsi="Arial" w:cs="Arial"/>
          <w:bCs/>
          <w:color w:val="000000"/>
          <w:sz w:val="20"/>
          <w:lang w:eastAsia="es-AR"/>
        </w:rPr>
        <w:t>8</w:t>
      </w:r>
      <w:r w:rsidRPr="00701F32">
        <w:rPr>
          <w:rFonts w:ascii="Arial" w:hAnsi="Arial" w:cs="Arial"/>
          <w:bCs/>
          <w:color w:val="000000"/>
          <w:sz w:val="20"/>
          <w:lang w:eastAsia="es-AR"/>
        </w:rPr>
        <w:t xml:space="preserve"> Depósitos</w:t>
      </w:r>
    </w:p>
    <w:p w14:paraId="2135D4B9" w14:textId="77777777" w:rsidR="002E6AB0" w:rsidRPr="00701F32" w:rsidRDefault="002E6AB0" w:rsidP="00D57127">
      <w:pPr>
        <w:rPr>
          <w:rFonts w:ascii="Arial" w:hAnsi="Arial" w:cs="Arial"/>
          <w:bCs/>
          <w:color w:val="000000"/>
          <w:sz w:val="20"/>
          <w:lang w:eastAsia="es-AR"/>
        </w:rPr>
      </w:pPr>
    </w:p>
    <w:p w14:paraId="76B3EF16" w14:textId="4F96752C" w:rsidR="00837BEB"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depósitos al 3</w:t>
      </w:r>
      <w:r w:rsidR="007E0DB2"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837BEB" w:rsidRPr="00701F32">
        <w:rPr>
          <w:rFonts w:ascii="Arial" w:eastAsiaTheme="minorHAnsi" w:hAnsi="Arial" w:cs="Arial"/>
          <w:sz w:val="20"/>
          <w:szCs w:val="22"/>
        </w:rPr>
        <w:t>septiembre</w:t>
      </w:r>
      <w:r w:rsidR="006D5978" w:rsidRPr="00701F32">
        <w:rPr>
          <w:rFonts w:ascii="Arial" w:eastAsiaTheme="minorHAnsi" w:hAnsi="Arial" w:cs="Arial"/>
          <w:sz w:val="20"/>
          <w:szCs w:val="22"/>
        </w:rPr>
        <w:t xml:space="preserve"> de</w:t>
      </w:r>
      <w:r w:rsidRPr="00701F32">
        <w:rPr>
          <w:rFonts w:ascii="Arial" w:eastAsiaTheme="minorHAnsi" w:hAnsi="Arial" w:cs="Arial"/>
          <w:sz w:val="20"/>
          <w:szCs w:val="22"/>
        </w:rPr>
        <w:t xml:space="preserve"> 2018, 31 de diciembre y 1 de enero de 2017 son los siguientes:</w:t>
      </w:r>
    </w:p>
    <w:tbl>
      <w:tblPr>
        <w:tblW w:w="853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4"/>
        <w:gridCol w:w="1331"/>
        <w:gridCol w:w="1331"/>
        <w:gridCol w:w="1331"/>
      </w:tblGrid>
      <w:tr w:rsidR="00D57127" w:rsidRPr="00701F32" w14:paraId="0F0681F3" w14:textId="77777777" w:rsidTr="00E311C9">
        <w:trPr>
          <w:trHeight w:val="261"/>
        </w:trPr>
        <w:tc>
          <w:tcPr>
            <w:tcW w:w="4544" w:type="dxa"/>
            <w:shd w:val="clear" w:color="auto" w:fill="auto"/>
            <w:noWrap/>
            <w:vAlign w:val="bottom"/>
            <w:hideMark/>
          </w:tcPr>
          <w:p w14:paraId="6FE81AFF" w14:textId="77777777" w:rsidR="00D57127" w:rsidRPr="00701F32" w:rsidRDefault="00D57127" w:rsidP="00D57127">
            <w:pPr>
              <w:rPr>
                <w:rFonts w:ascii="Arial" w:hAnsi="Arial" w:cs="Arial"/>
                <w:b/>
                <w:bCs/>
                <w:color w:val="000000"/>
                <w:sz w:val="20"/>
                <w:u w:val="single"/>
                <w:lang w:eastAsia="es-AR"/>
              </w:rPr>
            </w:pPr>
          </w:p>
        </w:tc>
        <w:tc>
          <w:tcPr>
            <w:tcW w:w="1331" w:type="dxa"/>
            <w:shd w:val="clear" w:color="auto" w:fill="auto"/>
            <w:noWrap/>
            <w:vAlign w:val="bottom"/>
            <w:hideMark/>
          </w:tcPr>
          <w:p w14:paraId="36609A27" w14:textId="77777777" w:rsidR="00D57127" w:rsidRPr="00701F32" w:rsidRDefault="00D57127" w:rsidP="007E0DB2">
            <w:pPr>
              <w:jc w:val="right"/>
              <w:rPr>
                <w:rFonts w:ascii="Arial" w:hAnsi="Arial" w:cs="Arial"/>
                <w:b/>
                <w:color w:val="000000"/>
                <w:sz w:val="20"/>
                <w:lang w:eastAsia="es-AR"/>
              </w:rPr>
            </w:pPr>
            <w:r w:rsidRPr="00701F32">
              <w:rPr>
                <w:rFonts w:ascii="Arial" w:hAnsi="Arial" w:cs="Arial"/>
                <w:b/>
                <w:color w:val="000000"/>
                <w:sz w:val="20"/>
                <w:lang w:eastAsia="es-AR"/>
              </w:rPr>
              <w:t>3</w:t>
            </w:r>
            <w:r w:rsidR="007E0DB2"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31" w:type="dxa"/>
            <w:shd w:val="clear" w:color="auto" w:fill="auto"/>
            <w:noWrap/>
            <w:vAlign w:val="bottom"/>
            <w:hideMark/>
          </w:tcPr>
          <w:p w14:paraId="3306AB34"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31" w:type="dxa"/>
            <w:shd w:val="clear" w:color="auto" w:fill="auto"/>
            <w:noWrap/>
            <w:vAlign w:val="bottom"/>
            <w:hideMark/>
          </w:tcPr>
          <w:p w14:paraId="21E2A5FC"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5E3E5A5A" w14:textId="77777777" w:rsidTr="00E311C9">
        <w:trPr>
          <w:trHeight w:val="261"/>
        </w:trPr>
        <w:tc>
          <w:tcPr>
            <w:tcW w:w="4544" w:type="dxa"/>
            <w:shd w:val="clear" w:color="auto" w:fill="auto"/>
            <w:noWrap/>
            <w:vAlign w:val="bottom"/>
            <w:hideMark/>
          </w:tcPr>
          <w:p w14:paraId="0521C647"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Sector público</w:t>
            </w:r>
          </w:p>
        </w:tc>
        <w:tc>
          <w:tcPr>
            <w:tcW w:w="1331" w:type="dxa"/>
            <w:shd w:val="clear" w:color="auto" w:fill="auto"/>
            <w:noWrap/>
            <w:vAlign w:val="bottom"/>
          </w:tcPr>
          <w:p w14:paraId="7BC052CA" w14:textId="388EB7E3"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11.990.961 </w:t>
            </w:r>
          </w:p>
        </w:tc>
        <w:tc>
          <w:tcPr>
            <w:tcW w:w="1331" w:type="dxa"/>
            <w:shd w:val="clear" w:color="auto" w:fill="auto"/>
            <w:noWrap/>
            <w:vAlign w:val="bottom"/>
            <w:hideMark/>
          </w:tcPr>
          <w:p w14:paraId="1C351266"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6.171.661 </w:t>
            </w:r>
          </w:p>
        </w:tc>
        <w:tc>
          <w:tcPr>
            <w:tcW w:w="1331" w:type="dxa"/>
            <w:shd w:val="clear" w:color="auto" w:fill="auto"/>
            <w:noWrap/>
            <w:vAlign w:val="bottom"/>
            <w:hideMark/>
          </w:tcPr>
          <w:p w14:paraId="3B0F8A6D"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2.587.253 </w:t>
            </w:r>
          </w:p>
        </w:tc>
      </w:tr>
      <w:tr w:rsidR="005B0E46" w:rsidRPr="00701F32" w14:paraId="5284B38F" w14:textId="77777777" w:rsidTr="00E311C9">
        <w:trPr>
          <w:trHeight w:val="261"/>
        </w:trPr>
        <w:tc>
          <w:tcPr>
            <w:tcW w:w="4544" w:type="dxa"/>
            <w:shd w:val="clear" w:color="auto" w:fill="auto"/>
            <w:noWrap/>
            <w:vAlign w:val="bottom"/>
            <w:hideMark/>
          </w:tcPr>
          <w:p w14:paraId="191D17F9"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Sector financiero</w:t>
            </w:r>
          </w:p>
        </w:tc>
        <w:tc>
          <w:tcPr>
            <w:tcW w:w="1331" w:type="dxa"/>
            <w:shd w:val="clear" w:color="auto" w:fill="auto"/>
            <w:noWrap/>
            <w:vAlign w:val="bottom"/>
          </w:tcPr>
          <w:p w14:paraId="0C2D66CE" w14:textId="5631578B"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25.807 </w:t>
            </w:r>
          </w:p>
        </w:tc>
        <w:tc>
          <w:tcPr>
            <w:tcW w:w="1331" w:type="dxa"/>
            <w:shd w:val="clear" w:color="auto" w:fill="auto"/>
            <w:noWrap/>
            <w:vAlign w:val="bottom"/>
            <w:hideMark/>
          </w:tcPr>
          <w:p w14:paraId="44CD9AEB"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20.097 </w:t>
            </w:r>
          </w:p>
        </w:tc>
        <w:tc>
          <w:tcPr>
            <w:tcW w:w="1331" w:type="dxa"/>
            <w:shd w:val="clear" w:color="auto" w:fill="auto"/>
            <w:noWrap/>
            <w:vAlign w:val="bottom"/>
            <w:hideMark/>
          </w:tcPr>
          <w:p w14:paraId="1EBCF80C"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15.751 </w:t>
            </w:r>
          </w:p>
        </w:tc>
      </w:tr>
      <w:tr w:rsidR="005B0E46" w:rsidRPr="00701F32" w14:paraId="4EDE6194" w14:textId="77777777" w:rsidTr="00E311C9">
        <w:trPr>
          <w:trHeight w:val="261"/>
        </w:trPr>
        <w:tc>
          <w:tcPr>
            <w:tcW w:w="4544" w:type="dxa"/>
            <w:shd w:val="clear" w:color="auto" w:fill="auto"/>
            <w:noWrap/>
            <w:vAlign w:val="bottom"/>
            <w:hideMark/>
          </w:tcPr>
          <w:p w14:paraId="47E94E90"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Cuentas corrientes</w:t>
            </w:r>
          </w:p>
        </w:tc>
        <w:tc>
          <w:tcPr>
            <w:tcW w:w="1331" w:type="dxa"/>
            <w:shd w:val="clear" w:color="auto" w:fill="auto"/>
            <w:noWrap/>
            <w:vAlign w:val="bottom"/>
          </w:tcPr>
          <w:p w14:paraId="5C77CD71" w14:textId="3DF84A03"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6.704.176 </w:t>
            </w:r>
          </w:p>
        </w:tc>
        <w:tc>
          <w:tcPr>
            <w:tcW w:w="1331" w:type="dxa"/>
            <w:shd w:val="clear" w:color="auto" w:fill="auto"/>
            <w:noWrap/>
            <w:vAlign w:val="bottom"/>
            <w:hideMark/>
          </w:tcPr>
          <w:p w14:paraId="7B114DCD"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5.700.097 </w:t>
            </w:r>
          </w:p>
        </w:tc>
        <w:tc>
          <w:tcPr>
            <w:tcW w:w="1331" w:type="dxa"/>
            <w:shd w:val="clear" w:color="auto" w:fill="auto"/>
            <w:noWrap/>
            <w:vAlign w:val="bottom"/>
            <w:hideMark/>
          </w:tcPr>
          <w:p w14:paraId="61E2A4EF"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4.370.596 </w:t>
            </w:r>
          </w:p>
        </w:tc>
      </w:tr>
      <w:tr w:rsidR="005B0E46" w:rsidRPr="00701F32" w14:paraId="22D29ACA" w14:textId="77777777" w:rsidTr="00E311C9">
        <w:trPr>
          <w:trHeight w:val="261"/>
        </w:trPr>
        <w:tc>
          <w:tcPr>
            <w:tcW w:w="4544" w:type="dxa"/>
            <w:shd w:val="clear" w:color="auto" w:fill="auto"/>
            <w:noWrap/>
            <w:vAlign w:val="bottom"/>
            <w:hideMark/>
          </w:tcPr>
          <w:p w14:paraId="4452552A"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Caja de ahorros</w:t>
            </w:r>
          </w:p>
        </w:tc>
        <w:tc>
          <w:tcPr>
            <w:tcW w:w="1331" w:type="dxa"/>
            <w:shd w:val="clear" w:color="auto" w:fill="auto"/>
            <w:noWrap/>
            <w:vAlign w:val="bottom"/>
          </w:tcPr>
          <w:p w14:paraId="259A0367" w14:textId="793C18BF"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53.773.742 </w:t>
            </w:r>
          </w:p>
        </w:tc>
        <w:tc>
          <w:tcPr>
            <w:tcW w:w="1331" w:type="dxa"/>
            <w:shd w:val="clear" w:color="auto" w:fill="auto"/>
            <w:noWrap/>
            <w:vAlign w:val="bottom"/>
            <w:hideMark/>
          </w:tcPr>
          <w:p w14:paraId="20814369"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29.579.007 </w:t>
            </w:r>
          </w:p>
        </w:tc>
        <w:tc>
          <w:tcPr>
            <w:tcW w:w="1331" w:type="dxa"/>
            <w:shd w:val="clear" w:color="auto" w:fill="auto"/>
            <w:noWrap/>
            <w:vAlign w:val="bottom"/>
            <w:hideMark/>
          </w:tcPr>
          <w:p w14:paraId="1A03E771"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15.728.183 </w:t>
            </w:r>
          </w:p>
        </w:tc>
      </w:tr>
      <w:tr w:rsidR="005B0E46" w:rsidRPr="00701F32" w14:paraId="41AE616D" w14:textId="77777777" w:rsidTr="00E311C9">
        <w:trPr>
          <w:trHeight w:val="261"/>
        </w:trPr>
        <w:tc>
          <w:tcPr>
            <w:tcW w:w="4544" w:type="dxa"/>
            <w:shd w:val="clear" w:color="auto" w:fill="auto"/>
            <w:noWrap/>
            <w:vAlign w:val="bottom"/>
            <w:hideMark/>
          </w:tcPr>
          <w:p w14:paraId="04890ED4"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Plazo fijo e inversiones a plazo</w:t>
            </w:r>
          </w:p>
        </w:tc>
        <w:tc>
          <w:tcPr>
            <w:tcW w:w="1331" w:type="dxa"/>
            <w:shd w:val="clear" w:color="auto" w:fill="auto"/>
            <w:noWrap/>
            <w:vAlign w:val="bottom"/>
          </w:tcPr>
          <w:p w14:paraId="190A8D85" w14:textId="118E586B"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23.120.673 </w:t>
            </w:r>
          </w:p>
        </w:tc>
        <w:tc>
          <w:tcPr>
            <w:tcW w:w="1331" w:type="dxa"/>
            <w:shd w:val="clear" w:color="auto" w:fill="auto"/>
            <w:noWrap/>
            <w:vAlign w:val="bottom"/>
            <w:hideMark/>
          </w:tcPr>
          <w:p w14:paraId="44E3EB20"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13.081.654 </w:t>
            </w:r>
          </w:p>
        </w:tc>
        <w:tc>
          <w:tcPr>
            <w:tcW w:w="1331" w:type="dxa"/>
            <w:shd w:val="clear" w:color="auto" w:fill="auto"/>
            <w:noWrap/>
            <w:vAlign w:val="bottom"/>
            <w:hideMark/>
          </w:tcPr>
          <w:p w14:paraId="76C01339"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11.644.282 </w:t>
            </w:r>
          </w:p>
        </w:tc>
      </w:tr>
      <w:tr w:rsidR="005B0E46" w:rsidRPr="00701F32" w14:paraId="2BA2BD89" w14:textId="77777777" w:rsidTr="00E311C9">
        <w:trPr>
          <w:trHeight w:val="261"/>
        </w:trPr>
        <w:tc>
          <w:tcPr>
            <w:tcW w:w="4544" w:type="dxa"/>
            <w:shd w:val="clear" w:color="auto" w:fill="auto"/>
            <w:noWrap/>
            <w:vAlign w:val="bottom"/>
            <w:hideMark/>
          </w:tcPr>
          <w:p w14:paraId="59DC65D7"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Otros</w:t>
            </w:r>
          </w:p>
        </w:tc>
        <w:tc>
          <w:tcPr>
            <w:tcW w:w="1331" w:type="dxa"/>
            <w:shd w:val="clear" w:color="auto" w:fill="auto"/>
            <w:noWrap/>
            <w:vAlign w:val="bottom"/>
          </w:tcPr>
          <w:p w14:paraId="773BE1BD" w14:textId="1CE2AC42"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1.771.334 </w:t>
            </w:r>
          </w:p>
        </w:tc>
        <w:tc>
          <w:tcPr>
            <w:tcW w:w="1331" w:type="dxa"/>
            <w:shd w:val="clear" w:color="auto" w:fill="auto"/>
            <w:noWrap/>
            <w:vAlign w:val="bottom"/>
            <w:hideMark/>
          </w:tcPr>
          <w:p w14:paraId="4F4FFA6F"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1.328.837 </w:t>
            </w:r>
          </w:p>
        </w:tc>
        <w:tc>
          <w:tcPr>
            <w:tcW w:w="1331" w:type="dxa"/>
            <w:shd w:val="clear" w:color="auto" w:fill="auto"/>
            <w:noWrap/>
            <w:vAlign w:val="bottom"/>
            <w:hideMark/>
          </w:tcPr>
          <w:p w14:paraId="4A474805"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988.465 </w:t>
            </w:r>
          </w:p>
        </w:tc>
      </w:tr>
      <w:tr w:rsidR="00D57127" w:rsidRPr="00701F32" w14:paraId="03783DB0" w14:textId="77777777" w:rsidTr="00E311C9">
        <w:trPr>
          <w:trHeight w:val="276"/>
        </w:trPr>
        <w:tc>
          <w:tcPr>
            <w:tcW w:w="4544" w:type="dxa"/>
            <w:shd w:val="clear" w:color="auto" w:fill="auto"/>
            <w:noWrap/>
            <w:vAlign w:val="bottom"/>
            <w:hideMark/>
          </w:tcPr>
          <w:p w14:paraId="1D4E02D2" w14:textId="77777777" w:rsidR="00D57127" w:rsidRPr="00701F32" w:rsidRDefault="00D57127" w:rsidP="00D57127">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31" w:type="dxa"/>
            <w:shd w:val="clear" w:color="auto" w:fill="auto"/>
            <w:noWrap/>
            <w:vAlign w:val="bottom"/>
          </w:tcPr>
          <w:p w14:paraId="54CEE1CB" w14:textId="1D5ED029"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97.386.693</w:t>
            </w:r>
          </w:p>
        </w:tc>
        <w:tc>
          <w:tcPr>
            <w:tcW w:w="1331" w:type="dxa"/>
            <w:shd w:val="clear" w:color="auto" w:fill="auto"/>
            <w:noWrap/>
            <w:vAlign w:val="bottom"/>
            <w:hideMark/>
          </w:tcPr>
          <w:p w14:paraId="1FB908BB"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55.881.353 </w:t>
            </w:r>
          </w:p>
        </w:tc>
        <w:tc>
          <w:tcPr>
            <w:tcW w:w="1331" w:type="dxa"/>
            <w:shd w:val="clear" w:color="auto" w:fill="auto"/>
            <w:noWrap/>
            <w:vAlign w:val="bottom"/>
            <w:hideMark/>
          </w:tcPr>
          <w:p w14:paraId="1890BB90"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35.334.530 </w:t>
            </w:r>
          </w:p>
        </w:tc>
      </w:tr>
    </w:tbl>
    <w:p w14:paraId="36E32928" w14:textId="77777777" w:rsidR="00D57127" w:rsidRPr="00701F32" w:rsidRDefault="00D57127" w:rsidP="00D57127">
      <w:pPr>
        <w:spacing w:after="160" w:line="259" w:lineRule="auto"/>
        <w:rPr>
          <w:rFonts w:ascii="Arial" w:eastAsiaTheme="minorHAnsi" w:hAnsi="Arial" w:cs="Arial"/>
          <w:sz w:val="22"/>
          <w:szCs w:val="22"/>
        </w:rPr>
      </w:pPr>
    </w:p>
    <w:p w14:paraId="43AEC16B"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4303F7" w:rsidRPr="00701F32">
        <w:rPr>
          <w:rFonts w:ascii="Arial" w:hAnsi="Arial" w:cs="Arial"/>
          <w:bCs/>
          <w:color w:val="000000"/>
          <w:sz w:val="20"/>
          <w:lang w:eastAsia="es-AR"/>
        </w:rPr>
        <w:t>9</w:t>
      </w:r>
      <w:r w:rsidRPr="00701F32">
        <w:rPr>
          <w:rFonts w:ascii="Arial" w:hAnsi="Arial" w:cs="Arial"/>
          <w:bCs/>
          <w:color w:val="000000"/>
          <w:sz w:val="20"/>
          <w:lang w:eastAsia="es-AR"/>
        </w:rPr>
        <w:t xml:space="preserve"> Otros pasivos financieros</w:t>
      </w:r>
    </w:p>
    <w:p w14:paraId="223EF034" w14:textId="77777777" w:rsidR="00F83144" w:rsidRPr="00701F32" w:rsidRDefault="00F83144" w:rsidP="00D57127">
      <w:pPr>
        <w:rPr>
          <w:rFonts w:ascii="Arial" w:hAnsi="Arial" w:cs="Arial"/>
          <w:bCs/>
          <w:color w:val="000000"/>
          <w:sz w:val="18"/>
          <w:lang w:eastAsia="es-AR"/>
        </w:rPr>
      </w:pPr>
    </w:p>
    <w:p w14:paraId="6391B58F" w14:textId="77777777" w:rsidR="00D57127" w:rsidRPr="00701F32" w:rsidRDefault="00D57127" w:rsidP="00D57127">
      <w:pPr>
        <w:spacing w:after="160" w:line="259" w:lineRule="auto"/>
        <w:rPr>
          <w:rFonts w:ascii="Arial" w:eastAsiaTheme="minorHAnsi" w:hAnsi="Arial" w:cs="Arial"/>
          <w:sz w:val="20"/>
          <w:szCs w:val="22"/>
        </w:rPr>
      </w:pPr>
      <w:r w:rsidRPr="00701F32">
        <w:rPr>
          <w:rFonts w:ascii="Arial" w:eastAsiaTheme="minorHAnsi" w:hAnsi="Arial" w:cs="Arial"/>
          <w:sz w:val="20"/>
          <w:szCs w:val="22"/>
        </w:rPr>
        <w:t>Los principales componentes del rubro otros pasivos financieros al 3</w:t>
      </w:r>
      <w:r w:rsidR="009B546D" w:rsidRPr="00701F32">
        <w:rPr>
          <w:rFonts w:ascii="Arial" w:eastAsiaTheme="minorHAnsi" w:hAnsi="Arial" w:cs="Arial"/>
          <w:sz w:val="20"/>
          <w:szCs w:val="22"/>
        </w:rPr>
        <w:t>0</w:t>
      </w:r>
      <w:r w:rsidRPr="00701F32">
        <w:rPr>
          <w:rFonts w:ascii="Arial" w:eastAsiaTheme="minorHAnsi" w:hAnsi="Arial" w:cs="Arial"/>
          <w:sz w:val="20"/>
          <w:szCs w:val="22"/>
        </w:rPr>
        <w:t xml:space="preserve"> de </w:t>
      </w:r>
      <w:r w:rsidR="00837BEB" w:rsidRPr="00701F32">
        <w:rPr>
          <w:rFonts w:ascii="Arial" w:eastAsiaTheme="minorHAnsi" w:hAnsi="Arial" w:cs="Arial"/>
          <w:sz w:val="20"/>
          <w:szCs w:val="22"/>
        </w:rPr>
        <w:t xml:space="preserve">septiembre </w:t>
      </w:r>
      <w:r w:rsidR="006D5978" w:rsidRPr="00701F32">
        <w:rPr>
          <w:rFonts w:ascii="Arial" w:eastAsiaTheme="minorHAnsi" w:hAnsi="Arial" w:cs="Arial"/>
          <w:sz w:val="20"/>
          <w:szCs w:val="22"/>
        </w:rPr>
        <w:t xml:space="preserve">de </w:t>
      </w:r>
      <w:r w:rsidRPr="00701F32">
        <w:rPr>
          <w:rFonts w:ascii="Arial" w:eastAsiaTheme="minorHAnsi" w:hAnsi="Arial" w:cs="Arial"/>
          <w:sz w:val="20"/>
          <w:szCs w:val="22"/>
        </w:rPr>
        <w:t>2018, 31 de diciembre y 1 de enero de 2017 son los siguientes:</w:t>
      </w:r>
    </w:p>
    <w:tbl>
      <w:tblPr>
        <w:tblW w:w="84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8"/>
        <w:gridCol w:w="1236"/>
        <w:gridCol w:w="1141"/>
        <w:gridCol w:w="1141"/>
      </w:tblGrid>
      <w:tr w:rsidR="00D57127" w:rsidRPr="00701F32" w14:paraId="0F848120" w14:textId="77777777" w:rsidTr="00E311C9">
        <w:trPr>
          <w:trHeight w:val="241"/>
        </w:trPr>
        <w:tc>
          <w:tcPr>
            <w:tcW w:w="4978" w:type="dxa"/>
            <w:shd w:val="clear" w:color="auto" w:fill="auto"/>
            <w:noWrap/>
            <w:vAlign w:val="bottom"/>
            <w:hideMark/>
          </w:tcPr>
          <w:p w14:paraId="67EF1167" w14:textId="77777777" w:rsidR="00D57127" w:rsidRPr="00701F32" w:rsidRDefault="00D57127" w:rsidP="00D57127">
            <w:pPr>
              <w:rPr>
                <w:rFonts w:ascii="Arial" w:hAnsi="Arial" w:cs="Arial"/>
                <w:b/>
                <w:bCs/>
                <w:color w:val="000000"/>
                <w:sz w:val="20"/>
                <w:u w:val="single"/>
                <w:lang w:eastAsia="es-AR"/>
              </w:rPr>
            </w:pPr>
          </w:p>
        </w:tc>
        <w:tc>
          <w:tcPr>
            <w:tcW w:w="1236" w:type="dxa"/>
            <w:shd w:val="clear" w:color="auto" w:fill="auto"/>
            <w:noWrap/>
            <w:vAlign w:val="bottom"/>
            <w:hideMark/>
          </w:tcPr>
          <w:p w14:paraId="597B902E" w14:textId="77777777" w:rsidR="00D57127" w:rsidRPr="00701F32" w:rsidRDefault="00D57127">
            <w:pPr>
              <w:jc w:val="right"/>
              <w:rPr>
                <w:rFonts w:ascii="Arial" w:hAnsi="Arial" w:cs="Arial"/>
                <w:b/>
                <w:color w:val="000000"/>
                <w:sz w:val="20"/>
                <w:lang w:eastAsia="es-AR"/>
              </w:rPr>
            </w:pPr>
            <w:r w:rsidRPr="00701F32">
              <w:rPr>
                <w:rFonts w:ascii="Arial" w:hAnsi="Arial" w:cs="Arial"/>
                <w:b/>
                <w:color w:val="000000"/>
                <w:sz w:val="20"/>
                <w:lang w:eastAsia="es-AR"/>
              </w:rPr>
              <w:t>3</w:t>
            </w:r>
            <w:r w:rsidR="009B546D" w:rsidRPr="00701F32">
              <w:rPr>
                <w:rFonts w:ascii="Arial" w:hAnsi="Arial" w:cs="Arial"/>
                <w:b/>
                <w:color w:val="000000"/>
                <w:sz w:val="20"/>
                <w:lang w:eastAsia="es-AR"/>
              </w:rPr>
              <w:t>0</w:t>
            </w:r>
            <w:r w:rsidRPr="00701F32">
              <w:rPr>
                <w:rFonts w:ascii="Arial" w:hAnsi="Arial" w:cs="Arial"/>
                <w:b/>
                <w:color w:val="000000"/>
                <w:sz w:val="20"/>
                <w:lang w:eastAsia="es-AR"/>
              </w:rPr>
              <w:t>/0</w:t>
            </w:r>
            <w:r w:rsidR="00837BE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141" w:type="dxa"/>
            <w:shd w:val="clear" w:color="auto" w:fill="auto"/>
            <w:noWrap/>
            <w:vAlign w:val="bottom"/>
            <w:hideMark/>
          </w:tcPr>
          <w:p w14:paraId="745726E6" w14:textId="77777777" w:rsidR="00D57127" w:rsidRPr="00701F32" w:rsidRDefault="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141" w:type="dxa"/>
            <w:shd w:val="clear" w:color="auto" w:fill="auto"/>
            <w:noWrap/>
            <w:vAlign w:val="bottom"/>
            <w:hideMark/>
          </w:tcPr>
          <w:p w14:paraId="4E7C3EDD" w14:textId="77777777" w:rsidR="00D57127" w:rsidRPr="00701F32" w:rsidRDefault="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6DFDDCD0" w14:textId="77777777" w:rsidTr="00E311C9">
        <w:trPr>
          <w:trHeight w:val="241"/>
        </w:trPr>
        <w:tc>
          <w:tcPr>
            <w:tcW w:w="4978" w:type="dxa"/>
            <w:shd w:val="clear" w:color="auto" w:fill="auto"/>
            <w:noWrap/>
            <w:vAlign w:val="bottom"/>
            <w:hideMark/>
          </w:tcPr>
          <w:p w14:paraId="181B5FB4"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Acreedores por operaciones contado a liquidar</w:t>
            </w:r>
          </w:p>
        </w:tc>
        <w:tc>
          <w:tcPr>
            <w:tcW w:w="1236" w:type="dxa"/>
            <w:shd w:val="clear" w:color="auto" w:fill="auto"/>
            <w:noWrap/>
            <w:vAlign w:val="bottom"/>
          </w:tcPr>
          <w:p w14:paraId="6D332AB2" w14:textId="6EC6EB40"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185.159 </w:t>
            </w:r>
          </w:p>
        </w:tc>
        <w:tc>
          <w:tcPr>
            <w:tcW w:w="1141" w:type="dxa"/>
            <w:shd w:val="clear" w:color="auto" w:fill="auto"/>
            <w:noWrap/>
            <w:vAlign w:val="bottom"/>
            <w:hideMark/>
          </w:tcPr>
          <w:p w14:paraId="5EF9D23E"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25.275 </w:t>
            </w:r>
          </w:p>
        </w:tc>
        <w:tc>
          <w:tcPr>
            <w:tcW w:w="1141" w:type="dxa"/>
            <w:shd w:val="clear" w:color="auto" w:fill="auto"/>
            <w:noWrap/>
            <w:vAlign w:val="bottom"/>
            <w:hideMark/>
          </w:tcPr>
          <w:p w14:paraId="31037DCD"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1.122 </w:t>
            </w:r>
          </w:p>
        </w:tc>
      </w:tr>
      <w:tr w:rsidR="005B0E46" w:rsidRPr="00701F32" w14:paraId="3F2A0F17" w14:textId="77777777" w:rsidTr="00E311C9">
        <w:trPr>
          <w:trHeight w:val="241"/>
        </w:trPr>
        <w:tc>
          <w:tcPr>
            <w:tcW w:w="4978" w:type="dxa"/>
            <w:shd w:val="clear" w:color="auto" w:fill="auto"/>
            <w:noWrap/>
            <w:vAlign w:val="bottom"/>
            <w:hideMark/>
          </w:tcPr>
          <w:p w14:paraId="3F0D125F"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Cobranzas por cuenta de terceros</w:t>
            </w:r>
          </w:p>
        </w:tc>
        <w:tc>
          <w:tcPr>
            <w:tcW w:w="1236" w:type="dxa"/>
            <w:shd w:val="clear" w:color="auto" w:fill="auto"/>
            <w:noWrap/>
            <w:vAlign w:val="bottom"/>
          </w:tcPr>
          <w:p w14:paraId="73869542" w14:textId="603BF421"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2.730.868 </w:t>
            </w:r>
          </w:p>
        </w:tc>
        <w:tc>
          <w:tcPr>
            <w:tcW w:w="1141" w:type="dxa"/>
            <w:shd w:val="clear" w:color="auto" w:fill="auto"/>
            <w:noWrap/>
            <w:vAlign w:val="bottom"/>
            <w:hideMark/>
          </w:tcPr>
          <w:p w14:paraId="0D190183"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1.875.140 </w:t>
            </w:r>
          </w:p>
        </w:tc>
        <w:tc>
          <w:tcPr>
            <w:tcW w:w="1141" w:type="dxa"/>
            <w:shd w:val="clear" w:color="auto" w:fill="auto"/>
            <w:noWrap/>
            <w:vAlign w:val="bottom"/>
            <w:hideMark/>
          </w:tcPr>
          <w:p w14:paraId="135BADDF"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1.529.805 </w:t>
            </w:r>
          </w:p>
        </w:tc>
      </w:tr>
      <w:tr w:rsidR="005B0E46" w:rsidRPr="00701F32" w14:paraId="32C03342" w14:textId="77777777" w:rsidTr="00E311C9">
        <w:trPr>
          <w:trHeight w:val="241"/>
        </w:trPr>
        <w:tc>
          <w:tcPr>
            <w:tcW w:w="4978" w:type="dxa"/>
            <w:shd w:val="clear" w:color="auto" w:fill="auto"/>
            <w:noWrap/>
            <w:vAlign w:val="bottom"/>
            <w:hideMark/>
          </w:tcPr>
          <w:p w14:paraId="4B91BF58"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Comisiones devengadas a pagar</w:t>
            </w:r>
          </w:p>
        </w:tc>
        <w:tc>
          <w:tcPr>
            <w:tcW w:w="1236" w:type="dxa"/>
            <w:shd w:val="clear" w:color="auto" w:fill="auto"/>
            <w:noWrap/>
            <w:vAlign w:val="bottom"/>
          </w:tcPr>
          <w:p w14:paraId="31667294" w14:textId="771175D2"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549 </w:t>
            </w:r>
          </w:p>
        </w:tc>
        <w:tc>
          <w:tcPr>
            <w:tcW w:w="1141" w:type="dxa"/>
            <w:shd w:val="clear" w:color="auto" w:fill="auto"/>
            <w:noWrap/>
            <w:vAlign w:val="bottom"/>
            <w:hideMark/>
          </w:tcPr>
          <w:p w14:paraId="424668EA"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8.505 </w:t>
            </w:r>
          </w:p>
        </w:tc>
        <w:tc>
          <w:tcPr>
            <w:tcW w:w="1141" w:type="dxa"/>
            <w:shd w:val="clear" w:color="auto" w:fill="auto"/>
            <w:noWrap/>
            <w:vAlign w:val="bottom"/>
            <w:hideMark/>
          </w:tcPr>
          <w:p w14:paraId="2233A7FC"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16.455 </w:t>
            </w:r>
          </w:p>
        </w:tc>
      </w:tr>
      <w:tr w:rsidR="005B0E46" w:rsidRPr="00701F32" w14:paraId="242BF90B" w14:textId="77777777" w:rsidTr="00E311C9">
        <w:trPr>
          <w:trHeight w:val="241"/>
        </w:trPr>
        <w:tc>
          <w:tcPr>
            <w:tcW w:w="4978" w:type="dxa"/>
            <w:shd w:val="clear" w:color="auto" w:fill="auto"/>
            <w:noWrap/>
            <w:vAlign w:val="bottom"/>
            <w:hideMark/>
          </w:tcPr>
          <w:p w14:paraId="127B341C"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Contratos de garantía financiera</w:t>
            </w:r>
          </w:p>
        </w:tc>
        <w:tc>
          <w:tcPr>
            <w:tcW w:w="1236" w:type="dxa"/>
            <w:shd w:val="clear" w:color="auto" w:fill="auto"/>
            <w:noWrap/>
            <w:vAlign w:val="bottom"/>
          </w:tcPr>
          <w:p w14:paraId="1B8AD471" w14:textId="73E1DF5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41.832 </w:t>
            </w:r>
          </w:p>
        </w:tc>
        <w:tc>
          <w:tcPr>
            <w:tcW w:w="1141" w:type="dxa"/>
            <w:shd w:val="clear" w:color="auto" w:fill="auto"/>
            <w:noWrap/>
            <w:vAlign w:val="bottom"/>
            <w:hideMark/>
          </w:tcPr>
          <w:p w14:paraId="3804A45B"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339.253 </w:t>
            </w:r>
          </w:p>
        </w:tc>
        <w:tc>
          <w:tcPr>
            <w:tcW w:w="1141" w:type="dxa"/>
            <w:shd w:val="clear" w:color="auto" w:fill="auto"/>
            <w:noWrap/>
            <w:vAlign w:val="bottom"/>
            <w:hideMark/>
          </w:tcPr>
          <w:p w14:paraId="2521FE78"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231.129 </w:t>
            </w:r>
          </w:p>
        </w:tc>
      </w:tr>
      <w:tr w:rsidR="005B0E46" w:rsidRPr="00701F32" w14:paraId="436EE8B6" w14:textId="77777777" w:rsidTr="00E311C9">
        <w:trPr>
          <w:trHeight w:val="241"/>
        </w:trPr>
        <w:tc>
          <w:tcPr>
            <w:tcW w:w="4978" w:type="dxa"/>
            <w:shd w:val="clear" w:color="auto" w:fill="auto"/>
            <w:noWrap/>
            <w:vAlign w:val="bottom"/>
            <w:hideMark/>
          </w:tcPr>
          <w:p w14:paraId="45FDDE5B"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Pasivos asociados a la transferencia de activos financieros no dados de baja</w:t>
            </w:r>
          </w:p>
        </w:tc>
        <w:tc>
          <w:tcPr>
            <w:tcW w:w="1236" w:type="dxa"/>
            <w:shd w:val="clear" w:color="auto" w:fill="auto"/>
            <w:noWrap/>
            <w:vAlign w:val="bottom"/>
          </w:tcPr>
          <w:p w14:paraId="37482E36" w14:textId="3B41F5BB"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433.575 </w:t>
            </w:r>
          </w:p>
        </w:tc>
        <w:tc>
          <w:tcPr>
            <w:tcW w:w="1141" w:type="dxa"/>
            <w:shd w:val="clear" w:color="auto" w:fill="auto"/>
            <w:noWrap/>
            <w:vAlign w:val="bottom"/>
            <w:hideMark/>
          </w:tcPr>
          <w:p w14:paraId="6721AFB2"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473.809 </w:t>
            </w:r>
          </w:p>
        </w:tc>
        <w:tc>
          <w:tcPr>
            <w:tcW w:w="1141" w:type="dxa"/>
            <w:shd w:val="clear" w:color="auto" w:fill="auto"/>
            <w:noWrap/>
            <w:vAlign w:val="bottom"/>
            <w:hideMark/>
          </w:tcPr>
          <w:p w14:paraId="125E36F4"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 </w:t>
            </w:r>
          </w:p>
        </w:tc>
      </w:tr>
      <w:tr w:rsidR="005B0E46" w:rsidRPr="00701F32" w14:paraId="2B6DE138" w14:textId="77777777" w:rsidTr="00E311C9">
        <w:trPr>
          <w:trHeight w:val="241"/>
        </w:trPr>
        <w:tc>
          <w:tcPr>
            <w:tcW w:w="4978" w:type="dxa"/>
            <w:shd w:val="clear" w:color="auto" w:fill="auto"/>
            <w:noWrap/>
            <w:vAlign w:val="bottom"/>
          </w:tcPr>
          <w:p w14:paraId="5D14DE67" w14:textId="2CFDF2CE"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Préstamo BID</w:t>
            </w:r>
          </w:p>
        </w:tc>
        <w:tc>
          <w:tcPr>
            <w:tcW w:w="1236" w:type="dxa"/>
            <w:shd w:val="clear" w:color="auto" w:fill="auto"/>
            <w:noWrap/>
            <w:vAlign w:val="bottom"/>
          </w:tcPr>
          <w:p w14:paraId="04A4F2B5" w14:textId="6C7CDAC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28.200 </w:t>
            </w:r>
          </w:p>
        </w:tc>
        <w:tc>
          <w:tcPr>
            <w:tcW w:w="1141" w:type="dxa"/>
            <w:shd w:val="clear" w:color="auto" w:fill="auto"/>
            <w:noWrap/>
            <w:vAlign w:val="bottom"/>
          </w:tcPr>
          <w:p w14:paraId="46FFC2B3" w14:textId="0CE1E7F3"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w:t>
            </w:r>
          </w:p>
        </w:tc>
        <w:tc>
          <w:tcPr>
            <w:tcW w:w="1141" w:type="dxa"/>
            <w:shd w:val="clear" w:color="auto" w:fill="auto"/>
            <w:noWrap/>
            <w:vAlign w:val="bottom"/>
          </w:tcPr>
          <w:p w14:paraId="5CDD28AA" w14:textId="518C1F3B"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w:t>
            </w:r>
          </w:p>
        </w:tc>
      </w:tr>
      <w:tr w:rsidR="00D57127" w:rsidRPr="00701F32" w14:paraId="6A9C528B" w14:textId="77777777" w:rsidTr="00E311C9">
        <w:trPr>
          <w:trHeight w:val="255"/>
        </w:trPr>
        <w:tc>
          <w:tcPr>
            <w:tcW w:w="4978" w:type="dxa"/>
            <w:shd w:val="clear" w:color="auto" w:fill="auto"/>
            <w:noWrap/>
            <w:vAlign w:val="bottom"/>
            <w:hideMark/>
          </w:tcPr>
          <w:p w14:paraId="10E25F31" w14:textId="77777777" w:rsidR="00D57127" w:rsidRPr="00701F32" w:rsidRDefault="00D57127" w:rsidP="00D57127">
            <w:pPr>
              <w:rPr>
                <w:rFonts w:ascii="Arial" w:hAnsi="Arial" w:cs="Arial"/>
                <w:b/>
                <w:color w:val="000000"/>
                <w:sz w:val="20"/>
                <w:lang w:eastAsia="es-AR"/>
              </w:rPr>
            </w:pPr>
            <w:r w:rsidRPr="00701F32">
              <w:rPr>
                <w:rFonts w:ascii="Arial" w:hAnsi="Arial" w:cs="Arial"/>
                <w:b/>
                <w:color w:val="000000"/>
                <w:sz w:val="20"/>
                <w:lang w:eastAsia="es-AR"/>
              </w:rPr>
              <w:t>Total</w:t>
            </w:r>
          </w:p>
        </w:tc>
        <w:tc>
          <w:tcPr>
            <w:tcW w:w="1236" w:type="dxa"/>
            <w:shd w:val="clear" w:color="auto" w:fill="auto"/>
            <w:noWrap/>
            <w:vAlign w:val="bottom"/>
          </w:tcPr>
          <w:p w14:paraId="576AA2CE" w14:textId="3693CE90"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3.420.183</w:t>
            </w:r>
          </w:p>
        </w:tc>
        <w:tc>
          <w:tcPr>
            <w:tcW w:w="1141" w:type="dxa"/>
            <w:shd w:val="clear" w:color="auto" w:fill="auto"/>
            <w:noWrap/>
            <w:vAlign w:val="bottom"/>
            <w:hideMark/>
          </w:tcPr>
          <w:p w14:paraId="30F4A808"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2.721.982 </w:t>
            </w:r>
          </w:p>
        </w:tc>
        <w:tc>
          <w:tcPr>
            <w:tcW w:w="1141" w:type="dxa"/>
            <w:shd w:val="clear" w:color="auto" w:fill="auto"/>
            <w:noWrap/>
            <w:vAlign w:val="bottom"/>
            <w:hideMark/>
          </w:tcPr>
          <w:p w14:paraId="34DF03AA"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1.778.511 </w:t>
            </w:r>
          </w:p>
        </w:tc>
      </w:tr>
    </w:tbl>
    <w:p w14:paraId="0A178AC5" w14:textId="77777777" w:rsidR="00D57127" w:rsidRPr="00701F32" w:rsidRDefault="00D57127" w:rsidP="00D57127">
      <w:pPr>
        <w:spacing w:after="160" w:line="259" w:lineRule="auto"/>
        <w:rPr>
          <w:rFonts w:ascii="Arial" w:eastAsiaTheme="minorHAnsi" w:hAnsi="Arial" w:cs="Arial"/>
          <w:sz w:val="22"/>
          <w:szCs w:val="22"/>
        </w:rPr>
      </w:pPr>
    </w:p>
    <w:p w14:paraId="44336D1A" w14:textId="77777777" w:rsidR="00D57127" w:rsidRPr="00701F32" w:rsidRDefault="00D57127" w:rsidP="00D57127">
      <w:pPr>
        <w:rPr>
          <w:rFonts w:ascii="Arial" w:hAnsi="Arial" w:cs="Arial"/>
          <w:bCs/>
          <w:color w:val="000000"/>
          <w:sz w:val="20"/>
          <w:lang w:eastAsia="es-AR"/>
        </w:rPr>
      </w:pPr>
      <w:r w:rsidRPr="00701F32">
        <w:rPr>
          <w:rFonts w:ascii="Arial" w:hAnsi="Arial" w:cs="Arial"/>
          <w:bCs/>
          <w:color w:val="000000"/>
          <w:sz w:val="20"/>
          <w:lang w:eastAsia="es-AR"/>
        </w:rPr>
        <w:t>7.</w:t>
      </w:r>
      <w:r w:rsidR="004303F7" w:rsidRPr="00701F32">
        <w:rPr>
          <w:rFonts w:ascii="Arial" w:hAnsi="Arial" w:cs="Arial"/>
          <w:bCs/>
          <w:color w:val="000000"/>
          <w:sz w:val="20"/>
          <w:lang w:eastAsia="es-AR"/>
        </w:rPr>
        <w:t>10</w:t>
      </w:r>
      <w:r w:rsidRPr="00701F32">
        <w:rPr>
          <w:rFonts w:ascii="Arial" w:hAnsi="Arial" w:cs="Arial"/>
          <w:bCs/>
          <w:color w:val="000000"/>
          <w:sz w:val="20"/>
          <w:lang w:eastAsia="es-AR"/>
        </w:rPr>
        <w:t xml:space="preserve"> Financiaciones recibidas del BCRA y otras instituciones financieras</w:t>
      </w:r>
    </w:p>
    <w:p w14:paraId="03ED4781" w14:textId="77777777" w:rsidR="00F83144" w:rsidRPr="00701F32" w:rsidRDefault="00F83144" w:rsidP="00D57127">
      <w:pPr>
        <w:rPr>
          <w:rFonts w:ascii="Arial" w:hAnsi="Arial" w:cs="Arial"/>
          <w:bCs/>
          <w:color w:val="000000"/>
          <w:sz w:val="20"/>
          <w:lang w:eastAsia="es-AR"/>
        </w:rPr>
      </w:pPr>
    </w:p>
    <w:p w14:paraId="40DCD729" w14:textId="77777777" w:rsidR="00D57127" w:rsidRPr="00701F32" w:rsidRDefault="00D57127" w:rsidP="00D57127">
      <w:pPr>
        <w:rPr>
          <w:rFonts w:ascii="Arial" w:eastAsiaTheme="minorHAnsi" w:hAnsi="Arial" w:cs="Arial"/>
          <w:sz w:val="20"/>
        </w:rPr>
      </w:pPr>
      <w:r w:rsidRPr="00701F32">
        <w:rPr>
          <w:rFonts w:ascii="Arial" w:eastAsiaTheme="minorHAnsi" w:hAnsi="Arial" w:cs="Arial"/>
          <w:sz w:val="20"/>
        </w:rPr>
        <w:t xml:space="preserve">Los principales componentes del rubro </w:t>
      </w:r>
      <w:r w:rsidRPr="00701F32">
        <w:rPr>
          <w:rFonts w:ascii="Arial" w:hAnsi="Arial" w:cs="Arial"/>
          <w:bCs/>
          <w:color w:val="000000"/>
          <w:sz w:val="20"/>
          <w:lang w:eastAsia="es-AR"/>
        </w:rPr>
        <w:t xml:space="preserve">Financiaciones recibidas del BCRA y otras instituciones financieras </w:t>
      </w:r>
      <w:r w:rsidRPr="00701F32">
        <w:rPr>
          <w:rFonts w:ascii="Arial" w:eastAsiaTheme="minorHAnsi" w:hAnsi="Arial" w:cs="Arial"/>
          <w:sz w:val="20"/>
        </w:rPr>
        <w:t>al 3</w:t>
      </w:r>
      <w:r w:rsidR="009B546D" w:rsidRPr="00701F32">
        <w:rPr>
          <w:rFonts w:ascii="Arial" w:eastAsiaTheme="minorHAnsi" w:hAnsi="Arial" w:cs="Arial"/>
          <w:sz w:val="20"/>
        </w:rPr>
        <w:t>0</w:t>
      </w:r>
      <w:r w:rsidRPr="00701F32">
        <w:rPr>
          <w:rFonts w:ascii="Arial" w:eastAsiaTheme="minorHAnsi" w:hAnsi="Arial" w:cs="Arial"/>
          <w:sz w:val="20"/>
        </w:rPr>
        <w:t xml:space="preserve"> de </w:t>
      </w:r>
      <w:r w:rsidR="000F0FA1" w:rsidRPr="00701F32">
        <w:rPr>
          <w:rFonts w:ascii="Arial" w:eastAsiaTheme="minorHAnsi" w:hAnsi="Arial" w:cs="Arial"/>
          <w:sz w:val="20"/>
        </w:rPr>
        <w:t>septiembre</w:t>
      </w:r>
      <w:r w:rsidR="006D5978" w:rsidRPr="00701F32">
        <w:rPr>
          <w:rFonts w:ascii="Arial" w:eastAsiaTheme="minorHAnsi" w:hAnsi="Arial" w:cs="Arial"/>
          <w:sz w:val="20"/>
        </w:rPr>
        <w:t xml:space="preserve"> de </w:t>
      </w:r>
      <w:r w:rsidRPr="00701F32">
        <w:rPr>
          <w:rFonts w:ascii="Arial" w:eastAsiaTheme="minorHAnsi" w:hAnsi="Arial" w:cs="Arial"/>
          <w:sz w:val="20"/>
        </w:rPr>
        <w:t>2018, 31 de diciembre y 1 de enero de 2017 son los siguientes:</w:t>
      </w:r>
    </w:p>
    <w:p w14:paraId="73371BAE" w14:textId="77777777" w:rsidR="00D57127" w:rsidRPr="00701F32" w:rsidRDefault="00D57127" w:rsidP="00D57127">
      <w:pPr>
        <w:rPr>
          <w:rFonts w:ascii="Arial" w:eastAsiaTheme="minorHAnsi" w:hAnsi="Arial" w:cs="Arial"/>
          <w:sz w:val="22"/>
          <w:szCs w:val="22"/>
        </w:rPr>
      </w:pPr>
    </w:p>
    <w:tbl>
      <w:tblPr>
        <w:tblW w:w="888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1"/>
        <w:gridCol w:w="1364"/>
        <w:gridCol w:w="1319"/>
        <w:gridCol w:w="1319"/>
      </w:tblGrid>
      <w:tr w:rsidR="00D57127" w:rsidRPr="00701F32" w14:paraId="126FA3B2" w14:textId="77777777" w:rsidTr="009B546D">
        <w:trPr>
          <w:trHeight w:val="255"/>
          <w:tblHeader/>
        </w:trPr>
        <w:tc>
          <w:tcPr>
            <w:tcW w:w="4881" w:type="dxa"/>
            <w:shd w:val="clear" w:color="auto" w:fill="auto"/>
            <w:noWrap/>
            <w:vAlign w:val="bottom"/>
            <w:hideMark/>
          </w:tcPr>
          <w:p w14:paraId="242DCF9C" w14:textId="77777777" w:rsidR="00D57127" w:rsidRPr="00701F32" w:rsidRDefault="00D57127" w:rsidP="00D57127">
            <w:pPr>
              <w:rPr>
                <w:rFonts w:ascii="Arial" w:hAnsi="Arial" w:cs="Arial"/>
                <w:b/>
                <w:bCs/>
                <w:color w:val="000000"/>
                <w:sz w:val="20"/>
                <w:u w:val="single"/>
                <w:lang w:eastAsia="es-AR"/>
              </w:rPr>
            </w:pPr>
          </w:p>
        </w:tc>
        <w:tc>
          <w:tcPr>
            <w:tcW w:w="1364" w:type="dxa"/>
            <w:shd w:val="clear" w:color="auto" w:fill="auto"/>
            <w:noWrap/>
            <w:vAlign w:val="bottom"/>
            <w:hideMark/>
          </w:tcPr>
          <w:p w14:paraId="0C824EA5" w14:textId="77777777" w:rsidR="00D57127" w:rsidRPr="00701F32" w:rsidRDefault="00D57127" w:rsidP="009B546D">
            <w:pPr>
              <w:jc w:val="right"/>
              <w:rPr>
                <w:rFonts w:ascii="Arial" w:hAnsi="Arial" w:cs="Arial"/>
                <w:b/>
                <w:color w:val="000000"/>
                <w:sz w:val="20"/>
                <w:lang w:eastAsia="es-AR"/>
              </w:rPr>
            </w:pPr>
            <w:r w:rsidRPr="00701F32">
              <w:rPr>
                <w:rFonts w:ascii="Arial" w:hAnsi="Arial" w:cs="Arial"/>
                <w:b/>
                <w:color w:val="000000"/>
                <w:sz w:val="20"/>
                <w:lang w:eastAsia="es-AR"/>
              </w:rPr>
              <w:t>3</w:t>
            </w:r>
            <w:r w:rsidR="009B546D" w:rsidRPr="00701F32">
              <w:rPr>
                <w:rFonts w:ascii="Arial" w:hAnsi="Arial" w:cs="Arial"/>
                <w:b/>
                <w:color w:val="000000"/>
                <w:sz w:val="20"/>
                <w:lang w:eastAsia="es-AR"/>
              </w:rPr>
              <w:t>0</w:t>
            </w:r>
            <w:r w:rsidRPr="00701F32">
              <w:rPr>
                <w:rFonts w:ascii="Arial" w:hAnsi="Arial" w:cs="Arial"/>
                <w:b/>
                <w:color w:val="000000"/>
                <w:sz w:val="20"/>
                <w:lang w:eastAsia="es-AR"/>
              </w:rPr>
              <w:t>/0</w:t>
            </w:r>
            <w:r w:rsidR="000F0FA1"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19" w:type="dxa"/>
            <w:shd w:val="clear" w:color="auto" w:fill="auto"/>
            <w:noWrap/>
            <w:vAlign w:val="bottom"/>
            <w:hideMark/>
          </w:tcPr>
          <w:p w14:paraId="7E0FC18A"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19" w:type="dxa"/>
            <w:shd w:val="clear" w:color="auto" w:fill="auto"/>
            <w:noWrap/>
            <w:vAlign w:val="bottom"/>
            <w:hideMark/>
          </w:tcPr>
          <w:p w14:paraId="3D80D4C7" w14:textId="77777777" w:rsidR="00D57127" w:rsidRPr="00701F32" w:rsidRDefault="00D57127" w:rsidP="00D57127">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6AF9900F" w14:textId="77777777" w:rsidTr="00E311C9">
        <w:trPr>
          <w:trHeight w:val="255"/>
        </w:trPr>
        <w:tc>
          <w:tcPr>
            <w:tcW w:w="4881" w:type="dxa"/>
            <w:shd w:val="clear" w:color="auto" w:fill="auto"/>
            <w:noWrap/>
            <w:vAlign w:val="bottom"/>
            <w:hideMark/>
          </w:tcPr>
          <w:p w14:paraId="020C41EE" w14:textId="77777777" w:rsidR="005B0E46" w:rsidRPr="00701F32" w:rsidRDefault="005B0E46" w:rsidP="00D57127">
            <w:pPr>
              <w:rPr>
                <w:rFonts w:ascii="Arial" w:hAnsi="Arial" w:cs="Arial"/>
                <w:color w:val="000000"/>
                <w:sz w:val="20"/>
                <w:lang w:eastAsia="es-AR"/>
              </w:rPr>
            </w:pPr>
            <w:r w:rsidRPr="00701F32">
              <w:rPr>
                <w:rFonts w:ascii="Arial" w:hAnsi="Arial" w:cs="Arial"/>
                <w:color w:val="000000"/>
                <w:sz w:val="20"/>
                <w:lang w:eastAsia="es-AR"/>
              </w:rPr>
              <w:t>Otras financiaciones de entidades financieras</w:t>
            </w:r>
          </w:p>
        </w:tc>
        <w:tc>
          <w:tcPr>
            <w:tcW w:w="1364" w:type="dxa"/>
            <w:shd w:val="clear" w:color="auto" w:fill="auto"/>
            <w:noWrap/>
            <w:vAlign w:val="bottom"/>
          </w:tcPr>
          <w:p w14:paraId="2B49FCF6" w14:textId="3FA6DAEC"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1.281.175 </w:t>
            </w:r>
          </w:p>
        </w:tc>
        <w:tc>
          <w:tcPr>
            <w:tcW w:w="1319" w:type="dxa"/>
            <w:shd w:val="clear" w:color="auto" w:fill="auto"/>
            <w:noWrap/>
            <w:vAlign w:val="bottom"/>
            <w:hideMark/>
          </w:tcPr>
          <w:p w14:paraId="507A375F"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502.118 </w:t>
            </w:r>
          </w:p>
        </w:tc>
        <w:tc>
          <w:tcPr>
            <w:tcW w:w="1319" w:type="dxa"/>
            <w:shd w:val="clear" w:color="auto" w:fill="auto"/>
            <w:noWrap/>
            <w:vAlign w:val="bottom"/>
            <w:hideMark/>
          </w:tcPr>
          <w:p w14:paraId="7BAB055C"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42.636 </w:t>
            </w:r>
          </w:p>
        </w:tc>
      </w:tr>
      <w:tr w:rsidR="005B0E46" w:rsidRPr="00701F32" w14:paraId="206B3890" w14:textId="77777777" w:rsidTr="00E311C9">
        <w:trPr>
          <w:trHeight w:val="255"/>
        </w:trPr>
        <w:tc>
          <w:tcPr>
            <w:tcW w:w="4881" w:type="dxa"/>
            <w:shd w:val="clear" w:color="auto" w:fill="auto"/>
            <w:noWrap/>
            <w:vAlign w:val="bottom"/>
            <w:hideMark/>
          </w:tcPr>
          <w:p w14:paraId="03187030" w14:textId="77777777" w:rsidR="005B0E46" w:rsidRPr="00701F32" w:rsidRDefault="005B0E46" w:rsidP="00D57127">
            <w:pPr>
              <w:jc w:val="both"/>
              <w:rPr>
                <w:rFonts w:ascii="Arial" w:hAnsi="Arial" w:cs="Arial"/>
                <w:color w:val="000000"/>
                <w:sz w:val="20"/>
                <w:lang w:eastAsia="es-AR"/>
              </w:rPr>
            </w:pPr>
            <w:r w:rsidRPr="00701F32">
              <w:rPr>
                <w:rFonts w:ascii="Arial" w:hAnsi="Arial" w:cs="Arial"/>
                <w:color w:val="000000"/>
                <w:sz w:val="20"/>
                <w:lang w:eastAsia="es-AR"/>
              </w:rPr>
              <w:t>Financiaciones recibidas de entidades financieras locales</w:t>
            </w:r>
          </w:p>
        </w:tc>
        <w:tc>
          <w:tcPr>
            <w:tcW w:w="1364" w:type="dxa"/>
            <w:shd w:val="clear" w:color="auto" w:fill="auto"/>
            <w:noWrap/>
            <w:vAlign w:val="bottom"/>
          </w:tcPr>
          <w:p w14:paraId="5B9481BB" w14:textId="7F29757C"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10.309 </w:t>
            </w:r>
          </w:p>
        </w:tc>
        <w:tc>
          <w:tcPr>
            <w:tcW w:w="1319" w:type="dxa"/>
            <w:shd w:val="clear" w:color="auto" w:fill="auto"/>
            <w:noWrap/>
            <w:vAlign w:val="bottom"/>
            <w:hideMark/>
          </w:tcPr>
          <w:p w14:paraId="6B41C7C9"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90.105 </w:t>
            </w:r>
          </w:p>
        </w:tc>
        <w:tc>
          <w:tcPr>
            <w:tcW w:w="1319" w:type="dxa"/>
            <w:shd w:val="clear" w:color="auto" w:fill="auto"/>
            <w:noWrap/>
            <w:vAlign w:val="bottom"/>
            <w:hideMark/>
          </w:tcPr>
          <w:p w14:paraId="559A6D98"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154.966 </w:t>
            </w:r>
          </w:p>
        </w:tc>
      </w:tr>
      <w:tr w:rsidR="005B0E46" w:rsidRPr="00701F32" w14:paraId="3C787EC3" w14:textId="77777777" w:rsidTr="00E311C9">
        <w:trPr>
          <w:trHeight w:val="255"/>
        </w:trPr>
        <w:tc>
          <w:tcPr>
            <w:tcW w:w="4881" w:type="dxa"/>
            <w:shd w:val="clear" w:color="auto" w:fill="auto"/>
            <w:noWrap/>
            <w:vAlign w:val="bottom"/>
            <w:hideMark/>
          </w:tcPr>
          <w:p w14:paraId="4C65A5B5" w14:textId="77777777" w:rsidR="005B0E46" w:rsidRPr="00701F32" w:rsidRDefault="005B0E46" w:rsidP="00D57127">
            <w:pPr>
              <w:jc w:val="both"/>
              <w:rPr>
                <w:rFonts w:ascii="Arial" w:hAnsi="Arial" w:cs="Arial"/>
                <w:color w:val="000000"/>
                <w:sz w:val="20"/>
                <w:lang w:eastAsia="es-AR"/>
              </w:rPr>
            </w:pPr>
            <w:r w:rsidRPr="00701F32">
              <w:rPr>
                <w:rFonts w:ascii="Arial" w:hAnsi="Arial" w:cs="Arial"/>
                <w:color w:val="000000"/>
                <w:sz w:val="20"/>
                <w:lang w:eastAsia="es-AR"/>
              </w:rPr>
              <w:t>Otras financiaciones de organismos internacionales</w:t>
            </w:r>
          </w:p>
        </w:tc>
        <w:tc>
          <w:tcPr>
            <w:tcW w:w="1364" w:type="dxa"/>
            <w:shd w:val="clear" w:color="auto" w:fill="auto"/>
            <w:noWrap/>
            <w:vAlign w:val="bottom"/>
          </w:tcPr>
          <w:p w14:paraId="7292EFD6" w14:textId="748D0982"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5.728.672 </w:t>
            </w:r>
          </w:p>
        </w:tc>
        <w:tc>
          <w:tcPr>
            <w:tcW w:w="1319" w:type="dxa"/>
            <w:shd w:val="clear" w:color="auto" w:fill="auto"/>
            <w:noWrap/>
            <w:vAlign w:val="bottom"/>
            <w:hideMark/>
          </w:tcPr>
          <w:p w14:paraId="0A07D1D7"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150.194 </w:t>
            </w:r>
          </w:p>
        </w:tc>
        <w:tc>
          <w:tcPr>
            <w:tcW w:w="1319" w:type="dxa"/>
            <w:shd w:val="clear" w:color="auto" w:fill="auto"/>
            <w:noWrap/>
            <w:vAlign w:val="bottom"/>
            <w:hideMark/>
          </w:tcPr>
          <w:p w14:paraId="6909EA90"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 </w:t>
            </w:r>
          </w:p>
        </w:tc>
      </w:tr>
      <w:tr w:rsidR="005B0E46" w:rsidRPr="00701F32" w14:paraId="129F63DF" w14:textId="77777777" w:rsidTr="00E311C9">
        <w:trPr>
          <w:trHeight w:val="255"/>
        </w:trPr>
        <w:tc>
          <w:tcPr>
            <w:tcW w:w="4881" w:type="dxa"/>
            <w:shd w:val="clear" w:color="auto" w:fill="auto"/>
            <w:noWrap/>
            <w:vAlign w:val="bottom"/>
            <w:hideMark/>
          </w:tcPr>
          <w:p w14:paraId="75A3E09E" w14:textId="77777777" w:rsidR="005B0E46" w:rsidRPr="00701F32" w:rsidRDefault="005B0E46" w:rsidP="00D57127">
            <w:pPr>
              <w:jc w:val="both"/>
              <w:rPr>
                <w:rFonts w:ascii="Arial" w:hAnsi="Arial" w:cs="Arial"/>
                <w:color w:val="000000"/>
                <w:sz w:val="20"/>
                <w:lang w:eastAsia="es-AR"/>
              </w:rPr>
            </w:pPr>
            <w:r w:rsidRPr="00701F32">
              <w:rPr>
                <w:rFonts w:ascii="Arial" w:hAnsi="Arial" w:cs="Arial"/>
                <w:color w:val="000000"/>
                <w:sz w:val="20"/>
                <w:lang w:eastAsia="es-AR"/>
              </w:rPr>
              <w:t>Líneas del exterior</w:t>
            </w:r>
          </w:p>
        </w:tc>
        <w:tc>
          <w:tcPr>
            <w:tcW w:w="1364" w:type="dxa"/>
            <w:shd w:val="clear" w:color="auto" w:fill="auto"/>
            <w:noWrap/>
            <w:vAlign w:val="bottom"/>
          </w:tcPr>
          <w:p w14:paraId="2AED0F2D" w14:textId="61B2BCFB"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hAnsi="Arial" w:cs="Arial"/>
                <w:color w:val="000000"/>
                <w:sz w:val="20"/>
              </w:rPr>
              <w:t xml:space="preserve">3.432.199 </w:t>
            </w:r>
          </w:p>
        </w:tc>
        <w:tc>
          <w:tcPr>
            <w:tcW w:w="1319" w:type="dxa"/>
            <w:shd w:val="clear" w:color="auto" w:fill="auto"/>
            <w:noWrap/>
            <w:vAlign w:val="bottom"/>
            <w:hideMark/>
          </w:tcPr>
          <w:p w14:paraId="636BFBE6"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2.633.076 </w:t>
            </w:r>
          </w:p>
        </w:tc>
        <w:tc>
          <w:tcPr>
            <w:tcW w:w="1319" w:type="dxa"/>
            <w:shd w:val="clear" w:color="auto" w:fill="auto"/>
            <w:noWrap/>
            <w:vAlign w:val="bottom"/>
            <w:hideMark/>
          </w:tcPr>
          <w:p w14:paraId="40AB9C7E" w14:textId="77777777" w:rsidR="005B0E46" w:rsidRPr="00701F32" w:rsidRDefault="005B0E46">
            <w:pPr>
              <w:autoSpaceDE w:val="0"/>
              <w:autoSpaceDN w:val="0"/>
              <w:adjustRightInd w:val="0"/>
              <w:jc w:val="right"/>
              <w:rPr>
                <w:rFonts w:ascii="Arial" w:eastAsiaTheme="minorHAnsi" w:hAnsi="Arial" w:cs="Arial"/>
                <w:color w:val="000000"/>
                <w:sz w:val="20"/>
              </w:rPr>
            </w:pPr>
            <w:r w:rsidRPr="00701F32">
              <w:rPr>
                <w:rFonts w:ascii="Arial" w:eastAsiaTheme="minorHAnsi" w:hAnsi="Arial" w:cs="Arial"/>
                <w:color w:val="000000"/>
                <w:sz w:val="20"/>
              </w:rPr>
              <w:t xml:space="preserve">670.560 </w:t>
            </w:r>
          </w:p>
        </w:tc>
      </w:tr>
      <w:tr w:rsidR="00D57127" w:rsidRPr="00701F32" w14:paraId="50C8DBC5" w14:textId="77777777" w:rsidTr="00E311C9">
        <w:trPr>
          <w:trHeight w:val="270"/>
        </w:trPr>
        <w:tc>
          <w:tcPr>
            <w:tcW w:w="4881" w:type="dxa"/>
            <w:shd w:val="clear" w:color="auto" w:fill="auto"/>
            <w:noWrap/>
            <w:vAlign w:val="bottom"/>
            <w:hideMark/>
          </w:tcPr>
          <w:p w14:paraId="07C70A2D" w14:textId="77777777" w:rsidR="00D57127" w:rsidRPr="00701F32" w:rsidRDefault="00D57127" w:rsidP="00D57127">
            <w:pPr>
              <w:jc w:val="both"/>
              <w:rPr>
                <w:rFonts w:ascii="Arial" w:hAnsi="Arial" w:cs="Arial"/>
                <w:b/>
                <w:color w:val="000000"/>
                <w:sz w:val="20"/>
                <w:lang w:eastAsia="es-AR"/>
              </w:rPr>
            </w:pPr>
            <w:r w:rsidRPr="00701F32">
              <w:rPr>
                <w:rFonts w:ascii="Arial" w:hAnsi="Arial" w:cs="Arial"/>
                <w:b/>
                <w:color w:val="000000"/>
                <w:sz w:val="20"/>
                <w:lang w:eastAsia="es-AR"/>
              </w:rPr>
              <w:t>Total</w:t>
            </w:r>
          </w:p>
        </w:tc>
        <w:tc>
          <w:tcPr>
            <w:tcW w:w="1364" w:type="dxa"/>
            <w:shd w:val="clear" w:color="auto" w:fill="auto"/>
            <w:noWrap/>
            <w:vAlign w:val="bottom"/>
          </w:tcPr>
          <w:p w14:paraId="79DE219B" w14:textId="47A60B13" w:rsidR="00D57127"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10.452.355</w:t>
            </w:r>
          </w:p>
        </w:tc>
        <w:tc>
          <w:tcPr>
            <w:tcW w:w="1319" w:type="dxa"/>
            <w:shd w:val="clear" w:color="auto" w:fill="auto"/>
            <w:noWrap/>
            <w:vAlign w:val="bottom"/>
            <w:hideMark/>
          </w:tcPr>
          <w:p w14:paraId="59BC3F87"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3.375.493 </w:t>
            </w:r>
          </w:p>
        </w:tc>
        <w:tc>
          <w:tcPr>
            <w:tcW w:w="1319" w:type="dxa"/>
            <w:shd w:val="clear" w:color="auto" w:fill="auto"/>
            <w:noWrap/>
            <w:vAlign w:val="bottom"/>
            <w:hideMark/>
          </w:tcPr>
          <w:p w14:paraId="25DE0093" w14:textId="77777777" w:rsidR="00D57127" w:rsidRPr="00701F32" w:rsidRDefault="00D57127">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 xml:space="preserve">868.162 </w:t>
            </w:r>
          </w:p>
        </w:tc>
      </w:tr>
    </w:tbl>
    <w:p w14:paraId="44A402A3" w14:textId="7AB916BC" w:rsidR="004303F7" w:rsidRDefault="004303F7" w:rsidP="00656E62">
      <w:pPr>
        <w:spacing w:after="160" w:line="259" w:lineRule="auto"/>
        <w:jc w:val="both"/>
        <w:rPr>
          <w:rFonts w:ascii="Arial" w:eastAsia="Calibri" w:hAnsi="Arial" w:cs="Arial"/>
          <w:b/>
          <w:sz w:val="20"/>
        </w:rPr>
      </w:pPr>
    </w:p>
    <w:p w14:paraId="29AA2388" w14:textId="2E61D5CF" w:rsidR="006C6698" w:rsidRDefault="006C6698" w:rsidP="00656E62">
      <w:pPr>
        <w:spacing w:after="160" w:line="259" w:lineRule="auto"/>
        <w:jc w:val="both"/>
        <w:rPr>
          <w:rFonts w:ascii="Arial" w:eastAsia="Calibri" w:hAnsi="Arial" w:cs="Arial"/>
          <w:b/>
          <w:sz w:val="20"/>
        </w:rPr>
      </w:pPr>
    </w:p>
    <w:p w14:paraId="7A543924" w14:textId="77777777" w:rsidR="006C6698" w:rsidRPr="00701F32" w:rsidRDefault="006C6698" w:rsidP="00656E62">
      <w:pPr>
        <w:spacing w:after="160" w:line="259" w:lineRule="auto"/>
        <w:jc w:val="both"/>
        <w:rPr>
          <w:rFonts w:ascii="Arial" w:eastAsia="Calibri" w:hAnsi="Arial" w:cs="Arial"/>
          <w:b/>
          <w:sz w:val="20"/>
        </w:rPr>
      </w:pPr>
    </w:p>
    <w:p w14:paraId="6305FA89" w14:textId="77777777" w:rsidR="004303F7" w:rsidRPr="00701F32" w:rsidRDefault="004303F7" w:rsidP="004303F7">
      <w:pPr>
        <w:rPr>
          <w:rFonts w:ascii="Arial" w:hAnsi="Arial" w:cs="Arial"/>
          <w:bCs/>
          <w:color w:val="000000"/>
          <w:sz w:val="20"/>
          <w:lang w:eastAsia="es-AR"/>
        </w:rPr>
      </w:pPr>
      <w:r w:rsidRPr="00701F32">
        <w:rPr>
          <w:rFonts w:ascii="Arial" w:hAnsi="Arial" w:cs="Arial"/>
          <w:bCs/>
          <w:color w:val="000000"/>
          <w:sz w:val="20"/>
          <w:lang w:eastAsia="es-AR"/>
        </w:rPr>
        <w:t>7.11 Otros pasivos no financieros.</w:t>
      </w:r>
    </w:p>
    <w:p w14:paraId="77693302" w14:textId="77777777" w:rsidR="004303F7" w:rsidRPr="00701F32" w:rsidRDefault="004303F7" w:rsidP="004303F7">
      <w:pPr>
        <w:rPr>
          <w:rFonts w:ascii="Arial" w:hAnsi="Arial" w:cs="Arial"/>
          <w:bCs/>
          <w:color w:val="000000"/>
          <w:sz w:val="20"/>
          <w:lang w:eastAsia="es-AR"/>
        </w:rPr>
      </w:pPr>
    </w:p>
    <w:p w14:paraId="57F0F2C5" w14:textId="31349695" w:rsidR="00576023" w:rsidRPr="00701F32" w:rsidRDefault="004303F7" w:rsidP="004303F7">
      <w:pPr>
        <w:rPr>
          <w:rFonts w:ascii="Arial" w:eastAsiaTheme="minorHAnsi" w:hAnsi="Arial" w:cs="Arial"/>
          <w:sz w:val="20"/>
        </w:rPr>
      </w:pPr>
      <w:r w:rsidRPr="00701F32">
        <w:rPr>
          <w:rFonts w:ascii="Arial" w:eastAsiaTheme="minorHAnsi" w:hAnsi="Arial" w:cs="Arial"/>
          <w:sz w:val="20"/>
        </w:rPr>
        <w:t xml:space="preserve">Los principales componentes del rubro </w:t>
      </w:r>
      <w:r w:rsidRPr="00701F32">
        <w:rPr>
          <w:rFonts w:ascii="Arial" w:hAnsi="Arial" w:cs="Arial"/>
          <w:bCs/>
          <w:color w:val="000000"/>
          <w:sz w:val="20"/>
          <w:lang w:eastAsia="es-AR"/>
        </w:rPr>
        <w:t xml:space="preserve">otros pasivos no financieros </w:t>
      </w:r>
      <w:r w:rsidRPr="00701F32">
        <w:rPr>
          <w:rFonts w:ascii="Arial" w:eastAsiaTheme="minorHAnsi" w:hAnsi="Arial" w:cs="Arial"/>
          <w:sz w:val="20"/>
        </w:rPr>
        <w:t>al 3</w:t>
      </w:r>
      <w:r w:rsidR="009B546D" w:rsidRPr="00701F32">
        <w:rPr>
          <w:rFonts w:ascii="Arial" w:eastAsiaTheme="minorHAnsi" w:hAnsi="Arial" w:cs="Arial"/>
          <w:sz w:val="20"/>
        </w:rPr>
        <w:t>0</w:t>
      </w:r>
      <w:r w:rsidRPr="00701F32">
        <w:rPr>
          <w:rFonts w:ascii="Arial" w:eastAsiaTheme="minorHAnsi" w:hAnsi="Arial" w:cs="Arial"/>
          <w:sz w:val="20"/>
        </w:rPr>
        <w:t xml:space="preserve"> de </w:t>
      </w:r>
      <w:r w:rsidR="000F0FA1" w:rsidRPr="00701F32">
        <w:rPr>
          <w:rFonts w:ascii="Arial" w:eastAsiaTheme="minorHAnsi" w:hAnsi="Arial" w:cs="Arial"/>
          <w:sz w:val="20"/>
        </w:rPr>
        <w:t>septiembre</w:t>
      </w:r>
      <w:r w:rsidR="006D5978" w:rsidRPr="00701F32">
        <w:rPr>
          <w:rFonts w:ascii="Arial" w:eastAsiaTheme="minorHAnsi" w:hAnsi="Arial" w:cs="Arial"/>
          <w:sz w:val="20"/>
        </w:rPr>
        <w:t xml:space="preserve"> de</w:t>
      </w:r>
      <w:r w:rsidR="009B546D" w:rsidRPr="00701F32">
        <w:rPr>
          <w:rFonts w:ascii="Arial" w:eastAsiaTheme="minorHAnsi" w:hAnsi="Arial" w:cs="Arial"/>
          <w:sz w:val="20"/>
        </w:rPr>
        <w:t xml:space="preserve"> </w:t>
      </w:r>
      <w:r w:rsidRPr="00701F32">
        <w:rPr>
          <w:rFonts w:ascii="Arial" w:eastAsiaTheme="minorHAnsi" w:hAnsi="Arial" w:cs="Arial"/>
          <w:sz w:val="20"/>
        </w:rPr>
        <w:t>2018, 31 de diciembre y 1 de enero de 2017 son los siguientes:</w:t>
      </w:r>
    </w:p>
    <w:p w14:paraId="5DB8EF62" w14:textId="77777777" w:rsidR="004303F7" w:rsidRPr="00701F32" w:rsidRDefault="004303F7" w:rsidP="00701F32">
      <w:pPr>
        <w:rPr>
          <w:rFonts w:ascii="Arial" w:eastAsia="Calibri" w:hAnsi="Arial" w:cs="Arial"/>
          <w:b/>
          <w:sz w:val="20"/>
        </w:rPr>
      </w:pPr>
    </w:p>
    <w:tbl>
      <w:tblPr>
        <w:tblW w:w="88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6"/>
        <w:gridCol w:w="1376"/>
        <w:gridCol w:w="1376"/>
        <w:gridCol w:w="1376"/>
      </w:tblGrid>
      <w:tr w:rsidR="00300AD2" w:rsidRPr="00701F32" w14:paraId="1ECDABA2" w14:textId="77777777" w:rsidTr="0030003C">
        <w:trPr>
          <w:trHeight w:val="255"/>
        </w:trPr>
        <w:tc>
          <w:tcPr>
            <w:tcW w:w="4696" w:type="dxa"/>
            <w:shd w:val="clear" w:color="auto" w:fill="auto"/>
            <w:noWrap/>
            <w:vAlign w:val="bottom"/>
            <w:hideMark/>
          </w:tcPr>
          <w:p w14:paraId="1AC45BC5" w14:textId="77777777" w:rsidR="00300AD2" w:rsidRPr="00701F32" w:rsidRDefault="00300AD2" w:rsidP="0030003C">
            <w:pPr>
              <w:rPr>
                <w:rFonts w:ascii="Arial" w:hAnsi="Arial" w:cs="Arial"/>
                <w:b/>
                <w:bCs/>
                <w:color w:val="000000"/>
                <w:sz w:val="20"/>
                <w:u w:val="single"/>
                <w:lang w:eastAsia="es-AR"/>
              </w:rPr>
            </w:pPr>
          </w:p>
        </w:tc>
        <w:tc>
          <w:tcPr>
            <w:tcW w:w="1376" w:type="dxa"/>
            <w:shd w:val="clear" w:color="auto" w:fill="auto"/>
            <w:noWrap/>
            <w:vAlign w:val="bottom"/>
            <w:hideMark/>
          </w:tcPr>
          <w:p w14:paraId="7A014DE2" w14:textId="77777777" w:rsidR="00300AD2" w:rsidRPr="00701F32" w:rsidRDefault="00300AD2" w:rsidP="009B546D">
            <w:pPr>
              <w:jc w:val="right"/>
              <w:rPr>
                <w:rFonts w:ascii="Arial" w:hAnsi="Arial" w:cs="Arial"/>
                <w:b/>
                <w:color w:val="000000"/>
                <w:sz w:val="20"/>
                <w:lang w:eastAsia="es-AR"/>
              </w:rPr>
            </w:pPr>
            <w:r w:rsidRPr="00701F32">
              <w:rPr>
                <w:rFonts w:ascii="Arial" w:hAnsi="Arial" w:cs="Arial"/>
                <w:b/>
                <w:color w:val="000000"/>
                <w:sz w:val="20"/>
                <w:lang w:eastAsia="es-AR"/>
              </w:rPr>
              <w:t>3</w:t>
            </w:r>
            <w:r w:rsidR="009B546D" w:rsidRPr="00701F32">
              <w:rPr>
                <w:rFonts w:ascii="Arial" w:hAnsi="Arial" w:cs="Arial"/>
                <w:b/>
                <w:color w:val="000000"/>
                <w:sz w:val="20"/>
                <w:lang w:eastAsia="es-AR"/>
              </w:rPr>
              <w:t>0</w:t>
            </w:r>
            <w:r w:rsidRPr="00701F32">
              <w:rPr>
                <w:rFonts w:ascii="Arial" w:hAnsi="Arial" w:cs="Arial"/>
                <w:b/>
                <w:color w:val="000000"/>
                <w:sz w:val="20"/>
                <w:lang w:eastAsia="es-AR"/>
              </w:rPr>
              <w:t>/0</w:t>
            </w:r>
            <w:r w:rsidR="000F0FA1"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376" w:type="dxa"/>
            <w:shd w:val="clear" w:color="auto" w:fill="auto"/>
            <w:noWrap/>
            <w:vAlign w:val="bottom"/>
            <w:hideMark/>
          </w:tcPr>
          <w:p w14:paraId="1F15D595" w14:textId="77777777" w:rsidR="00300AD2" w:rsidRPr="00701F32" w:rsidRDefault="00300AD2" w:rsidP="0030003C">
            <w:pPr>
              <w:jc w:val="right"/>
              <w:rPr>
                <w:rFonts w:ascii="Arial" w:hAnsi="Arial" w:cs="Arial"/>
                <w:b/>
                <w:color w:val="000000"/>
                <w:sz w:val="20"/>
                <w:lang w:eastAsia="es-AR"/>
              </w:rPr>
            </w:pPr>
            <w:r w:rsidRPr="00701F32">
              <w:rPr>
                <w:rFonts w:ascii="Arial" w:hAnsi="Arial" w:cs="Arial"/>
                <w:b/>
                <w:color w:val="000000"/>
                <w:sz w:val="20"/>
                <w:lang w:eastAsia="es-AR"/>
              </w:rPr>
              <w:t>31/12/2017</w:t>
            </w:r>
          </w:p>
        </w:tc>
        <w:tc>
          <w:tcPr>
            <w:tcW w:w="1376" w:type="dxa"/>
            <w:shd w:val="clear" w:color="auto" w:fill="auto"/>
            <w:noWrap/>
            <w:vAlign w:val="bottom"/>
            <w:hideMark/>
          </w:tcPr>
          <w:p w14:paraId="23AF7FFC" w14:textId="77777777" w:rsidR="00300AD2" w:rsidRPr="00701F32" w:rsidRDefault="00300AD2" w:rsidP="0030003C">
            <w:pPr>
              <w:jc w:val="right"/>
              <w:rPr>
                <w:rFonts w:ascii="Arial" w:hAnsi="Arial" w:cs="Arial"/>
                <w:b/>
                <w:color w:val="000000"/>
                <w:sz w:val="20"/>
                <w:lang w:eastAsia="es-AR"/>
              </w:rPr>
            </w:pPr>
            <w:r w:rsidRPr="00701F32">
              <w:rPr>
                <w:rFonts w:ascii="Arial" w:hAnsi="Arial" w:cs="Arial"/>
                <w:b/>
                <w:color w:val="000000"/>
                <w:sz w:val="20"/>
                <w:lang w:eastAsia="es-AR"/>
              </w:rPr>
              <w:t>01/01/2017</w:t>
            </w:r>
          </w:p>
        </w:tc>
      </w:tr>
      <w:tr w:rsidR="005B0E46" w:rsidRPr="00701F32" w14:paraId="61DDDDBD"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65722" w14:textId="77777777" w:rsidR="005B0E46" w:rsidRPr="00701F32" w:rsidRDefault="005B0E46" w:rsidP="00300AD2">
            <w:pPr>
              <w:rPr>
                <w:rFonts w:ascii="Arial" w:hAnsi="Arial" w:cs="Arial"/>
                <w:color w:val="000000"/>
                <w:sz w:val="20"/>
                <w:lang w:eastAsia="es-AR"/>
              </w:rPr>
            </w:pPr>
            <w:r w:rsidRPr="00701F32">
              <w:rPr>
                <w:rFonts w:ascii="Arial" w:hAnsi="Arial" w:cs="Arial"/>
                <w:color w:val="000000"/>
                <w:sz w:val="20"/>
                <w:lang w:eastAsia="es-AR"/>
              </w:rPr>
              <w:t>Remuneraciones y cargas sociales a pagar</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966D4" w14:textId="7A4A6985"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rPr>
              <w:t xml:space="preserve">1.553.739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A4AF"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1.503.211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CCD54"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960.071 </w:t>
            </w:r>
          </w:p>
        </w:tc>
      </w:tr>
      <w:tr w:rsidR="005B0E46" w:rsidRPr="00701F32" w14:paraId="501B4FC0"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08DC7" w14:textId="77777777" w:rsidR="005B0E46" w:rsidRPr="00701F32" w:rsidRDefault="005B0E46" w:rsidP="00300AD2">
            <w:pPr>
              <w:rPr>
                <w:rFonts w:ascii="Arial" w:hAnsi="Arial" w:cs="Arial"/>
                <w:color w:val="000000"/>
                <w:sz w:val="20"/>
                <w:lang w:eastAsia="es-AR"/>
              </w:rPr>
            </w:pPr>
            <w:r w:rsidRPr="00701F32">
              <w:rPr>
                <w:rFonts w:ascii="Arial" w:hAnsi="Arial" w:cs="Arial"/>
                <w:color w:val="000000"/>
                <w:sz w:val="20"/>
                <w:lang w:eastAsia="es-AR"/>
              </w:rPr>
              <w:t>Acreedores varios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BD746" w14:textId="13BEF9AC"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rPr>
              <w:t xml:space="preserve">793.776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E52F3"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632.132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108CC"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493.298 </w:t>
            </w:r>
          </w:p>
        </w:tc>
      </w:tr>
      <w:tr w:rsidR="005B0E46" w:rsidRPr="00701F32" w14:paraId="041A7E36"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F6A31" w14:textId="77777777" w:rsidR="005B0E46" w:rsidRPr="00701F32" w:rsidRDefault="005B0E46" w:rsidP="00300AD2">
            <w:pPr>
              <w:rPr>
                <w:rFonts w:ascii="Arial" w:hAnsi="Arial" w:cs="Arial"/>
                <w:color w:val="000000"/>
                <w:sz w:val="20"/>
                <w:lang w:eastAsia="es-AR"/>
              </w:rPr>
            </w:pPr>
            <w:r w:rsidRPr="00701F32">
              <w:rPr>
                <w:rFonts w:ascii="Arial" w:hAnsi="Arial" w:cs="Arial"/>
                <w:color w:val="000000"/>
                <w:sz w:val="20"/>
                <w:lang w:eastAsia="es-AR"/>
              </w:rPr>
              <w:t>Impuestos a pagar</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9B3CB" w14:textId="207CF3C2"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rPr>
              <w:t xml:space="preserve">816.539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2BFE"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463.359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B806C"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446.375 </w:t>
            </w:r>
          </w:p>
        </w:tc>
      </w:tr>
      <w:tr w:rsidR="005B0E46" w:rsidRPr="00701F32" w14:paraId="2294EA2A"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8A255" w14:textId="77777777" w:rsidR="005B0E46" w:rsidRPr="00701F32" w:rsidRDefault="005B0E46" w:rsidP="00300AD2">
            <w:pPr>
              <w:rPr>
                <w:rFonts w:ascii="Arial" w:hAnsi="Arial" w:cs="Arial"/>
                <w:color w:val="000000"/>
                <w:sz w:val="20"/>
                <w:lang w:eastAsia="es-AR"/>
              </w:rPr>
            </w:pPr>
            <w:r w:rsidRPr="00701F32">
              <w:rPr>
                <w:rFonts w:ascii="Arial" w:hAnsi="Arial" w:cs="Arial"/>
                <w:color w:val="000000"/>
                <w:sz w:val="20"/>
                <w:lang w:eastAsia="es-AR"/>
              </w:rPr>
              <w:t>Ordenes de pago previsionales pendientes de liquidación</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839A5" w14:textId="74A01CC2"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rPr>
              <w:t xml:space="preserve">275.962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85392"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123.538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ADFB4"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82.761 </w:t>
            </w:r>
          </w:p>
        </w:tc>
      </w:tr>
      <w:tr w:rsidR="005B0E46" w:rsidRPr="00701F32" w14:paraId="7FDAE27A" w14:textId="77777777" w:rsidTr="00E311C9">
        <w:trPr>
          <w:trHeight w:val="255"/>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04B4" w14:textId="77777777" w:rsidR="005B0E46" w:rsidRPr="00701F32" w:rsidRDefault="005B0E46" w:rsidP="00300AD2">
            <w:pPr>
              <w:rPr>
                <w:rFonts w:ascii="Arial" w:hAnsi="Arial" w:cs="Arial"/>
                <w:color w:val="000000"/>
                <w:sz w:val="20"/>
                <w:lang w:eastAsia="es-AR"/>
              </w:rPr>
            </w:pPr>
            <w:r w:rsidRPr="00701F32">
              <w:rPr>
                <w:rFonts w:ascii="Arial" w:hAnsi="Arial" w:cs="Arial"/>
                <w:color w:val="000000"/>
                <w:sz w:val="20"/>
                <w:lang w:eastAsia="es-AR"/>
              </w:rPr>
              <w:t>Aporte al fondo de garantia de los depositos</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9571D" w14:textId="3D7C4306"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rPr>
              <w:t xml:space="preserve">11.126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FD8B1"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7.651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BA2C" w14:textId="77777777" w:rsidR="005B0E46" w:rsidRPr="00701F32" w:rsidRDefault="005B0E46">
            <w:pPr>
              <w:jc w:val="right"/>
              <w:rPr>
                <w:rFonts w:ascii="Arial" w:hAnsi="Arial" w:cs="Arial"/>
                <w:color w:val="000000"/>
                <w:sz w:val="20"/>
                <w:lang w:val="es-ES_tradnl" w:eastAsia="es-AR"/>
              </w:rPr>
            </w:pPr>
            <w:r w:rsidRPr="00701F32">
              <w:rPr>
                <w:rFonts w:ascii="Arial" w:hAnsi="Arial" w:cs="Arial"/>
                <w:color w:val="000000"/>
                <w:sz w:val="20"/>
                <w:lang w:eastAsia="es-AR"/>
              </w:rPr>
              <w:t xml:space="preserve">4.808 </w:t>
            </w:r>
          </w:p>
        </w:tc>
      </w:tr>
      <w:tr w:rsidR="00300AD2" w:rsidRPr="00701F32" w14:paraId="67E1762E" w14:textId="77777777" w:rsidTr="00E311C9">
        <w:trPr>
          <w:trHeight w:val="270"/>
        </w:trPr>
        <w:tc>
          <w:tcPr>
            <w:tcW w:w="4696" w:type="dxa"/>
            <w:shd w:val="clear" w:color="auto" w:fill="auto"/>
            <w:noWrap/>
            <w:vAlign w:val="bottom"/>
            <w:hideMark/>
          </w:tcPr>
          <w:p w14:paraId="0B2F60E1" w14:textId="77777777" w:rsidR="00300AD2" w:rsidRPr="00701F32" w:rsidRDefault="00300AD2" w:rsidP="0030003C">
            <w:pPr>
              <w:rPr>
                <w:rFonts w:ascii="Arial" w:hAnsi="Arial" w:cs="Arial"/>
                <w:b/>
                <w:color w:val="000000"/>
                <w:sz w:val="20"/>
                <w:lang w:eastAsia="es-AR"/>
              </w:rPr>
            </w:pPr>
            <w:r w:rsidRPr="00701F32">
              <w:rPr>
                <w:rFonts w:ascii="Arial" w:hAnsi="Arial" w:cs="Arial"/>
                <w:b/>
                <w:color w:val="000000"/>
                <w:sz w:val="20"/>
                <w:lang w:eastAsia="es-AR"/>
              </w:rPr>
              <w:t>Total</w:t>
            </w:r>
          </w:p>
        </w:tc>
        <w:tc>
          <w:tcPr>
            <w:tcW w:w="1376" w:type="dxa"/>
            <w:shd w:val="clear" w:color="auto" w:fill="auto"/>
            <w:noWrap/>
            <w:vAlign w:val="bottom"/>
          </w:tcPr>
          <w:p w14:paraId="33A44346" w14:textId="6B89BBFD" w:rsidR="00300AD2" w:rsidRPr="00701F32" w:rsidRDefault="005B0E46">
            <w:pPr>
              <w:jc w:val="right"/>
              <w:rPr>
                <w:rFonts w:ascii="Arial" w:eastAsiaTheme="minorHAnsi" w:hAnsi="Arial" w:cs="Arial"/>
                <w:b/>
                <w:color w:val="000000"/>
                <w:sz w:val="20"/>
              </w:rPr>
            </w:pPr>
            <w:r w:rsidRPr="00701F32">
              <w:rPr>
                <w:rFonts w:ascii="Arial" w:eastAsiaTheme="minorHAnsi" w:hAnsi="Arial" w:cs="Arial"/>
                <w:b/>
                <w:color w:val="000000"/>
                <w:sz w:val="20"/>
              </w:rPr>
              <w:t>3.451.142</w:t>
            </w:r>
          </w:p>
        </w:tc>
        <w:tc>
          <w:tcPr>
            <w:tcW w:w="1376" w:type="dxa"/>
            <w:shd w:val="clear" w:color="auto" w:fill="auto"/>
            <w:noWrap/>
            <w:vAlign w:val="bottom"/>
          </w:tcPr>
          <w:p w14:paraId="3FB59C5C" w14:textId="77777777" w:rsidR="00300AD2" w:rsidRPr="00701F32" w:rsidRDefault="00300AD2">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2.729.8</w:t>
            </w:r>
            <w:r w:rsidR="001569A6" w:rsidRPr="00701F32">
              <w:rPr>
                <w:rFonts w:ascii="Arial" w:eastAsiaTheme="minorHAnsi" w:hAnsi="Arial" w:cs="Arial"/>
                <w:b/>
                <w:color w:val="000000"/>
                <w:sz w:val="20"/>
              </w:rPr>
              <w:t>91</w:t>
            </w:r>
          </w:p>
        </w:tc>
        <w:tc>
          <w:tcPr>
            <w:tcW w:w="1376" w:type="dxa"/>
            <w:shd w:val="clear" w:color="auto" w:fill="auto"/>
            <w:noWrap/>
            <w:vAlign w:val="bottom"/>
          </w:tcPr>
          <w:p w14:paraId="353C5DA6" w14:textId="77777777" w:rsidR="00300AD2" w:rsidRPr="00701F32" w:rsidRDefault="00300AD2">
            <w:pPr>
              <w:autoSpaceDE w:val="0"/>
              <w:autoSpaceDN w:val="0"/>
              <w:adjustRightInd w:val="0"/>
              <w:jc w:val="right"/>
              <w:rPr>
                <w:rFonts w:ascii="Arial" w:eastAsiaTheme="minorHAnsi" w:hAnsi="Arial" w:cs="Arial"/>
                <w:b/>
                <w:color w:val="000000"/>
                <w:sz w:val="20"/>
              </w:rPr>
            </w:pPr>
            <w:r w:rsidRPr="00701F32">
              <w:rPr>
                <w:rFonts w:ascii="Arial" w:eastAsiaTheme="minorHAnsi" w:hAnsi="Arial" w:cs="Arial"/>
                <w:b/>
                <w:color w:val="000000"/>
                <w:sz w:val="20"/>
              </w:rPr>
              <w:t>1.987.313</w:t>
            </w:r>
          </w:p>
        </w:tc>
      </w:tr>
    </w:tbl>
    <w:p w14:paraId="4F7FAA7C" w14:textId="77777777" w:rsidR="00D57127" w:rsidRPr="00701F32" w:rsidRDefault="00D57127" w:rsidP="00656E62">
      <w:pPr>
        <w:spacing w:after="160" w:line="259" w:lineRule="auto"/>
        <w:jc w:val="both"/>
        <w:rPr>
          <w:rFonts w:ascii="Arial" w:eastAsia="Calibri" w:hAnsi="Arial" w:cs="Arial"/>
          <w:b/>
          <w:sz w:val="20"/>
        </w:rPr>
      </w:pPr>
    </w:p>
    <w:p w14:paraId="6FBC46D6" w14:textId="77777777" w:rsidR="008E4010" w:rsidRPr="00701F32" w:rsidRDefault="008E4010" w:rsidP="008E4010">
      <w:pPr>
        <w:rPr>
          <w:rFonts w:ascii="Arial" w:hAnsi="Arial" w:cs="Arial"/>
          <w:bCs/>
          <w:color w:val="000000"/>
          <w:sz w:val="20"/>
          <w:lang w:eastAsia="es-AR"/>
        </w:rPr>
      </w:pPr>
      <w:r w:rsidRPr="00701F32">
        <w:rPr>
          <w:rFonts w:ascii="Arial" w:hAnsi="Arial" w:cs="Arial"/>
          <w:bCs/>
          <w:color w:val="000000"/>
          <w:sz w:val="20"/>
          <w:lang w:eastAsia="es-AR"/>
        </w:rPr>
        <w:t>7.12 Otros ingresos operativos.</w:t>
      </w:r>
    </w:p>
    <w:p w14:paraId="24F6803F" w14:textId="77777777" w:rsidR="006D5978" w:rsidRPr="00701F32" w:rsidRDefault="006D5978" w:rsidP="008E4010">
      <w:pPr>
        <w:rPr>
          <w:rFonts w:ascii="Arial" w:hAnsi="Arial" w:cs="Arial"/>
          <w:bCs/>
          <w:color w:val="000000"/>
          <w:sz w:val="20"/>
          <w:lang w:eastAsia="es-AR"/>
        </w:rPr>
      </w:pPr>
    </w:p>
    <w:p w14:paraId="1FA2B825" w14:textId="77777777" w:rsidR="006D5978" w:rsidRPr="00701F32" w:rsidRDefault="006D5978" w:rsidP="00941382">
      <w:pPr>
        <w:spacing w:after="160" w:line="259" w:lineRule="auto"/>
        <w:rPr>
          <w:rFonts w:ascii="Arial" w:hAnsi="Arial" w:cs="Arial"/>
          <w:bCs/>
          <w:color w:val="000000"/>
          <w:sz w:val="20"/>
          <w:lang w:eastAsia="es-AR"/>
        </w:rPr>
      </w:pPr>
      <w:r w:rsidRPr="00701F32">
        <w:rPr>
          <w:rFonts w:ascii="Arial" w:eastAsiaTheme="minorHAnsi" w:hAnsi="Arial" w:cs="Arial"/>
          <w:sz w:val="20"/>
          <w:szCs w:val="22"/>
        </w:rPr>
        <w:t xml:space="preserve">Los principales componentes del rubro </w:t>
      </w:r>
      <w:r w:rsidR="000F0FA1" w:rsidRPr="00701F32">
        <w:rPr>
          <w:rFonts w:ascii="Arial" w:eastAsiaTheme="minorHAnsi" w:hAnsi="Arial" w:cs="Arial"/>
          <w:sz w:val="20"/>
          <w:szCs w:val="22"/>
        </w:rPr>
        <w:t xml:space="preserve">otros </w:t>
      </w:r>
      <w:r w:rsidRPr="00701F32">
        <w:rPr>
          <w:rFonts w:ascii="Arial" w:eastAsiaTheme="minorHAnsi" w:hAnsi="Arial" w:cs="Arial"/>
          <w:sz w:val="20"/>
          <w:szCs w:val="22"/>
        </w:rPr>
        <w:t xml:space="preserve">ingresos operativos </w:t>
      </w:r>
      <w:r w:rsidR="000F0FA1" w:rsidRPr="00701F32">
        <w:rPr>
          <w:rFonts w:ascii="Arial" w:eastAsiaTheme="minorHAnsi" w:hAnsi="Arial" w:cs="Arial"/>
          <w:sz w:val="20"/>
          <w:szCs w:val="22"/>
        </w:rPr>
        <w:t>por los períodos finalizados el</w:t>
      </w:r>
      <w:r w:rsidRPr="00701F32">
        <w:rPr>
          <w:rFonts w:ascii="Arial" w:eastAsiaTheme="minorHAnsi" w:hAnsi="Arial" w:cs="Arial"/>
          <w:sz w:val="20"/>
          <w:szCs w:val="22"/>
        </w:rPr>
        <w:t xml:space="preserve"> 30 de </w:t>
      </w:r>
      <w:r w:rsidR="000F0FA1" w:rsidRPr="00701F32">
        <w:rPr>
          <w:rFonts w:ascii="Arial" w:eastAsiaTheme="minorHAnsi" w:hAnsi="Arial" w:cs="Arial"/>
          <w:sz w:val="20"/>
        </w:rPr>
        <w:t>septiembre</w:t>
      </w:r>
      <w:r w:rsidRPr="00701F32">
        <w:rPr>
          <w:rFonts w:ascii="Arial" w:eastAsiaTheme="minorHAnsi" w:hAnsi="Arial" w:cs="Arial"/>
          <w:sz w:val="20"/>
          <w:szCs w:val="22"/>
        </w:rPr>
        <w:t xml:space="preserve"> de 2018</w:t>
      </w:r>
      <w:r w:rsidR="000F0FA1" w:rsidRPr="00701F32">
        <w:rPr>
          <w:rFonts w:ascii="Arial" w:eastAsiaTheme="minorHAnsi" w:hAnsi="Arial" w:cs="Arial"/>
          <w:sz w:val="20"/>
          <w:szCs w:val="22"/>
        </w:rPr>
        <w:t xml:space="preserve"> y</w:t>
      </w:r>
      <w:r w:rsidRPr="00701F32">
        <w:rPr>
          <w:rFonts w:ascii="Arial" w:eastAsiaTheme="minorHAnsi" w:hAnsi="Arial" w:cs="Arial"/>
          <w:sz w:val="20"/>
          <w:szCs w:val="22"/>
        </w:rPr>
        <w:t xml:space="preserve"> 2017 son los siguientes:</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9"/>
        <w:gridCol w:w="2249"/>
        <w:gridCol w:w="1591"/>
      </w:tblGrid>
      <w:tr w:rsidR="008E4010" w:rsidRPr="00701F32" w14:paraId="2C3C030A" w14:textId="77777777" w:rsidTr="00831174">
        <w:trPr>
          <w:trHeight w:val="255"/>
        </w:trPr>
        <w:tc>
          <w:tcPr>
            <w:tcW w:w="4949" w:type="dxa"/>
            <w:shd w:val="clear" w:color="auto" w:fill="auto"/>
            <w:noWrap/>
            <w:vAlign w:val="bottom"/>
            <w:hideMark/>
          </w:tcPr>
          <w:p w14:paraId="407F3351" w14:textId="77777777" w:rsidR="008E4010" w:rsidRPr="00701F32" w:rsidRDefault="008E4010" w:rsidP="008E4010">
            <w:pPr>
              <w:rPr>
                <w:rFonts w:ascii="Arial" w:hAnsi="Arial" w:cs="Arial"/>
                <w:b/>
                <w:bCs/>
                <w:color w:val="000000"/>
                <w:sz w:val="20"/>
                <w:lang w:eastAsia="es-AR"/>
              </w:rPr>
            </w:pPr>
            <w:r w:rsidRPr="00701F32">
              <w:rPr>
                <w:rFonts w:ascii="Arial" w:hAnsi="Arial" w:cs="Arial"/>
                <w:b/>
                <w:bCs/>
                <w:color w:val="000000"/>
                <w:sz w:val="20"/>
                <w:lang w:eastAsia="es-AR"/>
              </w:rPr>
              <w:t>Otros ingresos operativos</w:t>
            </w:r>
          </w:p>
        </w:tc>
        <w:tc>
          <w:tcPr>
            <w:tcW w:w="2249" w:type="dxa"/>
            <w:shd w:val="clear" w:color="auto" w:fill="auto"/>
            <w:noWrap/>
            <w:vAlign w:val="center"/>
            <w:hideMark/>
          </w:tcPr>
          <w:p w14:paraId="6AE07607" w14:textId="77777777" w:rsidR="00FD6B54" w:rsidRPr="00701F32" w:rsidRDefault="008E4010" w:rsidP="00831174">
            <w:pPr>
              <w:jc w:val="center"/>
              <w:rPr>
                <w:rFonts w:ascii="Arial" w:hAnsi="Arial" w:cs="Arial"/>
                <w:b/>
                <w:color w:val="000000"/>
                <w:sz w:val="20"/>
                <w:lang w:val="en-US" w:eastAsia="es-AR"/>
              </w:rPr>
            </w:pPr>
            <w:r w:rsidRPr="00701F32">
              <w:rPr>
                <w:rFonts w:ascii="Arial" w:hAnsi="Arial" w:cs="Arial"/>
                <w:b/>
                <w:color w:val="000000"/>
                <w:sz w:val="20"/>
                <w:lang w:eastAsia="es-AR"/>
              </w:rPr>
              <w:t>3</w:t>
            </w:r>
            <w:r w:rsidR="005F072E" w:rsidRPr="00701F32">
              <w:rPr>
                <w:rFonts w:ascii="Arial" w:hAnsi="Arial" w:cs="Arial"/>
                <w:b/>
                <w:color w:val="000000"/>
                <w:sz w:val="20"/>
                <w:lang w:eastAsia="es-AR"/>
              </w:rPr>
              <w:t>0</w:t>
            </w:r>
            <w:r w:rsidRPr="00701F32">
              <w:rPr>
                <w:rFonts w:ascii="Arial" w:hAnsi="Arial" w:cs="Arial"/>
                <w:b/>
                <w:color w:val="000000"/>
                <w:sz w:val="20"/>
                <w:lang w:eastAsia="es-AR"/>
              </w:rPr>
              <w:t>/0</w:t>
            </w:r>
            <w:r w:rsidR="000F0FA1"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591" w:type="dxa"/>
            <w:vAlign w:val="center"/>
          </w:tcPr>
          <w:p w14:paraId="401CCEF2" w14:textId="77777777" w:rsidR="00FD6B54" w:rsidRPr="00701F32" w:rsidRDefault="008E4010" w:rsidP="00831174">
            <w:pPr>
              <w:jc w:val="center"/>
              <w:rPr>
                <w:rFonts w:ascii="Arial" w:hAnsi="Arial" w:cs="Arial"/>
                <w:b/>
                <w:color w:val="000000"/>
                <w:sz w:val="20"/>
                <w:lang w:val="en-US" w:eastAsia="es-AR"/>
              </w:rPr>
            </w:pPr>
            <w:r w:rsidRPr="00701F32">
              <w:rPr>
                <w:rFonts w:ascii="Arial" w:hAnsi="Arial" w:cs="Arial"/>
                <w:b/>
                <w:color w:val="000000"/>
                <w:sz w:val="20"/>
                <w:lang w:eastAsia="es-AR"/>
              </w:rPr>
              <w:t>3</w:t>
            </w:r>
            <w:r w:rsidR="005F072E" w:rsidRPr="00701F32">
              <w:rPr>
                <w:rFonts w:ascii="Arial" w:hAnsi="Arial" w:cs="Arial"/>
                <w:b/>
                <w:color w:val="000000"/>
                <w:sz w:val="20"/>
                <w:lang w:eastAsia="es-AR"/>
              </w:rPr>
              <w:t>0</w:t>
            </w:r>
            <w:r w:rsidRPr="00701F32">
              <w:rPr>
                <w:rFonts w:ascii="Arial" w:hAnsi="Arial" w:cs="Arial"/>
                <w:b/>
                <w:color w:val="000000"/>
                <w:sz w:val="20"/>
                <w:lang w:eastAsia="es-AR"/>
              </w:rPr>
              <w:t>/0</w:t>
            </w:r>
            <w:r w:rsidR="000F0FA1"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8E4010" w:rsidRPr="00701F32" w14:paraId="1524958B" w14:textId="77777777" w:rsidTr="00E311C9">
        <w:trPr>
          <w:trHeight w:val="255"/>
        </w:trPr>
        <w:tc>
          <w:tcPr>
            <w:tcW w:w="4949" w:type="dxa"/>
            <w:shd w:val="clear" w:color="auto" w:fill="auto"/>
            <w:noWrap/>
            <w:vAlign w:val="bottom"/>
            <w:hideMark/>
          </w:tcPr>
          <w:p w14:paraId="154D6A68"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Alquileres</w:t>
            </w:r>
          </w:p>
        </w:tc>
        <w:tc>
          <w:tcPr>
            <w:tcW w:w="2249" w:type="dxa"/>
            <w:shd w:val="clear" w:color="auto" w:fill="auto"/>
            <w:noWrap/>
            <w:vAlign w:val="bottom"/>
          </w:tcPr>
          <w:p w14:paraId="55F7CE1A" w14:textId="77777777" w:rsidR="002F3D40" w:rsidRPr="00701F32" w:rsidRDefault="00475426">
            <w:pPr>
              <w:jc w:val="right"/>
              <w:rPr>
                <w:rFonts w:ascii="Arial" w:hAnsi="Arial" w:cs="Arial"/>
                <w:color w:val="000000"/>
                <w:sz w:val="20"/>
                <w:lang w:eastAsia="es-AR"/>
              </w:rPr>
            </w:pPr>
            <w:r w:rsidRPr="00701F32">
              <w:rPr>
                <w:rFonts w:ascii="Arial" w:hAnsi="Arial" w:cs="Arial"/>
                <w:color w:val="000000"/>
                <w:sz w:val="20"/>
                <w:lang w:eastAsia="es-AR"/>
              </w:rPr>
              <w:t>6.469</w:t>
            </w:r>
          </w:p>
        </w:tc>
        <w:tc>
          <w:tcPr>
            <w:tcW w:w="1591" w:type="dxa"/>
            <w:vAlign w:val="bottom"/>
          </w:tcPr>
          <w:p w14:paraId="1EAAAFBD" w14:textId="77777777" w:rsidR="002F3D4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22.128</w:t>
            </w:r>
          </w:p>
        </w:tc>
      </w:tr>
      <w:tr w:rsidR="008E4010" w:rsidRPr="00701F32" w14:paraId="04048525"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0E2E6" w14:textId="77777777" w:rsidR="008E4010" w:rsidRPr="00701F32" w:rsidRDefault="00D0240E" w:rsidP="0086282C">
            <w:pPr>
              <w:rPr>
                <w:rFonts w:ascii="Arial" w:hAnsi="Arial" w:cs="Arial"/>
                <w:color w:val="000000"/>
                <w:sz w:val="20"/>
                <w:lang w:val="es-ES_tradnl" w:eastAsia="es-AR"/>
              </w:rPr>
            </w:pPr>
            <w:r w:rsidRPr="00701F32">
              <w:rPr>
                <w:rFonts w:ascii="Arial" w:hAnsi="Arial" w:cs="Arial"/>
                <w:color w:val="000000"/>
                <w:sz w:val="20"/>
                <w:lang w:eastAsia="es-AR"/>
              </w:rPr>
              <w:t>Alquiler de c</w:t>
            </w:r>
            <w:r w:rsidR="008E4010" w:rsidRPr="00701F32">
              <w:rPr>
                <w:rFonts w:ascii="Arial" w:hAnsi="Arial" w:cs="Arial"/>
                <w:color w:val="000000"/>
                <w:sz w:val="20"/>
                <w:lang w:eastAsia="es-AR"/>
              </w:rPr>
              <w:t>aja</w:t>
            </w:r>
            <w:r w:rsidRPr="00701F32">
              <w:rPr>
                <w:rFonts w:ascii="Arial" w:hAnsi="Arial" w:cs="Arial"/>
                <w:color w:val="000000"/>
                <w:sz w:val="20"/>
                <w:lang w:eastAsia="es-AR"/>
              </w:rPr>
              <w:t>s</w:t>
            </w:r>
            <w:r w:rsidR="008E4010" w:rsidRPr="00701F32">
              <w:rPr>
                <w:rFonts w:ascii="Arial" w:hAnsi="Arial" w:cs="Arial"/>
                <w:color w:val="000000"/>
                <w:sz w:val="20"/>
                <w:lang w:eastAsia="es-AR"/>
              </w:rPr>
              <w:t xml:space="preserve"> de seguridad</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D6540" w14:textId="77777777" w:rsidR="002F3D40" w:rsidRPr="00701F32" w:rsidRDefault="00475426">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117.521</w:t>
            </w:r>
          </w:p>
        </w:tc>
        <w:tc>
          <w:tcPr>
            <w:tcW w:w="1591" w:type="dxa"/>
            <w:tcBorders>
              <w:top w:val="single" w:sz="4" w:space="0" w:color="auto"/>
              <w:left w:val="single" w:sz="4" w:space="0" w:color="auto"/>
              <w:bottom w:val="single" w:sz="4" w:space="0" w:color="auto"/>
              <w:right w:val="single" w:sz="4" w:space="0" w:color="auto"/>
            </w:tcBorders>
            <w:vAlign w:val="bottom"/>
          </w:tcPr>
          <w:p w14:paraId="7AC21DF7" w14:textId="77777777" w:rsidR="002F3D4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93.470</w:t>
            </w:r>
          </w:p>
        </w:tc>
      </w:tr>
      <w:tr w:rsidR="008E4010" w:rsidRPr="00701F32" w14:paraId="0C1458A6"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48C05"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Ajustes e intereses de créditos diversos</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C82C4" w14:textId="492DA084" w:rsidR="002F3D40" w:rsidRPr="00701F32" w:rsidRDefault="00632B4D">
            <w:pPr>
              <w:jc w:val="right"/>
              <w:rPr>
                <w:rFonts w:ascii="Arial" w:hAnsi="Arial" w:cs="Arial"/>
                <w:color w:val="000000"/>
                <w:sz w:val="20"/>
                <w:lang w:val="es-ES_tradnl" w:eastAsia="es-AR"/>
              </w:rPr>
            </w:pPr>
            <w:r w:rsidRPr="00701F32">
              <w:rPr>
                <w:rFonts w:ascii="Arial" w:hAnsi="Arial" w:cs="Arial"/>
                <w:color w:val="000000"/>
                <w:sz w:val="20"/>
                <w:lang w:val="es-ES_tradnl" w:eastAsia="es-AR"/>
              </w:rPr>
              <w:t>65</w:t>
            </w:r>
            <w:r w:rsidR="00475426"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500</w:t>
            </w:r>
          </w:p>
        </w:tc>
        <w:tc>
          <w:tcPr>
            <w:tcW w:w="1591" w:type="dxa"/>
            <w:tcBorders>
              <w:top w:val="single" w:sz="4" w:space="0" w:color="auto"/>
              <w:left w:val="single" w:sz="4" w:space="0" w:color="auto"/>
              <w:bottom w:val="single" w:sz="4" w:space="0" w:color="auto"/>
              <w:right w:val="single" w:sz="4" w:space="0" w:color="auto"/>
            </w:tcBorders>
            <w:vAlign w:val="bottom"/>
          </w:tcPr>
          <w:p w14:paraId="6CA18912" w14:textId="2C3044DA" w:rsidR="002F3D4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19.</w:t>
            </w:r>
            <w:r w:rsidR="00A80739" w:rsidRPr="00701F32">
              <w:rPr>
                <w:rFonts w:ascii="Arial" w:hAnsi="Arial" w:cs="Arial"/>
                <w:color w:val="000000"/>
                <w:sz w:val="20"/>
                <w:lang w:eastAsia="es-AR"/>
              </w:rPr>
              <w:t>034</w:t>
            </w:r>
          </w:p>
        </w:tc>
      </w:tr>
      <w:tr w:rsidR="008E4010" w:rsidRPr="00701F32" w14:paraId="213A60AF"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99B5F"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Intereses punitorios</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A2E6E" w14:textId="0232DA5B" w:rsidR="002F3D40" w:rsidRPr="00701F32" w:rsidRDefault="00632B4D">
            <w:pPr>
              <w:jc w:val="right"/>
              <w:rPr>
                <w:rFonts w:ascii="Arial" w:hAnsi="Arial" w:cs="Arial"/>
                <w:color w:val="000000"/>
                <w:sz w:val="20"/>
                <w:lang w:val="es-ES_tradnl" w:eastAsia="es-AR"/>
              </w:rPr>
            </w:pPr>
            <w:r w:rsidRPr="00701F32">
              <w:rPr>
                <w:rFonts w:ascii="Arial" w:hAnsi="Arial" w:cs="Arial"/>
                <w:color w:val="000000"/>
                <w:sz w:val="20"/>
                <w:lang w:val="es-ES_tradnl" w:eastAsia="es-AR"/>
              </w:rPr>
              <w:t>66</w:t>
            </w:r>
            <w:r w:rsidR="00475426"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692</w:t>
            </w:r>
          </w:p>
        </w:tc>
        <w:tc>
          <w:tcPr>
            <w:tcW w:w="1591" w:type="dxa"/>
            <w:tcBorders>
              <w:top w:val="single" w:sz="4" w:space="0" w:color="auto"/>
              <w:left w:val="single" w:sz="4" w:space="0" w:color="auto"/>
              <w:bottom w:val="single" w:sz="4" w:space="0" w:color="auto"/>
              <w:right w:val="single" w:sz="4" w:space="0" w:color="auto"/>
            </w:tcBorders>
            <w:vAlign w:val="bottom"/>
          </w:tcPr>
          <w:p w14:paraId="5103FE2A" w14:textId="7C50E84D" w:rsidR="002F3D40" w:rsidRPr="00701F32" w:rsidRDefault="00A80739">
            <w:pPr>
              <w:jc w:val="right"/>
              <w:rPr>
                <w:rFonts w:ascii="Arial" w:hAnsi="Arial" w:cs="Arial"/>
                <w:color w:val="000000"/>
                <w:sz w:val="20"/>
                <w:lang w:eastAsia="es-AR"/>
              </w:rPr>
            </w:pPr>
            <w:r w:rsidRPr="00701F32">
              <w:rPr>
                <w:rFonts w:ascii="Arial" w:hAnsi="Arial" w:cs="Arial"/>
                <w:color w:val="000000"/>
                <w:sz w:val="20"/>
                <w:lang w:eastAsia="es-AR"/>
              </w:rPr>
              <w:t>42</w:t>
            </w:r>
            <w:r w:rsidR="00B90F41" w:rsidRPr="00701F32">
              <w:rPr>
                <w:rFonts w:ascii="Arial" w:hAnsi="Arial" w:cs="Arial"/>
                <w:color w:val="000000"/>
                <w:sz w:val="20"/>
                <w:lang w:eastAsia="es-AR"/>
              </w:rPr>
              <w:t>.</w:t>
            </w:r>
            <w:r w:rsidRPr="00701F32">
              <w:rPr>
                <w:rFonts w:ascii="Arial" w:hAnsi="Arial" w:cs="Arial"/>
                <w:color w:val="000000"/>
                <w:sz w:val="20"/>
                <w:lang w:eastAsia="es-AR"/>
              </w:rPr>
              <w:t>658</w:t>
            </w:r>
          </w:p>
        </w:tc>
      </w:tr>
      <w:tr w:rsidR="008E4010" w:rsidRPr="00701F32" w14:paraId="7067DCD1"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E1BB"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Previsiones desafectadas y créditos recuperados</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F99B4" w14:textId="00C1D0FD" w:rsidR="002F3D40" w:rsidRPr="00701F32" w:rsidRDefault="00475426">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632B4D" w:rsidRPr="00701F32">
              <w:rPr>
                <w:rFonts w:ascii="Arial" w:hAnsi="Arial" w:cs="Arial"/>
                <w:color w:val="000000"/>
                <w:sz w:val="20"/>
                <w:lang w:val="es-ES_tradnl" w:eastAsia="es-AR"/>
              </w:rPr>
              <w:t>16</w:t>
            </w:r>
            <w:r w:rsidRPr="00701F32">
              <w:rPr>
                <w:rFonts w:ascii="Arial" w:hAnsi="Arial" w:cs="Arial"/>
                <w:color w:val="000000"/>
                <w:sz w:val="20"/>
                <w:lang w:val="es-ES_tradnl" w:eastAsia="es-AR"/>
              </w:rPr>
              <w:t>.</w:t>
            </w:r>
            <w:r w:rsidR="00632B4D" w:rsidRPr="00701F32">
              <w:rPr>
                <w:rFonts w:ascii="Arial" w:hAnsi="Arial" w:cs="Arial"/>
                <w:color w:val="000000"/>
                <w:sz w:val="20"/>
                <w:lang w:val="es-ES_tradnl" w:eastAsia="es-AR"/>
              </w:rPr>
              <w:t>274</w:t>
            </w:r>
          </w:p>
        </w:tc>
        <w:tc>
          <w:tcPr>
            <w:tcW w:w="1591" w:type="dxa"/>
            <w:tcBorders>
              <w:top w:val="single" w:sz="4" w:space="0" w:color="auto"/>
              <w:left w:val="single" w:sz="4" w:space="0" w:color="auto"/>
              <w:bottom w:val="single" w:sz="4" w:space="0" w:color="auto"/>
              <w:right w:val="single" w:sz="4" w:space="0" w:color="auto"/>
            </w:tcBorders>
            <w:vAlign w:val="bottom"/>
          </w:tcPr>
          <w:p w14:paraId="47284EE7" w14:textId="4F3B0F43" w:rsidR="002F3D4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11</w:t>
            </w:r>
            <w:r w:rsidR="00A80739" w:rsidRPr="00701F32">
              <w:rPr>
                <w:rFonts w:ascii="Arial" w:hAnsi="Arial" w:cs="Arial"/>
                <w:color w:val="000000"/>
                <w:sz w:val="20"/>
                <w:lang w:eastAsia="es-AR"/>
              </w:rPr>
              <w:t>4</w:t>
            </w:r>
            <w:r w:rsidRPr="00701F32">
              <w:rPr>
                <w:rFonts w:ascii="Arial" w:hAnsi="Arial" w:cs="Arial"/>
                <w:color w:val="000000"/>
                <w:sz w:val="20"/>
                <w:lang w:eastAsia="es-AR"/>
              </w:rPr>
              <w:t>.</w:t>
            </w:r>
            <w:r w:rsidR="00A80739" w:rsidRPr="00701F32">
              <w:rPr>
                <w:rFonts w:ascii="Arial" w:hAnsi="Arial" w:cs="Arial"/>
                <w:color w:val="000000"/>
                <w:sz w:val="20"/>
                <w:lang w:eastAsia="es-AR"/>
              </w:rPr>
              <w:t>965</w:t>
            </w:r>
          </w:p>
        </w:tc>
      </w:tr>
      <w:tr w:rsidR="008E4010" w:rsidRPr="00701F32" w14:paraId="14ABDB24"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F2327"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Rendimiento fondo de riesgo SGR</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4784B" w14:textId="77777777" w:rsidR="002F3D40" w:rsidRPr="00701F32" w:rsidRDefault="00475426">
            <w:pPr>
              <w:jc w:val="right"/>
              <w:rPr>
                <w:rFonts w:ascii="Arial" w:hAnsi="Arial" w:cs="Arial"/>
                <w:color w:val="000000"/>
                <w:sz w:val="20"/>
                <w:lang w:eastAsia="es-AR"/>
              </w:rPr>
            </w:pPr>
            <w:r w:rsidRPr="00701F32">
              <w:rPr>
                <w:rFonts w:ascii="Arial" w:hAnsi="Arial" w:cs="Arial"/>
                <w:color w:val="000000"/>
                <w:sz w:val="20"/>
                <w:lang w:eastAsia="es-AR"/>
              </w:rPr>
              <w:t>113.954</w:t>
            </w:r>
          </w:p>
        </w:tc>
        <w:tc>
          <w:tcPr>
            <w:tcW w:w="1591" w:type="dxa"/>
            <w:tcBorders>
              <w:top w:val="single" w:sz="4" w:space="0" w:color="auto"/>
              <w:left w:val="single" w:sz="4" w:space="0" w:color="auto"/>
              <w:bottom w:val="single" w:sz="4" w:space="0" w:color="auto"/>
              <w:right w:val="single" w:sz="4" w:space="0" w:color="auto"/>
            </w:tcBorders>
            <w:vAlign w:val="bottom"/>
          </w:tcPr>
          <w:p w14:paraId="66C7A904" w14:textId="77777777" w:rsidR="002F3D4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46.821</w:t>
            </w:r>
          </w:p>
        </w:tc>
      </w:tr>
      <w:tr w:rsidR="008E4010" w:rsidRPr="00701F32" w14:paraId="576608F3"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2C201"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Otros resultados OCIF</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9769C" w14:textId="6AA92105" w:rsidR="002F3D40" w:rsidRPr="00701F32" w:rsidRDefault="00475426">
            <w:pPr>
              <w:jc w:val="right"/>
              <w:rPr>
                <w:rFonts w:ascii="Arial" w:hAnsi="Arial" w:cs="Arial"/>
                <w:color w:val="000000"/>
                <w:sz w:val="20"/>
                <w:lang w:eastAsia="es-AR"/>
              </w:rPr>
            </w:pPr>
            <w:r w:rsidRPr="00701F32">
              <w:rPr>
                <w:rFonts w:ascii="Arial" w:hAnsi="Arial" w:cs="Arial"/>
                <w:color w:val="000000"/>
                <w:sz w:val="20"/>
                <w:lang w:eastAsia="es-AR"/>
              </w:rPr>
              <w:t>1.</w:t>
            </w:r>
            <w:r w:rsidR="00632B4D" w:rsidRPr="00701F32">
              <w:rPr>
                <w:rFonts w:ascii="Arial" w:hAnsi="Arial" w:cs="Arial"/>
                <w:color w:val="000000"/>
                <w:sz w:val="20"/>
                <w:lang w:eastAsia="es-AR"/>
              </w:rPr>
              <w:t>89</w:t>
            </w:r>
            <w:r w:rsidR="00E51BC1" w:rsidRPr="00701F32">
              <w:rPr>
                <w:rFonts w:ascii="Arial" w:hAnsi="Arial" w:cs="Arial"/>
                <w:color w:val="000000"/>
                <w:sz w:val="20"/>
                <w:lang w:eastAsia="es-AR"/>
              </w:rPr>
              <w:t>2</w:t>
            </w:r>
          </w:p>
        </w:tc>
        <w:tc>
          <w:tcPr>
            <w:tcW w:w="1591" w:type="dxa"/>
            <w:tcBorders>
              <w:top w:val="single" w:sz="4" w:space="0" w:color="auto"/>
              <w:left w:val="single" w:sz="4" w:space="0" w:color="auto"/>
              <w:bottom w:val="single" w:sz="4" w:space="0" w:color="auto"/>
              <w:right w:val="single" w:sz="4" w:space="0" w:color="auto"/>
            </w:tcBorders>
            <w:vAlign w:val="bottom"/>
          </w:tcPr>
          <w:p w14:paraId="45A7F4C5" w14:textId="36CCF5CA" w:rsidR="008E4010" w:rsidRPr="00701F32" w:rsidRDefault="00B90F41">
            <w:pPr>
              <w:jc w:val="right"/>
              <w:rPr>
                <w:rFonts w:ascii="Arial" w:hAnsi="Arial" w:cs="Arial"/>
                <w:color w:val="000000"/>
                <w:sz w:val="20"/>
                <w:lang w:eastAsia="es-AR"/>
              </w:rPr>
            </w:pPr>
            <w:r w:rsidRPr="00701F32">
              <w:rPr>
                <w:rFonts w:ascii="Arial" w:hAnsi="Arial" w:cs="Arial"/>
                <w:color w:val="000000"/>
                <w:sz w:val="20"/>
                <w:lang w:eastAsia="es-AR"/>
              </w:rPr>
              <w:t>2</w:t>
            </w:r>
            <w:r w:rsidR="00A80739" w:rsidRPr="00701F32">
              <w:rPr>
                <w:rFonts w:ascii="Arial" w:hAnsi="Arial" w:cs="Arial"/>
                <w:color w:val="000000"/>
                <w:sz w:val="20"/>
                <w:lang w:eastAsia="es-AR"/>
              </w:rPr>
              <w:t>1</w:t>
            </w:r>
            <w:r w:rsidRPr="00701F32">
              <w:rPr>
                <w:rFonts w:ascii="Arial" w:hAnsi="Arial" w:cs="Arial"/>
                <w:color w:val="000000"/>
                <w:sz w:val="20"/>
                <w:lang w:eastAsia="es-AR"/>
              </w:rPr>
              <w:t>.</w:t>
            </w:r>
            <w:r w:rsidR="00A80739" w:rsidRPr="00701F32">
              <w:rPr>
                <w:rFonts w:ascii="Arial" w:hAnsi="Arial" w:cs="Arial"/>
                <w:color w:val="000000"/>
                <w:sz w:val="20"/>
                <w:lang w:eastAsia="es-AR"/>
              </w:rPr>
              <w:t>292</w:t>
            </w:r>
          </w:p>
        </w:tc>
      </w:tr>
      <w:tr w:rsidR="008E4010" w:rsidRPr="00701F32" w14:paraId="517A3B5F" w14:textId="77777777" w:rsidTr="00E311C9">
        <w:trPr>
          <w:trHeight w:val="255"/>
        </w:trPr>
        <w:tc>
          <w:tcPr>
            <w:tcW w:w="4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234E3"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Otros</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39D71" w14:textId="0AFC5D94" w:rsidR="002F3D40" w:rsidRPr="00701F32" w:rsidRDefault="00116654">
            <w:pPr>
              <w:jc w:val="right"/>
              <w:rPr>
                <w:rFonts w:ascii="Arial" w:hAnsi="Arial" w:cs="Arial"/>
                <w:color w:val="000000"/>
                <w:sz w:val="20"/>
                <w:lang w:eastAsia="es-AR"/>
              </w:rPr>
            </w:pPr>
            <w:r w:rsidRPr="00701F32">
              <w:rPr>
                <w:rFonts w:ascii="Arial" w:hAnsi="Arial" w:cs="Arial"/>
                <w:color w:val="000000"/>
                <w:sz w:val="20"/>
                <w:lang w:eastAsia="es-AR"/>
              </w:rPr>
              <w:t>497</w:t>
            </w:r>
            <w:r w:rsidR="00475426" w:rsidRPr="00701F32">
              <w:rPr>
                <w:rFonts w:ascii="Arial" w:hAnsi="Arial" w:cs="Arial"/>
                <w:color w:val="000000"/>
                <w:sz w:val="20"/>
                <w:lang w:eastAsia="es-AR"/>
              </w:rPr>
              <w:t>.</w:t>
            </w:r>
            <w:r w:rsidR="00A80739" w:rsidRPr="00701F32">
              <w:rPr>
                <w:rFonts w:ascii="Arial" w:hAnsi="Arial" w:cs="Arial"/>
                <w:color w:val="000000"/>
                <w:sz w:val="20"/>
                <w:lang w:eastAsia="es-AR"/>
              </w:rPr>
              <w:t>0</w:t>
            </w:r>
            <w:r w:rsidRPr="00701F32">
              <w:rPr>
                <w:rFonts w:ascii="Arial" w:hAnsi="Arial" w:cs="Arial"/>
                <w:color w:val="000000"/>
                <w:sz w:val="20"/>
                <w:lang w:eastAsia="es-AR"/>
              </w:rPr>
              <w:t>75</w:t>
            </w:r>
          </w:p>
        </w:tc>
        <w:tc>
          <w:tcPr>
            <w:tcW w:w="1591" w:type="dxa"/>
            <w:tcBorders>
              <w:top w:val="single" w:sz="4" w:space="0" w:color="auto"/>
              <w:left w:val="single" w:sz="4" w:space="0" w:color="auto"/>
              <w:bottom w:val="single" w:sz="4" w:space="0" w:color="auto"/>
              <w:right w:val="single" w:sz="4" w:space="0" w:color="auto"/>
            </w:tcBorders>
            <w:vAlign w:val="bottom"/>
          </w:tcPr>
          <w:p w14:paraId="609BBBA3" w14:textId="41BC3D83" w:rsidR="002F3D40" w:rsidRPr="00701F32" w:rsidRDefault="00A80739">
            <w:pPr>
              <w:jc w:val="right"/>
              <w:rPr>
                <w:rFonts w:ascii="Arial" w:hAnsi="Arial" w:cs="Arial"/>
                <w:color w:val="000000"/>
                <w:sz w:val="20"/>
                <w:lang w:eastAsia="es-AR"/>
              </w:rPr>
            </w:pPr>
            <w:r w:rsidRPr="00701F32">
              <w:rPr>
                <w:rFonts w:ascii="Arial" w:hAnsi="Arial" w:cs="Arial"/>
                <w:color w:val="000000"/>
                <w:sz w:val="20"/>
                <w:lang w:eastAsia="es-AR"/>
              </w:rPr>
              <w:t>33</w:t>
            </w:r>
            <w:r w:rsidR="00116654" w:rsidRPr="00701F32">
              <w:rPr>
                <w:rFonts w:ascii="Arial" w:hAnsi="Arial" w:cs="Arial"/>
                <w:color w:val="000000"/>
                <w:sz w:val="20"/>
                <w:lang w:eastAsia="es-AR"/>
              </w:rPr>
              <w:t>3</w:t>
            </w:r>
            <w:r w:rsidR="00B90F41" w:rsidRPr="00701F32">
              <w:rPr>
                <w:rFonts w:ascii="Arial" w:hAnsi="Arial" w:cs="Arial"/>
                <w:color w:val="000000"/>
                <w:sz w:val="20"/>
                <w:lang w:eastAsia="es-AR"/>
              </w:rPr>
              <w:t>.</w:t>
            </w:r>
            <w:r w:rsidR="00116654" w:rsidRPr="00701F32">
              <w:rPr>
                <w:rFonts w:ascii="Arial" w:hAnsi="Arial" w:cs="Arial"/>
                <w:color w:val="000000"/>
                <w:sz w:val="20"/>
                <w:lang w:eastAsia="es-AR"/>
              </w:rPr>
              <w:t>564</w:t>
            </w:r>
          </w:p>
        </w:tc>
      </w:tr>
      <w:tr w:rsidR="008E4010" w:rsidRPr="00701F32" w14:paraId="4035CD54" w14:textId="77777777" w:rsidTr="00E311C9">
        <w:trPr>
          <w:trHeight w:val="270"/>
        </w:trPr>
        <w:tc>
          <w:tcPr>
            <w:tcW w:w="4949" w:type="dxa"/>
            <w:shd w:val="clear" w:color="auto" w:fill="auto"/>
            <w:noWrap/>
            <w:vAlign w:val="bottom"/>
            <w:hideMark/>
          </w:tcPr>
          <w:p w14:paraId="59449F93" w14:textId="77777777" w:rsidR="008E4010" w:rsidRPr="00701F32" w:rsidRDefault="008E4010" w:rsidP="008E4010">
            <w:pPr>
              <w:rPr>
                <w:rFonts w:ascii="Arial" w:hAnsi="Arial" w:cs="Arial"/>
                <w:b/>
                <w:color w:val="000000"/>
                <w:sz w:val="20"/>
                <w:lang w:eastAsia="es-AR"/>
              </w:rPr>
            </w:pPr>
            <w:r w:rsidRPr="00701F32">
              <w:rPr>
                <w:rFonts w:ascii="Arial" w:hAnsi="Arial" w:cs="Arial"/>
                <w:b/>
                <w:color w:val="000000"/>
                <w:sz w:val="20"/>
                <w:lang w:eastAsia="es-AR"/>
              </w:rPr>
              <w:t>Total</w:t>
            </w:r>
          </w:p>
        </w:tc>
        <w:tc>
          <w:tcPr>
            <w:tcW w:w="2249" w:type="dxa"/>
            <w:shd w:val="clear" w:color="auto" w:fill="auto"/>
            <w:noWrap/>
            <w:vAlign w:val="bottom"/>
          </w:tcPr>
          <w:p w14:paraId="38AAB21B" w14:textId="5E3FD1EC" w:rsidR="002F3D40" w:rsidRPr="00701F32" w:rsidRDefault="00A80739">
            <w:pPr>
              <w:jc w:val="right"/>
              <w:rPr>
                <w:rFonts w:ascii="Arial" w:hAnsi="Arial" w:cs="Arial"/>
                <w:b/>
                <w:color w:val="000000"/>
                <w:sz w:val="20"/>
                <w:lang w:eastAsia="es-AR"/>
              </w:rPr>
            </w:pPr>
            <w:r w:rsidRPr="00701F32">
              <w:rPr>
                <w:rFonts w:ascii="Arial" w:hAnsi="Arial" w:cs="Arial"/>
                <w:b/>
                <w:color w:val="000000"/>
                <w:sz w:val="20"/>
                <w:lang w:eastAsia="es-AR"/>
              </w:rPr>
              <w:t>985</w:t>
            </w:r>
            <w:r w:rsidR="00475426" w:rsidRPr="00701F32">
              <w:rPr>
                <w:rFonts w:ascii="Arial" w:hAnsi="Arial" w:cs="Arial"/>
                <w:b/>
                <w:color w:val="000000"/>
                <w:sz w:val="20"/>
                <w:lang w:eastAsia="es-AR"/>
              </w:rPr>
              <w:t>.</w:t>
            </w:r>
            <w:r w:rsidRPr="00701F32">
              <w:rPr>
                <w:rFonts w:ascii="Arial" w:hAnsi="Arial" w:cs="Arial"/>
                <w:b/>
                <w:color w:val="000000"/>
                <w:sz w:val="20"/>
                <w:lang w:eastAsia="es-AR"/>
              </w:rPr>
              <w:t>377</w:t>
            </w:r>
          </w:p>
        </w:tc>
        <w:tc>
          <w:tcPr>
            <w:tcW w:w="1591" w:type="dxa"/>
            <w:vAlign w:val="bottom"/>
          </w:tcPr>
          <w:p w14:paraId="077F7846" w14:textId="62CCCCF0" w:rsidR="002F3D40" w:rsidRPr="00701F32" w:rsidRDefault="00A80739">
            <w:pPr>
              <w:jc w:val="right"/>
              <w:rPr>
                <w:rFonts w:ascii="Arial" w:hAnsi="Arial" w:cs="Arial"/>
                <w:b/>
                <w:color w:val="000000"/>
                <w:sz w:val="20"/>
                <w:lang w:eastAsia="es-AR"/>
              </w:rPr>
            </w:pPr>
            <w:r w:rsidRPr="00701F32">
              <w:rPr>
                <w:rFonts w:ascii="Arial" w:hAnsi="Arial" w:cs="Arial"/>
                <w:b/>
                <w:color w:val="000000"/>
                <w:sz w:val="20"/>
                <w:lang w:eastAsia="es-AR"/>
              </w:rPr>
              <w:t>69</w:t>
            </w:r>
            <w:r w:rsidR="00116654" w:rsidRPr="00701F32">
              <w:rPr>
                <w:rFonts w:ascii="Arial" w:hAnsi="Arial" w:cs="Arial"/>
                <w:b/>
                <w:color w:val="000000"/>
                <w:sz w:val="20"/>
                <w:lang w:eastAsia="es-AR"/>
              </w:rPr>
              <w:t>3</w:t>
            </w:r>
            <w:r w:rsidR="00B90F41" w:rsidRPr="00701F32">
              <w:rPr>
                <w:rFonts w:ascii="Arial" w:hAnsi="Arial" w:cs="Arial"/>
                <w:b/>
                <w:color w:val="000000"/>
                <w:sz w:val="20"/>
                <w:lang w:eastAsia="es-AR"/>
              </w:rPr>
              <w:t>.</w:t>
            </w:r>
            <w:r w:rsidR="00116654" w:rsidRPr="00701F32">
              <w:rPr>
                <w:rFonts w:ascii="Arial" w:hAnsi="Arial" w:cs="Arial"/>
                <w:b/>
                <w:color w:val="000000"/>
                <w:sz w:val="20"/>
                <w:lang w:eastAsia="es-AR"/>
              </w:rPr>
              <w:t>932</w:t>
            </w:r>
          </w:p>
        </w:tc>
      </w:tr>
    </w:tbl>
    <w:p w14:paraId="6B12D652" w14:textId="77777777" w:rsidR="008E4010" w:rsidRPr="00701F32" w:rsidRDefault="008E4010" w:rsidP="008E4010">
      <w:pPr>
        <w:rPr>
          <w:rFonts w:ascii="Arial" w:hAnsi="Arial" w:cs="Arial"/>
          <w:bCs/>
          <w:color w:val="000000"/>
          <w:sz w:val="20"/>
          <w:lang w:eastAsia="es-AR"/>
        </w:rPr>
      </w:pPr>
    </w:p>
    <w:p w14:paraId="4CB4FA94" w14:textId="77777777" w:rsidR="008E4010" w:rsidRPr="00701F32" w:rsidRDefault="008E4010" w:rsidP="008E4010">
      <w:pPr>
        <w:rPr>
          <w:rFonts w:ascii="Arial" w:hAnsi="Arial" w:cs="Arial"/>
          <w:bCs/>
          <w:color w:val="000000"/>
          <w:sz w:val="20"/>
          <w:lang w:eastAsia="es-AR"/>
        </w:rPr>
      </w:pPr>
      <w:r w:rsidRPr="00701F32">
        <w:rPr>
          <w:rFonts w:ascii="Arial" w:hAnsi="Arial" w:cs="Arial"/>
          <w:bCs/>
          <w:color w:val="000000"/>
          <w:sz w:val="20"/>
          <w:lang w:eastAsia="es-AR"/>
        </w:rPr>
        <w:t>7.13 Beneficios al personal</w:t>
      </w:r>
    </w:p>
    <w:p w14:paraId="55FDE418" w14:textId="77777777" w:rsidR="006D5978" w:rsidRPr="00701F32" w:rsidRDefault="006D5978" w:rsidP="008E4010">
      <w:pPr>
        <w:rPr>
          <w:rFonts w:ascii="Arial" w:hAnsi="Arial" w:cs="Arial"/>
          <w:bCs/>
          <w:color w:val="000000"/>
          <w:sz w:val="20"/>
          <w:lang w:eastAsia="es-AR"/>
        </w:rPr>
      </w:pPr>
    </w:p>
    <w:p w14:paraId="08244EE1" w14:textId="77777777" w:rsidR="008E4010" w:rsidRPr="00701F32" w:rsidRDefault="006D5978" w:rsidP="00941382">
      <w:pPr>
        <w:spacing w:after="160" w:line="259" w:lineRule="auto"/>
        <w:rPr>
          <w:rFonts w:ascii="Arial" w:hAnsi="Arial" w:cs="Arial"/>
          <w:bCs/>
          <w:color w:val="000000"/>
          <w:sz w:val="20"/>
          <w:lang w:eastAsia="es-AR"/>
        </w:rPr>
      </w:pPr>
      <w:r w:rsidRPr="00701F32">
        <w:rPr>
          <w:rFonts w:ascii="Arial" w:eastAsiaTheme="minorHAnsi" w:hAnsi="Arial" w:cs="Arial"/>
          <w:sz w:val="20"/>
          <w:szCs w:val="22"/>
        </w:rPr>
        <w:t xml:space="preserve">Los principales componentes del rubro beneficios al personal </w:t>
      </w:r>
      <w:r w:rsidR="000F0FA1" w:rsidRPr="00701F32">
        <w:rPr>
          <w:rFonts w:ascii="Arial" w:eastAsiaTheme="minorHAnsi" w:hAnsi="Arial" w:cs="Arial"/>
          <w:sz w:val="20"/>
          <w:szCs w:val="22"/>
        </w:rPr>
        <w:t xml:space="preserve">por los períodos finalizados el 30 de </w:t>
      </w:r>
      <w:r w:rsidR="000F0FA1" w:rsidRPr="00701F32">
        <w:rPr>
          <w:rFonts w:ascii="Arial" w:eastAsiaTheme="minorHAnsi" w:hAnsi="Arial" w:cs="Arial"/>
          <w:sz w:val="20"/>
        </w:rPr>
        <w:t>septiembre</w:t>
      </w:r>
      <w:r w:rsidR="000F0FA1" w:rsidRPr="00701F32">
        <w:rPr>
          <w:rFonts w:ascii="Arial" w:eastAsiaTheme="minorHAnsi" w:hAnsi="Arial" w:cs="Arial"/>
          <w:sz w:val="20"/>
          <w:szCs w:val="22"/>
        </w:rPr>
        <w:t xml:space="preserve"> de 2018 y 2017 son los siguientes</w:t>
      </w:r>
      <w:r w:rsidRPr="00701F32">
        <w:rPr>
          <w:rFonts w:ascii="Arial" w:eastAsiaTheme="minorHAnsi" w:hAnsi="Arial" w:cs="Arial"/>
          <w:sz w:val="20"/>
          <w:szCs w:val="22"/>
        </w:rPr>
        <w:t>:</w:t>
      </w:r>
    </w:p>
    <w:tbl>
      <w:tblPr>
        <w:tblW w:w="87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4"/>
        <w:gridCol w:w="1745"/>
        <w:gridCol w:w="1673"/>
      </w:tblGrid>
      <w:tr w:rsidR="008E4010" w:rsidRPr="00701F32" w14:paraId="3F72D467" w14:textId="77777777" w:rsidTr="00E311C9">
        <w:trPr>
          <w:trHeight w:val="259"/>
        </w:trPr>
        <w:tc>
          <w:tcPr>
            <w:tcW w:w="5334" w:type="dxa"/>
            <w:shd w:val="clear" w:color="auto" w:fill="auto"/>
            <w:noWrap/>
            <w:vAlign w:val="bottom"/>
            <w:hideMark/>
          </w:tcPr>
          <w:p w14:paraId="73F2BF43" w14:textId="77777777" w:rsidR="008E4010" w:rsidRPr="00701F32" w:rsidRDefault="008E4010" w:rsidP="008E4010">
            <w:pPr>
              <w:rPr>
                <w:rFonts w:ascii="Arial" w:hAnsi="Arial" w:cs="Arial"/>
                <w:b/>
                <w:bCs/>
                <w:color w:val="000000"/>
                <w:sz w:val="20"/>
                <w:lang w:eastAsia="es-AR"/>
              </w:rPr>
            </w:pPr>
            <w:r w:rsidRPr="00701F32">
              <w:rPr>
                <w:rFonts w:ascii="Arial" w:hAnsi="Arial" w:cs="Arial"/>
                <w:b/>
                <w:bCs/>
                <w:color w:val="000000"/>
                <w:sz w:val="20"/>
                <w:lang w:eastAsia="es-AR"/>
              </w:rPr>
              <w:t>Beneficios al personal</w:t>
            </w:r>
          </w:p>
        </w:tc>
        <w:tc>
          <w:tcPr>
            <w:tcW w:w="1745" w:type="dxa"/>
            <w:shd w:val="clear" w:color="auto" w:fill="auto"/>
            <w:noWrap/>
            <w:vAlign w:val="center"/>
            <w:hideMark/>
          </w:tcPr>
          <w:p w14:paraId="42A07004" w14:textId="77777777" w:rsidR="008E4010" w:rsidRPr="00701F32" w:rsidRDefault="008E4010">
            <w:pPr>
              <w:jc w:val="center"/>
              <w:rPr>
                <w:rFonts w:ascii="Arial" w:hAnsi="Arial" w:cs="Arial"/>
                <w:b/>
                <w:color w:val="000000"/>
                <w:sz w:val="20"/>
                <w:lang w:eastAsia="es-AR"/>
              </w:rPr>
            </w:pPr>
            <w:r w:rsidRPr="00701F32">
              <w:rPr>
                <w:rFonts w:ascii="Arial" w:hAnsi="Arial" w:cs="Arial"/>
                <w:b/>
                <w:color w:val="000000"/>
                <w:sz w:val="20"/>
                <w:lang w:eastAsia="es-AR"/>
              </w:rPr>
              <w:t>3</w:t>
            </w:r>
            <w:r w:rsidR="000F63C2" w:rsidRPr="00701F32">
              <w:rPr>
                <w:rFonts w:ascii="Arial" w:hAnsi="Arial" w:cs="Arial"/>
                <w:b/>
                <w:color w:val="000000"/>
                <w:sz w:val="20"/>
                <w:lang w:eastAsia="es-AR"/>
              </w:rPr>
              <w:t>0</w:t>
            </w:r>
            <w:r w:rsidRPr="00701F32">
              <w:rPr>
                <w:rFonts w:ascii="Arial" w:hAnsi="Arial" w:cs="Arial"/>
                <w:b/>
                <w:color w:val="000000"/>
                <w:sz w:val="20"/>
                <w:lang w:eastAsia="es-AR"/>
              </w:rPr>
              <w:t>/0</w:t>
            </w:r>
            <w:r w:rsidR="000F0FA1"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673" w:type="dxa"/>
            <w:vAlign w:val="center"/>
          </w:tcPr>
          <w:p w14:paraId="1FF61AE7" w14:textId="77777777" w:rsidR="008E4010" w:rsidRPr="00701F32" w:rsidRDefault="008E4010" w:rsidP="00941382">
            <w:pPr>
              <w:jc w:val="center"/>
              <w:rPr>
                <w:rFonts w:ascii="Arial" w:hAnsi="Arial" w:cs="Arial"/>
                <w:b/>
                <w:color w:val="000000"/>
                <w:sz w:val="20"/>
                <w:lang w:eastAsia="es-AR"/>
              </w:rPr>
            </w:pPr>
            <w:r w:rsidRPr="00701F32">
              <w:rPr>
                <w:rFonts w:ascii="Arial" w:hAnsi="Arial" w:cs="Arial"/>
                <w:b/>
                <w:color w:val="000000"/>
                <w:sz w:val="20"/>
                <w:lang w:eastAsia="es-AR"/>
              </w:rPr>
              <w:t>3</w:t>
            </w:r>
            <w:r w:rsidR="000F63C2" w:rsidRPr="00701F32">
              <w:rPr>
                <w:rFonts w:ascii="Arial" w:hAnsi="Arial" w:cs="Arial"/>
                <w:b/>
                <w:color w:val="000000"/>
                <w:sz w:val="20"/>
                <w:lang w:eastAsia="es-AR"/>
              </w:rPr>
              <w:t>0</w:t>
            </w:r>
            <w:r w:rsidRPr="00701F32">
              <w:rPr>
                <w:rFonts w:ascii="Arial" w:hAnsi="Arial" w:cs="Arial"/>
                <w:b/>
                <w:color w:val="000000"/>
                <w:sz w:val="20"/>
                <w:lang w:eastAsia="es-AR"/>
              </w:rPr>
              <w:t>/</w:t>
            </w:r>
            <w:r w:rsidR="000F0FA1" w:rsidRPr="00701F32">
              <w:rPr>
                <w:rFonts w:ascii="Arial" w:hAnsi="Arial" w:cs="Arial"/>
                <w:b/>
                <w:color w:val="000000"/>
                <w:sz w:val="20"/>
                <w:lang w:eastAsia="es-AR"/>
              </w:rPr>
              <w:t>09</w:t>
            </w:r>
            <w:r w:rsidRPr="00701F32">
              <w:rPr>
                <w:rFonts w:ascii="Arial" w:hAnsi="Arial" w:cs="Arial"/>
                <w:b/>
                <w:color w:val="000000"/>
                <w:sz w:val="20"/>
                <w:lang w:eastAsia="es-AR"/>
              </w:rPr>
              <w:t>/2017</w:t>
            </w:r>
          </w:p>
        </w:tc>
      </w:tr>
      <w:tr w:rsidR="008E4010" w:rsidRPr="00701F32" w14:paraId="11626FFF" w14:textId="77777777" w:rsidTr="00E311C9">
        <w:trPr>
          <w:trHeight w:val="259"/>
        </w:trPr>
        <w:tc>
          <w:tcPr>
            <w:tcW w:w="5334" w:type="dxa"/>
            <w:shd w:val="clear" w:color="auto" w:fill="auto"/>
            <w:noWrap/>
            <w:vAlign w:val="bottom"/>
            <w:hideMark/>
          </w:tcPr>
          <w:p w14:paraId="334B4E02"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Gastos de personal</w:t>
            </w:r>
          </w:p>
        </w:tc>
        <w:tc>
          <w:tcPr>
            <w:tcW w:w="1745" w:type="dxa"/>
            <w:shd w:val="clear" w:color="auto" w:fill="auto"/>
            <w:noWrap/>
            <w:vAlign w:val="bottom"/>
          </w:tcPr>
          <w:p w14:paraId="6AFC6D5A" w14:textId="75880F5A" w:rsidR="008E4010" w:rsidRPr="00701F32" w:rsidRDefault="00861FF4">
            <w:pPr>
              <w:jc w:val="right"/>
              <w:rPr>
                <w:rFonts w:ascii="Arial" w:hAnsi="Arial" w:cs="Arial"/>
                <w:color w:val="000000"/>
                <w:sz w:val="20"/>
                <w:lang w:eastAsia="es-AR"/>
              </w:rPr>
            </w:pPr>
            <w:r w:rsidRPr="00701F32">
              <w:rPr>
                <w:rFonts w:ascii="Arial" w:hAnsi="Arial" w:cs="Arial"/>
                <w:color w:val="000000"/>
                <w:sz w:val="20"/>
                <w:lang w:eastAsia="es-AR"/>
              </w:rPr>
              <w:t>4</w:t>
            </w:r>
            <w:r w:rsidR="006B35B7" w:rsidRPr="00701F32">
              <w:rPr>
                <w:rFonts w:ascii="Arial" w:hAnsi="Arial" w:cs="Arial"/>
                <w:color w:val="000000"/>
                <w:sz w:val="20"/>
                <w:lang w:eastAsia="es-AR"/>
              </w:rPr>
              <w:t>7</w:t>
            </w:r>
            <w:r w:rsidRPr="00701F32">
              <w:rPr>
                <w:rFonts w:ascii="Arial" w:hAnsi="Arial" w:cs="Arial"/>
                <w:color w:val="000000"/>
                <w:sz w:val="20"/>
                <w:lang w:eastAsia="es-AR"/>
              </w:rPr>
              <w:t>1</w:t>
            </w:r>
            <w:r w:rsidR="006B35B7" w:rsidRPr="00701F32">
              <w:rPr>
                <w:rFonts w:ascii="Arial" w:hAnsi="Arial" w:cs="Arial"/>
                <w:color w:val="000000"/>
                <w:sz w:val="20"/>
                <w:lang w:eastAsia="es-AR"/>
              </w:rPr>
              <w:t>.</w:t>
            </w:r>
            <w:r w:rsidRPr="00701F32">
              <w:rPr>
                <w:rFonts w:ascii="Arial" w:hAnsi="Arial" w:cs="Arial"/>
                <w:color w:val="000000"/>
                <w:sz w:val="20"/>
                <w:lang w:eastAsia="es-AR"/>
              </w:rPr>
              <w:t>544</w:t>
            </w:r>
          </w:p>
        </w:tc>
        <w:tc>
          <w:tcPr>
            <w:tcW w:w="1673" w:type="dxa"/>
            <w:vAlign w:val="bottom"/>
          </w:tcPr>
          <w:p w14:paraId="70FC1299" w14:textId="490F260F" w:rsidR="008E4010" w:rsidRPr="00701F32" w:rsidRDefault="00861FF4">
            <w:pPr>
              <w:jc w:val="right"/>
              <w:rPr>
                <w:rFonts w:ascii="Arial" w:hAnsi="Arial" w:cs="Arial"/>
                <w:color w:val="000000"/>
                <w:sz w:val="20"/>
                <w:lang w:eastAsia="es-AR"/>
              </w:rPr>
            </w:pPr>
            <w:r w:rsidRPr="00701F32">
              <w:rPr>
                <w:rFonts w:ascii="Arial" w:hAnsi="Arial" w:cs="Arial"/>
                <w:color w:val="000000"/>
                <w:sz w:val="20"/>
                <w:lang w:eastAsia="es-AR"/>
              </w:rPr>
              <w:t>446</w:t>
            </w:r>
            <w:r w:rsidR="006B35B7" w:rsidRPr="00701F32">
              <w:rPr>
                <w:rFonts w:ascii="Arial" w:hAnsi="Arial" w:cs="Arial"/>
                <w:color w:val="000000"/>
                <w:sz w:val="20"/>
                <w:lang w:eastAsia="es-AR"/>
              </w:rPr>
              <w:t>.</w:t>
            </w:r>
            <w:r w:rsidRPr="00701F32">
              <w:rPr>
                <w:rFonts w:ascii="Arial" w:hAnsi="Arial" w:cs="Arial"/>
                <w:color w:val="000000"/>
                <w:sz w:val="20"/>
                <w:lang w:eastAsia="es-AR"/>
              </w:rPr>
              <w:t>755</w:t>
            </w:r>
          </w:p>
        </w:tc>
      </w:tr>
      <w:tr w:rsidR="00D0240E" w:rsidRPr="00701F32" w14:paraId="777ECA9F" w14:textId="77777777" w:rsidTr="00E311C9">
        <w:trPr>
          <w:trHeight w:val="259"/>
        </w:trPr>
        <w:tc>
          <w:tcPr>
            <w:tcW w:w="53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F3938" w14:textId="77777777" w:rsidR="00D0240E" w:rsidRPr="00701F32" w:rsidRDefault="00D0240E" w:rsidP="007C07F0">
            <w:pPr>
              <w:rPr>
                <w:rFonts w:ascii="Arial" w:hAnsi="Arial" w:cs="Arial"/>
                <w:color w:val="000000"/>
                <w:sz w:val="20"/>
                <w:lang w:eastAsia="es-AR"/>
              </w:rPr>
            </w:pPr>
            <w:r w:rsidRPr="00701F32">
              <w:rPr>
                <w:rFonts w:ascii="Arial" w:hAnsi="Arial" w:cs="Arial"/>
                <w:color w:val="000000"/>
                <w:sz w:val="20"/>
                <w:lang w:eastAsia="es-AR"/>
              </w:rPr>
              <w:t>Remuneraciones y cargas sociales</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2D9EF" w14:textId="3389599F" w:rsidR="00D0240E" w:rsidRPr="00701F32" w:rsidRDefault="006B35B7">
            <w:pPr>
              <w:jc w:val="right"/>
              <w:rPr>
                <w:rFonts w:ascii="Arial" w:hAnsi="Arial" w:cs="Arial"/>
                <w:color w:val="000000"/>
                <w:sz w:val="20"/>
                <w:lang w:eastAsia="es-AR"/>
              </w:rPr>
            </w:pPr>
            <w:r w:rsidRPr="00701F32">
              <w:rPr>
                <w:rFonts w:ascii="Arial" w:hAnsi="Arial" w:cs="Arial"/>
                <w:color w:val="000000"/>
                <w:sz w:val="20"/>
                <w:lang w:eastAsia="es-AR"/>
              </w:rPr>
              <w:t>3.</w:t>
            </w:r>
            <w:r w:rsidR="00861FF4" w:rsidRPr="00701F32">
              <w:rPr>
                <w:rFonts w:ascii="Arial" w:hAnsi="Arial" w:cs="Arial"/>
                <w:color w:val="000000"/>
                <w:sz w:val="20"/>
                <w:lang w:eastAsia="es-AR"/>
              </w:rPr>
              <w:t>486</w:t>
            </w:r>
            <w:r w:rsidRPr="00701F32">
              <w:rPr>
                <w:rFonts w:ascii="Arial" w:hAnsi="Arial" w:cs="Arial"/>
                <w:color w:val="000000"/>
                <w:sz w:val="20"/>
                <w:lang w:eastAsia="es-AR"/>
              </w:rPr>
              <w:t>.</w:t>
            </w:r>
            <w:r w:rsidR="00861FF4" w:rsidRPr="00701F32">
              <w:rPr>
                <w:rFonts w:ascii="Arial" w:hAnsi="Arial" w:cs="Arial"/>
                <w:color w:val="000000"/>
                <w:sz w:val="20"/>
                <w:lang w:eastAsia="es-AR"/>
              </w:rPr>
              <w:t>357</w:t>
            </w:r>
          </w:p>
        </w:tc>
        <w:tc>
          <w:tcPr>
            <w:tcW w:w="1673" w:type="dxa"/>
            <w:tcBorders>
              <w:top w:val="single" w:sz="4" w:space="0" w:color="auto"/>
              <w:left w:val="single" w:sz="4" w:space="0" w:color="auto"/>
              <w:bottom w:val="single" w:sz="4" w:space="0" w:color="auto"/>
              <w:right w:val="single" w:sz="4" w:space="0" w:color="auto"/>
            </w:tcBorders>
            <w:vAlign w:val="bottom"/>
          </w:tcPr>
          <w:p w14:paraId="589F6F54" w14:textId="64A5AEC7" w:rsidR="00D0240E" w:rsidRPr="00701F32" w:rsidRDefault="006B35B7">
            <w:pPr>
              <w:jc w:val="right"/>
              <w:rPr>
                <w:rFonts w:ascii="Arial" w:hAnsi="Arial" w:cs="Arial"/>
                <w:color w:val="000000"/>
                <w:sz w:val="20"/>
                <w:lang w:eastAsia="es-AR"/>
              </w:rPr>
            </w:pPr>
            <w:r w:rsidRPr="00701F32">
              <w:rPr>
                <w:rFonts w:ascii="Arial" w:hAnsi="Arial" w:cs="Arial"/>
                <w:color w:val="000000"/>
                <w:sz w:val="20"/>
                <w:lang w:eastAsia="es-AR"/>
              </w:rPr>
              <w:t>2.</w:t>
            </w:r>
            <w:r w:rsidR="00861FF4" w:rsidRPr="00701F32">
              <w:rPr>
                <w:rFonts w:ascii="Arial" w:hAnsi="Arial" w:cs="Arial"/>
                <w:color w:val="000000"/>
                <w:sz w:val="20"/>
                <w:lang w:eastAsia="es-AR"/>
              </w:rPr>
              <w:t>646.117</w:t>
            </w:r>
          </w:p>
        </w:tc>
      </w:tr>
      <w:tr w:rsidR="008E4010" w:rsidRPr="00701F32" w14:paraId="41836DAD" w14:textId="77777777" w:rsidTr="00E311C9">
        <w:trPr>
          <w:trHeight w:val="274"/>
        </w:trPr>
        <w:tc>
          <w:tcPr>
            <w:tcW w:w="5334" w:type="dxa"/>
            <w:shd w:val="clear" w:color="auto" w:fill="auto"/>
            <w:noWrap/>
            <w:vAlign w:val="bottom"/>
            <w:hideMark/>
          </w:tcPr>
          <w:p w14:paraId="56301F2F" w14:textId="77777777" w:rsidR="008E4010" w:rsidRPr="00701F32" w:rsidRDefault="008E4010" w:rsidP="008E4010">
            <w:pPr>
              <w:rPr>
                <w:rFonts w:ascii="Arial" w:hAnsi="Arial" w:cs="Arial"/>
                <w:b/>
                <w:color w:val="000000"/>
                <w:sz w:val="20"/>
                <w:lang w:eastAsia="es-AR"/>
              </w:rPr>
            </w:pPr>
            <w:r w:rsidRPr="00701F32">
              <w:rPr>
                <w:rFonts w:ascii="Arial" w:hAnsi="Arial" w:cs="Arial"/>
                <w:b/>
                <w:color w:val="000000"/>
                <w:sz w:val="20"/>
                <w:lang w:eastAsia="es-AR"/>
              </w:rPr>
              <w:t>Total</w:t>
            </w:r>
          </w:p>
        </w:tc>
        <w:tc>
          <w:tcPr>
            <w:tcW w:w="1745" w:type="dxa"/>
            <w:shd w:val="clear" w:color="auto" w:fill="auto"/>
            <w:noWrap/>
            <w:vAlign w:val="bottom"/>
          </w:tcPr>
          <w:p w14:paraId="0F293DCC" w14:textId="2AC8DBB3" w:rsidR="008E4010" w:rsidRPr="00701F32" w:rsidRDefault="00861FF4">
            <w:pPr>
              <w:jc w:val="right"/>
              <w:rPr>
                <w:rFonts w:ascii="Arial" w:hAnsi="Arial" w:cs="Arial"/>
                <w:b/>
                <w:color w:val="000000"/>
                <w:sz w:val="20"/>
                <w:lang w:eastAsia="es-AR"/>
              </w:rPr>
            </w:pPr>
            <w:r w:rsidRPr="00701F32">
              <w:rPr>
                <w:rFonts w:ascii="Arial" w:hAnsi="Arial" w:cs="Arial"/>
                <w:b/>
                <w:color w:val="000000"/>
                <w:sz w:val="20"/>
                <w:lang w:eastAsia="es-AR"/>
              </w:rPr>
              <w:t>3</w:t>
            </w:r>
            <w:r w:rsidR="006B35B7" w:rsidRPr="00701F32">
              <w:rPr>
                <w:rFonts w:ascii="Arial" w:hAnsi="Arial" w:cs="Arial"/>
                <w:b/>
                <w:color w:val="000000"/>
                <w:sz w:val="20"/>
                <w:lang w:eastAsia="es-AR"/>
              </w:rPr>
              <w:t>.</w:t>
            </w:r>
            <w:r w:rsidRPr="00701F32">
              <w:rPr>
                <w:rFonts w:ascii="Arial" w:hAnsi="Arial" w:cs="Arial"/>
                <w:b/>
                <w:color w:val="000000"/>
                <w:sz w:val="20"/>
                <w:lang w:eastAsia="es-AR"/>
              </w:rPr>
              <w:t>957</w:t>
            </w:r>
            <w:r w:rsidR="006B35B7" w:rsidRPr="00701F32">
              <w:rPr>
                <w:rFonts w:ascii="Arial" w:hAnsi="Arial" w:cs="Arial"/>
                <w:b/>
                <w:color w:val="000000"/>
                <w:sz w:val="20"/>
                <w:lang w:eastAsia="es-AR"/>
              </w:rPr>
              <w:t>.</w:t>
            </w:r>
            <w:r w:rsidRPr="00701F32">
              <w:rPr>
                <w:rFonts w:ascii="Arial" w:hAnsi="Arial" w:cs="Arial"/>
                <w:b/>
                <w:color w:val="000000"/>
                <w:sz w:val="20"/>
                <w:lang w:eastAsia="es-AR"/>
              </w:rPr>
              <w:t>901</w:t>
            </w:r>
          </w:p>
        </w:tc>
        <w:tc>
          <w:tcPr>
            <w:tcW w:w="1673" w:type="dxa"/>
            <w:vAlign w:val="bottom"/>
          </w:tcPr>
          <w:p w14:paraId="3C3467EB" w14:textId="4F9C2020" w:rsidR="008E4010" w:rsidRPr="00701F32" w:rsidRDefault="006B35B7">
            <w:pPr>
              <w:jc w:val="right"/>
              <w:rPr>
                <w:rFonts w:ascii="Arial" w:hAnsi="Arial" w:cs="Arial"/>
                <w:b/>
                <w:color w:val="000000"/>
                <w:sz w:val="20"/>
                <w:lang w:eastAsia="es-AR"/>
              </w:rPr>
            </w:pPr>
            <w:r w:rsidRPr="00701F32">
              <w:rPr>
                <w:rFonts w:ascii="Arial" w:hAnsi="Arial" w:cs="Arial"/>
                <w:b/>
                <w:color w:val="000000"/>
                <w:sz w:val="20"/>
                <w:lang w:eastAsia="es-AR"/>
              </w:rPr>
              <w:t>3.</w:t>
            </w:r>
            <w:r w:rsidR="00861FF4" w:rsidRPr="00701F32">
              <w:rPr>
                <w:rFonts w:ascii="Arial" w:hAnsi="Arial" w:cs="Arial"/>
                <w:b/>
                <w:color w:val="000000"/>
                <w:sz w:val="20"/>
                <w:lang w:eastAsia="es-AR"/>
              </w:rPr>
              <w:t>09</w:t>
            </w:r>
            <w:r w:rsidRPr="00701F32">
              <w:rPr>
                <w:rFonts w:ascii="Arial" w:hAnsi="Arial" w:cs="Arial"/>
                <w:b/>
                <w:color w:val="000000"/>
                <w:sz w:val="20"/>
                <w:lang w:eastAsia="es-AR"/>
              </w:rPr>
              <w:t>2.</w:t>
            </w:r>
            <w:r w:rsidR="00861FF4" w:rsidRPr="00701F32">
              <w:rPr>
                <w:rFonts w:ascii="Arial" w:hAnsi="Arial" w:cs="Arial"/>
                <w:b/>
                <w:color w:val="000000"/>
                <w:sz w:val="20"/>
                <w:lang w:eastAsia="es-AR"/>
              </w:rPr>
              <w:t>872</w:t>
            </w:r>
          </w:p>
        </w:tc>
      </w:tr>
    </w:tbl>
    <w:p w14:paraId="01B2B27D" w14:textId="77777777" w:rsidR="008E4010" w:rsidRPr="00701F32" w:rsidRDefault="008E4010" w:rsidP="008E4010">
      <w:pPr>
        <w:rPr>
          <w:rFonts w:ascii="Arial" w:hAnsi="Arial" w:cs="Arial"/>
          <w:bCs/>
          <w:color w:val="000000"/>
          <w:sz w:val="20"/>
          <w:lang w:eastAsia="es-AR"/>
        </w:rPr>
      </w:pPr>
    </w:p>
    <w:p w14:paraId="46DE161F" w14:textId="77777777" w:rsidR="006C6698" w:rsidRDefault="006C6698" w:rsidP="008E4010">
      <w:pPr>
        <w:rPr>
          <w:rFonts w:ascii="Arial" w:hAnsi="Arial" w:cs="Arial"/>
          <w:bCs/>
          <w:color w:val="000000"/>
          <w:sz w:val="20"/>
          <w:lang w:eastAsia="es-AR"/>
        </w:rPr>
      </w:pPr>
    </w:p>
    <w:p w14:paraId="18A746E9" w14:textId="1BF3C327" w:rsidR="006C6698" w:rsidRDefault="006C6698" w:rsidP="008E4010">
      <w:pPr>
        <w:rPr>
          <w:rFonts w:ascii="Arial" w:hAnsi="Arial" w:cs="Arial"/>
          <w:bCs/>
          <w:color w:val="000000"/>
          <w:sz w:val="20"/>
          <w:lang w:eastAsia="es-AR"/>
        </w:rPr>
      </w:pPr>
    </w:p>
    <w:p w14:paraId="71926749" w14:textId="77777777" w:rsidR="00841E78" w:rsidRDefault="00841E78" w:rsidP="008E4010">
      <w:pPr>
        <w:rPr>
          <w:rFonts w:ascii="Arial" w:hAnsi="Arial" w:cs="Arial"/>
          <w:bCs/>
          <w:color w:val="000000"/>
          <w:sz w:val="20"/>
          <w:lang w:eastAsia="es-AR"/>
        </w:rPr>
      </w:pPr>
    </w:p>
    <w:p w14:paraId="3F761152" w14:textId="4E47196D" w:rsidR="008E4010" w:rsidRPr="00701F32" w:rsidRDefault="008E4010" w:rsidP="008E4010">
      <w:pPr>
        <w:rPr>
          <w:rFonts w:ascii="Arial" w:hAnsi="Arial" w:cs="Arial"/>
          <w:bCs/>
          <w:color w:val="000000"/>
          <w:sz w:val="20"/>
          <w:lang w:eastAsia="es-AR"/>
        </w:rPr>
      </w:pPr>
      <w:r w:rsidRPr="00701F32">
        <w:rPr>
          <w:rFonts w:ascii="Arial" w:hAnsi="Arial" w:cs="Arial"/>
          <w:bCs/>
          <w:color w:val="000000"/>
          <w:sz w:val="20"/>
          <w:lang w:eastAsia="es-AR"/>
        </w:rPr>
        <w:t>7.14 Gastos de Administración</w:t>
      </w:r>
    </w:p>
    <w:p w14:paraId="2F833B34" w14:textId="77777777" w:rsidR="006D5978" w:rsidRPr="00701F32" w:rsidRDefault="006D5978" w:rsidP="008E4010">
      <w:pPr>
        <w:rPr>
          <w:rFonts w:ascii="Arial" w:hAnsi="Arial" w:cs="Arial"/>
          <w:bCs/>
          <w:color w:val="000000"/>
          <w:sz w:val="20"/>
          <w:lang w:eastAsia="es-AR"/>
        </w:rPr>
      </w:pPr>
    </w:p>
    <w:p w14:paraId="0FB83ECB" w14:textId="087D608C" w:rsidR="002C3A48" w:rsidRPr="00701F32" w:rsidRDefault="006D5978" w:rsidP="00841E78">
      <w:pPr>
        <w:spacing w:after="160" w:line="259" w:lineRule="auto"/>
        <w:rPr>
          <w:rFonts w:ascii="Arial" w:hAnsi="Arial" w:cs="Arial"/>
          <w:bCs/>
          <w:color w:val="000000"/>
          <w:sz w:val="20"/>
          <w:lang w:eastAsia="es-AR"/>
        </w:rPr>
      </w:pPr>
      <w:r w:rsidRPr="00701F32">
        <w:rPr>
          <w:rFonts w:ascii="Arial" w:eastAsiaTheme="minorHAnsi" w:hAnsi="Arial" w:cs="Arial"/>
          <w:sz w:val="20"/>
          <w:szCs w:val="22"/>
        </w:rPr>
        <w:t xml:space="preserve">Los principales componentes del rubro gastos de administración </w:t>
      </w:r>
      <w:r w:rsidR="00A3374B" w:rsidRPr="00701F32">
        <w:rPr>
          <w:rFonts w:ascii="Arial" w:eastAsiaTheme="minorHAnsi" w:hAnsi="Arial" w:cs="Arial"/>
          <w:sz w:val="20"/>
          <w:szCs w:val="22"/>
        </w:rPr>
        <w:t xml:space="preserve">por los períodos finalizados el 30 de </w:t>
      </w:r>
      <w:r w:rsidR="00A3374B" w:rsidRPr="00701F32">
        <w:rPr>
          <w:rFonts w:ascii="Arial" w:eastAsiaTheme="minorHAnsi" w:hAnsi="Arial" w:cs="Arial"/>
          <w:sz w:val="20"/>
        </w:rPr>
        <w:t>septiembre</w:t>
      </w:r>
      <w:r w:rsidR="00A3374B" w:rsidRPr="00701F32">
        <w:rPr>
          <w:rFonts w:ascii="Arial" w:eastAsiaTheme="minorHAnsi" w:hAnsi="Arial" w:cs="Arial"/>
          <w:sz w:val="20"/>
          <w:szCs w:val="22"/>
        </w:rPr>
        <w:t xml:space="preserve"> de 2018 y 2017 son los siguientes:</w:t>
      </w:r>
    </w:p>
    <w:tbl>
      <w:tblPr>
        <w:tblW w:w="86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3"/>
        <w:gridCol w:w="1763"/>
        <w:gridCol w:w="1628"/>
      </w:tblGrid>
      <w:tr w:rsidR="008E4010" w:rsidRPr="00701F32" w14:paraId="02414813" w14:textId="77777777" w:rsidTr="00E311C9">
        <w:trPr>
          <w:trHeight w:val="261"/>
        </w:trPr>
        <w:tc>
          <w:tcPr>
            <w:tcW w:w="5293" w:type="dxa"/>
            <w:shd w:val="clear" w:color="auto" w:fill="auto"/>
            <w:noWrap/>
            <w:vAlign w:val="bottom"/>
            <w:hideMark/>
          </w:tcPr>
          <w:p w14:paraId="6A9DF92F" w14:textId="77777777" w:rsidR="008E4010" w:rsidRPr="00701F32" w:rsidRDefault="008E4010" w:rsidP="008E4010">
            <w:pPr>
              <w:rPr>
                <w:rFonts w:ascii="Arial" w:hAnsi="Arial" w:cs="Arial"/>
                <w:b/>
                <w:bCs/>
                <w:color w:val="000000"/>
                <w:sz w:val="20"/>
                <w:lang w:eastAsia="es-AR"/>
              </w:rPr>
            </w:pPr>
            <w:r w:rsidRPr="00701F32">
              <w:rPr>
                <w:rFonts w:ascii="Arial" w:hAnsi="Arial" w:cs="Arial"/>
                <w:b/>
                <w:bCs/>
                <w:color w:val="000000"/>
                <w:sz w:val="20"/>
                <w:lang w:eastAsia="es-AR"/>
              </w:rPr>
              <w:t>Gastos de administración</w:t>
            </w:r>
          </w:p>
        </w:tc>
        <w:tc>
          <w:tcPr>
            <w:tcW w:w="1763" w:type="dxa"/>
            <w:shd w:val="clear" w:color="auto" w:fill="auto"/>
            <w:noWrap/>
            <w:vAlign w:val="center"/>
            <w:hideMark/>
          </w:tcPr>
          <w:p w14:paraId="496D7BDB" w14:textId="77777777" w:rsidR="008E4010" w:rsidRPr="00701F32" w:rsidRDefault="008E4010" w:rsidP="00B502CC">
            <w:pPr>
              <w:jc w:val="center"/>
              <w:rPr>
                <w:rFonts w:ascii="Arial" w:hAnsi="Arial" w:cs="Arial"/>
                <w:b/>
                <w:color w:val="000000"/>
                <w:sz w:val="20"/>
                <w:lang w:eastAsia="es-AR"/>
              </w:rPr>
            </w:pPr>
            <w:r w:rsidRPr="00701F32">
              <w:rPr>
                <w:rFonts w:ascii="Arial" w:hAnsi="Arial" w:cs="Arial"/>
                <w:b/>
                <w:color w:val="000000"/>
                <w:sz w:val="20"/>
                <w:lang w:eastAsia="es-AR"/>
              </w:rPr>
              <w:t>31/0</w:t>
            </w:r>
            <w:r w:rsidR="00A3374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628" w:type="dxa"/>
            <w:vAlign w:val="center"/>
          </w:tcPr>
          <w:p w14:paraId="08355D19" w14:textId="77777777" w:rsidR="008E4010" w:rsidRPr="00701F32" w:rsidRDefault="008E4010" w:rsidP="0097356D">
            <w:pPr>
              <w:jc w:val="center"/>
              <w:rPr>
                <w:rFonts w:ascii="Arial" w:hAnsi="Arial" w:cs="Arial"/>
                <w:b/>
                <w:color w:val="000000"/>
                <w:sz w:val="20"/>
                <w:lang w:eastAsia="es-AR"/>
              </w:rPr>
            </w:pPr>
            <w:r w:rsidRPr="00701F32">
              <w:rPr>
                <w:rFonts w:ascii="Arial" w:hAnsi="Arial" w:cs="Arial"/>
                <w:b/>
                <w:color w:val="000000"/>
                <w:sz w:val="20"/>
                <w:lang w:eastAsia="es-AR"/>
              </w:rPr>
              <w:t>3</w:t>
            </w:r>
            <w:r w:rsidR="0097356D" w:rsidRPr="00701F32">
              <w:rPr>
                <w:rFonts w:ascii="Arial" w:hAnsi="Arial" w:cs="Arial"/>
                <w:b/>
                <w:color w:val="000000"/>
                <w:sz w:val="20"/>
                <w:lang w:eastAsia="es-AR"/>
              </w:rPr>
              <w:t>0</w:t>
            </w:r>
            <w:r w:rsidRPr="00701F32">
              <w:rPr>
                <w:rFonts w:ascii="Arial" w:hAnsi="Arial" w:cs="Arial"/>
                <w:b/>
                <w:color w:val="000000"/>
                <w:sz w:val="20"/>
                <w:lang w:eastAsia="es-AR"/>
              </w:rPr>
              <w:t>/0</w:t>
            </w:r>
            <w:r w:rsidR="00A3374B"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8E4010" w:rsidRPr="00701F32" w14:paraId="2E4B6E84" w14:textId="77777777" w:rsidTr="00E311C9">
        <w:trPr>
          <w:trHeight w:val="261"/>
        </w:trPr>
        <w:tc>
          <w:tcPr>
            <w:tcW w:w="5293" w:type="dxa"/>
            <w:shd w:val="clear" w:color="auto" w:fill="auto"/>
            <w:noWrap/>
            <w:vAlign w:val="bottom"/>
            <w:hideMark/>
          </w:tcPr>
          <w:p w14:paraId="1D76B907"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Alquileres</w:t>
            </w:r>
          </w:p>
        </w:tc>
        <w:tc>
          <w:tcPr>
            <w:tcW w:w="1763" w:type="dxa"/>
            <w:shd w:val="clear" w:color="auto" w:fill="auto"/>
            <w:noWrap/>
            <w:vAlign w:val="bottom"/>
          </w:tcPr>
          <w:p w14:paraId="6EA4F6E4" w14:textId="7C4C6A7D"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25</w:t>
            </w:r>
            <w:r w:rsidR="00861FF4" w:rsidRPr="00701F32">
              <w:rPr>
                <w:rFonts w:ascii="Arial" w:hAnsi="Arial" w:cs="Arial"/>
                <w:color w:val="000000"/>
                <w:sz w:val="20"/>
                <w:lang w:val="es-ES_tradnl" w:eastAsia="es-AR"/>
              </w:rPr>
              <w:t>0</w:t>
            </w:r>
            <w:r w:rsidRPr="00701F32">
              <w:rPr>
                <w:rFonts w:ascii="Arial" w:hAnsi="Arial" w:cs="Arial"/>
                <w:color w:val="000000"/>
                <w:sz w:val="20"/>
                <w:lang w:val="es-ES_tradnl" w:eastAsia="es-AR"/>
              </w:rPr>
              <w:t>.</w:t>
            </w:r>
            <w:r w:rsidR="00861FF4" w:rsidRPr="00701F32">
              <w:rPr>
                <w:rFonts w:ascii="Arial" w:hAnsi="Arial" w:cs="Arial"/>
                <w:color w:val="000000"/>
                <w:sz w:val="20"/>
                <w:lang w:val="es-ES_tradnl" w:eastAsia="es-AR"/>
              </w:rPr>
              <w:t>225</w:t>
            </w:r>
          </w:p>
        </w:tc>
        <w:tc>
          <w:tcPr>
            <w:tcW w:w="1628" w:type="dxa"/>
            <w:vAlign w:val="bottom"/>
          </w:tcPr>
          <w:p w14:paraId="49A08642" w14:textId="61A1F0BF"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6D10DE" w:rsidRPr="00701F32">
              <w:rPr>
                <w:rFonts w:ascii="Arial" w:hAnsi="Arial" w:cs="Arial"/>
                <w:color w:val="000000"/>
                <w:sz w:val="20"/>
                <w:lang w:val="es-ES_tradnl" w:eastAsia="es-AR"/>
              </w:rPr>
              <w:t>69</w:t>
            </w:r>
            <w:r w:rsidRPr="00701F32">
              <w:rPr>
                <w:rFonts w:ascii="Arial" w:hAnsi="Arial" w:cs="Arial"/>
                <w:color w:val="000000"/>
                <w:sz w:val="20"/>
                <w:lang w:val="es-ES_tradnl" w:eastAsia="es-AR"/>
              </w:rPr>
              <w:t>.5</w:t>
            </w:r>
            <w:r w:rsidR="006D10DE" w:rsidRPr="00701F32">
              <w:rPr>
                <w:rFonts w:ascii="Arial" w:hAnsi="Arial" w:cs="Arial"/>
                <w:color w:val="000000"/>
                <w:sz w:val="20"/>
                <w:lang w:val="es-ES_tradnl" w:eastAsia="es-AR"/>
              </w:rPr>
              <w:t>48</w:t>
            </w:r>
          </w:p>
        </w:tc>
      </w:tr>
      <w:tr w:rsidR="008E4010" w:rsidRPr="00701F32" w14:paraId="2D86B49D"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B7DF2"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Energía eléctrica, gas  y teléfono</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B6509" w14:textId="321D40E0"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861FF4" w:rsidRPr="00701F32">
              <w:rPr>
                <w:rFonts w:ascii="Arial" w:hAnsi="Arial" w:cs="Arial"/>
                <w:color w:val="000000"/>
                <w:sz w:val="20"/>
                <w:lang w:val="es-ES_tradnl" w:eastAsia="es-AR"/>
              </w:rPr>
              <w:t>22</w:t>
            </w:r>
            <w:r w:rsidRPr="00701F32">
              <w:rPr>
                <w:rFonts w:ascii="Arial" w:hAnsi="Arial" w:cs="Arial"/>
                <w:color w:val="000000"/>
                <w:sz w:val="20"/>
                <w:lang w:val="es-ES_tradnl" w:eastAsia="es-AR"/>
              </w:rPr>
              <w:t>.</w:t>
            </w:r>
            <w:r w:rsidR="00861FF4" w:rsidRPr="00701F32">
              <w:rPr>
                <w:rFonts w:ascii="Arial" w:hAnsi="Arial" w:cs="Arial"/>
                <w:color w:val="000000"/>
                <w:sz w:val="20"/>
                <w:lang w:val="es-ES_tradnl" w:eastAsia="es-AR"/>
              </w:rPr>
              <w:t>341</w:t>
            </w:r>
          </w:p>
        </w:tc>
        <w:tc>
          <w:tcPr>
            <w:tcW w:w="1628" w:type="dxa"/>
            <w:tcBorders>
              <w:top w:val="single" w:sz="4" w:space="0" w:color="auto"/>
              <w:left w:val="single" w:sz="4" w:space="0" w:color="auto"/>
              <w:bottom w:val="single" w:sz="4" w:space="0" w:color="auto"/>
              <w:right w:val="single" w:sz="4" w:space="0" w:color="auto"/>
            </w:tcBorders>
            <w:vAlign w:val="bottom"/>
          </w:tcPr>
          <w:p w14:paraId="49DFE5FB" w14:textId="1FAF79C7" w:rsidR="008E4010" w:rsidRPr="00701F32" w:rsidRDefault="006D10DE">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78.315</w:t>
            </w:r>
          </w:p>
        </w:tc>
      </w:tr>
      <w:tr w:rsidR="008E4010" w:rsidRPr="00701F32" w14:paraId="662B3B96"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AA20"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Gastos de publicidad, promoción e investigación</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A6537" w14:textId="00E38960" w:rsidR="008E4010" w:rsidRPr="00701F32" w:rsidRDefault="00861FF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192</w:t>
            </w:r>
            <w:r w:rsidR="00AF003C"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071</w:t>
            </w:r>
          </w:p>
        </w:tc>
        <w:tc>
          <w:tcPr>
            <w:tcW w:w="1628" w:type="dxa"/>
            <w:tcBorders>
              <w:top w:val="single" w:sz="4" w:space="0" w:color="auto"/>
              <w:left w:val="single" w:sz="4" w:space="0" w:color="auto"/>
              <w:bottom w:val="single" w:sz="4" w:space="0" w:color="auto"/>
              <w:right w:val="single" w:sz="4" w:space="0" w:color="auto"/>
            </w:tcBorders>
            <w:vAlign w:val="bottom"/>
          </w:tcPr>
          <w:p w14:paraId="5C19D5C8" w14:textId="3A42812A"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6D10DE" w:rsidRPr="00701F32">
              <w:rPr>
                <w:rFonts w:ascii="Arial" w:hAnsi="Arial" w:cs="Arial"/>
                <w:color w:val="000000"/>
                <w:sz w:val="20"/>
                <w:lang w:val="es-ES_tradnl" w:eastAsia="es-AR"/>
              </w:rPr>
              <w:t>41</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147</w:t>
            </w:r>
          </w:p>
        </w:tc>
      </w:tr>
      <w:tr w:rsidR="008E4010" w:rsidRPr="00701F32" w14:paraId="4E8C4E3B"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9D2D8"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Gastos de representación y movilidad</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A6AC7" w14:textId="1B5DCF8A" w:rsidR="008E4010" w:rsidRPr="00701F32" w:rsidRDefault="00861FF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45</w:t>
            </w:r>
            <w:r w:rsidR="00AF003C"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876</w:t>
            </w:r>
          </w:p>
        </w:tc>
        <w:tc>
          <w:tcPr>
            <w:tcW w:w="1628" w:type="dxa"/>
            <w:tcBorders>
              <w:top w:val="single" w:sz="4" w:space="0" w:color="auto"/>
              <w:left w:val="single" w:sz="4" w:space="0" w:color="auto"/>
              <w:bottom w:val="single" w:sz="4" w:space="0" w:color="auto"/>
              <w:right w:val="single" w:sz="4" w:space="0" w:color="auto"/>
            </w:tcBorders>
            <w:vAlign w:val="bottom"/>
          </w:tcPr>
          <w:p w14:paraId="5F1F4AFA" w14:textId="2D389A48" w:rsidR="008E4010" w:rsidRPr="00701F32" w:rsidRDefault="006D10DE">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38</w:t>
            </w:r>
            <w:r w:rsidR="00AF003C"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344</w:t>
            </w:r>
          </w:p>
        </w:tc>
      </w:tr>
      <w:tr w:rsidR="008E4010" w:rsidRPr="00701F32" w14:paraId="32042155"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21F79"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Honorarios al Directorio</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E5055" w14:textId="05AD8F26"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73.</w:t>
            </w:r>
            <w:r w:rsidR="00861FF4" w:rsidRPr="00701F32">
              <w:rPr>
                <w:rFonts w:ascii="Arial" w:hAnsi="Arial" w:cs="Arial"/>
                <w:color w:val="000000"/>
                <w:sz w:val="20"/>
                <w:lang w:val="es-ES_tradnl" w:eastAsia="es-AR"/>
              </w:rPr>
              <w:t>405</w:t>
            </w:r>
          </w:p>
        </w:tc>
        <w:tc>
          <w:tcPr>
            <w:tcW w:w="1628" w:type="dxa"/>
            <w:tcBorders>
              <w:top w:val="single" w:sz="4" w:space="0" w:color="auto"/>
              <w:left w:val="single" w:sz="4" w:space="0" w:color="auto"/>
              <w:bottom w:val="single" w:sz="4" w:space="0" w:color="auto"/>
              <w:right w:val="single" w:sz="4" w:space="0" w:color="auto"/>
            </w:tcBorders>
            <w:vAlign w:val="bottom"/>
          </w:tcPr>
          <w:p w14:paraId="517C8B98" w14:textId="68555A80"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39.</w:t>
            </w:r>
            <w:r w:rsidR="006D10DE" w:rsidRPr="00701F32">
              <w:rPr>
                <w:rFonts w:ascii="Arial" w:hAnsi="Arial" w:cs="Arial"/>
                <w:color w:val="000000"/>
                <w:sz w:val="20"/>
                <w:lang w:val="es-ES_tradnl" w:eastAsia="es-AR"/>
              </w:rPr>
              <w:t>127</w:t>
            </w:r>
          </w:p>
        </w:tc>
      </w:tr>
      <w:tr w:rsidR="008E4010" w:rsidRPr="00701F32" w14:paraId="00A6D139"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F8EEC"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Honorarios y retribuciones por servicios</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AD3CB" w14:textId="27F6620C" w:rsidR="008E4010" w:rsidRPr="00701F32" w:rsidRDefault="00861FF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9</w:t>
            </w:r>
            <w:r w:rsidR="00AF003C" w:rsidRPr="00701F32">
              <w:rPr>
                <w:rFonts w:ascii="Arial" w:hAnsi="Arial" w:cs="Arial"/>
                <w:color w:val="000000"/>
                <w:sz w:val="20"/>
                <w:lang w:val="es-ES_tradnl" w:eastAsia="es-AR"/>
              </w:rPr>
              <w:t>33.</w:t>
            </w:r>
            <w:r w:rsidRPr="00701F32">
              <w:rPr>
                <w:rFonts w:ascii="Arial" w:hAnsi="Arial" w:cs="Arial"/>
                <w:color w:val="000000"/>
                <w:sz w:val="20"/>
                <w:lang w:val="es-ES_tradnl" w:eastAsia="es-AR"/>
              </w:rPr>
              <w:t>0</w:t>
            </w:r>
            <w:r w:rsidR="00322EA5" w:rsidRPr="00701F32">
              <w:rPr>
                <w:rFonts w:ascii="Arial" w:hAnsi="Arial" w:cs="Arial"/>
                <w:color w:val="000000"/>
                <w:sz w:val="20"/>
                <w:lang w:val="es-ES_tradnl" w:eastAsia="es-AR"/>
              </w:rPr>
              <w:t>0</w:t>
            </w:r>
            <w:r w:rsidRPr="00701F32">
              <w:rPr>
                <w:rFonts w:ascii="Arial" w:hAnsi="Arial" w:cs="Arial"/>
                <w:color w:val="000000"/>
                <w:sz w:val="20"/>
                <w:lang w:val="es-ES_tradnl" w:eastAsia="es-AR"/>
              </w:rPr>
              <w:t>8</w:t>
            </w:r>
          </w:p>
        </w:tc>
        <w:tc>
          <w:tcPr>
            <w:tcW w:w="1628" w:type="dxa"/>
            <w:tcBorders>
              <w:top w:val="single" w:sz="4" w:space="0" w:color="auto"/>
              <w:left w:val="single" w:sz="4" w:space="0" w:color="auto"/>
              <w:bottom w:val="single" w:sz="4" w:space="0" w:color="auto"/>
              <w:right w:val="single" w:sz="4" w:space="0" w:color="auto"/>
            </w:tcBorders>
            <w:vAlign w:val="bottom"/>
          </w:tcPr>
          <w:p w14:paraId="61BBE757" w14:textId="72668A8F"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7</w:t>
            </w:r>
            <w:r w:rsidR="006D10DE" w:rsidRPr="00701F32">
              <w:rPr>
                <w:rFonts w:ascii="Arial" w:hAnsi="Arial" w:cs="Arial"/>
                <w:color w:val="000000"/>
                <w:sz w:val="20"/>
                <w:lang w:val="es-ES_tradnl" w:eastAsia="es-AR"/>
              </w:rPr>
              <w:t>07</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302</w:t>
            </w:r>
          </w:p>
        </w:tc>
      </w:tr>
      <w:tr w:rsidR="008E4010" w:rsidRPr="00701F32" w14:paraId="73CB1491"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5184E"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Impuestos y tasas</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21C57" w14:textId="6056FEF7" w:rsidR="008E4010" w:rsidRPr="00701F32" w:rsidRDefault="00861FF4">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434</w:t>
            </w:r>
            <w:r w:rsidR="00AF003C" w:rsidRPr="00701F32">
              <w:rPr>
                <w:rFonts w:ascii="Arial" w:hAnsi="Arial" w:cs="Arial"/>
                <w:color w:val="000000"/>
                <w:sz w:val="20"/>
                <w:lang w:val="es-ES_tradnl" w:eastAsia="es-AR"/>
              </w:rPr>
              <w:t>.7</w:t>
            </w:r>
            <w:r w:rsidRPr="00701F32">
              <w:rPr>
                <w:rFonts w:ascii="Arial" w:hAnsi="Arial" w:cs="Arial"/>
                <w:color w:val="000000"/>
                <w:sz w:val="20"/>
                <w:lang w:val="es-ES_tradnl" w:eastAsia="es-AR"/>
              </w:rPr>
              <w:t>00</w:t>
            </w:r>
          </w:p>
        </w:tc>
        <w:tc>
          <w:tcPr>
            <w:tcW w:w="1628" w:type="dxa"/>
            <w:tcBorders>
              <w:top w:val="single" w:sz="4" w:space="0" w:color="auto"/>
              <w:left w:val="single" w:sz="4" w:space="0" w:color="auto"/>
              <w:bottom w:val="single" w:sz="4" w:space="0" w:color="auto"/>
              <w:right w:val="single" w:sz="4" w:space="0" w:color="auto"/>
            </w:tcBorders>
            <w:vAlign w:val="bottom"/>
          </w:tcPr>
          <w:p w14:paraId="24B5F6D5" w14:textId="6CBA1835" w:rsidR="008E4010" w:rsidRPr="00701F32" w:rsidRDefault="006D10DE">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297</w:t>
            </w:r>
            <w:r w:rsidR="00AF003C"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950</w:t>
            </w:r>
          </w:p>
        </w:tc>
      </w:tr>
      <w:tr w:rsidR="008E4010" w:rsidRPr="00701F32" w14:paraId="3CECBD9D"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0F64C"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Mantenimiento y reparaciones</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5AE54" w14:textId="74E4967B"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w:t>
            </w:r>
            <w:r w:rsidR="00861FF4" w:rsidRPr="00701F32">
              <w:rPr>
                <w:rFonts w:ascii="Arial" w:hAnsi="Arial" w:cs="Arial"/>
                <w:color w:val="000000"/>
                <w:sz w:val="20"/>
                <w:lang w:val="es-ES_tradnl" w:eastAsia="es-AR"/>
              </w:rPr>
              <w:t>05</w:t>
            </w:r>
            <w:r w:rsidRPr="00701F32">
              <w:rPr>
                <w:rFonts w:ascii="Arial" w:hAnsi="Arial" w:cs="Arial"/>
                <w:color w:val="000000"/>
                <w:sz w:val="20"/>
                <w:lang w:val="es-ES_tradnl" w:eastAsia="es-AR"/>
              </w:rPr>
              <w:t>.</w:t>
            </w:r>
            <w:r w:rsidR="00861FF4" w:rsidRPr="00701F32">
              <w:rPr>
                <w:rFonts w:ascii="Arial" w:hAnsi="Arial" w:cs="Arial"/>
                <w:color w:val="000000"/>
                <w:sz w:val="20"/>
                <w:lang w:val="es-ES_tradnl" w:eastAsia="es-AR"/>
              </w:rPr>
              <w:t>063</w:t>
            </w:r>
          </w:p>
        </w:tc>
        <w:tc>
          <w:tcPr>
            <w:tcW w:w="1628" w:type="dxa"/>
            <w:tcBorders>
              <w:top w:val="single" w:sz="4" w:space="0" w:color="auto"/>
              <w:left w:val="single" w:sz="4" w:space="0" w:color="auto"/>
              <w:bottom w:val="single" w:sz="4" w:space="0" w:color="auto"/>
              <w:right w:val="single" w:sz="4" w:space="0" w:color="auto"/>
            </w:tcBorders>
            <w:vAlign w:val="bottom"/>
          </w:tcPr>
          <w:p w14:paraId="2F0DBBDC" w14:textId="4C13BD80"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22</w:t>
            </w:r>
            <w:r w:rsidR="006D10DE" w:rsidRPr="00701F32">
              <w:rPr>
                <w:rFonts w:ascii="Arial" w:hAnsi="Arial" w:cs="Arial"/>
                <w:color w:val="000000"/>
                <w:sz w:val="20"/>
                <w:lang w:val="es-ES_tradnl" w:eastAsia="es-AR"/>
              </w:rPr>
              <w:t>0</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199</w:t>
            </w:r>
          </w:p>
        </w:tc>
      </w:tr>
      <w:tr w:rsidR="008E4010" w:rsidRPr="00701F32" w14:paraId="4AA8CD8C" w14:textId="77777777" w:rsidTr="00E311C9">
        <w:trPr>
          <w:trHeight w:val="276"/>
        </w:trPr>
        <w:tc>
          <w:tcPr>
            <w:tcW w:w="5293" w:type="dxa"/>
            <w:shd w:val="clear" w:color="auto" w:fill="auto"/>
            <w:noWrap/>
            <w:vAlign w:val="bottom"/>
          </w:tcPr>
          <w:p w14:paraId="61330FF1"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Utiles de oficina</w:t>
            </w:r>
          </w:p>
        </w:tc>
        <w:tc>
          <w:tcPr>
            <w:tcW w:w="1763" w:type="dxa"/>
            <w:shd w:val="clear" w:color="auto" w:fill="auto"/>
            <w:noWrap/>
            <w:vAlign w:val="bottom"/>
          </w:tcPr>
          <w:p w14:paraId="7EF77D91" w14:textId="33DC56C0"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3</w:t>
            </w:r>
            <w:r w:rsidR="006D10DE" w:rsidRPr="00701F32">
              <w:rPr>
                <w:rFonts w:ascii="Arial" w:hAnsi="Arial" w:cs="Arial"/>
                <w:color w:val="000000"/>
                <w:sz w:val="20"/>
                <w:lang w:val="es-ES_tradnl" w:eastAsia="es-AR"/>
              </w:rPr>
              <w:t>0</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481</w:t>
            </w:r>
          </w:p>
        </w:tc>
        <w:tc>
          <w:tcPr>
            <w:tcW w:w="1628" w:type="dxa"/>
            <w:vAlign w:val="bottom"/>
          </w:tcPr>
          <w:p w14:paraId="77992EE4" w14:textId="6BF30965" w:rsidR="008E4010"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w:t>
            </w:r>
            <w:r w:rsidR="006D10DE" w:rsidRPr="00701F32">
              <w:rPr>
                <w:rFonts w:ascii="Arial" w:hAnsi="Arial" w:cs="Arial"/>
                <w:color w:val="000000"/>
                <w:sz w:val="20"/>
                <w:lang w:val="es-ES_tradnl" w:eastAsia="es-AR"/>
              </w:rPr>
              <w:t>2</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552</w:t>
            </w:r>
          </w:p>
        </w:tc>
      </w:tr>
      <w:tr w:rsidR="00D0240E" w:rsidRPr="00701F32" w14:paraId="33AFD27E" w14:textId="77777777" w:rsidTr="00E311C9">
        <w:trPr>
          <w:trHeight w:val="261"/>
        </w:trPr>
        <w:tc>
          <w:tcPr>
            <w:tcW w:w="5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26347" w14:textId="77777777" w:rsidR="00D0240E" w:rsidRPr="00701F32" w:rsidRDefault="00D0240E" w:rsidP="007C07F0">
            <w:pPr>
              <w:rPr>
                <w:rFonts w:ascii="Arial" w:hAnsi="Arial" w:cs="Arial"/>
                <w:color w:val="000000"/>
                <w:sz w:val="20"/>
                <w:lang w:eastAsia="es-AR"/>
              </w:rPr>
            </w:pPr>
            <w:r w:rsidRPr="00701F32">
              <w:rPr>
                <w:rFonts w:ascii="Arial" w:hAnsi="Arial" w:cs="Arial"/>
                <w:color w:val="000000"/>
                <w:sz w:val="20"/>
                <w:lang w:eastAsia="es-AR"/>
              </w:rPr>
              <w:t>Diversos</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77874" w14:textId="6F5AB560" w:rsidR="00D0240E" w:rsidRPr="00701F32" w:rsidRDefault="00AF003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6D10DE" w:rsidRPr="00701F32">
              <w:rPr>
                <w:rFonts w:ascii="Arial" w:hAnsi="Arial" w:cs="Arial"/>
                <w:color w:val="000000"/>
                <w:sz w:val="20"/>
                <w:lang w:val="es-ES_tradnl" w:eastAsia="es-AR"/>
              </w:rPr>
              <w:t>06</w:t>
            </w:r>
            <w:r w:rsidRPr="00701F32">
              <w:rPr>
                <w:rFonts w:ascii="Arial" w:hAnsi="Arial" w:cs="Arial"/>
                <w:color w:val="000000"/>
                <w:sz w:val="20"/>
                <w:lang w:val="es-ES_tradnl" w:eastAsia="es-AR"/>
              </w:rPr>
              <w:t>.</w:t>
            </w:r>
            <w:r w:rsidR="006D10DE" w:rsidRPr="00701F32">
              <w:rPr>
                <w:rFonts w:ascii="Arial" w:hAnsi="Arial" w:cs="Arial"/>
                <w:color w:val="000000"/>
                <w:sz w:val="20"/>
                <w:lang w:val="es-ES_tradnl" w:eastAsia="es-AR"/>
              </w:rPr>
              <w:t>4</w:t>
            </w:r>
            <w:r w:rsidRPr="00701F32">
              <w:rPr>
                <w:rFonts w:ascii="Arial" w:hAnsi="Arial" w:cs="Arial"/>
                <w:color w:val="000000"/>
                <w:sz w:val="20"/>
                <w:lang w:val="es-ES_tradnl" w:eastAsia="es-AR"/>
              </w:rPr>
              <w:t>0</w:t>
            </w:r>
            <w:r w:rsidR="006D10DE" w:rsidRPr="00701F32">
              <w:rPr>
                <w:rFonts w:ascii="Arial" w:hAnsi="Arial" w:cs="Arial"/>
                <w:color w:val="000000"/>
                <w:sz w:val="20"/>
                <w:lang w:val="es-ES_tradnl" w:eastAsia="es-AR"/>
              </w:rPr>
              <w:t>2</w:t>
            </w:r>
          </w:p>
        </w:tc>
        <w:tc>
          <w:tcPr>
            <w:tcW w:w="1628" w:type="dxa"/>
            <w:tcBorders>
              <w:top w:val="single" w:sz="4" w:space="0" w:color="auto"/>
              <w:left w:val="single" w:sz="4" w:space="0" w:color="auto"/>
              <w:bottom w:val="single" w:sz="4" w:space="0" w:color="auto"/>
              <w:right w:val="single" w:sz="4" w:space="0" w:color="auto"/>
            </w:tcBorders>
            <w:vAlign w:val="bottom"/>
          </w:tcPr>
          <w:p w14:paraId="29A4D5EE" w14:textId="40D7B588" w:rsidR="00D0240E" w:rsidRPr="00701F32" w:rsidRDefault="006D10DE">
            <w:pPr>
              <w:jc w:val="right"/>
              <w:rPr>
                <w:rFonts w:ascii="Arial" w:hAnsi="Arial" w:cs="Arial"/>
                <w:color w:val="000000"/>
                <w:sz w:val="20"/>
                <w:lang w:val="es-ES_tradnl" w:eastAsia="es-AR"/>
              </w:rPr>
            </w:pPr>
            <w:r w:rsidRPr="00701F32">
              <w:rPr>
                <w:rFonts w:ascii="Arial" w:hAnsi="Arial" w:cs="Arial"/>
                <w:color w:val="000000"/>
                <w:sz w:val="20"/>
                <w:lang w:val="es-ES_tradnl" w:eastAsia="es-AR"/>
              </w:rPr>
              <w:t>47</w:t>
            </w:r>
            <w:r w:rsidR="00AF003C" w:rsidRPr="00701F32">
              <w:rPr>
                <w:rFonts w:ascii="Arial" w:hAnsi="Arial" w:cs="Arial"/>
                <w:color w:val="000000"/>
                <w:sz w:val="20"/>
                <w:lang w:val="es-ES_tradnl" w:eastAsia="es-AR"/>
              </w:rPr>
              <w:t>.</w:t>
            </w:r>
            <w:r w:rsidRPr="00701F32">
              <w:rPr>
                <w:rFonts w:ascii="Arial" w:hAnsi="Arial" w:cs="Arial"/>
                <w:color w:val="000000"/>
                <w:sz w:val="20"/>
                <w:lang w:val="es-ES_tradnl" w:eastAsia="es-AR"/>
              </w:rPr>
              <w:t>296</w:t>
            </w:r>
          </w:p>
        </w:tc>
      </w:tr>
      <w:tr w:rsidR="008E4010" w:rsidRPr="00701F32" w14:paraId="20A313B0" w14:textId="77777777" w:rsidTr="00E311C9">
        <w:trPr>
          <w:trHeight w:val="276"/>
        </w:trPr>
        <w:tc>
          <w:tcPr>
            <w:tcW w:w="5293" w:type="dxa"/>
            <w:shd w:val="clear" w:color="auto" w:fill="auto"/>
            <w:noWrap/>
            <w:vAlign w:val="bottom"/>
            <w:hideMark/>
          </w:tcPr>
          <w:p w14:paraId="7B2B0D1A" w14:textId="77777777" w:rsidR="008E4010" w:rsidRPr="00701F32" w:rsidRDefault="008E4010" w:rsidP="008E4010">
            <w:pPr>
              <w:rPr>
                <w:rFonts w:ascii="Arial" w:hAnsi="Arial" w:cs="Arial"/>
                <w:b/>
                <w:color w:val="000000"/>
                <w:sz w:val="20"/>
                <w:lang w:eastAsia="es-AR"/>
              </w:rPr>
            </w:pPr>
            <w:r w:rsidRPr="00701F32">
              <w:rPr>
                <w:rFonts w:ascii="Arial" w:hAnsi="Arial" w:cs="Arial"/>
                <w:b/>
                <w:color w:val="000000"/>
                <w:sz w:val="20"/>
                <w:lang w:eastAsia="es-AR"/>
              </w:rPr>
              <w:t>Total</w:t>
            </w:r>
          </w:p>
        </w:tc>
        <w:tc>
          <w:tcPr>
            <w:tcW w:w="1763" w:type="dxa"/>
            <w:shd w:val="clear" w:color="auto" w:fill="auto"/>
            <w:noWrap/>
            <w:vAlign w:val="bottom"/>
          </w:tcPr>
          <w:p w14:paraId="3DA29CC6" w14:textId="269DA552" w:rsidR="008E4010" w:rsidRPr="00701F32" w:rsidRDefault="00AF003C">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2.</w:t>
            </w:r>
            <w:r w:rsidR="006D10DE" w:rsidRPr="00701F32">
              <w:rPr>
                <w:rFonts w:ascii="Arial" w:hAnsi="Arial" w:cs="Arial"/>
                <w:b/>
                <w:color w:val="000000"/>
                <w:sz w:val="20"/>
                <w:lang w:val="es-ES_tradnl" w:eastAsia="es-AR"/>
              </w:rPr>
              <w:t>493</w:t>
            </w:r>
            <w:r w:rsidRPr="00701F32">
              <w:rPr>
                <w:rFonts w:ascii="Arial" w:hAnsi="Arial" w:cs="Arial"/>
                <w:b/>
                <w:color w:val="000000"/>
                <w:sz w:val="20"/>
                <w:lang w:val="es-ES_tradnl" w:eastAsia="es-AR"/>
              </w:rPr>
              <w:t>.</w:t>
            </w:r>
            <w:r w:rsidR="006D10DE" w:rsidRPr="00701F32">
              <w:rPr>
                <w:rFonts w:ascii="Arial" w:hAnsi="Arial" w:cs="Arial"/>
                <w:b/>
                <w:color w:val="000000"/>
                <w:sz w:val="20"/>
                <w:lang w:val="es-ES_tradnl" w:eastAsia="es-AR"/>
              </w:rPr>
              <w:t>572</w:t>
            </w:r>
          </w:p>
        </w:tc>
        <w:tc>
          <w:tcPr>
            <w:tcW w:w="1628" w:type="dxa"/>
            <w:vAlign w:val="bottom"/>
          </w:tcPr>
          <w:p w14:paraId="22653B5D" w14:textId="6A77D5FE" w:rsidR="008E4010" w:rsidRPr="00701F32" w:rsidRDefault="006D10DE">
            <w:pPr>
              <w:jc w:val="right"/>
              <w:rPr>
                <w:rFonts w:ascii="Arial" w:hAnsi="Arial" w:cs="Arial"/>
                <w:b/>
                <w:color w:val="000000"/>
                <w:sz w:val="20"/>
                <w:lang w:val="es-ES_tradnl" w:eastAsia="es-AR"/>
              </w:rPr>
            </w:pPr>
            <w:r w:rsidRPr="00701F32">
              <w:rPr>
                <w:rFonts w:ascii="Arial" w:hAnsi="Arial" w:cs="Arial"/>
                <w:b/>
                <w:color w:val="000000"/>
                <w:sz w:val="20"/>
                <w:lang w:val="es-ES_tradnl" w:eastAsia="es-AR"/>
              </w:rPr>
              <w:t>1</w:t>
            </w:r>
            <w:r w:rsidR="00AF003C"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781</w:t>
            </w:r>
            <w:r w:rsidR="00AF003C" w:rsidRPr="00701F32">
              <w:rPr>
                <w:rFonts w:ascii="Arial" w:hAnsi="Arial" w:cs="Arial"/>
                <w:b/>
                <w:color w:val="000000"/>
                <w:sz w:val="20"/>
                <w:lang w:val="es-ES_tradnl" w:eastAsia="es-AR"/>
              </w:rPr>
              <w:t>.</w:t>
            </w:r>
            <w:r w:rsidRPr="00701F32">
              <w:rPr>
                <w:rFonts w:ascii="Arial" w:hAnsi="Arial" w:cs="Arial"/>
                <w:b/>
                <w:color w:val="000000"/>
                <w:sz w:val="20"/>
                <w:lang w:val="es-ES_tradnl" w:eastAsia="es-AR"/>
              </w:rPr>
              <w:t>780</w:t>
            </w:r>
          </w:p>
        </w:tc>
      </w:tr>
    </w:tbl>
    <w:p w14:paraId="78903666" w14:textId="77777777" w:rsidR="008E4010" w:rsidRPr="00701F32" w:rsidRDefault="008E4010" w:rsidP="008E4010">
      <w:pPr>
        <w:rPr>
          <w:rFonts w:ascii="Arial" w:hAnsi="Arial" w:cs="Arial"/>
          <w:bCs/>
          <w:color w:val="000000"/>
          <w:sz w:val="20"/>
          <w:lang w:eastAsia="es-AR"/>
        </w:rPr>
      </w:pPr>
    </w:p>
    <w:p w14:paraId="4F83E2C3" w14:textId="77777777" w:rsidR="008E4010" w:rsidRPr="00701F32" w:rsidRDefault="008E4010" w:rsidP="008E4010">
      <w:pPr>
        <w:rPr>
          <w:rFonts w:ascii="Arial" w:hAnsi="Arial" w:cs="Arial"/>
          <w:bCs/>
          <w:color w:val="000000"/>
          <w:sz w:val="20"/>
          <w:lang w:eastAsia="es-AR"/>
        </w:rPr>
      </w:pPr>
      <w:r w:rsidRPr="00701F32">
        <w:rPr>
          <w:rFonts w:ascii="Arial" w:hAnsi="Arial" w:cs="Arial"/>
          <w:bCs/>
          <w:color w:val="000000"/>
          <w:sz w:val="20"/>
          <w:lang w:eastAsia="es-AR"/>
        </w:rPr>
        <w:t xml:space="preserve">7.15 Otros </w:t>
      </w:r>
      <w:r w:rsidR="001569A6" w:rsidRPr="00701F32">
        <w:rPr>
          <w:rFonts w:ascii="Arial" w:hAnsi="Arial" w:cs="Arial"/>
          <w:bCs/>
          <w:color w:val="000000"/>
          <w:sz w:val="20"/>
          <w:lang w:eastAsia="es-AR"/>
        </w:rPr>
        <w:t xml:space="preserve">Gastos </w:t>
      </w:r>
      <w:r w:rsidRPr="00701F32">
        <w:rPr>
          <w:rFonts w:ascii="Arial" w:hAnsi="Arial" w:cs="Arial"/>
          <w:bCs/>
          <w:color w:val="000000"/>
          <w:sz w:val="20"/>
          <w:lang w:eastAsia="es-AR"/>
        </w:rPr>
        <w:t>operativos.</w:t>
      </w:r>
    </w:p>
    <w:p w14:paraId="119F287C" w14:textId="77777777" w:rsidR="006D5978" w:rsidRPr="00701F32" w:rsidRDefault="006D5978" w:rsidP="008E4010">
      <w:pPr>
        <w:rPr>
          <w:rFonts w:ascii="Arial" w:hAnsi="Arial" w:cs="Arial"/>
          <w:bCs/>
          <w:color w:val="000000"/>
          <w:sz w:val="20"/>
          <w:lang w:eastAsia="es-AR"/>
        </w:rPr>
      </w:pPr>
    </w:p>
    <w:p w14:paraId="4C35ED9D" w14:textId="5A1A0209" w:rsidR="008E4010" w:rsidRPr="00701F32" w:rsidRDefault="006D5978" w:rsidP="00E311C9">
      <w:pPr>
        <w:spacing w:after="160" w:line="259" w:lineRule="auto"/>
        <w:rPr>
          <w:rFonts w:ascii="Arial" w:hAnsi="Arial" w:cs="Arial"/>
          <w:bCs/>
          <w:color w:val="000000"/>
          <w:sz w:val="20"/>
          <w:lang w:eastAsia="es-AR"/>
        </w:rPr>
      </w:pPr>
      <w:r w:rsidRPr="00701F32">
        <w:rPr>
          <w:rFonts w:ascii="Arial" w:eastAsiaTheme="minorHAnsi" w:hAnsi="Arial" w:cs="Arial"/>
          <w:sz w:val="20"/>
          <w:szCs w:val="22"/>
        </w:rPr>
        <w:t xml:space="preserve">Los principales componentes del rubro otros gastos operativos </w:t>
      </w:r>
      <w:r w:rsidR="00A3374B" w:rsidRPr="00701F32">
        <w:rPr>
          <w:rFonts w:ascii="Arial" w:eastAsiaTheme="minorHAnsi" w:hAnsi="Arial" w:cs="Arial"/>
          <w:sz w:val="20"/>
          <w:szCs w:val="22"/>
        </w:rPr>
        <w:t xml:space="preserve">por los períodos finalizados el 30 de </w:t>
      </w:r>
      <w:r w:rsidR="00A3374B" w:rsidRPr="00701F32">
        <w:rPr>
          <w:rFonts w:ascii="Arial" w:eastAsiaTheme="minorHAnsi" w:hAnsi="Arial" w:cs="Arial"/>
          <w:sz w:val="20"/>
        </w:rPr>
        <w:t>septiembre</w:t>
      </w:r>
      <w:r w:rsidR="00A3374B" w:rsidRPr="00701F32">
        <w:rPr>
          <w:rFonts w:ascii="Arial" w:eastAsiaTheme="minorHAnsi" w:hAnsi="Arial" w:cs="Arial"/>
          <w:sz w:val="20"/>
          <w:szCs w:val="22"/>
        </w:rPr>
        <w:t xml:space="preserve"> de 2018 y 2017 son los siguientes: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701"/>
        <w:gridCol w:w="1701"/>
      </w:tblGrid>
      <w:tr w:rsidR="008E4010" w:rsidRPr="00701F32" w14:paraId="2A87BC97" w14:textId="77777777" w:rsidTr="00831174">
        <w:trPr>
          <w:trHeight w:val="255"/>
          <w:tblHeader/>
        </w:trPr>
        <w:tc>
          <w:tcPr>
            <w:tcW w:w="5670" w:type="dxa"/>
            <w:shd w:val="clear" w:color="auto" w:fill="auto"/>
            <w:noWrap/>
            <w:vAlign w:val="bottom"/>
            <w:hideMark/>
          </w:tcPr>
          <w:p w14:paraId="4BE97FA5" w14:textId="77777777" w:rsidR="008E4010" w:rsidRPr="00701F32" w:rsidRDefault="008E4010">
            <w:pPr>
              <w:rPr>
                <w:rFonts w:ascii="Arial" w:hAnsi="Arial" w:cs="Arial"/>
                <w:b/>
                <w:bCs/>
                <w:color w:val="000000"/>
                <w:sz w:val="20"/>
                <w:lang w:eastAsia="es-AR"/>
              </w:rPr>
            </w:pPr>
            <w:r w:rsidRPr="00701F32">
              <w:rPr>
                <w:rFonts w:ascii="Arial" w:hAnsi="Arial" w:cs="Arial"/>
                <w:b/>
                <w:bCs/>
                <w:color w:val="000000"/>
                <w:sz w:val="20"/>
                <w:lang w:eastAsia="es-AR"/>
              </w:rPr>
              <w:t xml:space="preserve">Otros </w:t>
            </w:r>
            <w:r w:rsidR="001569A6" w:rsidRPr="00701F32">
              <w:rPr>
                <w:rFonts w:ascii="Arial" w:hAnsi="Arial" w:cs="Arial"/>
                <w:b/>
                <w:bCs/>
                <w:color w:val="000000"/>
                <w:sz w:val="20"/>
                <w:lang w:eastAsia="es-AR"/>
              </w:rPr>
              <w:t xml:space="preserve">gastos </w:t>
            </w:r>
            <w:r w:rsidRPr="00701F32">
              <w:rPr>
                <w:rFonts w:ascii="Arial" w:hAnsi="Arial" w:cs="Arial"/>
                <w:b/>
                <w:bCs/>
                <w:color w:val="000000"/>
                <w:sz w:val="20"/>
                <w:lang w:eastAsia="es-AR"/>
              </w:rPr>
              <w:t>operativos</w:t>
            </w:r>
          </w:p>
        </w:tc>
        <w:tc>
          <w:tcPr>
            <w:tcW w:w="1701" w:type="dxa"/>
            <w:shd w:val="clear" w:color="auto" w:fill="auto"/>
            <w:noWrap/>
            <w:vAlign w:val="center"/>
            <w:hideMark/>
          </w:tcPr>
          <w:p w14:paraId="57D2AE16" w14:textId="77777777" w:rsidR="002F3D40" w:rsidRPr="00701F32" w:rsidRDefault="008E4010">
            <w:pPr>
              <w:jc w:val="center"/>
              <w:rPr>
                <w:rFonts w:ascii="Arial" w:hAnsi="Arial" w:cs="Arial"/>
                <w:b/>
                <w:color w:val="000000"/>
                <w:sz w:val="20"/>
                <w:lang w:eastAsia="es-AR"/>
              </w:rPr>
            </w:pPr>
            <w:r w:rsidRPr="00701F32">
              <w:rPr>
                <w:rFonts w:ascii="Arial" w:hAnsi="Arial" w:cs="Arial"/>
                <w:b/>
                <w:color w:val="000000"/>
                <w:sz w:val="20"/>
                <w:lang w:eastAsia="es-AR"/>
              </w:rPr>
              <w:t>3</w:t>
            </w:r>
            <w:r w:rsidR="006E4108" w:rsidRPr="00701F32">
              <w:rPr>
                <w:rFonts w:ascii="Arial" w:hAnsi="Arial" w:cs="Arial"/>
                <w:b/>
                <w:color w:val="000000"/>
                <w:sz w:val="20"/>
                <w:lang w:eastAsia="es-AR"/>
              </w:rPr>
              <w:t>0</w:t>
            </w:r>
            <w:r w:rsidRPr="00701F32">
              <w:rPr>
                <w:rFonts w:ascii="Arial" w:hAnsi="Arial" w:cs="Arial"/>
                <w:b/>
                <w:color w:val="000000"/>
                <w:sz w:val="20"/>
                <w:lang w:eastAsia="es-AR"/>
              </w:rPr>
              <w:t>/0</w:t>
            </w:r>
            <w:r w:rsidR="00A3374B" w:rsidRPr="00701F32">
              <w:rPr>
                <w:rFonts w:ascii="Arial" w:hAnsi="Arial" w:cs="Arial"/>
                <w:b/>
                <w:color w:val="000000"/>
                <w:sz w:val="20"/>
                <w:lang w:eastAsia="es-AR"/>
              </w:rPr>
              <w:t>9</w:t>
            </w:r>
            <w:r w:rsidRPr="00701F32">
              <w:rPr>
                <w:rFonts w:ascii="Arial" w:hAnsi="Arial" w:cs="Arial"/>
                <w:b/>
                <w:color w:val="000000"/>
                <w:sz w:val="20"/>
                <w:lang w:eastAsia="es-AR"/>
              </w:rPr>
              <w:t>/2018</w:t>
            </w:r>
          </w:p>
        </w:tc>
        <w:tc>
          <w:tcPr>
            <w:tcW w:w="1701" w:type="dxa"/>
            <w:vAlign w:val="center"/>
          </w:tcPr>
          <w:p w14:paraId="486D7754" w14:textId="77777777" w:rsidR="002F3D40" w:rsidRPr="00701F32" w:rsidRDefault="008E4010">
            <w:pPr>
              <w:jc w:val="center"/>
              <w:rPr>
                <w:rFonts w:ascii="Arial" w:hAnsi="Arial" w:cs="Arial"/>
                <w:b/>
                <w:color w:val="000000"/>
                <w:sz w:val="20"/>
                <w:lang w:eastAsia="es-AR"/>
              </w:rPr>
            </w:pPr>
            <w:r w:rsidRPr="00701F32">
              <w:rPr>
                <w:rFonts w:ascii="Arial" w:hAnsi="Arial" w:cs="Arial"/>
                <w:b/>
                <w:color w:val="000000"/>
                <w:sz w:val="20"/>
                <w:lang w:eastAsia="es-AR"/>
              </w:rPr>
              <w:t>3</w:t>
            </w:r>
            <w:r w:rsidR="006E4108" w:rsidRPr="00701F32">
              <w:rPr>
                <w:rFonts w:ascii="Arial" w:hAnsi="Arial" w:cs="Arial"/>
                <w:b/>
                <w:color w:val="000000"/>
                <w:sz w:val="20"/>
                <w:lang w:eastAsia="es-AR"/>
              </w:rPr>
              <w:t>0</w:t>
            </w:r>
            <w:r w:rsidRPr="00701F32">
              <w:rPr>
                <w:rFonts w:ascii="Arial" w:hAnsi="Arial" w:cs="Arial"/>
                <w:b/>
                <w:color w:val="000000"/>
                <w:sz w:val="20"/>
                <w:lang w:eastAsia="es-AR"/>
              </w:rPr>
              <w:t>/0</w:t>
            </w:r>
            <w:r w:rsidR="00A3374B" w:rsidRPr="00701F32">
              <w:rPr>
                <w:rFonts w:ascii="Arial" w:hAnsi="Arial" w:cs="Arial"/>
                <w:b/>
                <w:color w:val="000000"/>
                <w:sz w:val="20"/>
                <w:lang w:eastAsia="es-AR"/>
              </w:rPr>
              <w:t>9</w:t>
            </w:r>
            <w:r w:rsidRPr="00701F32">
              <w:rPr>
                <w:rFonts w:ascii="Arial" w:hAnsi="Arial" w:cs="Arial"/>
                <w:b/>
                <w:color w:val="000000"/>
                <w:sz w:val="20"/>
                <w:lang w:eastAsia="es-AR"/>
              </w:rPr>
              <w:t>/2017</w:t>
            </w:r>
          </w:p>
        </w:tc>
      </w:tr>
      <w:tr w:rsidR="008E4010" w:rsidRPr="00701F32" w14:paraId="046A4FDD" w14:textId="77777777" w:rsidTr="00E311C9">
        <w:trPr>
          <w:trHeight w:val="255"/>
        </w:trPr>
        <w:tc>
          <w:tcPr>
            <w:tcW w:w="5670" w:type="dxa"/>
            <w:shd w:val="clear" w:color="auto" w:fill="auto"/>
            <w:noWrap/>
            <w:vAlign w:val="bottom"/>
            <w:hideMark/>
          </w:tcPr>
          <w:p w14:paraId="345AB5FD"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Donaciones</w:t>
            </w:r>
          </w:p>
        </w:tc>
        <w:tc>
          <w:tcPr>
            <w:tcW w:w="1701" w:type="dxa"/>
            <w:shd w:val="clear" w:color="auto" w:fill="auto"/>
            <w:noWrap/>
            <w:vAlign w:val="bottom"/>
          </w:tcPr>
          <w:p w14:paraId="1704692E" w14:textId="77777777" w:rsidR="002F3D40" w:rsidRPr="00701F32" w:rsidRDefault="00E34AC1">
            <w:pPr>
              <w:jc w:val="right"/>
              <w:rPr>
                <w:rFonts w:ascii="Arial" w:hAnsi="Arial" w:cs="Arial"/>
                <w:color w:val="000000"/>
                <w:sz w:val="20"/>
                <w:lang w:eastAsia="es-AR"/>
              </w:rPr>
            </w:pPr>
            <w:r w:rsidRPr="00701F32">
              <w:rPr>
                <w:rFonts w:ascii="Arial" w:hAnsi="Arial" w:cs="Arial"/>
                <w:color w:val="000000"/>
                <w:sz w:val="20"/>
                <w:lang w:eastAsia="es-AR"/>
              </w:rPr>
              <w:t>14.249</w:t>
            </w:r>
          </w:p>
        </w:tc>
        <w:tc>
          <w:tcPr>
            <w:tcW w:w="1701" w:type="dxa"/>
            <w:vAlign w:val="bottom"/>
          </w:tcPr>
          <w:p w14:paraId="1F43BB04" w14:textId="77777777" w:rsidR="002F3D40" w:rsidRPr="00701F32" w:rsidRDefault="006B35B7">
            <w:pPr>
              <w:jc w:val="right"/>
              <w:rPr>
                <w:rFonts w:ascii="Arial" w:hAnsi="Arial" w:cs="Arial"/>
                <w:color w:val="000000"/>
                <w:sz w:val="20"/>
                <w:lang w:eastAsia="es-AR"/>
              </w:rPr>
            </w:pPr>
            <w:r w:rsidRPr="00701F32">
              <w:rPr>
                <w:rFonts w:ascii="Arial" w:hAnsi="Arial" w:cs="Arial"/>
                <w:color w:val="000000"/>
                <w:sz w:val="20"/>
                <w:lang w:eastAsia="es-AR"/>
              </w:rPr>
              <w:t>15.538</w:t>
            </w:r>
          </w:p>
        </w:tc>
      </w:tr>
      <w:tr w:rsidR="008E4010" w:rsidRPr="00701F32" w14:paraId="210EA607"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688BB"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Fondo de garantía de los depósitos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857A9" w14:textId="6FB89FDA" w:rsidR="002F3D40" w:rsidRPr="00701F32" w:rsidRDefault="00E34AC1">
            <w:pPr>
              <w:jc w:val="right"/>
              <w:rPr>
                <w:rFonts w:ascii="Arial" w:hAnsi="Arial" w:cs="Arial"/>
                <w:color w:val="000000"/>
                <w:sz w:val="20"/>
                <w:lang w:val="es-ES_tradnl" w:eastAsia="es-AR"/>
              </w:rPr>
            </w:pPr>
            <w:r w:rsidRPr="00701F32">
              <w:rPr>
                <w:rFonts w:ascii="Arial" w:hAnsi="Arial" w:cs="Arial"/>
                <w:color w:val="000000"/>
                <w:sz w:val="20"/>
                <w:lang w:val="es-ES_tradnl" w:eastAsia="es-AR"/>
              </w:rPr>
              <w:t>8</w:t>
            </w:r>
            <w:r w:rsidR="0079409C" w:rsidRPr="00701F32">
              <w:rPr>
                <w:rFonts w:ascii="Arial" w:hAnsi="Arial" w:cs="Arial"/>
                <w:color w:val="000000"/>
                <w:sz w:val="20"/>
                <w:lang w:val="es-ES_tradnl" w:eastAsia="es-AR"/>
              </w:rPr>
              <w:t>3</w:t>
            </w:r>
            <w:r w:rsidRPr="00701F32">
              <w:rPr>
                <w:rFonts w:ascii="Arial" w:hAnsi="Arial" w:cs="Arial"/>
                <w:color w:val="000000"/>
                <w:sz w:val="20"/>
                <w:lang w:val="es-ES_tradnl" w:eastAsia="es-AR"/>
              </w:rPr>
              <w:t>.</w:t>
            </w:r>
            <w:r w:rsidR="0079409C" w:rsidRPr="00701F32">
              <w:rPr>
                <w:rFonts w:ascii="Arial" w:hAnsi="Arial" w:cs="Arial"/>
                <w:color w:val="000000"/>
                <w:sz w:val="20"/>
                <w:lang w:val="es-ES_tradnl" w:eastAsia="es-AR"/>
              </w:rPr>
              <w:t>977</w:t>
            </w:r>
          </w:p>
        </w:tc>
        <w:tc>
          <w:tcPr>
            <w:tcW w:w="1701" w:type="dxa"/>
            <w:tcBorders>
              <w:top w:val="single" w:sz="4" w:space="0" w:color="auto"/>
              <w:left w:val="single" w:sz="4" w:space="0" w:color="auto"/>
              <w:bottom w:val="single" w:sz="4" w:space="0" w:color="auto"/>
              <w:right w:val="single" w:sz="4" w:space="0" w:color="auto"/>
            </w:tcBorders>
            <w:vAlign w:val="bottom"/>
          </w:tcPr>
          <w:p w14:paraId="6587AD42" w14:textId="25E37262" w:rsidR="002F3D40" w:rsidRPr="00701F32" w:rsidRDefault="0079409C">
            <w:pPr>
              <w:jc w:val="right"/>
              <w:rPr>
                <w:rFonts w:ascii="Arial" w:hAnsi="Arial" w:cs="Arial"/>
                <w:color w:val="000000"/>
                <w:sz w:val="20"/>
                <w:lang w:eastAsia="es-AR"/>
              </w:rPr>
            </w:pPr>
            <w:r w:rsidRPr="00701F32">
              <w:rPr>
                <w:rFonts w:ascii="Arial" w:hAnsi="Arial" w:cs="Arial"/>
                <w:color w:val="000000"/>
                <w:sz w:val="20"/>
                <w:lang w:eastAsia="es-AR"/>
              </w:rPr>
              <w:t>58</w:t>
            </w:r>
            <w:r w:rsidR="006B35B7" w:rsidRPr="00701F32">
              <w:rPr>
                <w:rFonts w:ascii="Arial" w:hAnsi="Arial" w:cs="Arial"/>
                <w:color w:val="000000"/>
                <w:sz w:val="20"/>
                <w:lang w:eastAsia="es-AR"/>
              </w:rPr>
              <w:t>.</w:t>
            </w:r>
            <w:r w:rsidRPr="00701F32">
              <w:rPr>
                <w:rFonts w:ascii="Arial" w:hAnsi="Arial" w:cs="Arial"/>
                <w:color w:val="000000"/>
                <w:sz w:val="20"/>
                <w:lang w:eastAsia="es-AR"/>
              </w:rPr>
              <w:t>648</w:t>
            </w:r>
          </w:p>
        </w:tc>
      </w:tr>
      <w:tr w:rsidR="008E4010" w:rsidRPr="00701F32" w14:paraId="18164E3C"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42758"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Ingresos brutos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63BC7" w14:textId="6400F3EB" w:rsidR="002F3D40" w:rsidRPr="00701F32" w:rsidRDefault="00E34AC1">
            <w:pPr>
              <w:jc w:val="right"/>
              <w:rPr>
                <w:rFonts w:ascii="Arial" w:hAnsi="Arial" w:cs="Arial"/>
                <w:color w:val="000000"/>
                <w:sz w:val="20"/>
                <w:lang w:val="es-ES_tradnl" w:eastAsia="es-AR"/>
              </w:rPr>
            </w:pPr>
            <w:r w:rsidRPr="00701F32">
              <w:rPr>
                <w:rFonts w:ascii="Arial" w:hAnsi="Arial" w:cs="Arial"/>
                <w:color w:val="000000"/>
                <w:sz w:val="20"/>
                <w:lang w:val="es-ES_tradnl" w:eastAsia="es-AR"/>
              </w:rPr>
              <w:t>1.</w:t>
            </w:r>
            <w:r w:rsidR="0079409C" w:rsidRPr="00701F32">
              <w:rPr>
                <w:rFonts w:ascii="Arial" w:hAnsi="Arial" w:cs="Arial"/>
                <w:color w:val="000000"/>
                <w:sz w:val="20"/>
                <w:lang w:val="es-ES_tradnl" w:eastAsia="es-AR"/>
              </w:rPr>
              <w:t>194</w:t>
            </w:r>
            <w:r w:rsidRPr="00701F32">
              <w:rPr>
                <w:rFonts w:ascii="Arial" w:hAnsi="Arial" w:cs="Arial"/>
                <w:color w:val="000000"/>
                <w:sz w:val="20"/>
                <w:lang w:val="es-ES_tradnl" w:eastAsia="es-AR"/>
              </w:rPr>
              <w:t>.</w:t>
            </w:r>
            <w:r w:rsidR="0079409C" w:rsidRPr="00701F32">
              <w:rPr>
                <w:rFonts w:ascii="Arial" w:hAnsi="Arial" w:cs="Arial"/>
                <w:color w:val="000000"/>
                <w:sz w:val="20"/>
                <w:lang w:val="es-ES_tradnl" w:eastAsia="es-AR"/>
              </w:rPr>
              <w:t>091</w:t>
            </w:r>
          </w:p>
        </w:tc>
        <w:tc>
          <w:tcPr>
            <w:tcW w:w="1701" w:type="dxa"/>
            <w:tcBorders>
              <w:top w:val="single" w:sz="4" w:space="0" w:color="auto"/>
              <w:left w:val="single" w:sz="4" w:space="0" w:color="auto"/>
              <w:bottom w:val="single" w:sz="4" w:space="0" w:color="auto"/>
              <w:right w:val="single" w:sz="4" w:space="0" w:color="auto"/>
            </w:tcBorders>
            <w:vAlign w:val="bottom"/>
          </w:tcPr>
          <w:p w14:paraId="19100ED9" w14:textId="019AB723" w:rsidR="002F3D40" w:rsidRPr="00701F32" w:rsidRDefault="0079409C">
            <w:pPr>
              <w:jc w:val="right"/>
              <w:rPr>
                <w:rFonts w:ascii="Arial" w:hAnsi="Arial" w:cs="Arial"/>
                <w:color w:val="000000"/>
                <w:sz w:val="20"/>
                <w:lang w:eastAsia="es-AR"/>
              </w:rPr>
            </w:pPr>
            <w:r w:rsidRPr="00701F32">
              <w:rPr>
                <w:rFonts w:ascii="Arial" w:hAnsi="Arial" w:cs="Arial"/>
                <w:color w:val="000000"/>
                <w:sz w:val="20"/>
                <w:lang w:eastAsia="es-AR"/>
              </w:rPr>
              <w:t>728</w:t>
            </w:r>
            <w:r w:rsidR="006B35B7" w:rsidRPr="00701F32">
              <w:rPr>
                <w:rFonts w:ascii="Arial" w:hAnsi="Arial" w:cs="Arial"/>
                <w:color w:val="000000"/>
                <w:sz w:val="20"/>
                <w:lang w:eastAsia="es-AR"/>
              </w:rPr>
              <w:t>.</w:t>
            </w:r>
            <w:r w:rsidRPr="00701F32">
              <w:rPr>
                <w:rFonts w:ascii="Arial" w:hAnsi="Arial" w:cs="Arial"/>
                <w:color w:val="000000"/>
                <w:sz w:val="20"/>
                <w:lang w:eastAsia="es-AR"/>
              </w:rPr>
              <w:t>144</w:t>
            </w:r>
          </w:p>
        </w:tc>
      </w:tr>
      <w:tr w:rsidR="008E4010" w:rsidRPr="00701F32" w14:paraId="16CB2ED4"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41E81"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Obligaciones diversas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2F203" w14:textId="43D0F212" w:rsidR="008E4010" w:rsidRPr="00701F32" w:rsidRDefault="0079409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w:t>
            </w:r>
          </w:p>
        </w:tc>
        <w:tc>
          <w:tcPr>
            <w:tcW w:w="1701" w:type="dxa"/>
            <w:tcBorders>
              <w:top w:val="single" w:sz="4" w:space="0" w:color="auto"/>
              <w:left w:val="single" w:sz="4" w:space="0" w:color="auto"/>
              <w:bottom w:val="single" w:sz="4" w:space="0" w:color="auto"/>
              <w:right w:val="single" w:sz="4" w:space="0" w:color="auto"/>
            </w:tcBorders>
            <w:vAlign w:val="bottom"/>
          </w:tcPr>
          <w:p w14:paraId="779B2AF0" w14:textId="60B55E1F" w:rsidR="008E4010" w:rsidRPr="00701F32" w:rsidRDefault="0079409C">
            <w:pPr>
              <w:jc w:val="right"/>
              <w:rPr>
                <w:rFonts w:ascii="Arial" w:hAnsi="Arial" w:cs="Arial"/>
                <w:color w:val="000000"/>
                <w:sz w:val="20"/>
                <w:lang w:eastAsia="es-AR"/>
              </w:rPr>
            </w:pPr>
            <w:r w:rsidRPr="00701F32">
              <w:rPr>
                <w:rFonts w:ascii="Arial" w:hAnsi="Arial" w:cs="Arial"/>
                <w:color w:val="000000"/>
                <w:sz w:val="20"/>
                <w:lang w:eastAsia="es-AR"/>
              </w:rPr>
              <w:t>2</w:t>
            </w:r>
            <w:r w:rsidR="006B35B7" w:rsidRPr="00701F32">
              <w:rPr>
                <w:rFonts w:ascii="Arial" w:hAnsi="Arial" w:cs="Arial"/>
                <w:color w:val="000000"/>
                <w:sz w:val="20"/>
                <w:lang w:eastAsia="es-AR"/>
              </w:rPr>
              <w:t>.</w:t>
            </w:r>
            <w:r w:rsidRPr="00701F32">
              <w:rPr>
                <w:rFonts w:ascii="Arial" w:hAnsi="Arial" w:cs="Arial"/>
                <w:color w:val="000000"/>
                <w:sz w:val="20"/>
                <w:lang w:eastAsia="es-AR"/>
              </w:rPr>
              <w:t>144</w:t>
            </w:r>
          </w:p>
        </w:tc>
      </w:tr>
      <w:tr w:rsidR="008E4010" w:rsidRPr="00701F32" w14:paraId="1ED766B8"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03563"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Otras provisiones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CDD8C" w14:textId="0A1E60A5" w:rsidR="002F3D40" w:rsidRPr="00701F32" w:rsidRDefault="0079409C">
            <w:pPr>
              <w:jc w:val="right"/>
              <w:rPr>
                <w:rFonts w:ascii="Arial" w:hAnsi="Arial" w:cs="Arial"/>
                <w:color w:val="000000"/>
                <w:sz w:val="20"/>
                <w:lang w:val="es-ES_tradnl" w:eastAsia="es-AR"/>
              </w:rPr>
            </w:pPr>
            <w:r w:rsidRPr="00701F32">
              <w:rPr>
                <w:rFonts w:ascii="Arial" w:hAnsi="Arial" w:cs="Arial"/>
                <w:color w:val="000000"/>
                <w:sz w:val="20"/>
                <w:lang w:val="es-ES_tradnl" w:eastAsia="es-AR"/>
              </w:rPr>
              <w:t>8</w:t>
            </w:r>
            <w:r w:rsidR="00E34AC1" w:rsidRPr="00701F32">
              <w:rPr>
                <w:rFonts w:ascii="Arial" w:hAnsi="Arial" w:cs="Arial"/>
                <w:color w:val="000000"/>
                <w:sz w:val="20"/>
                <w:lang w:val="es-ES_tradnl" w:eastAsia="es-AR"/>
              </w:rPr>
              <w:t>.9</w:t>
            </w:r>
            <w:r w:rsidRPr="00701F32">
              <w:rPr>
                <w:rFonts w:ascii="Arial" w:hAnsi="Arial" w:cs="Arial"/>
                <w:color w:val="000000"/>
                <w:sz w:val="20"/>
                <w:lang w:val="es-ES_tradnl" w:eastAsia="es-AR"/>
              </w:rPr>
              <w:t>61</w:t>
            </w:r>
          </w:p>
        </w:tc>
        <w:tc>
          <w:tcPr>
            <w:tcW w:w="1701" w:type="dxa"/>
            <w:tcBorders>
              <w:top w:val="single" w:sz="4" w:space="0" w:color="auto"/>
              <w:left w:val="single" w:sz="4" w:space="0" w:color="auto"/>
              <w:bottom w:val="single" w:sz="4" w:space="0" w:color="auto"/>
              <w:right w:val="single" w:sz="4" w:space="0" w:color="auto"/>
            </w:tcBorders>
            <w:vAlign w:val="bottom"/>
          </w:tcPr>
          <w:p w14:paraId="15EC21BF" w14:textId="490D07FD" w:rsidR="002F3D40" w:rsidRPr="00701F32" w:rsidRDefault="006B35B7">
            <w:pPr>
              <w:jc w:val="right"/>
              <w:rPr>
                <w:rFonts w:ascii="Arial" w:hAnsi="Arial" w:cs="Arial"/>
                <w:color w:val="000000"/>
                <w:sz w:val="20"/>
                <w:lang w:eastAsia="es-AR"/>
              </w:rPr>
            </w:pPr>
            <w:r w:rsidRPr="00701F32">
              <w:rPr>
                <w:rFonts w:ascii="Arial" w:hAnsi="Arial" w:cs="Arial"/>
                <w:color w:val="000000"/>
                <w:sz w:val="20"/>
                <w:lang w:eastAsia="es-AR"/>
              </w:rPr>
              <w:t>1</w:t>
            </w:r>
            <w:r w:rsidR="0079409C" w:rsidRPr="00701F32">
              <w:rPr>
                <w:rFonts w:ascii="Arial" w:hAnsi="Arial" w:cs="Arial"/>
                <w:color w:val="000000"/>
                <w:sz w:val="20"/>
                <w:lang w:eastAsia="es-AR"/>
              </w:rPr>
              <w:t>0</w:t>
            </w:r>
            <w:r w:rsidRPr="00701F32">
              <w:rPr>
                <w:rFonts w:ascii="Arial" w:hAnsi="Arial" w:cs="Arial"/>
                <w:color w:val="000000"/>
                <w:sz w:val="20"/>
                <w:lang w:eastAsia="es-AR"/>
              </w:rPr>
              <w:t>.</w:t>
            </w:r>
            <w:r w:rsidR="0079409C" w:rsidRPr="00701F32">
              <w:rPr>
                <w:rFonts w:ascii="Arial" w:hAnsi="Arial" w:cs="Arial"/>
                <w:color w:val="000000"/>
                <w:sz w:val="20"/>
                <w:lang w:eastAsia="es-AR"/>
              </w:rPr>
              <w:t>353</w:t>
            </w:r>
          </w:p>
        </w:tc>
      </w:tr>
      <w:tr w:rsidR="008E4010" w:rsidRPr="00701F32" w14:paraId="76FF04AA"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C5B83"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Venta o  desvalorizaciones de propiedades y otros  activos no financieros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F930C" w14:textId="7537D3B9" w:rsidR="008E4010" w:rsidRPr="00701F32" w:rsidRDefault="00E34AC1">
            <w:pPr>
              <w:jc w:val="right"/>
              <w:rPr>
                <w:rFonts w:ascii="Arial" w:hAnsi="Arial" w:cs="Arial"/>
                <w:color w:val="000000"/>
                <w:sz w:val="20"/>
                <w:lang w:val="es-ES_tradnl" w:eastAsia="es-AR"/>
              </w:rPr>
            </w:pPr>
            <w:r w:rsidRPr="00701F32">
              <w:rPr>
                <w:rFonts w:ascii="Arial" w:hAnsi="Arial" w:cs="Arial"/>
                <w:color w:val="000000"/>
                <w:sz w:val="20"/>
                <w:lang w:val="es-ES_tradnl" w:eastAsia="es-AR"/>
              </w:rPr>
              <w:t>-</w:t>
            </w:r>
          </w:p>
        </w:tc>
        <w:tc>
          <w:tcPr>
            <w:tcW w:w="1701" w:type="dxa"/>
            <w:tcBorders>
              <w:top w:val="single" w:sz="4" w:space="0" w:color="auto"/>
              <w:left w:val="single" w:sz="4" w:space="0" w:color="auto"/>
              <w:bottom w:val="single" w:sz="4" w:space="0" w:color="auto"/>
              <w:right w:val="single" w:sz="4" w:space="0" w:color="auto"/>
            </w:tcBorders>
            <w:vAlign w:val="bottom"/>
          </w:tcPr>
          <w:p w14:paraId="43D900C3" w14:textId="65DF0BE5" w:rsidR="002F3D40" w:rsidRPr="00701F32" w:rsidRDefault="00116654">
            <w:pPr>
              <w:jc w:val="right"/>
              <w:rPr>
                <w:rFonts w:ascii="Arial" w:hAnsi="Arial" w:cs="Arial"/>
                <w:color w:val="000000"/>
                <w:sz w:val="20"/>
                <w:lang w:eastAsia="es-AR"/>
              </w:rPr>
            </w:pPr>
            <w:r w:rsidRPr="00701F32">
              <w:rPr>
                <w:rFonts w:ascii="Arial" w:hAnsi="Arial" w:cs="Arial"/>
                <w:color w:val="000000"/>
                <w:sz w:val="20"/>
                <w:lang w:eastAsia="es-AR"/>
              </w:rPr>
              <w:t>391</w:t>
            </w:r>
          </w:p>
        </w:tc>
      </w:tr>
      <w:tr w:rsidR="008E4010" w:rsidRPr="00701F32" w14:paraId="7A9FA8A3"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2E711" w14:textId="77777777" w:rsidR="008E4010" w:rsidRPr="00701F32" w:rsidRDefault="00D0240E" w:rsidP="008E4010">
            <w:pPr>
              <w:rPr>
                <w:rFonts w:ascii="Arial" w:hAnsi="Arial" w:cs="Arial"/>
                <w:color w:val="000000"/>
                <w:sz w:val="20"/>
                <w:lang w:eastAsia="es-AR"/>
              </w:rPr>
            </w:pPr>
            <w:r w:rsidRPr="00701F32">
              <w:rPr>
                <w:rFonts w:ascii="Arial" w:hAnsi="Arial" w:cs="Arial"/>
                <w:color w:val="000000"/>
                <w:sz w:val="20"/>
                <w:lang w:eastAsia="es-AR"/>
              </w:rPr>
              <w:t>Ajuste inicial a valor razonable de financiaciones a tasas inferiores a las de mercado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75403" w14:textId="77777777" w:rsidR="002F3D40" w:rsidRPr="00701F32" w:rsidRDefault="00E34AC1">
            <w:pPr>
              <w:jc w:val="right"/>
              <w:rPr>
                <w:rFonts w:ascii="Arial" w:hAnsi="Arial" w:cs="Arial"/>
                <w:color w:val="000000"/>
                <w:sz w:val="20"/>
                <w:lang w:eastAsia="es-AR"/>
              </w:rPr>
            </w:pPr>
            <w:r w:rsidRPr="00701F32">
              <w:rPr>
                <w:rFonts w:ascii="Arial" w:hAnsi="Arial" w:cs="Arial"/>
                <w:color w:val="000000"/>
                <w:sz w:val="20"/>
                <w:lang w:eastAsia="es-AR"/>
              </w:rPr>
              <w:t>272.978</w:t>
            </w:r>
          </w:p>
        </w:tc>
        <w:tc>
          <w:tcPr>
            <w:tcW w:w="1701" w:type="dxa"/>
            <w:tcBorders>
              <w:top w:val="single" w:sz="4" w:space="0" w:color="auto"/>
              <w:left w:val="single" w:sz="4" w:space="0" w:color="auto"/>
              <w:bottom w:val="single" w:sz="4" w:space="0" w:color="auto"/>
              <w:right w:val="single" w:sz="4" w:space="0" w:color="auto"/>
            </w:tcBorders>
            <w:vAlign w:val="bottom"/>
          </w:tcPr>
          <w:p w14:paraId="146ED2F4" w14:textId="77777777" w:rsidR="002F3D40" w:rsidRPr="00701F32" w:rsidRDefault="006B35B7">
            <w:pPr>
              <w:jc w:val="right"/>
              <w:rPr>
                <w:rFonts w:ascii="Arial" w:hAnsi="Arial" w:cs="Arial"/>
                <w:color w:val="000000"/>
                <w:sz w:val="20"/>
                <w:lang w:eastAsia="es-AR"/>
              </w:rPr>
            </w:pPr>
            <w:r w:rsidRPr="00701F32">
              <w:rPr>
                <w:rFonts w:ascii="Arial" w:hAnsi="Arial" w:cs="Arial"/>
                <w:color w:val="000000"/>
                <w:sz w:val="20"/>
                <w:lang w:eastAsia="es-AR"/>
              </w:rPr>
              <w:t>189.387</w:t>
            </w:r>
          </w:p>
        </w:tc>
      </w:tr>
      <w:tr w:rsidR="008E4010" w:rsidRPr="00701F32" w14:paraId="3BEF37D1" w14:textId="77777777" w:rsidTr="00E311C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78CA" w14:textId="77777777" w:rsidR="008E4010" w:rsidRPr="00701F32" w:rsidRDefault="008E4010" w:rsidP="008E4010">
            <w:pPr>
              <w:rPr>
                <w:rFonts w:ascii="Arial" w:hAnsi="Arial" w:cs="Arial"/>
                <w:color w:val="000000"/>
                <w:sz w:val="20"/>
                <w:lang w:eastAsia="es-AR"/>
              </w:rPr>
            </w:pPr>
            <w:r w:rsidRPr="00701F32">
              <w:rPr>
                <w:rFonts w:ascii="Arial" w:hAnsi="Arial" w:cs="Arial"/>
                <w:color w:val="000000"/>
                <w:sz w:val="20"/>
                <w:lang w:eastAsia="es-AR"/>
              </w:rPr>
              <w:t>Otros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7B5BA" w14:textId="3DB3BB1C" w:rsidR="002F3D40" w:rsidRPr="00701F32" w:rsidRDefault="00714DBE">
            <w:pPr>
              <w:jc w:val="right"/>
              <w:rPr>
                <w:rFonts w:ascii="Arial" w:hAnsi="Arial" w:cs="Arial"/>
                <w:color w:val="000000"/>
                <w:sz w:val="20"/>
                <w:lang w:eastAsia="es-AR"/>
              </w:rPr>
            </w:pPr>
            <w:r w:rsidRPr="00701F32">
              <w:rPr>
                <w:rFonts w:ascii="Arial" w:hAnsi="Arial" w:cs="Arial"/>
                <w:color w:val="000000"/>
                <w:sz w:val="20"/>
                <w:lang w:eastAsia="es-AR"/>
              </w:rPr>
              <w:t>51</w:t>
            </w:r>
            <w:r w:rsidR="0079409C" w:rsidRPr="00701F32">
              <w:rPr>
                <w:rFonts w:ascii="Arial" w:hAnsi="Arial" w:cs="Arial"/>
                <w:color w:val="000000"/>
                <w:sz w:val="20"/>
                <w:lang w:eastAsia="es-AR"/>
              </w:rPr>
              <w:t>2</w:t>
            </w:r>
            <w:r w:rsidRPr="00701F32">
              <w:rPr>
                <w:rFonts w:ascii="Arial" w:hAnsi="Arial" w:cs="Arial"/>
                <w:color w:val="000000"/>
                <w:sz w:val="20"/>
                <w:lang w:eastAsia="es-AR"/>
              </w:rPr>
              <w:t>.</w:t>
            </w:r>
            <w:r w:rsidR="0079409C" w:rsidRPr="00701F32">
              <w:rPr>
                <w:rFonts w:ascii="Arial" w:hAnsi="Arial" w:cs="Arial"/>
                <w:color w:val="000000"/>
                <w:sz w:val="20"/>
                <w:lang w:eastAsia="es-AR"/>
              </w:rPr>
              <w:t>061</w:t>
            </w:r>
          </w:p>
        </w:tc>
        <w:tc>
          <w:tcPr>
            <w:tcW w:w="1701" w:type="dxa"/>
            <w:tcBorders>
              <w:top w:val="single" w:sz="4" w:space="0" w:color="auto"/>
              <w:left w:val="single" w:sz="4" w:space="0" w:color="auto"/>
              <w:bottom w:val="single" w:sz="4" w:space="0" w:color="auto"/>
              <w:right w:val="single" w:sz="4" w:space="0" w:color="auto"/>
            </w:tcBorders>
            <w:vAlign w:val="bottom"/>
          </w:tcPr>
          <w:p w14:paraId="7C9359F6" w14:textId="53CFCF75" w:rsidR="002F3D40" w:rsidRPr="00701F32" w:rsidRDefault="0079409C">
            <w:pPr>
              <w:jc w:val="right"/>
              <w:rPr>
                <w:rFonts w:ascii="Arial" w:hAnsi="Arial" w:cs="Arial"/>
                <w:color w:val="000000"/>
                <w:sz w:val="20"/>
                <w:lang w:eastAsia="es-AR"/>
              </w:rPr>
            </w:pPr>
            <w:r w:rsidRPr="00701F32">
              <w:rPr>
                <w:rFonts w:ascii="Arial" w:hAnsi="Arial" w:cs="Arial"/>
                <w:color w:val="000000"/>
                <w:sz w:val="20"/>
                <w:lang w:eastAsia="es-AR"/>
              </w:rPr>
              <w:t>529</w:t>
            </w:r>
            <w:r w:rsidR="006B35B7" w:rsidRPr="00701F32">
              <w:rPr>
                <w:rFonts w:ascii="Arial" w:hAnsi="Arial" w:cs="Arial"/>
                <w:color w:val="000000"/>
                <w:sz w:val="20"/>
                <w:lang w:eastAsia="es-AR"/>
              </w:rPr>
              <w:t>.</w:t>
            </w:r>
            <w:r w:rsidRPr="00701F32">
              <w:rPr>
                <w:rFonts w:ascii="Arial" w:hAnsi="Arial" w:cs="Arial"/>
                <w:color w:val="000000"/>
                <w:sz w:val="20"/>
                <w:lang w:eastAsia="es-AR"/>
              </w:rPr>
              <w:t>222</w:t>
            </w:r>
          </w:p>
        </w:tc>
      </w:tr>
      <w:tr w:rsidR="008E4010" w:rsidRPr="00701F32" w14:paraId="6A7C89EC" w14:textId="77777777" w:rsidTr="00941382">
        <w:trPr>
          <w:trHeight w:val="270"/>
        </w:trPr>
        <w:tc>
          <w:tcPr>
            <w:tcW w:w="5670" w:type="dxa"/>
            <w:shd w:val="clear" w:color="auto" w:fill="auto"/>
            <w:noWrap/>
            <w:vAlign w:val="bottom"/>
            <w:hideMark/>
          </w:tcPr>
          <w:p w14:paraId="633D13BB" w14:textId="77777777" w:rsidR="008E4010" w:rsidRPr="00701F32" w:rsidRDefault="008E4010" w:rsidP="008E4010">
            <w:pPr>
              <w:rPr>
                <w:rFonts w:ascii="Arial" w:hAnsi="Arial" w:cs="Arial"/>
                <w:b/>
                <w:color w:val="000000"/>
                <w:sz w:val="20"/>
                <w:lang w:eastAsia="es-AR"/>
              </w:rPr>
            </w:pPr>
            <w:r w:rsidRPr="00701F32">
              <w:rPr>
                <w:rFonts w:ascii="Arial" w:hAnsi="Arial" w:cs="Arial"/>
                <w:b/>
                <w:color w:val="000000"/>
                <w:sz w:val="20"/>
                <w:lang w:eastAsia="es-AR"/>
              </w:rPr>
              <w:t>Total</w:t>
            </w:r>
          </w:p>
        </w:tc>
        <w:tc>
          <w:tcPr>
            <w:tcW w:w="1701" w:type="dxa"/>
            <w:shd w:val="clear" w:color="auto" w:fill="auto"/>
            <w:noWrap/>
            <w:vAlign w:val="center"/>
          </w:tcPr>
          <w:p w14:paraId="392ADFB9" w14:textId="6FDE4A44" w:rsidR="002F3D40" w:rsidRPr="00701F32" w:rsidRDefault="00714DBE">
            <w:pPr>
              <w:jc w:val="right"/>
              <w:rPr>
                <w:rFonts w:ascii="Arial" w:hAnsi="Arial" w:cs="Arial"/>
                <w:b/>
                <w:color w:val="000000"/>
                <w:sz w:val="20"/>
                <w:lang w:eastAsia="es-AR"/>
              </w:rPr>
            </w:pPr>
            <w:r w:rsidRPr="00701F32">
              <w:rPr>
                <w:rFonts w:ascii="Arial" w:hAnsi="Arial" w:cs="Arial"/>
                <w:b/>
                <w:color w:val="000000"/>
                <w:sz w:val="20"/>
                <w:lang w:eastAsia="es-AR"/>
              </w:rPr>
              <w:t>2.</w:t>
            </w:r>
            <w:r w:rsidR="0079409C" w:rsidRPr="00701F32">
              <w:rPr>
                <w:rFonts w:ascii="Arial" w:hAnsi="Arial" w:cs="Arial"/>
                <w:b/>
                <w:color w:val="000000"/>
                <w:sz w:val="20"/>
                <w:lang w:eastAsia="es-AR"/>
              </w:rPr>
              <w:t>0</w:t>
            </w:r>
            <w:r w:rsidRPr="00701F32">
              <w:rPr>
                <w:rFonts w:ascii="Arial" w:hAnsi="Arial" w:cs="Arial"/>
                <w:b/>
                <w:color w:val="000000"/>
                <w:sz w:val="20"/>
                <w:lang w:eastAsia="es-AR"/>
              </w:rPr>
              <w:t>8</w:t>
            </w:r>
            <w:r w:rsidR="0079409C" w:rsidRPr="00701F32">
              <w:rPr>
                <w:rFonts w:ascii="Arial" w:hAnsi="Arial" w:cs="Arial"/>
                <w:b/>
                <w:color w:val="000000"/>
                <w:sz w:val="20"/>
                <w:lang w:eastAsia="es-AR"/>
              </w:rPr>
              <w:t>6</w:t>
            </w:r>
            <w:r w:rsidRPr="00701F32">
              <w:rPr>
                <w:rFonts w:ascii="Arial" w:hAnsi="Arial" w:cs="Arial"/>
                <w:b/>
                <w:color w:val="000000"/>
                <w:sz w:val="20"/>
                <w:lang w:eastAsia="es-AR"/>
              </w:rPr>
              <w:t>.</w:t>
            </w:r>
            <w:r w:rsidR="0079409C" w:rsidRPr="00701F32">
              <w:rPr>
                <w:rFonts w:ascii="Arial" w:hAnsi="Arial" w:cs="Arial"/>
                <w:b/>
                <w:color w:val="000000"/>
                <w:sz w:val="20"/>
                <w:lang w:eastAsia="es-AR"/>
              </w:rPr>
              <w:t>317</w:t>
            </w:r>
          </w:p>
        </w:tc>
        <w:tc>
          <w:tcPr>
            <w:tcW w:w="1701" w:type="dxa"/>
            <w:vAlign w:val="center"/>
          </w:tcPr>
          <w:p w14:paraId="3CD5A089" w14:textId="5B663D52" w:rsidR="002F3D40" w:rsidRPr="00701F32" w:rsidRDefault="006B35B7">
            <w:pPr>
              <w:jc w:val="right"/>
              <w:rPr>
                <w:rFonts w:ascii="Arial" w:hAnsi="Arial" w:cs="Arial"/>
                <w:b/>
                <w:color w:val="000000"/>
                <w:sz w:val="20"/>
                <w:lang w:eastAsia="es-AR"/>
              </w:rPr>
            </w:pPr>
            <w:r w:rsidRPr="00701F32">
              <w:rPr>
                <w:rFonts w:ascii="Arial" w:hAnsi="Arial" w:cs="Arial"/>
                <w:b/>
                <w:color w:val="000000"/>
                <w:sz w:val="20"/>
                <w:lang w:eastAsia="es-AR"/>
              </w:rPr>
              <w:t>1.</w:t>
            </w:r>
            <w:r w:rsidR="0079409C" w:rsidRPr="00701F32">
              <w:rPr>
                <w:rFonts w:ascii="Arial" w:hAnsi="Arial" w:cs="Arial"/>
                <w:b/>
                <w:color w:val="000000"/>
                <w:sz w:val="20"/>
                <w:lang w:eastAsia="es-AR"/>
              </w:rPr>
              <w:t>53</w:t>
            </w:r>
            <w:r w:rsidR="00116654" w:rsidRPr="00701F32">
              <w:rPr>
                <w:rFonts w:ascii="Arial" w:hAnsi="Arial" w:cs="Arial"/>
                <w:b/>
                <w:color w:val="000000"/>
                <w:sz w:val="20"/>
                <w:lang w:eastAsia="es-AR"/>
              </w:rPr>
              <w:t>3</w:t>
            </w:r>
            <w:r w:rsidRPr="00701F32">
              <w:rPr>
                <w:rFonts w:ascii="Arial" w:hAnsi="Arial" w:cs="Arial"/>
                <w:b/>
                <w:color w:val="000000"/>
                <w:sz w:val="20"/>
                <w:lang w:eastAsia="es-AR"/>
              </w:rPr>
              <w:t>.</w:t>
            </w:r>
            <w:r w:rsidR="00116654" w:rsidRPr="00701F32">
              <w:rPr>
                <w:rFonts w:ascii="Arial" w:hAnsi="Arial" w:cs="Arial"/>
                <w:b/>
                <w:color w:val="000000"/>
                <w:sz w:val="20"/>
                <w:lang w:eastAsia="es-AR"/>
              </w:rPr>
              <w:t>827</w:t>
            </w:r>
          </w:p>
        </w:tc>
      </w:tr>
    </w:tbl>
    <w:p w14:paraId="41886A28" w14:textId="77777777" w:rsidR="00A3374B" w:rsidRPr="00701F32" w:rsidRDefault="00A3374B" w:rsidP="008E4010">
      <w:pPr>
        <w:rPr>
          <w:rFonts w:ascii="Arial" w:hAnsi="Arial" w:cs="Arial"/>
          <w:bCs/>
          <w:color w:val="000000"/>
          <w:sz w:val="20"/>
          <w:lang w:eastAsia="es-AR"/>
        </w:rPr>
      </w:pPr>
    </w:p>
    <w:p w14:paraId="295D4518" w14:textId="77777777" w:rsidR="004B7F5F" w:rsidRPr="00701F32" w:rsidRDefault="004B7F5F" w:rsidP="004B7F5F">
      <w:pPr>
        <w:rPr>
          <w:rFonts w:ascii="Arial" w:hAnsi="Arial" w:cs="Arial"/>
          <w:bCs/>
          <w:color w:val="000000"/>
          <w:sz w:val="20"/>
          <w:lang w:eastAsia="es-AR"/>
        </w:rPr>
      </w:pPr>
      <w:r w:rsidRPr="00701F32">
        <w:rPr>
          <w:rFonts w:ascii="Arial" w:hAnsi="Arial" w:cs="Arial"/>
          <w:bCs/>
          <w:color w:val="000000"/>
          <w:sz w:val="20"/>
          <w:lang w:eastAsia="es-AR"/>
        </w:rPr>
        <w:t>7.16 Depreciaciones y desvalorizaciones de bienes</w:t>
      </w:r>
    </w:p>
    <w:p w14:paraId="7A3064E9" w14:textId="77777777" w:rsidR="006D5978" w:rsidRPr="00701F32" w:rsidRDefault="006D5978" w:rsidP="004B7F5F">
      <w:pPr>
        <w:rPr>
          <w:rFonts w:ascii="Arial" w:hAnsi="Arial" w:cs="Arial"/>
          <w:bCs/>
          <w:color w:val="000000"/>
          <w:sz w:val="20"/>
          <w:lang w:eastAsia="es-AR"/>
        </w:rPr>
      </w:pPr>
    </w:p>
    <w:p w14:paraId="2D9C2B84" w14:textId="4DA6415B" w:rsidR="004B7F5F" w:rsidRDefault="004B7F5F" w:rsidP="004B7F5F">
      <w:pPr>
        <w:jc w:val="both"/>
        <w:rPr>
          <w:rFonts w:ascii="Arial" w:eastAsiaTheme="minorHAnsi" w:hAnsi="Arial" w:cs="Arial"/>
          <w:sz w:val="20"/>
        </w:rPr>
      </w:pPr>
      <w:r w:rsidRPr="00701F32">
        <w:rPr>
          <w:rFonts w:ascii="Arial" w:eastAsiaTheme="minorHAnsi" w:hAnsi="Arial" w:cs="Arial"/>
          <w:sz w:val="20"/>
        </w:rPr>
        <w:t>Se detallan a</w:t>
      </w:r>
      <w:r w:rsidR="006D5978" w:rsidRPr="00701F32">
        <w:rPr>
          <w:rFonts w:ascii="Arial" w:eastAsiaTheme="minorHAnsi" w:hAnsi="Arial" w:cs="Arial"/>
          <w:sz w:val="20"/>
        </w:rPr>
        <w:t xml:space="preserve"> </w:t>
      </w:r>
      <w:r w:rsidRPr="00701F32">
        <w:rPr>
          <w:rFonts w:ascii="Arial" w:eastAsiaTheme="minorHAnsi" w:hAnsi="Arial" w:cs="Arial"/>
          <w:sz w:val="20"/>
        </w:rPr>
        <w:t xml:space="preserve">continuación los principales componentes de las depreciaciones y desvalorizaciones de bienes por los períodos finalizados el 30 de </w:t>
      </w:r>
      <w:r w:rsidR="00A0527A" w:rsidRPr="00701F32">
        <w:rPr>
          <w:rFonts w:ascii="Arial" w:eastAsiaTheme="minorHAnsi" w:hAnsi="Arial" w:cs="Arial"/>
          <w:sz w:val="20"/>
        </w:rPr>
        <w:t>septiembre</w:t>
      </w:r>
      <w:r w:rsidRPr="00701F32">
        <w:rPr>
          <w:rFonts w:ascii="Arial" w:eastAsiaTheme="minorHAnsi" w:hAnsi="Arial" w:cs="Arial"/>
          <w:sz w:val="20"/>
        </w:rPr>
        <w:t xml:space="preserve"> de 2018 y 2017:</w:t>
      </w:r>
    </w:p>
    <w:p w14:paraId="7E261A0B" w14:textId="77777777" w:rsidR="00841E78" w:rsidRPr="00701F32" w:rsidRDefault="00841E78" w:rsidP="004B7F5F">
      <w:pPr>
        <w:jc w:val="both"/>
        <w:rPr>
          <w:rFonts w:ascii="Arial" w:hAnsi="Arial" w:cs="Arial"/>
          <w:bCs/>
          <w:color w:val="000000"/>
          <w:sz w:val="20"/>
          <w:lang w:eastAsia="es-AR"/>
        </w:rPr>
      </w:pPr>
    </w:p>
    <w:p w14:paraId="5B3E3DF2" w14:textId="77777777" w:rsidR="004B7F5F" w:rsidRPr="00701F32" w:rsidRDefault="004B7F5F" w:rsidP="004B7F5F">
      <w:pPr>
        <w:rPr>
          <w:rFonts w:ascii="Arial" w:hAnsi="Arial" w:cs="Arial"/>
          <w:sz w:val="20"/>
        </w:rPr>
      </w:pPr>
    </w:p>
    <w:tbl>
      <w:tblPr>
        <w:tblStyle w:val="Tablaconcuadrcula"/>
        <w:tblW w:w="0" w:type="auto"/>
        <w:tblInd w:w="108" w:type="dxa"/>
        <w:tblLook w:val="04A0" w:firstRow="1" w:lastRow="0" w:firstColumn="1" w:lastColumn="0" w:noHBand="0" w:noVBand="1"/>
      </w:tblPr>
      <w:tblGrid>
        <w:gridCol w:w="4395"/>
        <w:gridCol w:w="1984"/>
        <w:gridCol w:w="2234"/>
      </w:tblGrid>
      <w:tr w:rsidR="004B7F5F" w:rsidRPr="00701F32" w14:paraId="353BC947" w14:textId="77777777" w:rsidTr="00322D9E">
        <w:tc>
          <w:tcPr>
            <w:tcW w:w="4395" w:type="dxa"/>
          </w:tcPr>
          <w:p w14:paraId="7DDB4254" w14:textId="77777777" w:rsidR="004B7F5F" w:rsidRPr="00701F32" w:rsidRDefault="004B7F5F" w:rsidP="00CE4F48">
            <w:pPr>
              <w:jc w:val="center"/>
              <w:rPr>
                <w:rFonts w:ascii="Arial" w:hAnsi="Arial" w:cs="Arial"/>
                <w:sz w:val="20"/>
              </w:rPr>
            </w:pPr>
          </w:p>
        </w:tc>
        <w:tc>
          <w:tcPr>
            <w:tcW w:w="1984" w:type="dxa"/>
          </w:tcPr>
          <w:p w14:paraId="5F8C936A" w14:textId="0336C28B" w:rsidR="004B7F5F" w:rsidRPr="00701F32" w:rsidRDefault="004B7F5F" w:rsidP="00941382">
            <w:pPr>
              <w:jc w:val="center"/>
              <w:rPr>
                <w:rFonts w:ascii="Arial" w:hAnsi="Arial" w:cs="Arial"/>
                <w:b/>
                <w:sz w:val="20"/>
              </w:rPr>
            </w:pPr>
            <w:r w:rsidRPr="00701F32">
              <w:rPr>
                <w:rFonts w:ascii="Arial" w:hAnsi="Arial" w:cs="Arial"/>
                <w:b/>
                <w:sz w:val="20"/>
              </w:rPr>
              <w:t>30/0</w:t>
            </w:r>
            <w:r w:rsidR="00A3374B" w:rsidRPr="00701F32">
              <w:rPr>
                <w:rFonts w:ascii="Arial" w:hAnsi="Arial" w:cs="Arial"/>
                <w:b/>
                <w:sz w:val="20"/>
              </w:rPr>
              <w:t>9</w:t>
            </w:r>
            <w:r w:rsidRPr="00701F32">
              <w:rPr>
                <w:rFonts w:ascii="Arial" w:hAnsi="Arial" w:cs="Arial"/>
                <w:b/>
                <w:sz w:val="20"/>
              </w:rPr>
              <w:t>/</w:t>
            </w:r>
            <w:r w:rsidR="00A844A1" w:rsidRPr="00701F32">
              <w:rPr>
                <w:rFonts w:ascii="Arial" w:hAnsi="Arial" w:cs="Arial"/>
                <w:b/>
                <w:sz w:val="20"/>
              </w:rPr>
              <w:t>20</w:t>
            </w:r>
            <w:r w:rsidRPr="00701F32">
              <w:rPr>
                <w:rFonts w:ascii="Arial" w:hAnsi="Arial" w:cs="Arial"/>
                <w:b/>
                <w:sz w:val="20"/>
              </w:rPr>
              <w:t>18</w:t>
            </w:r>
          </w:p>
        </w:tc>
        <w:tc>
          <w:tcPr>
            <w:tcW w:w="2234" w:type="dxa"/>
          </w:tcPr>
          <w:p w14:paraId="2F002FF0" w14:textId="66D2117B" w:rsidR="004B7F5F" w:rsidRPr="00701F32" w:rsidRDefault="004B7F5F" w:rsidP="00941382">
            <w:pPr>
              <w:jc w:val="center"/>
              <w:rPr>
                <w:rFonts w:ascii="Arial" w:hAnsi="Arial" w:cs="Arial"/>
                <w:b/>
                <w:sz w:val="20"/>
              </w:rPr>
            </w:pPr>
            <w:r w:rsidRPr="00701F32">
              <w:rPr>
                <w:rFonts w:ascii="Arial" w:hAnsi="Arial" w:cs="Arial"/>
                <w:b/>
                <w:sz w:val="20"/>
              </w:rPr>
              <w:t>30/0</w:t>
            </w:r>
            <w:r w:rsidR="00A3374B" w:rsidRPr="00701F32">
              <w:rPr>
                <w:rFonts w:ascii="Arial" w:hAnsi="Arial" w:cs="Arial"/>
                <w:b/>
                <w:sz w:val="20"/>
              </w:rPr>
              <w:t>9</w:t>
            </w:r>
            <w:r w:rsidRPr="00701F32">
              <w:rPr>
                <w:rFonts w:ascii="Arial" w:hAnsi="Arial" w:cs="Arial"/>
                <w:b/>
                <w:sz w:val="20"/>
              </w:rPr>
              <w:t>/</w:t>
            </w:r>
            <w:r w:rsidR="00A844A1" w:rsidRPr="00701F32">
              <w:rPr>
                <w:rFonts w:ascii="Arial" w:hAnsi="Arial" w:cs="Arial"/>
                <w:b/>
                <w:sz w:val="20"/>
              </w:rPr>
              <w:t>20</w:t>
            </w:r>
            <w:r w:rsidRPr="00701F32">
              <w:rPr>
                <w:rFonts w:ascii="Arial" w:hAnsi="Arial" w:cs="Arial"/>
                <w:b/>
                <w:sz w:val="20"/>
              </w:rPr>
              <w:t>17</w:t>
            </w:r>
          </w:p>
        </w:tc>
      </w:tr>
      <w:tr w:rsidR="004B7F5F" w:rsidRPr="00701F32" w14:paraId="1D0BF2AF" w14:textId="77777777" w:rsidTr="00E311C9">
        <w:tc>
          <w:tcPr>
            <w:tcW w:w="4395" w:type="dxa"/>
          </w:tcPr>
          <w:p w14:paraId="51A58062" w14:textId="77777777" w:rsidR="004B7F5F" w:rsidRPr="00701F32" w:rsidRDefault="004B7F5F" w:rsidP="00CE4F48">
            <w:pPr>
              <w:rPr>
                <w:rFonts w:ascii="Arial" w:hAnsi="Arial" w:cs="Arial"/>
                <w:sz w:val="20"/>
              </w:rPr>
            </w:pPr>
            <w:r w:rsidRPr="00701F32">
              <w:rPr>
                <w:rFonts w:ascii="Arial" w:hAnsi="Arial" w:cs="Arial"/>
                <w:sz w:val="20"/>
              </w:rPr>
              <w:t>Depreciación de bienes de uso</w:t>
            </w:r>
            <w:r w:rsidR="00322D9E" w:rsidRPr="00701F32">
              <w:rPr>
                <w:rFonts w:ascii="Arial" w:hAnsi="Arial" w:cs="Arial"/>
                <w:sz w:val="20"/>
              </w:rPr>
              <w:t xml:space="preserve"> </w:t>
            </w:r>
            <w:r w:rsidR="00322D9E" w:rsidRPr="00701F32">
              <w:rPr>
                <w:rFonts w:ascii="Arial" w:hAnsi="Arial" w:cs="Arial"/>
                <w:b/>
                <w:sz w:val="20"/>
              </w:rPr>
              <w:t>(Anexo F)</w:t>
            </w:r>
          </w:p>
        </w:tc>
        <w:tc>
          <w:tcPr>
            <w:tcW w:w="1984" w:type="dxa"/>
            <w:vAlign w:val="bottom"/>
          </w:tcPr>
          <w:p w14:paraId="553B1667" w14:textId="25FE5FDA" w:rsidR="004B7F5F" w:rsidRPr="00701F32" w:rsidRDefault="007D1975">
            <w:pPr>
              <w:jc w:val="right"/>
              <w:rPr>
                <w:rFonts w:ascii="Arial" w:hAnsi="Arial" w:cs="Arial"/>
                <w:sz w:val="20"/>
                <w:lang w:val="es-ES_tradnl"/>
              </w:rPr>
            </w:pPr>
            <w:r w:rsidRPr="00701F32">
              <w:rPr>
                <w:rFonts w:ascii="Arial" w:hAnsi="Arial" w:cs="Arial"/>
                <w:sz w:val="20"/>
                <w:lang w:val="es-ES_tradnl"/>
              </w:rPr>
              <w:t>105.589</w:t>
            </w:r>
          </w:p>
        </w:tc>
        <w:tc>
          <w:tcPr>
            <w:tcW w:w="2234" w:type="dxa"/>
            <w:vAlign w:val="bottom"/>
          </w:tcPr>
          <w:p w14:paraId="56D74F59" w14:textId="3EBB1441" w:rsidR="004B7F5F" w:rsidRPr="00701F32" w:rsidRDefault="007D1975">
            <w:pPr>
              <w:jc w:val="right"/>
              <w:rPr>
                <w:rFonts w:ascii="Arial" w:hAnsi="Arial" w:cs="Arial"/>
                <w:sz w:val="20"/>
                <w:lang w:val="es-ES_tradnl"/>
              </w:rPr>
            </w:pPr>
            <w:r w:rsidRPr="00701F32">
              <w:rPr>
                <w:rFonts w:ascii="Arial" w:hAnsi="Arial" w:cs="Arial"/>
                <w:sz w:val="20"/>
                <w:lang w:val="es-ES_tradnl"/>
              </w:rPr>
              <w:t>90.430</w:t>
            </w:r>
          </w:p>
        </w:tc>
      </w:tr>
      <w:tr w:rsidR="004B7F5F" w:rsidRPr="00701F32" w14:paraId="16FD9F14" w14:textId="77777777" w:rsidTr="00E311C9">
        <w:tc>
          <w:tcPr>
            <w:tcW w:w="4395" w:type="dxa"/>
          </w:tcPr>
          <w:p w14:paraId="6E69E5E2" w14:textId="77777777" w:rsidR="004B7F5F" w:rsidRPr="00701F32" w:rsidRDefault="004B7F5F" w:rsidP="00CE4F48">
            <w:pPr>
              <w:rPr>
                <w:rFonts w:ascii="Arial" w:hAnsi="Arial" w:cs="Arial"/>
                <w:sz w:val="20"/>
              </w:rPr>
            </w:pPr>
            <w:r w:rsidRPr="00701F32">
              <w:rPr>
                <w:rFonts w:ascii="Arial" w:hAnsi="Arial" w:cs="Arial"/>
                <w:sz w:val="20"/>
              </w:rPr>
              <w:t>Depreciación de bienes diversos</w:t>
            </w:r>
          </w:p>
        </w:tc>
        <w:tc>
          <w:tcPr>
            <w:tcW w:w="1984" w:type="dxa"/>
            <w:vAlign w:val="bottom"/>
          </w:tcPr>
          <w:p w14:paraId="6FA505C9" w14:textId="2AAFFF58" w:rsidR="004B7F5F" w:rsidRPr="00701F32" w:rsidRDefault="007D1975">
            <w:pPr>
              <w:jc w:val="right"/>
              <w:rPr>
                <w:rFonts w:ascii="Arial" w:hAnsi="Arial" w:cs="Arial"/>
                <w:sz w:val="20"/>
                <w:lang w:val="es-ES_tradnl"/>
              </w:rPr>
            </w:pPr>
            <w:r w:rsidRPr="00701F32">
              <w:rPr>
                <w:rFonts w:ascii="Arial" w:hAnsi="Arial" w:cs="Arial"/>
                <w:sz w:val="20"/>
                <w:lang w:val="es-ES_tradnl"/>
              </w:rPr>
              <w:t>40.146</w:t>
            </w:r>
          </w:p>
        </w:tc>
        <w:tc>
          <w:tcPr>
            <w:tcW w:w="2234" w:type="dxa"/>
            <w:vAlign w:val="bottom"/>
          </w:tcPr>
          <w:p w14:paraId="28DBE56F" w14:textId="5862BF92" w:rsidR="004B7F5F" w:rsidRPr="00701F32" w:rsidRDefault="00AD7780">
            <w:pPr>
              <w:jc w:val="right"/>
              <w:rPr>
                <w:rFonts w:ascii="Arial" w:hAnsi="Arial" w:cs="Arial"/>
                <w:sz w:val="20"/>
                <w:lang w:val="es-ES_tradnl"/>
              </w:rPr>
            </w:pPr>
            <w:r w:rsidRPr="00701F32">
              <w:rPr>
                <w:rFonts w:ascii="Arial" w:hAnsi="Arial" w:cs="Arial"/>
                <w:sz w:val="20"/>
                <w:lang w:val="es-ES_tradnl"/>
              </w:rPr>
              <w:t>4.221</w:t>
            </w:r>
          </w:p>
        </w:tc>
      </w:tr>
      <w:tr w:rsidR="004B7F5F" w:rsidRPr="00701F32" w14:paraId="423C6A9E" w14:textId="77777777" w:rsidTr="00E311C9">
        <w:tc>
          <w:tcPr>
            <w:tcW w:w="4395" w:type="dxa"/>
          </w:tcPr>
          <w:p w14:paraId="1ACC8E3F" w14:textId="77777777" w:rsidR="004B7F5F" w:rsidRPr="00701F32" w:rsidRDefault="004B7F5F" w:rsidP="00CE4F48">
            <w:pPr>
              <w:rPr>
                <w:rFonts w:ascii="Arial" w:hAnsi="Arial" w:cs="Arial"/>
                <w:sz w:val="20"/>
              </w:rPr>
            </w:pPr>
            <w:r w:rsidRPr="00701F32">
              <w:rPr>
                <w:rFonts w:ascii="Arial" w:hAnsi="Arial" w:cs="Arial"/>
                <w:sz w:val="20"/>
              </w:rPr>
              <w:t>Amortización de bienes intangibles</w:t>
            </w:r>
            <w:r w:rsidR="00322D9E" w:rsidRPr="00701F32">
              <w:rPr>
                <w:rFonts w:ascii="Arial" w:hAnsi="Arial" w:cs="Arial"/>
                <w:sz w:val="20"/>
              </w:rPr>
              <w:t xml:space="preserve"> </w:t>
            </w:r>
            <w:r w:rsidR="00322D9E" w:rsidRPr="00701F32">
              <w:rPr>
                <w:rFonts w:ascii="Arial" w:hAnsi="Arial" w:cs="Arial"/>
                <w:b/>
                <w:sz w:val="20"/>
              </w:rPr>
              <w:t>(Anexo G)</w:t>
            </w:r>
          </w:p>
        </w:tc>
        <w:tc>
          <w:tcPr>
            <w:tcW w:w="1984" w:type="dxa"/>
            <w:vAlign w:val="bottom"/>
          </w:tcPr>
          <w:p w14:paraId="3479C168" w14:textId="3CE3A1F2" w:rsidR="004B7F5F" w:rsidRPr="00701F32" w:rsidRDefault="007D1975">
            <w:pPr>
              <w:jc w:val="right"/>
              <w:rPr>
                <w:rFonts w:ascii="Arial" w:hAnsi="Arial" w:cs="Arial"/>
                <w:sz w:val="20"/>
                <w:lang w:val="es-ES_tradnl"/>
              </w:rPr>
            </w:pPr>
            <w:r w:rsidRPr="00701F32">
              <w:rPr>
                <w:rFonts w:ascii="Arial" w:hAnsi="Arial" w:cs="Arial"/>
                <w:sz w:val="20"/>
                <w:lang w:val="es-ES_tradnl"/>
              </w:rPr>
              <w:t>58.349</w:t>
            </w:r>
          </w:p>
        </w:tc>
        <w:tc>
          <w:tcPr>
            <w:tcW w:w="2234" w:type="dxa"/>
            <w:vAlign w:val="bottom"/>
          </w:tcPr>
          <w:p w14:paraId="3DFD874D" w14:textId="2FEA8026" w:rsidR="004B7F5F" w:rsidRPr="00701F32" w:rsidRDefault="00AD7780">
            <w:pPr>
              <w:jc w:val="right"/>
              <w:rPr>
                <w:rFonts w:ascii="Arial" w:hAnsi="Arial" w:cs="Arial"/>
                <w:sz w:val="20"/>
                <w:lang w:val="es-ES_tradnl"/>
              </w:rPr>
            </w:pPr>
            <w:r w:rsidRPr="00701F32">
              <w:rPr>
                <w:rFonts w:ascii="Arial" w:hAnsi="Arial" w:cs="Arial"/>
                <w:sz w:val="20"/>
                <w:lang w:val="es-ES_tradnl"/>
              </w:rPr>
              <w:t>94.056</w:t>
            </w:r>
          </w:p>
        </w:tc>
      </w:tr>
      <w:tr w:rsidR="004B7F5F" w:rsidRPr="00701F32" w14:paraId="531159D9" w14:textId="77777777" w:rsidTr="00E311C9">
        <w:tc>
          <w:tcPr>
            <w:tcW w:w="4395" w:type="dxa"/>
          </w:tcPr>
          <w:p w14:paraId="22D2FA7B" w14:textId="77777777" w:rsidR="004B7F5F" w:rsidRPr="00701F32" w:rsidRDefault="004B7F5F" w:rsidP="00CE4F48">
            <w:pPr>
              <w:rPr>
                <w:rFonts w:ascii="Arial" w:hAnsi="Arial" w:cs="Arial"/>
                <w:b/>
                <w:sz w:val="20"/>
              </w:rPr>
            </w:pPr>
            <w:r w:rsidRPr="00701F32">
              <w:rPr>
                <w:rFonts w:ascii="Arial" w:hAnsi="Arial" w:cs="Arial"/>
                <w:b/>
                <w:sz w:val="20"/>
              </w:rPr>
              <w:t>Total</w:t>
            </w:r>
          </w:p>
        </w:tc>
        <w:tc>
          <w:tcPr>
            <w:tcW w:w="1984" w:type="dxa"/>
            <w:vAlign w:val="bottom"/>
          </w:tcPr>
          <w:p w14:paraId="12DFF450" w14:textId="03C885A1" w:rsidR="004B7F5F" w:rsidRPr="00701F32" w:rsidRDefault="007D1975">
            <w:pPr>
              <w:jc w:val="right"/>
              <w:rPr>
                <w:rFonts w:ascii="Arial" w:hAnsi="Arial" w:cs="Arial"/>
                <w:b/>
                <w:sz w:val="20"/>
                <w:lang w:val="es-ES_tradnl"/>
              </w:rPr>
            </w:pPr>
            <w:r w:rsidRPr="00701F32">
              <w:rPr>
                <w:rFonts w:ascii="Arial" w:hAnsi="Arial" w:cs="Arial"/>
                <w:b/>
                <w:sz w:val="20"/>
                <w:lang w:val="es-ES_tradnl"/>
              </w:rPr>
              <w:t>204.084</w:t>
            </w:r>
          </w:p>
        </w:tc>
        <w:tc>
          <w:tcPr>
            <w:tcW w:w="2234" w:type="dxa"/>
            <w:vAlign w:val="bottom"/>
          </w:tcPr>
          <w:p w14:paraId="34AC5A4F" w14:textId="2A04E63E" w:rsidR="004B7F5F" w:rsidRPr="00701F32" w:rsidRDefault="007D1975">
            <w:pPr>
              <w:jc w:val="right"/>
              <w:rPr>
                <w:rFonts w:ascii="Arial" w:hAnsi="Arial" w:cs="Arial"/>
                <w:b/>
                <w:sz w:val="20"/>
                <w:lang w:val="es-ES_tradnl"/>
              </w:rPr>
            </w:pPr>
            <w:r w:rsidRPr="00701F32">
              <w:rPr>
                <w:rFonts w:ascii="Arial" w:hAnsi="Arial" w:cs="Arial"/>
                <w:b/>
                <w:sz w:val="20"/>
                <w:lang w:val="es-ES_tradnl"/>
              </w:rPr>
              <w:t>188.707</w:t>
            </w:r>
          </w:p>
        </w:tc>
      </w:tr>
    </w:tbl>
    <w:p w14:paraId="5BB0A8CE" w14:textId="77777777" w:rsidR="008E4010" w:rsidRPr="00701F32" w:rsidRDefault="008E4010" w:rsidP="00656E62">
      <w:pPr>
        <w:spacing w:after="160" w:line="259" w:lineRule="auto"/>
        <w:jc w:val="both"/>
        <w:rPr>
          <w:rFonts w:ascii="Arial" w:eastAsia="Calibri" w:hAnsi="Arial" w:cs="Arial"/>
          <w:b/>
          <w:sz w:val="20"/>
        </w:rPr>
      </w:pPr>
    </w:p>
    <w:p w14:paraId="2348D1E9" w14:textId="77777777" w:rsidR="00656E62" w:rsidRPr="00701F32" w:rsidRDefault="00D57127" w:rsidP="00656E62">
      <w:pPr>
        <w:spacing w:after="160" w:line="259" w:lineRule="auto"/>
        <w:jc w:val="both"/>
        <w:rPr>
          <w:rFonts w:ascii="Arial" w:eastAsia="Calibri" w:hAnsi="Arial" w:cs="Arial"/>
          <w:b/>
          <w:color w:val="FF0000"/>
          <w:sz w:val="20"/>
        </w:rPr>
      </w:pPr>
      <w:r w:rsidRPr="00701F32">
        <w:rPr>
          <w:rFonts w:ascii="Arial" w:eastAsia="Calibri" w:hAnsi="Arial" w:cs="Arial"/>
          <w:b/>
          <w:sz w:val="20"/>
        </w:rPr>
        <w:t>8</w:t>
      </w:r>
      <w:r w:rsidR="00656E62" w:rsidRPr="00701F32">
        <w:rPr>
          <w:rFonts w:ascii="Arial" w:eastAsia="Calibri" w:hAnsi="Arial" w:cs="Arial"/>
          <w:b/>
          <w:sz w:val="20"/>
        </w:rPr>
        <w:t>. UTILIDAD POR ACCION</w:t>
      </w:r>
    </w:p>
    <w:p w14:paraId="3BA9A0C6" w14:textId="49819903" w:rsidR="00656E62" w:rsidRPr="00701F32" w:rsidRDefault="00656E62" w:rsidP="00656E62">
      <w:pPr>
        <w:pStyle w:val="Textoindependiente2"/>
        <w:jc w:val="both"/>
        <w:rPr>
          <w:rFonts w:ascii="Arial" w:hAnsi="Arial" w:cs="Arial"/>
          <w:b w:val="0"/>
          <w:sz w:val="20"/>
        </w:rPr>
      </w:pPr>
      <w:r w:rsidRPr="00701F32">
        <w:rPr>
          <w:rFonts w:ascii="Arial" w:hAnsi="Arial" w:cs="Arial"/>
          <w:b w:val="0"/>
          <w:sz w:val="20"/>
        </w:rPr>
        <w:t xml:space="preserve">La utilidad por acción se calcula dividiendo la utilidad atribuible a los accionistas del Banco entre el promedio ponderado de las acciones </w:t>
      </w:r>
      <w:r w:rsidR="000761A8" w:rsidRPr="00701F32">
        <w:rPr>
          <w:rFonts w:ascii="Arial" w:hAnsi="Arial" w:cs="Arial"/>
          <w:b w:val="0"/>
          <w:sz w:val="20"/>
        </w:rPr>
        <w:t xml:space="preserve">ordinarias </w:t>
      </w:r>
      <w:r w:rsidRPr="00701F32">
        <w:rPr>
          <w:rFonts w:ascii="Arial" w:hAnsi="Arial" w:cs="Arial"/>
          <w:b w:val="0"/>
          <w:sz w:val="20"/>
        </w:rPr>
        <w:t>en circulación en el año. Dado que la Entidad no posee acciones preferidas ni deuda convertible en acciones, la utilidad básica y diluida por acción son iguales.</w:t>
      </w:r>
    </w:p>
    <w:p w14:paraId="3E47359E" w14:textId="77777777" w:rsidR="00D12E45" w:rsidRPr="00701F32" w:rsidRDefault="00D12E45" w:rsidP="00656E62">
      <w:pPr>
        <w:pStyle w:val="Textoindependiente2"/>
        <w:rPr>
          <w:rFonts w:ascii="Arial" w:hAnsi="Arial" w:cs="Arial"/>
          <w:sz w:val="20"/>
        </w:rPr>
      </w:pPr>
    </w:p>
    <w:tbl>
      <w:tblPr>
        <w:tblW w:w="85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4"/>
        <w:gridCol w:w="1473"/>
        <w:gridCol w:w="1298"/>
      </w:tblGrid>
      <w:tr w:rsidR="00A844A1" w:rsidRPr="00701F32" w14:paraId="613B0D76" w14:textId="77777777" w:rsidTr="00E311C9">
        <w:trPr>
          <w:trHeight w:val="260"/>
        </w:trPr>
        <w:tc>
          <w:tcPr>
            <w:tcW w:w="5794" w:type="dxa"/>
            <w:shd w:val="clear" w:color="auto" w:fill="auto"/>
            <w:noWrap/>
            <w:vAlign w:val="bottom"/>
            <w:hideMark/>
          </w:tcPr>
          <w:p w14:paraId="4CE0B5F4" w14:textId="77777777" w:rsidR="00A844A1" w:rsidRPr="00701F32" w:rsidRDefault="00A844A1" w:rsidP="00464C0F">
            <w:pPr>
              <w:pStyle w:val="Textoindependiente2"/>
              <w:jc w:val="both"/>
              <w:rPr>
                <w:rFonts w:ascii="Arial" w:hAnsi="Arial" w:cs="Arial"/>
                <w:sz w:val="18"/>
              </w:rPr>
            </w:pPr>
            <w:r w:rsidRPr="00701F32">
              <w:rPr>
                <w:rFonts w:ascii="Arial" w:hAnsi="Arial" w:cs="Arial"/>
                <w:sz w:val="18"/>
              </w:rPr>
              <w:t> </w:t>
            </w:r>
          </w:p>
        </w:tc>
        <w:tc>
          <w:tcPr>
            <w:tcW w:w="1473" w:type="dxa"/>
            <w:shd w:val="clear" w:color="auto" w:fill="auto"/>
            <w:noWrap/>
            <w:vAlign w:val="bottom"/>
            <w:hideMark/>
          </w:tcPr>
          <w:p w14:paraId="63B13D63" w14:textId="77777777" w:rsidR="00A844A1" w:rsidRPr="00701F32" w:rsidRDefault="00A844A1" w:rsidP="000E2B41">
            <w:pPr>
              <w:pStyle w:val="Textoindependiente2"/>
              <w:jc w:val="center"/>
              <w:rPr>
                <w:rFonts w:ascii="Arial" w:hAnsi="Arial" w:cs="Arial"/>
                <w:sz w:val="18"/>
              </w:rPr>
            </w:pPr>
            <w:r w:rsidRPr="00701F32">
              <w:rPr>
                <w:rFonts w:ascii="Arial" w:hAnsi="Arial" w:cs="Arial"/>
                <w:sz w:val="18"/>
              </w:rPr>
              <w:t>30/09/2018</w:t>
            </w:r>
          </w:p>
        </w:tc>
        <w:tc>
          <w:tcPr>
            <w:tcW w:w="1298" w:type="dxa"/>
            <w:vAlign w:val="bottom"/>
          </w:tcPr>
          <w:p w14:paraId="218CE073" w14:textId="77777777" w:rsidR="00A844A1" w:rsidRPr="00701F32" w:rsidDel="004F1871" w:rsidRDefault="00A844A1" w:rsidP="00464C0F">
            <w:pPr>
              <w:pStyle w:val="Textoindependiente2"/>
              <w:jc w:val="center"/>
              <w:rPr>
                <w:rFonts w:ascii="Arial" w:hAnsi="Arial" w:cs="Arial"/>
                <w:sz w:val="18"/>
              </w:rPr>
            </w:pPr>
            <w:r w:rsidRPr="00701F32">
              <w:rPr>
                <w:rFonts w:ascii="Arial" w:hAnsi="Arial" w:cs="Arial"/>
                <w:sz w:val="18"/>
              </w:rPr>
              <w:t>30/09/2017</w:t>
            </w:r>
          </w:p>
        </w:tc>
      </w:tr>
      <w:tr w:rsidR="00A844A1" w:rsidRPr="00701F32" w14:paraId="5EA46E76" w14:textId="77777777" w:rsidTr="00E311C9">
        <w:trPr>
          <w:trHeight w:val="260"/>
        </w:trPr>
        <w:tc>
          <w:tcPr>
            <w:tcW w:w="5794" w:type="dxa"/>
            <w:shd w:val="clear" w:color="auto" w:fill="auto"/>
            <w:noWrap/>
            <w:vAlign w:val="bottom"/>
            <w:hideMark/>
          </w:tcPr>
          <w:p w14:paraId="31805C4F" w14:textId="77777777" w:rsidR="00A844A1" w:rsidRPr="00701F32" w:rsidRDefault="00A844A1" w:rsidP="0086282C">
            <w:pPr>
              <w:pStyle w:val="Textoindependiente2"/>
              <w:jc w:val="both"/>
              <w:rPr>
                <w:rFonts w:ascii="Arial" w:hAnsi="Arial" w:cs="Arial"/>
                <w:b w:val="0"/>
                <w:sz w:val="18"/>
              </w:rPr>
            </w:pPr>
            <w:r w:rsidRPr="00701F32">
              <w:rPr>
                <w:rFonts w:ascii="Arial" w:hAnsi="Arial" w:cs="Arial"/>
                <w:b w:val="0"/>
                <w:sz w:val="18"/>
              </w:rPr>
              <w:t>Utilidad atribuible a los accionistas de la entidad</w:t>
            </w:r>
          </w:p>
        </w:tc>
        <w:tc>
          <w:tcPr>
            <w:tcW w:w="1473" w:type="dxa"/>
            <w:shd w:val="clear" w:color="auto" w:fill="auto"/>
            <w:noWrap/>
            <w:vAlign w:val="bottom"/>
          </w:tcPr>
          <w:p w14:paraId="24620084" w14:textId="5FF7CD54" w:rsidR="00A844A1" w:rsidRPr="00701F32" w:rsidRDefault="00A844A1" w:rsidP="00464C0F">
            <w:pPr>
              <w:pStyle w:val="Textoindependiente2"/>
              <w:jc w:val="right"/>
              <w:rPr>
                <w:rFonts w:ascii="Arial" w:hAnsi="Arial" w:cs="Arial"/>
                <w:b w:val="0"/>
                <w:sz w:val="18"/>
              </w:rPr>
            </w:pPr>
            <w:r w:rsidRPr="00701F32">
              <w:rPr>
                <w:rFonts w:ascii="Arial" w:hAnsi="Arial" w:cs="Arial"/>
                <w:b w:val="0"/>
                <w:sz w:val="18"/>
              </w:rPr>
              <w:t>1.133.354</w:t>
            </w:r>
          </w:p>
        </w:tc>
        <w:tc>
          <w:tcPr>
            <w:tcW w:w="1298" w:type="dxa"/>
            <w:vAlign w:val="bottom"/>
          </w:tcPr>
          <w:p w14:paraId="5EBA9C2C" w14:textId="30C49BC7" w:rsidR="00A844A1" w:rsidRPr="00701F32" w:rsidDel="004F1871" w:rsidRDefault="00A844A1" w:rsidP="00464C0F">
            <w:pPr>
              <w:pStyle w:val="Textoindependiente2"/>
              <w:jc w:val="right"/>
              <w:rPr>
                <w:rFonts w:ascii="Arial" w:hAnsi="Arial" w:cs="Arial"/>
                <w:b w:val="0"/>
                <w:sz w:val="18"/>
              </w:rPr>
            </w:pPr>
            <w:r w:rsidRPr="00701F32">
              <w:rPr>
                <w:rFonts w:ascii="Arial" w:hAnsi="Arial" w:cs="Arial"/>
                <w:b w:val="0"/>
                <w:sz w:val="18"/>
              </w:rPr>
              <w:t>804.707</w:t>
            </w:r>
          </w:p>
        </w:tc>
      </w:tr>
      <w:tr w:rsidR="00A844A1" w:rsidRPr="00701F32" w14:paraId="22156EFA" w14:textId="77777777" w:rsidTr="00E311C9">
        <w:trPr>
          <w:trHeight w:val="260"/>
        </w:trPr>
        <w:tc>
          <w:tcPr>
            <w:tcW w:w="5794" w:type="dxa"/>
            <w:shd w:val="clear" w:color="auto" w:fill="auto"/>
            <w:noWrap/>
            <w:vAlign w:val="bottom"/>
            <w:hideMark/>
          </w:tcPr>
          <w:p w14:paraId="652E7D5B" w14:textId="77777777" w:rsidR="00A844A1" w:rsidRPr="00701F32" w:rsidRDefault="00A844A1" w:rsidP="00464C0F">
            <w:pPr>
              <w:pStyle w:val="Textoindependiente2"/>
              <w:jc w:val="both"/>
              <w:rPr>
                <w:rFonts w:ascii="Arial" w:hAnsi="Arial" w:cs="Arial"/>
                <w:b w:val="0"/>
                <w:sz w:val="18"/>
              </w:rPr>
            </w:pPr>
            <w:r w:rsidRPr="00701F32">
              <w:rPr>
                <w:rFonts w:ascii="Arial" w:hAnsi="Arial" w:cs="Arial"/>
                <w:b w:val="0"/>
                <w:sz w:val="18"/>
              </w:rPr>
              <w:t>Promedio ponderado de acciones en circulación (miles)</w:t>
            </w:r>
          </w:p>
        </w:tc>
        <w:tc>
          <w:tcPr>
            <w:tcW w:w="1473" w:type="dxa"/>
            <w:shd w:val="clear" w:color="auto" w:fill="auto"/>
            <w:noWrap/>
            <w:vAlign w:val="bottom"/>
          </w:tcPr>
          <w:p w14:paraId="438BF9C1" w14:textId="408D0AA0" w:rsidR="00A844A1" w:rsidRPr="00701F32" w:rsidRDefault="00A844A1" w:rsidP="00484663">
            <w:pPr>
              <w:pStyle w:val="Textoindependiente2"/>
              <w:jc w:val="right"/>
              <w:rPr>
                <w:rFonts w:ascii="Arial" w:hAnsi="Arial" w:cs="Arial"/>
                <w:b w:val="0"/>
                <w:sz w:val="18"/>
              </w:rPr>
            </w:pPr>
            <w:r w:rsidRPr="00701F32">
              <w:rPr>
                <w:rFonts w:ascii="Arial" w:hAnsi="Arial" w:cs="Arial"/>
                <w:b w:val="0"/>
                <w:sz w:val="18"/>
              </w:rPr>
              <w:t>761.055</w:t>
            </w:r>
          </w:p>
        </w:tc>
        <w:tc>
          <w:tcPr>
            <w:tcW w:w="1298" w:type="dxa"/>
            <w:vAlign w:val="bottom"/>
          </w:tcPr>
          <w:p w14:paraId="6BF937F4" w14:textId="0198FC7C" w:rsidR="00A844A1" w:rsidRPr="00701F32" w:rsidDel="004F1871" w:rsidRDefault="00A844A1" w:rsidP="00464C0F">
            <w:pPr>
              <w:pStyle w:val="Textoindependiente2"/>
              <w:jc w:val="right"/>
              <w:rPr>
                <w:rFonts w:ascii="Arial" w:hAnsi="Arial" w:cs="Arial"/>
                <w:b w:val="0"/>
                <w:sz w:val="18"/>
              </w:rPr>
            </w:pPr>
            <w:r w:rsidRPr="00701F32">
              <w:rPr>
                <w:rFonts w:ascii="Arial" w:hAnsi="Arial" w:cs="Arial"/>
                <w:b w:val="0"/>
                <w:sz w:val="18"/>
              </w:rPr>
              <w:t>640.807</w:t>
            </w:r>
          </w:p>
        </w:tc>
      </w:tr>
      <w:tr w:rsidR="00A844A1" w:rsidRPr="00701F32" w14:paraId="02ECD050" w14:textId="77777777" w:rsidTr="00E311C9">
        <w:trPr>
          <w:trHeight w:val="260"/>
        </w:trPr>
        <w:tc>
          <w:tcPr>
            <w:tcW w:w="5794" w:type="dxa"/>
            <w:shd w:val="clear" w:color="auto" w:fill="auto"/>
            <w:noWrap/>
            <w:vAlign w:val="bottom"/>
            <w:hideMark/>
          </w:tcPr>
          <w:p w14:paraId="2B4F39FF" w14:textId="77777777" w:rsidR="00A844A1" w:rsidRPr="00701F32" w:rsidRDefault="00A844A1" w:rsidP="00464C0F">
            <w:pPr>
              <w:pStyle w:val="Textoindependiente2"/>
              <w:jc w:val="both"/>
              <w:rPr>
                <w:rFonts w:ascii="Arial" w:hAnsi="Arial" w:cs="Arial"/>
                <w:bCs/>
                <w:sz w:val="18"/>
              </w:rPr>
            </w:pPr>
            <w:r w:rsidRPr="00701F32">
              <w:rPr>
                <w:rFonts w:ascii="Arial" w:hAnsi="Arial" w:cs="Arial"/>
                <w:bCs/>
                <w:sz w:val="18"/>
              </w:rPr>
              <w:t>Utilidad por Acción</w:t>
            </w:r>
          </w:p>
        </w:tc>
        <w:tc>
          <w:tcPr>
            <w:tcW w:w="1473" w:type="dxa"/>
            <w:shd w:val="clear" w:color="auto" w:fill="auto"/>
            <w:noWrap/>
            <w:vAlign w:val="bottom"/>
          </w:tcPr>
          <w:p w14:paraId="1970C8ED" w14:textId="7DDD604E" w:rsidR="00A844A1" w:rsidRPr="00701F32" w:rsidRDefault="00A844A1" w:rsidP="000E2B41">
            <w:pPr>
              <w:pStyle w:val="Textoindependiente2"/>
              <w:jc w:val="right"/>
              <w:rPr>
                <w:rFonts w:ascii="Arial" w:hAnsi="Arial" w:cs="Arial"/>
                <w:bCs/>
                <w:sz w:val="18"/>
              </w:rPr>
            </w:pPr>
            <w:r w:rsidRPr="00701F32">
              <w:rPr>
                <w:rFonts w:ascii="Arial" w:hAnsi="Arial" w:cs="Arial"/>
                <w:bCs/>
                <w:sz w:val="18"/>
              </w:rPr>
              <w:t>1,49</w:t>
            </w:r>
          </w:p>
        </w:tc>
        <w:tc>
          <w:tcPr>
            <w:tcW w:w="1298" w:type="dxa"/>
            <w:vAlign w:val="bottom"/>
          </w:tcPr>
          <w:p w14:paraId="16D8E50C" w14:textId="651AD6B2" w:rsidR="00A844A1" w:rsidRPr="00701F32" w:rsidDel="004F1871" w:rsidRDefault="00A844A1" w:rsidP="00464C0F">
            <w:pPr>
              <w:pStyle w:val="Textoindependiente2"/>
              <w:jc w:val="right"/>
              <w:rPr>
                <w:rFonts w:ascii="Arial" w:hAnsi="Arial" w:cs="Arial"/>
                <w:bCs/>
                <w:sz w:val="18"/>
              </w:rPr>
            </w:pPr>
            <w:r w:rsidRPr="00701F32">
              <w:rPr>
                <w:rFonts w:ascii="Arial" w:hAnsi="Arial" w:cs="Arial"/>
                <w:bCs/>
                <w:sz w:val="18"/>
              </w:rPr>
              <w:t>1,26</w:t>
            </w:r>
          </w:p>
        </w:tc>
      </w:tr>
    </w:tbl>
    <w:p w14:paraId="30B36DAC" w14:textId="77777777" w:rsidR="000F7B89" w:rsidRPr="00701F32" w:rsidRDefault="000F7B89" w:rsidP="00656E62">
      <w:pPr>
        <w:spacing w:after="160" w:line="259" w:lineRule="auto"/>
        <w:jc w:val="both"/>
        <w:rPr>
          <w:rFonts w:ascii="Arial" w:eastAsia="Calibri" w:hAnsi="Arial" w:cs="Arial"/>
          <w:b/>
          <w:sz w:val="20"/>
        </w:rPr>
      </w:pPr>
    </w:p>
    <w:p w14:paraId="711464A5" w14:textId="77777777" w:rsidR="00656E62" w:rsidRPr="00701F32" w:rsidRDefault="00D57127" w:rsidP="00656E62">
      <w:pPr>
        <w:spacing w:after="160" w:line="259" w:lineRule="auto"/>
        <w:jc w:val="both"/>
        <w:rPr>
          <w:rFonts w:ascii="Arial" w:eastAsia="Calibri" w:hAnsi="Arial" w:cs="Arial"/>
          <w:b/>
          <w:sz w:val="20"/>
        </w:rPr>
      </w:pPr>
      <w:r w:rsidRPr="00701F32">
        <w:rPr>
          <w:rFonts w:ascii="Arial" w:eastAsia="Calibri" w:hAnsi="Arial" w:cs="Arial"/>
          <w:b/>
          <w:sz w:val="20"/>
        </w:rPr>
        <w:t>9</w:t>
      </w:r>
      <w:r w:rsidR="00656E62" w:rsidRPr="00701F32">
        <w:rPr>
          <w:rFonts w:ascii="Arial" w:eastAsia="Calibri" w:hAnsi="Arial" w:cs="Arial"/>
          <w:b/>
          <w:sz w:val="20"/>
        </w:rPr>
        <w:t>. PROPIEDAD, PLANTA Y EQUIPOS Y PROPIEDADES DE INVERSION</w:t>
      </w:r>
    </w:p>
    <w:p w14:paraId="36660F45" w14:textId="77777777" w:rsidR="00656E62" w:rsidRPr="00701F32" w:rsidRDefault="00656E62" w:rsidP="00656E62">
      <w:pPr>
        <w:spacing w:after="160"/>
        <w:jc w:val="both"/>
        <w:rPr>
          <w:rFonts w:ascii="Arial" w:eastAsia="Calibri" w:hAnsi="Arial" w:cs="Arial"/>
          <w:sz w:val="20"/>
        </w:rPr>
      </w:pPr>
      <w:r w:rsidRPr="00701F32">
        <w:rPr>
          <w:rFonts w:ascii="Arial" w:eastAsia="Calibri" w:hAnsi="Arial" w:cs="Arial"/>
          <w:sz w:val="20"/>
        </w:rPr>
        <w:t xml:space="preserve">Los movimientos en propiedad, planta y equipos y propiedades de inversión para el período finalizado el </w:t>
      </w:r>
      <w:r w:rsidR="00467044" w:rsidRPr="00701F32">
        <w:rPr>
          <w:rFonts w:ascii="Arial" w:eastAsia="Calibri" w:hAnsi="Arial" w:cs="Arial"/>
          <w:sz w:val="20"/>
        </w:rPr>
        <w:t xml:space="preserve">30 </w:t>
      </w:r>
      <w:r w:rsidRPr="00701F32">
        <w:rPr>
          <w:rFonts w:ascii="Arial" w:eastAsia="Calibri" w:hAnsi="Arial" w:cs="Arial"/>
          <w:sz w:val="20"/>
        </w:rPr>
        <w:t xml:space="preserve">de </w:t>
      </w:r>
      <w:r w:rsidR="00A3374B" w:rsidRPr="00701F32">
        <w:rPr>
          <w:rFonts w:ascii="Arial" w:eastAsia="Calibri" w:hAnsi="Arial" w:cs="Arial"/>
          <w:sz w:val="20"/>
        </w:rPr>
        <w:t>septiembre</w:t>
      </w:r>
      <w:r w:rsidR="00467044" w:rsidRPr="00701F32">
        <w:rPr>
          <w:rFonts w:ascii="Arial" w:eastAsia="Calibri" w:hAnsi="Arial" w:cs="Arial"/>
          <w:sz w:val="20"/>
        </w:rPr>
        <w:t xml:space="preserve"> </w:t>
      </w:r>
      <w:r w:rsidRPr="00701F32">
        <w:rPr>
          <w:rFonts w:ascii="Arial" w:eastAsia="Calibri" w:hAnsi="Arial" w:cs="Arial"/>
          <w:sz w:val="20"/>
        </w:rPr>
        <w:t xml:space="preserve">de 2018 se detallan en el Anexo F adjunto a estos estados financieros condensados </w:t>
      </w:r>
      <w:r w:rsidR="000045FD" w:rsidRPr="00701F32">
        <w:rPr>
          <w:rFonts w:ascii="Arial" w:eastAsia="Calibri" w:hAnsi="Arial" w:cs="Arial"/>
          <w:sz w:val="20"/>
        </w:rPr>
        <w:t xml:space="preserve">separados </w:t>
      </w:r>
      <w:r w:rsidRPr="00701F32">
        <w:rPr>
          <w:rFonts w:ascii="Arial" w:eastAsia="Calibri" w:hAnsi="Arial" w:cs="Arial"/>
          <w:sz w:val="20"/>
        </w:rPr>
        <w:t>intermedios.</w:t>
      </w:r>
    </w:p>
    <w:p w14:paraId="04649154" w14:textId="77777777" w:rsidR="00656E62" w:rsidRPr="00701F32" w:rsidRDefault="00656E62" w:rsidP="00656E62">
      <w:pPr>
        <w:jc w:val="both"/>
        <w:rPr>
          <w:rFonts w:ascii="Arial" w:hAnsi="Arial" w:cs="Arial"/>
          <w:sz w:val="20"/>
        </w:rPr>
      </w:pPr>
    </w:p>
    <w:p w14:paraId="2127ED07" w14:textId="77777777" w:rsidR="00656E62" w:rsidRPr="00701F32" w:rsidRDefault="00D57127" w:rsidP="00656E62">
      <w:pPr>
        <w:spacing w:after="160" w:line="259" w:lineRule="auto"/>
        <w:jc w:val="both"/>
        <w:rPr>
          <w:rFonts w:ascii="Arial" w:eastAsia="Calibri" w:hAnsi="Arial" w:cs="Arial"/>
          <w:b/>
          <w:color w:val="FF0000"/>
          <w:sz w:val="20"/>
        </w:rPr>
      </w:pPr>
      <w:r w:rsidRPr="00701F32">
        <w:rPr>
          <w:rFonts w:ascii="Arial" w:eastAsia="Calibri" w:hAnsi="Arial" w:cs="Arial"/>
          <w:b/>
          <w:sz w:val="20"/>
        </w:rPr>
        <w:t>10</w:t>
      </w:r>
      <w:r w:rsidR="00656E62" w:rsidRPr="00701F32">
        <w:rPr>
          <w:rFonts w:ascii="Arial" w:eastAsia="Calibri" w:hAnsi="Arial" w:cs="Arial"/>
          <w:b/>
          <w:sz w:val="20"/>
        </w:rPr>
        <w:t>. ACTIVOS INTANGIBLES</w:t>
      </w:r>
    </w:p>
    <w:p w14:paraId="13BCF126"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activos intangibles para para el período finalizado el </w:t>
      </w:r>
      <w:r w:rsidR="00467044" w:rsidRPr="00701F32">
        <w:rPr>
          <w:rFonts w:ascii="Arial" w:eastAsia="Calibri" w:hAnsi="Arial" w:cs="Arial"/>
          <w:sz w:val="20"/>
        </w:rPr>
        <w:t xml:space="preserve">30 </w:t>
      </w:r>
      <w:r w:rsidRPr="00701F32">
        <w:rPr>
          <w:rFonts w:ascii="Arial" w:eastAsia="Calibri" w:hAnsi="Arial" w:cs="Arial"/>
          <w:sz w:val="20"/>
        </w:rPr>
        <w:t xml:space="preserve">de </w:t>
      </w:r>
      <w:r w:rsidR="00A3374B" w:rsidRPr="00701F32">
        <w:rPr>
          <w:rFonts w:ascii="Arial" w:eastAsia="Calibri" w:hAnsi="Arial" w:cs="Arial"/>
          <w:sz w:val="20"/>
        </w:rPr>
        <w:t>septiembre</w:t>
      </w:r>
      <w:r w:rsidR="00467044" w:rsidRPr="00701F32">
        <w:rPr>
          <w:rFonts w:ascii="Arial" w:eastAsia="Calibri" w:hAnsi="Arial" w:cs="Arial"/>
          <w:sz w:val="20"/>
        </w:rPr>
        <w:t xml:space="preserve"> </w:t>
      </w:r>
      <w:r w:rsidRPr="00701F32">
        <w:rPr>
          <w:rFonts w:ascii="Arial" w:eastAsia="Calibri" w:hAnsi="Arial" w:cs="Arial"/>
          <w:sz w:val="20"/>
        </w:rPr>
        <w:t>de 2018 se detallan en el Anexo</w:t>
      </w:r>
      <w:r w:rsidRPr="00701F32" w:rsidDel="00E72000">
        <w:rPr>
          <w:rFonts w:ascii="Arial" w:eastAsia="Calibri" w:hAnsi="Arial" w:cs="Arial"/>
          <w:sz w:val="20"/>
        </w:rPr>
        <w:t xml:space="preserve"> </w:t>
      </w:r>
      <w:r w:rsidRPr="00701F32">
        <w:rPr>
          <w:rFonts w:ascii="Arial" w:eastAsia="Calibri" w:hAnsi="Arial" w:cs="Arial"/>
          <w:sz w:val="20"/>
        </w:rPr>
        <w:t xml:space="preserve">G adjunto a estos estados financieros condensados </w:t>
      </w:r>
      <w:r w:rsidR="000045FD" w:rsidRPr="00701F32">
        <w:rPr>
          <w:rFonts w:ascii="Arial" w:eastAsia="Calibri" w:hAnsi="Arial" w:cs="Arial"/>
          <w:sz w:val="20"/>
        </w:rPr>
        <w:t xml:space="preserve">separados </w:t>
      </w:r>
      <w:r w:rsidRPr="00701F32">
        <w:rPr>
          <w:rFonts w:ascii="Arial" w:eastAsia="Calibri" w:hAnsi="Arial" w:cs="Arial"/>
          <w:sz w:val="20"/>
        </w:rPr>
        <w:t>intermedios.</w:t>
      </w:r>
    </w:p>
    <w:p w14:paraId="527BFCD8" w14:textId="77777777" w:rsidR="00656E62" w:rsidRPr="00701F32" w:rsidRDefault="00656E62" w:rsidP="00656E62">
      <w:pPr>
        <w:jc w:val="both"/>
        <w:rPr>
          <w:rFonts w:ascii="Arial" w:hAnsi="Arial" w:cs="Arial"/>
          <w:sz w:val="20"/>
        </w:rPr>
      </w:pPr>
    </w:p>
    <w:p w14:paraId="799FD397" w14:textId="0BD7DB7D" w:rsidR="00656E62" w:rsidRPr="00701F32" w:rsidRDefault="00D57127" w:rsidP="00656E62">
      <w:pPr>
        <w:autoSpaceDE w:val="0"/>
        <w:autoSpaceDN w:val="0"/>
        <w:adjustRightInd w:val="0"/>
        <w:jc w:val="both"/>
        <w:rPr>
          <w:rFonts w:ascii="Arial" w:eastAsia="Arial" w:hAnsi="Arial" w:cs="Arial"/>
          <w:b/>
          <w:bCs/>
          <w:i/>
          <w:noProof/>
          <w:sz w:val="20"/>
        </w:rPr>
      </w:pPr>
      <w:r w:rsidRPr="00701F32">
        <w:rPr>
          <w:rFonts w:ascii="Arial" w:eastAsia="Arial" w:hAnsi="Arial" w:cs="Arial"/>
          <w:b/>
          <w:bCs/>
          <w:noProof/>
          <w:sz w:val="20"/>
        </w:rPr>
        <w:t>11</w:t>
      </w:r>
      <w:r w:rsidR="00656E62" w:rsidRPr="00701F32">
        <w:rPr>
          <w:rFonts w:ascii="Arial" w:eastAsia="Arial" w:hAnsi="Arial" w:cs="Arial"/>
          <w:b/>
          <w:bCs/>
          <w:noProof/>
          <w:sz w:val="20"/>
        </w:rPr>
        <w:t xml:space="preserve">. </w:t>
      </w:r>
      <w:r w:rsidR="006D7FAF" w:rsidRPr="00701F32">
        <w:rPr>
          <w:rFonts w:ascii="Arial" w:eastAsia="Arial" w:hAnsi="Arial" w:cs="Arial"/>
          <w:b/>
          <w:bCs/>
          <w:noProof/>
          <w:sz w:val="20"/>
        </w:rPr>
        <w:t>DISTRIBUCION DE RESULTADOS</w:t>
      </w:r>
    </w:p>
    <w:p w14:paraId="038541FE" w14:textId="77777777" w:rsidR="00656E62" w:rsidRPr="00701F32" w:rsidRDefault="00656E62" w:rsidP="00656E62">
      <w:pPr>
        <w:autoSpaceDE w:val="0"/>
        <w:autoSpaceDN w:val="0"/>
        <w:adjustRightInd w:val="0"/>
        <w:jc w:val="both"/>
        <w:rPr>
          <w:rFonts w:ascii="Arial" w:eastAsia="Arial" w:hAnsi="Arial" w:cs="Arial"/>
          <w:b/>
          <w:bCs/>
          <w:i/>
          <w:noProof/>
          <w:color w:val="FF0000"/>
          <w:sz w:val="20"/>
        </w:rPr>
      </w:pPr>
    </w:p>
    <w:p w14:paraId="2A4163BF" w14:textId="77777777" w:rsidR="00656E62" w:rsidRPr="00701F32" w:rsidRDefault="00656E62" w:rsidP="00656E62">
      <w:pPr>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La Asamblea Anual Ordinaria y Extraordinaria de Accionistas celebrada el 19 de abril de 2018 aprobó los estados contables al 31 de diciembre de 2017 y el tratamiento de los resultados correspondientes al ejercicio finalizado en esa fecha. Se dispuso, de acuerdo a la normativa vigente, el siguiente destino de los resultados no asignados al 31 de diciembre de 2017:</w:t>
      </w:r>
    </w:p>
    <w:p w14:paraId="299C7240" w14:textId="77777777" w:rsidR="00656E62" w:rsidRPr="00701F32" w:rsidRDefault="00656E62" w:rsidP="00656E62">
      <w:pPr>
        <w:jc w:val="both"/>
        <w:rPr>
          <w:rFonts w:ascii="Arial" w:eastAsia="Calibri" w:hAnsi="Arial" w:cs="Arial"/>
          <w:noProof/>
          <w:color w:val="000000"/>
          <w:sz w:val="20"/>
          <w:lang w:eastAsia="es-AR"/>
        </w:rPr>
      </w:pPr>
    </w:p>
    <w:p w14:paraId="71D7CF3F" w14:textId="77777777" w:rsidR="00656E62" w:rsidRPr="00701F32" w:rsidRDefault="00656E62" w:rsidP="00656E62">
      <w:pPr>
        <w:numPr>
          <w:ilvl w:val="0"/>
          <w:numId w:val="32"/>
        </w:num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A reserva legal: 285.746</w:t>
      </w:r>
    </w:p>
    <w:p w14:paraId="7F36A775" w14:textId="77777777" w:rsidR="00656E62" w:rsidRPr="00701F32" w:rsidRDefault="00656E62" w:rsidP="00656E62">
      <w:pPr>
        <w:numPr>
          <w:ilvl w:val="0"/>
          <w:numId w:val="32"/>
        </w:num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A reserva facultativa: 1.142.982</w:t>
      </w:r>
    </w:p>
    <w:p w14:paraId="6EC33235" w14:textId="77777777" w:rsidR="00656E62" w:rsidRPr="00701F32" w:rsidRDefault="00656E62" w:rsidP="00656E62">
      <w:pPr>
        <w:spacing w:after="160"/>
        <w:jc w:val="both"/>
        <w:rPr>
          <w:rFonts w:ascii="Arial" w:eastAsia="Calibri" w:hAnsi="Arial" w:cs="Arial"/>
          <w:noProof/>
          <w:color w:val="000000"/>
          <w:sz w:val="20"/>
          <w:lang w:eastAsia="es-AR"/>
        </w:rPr>
      </w:pPr>
      <w:r w:rsidRPr="00701F32">
        <w:rPr>
          <w:rFonts w:ascii="Arial" w:eastAsia="Calibri" w:hAnsi="Arial" w:cs="Arial"/>
          <w:noProof/>
          <w:color w:val="000000"/>
          <w:sz w:val="20"/>
          <w:lang w:eastAsia="es-AR"/>
        </w:rPr>
        <w:t xml:space="preserve">Adicionalmente se aprobó la capitalización de aportes efectuados por el accionista controlante por un total de  861.000 y un aumento del capital social por hasta la </w:t>
      </w:r>
      <w:r w:rsidRPr="00701F32">
        <w:rPr>
          <w:rFonts w:ascii="Arial" w:eastAsia="Calibri" w:hAnsi="Arial" w:cs="Arial"/>
          <w:noProof/>
          <w:sz w:val="20"/>
          <w:lang w:eastAsia="es-AR"/>
        </w:rPr>
        <w:t xml:space="preserve">suma de </w:t>
      </w:r>
      <w:r w:rsidR="003E7956" w:rsidRPr="00701F32">
        <w:rPr>
          <w:rFonts w:ascii="Arial" w:eastAsia="Calibri" w:hAnsi="Arial" w:cs="Arial"/>
          <w:noProof/>
          <w:sz w:val="20"/>
          <w:lang w:eastAsia="es-AR"/>
        </w:rPr>
        <w:t>27.579</w:t>
      </w:r>
      <w:r w:rsidRPr="00701F32">
        <w:rPr>
          <w:rFonts w:ascii="Arial" w:eastAsia="Calibri" w:hAnsi="Arial" w:cs="Arial"/>
          <w:noProof/>
          <w:sz w:val="20"/>
          <w:lang w:eastAsia="es-AR"/>
        </w:rPr>
        <w:t>, m</w:t>
      </w:r>
      <w:r w:rsidR="00357209" w:rsidRPr="00701F32">
        <w:rPr>
          <w:rFonts w:ascii="Arial" w:eastAsia="Calibri" w:hAnsi="Arial" w:cs="Arial"/>
          <w:noProof/>
          <w:sz w:val="20"/>
          <w:lang w:eastAsia="es-AR"/>
        </w:rPr>
        <w:t xml:space="preserve">ediante la emisión de hasta </w:t>
      </w:r>
      <w:r w:rsidR="003E7956" w:rsidRPr="00701F32">
        <w:rPr>
          <w:rFonts w:ascii="Arial" w:eastAsia="Calibri" w:hAnsi="Arial" w:cs="Arial"/>
          <w:noProof/>
          <w:sz w:val="20"/>
          <w:lang w:eastAsia="es-AR"/>
        </w:rPr>
        <w:t>27.578.475</w:t>
      </w:r>
      <w:r w:rsidRPr="00701F32">
        <w:rPr>
          <w:rFonts w:ascii="Arial" w:eastAsia="Calibri" w:hAnsi="Arial" w:cs="Arial"/>
          <w:noProof/>
          <w:sz w:val="20"/>
          <w:lang w:eastAsia="es-AR"/>
        </w:rPr>
        <w:t xml:space="preserve"> nuevas acciones ordinarias, escriturales, Clase B con derecho a 1 voto por acción y valor nominal $ 1 cada una, a un precio de suscripción de $ 31,22 por acción, con derecho a percibir dividendos o cualquier otra acreencia a partir de la fecha de su emisión y en igualdad de condiciones que el resto de las acciones Clase B que se </w:t>
      </w:r>
      <w:r w:rsidRPr="00701F32">
        <w:rPr>
          <w:rFonts w:ascii="Arial" w:eastAsia="Calibri" w:hAnsi="Arial" w:cs="Arial"/>
          <w:noProof/>
          <w:color w:val="000000"/>
          <w:sz w:val="20"/>
          <w:lang w:eastAsia="es-AR"/>
        </w:rPr>
        <w:t>encuentren en circulación en ese momento.</w:t>
      </w:r>
    </w:p>
    <w:p w14:paraId="5169FB16" w14:textId="14E050CA" w:rsidR="00656E62" w:rsidRPr="00701F32" w:rsidRDefault="00656E62" w:rsidP="00656E62">
      <w:pPr>
        <w:tabs>
          <w:tab w:val="left" w:pos="142"/>
        </w:tabs>
        <w:jc w:val="both"/>
        <w:rPr>
          <w:rFonts w:ascii="Arial" w:hAnsi="Arial" w:cs="Arial"/>
          <w:sz w:val="20"/>
        </w:rPr>
      </w:pPr>
      <w:r w:rsidRPr="00701F32">
        <w:rPr>
          <w:rFonts w:ascii="Arial" w:hAnsi="Arial" w:cs="Arial"/>
          <w:sz w:val="20"/>
        </w:rPr>
        <w:t>A la fecha de los presentes estados financieros el capital social asciende a 771.965, conformado por 771.964.826 acciones, de las cuales, 930.371 son acciones ordinarias, nominativas no endosables, escriturales, clase A de un peso valor nominal cada una y con derecho a cinco votos por acción y 771.034.</w:t>
      </w:r>
      <w:r w:rsidR="003E7956" w:rsidRPr="00701F32">
        <w:rPr>
          <w:rFonts w:ascii="Arial" w:hAnsi="Arial" w:cs="Arial"/>
          <w:sz w:val="20"/>
        </w:rPr>
        <w:t xml:space="preserve">455 </w:t>
      </w:r>
      <w:r w:rsidRPr="00701F32">
        <w:rPr>
          <w:rFonts w:ascii="Arial" w:hAnsi="Arial" w:cs="Arial"/>
          <w:sz w:val="20"/>
        </w:rPr>
        <w:t xml:space="preserve">son acciones ordinarias, nominativas no endosables, escriturales, clase B de un peso valor nominal cada una y con derecho a un voto por acción.  </w:t>
      </w:r>
    </w:p>
    <w:p w14:paraId="7C881033" w14:textId="601B67CE" w:rsidR="00D65F4F" w:rsidRPr="00701F32" w:rsidRDefault="00D65F4F" w:rsidP="00656E62">
      <w:pPr>
        <w:tabs>
          <w:tab w:val="left" w:pos="142"/>
        </w:tabs>
        <w:jc w:val="both"/>
        <w:rPr>
          <w:rFonts w:ascii="Arial" w:hAnsi="Arial" w:cs="Arial"/>
          <w:sz w:val="20"/>
        </w:rPr>
      </w:pPr>
    </w:p>
    <w:p w14:paraId="166A3F2D" w14:textId="18E6E89F" w:rsidR="00D65F4F" w:rsidRPr="00701F32" w:rsidRDefault="00D65F4F" w:rsidP="00D65F4F">
      <w:pPr>
        <w:tabs>
          <w:tab w:val="left" w:pos="142"/>
        </w:tabs>
        <w:jc w:val="both"/>
        <w:rPr>
          <w:rFonts w:ascii="Arial" w:hAnsi="Arial" w:cs="Arial"/>
          <w:sz w:val="20"/>
        </w:rPr>
      </w:pPr>
      <w:r w:rsidRPr="00701F32">
        <w:rPr>
          <w:rFonts w:ascii="Arial" w:hAnsi="Arial" w:cs="Arial"/>
          <w:sz w:val="20"/>
        </w:rPr>
        <w:t xml:space="preserve">En fecha 1° de noviembre de 2018 el accionista Grupo Supervielle S.A. comunicó a la Entidad su intención de realizar una contribución de capital en efectivo y/o en especie por 1.000.000 </w:t>
      </w:r>
      <w:r w:rsidR="00BA26B8" w:rsidRPr="00701F32">
        <w:rPr>
          <w:rFonts w:ascii="Arial" w:hAnsi="Arial" w:cs="Arial"/>
          <w:sz w:val="20"/>
        </w:rPr>
        <w:t xml:space="preserve">con el objeto </w:t>
      </w:r>
      <w:r w:rsidRPr="00701F32">
        <w:rPr>
          <w:rFonts w:ascii="Arial" w:hAnsi="Arial" w:cs="Arial"/>
          <w:sz w:val="20"/>
        </w:rPr>
        <w:t xml:space="preserve">de extender el volumen de sus operaciones y propender así al mejor desarrollo de los negocios sociales. Por </w:t>
      </w:r>
      <w:r w:rsidR="00BA26B8" w:rsidRPr="00701F32">
        <w:rPr>
          <w:rFonts w:ascii="Arial" w:hAnsi="Arial" w:cs="Arial"/>
          <w:sz w:val="20"/>
        </w:rPr>
        <w:t>tal motivo, la Entidad convocó una asamblea general de accionistas para el 21 de noviembre de 2018 a fines de aprobar el aumento de capital.</w:t>
      </w:r>
      <w:r w:rsidRPr="00701F32">
        <w:rPr>
          <w:rFonts w:ascii="Arial" w:hAnsi="Arial" w:cs="Arial"/>
          <w:sz w:val="20"/>
        </w:rPr>
        <w:t xml:space="preserve"> </w:t>
      </w:r>
    </w:p>
    <w:p w14:paraId="610D8CF4" w14:textId="77777777" w:rsidR="006E2762" w:rsidRPr="00701F32" w:rsidRDefault="006E2762" w:rsidP="00D65F4F">
      <w:pPr>
        <w:tabs>
          <w:tab w:val="left" w:pos="142"/>
        </w:tabs>
        <w:jc w:val="both"/>
        <w:rPr>
          <w:rFonts w:ascii="Arial" w:hAnsi="Arial" w:cs="Arial"/>
          <w:sz w:val="20"/>
        </w:rPr>
      </w:pPr>
    </w:p>
    <w:p w14:paraId="69D2611E" w14:textId="77777777" w:rsidR="006D5978" w:rsidRPr="00701F32" w:rsidRDefault="006D5978" w:rsidP="00656E62">
      <w:pPr>
        <w:autoSpaceDE w:val="0"/>
        <w:autoSpaceDN w:val="0"/>
        <w:adjustRightInd w:val="0"/>
        <w:jc w:val="both"/>
        <w:rPr>
          <w:rFonts w:ascii="Arial" w:eastAsia="Arial" w:hAnsi="Arial" w:cs="Arial"/>
          <w:b/>
          <w:bCs/>
          <w:noProof/>
          <w:color w:val="000000"/>
          <w:sz w:val="20"/>
        </w:rPr>
      </w:pPr>
    </w:p>
    <w:p w14:paraId="46E4ABD7" w14:textId="77777777" w:rsidR="00656E62" w:rsidRPr="00701F32" w:rsidRDefault="00D57127" w:rsidP="00656E62">
      <w:pPr>
        <w:spacing w:after="160" w:line="259" w:lineRule="auto"/>
        <w:jc w:val="both"/>
        <w:rPr>
          <w:rFonts w:ascii="Arial" w:eastAsia="Arial" w:hAnsi="Arial" w:cs="Arial"/>
          <w:b/>
          <w:sz w:val="20"/>
        </w:rPr>
      </w:pPr>
      <w:r w:rsidRPr="00701F32">
        <w:rPr>
          <w:rFonts w:ascii="Arial" w:eastAsia="Arial" w:hAnsi="Arial" w:cs="Arial"/>
          <w:b/>
          <w:sz w:val="20"/>
        </w:rPr>
        <w:t>12</w:t>
      </w:r>
      <w:r w:rsidR="00656E62" w:rsidRPr="00701F32">
        <w:rPr>
          <w:rFonts w:ascii="Arial" w:eastAsia="Arial" w:hAnsi="Arial" w:cs="Arial"/>
          <w:b/>
          <w:sz w:val="20"/>
        </w:rPr>
        <w:t>. C</w:t>
      </w:r>
      <w:r w:rsidR="000045FD" w:rsidRPr="00701F32">
        <w:rPr>
          <w:rFonts w:ascii="Arial" w:eastAsia="Arial" w:hAnsi="Arial" w:cs="Arial"/>
          <w:b/>
          <w:sz w:val="20"/>
        </w:rPr>
        <w:t>OMPROMISOS Y CONTINGENCIAS</w:t>
      </w:r>
      <w:r w:rsidR="00656E62" w:rsidRPr="00701F32">
        <w:rPr>
          <w:rFonts w:ascii="Arial" w:eastAsia="Arial" w:hAnsi="Arial" w:cs="Arial"/>
          <w:b/>
          <w:sz w:val="20"/>
        </w:rPr>
        <w:t xml:space="preserve"> </w:t>
      </w:r>
    </w:p>
    <w:p w14:paraId="4DA13F2E" w14:textId="77777777" w:rsidR="00656E62" w:rsidRPr="00701F32" w:rsidRDefault="00656E62" w:rsidP="00656E62">
      <w:pPr>
        <w:spacing w:after="160" w:line="259" w:lineRule="auto"/>
        <w:jc w:val="both"/>
        <w:rPr>
          <w:rFonts w:ascii="Arial" w:eastAsia="Arial" w:hAnsi="Arial" w:cs="Arial"/>
          <w:b/>
          <w:sz w:val="20"/>
        </w:rPr>
      </w:pPr>
      <w:r w:rsidRPr="00701F32">
        <w:rPr>
          <w:rFonts w:ascii="Arial" w:eastAsia="Arial" w:hAnsi="Arial" w:cs="Arial"/>
          <w:b/>
          <w:sz w:val="20"/>
        </w:rPr>
        <w:t>Compromisos</w:t>
      </w:r>
    </w:p>
    <w:p w14:paraId="3E01AD04" w14:textId="77777777" w:rsidR="00656E62" w:rsidRPr="00701F32" w:rsidRDefault="00656E62" w:rsidP="00656E62">
      <w:pPr>
        <w:spacing w:after="160" w:line="259" w:lineRule="auto"/>
        <w:jc w:val="both"/>
        <w:rPr>
          <w:rFonts w:ascii="Arial" w:eastAsia="Arial" w:hAnsi="Arial" w:cs="Arial"/>
          <w:sz w:val="20"/>
          <w:u w:val="single"/>
        </w:rPr>
      </w:pPr>
      <w:r w:rsidRPr="00701F32">
        <w:rPr>
          <w:rFonts w:ascii="Arial" w:eastAsia="Arial" w:hAnsi="Arial" w:cs="Arial"/>
          <w:sz w:val="20"/>
          <w:u w:val="single"/>
        </w:rPr>
        <w:t>Compromisos de Capital</w:t>
      </w:r>
    </w:p>
    <w:p w14:paraId="61573C1B"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 xml:space="preserve">Durante el período de </w:t>
      </w:r>
      <w:r w:rsidR="00DB3B56" w:rsidRPr="00701F32">
        <w:rPr>
          <w:rFonts w:ascii="Arial" w:eastAsia="Arial" w:hAnsi="Arial" w:cs="Arial"/>
          <w:sz w:val="20"/>
        </w:rPr>
        <w:t>nueve</w:t>
      </w:r>
      <w:r w:rsidR="00970823" w:rsidRPr="00701F32">
        <w:rPr>
          <w:rFonts w:ascii="Arial" w:eastAsia="Arial" w:hAnsi="Arial" w:cs="Arial"/>
          <w:sz w:val="20"/>
        </w:rPr>
        <w:t xml:space="preserve"> </w:t>
      </w:r>
      <w:r w:rsidRPr="00701F32">
        <w:rPr>
          <w:rFonts w:ascii="Arial" w:eastAsia="Arial" w:hAnsi="Arial" w:cs="Arial"/>
          <w:sz w:val="20"/>
        </w:rPr>
        <w:t xml:space="preserve">meses finalizado el </w:t>
      </w:r>
      <w:r w:rsidR="00467044" w:rsidRPr="00701F32">
        <w:rPr>
          <w:rFonts w:ascii="Arial" w:eastAsia="Arial" w:hAnsi="Arial" w:cs="Arial"/>
          <w:sz w:val="20"/>
        </w:rPr>
        <w:t xml:space="preserve">30 </w:t>
      </w:r>
      <w:r w:rsidRPr="00701F32">
        <w:rPr>
          <w:rFonts w:ascii="Arial" w:eastAsia="Arial" w:hAnsi="Arial" w:cs="Arial"/>
          <w:sz w:val="20"/>
        </w:rPr>
        <w:t xml:space="preserve">de </w:t>
      </w:r>
      <w:r w:rsidR="00DB3B56" w:rsidRPr="00701F32">
        <w:rPr>
          <w:rFonts w:ascii="Arial" w:eastAsia="Arial" w:hAnsi="Arial" w:cs="Arial"/>
          <w:sz w:val="20"/>
        </w:rPr>
        <w:t>septiembre</w:t>
      </w:r>
      <w:r w:rsidRPr="00701F32">
        <w:rPr>
          <w:rFonts w:ascii="Arial" w:eastAsia="Arial" w:hAnsi="Arial" w:cs="Arial"/>
          <w:sz w:val="20"/>
        </w:rPr>
        <w:t xml:space="preserve"> de 2018, la Entidad </w:t>
      </w:r>
      <w:r w:rsidR="00F83144" w:rsidRPr="00701F32">
        <w:rPr>
          <w:rFonts w:ascii="Arial" w:eastAsia="Arial" w:hAnsi="Arial" w:cs="Arial"/>
          <w:sz w:val="20"/>
        </w:rPr>
        <w:t xml:space="preserve">junto con su controladora Grupo Supervielle </w:t>
      </w:r>
      <w:r w:rsidRPr="00701F32">
        <w:rPr>
          <w:rFonts w:ascii="Arial" w:eastAsia="Arial" w:hAnsi="Arial" w:cs="Arial"/>
          <w:sz w:val="20"/>
        </w:rPr>
        <w:t>efectu</w:t>
      </w:r>
      <w:r w:rsidR="00F83144" w:rsidRPr="00701F32">
        <w:rPr>
          <w:rFonts w:ascii="Arial" w:eastAsia="Arial" w:hAnsi="Arial" w:cs="Arial"/>
          <w:sz w:val="20"/>
        </w:rPr>
        <w:t>aron</w:t>
      </w:r>
      <w:r w:rsidRPr="00701F32">
        <w:rPr>
          <w:rFonts w:ascii="Arial" w:eastAsia="Arial" w:hAnsi="Arial" w:cs="Arial"/>
          <w:sz w:val="20"/>
        </w:rPr>
        <w:t xml:space="preserve"> aporte</w:t>
      </w:r>
      <w:r w:rsidR="001762AB" w:rsidRPr="00701F32">
        <w:rPr>
          <w:rFonts w:ascii="Arial" w:eastAsia="Arial" w:hAnsi="Arial" w:cs="Arial"/>
          <w:sz w:val="20"/>
        </w:rPr>
        <w:t>s</w:t>
      </w:r>
      <w:r w:rsidRPr="00701F32">
        <w:rPr>
          <w:rFonts w:ascii="Arial" w:eastAsia="Arial" w:hAnsi="Arial" w:cs="Arial"/>
          <w:sz w:val="20"/>
        </w:rPr>
        <w:t xml:space="preserve"> de </w:t>
      </w:r>
      <w:r w:rsidR="003E5B5C" w:rsidRPr="00701F32">
        <w:rPr>
          <w:rFonts w:ascii="Arial" w:eastAsia="Arial" w:hAnsi="Arial" w:cs="Arial"/>
          <w:sz w:val="20"/>
        </w:rPr>
        <w:t xml:space="preserve">capital </w:t>
      </w:r>
      <w:r w:rsidR="001762AB" w:rsidRPr="00701F32">
        <w:rPr>
          <w:rFonts w:ascii="Arial" w:eastAsia="Arial" w:hAnsi="Arial" w:cs="Arial"/>
          <w:sz w:val="20"/>
        </w:rPr>
        <w:t xml:space="preserve">por </w:t>
      </w:r>
      <w:r w:rsidR="0088121C" w:rsidRPr="00701F32">
        <w:rPr>
          <w:rFonts w:ascii="Arial" w:eastAsia="Arial" w:hAnsi="Arial" w:cs="Arial"/>
          <w:sz w:val="20"/>
        </w:rPr>
        <w:t xml:space="preserve">361.000 </w:t>
      </w:r>
      <w:r w:rsidR="00F83144" w:rsidRPr="00701F32">
        <w:rPr>
          <w:rFonts w:ascii="Arial" w:eastAsia="Arial" w:hAnsi="Arial" w:cs="Arial"/>
          <w:sz w:val="20"/>
        </w:rPr>
        <w:t>y 19.000</w:t>
      </w:r>
      <w:r w:rsidR="00C40DFD" w:rsidRPr="00701F32">
        <w:rPr>
          <w:rFonts w:ascii="Arial" w:eastAsia="Arial" w:hAnsi="Arial" w:cs="Arial"/>
          <w:sz w:val="20"/>
        </w:rPr>
        <w:t xml:space="preserve"> respectivamente </w:t>
      </w:r>
      <w:r w:rsidR="0088121C" w:rsidRPr="00701F32">
        <w:rPr>
          <w:rFonts w:ascii="Arial" w:eastAsia="Arial" w:hAnsi="Arial" w:cs="Arial"/>
          <w:sz w:val="20"/>
        </w:rPr>
        <w:t>en la sociedad controlada Cordial Compañía Financiera S.A. y por</w:t>
      </w:r>
      <w:r w:rsidR="003E5B5C" w:rsidRPr="00701F32">
        <w:rPr>
          <w:rFonts w:ascii="Arial" w:eastAsia="Arial" w:hAnsi="Arial" w:cs="Arial"/>
          <w:sz w:val="20"/>
        </w:rPr>
        <w:t xml:space="preserve"> </w:t>
      </w:r>
      <w:r w:rsidRPr="00701F32">
        <w:rPr>
          <w:rFonts w:ascii="Arial" w:eastAsia="Arial" w:hAnsi="Arial" w:cs="Arial"/>
          <w:sz w:val="20"/>
        </w:rPr>
        <w:t xml:space="preserve">30.000 </w:t>
      </w:r>
      <w:r w:rsidR="00F83144" w:rsidRPr="00701F32">
        <w:rPr>
          <w:rFonts w:ascii="Arial" w:eastAsia="Arial" w:hAnsi="Arial" w:cs="Arial"/>
          <w:sz w:val="20"/>
        </w:rPr>
        <w:t xml:space="preserve">y 262.500 </w:t>
      </w:r>
      <w:r w:rsidR="0088121C" w:rsidRPr="00701F32">
        <w:rPr>
          <w:rFonts w:ascii="Arial" w:eastAsia="Arial" w:hAnsi="Arial" w:cs="Arial"/>
          <w:sz w:val="20"/>
        </w:rPr>
        <w:t>en</w:t>
      </w:r>
      <w:r w:rsidRPr="00701F32">
        <w:rPr>
          <w:rFonts w:ascii="Arial" w:eastAsia="Arial" w:hAnsi="Arial" w:cs="Arial"/>
          <w:sz w:val="20"/>
        </w:rPr>
        <w:t xml:space="preserve"> Tarjeta Automática S.A. </w:t>
      </w:r>
      <w:r w:rsidR="00F83144" w:rsidRPr="00701F32">
        <w:rPr>
          <w:rFonts w:ascii="Arial" w:eastAsia="Arial" w:hAnsi="Arial" w:cs="Arial"/>
          <w:sz w:val="20"/>
        </w:rPr>
        <w:t>respectivamente.</w:t>
      </w:r>
    </w:p>
    <w:p w14:paraId="6AA9C6DA" w14:textId="77777777" w:rsidR="00656E62" w:rsidRPr="00701F32" w:rsidRDefault="00656E62" w:rsidP="00656E62">
      <w:pPr>
        <w:spacing w:after="160" w:line="259" w:lineRule="auto"/>
        <w:jc w:val="both"/>
        <w:rPr>
          <w:rFonts w:ascii="Arial" w:eastAsia="Arial" w:hAnsi="Arial" w:cs="Arial"/>
          <w:b/>
          <w:sz w:val="20"/>
        </w:rPr>
      </w:pPr>
      <w:r w:rsidRPr="00701F32">
        <w:rPr>
          <w:rFonts w:ascii="Arial" w:eastAsia="Arial" w:hAnsi="Arial" w:cs="Arial"/>
          <w:b/>
          <w:sz w:val="20"/>
        </w:rPr>
        <w:t>Contingencias y provisiones</w:t>
      </w:r>
    </w:p>
    <w:p w14:paraId="0E3E7A61"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Las Normas Internacionales de Información Financiera establecen que un pasivo contingente consiste en (i) una obligación posible, surgida en función de sucesos pasados, cuya existencia ha de ser confirmada por la ocurrencia de uno o más hecho futuros de naturaleza incierta, las cuales no se hayan bajo el control de la Entidad o (ii) una obligación presente que no resulta probable o cuyo importe no ha de ser posible de medición o estimación con suficiente fiabilidad.</w:t>
      </w:r>
    </w:p>
    <w:p w14:paraId="0DE9A545"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Los movimientos de provisiones por contingencias ocurridos durante el ejercicio se encuentran detallados en el Anexo J correspondiente al cual se remite.</w:t>
      </w:r>
    </w:p>
    <w:p w14:paraId="57760D39" w14:textId="77777777" w:rsidR="00656E62" w:rsidRPr="00701F32" w:rsidRDefault="00D57127">
      <w:pPr>
        <w:keepNext/>
        <w:keepLines/>
        <w:jc w:val="both"/>
        <w:outlineLvl w:val="1"/>
        <w:rPr>
          <w:rFonts w:ascii="Arial" w:hAnsi="Arial" w:cs="Arial"/>
          <w:b/>
          <w:bCs/>
          <w:noProof/>
          <w:sz w:val="20"/>
        </w:rPr>
      </w:pPr>
      <w:r w:rsidRPr="00701F32">
        <w:rPr>
          <w:rFonts w:ascii="Arial" w:hAnsi="Arial" w:cs="Arial"/>
          <w:b/>
          <w:bCs/>
          <w:noProof/>
          <w:sz w:val="20"/>
        </w:rPr>
        <w:t>13</w:t>
      </w:r>
      <w:r w:rsidR="00656E62" w:rsidRPr="00701F32">
        <w:rPr>
          <w:rFonts w:ascii="Arial" w:hAnsi="Arial" w:cs="Arial"/>
          <w:b/>
          <w:bCs/>
          <w:noProof/>
          <w:sz w:val="20"/>
        </w:rPr>
        <w:t xml:space="preserve">. TRANSACCIONES Y SALDOS ENTRE PARTES RELACIONADAS </w:t>
      </w:r>
    </w:p>
    <w:p w14:paraId="66E636A5" w14:textId="77777777" w:rsidR="00656E62" w:rsidRPr="00701F32" w:rsidRDefault="00656E62">
      <w:pPr>
        <w:jc w:val="both"/>
        <w:rPr>
          <w:rFonts w:ascii="Arial" w:eastAsia="Calibri" w:hAnsi="Arial" w:cs="Arial"/>
          <w:b/>
          <w:noProof/>
          <w:sz w:val="20"/>
        </w:rPr>
      </w:pPr>
    </w:p>
    <w:p w14:paraId="28CB4A35"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 xml:space="preserve">Se consideran partes relacionadas todas aquellas entidades que poseen directa, o indirectamente a través de otras entidades, control sobre otra, se encuentren bajo el mismo control o pueda ejercer influencia significativa sobre las decisiones financieras u operacionales de otra entidad.  </w:t>
      </w:r>
    </w:p>
    <w:p w14:paraId="19EAAD2C" w14:textId="77777777" w:rsidR="00656E62" w:rsidRPr="00701F32" w:rsidRDefault="00656E62">
      <w:pPr>
        <w:contextualSpacing/>
        <w:jc w:val="both"/>
        <w:rPr>
          <w:rFonts w:ascii="Arial" w:eastAsia="Arial" w:hAnsi="Arial" w:cs="Arial"/>
          <w:sz w:val="20"/>
        </w:rPr>
      </w:pPr>
    </w:p>
    <w:p w14:paraId="5B022343"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La Entidad controla otra entidad cuando tiene el poder sobre las decisiones financieras y operativas de otras entidades y a su vez obtiene beneficios de la misma.</w:t>
      </w:r>
    </w:p>
    <w:p w14:paraId="7C0F969B" w14:textId="77777777" w:rsidR="00656E62" w:rsidRPr="00701F32" w:rsidRDefault="00656E62">
      <w:pPr>
        <w:contextualSpacing/>
        <w:jc w:val="both"/>
        <w:rPr>
          <w:rFonts w:ascii="Arial" w:eastAsia="Arial" w:hAnsi="Arial" w:cs="Arial"/>
          <w:sz w:val="20"/>
        </w:rPr>
      </w:pPr>
    </w:p>
    <w:p w14:paraId="7D11AD45"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 xml:space="preserve">Por otro lado, </w:t>
      </w:r>
      <w:r w:rsidR="00C40DFD" w:rsidRPr="00701F32">
        <w:rPr>
          <w:rFonts w:ascii="Arial" w:eastAsia="Arial" w:hAnsi="Arial" w:cs="Arial"/>
          <w:sz w:val="20"/>
        </w:rPr>
        <w:t>l</w:t>
      </w:r>
      <w:r w:rsidRPr="00701F32">
        <w:rPr>
          <w:rFonts w:ascii="Arial" w:eastAsia="Arial" w:hAnsi="Arial" w:cs="Arial"/>
          <w:sz w:val="20"/>
        </w:rPr>
        <w:t>a Entidad considera que tiene control conjunto cuando existe un acuerdo entre partes sobre el control de una actividad económica en común.</w:t>
      </w:r>
    </w:p>
    <w:p w14:paraId="2A311EBD" w14:textId="77777777" w:rsidR="00656E62" w:rsidRPr="00701F32" w:rsidRDefault="00656E62">
      <w:pPr>
        <w:contextualSpacing/>
        <w:jc w:val="both"/>
        <w:rPr>
          <w:rFonts w:ascii="Arial" w:eastAsia="Arial" w:hAnsi="Arial" w:cs="Arial"/>
          <w:sz w:val="20"/>
        </w:rPr>
      </w:pPr>
    </w:p>
    <w:p w14:paraId="3974F713"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 xml:space="preserve">Por último, aquellos casos en los que </w:t>
      </w:r>
      <w:r w:rsidR="00C40DFD" w:rsidRPr="00701F32">
        <w:rPr>
          <w:rFonts w:ascii="Arial" w:eastAsia="Arial" w:hAnsi="Arial" w:cs="Arial"/>
          <w:sz w:val="20"/>
        </w:rPr>
        <w:t xml:space="preserve">la </w:t>
      </w:r>
      <w:r w:rsidRPr="00701F32">
        <w:rPr>
          <w:rFonts w:ascii="Arial" w:eastAsia="Arial" w:hAnsi="Arial" w:cs="Arial"/>
          <w:sz w:val="20"/>
        </w:rPr>
        <w:t>Entidad posea influencia significativa es debido al poder de influir sobre las decisiones financieras y operativas de otra entidad pero no poder ejercer el control sobre las mismas.</w:t>
      </w:r>
    </w:p>
    <w:p w14:paraId="57377981" w14:textId="77777777" w:rsidR="00656E62" w:rsidRPr="00701F32" w:rsidRDefault="00656E62">
      <w:pPr>
        <w:contextualSpacing/>
        <w:jc w:val="both"/>
        <w:rPr>
          <w:rFonts w:ascii="Arial" w:eastAsia="Arial" w:hAnsi="Arial" w:cs="Arial"/>
          <w:sz w:val="20"/>
        </w:rPr>
      </w:pPr>
    </w:p>
    <w:p w14:paraId="063D2F65"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Para la determinación de dichas situaciones, no solamente se observan los aspectos legales sino además la naturaleza y sustanciación de la relación.</w:t>
      </w:r>
    </w:p>
    <w:p w14:paraId="744FEDE2" w14:textId="77777777" w:rsidR="00656E62" w:rsidRPr="00701F32" w:rsidRDefault="00656E62">
      <w:pPr>
        <w:contextualSpacing/>
        <w:jc w:val="both"/>
        <w:rPr>
          <w:rFonts w:ascii="Arial" w:eastAsia="Arial" w:hAnsi="Arial" w:cs="Arial"/>
          <w:sz w:val="20"/>
        </w:rPr>
      </w:pPr>
    </w:p>
    <w:p w14:paraId="39660025" w14:textId="77777777" w:rsidR="00656E62" w:rsidRPr="00701F32" w:rsidRDefault="00656E62">
      <w:pPr>
        <w:contextualSpacing/>
        <w:jc w:val="both"/>
        <w:rPr>
          <w:rFonts w:ascii="Arial" w:eastAsia="Arial" w:hAnsi="Arial" w:cs="Arial"/>
          <w:sz w:val="20"/>
          <w:u w:val="single"/>
        </w:rPr>
      </w:pPr>
      <w:r w:rsidRPr="00701F32">
        <w:rPr>
          <w:rFonts w:ascii="Arial" w:eastAsia="Arial" w:hAnsi="Arial" w:cs="Arial"/>
          <w:sz w:val="20"/>
          <w:u w:val="single"/>
        </w:rPr>
        <w:t>Entidades controladoras</w:t>
      </w:r>
    </w:p>
    <w:p w14:paraId="19206DD3" w14:textId="77777777" w:rsidR="00656E62" w:rsidRPr="00701F32" w:rsidRDefault="00656E62">
      <w:pPr>
        <w:contextualSpacing/>
        <w:jc w:val="both"/>
        <w:rPr>
          <w:rFonts w:ascii="Arial" w:eastAsia="Arial" w:hAnsi="Arial" w:cs="Arial"/>
          <w:sz w:val="20"/>
        </w:rPr>
      </w:pPr>
    </w:p>
    <w:p w14:paraId="0C21FE17"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 xml:space="preserve">El </w:t>
      </w:r>
      <w:r w:rsidR="00D12E45" w:rsidRPr="00701F32">
        <w:rPr>
          <w:rFonts w:ascii="Arial" w:eastAsia="Arial" w:hAnsi="Arial" w:cs="Arial"/>
          <w:sz w:val="20"/>
        </w:rPr>
        <w:t xml:space="preserve">Banco </w:t>
      </w:r>
      <w:r w:rsidRPr="00701F32">
        <w:rPr>
          <w:rFonts w:ascii="Arial" w:eastAsia="Arial" w:hAnsi="Arial" w:cs="Arial"/>
          <w:sz w:val="20"/>
        </w:rPr>
        <w:t xml:space="preserve">es </w:t>
      </w:r>
      <w:r w:rsidR="00D12E45" w:rsidRPr="00701F32">
        <w:rPr>
          <w:rFonts w:ascii="Arial" w:eastAsia="Arial" w:hAnsi="Arial" w:cs="Arial"/>
          <w:sz w:val="20"/>
        </w:rPr>
        <w:t xml:space="preserve">controlado </w:t>
      </w:r>
      <w:r w:rsidRPr="00701F32">
        <w:rPr>
          <w:rFonts w:ascii="Arial" w:eastAsia="Arial" w:hAnsi="Arial" w:cs="Arial"/>
          <w:sz w:val="20"/>
        </w:rPr>
        <w:t>por la siguiente entidad:</w:t>
      </w:r>
    </w:p>
    <w:p w14:paraId="0F1D61F2" w14:textId="77777777" w:rsidR="00656E62" w:rsidRPr="00701F32" w:rsidRDefault="00656E62">
      <w:pPr>
        <w:contextualSpacing/>
        <w:jc w:val="both"/>
        <w:rPr>
          <w:rFonts w:ascii="Calibri Light" w:eastAsia="Calibri" w:hAnsi="Calibri Light" w:cs="Calibri"/>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3"/>
        <w:gridCol w:w="1453"/>
        <w:gridCol w:w="1453"/>
        <w:gridCol w:w="1453"/>
        <w:gridCol w:w="1455"/>
      </w:tblGrid>
      <w:tr w:rsidR="00656E62" w:rsidRPr="00701F32" w14:paraId="5B91DBDC" w14:textId="77777777" w:rsidTr="00464C0F">
        <w:tc>
          <w:tcPr>
            <w:tcW w:w="833" w:type="pct"/>
            <w:vMerge w:val="restart"/>
            <w:vAlign w:val="center"/>
          </w:tcPr>
          <w:p w14:paraId="75432D1E"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Nombre</w:t>
            </w:r>
          </w:p>
        </w:tc>
        <w:tc>
          <w:tcPr>
            <w:tcW w:w="833" w:type="pct"/>
            <w:vMerge w:val="restart"/>
            <w:vAlign w:val="center"/>
          </w:tcPr>
          <w:p w14:paraId="2D26DE8C"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 xml:space="preserve">Naturaleza </w:t>
            </w:r>
          </w:p>
        </w:tc>
        <w:tc>
          <w:tcPr>
            <w:tcW w:w="833" w:type="pct"/>
            <w:vMerge w:val="restart"/>
            <w:vAlign w:val="center"/>
          </w:tcPr>
          <w:p w14:paraId="47346412"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Actividad principal</w:t>
            </w:r>
          </w:p>
        </w:tc>
        <w:tc>
          <w:tcPr>
            <w:tcW w:w="833" w:type="pct"/>
            <w:vMerge w:val="restart"/>
            <w:vAlign w:val="center"/>
          </w:tcPr>
          <w:p w14:paraId="3FEFDDC2"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Lugar de radicación</w:t>
            </w:r>
          </w:p>
        </w:tc>
        <w:tc>
          <w:tcPr>
            <w:tcW w:w="1667" w:type="pct"/>
            <w:gridSpan w:val="2"/>
            <w:vAlign w:val="center"/>
          </w:tcPr>
          <w:p w14:paraId="701B1F6F"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Porcentaje de participación</w:t>
            </w:r>
          </w:p>
        </w:tc>
      </w:tr>
      <w:tr w:rsidR="00656E62" w:rsidRPr="00701F32" w14:paraId="688007B5" w14:textId="77777777" w:rsidTr="00464C0F">
        <w:tc>
          <w:tcPr>
            <w:tcW w:w="833" w:type="pct"/>
            <w:vMerge/>
            <w:vAlign w:val="center"/>
          </w:tcPr>
          <w:p w14:paraId="05AC6E8D" w14:textId="77777777" w:rsidR="00656E62" w:rsidRPr="00701F32" w:rsidRDefault="00656E62">
            <w:pPr>
              <w:spacing w:after="160" w:line="259" w:lineRule="auto"/>
              <w:contextualSpacing/>
              <w:jc w:val="center"/>
              <w:rPr>
                <w:rFonts w:ascii="Arial" w:eastAsia="Calibri" w:hAnsi="Arial" w:cs="Arial"/>
                <w:b/>
                <w:noProof/>
                <w:sz w:val="18"/>
              </w:rPr>
            </w:pPr>
          </w:p>
        </w:tc>
        <w:tc>
          <w:tcPr>
            <w:tcW w:w="833" w:type="pct"/>
            <w:vMerge/>
            <w:vAlign w:val="center"/>
          </w:tcPr>
          <w:p w14:paraId="4319D2B7" w14:textId="77777777" w:rsidR="00656E62" w:rsidRPr="00701F32" w:rsidRDefault="00656E62">
            <w:pPr>
              <w:spacing w:after="160" w:line="259" w:lineRule="auto"/>
              <w:contextualSpacing/>
              <w:jc w:val="center"/>
              <w:rPr>
                <w:rFonts w:ascii="Arial" w:eastAsia="Calibri" w:hAnsi="Arial" w:cs="Arial"/>
                <w:b/>
                <w:noProof/>
                <w:sz w:val="18"/>
              </w:rPr>
            </w:pPr>
          </w:p>
        </w:tc>
        <w:tc>
          <w:tcPr>
            <w:tcW w:w="833" w:type="pct"/>
            <w:vMerge/>
            <w:vAlign w:val="center"/>
          </w:tcPr>
          <w:p w14:paraId="50B598DC" w14:textId="77777777" w:rsidR="00656E62" w:rsidRPr="00701F32" w:rsidRDefault="00656E62">
            <w:pPr>
              <w:spacing w:after="160" w:line="259" w:lineRule="auto"/>
              <w:contextualSpacing/>
              <w:jc w:val="center"/>
              <w:rPr>
                <w:rFonts w:ascii="Arial" w:eastAsia="Calibri" w:hAnsi="Arial" w:cs="Arial"/>
                <w:b/>
                <w:noProof/>
                <w:sz w:val="18"/>
              </w:rPr>
            </w:pPr>
          </w:p>
        </w:tc>
        <w:tc>
          <w:tcPr>
            <w:tcW w:w="833" w:type="pct"/>
            <w:vMerge/>
            <w:vAlign w:val="center"/>
          </w:tcPr>
          <w:p w14:paraId="61B61CB7" w14:textId="77777777" w:rsidR="00656E62" w:rsidRPr="00701F32" w:rsidRDefault="00656E62">
            <w:pPr>
              <w:spacing w:after="160" w:line="259" w:lineRule="auto"/>
              <w:contextualSpacing/>
              <w:jc w:val="center"/>
              <w:rPr>
                <w:rFonts w:ascii="Arial" w:eastAsia="Calibri" w:hAnsi="Arial" w:cs="Arial"/>
                <w:b/>
                <w:noProof/>
                <w:sz w:val="18"/>
              </w:rPr>
            </w:pPr>
          </w:p>
        </w:tc>
        <w:tc>
          <w:tcPr>
            <w:tcW w:w="833" w:type="pct"/>
            <w:vAlign w:val="center"/>
          </w:tcPr>
          <w:p w14:paraId="22788ECB"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2018</w:t>
            </w:r>
          </w:p>
        </w:tc>
        <w:tc>
          <w:tcPr>
            <w:tcW w:w="834" w:type="pct"/>
            <w:vAlign w:val="center"/>
          </w:tcPr>
          <w:p w14:paraId="060AD452" w14:textId="77777777" w:rsidR="00656E62" w:rsidRPr="00701F32" w:rsidRDefault="00656E62">
            <w:pPr>
              <w:spacing w:after="160" w:line="259" w:lineRule="auto"/>
              <w:contextualSpacing/>
              <w:jc w:val="center"/>
              <w:rPr>
                <w:rFonts w:ascii="Arial" w:eastAsia="Calibri" w:hAnsi="Arial" w:cs="Arial"/>
                <w:b/>
                <w:noProof/>
                <w:sz w:val="18"/>
              </w:rPr>
            </w:pPr>
            <w:r w:rsidRPr="00701F32">
              <w:rPr>
                <w:rFonts w:ascii="Arial" w:eastAsia="Calibri" w:hAnsi="Arial" w:cs="Arial"/>
                <w:b/>
                <w:noProof/>
                <w:sz w:val="18"/>
              </w:rPr>
              <w:t>2017</w:t>
            </w:r>
          </w:p>
        </w:tc>
      </w:tr>
      <w:tr w:rsidR="00656E62" w:rsidRPr="00701F32" w14:paraId="2A185B5F" w14:textId="77777777" w:rsidTr="00712ADC">
        <w:trPr>
          <w:trHeight w:val="221"/>
        </w:trPr>
        <w:tc>
          <w:tcPr>
            <w:tcW w:w="833" w:type="pct"/>
            <w:vAlign w:val="center"/>
          </w:tcPr>
          <w:p w14:paraId="12B49442" w14:textId="77777777" w:rsidR="00656E62" w:rsidRPr="00701F32" w:rsidRDefault="00656E62">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Grupo Supervielle S.A.</w:t>
            </w:r>
          </w:p>
        </w:tc>
        <w:tc>
          <w:tcPr>
            <w:tcW w:w="833" w:type="pct"/>
            <w:vAlign w:val="center"/>
          </w:tcPr>
          <w:p w14:paraId="34A851DD" w14:textId="77777777" w:rsidR="00656E62" w:rsidRPr="00701F32" w:rsidRDefault="00656E62">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96,73% de derecho a votos</w:t>
            </w:r>
          </w:p>
        </w:tc>
        <w:tc>
          <w:tcPr>
            <w:tcW w:w="833" w:type="pct"/>
            <w:vAlign w:val="center"/>
          </w:tcPr>
          <w:p w14:paraId="3859535E" w14:textId="77777777" w:rsidR="00656E62" w:rsidRPr="00701F32" w:rsidRDefault="00656E62">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Financiera y de Inversion</w:t>
            </w:r>
          </w:p>
        </w:tc>
        <w:tc>
          <w:tcPr>
            <w:tcW w:w="833" w:type="pct"/>
            <w:vAlign w:val="center"/>
          </w:tcPr>
          <w:p w14:paraId="55E00CF2" w14:textId="77777777" w:rsidR="00656E62" w:rsidRPr="00701F32" w:rsidRDefault="00656E62">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Bme Mitre 434 5to Piso. CABA</w:t>
            </w:r>
          </w:p>
        </w:tc>
        <w:tc>
          <w:tcPr>
            <w:tcW w:w="833" w:type="pct"/>
            <w:vAlign w:val="center"/>
          </w:tcPr>
          <w:p w14:paraId="0F5D8AEA" w14:textId="77777777" w:rsidR="00656E62" w:rsidRPr="00701F32" w:rsidRDefault="00656E62" w:rsidP="00114557">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96,</w:t>
            </w:r>
            <w:r w:rsidR="00114557" w:rsidRPr="00701F32">
              <w:rPr>
                <w:rFonts w:ascii="Arial" w:eastAsia="Calibri" w:hAnsi="Arial" w:cs="Arial"/>
                <w:noProof/>
                <w:sz w:val="18"/>
              </w:rPr>
              <w:t>89</w:t>
            </w:r>
            <w:r w:rsidRPr="00701F32">
              <w:rPr>
                <w:rFonts w:ascii="Arial" w:eastAsia="Calibri" w:hAnsi="Arial" w:cs="Arial"/>
                <w:noProof/>
                <w:sz w:val="18"/>
              </w:rPr>
              <w:t>%</w:t>
            </w:r>
          </w:p>
        </w:tc>
        <w:tc>
          <w:tcPr>
            <w:tcW w:w="834" w:type="pct"/>
            <w:vAlign w:val="center"/>
          </w:tcPr>
          <w:p w14:paraId="12A6F52C" w14:textId="77777777" w:rsidR="00656E62" w:rsidRPr="00701F32" w:rsidRDefault="00656E62">
            <w:pPr>
              <w:spacing w:after="160" w:line="259" w:lineRule="auto"/>
              <w:contextualSpacing/>
              <w:jc w:val="center"/>
              <w:rPr>
                <w:rFonts w:ascii="Arial" w:eastAsia="Calibri" w:hAnsi="Arial" w:cs="Arial"/>
                <w:noProof/>
                <w:sz w:val="18"/>
              </w:rPr>
            </w:pPr>
            <w:r w:rsidRPr="00701F32">
              <w:rPr>
                <w:rFonts w:ascii="Arial" w:eastAsia="Calibri" w:hAnsi="Arial" w:cs="Arial"/>
                <w:noProof/>
                <w:sz w:val="18"/>
              </w:rPr>
              <w:t>96,77%</w:t>
            </w:r>
          </w:p>
        </w:tc>
      </w:tr>
    </w:tbl>
    <w:p w14:paraId="662203C3" w14:textId="77777777" w:rsidR="00656E62" w:rsidRPr="00701F32" w:rsidRDefault="00656E62">
      <w:pPr>
        <w:contextualSpacing/>
        <w:jc w:val="both"/>
        <w:rPr>
          <w:rFonts w:ascii="Arial" w:eastAsia="Arial" w:hAnsi="Arial" w:cs="Arial"/>
          <w:sz w:val="20"/>
          <w:u w:val="single"/>
        </w:rPr>
      </w:pPr>
    </w:p>
    <w:p w14:paraId="41F74241" w14:textId="77777777" w:rsidR="00656E62" w:rsidRPr="00701F32" w:rsidRDefault="00367CA1">
      <w:pPr>
        <w:contextualSpacing/>
        <w:jc w:val="both"/>
        <w:rPr>
          <w:rFonts w:ascii="Arial" w:eastAsia="Arial" w:hAnsi="Arial" w:cs="Arial"/>
          <w:sz w:val="20"/>
          <w:u w:val="single"/>
        </w:rPr>
      </w:pPr>
      <w:r w:rsidRPr="00701F32">
        <w:rPr>
          <w:rFonts w:ascii="Arial" w:eastAsia="Arial" w:hAnsi="Arial" w:cs="Arial"/>
          <w:sz w:val="20"/>
          <w:u w:val="single"/>
        </w:rPr>
        <w:t>Entidades controladas y s</w:t>
      </w:r>
      <w:r w:rsidR="00656E62" w:rsidRPr="00701F32">
        <w:rPr>
          <w:rFonts w:ascii="Arial" w:eastAsia="Arial" w:hAnsi="Arial" w:cs="Arial"/>
          <w:sz w:val="20"/>
          <w:u w:val="single"/>
        </w:rPr>
        <w:t xml:space="preserve">ubsidiarias </w:t>
      </w:r>
    </w:p>
    <w:p w14:paraId="45B59F77" w14:textId="77777777" w:rsidR="00656E62" w:rsidRPr="00701F32" w:rsidRDefault="00656E62">
      <w:pPr>
        <w:contextualSpacing/>
        <w:jc w:val="both"/>
        <w:rPr>
          <w:rFonts w:ascii="Arial" w:eastAsia="Arial" w:hAnsi="Arial" w:cs="Arial"/>
          <w:sz w:val="20"/>
        </w:rPr>
      </w:pPr>
    </w:p>
    <w:p w14:paraId="63B368A0" w14:textId="77777777" w:rsidR="00656E62" w:rsidRPr="00701F32" w:rsidRDefault="00656E62">
      <w:pPr>
        <w:contextualSpacing/>
        <w:jc w:val="both"/>
        <w:rPr>
          <w:rFonts w:ascii="Arial" w:eastAsia="Arial" w:hAnsi="Arial" w:cs="Arial"/>
          <w:sz w:val="20"/>
        </w:rPr>
      </w:pPr>
      <w:r w:rsidRPr="00701F32">
        <w:rPr>
          <w:rFonts w:ascii="Arial" w:eastAsia="Arial" w:hAnsi="Arial" w:cs="Arial"/>
          <w:sz w:val="20"/>
        </w:rPr>
        <w:t xml:space="preserve">Las partes relacionadas al </w:t>
      </w:r>
      <w:r w:rsidR="00467044" w:rsidRPr="00701F32">
        <w:rPr>
          <w:rFonts w:ascii="Arial" w:eastAsia="Arial" w:hAnsi="Arial" w:cs="Arial"/>
          <w:sz w:val="20"/>
        </w:rPr>
        <w:t xml:space="preserve">30 </w:t>
      </w:r>
      <w:r w:rsidRPr="00701F32">
        <w:rPr>
          <w:rFonts w:ascii="Arial" w:eastAsia="Arial" w:hAnsi="Arial" w:cs="Arial"/>
          <w:sz w:val="20"/>
        </w:rPr>
        <w:t xml:space="preserve">de </w:t>
      </w:r>
      <w:r w:rsidR="00A0527A" w:rsidRPr="00701F32">
        <w:rPr>
          <w:rFonts w:ascii="Arial" w:eastAsia="Arial" w:hAnsi="Arial" w:cs="Arial"/>
          <w:sz w:val="20"/>
        </w:rPr>
        <w:t>septiembre</w:t>
      </w:r>
      <w:r w:rsidRPr="00701F32">
        <w:rPr>
          <w:rFonts w:ascii="Arial" w:eastAsia="Arial" w:hAnsi="Arial" w:cs="Arial"/>
          <w:sz w:val="20"/>
        </w:rPr>
        <w:t xml:space="preserve"> de 2018 y el detalle de la naturaleza de su relación es la siguiente:</w:t>
      </w:r>
    </w:p>
    <w:p w14:paraId="74C1BE81" w14:textId="77777777" w:rsidR="00656E62" w:rsidRPr="00701F32" w:rsidRDefault="00656E62">
      <w:pPr>
        <w:contextualSpacing/>
        <w:jc w:val="both"/>
        <w:rPr>
          <w:rFonts w:ascii="Calibri Light" w:eastAsia="Calibri" w:hAnsi="Calibri Light" w:cs="Calibri"/>
          <w:noProof/>
          <w:sz w:val="20"/>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744"/>
        <w:gridCol w:w="1744"/>
        <w:gridCol w:w="1743"/>
        <w:gridCol w:w="1745"/>
      </w:tblGrid>
      <w:tr w:rsidR="00656E62" w:rsidRPr="00701F32" w14:paraId="3F7788D2" w14:textId="77777777" w:rsidTr="00464C0F">
        <w:tc>
          <w:tcPr>
            <w:tcW w:w="950" w:type="pct"/>
            <w:vMerge w:val="restart"/>
            <w:vAlign w:val="center"/>
          </w:tcPr>
          <w:p w14:paraId="47B648C8" w14:textId="77777777" w:rsidR="00656E62" w:rsidRPr="00701F32" w:rsidRDefault="00656E62">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Nombre</w:t>
            </w:r>
          </w:p>
        </w:tc>
        <w:tc>
          <w:tcPr>
            <w:tcW w:w="1012" w:type="pct"/>
            <w:vMerge w:val="restart"/>
            <w:vAlign w:val="center"/>
          </w:tcPr>
          <w:p w14:paraId="37130C7B" w14:textId="77777777" w:rsidR="00656E62" w:rsidRPr="00701F32" w:rsidRDefault="00656E62">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Naturaleza</w:t>
            </w:r>
          </w:p>
        </w:tc>
        <w:tc>
          <w:tcPr>
            <w:tcW w:w="1012" w:type="pct"/>
            <w:vMerge w:val="restart"/>
            <w:vAlign w:val="center"/>
          </w:tcPr>
          <w:p w14:paraId="70D28CC5" w14:textId="77777777" w:rsidR="00656E62" w:rsidRPr="00701F32" w:rsidRDefault="00656E62">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Lugar de radicación</w:t>
            </w:r>
          </w:p>
        </w:tc>
        <w:tc>
          <w:tcPr>
            <w:tcW w:w="2025" w:type="pct"/>
            <w:gridSpan w:val="2"/>
            <w:vAlign w:val="center"/>
          </w:tcPr>
          <w:p w14:paraId="586F4359" w14:textId="77777777" w:rsidR="00656E62" w:rsidRPr="00701F32" w:rsidRDefault="00656E62">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Porcentaje de participación</w:t>
            </w:r>
          </w:p>
        </w:tc>
      </w:tr>
      <w:tr w:rsidR="00656E62" w:rsidRPr="00701F32" w14:paraId="59F77EF0" w14:textId="77777777" w:rsidTr="00367CA1">
        <w:tc>
          <w:tcPr>
            <w:tcW w:w="950" w:type="pct"/>
            <w:vMerge/>
            <w:vAlign w:val="center"/>
          </w:tcPr>
          <w:p w14:paraId="67C8B1CF" w14:textId="77777777" w:rsidR="00656E62" w:rsidRPr="00701F32" w:rsidRDefault="00656E62">
            <w:pPr>
              <w:spacing w:after="160" w:line="259" w:lineRule="auto"/>
              <w:contextualSpacing/>
              <w:jc w:val="center"/>
              <w:rPr>
                <w:rFonts w:ascii="Arial" w:eastAsia="Calibri" w:hAnsi="Arial" w:cs="Arial"/>
                <w:b/>
                <w:noProof/>
                <w:sz w:val="18"/>
                <w:szCs w:val="18"/>
              </w:rPr>
            </w:pPr>
          </w:p>
        </w:tc>
        <w:tc>
          <w:tcPr>
            <w:tcW w:w="1012" w:type="pct"/>
            <w:vMerge/>
            <w:vAlign w:val="center"/>
          </w:tcPr>
          <w:p w14:paraId="195A4405" w14:textId="77777777" w:rsidR="00656E62" w:rsidRPr="00701F32" w:rsidRDefault="00656E62">
            <w:pPr>
              <w:spacing w:after="160" w:line="259" w:lineRule="auto"/>
              <w:contextualSpacing/>
              <w:jc w:val="center"/>
              <w:rPr>
                <w:rFonts w:ascii="Arial" w:eastAsia="Calibri" w:hAnsi="Arial" w:cs="Arial"/>
                <w:b/>
                <w:noProof/>
                <w:sz w:val="18"/>
                <w:szCs w:val="18"/>
              </w:rPr>
            </w:pPr>
          </w:p>
        </w:tc>
        <w:tc>
          <w:tcPr>
            <w:tcW w:w="1012" w:type="pct"/>
            <w:vMerge/>
            <w:vAlign w:val="center"/>
          </w:tcPr>
          <w:p w14:paraId="36F023EC" w14:textId="77777777" w:rsidR="00656E62" w:rsidRPr="00701F32" w:rsidRDefault="00656E62">
            <w:pPr>
              <w:spacing w:after="160" w:line="259" w:lineRule="auto"/>
              <w:contextualSpacing/>
              <w:jc w:val="center"/>
              <w:rPr>
                <w:rFonts w:ascii="Arial" w:eastAsia="Calibri" w:hAnsi="Arial" w:cs="Arial"/>
                <w:b/>
                <w:noProof/>
                <w:sz w:val="18"/>
                <w:szCs w:val="18"/>
              </w:rPr>
            </w:pPr>
          </w:p>
        </w:tc>
        <w:tc>
          <w:tcPr>
            <w:tcW w:w="1012" w:type="pct"/>
            <w:vAlign w:val="center"/>
          </w:tcPr>
          <w:p w14:paraId="359EDFBD" w14:textId="77777777" w:rsidR="00656E62" w:rsidRPr="00701F32" w:rsidRDefault="00DC1697" w:rsidP="00831174">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Juni</w:t>
            </w:r>
            <w:r w:rsidR="00367CA1" w:rsidRPr="00701F32">
              <w:rPr>
                <w:rFonts w:ascii="Arial" w:eastAsia="Calibri" w:hAnsi="Arial" w:cs="Arial"/>
                <w:b/>
                <w:noProof/>
                <w:sz w:val="18"/>
                <w:szCs w:val="18"/>
              </w:rPr>
              <w:t xml:space="preserve">o </w:t>
            </w:r>
            <w:r w:rsidR="00656E62" w:rsidRPr="00701F32">
              <w:rPr>
                <w:rFonts w:ascii="Arial" w:eastAsia="Calibri" w:hAnsi="Arial" w:cs="Arial"/>
                <w:b/>
                <w:noProof/>
                <w:sz w:val="18"/>
                <w:szCs w:val="18"/>
              </w:rPr>
              <w:t>2018</w:t>
            </w:r>
          </w:p>
        </w:tc>
        <w:tc>
          <w:tcPr>
            <w:tcW w:w="1013" w:type="pct"/>
            <w:vAlign w:val="center"/>
          </w:tcPr>
          <w:p w14:paraId="2AFA28AF" w14:textId="77777777" w:rsidR="00656E62" w:rsidRPr="00701F32" w:rsidRDefault="00367CA1">
            <w:pPr>
              <w:spacing w:after="160" w:line="259" w:lineRule="auto"/>
              <w:contextualSpacing/>
              <w:jc w:val="center"/>
              <w:rPr>
                <w:rFonts w:ascii="Arial" w:eastAsia="Calibri" w:hAnsi="Arial" w:cs="Arial"/>
                <w:b/>
                <w:noProof/>
                <w:sz w:val="18"/>
                <w:szCs w:val="18"/>
              </w:rPr>
            </w:pPr>
            <w:r w:rsidRPr="00701F32">
              <w:rPr>
                <w:rFonts w:ascii="Arial" w:eastAsia="Calibri" w:hAnsi="Arial" w:cs="Arial"/>
                <w:b/>
                <w:noProof/>
                <w:sz w:val="18"/>
                <w:szCs w:val="18"/>
              </w:rPr>
              <w:t xml:space="preserve">Diciembre </w:t>
            </w:r>
            <w:r w:rsidR="00656E62" w:rsidRPr="00701F32">
              <w:rPr>
                <w:rFonts w:ascii="Arial" w:eastAsia="Calibri" w:hAnsi="Arial" w:cs="Arial"/>
                <w:b/>
                <w:noProof/>
                <w:sz w:val="18"/>
                <w:szCs w:val="18"/>
              </w:rPr>
              <w:t>2017</w:t>
            </w:r>
          </w:p>
        </w:tc>
      </w:tr>
      <w:tr w:rsidR="00656E62" w:rsidRPr="00701F32" w14:paraId="268C1B0E" w14:textId="77777777" w:rsidTr="00367CA1">
        <w:trPr>
          <w:trHeight w:val="221"/>
        </w:trPr>
        <w:tc>
          <w:tcPr>
            <w:tcW w:w="950" w:type="pct"/>
            <w:vAlign w:val="center"/>
          </w:tcPr>
          <w:p w14:paraId="06CDB454" w14:textId="77777777" w:rsidR="00656E62" w:rsidRPr="00701F32" w:rsidRDefault="00656E62" w:rsidP="00712ADC">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Cordial Compañía Financiera S.A.</w:t>
            </w:r>
          </w:p>
        </w:tc>
        <w:tc>
          <w:tcPr>
            <w:tcW w:w="1012" w:type="pct"/>
            <w:vAlign w:val="center"/>
          </w:tcPr>
          <w:p w14:paraId="1C8BA6A7" w14:textId="77777777" w:rsidR="00656E62" w:rsidRPr="00701F32" w:rsidRDefault="000045FD">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95</w:t>
            </w:r>
            <w:r w:rsidR="00656E62" w:rsidRPr="00701F32">
              <w:rPr>
                <w:rFonts w:ascii="Arial" w:eastAsia="Calibri" w:hAnsi="Arial" w:cs="Arial"/>
                <w:noProof/>
                <w:sz w:val="18"/>
                <w:szCs w:val="18"/>
              </w:rPr>
              <w:t xml:space="preserve"> % del Capital Social y derecho a votos</w:t>
            </w:r>
          </w:p>
        </w:tc>
        <w:tc>
          <w:tcPr>
            <w:tcW w:w="1012" w:type="pct"/>
            <w:vAlign w:val="center"/>
          </w:tcPr>
          <w:p w14:paraId="3485079F" w14:textId="77777777" w:rsidR="00656E62" w:rsidRPr="00701F32" w:rsidRDefault="00656E62">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Reconquista 320 CABA</w:t>
            </w:r>
          </w:p>
        </w:tc>
        <w:tc>
          <w:tcPr>
            <w:tcW w:w="1012" w:type="pct"/>
            <w:vAlign w:val="center"/>
          </w:tcPr>
          <w:p w14:paraId="6E822604" w14:textId="77777777" w:rsidR="00656E62" w:rsidRPr="00701F32" w:rsidRDefault="00656E62">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95%</w:t>
            </w:r>
          </w:p>
        </w:tc>
        <w:tc>
          <w:tcPr>
            <w:tcW w:w="1013" w:type="pct"/>
            <w:vAlign w:val="center"/>
          </w:tcPr>
          <w:p w14:paraId="11F95DB1" w14:textId="77777777" w:rsidR="00656E62" w:rsidRPr="00701F32" w:rsidRDefault="00656E62">
            <w:pPr>
              <w:spacing w:after="160" w:line="259" w:lineRule="auto"/>
              <w:contextualSpacing/>
              <w:jc w:val="center"/>
              <w:rPr>
                <w:rFonts w:ascii="Arial" w:eastAsia="Calibri" w:hAnsi="Arial" w:cs="Arial"/>
                <w:noProof/>
                <w:sz w:val="18"/>
                <w:szCs w:val="18"/>
              </w:rPr>
            </w:pPr>
            <w:r w:rsidRPr="00701F32">
              <w:rPr>
                <w:rFonts w:ascii="Arial" w:eastAsia="Calibri" w:hAnsi="Arial" w:cs="Arial"/>
                <w:noProof/>
                <w:sz w:val="18"/>
                <w:szCs w:val="18"/>
              </w:rPr>
              <w:t>95%</w:t>
            </w:r>
          </w:p>
        </w:tc>
      </w:tr>
    </w:tbl>
    <w:p w14:paraId="67F6B410" w14:textId="77777777" w:rsidR="00656E62" w:rsidRPr="00701F32" w:rsidRDefault="00656E62" w:rsidP="00656E62">
      <w:pPr>
        <w:contextualSpacing/>
        <w:jc w:val="both"/>
        <w:rPr>
          <w:rFonts w:ascii="Arial" w:eastAsia="Arial" w:hAnsi="Arial" w:cs="Arial"/>
          <w:sz w:val="20"/>
        </w:rPr>
      </w:pPr>
    </w:p>
    <w:p w14:paraId="4ED9D652" w14:textId="72350A23" w:rsidR="006470AD" w:rsidRPr="00701F32" w:rsidRDefault="00BB4D2A" w:rsidP="00656E62">
      <w:pPr>
        <w:jc w:val="both"/>
        <w:rPr>
          <w:rFonts w:ascii="Arial" w:eastAsia="Calibri" w:hAnsi="Arial" w:cs="Arial"/>
          <w:sz w:val="20"/>
        </w:rPr>
      </w:pPr>
      <w:r w:rsidRPr="00701F32">
        <w:rPr>
          <w:rFonts w:ascii="Arial" w:eastAsia="Calibri" w:hAnsi="Arial" w:cs="Arial"/>
          <w:color w:val="000000"/>
          <w:sz w:val="20"/>
        </w:rPr>
        <w:t xml:space="preserve">Con fecha 16 de enero de 2018, se efectuó un aporte de capital </w:t>
      </w:r>
      <w:r w:rsidR="00FF6153" w:rsidRPr="00701F32">
        <w:rPr>
          <w:rFonts w:ascii="Arial" w:eastAsia="Calibri" w:hAnsi="Arial" w:cs="Arial"/>
          <w:color w:val="000000"/>
          <w:sz w:val="20"/>
        </w:rPr>
        <w:t xml:space="preserve">en la sociedad controlada por </w:t>
      </w:r>
      <w:r w:rsidRPr="00701F32">
        <w:rPr>
          <w:rFonts w:ascii="Arial" w:eastAsia="Calibri" w:hAnsi="Arial" w:cs="Arial"/>
          <w:color w:val="000000"/>
          <w:sz w:val="20"/>
        </w:rPr>
        <w:t>por 361.000. El mismo fue capitalizado</w:t>
      </w:r>
      <w:r w:rsidR="00FE4B3F" w:rsidRPr="00701F32">
        <w:rPr>
          <w:rFonts w:ascii="Arial" w:eastAsia="Calibri" w:hAnsi="Arial" w:cs="Arial"/>
          <w:color w:val="000000"/>
          <w:sz w:val="20"/>
        </w:rPr>
        <w:t xml:space="preserve"> el día 24 de enero del mismo año</w:t>
      </w:r>
      <w:r w:rsidRPr="00701F32">
        <w:rPr>
          <w:rFonts w:ascii="Arial" w:eastAsia="Calibri" w:hAnsi="Arial" w:cs="Arial"/>
          <w:color w:val="000000"/>
          <w:sz w:val="20"/>
        </w:rPr>
        <w:t xml:space="preserve"> conforme a lo resuelto por la Asamblea de Accionistas celebrada ese mismo día. </w:t>
      </w:r>
      <w:r w:rsidRPr="00701F32">
        <w:rPr>
          <w:rFonts w:ascii="Arial" w:eastAsia="Calibri" w:hAnsi="Arial" w:cs="Arial"/>
          <w:sz w:val="20"/>
        </w:rPr>
        <w:t xml:space="preserve">La tenencia accionaria de la Entidad asciende a </w:t>
      </w:r>
      <w:r w:rsidR="001A519E" w:rsidRPr="00701F32">
        <w:rPr>
          <w:rFonts w:ascii="Arial" w:eastAsia="Calibri" w:hAnsi="Arial" w:cs="Arial"/>
          <w:sz w:val="20"/>
        </w:rPr>
        <w:t>171.442.287</w:t>
      </w:r>
      <w:r w:rsidRPr="00701F32">
        <w:rPr>
          <w:rFonts w:ascii="Arial" w:eastAsia="Calibri" w:hAnsi="Arial" w:cs="Arial"/>
          <w:sz w:val="20"/>
        </w:rPr>
        <w:t xml:space="preserve"> acciones</w:t>
      </w:r>
    </w:p>
    <w:p w14:paraId="15FFE0A9" w14:textId="77777777" w:rsidR="006470AD" w:rsidRPr="00701F32" w:rsidRDefault="006470AD" w:rsidP="00656E62">
      <w:pPr>
        <w:jc w:val="both"/>
        <w:rPr>
          <w:rFonts w:ascii="Arial" w:eastAsia="Calibri" w:hAnsi="Arial" w:cs="Arial"/>
          <w:sz w:val="20"/>
        </w:rPr>
      </w:pPr>
    </w:p>
    <w:p w14:paraId="35B137B8" w14:textId="77777777" w:rsidR="003A0C03" w:rsidRPr="00701F32" w:rsidRDefault="003A0C03" w:rsidP="003A0C03">
      <w:pPr>
        <w:tabs>
          <w:tab w:val="left" w:pos="142"/>
        </w:tabs>
        <w:spacing w:after="160" w:line="259" w:lineRule="auto"/>
        <w:jc w:val="both"/>
        <w:rPr>
          <w:rFonts w:ascii="Arial" w:eastAsia="Arial" w:hAnsi="Arial" w:cs="Arial"/>
          <w:bCs/>
          <w:noProof/>
          <w:color w:val="000000"/>
          <w:sz w:val="20"/>
          <w:u w:val="single"/>
        </w:rPr>
      </w:pPr>
      <w:r w:rsidRPr="00701F32">
        <w:rPr>
          <w:rFonts w:ascii="Arial" w:eastAsia="Calibri" w:hAnsi="Arial" w:cs="Arial"/>
          <w:sz w:val="20"/>
          <w:u w:val="single"/>
        </w:rPr>
        <w:t xml:space="preserve">Asociadas </w:t>
      </w:r>
    </w:p>
    <w:p w14:paraId="6AB358EB" w14:textId="7C2F6BA4" w:rsidR="003A0C03" w:rsidRPr="00701F32" w:rsidRDefault="003A0C03" w:rsidP="003A0C03">
      <w:pPr>
        <w:jc w:val="both"/>
        <w:rPr>
          <w:rFonts w:ascii="Arial" w:eastAsia="Calibri" w:hAnsi="Arial" w:cs="Arial"/>
          <w:sz w:val="20"/>
        </w:rPr>
      </w:pPr>
      <w:r w:rsidRPr="00701F32">
        <w:rPr>
          <w:rFonts w:ascii="Arial" w:eastAsia="Calibri" w:hAnsi="Arial" w:cs="Arial"/>
          <w:sz w:val="20"/>
        </w:rPr>
        <w:t>Al 3</w:t>
      </w:r>
      <w:r w:rsidR="00467044" w:rsidRPr="00701F32">
        <w:rPr>
          <w:rFonts w:ascii="Arial" w:eastAsia="Calibri" w:hAnsi="Arial" w:cs="Arial"/>
          <w:sz w:val="20"/>
        </w:rPr>
        <w:t>0</w:t>
      </w:r>
      <w:r w:rsidRPr="00701F32">
        <w:rPr>
          <w:rFonts w:ascii="Arial" w:eastAsia="Calibri" w:hAnsi="Arial" w:cs="Arial"/>
          <w:sz w:val="20"/>
        </w:rPr>
        <w:t xml:space="preserve"> de </w:t>
      </w:r>
      <w:r w:rsidR="00A3374B" w:rsidRPr="00701F32">
        <w:rPr>
          <w:rFonts w:ascii="Arial" w:eastAsia="Calibri" w:hAnsi="Arial" w:cs="Arial"/>
          <w:sz w:val="20"/>
        </w:rPr>
        <w:t>septiembre</w:t>
      </w:r>
      <w:r w:rsidR="00467044" w:rsidRPr="00701F32">
        <w:rPr>
          <w:rFonts w:ascii="Arial" w:eastAsia="Calibri" w:hAnsi="Arial" w:cs="Arial"/>
          <w:sz w:val="20"/>
        </w:rPr>
        <w:t xml:space="preserve"> </w:t>
      </w:r>
      <w:r w:rsidRPr="00701F32">
        <w:rPr>
          <w:rFonts w:ascii="Arial" w:eastAsia="Calibri" w:hAnsi="Arial" w:cs="Arial"/>
          <w:sz w:val="20"/>
        </w:rPr>
        <w:t xml:space="preserve">de 2018 la entidad tenía una participación accionaria de la Entidad en Tarjeta Automática S.A. representa el 10 % del capital social y de los votos y se encuentra registrada en el rubro Inversión en subsidiarias, asociadas y negocios conjuntos por </w:t>
      </w:r>
      <w:r w:rsidR="00DC1697" w:rsidRPr="00701F32">
        <w:rPr>
          <w:rFonts w:ascii="Arial" w:eastAsia="Calibri" w:hAnsi="Arial" w:cs="Arial"/>
          <w:sz w:val="20"/>
        </w:rPr>
        <w:t>4</w:t>
      </w:r>
      <w:r w:rsidR="0010654A" w:rsidRPr="00701F32">
        <w:rPr>
          <w:rFonts w:ascii="Arial" w:eastAsia="Calibri" w:hAnsi="Arial" w:cs="Arial"/>
          <w:sz w:val="20"/>
        </w:rPr>
        <w:t>3</w:t>
      </w:r>
      <w:r w:rsidR="00DC1697" w:rsidRPr="00701F32">
        <w:rPr>
          <w:rFonts w:ascii="Arial" w:eastAsia="Calibri" w:hAnsi="Arial" w:cs="Arial"/>
          <w:sz w:val="20"/>
        </w:rPr>
        <w:t>.0</w:t>
      </w:r>
      <w:r w:rsidR="0010654A" w:rsidRPr="00701F32">
        <w:rPr>
          <w:rFonts w:ascii="Arial" w:eastAsia="Calibri" w:hAnsi="Arial" w:cs="Arial"/>
          <w:sz w:val="20"/>
        </w:rPr>
        <w:t>5</w:t>
      </w:r>
      <w:r w:rsidR="00DC1697" w:rsidRPr="00701F32">
        <w:rPr>
          <w:rFonts w:ascii="Arial" w:eastAsia="Calibri" w:hAnsi="Arial" w:cs="Arial"/>
          <w:sz w:val="20"/>
        </w:rPr>
        <w:t>3.</w:t>
      </w:r>
    </w:p>
    <w:p w14:paraId="7D672FB8" w14:textId="77777777" w:rsidR="003A0C03" w:rsidRPr="00701F32" w:rsidRDefault="003A0C03" w:rsidP="00656E62">
      <w:pPr>
        <w:jc w:val="both"/>
        <w:rPr>
          <w:rFonts w:ascii="Arial" w:eastAsia="Calibri" w:hAnsi="Arial" w:cs="Arial"/>
          <w:color w:val="000000"/>
          <w:sz w:val="20"/>
        </w:rPr>
      </w:pPr>
    </w:p>
    <w:p w14:paraId="7A9EABD0" w14:textId="77777777" w:rsidR="00FF6153" w:rsidRPr="00701F32" w:rsidRDefault="00FF6153" w:rsidP="00656E62">
      <w:pPr>
        <w:jc w:val="both"/>
        <w:rPr>
          <w:rFonts w:ascii="Arial" w:eastAsia="Calibri" w:hAnsi="Arial" w:cs="Arial"/>
          <w:sz w:val="20"/>
        </w:rPr>
      </w:pPr>
      <w:r w:rsidRPr="00701F32">
        <w:rPr>
          <w:rFonts w:ascii="Arial" w:eastAsia="Calibri" w:hAnsi="Arial" w:cs="Arial"/>
          <w:color w:val="000000"/>
          <w:sz w:val="20"/>
        </w:rPr>
        <w:t xml:space="preserve">Con fecha 19 de marzo de 2018, se efectuó un aporte de capital en Tarjeta Automática por un total de 30.000. El mismo fue capitalizado conforme a lo resuelto por la Asamblea de Accionistas celebrada ese mismo día. </w:t>
      </w:r>
      <w:r w:rsidRPr="00701F32">
        <w:rPr>
          <w:rFonts w:ascii="Arial" w:eastAsia="Calibri" w:hAnsi="Arial" w:cs="Arial"/>
          <w:sz w:val="20"/>
        </w:rPr>
        <w:t>La tenencia accionaria de la Entidad asciende a 45.381.900 acciones</w:t>
      </w:r>
    </w:p>
    <w:p w14:paraId="34324213" w14:textId="77777777" w:rsidR="00FF6153" w:rsidRPr="00701F32" w:rsidRDefault="00FF6153" w:rsidP="00656E62">
      <w:pPr>
        <w:jc w:val="both"/>
        <w:rPr>
          <w:rFonts w:ascii="Arial" w:eastAsia="Arial" w:hAnsi="Arial" w:cs="Arial"/>
          <w:bCs/>
          <w:noProof/>
          <w:color w:val="000000"/>
          <w:sz w:val="20"/>
        </w:rPr>
      </w:pPr>
    </w:p>
    <w:p w14:paraId="071DA1F5" w14:textId="77777777" w:rsidR="00656E62" w:rsidRPr="00701F32" w:rsidRDefault="00656E62" w:rsidP="00656E62">
      <w:pPr>
        <w:tabs>
          <w:tab w:val="left" w:pos="142"/>
        </w:tabs>
        <w:spacing w:after="200" w:line="276" w:lineRule="auto"/>
        <w:contextualSpacing/>
        <w:jc w:val="both"/>
        <w:rPr>
          <w:rFonts w:ascii="Arial" w:eastAsia="Calibri" w:hAnsi="Arial" w:cs="Arial"/>
          <w:bCs/>
          <w:sz w:val="20"/>
          <w:lang w:eastAsia="es-AR"/>
        </w:rPr>
      </w:pPr>
      <w:r w:rsidRPr="00701F32">
        <w:rPr>
          <w:rFonts w:ascii="Arial" w:eastAsia="Calibri" w:hAnsi="Arial" w:cs="Arial"/>
          <w:sz w:val="20"/>
          <w:u w:val="single"/>
          <w:lang w:eastAsia="es-AR"/>
        </w:rPr>
        <w:t>Sociedades vinculadas</w:t>
      </w:r>
    </w:p>
    <w:p w14:paraId="16DAD952" w14:textId="77777777" w:rsidR="00656E62" w:rsidRPr="00701F32" w:rsidRDefault="00656E62" w:rsidP="00656E62">
      <w:pPr>
        <w:tabs>
          <w:tab w:val="left" w:pos="142"/>
        </w:tabs>
        <w:spacing w:after="200" w:line="276" w:lineRule="auto"/>
        <w:contextualSpacing/>
        <w:jc w:val="both"/>
        <w:rPr>
          <w:rFonts w:ascii="Arial" w:eastAsia="Calibri" w:hAnsi="Arial" w:cs="Arial"/>
          <w:bCs/>
          <w:sz w:val="20"/>
          <w:lang w:eastAsia="es-AR"/>
        </w:rPr>
      </w:pPr>
    </w:p>
    <w:p w14:paraId="64CFE3CC" w14:textId="77777777" w:rsidR="00656E62" w:rsidRPr="00701F32" w:rsidRDefault="00656E62" w:rsidP="00656E62">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 xml:space="preserve">Banco Supervielle S.A. está vinculado a Sofital S.A.F.e I.I. Al </w:t>
      </w:r>
      <w:r w:rsidR="00467044" w:rsidRPr="00701F32">
        <w:rPr>
          <w:rFonts w:ascii="Arial" w:eastAsia="Calibri" w:hAnsi="Arial" w:cs="Arial"/>
          <w:sz w:val="20"/>
        </w:rPr>
        <w:t xml:space="preserve">30 </w:t>
      </w:r>
      <w:r w:rsidRPr="00701F32">
        <w:rPr>
          <w:rFonts w:ascii="Arial" w:eastAsia="Calibri" w:hAnsi="Arial" w:cs="Arial"/>
          <w:sz w:val="20"/>
        </w:rPr>
        <w:t xml:space="preserve">de </w:t>
      </w:r>
      <w:r w:rsidR="00A0527A" w:rsidRPr="00701F32">
        <w:rPr>
          <w:rFonts w:ascii="Arial" w:eastAsia="Calibri" w:hAnsi="Arial" w:cs="Arial"/>
          <w:sz w:val="20"/>
        </w:rPr>
        <w:t>septiembre</w:t>
      </w:r>
      <w:r w:rsidR="00467044" w:rsidRPr="00701F32">
        <w:rPr>
          <w:rFonts w:ascii="Arial" w:eastAsia="Calibri" w:hAnsi="Arial" w:cs="Arial"/>
          <w:sz w:val="20"/>
        </w:rPr>
        <w:t xml:space="preserve"> </w:t>
      </w:r>
      <w:r w:rsidRPr="00701F32">
        <w:rPr>
          <w:rFonts w:ascii="Arial" w:eastAsia="Calibri" w:hAnsi="Arial" w:cs="Arial"/>
          <w:sz w:val="20"/>
        </w:rPr>
        <w:t>de 2018 la participación accionaria de Sofital S.A.F.e I.I. en Banco Supervielle S.A. representa el 3,11% del capital social y el 3,13% de los votos</w:t>
      </w:r>
      <w:r w:rsidR="00C40DFD" w:rsidRPr="00701F32">
        <w:rPr>
          <w:rFonts w:ascii="Arial" w:eastAsia="Calibri" w:hAnsi="Arial" w:cs="Arial"/>
          <w:sz w:val="20"/>
        </w:rPr>
        <w:t>.</w:t>
      </w:r>
      <w:r w:rsidRPr="00701F32">
        <w:rPr>
          <w:rFonts w:ascii="Arial" w:eastAsia="Calibri" w:hAnsi="Arial" w:cs="Arial"/>
          <w:sz w:val="20"/>
        </w:rPr>
        <w:t xml:space="preserve"> </w:t>
      </w:r>
      <w:r w:rsidR="00C40DFD" w:rsidRPr="00701F32">
        <w:rPr>
          <w:rFonts w:ascii="Arial" w:eastAsia="Calibri" w:hAnsi="Arial" w:cs="Arial"/>
          <w:sz w:val="20"/>
        </w:rPr>
        <w:t xml:space="preserve">Al </w:t>
      </w:r>
      <w:r w:rsidRPr="00701F32">
        <w:rPr>
          <w:rFonts w:ascii="Arial" w:eastAsia="Calibri" w:hAnsi="Arial" w:cs="Arial"/>
          <w:sz w:val="20"/>
        </w:rPr>
        <w:t>31 de diciembre de 2017 representaba el 3,11% del capital social y el 3,12% de los votos y al 01 de enero de 2017 representaba el 2,02% del capital social y el 2,80% de los votos.</w:t>
      </w:r>
    </w:p>
    <w:p w14:paraId="1662EE1E" w14:textId="77777777" w:rsidR="00656E62" w:rsidRPr="00701F32" w:rsidRDefault="00656E62" w:rsidP="00656E62">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Al 3</w:t>
      </w:r>
      <w:r w:rsidR="00DC1697" w:rsidRPr="00701F32">
        <w:rPr>
          <w:rFonts w:ascii="Arial" w:eastAsia="Calibri" w:hAnsi="Arial" w:cs="Arial"/>
          <w:sz w:val="20"/>
        </w:rPr>
        <w:t>0</w:t>
      </w:r>
      <w:r w:rsidRPr="00701F32">
        <w:rPr>
          <w:rFonts w:ascii="Arial" w:eastAsia="Calibri" w:hAnsi="Arial" w:cs="Arial"/>
          <w:sz w:val="20"/>
        </w:rPr>
        <w:t xml:space="preserve"> de </w:t>
      </w:r>
      <w:r w:rsidR="00A0527A" w:rsidRPr="00701F32">
        <w:rPr>
          <w:rFonts w:ascii="Arial" w:eastAsia="Calibri" w:hAnsi="Arial" w:cs="Arial"/>
          <w:sz w:val="20"/>
        </w:rPr>
        <w:t>septiembre</w:t>
      </w:r>
      <w:r w:rsidRPr="00701F32">
        <w:rPr>
          <w:rFonts w:ascii="Arial" w:eastAsia="Calibri" w:hAnsi="Arial" w:cs="Arial"/>
          <w:sz w:val="20"/>
        </w:rPr>
        <w:t xml:space="preserve"> de 2018</w:t>
      </w:r>
      <w:r w:rsidR="00BB4D2A" w:rsidRPr="00701F32">
        <w:rPr>
          <w:rFonts w:ascii="Arial" w:eastAsia="Calibri" w:hAnsi="Arial" w:cs="Arial"/>
          <w:sz w:val="20"/>
        </w:rPr>
        <w:t>, 31 de diciembre y 1 de enero de 2017</w:t>
      </w:r>
      <w:r w:rsidRPr="00701F32">
        <w:rPr>
          <w:rFonts w:ascii="Arial" w:eastAsia="Calibri" w:hAnsi="Arial" w:cs="Arial"/>
          <w:sz w:val="20"/>
        </w:rPr>
        <w:t xml:space="preserve"> la participación accionaria de la Entidad en Tarjeta Automática S.A. representa el 1</w:t>
      </w:r>
      <w:r w:rsidR="000045FD" w:rsidRPr="00701F32">
        <w:rPr>
          <w:rFonts w:ascii="Arial" w:eastAsia="Calibri" w:hAnsi="Arial" w:cs="Arial"/>
          <w:sz w:val="20"/>
        </w:rPr>
        <w:t>0</w:t>
      </w:r>
      <w:r w:rsidRPr="00701F32">
        <w:rPr>
          <w:rFonts w:ascii="Arial" w:eastAsia="Calibri" w:hAnsi="Arial" w:cs="Arial"/>
          <w:sz w:val="20"/>
        </w:rPr>
        <w:t xml:space="preserve"> % del capital social y de los votos. </w:t>
      </w:r>
    </w:p>
    <w:p w14:paraId="6C55A2AD" w14:textId="77777777" w:rsidR="00656E62" w:rsidRPr="00701F32" w:rsidRDefault="00656E62" w:rsidP="00656E62">
      <w:pPr>
        <w:tabs>
          <w:tab w:val="left" w:pos="142"/>
        </w:tabs>
        <w:spacing w:after="160" w:line="259" w:lineRule="auto"/>
        <w:jc w:val="both"/>
        <w:rPr>
          <w:rFonts w:ascii="Arial" w:eastAsia="Calibri" w:hAnsi="Arial" w:cs="Arial"/>
          <w:color w:val="000000"/>
          <w:sz w:val="20"/>
        </w:rPr>
      </w:pPr>
      <w:r w:rsidRPr="00701F32">
        <w:rPr>
          <w:rFonts w:ascii="Arial" w:eastAsia="Calibri" w:hAnsi="Arial" w:cs="Arial"/>
          <w:color w:val="000000"/>
          <w:sz w:val="20"/>
        </w:rPr>
        <w:t xml:space="preserve">Con fecha 19 de marzo de 2018, se efectuó aportes por un total de 30.000. El mismo fue capitalizado conforme a lo resuelto por la Asamblea de Accionistas celebrada ese mismo día. </w:t>
      </w:r>
      <w:r w:rsidRPr="00701F32">
        <w:rPr>
          <w:rFonts w:ascii="Arial" w:eastAsia="Calibri" w:hAnsi="Arial" w:cs="Arial"/>
          <w:sz w:val="20"/>
        </w:rPr>
        <w:t>La tenencia accionaria de la Entidad asciende a 45.381.900 acciones.</w:t>
      </w:r>
    </w:p>
    <w:p w14:paraId="2C4EC661" w14:textId="21C4920F" w:rsidR="00656E62" w:rsidRPr="00701F32" w:rsidRDefault="00656E62" w:rsidP="00656E62">
      <w:pPr>
        <w:tabs>
          <w:tab w:val="left" w:pos="142"/>
        </w:tabs>
        <w:spacing w:after="160" w:line="259" w:lineRule="auto"/>
        <w:jc w:val="both"/>
        <w:rPr>
          <w:rFonts w:ascii="Arial" w:eastAsia="Calibri" w:hAnsi="Arial" w:cs="Arial"/>
          <w:sz w:val="20"/>
        </w:rPr>
      </w:pPr>
      <w:r w:rsidRPr="00701F32">
        <w:rPr>
          <w:rFonts w:ascii="Arial" w:eastAsia="Calibri" w:hAnsi="Arial" w:cs="Arial"/>
          <w:sz w:val="20"/>
        </w:rPr>
        <w:t>La Entidad se encuentra vinculada a las empresas Supervielle Asset Management S.A.,</w:t>
      </w:r>
      <w:r w:rsidR="00EA3204" w:rsidRPr="00701F32">
        <w:rPr>
          <w:rFonts w:ascii="Arial" w:eastAsia="Calibri" w:hAnsi="Arial" w:cs="Arial"/>
          <w:sz w:val="20"/>
        </w:rPr>
        <w:t xml:space="preserve"> </w:t>
      </w:r>
      <w:r w:rsidRPr="00701F32">
        <w:rPr>
          <w:rFonts w:ascii="Arial" w:eastAsia="Calibri" w:hAnsi="Arial" w:cs="Arial"/>
          <w:sz w:val="20"/>
        </w:rPr>
        <w:t>Espacio Cordial de Servicios S.A.</w:t>
      </w:r>
      <w:r w:rsidR="001C4AB8" w:rsidRPr="00701F32">
        <w:rPr>
          <w:rFonts w:ascii="Arial" w:eastAsia="Calibri" w:hAnsi="Arial" w:cs="Arial"/>
          <w:sz w:val="20"/>
        </w:rPr>
        <w:t xml:space="preserve">, </w:t>
      </w:r>
      <w:r w:rsidRPr="00701F32">
        <w:rPr>
          <w:rFonts w:ascii="Arial" w:eastAsia="Calibri" w:hAnsi="Arial" w:cs="Arial"/>
          <w:sz w:val="20"/>
        </w:rPr>
        <w:t>Supervielle Seguros S.A.</w:t>
      </w:r>
      <w:r w:rsidR="00114557" w:rsidRPr="00701F32">
        <w:rPr>
          <w:rFonts w:ascii="Arial" w:eastAsia="Calibri" w:hAnsi="Arial" w:cs="Arial"/>
          <w:sz w:val="20"/>
        </w:rPr>
        <w:t>,</w:t>
      </w:r>
      <w:r w:rsidR="001C4AB8" w:rsidRPr="00701F32">
        <w:rPr>
          <w:rFonts w:ascii="Arial" w:eastAsia="Calibri" w:hAnsi="Arial" w:cs="Arial"/>
          <w:sz w:val="20"/>
        </w:rPr>
        <w:t xml:space="preserve"> InvertirOnLine S.A.</w:t>
      </w:r>
      <w:r w:rsidR="00114557" w:rsidRPr="00701F32">
        <w:rPr>
          <w:rFonts w:ascii="Arial" w:eastAsia="Calibri" w:hAnsi="Arial" w:cs="Arial"/>
          <w:sz w:val="20"/>
        </w:rPr>
        <w:t>, InvertirOnline.Com Argentina S.A. y Micro Lending S.A.</w:t>
      </w:r>
      <w:r w:rsidR="001C4AB8" w:rsidRPr="00701F32">
        <w:rPr>
          <w:rFonts w:ascii="Arial" w:eastAsia="Calibri" w:hAnsi="Arial" w:cs="Arial"/>
          <w:sz w:val="20"/>
        </w:rPr>
        <w:t xml:space="preserve"> </w:t>
      </w:r>
      <w:r w:rsidRPr="00701F32">
        <w:rPr>
          <w:rFonts w:ascii="Arial" w:eastAsia="Calibri" w:hAnsi="Arial" w:cs="Arial"/>
          <w:sz w:val="20"/>
        </w:rPr>
        <w:t>por ser sociedades controladas por Grupo Supervielle S.A.</w:t>
      </w:r>
    </w:p>
    <w:p w14:paraId="651D30B5" w14:textId="77777777" w:rsidR="00656E62" w:rsidRPr="00701F32" w:rsidRDefault="00656E62" w:rsidP="00656E62">
      <w:pPr>
        <w:contextualSpacing/>
        <w:jc w:val="both"/>
        <w:rPr>
          <w:rFonts w:ascii="Arial" w:eastAsia="Calibri" w:hAnsi="Arial" w:cs="Arial"/>
          <w:noProof/>
          <w:sz w:val="20"/>
          <w:u w:val="single"/>
        </w:rPr>
      </w:pPr>
      <w:r w:rsidRPr="00701F32">
        <w:rPr>
          <w:rFonts w:ascii="Arial" w:eastAsia="Calibri" w:hAnsi="Arial" w:cs="Arial"/>
          <w:noProof/>
          <w:sz w:val="20"/>
          <w:u w:val="single"/>
        </w:rPr>
        <w:t>A continuación se detallan los saldos y transacciones más significativas con partes relacionadas:</w:t>
      </w:r>
    </w:p>
    <w:p w14:paraId="2BE275CF" w14:textId="77777777" w:rsidR="00656E62" w:rsidRPr="00701F32" w:rsidRDefault="00656E62" w:rsidP="00656E62">
      <w:pPr>
        <w:widowControl w:val="0"/>
        <w:autoSpaceDE w:val="0"/>
        <w:autoSpaceDN w:val="0"/>
        <w:adjustRightInd w:val="0"/>
        <w:jc w:val="both"/>
        <w:rPr>
          <w:rFonts w:ascii="Arial" w:hAnsi="Arial" w:cs="Arial"/>
          <w:b/>
          <w:noProof/>
          <w:sz w:val="20"/>
        </w:rPr>
      </w:pPr>
    </w:p>
    <w:p w14:paraId="29CE48D0" w14:textId="77777777" w:rsidR="001C4AB8" w:rsidRPr="00701F32" w:rsidRDefault="00656E62" w:rsidP="00656E62">
      <w:pPr>
        <w:widowControl w:val="0"/>
        <w:autoSpaceDE w:val="0"/>
        <w:autoSpaceDN w:val="0"/>
        <w:adjustRightInd w:val="0"/>
        <w:jc w:val="both"/>
        <w:rPr>
          <w:rFonts w:ascii="Arial" w:eastAsia="Calibri" w:hAnsi="Arial" w:cs="Arial"/>
          <w:color w:val="000000"/>
          <w:sz w:val="20"/>
        </w:rPr>
      </w:pPr>
      <w:r w:rsidRPr="00701F32">
        <w:rPr>
          <w:rFonts w:ascii="Arial" w:eastAsia="Calibri" w:hAnsi="Arial" w:cs="Arial"/>
          <w:color w:val="000000"/>
          <w:sz w:val="20"/>
        </w:rPr>
        <w:t>Los saldos al 3</w:t>
      </w:r>
      <w:r w:rsidR="001C4AB8" w:rsidRPr="00701F32">
        <w:rPr>
          <w:rFonts w:ascii="Arial" w:eastAsia="Calibri" w:hAnsi="Arial" w:cs="Arial"/>
          <w:color w:val="000000"/>
          <w:sz w:val="20"/>
        </w:rPr>
        <w:t>0</w:t>
      </w:r>
      <w:r w:rsidRPr="00701F32">
        <w:rPr>
          <w:rFonts w:ascii="Arial" w:eastAsia="Calibri" w:hAnsi="Arial" w:cs="Arial"/>
          <w:color w:val="000000"/>
          <w:sz w:val="20"/>
        </w:rPr>
        <w:t xml:space="preserve"> de </w:t>
      </w:r>
      <w:r w:rsidR="00A3374B" w:rsidRPr="00701F32">
        <w:rPr>
          <w:rFonts w:ascii="Arial" w:eastAsia="Calibri" w:hAnsi="Arial" w:cs="Arial"/>
          <w:color w:val="000000"/>
          <w:sz w:val="20"/>
        </w:rPr>
        <w:t>septiembre</w:t>
      </w:r>
      <w:r w:rsidRPr="00701F32">
        <w:rPr>
          <w:rFonts w:ascii="Arial" w:eastAsia="Calibri" w:hAnsi="Arial" w:cs="Arial"/>
          <w:color w:val="000000"/>
          <w:sz w:val="20"/>
        </w:rPr>
        <w:t xml:space="preserve"> de 2018, al 31 diciembre de 2017 y al 1ro de enero de 2017, con las sociedades indicadas son los siguientes:</w:t>
      </w:r>
    </w:p>
    <w:p w14:paraId="492FD5D7" w14:textId="77777777" w:rsidR="0010654A" w:rsidRPr="00701F32" w:rsidRDefault="0010654A" w:rsidP="00656E62">
      <w:pPr>
        <w:widowControl w:val="0"/>
        <w:autoSpaceDE w:val="0"/>
        <w:autoSpaceDN w:val="0"/>
        <w:adjustRightInd w:val="0"/>
        <w:jc w:val="both"/>
        <w:rPr>
          <w:rFonts w:ascii="Arial" w:eastAsia="Calibri" w:hAnsi="Arial" w:cs="Arial"/>
          <w:color w:val="000000"/>
          <w:sz w:val="20"/>
        </w:rPr>
      </w:pPr>
    </w:p>
    <w:p w14:paraId="5B1DFC40" w14:textId="77777777" w:rsidR="0010654A" w:rsidRPr="00701F32" w:rsidRDefault="0010654A" w:rsidP="0010654A">
      <w:pPr>
        <w:widowControl w:val="0"/>
        <w:autoSpaceDE w:val="0"/>
        <w:autoSpaceDN w:val="0"/>
        <w:adjustRightInd w:val="0"/>
        <w:jc w:val="both"/>
        <w:rPr>
          <w:rFonts w:ascii="Arial" w:hAnsi="Arial" w:cs="Arial"/>
          <w:b/>
          <w:noProof/>
          <w:sz w:val="20"/>
        </w:rPr>
      </w:pPr>
    </w:p>
    <w:tbl>
      <w:tblPr>
        <w:tblW w:w="1010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36"/>
        <w:gridCol w:w="1659"/>
        <w:gridCol w:w="936"/>
        <w:gridCol w:w="1090"/>
        <w:gridCol w:w="1106"/>
        <w:gridCol w:w="1162"/>
        <w:gridCol w:w="1311"/>
      </w:tblGrid>
      <w:tr w:rsidR="0010654A" w:rsidRPr="00701F32" w14:paraId="6B5E070F" w14:textId="77777777" w:rsidTr="002E5672">
        <w:trPr>
          <w:trHeight w:val="297"/>
          <w:tblHeader/>
        </w:trPr>
        <w:tc>
          <w:tcPr>
            <w:tcW w:w="2836" w:type="dxa"/>
            <w:vMerge w:val="restart"/>
            <w:shd w:val="clear" w:color="auto" w:fill="auto"/>
            <w:vAlign w:val="center"/>
            <w:hideMark/>
          </w:tcPr>
          <w:p w14:paraId="2863027C"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Sociedades</w:t>
            </w:r>
          </w:p>
        </w:tc>
        <w:tc>
          <w:tcPr>
            <w:tcW w:w="7264" w:type="dxa"/>
            <w:gridSpan w:val="6"/>
            <w:vAlign w:val="bottom"/>
          </w:tcPr>
          <w:p w14:paraId="796323B6" w14:textId="77777777" w:rsidR="0010654A" w:rsidRPr="00701F32" w:rsidRDefault="0010654A" w:rsidP="002E5672">
            <w:pPr>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30/09/2018</w:t>
            </w:r>
          </w:p>
        </w:tc>
      </w:tr>
      <w:tr w:rsidR="0010654A" w:rsidRPr="00701F32" w14:paraId="43443792" w14:textId="77777777" w:rsidTr="002E5672">
        <w:trPr>
          <w:trHeight w:val="398"/>
          <w:tblHeader/>
        </w:trPr>
        <w:tc>
          <w:tcPr>
            <w:tcW w:w="2836" w:type="dxa"/>
            <w:vMerge/>
            <w:shd w:val="clear" w:color="auto" w:fill="auto"/>
            <w:vAlign w:val="bottom"/>
            <w:hideMark/>
          </w:tcPr>
          <w:p w14:paraId="1141B3BA" w14:textId="77777777" w:rsidR="0010654A" w:rsidRPr="00701F32" w:rsidRDefault="0010654A" w:rsidP="002E5672">
            <w:pPr>
              <w:spacing w:after="160" w:line="259" w:lineRule="auto"/>
              <w:jc w:val="center"/>
              <w:rPr>
                <w:rFonts w:ascii="Arial" w:eastAsia="Calibri" w:hAnsi="Arial" w:cs="Arial"/>
                <w:color w:val="000000"/>
                <w:sz w:val="16"/>
              </w:rPr>
            </w:pPr>
          </w:p>
        </w:tc>
        <w:tc>
          <w:tcPr>
            <w:tcW w:w="1659" w:type="dxa"/>
            <w:vAlign w:val="center"/>
          </w:tcPr>
          <w:p w14:paraId="2098A1FE"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Préstamos y Otras Financiaciones</w:t>
            </w:r>
          </w:p>
        </w:tc>
        <w:tc>
          <w:tcPr>
            <w:tcW w:w="936" w:type="dxa"/>
            <w:vAlign w:val="center"/>
          </w:tcPr>
          <w:p w14:paraId="1A8B4253"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Títulos de Deuda</w:t>
            </w:r>
          </w:p>
        </w:tc>
        <w:tc>
          <w:tcPr>
            <w:tcW w:w="1090" w:type="dxa"/>
            <w:shd w:val="clear" w:color="auto" w:fill="auto"/>
            <w:vAlign w:val="center"/>
            <w:hideMark/>
          </w:tcPr>
          <w:p w14:paraId="6B7C34B4"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106" w:type="dxa"/>
            <w:shd w:val="clear" w:color="auto" w:fill="auto"/>
            <w:vAlign w:val="center"/>
            <w:hideMark/>
          </w:tcPr>
          <w:p w14:paraId="16FED355"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162" w:type="dxa"/>
            <w:vAlign w:val="center"/>
          </w:tcPr>
          <w:p w14:paraId="48FE13C2"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311" w:type="dxa"/>
            <w:shd w:val="clear" w:color="auto" w:fill="auto"/>
            <w:vAlign w:val="center"/>
          </w:tcPr>
          <w:p w14:paraId="5648D5F0"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10654A" w:rsidRPr="00701F32" w14:paraId="11B9E012" w14:textId="77777777" w:rsidTr="002E5672">
        <w:trPr>
          <w:trHeight w:val="182"/>
        </w:trPr>
        <w:tc>
          <w:tcPr>
            <w:tcW w:w="2836" w:type="dxa"/>
            <w:shd w:val="clear" w:color="auto" w:fill="auto"/>
            <w:vAlign w:val="bottom"/>
            <w:hideMark/>
          </w:tcPr>
          <w:p w14:paraId="2B14BEA5"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Cordial Cía. Financiera S.A.</w:t>
            </w:r>
          </w:p>
        </w:tc>
        <w:tc>
          <w:tcPr>
            <w:tcW w:w="1659" w:type="dxa"/>
            <w:vAlign w:val="bottom"/>
          </w:tcPr>
          <w:p w14:paraId="55E29B4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3.586.660</w:t>
            </w:r>
          </w:p>
        </w:tc>
        <w:tc>
          <w:tcPr>
            <w:tcW w:w="936" w:type="dxa"/>
            <w:vAlign w:val="bottom"/>
          </w:tcPr>
          <w:p w14:paraId="716BDCB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520038B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bottom"/>
          </w:tcPr>
          <w:p w14:paraId="6D8CC0A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1.329</w:t>
            </w:r>
          </w:p>
        </w:tc>
        <w:tc>
          <w:tcPr>
            <w:tcW w:w="1162" w:type="dxa"/>
            <w:vAlign w:val="bottom"/>
          </w:tcPr>
          <w:p w14:paraId="4BC7063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w:t>
            </w:r>
          </w:p>
        </w:tc>
        <w:tc>
          <w:tcPr>
            <w:tcW w:w="1311" w:type="dxa"/>
            <w:shd w:val="clear" w:color="auto" w:fill="auto"/>
            <w:vAlign w:val="bottom"/>
          </w:tcPr>
          <w:p w14:paraId="2D46D72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BFAE5BC" w14:textId="77777777" w:rsidTr="002E5672">
        <w:trPr>
          <w:trHeight w:val="173"/>
        </w:trPr>
        <w:tc>
          <w:tcPr>
            <w:tcW w:w="2836" w:type="dxa"/>
            <w:shd w:val="clear" w:color="auto" w:fill="auto"/>
            <w:vAlign w:val="bottom"/>
            <w:hideMark/>
          </w:tcPr>
          <w:p w14:paraId="22D5DCA5"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659" w:type="dxa"/>
            <w:vAlign w:val="bottom"/>
          </w:tcPr>
          <w:p w14:paraId="017E721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bottom"/>
          </w:tcPr>
          <w:p w14:paraId="6AEAE4F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505FD6E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bottom"/>
          </w:tcPr>
          <w:p w14:paraId="07C4B0F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49</w:t>
            </w:r>
          </w:p>
        </w:tc>
        <w:tc>
          <w:tcPr>
            <w:tcW w:w="1162" w:type="dxa"/>
            <w:vAlign w:val="bottom"/>
          </w:tcPr>
          <w:p w14:paraId="1FC4D08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bottom"/>
          </w:tcPr>
          <w:p w14:paraId="5C81007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773D1F7A" w14:textId="77777777" w:rsidTr="002E5672">
        <w:trPr>
          <w:trHeight w:val="160"/>
        </w:trPr>
        <w:tc>
          <w:tcPr>
            <w:tcW w:w="2836" w:type="dxa"/>
            <w:shd w:val="clear" w:color="auto" w:fill="auto"/>
            <w:vAlign w:val="bottom"/>
            <w:hideMark/>
          </w:tcPr>
          <w:p w14:paraId="434C52B6"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659" w:type="dxa"/>
            <w:vAlign w:val="bottom"/>
          </w:tcPr>
          <w:p w14:paraId="620DDBC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bottom"/>
          </w:tcPr>
          <w:p w14:paraId="48B5E61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0549F1E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60</w:t>
            </w:r>
          </w:p>
        </w:tc>
        <w:tc>
          <w:tcPr>
            <w:tcW w:w="1106" w:type="dxa"/>
            <w:shd w:val="clear" w:color="auto" w:fill="auto"/>
            <w:vAlign w:val="bottom"/>
          </w:tcPr>
          <w:p w14:paraId="00D1FF1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4.794</w:t>
            </w:r>
          </w:p>
        </w:tc>
        <w:tc>
          <w:tcPr>
            <w:tcW w:w="1162" w:type="dxa"/>
            <w:vAlign w:val="bottom"/>
          </w:tcPr>
          <w:p w14:paraId="1332E1F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776</w:t>
            </w:r>
          </w:p>
        </w:tc>
        <w:tc>
          <w:tcPr>
            <w:tcW w:w="1311" w:type="dxa"/>
            <w:shd w:val="clear" w:color="auto" w:fill="auto"/>
            <w:vAlign w:val="bottom"/>
          </w:tcPr>
          <w:p w14:paraId="2214138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405AA9C0" w14:textId="77777777" w:rsidTr="002E5672">
        <w:trPr>
          <w:trHeight w:val="157"/>
        </w:trPr>
        <w:tc>
          <w:tcPr>
            <w:tcW w:w="2836" w:type="dxa"/>
            <w:shd w:val="clear" w:color="auto" w:fill="auto"/>
            <w:vAlign w:val="bottom"/>
            <w:hideMark/>
          </w:tcPr>
          <w:p w14:paraId="7EED8B2F"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659" w:type="dxa"/>
            <w:vAlign w:val="bottom"/>
          </w:tcPr>
          <w:p w14:paraId="7A01760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10.879</w:t>
            </w:r>
          </w:p>
        </w:tc>
        <w:tc>
          <w:tcPr>
            <w:tcW w:w="936" w:type="dxa"/>
            <w:vAlign w:val="bottom"/>
          </w:tcPr>
          <w:p w14:paraId="251A7A7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03D8BB1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398</w:t>
            </w:r>
          </w:p>
        </w:tc>
        <w:tc>
          <w:tcPr>
            <w:tcW w:w="1106" w:type="dxa"/>
            <w:shd w:val="clear" w:color="auto" w:fill="auto"/>
            <w:vAlign w:val="bottom"/>
          </w:tcPr>
          <w:p w14:paraId="2C8E1A0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3.555</w:t>
            </w:r>
          </w:p>
        </w:tc>
        <w:tc>
          <w:tcPr>
            <w:tcW w:w="1162" w:type="dxa"/>
            <w:vAlign w:val="bottom"/>
          </w:tcPr>
          <w:p w14:paraId="6288582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44.364</w:t>
            </w:r>
          </w:p>
        </w:tc>
        <w:tc>
          <w:tcPr>
            <w:tcW w:w="1311" w:type="dxa"/>
            <w:shd w:val="clear" w:color="auto" w:fill="auto"/>
            <w:vAlign w:val="bottom"/>
          </w:tcPr>
          <w:p w14:paraId="23A9B39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447AC302" w14:textId="77777777" w:rsidTr="002E5672">
        <w:trPr>
          <w:trHeight w:val="286"/>
        </w:trPr>
        <w:tc>
          <w:tcPr>
            <w:tcW w:w="2836" w:type="dxa"/>
            <w:shd w:val="clear" w:color="auto" w:fill="auto"/>
            <w:vAlign w:val="bottom"/>
            <w:hideMark/>
          </w:tcPr>
          <w:p w14:paraId="712F100D"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659" w:type="dxa"/>
            <w:vAlign w:val="bottom"/>
          </w:tcPr>
          <w:p w14:paraId="3587B2B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9.900</w:t>
            </w:r>
          </w:p>
        </w:tc>
        <w:tc>
          <w:tcPr>
            <w:tcW w:w="936" w:type="dxa"/>
            <w:vAlign w:val="bottom"/>
          </w:tcPr>
          <w:p w14:paraId="31E0EBC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1CC2197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bottom"/>
          </w:tcPr>
          <w:p w14:paraId="5D56F05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105</w:t>
            </w:r>
          </w:p>
        </w:tc>
        <w:tc>
          <w:tcPr>
            <w:tcW w:w="1162" w:type="dxa"/>
            <w:vAlign w:val="bottom"/>
          </w:tcPr>
          <w:p w14:paraId="6B4E65A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bottom"/>
          </w:tcPr>
          <w:p w14:paraId="399FD9F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3FDEF14" w14:textId="77777777" w:rsidTr="002E5672">
        <w:trPr>
          <w:trHeight w:val="217"/>
        </w:trPr>
        <w:tc>
          <w:tcPr>
            <w:tcW w:w="2836" w:type="dxa"/>
            <w:shd w:val="clear" w:color="auto" w:fill="auto"/>
            <w:vAlign w:val="bottom"/>
            <w:hideMark/>
          </w:tcPr>
          <w:p w14:paraId="3498067C" w14:textId="77777777" w:rsidR="0010654A" w:rsidRPr="00701F32" w:rsidRDefault="0010654A" w:rsidP="002E5672">
            <w:pPr>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659" w:type="dxa"/>
            <w:vAlign w:val="bottom"/>
          </w:tcPr>
          <w:p w14:paraId="473D85F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bottom"/>
          </w:tcPr>
          <w:p w14:paraId="1E48E9B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6E3ABF8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bottom"/>
          </w:tcPr>
          <w:p w14:paraId="5ED3C5F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1.247</w:t>
            </w:r>
          </w:p>
        </w:tc>
        <w:tc>
          <w:tcPr>
            <w:tcW w:w="1162" w:type="dxa"/>
            <w:vAlign w:val="bottom"/>
          </w:tcPr>
          <w:p w14:paraId="7D5F4A4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bottom"/>
          </w:tcPr>
          <w:p w14:paraId="4BB0AD8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8D46C53" w14:textId="77777777" w:rsidTr="002E5672">
        <w:trPr>
          <w:trHeight w:val="139"/>
        </w:trPr>
        <w:tc>
          <w:tcPr>
            <w:tcW w:w="2836" w:type="dxa"/>
            <w:shd w:val="clear" w:color="auto" w:fill="auto"/>
            <w:vAlign w:val="bottom"/>
          </w:tcPr>
          <w:p w14:paraId="4FC9C6B4"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659" w:type="dxa"/>
            <w:vAlign w:val="bottom"/>
          </w:tcPr>
          <w:p w14:paraId="0AD8CB9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bottom"/>
          </w:tcPr>
          <w:p w14:paraId="3A06744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24A6E81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06" w:type="dxa"/>
            <w:shd w:val="clear" w:color="auto" w:fill="auto"/>
            <w:vAlign w:val="bottom"/>
          </w:tcPr>
          <w:p w14:paraId="322355B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510.874</w:t>
            </w:r>
          </w:p>
        </w:tc>
        <w:tc>
          <w:tcPr>
            <w:tcW w:w="1162" w:type="dxa"/>
            <w:vAlign w:val="bottom"/>
          </w:tcPr>
          <w:p w14:paraId="109CE5C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bottom"/>
          </w:tcPr>
          <w:p w14:paraId="6E283DB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679FBC14" w14:textId="77777777" w:rsidTr="002E5672">
        <w:trPr>
          <w:trHeight w:val="139"/>
        </w:trPr>
        <w:tc>
          <w:tcPr>
            <w:tcW w:w="2836" w:type="dxa"/>
            <w:shd w:val="clear" w:color="auto" w:fill="auto"/>
            <w:vAlign w:val="bottom"/>
          </w:tcPr>
          <w:p w14:paraId="284C73B6"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659" w:type="dxa"/>
            <w:vAlign w:val="bottom"/>
          </w:tcPr>
          <w:p w14:paraId="17FFD281" w14:textId="77777777" w:rsidR="0010654A" w:rsidRPr="00701F32" w:rsidDel="00293759"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936" w:type="dxa"/>
            <w:vAlign w:val="bottom"/>
          </w:tcPr>
          <w:p w14:paraId="4C3B59FB"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90" w:type="dxa"/>
            <w:shd w:val="clear" w:color="auto" w:fill="auto"/>
            <w:vAlign w:val="bottom"/>
          </w:tcPr>
          <w:p w14:paraId="1BF7D81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06" w:type="dxa"/>
            <w:shd w:val="clear" w:color="auto" w:fill="auto"/>
            <w:vAlign w:val="bottom"/>
          </w:tcPr>
          <w:p w14:paraId="0E299F09" w14:textId="77777777" w:rsidR="0010654A" w:rsidRPr="00701F32" w:rsidDel="00293759"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3.121</w:t>
            </w:r>
          </w:p>
        </w:tc>
        <w:tc>
          <w:tcPr>
            <w:tcW w:w="1162" w:type="dxa"/>
            <w:vAlign w:val="bottom"/>
          </w:tcPr>
          <w:p w14:paraId="6DC6C3FB"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1" w:type="dxa"/>
            <w:shd w:val="clear" w:color="auto" w:fill="auto"/>
            <w:vAlign w:val="bottom"/>
          </w:tcPr>
          <w:p w14:paraId="7D59585C"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55B7C9EF" w14:textId="77777777" w:rsidTr="002E5672">
        <w:trPr>
          <w:trHeight w:val="139"/>
        </w:trPr>
        <w:tc>
          <w:tcPr>
            <w:tcW w:w="2836" w:type="dxa"/>
            <w:shd w:val="clear" w:color="auto" w:fill="auto"/>
            <w:vAlign w:val="bottom"/>
          </w:tcPr>
          <w:p w14:paraId="75FF3270"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659" w:type="dxa"/>
            <w:vAlign w:val="bottom"/>
          </w:tcPr>
          <w:p w14:paraId="5A3EF776" w14:textId="77777777" w:rsidR="0010654A" w:rsidRPr="00701F32" w:rsidDel="00293759"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94.991</w:t>
            </w:r>
          </w:p>
        </w:tc>
        <w:tc>
          <w:tcPr>
            <w:tcW w:w="936" w:type="dxa"/>
            <w:vAlign w:val="bottom"/>
          </w:tcPr>
          <w:p w14:paraId="3CA83E9D"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90" w:type="dxa"/>
            <w:shd w:val="clear" w:color="auto" w:fill="auto"/>
            <w:vAlign w:val="bottom"/>
          </w:tcPr>
          <w:p w14:paraId="1D76D139"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2.431</w:t>
            </w:r>
          </w:p>
        </w:tc>
        <w:tc>
          <w:tcPr>
            <w:tcW w:w="1106" w:type="dxa"/>
            <w:shd w:val="clear" w:color="auto" w:fill="auto"/>
            <w:vAlign w:val="bottom"/>
          </w:tcPr>
          <w:p w14:paraId="7245366B" w14:textId="77777777" w:rsidR="0010654A" w:rsidRPr="00701F32" w:rsidDel="00293759"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62" w:type="dxa"/>
            <w:vAlign w:val="bottom"/>
          </w:tcPr>
          <w:p w14:paraId="6445A85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1" w:type="dxa"/>
            <w:shd w:val="clear" w:color="auto" w:fill="auto"/>
            <w:vAlign w:val="bottom"/>
          </w:tcPr>
          <w:p w14:paraId="5F583360"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7D7CC3BB" w14:textId="77777777" w:rsidTr="002E5672">
        <w:trPr>
          <w:trHeight w:val="212"/>
        </w:trPr>
        <w:tc>
          <w:tcPr>
            <w:tcW w:w="2836" w:type="dxa"/>
            <w:shd w:val="clear" w:color="auto" w:fill="auto"/>
            <w:vAlign w:val="bottom"/>
            <w:hideMark/>
          </w:tcPr>
          <w:p w14:paraId="06CAAA6C"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Grupo Supervielle S.A.</w:t>
            </w:r>
          </w:p>
        </w:tc>
        <w:tc>
          <w:tcPr>
            <w:tcW w:w="1659" w:type="dxa"/>
            <w:vAlign w:val="bottom"/>
          </w:tcPr>
          <w:p w14:paraId="27F8A77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936" w:type="dxa"/>
            <w:vAlign w:val="bottom"/>
          </w:tcPr>
          <w:p w14:paraId="093E070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90" w:type="dxa"/>
            <w:shd w:val="clear" w:color="auto" w:fill="auto"/>
            <w:vAlign w:val="bottom"/>
          </w:tcPr>
          <w:p w14:paraId="2B9F8BB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131</w:t>
            </w:r>
          </w:p>
        </w:tc>
        <w:tc>
          <w:tcPr>
            <w:tcW w:w="1106" w:type="dxa"/>
            <w:shd w:val="clear" w:color="auto" w:fill="auto"/>
            <w:vAlign w:val="bottom"/>
          </w:tcPr>
          <w:p w14:paraId="22C03AA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1.195</w:t>
            </w:r>
          </w:p>
        </w:tc>
        <w:tc>
          <w:tcPr>
            <w:tcW w:w="1162" w:type="dxa"/>
            <w:vAlign w:val="bottom"/>
          </w:tcPr>
          <w:p w14:paraId="439721F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1" w:type="dxa"/>
            <w:shd w:val="clear" w:color="auto" w:fill="auto"/>
            <w:vAlign w:val="bottom"/>
          </w:tcPr>
          <w:p w14:paraId="17FDC50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31F9FD33" w14:textId="77777777" w:rsidTr="002E5672">
        <w:trPr>
          <w:trHeight w:val="234"/>
        </w:trPr>
        <w:tc>
          <w:tcPr>
            <w:tcW w:w="2836" w:type="dxa"/>
            <w:shd w:val="clear" w:color="auto" w:fill="auto"/>
            <w:vAlign w:val="bottom"/>
            <w:hideMark/>
          </w:tcPr>
          <w:p w14:paraId="366DD87E"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659" w:type="dxa"/>
            <w:vAlign w:val="bottom"/>
          </w:tcPr>
          <w:p w14:paraId="2F17217B"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3.702.430</w:t>
            </w:r>
          </w:p>
        </w:tc>
        <w:tc>
          <w:tcPr>
            <w:tcW w:w="936" w:type="dxa"/>
            <w:vAlign w:val="bottom"/>
          </w:tcPr>
          <w:p w14:paraId="256C3F01"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w:t>
            </w:r>
          </w:p>
        </w:tc>
        <w:tc>
          <w:tcPr>
            <w:tcW w:w="1090" w:type="dxa"/>
            <w:shd w:val="clear" w:color="auto" w:fill="auto"/>
            <w:vAlign w:val="bottom"/>
          </w:tcPr>
          <w:p w14:paraId="44B9E29A"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3.020</w:t>
            </w:r>
          </w:p>
        </w:tc>
        <w:tc>
          <w:tcPr>
            <w:tcW w:w="1106" w:type="dxa"/>
            <w:shd w:val="clear" w:color="auto" w:fill="auto"/>
            <w:vAlign w:val="bottom"/>
          </w:tcPr>
          <w:p w14:paraId="2A371499"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526.269</w:t>
            </w:r>
          </w:p>
        </w:tc>
        <w:tc>
          <w:tcPr>
            <w:tcW w:w="1162" w:type="dxa"/>
            <w:vAlign w:val="bottom"/>
          </w:tcPr>
          <w:p w14:paraId="1E1E0594"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45.143</w:t>
            </w:r>
          </w:p>
        </w:tc>
        <w:tc>
          <w:tcPr>
            <w:tcW w:w="1311" w:type="dxa"/>
            <w:shd w:val="clear" w:color="auto" w:fill="auto"/>
            <w:vAlign w:val="bottom"/>
          </w:tcPr>
          <w:p w14:paraId="00C8C9FF"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w:t>
            </w:r>
          </w:p>
        </w:tc>
      </w:tr>
    </w:tbl>
    <w:p w14:paraId="5E7364E5" w14:textId="77777777" w:rsidR="0010654A" w:rsidRPr="00701F32" w:rsidRDefault="0010654A" w:rsidP="0010654A">
      <w:pPr>
        <w:tabs>
          <w:tab w:val="left" w:pos="142"/>
        </w:tabs>
        <w:spacing w:after="160" w:line="259" w:lineRule="auto"/>
        <w:jc w:val="both"/>
        <w:rPr>
          <w:rFonts w:ascii="Arial" w:eastAsia="Calibri" w:hAnsi="Arial" w:cs="Arial"/>
          <w:color w:val="000000"/>
          <w:sz w:val="16"/>
        </w:rPr>
      </w:pPr>
    </w:p>
    <w:tbl>
      <w:tblPr>
        <w:tblW w:w="99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23"/>
        <w:gridCol w:w="1536"/>
        <w:gridCol w:w="1081"/>
        <w:gridCol w:w="1273"/>
        <w:gridCol w:w="1188"/>
        <w:gridCol w:w="1273"/>
        <w:gridCol w:w="1219"/>
      </w:tblGrid>
      <w:tr w:rsidR="0010654A" w:rsidRPr="00701F32" w14:paraId="240D47E6" w14:textId="77777777" w:rsidTr="002E5672">
        <w:trPr>
          <w:trHeight w:val="358"/>
          <w:tblHeader/>
        </w:trPr>
        <w:tc>
          <w:tcPr>
            <w:tcW w:w="2423" w:type="dxa"/>
            <w:vMerge w:val="restart"/>
            <w:shd w:val="clear" w:color="auto" w:fill="auto"/>
            <w:vAlign w:val="center"/>
            <w:hideMark/>
          </w:tcPr>
          <w:p w14:paraId="0BF28298" w14:textId="77777777" w:rsidR="0010654A" w:rsidRPr="00701F32" w:rsidRDefault="0010654A" w:rsidP="002E5672">
            <w:pPr>
              <w:spacing w:after="160" w:line="259" w:lineRule="auto"/>
              <w:ind w:left="234" w:hanging="22"/>
              <w:jc w:val="center"/>
              <w:rPr>
                <w:rFonts w:ascii="Arial" w:eastAsia="Calibri" w:hAnsi="Arial" w:cs="Arial"/>
                <w:b/>
                <w:color w:val="000000"/>
                <w:sz w:val="16"/>
              </w:rPr>
            </w:pPr>
            <w:r w:rsidRPr="00701F32">
              <w:rPr>
                <w:rFonts w:ascii="Arial" w:eastAsia="Calibri" w:hAnsi="Arial" w:cs="Arial"/>
                <w:b/>
                <w:color w:val="000000"/>
                <w:sz w:val="16"/>
              </w:rPr>
              <w:t>Sociedades</w:t>
            </w:r>
          </w:p>
        </w:tc>
        <w:tc>
          <w:tcPr>
            <w:tcW w:w="7570" w:type="dxa"/>
            <w:gridSpan w:val="6"/>
            <w:vAlign w:val="bottom"/>
          </w:tcPr>
          <w:p w14:paraId="7188B178" w14:textId="77777777" w:rsidR="0010654A" w:rsidRPr="00701F32" w:rsidRDefault="0010654A" w:rsidP="002E5672">
            <w:pPr>
              <w:spacing w:after="160" w:line="259" w:lineRule="auto"/>
              <w:ind w:left="234" w:hanging="22"/>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31/12/2017</w:t>
            </w:r>
          </w:p>
        </w:tc>
      </w:tr>
      <w:tr w:rsidR="0010654A" w:rsidRPr="00701F32" w14:paraId="79729411" w14:textId="77777777" w:rsidTr="002E5672">
        <w:trPr>
          <w:trHeight w:val="358"/>
          <w:tblHeader/>
        </w:trPr>
        <w:tc>
          <w:tcPr>
            <w:tcW w:w="2423" w:type="dxa"/>
            <w:vMerge/>
            <w:shd w:val="clear" w:color="auto" w:fill="auto"/>
            <w:vAlign w:val="bottom"/>
            <w:hideMark/>
          </w:tcPr>
          <w:p w14:paraId="2C8C0D69" w14:textId="77777777" w:rsidR="0010654A" w:rsidRPr="00701F32" w:rsidRDefault="0010654A" w:rsidP="002E5672">
            <w:pPr>
              <w:spacing w:after="160" w:line="259" w:lineRule="auto"/>
              <w:ind w:left="234" w:hanging="22"/>
              <w:jc w:val="center"/>
              <w:rPr>
                <w:rFonts w:ascii="Arial" w:eastAsia="Calibri" w:hAnsi="Arial" w:cs="Arial"/>
                <w:color w:val="000000"/>
                <w:sz w:val="16"/>
              </w:rPr>
            </w:pPr>
          </w:p>
        </w:tc>
        <w:tc>
          <w:tcPr>
            <w:tcW w:w="1536" w:type="dxa"/>
            <w:vAlign w:val="center"/>
          </w:tcPr>
          <w:p w14:paraId="13EB3A3B"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val="es-ES_tradnl" w:eastAsia="es-AR"/>
              </w:rPr>
            </w:pPr>
            <w:r w:rsidRPr="00701F32">
              <w:rPr>
                <w:rFonts w:ascii="Arial" w:eastAsia="Calibri" w:hAnsi="Arial" w:cs="Arial"/>
                <w:b/>
                <w:bCs/>
                <w:color w:val="000000"/>
                <w:sz w:val="16"/>
                <w:lang w:eastAsia="es-AR"/>
              </w:rPr>
              <w:t>Préstamos y Otras Financiaciones</w:t>
            </w:r>
          </w:p>
        </w:tc>
        <w:tc>
          <w:tcPr>
            <w:tcW w:w="1081" w:type="dxa"/>
            <w:vAlign w:val="center"/>
          </w:tcPr>
          <w:p w14:paraId="4225AF0B"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val="es-ES_tradnl" w:eastAsia="es-AR"/>
              </w:rPr>
            </w:pPr>
            <w:r w:rsidRPr="00701F32">
              <w:rPr>
                <w:rFonts w:ascii="Arial" w:eastAsia="Calibri" w:hAnsi="Arial" w:cs="Arial"/>
                <w:b/>
                <w:bCs/>
                <w:color w:val="000000"/>
                <w:sz w:val="16"/>
                <w:lang w:eastAsia="es-AR"/>
              </w:rPr>
              <w:t>Otros Títulos de Deuda</w:t>
            </w:r>
          </w:p>
        </w:tc>
        <w:tc>
          <w:tcPr>
            <w:tcW w:w="1273" w:type="dxa"/>
            <w:shd w:val="clear" w:color="auto" w:fill="auto"/>
            <w:vAlign w:val="center"/>
            <w:hideMark/>
          </w:tcPr>
          <w:p w14:paraId="3AB90905"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188" w:type="dxa"/>
            <w:shd w:val="clear" w:color="auto" w:fill="auto"/>
            <w:vAlign w:val="center"/>
            <w:hideMark/>
          </w:tcPr>
          <w:p w14:paraId="679BDE5B"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273" w:type="dxa"/>
            <w:vAlign w:val="center"/>
          </w:tcPr>
          <w:p w14:paraId="61AE2538"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219" w:type="dxa"/>
            <w:shd w:val="clear" w:color="auto" w:fill="auto"/>
            <w:vAlign w:val="center"/>
          </w:tcPr>
          <w:p w14:paraId="70D6BF37"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10654A" w:rsidRPr="00701F32" w14:paraId="150F5464" w14:textId="77777777" w:rsidTr="002E5672">
        <w:trPr>
          <w:trHeight w:val="358"/>
        </w:trPr>
        <w:tc>
          <w:tcPr>
            <w:tcW w:w="2423" w:type="dxa"/>
            <w:shd w:val="clear" w:color="auto" w:fill="auto"/>
            <w:vAlign w:val="center"/>
            <w:hideMark/>
          </w:tcPr>
          <w:p w14:paraId="3BA75061"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Cordial Cía. Financiera S.A.</w:t>
            </w:r>
          </w:p>
        </w:tc>
        <w:tc>
          <w:tcPr>
            <w:tcW w:w="1536" w:type="dxa"/>
            <w:vAlign w:val="bottom"/>
          </w:tcPr>
          <w:p w14:paraId="1CC36AF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1.803.445</w:t>
            </w:r>
          </w:p>
        </w:tc>
        <w:tc>
          <w:tcPr>
            <w:tcW w:w="1081" w:type="dxa"/>
            <w:vAlign w:val="bottom"/>
          </w:tcPr>
          <w:p w14:paraId="0FEC25E8"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7176FF62"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bottom"/>
          </w:tcPr>
          <w:p w14:paraId="7D304517"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4.395</w:t>
            </w:r>
          </w:p>
        </w:tc>
        <w:tc>
          <w:tcPr>
            <w:tcW w:w="1273" w:type="dxa"/>
            <w:vAlign w:val="bottom"/>
          </w:tcPr>
          <w:p w14:paraId="3FD7722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41.693</w:t>
            </w:r>
          </w:p>
        </w:tc>
        <w:tc>
          <w:tcPr>
            <w:tcW w:w="1219" w:type="dxa"/>
            <w:shd w:val="clear" w:color="auto" w:fill="auto"/>
            <w:vAlign w:val="bottom"/>
          </w:tcPr>
          <w:p w14:paraId="4743F4B3"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40.095</w:t>
            </w:r>
          </w:p>
        </w:tc>
      </w:tr>
      <w:tr w:rsidR="0010654A" w:rsidRPr="00701F32" w14:paraId="1124208B" w14:textId="77777777" w:rsidTr="002E5672">
        <w:trPr>
          <w:trHeight w:val="268"/>
        </w:trPr>
        <w:tc>
          <w:tcPr>
            <w:tcW w:w="2423" w:type="dxa"/>
            <w:shd w:val="clear" w:color="auto" w:fill="auto"/>
            <w:vAlign w:val="center"/>
            <w:hideMark/>
          </w:tcPr>
          <w:p w14:paraId="0825403F"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536" w:type="dxa"/>
            <w:vAlign w:val="bottom"/>
          </w:tcPr>
          <w:p w14:paraId="181E620B"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bottom"/>
          </w:tcPr>
          <w:p w14:paraId="60A3F977"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0DA63049"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bottom"/>
          </w:tcPr>
          <w:p w14:paraId="3B972322"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32</w:t>
            </w:r>
          </w:p>
        </w:tc>
        <w:tc>
          <w:tcPr>
            <w:tcW w:w="1273" w:type="dxa"/>
            <w:vAlign w:val="bottom"/>
          </w:tcPr>
          <w:p w14:paraId="302B9530"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bottom"/>
          </w:tcPr>
          <w:p w14:paraId="13071101"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21E5CFA1" w14:textId="77777777" w:rsidTr="002E5672">
        <w:trPr>
          <w:trHeight w:val="345"/>
        </w:trPr>
        <w:tc>
          <w:tcPr>
            <w:tcW w:w="2423" w:type="dxa"/>
            <w:shd w:val="clear" w:color="auto" w:fill="auto"/>
            <w:vAlign w:val="center"/>
            <w:hideMark/>
          </w:tcPr>
          <w:p w14:paraId="32012B6B"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536" w:type="dxa"/>
            <w:vAlign w:val="bottom"/>
          </w:tcPr>
          <w:p w14:paraId="71EB872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16</w:t>
            </w:r>
          </w:p>
        </w:tc>
        <w:tc>
          <w:tcPr>
            <w:tcW w:w="1081" w:type="dxa"/>
            <w:vAlign w:val="bottom"/>
          </w:tcPr>
          <w:p w14:paraId="73ADCB58"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6D5EF4D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bottom"/>
          </w:tcPr>
          <w:p w14:paraId="6EE4B2E6"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417</w:t>
            </w:r>
          </w:p>
        </w:tc>
        <w:tc>
          <w:tcPr>
            <w:tcW w:w="1273" w:type="dxa"/>
            <w:vAlign w:val="bottom"/>
          </w:tcPr>
          <w:p w14:paraId="56B0220E"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1.040</w:t>
            </w:r>
          </w:p>
        </w:tc>
        <w:tc>
          <w:tcPr>
            <w:tcW w:w="1219" w:type="dxa"/>
            <w:shd w:val="clear" w:color="auto" w:fill="auto"/>
            <w:vAlign w:val="bottom"/>
          </w:tcPr>
          <w:p w14:paraId="3E1760B5"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4C579FC" w14:textId="77777777" w:rsidTr="002E5672">
        <w:trPr>
          <w:trHeight w:val="345"/>
        </w:trPr>
        <w:tc>
          <w:tcPr>
            <w:tcW w:w="2423" w:type="dxa"/>
            <w:shd w:val="clear" w:color="auto" w:fill="auto"/>
            <w:vAlign w:val="center"/>
            <w:hideMark/>
          </w:tcPr>
          <w:p w14:paraId="085B1F18"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536" w:type="dxa"/>
            <w:vAlign w:val="bottom"/>
          </w:tcPr>
          <w:p w14:paraId="2AC499C3"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9.597</w:t>
            </w:r>
          </w:p>
        </w:tc>
        <w:tc>
          <w:tcPr>
            <w:tcW w:w="1081" w:type="dxa"/>
            <w:vAlign w:val="bottom"/>
          </w:tcPr>
          <w:p w14:paraId="534B909A"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14F737B8"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749</w:t>
            </w:r>
          </w:p>
        </w:tc>
        <w:tc>
          <w:tcPr>
            <w:tcW w:w="1188" w:type="dxa"/>
            <w:shd w:val="clear" w:color="auto" w:fill="auto"/>
            <w:vAlign w:val="bottom"/>
          </w:tcPr>
          <w:p w14:paraId="6B21442A"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2.789</w:t>
            </w:r>
          </w:p>
        </w:tc>
        <w:tc>
          <w:tcPr>
            <w:tcW w:w="1273" w:type="dxa"/>
            <w:vAlign w:val="bottom"/>
          </w:tcPr>
          <w:p w14:paraId="7640F38B"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50.279</w:t>
            </w:r>
          </w:p>
        </w:tc>
        <w:tc>
          <w:tcPr>
            <w:tcW w:w="1219" w:type="dxa"/>
            <w:shd w:val="clear" w:color="auto" w:fill="auto"/>
            <w:vAlign w:val="bottom"/>
          </w:tcPr>
          <w:p w14:paraId="34CC181A"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FB7F4F7" w14:textId="77777777" w:rsidTr="002E5672">
        <w:trPr>
          <w:trHeight w:val="345"/>
        </w:trPr>
        <w:tc>
          <w:tcPr>
            <w:tcW w:w="2423" w:type="dxa"/>
            <w:shd w:val="clear" w:color="auto" w:fill="auto"/>
            <w:vAlign w:val="center"/>
            <w:hideMark/>
          </w:tcPr>
          <w:p w14:paraId="76E57888"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536" w:type="dxa"/>
            <w:vAlign w:val="bottom"/>
          </w:tcPr>
          <w:p w14:paraId="5C4DFE41"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73.030</w:t>
            </w:r>
          </w:p>
        </w:tc>
        <w:tc>
          <w:tcPr>
            <w:tcW w:w="1081" w:type="dxa"/>
            <w:vAlign w:val="bottom"/>
          </w:tcPr>
          <w:p w14:paraId="371FDF67"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5CCA3973"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bottom"/>
          </w:tcPr>
          <w:p w14:paraId="550AD21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644</w:t>
            </w:r>
          </w:p>
        </w:tc>
        <w:tc>
          <w:tcPr>
            <w:tcW w:w="1273" w:type="dxa"/>
            <w:vAlign w:val="bottom"/>
          </w:tcPr>
          <w:p w14:paraId="1B2B5424"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bottom"/>
          </w:tcPr>
          <w:p w14:paraId="6847A5FE"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E3D9FF3" w14:textId="77777777" w:rsidTr="002E5672">
        <w:trPr>
          <w:trHeight w:val="353"/>
        </w:trPr>
        <w:tc>
          <w:tcPr>
            <w:tcW w:w="2423" w:type="dxa"/>
            <w:shd w:val="clear" w:color="auto" w:fill="auto"/>
            <w:vAlign w:val="center"/>
            <w:hideMark/>
          </w:tcPr>
          <w:p w14:paraId="6F3D6C96" w14:textId="77777777" w:rsidR="0010654A" w:rsidRPr="00701F32" w:rsidRDefault="0010654A" w:rsidP="002E5672">
            <w:pPr>
              <w:spacing w:after="160" w:line="259" w:lineRule="auto"/>
              <w:ind w:left="234" w:hanging="22"/>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536" w:type="dxa"/>
            <w:vAlign w:val="bottom"/>
          </w:tcPr>
          <w:p w14:paraId="227BB3E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bottom"/>
          </w:tcPr>
          <w:p w14:paraId="7EB24144"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177EDA6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1.910</w:t>
            </w:r>
          </w:p>
        </w:tc>
        <w:tc>
          <w:tcPr>
            <w:tcW w:w="1188" w:type="dxa"/>
            <w:shd w:val="clear" w:color="auto" w:fill="auto"/>
            <w:vAlign w:val="bottom"/>
          </w:tcPr>
          <w:p w14:paraId="788E1981"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204</w:t>
            </w:r>
          </w:p>
        </w:tc>
        <w:tc>
          <w:tcPr>
            <w:tcW w:w="1273" w:type="dxa"/>
            <w:vAlign w:val="bottom"/>
          </w:tcPr>
          <w:p w14:paraId="7E755382"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bottom"/>
          </w:tcPr>
          <w:p w14:paraId="7611A6E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19CDD86" w14:textId="77777777" w:rsidTr="002E5672">
        <w:trPr>
          <w:trHeight w:val="345"/>
        </w:trPr>
        <w:tc>
          <w:tcPr>
            <w:tcW w:w="2423" w:type="dxa"/>
            <w:shd w:val="clear" w:color="auto" w:fill="auto"/>
            <w:vAlign w:val="center"/>
          </w:tcPr>
          <w:p w14:paraId="3D2DFCA0" w14:textId="77777777" w:rsidR="0010654A" w:rsidRPr="00701F32" w:rsidRDefault="0010654A" w:rsidP="002E5672">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536" w:type="dxa"/>
            <w:vAlign w:val="bottom"/>
          </w:tcPr>
          <w:p w14:paraId="28416DA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bottom"/>
          </w:tcPr>
          <w:p w14:paraId="711960B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75A0F2C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88" w:type="dxa"/>
            <w:shd w:val="clear" w:color="auto" w:fill="auto"/>
            <w:vAlign w:val="bottom"/>
          </w:tcPr>
          <w:p w14:paraId="3A8F6888"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vAlign w:val="bottom"/>
          </w:tcPr>
          <w:p w14:paraId="2AA9FCF4"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19" w:type="dxa"/>
            <w:shd w:val="clear" w:color="auto" w:fill="auto"/>
            <w:vAlign w:val="bottom"/>
          </w:tcPr>
          <w:p w14:paraId="5659E46C"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702384F" w14:textId="77777777" w:rsidTr="002E5672">
        <w:trPr>
          <w:trHeight w:val="345"/>
        </w:trPr>
        <w:tc>
          <w:tcPr>
            <w:tcW w:w="2423" w:type="dxa"/>
            <w:shd w:val="clear" w:color="auto" w:fill="auto"/>
            <w:vAlign w:val="center"/>
          </w:tcPr>
          <w:p w14:paraId="09EB32CD" w14:textId="77777777" w:rsidR="0010654A" w:rsidRPr="00701F32" w:rsidRDefault="0010654A" w:rsidP="002E5672">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536" w:type="dxa"/>
            <w:vAlign w:val="bottom"/>
          </w:tcPr>
          <w:p w14:paraId="1F08A323"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081" w:type="dxa"/>
            <w:vAlign w:val="bottom"/>
          </w:tcPr>
          <w:p w14:paraId="29674631"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shd w:val="clear" w:color="auto" w:fill="auto"/>
            <w:vAlign w:val="bottom"/>
          </w:tcPr>
          <w:p w14:paraId="79FC7C6C"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188" w:type="dxa"/>
            <w:shd w:val="clear" w:color="auto" w:fill="auto"/>
            <w:vAlign w:val="bottom"/>
          </w:tcPr>
          <w:p w14:paraId="663E2508"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vAlign w:val="bottom"/>
          </w:tcPr>
          <w:p w14:paraId="791F9006"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19" w:type="dxa"/>
            <w:shd w:val="clear" w:color="auto" w:fill="auto"/>
            <w:vAlign w:val="bottom"/>
          </w:tcPr>
          <w:p w14:paraId="4AE53A81"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0B89A00E" w14:textId="77777777" w:rsidTr="002E5672">
        <w:trPr>
          <w:trHeight w:val="345"/>
        </w:trPr>
        <w:tc>
          <w:tcPr>
            <w:tcW w:w="2423" w:type="dxa"/>
            <w:shd w:val="clear" w:color="auto" w:fill="auto"/>
            <w:vAlign w:val="center"/>
          </w:tcPr>
          <w:p w14:paraId="0B37198D" w14:textId="77777777" w:rsidR="0010654A" w:rsidRPr="00701F32" w:rsidRDefault="0010654A" w:rsidP="002E5672">
            <w:pPr>
              <w:spacing w:after="160" w:line="259" w:lineRule="auto"/>
              <w:ind w:left="234" w:hanging="22"/>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536" w:type="dxa"/>
            <w:vAlign w:val="bottom"/>
          </w:tcPr>
          <w:p w14:paraId="5BDBEA72"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081" w:type="dxa"/>
            <w:vAlign w:val="bottom"/>
          </w:tcPr>
          <w:p w14:paraId="1EBE0869"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shd w:val="clear" w:color="auto" w:fill="auto"/>
            <w:vAlign w:val="bottom"/>
          </w:tcPr>
          <w:p w14:paraId="7B555452"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188" w:type="dxa"/>
            <w:shd w:val="clear" w:color="auto" w:fill="auto"/>
            <w:vAlign w:val="bottom"/>
          </w:tcPr>
          <w:p w14:paraId="1390C620"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73" w:type="dxa"/>
            <w:vAlign w:val="bottom"/>
          </w:tcPr>
          <w:p w14:paraId="340D88AD"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c>
          <w:tcPr>
            <w:tcW w:w="1219" w:type="dxa"/>
            <w:shd w:val="clear" w:color="auto" w:fill="auto"/>
            <w:vAlign w:val="bottom"/>
          </w:tcPr>
          <w:p w14:paraId="06412087" w14:textId="77777777" w:rsidR="0010654A" w:rsidRPr="00701F32" w:rsidRDefault="0010654A" w:rsidP="002E5672">
            <w:pPr>
              <w:spacing w:after="160" w:line="259" w:lineRule="auto"/>
              <w:ind w:left="234" w:hanging="22"/>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2BF4AAC3" w14:textId="77777777" w:rsidTr="002E5672">
        <w:trPr>
          <w:trHeight w:val="345"/>
        </w:trPr>
        <w:tc>
          <w:tcPr>
            <w:tcW w:w="2423" w:type="dxa"/>
            <w:shd w:val="clear" w:color="auto" w:fill="auto"/>
            <w:vAlign w:val="center"/>
            <w:hideMark/>
          </w:tcPr>
          <w:p w14:paraId="39CDF7BA" w14:textId="77777777" w:rsidR="0010654A" w:rsidRPr="00701F32" w:rsidRDefault="0010654A" w:rsidP="002E5672">
            <w:pPr>
              <w:spacing w:after="160" w:line="259" w:lineRule="auto"/>
              <w:ind w:left="234" w:hanging="22"/>
              <w:jc w:val="center"/>
              <w:rPr>
                <w:rFonts w:ascii="Arial" w:eastAsia="Calibri" w:hAnsi="Arial" w:cs="Arial"/>
                <w:color w:val="000000"/>
                <w:sz w:val="16"/>
                <w:lang w:eastAsia="es-AR"/>
              </w:rPr>
            </w:pPr>
            <w:r w:rsidRPr="00701F32">
              <w:rPr>
                <w:rFonts w:ascii="Arial" w:eastAsia="Calibri" w:hAnsi="Arial" w:cs="Arial"/>
                <w:color w:val="000000"/>
                <w:sz w:val="16"/>
              </w:rPr>
              <w:t>Grupo Supervielle S.A.</w:t>
            </w:r>
          </w:p>
        </w:tc>
        <w:tc>
          <w:tcPr>
            <w:tcW w:w="1536" w:type="dxa"/>
            <w:vAlign w:val="bottom"/>
          </w:tcPr>
          <w:p w14:paraId="2DA56EB7"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81" w:type="dxa"/>
            <w:vAlign w:val="bottom"/>
          </w:tcPr>
          <w:p w14:paraId="3E953BA5"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shd w:val="clear" w:color="auto" w:fill="auto"/>
            <w:vAlign w:val="bottom"/>
          </w:tcPr>
          <w:p w14:paraId="7E1E089F"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273</w:t>
            </w:r>
          </w:p>
        </w:tc>
        <w:tc>
          <w:tcPr>
            <w:tcW w:w="1188" w:type="dxa"/>
            <w:shd w:val="clear" w:color="auto" w:fill="auto"/>
            <w:vAlign w:val="bottom"/>
          </w:tcPr>
          <w:p w14:paraId="613DBA3D"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3" w:type="dxa"/>
            <w:vAlign w:val="bottom"/>
          </w:tcPr>
          <w:p w14:paraId="181EA761"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4.858</w:t>
            </w:r>
          </w:p>
        </w:tc>
        <w:tc>
          <w:tcPr>
            <w:tcW w:w="1219" w:type="dxa"/>
            <w:shd w:val="clear" w:color="auto" w:fill="auto"/>
            <w:vAlign w:val="bottom"/>
          </w:tcPr>
          <w:p w14:paraId="6B07F952" w14:textId="77777777" w:rsidR="0010654A" w:rsidRPr="00701F32" w:rsidRDefault="0010654A" w:rsidP="002E5672">
            <w:pPr>
              <w:spacing w:after="160" w:line="259" w:lineRule="auto"/>
              <w:ind w:left="234" w:hanging="22"/>
              <w:jc w:val="right"/>
              <w:rPr>
                <w:rFonts w:ascii="Arial" w:eastAsia="Calibri" w:hAnsi="Arial" w:cs="Arial"/>
                <w:color w:val="000000"/>
                <w:sz w:val="16"/>
                <w:lang w:val="es-ES_tradnl"/>
              </w:rPr>
            </w:pPr>
            <w:r w:rsidRPr="00701F32">
              <w:rPr>
                <w:rFonts w:ascii="Arial" w:eastAsia="Calibri" w:hAnsi="Arial" w:cs="Arial"/>
                <w:color w:val="000000"/>
                <w:sz w:val="16"/>
              </w:rPr>
              <w:t>4.199.607</w:t>
            </w:r>
          </w:p>
        </w:tc>
      </w:tr>
      <w:tr w:rsidR="0010654A" w:rsidRPr="00701F32" w14:paraId="558081C0" w14:textId="77777777" w:rsidTr="002E5672">
        <w:trPr>
          <w:trHeight w:val="282"/>
        </w:trPr>
        <w:tc>
          <w:tcPr>
            <w:tcW w:w="2423" w:type="dxa"/>
            <w:shd w:val="clear" w:color="auto" w:fill="auto"/>
            <w:vAlign w:val="center"/>
            <w:hideMark/>
          </w:tcPr>
          <w:p w14:paraId="6447CAF0" w14:textId="77777777" w:rsidR="0010654A" w:rsidRPr="00701F32" w:rsidRDefault="0010654A" w:rsidP="002E5672">
            <w:pPr>
              <w:spacing w:after="160" w:line="259" w:lineRule="auto"/>
              <w:ind w:left="234" w:hanging="22"/>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536" w:type="dxa"/>
            <w:vAlign w:val="bottom"/>
          </w:tcPr>
          <w:p w14:paraId="314139B2"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1.886.088</w:t>
            </w:r>
          </w:p>
        </w:tc>
        <w:tc>
          <w:tcPr>
            <w:tcW w:w="1081" w:type="dxa"/>
            <w:vAlign w:val="bottom"/>
          </w:tcPr>
          <w:p w14:paraId="2E4F39B5"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w:t>
            </w:r>
          </w:p>
        </w:tc>
        <w:tc>
          <w:tcPr>
            <w:tcW w:w="1273" w:type="dxa"/>
            <w:shd w:val="clear" w:color="auto" w:fill="auto"/>
            <w:vAlign w:val="bottom"/>
          </w:tcPr>
          <w:p w14:paraId="306598A4"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2.932</w:t>
            </w:r>
          </w:p>
        </w:tc>
        <w:tc>
          <w:tcPr>
            <w:tcW w:w="1188" w:type="dxa"/>
            <w:shd w:val="clear" w:color="auto" w:fill="auto"/>
            <w:vAlign w:val="bottom"/>
          </w:tcPr>
          <w:p w14:paraId="449D94C8"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8.481</w:t>
            </w:r>
          </w:p>
        </w:tc>
        <w:tc>
          <w:tcPr>
            <w:tcW w:w="1273" w:type="dxa"/>
            <w:vAlign w:val="bottom"/>
          </w:tcPr>
          <w:p w14:paraId="6C61A840"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97.870</w:t>
            </w:r>
          </w:p>
        </w:tc>
        <w:tc>
          <w:tcPr>
            <w:tcW w:w="1219" w:type="dxa"/>
            <w:shd w:val="clear" w:color="auto" w:fill="auto"/>
            <w:vAlign w:val="bottom"/>
          </w:tcPr>
          <w:p w14:paraId="79809928" w14:textId="77777777" w:rsidR="0010654A" w:rsidRPr="00701F32" w:rsidRDefault="0010654A" w:rsidP="002E5672">
            <w:pPr>
              <w:spacing w:after="160" w:line="259" w:lineRule="auto"/>
              <w:ind w:left="234" w:hanging="22"/>
              <w:jc w:val="right"/>
              <w:rPr>
                <w:rFonts w:ascii="Arial" w:eastAsia="Calibri" w:hAnsi="Arial" w:cs="Arial"/>
                <w:b/>
                <w:bCs/>
                <w:color w:val="000000"/>
                <w:sz w:val="16"/>
                <w:lang w:val="es-ES_tradnl"/>
              </w:rPr>
            </w:pPr>
            <w:r w:rsidRPr="00701F32">
              <w:rPr>
                <w:rFonts w:ascii="Arial" w:eastAsia="Calibri" w:hAnsi="Arial" w:cs="Arial"/>
                <w:b/>
                <w:bCs/>
                <w:color w:val="000000"/>
                <w:sz w:val="16"/>
              </w:rPr>
              <w:t>4.239.702</w:t>
            </w:r>
          </w:p>
        </w:tc>
      </w:tr>
    </w:tbl>
    <w:p w14:paraId="3DFE8415" w14:textId="77777777" w:rsidR="0010654A" w:rsidRPr="00701F32" w:rsidRDefault="0010654A" w:rsidP="0010654A">
      <w:pPr>
        <w:tabs>
          <w:tab w:val="left" w:pos="142"/>
        </w:tabs>
        <w:spacing w:after="160" w:line="259" w:lineRule="auto"/>
        <w:jc w:val="both"/>
        <w:rPr>
          <w:rFonts w:ascii="Arial" w:eastAsia="Calibri" w:hAnsi="Arial" w:cs="Arial"/>
          <w:color w:val="000000"/>
          <w:sz w:val="16"/>
        </w:rPr>
      </w:pPr>
    </w:p>
    <w:p w14:paraId="681DF198" w14:textId="77777777" w:rsidR="0010654A" w:rsidRPr="00701F32" w:rsidRDefault="0010654A" w:rsidP="0010654A">
      <w:pPr>
        <w:rPr>
          <w:rFonts w:ascii="Arial" w:eastAsia="Calibri" w:hAnsi="Arial" w:cs="Arial"/>
          <w:color w:val="000000"/>
          <w:sz w:val="20"/>
        </w:rPr>
      </w:pPr>
    </w:p>
    <w:p w14:paraId="5905E103" w14:textId="77777777" w:rsidR="002C3A48" w:rsidRPr="00701F32" w:rsidRDefault="002C3A48" w:rsidP="0010654A">
      <w:pPr>
        <w:rPr>
          <w:rFonts w:ascii="Arial" w:eastAsia="Calibri" w:hAnsi="Arial" w:cs="Arial"/>
          <w:color w:val="000000"/>
          <w:sz w:val="20"/>
        </w:rPr>
      </w:pPr>
    </w:p>
    <w:tbl>
      <w:tblPr>
        <w:tblW w:w="98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748"/>
        <w:gridCol w:w="1807"/>
        <w:gridCol w:w="1053"/>
        <w:gridCol w:w="1355"/>
        <w:gridCol w:w="1204"/>
        <w:gridCol w:w="1355"/>
        <w:gridCol w:w="1362"/>
      </w:tblGrid>
      <w:tr w:rsidR="0010654A" w:rsidRPr="00701F32" w14:paraId="3E6CE7E0" w14:textId="77777777" w:rsidTr="00E311C9">
        <w:trPr>
          <w:trHeight w:val="502"/>
          <w:tblHeader/>
          <w:jc w:val="center"/>
        </w:trPr>
        <w:tc>
          <w:tcPr>
            <w:tcW w:w="1748" w:type="dxa"/>
            <w:vMerge w:val="restart"/>
            <w:shd w:val="clear" w:color="auto" w:fill="auto"/>
            <w:vAlign w:val="center"/>
            <w:hideMark/>
          </w:tcPr>
          <w:p w14:paraId="5FCA377F"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Sociedades</w:t>
            </w:r>
          </w:p>
        </w:tc>
        <w:tc>
          <w:tcPr>
            <w:tcW w:w="8136" w:type="dxa"/>
            <w:gridSpan w:val="6"/>
            <w:vAlign w:val="center"/>
          </w:tcPr>
          <w:p w14:paraId="6BBFF6D3" w14:textId="77777777" w:rsidR="0010654A" w:rsidRPr="00701F32" w:rsidRDefault="0010654A" w:rsidP="002E5672">
            <w:pPr>
              <w:spacing w:before="240"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01/01/2017</w:t>
            </w:r>
          </w:p>
        </w:tc>
      </w:tr>
      <w:tr w:rsidR="0010654A" w:rsidRPr="00701F32" w14:paraId="49526D80" w14:textId="77777777" w:rsidTr="00E311C9">
        <w:trPr>
          <w:trHeight w:val="502"/>
          <w:tblHeader/>
          <w:jc w:val="center"/>
        </w:trPr>
        <w:tc>
          <w:tcPr>
            <w:tcW w:w="1748" w:type="dxa"/>
            <w:vMerge/>
            <w:shd w:val="clear" w:color="auto" w:fill="auto"/>
            <w:vAlign w:val="bottom"/>
            <w:hideMark/>
          </w:tcPr>
          <w:p w14:paraId="73085384" w14:textId="77777777" w:rsidR="0010654A" w:rsidRPr="00701F32" w:rsidRDefault="0010654A" w:rsidP="002E5672">
            <w:pPr>
              <w:spacing w:after="160" w:line="259" w:lineRule="auto"/>
              <w:jc w:val="center"/>
              <w:rPr>
                <w:rFonts w:ascii="Arial" w:eastAsia="Calibri" w:hAnsi="Arial" w:cs="Arial"/>
                <w:color w:val="000000"/>
                <w:sz w:val="16"/>
              </w:rPr>
            </w:pPr>
          </w:p>
        </w:tc>
        <w:tc>
          <w:tcPr>
            <w:tcW w:w="1807" w:type="dxa"/>
            <w:vAlign w:val="center"/>
          </w:tcPr>
          <w:p w14:paraId="2178D24F"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Préstamos y Otras Financiaciones</w:t>
            </w:r>
          </w:p>
        </w:tc>
        <w:tc>
          <w:tcPr>
            <w:tcW w:w="1053" w:type="dxa"/>
            <w:vAlign w:val="center"/>
          </w:tcPr>
          <w:p w14:paraId="3328F525"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Títulos de Deuda</w:t>
            </w:r>
          </w:p>
        </w:tc>
        <w:tc>
          <w:tcPr>
            <w:tcW w:w="1355" w:type="dxa"/>
            <w:shd w:val="clear" w:color="auto" w:fill="auto"/>
            <w:vAlign w:val="center"/>
          </w:tcPr>
          <w:p w14:paraId="45515B1E"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Activos Financieros</w:t>
            </w:r>
          </w:p>
        </w:tc>
        <w:tc>
          <w:tcPr>
            <w:tcW w:w="1204" w:type="dxa"/>
            <w:shd w:val="clear" w:color="auto" w:fill="auto"/>
            <w:vAlign w:val="center"/>
          </w:tcPr>
          <w:p w14:paraId="5D215D19"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Depósitos</w:t>
            </w:r>
          </w:p>
        </w:tc>
        <w:tc>
          <w:tcPr>
            <w:tcW w:w="1355" w:type="dxa"/>
            <w:vAlign w:val="center"/>
          </w:tcPr>
          <w:p w14:paraId="63FD61B2"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Otros Pasivos no Financieros</w:t>
            </w:r>
          </w:p>
        </w:tc>
        <w:tc>
          <w:tcPr>
            <w:tcW w:w="1362" w:type="dxa"/>
            <w:shd w:val="clear" w:color="auto" w:fill="auto"/>
            <w:vAlign w:val="center"/>
          </w:tcPr>
          <w:p w14:paraId="0A99CCCC"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lang w:eastAsia="es-AR"/>
              </w:rPr>
              <w:t>Pasivos a valor razonable con cambios en Rdos</w:t>
            </w:r>
          </w:p>
        </w:tc>
      </w:tr>
      <w:tr w:rsidR="0010654A" w:rsidRPr="00701F32" w14:paraId="4CAA44FC" w14:textId="77777777" w:rsidTr="00E311C9">
        <w:trPr>
          <w:trHeight w:val="502"/>
          <w:jc w:val="center"/>
        </w:trPr>
        <w:tc>
          <w:tcPr>
            <w:tcW w:w="1748" w:type="dxa"/>
            <w:shd w:val="clear" w:color="auto" w:fill="auto"/>
            <w:vAlign w:val="center"/>
            <w:hideMark/>
          </w:tcPr>
          <w:p w14:paraId="7A3F9499"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Cordial Cía. Financiera S.A.</w:t>
            </w:r>
          </w:p>
        </w:tc>
        <w:tc>
          <w:tcPr>
            <w:tcW w:w="1807" w:type="dxa"/>
            <w:shd w:val="clear" w:color="auto" w:fill="auto"/>
            <w:vAlign w:val="bottom"/>
          </w:tcPr>
          <w:p w14:paraId="7434AE4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1.397.682</w:t>
            </w:r>
          </w:p>
        </w:tc>
        <w:tc>
          <w:tcPr>
            <w:tcW w:w="1053" w:type="dxa"/>
            <w:vAlign w:val="bottom"/>
          </w:tcPr>
          <w:p w14:paraId="240E23C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7.389</w:t>
            </w:r>
          </w:p>
        </w:tc>
        <w:tc>
          <w:tcPr>
            <w:tcW w:w="1355" w:type="dxa"/>
            <w:vAlign w:val="bottom"/>
          </w:tcPr>
          <w:p w14:paraId="4D7F17E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146</w:t>
            </w:r>
          </w:p>
        </w:tc>
        <w:tc>
          <w:tcPr>
            <w:tcW w:w="1204" w:type="dxa"/>
            <w:shd w:val="clear" w:color="auto" w:fill="auto"/>
            <w:vAlign w:val="bottom"/>
          </w:tcPr>
          <w:p w14:paraId="1FC4E2D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7.080</w:t>
            </w:r>
          </w:p>
        </w:tc>
        <w:tc>
          <w:tcPr>
            <w:tcW w:w="1355" w:type="dxa"/>
            <w:vAlign w:val="bottom"/>
          </w:tcPr>
          <w:p w14:paraId="5F40325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91.116</w:t>
            </w:r>
          </w:p>
        </w:tc>
        <w:tc>
          <w:tcPr>
            <w:tcW w:w="1362" w:type="dxa"/>
            <w:shd w:val="clear" w:color="auto" w:fill="auto"/>
            <w:vAlign w:val="bottom"/>
          </w:tcPr>
          <w:p w14:paraId="3CD82FB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3A5E9A9A" w14:textId="77777777" w:rsidTr="00E311C9">
        <w:trPr>
          <w:trHeight w:val="376"/>
          <w:jc w:val="center"/>
        </w:trPr>
        <w:tc>
          <w:tcPr>
            <w:tcW w:w="1748" w:type="dxa"/>
            <w:shd w:val="clear" w:color="auto" w:fill="auto"/>
            <w:vAlign w:val="center"/>
            <w:hideMark/>
          </w:tcPr>
          <w:p w14:paraId="3B254D6A"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Sofital S.A.F. e I.I.</w:t>
            </w:r>
          </w:p>
        </w:tc>
        <w:tc>
          <w:tcPr>
            <w:tcW w:w="1807" w:type="dxa"/>
            <w:shd w:val="clear" w:color="auto" w:fill="auto"/>
            <w:vAlign w:val="bottom"/>
          </w:tcPr>
          <w:p w14:paraId="2117BB7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53" w:type="dxa"/>
            <w:vAlign w:val="bottom"/>
          </w:tcPr>
          <w:p w14:paraId="26809E6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2F498FC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04" w:type="dxa"/>
            <w:shd w:val="clear" w:color="auto" w:fill="auto"/>
            <w:vAlign w:val="bottom"/>
          </w:tcPr>
          <w:p w14:paraId="341DFEF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18</w:t>
            </w:r>
          </w:p>
        </w:tc>
        <w:tc>
          <w:tcPr>
            <w:tcW w:w="1355" w:type="dxa"/>
            <w:vAlign w:val="bottom"/>
          </w:tcPr>
          <w:p w14:paraId="7DCB279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2" w:type="dxa"/>
            <w:shd w:val="clear" w:color="auto" w:fill="auto"/>
            <w:vAlign w:val="bottom"/>
          </w:tcPr>
          <w:p w14:paraId="75BBA2B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44CEAF9" w14:textId="77777777" w:rsidTr="00E311C9">
        <w:trPr>
          <w:trHeight w:val="484"/>
          <w:jc w:val="center"/>
        </w:trPr>
        <w:tc>
          <w:tcPr>
            <w:tcW w:w="1748" w:type="dxa"/>
            <w:shd w:val="clear" w:color="auto" w:fill="auto"/>
            <w:vAlign w:val="center"/>
            <w:hideMark/>
          </w:tcPr>
          <w:p w14:paraId="5A5DE87A"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Espacio Cordial de Servicios SA</w:t>
            </w:r>
          </w:p>
        </w:tc>
        <w:tc>
          <w:tcPr>
            <w:tcW w:w="1807" w:type="dxa"/>
            <w:shd w:val="clear" w:color="auto" w:fill="auto"/>
            <w:vAlign w:val="bottom"/>
          </w:tcPr>
          <w:p w14:paraId="5FAC64B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41.261</w:t>
            </w:r>
          </w:p>
        </w:tc>
        <w:tc>
          <w:tcPr>
            <w:tcW w:w="1053" w:type="dxa"/>
            <w:vAlign w:val="bottom"/>
          </w:tcPr>
          <w:p w14:paraId="739FA20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4E16FA0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306</w:t>
            </w:r>
          </w:p>
        </w:tc>
        <w:tc>
          <w:tcPr>
            <w:tcW w:w="1204" w:type="dxa"/>
            <w:shd w:val="clear" w:color="auto" w:fill="auto"/>
            <w:vAlign w:val="bottom"/>
          </w:tcPr>
          <w:p w14:paraId="6283779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4.992</w:t>
            </w:r>
          </w:p>
        </w:tc>
        <w:tc>
          <w:tcPr>
            <w:tcW w:w="1355" w:type="dxa"/>
            <w:vAlign w:val="bottom"/>
          </w:tcPr>
          <w:p w14:paraId="68900F3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2.233</w:t>
            </w:r>
          </w:p>
        </w:tc>
        <w:tc>
          <w:tcPr>
            <w:tcW w:w="1362" w:type="dxa"/>
            <w:shd w:val="clear" w:color="auto" w:fill="auto"/>
            <w:vAlign w:val="bottom"/>
          </w:tcPr>
          <w:p w14:paraId="79A544C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4C0E188D" w14:textId="77777777" w:rsidTr="00E311C9">
        <w:trPr>
          <w:trHeight w:val="484"/>
          <w:jc w:val="center"/>
        </w:trPr>
        <w:tc>
          <w:tcPr>
            <w:tcW w:w="1748" w:type="dxa"/>
            <w:shd w:val="clear" w:color="auto" w:fill="auto"/>
            <w:vAlign w:val="center"/>
            <w:hideMark/>
          </w:tcPr>
          <w:p w14:paraId="25DF3A62"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Supervielle Seguros S.A.</w:t>
            </w:r>
          </w:p>
        </w:tc>
        <w:tc>
          <w:tcPr>
            <w:tcW w:w="1807" w:type="dxa"/>
            <w:shd w:val="clear" w:color="auto" w:fill="auto"/>
            <w:vAlign w:val="bottom"/>
          </w:tcPr>
          <w:p w14:paraId="7FCF98F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3.761</w:t>
            </w:r>
          </w:p>
        </w:tc>
        <w:tc>
          <w:tcPr>
            <w:tcW w:w="1053" w:type="dxa"/>
            <w:vAlign w:val="bottom"/>
          </w:tcPr>
          <w:p w14:paraId="5A2C33F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6CD35F4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2.500</w:t>
            </w:r>
          </w:p>
        </w:tc>
        <w:tc>
          <w:tcPr>
            <w:tcW w:w="1204" w:type="dxa"/>
            <w:shd w:val="clear" w:color="auto" w:fill="auto"/>
            <w:vAlign w:val="bottom"/>
          </w:tcPr>
          <w:p w14:paraId="03FB15F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3.650</w:t>
            </w:r>
          </w:p>
        </w:tc>
        <w:tc>
          <w:tcPr>
            <w:tcW w:w="1355" w:type="dxa"/>
            <w:vAlign w:val="bottom"/>
          </w:tcPr>
          <w:p w14:paraId="528753A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62.579</w:t>
            </w:r>
          </w:p>
        </w:tc>
        <w:tc>
          <w:tcPr>
            <w:tcW w:w="1362" w:type="dxa"/>
            <w:shd w:val="clear" w:color="auto" w:fill="auto"/>
            <w:vAlign w:val="bottom"/>
          </w:tcPr>
          <w:p w14:paraId="2CA188E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4A55247" w14:textId="77777777" w:rsidTr="00E311C9">
        <w:trPr>
          <w:trHeight w:val="484"/>
          <w:jc w:val="center"/>
        </w:trPr>
        <w:tc>
          <w:tcPr>
            <w:tcW w:w="1748" w:type="dxa"/>
            <w:shd w:val="clear" w:color="auto" w:fill="auto"/>
            <w:vAlign w:val="center"/>
            <w:hideMark/>
          </w:tcPr>
          <w:p w14:paraId="53D0C51E"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Cordial Microfinanzas S.A.</w:t>
            </w:r>
          </w:p>
        </w:tc>
        <w:tc>
          <w:tcPr>
            <w:tcW w:w="1807" w:type="dxa"/>
            <w:shd w:val="clear" w:color="auto" w:fill="auto"/>
            <w:vAlign w:val="bottom"/>
          </w:tcPr>
          <w:p w14:paraId="0B26FF5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46.965</w:t>
            </w:r>
          </w:p>
        </w:tc>
        <w:tc>
          <w:tcPr>
            <w:tcW w:w="1053" w:type="dxa"/>
            <w:vAlign w:val="bottom"/>
          </w:tcPr>
          <w:p w14:paraId="721DA41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762CBBC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377</w:t>
            </w:r>
          </w:p>
        </w:tc>
        <w:tc>
          <w:tcPr>
            <w:tcW w:w="1204" w:type="dxa"/>
            <w:shd w:val="clear" w:color="auto" w:fill="auto"/>
            <w:vAlign w:val="bottom"/>
          </w:tcPr>
          <w:p w14:paraId="2D2CAEC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w:t>
            </w:r>
          </w:p>
        </w:tc>
        <w:tc>
          <w:tcPr>
            <w:tcW w:w="1355" w:type="dxa"/>
            <w:vAlign w:val="bottom"/>
          </w:tcPr>
          <w:p w14:paraId="2639573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2" w:type="dxa"/>
            <w:shd w:val="clear" w:color="auto" w:fill="auto"/>
            <w:vAlign w:val="bottom"/>
          </w:tcPr>
          <w:p w14:paraId="00D3B3C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37BF8F07" w14:textId="77777777" w:rsidTr="00E311C9">
        <w:trPr>
          <w:trHeight w:val="484"/>
          <w:jc w:val="center"/>
        </w:trPr>
        <w:tc>
          <w:tcPr>
            <w:tcW w:w="1748" w:type="dxa"/>
            <w:shd w:val="clear" w:color="auto" w:fill="auto"/>
            <w:vAlign w:val="center"/>
            <w:hideMark/>
          </w:tcPr>
          <w:p w14:paraId="65525E56"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Tarjeta Automática S.A.</w:t>
            </w:r>
          </w:p>
        </w:tc>
        <w:tc>
          <w:tcPr>
            <w:tcW w:w="1807" w:type="dxa"/>
            <w:shd w:val="clear" w:color="auto" w:fill="auto"/>
            <w:vAlign w:val="bottom"/>
          </w:tcPr>
          <w:p w14:paraId="23F9E7C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2.588</w:t>
            </w:r>
          </w:p>
        </w:tc>
        <w:tc>
          <w:tcPr>
            <w:tcW w:w="1053" w:type="dxa"/>
            <w:vAlign w:val="bottom"/>
          </w:tcPr>
          <w:p w14:paraId="453E862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0AAD687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w:t>
            </w:r>
          </w:p>
        </w:tc>
        <w:tc>
          <w:tcPr>
            <w:tcW w:w="1204" w:type="dxa"/>
            <w:shd w:val="clear" w:color="auto" w:fill="auto"/>
            <w:vAlign w:val="bottom"/>
          </w:tcPr>
          <w:p w14:paraId="398DCFC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3.105</w:t>
            </w:r>
          </w:p>
        </w:tc>
        <w:tc>
          <w:tcPr>
            <w:tcW w:w="1355" w:type="dxa"/>
            <w:vAlign w:val="bottom"/>
          </w:tcPr>
          <w:p w14:paraId="1069261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2" w:type="dxa"/>
            <w:shd w:val="clear" w:color="auto" w:fill="auto"/>
            <w:vAlign w:val="bottom"/>
          </w:tcPr>
          <w:p w14:paraId="2CE7128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70965698" w14:textId="77777777" w:rsidTr="00E311C9">
        <w:trPr>
          <w:trHeight w:val="497"/>
          <w:jc w:val="center"/>
        </w:trPr>
        <w:tc>
          <w:tcPr>
            <w:tcW w:w="1748" w:type="dxa"/>
            <w:shd w:val="clear" w:color="auto" w:fill="auto"/>
            <w:vAlign w:val="center"/>
            <w:hideMark/>
          </w:tcPr>
          <w:p w14:paraId="4ADED749" w14:textId="77777777" w:rsidR="0010654A" w:rsidRPr="00701F32" w:rsidRDefault="0010654A" w:rsidP="002E5672">
            <w:pPr>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fr-FR"/>
              </w:rPr>
              <w:t>Supervielle Asset Management S.A.</w:t>
            </w:r>
          </w:p>
        </w:tc>
        <w:tc>
          <w:tcPr>
            <w:tcW w:w="1807" w:type="dxa"/>
            <w:shd w:val="clear" w:color="auto" w:fill="auto"/>
            <w:vAlign w:val="bottom"/>
          </w:tcPr>
          <w:p w14:paraId="61F5D9E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53" w:type="dxa"/>
            <w:vAlign w:val="bottom"/>
          </w:tcPr>
          <w:p w14:paraId="2FB4FFE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4DC944D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04" w:type="dxa"/>
            <w:shd w:val="clear" w:color="auto" w:fill="auto"/>
            <w:vAlign w:val="bottom"/>
          </w:tcPr>
          <w:p w14:paraId="3D62A76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436</w:t>
            </w:r>
          </w:p>
        </w:tc>
        <w:tc>
          <w:tcPr>
            <w:tcW w:w="1355" w:type="dxa"/>
            <w:vAlign w:val="bottom"/>
          </w:tcPr>
          <w:p w14:paraId="0CBBDB5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2" w:type="dxa"/>
            <w:shd w:val="clear" w:color="auto" w:fill="auto"/>
            <w:vAlign w:val="bottom"/>
          </w:tcPr>
          <w:p w14:paraId="1DDADE7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298BC3E" w14:textId="77777777" w:rsidTr="00E311C9">
        <w:trPr>
          <w:trHeight w:val="484"/>
          <w:jc w:val="center"/>
        </w:trPr>
        <w:tc>
          <w:tcPr>
            <w:tcW w:w="1748" w:type="dxa"/>
            <w:shd w:val="clear" w:color="auto" w:fill="auto"/>
            <w:vAlign w:val="center"/>
          </w:tcPr>
          <w:p w14:paraId="528508B8"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 S.A.</w:t>
            </w:r>
          </w:p>
        </w:tc>
        <w:tc>
          <w:tcPr>
            <w:tcW w:w="1807" w:type="dxa"/>
            <w:shd w:val="clear" w:color="auto" w:fill="auto"/>
            <w:vAlign w:val="bottom"/>
          </w:tcPr>
          <w:p w14:paraId="54AC4C4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53" w:type="dxa"/>
            <w:vAlign w:val="bottom"/>
          </w:tcPr>
          <w:p w14:paraId="70F79DB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666AE98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04" w:type="dxa"/>
            <w:shd w:val="clear" w:color="auto" w:fill="auto"/>
            <w:vAlign w:val="bottom"/>
          </w:tcPr>
          <w:p w14:paraId="2E8D846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061C811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2" w:type="dxa"/>
            <w:shd w:val="clear" w:color="auto" w:fill="auto"/>
            <w:vAlign w:val="bottom"/>
          </w:tcPr>
          <w:p w14:paraId="0E92036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2C510A7D" w14:textId="77777777" w:rsidTr="00E311C9">
        <w:trPr>
          <w:trHeight w:val="484"/>
          <w:jc w:val="center"/>
        </w:trPr>
        <w:tc>
          <w:tcPr>
            <w:tcW w:w="1748" w:type="dxa"/>
            <w:shd w:val="clear" w:color="auto" w:fill="auto"/>
            <w:vAlign w:val="center"/>
          </w:tcPr>
          <w:p w14:paraId="087A50BF"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Invertir OnLine.com Argentina S.A.</w:t>
            </w:r>
          </w:p>
        </w:tc>
        <w:tc>
          <w:tcPr>
            <w:tcW w:w="1807" w:type="dxa"/>
            <w:shd w:val="clear" w:color="auto" w:fill="auto"/>
            <w:vAlign w:val="bottom"/>
          </w:tcPr>
          <w:p w14:paraId="5778680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53" w:type="dxa"/>
            <w:vAlign w:val="bottom"/>
          </w:tcPr>
          <w:p w14:paraId="413BE109"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55" w:type="dxa"/>
            <w:vAlign w:val="bottom"/>
          </w:tcPr>
          <w:p w14:paraId="3134DFDA"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04" w:type="dxa"/>
            <w:shd w:val="clear" w:color="auto" w:fill="auto"/>
            <w:vAlign w:val="bottom"/>
          </w:tcPr>
          <w:p w14:paraId="547C6FE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55" w:type="dxa"/>
            <w:vAlign w:val="bottom"/>
          </w:tcPr>
          <w:p w14:paraId="44DDFC96"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62" w:type="dxa"/>
            <w:shd w:val="clear" w:color="auto" w:fill="auto"/>
            <w:vAlign w:val="bottom"/>
          </w:tcPr>
          <w:p w14:paraId="132FD026"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08A3CF7F" w14:textId="77777777" w:rsidTr="00E311C9">
        <w:trPr>
          <w:trHeight w:val="484"/>
          <w:jc w:val="center"/>
        </w:trPr>
        <w:tc>
          <w:tcPr>
            <w:tcW w:w="1748" w:type="dxa"/>
            <w:shd w:val="clear" w:color="auto" w:fill="auto"/>
            <w:vAlign w:val="center"/>
          </w:tcPr>
          <w:p w14:paraId="3C0C183B"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Micro Lending S.A.</w:t>
            </w:r>
          </w:p>
        </w:tc>
        <w:tc>
          <w:tcPr>
            <w:tcW w:w="1807" w:type="dxa"/>
            <w:shd w:val="clear" w:color="auto" w:fill="auto"/>
            <w:vAlign w:val="bottom"/>
          </w:tcPr>
          <w:p w14:paraId="370A597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53" w:type="dxa"/>
            <w:vAlign w:val="bottom"/>
          </w:tcPr>
          <w:p w14:paraId="2316EF64"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55" w:type="dxa"/>
            <w:vAlign w:val="bottom"/>
          </w:tcPr>
          <w:p w14:paraId="41EA9BE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04" w:type="dxa"/>
            <w:shd w:val="clear" w:color="auto" w:fill="auto"/>
            <w:vAlign w:val="bottom"/>
          </w:tcPr>
          <w:p w14:paraId="606BDF2F"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55" w:type="dxa"/>
            <w:vAlign w:val="bottom"/>
          </w:tcPr>
          <w:p w14:paraId="255DE7FD"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62" w:type="dxa"/>
            <w:shd w:val="clear" w:color="auto" w:fill="auto"/>
            <w:vAlign w:val="bottom"/>
          </w:tcPr>
          <w:p w14:paraId="1E99AD8D"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736DE0D1" w14:textId="77777777" w:rsidTr="00E311C9">
        <w:trPr>
          <w:trHeight w:val="484"/>
          <w:jc w:val="center"/>
        </w:trPr>
        <w:tc>
          <w:tcPr>
            <w:tcW w:w="1748" w:type="dxa"/>
            <w:shd w:val="clear" w:color="auto" w:fill="auto"/>
            <w:vAlign w:val="center"/>
            <w:hideMark/>
          </w:tcPr>
          <w:p w14:paraId="0F5BE360" w14:textId="77777777" w:rsidR="0010654A" w:rsidRPr="00701F32" w:rsidRDefault="0010654A" w:rsidP="002E5672">
            <w:pPr>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Grupo Supervielle S.A.</w:t>
            </w:r>
          </w:p>
        </w:tc>
        <w:tc>
          <w:tcPr>
            <w:tcW w:w="1807" w:type="dxa"/>
            <w:shd w:val="clear" w:color="auto" w:fill="auto"/>
            <w:vAlign w:val="bottom"/>
          </w:tcPr>
          <w:p w14:paraId="532EA21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53" w:type="dxa"/>
            <w:vAlign w:val="bottom"/>
          </w:tcPr>
          <w:p w14:paraId="3F0DC38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55" w:type="dxa"/>
            <w:vAlign w:val="bottom"/>
          </w:tcPr>
          <w:p w14:paraId="0E138E4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309</w:t>
            </w:r>
          </w:p>
        </w:tc>
        <w:tc>
          <w:tcPr>
            <w:tcW w:w="1204" w:type="dxa"/>
            <w:shd w:val="clear" w:color="auto" w:fill="auto"/>
            <w:vAlign w:val="bottom"/>
          </w:tcPr>
          <w:p w14:paraId="1F45168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549</w:t>
            </w:r>
          </w:p>
        </w:tc>
        <w:tc>
          <w:tcPr>
            <w:tcW w:w="1355" w:type="dxa"/>
            <w:vAlign w:val="bottom"/>
          </w:tcPr>
          <w:p w14:paraId="387DF46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8.741</w:t>
            </w:r>
          </w:p>
        </w:tc>
        <w:tc>
          <w:tcPr>
            <w:tcW w:w="1362" w:type="dxa"/>
            <w:shd w:val="clear" w:color="auto" w:fill="auto"/>
            <w:vAlign w:val="bottom"/>
          </w:tcPr>
          <w:p w14:paraId="53154E6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20E7CE30" w14:textId="77777777" w:rsidTr="00E311C9">
        <w:trPr>
          <w:trHeight w:val="395"/>
          <w:jc w:val="center"/>
        </w:trPr>
        <w:tc>
          <w:tcPr>
            <w:tcW w:w="1748" w:type="dxa"/>
            <w:shd w:val="clear" w:color="auto" w:fill="auto"/>
            <w:vAlign w:val="center"/>
            <w:hideMark/>
          </w:tcPr>
          <w:p w14:paraId="5956A77D" w14:textId="77777777" w:rsidR="0010654A" w:rsidRPr="00701F32" w:rsidRDefault="0010654A" w:rsidP="002E5672">
            <w:pPr>
              <w:spacing w:after="160" w:line="259" w:lineRule="auto"/>
              <w:jc w:val="center"/>
              <w:rPr>
                <w:rFonts w:ascii="Arial" w:eastAsia="Calibri" w:hAnsi="Arial" w:cs="Arial"/>
                <w:b/>
                <w:bCs/>
                <w:color w:val="000000"/>
                <w:sz w:val="16"/>
                <w:lang w:eastAsia="es-AR"/>
              </w:rPr>
            </w:pPr>
            <w:r w:rsidRPr="00701F32">
              <w:rPr>
                <w:rFonts w:ascii="Arial" w:eastAsia="Calibri" w:hAnsi="Arial" w:cs="Arial"/>
                <w:b/>
                <w:bCs/>
                <w:color w:val="000000"/>
                <w:sz w:val="16"/>
              </w:rPr>
              <w:t>TOTAL</w:t>
            </w:r>
          </w:p>
        </w:tc>
        <w:tc>
          <w:tcPr>
            <w:tcW w:w="1807" w:type="dxa"/>
            <w:shd w:val="clear" w:color="auto" w:fill="auto"/>
            <w:vAlign w:val="bottom"/>
          </w:tcPr>
          <w:p w14:paraId="6C644019"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1.492.257</w:t>
            </w:r>
          </w:p>
        </w:tc>
        <w:tc>
          <w:tcPr>
            <w:tcW w:w="1053" w:type="dxa"/>
            <w:vAlign w:val="bottom"/>
          </w:tcPr>
          <w:p w14:paraId="5CFBE92E"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7.389</w:t>
            </w:r>
          </w:p>
        </w:tc>
        <w:tc>
          <w:tcPr>
            <w:tcW w:w="1355" w:type="dxa"/>
            <w:vAlign w:val="bottom"/>
          </w:tcPr>
          <w:p w14:paraId="472D6B58"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3.640</w:t>
            </w:r>
          </w:p>
        </w:tc>
        <w:tc>
          <w:tcPr>
            <w:tcW w:w="1204" w:type="dxa"/>
            <w:shd w:val="clear" w:color="auto" w:fill="auto"/>
            <w:vAlign w:val="bottom"/>
          </w:tcPr>
          <w:p w14:paraId="347BDC72"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19.842</w:t>
            </w:r>
          </w:p>
        </w:tc>
        <w:tc>
          <w:tcPr>
            <w:tcW w:w="1355" w:type="dxa"/>
            <w:vAlign w:val="bottom"/>
          </w:tcPr>
          <w:p w14:paraId="0EC4D437"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164.669</w:t>
            </w:r>
          </w:p>
        </w:tc>
        <w:tc>
          <w:tcPr>
            <w:tcW w:w="1362" w:type="dxa"/>
            <w:shd w:val="clear" w:color="auto" w:fill="auto"/>
            <w:vAlign w:val="bottom"/>
          </w:tcPr>
          <w:p w14:paraId="300DEA71"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w:t>
            </w:r>
          </w:p>
        </w:tc>
      </w:tr>
    </w:tbl>
    <w:p w14:paraId="4B2B6874" w14:textId="77777777" w:rsidR="0010654A" w:rsidRPr="00701F32" w:rsidRDefault="0010654A" w:rsidP="00656E62">
      <w:pPr>
        <w:widowControl w:val="0"/>
        <w:autoSpaceDE w:val="0"/>
        <w:autoSpaceDN w:val="0"/>
        <w:adjustRightInd w:val="0"/>
        <w:jc w:val="both"/>
        <w:rPr>
          <w:rFonts w:ascii="Arial" w:hAnsi="Arial" w:cs="Arial"/>
          <w:b/>
          <w:noProof/>
          <w:sz w:val="20"/>
        </w:rPr>
      </w:pPr>
    </w:p>
    <w:p w14:paraId="661DA2C7" w14:textId="77777777" w:rsidR="00140E64" w:rsidRPr="00701F32" w:rsidRDefault="00140E64" w:rsidP="00140E64">
      <w:pPr>
        <w:widowControl w:val="0"/>
        <w:autoSpaceDE w:val="0"/>
        <w:autoSpaceDN w:val="0"/>
        <w:adjustRightInd w:val="0"/>
        <w:jc w:val="both"/>
        <w:rPr>
          <w:rFonts w:ascii="Arial" w:eastAsia="Calibri" w:hAnsi="Arial" w:cs="Arial"/>
          <w:color w:val="000000"/>
          <w:sz w:val="20"/>
        </w:rPr>
      </w:pPr>
      <w:r w:rsidRPr="00701F32">
        <w:rPr>
          <w:rFonts w:ascii="Arial" w:eastAsia="Calibri" w:hAnsi="Arial" w:cs="Arial"/>
          <w:color w:val="000000"/>
          <w:sz w:val="20"/>
        </w:rPr>
        <w:t>Los resultados más significativos al 3</w:t>
      </w:r>
      <w:r w:rsidR="001C4AB8" w:rsidRPr="00701F32">
        <w:rPr>
          <w:rFonts w:ascii="Arial" w:eastAsia="Calibri" w:hAnsi="Arial" w:cs="Arial"/>
          <w:color w:val="000000"/>
          <w:sz w:val="20"/>
        </w:rPr>
        <w:t>0</w:t>
      </w:r>
      <w:r w:rsidRPr="00701F32">
        <w:rPr>
          <w:rFonts w:ascii="Arial" w:eastAsia="Calibri" w:hAnsi="Arial" w:cs="Arial"/>
          <w:color w:val="000000"/>
          <w:sz w:val="20"/>
        </w:rPr>
        <w:t xml:space="preserve"> de </w:t>
      </w:r>
      <w:r w:rsidR="00A3374B" w:rsidRPr="00701F32">
        <w:rPr>
          <w:rFonts w:ascii="Arial" w:eastAsia="Calibri" w:hAnsi="Arial" w:cs="Arial"/>
          <w:color w:val="000000"/>
          <w:sz w:val="20"/>
        </w:rPr>
        <w:t>septiembre</w:t>
      </w:r>
      <w:r w:rsidR="001C4AB8" w:rsidRPr="00701F32">
        <w:rPr>
          <w:rFonts w:ascii="Arial" w:eastAsia="Calibri" w:hAnsi="Arial" w:cs="Arial"/>
          <w:color w:val="000000"/>
          <w:sz w:val="20"/>
        </w:rPr>
        <w:t xml:space="preserve"> </w:t>
      </w:r>
      <w:r w:rsidRPr="00701F32">
        <w:rPr>
          <w:rFonts w:ascii="Arial" w:eastAsia="Calibri" w:hAnsi="Arial" w:cs="Arial"/>
          <w:color w:val="000000"/>
          <w:sz w:val="20"/>
        </w:rPr>
        <w:t>de 2018, 31 de diciembre y 3</w:t>
      </w:r>
      <w:r w:rsidR="001C4AB8" w:rsidRPr="00701F32">
        <w:rPr>
          <w:rFonts w:ascii="Arial" w:eastAsia="Calibri" w:hAnsi="Arial" w:cs="Arial"/>
          <w:color w:val="000000"/>
          <w:sz w:val="20"/>
        </w:rPr>
        <w:t>0</w:t>
      </w:r>
      <w:r w:rsidRPr="00701F32">
        <w:rPr>
          <w:rFonts w:ascii="Arial" w:eastAsia="Calibri" w:hAnsi="Arial" w:cs="Arial"/>
          <w:color w:val="000000"/>
          <w:sz w:val="20"/>
        </w:rPr>
        <w:t xml:space="preserve"> de </w:t>
      </w:r>
      <w:r w:rsidR="00A3374B" w:rsidRPr="00701F32">
        <w:rPr>
          <w:rFonts w:ascii="Arial" w:eastAsia="Calibri" w:hAnsi="Arial" w:cs="Arial"/>
          <w:color w:val="000000"/>
          <w:sz w:val="20"/>
        </w:rPr>
        <w:t>septiembre</w:t>
      </w:r>
      <w:r w:rsidRPr="00701F32">
        <w:rPr>
          <w:rFonts w:ascii="Arial" w:eastAsia="Calibri" w:hAnsi="Arial" w:cs="Arial"/>
          <w:color w:val="000000"/>
          <w:sz w:val="20"/>
        </w:rPr>
        <w:t xml:space="preserve"> de 2017 son los siguientes</w:t>
      </w:r>
      <w:r w:rsidR="007D1882" w:rsidRPr="00701F32">
        <w:rPr>
          <w:rFonts w:ascii="Arial" w:eastAsia="Calibri" w:hAnsi="Arial" w:cs="Arial"/>
          <w:color w:val="000000"/>
          <w:sz w:val="20"/>
        </w:rPr>
        <w:t>:</w:t>
      </w:r>
    </w:p>
    <w:p w14:paraId="46D15616" w14:textId="77777777" w:rsidR="0010654A" w:rsidRPr="00701F32" w:rsidRDefault="0010654A" w:rsidP="00140E64">
      <w:pPr>
        <w:widowControl w:val="0"/>
        <w:autoSpaceDE w:val="0"/>
        <w:autoSpaceDN w:val="0"/>
        <w:adjustRightInd w:val="0"/>
        <w:jc w:val="both"/>
        <w:rPr>
          <w:rFonts w:ascii="Arial" w:eastAsia="Calibri" w:hAnsi="Arial" w:cs="Arial"/>
          <w:color w:val="000000"/>
          <w:sz w:val="20"/>
        </w:rPr>
      </w:pPr>
    </w:p>
    <w:p w14:paraId="4C37B253" w14:textId="77777777" w:rsidR="0010654A" w:rsidRPr="00701F32" w:rsidRDefault="0010654A" w:rsidP="0010654A">
      <w:pPr>
        <w:widowControl w:val="0"/>
        <w:autoSpaceDE w:val="0"/>
        <w:autoSpaceDN w:val="0"/>
        <w:adjustRightInd w:val="0"/>
        <w:jc w:val="both"/>
        <w:rPr>
          <w:rFonts w:ascii="Arial" w:eastAsia="Calibri" w:hAnsi="Arial" w:cs="Arial"/>
          <w:color w:val="000000"/>
          <w:sz w:val="20"/>
        </w:rPr>
      </w:pPr>
    </w:p>
    <w:p w14:paraId="51960C53" w14:textId="77777777" w:rsidR="002C3A48" w:rsidRPr="00701F32" w:rsidRDefault="002C3A48" w:rsidP="0010654A">
      <w:pPr>
        <w:widowControl w:val="0"/>
        <w:autoSpaceDE w:val="0"/>
        <w:autoSpaceDN w:val="0"/>
        <w:adjustRightInd w:val="0"/>
        <w:jc w:val="both"/>
        <w:rPr>
          <w:rFonts w:ascii="Arial" w:eastAsia="Calibri" w:hAnsi="Arial" w:cs="Arial"/>
          <w:color w:val="000000"/>
          <w:sz w:val="20"/>
        </w:rPr>
      </w:pPr>
    </w:p>
    <w:p w14:paraId="0463BD00" w14:textId="77777777" w:rsidR="002C3A48" w:rsidRPr="00701F32" w:rsidRDefault="002C3A48" w:rsidP="0010654A">
      <w:pPr>
        <w:widowControl w:val="0"/>
        <w:autoSpaceDE w:val="0"/>
        <w:autoSpaceDN w:val="0"/>
        <w:adjustRightInd w:val="0"/>
        <w:jc w:val="both"/>
        <w:rPr>
          <w:rFonts w:ascii="Arial" w:eastAsia="Calibri" w:hAnsi="Arial" w:cs="Arial"/>
          <w:color w:val="000000"/>
          <w:sz w:val="20"/>
        </w:rPr>
      </w:pPr>
    </w:p>
    <w:p w14:paraId="01564B3F" w14:textId="77777777" w:rsidR="002C3A48" w:rsidRPr="00701F32" w:rsidRDefault="002C3A48" w:rsidP="0010654A">
      <w:pPr>
        <w:widowControl w:val="0"/>
        <w:autoSpaceDE w:val="0"/>
        <w:autoSpaceDN w:val="0"/>
        <w:adjustRightInd w:val="0"/>
        <w:jc w:val="both"/>
        <w:rPr>
          <w:rFonts w:ascii="Arial" w:eastAsia="Calibri" w:hAnsi="Arial" w:cs="Arial"/>
          <w:color w:val="000000"/>
          <w:sz w:val="20"/>
        </w:rPr>
      </w:pPr>
    </w:p>
    <w:p w14:paraId="669163BC" w14:textId="77777777" w:rsidR="002C3A48" w:rsidRPr="00701F32" w:rsidRDefault="002C3A48" w:rsidP="0010654A">
      <w:pPr>
        <w:widowControl w:val="0"/>
        <w:autoSpaceDE w:val="0"/>
        <w:autoSpaceDN w:val="0"/>
        <w:adjustRightInd w:val="0"/>
        <w:jc w:val="both"/>
        <w:rPr>
          <w:rFonts w:ascii="Arial" w:eastAsia="Calibri" w:hAnsi="Arial" w:cs="Arial"/>
          <w:color w:val="000000"/>
          <w:sz w:val="20"/>
        </w:rPr>
      </w:pPr>
    </w:p>
    <w:p w14:paraId="72AC17CF" w14:textId="77777777" w:rsidR="002C3A48" w:rsidRPr="00701F32" w:rsidRDefault="002C3A48" w:rsidP="0010654A">
      <w:pPr>
        <w:widowControl w:val="0"/>
        <w:autoSpaceDE w:val="0"/>
        <w:autoSpaceDN w:val="0"/>
        <w:adjustRightInd w:val="0"/>
        <w:jc w:val="both"/>
        <w:rPr>
          <w:rFonts w:ascii="Arial" w:eastAsia="Calibri" w:hAnsi="Arial" w:cs="Arial"/>
          <w:color w:val="000000"/>
          <w:sz w:val="20"/>
        </w:rPr>
      </w:pPr>
    </w:p>
    <w:tbl>
      <w:tblPr>
        <w:tblW w:w="91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631"/>
        <w:gridCol w:w="1406"/>
        <w:gridCol w:w="1335"/>
        <w:gridCol w:w="1275"/>
        <w:gridCol w:w="1276"/>
        <w:gridCol w:w="1075"/>
        <w:gridCol w:w="1193"/>
      </w:tblGrid>
      <w:tr w:rsidR="0010654A" w:rsidRPr="00701F32" w14:paraId="3F8F2359" w14:textId="77777777" w:rsidTr="002E5672">
        <w:trPr>
          <w:trHeight w:val="455"/>
          <w:tblHeader/>
          <w:jc w:val="center"/>
        </w:trPr>
        <w:tc>
          <w:tcPr>
            <w:tcW w:w="1631" w:type="dxa"/>
            <w:vMerge w:val="restart"/>
            <w:shd w:val="clear" w:color="auto" w:fill="auto"/>
            <w:vAlign w:val="center"/>
            <w:hideMark/>
          </w:tcPr>
          <w:p w14:paraId="0FC10A1A" w14:textId="77777777" w:rsidR="0010654A" w:rsidRPr="00701F32" w:rsidRDefault="0010654A" w:rsidP="002E5672">
            <w:pPr>
              <w:tabs>
                <w:tab w:val="left" w:pos="142"/>
              </w:tabs>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Sociedades</w:t>
            </w:r>
          </w:p>
        </w:tc>
        <w:tc>
          <w:tcPr>
            <w:tcW w:w="7560" w:type="dxa"/>
            <w:gridSpan w:val="6"/>
            <w:vAlign w:val="center"/>
          </w:tcPr>
          <w:p w14:paraId="7BAD39CB"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30/09/2018</w:t>
            </w:r>
          </w:p>
        </w:tc>
      </w:tr>
      <w:tr w:rsidR="0010654A" w:rsidRPr="00701F32" w14:paraId="73CF7183" w14:textId="77777777" w:rsidTr="002E5672">
        <w:trPr>
          <w:trHeight w:val="839"/>
          <w:tblHeader/>
          <w:jc w:val="center"/>
        </w:trPr>
        <w:tc>
          <w:tcPr>
            <w:tcW w:w="1631" w:type="dxa"/>
            <w:vMerge/>
            <w:shd w:val="clear" w:color="auto" w:fill="auto"/>
            <w:vAlign w:val="center"/>
            <w:hideMark/>
          </w:tcPr>
          <w:p w14:paraId="714BD7E2"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p>
        </w:tc>
        <w:tc>
          <w:tcPr>
            <w:tcW w:w="1406" w:type="dxa"/>
            <w:vAlign w:val="center"/>
          </w:tcPr>
          <w:p w14:paraId="05A5EF0B"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Intereses</w:t>
            </w:r>
          </w:p>
        </w:tc>
        <w:tc>
          <w:tcPr>
            <w:tcW w:w="1335" w:type="dxa"/>
            <w:vAlign w:val="center"/>
          </w:tcPr>
          <w:p w14:paraId="49D028E0"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intereses</w:t>
            </w:r>
          </w:p>
        </w:tc>
        <w:tc>
          <w:tcPr>
            <w:tcW w:w="1275" w:type="dxa"/>
            <w:shd w:val="clear" w:color="auto" w:fill="auto"/>
            <w:vAlign w:val="center"/>
          </w:tcPr>
          <w:p w14:paraId="51BCF5D6"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Comisiones</w:t>
            </w:r>
          </w:p>
        </w:tc>
        <w:tc>
          <w:tcPr>
            <w:tcW w:w="1276" w:type="dxa"/>
            <w:vAlign w:val="center"/>
          </w:tcPr>
          <w:p w14:paraId="592FF220"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Comisiones</w:t>
            </w:r>
          </w:p>
        </w:tc>
        <w:tc>
          <w:tcPr>
            <w:tcW w:w="1075" w:type="dxa"/>
            <w:vAlign w:val="center"/>
          </w:tcPr>
          <w:p w14:paraId="1F68983C"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Gastos de Adminis-tración</w:t>
            </w:r>
          </w:p>
        </w:tc>
        <w:tc>
          <w:tcPr>
            <w:tcW w:w="1193" w:type="dxa"/>
            <w:vAlign w:val="center"/>
          </w:tcPr>
          <w:p w14:paraId="0AA4EAC6"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Otros Ingresos Operativos</w:t>
            </w:r>
          </w:p>
        </w:tc>
      </w:tr>
      <w:tr w:rsidR="0010654A" w:rsidRPr="00701F32" w14:paraId="6C4EC86C" w14:textId="77777777" w:rsidTr="002E5672">
        <w:trPr>
          <w:trHeight w:val="455"/>
          <w:jc w:val="center"/>
        </w:trPr>
        <w:tc>
          <w:tcPr>
            <w:tcW w:w="1631" w:type="dxa"/>
            <w:shd w:val="clear" w:color="auto" w:fill="auto"/>
            <w:vAlign w:val="center"/>
            <w:hideMark/>
          </w:tcPr>
          <w:p w14:paraId="7842A8A5"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Cía. Financiera SA</w:t>
            </w:r>
          </w:p>
        </w:tc>
        <w:tc>
          <w:tcPr>
            <w:tcW w:w="1406" w:type="dxa"/>
            <w:vAlign w:val="bottom"/>
          </w:tcPr>
          <w:p w14:paraId="304CBE1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664.441</w:t>
            </w:r>
          </w:p>
        </w:tc>
        <w:tc>
          <w:tcPr>
            <w:tcW w:w="1335" w:type="dxa"/>
            <w:vAlign w:val="bottom"/>
          </w:tcPr>
          <w:p w14:paraId="0B259E2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65.035</w:t>
            </w:r>
          </w:p>
        </w:tc>
        <w:tc>
          <w:tcPr>
            <w:tcW w:w="1275" w:type="dxa"/>
            <w:shd w:val="clear" w:color="auto" w:fill="auto"/>
            <w:vAlign w:val="bottom"/>
          </w:tcPr>
          <w:p w14:paraId="3D31D6B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2.435</w:t>
            </w:r>
          </w:p>
        </w:tc>
        <w:tc>
          <w:tcPr>
            <w:tcW w:w="1276" w:type="dxa"/>
            <w:vAlign w:val="bottom"/>
          </w:tcPr>
          <w:p w14:paraId="3C066D4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75" w:type="dxa"/>
            <w:vAlign w:val="bottom"/>
          </w:tcPr>
          <w:p w14:paraId="5D9A942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0E3397A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w:t>
            </w:r>
          </w:p>
        </w:tc>
      </w:tr>
      <w:tr w:rsidR="0010654A" w:rsidRPr="00701F32" w14:paraId="18CBC9E5" w14:textId="77777777" w:rsidTr="002E5672">
        <w:trPr>
          <w:trHeight w:val="455"/>
          <w:jc w:val="center"/>
        </w:trPr>
        <w:tc>
          <w:tcPr>
            <w:tcW w:w="1631" w:type="dxa"/>
            <w:shd w:val="clear" w:color="auto" w:fill="auto"/>
            <w:vAlign w:val="center"/>
            <w:hideMark/>
          </w:tcPr>
          <w:p w14:paraId="256BCBC0"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Sofital S.A.F. e I.I.</w:t>
            </w:r>
          </w:p>
        </w:tc>
        <w:tc>
          <w:tcPr>
            <w:tcW w:w="1406" w:type="dxa"/>
            <w:vAlign w:val="bottom"/>
          </w:tcPr>
          <w:p w14:paraId="3374499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5" w:type="dxa"/>
            <w:vAlign w:val="bottom"/>
          </w:tcPr>
          <w:p w14:paraId="0F38BCB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5" w:type="dxa"/>
            <w:shd w:val="clear" w:color="auto" w:fill="auto"/>
            <w:vAlign w:val="bottom"/>
          </w:tcPr>
          <w:p w14:paraId="0EAD7B0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23</w:t>
            </w:r>
          </w:p>
        </w:tc>
        <w:tc>
          <w:tcPr>
            <w:tcW w:w="1276" w:type="dxa"/>
            <w:vAlign w:val="bottom"/>
          </w:tcPr>
          <w:p w14:paraId="305653C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075" w:type="dxa"/>
            <w:vAlign w:val="bottom"/>
          </w:tcPr>
          <w:p w14:paraId="7AD8B9A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67573CF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5AB2BF4A" w14:textId="77777777" w:rsidTr="002E5672">
        <w:trPr>
          <w:trHeight w:val="455"/>
          <w:jc w:val="center"/>
        </w:trPr>
        <w:tc>
          <w:tcPr>
            <w:tcW w:w="1631" w:type="dxa"/>
            <w:shd w:val="clear" w:color="auto" w:fill="auto"/>
            <w:vAlign w:val="center"/>
            <w:hideMark/>
          </w:tcPr>
          <w:p w14:paraId="5D0D2610"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Espacio Cordial S.A.</w:t>
            </w:r>
          </w:p>
        </w:tc>
        <w:tc>
          <w:tcPr>
            <w:tcW w:w="1406" w:type="dxa"/>
            <w:vAlign w:val="bottom"/>
          </w:tcPr>
          <w:p w14:paraId="5C7A25C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28</w:t>
            </w:r>
          </w:p>
        </w:tc>
        <w:tc>
          <w:tcPr>
            <w:tcW w:w="1335" w:type="dxa"/>
            <w:vAlign w:val="bottom"/>
          </w:tcPr>
          <w:p w14:paraId="550827B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5" w:type="dxa"/>
            <w:shd w:val="clear" w:color="auto" w:fill="auto"/>
            <w:vAlign w:val="bottom"/>
          </w:tcPr>
          <w:p w14:paraId="34E7C0C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106</w:t>
            </w:r>
          </w:p>
        </w:tc>
        <w:tc>
          <w:tcPr>
            <w:tcW w:w="1276" w:type="dxa"/>
            <w:vAlign w:val="bottom"/>
          </w:tcPr>
          <w:p w14:paraId="39DBD92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75" w:type="dxa"/>
            <w:vAlign w:val="bottom"/>
          </w:tcPr>
          <w:p w14:paraId="422689D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5B83647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122</w:t>
            </w:r>
          </w:p>
        </w:tc>
      </w:tr>
      <w:tr w:rsidR="0010654A" w:rsidRPr="00701F32" w14:paraId="55F39AAC" w14:textId="77777777" w:rsidTr="002E5672">
        <w:trPr>
          <w:trHeight w:val="455"/>
          <w:jc w:val="center"/>
        </w:trPr>
        <w:tc>
          <w:tcPr>
            <w:tcW w:w="1631" w:type="dxa"/>
            <w:shd w:val="clear" w:color="auto" w:fill="auto"/>
            <w:vAlign w:val="center"/>
          </w:tcPr>
          <w:p w14:paraId="16615659"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Supervielle Seguros S.A.</w:t>
            </w:r>
          </w:p>
        </w:tc>
        <w:tc>
          <w:tcPr>
            <w:tcW w:w="1406" w:type="dxa"/>
            <w:vAlign w:val="bottom"/>
          </w:tcPr>
          <w:p w14:paraId="2F3A4D5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w:t>
            </w:r>
          </w:p>
        </w:tc>
        <w:tc>
          <w:tcPr>
            <w:tcW w:w="1335" w:type="dxa"/>
            <w:vAlign w:val="bottom"/>
          </w:tcPr>
          <w:p w14:paraId="6AB6584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5" w:type="dxa"/>
            <w:shd w:val="clear" w:color="auto" w:fill="auto"/>
            <w:vAlign w:val="bottom"/>
          </w:tcPr>
          <w:p w14:paraId="70665D4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82.299</w:t>
            </w:r>
          </w:p>
        </w:tc>
        <w:tc>
          <w:tcPr>
            <w:tcW w:w="1276" w:type="dxa"/>
            <w:vAlign w:val="bottom"/>
          </w:tcPr>
          <w:p w14:paraId="221689A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75" w:type="dxa"/>
            <w:vAlign w:val="bottom"/>
          </w:tcPr>
          <w:p w14:paraId="55AB792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2.548</w:t>
            </w:r>
          </w:p>
        </w:tc>
        <w:tc>
          <w:tcPr>
            <w:tcW w:w="1193" w:type="dxa"/>
            <w:vAlign w:val="bottom"/>
          </w:tcPr>
          <w:p w14:paraId="2E538A7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262AAD94" w14:textId="77777777" w:rsidTr="002E5672">
        <w:trPr>
          <w:trHeight w:val="455"/>
          <w:jc w:val="center"/>
        </w:trPr>
        <w:tc>
          <w:tcPr>
            <w:tcW w:w="1631" w:type="dxa"/>
            <w:shd w:val="clear" w:color="auto" w:fill="auto"/>
            <w:vAlign w:val="center"/>
            <w:hideMark/>
          </w:tcPr>
          <w:p w14:paraId="7D818F19"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Microfinanzas S.A.</w:t>
            </w:r>
          </w:p>
        </w:tc>
        <w:tc>
          <w:tcPr>
            <w:tcW w:w="1406" w:type="dxa"/>
            <w:vAlign w:val="bottom"/>
          </w:tcPr>
          <w:p w14:paraId="6E5BB16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5" w:type="dxa"/>
            <w:vAlign w:val="bottom"/>
          </w:tcPr>
          <w:p w14:paraId="4EB0EDD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5" w:type="dxa"/>
            <w:shd w:val="clear" w:color="auto" w:fill="auto"/>
            <w:vAlign w:val="bottom"/>
          </w:tcPr>
          <w:p w14:paraId="74A0567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vAlign w:val="bottom"/>
          </w:tcPr>
          <w:p w14:paraId="4621465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075" w:type="dxa"/>
            <w:vAlign w:val="bottom"/>
          </w:tcPr>
          <w:p w14:paraId="0594DD1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3AF3630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3757FC0B" w14:textId="77777777" w:rsidTr="002E5672">
        <w:trPr>
          <w:trHeight w:val="455"/>
          <w:jc w:val="center"/>
        </w:trPr>
        <w:tc>
          <w:tcPr>
            <w:tcW w:w="1631" w:type="dxa"/>
            <w:shd w:val="clear" w:color="auto" w:fill="auto"/>
            <w:vAlign w:val="center"/>
            <w:hideMark/>
          </w:tcPr>
          <w:p w14:paraId="4E51DCC8"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Tarjeta Automática S.A.</w:t>
            </w:r>
          </w:p>
        </w:tc>
        <w:tc>
          <w:tcPr>
            <w:tcW w:w="1406" w:type="dxa"/>
            <w:vAlign w:val="bottom"/>
          </w:tcPr>
          <w:p w14:paraId="358FD29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5.317</w:t>
            </w:r>
          </w:p>
        </w:tc>
        <w:tc>
          <w:tcPr>
            <w:tcW w:w="1335" w:type="dxa"/>
            <w:vAlign w:val="bottom"/>
          </w:tcPr>
          <w:p w14:paraId="698E3D2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shd w:val="clear" w:color="auto" w:fill="auto"/>
            <w:vAlign w:val="bottom"/>
          </w:tcPr>
          <w:p w14:paraId="10CCBC4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347</w:t>
            </w:r>
          </w:p>
        </w:tc>
        <w:tc>
          <w:tcPr>
            <w:tcW w:w="1276" w:type="dxa"/>
            <w:vAlign w:val="bottom"/>
          </w:tcPr>
          <w:p w14:paraId="1960226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075" w:type="dxa"/>
            <w:vAlign w:val="bottom"/>
          </w:tcPr>
          <w:p w14:paraId="1815644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07B49F8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5A75B4FA" w14:textId="77777777" w:rsidTr="002E5672">
        <w:trPr>
          <w:trHeight w:val="455"/>
          <w:jc w:val="center"/>
        </w:trPr>
        <w:tc>
          <w:tcPr>
            <w:tcW w:w="1631" w:type="dxa"/>
            <w:shd w:val="clear" w:color="auto" w:fill="auto"/>
            <w:vAlign w:val="center"/>
            <w:hideMark/>
          </w:tcPr>
          <w:p w14:paraId="456D0637"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Supervielle Asset Management S.A.</w:t>
            </w:r>
          </w:p>
        </w:tc>
        <w:tc>
          <w:tcPr>
            <w:tcW w:w="1406" w:type="dxa"/>
            <w:vAlign w:val="bottom"/>
          </w:tcPr>
          <w:p w14:paraId="02944C1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w:t>
            </w:r>
          </w:p>
        </w:tc>
        <w:tc>
          <w:tcPr>
            <w:tcW w:w="1335" w:type="dxa"/>
            <w:vAlign w:val="bottom"/>
          </w:tcPr>
          <w:p w14:paraId="0E38D01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5" w:type="dxa"/>
            <w:shd w:val="clear" w:color="auto" w:fill="auto"/>
            <w:vAlign w:val="bottom"/>
          </w:tcPr>
          <w:p w14:paraId="3494279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122</w:t>
            </w:r>
          </w:p>
        </w:tc>
        <w:tc>
          <w:tcPr>
            <w:tcW w:w="1276" w:type="dxa"/>
            <w:vAlign w:val="bottom"/>
          </w:tcPr>
          <w:p w14:paraId="32BF10B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075" w:type="dxa"/>
            <w:vAlign w:val="bottom"/>
          </w:tcPr>
          <w:p w14:paraId="66F1F06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6AA1C0F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1.341</w:t>
            </w:r>
          </w:p>
        </w:tc>
      </w:tr>
      <w:tr w:rsidR="0010654A" w:rsidRPr="00701F32" w14:paraId="24AB8791" w14:textId="77777777" w:rsidTr="002E5672">
        <w:trPr>
          <w:trHeight w:val="455"/>
          <w:jc w:val="center"/>
        </w:trPr>
        <w:tc>
          <w:tcPr>
            <w:tcW w:w="1631" w:type="dxa"/>
            <w:shd w:val="clear" w:color="auto" w:fill="auto"/>
            <w:vAlign w:val="center"/>
          </w:tcPr>
          <w:p w14:paraId="70ACB974"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Invertir OnLine S.A.</w:t>
            </w:r>
          </w:p>
        </w:tc>
        <w:tc>
          <w:tcPr>
            <w:tcW w:w="1406" w:type="dxa"/>
            <w:vAlign w:val="bottom"/>
          </w:tcPr>
          <w:p w14:paraId="2D5380C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5" w:type="dxa"/>
            <w:vAlign w:val="bottom"/>
          </w:tcPr>
          <w:p w14:paraId="7780A3B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24.987</w:t>
            </w:r>
          </w:p>
        </w:tc>
        <w:tc>
          <w:tcPr>
            <w:tcW w:w="1275" w:type="dxa"/>
            <w:shd w:val="clear" w:color="auto" w:fill="auto"/>
            <w:vAlign w:val="bottom"/>
          </w:tcPr>
          <w:p w14:paraId="1D15979F" w14:textId="77777777" w:rsidR="0010654A" w:rsidRPr="00701F32" w:rsidDel="00B660DC"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w:t>
            </w:r>
          </w:p>
        </w:tc>
        <w:tc>
          <w:tcPr>
            <w:tcW w:w="1276" w:type="dxa"/>
            <w:vAlign w:val="bottom"/>
          </w:tcPr>
          <w:p w14:paraId="6066773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075" w:type="dxa"/>
            <w:vAlign w:val="bottom"/>
          </w:tcPr>
          <w:p w14:paraId="55F86B9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93" w:type="dxa"/>
            <w:vAlign w:val="bottom"/>
          </w:tcPr>
          <w:p w14:paraId="3645892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502EAE00" w14:textId="77777777" w:rsidTr="002E5672">
        <w:trPr>
          <w:trHeight w:val="455"/>
          <w:jc w:val="center"/>
        </w:trPr>
        <w:tc>
          <w:tcPr>
            <w:tcW w:w="1631" w:type="dxa"/>
            <w:shd w:val="clear" w:color="auto" w:fill="auto"/>
            <w:vAlign w:val="center"/>
          </w:tcPr>
          <w:p w14:paraId="637C9CD1"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rPr>
              <w:t>Invertir OnLine.com Argentina S.A.</w:t>
            </w:r>
          </w:p>
        </w:tc>
        <w:tc>
          <w:tcPr>
            <w:tcW w:w="1406" w:type="dxa"/>
            <w:vAlign w:val="bottom"/>
          </w:tcPr>
          <w:p w14:paraId="3E98E14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35" w:type="dxa"/>
            <w:vAlign w:val="bottom"/>
          </w:tcPr>
          <w:p w14:paraId="0A075B74" w14:textId="77777777" w:rsidR="0010654A" w:rsidRPr="00701F32" w:rsidDel="00AA3E91"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16</w:t>
            </w:r>
          </w:p>
        </w:tc>
        <w:tc>
          <w:tcPr>
            <w:tcW w:w="1275" w:type="dxa"/>
            <w:shd w:val="clear" w:color="auto" w:fill="auto"/>
            <w:vAlign w:val="bottom"/>
          </w:tcPr>
          <w:p w14:paraId="574C31E1" w14:textId="77777777" w:rsidR="0010654A" w:rsidRPr="00701F32" w:rsidDel="00AA3E91"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bottom"/>
          </w:tcPr>
          <w:p w14:paraId="21225C2F"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75" w:type="dxa"/>
            <w:vAlign w:val="bottom"/>
          </w:tcPr>
          <w:p w14:paraId="3E372994"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93" w:type="dxa"/>
            <w:vAlign w:val="bottom"/>
          </w:tcPr>
          <w:p w14:paraId="6542D693"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4FC41097" w14:textId="77777777" w:rsidTr="002E5672">
        <w:trPr>
          <w:trHeight w:val="455"/>
          <w:jc w:val="center"/>
        </w:trPr>
        <w:tc>
          <w:tcPr>
            <w:tcW w:w="1631" w:type="dxa"/>
            <w:shd w:val="clear" w:color="auto" w:fill="auto"/>
            <w:vAlign w:val="center"/>
          </w:tcPr>
          <w:p w14:paraId="29D625B8"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rPr>
              <w:t>Micro Lending S.A.</w:t>
            </w:r>
          </w:p>
        </w:tc>
        <w:tc>
          <w:tcPr>
            <w:tcW w:w="1406" w:type="dxa"/>
            <w:vAlign w:val="bottom"/>
          </w:tcPr>
          <w:p w14:paraId="1771D704"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17.186</w:t>
            </w:r>
          </w:p>
        </w:tc>
        <w:tc>
          <w:tcPr>
            <w:tcW w:w="1335" w:type="dxa"/>
            <w:vAlign w:val="bottom"/>
          </w:tcPr>
          <w:p w14:paraId="05527FC3" w14:textId="77777777" w:rsidR="0010654A" w:rsidRPr="00701F32" w:rsidDel="00AA3E91"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5" w:type="dxa"/>
            <w:shd w:val="clear" w:color="auto" w:fill="auto"/>
            <w:vAlign w:val="bottom"/>
          </w:tcPr>
          <w:p w14:paraId="48FBFE02" w14:textId="77777777" w:rsidR="0010654A" w:rsidRPr="00701F32" w:rsidDel="00AA3E91"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vAlign w:val="bottom"/>
          </w:tcPr>
          <w:p w14:paraId="064C65FA"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075" w:type="dxa"/>
            <w:vAlign w:val="bottom"/>
          </w:tcPr>
          <w:p w14:paraId="3BF0D3BB"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268</w:t>
            </w:r>
          </w:p>
        </w:tc>
        <w:tc>
          <w:tcPr>
            <w:tcW w:w="1193" w:type="dxa"/>
            <w:vAlign w:val="bottom"/>
          </w:tcPr>
          <w:p w14:paraId="20F7715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19</w:t>
            </w:r>
          </w:p>
        </w:tc>
      </w:tr>
      <w:tr w:rsidR="0010654A" w:rsidRPr="00701F32" w14:paraId="24744364" w14:textId="77777777" w:rsidTr="002E5672">
        <w:trPr>
          <w:trHeight w:val="455"/>
          <w:jc w:val="center"/>
        </w:trPr>
        <w:tc>
          <w:tcPr>
            <w:tcW w:w="1631" w:type="dxa"/>
            <w:shd w:val="clear" w:color="auto" w:fill="auto"/>
            <w:vAlign w:val="center"/>
            <w:hideMark/>
          </w:tcPr>
          <w:p w14:paraId="2FBD3F9B"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Grupo Supervielle S.A.</w:t>
            </w:r>
          </w:p>
        </w:tc>
        <w:tc>
          <w:tcPr>
            <w:tcW w:w="1406" w:type="dxa"/>
            <w:vAlign w:val="bottom"/>
          </w:tcPr>
          <w:p w14:paraId="0A3DF37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35" w:type="dxa"/>
            <w:vAlign w:val="bottom"/>
          </w:tcPr>
          <w:p w14:paraId="05B264D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45.203</w:t>
            </w:r>
          </w:p>
        </w:tc>
        <w:tc>
          <w:tcPr>
            <w:tcW w:w="1275" w:type="dxa"/>
            <w:shd w:val="clear" w:color="auto" w:fill="auto"/>
            <w:vAlign w:val="bottom"/>
          </w:tcPr>
          <w:p w14:paraId="27D2631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2.643</w:t>
            </w:r>
          </w:p>
        </w:tc>
        <w:tc>
          <w:tcPr>
            <w:tcW w:w="1276" w:type="dxa"/>
            <w:vAlign w:val="bottom"/>
          </w:tcPr>
          <w:p w14:paraId="4D2F656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14.764</w:t>
            </w:r>
          </w:p>
        </w:tc>
        <w:tc>
          <w:tcPr>
            <w:tcW w:w="1075" w:type="dxa"/>
            <w:vAlign w:val="bottom"/>
          </w:tcPr>
          <w:p w14:paraId="2E5225A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43.650</w:t>
            </w:r>
          </w:p>
        </w:tc>
        <w:tc>
          <w:tcPr>
            <w:tcW w:w="1193" w:type="dxa"/>
            <w:vAlign w:val="bottom"/>
          </w:tcPr>
          <w:p w14:paraId="207ADCC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1.136</w:t>
            </w:r>
          </w:p>
        </w:tc>
      </w:tr>
      <w:tr w:rsidR="0010654A" w:rsidRPr="00701F32" w14:paraId="1B21E477" w14:textId="77777777" w:rsidTr="002E5672">
        <w:trPr>
          <w:trHeight w:val="455"/>
          <w:jc w:val="center"/>
        </w:trPr>
        <w:tc>
          <w:tcPr>
            <w:tcW w:w="1631" w:type="dxa"/>
            <w:shd w:val="clear" w:color="auto" w:fill="auto"/>
            <w:vAlign w:val="center"/>
            <w:hideMark/>
          </w:tcPr>
          <w:p w14:paraId="1B4A144B" w14:textId="77777777" w:rsidR="0010654A" w:rsidRPr="00701F32" w:rsidRDefault="0010654A" w:rsidP="002E5672">
            <w:pPr>
              <w:tabs>
                <w:tab w:val="left" w:pos="142"/>
              </w:tabs>
              <w:spacing w:after="160" w:line="259" w:lineRule="auto"/>
              <w:jc w:val="right"/>
              <w:rPr>
                <w:rFonts w:ascii="Arial" w:eastAsia="Calibri" w:hAnsi="Arial" w:cs="Arial"/>
                <w:b/>
                <w:bCs/>
                <w:color w:val="000000"/>
                <w:sz w:val="16"/>
                <w:lang w:eastAsia="es-AR"/>
              </w:rPr>
            </w:pPr>
            <w:r w:rsidRPr="00701F32">
              <w:rPr>
                <w:rFonts w:ascii="Arial" w:eastAsia="Calibri" w:hAnsi="Arial" w:cs="Arial"/>
                <w:b/>
                <w:bCs/>
                <w:color w:val="000000"/>
                <w:sz w:val="16"/>
                <w:lang w:eastAsia="es-AR"/>
              </w:rPr>
              <w:t>TOTAL</w:t>
            </w:r>
          </w:p>
        </w:tc>
        <w:tc>
          <w:tcPr>
            <w:tcW w:w="1406" w:type="dxa"/>
            <w:vAlign w:val="bottom"/>
          </w:tcPr>
          <w:p w14:paraId="03F9473C"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686.986</w:t>
            </w:r>
          </w:p>
        </w:tc>
        <w:tc>
          <w:tcPr>
            <w:tcW w:w="1335" w:type="dxa"/>
            <w:vAlign w:val="bottom"/>
          </w:tcPr>
          <w:p w14:paraId="0D2E6EF0"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135.241</w:t>
            </w:r>
          </w:p>
        </w:tc>
        <w:tc>
          <w:tcPr>
            <w:tcW w:w="1275" w:type="dxa"/>
            <w:shd w:val="clear" w:color="auto" w:fill="auto"/>
            <w:vAlign w:val="bottom"/>
          </w:tcPr>
          <w:p w14:paraId="4962B21F"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87.979</w:t>
            </w:r>
          </w:p>
        </w:tc>
        <w:tc>
          <w:tcPr>
            <w:tcW w:w="1276" w:type="dxa"/>
            <w:vAlign w:val="bottom"/>
          </w:tcPr>
          <w:p w14:paraId="6A582D4B"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14.764</w:t>
            </w:r>
          </w:p>
        </w:tc>
        <w:tc>
          <w:tcPr>
            <w:tcW w:w="1075" w:type="dxa"/>
            <w:vAlign w:val="bottom"/>
          </w:tcPr>
          <w:p w14:paraId="53CE94E0"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46.466</w:t>
            </w:r>
          </w:p>
        </w:tc>
        <w:tc>
          <w:tcPr>
            <w:tcW w:w="1193" w:type="dxa"/>
            <w:vAlign w:val="bottom"/>
          </w:tcPr>
          <w:p w14:paraId="37322E2A"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2.643</w:t>
            </w:r>
          </w:p>
        </w:tc>
      </w:tr>
    </w:tbl>
    <w:p w14:paraId="7E466F96" w14:textId="77777777" w:rsidR="0010654A" w:rsidRPr="00701F32" w:rsidRDefault="0010654A" w:rsidP="0010654A">
      <w:pPr>
        <w:tabs>
          <w:tab w:val="left" w:pos="142"/>
        </w:tabs>
        <w:spacing w:after="160" w:line="259" w:lineRule="auto"/>
        <w:jc w:val="both"/>
        <w:rPr>
          <w:rFonts w:ascii="Arial" w:eastAsia="Calibri" w:hAnsi="Arial" w:cs="Arial"/>
          <w:color w:val="000000"/>
          <w:sz w:val="16"/>
        </w:rPr>
      </w:pPr>
    </w:p>
    <w:tbl>
      <w:tblPr>
        <w:tblW w:w="91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31"/>
        <w:gridCol w:w="1406"/>
        <w:gridCol w:w="1335"/>
        <w:gridCol w:w="1275"/>
        <w:gridCol w:w="1276"/>
        <w:gridCol w:w="992"/>
        <w:gridCol w:w="1276"/>
      </w:tblGrid>
      <w:tr w:rsidR="0010654A" w:rsidRPr="00701F32" w14:paraId="6A4E260C" w14:textId="77777777" w:rsidTr="002E5672">
        <w:trPr>
          <w:trHeight w:val="455"/>
          <w:tblHeader/>
          <w:jc w:val="center"/>
        </w:trPr>
        <w:tc>
          <w:tcPr>
            <w:tcW w:w="1631" w:type="dxa"/>
            <w:vMerge w:val="restart"/>
            <w:shd w:val="clear" w:color="auto" w:fill="auto"/>
            <w:vAlign w:val="center"/>
            <w:hideMark/>
          </w:tcPr>
          <w:p w14:paraId="6F33BCD5" w14:textId="77777777" w:rsidR="0010654A" w:rsidRPr="00701F32" w:rsidRDefault="0010654A" w:rsidP="002E5672">
            <w:pPr>
              <w:tabs>
                <w:tab w:val="left" w:pos="142"/>
              </w:tabs>
              <w:jc w:val="center"/>
              <w:rPr>
                <w:rFonts w:ascii="Arial" w:hAnsi="Arial" w:cs="Arial"/>
                <w:b/>
                <w:color w:val="000000" w:themeColor="text1"/>
                <w:sz w:val="16"/>
                <w:szCs w:val="16"/>
                <w:lang w:eastAsia="es-AR"/>
              </w:rPr>
            </w:pPr>
            <w:r w:rsidRPr="00701F32">
              <w:rPr>
                <w:rFonts w:ascii="Arial" w:hAnsi="Arial" w:cs="Arial"/>
                <w:b/>
                <w:color w:val="000000" w:themeColor="text1"/>
                <w:sz w:val="16"/>
                <w:szCs w:val="16"/>
                <w:lang w:eastAsia="es-AR"/>
              </w:rPr>
              <w:t>Sociedades</w:t>
            </w:r>
          </w:p>
        </w:tc>
        <w:tc>
          <w:tcPr>
            <w:tcW w:w="7560" w:type="dxa"/>
            <w:gridSpan w:val="6"/>
            <w:vAlign w:val="center"/>
          </w:tcPr>
          <w:p w14:paraId="2EE03496"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31/12/2017</w:t>
            </w:r>
          </w:p>
        </w:tc>
      </w:tr>
      <w:tr w:rsidR="0010654A" w:rsidRPr="00701F32" w14:paraId="70C5E335" w14:textId="77777777" w:rsidTr="002E5672">
        <w:trPr>
          <w:trHeight w:val="839"/>
          <w:tblHeader/>
          <w:jc w:val="center"/>
        </w:trPr>
        <w:tc>
          <w:tcPr>
            <w:tcW w:w="1631" w:type="dxa"/>
            <w:vMerge/>
            <w:shd w:val="clear" w:color="auto" w:fill="auto"/>
            <w:vAlign w:val="center"/>
            <w:hideMark/>
          </w:tcPr>
          <w:p w14:paraId="5316861B" w14:textId="77777777" w:rsidR="0010654A" w:rsidRPr="00701F32" w:rsidRDefault="0010654A" w:rsidP="002E5672">
            <w:pPr>
              <w:tabs>
                <w:tab w:val="left" w:pos="142"/>
              </w:tabs>
              <w:jc w:val="center"/>
              <w:rPr>
                <w:rFonts w:ascii="Arial" w:hAnsi="Arial" w:cs="Arial"/>
                <w:color w:val="000000" w:themeColor="text1"/>
                <w:sz w:val="16"/>
                <w:szCs w:val="16"/>
                <w:lang w:eastAsia="es-AR"/>
              </w:rPr>
            </w:pPr>
          </w:p>
        </w:tc>
        <w:tc>
          <w:tcPr>
            <w:tcW w:w="1406" w:type="dxa"/>
            <w:vAlign w:val="center"/>
          </w:tcPr>
          <w:p w14:paraId="22239B4B"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Ingresos por Intereses</w:t>
            </w:r>
          </w:p>
        </w:tc>
        <w:tc>
          <w:tcPr>
            <w:tcW w:w="1335" w:type="dxa"/>
            <w:vAlign w:val="center"/>
          </w:tcPr>
          <w:p w14:paraId="4B094BC9"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Egresos por intereses</w:t>
            </w:r>
          </w:p>
        </w:tc>
        <w:tc>
          <w:tcPr>
            <w:tcW w:w="1275" w:type="dxa"/>
            <w:shd w:val="clear" w:color="auto" w:fill="auto"/>
            <w:vAlign w:val="center"/>
          </w:tcPr>
          <w:p w14:paraId="3EAD390F"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Ingresos por Comisiones</w:t>
            </w:r>
          </w:p>
        </w:tc>
        <w:tc>
          <w:tcPr>
            <w:tcW w:w="1276" w:type="dxa"/>
            <w:vAlign w:val="center"/>
          </w:tcPr>
          <w:p w14:paraId="1672C287"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Egresos por Comisiones</w:t>
            </w:r>
          </w:p>
        </w:tc>
        <w:tc>
          <w:tcPr>
            <w:tcW w:w="992" w:type="dxa"/>
            <w:vAlign w:val="center"/>
          </w:tcPr>
          <w:p w14:paraId="4B9D72DC"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Gastos de Administración</w:t>
            </w:r>
          </w:p>
        </w:tc>
        <w:tc>
          <w:tcPr>
            <w:tcW w:w="1276" w:type="dxa"/>
            <w:vAlign w:val="center"/>
          </w:tcPr>
          <w:p w14:paraId="724C3623" w14:textId="77777777" w:rsidR="0010654A" w:rsidRPr="00701F32" w:rsidRDefault="0010654A" w:rsidP="002E5672">
            <w:pPr>
              <w:jc w:val="center"/>
              <w:rPr>
                <w:rFonts w:ascii="Arial" w:hAnsi="Arial" w:cs="Arial"/>
                <w:b/>
                <w:color w:val="000000" w:themeColor="text1"/>
                <w:sz w:val="16"/>
                <w:szCs w:val="16"/>
              </w:rPr>
            </w:pPr>
            <w:r w:rsidRPr="00701F32">
              <w:rPr>
                <w:rFonts w:ascii="Arial" w:hAnsi="Arial" w:cs="Arial"/>
                <w:b/>
                <w:color w:val="000000" w:themeColor="text1"/>
                <w:sz w:val="16"/>
                <w:szCs w:val="16"/>
              </w:rPr>
              <w:t>Otros Ingresos Operativos</w:t>
            </w:r>
          </w:p>
        </w:tc>
      </w:tr>
      <w:tr w:rsidR="0010654A" w:rsidRPr="00701F32" w14:paraId="1C9A1339" w14:textId="77777777" w:rsidTr="002E5672">
        <w:trPr>
          <w:trHeight w:val="455"/>
          <w:jc w:val="center"/>
        </w:trPr>
        <w:tc>
          <w:tcPr>
            <w:tcW w:w="1631" w:type="dxa"/>
            <w:shd w:val="clear" w:color="auto" w:fill="auto"/>
            <w:vAlign w:val="center"/>
            <w:hideMark/>
          </w:tcPr>
          <w:p w14:paraId="72AA6A40"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Cordial Cía. Financiera SA</w:t>
            </w:r>
          </w:p>
        </w:tc>
        <w:tc>
          <w:tcPr>
            <w:tcW w:w="1406" w:type="dxa"/>
            <w:vAlign w:val="bottom"/>
          </w:tcPr>
          <w:p w14:paraId="0EBB1F2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124.559</w:t>
            </w:r>
          </w:p>
        </w:tc>
        <w:tc>
          <w:tcPr>
            <w:tcW w:w="1335" w:type="dxa"/>
            <w:vAlign w:val="bottom"/>
          </w:tcPr>
          <w:p w14:paraId="3BA6BF0F"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12.688</w:t>
            </w:r>
          </w:p>
        </w:tc>
        <w:tc>
          <w:tcPr>
            <w:tcW w:w="1275" w:type="dxa"/>
            <w:shd w:val="clear" w:color="auto" w:fill="auto"/>
            <w:vAlign w:val="bottom"/>
          </w:tcPr>
          <w:p w14:paraId="06FC7C84"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2.669</w:t>
            </w:r>
          </w:p>
        </w:tc>
        <w:tc>
          <w:tcPr>
            <w:tcW w:w="1276" w:type="dxa"/>
            <w:vAlign w:val="bottom"/>
          </w:tcPr>
          <w:p w14:paraId="1F41942B"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166.791</w:t>
            </w:r>
          </w:p>
        </w:tc>
        <w:tc>
          <w:tcPr>
            <w:tcW w:w="992" w:type="dxa"/>
            <w:vAlign w:val="bottom"/>
          </w:tcPr>
          <w:p w14:paraId="31DE02A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630</w:t>
            </w:r>
          </w:p>
        </w:tc>
        <w:tc>
          <w:tcPr>
            <w:tcW w:w="1276" w:type="dxa"/>
            <w:vAlign w:val="bottom"/>
          </w:tcPr>
          <w:p w14:paraId="2D1869A8"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8.440</w:t>
            </w:r>
          </w:p>
        </w:tc>
      </w:tr>
      <w:tr w:rsidR="0010654A" w:rsidRPr="00701F32" w14:paraId="78CBE77F" w14:textId="77777777" w:rsidTr="002E5672">
        <w:trPr>
          <w:trHeight w:val="455"/>
          <w:jc w:val="center"/>
        </w:trPr>
        <w:tc>
          <w:tcPr>
            <w:tcW w:w="1631" w:type="dxa"/>
            <w:shd w:val="clear" w:color="auto" w:fill="auto"/>
            <w:vAlign w:val="center"/>
            <w:hideMark/>
          </w:tcPr>
          <w:p w14:paraId="5DE0263B"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Sofital S.A.F. e I.I.</w:t>
            </w:r>
          </w:p>
        </w:tc>
        <w:tc>
          <w:tcPr>
            <w:tcW w:w="1406" w:type="dxa"/>
            <w:vAlign w:val="bottom"/>
          </w:tcPr>
          <w:p w14:paraId="7B278BEF"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5" w:type="dxa"/>
            <w:vAlign w:val="bottom"/>
          </w:tcPr>
          <w:p w14:paraId="37303C3F"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5" w:type="dxa"/>
            <w:shd w:val="clear" w:color="auto" w:fill="auto"/>
            <w:vAlign w:val="bottom"/>
          </w:tcPr>
          <w:p w14:paraId="5084106E"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100</w:t>
            </w:r>
          </w:p>
        </w:tc>
        <w:tc>
          <w:tcPr>
            <w:tcW w:w="1276" w:type="dxa"/>
            <w:vAlign w:val="bottom"/>
          </w:tcPr>
          <w:p w14:paraId="75773A1A"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992" w:type="dxa"/>
            <w:vAlign w:val="bottom"/>
          </w:tcPr>
          <w:p w14:paraId="79FCF818"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78C6AC4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10654A" w:rsidRPr="00701F32" w14:paraId="2698A550" w14:textId="77777777" w:rsidTr="002E5672">
        <w:trPr>
          <w:trHeight w:val="455"/>
          <w:jc w:val="center"/>
        </w:trPr>
        <w:tc>
          <w:tcPr>
            <w:tcW w:w="1631" w:type="dxa"/>
            <w:shd w:val="clear" w:color="auto" w:fill="auto"/>
            <w:vAlign w:val="center"/>
            <w:hideMark/>
          </w:tcPr>
          <w:p w14:paraId="417CECE5" w14:textId="77777777" w:rsidR="0010654A" w:rsidRPr="00701F32" w:rsidRDefault="0010654A" w:rsidP="002E5672">
            <w:pPr>
              <w:jc w:val="center"/>
              <w:rPr>
                <w:rFonts w:ascii="Arial" w:hAnsi="Arial" w:cs="Arial"/>
                <w:color w:val="000000" w:themeColor="text1"/>
                <w:sz w:val="16"/>
                <w:szCs w:val="16"/>
              </w:rPr>
            </w:pPr>
            <w:r w:rsidRPr="00701F32">
              <w:rPr>
                <w:rFonts w:ascii="Arial" w:hAnsi="Arial" w:cs="Arial"/>
                <w:color w:val="000000" w:themeColor="text1"/>
                <w:sz w:val="16"/>
                <w:szCs w:val="16"/>
              </w:rPr>
              <w:t>Espacio Cordial S.A.</w:t>
            </w:r>
          </w:p>
        </w:tc>
        <w:tc>
          <w:tcPr>
            <w:tcW w:w="1406" w:type="dxa"/>
            <w:vAlign w:val="bottom"/>
          </w:tcPr>
          <w:p w14:paraId="7098ED79"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3.522</w:t>
            </w:r>
          </w:p>
        </w:tc>
        <w:tc>
          <w:tcPr>
            <w:tcW w:w="1335" w:type="dxa"/>
            <w:vAlign w:val="bottom"/>
          </w:tcPr>
          <w:p w14:paraId="35DB2475"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5" w:type="dxa"/>
            <w:shd w:val="clear" w:color="auto" w:fill="auto"/>
            <w:vAlign w:val="bottom"/>
          </w:tcPr>
          <w:p w14:paraId="33126CC1"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221</w:t>
            </w:r>
          </w:p>
        </w:tc>
        <w:tc>
          <w:tcPr>
            <w:tcW w:w="1276" w:type="dxa"/>
            <w:vAlign w:val="bottom"/>
          </w:tcPr>
          <w:p w14:paraId="64E2F031"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992" w:type="dxa"/>
            <w:vAlign w:val="bottom"/>
          </w:tcPr>
          <w:p w14:paraId="71257DF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465E315D"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39</w:t>
            </w:r>
          </w:p>
        </w:tc>
      </w:tr>
      <w:tr w:rsidR="0010654A" w:rsidRPr="00701F32" w14:paraId="5B24BFA0" w14:textId="77777777" w:rsidTr="002E5672">
        <w:trPr>
          <w:trHeight w:val="455"/>
          <w:jc w:val="center"/>
        </w:trPr>
        <w:tc>
          <w:tcPr>
            <w:tcW w:w="1631" w:type="dxa"/>
            <w:shd w:val="clear" w:color="auto" w:fill="auto"/>
            <w:vAlign w:val="center"/>
          </w:tcPr>
          <w:p w14:paraId="490AB073"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rPr>
              <w:t>Supervielle Seguros S.A.</w:t>
            </w:r>
          </w:p>
        </w:tc>
        <w:tc>
          <w:tcPr>
            <w:tcW w:w="1406" w:type="dxa"/>
            <w:vAlign w:val="bottom"/>
          </w:tcPr>
          <w:p w14:paraId="3A200312"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5" w:type="dxa"/>
            <w:vAlign w:val="bottom"/>
          </w:tcPr>
          <w:p w14:paraId="79229477"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5" w:type="dxa"/>
            <w:shd w:val="clear" w:color="auto" w:fill="auto"/>
            <w:vAlign w:val="bottom"/>
          </w:tcPr>
          <w:p w14:paraId="3EA68BA5"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71.291</w:t>
            </w:r>
          </w:p>
        </w:tc>
        <w:tc>
          <w:tcPr>
            <w:tcW w:w="1276" w:type="dxa"/>
            <w:vAlign w:val="bottom"/>
          </w:tcPr>
          <w:p w14:paraId="164820DF"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992" w:type="dxa"/>
            <w:vAlign w:val="bottom"/>
          </w:tcPr>
          <w:p w14:paraId="6821BC03"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2.028</w:t>
            </w:r>
          </w:p>
        </w:tc>
        <w:tc>
          <w:tcPr>
            <w:tcW w:w="1276" w:type="dxa"/>
            <w:vAlign w:val="bottom"/>
          </w:tcPr>
          <w:p w14:paraId="7136B759"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10654A" w:rsidRPr="00701F32" w14:paraId="702B03CB" w14:textId="77777777" w:rsidTr="002E5672">
        <w:trPr>
          <w:trHeight w:val="455"/>
          <w:jc w:val="center"/>
        </w:trPr>
        <w:tc>
          <w:tcPr>
            <w:tcW w:w="1631" w:type="dxa"/>
            <w:shd w:val="clear" w:color="auto" w:fill="auto"/>
            <w:vAlign w:val="center"/>
            <w:hideMark/>
          </w:tcPr>
          <w:p w14:paraId="2BD8455A"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Cordial Microfinanzas S.A.</w:t>
            </w:r>
          </w:p>
        </w:tc>
        <w:tc>
          <w:tcPr>
            <w:tcW w:w="1406" w:type="dxa"/>
            <w:vAlign w:val="bottom"/>
          </w:tcPr>
          <w:p w14:paraId="22E95A93"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2.123</w:t>
            </w:r>
          </w:p>
        </w:tc>
        <w:tc>
          <w:tcPr>
            <w:tcW w:w="1335" w:type="dxa"/>
            <w:vAlign w:val="bottom"/>
          </w:tcPr>
          <w:p w14:paraId="6D447AD0"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1275" w:type="dxa"/>
            <w:shd w:val="clear" w:color="auto" w:fill="auto"/>
            <w:vAlign w:val="bottom"/>
          </w:tcPr>
          <w:p w14:paraId="77286D5A"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144</w:t>
            </w:r>
          </w:p>
        </w:tc>
        <w:tc>
          <w:tcPr>
            <w:tcW w:w="1276" w:type="dxa"/>
            <w:vAlign w:val="bottom"/>
          </w:tcPr>
          <w:p w14:paraId="64F81632"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992" w:type="dxa"/>
            <w:vAlign w:val="bottom"/>
          </w:tcPr>
          <w:p w14:paraId="1C7869C9"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527F13E4"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10654A" w:rsidRPr="00701F32" w14:paraId="08BB4CD0" w14:textId="77777777" w:rsidTr="002E5672">
        <w:trPr>
          <w:trHeight w:val="455"/>
          <w:jc w:val="center"/>
        </w:trPr>
        <w:tc>
          <w:tcPr>
            <w:tcW w:w="1631" w:type="dxa"/>
            <w:shd w:val="clear" w:color="auto" w:fill="auto"/>
            <w:vAlign w:val="center"/>
            <w:hideMark/>
          </w:tcPr>
          <w:p w14:paraId="3D3D6727"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Tarjeta Automática S.A.</w:t>
            </w:r>
          </w:p>
        </w:tc>
        <w:tc>
          <w:tcPr>
            <w:tcW w:w="1406" w:type="dxa"/>
            <w:vAlign w:val="bottom"/>
          </w:tcPr>
          <w:p w14:paraId="77AB05ED"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1.398</w:t>
            </w:r>
          </w:p>
        </w:tc>
        <w:tc>
          <w:tcPr>
            <w:tcW w:w="1335" w:type="dxa"/>
            <w:vAlign w:val="bottom"/>
          </w:tcPr>
          <w:p w14:paraId="770F4F3A"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5" w:type="dxa"/>
            <w:shd w:val="clear" w:color="auto" w:fill="auto"/>
            <w:vAlign w:val="bottom"/>
          </w:tcPr>
          <w:p w14:paraId="215F674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977</w:t>
            </w:r>
          </w:p>
        </w:tc>
        <w:tc>
          <w:tcPr>
            <w:tcW w:w="1276" w:type="dxa"/>
            <w:vAlign w:val="bottom"/>
          </w:tcPr>
          <w:p w14:paraId="64099E00"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992" w:type="dxa"/>
            <w:vAlign w:val="bottom"/>
          </w:tcPr>
          <w:p w14:paraId="5FFF6155"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6345D2F8"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r>
      <w:tr w:rsidR="0010654A" w:rsidRPr="00701F32" w14:paraId="113DF8D8" w14:textId="77777777" w:rsidTr="002E5672">
        <w:trPr>
          <w:trHeight w:val="455"/>
          <w:jc w:val="center"/>
        </w:trPr>
        <w:tc>
          <w:tcPr>
            <w:tcW w:w="1631" w:type="dxa"/>
            <w:shd w:val="clear" w:color="auto" w:fill="auto"/>
            <w:vAlign w:val="center"/>
            <w:hideMark/>
          </w:tcPr>
          <w:p w14:paraId="147E7D70" w14:textId="77777777" w:rsidR="0010654A" w:rsidRPr="00701F32" w:rsidRDefault="0010654A" w:rsidP="002E5672">
            <w:pPr>
              <w:tabs>
                <w:tab w:val="left" w:pos="142"/>
              </w:tabs>
              <w:jc w:val="center"/>
              <w:rPr>
                <w:rFonts w:ascii="Arial" w:hAnsi="Arial" w:cs="Arial"/>
                <w:color w:val="000000" w:themeColor="text1"/>
                <w:sz w:val="16"/>
                <w:szCs w:val="16"/>
                <w:lang w:val="en-US" w:eastAsia="es-AR"/>
              </w:rPr>
            </w:pPr>
            <w:r w:rsidRPr="00701F32">
              <w:rPr>
                <w:rFonts w:ascii="Arial" w:hAnsi="Arial" w:cs="Arial"/>
                <w:color w:val="000000" w:themeColor="text1"/>
                <w:sz w:val="16"/>
                <w:szCs w:val="16"/>
                <w:lang w:val="en-US" w:eastAsia="es-AR"/>
              </w:rPr>
              <w:t>Supervielle Asset Management S.A.</w:t>
            </w:r>
          </w:p>
        </w:tc>
        <w:tc>
          <w:tcPr>
            <w:tcW w:w="1406" w:type="dxa"/>
            <w:vAlign w:val="bottom"/>
          </w:tcPr>
          <w:p w14:paraId="539EFC2A"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5" w:type="dxa"/>
            <w:vAlign w:val="bottom"/>
          </w:tcPr>
          <w:p w14:paraId="153CC63B"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5" w:type="dxa"/>
            <w:shd w:val="clear" w:color="auto" w:fill="auto"/>
            <w:vAlign w:val="bottom"/>
          </w:tcPr>
          <w:p w14:paraId="578D7948"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3.275</w:t>
            </w:r>
          </w:p>
        </w:tc>
        <w:tc>
          <w:tcPr>
            <w:tcW w:w="1276" w:type="dxa"/>
            <w:vAlign w:val="bottom"/>
          </w:tcPr>
          <w:p w14:paraId="6972B3AB"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 -</w:t>
            </w:r>
          </w:p>
        </w:tc>
        <w:tc>
          <w:tcPr>
            <w:tcW w:w="992" w:type="dxa"/>
            <w:vAlign w:val="bottom"/>
          </w:tcPr>
          <w:p w14:paraId="70639244"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36EF312A"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10654A" w:rsidRPr="00701F32" w14:paraId="5D2CE6E4" w14:textId="77777777" w:rsidTr="002E5672">
        <w:trPr>
          <w:trHeight w:val="455"/>
          <w:jc w:val="center"/>
        </w:trPr>
        <w:tc>
          <w:tcPr>
            <w:tcW w:w="1631" w:type="dxa"/>
            <w:shd w:val="clear" w:color="auto" w:fill="auto"/>
            <w:vAlign w:val="center"/>
          </w:tcPr>
          <w:p w14:paraId="11802F1E"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Invertir OnLine S.A.</w:t>
            </w:r>
          </w:p>
        </w:tc>
        <w:tc>
          <w:tcPr>
            <w:tcW w:w="1406" w:type="dxa"/>
            <w:vAlign w:val="bottom"/>
          </w:tcPr>
          <w:p w14:paraId="7D9C51A9"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335" w:type="dxa"/>
            <w:vAlign w:val="bottom"/>
          </w:tcPr>
          <w:p w14:paraId="70F5B056"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5" w:type="dxa"/>
            <w:shd w:val="clear" w:color="auto" w:fill="auto"/>
            <w:vAlign w:val="bottom"/>
          </w:tcPr>
          <w:p w14:paraId="1C7ABB78"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2B76B78C"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992" w:type="dxa"/>
            <w:vAlign w:val="bottom"/>
          </w:tcPr>
          <w:p w14:paraId="046C3E3E"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1276" w:type="dxa"/>
            <w:vAlign w:val="bottom"/>
          </w:tcPr>
          <w:p w14:paraId="479C95D5"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10654A" w:rsidRPr="00701F32" w14:paraId="1642E1D4" w14:textId="77777777" w:rsidTr="002E5672">
        <w:trPr>
          <w:trHeight w:val="455"/>
          <w:jc w:val="center"/>
        </w:trPr>
        <w:tc>
          <w:tcPr>
            <w:tcW w:w="1631" w:type="dxa"/>
            <w:shd w:val="clear" w:color="auto" w:fill="auto"/>
            <w:vAlign w:val="center"/>
          </w:tcPr>
          <w:p w14:paraId="1EA2A2DB"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eastAsia="Calibri" w:hAnsi="Arial" w:cs="Arial"/>
                <w:color w:val="000000"/>
                <w:sz w:val="16"/>
              </w:rPr>
              <w:t>Invertir OnLine.com Argentina S.A.</w:t>
            </w:r>
          </w:p>
        </w:tc>
        <w:tc>
          <w:tcPr>
            <w:tcW w:w="1406" w:type="dxa"/>
            <w:vAlign w:val="bottom"/>
          </w:tcPr>
          <w:p w14:paraId="604E5FDB"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335" w:type="dxa"/>
            <w:vAlign w:val="bottom"/>
          </w:tcPr>
          <w:p w14:paraId="39C04C85"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5" w:type="dxa"/>
            <w:shd w:val="clear" w:color="auto" w:fill="auto"/>
            <w:vAlign w:val="bottom"/>
          </w:tcPr>
          <w:p w14:paraId="21445CBD"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56A69101"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992" w:type="dxa"/>
            <w:vAlign w:val="bottom"/>
          </w:tcPr>
          <w:p w14:paraId="4F15C51B"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11376C50"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r>
      <w:tr w:rsidR="0010654A" w:rsidRPr="00701F32" w14:paraId="3BD159DE" w14:textId="77777777" w:rsidTr="002E5672">
        <w:trPr>
          <w:trHeight w:val="455"/>
          <w:jc w:val="center"/>
        </w:trPr>
        <w:tc>
          <w:tcPr>
            <w:tcW w:w="1631" w:type="dxa"/>
            <w:shd w:val="clear" w:color="auto" w:fill="auto"/>
            <w:vAlign w:val="center"/>
          </w:tcPr>
          <w:p w14:paraId="1EDE2E4D"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eastAsia="Calibri" w:hAnsi="Arial" w:cs="Arial"/>
                <w:color w:val="000000"/>
                <w:sz w:val="16"/>
              </w:rPr>
              <w:t>Micro Lending S.A.</w:t>
            </w:r>
          </w:p>
        </w:tc>
        <w:tc>
          <w:tcPr>
            <w:tcW w:w="1406" w:type="dxa"/>
            <w:vAlign w:val="bottom"/>
          </w:tcPr>
          <w:p w14:paraId="4CA300DC"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335" w:type="dxa"/>
            <w:vAlign w:val="bottom"/>
          </w:tcPr>
          <w:p w14:paraId="2464DD4D"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5" w:type="dxa"/>
            <w:shd w:val="clear" w:color="auto" w:fill="auto"/>
            <w:vAlign w:val="bottom"/>
          </w:tcPr>
          <w:p w14:paraId="4C8AA398"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7DB2E923"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992" w:type="dxa"/>
            <w:vAlign w:val="bottom"/>
          </w:tcPr>
          <w:p w14:paraId="53A6EBA2"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c>
          <w:tcPr>
            <w:tcW w:w="1276" w:type="dxa"/>
            <w:vAlign w:val="bottom"/>
          </w:tcPr>
          <w:p w14:paraId="45AA92DF" w14:textId="77777777" w:rsidR="0010654A" w:rsidRPr="00701F32" w:rsidRDefault="0010654A" w:rsidP="002E5672">
            <w:pPr>
              <w:jc w:val="right"/>
              <w:rPr>
                <w:rFonts w:ascii="Arial" w:hAnsi="Arial" w:cs="Arial"/>
                <w:color w:val="000000" w:themeColor="text1"/>
                <w:sz w:val="16"/>
                <w:szCs w:val="16"/>
              </w:rPr>
            </w:pPr>
            <w:r w:rsidRPr="00701F32">
              <w:rPr>
                <w:rFonts w:ascii="Arial" w:hAnsi="Arial" w:cs="Arial"/>
                <w:color w:val="000000" w:themeColor="text1"/>
                <w:sz w:val="16"/>
                <w:szCs w:val="16"/>
              </w:rPr>
              <w:t>-</w:t>
            </w:r>
          </w:p>
        </w:tc>
      </w:tr>
      <w:tr w:rsidR="0010654A" w:rsidRPr="00701F32" w14:paraId="74573FE1" w14:textId="77777777" w:rsidTr="002E5672">
        <w:trPr>
          <w:trHeight w:val="455"/>
          <w:jc w:val="center"/>
        </w:trPr>
        <w:tc>
          <w:tcPr>
            <w:tcW w:w="1631" w:type="dxa"/>
            <w:shd w:val="clear" w:color="auto" w:fill="auto"/>
            <w:vAlign w:val="center"/>
            <w:hideMark/>
          </w:tcPr>
          <w:p w14:paraId="69715FDB" w14:textId="77777777" w:rsidR="0010654A" w:rsidRPr="00701F32" w:rsidRDefault="0010654A" w:rsidP="002E5672">
            <w:pPr>
              <w:tabs>
                <w:tab w:val="left" w:pos="142"/>
              </w:tabs>
              <w:jc w:val="center"/>
              <w:rPr>
                <w:rFonts w:ascii="Arial" w:hAnsi="Arial" w:cs="Arial"/>
                <w:color w:val="000000" w:themeColor="text1"/>
                <w:sz w:val="16"/>
                <w:szCs w:val="16"/>
                <w:lang w:eastAsia="es-AR"/>
              </w:rPr>
            </w:pPr>
            <w:r w:rsidRPr="00701F32">
              <w:rPr>
                <w:rFonts w:ascii="Arial" w:hAnsi="Arial" w:cs="Arial"/>
                <w:color w:val="000000" w:themeColor="text1"/>
                <w:sz w:val="16"/>
                <w:szCs w:val="16"/>
                <w:lang w:eastAsia="es-AR"/>
              </w:rPr>
              <w:t>Grupo Supervielle S.A.</w:t>
            </w:r>
          </w:p>
        </w:tc>
        <w:tc>
          <w:tcPr>
            <w:tcW w:w="1406" w:type="dxa"/>
            <w:vAlign w:val="bottom"/>
          </w:tcPr>
          <w:p w14:paraId="3D7735F7"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5</w:t>
            </w:r>
          </w:p>
        </w:tc>
        <w:tc>
          <w:tcPr>
            <w:tcW w:w="1335" w:type="dxa"/>
            <w:vAlign w:val="bottom"/>
          </w:tcPr>
          <w:p w14:paraId="215E23AB"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19.660</w:t>
            </w:r>
          </w:p>
        </w:tc>
        <w:tc>
          <w:tcPr>
            <w:tcW w:w="1275" w:type="dxa"/>
            <w:shd w:val="clear" w:color="auto" w:fill="auto"/>
            <w:vAlign w:val="bottom"/>
          </w:tcPr>
          <w:p w14:paraId="338B0FEB"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3.049</w:t>
            </w:r>
          </w:p>
        </w:tc>
        <w:tc>
          <w:tcPr>
            <w:tcW w:w="1276" w:type="dxa"/>
            <w:vAlign w:val="bottom"/>
          </w:tcPr>
          <w:p w14:paraId="78EE7812"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c>
          <w:tcPr>
            <w:tcW w:w="992" w:type="dxa"/>
            <w:vAlign w:val="bottom"/>
          </w:tcPr>
          <w:p w14:paraId="6F81323D"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48.180</w:t>
            </w:r>
          </w:p>
        </w:tc>
        <w:tc>
          <w:tcPr>
            <w:tcW w:w="1276" w:type="dxa"/>
            <w:vAlign w:val="bottom"/>
          </w:tcPr>
          <w:p w14:paraId="4A7136FC" w14:textId="77777777" w:rsidR="0010654A" w:rsidRPr="00701F32" w:rsidRDefault="0010654A" w:rsidP="002E5672">
            <w:pPr>
              <w:jc w:val="right"/>
              <w:rPr>
                <w:rFonts w:ascii="Arial" w:hAnsi="Arial" w:cs="Arial"/>
                <w:color w:val="000000" w:themeColor="text1"/>
                <w:sz w:val="16"/>
                <w:szCs w:val="16"/>
                <w:lang w:val="es-ES_tradnl"/>
              </w:rPr>
            </w:pPr>
            <w:r w:rsidRPr="00701F32">
              <w:rPr>
                <w:rFonts w:ascii="Arial" w:hAnsi="Arial" w:cs="Arial"/>
                <w:color w:val="000000" w:themeColor="text1"/>
                <w:sz w:val="16"/>
                <w:szCs w:val="16"/>
              </w:rPr>
              <w:t>-</w:t>
            </w:r>
          </w:p>
        </w:tc>
      </w:tr>
      <w:tr w:rsidR="0010654A" w:rsidRPr="00701F32" w14:paraId="015D01DE" w14:textId="77777777" w:rsidTr="002E5672">
        <w:trPr>
          <w:trHeight w:val="455"/>
          <w:jc w:val="center"/>
        </w:trPr>
        <w:tc>
          <w:tcPr>
            <w:tcW w:w="1631" w:type="dxa"/>
            <w:shd w:val="clear" w:color="auto" w:fill="auto"/>
            <w:vAlign w:val="center"/>
            <w:hideMark/>
          </w:tcPr>
          <w:p w14:paraId="523A8EE0" w14:textId="77777777" w:rsidR="0010654A" w:rsidRPr="00701F32" w:rsidRDefault="0010654A" w:rsidP="002E5672">
            <w:pPr>
              <w:tabs>
                <w:tab w:val="left" w:pos="142"/>
              </w:tabs>
              <w:jc w:val="right"/>
              <w:rPr>
                <w:rFonts w:ascii="Arial" w:hAnsi="Arial" w:cs="Arial"/>
                <w:b/>
                <w:bCs/>
                <w:color w:val="000000" w:themeColor="text1"/>
                <w:sz w:val="16"/>
                <w:szCs w:val="16"/>
                <w:lang w:eastAsia="es-AR"/>
              </w:rPr>
            </w:pPr>
            <w:r w:rsidRPr="00701F32">
              <w:rPr>
                <w:rFonts w:ascii="Arial" w:hAnsi="Arial" w:cs="Arial"/>
                <w:b/>
                <w:bCs/>
                <w:color w:val="000000" w:themeColor="text1"/>
                <w:sz w:val="16"/>
                <w:szCs w:val="16"/>
                <w:lang w:eastAsia="es-AR"/>
              </w:rPr>
              <w:t>TOTAL</w:t>
            </w:r>
          </w:p>
        </w:tc>
        <w:tc>
          <w:tcPr>
            <w:tcW w:w="1406" w:type="dxa"/>
            <w:vAlign w:val="bottom"/>
          </w:tcPr>
          <w:p w14:paraId="2B881632"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131.607</w:t>
            </w:r>
          </w:p>
        </w:tc>
        <w:tc>
          <w:tcPr>
            <w:tcW w:w="1335" w:type="dxa"/>
            <w:vAlign w:val="bottom"/>
          </w:tcPr>
          <w:p w14:paraId="1EC84872"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32.348</w:t>
            </w:r>
          </w:p>
        </w:tc>
        <w:tc>
          <w:tcPr>
            <w:tcW w:w="1275" w:type="dxa"/>
            <w:shd w:val="clear" w:color="auto" w:fill="auto"/>
            <w:vAlign w:val="bottom"/>
          </w:tcPr>
          <w:p w14:paraId="048FED72"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81.726</w:t>
            </w:r>
          </w:p>
        </w:tc>
        <w:tc>
          <w:tcPr>
            <w:tcW w:w="1276" w:type="dxa"/>
            <w:vAlign w:val="bottom"/>
          </w:tcPr>
          <w:p w14:paraId="2094F274"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166.791</w:t>
            </w:r>
          </w:p>
        </w:tc>
        <w:tc>
          <w:tcPr>
            <w:tcW w:w="992" w:type="dxa"/>
            <w:vAlign w:val="bottom"/>
          </w:tcPr>
          <w:p w14:paraId="0D25FCEC"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50.838</w:t>
            </w:r>
          </w:p>
        </w:tc>
        <w:tc>
          <w:tcPr>
            <w:tcW w:w="1276" w:type="dxa"/>
            <w:vAlign w:val="bottom"/>
          </w:tcPr>
          <w:p w14:paraId="0564A6BB" w14:textId="77777777" w:rsidR="0010654A" w:rsidRPr="00701F32" w:rsidRDefault="0010654A" w:rsidP="002E5672">
            <w:pPr>
              <w:jc w:val="right"/>
              <w:rPr>
                <w:rFonts w:ascii="Arial" w:hAnsi="Arial" w:cs="Arial"/>
                <w:b/>
                <w:bCs/>
                <w:color w:val="000000" w:themeColor="text1"/>
                <w:sz w:val="16"/>
                <w:szCs w:val="16"/>
                <w:lang w:val="es-ES_tradnl"/>
              </w:rPr>
            </w:pPr>
            <w:r w:rsidRPr="00701F32">
              <w:rPr>
                <w:rFonts w:ascii="Arial" w:hAnsi="Arial" w:cs="Arial"/>
                <w:b/>
                <w:bCs/>
                <w:color w:val="000000" w:themeColor="text1"/>
                <w:sz w:val="16"/>
                <w:szCs w:val="16"/>
              </w:rPr>
              <w:t>8.479</w:t>
            </w:r>
          </w:p>
        </w:tc>
      </w:tr>
    </w:tbl>
    <w:p w14:paraId="681D6262" w14:textId="77777777" w:rsidR="0010654A" w:rsidRPr="00701F32" w:rsidRDefault="0010654A" w:rsidP="0010654A">
      <w:pPr>
        <w:tabs>
          <w:tab w:val="left" w:pos="142"/>
        </w:tabs>
        <w:spacing w:after="160" w:line="259" w:lineRule="auto"/>
        <w:jc w:val="both"/>
        <w:rPr>
          <w:rFonts w:ascii="Arial" w:eastAsia="Calibri" w:hAnsi="Arial" w:cs="Arial"/>
          <w:color w:val="000000"/>
          <w:sz w:val="16"/>
        </w:rPr>
      </w:pPr>
    </w:p>
    <w:tbl>
      <w:tblPr>
        <w:tblW w:w="94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37"/>
        <w:gridCol w:w="1417"/>
        <w:gridCol w:w="1134"/>
        <w:gridCol w:w="1276"/>
        <w:gridCol w:w="1417"/>
        <w:gridCol w:w="1365"/>
        <w:gridCol w:w="1314"/>
      </w:tblGrid>
      <w:tr w:rsidR="0010654A" w:rsidRPr="00701F32" w14:paraId="3C1C2554" w14:textId="77777777" w:rsidTr="002E5672">
        <w:trPr>
          <w:trHeight w:val="455"/>
          <w:tblHeader/>
          <w:jc w:val="center"/>
        </w:trPr>
        <w:tc>
          <w:tcPr>
            <w:tcW w:w="1537" w:type="dxa"/>
            <w:vMerge w:val="restart"/>
            <w:shd w:val="clear" w:color="auto" w:fill="auto"/>
            <w:vAlign w:val="center"/>
            <w:hideMark/>
          </w:tcPr>
          <w:p w14:paraId="4A544768" w14:textId="77777777" w:rsidR="0010654A" w:rsidRPr="00701F32" w:rsidRDefault="0010654A" w:rsidP="002E5672">
            <w:pPr>
              <w:tabs>
                <w:tab w:val="left" w:pos="142"/>
              </w:tabs>
              <w:spacing w:after="160" w:line="259" w:lineRule="auto"/>
              <w:jc w:val="center"/>
              <w:rPr>
                <w:rFonts w:ascii="Arial" w:eastAsia="Calibri" w:hAnsi="Arial" w:cs="Arial"/>
                <w:b/>
                <w:color w:val="000000"/>
                <w:sz w:val="16"/>
                <w:lang w:eastAsia="es-AR"/>
              </w:rPr>
            </w:pPr>
            <w:r w:rsidRPr="00701F32">
              <w:rPr>
                <w:rFonts w:ascii="Arial" w:eastAsia="Calibri" w:hAnsi="Arial" w:cs="Arial"/>
                <w:b/>
                <w:color w:val="000000"/>
                <w:sz w:val="16"/>
                <w:lang w:eastAsia="es-AR"/>
              </w:rPr>
              <w:t>Sociedades</w:t>
            </w:r>
          </w:p>
        </w:tc>
        <w:tc>
          <w:tcPr>
            <w:tcW w:w="7923" w:type="dxa"/>
            <w:gridSpan w:val="6"/>
            <w:vAlign w:val="center"/>
          </w:tcPr>
          <w:p w14:paraId="1E44451D"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30/09/2017</w:t>
            </w:r>
          </w:p>
        </w:tc>
      </w:tr>
      <w:tr w:rsidR="0010654A" w:rsidRPr="00701F32" w14:paraId="7E1ECF46" w14:textId="77777777" w:rsidTr="002E5672">
        <w:trPr>
          <w:trHeight w:val="839"/>
          <w:tblHeader/>
          <w:jc w:val="center"/>
        </w:trPr>
        <w:tc>
          <w:tcPr>
            <w:tcW w:w="1537" w:type="dxa"/>
            <w:vMerge/>
            <w:shd w:val="clear" w:color="auto" w:fill="auto"/>
            <w:vAlign w:val="center"/>
            <w:hideMark/>
          </w:tcPr>
          <w:p w14:paraId="1ED0DF69"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p>
        </w:tc>
        <w:tc>
          <w:tcPr>
            <w:tcW w:w="1417" w:type="dxa"/>
            <w:vAlign w:val="center"/>
          </w:tcPr>
          <w:p w14:paraId="4E177518"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Intereses</w:t>
            </w:r>
          </w:p>
        </w:tc>
        <w:tc>
          <w:tcPr>
            <w:tcW w:w="1134" w:type="dxa"/>
            <w:vAlign w:val="center"/>
          </w:tcPr>
          <w:p w14:paraId="74F3EB2A"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intereses</w:t>
            </w:r>
          </w:p>
        </w:tc>
        <w:tc>
          <w:tcPr>
            <w:tcW w:w="1276" w:type="dxa"/>
            <w:shd w:val="clear" w:color="auto" w:fill="auto"/>
            <w:vAlign w:val="center"/>
          </w:tcPr>
          <w:p w14:paraId="4C91951B"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Ingresos   por   Comisiones</w:t>
            </w:r>
          </w:p>
        </w:tc>
        <w:tc>
          <w:tcPr>
            <w:tcW w:w="1417" w:type="dxa"/>
            <w:vAlign w:val="center"/>
          </w:tcPr>
          <w:p w14:paraId="0812078D"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Egresos por Comisiones</w:t>
            </w:r>
          </w:p>
        </w:tc>
        <w:tc>
          <w:tcPr>
            <w:tcW w:w="1365" w:type="dxa"/>
            <w:vAlign w:val="center"/>
          </w:tcPr>
          <w:p w14:paraId="36B85E6D"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Gastos de Administración</w:t>
            </w:r>
          </w:p>
        </w:tc>
        <w:tc>
          <w:tcPr>
            <w:tcW w:w="1314" w:type="dxa"/>
            <w:vAlign w:val="center"/>
          </w:tcPr>
          <w:p w14:paraId="5A0B49E5" w14:textId="77777777" w:rsidR="0010654A" w:rsidRPr="00701F32" w:rsidRDefault="0010654A" w:rsidP="002E5672">
            <w:pPr>
              <w:spacing w:after="160" w:line="259" w:lineRule="auto"/>
              <w:jc w:val="center"/>
              <w:rPr>
                <w:rFonts w:ascii="Arial" w:eastAsia="Calibri" w:hAnsi="Arial" w:cs="Arial"/>
                <w:b/>
                <w:color w:val="000000"/>
                <w:sz w:val="16"/>
              </w:rPr>
            </w:pPr>
            <w:r w:rsidRPr="00701F32">
              <w:rPr>
                <w:rFonts w:ascii="Arial" w:eastAsia="Calibri" w:hAnsi="Arial" w:cs="Arial"/>
                <w:b/>
                <w:color w:val="000000"/>
                <w:sz w:val="16"/>
              </w:rPr>
              <w:t>Otros Ingresos Operativos</w:t>
            </w:r>
          </w:p>
        </w:tc>
      </w:tr>
      <w:tr w:rsidR="0010654A" w:rsidRPr="00701F32" w14:paraId="2FB9F81A" w14:textId="77777777" w:rsidTr="002E5672">
        <w:trPr>
          <w:trHeight w:val="455"/>
          <w:jc w:val="center"/>
        </w:trPr>
        <w:tc>
          <w:tcPr>
            <w:tcW w:w="1537" w:type="dxa"/>
            <w:shd w:val="clear" w:color="auto" w:fill="auto"/>
            <w:vAlign w:val="center"/>
            <w:hideMark/>
          </w:tcPr>
          <w:p w14:paraId="7F029EA5"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Cía. Financiera SA</w:t>
            </w:r>
          </w:p>
        </w:tc>
        <w:tc>
          <w:tcPr>
            <w:tcW w:w="1417" w:type="dxa"/>
            <w:vAlign w:val="bottom"/>
          </w:tcPr>
          <w:p w14:paraId="228D27A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81.692</w:t>
            </w:r>
          </w:p>
        </w:tc>
        <w:tc>
          <w:tcPr>
            <w:tcW w:w="1134" w:type="dxa"/>
            <w:vAlign w:val="bottom"/>
          </w:tcPr>
          <w:p w14:paraId="1C367042"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6F7D57D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6.535</w:t>
            </w:r>
          </w:p>
        </w:tc>
        <w:tc>
          <w:tcPr>
            <w:tcW w:w="1417" w:type="dxa"/>
            <w:vAlign w:val="bottom"/>
          </w:tcPr>
          <w:p w14:paraId="36A0827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153.258</w:t>
            </w:r>
          </w:p>
        </w:tc>
        <w:tc>
          <w:tcPr>
            <w:tcW w:w="1365" w:type="dxa"/>
            <w:vAlign w:val="bottom"/>
          </w:tcPr>
          <w:p w14:paraId="46BAE11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459</w:t>
            </w:r>
          </w:p>
        </w:tc>
        <w:tc>
          <w:tcPr>
            <w:tcW w:w="1314" w:type="dxa"/>
            <w:vAlign w:val="bottom"/>
          </w:tcPr>
          <w:p w14:paraId="0A59BD2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634E6596" w14:textId="77777777" w:rsidTr="002E5672">
        <w:trPr>
          <w:trHeight w:val="455"/>
          <w:jc w:val="center"/>
        </w:trPr>
        <w:tc>
          <w:tcPr>
            <w:tcW w:w="1537" w:type="dxa"/>
            <w:shd w:val="clear" w:color="auto" w:fill="auto"/>
            <w:vAlign w:val="center"/>
            <w:hideMark/>
          </w:tcPr>
          <w:p w14:paraId="0C6FD81D"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Sofital S.A.F. e I.I.</w:t>
            </w:r>
          </w:p>
        </w:tc>
        <w:tc>
          <w:tcPr>
            <w:tcW w:w="1417" w:type="dxa"/>
            <w:vAlign w:val="bottom"/>
          </w:tcPr>
          <w:p w14:paraId="39C27BC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751306FC"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75FFEA4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33</w:t>
            </w:r>
          </w:p>
        </w:tc>
        <w:tc>
          <w:tcPr>
            <w:tcW w:w="1417" w:type="dxa"/>
            <w:vAlign w:val="bottom"/>
          </w:tcPr>
          <w:p w14:paraId="75CAB16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365" w:type="dxa"/>
            <w:vAlign w:val="bottom"/>
          </w:tcPr>
          <w:p w14:paraId="7C059F8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7EC4E9E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1A499237" w14:textId="77777777" w:rsidTr="002E5672">
        <w:trPr>
          <w:trHeight w:val="455"/>
          <w:jc w:val="center"/>
        </w:trPr>
        <w:tc>
          <w:tcPr>
            <w:tcW w:w="1537" w:type="dxa"/>
            <w:shd w:val="clear" w:color="auto" w:fill="auto"/>
            <w:vAlign w:val="center"/>
            <w:hideMark/>
          </w:tcPr>
          <w:p w14:paraId="519C1285" w14:textId="77777777" w:rsidR="0010654A" w:rsidRPr="00701F32" w:rsidRDefault="0010654A" w:rsidP="002E5672">
            <w:pPr>
              <w:spacing w:after="160" w:line="259" w:lineRule="auto"/>
              <w:jc w:val="center"/>
              <w:rPr>
                <w:rFonts w:ascii="Arial" w:eastAsia="Calibri" w:hAnsi="Arial" w:cs="Arial"/>
                <w:color w:val="000000"/>
                <w:sz w:val="16"/>
              </w:rPr>
            </w:pPr>
            <w:r w:rsidRPr="00701F32">
              <w:rPr>
                <w:rFonts w:ascii="Arial" w:eastAsia="Calibri" w:hAnsi="Arial" w:cs="Arial"/>
                <w:color w:val="000000"/>
                <w:sz w:val="16"/>
              </w:rPr>
              <w:t>Espacio Cordial S.A.</w:t>
            </w:r>
          </w:p>
        </w:tc>
        <w:tc>
          <w:tcPr>
            <w:tcW w:w="1417" w:type="dxa"/>
            <w:vAlign w:val="bottom"/>
          </w:tcPr>
          <w:p w14:paraId="6B7F48C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3.502</w:t>
            </w:r>
          </w:p>
        </w:tc>
        <w:tc>
          <w:tcPr>
            <w:tcW w:w="1134" w:type="dxa"/>
            <w:vAlign w:val="bottom"/>
          </w:tcPr>
          <w:p w14:paraId="0D184A5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77E9E20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154</w:t>
            </w:r>
          </w:p>
        </w:tc>
        <w:tc>
          <w:tcPr>
            <w:tcW w:w="1417" w:type="dxa"/>
            <w:vAlign w:val="bottom"/>
          </w:tcPr>
          <w:p w14:paraId="6290CCE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5" w:type="dxa"/>
            <w:vAlign w:val="bottom"/>
          </w:tcPr>
          <w:p w14:paraId="6811BA1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0B1E08F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183DBD4B" w14:textId="77777777" w:rsidTr="002E5672">
        <w:trPr>
          <w:trHeight w:val="455"/>
          <w:jc w:val="center"/>
        </w:trPr>
        <w:tc>
          <w:tcPr>
            <w:tcW w:w="1537" w:type="dxa"/>
            <w:shd w:val="clear" w:color="auto" w:fill="auto"/>
            <w:vAlign w:val="center"/>
          </w:tcPr>
          <w:p w14:paraId="137B1635"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Supervielle Seguros S.A.</w:t>
            </w:r>
          </w:p>
        </w:tc>
        <w:tc>
          <w:tcPr>
            <w:tcW w:w="1417" w:type="dxa"/>
            <w:vAlign w:val="bottom"/>
          </w:tcPr>
          <w:p w14:paraId="740FBB0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1A8607B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22E2656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43.587</w:t>
            </w:r>
          </w:p>
        </w:tc>
        <w:tc>
          <w:tcPr>
            <w:tcW w:w="1417" w:type="dxa"/>
            <w:vAlign w:val="bottom"/>
          </w:tcPr>
          <w:p w14:paraId="6259C2B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5" w:type="dxa"/>
            <w:vAlign w:val="bottom"/>
          </w:tcPr>
          <w:p w14:paraId="288ECDB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1.159</w:t>
            </w:r>
          </w:p>
        </w:tc>
        <w:tc>
          <w:tcPr>
            <w:tcW w:w="1314" w:type="dxa"/>
            <w:vAlign w:val="bottom"/>
          </w:tcPr>
          <w:p w14:paraId="09763E3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6E621873" w14:textId="77777777" w:rsidTr="002E5672">
        <w:trPr>
          <w:trHeight w:val="455"/>
          <w:jc w:val="center"/>
        </w:trPr>
        <w:tc>
          <w:tcPr>
            <w:tcW w:w="1537" w:type="dxa"/>
            <w:shd w:val="clear" w:color="auto" w:fill="auto"/>
            <w:vAlign w:val="center"/>
            <w:hideMark/>
          </w:tcPr>
          <w:p w14:paraId="13939CA6"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Cordial Microfinanzas S.A.</w:t>
            </w:r>
          </w:p>
        </w:tc>
        <w:tc>
          <w:tcPr>
            <w:tcW w:w="1417" w:type="dxa"/>
            <w:vAlign w:val="bottom"/>
          </w:tcPr>
          <w:p w14:paraId="20ED3AD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2.123</w:t>
            </w:r>
          </w:p>
        </w:tc>
        <w:tc>
          <w:tcPr>
            <w:tcW w:w="1134" w:type="dxa"/>
            <w:vAlign w:val="bottom"/>
          </w:tcPr>
          <w:p w14:paraId="47F6F5DD"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276" w:type="dxa"/>
            <w:shd w:val="clear" w:color="auto" w:fill="auto"/>
            <w:vAlign w:val="bottom"/>
          </w:tcPr>
          <w:p w14:paraId="6842FC1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144</w:t>
            </w:r>
          </w:p>
        </w:tc>
        <w:tc>
          <w:tcPr>
            <w:tcW w:w="1417" w:type="dxa"/>
            <w:vAlign w:val="bottom"/>
          </w:tcPr>
          <w:p w14:paraId="6CCF0D1F"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365" w:type="dxa"/>
            <w:vAlign w:val="bottom"/>
          </w:tcPr>
          <w:p w14:paraId="5E3752A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0B69A16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322D4B0B" w14:textId="77777777" w:rsidTr="002E5672">
        <w:trPr>
          <w:trHeight w:val="455"/>
          <w:jc w:val="center"/>
        </w:trPr>
        <w:tc>
          <w:tcPr>
            <w:tcW w:w="1537" w:type="dxa"/>
            <w:shd w:val="clear" w:color="auto" w:fill="auto"/>
            <w:vAlign w:val="center"/>
            <w:hideMark/>
          </w:tcPr>
          <w:p w14:paraId="4450F5C7"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Tarjeta Automática S.A.</w:t>
            </w:r>
          </w:p>
        </w:tc>
        <w:tc>
          <w:tcPr>
            <w:tcW w:w="1417" w:type="dxa"/>
            <w:vAlign w:val="bottom"/>
          </w:tcPr>
          <w:p w14:paraId="70F1B2D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515</w:t>
            </w:r>
          </w:p>
        </w:tc>
        <w:tc>
          <w:tcPr>
            <w:tcW w:w="1134" w:type="dxa"/>
            <w:vAlign w:val="bottom"/>
          </w:tcPr>
          <w:p w14:paraId="0366393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03AD066A"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186</w:t>
            </w:r>
          </w:p>
        </w:tc>
        <w:tc>
          <w:tcPr>
            <w:tcW w:w="1417" w:type="dxa"/>
            <w:vAlign w:val="bottom"/>
          </w:tcPr>
          <w:p w14:paraId="1FDBBC6B"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365" w:type="dxa"/>
            <w:vAlign w:val="bottom"/>
          </w:tcPr>
          <w:p w14:paraId="4BD81948"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3C4EB2C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375AA59A" w14:textId="77777777" w:rsidTr="002E5672">
        <w:trPr>
          <w:trHeight w:val="455"/>
          <w:jc w:val="center"/>
        </w:trPr>
        <w:tc>
          <w:tcPr>
            <w:tcW w:w="1537" w:type="dxa"/>
            <w:shd w:val="clear" w:color="auto" w:fill="auto"/>
            <w:vAlign w:val="center"/>
            <w:hideMark/>
          </w:tcPr>
          <w:p w14:paraId="0EA4BB2B"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val="en-US" w:eastAsia="es-AR"/>
              </w:rPr>
            </w:pPr>
            <w:r w:rsidRPr="00701F32">
              <w:rPr>
                <w:rFonts w:ascii="Arial" w:eastAsia="Calibri" w:hAnsi="Arial" w:cs="Arial"/>
                <w:color w:val="000000"/>
                <w:sz w:val="16"/>
                <w:lang w:val="en-US" w:eastAsia="es-AR"/>
              </w:rPr>
              <w:t>Supervielle Asset Management S.A.</w:t>
            </w:r>
          </w:p>
        </w:tc>
        <w:tc>
          <w:tcPr>
            <w:tcW w:w="1417" w:type="dxa"/>
            <w:vAlign w:val="bottom"/>
          </w:tcPr>
          <w:p w14:paraId="60AD0FC0"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6A421C4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0542CBD9"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1.006</w:t>
            </w:r>
          </w:p>
        </w:tc>
        <w:tc>
          <w:tcPr>
            <w:tcW w:w="1417" w:type="dxa"/>
            <w:vAlign w:val="bottom"/>
          </w:tcPr>
          <w:p w14:paraId="6E92FC5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365" w:type="dxa"/>
            <w:vAlign w:val="bottom"/>
          </w:tcPr>
          <w:p w14:paraId="17E6FAB6"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132CC3A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17D7CBCD" w14:textId="77777777" w:rsidTr="002E5672">
        <w:trPr>
          <w:trHeight w:val="455"/>
          <w:jc w:val="center"/>
        </w:trPr>
        <w:tc>
          <w:tcPr>
            <w:tcW w:w="1537" w:type="dxa"/>
            <w:shd w:val="clear" w:color="auto" w:fill="auto"/>
            <w:vAlign w:val="center"/>
          </w:tcPr>
          <w:p w14:paraId="2B8FC6CF"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Invertir OnLine S.A.</w:t>
            </w:r>
          </w:p>
        </w:tc>
        <w:tc>
          <w:tcPr>
            <w:tcW w:w="1417" w:type="dxa"/>
            <w:vAlign w:val="bottom"/>
          </w:tcPr>
          <w:p w14:paraId="45CAC01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134" w:type="dxa"/>
            <w:vAlign w:val="bottom"/>
          </w:tcPr>
          <w:p w14:paraId="0E3780A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276" w:type="dxa"/>
            <w:shd w:val="clear" w:color="auto" w:fill="auto"/>
            <w:vAlign w:val="bottom"/>
          </w:tcPr>
          <w:p w14:paraId="02505CA5"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417" w:type="dxa"/>
            <w:vAlign w:val="bottom"/>
          </w:tcPr>
          <w:p w14:paraId="5FFED9B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65" w:type="dxa"/>
            <w:vAlign w:val="bottom"/>
          </w:tcPr>
          <w:p w14:paraId="4EF32F0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c>
          <w:tcPr>
            <w:tcW w:w="1314" w:type="dxa"/>
            <w:vAlign w:val="bottom"/>
          </w:tcPr>
          <w:p w14:paraId="625FFF7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w:t>
            </w:r>
          </w:p>
        </w:tc>
      </w:tr>
      <w:tr w:rsidR="0010654A" w:rsidRPr="00701F32" w14:paraId="1E4EFC0A" w14:textId="77777777" w:rsidTr="002E5672">
        <w:trPr>
          <w:trHeight w:val="455"/>
          <w:jc w:val="center"/>
        </w:trPr>
        <w:tc>
          <w:tcPr>
            <w:tcW w:w="1537" w:type="dxa"/>
            <w:shd w:val="clear" w:color="auto" w:fill="auto"/>
            <w:vAlign w:val="center"/>
          </w:tcPr>
          <w:p w14:paraId="4CB235F6"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Invertir OnLine.com Argentina S.A.</w:t>
            </w:r>
          </w:p>
        </w:tc>
        <w:tc>
          <w:tcPr>
            <w:tcW w:w="1417" w:type="dxa"/>
            <w:vAlign w:val="bottom"/>
          </w:tcPr>
          <w:p w14:paraId="6BCD0AF0"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bottom"/>
          </w:tcPr>
          <w:p w14:paraId="34297A9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shd w:val="clear" w:color="auto" w:fill="auto"/>
            <w:vAlign w:val="bottom"/>
          </w:tcPr>
          <w:p w14:paraId="3650F82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7" w:type="dxa"/>
            <w:vAlign w:val="bottom"/>
          </w:tcPr>
          <w:p w14:paraId="5B4CCF53"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65" w:type="dxa"/>
            <w:vAlign w:val="bottom"/>
          </w:tcPr>
          <w:p w14:paraId="2CBA9738"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4" w:type="dxa"/>
            <w:vAlign w:val="bottom"/>
          </w:tcPr>
          <w:p w14:paraId="0D4800AF"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1AC9592B" w14:textId="77777777" w:rsidTr="002E5672">
        <w:trPr>
          <w:trHeight w:val="455"/>
          <w:jc w:val="center"/>
        </w:trPr>
        <w:tc>
          <w:tcPr>
            <w:tcW w:w="1537" w:type="dxa"/>
            <w:shd w:val="clear" w:color="auto" w:fill="auto"/>
            <w:vAlign w:val="center"/>
          </w:tcPr>
          <w:p w14:paraId="5727C387"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rPr>
              <w:t>Micro Lending S.A.</w:t>
            </w:r>
          </w:p>
        </w:tc>
        <w:tc>
          <w:tcPr>
            <w:tcW w:w="1417" w:type="dxa"/>
            <w:vAlign w:val="bottom"/>
          </w:tcPr>
          <w:p w14:paraId="2B84FF3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134" w:type="dxa"/>
            <w:vAlign w:val="bottom"/>
          </w:tcPr>
          <w:p w14:paraId="283FAD69"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276" w:type="dxa"/>
            <w:shd w:val="clear" w:color="auto" w:fill="auto"/>
            <w:vAlign w:val="bottom"/>
          </w:tcPr>
          <w:p w14:paraId="2DEC531D"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417" w:type="dxa"/>
            <w:vAlign w:val="bottom"/>
          </w:tcPr>
          <w:p w14:paraId="5E3D3B54"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65" w:type="dxa"/>
            <w:vAlign w:val="bottom"/>
          </w:tcPr>
          <w:p w14:paraId="6E19DD6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c>
          <w:tcPr>
            <w:tcW w:w="1314" w:type="dxa"/>
            <w:vAlign w:val="bottom"/>
          </w:tcPr>
          <w:p w14:paraId="714FBB17" w14:textId="77777777" w:rsidR="0010654A" w:rsidRPr="00701F32" w:rsidRDefault="0010654A" w:rsidP="002E5672">
            <w:pPr>
              <w:spacing w:after="160" w:line="259" w:lineRule="auto"/>
              <w:jc w:val="right"/>
              <w:rPr>
                <w:rFonts w:ascii="Arial" w:eastAsia="Calibri" w:hAnsi="Arial" w:cs="Arial"/>
                <w:color w:val="000000"/>
                <w:sz w:val="16"/>
              </w:rPr>
            </w:pPr>
            <w:r w:rsidRPr="00701F32">
              <w:rPr>
                <w:rFonts w:ascii="Arial" w:eastAsia="Calibri" w:hAnsi="Arial" w:cs="Arial"/>
                <w:color w:val="000000"/>
                <w:sz w:val="16"/>
              </w:rPr>
              <w:t>-</w:t>
            </w:r>
          </w:p>
        </w:tc>
      </w:tr>
      <w:tr w:rsidR="0010654A" w:rsidRPr="00701F32" w14:paraId="1296075D" w14:textId="77777777" w:rsidTr="002E5672">
        <w:trPr>
          <w:trHeight w:val="455"/>
          <w:jc w:val="center"/>
        </w:trPr>
        <w:tc>
          <w:tcPr>
            <w:tcW w:w="1537" w:type="dxa"/>
            <w:shd w:val="clear" w:color="auto" w:fill="auto"/>
            <w:vAlign w:val="center"/>
            <w:hideMark/>
          </w:tcPr>
          <w:p w14:paraId="396E8B2E" w14:textId="77777777" w:rsidR="0010654A" w:rsidRPr="00701F32" w:rsidRDefault="0010654A" w:rsidP="002E5672">
            <w:pPr>
              <w:tabs>
                <w:tab w:val="left" w:pos="142"/>
              </w:tabs>
              <w:spacing w:after="160" w:line="259" w:lineRule="auto"/>
              <w:jc w:val="center"/>
              <w:rPr>
                <w:rFonts w:ascii="Arial" w:eastAsia="Calibri" w:hAnsi="Arial" w:cs="Arial"/>
                <w:color w:val="000000"/>
                <w:sz w:val="16"/>
                <w:lang w:eastAsia="es-AR"/>
              </w:rPr>
            </w:pPr>
            <w:r w:rsidRPr="00701F32">
              <w:rPr>
                <w:rFonts w:ascii="Arial" w:eastAsia="Calibri" w:hAnsi="Arial" w:cs="Arial"/>
                <w:color w:val="000000"/>
                <w:sz w:val="16"/>
                <w:lang w:eastAsia="es-AR"/>
              </w:rPr>
              <w:t>Grupo Supervielle S.A.</w:t>
            </w:r>
          </w:p>
        </w:tc>
        <w:tc>
          <w:tcPr>
            <w:tcW w:w="1417" w:type="dxa"/>
            <w:vAlign w:val="bottom"/>
          </w:tcPr>
          <w:p w14:paraId="60DE4544"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5</w:t>
            </w:r>
          </w:p>
        </w:tc>
        <w:tc>
          <w:tcPr>
            <w:tcW w:w="1134" w:type="dxa"/>
            <w:vAlign w:val="bottom"/>
          </w:tcPr>
          <w:p w14:paraId="4A142E9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11.665</w:t>
            </w:r>
          </w:p>
        </w:tc>
        <w:tc>
          <w:tcPr>
            <w:tcW w:w="1276" w:type="dxa"/>
            <w:shd w:val="clear" w:color="auto" w:fill="auto"/>
            <w:vAlign w:val="bottom"/>
          </w:tcPr>
          <w:p w14:paraId="034B9453"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1.798</w:t>
            </w:r>
          </w:p>
        </w:tc>
        <w:tc>
          <w:tcPr>
            <w:tcW w:w="1417" w:type="dxa"/>
            <w:vAlign w:val="bottom"/>
          </w:tcPr>
          <w:p w14:paraId="0585DC3E"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c>
          <w:tcPr>
            <w:tcW w:w="1365" w:type="dxa"/>
            <w:vAlign w:val="bottom"/>
          </w:tcPr>
          <w:p w14:paraId="7B5EF0D1"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36.135</w:t>
            </w:r>
          </w:p>
        </w:tc>
        <w:tc>
          <w:tcPr>
            <w:tcW w:w="1314" w:type="dxa"/>
            <w:vAlign w:val="bottom"/>
          </w:tcPr>
          <w:p w14:paraId="04497EE7" w14:textId="77777777" w:rsidR="0010654A" w:rsidRPr="00701F32" w:rsidRDefault="0010654A" w:rsidP="002E5672">
            <w:pPr>
              <w:spacing w:after="160" w:line="259" w:lineRule="auto"/>
              <w:jc w:val="right"/>
              <w:rPr>
                <w:rFonts w:ascii="Arial" w:eastAsia="Calibri" w:hAnsi="Arial" w:cs="Arial"/>
                <w:color w:val="000000"/>
                <w:sz w:val="16"/>
                <w:lang w:val="es-ES_tradnl"/>
              </w:rPr>
            </w:pPr>
            <w:r w:rsidRPr="00701F32">
              <w:rPr>
                <w:rFonts w:ascii="Arial" w:eastAsia="Calibri" w:hAnsi="Arial" w:cs="Arial"/>
                <w:color w:val="000000"/>
                <w:sz w:val="16"/>
              </w:rPr>
              <w:t> -</w:t>
            </w:r>
          </w:p>
        </w:tc>
      </w:tr>
      <w:tr w:rsidR="0010654A" w:rsidRPr="00701F32" w14:paraId="4EE348F2" w14:textId="77777777" w:rsidTr="002E5672">
        <w:trPr>
          <w:trHeight w:val="455"/>
          <w:jc w:val="center"/>
        </w:trPr>
        <w:tc>
          <w:tcPr>
            <w:tcW w:w="1537" w:type="dxa"/>
            <w:shd w:val="clear" w:color="auto" w:fill="auto"/>
            <w:vAlign w:val="center"/>
            <w:hideMark/>
          </w:tcPr>
          <w:p w14:paraId="20A52B0B" w14:textId="77777777" w:rsidR="0010654A" w:rsidRPr="00701F32" w:rsidRDefault="0010654A" w:rsidP="002E5672">
            <w:pPr>
              <w:tabs>
                <w:tab w:val="left" w:pos="142"/>
              </w:tabs>
              <w:spacing w:after="160" w:line="259" w:lineRule="auto"/>
              <w:jc w:val="right"/>
              <w:rPr>
                <w:rFonts w:ascii="Arial" w:eastAsia="Calibri" w:hAnsi="Arial" w:cs="Arial"/>
                <w:b/>
                <w:bCs/>
                <w:color w:val="000000"/>
                <w:sz w:val="16"/>
                <w:lang w:eastAsia="es-AR"/>
              </w:rPr>
            </w:pPr>
            <w:r w:rsidRPr="00701F32">
              <w:rPr>
                <w:rFonts w:ascii="Arial" w:eastAsia="Calibri" w:hAnsi="Arial" w:cs="Arial"/>
                <w:b/>
                <w:bCs/>
                <w:color w:val="000000"/>
                <w:sz w:val="16"/>
                <w:lang w:eastAsia="es-AR"/>
              </w:rPr>
              <w:t>TOTAL</w:t>
            </w:r>
          </w:p>
        </w:tc>
        <w:tc>
          <w:tcPr>
            <w:tcW w:w="1417" w:type="dxa"/>
            <w:vAlign w:val="bottom"/>
          </w:tcPr>
          <w:p w14:paraId="7B70F792"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87.837</w:t>
            </w:r>
          </w:p>
        </w:tc>
        <w:tc>
          <w:tcPr>
            <w:tcW w:w="1134" w:type="dxa"/>
            <w:vAlign w:val="bottom"/>
          </w:tcPr>
          <w:p w14:paraId="37D68D2E"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11.665</w:t>
            </w:r>
          </w:p>
        </w:tc>
        <w:tc>
          <w:tcPr>
            <w:tcW w:w="1276" w:type="dxa"/>
            <w:shd w:val="clear" w:color="auto" w:fill="auto"/>
            <w:vAlign w:val="bottom"/>
          </w:tcPr>
          <w:p w14:paraId="3CF30257"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53.443</w:t>
            </w:r>
          </w:p>
        </w:tc>
        <w:tc>
          <w:tcPr>
            <w:tcW w:w="1417" w:type="dxa"/>
            <w:vAlign w:val="bottom"/>
          </w:tcPr>
          <w:p w14:paraId="51AD9B45"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153.258</w:t>
            </w:r>
          </w:p>
        </w:tc>
        <w:tc>
          <w:tcPr>
            <w:tcW w:w="1365" w:type="dxa"/>
            <w:vAlign w:val="bottom"/>
          </w:tcPr>
          <w:p w14:paraId="0C2A93D7"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37.753</w:t>
            </w:r>
          </w:p>
        </w:tc>
        <w:tc>
          <w:tcPr>
            <w:tcW w:w="1314" w:type="dxa"/>
            <w:vAlign w:val="bottom"/>
          </w:tcPr>
          <w:p w14:paraId="5876568D" w14:textId="77777777" w:rsidR="0010654A" w:rsidRPr="00701F32" w:rsidRDefault="0010654A" w:rsidP="002E5672">
            <w:pPr>
              <w:spacing w:after="160" w:line="259" w:lineRule="auto"/>
              <w:jc w:val="right"/>
              <w:rPr>
                <w:rFonts w:ascii="Arial" w:eastAsia="Calibri" w:hAnsi="Arial" w:cs="Arial"/>
                <w:b/>
                <w:bCs/>
                <w:color w:val="000000"/>
                <w:sz w:val="16"/>
                <w:lang w:val="es-ES_tradnl"/>
              </w:rPr>
            </w:pPr>
            <w:r w:rsidRPr="00701F32">
              <w:rPr>
                <w:rFonts w:ascii="Arial" w:eastAsia="Calibri" w:hAnsi="Arial" w:cs="Arial"/>
                <w:b/>
                <w:bCs/>
                <w:color w:val="000000"/>
                <w:sz w:val="16"/>
              </w:rPr>
              <w:t>-</w:t>
            </w:r>
          </w:p>
        </w:tc>
      </w:tr>
    </w:tbl>
    <w:p w14:paraId="67E063E7" w14:textId="77777777" w:rsidR="0010654A" w:rsidRPr="00701F32" w:rsidRDefault="0010654A" w:rsidP="00140E64">
      <w:pPr>
        <w:widowControl w:val="0"/>
        <w:autoSpaceDE w:val="0"/>
        <w:autoSpaceDN w:val="0"/>
        <w:adjustRightInd w:val="0"/>
        <w:jc w:val="both"/>
        <w:rPr>
          <w:rFonts w:ascii="Arial" w:eastAsia="Calibri" w:hAnsi="Arial" w:cs="Arial"/>
          <w:color w:val="000000"/>
          <w:sz w:val="20"/>
        </w:rPr>
      </w:pPr>
    </w:p>
    <w:p w14:paraId="63666ED6" w14:textId="77777777" w:rsidR="00D242BF" w:rsidRPr="00701F32" w:rsidRDefault="00D57127" w:rsidP="00D242BF">
      <w:pPr>
        <w:tabs>
          <w:tab w:val="left" w:pos="142"/>
        </w:tabs>
        <w:jc w:val="both"/>
        <w:rPr>
          <w:rFonts w:ascii="Arial" w:hAnsi="Arial" w:cs="Arial"/>
          <w:b/>
          <w:sz w:val="20"/>
        </w:rPr>
      </w:pPr>
      <w:r w:rsidRPr="00701F32">
        <w:rPr>
          <w:rFonts w:ascii="Arial" w:hAnsi="Arial" w:cs="Arial"/>
          <w:b/>
          <w:sz w:val="20"/>
        </w:rPr>
        <w:t>14</w:t>
      </w:r>
      <w:r w:rsidR="00D242BF" w:rsidRPr="00701F32">
        <w:rPr>
          <w:rFonts w:ascii="Arial" w:hAnsi="Arial" w:cs="Arial"/>
          <w:b/>
          <w:sz w:val="20"/>
        </w:rPr>
        <w:t>. FONDOS COMUNES DE INVERSION</w:t>
      </w:r>
    </w:p>
    <w:p w14:paraId="6BB6E6F9" w14:textId="77777777" w:rsidR="00D242BF" w:rsidRPr="00701F32" w:rsidRDefault="00D242BF" w:rsidP="00D242BF">
      <w:pPr>
        <w:tabs>
          <w:tab w:val="left" w:pos="142"/>
        </w:tabs>
        <w:jc w:val="both"/>
        <w:rPr>
          <w:rFonts w:ascii="Arial" w:hAnsi="Arial" w:cs="Arial"/>
          <w:b/>
          <w:sz w:val="20"/>
        </w:rPr>
      </w:pPr>
    </w:p>
    <w:p w14:paraId="62C7D97D" w14:textId="77777777" w:rsidR="00D242BF" w:rsidRPr="00701F32" w:rsidRDefault="00D242BF" w:rsidP="00D242BF">
      <w:pPr>
        <w:tabs>
          <w:tab w:val="left" w:pos="142"/>
        </w:tabs>
        <w:jc w:val="both"/>
        <w:rPr>
          <w:rFonts w:ascii="Arial" w:hAnsi="Arial" w:cs="Arial"/>
          <w:sz w:val="20"/>
        </w:rPr>
      </w:pPr>
      <w:r w:rsidRPr="00701F32">
        <w:rPr>
          <w:rFonts w:ascii="Arial" w:hAnsi="Arial" w:cs="Arial"/>
          <w:sz w:val="20"/>
        </w:rPr>
        <w:t>Al 3</w:t>
      </w:r>
      <w:r w:rsidR="000E2B41" w:rsidRPr="00701F32">
        <w:rPr>
          <w:rFonts w:ascii="Arial" w:hAnsi="Arial" w:cs="Arial"/>
          <w:sz w:val="20"/>
        </w:rPr>
        <w:t>0</w:t>
      </w:r>
      <w:r w:rsidRPr="00701F32">
        <w:rPr>
          <w:rFonts w:ascii="Arial" w:hAnsi="Arial" w:cs="Arial"/>
          <w:sz w:val="20"/>
        </w:rPr>
        <w:t xml:space="preserve"> de </w:t>
      </w:r>
      <w:r w:rsidR="00A3374B" w:rsidRPr="00701F32">
        <w:rPr>
          <w:rFonts w:ascii="Arial" w:hAnsi="Arial" w:cs="Arial"/>
          <w:sz w:val="20"/>
        </w:rPr>
        <w:t>septiembre</w:t>
      </w:r>
      <w:r w:rsidRPr="00701F32">
        <w:rPr>
          <w:rFonts w:ascii="Arial" w:hAnsi="Arial" w:cs="Arial"/>
          <w:sz w:val="20"/>
        </w:rPr>
        <w:t xml:space="preserve"> de 2018 y al 31 de diciembre de 2017, Banco Supervielle S.A. es la sociedad depositaria de los Fondos Comunes de Inversión que administra Supervielle Asset Management S.A. De acuerdo a lo requerido por la Resolución General N° 622/13 de la CNV, se detalla a continuación la cartera, patrimonio neto y cantidad de cuotapartes de los fondos comunes de inversión mencionados precedentemente.</w:t>
      </w:r>
    </w:p>
    <w:p w14:paraId="27EF7424" w14:textId="77777777" w:rsidR="00D242BF" w:rsidRPr="00701F32" w:rsidRDefault="00D242BF" w:rsidP="00D242BF">
      <w:pPr>
        <w:tabs>
          <w:tab w:val="left" w:pos="142"/>
        </w:tabs>
        <w:jc w:val="both"/>
        <w:rPr>
          <w:rFonts w:ascii="Arial" w:hAnsi="Arial" w:cs="Arial"/>
          <w:sz w:val="20"/>
        </w:rPr>
      </w:pPr>
    </w:p>
    <w:tbl>
      <w:tblPr>
        <w:tblW w:w="9015" w:type="dxa"/>
        <w:tblInd w:w="55" w:type="dxa"/>
        <w:tblLayout w:type="fixed"/>
        <w:tblCellMar>
          <w:left w:w="70" w:type="dxa"/>
          <w:right w:w="70" w:type="dxa"/>
        </w:tblCellMar>
        <w:tblLook w:val="04A0" w:firstRow="1" w:lastRow="0" w:firstColumn="1" w:lastColumn="0" w:noHBand="0" w:noVBand="1"/>
      </w:tblPr>
      <w:tblGrid>
        <w:gridCol w:w="1149"/>
        <w:gridCol w:w="1190"/>
        <w:gridCol w:w="1212"/>
        <w:gridCol w:w="1170"/>
        <w:gridCol w:w="1294"/>
        <w:gridCol w:w="1655"/>
        <w:gridCol w:w="1345"/>
      </w:tblGrid>
      <w:tr w:rsidR="00E40C7F" w:rsidRPr="00701F32" w14:paraId="7442D1FA" w14:textId="77777777" w:rsidTr="00AC795F">
        <w:trPr>
          <w:trHeight w:val="285"/>
          <w:tblHeader/>
        </w:trPr>
        <w:tc>
          <w:tcPr>
            <w:tcW w:w="1149"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284759DA" w14:textId="77777777" w:rsidR="00D242BF" w:rsidRPr="00701F32" w:rsidRDefault="00D242BF" w:rsidP="00AC795F">
            <w:pPr>
              <w:jc w:val="center"/>
              <w:rPr>
                <w:rFonts w:ascii="Arial" w:hAnsi="Arial" w:cs="Arial"/>
                <w:b/>
                <w:bCs/>
                <w:sz w:val="15"/>
                <w:szCs w:val="15"/>
              </w:rPr>
            </w:pPr>
            <w:r w:rsidRPr="00701F32">
              <w:rPr>
                <w:rFonts w:ascii="Arial" w:hAnsi="Arial" w:cs="Arial"/>
                <w:b/>
                <w:bCs/>
                <w:sz w:val="15"/>
                <w:szCs w:val="15"/>
              </w:rPr>
              <w:t>Fondo común de inversión</w:t>
            </w:r>
          </w:p>
        </w:tc>
        <w:tc>
          <w:tcPr>
            <w:tcW w:w="2402" w:type="dxa"/>
            <w:gridSpan w:val="2"/>
            <w:tcBorders>
              <w:top w:val="single" w:sz="12" w:space="0" w:color="auto"/>
              <w:left w:val="nil"/>
              <w:bottom w:val="single" w:sz="8" w:space="0" w:color="auto"/>
              <w:right w:val="single" w:sz="8" w:space="0" w:color="000000"/>
            </w:tcBorders>
            <w:shd w:val="clear" w:color="auto" w:fill="auto"/>
            <w:vAlign w:val="bottom"/>
            <w:hideMark/>
          </w:tcPr>
          <w:p w14:paraId="544ED2B1" w14:textId="77777777" w:rsidR="00D242BF" w:rsidRPr="00701F32" w:rsidRDefault="00D242BF" w:rsidP="00AC795F">
            <w:pPr>
              <w:jc w:val="center"/>
              <w:rPr>
                <w:rFonts w:ascii="Arial" w:hAnsi="Arial" w:cs="Arial"/>
                <w:bCs/>
                <w:sz w:val="15"/>
                <w:szCs w:val="15"/>
              </w:rPr>
            </w:pPr>
            <w:r w:rsidRPr="00701F32">
              <w:rPr>
                <w:rFonts w:ascii="Arial" w:hAnsi="Arial" w:cs="Arial"/>
                <w:bCs/>
                <w:sz w:val="15"/>
                <w:szCs w:val="15"/>
              </w:rPr>
              <w:t>Activo</w:t>
            </w:r>
          </w:p>
        </w:tc>
        <w:tc>
          <w:tcPr>
            <w:tcW w:w="2464" w:type="dxa"/>
            <w:gridSpan w:val="2"/>
            <w:tcBorders>
              <w:top w:val="single" w:sz="12" w:space="0" w:color="auto"/>
              <w:left w:val="nil"/>
              <w:bottom w:val="single" w:sz="8" w:space="0" w:color="auto"/>
              <w:right w:val="single" w:sz="8" w:space="0" w:color="000000"/>
            </w:tcBorders>
            <w:shd w:val="clear" w:color="auto" w:fill="auto"/>
            <w:vAlign w:val="bottom"/>
            <w:hideMark/>
          </w:tcPr>
          <w:p w14:paraId="6EF5A99D" w14:textId="77777777" w:rsidR="00D242BF" w:rsidRPr="00701F32" w:rsidRDefault="00D242BF" w:rsidP="00AC795F">
            <w:pPr>
              <w:jc w:val="center"/>
              <w:rPr>
                <w:rFonts w:ascii="Arial" w:hAnsi="Arial" w:cs="Arial"/>
                <w:bCs/>
                <w:sz w:val="15"/>
                <w:szCs w:val="15"/>
              </w:rPr>
            </w:pPr>
            <w:r w:rsidRPr="00701F32">
              <w:rPr>
                <w:rFonts w:ascii="Arial" w:hAnsi="Arial" w:cs="Arial"/>
                <w:bCs/>
                <w:sz w:val="15"/>
                <w:szCs w:val="15"/>
              </w:rPr>
              <w:t>Patrimonio neto</w:t>
            </w:r>
          </w:p>
        </w:tc>
        <w:tc>
          <w:tcPr>
            <w:tcW w:w="3000" w:type="dxa"/>
            <w:gridSpan w:val="2"/>
            <w:tcBorders>
              <w:top w:val="single" w:sz="12" w:space="0" w:color="auto"/>
              <w:left w:val="nil"/>
              <w:bottom w:val="single" w:sz="8" w:space="0" w:color="auto"/>
              <w:right w:val="single" w:sz="12" w:space="0" w:color="000000"/>
            </w:tcBorders>
            <w:shd w:val="clear" w:color="auto" w:fill="auto"/>
            <w:vAlign w:val="bottom"/>
            <w:hideMark/>
          </w:tcPr>
          <w:p w14:paraId="6178D9A7" w14:textId="77777777" w:rsidR="00D242BF" w:rsidRPr="00701F32" w:rsidRDefault="00D242BF" w:rsidP="00AC795F">
            <w:pPr>
              <w:jc w:val="center"/>
              <w:rPr>
                <w:rFonts w:ascii="Arial" w:hAnsi="Arial" w:cs="Arial"/>
                <w:bCs/>
                <w:sz w:val="15"/>
                <w:szCs w:val="15"/>
              </w:rPr>
            </w:pPr>
            <w:r w:rsidRPr="00701F32">
              <w:rPr>
                <w:rFonts w:ascii="Arial" w:hAnsi="Arial" w:cs="Arial"/>
                <w:bCs/>
                <w:sz w:val="15"/>
                <w:szCs w:val="15"/>
              </w:rPr>
              <w:t>Cantidad de cuotapartes</w:t>
            </w:r>
          </w:p>
        </w:tc>
      </w:tr>
      <w:tr w:rsidR="00E40C7F" w:rsidRPr="00701F32" w14:paraId="4D6536AA" w14:textId="77777777" w:rsidTr="00AC795F">
        <w:trPr>
          <w:trHeight w:val="270"/>
          <w:tblHeader/>
        </w:trPr>
        <w:tc>
          <w:tcPr>
            <w:tcW w:w="1149" w:type="dxa"/>
            <w:vMerge/>
            <w:tcBorders>
              <w:top w:val="single" w:sz="12" w:space="0" w:color="auto"/>
              <w:left w:val="single" w:sz="12" w:space="0" w:color="auto"/>
              <w:bottom w:val="single" w:sz="12" w:space="0" w:color="000000"/>
              <w:right w:val="single" w:sz="8" w:space="0" w:color="auto"/>
            </w:tcBorders>
            <w:vAlign w:val="center"/>
            <w:hideMark/>
          </w:tcPr>
          <w:p w14:paraId="427E5CC1" w14:textId="77777777" w:rsidR="00D242BF" w:rsidRPr="00701F32" w:rsidRDefault="00D242BF" w:rsidP="00AC795F">
            <w:pPr>
              <w:rPr>
                <w:rFonts w:ascii="Arial" w:hAnsi="Arial" w:cs="Arial"/>
                <w:b/>
                <w:bCs/>
                <w:sz w:val="15"/>
                <w:szCs w:val="15"/>
              </w:rPr>
            </w:pPr>
          </w:p>
        </w:tc>
        <w:tc>
          <w:tcPr>
            <w:tcW w:w="1190" w:type="dxa"/>
            <w:tcBorders>
              <w:top w:val="nil"/>
              <w:left w:val="nil"/>
              <w:bottom w:val="single" w:sz="12" w:space="0" w:color="auto"/>
              <w:right w:val="single" w:sz="8" w:space="0" w:color="auto"/>
            </w:tcBorders>
            <w:shd w:val="clear" w:color="auto" w:fill="auto"/>
            <w:vAlign w:val="center"/>
          </w:tcPr>
          <w:p w14:paraId="04B9388D" w14:textId="77777777" w:rsidR="00D242BF" w:rsidRPr="00701F32" w:rsidRDefault="00D242BF" w:rsidP="000E2B41">
            <w:pPr>
              <w:jc w:val="right"/>
              <w:rPr>
                <w:rFonts w:ascii="Arial" w:hAnsi="Arial" w:cs="Arial"/>
                <w:bCs/>
                <w:sz w:val="15"/>
                <w:szCs w:val="15"/>
              </w:rPr>
            </w:pPr>
            <w:r w:rsidRPr="00701F32">
              <w:rPr>
                <w:rFonts w:ascii="Arial" w:hAnsi="Arial" w:cs="Arial"/>
                <w:bCs/>
                <w:sz w:val="15"/>
                <w:szCs w:val="15"/>
              </w:rPr>
              <w:t>3</w:t>
            </w:r>
            <w:r w:rsidR="000E2B41" w:rsidRPr="00701F32">
              <w:rPr>
                <w:rFonts w:ascii="Arial" w:hAnsi="Arial" w:cs="Arial"/>
                <w:bCs/>
                <w:sz w:val="15"/>
                <w:szCs w:val="15"/>
              </w:rPr>
              <w:t>0</w:t>
            </w:r>
            <w:r w:rsidRPr="00701F32">
              <w:rPr>
                <w:rFonts w:ascii="Arial" w:hAnsi="Arial" w:cs="Arial"/>
                <w:bCs/>
                <w:sz w:val="15"/>
                <w:szCs w:val="15"/>
              </w:rPr>
              <w:t>/0</w:t>
            </w:r>
            <w:r w:rsidR="00A3374B" w:rsidRPr="00701F32">
              <w:rPr>
                <w:rFonts w:ascii="Arial" w:hAnsi="Arial" w:cs="Arial"/>
                <w:bCs/>
                <w:sz w:val="15"/>
                <w:szCs w:val="15"/>
              </w:rPr>
              <w:t>9</w:t>
            </w:r>
            <w:r w:rsidRPr="00701F32">
              <w:rPr>
                <w:rFonts w:ascii="Arial" w:hAnsi="Arial" w:cs="Arial"/>
                <w:bCs/>
                <w:sz w:val="15"/>
                <w:szCs w:val="15"/>
              </w:rPr>
              <w:t>/2018</w:t>
            </w:r>
          </w:p>
        </w:tc>
        <w:tc>
          <w:tcPr>
            <w:tcW w:w="1212" w:type="dxa"/>
            <w:tcBorders>
              <w:top w:val="nil"/>
              <w:left w:val="nil"/>
              <w:bottom w:val="single" w:sz="12" w:space="0" w:color="auto"/>
              <w:right w:val="single" w:sz="8" w:space="0" w:color="auto"/>
            </w:tcBorders>
            <w:shd w:val="clear" w:color="auto" w:fill="auto"/>
            <w:vAlign w:val="center"/>
          </w:tcPr>
          <w:p w14:paraId="50BB23EE" w14:textId="77777777" w:rsidR="00D242BF" w:rsidRPr="00701F32" w:rsidRDefault="00D242BF" w:rsidP="00AC795F">
            <w:pPr>
              <w:jc w:val="right"/>
              <w:rPr>
                <w:rFonts w:ascii="Arial" w:hAnsi="Arial" w:cs="Arial"/>
                <w:bCs/>
                <w:sz w:val="15"/>
                <w:szCs w:val="15"/>
              </w:rPr>
            </w:pPr>
            <w:r w:rsidRPr="00701F32">
              <w:rPr>
                <w:rFonts w:ascii="Arial" w:hAnsi="Arial" w:cs="Arial"/>
                <w:bCs/>
                <w:sz w:val="15"/>
                <w:szCs w:val="15"/>
              </w:rPr>
              <w:t>31/12/2017</w:t>
            </w:r>
          </w:p>
        </w:tc>
        <w:tc>
          <w:tcPr>
            <w:tcW w:w="1170" w:type="dxa"/>
            <w:tcBorders>
              <w:top w:val="nil"/>
              <w:left w:val="nil"/>
              <w:bottom w:val="single" w:sz="12" w:space="0" w:color="auto"/>
              <w:right w:val="single" w:sz="8" w:space="0" w:color="auto"/>
            </w:tcBorders>
            <w:shd w:val="clear" w:color="auto" w:fill="auto"/>
            <w:vAlign w:val="center"/>
          </w:tcPr>
          <w:p w14:paraId="365E4FD5" w14:textId="77777777" w:rsidR="00D242BF" w:rsidRPr="00701F32" w:rsidRDefault="00A3374B" w:rsidP="000E2B41">
            <w:pPr>
              <w:jc w:val="right"/>
              <w:rPr>
                <w:rFonts w:ascii="Arial" w:hAnsi="Arial" w:cs="Arial"/>
                <w:bCs/>
                <w:sz w:val="15"/>
                <w:szCs w:val="15"/>
              </w:rPr>
            </w:pPr>
            <w:r w:rsidRPr="00701F32">
              <w:rPr>
                <w:rFonts w:ascii="Arial" w:hAnsi="Arial" w:cs="Arial"/>
                <w:bCs/>
                <w:sz w:val="15"/>
                <w:szCs w:val="15"/>
              </w:rPr>
              <w:t>30/09/2018</w:t>
            </w:r>
          </w:p>
        </w:tc>
        <w:tc>
          <w:tcPr>
            <w:tcW w:w="1294" w:type="dxa"/>
            <w:tcBorders>
              <w:top w:val="nil"/>
              <w:left w:val="nil"/>
              <w:bottom w:val="single" w:sz="12" w:space="0" w:color="auto"/>
              <w:right w:val="single" w:sz="8" w:space="0" w:color="auto"/>
            </w:tcBorders>
            <w:shd w:val="clear" w:color="auto" w:fill="auto"/>
            <w:vAlign w:val="center"/>
          </w:tcPr>
          <w:p w14:paraId="5B296735" w14:textId="77777777" w:rsidR="00D242BF" w:rsidRPr="00701F32" w:rsidRDefault="00D242BF" w:rsidP="00AC795F">
            <w:pPr>
              <w:jc w:val="right"/>
              <w:rPr>
                <w:rFonts w:ascii="Arial" w:hAnsi="Arial" w:cs="Arial"/>
                <w:bCs/>
                <w:sz w:val="15"/>
                <w:szCs w:val="15"/>
              </w:rPr>
            </w:pPr>
            <w:r w:rsidRPr="00701F32">
              <w:rPr>
                <w:rFonts w:ascii="Arial" w:hAnsi="Arial" w:cs="Arial"/>
                <w:bCs/>
                <w:sz w:val="15"/>
                <w:szCs w:val="15"/>
              </w:rPr>
              <w:t>31/12/2017</w:t>
            </w:r>
          </w:p>
        </w:tc>
        <w:tc>
          <w:tcPr>
            <w:tcW w:w="1655" w:type="dxa"/>
            <w:tcBorders>
              <w:top w:val="nil"/>
              <w:left w:val="nil"/>
              <w:bottom w:val="single" w:sz="12" w:space="0" w:color="auto"/>
              <w:right w:val="single" w:sz="8" w:space="0" w:color="auto"/>
            </w:tcBorders>
            <w:shd w:val="clear" w:color="auto" w:fill="auto"/>
            <w:vAlign w:val="center"/>
          </w:tcPr>
          <w:p w14:paraId="5E694B5F" w14:textId="77777777" w:rsidR="00D242BF" w:rsidRPr="00701F32" w:rsidRDefault="00A3374B" w:rsidP="000E2B41">
            <w:pPr>
              <w:jc w:val="right"/>
              <w:rPr>
                <w:rFonts w:ascii="Arial" w:hAnsi="Arial" w:cs="Arial"/>
                <w:bCs/>
                <w:sz w:val="15"/>
                <w:szCs w:val="15"/>
              </w:rPr>
            </w:pPr>
            <w:r w:rsidRPr="00701F32">
              <w:rPr>
                <w:rFonts w:ascii="Arial" w:hAnsi="Arial" w:cs="Arial"/>
                <w:bCs/>
                <w:sz w:val="15"/>
                <w:szCs w:val="15"/>
              </w:rPr>
              <w:t>30/09/2018</w:t>
            </w:r>
          </w:p>
        </w:tc>
        <w:tc>
          <w:tcPr>
            <w:tcW w:w="1345" w:type="dxa"/>
            <w:tcBorders>
              <w:top w:val="nil"/>
              <w:left w:val="nil"/>
              <w:bottom w:val="single" w:sz="12" w:space="0" w:color="auto"/>
              <w:right w:val="single" w:sz="12" w:space="0" w:color="auto"/>
            </w:tcBorders>
            <w:shd w:val="clear" w:color="auto" w:fill="auto"/>
            <w:vAlign w:val="center"/>
          </w:tcPr>
          <w:p w14:paraId="087D63AA" w14:textId="77777777" w:rsidR="00D242BF" w:rsidRPr="00701F32" w:rsidRDefault="00D242BF" w:rsidP="00AC795F">
            <w:pPr>
              <w:jc w:val="right"/>
              <w:rPr>
                <w:rFonts w:ascii="Arial" w:hAnsi="Arial" w:cs="Arial"/>
                <w:bCs/>
                <w:sz w:val="15"/>
                <w:szCs w:val="15"/>
              </w:rPr>
            </w:pPr>
            <w:r w:rsidRPr="00701F32">
              <w:rPr>
                <w:rFonts w:ascii="Arial" w:hAnsi="Arial" w:cs="Arial"/>
                <w:bCs/>
                <w:sz w:val="15"/>
                <w:szCs w:val="15"/>
              </w:rPr>
              <w:t>31/12/2017</w:t>
            </w:r>
          </w:p>
        </w:tc>
      </w:tr>
      <w:tr w:rsidR="00E40C7F" w:rsidRPr="00701F32" w14:paraId="449BAF2A" w14:textId="77777777" w:rsidTr="00AC795F">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tcPr>
          <w:p w14:paraId="3EEF03A8"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C.P. Pesos</w:t>
            </w:r>
          </w:p>
        </w:tc>
        <w:tc>
          <w:tcPr>
            <w:tcW w:w="1190" w:type="dxa"/>
            <w:tcBorders>
              <w:top w:val="single" w:sz="8" w:space="0" w:color="auto"/>
              <w:left w:val="single" w:sz="4" w:space="0" w:color="auto"/>
              <w:bottom w:val="single" w:sz="4" w:space="0" w:color="auto"/>
              <w:right w:val="single" w:sz="4" w:space="0" w:color="auto"/>
            </w:tcBorders>
            <w:shd w:val="clear" w:color="auto" w:fill="auto"/>
            <w:vAlign w:val="center"/>
          </w:tcPr>
          <w:p w14:paraId="726C0D15" w14:textId="5FABA2D1" w:rsidR="008A1C88" w:rsidRPr="00701F32" w:rsidRDefault="008A1C88" w:rsidP="00AC795F">
            <w:pPr>
              <w:jc w:val="right"/>
              <w:rPr>
                <w:rFonts w:ascii="Arial" w:hAnsi="Arial" w:cs="Arial"/>
                <w:bCs/>
                <w:sz w:val="15"/>
                <w:szCs w:val="15"/>
              </w:rPr>
            </w:pPr>
            <w:r w:rsidRPr="00701F32">
              <w:rPr>
                <w:rFonts w:ascii="Arial" w:hAnsi="Arial" w:cs="Arial"/>
                <w:bCs/>
                <w:sz w:val="15"/>
                <w:szCs w:val="15"/>
              </w:rPr>
              <w:t>4.967.096</w:t>
            </w:r>
          </w:p>
        </w:tc>
        <w:tc>
          <w:tcPr>
            <w:tcW w:w="1212" w:type="dxa"/>
            <w:tcBorders>
              <w:top w:val="nil"/>
              <w:left w:val="nil"/>
              <w:bottom w:val="single" w:sz="8" w:space="0" w:color="auto"/>
              <w:right w:val="single" w:sz="8" w:space="0" w:color="auto"/>
            </w:tcBorders>
            <w:shd w:val="clear" w:color="auto" w:fill="auto"/>
            <w:vAlign w:val="center"/>
          </w:tcPr>
          <w:p w14:paraId="363EE2A7"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1.908.881</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tcPr>
          <w:p w14:paraId="2589FC9B" w14:textId="0B707D3E" w:rsidR="008A1C88" w:rsidRPr="00701F32" w:rsidRDefault="008A1C88" w:rsidP="00AC795F">
            <w:pPr>
              <w:jc w:val="right"/>
              <w:rPr>
                <w:rFonts w:ascii="Arial" w:hAnsi="Arial" w:cs="Arial"/>
                <w:bCs/>
                <w:sz w:val="15"/>
                <w:szCs w:val="15"/>
              </w:rPr>
            </w:pPr>
            <w:r w:rsidRPr="00701F32">
              <w:rPr>
                <w:rFonts w:ascii="Arial" w:hAnsi="Arial" w:cs="Arial"/>
                <w:bCs/>
                <w:sz w:val="15"/>
                <w:szCs w:val="15"/>
              </w:rPr>
              <w:t>4.957.676</w:t>
            </w:r>
          </w:p>
        </w:tc>
        <w:tc>
          <w:tcPr>
            <w:tcW w:w="1294" w:type="dxa"/>
            <w:tcBorders>
              <w:top w:val="nil"/>
              <w:left w:val="nil"/>
              <w:bottom w:val="single" w:sz="8" w:space="0" w:color="auto"/>
              <w:right w:val="single" w:sz="8" w:space="0" w:color="auto"/>
            </w:tcBorders>
            <w:shd w:val="clear" w:color="auto" w:fill="auto"/>
            <w:vAlign w:val="center"/>
          </w:tcPr>
          <w:p w14:paraId="39AC9B47"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1.906.560</w:t>
            </w:r>
          </w:p>
        </w:tc>
        <w:tc>
          <w:tcPr>
            <w:tcW w:w="1655" w:type="dxa"/>
            <w:tcBorders>
              <w:top w:val="single" w:sz="8" w:space="0" w:color="auto"/>
              <w:left w:val="single" w:sz="4" w:space="0" w:color="auto"/>
              <w:bottom w:val="single" w:sz="4" w:space="0" w:color="auto"/>
              <w:right w:val="single" w:sz="4" w:space="0" w:color="auto"/>
            </w:tcBorders>
            <w:shd w:val="clear" w:color="auto" w:fill="auto"/>
            <w:vAlign w:val="center"/>
          </w:tcPr>
          <w:p w14:paraId="2DCDCBE2" w14:textId="657A7C13" w:rsidR="008A1C88" w:rsidRPr="00701F32" w:rsidRDefault="008A1C88" w:rsidP="00AC795F">
            <w:pPr>
              <w:jc w:val="right"/>
              <w:rPr>
                <w:rFonts w:ascii="Arial" w:hAnsi="Arial" w:cs="Arial"/>
                <w:bCs/>
                <w:sz w:val="15"/>
                <w:szCs w:val="15"/>
              </w:rPr>
            </w:pPr>
            <w:r w:rsidRPr="00701F32">
              <w:rPr>
                <w:rFonts w:ascii="Arial" w:hAnsi="Arial" w:cs="Arial"/>
                <w:bCs/>
                <w:sz w:val="15"/>
                <w:szCs w:val="15"/>
              </w:rPr>
              <w:t>664.525.946</w:t>
            </w:r>
          </w:p>
        </w:tc>
        <w:tc>
          <w:tcPr>
            <w:tcW w:w="1345" w:type="dxa"/>
            <w:tcBorders>
              <w:top w:val="nil"/>
              <w:left w:val="nil"/>
              <w:bottom w:val="single" w:sz="8" w:space="0" w:color="auto"/>
              <w:right w:val="single" w:sz="12" w:space="0" w:color="auto"/>
            </w:tcBorders>
            <w:shd w:val="clear" w:color="auto" w:fill="auto"/>
            <w:vAlign w:val="center"/>
          </w:tcPr>
          <w:p w14:paraId="4B1375D1"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310.154.313</w:t>
            </w:r>
          </w:p>
        </w:tc>
      </w:tr>
      <w:tr w:rsidR="00E40C7F" w:rsidRPr="00701F32" w14:paraId="220838E0" w14:textId="77777777" w:rsidTr="00AC795F">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239BA8BD"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Plus en Pesos</w:t>
            </w:r>
          </w:p>
        </w:tc>
        <w:tc>
          <w:tcPr>
            <w:tcW w:w="1190" w:type="dxa"/>
            <w:tcBorders>
              <w:top w:val="nil"/>
              <w:left w:val="single" w:sz="4" w:space="0" w:color="auto"/>
              <w:bottom w:val="single" w:sz="4" w:space="0" w:color="auto"/>
              <w:right w:val="single" w:sz="4" w:space="0" w:color="auto"/>
            </w:tcBorders>
            <w:shd w:val="clear" w:color="auto" w:fill="auto"/>
            <w:vAlign w:val="center"/>
          </w:tcPr>
          <w:p w14:paraId="25A52345" w14:textId="5692284E" w:rsidR="008A1C88" w:rsidRPr="00701F32" w:rsidRDefault="008A1C88" w:rsidP="00AC795F">
            <w:pPr>
              <w:jc w:val="right"/>
              <w:rPr>
                <w:rFonts w:ascii="Arial" w:hAnsi="Arial" w:cs="Arial"/>
                <w:bCs/>
                <w:sz w:val="15"/>
                <w:szCs w:val="15"/>
              </w:rPr>
            </w:pPr>
            <w:r w:rsidRPr="00701F32">
              <w:rPr>
                <w:rFonts w:ascii="Arial" w:hAnsi="Arial" w:cs="Arial"/>
                <w:bCs/>
                <w:sz w:val="15"/>
                <w:szCs w:val="15"/>
              </w:rPr>
              <w:t>271.994</w:t>
            </w:r>
          </w:p>
        </w:tc>
        <w:tc>
          <w:tcPr>
            <w:tcW w:w="1212" w:type="dxa"/>
            <w:tcBorders>
              <w:top w:val="nil"/>
              <w:left w:val="nil"/>
              <w:bottom w:val="single" w:sz="8" w:space="0" w:color="auto"/>
              <w:right w:val="single" w:sz="8" w:space="0" w:color="auto"/>
            </w:tcBorders>
            <w:shd w:val="clear" w:color="auto" w:fill="auto"/>
            <w:vAlign w:val="center"/>
          </w:tcPr>
          <w:p w14:paraId="4B46C1E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2.376.919</w:t>
            </w:r>
          </w:p>
        </w:tc>
        <w:tc>
          <w:tcPr>
            <w:tcW w:w="1170" w:type="dxa"/>
            <w:tcBorders>
              <w:top w:val="nil"/>
              <w:left w:val="single" w:sz="4" w:space="0" w:color="auto"/>
              <w:bottom w:val="single" w:sz="4" w:space="0" w:color="auto"/>
              <w:right w:val="single" w:sz="4" w:space="0" w:color="auto"/>
            </w:tcBorders>
            <w:shd w:val="clear" w:color="auto" w:fill="auto"/>
            <w:vAlign w:val="center"/>
          </w:tcPr>
          <w:p w14:paraId="748A2285" w14:textId="75816F17" w:rsidR="008A1C88" w:rsidRPr="00701F32" w:rsidRDefault="008A1C88" w:rsidP="00AC795F">
            <w:pPr>
              <w:jc w:val="right"/>
              <w:rPr>
                <w:rFonts w:ascii="Arial" w:hAnsi="Arial" w:cs="Arial"/>
                <w:bCs/>
                <w:sz w:val="15"/>
                <w:szCs w:val="15"/>
              </w:rPr>
            </w:pPr>
            <w:r w:rsidRPr="00701F32">
              <w:rPr>
                <w:rFonts w:ascii="Arial" w:hAnsi="Arial" w:cs="Arial"/>
                <w:bCs/>
                <w:sz w:val="15"/>
                <w:szCs w:val="15"/>
              </w:rPr>
              <w:t>269.990</w:t>
            </w:r>
          </w:p>
        </w:tc>
        <w:tc>
          <w:tcPr>
            <w:tcW w:w="1294" w:type="dxa"/>
            <w:tcBorders>
              <w:top w:val="nil"/>
              <w:left w:val="nil"/>
              <w:bottom w:val="single" w:sz="8" w:space="0" w:color="auto"/>
              <w:right w:val="single" w:sz="8" w:space="0" w:color="auto"/>
            </w:tcBorders>
            <w:shd w:val="clear" w:color="auto" w:fill="auto"/>
            <w:vAlign w:val="center"/>
          </w:tcPr>
          <w:p w14:paraId="725B3376"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2.364.512</w:t>
            </w:r>
          </w:p>
        </w:tc>
        <w:tc>
          <w:tcPr>
            <w:tcW w:w="1655" w:type="dxa"/>
            <w:tcBorders>
              <w:top w:val="nil"/>
              <w:left w:val="single" w:sz="4" w:space="0" w:color="auto"/>
              <w:bottom w:val="single" w:sz="4" w:space="0" w:color="auto"/>
              <w:right w:val="single" w:sz="4" w:space="0" w:color="auto"/>
            </w:tcBorders>
            <w:shd w:val="clear" w:color="auto" w:fill="auto"/>
            <w:vAlign w:val="center"/>
          </w:tcPr>
          <w:p w14:paraId="2FD22C7B" w14:textId="26F6D66C" w:rsidR="008A1C88" w:rsidRPr="00701F32" w:rsidRDefault="008A1C88" w:rsidP="00AC795F">
            <w:pPr>
              <w:jc w:val="right"/>
              <w:rPr>
                <w:rFonts w:ascii="Arial" w:hAnsi="Arial" w:cs="Arial"/>
                <w:bCs/>
                <w:sz w:val="15"/>
                <w:szCs w:val="15"/>
              </w:rPr>
            </w:pPr>
            <w:r w:rsidRPr="00701F32">
              <w:rPr>
                <w:rFonts w:ascii="Arial" w:hAnsi="Arial" w:cs="Arial"/>
                <w:bCs/>
                <w:sz w:val="15"/>
                <w:szCs w:val="15"/>
              </w:rPr>
              <w:t>43.610.817</w:t>
            </w:r>
          </w:p>
        </w:tc>
        <w:tc>
          <w:tcPr>
            <w:tcW w:w="1345" w:type="dxa"/>
            <w:tcBorders>
              <w:top w:val="nil"/>
              <w:left w:val="nil"/>
              <w:bottom w:val="single" w:sz="8" w:space="0" w:color="auto"/>
              <w:right w:val="single" w:sz="12" w:space="0" w:color="auto"/>
            </w:tcBorders>
            <w:shd w:val="clear" w:color="auto" w:fill="auto"/>
            <w:vAlign w:val="center"/>
          </w:tcPr>
          <w:p w14:paraId="2D0132D7"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388.251.454</w:t>
            </w:r>
          </w:p>
        </w:tc>
      </w:tr>
      <w:tr w:rsidR="00E40C7F" w:rsidRPr="00701F32" w14:paraId="0CAEC849" w14:textId="77777777" w:rsidTr="00AC795F">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307AA9E4"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Fija Ahorro</w:t>
            </w:r>
          </w:p>
        </w:tc>
        <w:tc>
          <w:tcPr>
            <w:tcW w:w="1190" w:type="dxa"/>
            <w:tcBorders>
              <w:top w:val="nil"/>
              <w:left w:val="single" w:sz="4" w:space="0" w:color="auto"/>
              <w:bottom w:val="single" w:sz="4" w:space="0" w:color="auto"/>
              <w:right w:val="single" w:sz="4" w:space="0" w:color="auto"/>
            </w:tcBorders>
            <w:shd w:val="clear" w:color="auto" w:fill="auto"/>
            <w:vAlign w:val="center"/>
          </w:tcPr>
          <w:p w14:paraId="6CD4525D" w14:textId="40212642" w:rsidR="008A1C88" w:rsidRPr="00701F32" w:rsidRDefault="008A1C88" w:rsidP="00AC795F">
            <w:pPr>
              <w:jc w:val="right"/>
              <w:rPr>
                <w:rFonts w:ascii="Arial" w:hAnsi="Arial" w:cs="Arial"/>
                <w:bCs/>
                <w:sz w:val="15"/>
                <w:szCs w:val="15"/>
              </w:rPr>
            </w:pPr>
            <w:r w:rsidRPr="00701F32">
              <w:rPr>
                <w:rFonts w:ascii="Arial" w:hAnsi="Arial" w:cs="Arial"/>
                <w:bCs/>
                <w:sz w:val="15"/>
                <w:szCs w:val="15"/>
              </w:rPr>
              <w:t>1.684.364</w:t>
            </w:r>
          </w:p>
        </w:tc>
        <w:tc>
          <w:tcPr>
            <w:tcW w:w="1212" w:type="dxa"/>
            <w:tcBorders>
              <w:top w:val="nil"/>
              <w:left w:val="nil"/>
              <w:bottom w:val="single" w:sz="8" w:space="0" w:color="auto"/>
              <w:right w:val="single" w:sz="8" w:space="0" w:color="auto"/>
            </w:tcBorders>
            <w:shd w:val="clear" w:color="auto" w:fill="auto"/>
            <w:vAlign w:val="center"/>
          </w:tcPr>
          <w:p w14:paraId="28689F04"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5.570.513</w:t>
            </w:r>
          </w:p>
        </w:tc>
        <w:tc>
          <w:tcPr>
            <w:tcW w:w="1170" w:type="dxa"/>
            <w:tcBorders>
              <w:top w:val="nil"/>
              <w:left w:val="single" w:sz="4" w:space="0" w:color="auto"/>
              <w:bottom w:val="single" w:sz="4" w:space="0" w:color="auto"/>
              <w:right w:val="single" w:sz="4" w:space="0" w:color="auto"/>
            </w:tcBorders>
            <w:shd w:val="clear" w:color="auto" w:fill="auto"/>
            <w:vAlign w:val="center"/>
          </w:tcPr>
          <w:p w14:paraId="50A91F37" w14:textId="018FAEB5" w:rsidR="008A1C88" w:rsidRPr="00701F32" w:rsidRDefault="008A1C88" w:rsidP="00AC795F">
            <w:pPr>
              <w:jc w:val="right"/>
              <w:rPr>
                <w:rFonts w:ascii="Arial" w:hAnsi="Arial" w:cs="Arial"/>
                <w:bCs/>
                <w:sz w:val="15"/>
                <w:szCs w:val="15"/>
              </w:rPr>
            </w:pPr>
            <w:r w:rsidRPr="00701F32">
              <w:rPr>
                <w:rFonts w:ascii="Arial" w:hAnsi="Arial" w:cs="Arial"/>
                <w:bCs/>
                <w:sz w:val="15"/>
                <w:szCs w:val="15"/>
              </w:rPr>
              <w:t>1.672.418</w:t>
            </w:r>
          </w:p>
        </w:tc>
        <w:tc>
          <w:tcPr>
            <w:tcW w:w="1294" w:type="dxa"/>
            <w:tcBorders>
              <w:top w:val="nil"/>
              <w:left w:val="nil"/>
              <w:bottom w:val="single" w:sz="8" w:space="0" w:color="auto"/>
              <w:right w:val="single" w:sz="8" w:space="0" w:color="auto"/>
            </w:tcBorders>
            <w:shd w:val="clear" w:color="auto" w:fill="auto"/>
            <w:vAlign w:val="center"/>
          </w:tcPr>
          <w:p w14:paraId="031F54C1"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5.466.839</w:t>
            </w:r>
          </w:p>
        </w:tc>
        <w:tc>
          <w:tcPr>
            <w:tcW w:w="1655" w:type="dxa"/>
            <w:tcBorders>
              <w:top w:val="nil"/>
              <w:left w:val="single" w:sz="4" w:space="0" w:color="auto"/>
              <w:bottom w:val="single" w:sz="4" w:space="0" w:color="auto"/>
              <w:right w:val="single" w:sz="4" w:space="0" w:color="auto"/>
            </w:tcBorders>
            <w:shd w:val="clear" w:color="auto" w:fill="auto"/>
            <w:vAlign w:val="center"/>
          </w:tcPr>
          <w:p w14:paraId="6403266F" w14:textId="668CA7D4" w:rsidR="008A1C88" w:rsidRPr="00701F32" w:rsidRDefault="008A1C88" w:rsidP="00AC795F">
            <w:pPr>
              <w:jc w:val="right"/>
              <w:rPr>
                <w:rFonts w:ascii="Arial" w:hAnsi="Arial" w:cs="Arial"/>
                <w:bCs/>
                <w:sz w:val="15"/>
                <w:szCs w:val="15"/>
              </w:rPr>
            </w:pPr>
            <w:r w:rsidRPr="00701F32">
              <w:rPr>
                <w:rFonts w:ascii="Arial" w:hAnsi="Arial" w:cs="Arial"/>
                <w:bCs/>
                <w:sz w:val="15"/>
                <w:szCs w:val="15"/>
              </w:rPr>
              <w:t>80.523.715</w:t>
            </w:r>
          </w:p>
        </w:tc>
        <w:tc>
          <w:tcPr>
            <w:tcW w:w="1345" w:type="dxa"/>
            <w:tcBorders>
              <w:top w:val="nil"/>
              <w:left w:val="nil"/>
              <w:bottom w:val="single" w:sz="8" w:space="0" w:color="auto"/>
              <w:right w:val="single" w:sz="12" w:space="0" w:color="auto"/>
            </w:tcBorders>
            <w:shd w:val="clear" w:color="auto" w:fill="auto"/>
            <w:vAlign w:val="center"/>
          </w:tcPr>
          <w:p w14:paraId="67E6649D"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304.239.464</w:t>
            </w:r>
          </w:p>
        </w:tc>
      </w:tr>
      <w:tr w:rsidR="00E40C7F" w:rsidRPr="00701F32" w14:paraId="7F026315" w14:textId="77777777" w:rsidTr="00AC795F">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2846458E"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Fija Crecimiento</w:t>
            </w:r>
          </w:p>
        </w:tc>
        <w:tc>
          <w:tcPr>
            <w:tcW w:w="1190" w:type="dxa"/>
            <w:tcBorders>
              <w:top w:val="nil"/>
              <w:left w:val="single" w:sz="4" w:space="0" w:color="auto"/>
              <w:bottom w:val="single" w:sz="4" w:space="0" w:color="auto"/>
              <w:right w:val="single" w:sz="4" w:space="0" w:color="auto"/>
            </w:tcBorders>
            <w:shd w:val="clear" w:color="auto" w:fill="auto"/>
            <w:vAlign w:val="center"/>
          </w:tcPr>
          <w:p w14:paraId="2AE7126F" w14:textId="52C5775C" w:rsidR="008A1C88" w:rsidRPr="00701F32" w:rsidRDefault="008A1C88" w:rsidP="00AC795F">
            <w:pPr>
              <w:jc w:val="right"/>
              <w:rPr>
                <w:rFonts w:ascii="Arial" w:hAnsi="Arial" w:cs="Arial"/>
                <w:bCs/>
                <w:sz w:val="15"/>
                <w:szCs w:val="15"/>
              </w:rPr>
            </w:pPr>
            <w:r w:rsidRPr="00701F32">
              <w:rPr>
                <w:rFonts w:ascii="Arial" w:hAnsi="Arial" w:cs="Arial"/>
                <w:bCs/>
                <w:sz w:val="15"/>
                <w:szCs w:val="15"/>
              </w:rPr>
              <w:t>41.219</w:t>
            </w:r>
          </w:p>
        </w:tc>
        <w:tc>
          <w:tcPr>
            <w:tcW w:w="1212" w:type="dxa"/>
            <w:tcBorders>
              <w:top w:val="nil"/>
              <w:left w:val="nil"/>
              <w:bottom w:val="single" w:sz="8" w:space="0" w:color="auto"/>
              <w:right w:val="single" w:sz="8" w:space="0" w:color="auto"/>
            </w:tcBorders>
            <w:shd w:val="clear" w:color="auto" w:fill="auto"/>
            <w:vAlign w:val="center"/>
          </w:tcPr>
          <w:p w14:paraId="7DBAE87D"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225.412</w:t>
            </w:r>
          </w:p>
        </w:tc>
        <w:tc>
          <w:tcPr>
            <w:tcW w:w="1170" w:type="dxa"/>
            <w:tcBorders>
              <w:top w:val="nil"/>
              <w:left w:val="single" w:sz="4" w:space="0" w:color="auto"/>
              <w:bottom w:val="single" w:sz="4" w:space="0" w:color="auto"/>
              <w:right w:val="single" w:sz="4" w:space="0" w:color="auto"/>
            </w:tcBorders>
            <w:shd w:val="clear" w:color="auto" w:fill="auto"/>
            <w:vAlign w:val="center"/>
          </w:tcPr>
          <w:p w14:paraId="0675FE26" w14:textId="002E1838" w:rsidR="008A1C88" w:rsidRPr="00701F32" w:rsidRDefault="008A1C88" w:rsidP="00AC795F">
            <w:pPr>
              <w:jc w:val="right"/>
              <w:rPr>
                <w:rFonts w:ascii="Arial" w:hAnsi="Arial" w:cs="Arial"/>
                <w:bCs/>
                <w:sz w:val="15"/>
                <w:szCs w:val="15"/>
              </w:rPr>
            </w:pPr>
            <w:r w:rsidRPr="00701F32">
              <w:rPr>
                <w:rFonts w:ascii="Arial" w:hAnsi="Arial" w:cs="Arial"/>
                <w:bCs/>
                <w:sz w:val="15"/>
                <w:szCs w:val="15"/>
              </w:rPr>
              <w:t>40.954</w:t>
            </w:r>
          </w:p>
        </w:tc>
        <w:tc>
          <w:tcPr>
            <w:tcW w:w="1294" w:type="dxa"/>
            <w:tcBorders>
              <w:top w:val="nil"/>
              <w:left w:val="nil"/>
              <w:bottom w:val="single" w:sz="8" w:space="0" w:color="auto"/>
              <w:right w:val="single" w:sz="8" w:space="0" w:color="auto"/>
            </w:tcBorders>
            <w:shd w:val="clear" w:color="auto" w:fill="auto"/>
            <w:vAlign w:val="center"/>
          </w:tcPr>
          <w:p w14:paraId="77A3994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222.821</w:t>
            </w:r>
          </w:p>
        </w:tc>
        <w:tc>
          <w:tcPr>
            <w:tcW w:w="1655" w:type="dxa"/>
            <w:tcBorders>
              <w:top w:val="nil"/>
              <w:left w:val="single" w:sz="4" w:space="0" w:color="auto"/>
              <w:bottom w:val="single" w:sz="4" w:space="0" w:color="auto"/>
              <w:right w:val="single" w:sz="4" w:space="0" w:color="auto"/>
            </w:tcBorders>
            <w:shd w:val="clear" w:color="auto" w:fill="auto"/>
            <w:vAlign w:val="center"/>
          </w:tcPr>
          <w:p w14:paraId="5A3CD9DD" w14:textId="3D0F4B81" w:rsidR="008A1C88" w:rsidRPr="00701F32" w:rsidRDefault="008A1C88" w:rsidP="00AC795F">
            <w:pPr>
              <w:jc w:val="right"/>
              <w:rPr>
                <w:rFonts w:ascii="Arial" w:hAnsi="Arial" w:cs="Arial"/>
                <w:bCs/>
                <w:sz w:val="15"/>
                <w:szCs w:val="15"/>
              </w:rPr>
            </w:pPr>
            <w:r w:rsidRPr="00701F32">
              <w:rPr>
                <w:rFonts w:ascii="Arial" w:hAnsi="Arial" w:cs="Arial"/>
                <w:bCs/>
                <w:sz w:val="15"/>
                <w:szCs w:val="15"/>
              </w:rPr>
              <w:t>4.580.355</w:t>
            </w:r>
          </w:p>
        </w:tc>
        <w:tc>
          <w:tcPr>
            <w:tcW w:w="1345" w:type="dxa"/>
            <w:tcBorders>
              <w:top w:val="nil"/>
              <w:left w:val="nil"/>
              <w:bottom w:val="single" w:sz="8" w:space="0" w:color="auto"/>
              <w:right w:val="single" w:sz="12" w:space="0" w:color="auto"/>
            </w:tcBorders>
            <w:shd w:val="clear" w:color="auto" w:fill="auto"/>
            <w:vAlign w:val="center"/>
          </w:tcPr>
          <w:p w14:paraId="6B7EEAC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23.616.268</w:t>
            </w:r>
          </w:p>
        </w:tc>
      </w:tr>
      <w:tr w:rsidR="00E40C7F" w:rsidRPr="00701F32" w14:paraId="4667E390" w14:textId="77777777" w:rsidTr="00AC795F">
        <w:trPr>
          <w:trHeight w:val="510"/>
        </w:trPr>
        <w:tc>
          <w:tcPr>
            <w:tcW w:w="1149" w:type="dxa"/>
            <w:tcBorders>
              <w:top w:val="nil"/>
              <w:left w:val="single" w:sz="12" w:space="0" w:color="auto"/>
              <w:bottom w:val="single" w:sz="8" w:space="0" w:color="auto"/>
              <w:right w:val="single" w:sz="8" w:space="0" w:color="auto"/>
            </w:tcBorders>
            <w:shd w:val="clear" w:color="auto" w:fill="auto"/>
            <w:vAlign w:val="center"/>
            <w:hideMark/>
          </w:tcPr>
          <w:p w14:paraId="19A007DB"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Variable</w:t>
            </w:r>
          </w:p>
        </w:tc>
        <w:tc>
          <w:tcPr>
            <w:tcW w:w="1190" w:type="dxa"/>
            <w:tcBorders>
              <w:top w:val="single" w:sz="8" w:space="0" w:color="auto"/>
              <w:left w:val="single" w:sz="4" w:space="0" w:color="auto"/>
              <w:bottom w:val="single" w:sz="4" w:space="0" w:color="auto"/>
              <w:right w:val="single" w:sz="4" w:space="0" w:color="auto"/>
            </w:tcBorders>
            <w:shd w:val="clear" w:color="auto" w:fill="auto"/>
            <w:vAlign w:val="center"/>
          </w:tcPr>
          <w:p w14:paraId="2B5A0D57" w14:textId="7C80E5E6" w:rsidR="008A1C88" w:rsidRPr="00701F32" w:rsidRDefault="008A1C88" w:rsidP="00AC795F">
            <w:pPr>
              <w:jc w:val="right"/>
              <w:rPr>
                <w:rFonts w:ascii="Arial" w:hAnsi="Arial" w:cs="Arial"/>
                <w:bCs/>
                <w:sz w:val="15"/>
                <w:szCs w:val="15"/>
              </w:rPr>
            </w:pPr>
            <w:r w:rsidRPr="00701F32">
              <w:rPr>
                <w:rFonts w:ascii="Arial" w:hAnsi="Arial" w:cs="Arial"/>
                <w:bCs/>
                <w:sz w:val="15"/>
                <w:szCs w:val="15"/>
              </w:rPr>
              <w:t>154.252</w:t>
            </w:r>
          </w:p>
        </w:tc>
        <w:tc>
          <w:tcPr>
            <w:tcW w:w="1212" w:type="dxa"/>
            <w:tcBorders>
              <w:top w:val="nil"/>
              <w:left w:val="nil"/>
              <w:bottom w:val="single" w:sz="8" w:space="0" w:color="auto"/>
              <w:right w:val="single" w:sz="8" w:space="0" w:color="auto"/>
            </w:tcBorders>
            <w:shd w:val="clear" w:color="auto" w:fill="auto"/>
            <w:vAlign w:val="center"/>
          </w:tcPr>
          <w:p w14:paraId="38BE7F99"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144.493</w:t>
            </w:r>
          </w:p>
        </w:tc>
        <w:tc>
          <w:tcPr>
            <w:tcW w:w="1170" w:type="dxa"/>
            <w:tcBorders>
              <w:top w:val="nil"/>
              <w:left w:val="single" w:sz="4" w:space="0" w:color="auto"/>
              <w:bottom w:val="single" w:sz="4" w:space="0" w:color="auto"/>
              <w:right w:val="single" w:sz="4" w:space="0" w:color="auto"/>
            </w:tcBorders>
            <w:shd w:val="clear" w:color="auto" w:fill="auto"/>
            <w:vAlign w:val="center"/>
          </w:tcPr>
          <w:p w14:paraId="7F31E4DF" w14:textId="0363D43F" w:rsidR="008A1C88" w:rsidRPr="00701F32" w:rsidRDefault="008A1C88" w:rsidP="00AC795F">
            <w:pPr>
              <w:jc w:val="right"/>
              <w:rPr>
                <w:rFonts w:ascii="Arial" w:hAnsi="Arial" w:cs="Arial"/>
                <w:bCs/>
                <w:sz w:val="15"/>
                <w:szCs w:val="15"/>
              </w:rPr>
            </w:pPr>
            <w:r w:rsidRPr="00701F32">
              <w:rPr>
                <w:rFonts w:ascii="Arial" w:hAnsi="Arial" w:cs="Arial"/>
                <w:bCs/>
                <w:sz w:val="15"/>
                <w:szCs w:val="15"/>
              </w:rPr>
              <w:t>153.627</w:t>
            </w:r>
          </w:p>
        </w:tc>
        <w:tc>
          <w:tcPr>
            <w:tcW w:w="1294" w:type="dxa"/>
            <w:tcBorders>
              <w:top w:val="nil"/>
              <w:left w:val="nil"/>
              <w:bottom w:val="single" w:sz="8" w:space="0" w:color="auto"/>
              <w:right w:val="single" w:sz="8" w:space="0" w:color="auto"/>
            </w:tcBorders>
            <w:shd w:val="clear" w:color="auto" w:fill="auto"/>
            <w:vAlign w:val="center"/>
          </w:tcPr>
          <w:p w14:paraId="38264C7A"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141.002</w:t>
            </w:r>
          </w:p>
        </w:tc>
        <w:tc>
          <w:tcPr>
            <w:tcW w:w="1655" w:type="dxa"/>
            <w:tcBorders>
              <w:top w:val="nil"/>
              <w:left w:val="single" w:sz="4" w:space="0" w:color="auto"/>
              <w:bottom w:val="single" w:sz="4" w:space="0" w:color="auto"/>
              <w:right w:val="single" w:sz="4" w:space="0" w:color="auto"/>
            </w:tcBorders>
            <w:shd w:val="clear" w:color="auto" w:fill="auto"/>
            <w:vAlign w:val="center"/>
          </w:tcPr>
          <w:p w14:paraId="3050BBC3" w14:textId="0ED06563" w:rsidR="008A1C88" w:rsidRPr="00701F32" w:rsidRDefault="008A1C88" w:rsidP="00AC795F">
            <w:pPr>
              <w:jc w:val="right"/>
              <w:rPr>
                <w:rFonts w:ascii="Arial" w:hAnsi="Arial" w:cs="Arial"/>
                <w:bCs/>
                <w:sz w:val="15"/>
                <w:szCs w:val="15"/>
              </w:rPr>
            </w:pPr>
            <w:r w:rsidRPr="00701F32">
              <w:rPr>
                <w:rFonts w:ascii="Arial" w:hAnsi="Arial" w:cs="Arial"/>
                <w:bCs/>
                <w:sz w:val="15"/>
                <w:szCs w:val="15"/>
              </w:rPr>
              <w:t>7.819.539</w:t>
            </w:r>
          </w:p>
        </w:tc>
        <w:tc>
          <w:tcPr>
            <w:tcW w:w="1345" w:type="dxa"/>
            <w:tcBorders>
              <w:top w:val="nil"/>
              <w:left w:val="nil"/>
              <w:bottom w:val="single" w:sz="8" w:space="0" w:color="auto"/>
              <w:right w:val="single" w:sz="12" w:space="0" w:color="auto"/>
            </w:tcBorders>
            <w:shd w:val="clear" w:color="auto" w:fill="auto"/>
            <w:vAlign w:val="center"/>
          </w:tcPr>
          <w:p w14:paraId="244000B5"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8.180.869</w:t>
            </w:r>
          </w:p>
        </w:tc>
      </w:tr>
      <w:tr w:rsidR="00E40C7F" w:rsidRPr="00701F32" w14:paraId="33C2D324" w14:textId="77777777" w:rsidTr="00AC795F">
        <w:trPr>
          <w:trHeight w:val="510"/>
        </w:trPr>
        <w:tc>
          <w:tcPr>
            <w:tcW w:w="1149" w:type="dxa"/>
            <w:tcBorders>
              <w:top w:val="single" w:sz="8" w:space="0" w:color="auto"/>
              <w:left w:val="single" w:sz="12" w:space="0" w:color="auto"/>
              <w:bottom w:val="single" w:sz="4" w:space="0" w:color="auto"/>
              <w:right w:val="single" w:sz="8" w:space="0" w:color="auto"/>
            </w:tcBorders>
            <w:shd w:val="clear" w:color="auto" w:fill="auto"/>
            <w:vAlign w:val="center"/>
            <w:hideMark/>
          </w:tcPr>
          <w:p w14:paraId="1A91F3EA"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Abierto Pymes</w:t>
            </w:r>
          </w:p>
        </w:tc>
        <w:tc>
          <w:tcPr>
            <w:tcW w:w="1190" w:type="dxa"/>
            <w:tcBorders>
              <w:top w:val="nil"/>
              <w:left w:val="single" w:sz="4" w:space="0" w:color="auto"/>
              <w:bottom w:val="single" w:sz="4" w:space="0" w:color="auto"/>
              <w:right w:val="single" w:sz="4" w:space="0" w:color="auto"/>
            </w:tcBorders>
            <w:shd w:val="clear" w:color="auto" w:fill="auto"/>
            <w:vAlign w:val="center"/>
          </w:tcPr>
          <w:p w14:paraId="6C47215C" w14:textId="7800B4D1" w:rsidR="008A1C88" w:rsidRPr="00701F32" w:rsidRDefault="008A1C88" w:rsidP="00AC795F">
            <w:pPr>
              <w:jc w:val="right"/>
              <w:rPr>
                <w:rFonts w:ascii="Arial" w:hAnsi="Arial" w:cs="Arial"/>
                <w:bCs/>
                <w:sz w:val="15"/>
                <w:szCs w:val="15"/>
              </w:rPr>
            </w:pPr>
            <w:r w:rsidRPr="00701F32">
              <w:rPr>
                <w:rFonts w:ascii="Arial" w:hAnsi="Arial" w:cs="Arial"/>
                <w:bCs/>
                <w:sz w:val="15"/>
                <w:szCs w:val="15"/>
              </w:rPr>
              <w:t>411.101</w:t>
            </w:r>
          </w:p>
        </w:tc>
        <w:tc>
          <w:tcPr>
            <w:tcW w:w="1212" w:type="dxa"/>
            <w:tcBorders>
              <w:top w:val="single" w:sz="8" w:space="0" w:color="auto"/>
              <w:left w:val="nil"/>
              <w:bottom w:val="single" w:sz="4" w:space="0" w:color="auto"/>
              <w:right w:val="single" w:sz="8" w:space="0" w:color="auto"/>
            </w:tcBorders>
            <w:shd w:val="clear" w:color="auto" w:fill="auto"/>
            <w:vAlign w:val="center"/>
          </w:tcPr>
          <w:p w14:paraId="7FD7BFF4"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367.845</w:t>
            </w:r>
          </w:p>
        </w:tc>
        <w:tc>
          <w:tcPr>
            <w:tcW w:w="1170" w:type="dxa"/>
            <w:tcBorders>
              <w:top w:val="nil"/>
              <w:left w:val="single" w:sz="4" w:space="0" w:color="auto"/>
              <w:bottom w:val="single" w:sz="4" w:space="0" w:color="auto"/>
              <w:right w:val="single" w:sz="4" w:space="0" w:color="auto"/>
            </w:tcBorders>
            <w:shd w:val="clear" w:color="auto" w:fill="auto"/>
            <w:vAlign w:val="center"/>
          </w:tcPr>
          <w:p w14:paraId="12EBE576" w14:textId="27D220D5" w:rsidR="008A1C88" w:rsidRPr="00701F32" w:rsidRDefault="008A1C88" w:rsidP="00AC795F">
            <w:pPr>
              <w:jc w:val="right"/>
              <w:rPr>
                <w:rFonts w:ascii="Arial" w:hAnsi="Arial" w:cs="Arial"/>
                <w:bCs/>
                <w:sz w:val="15"/>
                <w:szCs w:val="15"/>
              </w:rPr>
            </w:pPr>
            <w:r w:rsidRPr="00701F32">
              <w:rPr>
                <w:rFonts w:ascii="Arial" w:hAnsi="Arial" w:cs="Arial"/>
                <w:bCs/>
                <w:sz w:val="15"/>
                <w:szCs w:val="15"/>
              </w:rPr>
              <w:t>395.611</w:t>
            </w:r>
          </w:p>
        </w:tc>
        <w:tc>
          <w:tcPr>
            <w:tcW w:w="1294" w:type="dxa"/>
            <w:tcBorders>
              <w:top w:val="single" w:sz="8" w:space="0" w:color="auto"/>
              <w:left w:val="nil"/>
              <w:bottom w:val="single" w:sz="4" w:space="0" w:color="auto"/>
              <w:right w:val="single" w:sz="8" w:space="0" w:color="auto"/>
            </w:tcBorders>
            <w:shd w:val="clear" w:color="auto" w:fill="auto"/>
            <w:vAlign w:val="center"/>
          </w:tcPr>
          <w:p w14:paraId="7ECE900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367.120</w:t>
            </w:r>
          </w:p>
        </w:tc>
        <w:tc>
          <w:tcPr>
            <w:tcW w:w="1655" w:type="dxa"/>
            <w:tcBorders>
              <w:top w:val="nil"/>
              <w:left w:val="single" w:sz="4" w:space="0" w:color="auto"/>
              <w:bottom w:val="single" w:sz="4" w:space="0" w:color="auto"/>
              <w:right w:val="single" w:sz="4" w:space="0" w:color="auto"/>
            </w:tcBorders>
            <w:shd w:val="clear" w:color="auto" w:fill="auto"/>
            <w:vAlign w:val="center"/>
          </w:tcPr>
          <w:p w14:paraId="5578EE54" w14:textId="6BCE526A" w:rsidR="008A1C88" w:rsidRPr="00701F32" w:rsidRDefault="008A1C88" w:rsidP="00AC795F">
            <w:pPr>
              <w:jc w:val="right"/>
              <w:rPr>
                <w:rFonts w:ascii="Arial" w:hAnsi="Arial" w:cs="Arial"/>
                <w:bCs/>
                <w:sz w:val="15"/>
                <w:szCs w:val="15"/>
              </w:rPr>
            </w:pPr>
            <w:r w:rsidRPr="00701F32">
              <w:rPr>
                <w:rFonts w:ascii="Arial" w:hAnsi="Arial" w:cs="Arial"/>
                <w:bCs/>
                <w:sz w:val="15"/>
                <w:szCs w:val="15"/>
              </w:rPr>
              <w:t>103.706.972</w:t>
            </w:r>
          </w:p>
        </w:tc>
        <w:tc>
          <w:tcPr>
            <w:tcW w:w="1345" w:type="dxa"/>
            <w:tcBorders>
              <w:top w:val="single" w:sz="8" w:space="0" w:color="auto"/>
              <w:left w:val="nil"/>
              <w:bottom w:val="single" w:sz="4" w:space="0" w:color="auto"/>
              <w:right w:val="single" w:sz="12" w:space="0" w:color="auto"/>
            </w:tcBorders>
            <w:shd w:val="clear" w:color="auto" w:fill="auto"/>
            <w:vAlign w:val="center"/>
          </w:tcPr>
          <w:p w14:paraId="1B5C01EE"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114.190.777</w:t>
            </w:r>
          </w:p>
        </w:tc>
      </w:tr>
      <w:tr w:rsidR="00E40C7F" w:rsidRPr="00701F32" w14:paraId="08C1D05C"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542AD116"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Commodities</w:t>
            </w:r>
          </w:p>
        </w:tc>
        <w:tc>
          <w:tcPr>
            <w:tcW w:w="1190" w:type="dxa"/>
            <w:tcBorders>
              <w:top w:val="nil"/>
              <w:left w:val="single" w:sz="4" w:space="0" w:color="auto"/>
              <w:bottom w:val="single" w:sz="4" w:space="0" w:color="auto"/>
              <w:right w:val="single" w:sz="4" w:space="0" w:color="auto"/>
            </w:tcBorders>
            <w:shd w:val="clear" w:color="auto" w:fill="auto"/>
            <w:vAlign w:val="center"/>
          </w:tcPr>
          <w:p w14:paraId="09A41E00" w14:textId="4E25B754" w:rsidR="008A1C88" w:rsidRPr="00701F32" w:rsidRDefault="008A1C88" w:rsidP="00AC795F">
            <w:pPr>
              <w:jc w:val="right"/>
              <w:rPr>
                <w:rFonts w:ascii="Arial" w:hAnsi="Arial" w:cs="Arial"/>
                <w:bCs/>
                <w:sz w:val="15"/>
                <w:szCs w:val="15"/>
              </w:rPr>
            </w:pPr>
            <w:r w:rsidRPr="00701F32">
              <w:rPr>
                <w:rFonts w:ascii="Arial" w:hAnsi="Arial" w:cs="Arial"/>
                <w:bCs/>
                <w:sz w:val="15"/>
                <w:szCs w:val="15"/>
              </w:rPr>
              <w:t>9.483</w:t>
            </w:r>
          </w:p>
        </w:tc>
        <w:tc>
          <w:tcPr>
            <w:tcW w:w="1212" w:type="dxa"/>
            <w:tcBorders>
              <w:top w:val="single" w:sz="4" w:space="0" w:color="auto"/>
              <w:left w:val="nil"/>
              <w:bottom w:val="single" w:sz="4" w:space="0" w:color="auto"/>
              <w:right w:val="single" w:sz="8" w:space="0" w:color="auto"/>
            </w:tcBorders>
            <w:shd w:val="clear" w:color="auto" w:fill="auto"/>
            <w:vAlign w:val="center"/>
          </w:tcPr>
          <w:p w14:paraId="781F93C7" w14:textId="7C4B6846" w:rsidR="008A1C88" w:rsidRPr="00701F32" w:rsidRDefault="00E40C7F" w:rsidP="00AC795F">
            <w:pPr>
              <w:jc w:val="right"/>
              <w:rPr>
                <w:rFonts w:ascii="Arial" w:hAnsi="Arial" w:cs="Arial"/>
                <w:bCs/>
                <w:sz w:val="15"/>
                <w:szCs w:val="15"/>
              </w:rPr>
            </w:pPr>
            <w:r w:rsidRPr="00701F32">
              <w:rPr>
                <w:rFonts w:ascii="Arial" w:hAnsi="Arial" w:cs="Arial"/>
                <w:bCs/>
                <w:sz w:val="15"/>
                <w:szCs w:val="15"/>
              </w:rPr>
              <w:t>6.891</w:t>
            </w:r>
          </w:p>
        </w:tc>
        <w:tc>
          <w:tcPr>
            <w:tcW w:w="1170" w:type="dxa"/>
            <w:tcBorders>
              <w:top w:val="nil"/>
              <w:left w:val="single" w:sz="4" w:space="0" w:color="auto"/>
              <w:bottom w:val="single" w:sz="4" w:space="0" w:color="auto"/>
              <w:right w:val="single" w:sz="4" w:space="0" w:color="auto"/>
            </w:tcBorders>
            <w:shd w:val="clear" w:color="auto" w:fill="auto"/>
            <w:vAlign w:val="center"/>
          </w:tcPr>
          <w:p w14:paraId="6E7538D2" w14:textId="43425255" w:rsidR="008A1C88" w:rsidRPr="00701F32" w:rsidRDefault="008A1C88" w:rsidP="00AC795F">
            <w:pPr>
              <w:jc w:val="right"/>
              <w:rPr>
                <w:rFonts w:ascii="Arial" w:hAnsi="Arial" w:cs="Arial"/>
                <w:bCs/>
                <w:sz w:val="15"/>
                <w:szCs w:val="15"/>
              </w:rPr>
            </w:pPr>
            <w:r w:rsidRPr="00701F32">
              <w:rPr>
                <w:rFonts w:ascii="Arial" w:hAnsi="Arial" w:cs="Arial"/>
                <w:bCs/>
                <w:sz w:val="15"/>
                <w:szCs w:val="15"/>
              </w:rPr>
              <w:t>5.441</w:t>
            </w:r>
          </w:p>
        </w:tc>
        <w:tc>
          <w:tcPr>
            <w:tcW w:w="1294" w:type="dxa"/>
            <w:tcBorders>
              <w:top w:val="single" w:sz="4" w:space="0" w:color="auto"/>
              <w:left w:val="nil"/>
              <w:bottom w:val="single" w:sz="4" w:space="0" w:color="auto"/>
              <w:right w:val="single" w:sz="8" w:space="0" w:color="auto"/>
            </w:tcBorders>
            <w:shd w:val="clear" w:color="auto" w:fill="auto"/>
            <w:vAlign w:val="center"/>
          </w:tcPr>
          <w:p w14:paraId="2211B020" w14:textId="73EC3E70" w:rsidR="008A1C88" w:rsidRPr="00701F32" w:rsidRDefault="00E40C7F" w:rsidP="00AC795F">
            <w:pPr>
              <w:jc w:val="right"/>
              <w:rPr>
                <w:rFonts w:ascii="Arial" w:hAnsi="Arial" w:cs="Arial"/>
                <w:bCs/>
                <w:sz w:val="15"/>
                <w:szCs w:val="15"/>
              </w:rPr>
            </w:pPr>
            <w:r w:rsidRPr="00701F32">
              <w:rPr>
                <w:rFonts w:ascii="Arial" w:hAnsi="Arial" w:cs="Arial"/>
                <w:bCs/>
                <w:sz w:val="15"/>
                <w:szCs w:val="15"/>
              </w:rPr>
              <w:t>6.734</w:t>
            </w:r>
          </w:p>
        </w:tc>
        <w:tc>
          <w:tcPr>
            <w:tcW w:w="1655" w:type="dxa"/>
            <w:tcBorders>
              <w:top w:val="nil"/>
              <w:left w:val="single" w:sz="4" w:space="0" w:color="auto"/>
              <w:bottom w:val="single" w:sz="4" w:space="0" w:color="auto"/>
              <w:right w:val="single" w:sz="4" w:space="0" w:color="auto"/>
            </w:tcBorders>
            <w:shd w:val="clear" w:color="auto" w:fill="auto"/>
            <w:vAlign w:val="center"/>
          </w:tcPr>
          <w:p w14:paraId="1B9E7B64" w14:textId="653CA956" w:rsidR="008A1C88" w:rsidRPr="00701F32" w:rsidRDefault="008A1C88" w:rsidP="00AC795F">
            <w:pPr>
              <w:jc w:val="right"/>
              <w:rPr>
                <w:rFonts w:ascii="Arial" w:hAnsi="Arial" w:cs="Arial"/>
                <w:bCs/>
                <w:sz w:val="15"/>
                <w:szCs w:val="15"/>
              </w:rPr>
            </w:pPr>
            <w:r w:rsidRPr="00701F32">
              <w:rPr>
                <w:rFonts w:ascii="Arial" w:hAnsi="Arial" w:cs="Arial"/>
                <w:bCs/>
                <w:sz w:val="15"/>
                <w:szCs w:val="15"/>
              </w:rPr>
              <w:t>2.024.177</w:t>
            </w:r>
          </w:p>
        </w:tc>
        <w:tc>
          <w:tcPr>
            <w:tcW w:w="1345" w:type="dxa"/>
            <w:tcBorders>
              <w:top w:val="single" w:sz="4" w:space="0" w:color="auto"/>
              <w:left w:val="nil"/>
              <w:bottom w:val="single" w:sz="4" w:space="0" w:color="auto"/>
              <w:right w:val="single" w:sz="12" w:space="0" w:color="auto"/>
            </w:tcBorders>
            <w:shd w:val="clear" w:color="auto" w:fill="auto"/>
            <w:vAlign w:val="center"/>
          </w:tcPr>
          <w:p w14:paraId="29F074E9" w14:textId="49243603" w:rsidR="008A1C88" w:rsidRPr="00701F32" w:rsidRDefault="00E40C7F" w:rsidP="00AC795F">
            <w:pPr>
              <w:jc w:val="right"/>
              <w:rPr>
                <w:rFonts w:ascii="Arial" w:hAnsi="Arial" w:cs="Arial"/>
                <w:bCs/>
                <w:sz w:val="15"/>
                <w:szCs w:val="15"/>
              </w:rPr>
            </w:pPr>
            <w:r w:rsidRPr="00701F32">
              <w:rPr>
                <w:rFonts w:ascii="Arial" w:hAnsi="Arial" w:cs="Arial"/>
                <w:bCs/>
                <w:sz w:val="15"/>
                <w:szCs w:val="15"/>
              </w:rPr>
              <w:t>2.217.205</w:t>
            </w:r>
          </w:p>
        </w:tc>
      </w:tr>
      <w:tr w:rsidR="00E40C7F" w:rsidRPr="00701F32" w14:paraId="6AD845A1"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2B34823"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Capital</w:t>
            </w:r>
          </w:p>
        </w:tc>
        <w:tc>
          <w:tcPr>
            <w:tcW w:w="1190" w:type="dxa"/>
            <w:tcBorders>
              <w:top w:val="nil"/>
              <w:left w:val="single" w:sz="4" w:space="0" w:color="auto"/>
              <w:bottom w:val="single" w:sz="8" w:space="0" w:color="auto"/>
              <w:right w:val="single" w:sz="4" w:space="0" w:color="auto"/>
            </w:tcBorders>
            <w:shd w:val="clear" w:color="auto" w:fill="auto"/>
            <w:vAlign w:val="center"/>
          </w:tcPr>
          <w:p w14:paraId="62E365B7" w14:textId="74EF67E7" w:rsidR="008A1C88" w:rsidRPr="00701F32" w:rsidRDefault="008A1C88" w:rsidP="00AC795F">
            <w:pPr>
              <w:jc w:val="right"/>
              <w:rPr>
                <w:rFonts w:ascii="Arial" w:hAnsi="Arial" w:cs="Arial"/>
                <w:bCs/>
                <w:sz w:val="15"/>
                <w:szCs w:val="15"/>
              </w:rPr>
            </w:pPr>
            <w:r w:rsidRPr="00701F32">
              <w:rPr>
                <w:rFonts w:ascii="Arial" w:hAnsi="Arial" w:cs="Arial"/>
                <w:bCs/>
                <w:sz w:val="15"/>
                <w:szCs w:val="15"/>
              </w:rPr>
              <w:t>363.293</w:t>
            </w:r>
          </w:p>
        </w:tc>
        <w:tc>
          <w:tcPr>
            <w:tcW w:w="1212" w:type="dxa"/>
            <w:tcBorders>
              <w:top w:val="single" w:sz="4" w:space="0" w:color="auto"/>
              <w:left w:val="nil"/>
              <w:bottom w:val="single" w:sz="4" w:space="0" w:color="auto"/>
              <w:right w:val="single" w:sz="8" w:space="0" w:color="auto"/>
            </w:tcBorders>
            <w:shd w:val="clear" w:color="auto" w:fill="auto"/>
            <w:vAlign w:val="center"/>
          </w:tcPr>
          <w:p w14:paraId="48C21930"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310.768</w:t>
            </w:r>
          </w:p>
        </w:tc>
        <w:tc>
          <w:tcPr>
            <w:tcW w:w="1170" w:type="dxa"/>
            <w:tcBorders>
              <w:top w:val="nil"/>
              <w:left w:val="single" w:sz="4" w:space="0" w:color="auto"/>
              <w:bottom w:val="single" w:sz="8" w:space="0" w:color="auto"/>
              <w:right w:val="single" w:sz="4" w:space="0" w:color="auto"/>
            </w:tcBorders>
            <w:shd w:val="clear" w:color="auto" w:fill="auto"/>
            <w:vAlign w:val="center"/>
          </w:tcPr>
          <w:p w14:paraId="594D1C01" w14:textId="324330CD" w:rsidR="008A1C88" w:rsidRPr="00701F32" w:rsidRDefault="008A1C88" w:rsidP="00AC795F">
            <w:pPr>
              <w:jc w:val="right"/>
              <w:rPr>
                <w:rFonts w:ascii="Arial" w:hAnsi="Arial" w:cs="Arial"/>
                <w:bCs/>
                <w:sz w:val="15"/>
                <w:szCs w:val="15"/>
              </w:rPr>
            </w:pPr>
            <w:r w:rsidRPr="00701F32">
              <w:rPr>
                <w:rFonts w:ascii="Arial" w:hAnsi="Arial" w:cs="Arial"/>
                <w:bCs/>
                <w:sz w:val="15"/>
                <w:szCs w:val="15"/>
              </w:rPr>
              <w:t>354.367</w:t>
            </w:r>
          </w:p>
        </w:tc>
        <w:tc>
          <w:tcPr>
            <w:tcW w:w="1294" w:type="dxa"/>
            <w:tcBorders>
              <w:top w:val="single" w:sz="4" w:space="0" w:color="auto"/>
              <w:left w:val="nil"/>
              <w:bottom w:val="single" w:sz="4" w:space="0" w:color="auto"/>
              <w:right w:val="single" w:sz="8" w:space="0" w:color="auto"/>
            </w:tcBorders>
            <w:shd w:val="clear" w:color="auto" w:fill="auto"/>
            <w:vAlign w:val="center"/>
          </w:tcPr>
          <w:p w14:paraId="7E383CD5"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308.039</w:t>
            </w:r>
          </w:p>
        </w:tc>
        <w:tc>
          <w:tcPr>
            <w:tcW w:w="1655" w:type="dxa"/>
            <w:tcBorders>
              <w:top w:val="nil"/>
              <w:left w:val="single" w:sz="4" w:space="0" w:color="auto"/>
              <w:bottom w:val="single" w:sz="8" w:space="0" w:color="auto"/>
              <w:right w:val="single" w:sz="4" w:space="0" w:color="auto"/>
            </w:tcBorders>
            <w:shd w:val="clear" w:color="auto" w:fill="auto"/>
            <w:vAlign w:val="center"/>
          </w:tcPr>
          <w:p w14:paraId="4E82BBDA" w14:textId="2569A870" w:rsidR="008A1C88" w:rsidRPr="00701F32" w:rsidRDefault="008A1C88" w:rsidP="00AC795F">
            <w:pPr>
              <w:jc w:val="right"/>
              <w:rPr>
                <w:rFonts w:ascii="Arial" w:hAnsi="Arial" w:cs="Arial"/>
                <w:bCs/>
                <w:sz w:val="15"/>
                <w:szCs w:val="15"/>
              </w:rPr>
            </w:pPr>
            <w:r w:rsidRPr="00701F32">
              <w:rPr>
                <w:rFonts w:ascii="Arial" w:hAnsi="Arial" w:cs="Arial"/>
                <w:bCs/>
                <w:sz w:val="15"/>
                <w:szCs w:val="15"/>
              </w:rPr>
              <w:t>148.130.968</w:t>
            </w:r>
          </w:p>
        </w:tc>
        <w:tc>
          <w:tcPr>
            <w:tcW w:w="1345" w:type="dxa"/>
            <w:tcBorders>
              <w:top w:val="single" w:sz="4" w:space="0" w:color="auto"/>
              <w:left w:val="nil"/>
              <w:bottom w:val="single" w:sz="4" w:space="0" w:color="auto"/>
              <w:right w:val="single" w:sz="12" w:space="0" w:color="auto"/>
            </w:tcBorders>
            <w:shd w:val="clear" w:color="auto" w:fill="auto"/>
            <w:vAlign w:val="center"/>
          </w:tcPr>
          <w:p w14:paraId="086D796F"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129.624.410</w:t>
            </w:r>
          </w:p>
        </w:tc>
      </w:tr>
      <w:tr w:rsidR="00E40C7F" w:rsidRPr="00701F32" w14:paraId="3A0B823D"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05F41512"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Inversión</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FD91672" w14:textId="1F71FF62" w:rsidR="008A1C88" w:rsidRPr="00701F32" w:rsidRDefault="008A1C88" w:rsidP="00AC795F">
            <w:pPr>
              <w:jc w:val="right"/>
              <w:rPr>
                <w:rFonts w:ascii="Arial" w:hAnsi="Arial" w:cs="Arial"/>
                <w:bCs/>
                <w:sz w:val="15"/>
                <w:szCs w:val="15"/>
              </w:rPr>
            </w:pPr>
            <w:r w:rsidRPr="00701F32">
              <w:rPr>
                <w:rFonts w:ascii="Arial" w:hAnsi="Arial" w:cs="Arial"/>
                <w:bCs/>
                <w:sz w:val="15"/>
                <w:szCs w:val="15"/>
              </w:rPr>
              <w:t>250.790</w:t>
            </w:r>
          </w:p>
        </w:tc>
        <w:tc>
          <w:tcPr>
            <w:tcW w:w="1212" w:type="dxa"/>
            <w:tcBorders>
              <w:top w:val="single" w:sz="4" w:space="0" w:color="auto"/>
              <w:left w:val="nil"/>
              <w:bottom w:val="single" w:sz="4" w:space="0" w:color="auto"/>
              <w:right w:val="single" w:sz="8" w:space="0" w:color="auto"/>
            </w:tcBorders>
            <w:shd w:val="clear" w:color="auto" w:fill="auto"/>
            <w:vAlign w:val="center"/>
          </w:tcPr>
          <w:p w14:paraId="463F1B7C"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603.393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E0E387D" w14:textId="56B409BB" w:rsidR="008A1C88" w:rsidRPr="00701F32" w:rsidRDefault="008A1C88" w:rsidP="00AC795F">
            <w:pPr>
              <w:jc w:val="right"/>
              <w:rPr>
                <w:rFonts w:ascii="Arial" w:hAnsi="Arial" w:cs="Arial"/>
                <w:bCs/>
                <w:sz w:val="15"/>
                <w:szCs w:val="15"/>
              </w:rPr>
            </w:pPr>
            <w:r w:rsidRPr="00701F32">
              <w:rPr>
                <w:rFonts w:ascii="Arial" w:hAnsi="Arial" w:cs="Arial"/>
                <w:bCs/>
                <w:sz w:val="15"/>
                <w:szCs w:val="15"/>
              </w:rPr>
              <w:t>195.021</w:t>
            </w:r>
          </w:p>
        </w:tc>
        <w:tc>
          <w:tcPr>
            <w:tcW w:w="1294" w:type="dxa"/>
            <w:tcBorders>
              <w:top w:val="single" w:sz="4" w:space="0" w:color="auto"/>
              <w:left w:val="nil"/>
              <w:bottom w:val="single" w:sz="4" w:space="0" w:color="auto"/>
              <w:right w:val="single" w:sz="8" w:space="0" w:color="auto"/>
            </w:tcBorders>
            <w:shd w:val="clear" w:color="auto" w:fill="auto"/>
            <w:vAlign w:val="center"/>
          </w:tcPr>
          <w:p w14:paraId="029A0874"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602.213</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6A42F320" w14:textId="616F85CF" w:rsidR="008A1C88" w:rsidRPr="00701F32" w:rsidRDefault="008A1C88" w:rsidP="00AC795F">
            <w:pPr>
              <w:jc w:val="right"/>
              <w:rPr>
                <w:rFonts w:ascii="Arial" w:hAnsi="Arial" w:cs="Arial"/>
                <w:bCs/>
                <w:sz w:val="15"/>
                <w:szCs w:val="15"/>
              </w:rPr>
            </w:pPr>
            <w:r w:rsidRPr="00701F32">
              <w:rPr>
                <w:rFonts w:ascii="Arial" w:hAnsi="Arial" w:cs="Arial"/>
                <w:bCs/>
                <w:sz w:val="15"/>
                <w:szCs w:val="15"/>
              </w:rPr>
              <w:t>1.096.280.579</w:t>
            </w:r>
          </w:p>
        </w:tc>
        <w:tc>
          <w:tcPr>
            <w:tcW w:w="1345" w:type="dxa"/>
            <w:tcBorders>
              <w:top w:val="single" w:sz="4" w:space="0" w:color="auto"/>
              <w:left w:val="nil"/>
              <w:bottom w:val="single" w:sz="4" w:space="0" w:color="auto"/>
              <w:right w:val="single" w:sz="12" w:space="0" w:color="auto"/>
            </w:tcBorders>
            <w:shd w:val="clear" w:color="auto" w:fill="auto"/>
            <w:vAlign w:val="center"/>
          </w:tcPr>
          <w:p w14:paraId="2575FA2E"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3.590.757.014</w:t>
            </w:r>
          </w:p>
        </w:tc>
      </w:tr>
      <w:tr w:rsidR="00E40C7F" w:rsidRPr="00701F32" w14:paraId="57FD31B7"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6903B98"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Balanceado</w:t>
            </w:r>
          </w:p>
        </w:tc>
        <w:tc>
          <w:tcPr>
            <w:tcW w:w="1190" w:type="dxa"/>
            <w:tcBorders>
              <w:top w:val="nil"/>
              <w:left w:val="single" w:sz="4" w:space="0" w:color="auto"/>
              <w:bottom w:val="single" w:sz="4" w:space="0" w:color="auto"/>
              <w:right w:val="single" w:sz="4" w:space="0" w:color="auto"/>
            </w:tcBorders>
            <w:shd w:val="clear" w:color="auto" w:fill="auto"/>
            <w:vAlign w:val="center"/>
          </w:tcPr>
          <w:p w14:paraId="464B2377" w14:textId="735F0CD1" w:rsidR="008A1C88" w:rsidRPr="00701F32" w:rsidRDefault="008A1C88" w:rsidP="00AC795F">
            <w:pPr>
              <w:jc w:val="right"/>
              <w:rPr>
                <w:rFonts w:ascii="Arial" w:hAnsi="Arial" w:cs="Arial"/>
                <w:bCs/>
                <w:sz w:val="15"/>
                <w:szCs w:val="15"/>
              </w:rPr>
            </w:pPr>
            <w:r w:rsidRPr="00701F32">
              <w:rPr>
                <w:rFonts w:ascii="Arial" w:hAnsi="Arial" w:cs="Arial"/>
                <w:bCs/>
                <w:sz w:val="15"/>
                <w:szCs w:val="15"/>
              </w:rPr>
              <w:t>569.220</w:t>
            </w:r>
          </w:p>
        </w:tc>
        <w:tc>
          <w:tcPr>
            <w:tcW w:w="1212" w:type="dxa"/>
            <w:tcBorders>
              <w:top w:val="single" w:sz="4" w:space="0" w:color="auto"/>
              <w:left w:val="nil"/>
              <w:bottom w:val="single" w:sz="4" w:space="0" w:color="auto"/>
              <w:right w:val="single" w:sz="8" w:space="0" w:color="auto"/>
            </w:tcBorders>
            <w:shd w:val="clear" w:color="auto" w:fill="auto"/>
            <w:vAlign w:val="center"/>
          </w:tcPr>
          <w:p w14:paraId="4B9C5FA0"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319.282</w:t>
            </w:r>
          </w:p>
        </w:tc>
        <w:tc>
          <w:tcPr>
            <w:tcW w:w="1170" w:type="dxa"/>
            <w:tcBorders>
              <w:top w:val="nil"/>
              <w:left w:val="single" w:sz="4" w:space="0" w:color="auto"/>
              <w:bottom w:val="single" w:sz="4" w:space="0" w:color="auto"/>
              <w:right w:val="single" w:sz="4" w:space="0" w:color="auto"/>
            </w:tcBorders>
            <w:shd w:val="clear" w:color="auto" w:fill="auto"/>
            <w:vAlign w:val="center"/>
          </w:tcPr>
          <w:p w14:paraId="490D5D55" w14:textId="53E61BEE" w:rsidR="008A1C88" w:rsidRPr="00701F32" w:rsidRDefault="008A1C88" w:rsidP="00AC795F">
            <w:pPr>
              <w:jc w:val="right"/>
              <w:rPr>
                <w:rFonts w:ascii="Arial" w:hAnsi="Arial" w:cs="Arial"/>
                <w:bCs/>
                <w:sz w:val="15"/>
                <w:szCs w:val="15"/>
              </w:rPr>
            </w:pPr>
            <w:r w:rsidRPr="00701F32">
              <w:rPr>
                <w:rFonts w:ascii="Arial" w:hAnsi="Arial" w:cs="Arial"/>
                <w:bCs/>
                <w:sz w:val="15"/>
                <w:szCs w:val="15"/>
              </w:rPr>
              <w:t>568.820</w:t>
            </w:r>
          </w:p>
        </w:tc>
        <w:tc>
          <w:tcPr>
            <w:tcW w:w="1294" w:type="dxa"/>
            <w:tcBorders>
              <w:top w:val="single" w:sz="4" w:space="0" w:color="auto"/>
              <w:left w:val="nil"/>
              <w:bottom w:val="single" w:sz="4" w:space="0" w:color="auto"/>
              <w:right w:val="single" w:sz="8" w:space="0" w:color="auto"/>
            </w:tcBorders>
            <w:shd w:val="clear" w:color="auto" w:fill="auto"/>
            <w:vAlign w:val="center"/>
          </w:tcPr>
          <w:p w14:paraId="20C26869"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318.627</w:t>
            </w:r>
          </w:p>
        </w:tc>
        <w:tc>
          <w:tcPr>
            <w:tcW w:w="1655" w:type="dxa"/>
            <w:tcBorders>
              <w:top w:val="nil"/>
              <w:left w:val="single" w:sz="4" w:space="0" w:color="auto"/>
              <w:bottom w:val="single" w:sz="4" w:space="0" w:color="auto"/>
              <w:right w:val="single" w:sz="4" w:space="0" w:color="auto"/>
            </w:tcBorders>
            <w:shd w:val="clear" w:color="auto" w:fill="auto"/>
            <w:vAlign w:val="center"/>
          </w:tcPr>
          <w:p w14:paraId="5D2C5883" w14:textId="0E6D4E16" w:rsidR="008A1C88" w:rsidRPr="00701F32" w:rsidRDefault="008A1C88" w:rsidP="00AC795F">
            <w:pPr>
              <w:jc w:val="right"/>
              <w:rPr>
                <w:rFonts w:ascii="Arial" w:hAnsi="Arial" w:cs="Arial"/>
                <w:bCs/>
                <w:sz w:val="15"/>
                <w:szCs w:val="15"/>
              </w:rPr>
            </w:pPr>
            <w:r w:rsidRPr="00701F32">
              <w:rPr>
                <w:rFonts w:ascii="Arial" w:hAnsi="Arial" w:cs="Arial"/>
                <w:bCs/>
                <w:sz w:val="15"/>
                <w:szCs w:val="15"/>
              </w:rPr>
              <w:t>359.887.367</w:t>
            </w:r>
          </w:p>
        </w:tc>
        <w:tc>
          <w:tcPr>
            <w:tcW w:w="1345" w:type="dxa"/>
            <w:tcBorders>
              <w:top w:val="single" w:sz="4" w:space="0" w:color="auto"/>
              <w:left w:val="nil"/>
              <w:bottom w:val="single" w:sz="4" w:space="0" w:color="auto"/>
              <w:right w:val="single" w:sz="12" w:space="0" w:color="auto"/>
            </w:tcBorders>
            <w:shd w:val="clear" w:color="auto" w:fill="auto"/>
            <w:vAlign w:val="center"/>
          </w:tcPr>
          <w:p w14:paraId="094C87AA"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238.318.110</w:t>
            </w:r>
          </w:p>
        </w:tc>
      </w:tr>
      <w:tr w:rsidR="00E40C7F" w:rsidRPr="00701F32" w14:paraId="7507A9BF"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276912B9"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Mixta</w:t>
            </w:r>
          </w:p>
        </w:tc>
        <w:tc>
          <w:tcPr>
            <w:tcW w:w="1190" w:type="dxa"/>
            <w:tcBorders>
              <w:top w:val="nil"/>
              <w:left w:val="single" w:sz="4" w:space="0" w:color="auto"/>
              <w:bottom w:val="single" w:sz="4" w:space="0" w:color="auto"/>
              <w:right w:val="single" w:sz="4" w:space="0" w:color="auto"/>
            </w:tcBorders>
            <w:shd w:val="clear" w:color="auto" w:fill="auto"/>
            <w:vAlign w:val="center"/>
          </w:tcPr>
          <w:p w14:paraId="05000380" w14:textId="207BB34D" w:rsidR="008A1C88" w:rsidRPr="00701F32" w:rsidRDefault="008A1C88" w:rsidP="00AC795F">
            <w:pPr>
              <w:jc w:val="right"/>
              <w:rPr>
                <w:rFonts w:ascii="Arial" w:hAnsi="Arial" w:cs="Arial"/>
                <w:bCs/>
                <w:sz w:val="15"/>
                <w:szCs w:val="15"/>
              </w:rPr>
            </w:pPr>
            <w:r w:rsidRPr="00701F32">
              <w:rPr>
                <w:rFonts w:ascii="Arial" w:hAnsi="Arial" w:cs="Arial"/>
                <w:bCs/>
                <w:sz w:val="15"/>
                <w:szCs w:val="15"/>
              </w:rPr>
              <w:t>124.608</w:t>
            </w:r>
          </w:p>
        </w:tc>
        <w:tc>
          <w:tcPr>
            <w:tcW w:w="1212" w:type="dxa"/>
            <w:tcBorders>
              <w:top w:val="single" w:sz="4" w:space="0" w:color="auto"/>
              <w:left w:val="nil"/>
              <w:bottom w:val="single" w:sz="4" w:space="0" w:color="auto"/>
              <w:right w:val="single" w:sz="8" w:space="0" w:color="auto"/>
            </w:tcBorders>
            <w:shd w:val="clear" w:color="auto" w:fill="auto"/>
            <w:vAlign w:val="center"/>
          </w:tcPr>
          <w:p w14:paraId="6C92F321" w14:textId="77777777" w:rsidR="008A1C88" w:rsidRPr="00701F32" w:rsidRDefault="008A1C88" w:rsidP="00AC795F">
            <w:pPr>
              <w:jc w:val="right"/>
              <w:rPr>
                <w:rFonts w:ascii="Arial" w:hAnsi="Arial" w:cs="Arial"/>
                <w:bCs/>
                <w:sz w:val="15"/>
                <w:szCs w:val="15"/>
              </w:rPr>
            </w:pPr>
            <w:r w:rsidRPr="00701F32">
              <w:rPr>
                <w:rFonts w:ascii="Arial" w:hAnsi="Arial" w:cs="Arial"/>
                <w:sz w:val="15"/>
                <w:szCs w:val="15"/>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C862A94" w14:textId="3DCA60DD" w:rsidR="008A1C88" w:rsidRPr="00701F32" w:rsidRDefault="008A1C88" w:rsidP="00AC795F">
            <w:pPr>
              <w:jc w:val="right"/>
              <w:rPr>
                <w:rFonts w:ascii="Arial" w:hAnsi="Arial" w:cs="Arial"/>
                <w:bCs/>
                <w:sz w:val="15"/>
                <w:szCs w:val="15"/>
              </w:rPr>
            </w:pPr>
            <w:r w:rsidRPr="00701F32">
              <w:rPr>
                <w:rFonts w:ascii="Arial" w:hAnsi="Arial" w:cs="Arial"/>
                <w:bCs/>
                <w:sz w:val="15"/>
                <w:szCs w:val="15"/>
              </w:rPr>
              <w:t>124.556</w:t>
            </w:r>
          </w:p>
        </w:tc>
        <w:tc>
          <w:tcPr>
            <w:tcW w:w="1294" w:type="dxa"/>
            <w:tcBorders>
              <w:top w:val="single" w:sz="4" w:space="0" w:color="auto"/>
              <w:left w:val="nil"/>
              <w:bottom w:val="single" w:sz="4" w:space="0" w:color="auto"/>
              <w:right w:val="single" w:sz="8" w:space="0" w:color="auto"/>
            </w:tcBorders>
            <w:shd w:val="clear" w:color="auto" w:fill="auto"/>
            <w:vAlign w:val="center"/>
          </w:tcPr>
          <w:p w14:paraId="221C57B1" w14:textId="77777777" w:rsidR="008A1C88" w:rsidRPr="00701F32" w:rsidRDefault="008A1C88" w:rsidP="00AC795F">
            <w:pPr>
              <w:jc w:val="right"/>
              <w:rPr>
                <w:rFonts w:ascii="Arial" w:hAnsi="Arial" w:cs="Arial"/>
                <w:bCs/>
                <w:sz w:val="15"/>
                <w:szCs w:val="15"/>
              </w:rPr>
            </w:pPr>
            <w:r w:rsidRPr="00701F32">
              <w:rPr>
                <w:rFonts w:ascii="Arial" w:hAnsi="Arial" w:cs="Arial"/>
                <w:sz w:val="15"/>
                <w:szCs w:val="15"/>
              </w:rPr>
              <w:t>-</w:t>
            </w:r>
          </w:p>
        </w:tc>
        <w:tc>
          <w:tcPr>
            <w:tcW w:w="1655" w:type="dxa"/>
            <w:tcBorders>
              <w:top w:val="nil"/>
              <w:left w:val="single" w:sz="4" w:space="0" w:color="auto"/>
              <w:bottom w:val="single" w:sz="4" w:space="0" w:color="auto"/>
              <w:right w:val="single" w:sz="4" w:space="0" w:color="auto"/>
            </w:tcBorders>
            <w:shd w:val="clear" w:color="auto" w:fill="auto"/>
            <w:vAlign w:val="center"/>
          </w:tcPr>
          <w:p w14:paraId="345CF8AB" w14:textId="12596D73" w:rsidR="008A1C88" w:rsidRPr="00701F32" w:rsidRDefault="008A1C88" w:rsidP="00AC795F">
            <w:pPr>
              <w:jc w:val="right"/>
              <w:rPr>
                <w:rFonts w:ascii="Arial" w:hAnsi="Arial" w:cs="Arial"/>
                <w:bCs/>
                <w:sz w:val="15"/>
                <w:szCs w:val="15"/>
              </w:rPr>
            </w:pPr>
            <w:r w:rsidRPr="00701F32">
              <w:rPr>
                <w:rFonts w:ascii="Arial" w:hAnsi="Arial" w:cs="Arial"/>
                <w:bCs/>
                <w:sz w:val="15"/>
                <w:szCs w:val="15"/>
              </w:rPr>
              <w:t>100.518.422</w:t>
            </w:r>
          </w:p>
        </w:tc>
        <w:tc>
          <w:tcPr>
            <w:tcW w:w="1345" w:type="dxa"/>
            <w:tcBorders>
              <w:top w:val="single" w:sz="4" w:space="0" w:color="auto"/>
              <w:left w:val="nil"/>
              <w:bottom w:val="single" w:sz="4" w:space="0" w:color="auto"/>
              <w:right w:val="single" w:sz="12" w:space="0" w:color="auto"/>
            </w:tcBorders>
            <w:shd w:val="clear" w:color="auto" w:fill="auto"/>
            <w:vAlign w:val="center"/>
          </w:tcPr>
          <w:p w14:paraId="6DBC8A04" w14:textId="77777777" w:rsidR="008A1C88" w:rsidRPr="00701F32" w:rsidRDefault="008A1C88" w:rsidP="00AC795F">
            <w:pPr>
              <w:jc w:val="right"/>
              <w:rPr>
                <w:rFonts w:ascii="Arial" w:hAnsi="Arial" w:cs="Arial"/>
                <w:bCs/>
                <w:sz w:val="15"/>
                <w:szCs w:val="15"/>
              </w:rPr>
            </w:pPr>
            <w:r w:rsidRPr="00701F32">
              <w:rPr>
                <w:rFonts w:ascii="Arial" w:hAnsi="Arial" w:cs="Arial"/>
                <w:sz w:val="15"/>
                <w:szCs w:val="15"/>
              </w:rPr>
              <w:t>-</w:t>
            </w:r>
          </w:p>
        </w:tc>
      </w:tr>
      <w:tr w:rsidR="00E40C7F" w:rsidRPr="00701F32" w14:paraId="5FFFBF8D" w14:textId="77777777" w:rsidTr="00AC795F">
        <w:trPr>
          <w:trHeight w:val="585"/>
        </w:trPr>
        <w:tc>
          <w:tcPr>
            <w:tcW w:w="1149" w:type="dxa"/>
            <w:tcBorders>
              <w:top w:val="single" w:sz="4" w:space="0" w:color="auto"/>
              <w:left w:val="single" w:sz="12" w:space="0" w:color="auto"/>
              <w:bottom w:val="single" w:sz="4" w:space="0" w:color="auto"/>
              <w:right w:val="single" w:sz="8" w:space="0" w:color="auto"/>
            </w:tcBorders>
            <w:shd w:val="clear" w:color="auto" w:fill="auto"/>
            <w:vAlign w:val="center"/>
          </w:tcPr>
          <w:p w14:paraId="4207EC9D"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Renta Mixta en USD</w:t>
            </w:r>
          </w:p>
        </w:tc>
        <w:tc>
          <w:tcPr>
            <w:tcW w:w="1190" w:type="dxa"/>
            <w:tcBorders>
              <w:top w:val="nil"/>
              <w:left w:val="single" w:sz="4" w:space="0" w:color="auto"/>
              <w:bottom w:val="single" w:sz="4" w:space="0" w:color="auto"/>
              <w:right w:val="single" w:sz="4" w:space="0" w:color="auto"/>
            </w:tcBorders>
            <w:shd w:val="clear" w:color="auto" w:fill="auto"/>
            <w:vAlign w:val="center"/>
          </w:tcPr>
          <w:p w14:paraId="450D0FFD" w14:textId="449A50BD" w:rsidR="008A1C88" w:rsidRPr="00701F32" w:rsidRDefault="008A1C88" w:rsidP="00AC795F">
            <w:pPr>
              <w:jc w:val="right"/>
              <w:rPr>
                <w:rFonts w:ascii="Arial" w:hAnsi="Arial" w:cs="Arial"/>
                <w:bCs/>
                <w:sz w:val="15"/>
                <w:szCs w:val="15"/>
              </w:rPr>
            </w:pPr>
            <w:r w:rsidRPr="00701F32">
              <w:rPr>
                <w:rFonts w:ascii="Arial" w:hAnsi="Arial" w:cs="Arial"/>
                <w:bCs/>
                <w:sz w:val="15"/>
                <w:szCs w:val="15"/>
              </w:rPr>
              <w:t>982.625</w:t>
            </w:r>
          </w:p>
        </w:tc>
        <w:tc>
          <w:tcPr>
            <w:tcW w:w="1212" w:type="dxa"/>
            <w:tcBorders>
              <w:top w:val="single" w:sz="4" w:space="0" w:color="auto"/>
              <w:left w:val="nil"/>
              <w:bottom w:val="single" w:sz="4" w:space="0" w:color="auto"/>
              <w:right w:val="single" w:sz="8" w:space="0" w:color="auto"/>
            </w:tcBorders>
            <w:shd w:val="clear" w:color="auto" w:fill="auto"/>
            <w:vAlign w:val="center"/>
          </w:tcPr>
          <w:p w14:paraId="212B254B" w14:textId="77777777" w:rsidR="008A1C88" w:rsidRPr="00701F32" w:rsidRDefault="008A1C88" w:rsidP="00AC795F">
            <w:pPr>
              <w:jc w:val="right"/>
              <w:rPr>
                <w:rFonts w:ascii="Arial" w:hAnsi="Arial" w:cs="Arial"/>
                <w:bCs/>
                <w:sz w:val="15"/>
                <w:szCs w:val="15"/>
              </w:rPr>
            </w:pPr>
            <w:r w:rsidRPr="00701F32">
              <w:rPr>
                <w:rFonts w:ascii="Arial" w:hAnsi="Arial" w:cs="Arial"/>
                <w:bCs/>
                <w:sz w:val="15"/>
                <w:szCs w:val="15"/>
              </w:rPr>
              <w:t>2.379.900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F42738F" w14:textId="17F2CB3D" w:rsidR="008A1C88" w:rsidRPr="00701F32" w:rsidRDefault="008A1C88" w:rsidP="00AC795F">
            <w:pPr>
              <w:jc w:val="right"/>
              <w:rPr>
                <w:rFonts w:ascii="Arial" w:hAnsi="Arial" w:cs="Arial"/>
                <w:bCs/>
                <w:sz w:val="15"/>
                <w:szCs w:val="15"/>
              </w:rPr>
            </w:pPr>
            <w:r w:rsidRPr="00701F32">
              <w:rPr>
                <w:rFonts w:ascii="Arial" w:hAnsi="Arial" w:cs="Arial"/>
                <w:bCs/>
                <w:sz w:val="15"/>
                <w:szCs w:val="15"/>
              </w:rPr>
              <w:t>973.341</w:t>
            </w:r>
          </w:p>
        </w:tc>
        <w:tc>
          <w:tcPr>
            <w:tcW w:w="1294" w:type="dxa"/>
            <w:tcBorders>
              <w:top w:val="single" w:sz="4" w:space="0" w:color="auto"/>
              <w:left w:val="nil"/>
              <w:bottom w:val="single" w:sz="4" w:space="0" w:color="auto"/>
              <w:right w:val="single" w:sz="8" w:space="0" w:color="auto"/>
            </w:tcBorders>
            <w:shd w:val="clear" w:color="auto" w:fill="auto"/>
            <w:vAlign w:val="center"/>
          </w:tcPr>
          <w:p w14:paraId="0357E91A" w14:textId="77777777" w:rsidR="008A1C88" w:rsidRPr="00701F32" w:rsidRDefault="008A1C88" w:rsidP="00AC795F">
            <w:pPr>
              <w:jc w:val="right"/>
              <w:rPr>
                <w:rFonts w:ascii="Arial" w:hAnsi="Arial" w:cs="Arial"/>
                <w:bCs/>
                <w:sz w:val="15"/>
                <w:szCs w:val="15"/>
              </w:rPr>
            </w:pPr>
            <w:r w:rsidRPr="00701F32">
              <w:rPr>
                <w:rFonts w:ascii="Arial" w:hAnsi="Arial" w:cs="Arial"/>
                <w:bCs/>
                <w:sz w:val="15"/>
                <w:szCs w:val="15"/>
              </w:rPr>
              <w:t>2.297.195</w:t>
            </w:r>
          </w:p>
        </w:tc>
        <w:tc>
          <w:tcPr>
            <w:tcW w:w="1655" w:type="dxa"/>
            <w:tcBorders>
              <w:top w:val="nil"/>
              <w:left w:val="single" w:sz="4" w:space="0" w:color="auto"/>
              <w:bottom w:val="single" w:sz="4" w:space="0" w:color="auto"/>
              <w:right w:val="single" w:sz="4" w:space="0" w:color="auto"/>
            </w:tcBorders>
            <w:shd w:val="clear" w:color="auto" w:fill="auto"/>
            <w:vAlign w:val="center"/>
          </w:tcPr>
          <w:p w14:paraId="5E964E1B" w14:textId="0BC884E3" w:rsidR="008A1C88" w:rsidRPr="00701F32" w:rsidRDefault="008A1C88" w:rsidP="00AC795F">
            <w:pPr>
              <w:jc w:val="right"/>
              <w:rPr>
                <w:rFonts w:ascii="Arial" w:hAnsi="Arial" w:cs="Arial"/>
                <w:bCs/>
                <w:sz w:val="15"/>
                <w:szCs w:val="15"/>
              </w:rPr>
            </w:pPr>
            <w:r w:rsidRPr="00701F32">
              <w:rPr>
                <w:rFonts w:ascii="Arial" w:hAnsi="Arial" w:cs="Arial"/>
                <w:bCs/>
                <w:sz w:val="15"/>
                <w:szCs w:val="15"/>
              </w:rPr>
              <w:t>26.985.404</w:t>
            </w:r>
          </w:p>
        </w:tc>
        <w:tc>
          <w:tcPr>
            <w:tcW w:w="1345" w:type="dxa"/>
            <w:tcBorders>
              <w:top w:val="single" w:sz="4" w:space="0" w:color="auto"/>
              <w:left w:val="nil"/>
              <w:bottom w:val="single" w:sz="4" w:space="0" w:color="auto"/>
              <w:right w:val="single" w:sz="12" w:space="0" w:color="auto"/>
            </w:tcBorders>
            <w:shd w:val="clear" w:color="auto" w:fill="auto"/>
            <w:vAlign w:val="center"/>
          </w:tcPr>
          <w:p w14:paraId="473F3C79" w14:textId="77777777" w:rsidR="008A1C88" w:rsidRPr="00701F32" w:rsidRDefault="008A1C88" w:rsidP="00AC795F">
            <w:pPr>
              <w:jc w:val="right"/>
              <w:rPr>
                <w:rFonts w:ascii="Arial" w:hAnsi="Arial" w:cs="Arial"/>
                <w:bCs/>
                <w:sz w:val="15"/>
                <w:szCs w:val="15"/>
              </w:rPr>
            </w:pPr>
            <w:r w:rsidRPr="00701F32">
              <w:rPr>
                <w:rFonts w:ascii="Arial" w:hAnsi="Arial" w:cs="Arial"/>
                <w:bCs/>
                <w:sz w:val="15"/>
                <w:szCs w:val="15"/>
              </w:rPr>
              <w:t>110.928.209</w:t>
            </w:r>
          </w:p>
        </w:tc>
      </w:tr>
      <w:tr w:rsidR="00E40C7F" w:rsidRPr="00701F32" w14:paraId="18E310DF" w14:textId="77777777" w:rsidTr="00AC795F">
        <w:trPr>
          <w:trHeight w:val="585"/>
        </w:trPr>
        <w:tc>
          <w:tcPr>
            <w:tcW w:w="1149"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71647D01" w14:textId="77777777" w:rsidR="008A1C88" w:rsidRPr="00701F32" w:rsidRDefault="008A1C88" w:rsidP="00AC795F">
            <w:pPr>
              <w:jc w:val="center"/>
              <w:rPr>
                <w:rFonts w:ascii="Arial" w:hAnsi="Arial" w:cs="Arial"/>
                <w:sz w:val="15"/>
                <w:szCs w:val="15"/>
              </w:rPr>
            </w:pPr>
            <w:r w:rsidRPr="00701F32">
              <w:rPr>
                <w:rFonts w:ascii="Arial" w:hAnsi="Arial" w:cs="Arial"/>
                <w:sz w:val="15"/>
                <w:szCs w:val="15"/>
              </w:rPr>
              <w:t>Premier Performance en USD</w:t>
            </w:r>
          </w:p>
        </w:tc>
        <w:tc>
          <w:tcPr>
            <w:tcW w:w="1190" w:type="dxa"/>
            <w:tcBorders>
              <w:top w:val="single" w:sz="4" w:space="0" w:color="auto"/>
              <w:left w:val="nil"/>
              <w:bottom w:val="single" w:sz="12" w:space="0" w:color="auto"/>
              <w:right w:val="single" w:sz="8" w:space="0" w:color="auto"/>
            </w:tcBorders>
            <w:shd w:val="clear" w:color="auto" w:fill="auto"/>
            <w:vAlign w:val="center"/>
          </w:tcPr>
          <w:p w14:paraId="371C8813" w14:textId="6F182C3D" w:rsidR="008A1C88" w:rsidRPr="00701F32" w:rsidRDefault="008A1C88" w:rsidP="00AC795F">
            <w:pPr>
              <w:jc w:val="right"/>
              <w:rPr>
                <w:rFonts w:ascii="Arial" w:hAnsi="Arial" w:cs="Arial"/>
                <w:bCs/>
                <w:sz w:val="15"/>
                <w:szCs w:val="15"/>
              </w:rPr>
            </w:pPr>
            <w:r w:rsidRPr="00701F32">
              <w:rPr>
                <w:rFonts w:ascii="Arial" w:hAnsi="Arial" w:cs="Arial"/>
                <w:bCs/>
                <w:sz w:val="15"/>
                <w:szCs w:val="15"/>
              </w:rPr>
              <w:t>1.840.679</w:t>
            </w:r>
          </w:p>
        </w:tc>
        <w:tc>
          <w:tcPr>
            <w:tcW w:w="1212" w:type="dxa"/>
            <w:tcBorders>
              <w:top w:val="single" w:sz="4" w:space="0" w:color="auto"/>
              <w:left w:val="nil"/>
              <w:bottom w:val="single" w:sz="12" w:space="0" w:color="auto"/>
              <w:right w:val="single" w:sz="8" w:space="0" w:color="auto"/>
            </w:tcBorders>
            <w:shd w:val="clear" w:color="auto" w:fill="auto"/>
            <w:vAlign w:val="center"/>
          </w:tcPr>
          <w:p w14:paraId="5C9D0C5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w:t>
            </w:r>
          </w:p>
        </w:tc>
        <w:tc>
          <w:tcPr>
            <w:tcW w:w="1170" w:type="dxa"/>
            <w:tcBorders>
              <w:top w:val="single" w:sz="4" w:space="0" w:color="auto"/>
              <w:left w:val="single" w:sz="4" w:space="0" w:color="auto"/>
              <w:bottom w:val="single" w:sz="12" w:space="0" w:color="auto"/>
              <w:right w:val="single" w:sz="4" w:space="0" w:color="auto"/>
            </w:tcBorders>
            <w:shd w:val="clear" w:color="auto" w:fill="auto"/>
            <w:vAlign w:val="center"/>
          </w:tcPr>
          <w:p w14:paraId="0FEFD587" w14:textId="586BAB8A" w:rsidR="008A1C88" w:rsidRPr="00701F32" w:rsidRDefault="008A1C88" w:rsidP="00AC795F">
            <w:pPr>
              <w:jc w:val="right"/>
              <w:rPr>
                <w:rFonts w:ascii="Arial" w:hAnsi="Arial" w:cs="Arial"/>
                <w:bCs/>
                <w:sz w:val="15"/>
                <w:szCs w:val="15"/>
              </w:rPr>
            </w:pPr>
            <w:r w:rsidRPr="00701F32">
              <w:rPr>
                <w:rFonts w:ascii="Arial" w:hAnsi="Arial" w:cs="Arial"/>
                <w:bCs/>
                <w:sz w:val="15"/>
                <w:szCs w:val="15"/>
              </w:rPr>
              <w:t>1.817.777</w:t>
            </w:r>
          </w:p>
        </w:tc>
        <w:tc>
          <w:tcPr>
            <w:tcW w:w="1294" w:type="dxa"/>
            <w:tcBorders>
              <w:top w:val="single" w:sz="4" w:space="0" w:color="auto"/>
              <w:left w:val="nil"/>
              <w:bottom w:val="single" w:sz="12" w:space="0" w:color="auto"/>
              <w:right w:val="single" w:sz="8" w:space="0" w:color="auto"/>
            </w:tcBorders>
            <w:shd w:val="clear" w:color="auto" w:fill="auto"/>
            <w:vAlign w:val="center"/>
          </w:tcPr>
          <w:p w14:paraId="7EDF670B"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w:t>
            </w:r>
          </w:p>
        </w:tc>
        <w:tc>
          <w:tcPr>
            <w:tcW w:w="1655" w:type="dxa"/>
            <w:tcBorders>
              <w:top w:val="single" w:sz="4" w:space="0" w:color="auto"/>
              <w:left w:val="single" w:sz="4" w:space="0" w:color="auto"/>
              <w:bottom w:val="single" w:sz="12" w:space="0" w:color="auto"/>
              <w:right w:val="single" w:sz="4" w:space="0" w:color="auto"/>
            </w:tcBorders>
            <w:shd w:val="clear" w:color="auto" w:fill="auto"/>
            <w:vAlign w:val="center"/>
          </w:tcPr>
          <w:p w14:paraId="5B810A61" w14:textId="269E9D1B" w:rsidR="008A1C88" w:rsidRPr="00701F32" w:rsidRDefault="008A1C88" w:rsidP="00AC795F">
            <w:pPr>
              <w:jc w:val="right"/>
              <w:rPr>
                <w:rFonts w:ascii="Arial" w:hAnsi="Arial" w:cs="Arial"/>
                <w:bCs/>
                <w:sz w:val="15"/>
                <w:szCs w:val="15"/>
              </w:rPr>
            </w:pPr>
            <w:r w:rsidRPr="00701F32">
              <w:rPr>
                <w:rFonts w:ascii="Arial" w:hAnsi="Arial" w:cs="Arial"/>
                <w:bCs/>
                <w:sz w:val="15"/>
                <w:szCs w:val="15"/>
              </w:rPr>
              <w:t>44.935.609</w:t>
            </w:r>
          </w:p>
        </w:tc>
        <w:tc>
          <w:tcPr>
            <w:tcW w:w="1345" w:type="dxa"/>
            <w:tcBorders>
              <w:top w:val="single" w:sz="4" w:space="0" w:color="auto"/>
              <w:left w:val="nil"/>
              <w:bottom w:val="single" w:sz="12" w:space="0" w:color="auto"/>
              <w:right w:val="single" w:sz="12" w:space="0" w:color="auto"/>
            </w:tcBorders>
            <w:shd w:val="clear" w:color="auto" w:fill="auto"/>
            <w:vAlign w:val="center"/>
          </w:tcPr>
          <w:p w14:paraId="00780EF9" w14:textId="77777777" w:rsidR="008A1C88" w:rsidRPr="00701F32" w:rsidRDefault="008A1C88" w:rsidP="00AC795F">
            <w:pPr>
              <w:jc w:val="right"/>
              <w:rPr>
                <w:rFonts w:ascii="Arial" w:hAnsi="Arial" w:cs="Arial"/>
                <w:sz w:val="15"/>
                <w:szCs w:val="15"/>
              </w:rPr>
            </w:pPr>
            <w:r w:rsidRPr="00701F32">
              <w:rPr>
                <w:rFonts w:ascii="Arial" w:hAnsi="Arial" w:cs="Arial"/>
                <w:bCs/>
                <w:sz w:val="15"/>
                <w:szCs w:val="15"/>
              </w:rPr>
              <w:t>-</w:t>
            </w:r>
          </w:p>
        </w:tc>
      </w:tr>
    </w:tbl>
    <w:p w14:paraId="5A0AE725" w14:textId="77777777" w:rsidR="00D242BF" w:rsidRPr="00701F32" w:rsidRDefault="00D242BF" w:rsidP="00D242BF">
      <w:pPr>
        <w:tabs>
          <w:tab w:val="left" w:pos="142"/>
        </w:tabs>
        <w:jc w:val="both"/>
        <w:rPr>
          <w:rFonts w:ascii="Arial" w:hAnsi="Arial" w:cs="Arial"/>
          <w:b/>
          <w:sz w:val="20"/>
        </w:rPr>
      </w:pPr>
    </w:p>
    <w:p w14:paraId="6F525B41" w14:textId="77777777" w:rsidR="00656E62" w:rsidRPr="00701F32" w:rsidRDefault="00656E62" w:rsidP="00656E62">
      <w:pPr>
        <w:jc w:val="both"/>
        <w:rPr>
          <w:rFonts w:ascii="Arial" w:eastAsia="Arial" w:hAnsi="Arial" w:cs="Arial"/>
          <w:bCs/>
          <w:noProof/>
          <w:color w:val="000000"/>
          <w:sz w:val="20"/>
        </w:rPr>
      </w:pPr>
    </w:p>
    <w:p w14:paraId="4583C8D8" w14:textId="77777777" w:rsidR="00656E62" w:rsidRPr="00701F32" w:rsidRDefault="00D57127" w:rsidP="00656E62">
      <w:pPr>
        <w:widowControl w:val="0"/>
        <w:autoSpaceDE w:val="0"/>
        <w:autoSpaceDN w:val="0"/>
        <w:adjustRightInd w:val="0"/>
        <w:jc w:val="both"/>
        <w:rPr>
          <w:rFonts w:ascii="Arial" w:hAnsi="Arial" w:cs="Arial"/>
          <w:b/>
          <w:noProof/>
          <w:sz w:val="20"/>
        </w:rPr>
      </w:pPr>
      <w:r w:rsidRPr="00701F32">
        <w:rPr>
          <w:rFonts w:ascii="Arial" w:hAnsi="Arial" w:cs="Arial"/>
          <w:b/>
          <w:noProof/>
          <w:sz w:val="20"/>
        </w:rPr>
        <w:t>15</w:t>
      </w:r>
      <w:r w:rsidR="00656E62" w:rsidRPr="00701F32">
        <w:rPr>
          <w:rFonts w:ascii="Arial" w:hAnsi="Arial" w:cs="Arial"/>
          <w:b/>
          <w:noProof/>
          <w:sz w:val="20"/>
        </w:rPr>
        <w:t xml:space="preserve">. </w:t>
      </w:r>
      <w:r w:rsidR="00656E62" w:rsidRPr="00701F32">
        <w:rPr>
          <w:rFonts w:ascii="Arial" w:hAnsi="Arial" w:cs="Arial"/>
          <w:b/>
          <w:sz w:val="20"/>
        </w:rPr>
        <w:t>I</w:t>
      </w:r>
      <w:r w:rsidR="00D242BF" w:rsidRPr="00701F32">
        <w:rPr>
          <w:rFonts w:ascii="Arial" w:hAnsi="Arial" w:cs="Arial"/>
          <w:b/>
          <w:sz w:val="20"/>
        </w:rPr>
        <w:t xml:space="preserve">NFORMACION ADICIONAL REQUERIDA POR EL </w:t>
      </w:r>
      <w:r w:rsidR="00656E62" w:rsidRPr="00701F32">
        <w:rPr>
          <w:rFonts w:ascii="Arial" w:hAnsi="Arial" w:cs="Arial"/>
          <w:b/>
          <w:sz w:val="20"/>
        </w:rPr>
        <w:t>BCRA</w:t>
      </w:r>
    </w:p>
    <w:p w14:paraId="6BBCE699" w14:textId="77777777" w:rsidR="00656E62" w:rsidRPr="00701F32" w:rsidRDefault="00656E62" w:rsidP="00656E62">
      <w:pPr>
        <w:jc w:val="both"/>
        <w:rPr>
          <w:rFonts w:ascii="Arial" w:hAnsi="Arial" w:cs="Arial"/>
          <w:b/>
          <w:sz w:val="20"/>
        </w:rPr>
      </w:pPr>
    </w:p>
    <w:p w14:paraId="48E77D82" w14:textId="77777777" w:rsidR="00656E62" w:rsidRPr="00701F32" w:rsidRDefault="00D57127" w:rsidP="00656E62">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 xml:space="preserve">.1 Sistema de Seguros de Garantía de Depósitos </w:t>
      </w:r>
    </w:p>
    <w:p w14:paraId="73C6BCDD" w14:textId="77777777" w:rsidR="00656E62" w:rsidRPr="00701F32" w:rsidRDefault="00656E62" w:rsidP="00656E62">
      <w:pPr>
        <w:tabs>
          <w:tab w:val="left" w:pos="142"/>
          <w:tab w:val="left" w:pos="9923"/>
        </w:tabs>
        <w:spacing w:after="200" w:line="276" w:lineRule="auto"/>
        <w:contextualSpacing/>
        <w:jc w:val="both"/>
        <w:rPr>
          <w:rFonts w:ascii="Arial" w:hAnsi="Arial" w:cs="Arial"/>
          <w:sz w:val="20"/>
        </w:rPr>
      </w:pPr>
    </w:p>
    <w:p w14:paraId="59B6CA0A" w14:textId="77777777" w:rsidR="006D7FAF" w:rsidRPr="00701F32" w:rsidRDefault="006D7FAF" w:rsidP="006D7FAF">
      <w:pPr>
        <w:tabs>
          <w:tab w:val="left" w:pos="142"/>
          <w:tab w:val="left" w:pos="9923"/>
        </w:tabs>
        <w:spacing w:after="200" w:line="276" w:lineRule="auto"/>
        <w:contextualSpacing/>
        <w:jc w:val="both"/>
        <w:rPr>
          <w:rFonts w:ascii="Arial" w:hAnsi="Arial" w:cs="Arial"/>
          <w:sz w:val="20"/>
        </w:rPr>
      </w:pPr>
      <w:r w:rsidRPr="00701F32">
        <w:rPr>
          <w:rFonts w:ascii="Arial" w:hAnsi="Arial" w:cs="Arial"/>
          <w:sz w:val="20"/>
        </w:rPr>
        <w:t>Mediante la Ley N° 24485 y el Decreto N° 540/95 se dispuso la creación del Sistema de Seguro de Garantía de los Depósitos con el objeto de cubrir el riesgo de los depósitos bancarios adicionalmente al sistema de privilegios y protección previsto en la Ley de Entidades Financieras.</w:t>
      </w:r>
    </w:p>
    <w:p w14:paraId="5471C6EF" w14:textId="77777777" w:rsidR="006D7FAF" w:rsidRPr="00701F32" w:rsidRDefault="006D7FAF" w:rsidP="006D7FAF">
      <w:pPr>
        <w:tabs>
          <w:tab w:val="left" w:pos="142"/>
          <w:tab w:val="left" w:pos="9923"/>
        </w:tabs>
        <w:spacing w:after="200" w:line="276" w:lineRule="auto"/>
        <w:contextualSpacing/>
        <w:jc w:val="both"/>
        <w:rPr>
          <w:rFonts w:ascii="Arial" w:hAnsi="Arial" w:cs="Arial"/>
          <w:sz w:val="20"/>
        </w:rPr>
      </w:pPr>
    </w:p>
    <w:p w14:paraId="2BE9AED8" w14:textId="77777777" w:rsidR="006D7FAF" w:rsidRPr="00701F32" w:rsidRDefault="006D7FAF" w:rsidP="006D7FAF">
      <w:pPr>
        <w:tabs>
          <w:tab w:val="left" w:pos="142"/>
          <w:tab w:val="left" w:pos="9923"/>
        </w:tabs>
        <w:spacing w:after="200" w:line="276" w:lineRule="auto"/>
        <w:contextualSpacing/>
        <w:jc w:val="both"/>
        <w:rPr>
          <w:rFonts w:ascii="Arial" w:hAnsi="Arial" w:cs="Arial"/>
          <w:sz w:val="20"/>
        </w:rPr>
      </w:pPr>
      <w:r w:rsidRPr="00701F32">
        <w:rPr>
          <w:rFonts w:ascii="Arial" w:hAnsi="Arial" w:cs="Arial"/>
          <w:sz w:val="20"/>
        </w:rPr>
        <w:t>Por el Decreto N° 1127/98 del 24 de septiembre de 1998, el P.E.N. estableció el límite máximo de cobertura del sistema de garantía, alcanzando a los depósitos a la vista o a plazo fijo, en pesos y/o moneda extranjera.  Actualmente dicho límite alcanza la suma de 450, el cual fue establecido por la comunicación “A” 5943 con vigencia a partir de mayo de 2016.</w:t>
      </w:r>
    </w:p>
    <w:p w14:paraId="3EE55D26" w14:textId="77777777" w:rsidR="006D7FAF" w:rsidRPr="00701F32" w:rsidRDefault="006D7FAF" w:rsidP="006D7FAF">
      <w:pPr>
        <w:tabs>
          <w:tab w:val="left" w:pos="142"/>
          <w:tab w:val="left" w:pos="9923"/>
        </w:tabs>
        <w:spacing w:after="200" w:line="276" w:lineRule="auto"/>
        <w:contextualSpacing/>
        <w:jc w:val="both"/>
        <w:rPr>
          <w:rFonts w:ascii="Arial" w:hAnsi="Arial" w:cs="Arial"/>
          <w:sz w:val="20"/>
        </w:rPr>
      </w:pPr>
      <w:r w:rsidRPr="00701F32">
        <w:rPr>
          <w:rFonts w:ascii="Arial" w:hAnsi="Arial" w:cs="Arial"/>
          <w:sz w:val="20"/>
        </w:rPr>
        <w:t xml:space="preserve"> </w:t>
      </w:r>
    </w:p>
    <w:p w14:paraId="4D5CC2F0" w14:textId="77777777" w:rsidR="006D7FAF" w:rsidRPr="00701F32" w:rsidRDefault="006D7FAF" w:rsidP="00656E62">
      <w:pPr>
        <w:jc w:val="both"/>
        <w:rPr>
          <w:rFonts w:ascii="Arial" w:hAnsi="Arial" w:cs="Arial"/>
          <w:sz w:val="20"/>
        </w:rPr>
      </w:pPr>
      <w:r w:rsidRPr="00701F32">
        <w:rPr>
          <w:rFonts w:ascii="Arial" w:hAnsi="Arial" w:cs="Arial"/>
          <w:sz w:val="20"/>
        </w:rPr>
        <w:t>No están incluidos en el presente régimen los depósitos efectuados por otras entidades financieras (incluyendo los certificados a plazo fijo adquiridos por negociación secundaria), los depósitos efectuados por personas vinculadas directa o indirectamente a la entidad, los depósitos de títulos valores, aceptaciones o garantías y, los depósitos a la vista convenidos a una tasa superior a la establecida periódicamente por el BCRA en base a la encuesta diaria que realiza dicha institución y los depósitos e inversiones a plazo que superen en 1,3 veces dicha tasa o la tasa de referencia mas 5 puntos porcentuales, la que fuese mayor. También se hallan excluidos los depósitos cuya titularidad haya sido adquirida vía endoso y las imposiciones que ofrezcan incentivos adicionales a la tasa de interés. El sistema ha sido implementado mediante la creación de un fondo denominado "Fondo de Garantía de los Depósitos" (F.G.D.), que es administrado por la sociedad Seguros de Depósitos S.A. (SEDESA) y cuyos accionistas son el BCRA y las entidades financieras en la proporción que para cada una de ellas determina dicha institución en función de los aportes efectuados al mencionado fondo.</w:t>
      </w:r>
    </w:p>
    <w:p w14:paraId="1B74142D" w14:textId="77777777" w:rsidR="00656E62" w:rsidRPr="00701F32" w:rsidRDefault="00656E62" w:rsidP="00656E62">
      <w:pPr>
        <w:jc w:val="both"/>
        <w:rPr>
          <w:rFonts w:ascii="Arial" w:hAnsi="Arial" w:cs="Arial"/>
          <w:sz w:val="20"/>
        </w:rPr>
      </w:pPr>
    </w:p>
    <w:p w14:paraId="4F36BAD8" w14:textId="77777777" w:rsidR="00656E62" w:rsidRPr="00701F32" w:rsidRDefault="00D57127" w:rsidP="00656E62">
      <w:pPr>
        <w:tabs>
          <w:tab w:val="left" w:pos="9923"/>
        </w:tabs>
        <w:spacing w:after="200" w:line="276" w:lineRule="auto"/>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.2 Bienes de disponibilidad restringida</w:t>
      </w:r>
    </w:p>
    <w:p w14:paraId="01AAD42A"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La Entidad posee activos cuya disponibilidad se encuentra restringida, según el siguiente detalle:</w:t>
      </w:r>
    </w:p>
    <w:p w14:paraId="119A0968" w14:textId="77777777" w:rsidR="00656E62" w:rsidRPr="00701F32" w:rsidRDefault="00656E62" w:rsidP="00656E62">
      <w:pPr>
        <w:tabs>
          <w:tab w:val="left" w:pos="142"/>
        </w:tabs>
        <w:jc w:val="both"/>
        <w:rPr>
          <w:rFonts w:ascii="Arial" w:hAnsi="Arial" w:cs="Arial"/>
          <w:sz w:val="20"/>
        </w:rPr>
      </w:pPr>
    </w:p>
    <w:tbl>
      <w:tblPr>
        <w:tblW w:w="545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10"/>
        <w:gridCol w:w="1407"/>
        <w:gridCol w:w="1143"/>
        <w:gridCol w:w="1267"/>
      </w:tblGrid>
      <w:tr w:rsidR="00656E62" w:rsidRPr="00701F32" w14:paraId="7ACBFDF9" w14:textId="77777777" w:rsidTr="00831174">
        <w:trPr>
          <w:trHeight w:val="397"/>
          <w:tblHeader/>
        </w:trPr>
        <w:tc>
          <w:tcPr>
            <w:tcW w:w="29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78C76" w14:textId="77777777" w:rsidR="00656E62" w:rsidRPr="00701F32" w:rsidRDefault="00656E62" w:rsidP="00464C0F">
            <w:pPr>
              <w:tabs>
                <w:tab w:val="left" w:pos="142"/>
              </w:tabs>
              <w:jc w:val="both"/>
              <w:rPr>
                <w:rFonts w:ascii="Arial" w:hAnsi="Arial" w:cs="Arial"/>
                <w:b/>
                <w:bCs/>
                <w:sz w:val="20"/>
              </w:rPr>
            </w:pPr>
            <w:r w:rsidRPr="00701F32">
              <w:rPr>
                <w:rFonts w:ascii="Arial" w:hAnsi="Arial" w:cs="Arial"/>
                <w:b/>
                <w:bCs/>
                <w:sz w:val="20"/>
              </w:rPr>
              <w:t>Concepto</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465C1" w14:textId="77777777" w:rsidR="00656E62" w:rsidRPr="00701F32" w:rsidRDefault="00656E62" w:rsidP="00831174">
            <w:pPr>
              <w:tabs>
                <w:tab w:val="left" w:pos="142"/>
              </w:tabs>
              <w:jc w:val="right"/>
              <w:rPr>
                <w:rFonts w:ascii="Arial" w:hAnsi="Arial" w:cs="Arial"/>
                <w:b/>
                <w:sz w:val="20"/>
              </w:rPr>
            </w:pPr>
            <w:r w:rsidRPr="00701F32">
              <w:rPr>
                <w:rFonts w:ascii="Arial" w:hAnsi="Arial" w:cs="Arial"/>
                <w:b/>
                <w:sz w:val="20"/>
              </w:rPr>
              <w:t>3</w:t>
            </w:r>
            <w:r w:rsidR="009638F2" w:rsidRPr="00701F32">
              <w:rPr>
                <w:rFonts w:ascii="Arial" w:hAnsi="Arial" w:cs="Arial"/>
                <w:b/>
                <w:sz w:val="20"/>
              </w:rPr>
              <w:t>0</w:t>
            </w:r>
            <w:r w:rsidRPr="00701F32">
              <w:rPr>
                <w:rFonts w:ascii="Arial" w:hAnsi="Arial" w:cs="Arial"/>
                <w:b/>
                <w:sz w:val="20"/>
              </w:rPr>
              <w:t>/0</w:t>
            </w:r>
            <w:r w:rsidR="00A3374B" w:rsidRPr="00701F32">
              <w:rPr>
                <w:rFonts w:ascii="Arial" w:hAnsi="Arial" w:cs="Arial"/>
                <w:b/>
                <w:sz w:val="20"/>
              </w:rPr>
              <w:t>9</w:t>
            </w:r>
            <w:r w:rsidRPr="00701F32">
              <w:rPr>
                <w:rFonts w:ascii="Arial" w:hAnsi="Arial" w:cs="Arial"/>
                <w:b/>
                <w:sz w:val="20"/>
              </w:rPr>
              <w:t>/2018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0839E" w14:textId="77777777" w:rsidR="00656E62" w:rsidRPr="00701F32" w:rsidRDefault="00656E62" w:rsidP="00464C0F">
            <w:pPr>
              <w:tabs>
                <w:tab w:val="left" w:pos="142"/>
              </w:tabs>
              <w:jc w:val="both"/>
              <w:rPr>
                <w:rFonts w:ascii="Arial" w:hAnsi="Arial" w:cs="Arial"/>
                <w:b/>
                <w:sz w:val="20"/>
              </w:rPr>
            </w:pPr>
            <w:r w:rsidRPr="00701F32">
              <w:rPr>
                <w:rFonts w:ascii="Arial" w:hAnsi="Arial" w:cs="Arial"/>
                <w:b/>
                <w:sz w:val="20"/>
              </w:rPr>
              <w:t>31/12/2017</w:t>
            </w:r>
          </w:p>
        </w:tc>
        <w:tc>
          <w:tcPr>
            <w:tcW w:w="672" w:type="pct"/>
            <w:tcBorders>
              <w:top w:val="single" w:sz="4" w:space="0" w:color="auto"/>
              <w:left w:val="single" w:sz="4" w:space="0" w:color="auto"/>
              <w:bottom w:val="single" w:sz="4" w:space="0" w:color="auto"/>
              <w:right w:val="single" w:sz="4" w:space="0" w:color="auto"/>
            </w:tcBorders>
            <w:vAlign w:val="center"/>
          </w:tcPr>
          <w:p w14:paraId="58060A75" w14:textId="77777777" w:rsidR="00656E62" w:rsidRPr="00701F32" w:rsidRDefault="00656E62" w:rsidP="00464C0F">
            <w:pPr>
              <w:tabs>
                <w:tab w:val="left" w:pos="142"/>
              </w:tabs>
              <w:jc w:val="both"/>
              <w:rPr>
                <w:rFonts w:ascii="Arial" w:hAnsi="Arial" w:cs="Arial"/>
                <w:b/>
                <w:sz w:val="20"/>
              </w:rPr>
            </w:pPr>
            <w:r w:rsidRPr="00701F32">
              <w:rPr>
                <w:rFonts w:ascii="Arial" w:hAnsi="Arial" w:cs="Arial"/>
                <w:b/>
                <w:sz w:val="20"/>
              </w:rPr>
              <w:t>01/01/2017</w:t>
            </w:r>
          </w:p>
        </w:tc>
      </w:tr>
      <w:tr w:rsidR="00656E62" w:rsidRPr="00701F32" w14:paraId="12DB1D86" w14:textId="77777777" w:rsidTr="00E311C9">
        <w:trPr>
          <w:trHeight w:val="340"/>
        </w:trPr>
        <w:tc>
          <w:tcPr>
            <w:tcW w:w="2976" w:type="pct"/>
            <w:tcBorders>
              <w:top w:val="single" w:sz="4" w:space="0" w:color="auto"/>
              <w:left w:val="single" w:sz="4" w:space="0" w:color="auto"/>
              <w:right w:val="single" w:sz="4" w:space="0" w:color="auto"/>
            </w:tcBorders>
            <w:shd w:val="clear" w:color="auto" w:fill="auto"/>
            <w:noWrap/>
            <w:vAlign w:val="center"/>
          </w:tcPr>
          <w:p w14:paraId="7EDB20A1"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Préstamos garantizados</w:t>
            </w:r>
          </w:p>
        </w:tc>
        <w:tc>
          <w:tcPr>
            <w:tcW w:w="746" w:type="pct"/>
            <w:tcBorders>
              <w:top w:val="single" w:sz="4" w:space="0" w:color="auto"/>
              <w:left w:val="single" w:sz="4" w:space="0" w:color="auto"/>
              <w:right w:val="single" w:sz="4" w:space="0" w:color="auto"/>
            </w:tcBorders>
            <w:shd w:val="clear" w:color="auto" w:fill="auto"/>
            <w:noWrap/>
            <w:vAlign w:val="bottom"/>
          </w:tcPr>
          <w:p w14:paraId="377FC556" w14:textId="77777777" w:rsidR="00656E62" w:rsidRPr="00701F32" w:rsidRDefault="00326859">
            <w:pPr>
              <w:tabs>
                <w:tab w:val="left" w:pos="142"/>
              </w:tabs>
              <w:jc w:val="right"/>
              <w:rPr>
                <w:rFonts w:ascii="Arial" w:hAnsi="Arial" w:cs="Arial"/>
                <w:sz w:val="20"/>
              </w:rPr>
            </w:pPr>
            <w:r w:rsidRPr="00701F32">
              <w:rPr>
                <w:rFonts w:ascii="Arial" w:hAnsi="Arial" w:cs="Arial"/>
                <w:sz w:val="20"/>
              </w:rPr>
              <w:t>-</w:t>
            </w:r>
          </w:p>
        </w:tc>
        <w:tc>
          <w:tcPr>
            <w:tcW w:w="606" w:type="pct"/>
            <w:tcBorders>
              <w:top w:val="single" w:sz="4" w:space="0" w:color="auto"/>
              <w:left w:val="single" w:sz="4" w:space="0" w:color="auto"/>
              <w:right w:val="single" w:sz="4" w:space="0" w:color="auto"/>
            </w:tcBorders>
            <w:shd w:val="clear" w:color="auto" w:fill="auto"/>
            <w:noWrap/>
            <w:vAlign w:val="bottom"/>
          </w:tcPr>
          <w:p w14:paraId="3BC25008" w14:textId="77777777" w:rsidR="00656E62" w:rsidRPr="00701F32" w:rsidRDefault="00656E62">
            <w:pPr>
              <w:tabs>
                <w:tab w:val="left" w:pos="142"/>
              </w:tabs>
              <w:jc w:val="right"/>
              <w:rPr>
                <w:rFonts w:ascii="Arial" w:hAnsi="Arial" w:cs="Arial"/>
                <w:sz w:val="20"/>
              </w:rPr>
            </w:pPr>
            <w:r w:rsidRPr="00701F32">
              <w:rPr>
                <w:rFonts w:ascii="Arial" w:hAnsi="Arial" w:cs="Arial"/>
                <w:sz w:val="20"/>
              </w:rPr>
              <w:t>28.075</w:t>
            </w:r>
          </w:p>
        </w:tc>
        <w:tc>
          <w:tcPr>
            <w:tcW w:w="672" w:type="pct"/>
            <w:tcBorders>
              <w:top w:val="single" w:sz="4" w:space="0" w:color="auto"/>
              <w:left w:val="single" w:sz="4" w:space="0" w:color="auto"/>
              <w:right w:val="single" w:sz="4" w:space="0" w:color="auto"/>
            </w:tcBorders>
            <w:vAlign w:val="bottom"/>
          </w:tcPr>
          <w:p w14:paraId="288509F1" w14:textId="77777777" w:rsidR="00656E62" w:rsidRPr="00701F32" w:rsidRDefault="00656E62">
            <w:pPr>
              <w:tabs>
                <w:tab w:val="left" w:pos="142"/>
              </w:tabs>
              <w:jc w:val="right"/>
              <w:rPr>
                <w:rFonts w:ascii="Arial" w:hAnsi="Arial" w:cs="Arial"/>
                <w:sz w:val="20"/>
              </w:rPr>
            </w:pPr>
            <w:r w:rsidRPr="00701F32">
              <w:rPr>
                <w:rFonts w:ascii="Arial" w:hAnsi="Arial" w:cs="Arial"/>
                <w:sz w:val="20"/>
              </w:rPr>
              <w:t>133.372</w:t>
            </w:r>
          </w:p>
        </w:tc>
      </w:tr>
      <w:tr w:rsidR="00656E62" w:rsidRPr="00701F32" w14:paraId="2C570A05" w14:textId="77777777" w:rsidTr="00E311C9">
        <w:trPr>
          <w:trHeight w:val="340"/>
        </w:trPr>
        <w:tc>
          <w:tcPr>
            <w:tcW w:w="2976" w:type="pct"/>
            <w:tcBorders>
              <w:left w:val="single" w:sz="4" w:space="0" w:color="auto"/>
              <w:right w:val="single" w:sz="4" w:space="0" w:color="auto"/>
            </w:tcBorders>
            <w:shd w:val="clear" w:color="auto" w:fill="auto"/>
            <w:noWrap/>
            <w:vAlign w:val="center"/>
          </w:tcPr>
          <w:p w14:paraId="7B084F47"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Cuentas especiales de garantía en el BCRA</w:t>
            </w:r>
          </w:p>
        </w:tc>
        <w:tc>
          <w:tcPr>
            <w:tcW w:w="746" w:type="pct"/>
            <w:tcBorders>
              <w:left w:val="single" w:sz="4" w:space="0" w:color="auto"/>
              <w:right w:val="single" w:sz="4" w:space="0" w:color="auto"/>
            </w:tcBorders>
            <w:shd w:val="clear" w:color="auto" w:fill="auto"/>
            <w:noWrap/>
            <w:vAlign w:val="bottom"/>
          </w:tcPr>
          <w:p w14:paraId="08D66071" w14:textId="77777777" w:rsidR="00656E62" w:rsidRPr="00701F32" w:rsidRDefault="00326859">
            <w:pPr>
              <w:tabs>
                <w:tab w:val="left" w:pos="142"/>
              </w:tabs>
              <w:jc w:val="right"/>
              <w:rPr>
                <w:rFonts w:ascii="Arial" w:hAnsi="Arial" w:cs="Arial"/>
                <w:sz w:val="20"/>
                <w:lang w:val="es-ES_tradnl"/>
              </w:rPr>
            </w:pPr>
            <w:r w:rsidRPr="00701F32">
              <w:rPr>
                <w:rFonts w:ascii="Arial" w:hAnsi="Arial" w:cs="Arial"/>
                <w:sz w:val="20"/>
                <w:lang w:val="es-ES_tradnl"/>
              </w:rPr>
              <w:t>1.234.160</w:t>
            </w:r>
          </w:p>
        </w:tc>
        <w:tc>
          <w:tcPr>
            <w:tcW w:w="606" w:type="pct"/>
            <w:tcBorders>
              <w:left w:val="single" w:sz="4" w:space="0" w:color="auto"/>
              <w:right w:val="single" w:sz="4" w:space="0" w:color="auto"/>
            </w:tcBorders>
            <w:shd w:val="clear" w:color="auto" w:fill="auto"/>
            <w:noWrap/>
            <w:vAlign w:val="bottom"/>
          </w:tcPr>
          <w:p w14:paraId="233E7617" w14:textId="77777777" w:rsidR="00656E62" w:rsidRPr="00701F32" w:rsidRDefault="00656E62">
            <w:pPr>
              <w:tabs>
                <w:tab w:val="left" w:pos="142"/>
              </w:tabs>
              <w:jc w:val="right"/>
              <w:rPr>
                <w:rFonts w:ascii="Arial" w:hAnsi="Arial" w:cs="Arial"/>
                <w:sz w:val="20"/>
              </w:rPr>
            </w:pPr>
            <w:r w:rsidRPr="00701F32">
              <w:rPr>
                <w:rFonts w:ascii="Arial" w:hAnsi="Arial" w:cs="Arial"/>
                <w:sz w:val="20"/>
              </w:rPr>
              <w:t>855.261</w:t>
            </w:r>
          </w:p>
        </w:tc>
        <w:tc>
          <w:tcPr>
            <w:tcW w:w="672" w:type="pct"/>
            <w:tcBorders>
              <w:left w:val="single" w:sz="4" w:space="0" w:color="auto"/>
              <w:right w:val="single" w:sz="4" w:space="0" w:color="auto"/>
            </w:tcBorders>
            <w:vAlign w:val="bottom"/>
          </w:tcPr>
          <w:p w14:paraId="2E451C2F" w14:textId="77777777" w:rsidR="00656E62" w:rsidRPr="00701F32" w:rsidRDefault="00656E62">
            <w:pPr>
              <w:tabs>
                <w:tab w:val="left" w:pos="142"/>
              </w:tabs>
              <w:jc w:val="right"/>
              <w:rPr>
                <w:rFonts w:ascii="Arial" w:hAnsi="Arial" w:cs="Arial"/>
                <w:sz w:val="20"/>
              </w:rPr>
            </w:pPr>
            <w:r w:rsidRPr="00701F32">
              <w:rPr>
                <w:rFonts w:ascii="Arial" w:hAnsi="Arial" w:cs="Arial"/>
                <w:sz w:val="20"/>
              </w:rPr>
              <w:t>535.351</w:t>
            </w:r>
          </w:p>
        </w:tc>
      </w:tr>
      <w:tr w:rsidR="00656E62" w:rsidRPr="00701F32" w14:paraId="3EAE6A52" w14:textId="77777777" w:rsidTr="00E311C9">
        <w:trPr>
          <w:trHeight w:val="340"/>
        </w:trPr>
        <w:tc>
          <w:tcPr>
            <w:tcW w:w="2976" w:type="pct"/>
            <w:tcBorders>
              <w:left w:val="single" w:sz="4" w:space="0" w:color="auto"/>
              <w:right w:val="single" w:sz="4" w:space="0" w:color="auto"/>
            </w:tcBorders>
            <w:shd w:val="clear" w:color="auto" w:fill="auto"/>
            <w:noWrap/>
            <w:vAlign w:val="center"/>
          </w:tcPr>
          <w:p w14:paraId="22283E94"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Depósitos en garantía por fideicomisos</w:t>
            </w:r>
          </w:p>
        </w:tc>
        <w:tc>
          <w:tcPr>
            <w:tcW w:w="746" w:type="pct"/>
            <w:tcBorders>
              <w:left w:val="single" w:sz="4" w:space="0" w:color="auto"/>
              <w:right w:val="single" w:sz="4" w:space="0" w:color="auto"/>
            </w:tcBorders>
            <w:shd w:val="clear" w:color="auto" w:fill="auto"/>
            <w:noWrap/>
            <w:vAlign w:val="bottom"/>
          </w:tcPr>
          <w:p w14:paraId="7CF588A8" w14:textId="77777777" w:rsidR="00656E62" w:rsidRPr="00701F32" w:rsidRDefault="00326859">
            <w:pPr>
              <w:tabs>
                <w:tab w:val="left" w:pos="142"/>
              </w:tabs>
              <w:jc w:val="right"/>
              <w:rPr>
                <w:rFonts w:ascii="Arial" w:hAnsi="Arial" w:cs="Arial"/>
                <w:sz w:val="20"/>
                <w:lang w:val="es-ES_tradnl"/>
              </w:rPr>
            </w:pPr>
            <w:r w:rsidRPr="00701F32">
              <w:rPr>
                <w:rFonts w:ascii="Arial" w:hAnsi="Arial" w:cs="Arial"/>
                <w:sz w:val="20"/>
                <w:lang w:val="es-ES_tradnl"/>
              </w:rPr>
              <w:t>11.589</w:t>
            </w:r>
          </w:p>
        </w:tc>
        <w:tc>
          <w:tcPr>
            <w:tcW w:w="606" w:type="pct"/>
            <w:tcBorders>
              <w:left w:val="single" w:sz="4" w:space="0" w:color="auto"/>
              <w:right w:val="single" w:sz="4" w:space="0" w:color="auto"/>
            </w:tcBorders>
            <w:shd w:val="clear" w:color="auto" w:fill="auto"/>
            <w:noWrap/>
            <w:vAlign w:val="bottom"/>
          </w:tcPr>
          <w:p w14:paraId="72888D83" w14:textId="77777777" w:rsidR="00656E62" w:rsidRPr="00701F32" w:rsidRDefault="00656E62">
            <w:pPr>
              <w:tabs>
                <w:tab w:val="left" w:pos="142"/>
              </w:tabs>
              <w:jc w:val="right"/>
              <w:rPr>
                <w:rFonts w:ascii="Arial" w:hAnsi="Arial" w:cs="Arial"/>
                <w:sz w:val="20"/>
              </w:rPr>
            </w:pPr>
            <w:r w:rsidRPr="00701F32">
              <w:rPr>
                <w:rFonts w:ascii="Arial" w:hAnsi="Arial" w:cs="Arial"/>
                <w:sz w:val="20"/>
              </w:rPr>
              <w:t>15.057</w:t>
            </w:r>
          </w:p>
        </w:tc>
        <w:tc>
          <w:tcPr>
            <w:tcW w:w="672" w:type="pct"/>
            <w:tcBorders>
              <w:left w:val="single" w:sz="4" w:space="0" w:color="auto"/>
              <w:right w:val="single" w:sz="4" w:space="0" w:color="auto"/>
            </w:tcBorders>
            <w:vAlign w:val="bottom"/>
          </w:tcPr>
          <w:p w14:paraId="7BA9DDC9" w14:textId="77777777" w:rsidR="00656E62" w:rsidRPr="00701F32" w:rsidRDefault="00656E62">
            <w:pPr>
              <w:tabs>
                <w:tab w:val="left" w:pos="142"/>
              </w:tabs>
              <w:jc w:val="right"/>
              <w:rPr>
                <w:rFonts w:ascii="Arial" w:hAnsi="Arial" w:cs="Arial"/>
                <w:sz w:val="20"/>
              </w:rPr>
            </w:pPr>
            <w:r w:rsidRPr="00701F32">
              <w:rPr>
                <w:rFonts w:ascii="Arial" w:hAnsi="Arial" w:cs="Arial"/>
                <w:sz w:val="20"/>
              </w:rPr>
              <w:t>7.893</w:t>
            </w:r>
          </w:p>
        </w:tc>
      </w:tr>
      <w:tr w:rsidR="00656E62" w:rsidRPr="00701F32" w14:paraId="3AEA7686" w14:textId="77777777" w:rsidTr="00E311C9">
        <w:trPr>
          <w:trHeight w:val="340"/>
        </w:trPr>
        <w:tc>
          <w:tcPr>
            <w:tcW w:w="2976" w:type="pct"/>
            <w:tcBorders>
              <w:left w:val="single" w:sz="4" w:space="0" w:color="auto"/>
              <w:right w:val="single" w:sz="4" w:space="0" w:color="auto"/>
            </w:tcBorders>
            <w:shd w:val="clear" w:color="auto" w:fill="auto"/>
            <w:noWrap/>
            <w:vAlign w:val="center"/>
          </w:tcPr>
          <w:p w14:paraId="4431A0D5"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Depósitos en garantía por operaciones de cambio a término</w:t>
            </w:r>
          </w:p>
        </w:tc>
        <w:tc>
          <w:tcPr>
            <w:tcW w:w="746" w:type="pct"/>
            <w:tcBorders>
              <w:left w:val="single" w:sz="4" w:space="0" w:color="auto"/>
              <w:right w:val="single" w:sz="4" w:space="0" w:color="auto"/>
            </w:tcBorders>
            <w:shd w:val="clear" w:color="auto" w:fill="auto"/>
            <w:noWrap/>
            <w:vAlign w:val="bottom"/>
          </w:tcPr>
          <w:p w14:paraId="3EF3EB70" w14:textId="77777777" w:rsidR="00656E62" w:rsidRPr="00701F32" w:rsidRDefault="00326859">
            <w:pPr>
              <w:jc w:val="right"/>
              <w:rPr>
                <w:rFonts w:ascii="Arial" w:hAnsi="Arial" w:cs="Arial"/>
                <w:sz w:val="20"/>
                <w:lang w:val="es-ES_tradnl"/>
              </w:rPr>
            </w:pPr>
            <w:r w:rsidRPr="00701F32">
              <w:rPr>
                <w:rFonts w:ascii="Arial" w:hAnsi="Arial" w:cs="Arial"/>
                <w:sz w:val="20"/>
                <w:lang w:val="es-ES_tradnl"/>
              </w:rPr>
              <w:t>1.016.445</w:t>
            </w:r>
          </w:p>
        </w:tc>
        <w:tc>
          <w:tcPr>
            <w:tcW w:w="606" w:type="pct"/>
            <w:tcBorders>
              <w:left w:val="single" w:sz="4" w:space="0" w:color="auto"/>
              <w:right w:val="single" w:sz="4" w:space="0" w:color="auto"/>
            </w:tcBorders>
            <w:shd w:val="clear" w:color="auto" w:fill="auto"/>
            <w:noWrap/>
            <w:vAlign w:val="bottom"/>
          </w:tcPr>
          <w:p w14:paraId="2E9BFC48" w14:textId="77777777" w:rsidR="00656E62" w:rsidRPr="00701F32" w:rsidRDefault="00656E62">
            <w:pPr>
              <w:tabs>
                <w:tab w:val="left" w:pos="142"/>
              </w:tabs>
              <w:jc w:val="right"/>
              <w:rPr>
                <w:rFonts w:ascii="Arial" w:hAnsi="Arial" w:cs="Arial"/>
                <w:sz w:val="20"/>
              </w:rPr>
            </w:pPr>
            <w:r w:rsidRPr="00701F32">
              <w:rPr>
                <w:rFonts w:ascii="Arial" w:hAnsi="Arial" w:cs="Arial"/>
                <w:sz w:val="20"/>
              </w:rPr>
              <w:t>245.550</w:t>
            </w:r>
          </w:p>
        </w:tc>
        <w:tc>
          <w:tcPr>
            <w:tcW w:w="672" w:type="pct"/>
            <w:tcBorders>
              <w:left w:val="single" w:sz="4" w:space="0" w:color="auto"/>
              <w:right w:val="single" w:sz="4" w:space="0" w:color="auto"/>
            </w:tcBorders>
            <w:vAlign w:val="bottom"/>
          </w:tcPr>
          <w:p w14:paraId="312A32C5" w14:textId="77777777" w:rsidR="00656E62" w:rsidRPr="00701F32" w:rsidRDefault="00656E62">
            <w:pPr>
              <w:tabs>
                <w:tab w:val="left" w:pos="142"/>
              </w:tabs>
              <w:jc w:val="right"/>
              <w:rPr>
                <w:rFonts w:ascii="Arial" w:hAnsi="Arial" w:cs="Arial"/>
                <w:sz w:val="20"/>
              </w:rPr>
            </w:pPr>
            <w:r w:rsidRPr="00701F32">
              <w:rPr>
                <w:rFonts w:ascii="Arial" w:hAnsi="Arial" w:cs="Arial"/>
                <w:sz w:val="20"/>
              </w:rPr>
              <w:t>114.820</w:t>
            </w:r>
          </w:p>
        </w:tc>
      </w:tr>
      <w:tr w:rsidR="00656E62" w:rsidRPr="00701F32" w14:paraId="2D6BADDD" w14:textId="77777777" w:rsidTr="00E311C9">
        <w:trPr>
          <w:trHeight w:val="340"/>
        </w:trPr>
        <w:tc>
          <w:tcPr>
            <w:tcW w:w="2976" w:type="pct"/>
            <w:tcBorders>
              <w:left w:val="single" w:sz="4" w:space="0" w:color="auto"/>
              <w:bottom w:val="single" w:sz="6" w:space="0" w:color="auto"/>
              <w:right w:val="single" w:sz="4" w:space="0" w:color="auto"/>
            </w:tcBorders>
            <w:shd w:val="clear" w:color="auto" w:fill="auto"/>
            <w:noWrap/>
            <w:vAlign w:val="center"/>
          </w:tcPr>
          <w:p w14:paraId="4FD1CD0B"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Depósitos en garantía por operaciones con tarjetas de crédito</w:t>
            </w:r>
          </w:p>
        </w:tc>
        <w:tc>
          <w:tcPr>
            <w:tcW w:w="746" w:type="pct"/>
            <w:tcBorders>
              <w:left w:val="single" w:sz="4" w:space="0" w:color="auto"/>
              <w:bottom w:val="single" w:sz="6" w:space="0" w:color="auto"/>
              <w:right w:val="single" w:sz="4" w:space="0" w:color="auto"/>
            </w:tcBorders>
            <w:shd w:val="clear" w:color="auto" w:fill="auto"/>
            <w:noWrap/>
            <w:vAlign w:val="bottom"/>
          </w:tcPr>
          <w:p w14:paraId="3EB3FB15" w14:textId="77777777" w:rsidR="00656E62" w:rsidRPr="00701F32" w:rsidRDefault="00326859">
            <w:pPr>
              <w:tabs>
                <w:tab w:val="left" w:pos="142"/>
              </w:tabs>
              <w:jc w:val="right"/>
              <w:rPr>
                <w:rFonts w:ascii="Arial" w:hAnsi="Arial" w:cs="Arial"/>
                <w:sz w:val="20"/>
                <w:lang w:val="es-ES_tradnl"/>
              </w:rPr>
            </w:pPr>
            <w:r w:rsidRPr="00701F32">
              <w:rPr>
                <w:rFonts w:ascii="Arial" w:hAnsi="Arial" w:cs="Arial"/>
                <w:sz w:val="20"/>
                <w:lang w:val="es-ES_tradnl"/>
              </w:rPr>
              <w:t>227.543</w:t>
            </w:r>
          </w:p>
        </w:tc>
        <w:tc>
          <w:tcPr>
            <w:tcW w:w="606" w:type="pct"/>
            <w:tcBorders>
              <w:left w:val="single" w:sz="4" w:space="0" w:color="auto"/>
              <w:bottom w:val="single" w:sz="6" w:space="0" w:color="auto"/>
              <w:right w:val="single" w:sz="4" w:space="0" w:color="auto"/>
            </w:tcBorders>
            <w:shd w:val="clear" w:color="auto" w:fill="auto"/>
            <w:noWrap/>
            <w:vAlign w:val="bottom"/>
          </w:tcPr>
          <w:p w14:paraId="19B43789" w14:textId="77777777" w:rsidR="00656E62" w:rsidRPr="00701F32" w:rsidRDefault="00656E62">
            <w:pPr>
              <w:tabs>
                <w:tab w:val="left" w:pos="142"/>
              </w:tabs>
              <w:jc w:val="right"/>
              <w:rPr>
                <w:rFonts w:ascii="Arial" w:hAnsi="Arial" w:cs="Arial"/>
                <w:sz w:val="20"/>
              </w:rPr>
            </w:pPr>
            <w:r w:rsidRPr="00701F32">
              <w:rPr>
                <w:rFonts w:ascii="Arial" w:hAnsi="Arial" w:cs="Arial"/>
                <w:sz w:val="20"/>
              </w:rPr>
              <w:t>161.079</w:t>
            </w:r>
          </w:p>
        </w:tc>
        <w:tc>
          <w:tcPr>
            <w:tcW w:w="672" w:type="pct"/>
            <w:tcBorders>
              <w:left w:val="single" w:sz="4" w:space="0" w:color="auto"/>
              <w:bottom w:val="single" w:sz="6" w:space="0" w:color="auto"/>
              <w:right w:val="single" w:sz="4" w:space="0" w:color="auto"/>
            </w:tcBorders>
            <w:vAlign w:val="bottom"/>
          </w:tcPr>
          <w:p w14:paraId="31C3539E" w14:textId="77777777" w:rsidR="00656E62" w:rsidRPr="00701F32" w:rsidRDefault="00656E62">
            <w:pPr>
              <w:tabs>
                <w:tab w:val="left" w:pos="142"/>
              </w:tabs>
              <w:jc w:val="right"/>
              <w:rPr>
                <w:rFonts w:ascii="Arial" w:hAnsi="Arial" w:cs="Arial"/>
                <w:sz w:val="20"/>
              </w:rPr>
            </w:pPr>
            <w:r w:rsidRPr="00701F32">
              <w:rPr>
                <w:rFonts w:ascii="Arial" w:hAnsi="Arial" w:cs="Arial"/>
                <w:sz w:val="20"/>
              </w:rPr>
              <w:t>135.297</w:t>
            </w:r>
          </w:p>
        </w:tc>
      </w:tr>
      <w:tr w:rsidR="00656E62" w:rsidRPr="00701F32" w14:paraId="7E77C0F1" w14:textId="77777777" w:rsidTr="00E311C9">
        <w:trPr>
          <w:trHeight w:val="340"/>
        </w:trPr>
        <w:tc>
          <w:tcPr>
            <w:tcW w:w="2976" w:type="pct"/>
            <w:tcBorders>
              <w:top w:val="single" w:sz="6" w:space="0" w:color="auto"/>
              <w:left w:val="single" w:sz="4" w:space="0" w:color="auto"/>
              <w:bottom w:val="single" w:sz="6" w:space="0" w:color="auto"/>
              <w:right w:val="single" w:sz="4" w:space="0" w:color="auto"/>
            </w:tcBorders>
            <w:shd w:val="clear" w:color="auto" w:fill="auto"/>
            <w:noWrap/>
            <w:vAlign w:val="center"/>
          </w:tcPr>
          <w:p w14:paraId="16F9CC7B"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Aforos por operaciones de pase</w:t>
            </w:r>
          </w:p>
        </w:tc>
        <w:tc>
          <w:tcPr>
            <w:tcW w:w="746" w:type="pct"/>
            <w:tcBorders>
              <w:top w:val="single" w:sz="6" w:space="0" w:color="auto"/>
              <w:left w:val="single" w:sz="4" w:space="0" w:color="auto"/>
              <w:bottom w:val="single" w:sz="6" w:space="0" w:color="auto"/>
              <w:right w:val="single" w:sz="4" w:space="0" w:color="auto"/>
            </w:tcBorders>
            <w:shd w:val="clear" w:color="auto" w:fill="auto"/>
            <w:noWrap/>
            <w:vAlign w:val="bottom"/>
          </w:tcPr>
          <w:p w14:paraId="08265252" w14:textId="77777777" w:rsidR="00656E62" w:rsidRPr="00701F32" w:rsidRDefault="00326859">
            <w:pPr>
              <w:tabs>
                <w:tab w:val="left" w:pos="142"/>
              </w:tabs>
              <w:jc w:val="right"/>
              <w:rPr>
                <w:rFonts w:ascii="Arial" w:hAnsi="Arial" w:cs="Arial"/>
                <w:sz w:val="20"/>
                <w:lang w:val="es-ES_tradnl"/>
              </w:rPr>
            </w:pPr>
            <w:r w:rsidRPr="00701F32">
              <w:rPr>
                <w:rFonts w:ascii="Arial" w:hAnsi="Arial" w:cs="Arial"/>
                <w:sz w:val="20"/>
                <w:lang w:val="es-ES_tradnl"/>
              </w:rPr>
              <w:t>-</w:t>
            </w:r>
          </w:p>
        </w:tc>
        <w:tc>
          <w:tcPr>
            <w:tcW w:w="606" w:type="pct"/>
            <w:tcBorders>
              <w:top w:val="single" w:sz="6" w:space="0" w:color="auto"/>
              <w:left w:val="single" w:sz="4" w:space="0" w:color="auto"/>
              <w:bottom w:val="single" w:sz="6" w:space="0" w:color="auto"/>
              <w:right w:val="single" w:sz="4" w:space="0" w:color="auto"/>
            </w:tcBorders>
            <w:shd w:val="clear" w:color="auto" w:fill="auto"/>
            <w:noWrap/>
            <w:vAlign w:val="bottom"/>
          </w:tcPr>
          <w:p w14:paraId="4130B9C7" w14:textId="77777777" w:rsidR="00656E62" w:rsidRPr="00701F32" w:rsidRDefault="00656E62">
            <w:pPr>
              <w:tabs>
                <w:tab w:val="left" w:pos="142"/>
              </w:tabs>
              <w:jc w:val="right"/>
              <w:rPr>
                <w:rFonts w:ascii="Arial" w:hAnsi="Arial" w:cs="Arial"/>
                <w:sz w:val="20"/>
              </w:rPr>
            </w:pPr>
            <w:r w:rsidRPr="00701F32">
              <w:rPr>
                <w:rFonts w:ascii="Arial" w:hAnsi="Arial" w:cs="Arial"/>
                <w:sz w:val="20"/>
              </w:rPr>
              <w:t>-</w:t>
            </w:r>
          </w:p>
        </w:tc>
        <w:tc>
          <w:tcPr>
            <w:tcW w:w="672" w:type="pct"/>
            <w:tcBorders>
              <w:top w:val="single" w:sz="6" w:space="0" w:color="auto"/>
              <w:left w:val="single" w:sz="4" w:space="0" w:color="auto"/>
              <w:bottom w:val="single" w:sz="6" w:space="0" w:color="auto"/>
              <w:right w:val="single" w:sz="4" w:space="0" w:color="auto"/>
            </w:tcBorders>
            <w:vAlign w:val="bottom"/>
          </w:tcPr>
          <w:p w14:paraId="0553E4A8" w14:textId="77777777" w:rsidR="00656E62" w:rsidRPr="00701F32" w:rsidRDefault="00656E62">
            <w:pPr>
              <w:tabs>
                <w:tab w:val="left" w:pos="142"/>
              </w:tabs>
              <w:jc w:val="right"/>
              <w:rPr>
                <w:rFonts w:ascii="Arial" w:hAnsi="Arial" w:cs="Arial"/>
                <w:sz w:val="20"/>
              </w:rPr>
            </w:pPr>
            <w:r w:rsidRPr="00701F32">
              <w:rPr>
                <w:rFonts w:ascii="Arial" w:hAnsi="Arial" w:cs="Arial"/>
                <w:sz w:val="20"/>
              </w:rPr>
              <w:t>59.014</w:t>
            </w:r>
          </w:p>
        </w:tc>
      </w:tr>
      <w:tr w:rsidR="00656E62" w:rsidRPr="00701F32" w14:paraId="7F68EBD2" w14:textId="77777777" w:rsidTr="00E311C9">
        <w:trPr>
          <w:trHeight w:val="340"/>
        </w:trPr>
        <w:tc>
          <w:tcPr>
            <w:tcW w:w="2976" w:type="pct"/>
            <w:tcBorders>
              <w:top w:val="single" w:sz="6" w:space="0" w:color="auto"/>
              <w:left w:val="single" w:sz="4" w:space="0" w:color="auto"/>
              <w:bottom w:val="single" w:sz="4" w:space="0" w:color="auto"/>
              <w:right w:val="single" w:sz="4" w:space="0" w:color="auto"/>
            </w:tcBorders>
            <w:shd w:val="clear" w:color="auto" w:fill="auto"/>
            <w:noWrap/>
            <w:vAlign w:val="center"/>
          </w:tcPr>
          <w:p w14:paraId="5331DB6E" w14:textId="77777777" w:rsidR="00656E62" w:rsidRPr="00701F32" w:rsidRDefault="00656E62" w:rsidP="00464C0F">
            <w:pPr>
              <w:tabs>
                <w:tab w:val="left" w:pos="142"/>
              </w:tabs>
              <w:jc w:val="both"/>
              <w:rPr>
                <w:rFonts w:ascii="Arial" w:hAnsi="Arial" w:cs="Arial"/>
                <w:sz w:val="20"/>
              </w:rPr>
            </w:pPr>
            <w:r w:rsidRPr="00701F32">
              <w:rPr>
                <w:rFonts w:ascii="Arial" w:hAnsi="Arial" w:cs="Arial"/>
                <w:sz w:val="20"/>
              </w:rPr>
              <w:t xml:space="preserve">Otros depósitos en garantía </w:t>
            </w:r>
          </w:p>
        </w:tc>
        <w:tc>
          <w:tcPr>
            <w:tcW w:w="746" w:type="pct"/>
            <w:tcBorders>
              <w:top w:val="single" w:sz="6" w:space="0" w:color="auto"/>
              <w:left w:val="single" w:sz="4" w:space="0" w:color="auto"/>
              <w:bottom w:val="single" w:sz="4" w:space="0" w:color="auto"/>
              <w:right w:val="single" w:sz="4" w:space="0" w:color="auto"/>
            </w:tcBorders>
            <w:shd w:val="clear" w:color="auto" w:fill="auto"/>
            <w:noWrap/>
            <w:vAlign w:val="bottom"/>
          </w:tcPr>
          <w:p w14:paraId="3ABBEACB" w14:textId="77777777" w:rsidR="00656E62" w:rsidRPr="00701F32" w:rsidRDefault="00326859">
            <w:pPr>
              <w:tabs>
                <w:tab w:val="left" w:pos="142"/>
              </w:tabs>
              <w:jc w:val="right"/>
              <w:rPr>
                <w:rFonts w:ascii="Arial" w:hAnsi="Arial" w:cs="Arial"/>
                <w:sz w:val="20"/>
                <w:lang w:val="es-ES_tradnl"/>
              </w:rPr>
            </w:pPr>
            <w:r w:rsidRPr="00701F32">
              <w:rPr>
                <w:rFonts w:ascii="Arial" w:hAnsi="Arial" w:cs="Arial"/>
                <w:sz w:val="20"/>
                <w:lang w:val="es-ES_tradnl"/>
              </w:rPr>
              <w:t>170.974</w:t>
            </w:r>
          </w:p>
        </w:tc>
        <w:tc>
          <w:tcPr>
            <w:tcW w:w="606" w:type="pct"/>
            <w:tcBorders>
              <w:top w:val="single" w:sz="6" w:space="0" w:color="auto"/>
              <w:left w:val="single" w:sz="4" w:space="0" w:color="auto"/>
              <w:bottom w:val="single" w:sz="4" w:space="0" w:color="auto"/>
              <w:right w:val="single" w:sz="4" w:space="0" w:color="auto"/>
            </w:tcBorders>
            <w:shd w:val="clear" w:color="auto" w:fill="auto"/>
            <w:noWrap/>
            <w:vAlign w:val="bottom"/>
          </w:tcPr>
          <w:p w14:paraId="562B53CC" w14:textId="77777777" w:rsidR="00656E62" w:rsidRPr="00701F32" w:rsidRDefault="00656E62">
            <w:pPr>
              <w:tabs>
                <w:tab w:val="left" w:pos="142"/>
              </w:tabs>
              <w:jc w:val="right"/>
              <w:rPr>
                <w:rFonts w:ascii="Arial" w:hAnsi="Arial" w:cs="Arial"/>
                <w:sz w:val="20"/>
              </w:rPr>
            </w:pPr>
            <w:r w:rsidRPr="00701F32">
              <w:rPr>
                <w:rFonts w:ascii="Arial" w:hAnsi="Arial" w:cs="Arial"/>
                <w:sz w:val="20"/>
              </w:rPr>
              <w:t>25.159</w:t>
            </w:r>
          </w:p>
        </w:tc>
        <w:tc>
          <w:tcPr>
            <w:tcW w:w="672" w:type="pct"/>
            <w:tcBorders>
              <w:top w:val="single" w:sz="6" w:space="0" w:color="auto"/>
              <w:left w:val="single" w:sz="4" w:space="0" w:color="auto"/>
              <w:bottom w:val="single" w:sz="4" w:space="0" w:color="auto"/>
              <w:right w:val="single" w:sz="4" w:space="0" w:color="auto"/>
            </w:tcBorders>
            <w:vAlign w:val="bottom"/>
          </w:tcPr>
          <w:p w14:paraId="573AA215" w14:textId="77777777" w:rsidR="00656E62" w:rsidRPr="00701F32" w:rsidRDefault="00656E62">
            <w:pPr>
              <w:tabs>
                <w:tab w:val="left" w:pos="142"/>
              </w:tabs>
              <w:jc w:val="right"/>
              <w:rPr>
                <w:rFonts w:ascii="Arial" w:hAnsi="Arial" w:cs="Arial"/>
                <w:sz w:val="20"/>
              </w:rPr>
            </w:pPr>
            <w:r w:rsidRPr="00701F32">
              <w:rPr>
                <w:rFonts w:ascii="Arial" w:hAnsi="Arial" w:cs="Arial"/>
                <w:sz w:val="20"/>
              </w:rPr>
              <w:t>20.171</w:t>
            </w:r>
          </w:p>
        </w:tc>
      </w:tr>
      <w:tr w:rsidR="00656E62" w:rsidRPr="00701F32" w14:paraId="54222B45" w14:textId="77777777" w:rsidTr="00831174">
        <w:trPr>
          <w:trHeight w:val="255"/>
        </w:trPr>
        <w:tc>
          <w:tcPr>
            <w:tcW w:w="29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2BE294" w14:textId="77777777" w:rsidR="00656E62" w:rsidRPr="00701F32" w:rsidRDefault="00656E62" w:rsidP="00464C0F">
            <w:pPr>
              <w:tabs>
                <w:tab w:val="left" w:pos="142"/>
              </w:tabs>
              <w:jc w:val="both"/>
              <w:rPr>
                <w:rFonts w:ascii="Arial" w:hAnsi="Arial" w:cs="Arial"/>
                <w:sz w:val="20"/>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03B61" w14:textId="77777777" w:rsidR="00656E62" w:rsidRPr="00701F32" w:rsidRDefault="00326859">
            <w:pPr>
              <w:tabs>
                <w:tab w:val="left" w:pos="142"/>
              </w:tabs>
              <w:jc w:val="right"/>
              <w:rPr>
                <w:rFonts w:ascii="Arial" w:hAnsi="Arial" w:cs="Arial"/>
                <w:b/>
                <w:bCs/>
                <w:sz w:val="20"/>
                <w:lang w:val="es-ES_tradnl"/>
              </w:rPr>
            </w:pPr>
            <w:r w:rsidRPr="00701F32">
              <w:rPr>
                <w:rFonts w:ascii="Arial" w:hAnsi="Arial" w:cs="Arial"/>
                <w:b/>
                <w:bCs/>
                <w:sz w:val="20"/>
                <w:lang w:val="es-ES_tradnl"/>
              </w:rPr>
              <w:t>2.660.711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2DC91" w14:textId="77777777" w:rsidR="00656E62" w:rsidRPr="00701F32" w:rsidRDefault="00656E62" w:rsidP="00464C0F">
            <w:pPr>
              <w:tabs>
                <w:tab w:val="left" w:pos="142"/>
              </w:tabs>
              <w:jc w:val="right"/>
              <w:rPr>
                <w:rFonts w:ascii="Arial" w:hAnsi="Arial" w:cs="Arial"/>
                <w:b/>
                <w:bCs/>
                <w:sz w:val="20"/>
              </w:rPr>
            </w:pPr>
            <w:r w:rsidRPr="00701F32">
              <w:rPr>
                <w:rFonts w:ascii="Arial" w:hAnsi="Arial" w:cs="Arial"/>
                <w:b/>
                <w:bCs/>
                <w:sz w:val="20"/>
              </w:rPr>
              <w:t>1.330.181</w:t>
            </w:r>
          </w:p>
        </w:tc>
        <w:tc>
          <w:tcPr>
            <w:tcW w:w="672" w:type="pct"/>
            <w:tcBorders>
              <w:top w:val="single" w:sz="4" w:space="0" w:color="auto"/>
              <w:left w:val="single" w:sz="4" w:space="0" w:color="auto"/>
              <w:bottom w:val="single" w:sz="4" w:space="0" w:color="auto"/>
              <w:right w:val="single" w:sz="4" w:space="0" w:color="auto"/>
            </w:tcBorders>
            <w:vAlign w:val="center"/>
          </w:tcPr>
          <w:p w14:paraId="45A488D5" w14:textId="77777777" w:rsidR="00656E62" w:rsidRPr="00701F32" w:rsidRDefault="00656E62" w:rsidP="00464C0F">
            <w:pPr>
              <w:tabs>
                <w:tab w:val="left" w:pos="142"/>
              </w:tabs>
              <w:ind w:left="142" w:hanging="142"/>
              <w:jc w:val="right"/>
              <w:rPr>
                <w:rFonts w:ascii="Arial" w:hAnsi="Arial" w:cs="Arial"/>
                <w:b/>
                <w:bCs/>
                <w:sz w:val="20"/>
              </w:rPr>
            </w:pPr>
            <w:r w:rsidRPr="00701F32">
              <w:rPr>
                <w:rFonts w:ascii="Arial" w:hAnsi="Arial" w:cs="Arial"/>
                <w:b/>
                <w:bCs/>
                <w:sz w:val="20"/>
              </w:rPr>
              <w:t>1.005.918</w:t>
            </w:r>
          </w:p>
        </w:tc>
      </w:tr>
    </w:tbl>
    <w:p w14:paraId="1D660B8F" w14:textId="77777777" w:rsidR="00841E78" w:rsidRDefault="00841E78" w:rsidP="00656E62">
      <w:pPr>
        <w:tabs>
          <w:tab w:val="left" w:pos="142"/>
          <w:tab w:val="left" w:pos="9923"/>
        </w:tabs>
        <w:spacing w:after="200" w:line="276" w:lineRule="auto"/>
        <w:contextualSpacing/>
        <w:jc w:val="both"/>
        <w:rPr>
          <w:rFonts w:ascii="Arial" w:hAnsi="Arial" w:cs="Arial"/>
          <w:b/>
          <w:sz w:val="20"/>
        </w:rPr>
      </w:pPr>
    </w:p>
    <w:p w14:paraId="41ADA4B0" w14:textId="64DA150A" w:rsidR="00656E62" w:rsidRPr="00701F32" w:rsidRDefault="00D57127" w:rsidP="00656E62">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.3 Aumentos de capital pendientes de autorización</w:t>
      </w:r>
    </w:p>
    <w:p w14:paraId="3D93B86C" w14:textId="77777777" w:rsidR="00656E62" w:rsidRPr="00701F32" w:rsidRDefault="00656E62" w:rsidP="00656E62">
      <w:pPr>
        <w:tabs>
          <w:tab w:val="left" w:pos="142"/>
        </w:tabs>
        <w:jc w:val="both"/>
        <w:rPr>
          <w:rFonts w:ascii="Arial" w:hAnsi="Arial" w:cs="Arial"/>
          <w:sz w:val="20"/>
        </w:rPr>
      </w:pPr>
    </w:p>
    <w:p w14:paraId="6716E1D2"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Se resume a continuación el estado de capital social al cierre del período finalizado el 3</w:t>
      </w:r>
      <w:r w:rsidR="00504768" w:rsidRPr="00701F32">
        <w:rPr>
          <w:rFonts w:ascii="Arial" w:hAnsi="Arial" w:cs="Arial"/>
          <w:sz w:val="20"/>
        </w:rPr>
        <w:t>0</w:t>
      </w:r>
      <w:r w:rsidRPr="00701F32">
        <w:rPr>
          <w:rFonts w:ascii="Arial" w:hAnsi="Arial" w:cs="Arial"/>
          <w:sz w:val="20"/>
        </w:rPr>
        <w:t xml:space="preserve"> de </w:t>
      </w:r>
      <w:r w:rsidR="00A3374B" w:rsidRPr="00701F32">
        <w:rPr>
          <w:rFonts w:ascii="Arial" w:hAnsi="Arial" w:cs="Arial"/>
          <w:sz w:val="20"/>
        </w:rPr>
        <w:t xml:space="preserve">septiembre </w:t>
      </w:r>
      <w:r w:rsidRPr="00701F32">
        <w:rPr>
          <w:rFonts w:ascii="Arial" w:hAnsi="Arial" w:cs="Arial"/>
          <w:sz w:val="20"/>
        </w:rPr>
        <w:t>de 2018 a partir de los últimos 3 ejercicios anteriores:</w:t>
      </w:r>
    </w:p>
    <w:p w14:paraId="73E22647" w14:textId="77777777" w:rsidR="00656E62" w:rsidRPr="00701F32" w:rsidRDefault="00656E62" w:rsidP="00656E62">
      <w:pPr>
        <w:tabs>
          <w:tab w:val="left" w:pos="142"/>
        </w:tabs>
        <w:jc w:val="both"/>
        <w:rPr>
          <w:rFonts w:ascii="Arial" w:hAnsi="Arial" w:cs="Arial"/>
          <w:sz w:val="20"/>
        </w:rPr>
      </w:pPr>
    </w:p>
    <w:tbl>
      <w:tblPr>
        <w:tblW w:w="8520" w:type="dxa"/>
        <w:tblInd w:w="53" w:type="dxa"/>
        <w:tblLayout w:type="fixed"/>
        <w:tblCellMar>
          <w:left w:w="70" w:type="dxa"/>
          <w:right w:w="70" w:type="dxa"/>
        </w:tblCellMar>
        <w:tblLook w:val="04A0" w:firstRow="1" w:lastRow="0" w:firstColumn="1" w:lastColumn="0" w:noHBand="0" w:noVBand="1"/>
      </w:tblPr>
      <w:tblGrid>
        <w:gridCol w:w="4209"/>
        <w:gridCol w:w="1752"/>
        <w:gridCol w:w="1350"/>
        <w:gridCol w:w="1209"/>
      </w:tblGrid>
      <w:tr w:rsidR="00504768" w:rsidRPr="00701F32" w14:paraId="38E944D9" w14:textId="77777777" w:rsidTr="00465779">
        <w:trPr>
          <w:trHeight w:val="298"/>
          <w:tblHeader/>
        </w:trPr>
        <w:tc>
          <w:tcPr>
            <w:tcW w:w="42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E36EB3"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Concepto</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1A9B13"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Importe</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4BBFDC5"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Saldo del Capital Social</w:t>
            </w:r>
          </w:p>
        </w:tc>
        <w:tc>
          <w:tcPr>
            <w:tcW w:w="120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B034E8D"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Fecha de inscripción en la IGJ</w:t>
            </w:r>
          </w:p>
        </w:tc>
      </w:tr>
      <w:tr w:rsidR="00504768" w:rsidRPr="00701F32" w14:paraId="74A72710" w14:textId="77777777" w:rsidTr="00465779">
        <w:trPr>
          <w:trHeight w:val="461"/>
          <w:tblHeader/>
        </w:trPr>
        <w:tc>
          <w:tcPr>
            <w:tcW w:w="4209" w:type="dxa"/>
            <w:vMerge/>
            <w:tcBorders>
              <w:top w:val="nil"/>
              <w:left w:val="single" w:sz="4" w:space="0" w:color="auto"/>
              <w:bottom w:val="single" w:sz="4" w:space="0" w:color="auto"/>
              <w:right w:val="single" w:sz="4" w:space="0" w:color="auto"/>
            </w:tcBorders>
            <w:vAlign w:val="center"/>
            <w:hideMark/>
          </w:tcPr>
          <w:p w14:paraId="68031990" w14:textId="77777777" w:rsidR="00504768" w:rsidRPr="00701F32" w:rsidRDefault="00504768" w:rsidP="00465779">
            <w:pPr>
              <w:jc w:val="both"/>
              <w:rPr>
                <w:rFonts w:ascii="Arial" w:hAnsi="Arial" w:cs="Arial"/>
                <w:b/>
                <w:bCs/>
                <w:sz w:val="18"/>
                <w:lang w:eastAsia="es-AR"/>
              </w:rPr>
            </w:pPr>
          </w:p>
        </w:tc>
        <w:tc>
          <w:tcPr>
            <w:tcW w:w="1752" w:type="dxa"/>
            <w:vMerge/>
            <w:tcBorders>
              <w:top w:val="nil"/>
              <w:left w:val="single" w:sz="4" w:space="0" w:color="auto"/>
              <w:bottom w:val="single" w:sz="4" w:space="0" w:color="auto"/>
              <w:right w:val="single" w:sz="4" w:space="0" w:color="auto"/>
            </w:tcBorders>
            <w:vAlign w:val="center"/>
            <w:hideMark/>
          </w:tcPr>
          <w:p w14:paraId="59F89642" w14:textId="77777777" w:rsidR="00504768" w:rsidRPr="00701F32" w:rsidRDefault="00504768" w:rsidP="00465779">
            <w:pPr>
              <w:jc w:val="both"/>
              <w:rPr>
                <w:rFonts w:ascii="Arial" w:hAnsi="Arial" w:cs="Arial"/>
                <w:b/>
                <w:bCs/>
                <w:sz w:val="18"/>
                <w:lang w:eastAsia="es-AR"/>
              </w:rPr>
            </w:pPr>
          </w:p>
        </w:tc>
        <w:tc>
          <w:tcPr>
            <w:tcW w:w="1350" w:type="dxa"/>
            <w:vMerge/>
            <w:tcBorders>
              <w:top w:val="nil"/>
              <w:left w:val="single" w:sz="4" w:space="0" w:color="auto"/>
              <w:bottom w:val="single" w:sz="4" w:space="0" w:color="auto"/>
              <w:right w:val="single" w:sz="4" w:space="0" w:color="auto"/>
            </w:tcBorders>
            <w:vAlign w:val="center"/>
            <w:hideMark/>
          </w:tcPr>
          <w:p w14:paraId="30A93FDD" w14:textId="77777777" w:rsidR="00504768" w:rsidRPr="00701F32" w:rsidRDefault="00504768" w:rsidP="00465779">
            <w:pPr>
              <w:jc w:val="center"/>
              <w:rPr>
                <w:rFonts w:ascii="Arial" w:hAnsi="Arial" w:cs="Arial"/>
                <w:b/>
                <w:bCs/>
                <w:sz w:val="18"/>
                <w:lang w:eastAsia="es-AR"/>
              </w:rPr>
            </w:pPr>
          </w:p>
        </w:tc>
        <w:tc>
          <w:tcPr>
            <w:tcW w:w="1209" w:type="dxa"/>
            <w:vMerge/>
            <w:tcBorders>
              <w:top w:val="nil"/>
              <w:left w:val="single" w:sz="4" w:space="0" w:color="auto"/>
              <w:bottom w:val="single" w:sz="4" w:space="0" w:color="auto"/>
              <w:right w:val="single" w:sz="4" w:space="0" w:color="auto"/>
            </w:tcBorders>
            <w:vAlign w:val="center"/>
            <w:hideMark/>
          </w:tcPr>
          <w:p w14:paraId="6803CB9D" w14:textId="77777777" w:rsidR="00504768" w:rsidRPr="00701F32" w:rsidRDefault="00504768" w:rsidP="00465779">
            <w:pPr>
              <w:jc w:val="both"/>
              <w:rPr>
                <w:rFonts w:ascii="Arial" w:hAnsi="Arial" w:cs="Arial"/>
                <w:b/>
                <w:bCs/>
                <w:sz w:val="18"/>
                <w:lang w:eastAsia="es-AR"/>
              </w:rPr>
            </w:pPr>
          </w:p>
        </w:tc>
      </w:tr>
      <w:tr w:rsidR="00504768" w:rsidRPr="00701F32" w14:paraId="4EAEAECE"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299A2" w14:textId="77777777" w:rsidR="00504768" w:rsidRPr="00701F32" w:rsidRDefault="00504768" w:rsidP="00465779">
            <w:pPr>
              <w:rPr>
                <w:rFonts w:ascii="Arial" w:hAnsi="Arial" w:cs="Arial"/>
                <w:b/>
                <w:bCs/>
                <w:sz w:val="18"/>
              </w:rPr>
            </w:pPr>
            <w:r w:rsidRPr="00701F32">
              <w:rPr>
                <w:rFonts w:ascii="Arial" w:hAnsi="Arial" w:cs="Arial"/>
                <w:b/>
                <w:bCs/>
                <w:sz w:val="18"/>
              </w:rPr>
              <w:t>Saldo del Capital Social al 31-12-2015</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A967" w14:textId="77777777" w:rsidR="00504768" w:rsidRPr="00701F32" w:rsidRDefault="00504768" w:rsidP="00465779">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AE2F"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456.140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60BC7" w14:textId="77777777" w:rsidR="00504768" w:rsidRPr="00701F32" w:rsidRDefault="00504768" w:rsidP="00465779">
            <w:pPr>
              <w:jc w:val="center"/>
              <w:rPr>
                <w:rFonts w:ascii="Arial" w:hAnsi="Arial" w:cs="Arial"/>
                <w:sz w:val="18"/>
                <w:lang w:eastAsia="es-AR"/>
              </w:rPr>
            </w:pPr>
            <w:r w:rsidRPr="00701F32">
              <w:rPr>
                <w:rFonts w:ascii="Arial" w:hAnsi="Arial" w:cs="Arial"/>
                <w:sz w:val="18"/>
                <w:lang w:eastAsia="es-AR"/>
              </w:rPr>
              <w:t>11-11-2013</w:t>
            </w:r>
          </w:p>
        </w:tc>
      </w:tr>
      <w:tr w:rsidR="00504768" w:rsidRPr="00701F32" w14:paraId="496C29E6"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E2B0" w14:textId="77777777" w:rsidR="00504768" w:rsidRPr="00701F32" w:rsidRDefault="00504768" w:rsidP="00465779">
            <w:pPr>
              <w:rPr>
                <w:rFonts w:ascii="Arial" w:hAnsi="Arial" w:cs="Arial"/>
                <w:sz w:val="18"/>
                <w:lang w:eastAsia="es-AR"/>
              </w:rPr>
            </w:pPr>
            <w:r w:rsidRPr="00701F32">
              <w:rPr>
                <w:rFonts w:ascii="Arial" w:hAnsi="Arial" w:cs="Arial"/>
                <w:sz w:val="18"/>
                <w:lang w:eastAsia="es-AR"/>
              </w:rPr>
              <w:t>Aumento de capital según Asamblea Extraordinaria de Accionistas del 22-09-2016</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94937" w14:textId="77777777" w:rsidR="00504768" w:rsidRPr="00701F32" w:rsidRDefault="00504768" w:rsidP="00C73C7E">
            <w:pPr>
              <w:jc w:val="center"/>
              <w:rPr>
                <w:rFonts w:ascii="Arial" w:hAnsi="Arial" w:cs="Arial"/>
                <w:sz w:val="18"/>
                <w:lang w:eastAsia="es-AR"/>
              </w:rPr>
            </w:pPr>
            <w:r w:rsidRPr="00701F32">
              <w:rPr>
                <w:rFonts w:ascii="Arial" w:hAnsi="Arial" w:cs="Arial"/>
                <w:sz w:val="18"/>
                <w:lang w:eastAsia="es-AR"/>
              </w:rPr>
              <w:t>182.</w:t>
            </w:r>
            <w:r w:rsidR="00C73C7E" w:rsidRPr="00701F32">
              <w:rPr>
                <w:rFonts w:ascii="Arial" w:hAnsi="Arial" w:cs="Arial"/>
                <w:sz w:val="18"/>
                <w:lang w:eastAsia="es-AR"/>
              </w:rPr>
              <w:t>143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A7D34" w14:textId="77777777" w:rsidR="00504768" w:rsidRPr="00701F32" w:rsidRDefault="00504768" w:rsidP="00465779">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1EC8A" w14:textId="42416751" w:rsidR="00504768" w:rsidRPr="00701F32" w:rsidRDefault="00D65F4F" w:rsidP="00465779">
            <w:pPr>
              <w:jc w:val="center"/>
              <w:rPr>
                <w:rFonts w:ascii="Arial" w:hAnsi="Arial" w:cs="Arial"/>
                <w:sz w:val="18"/>
                <w:lang w:eastAsia="es-AR"/>
              </w:rPr>
            </w:pPr>
            <w:r w:rsidRPr="00701F32">
              <w:rPr>
                <w:rFonts w:ascii="Arial" w:hAnsi="Arial" w:cs="Arial"/>
                <w:bCs/>
                <w:sz w:val="18"/>
              </w:rPr>
              <w:t>09-10-2018</w:t>
            </w:r>
          </w:p>
        </w:tc>
      </w:tr>
      <w:tr w:rsidR="00504768" w:rsidRPr="00701F32" w14:paraId="3AC7C5F6"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02622" w14:textId="77777777" w:rsidR="00504768" w:rsidRPr="00701F32" w:rsidRDefault="00504768" w:rsidP="00465779">
            <w:pPr>
              <w:rPr>
                <w:rFonts w:ascii="Arial" w:hAnsi="Arial" w:cs="Arial"/>
                <w:b/>
                <w:bCs/>
                <w:sz w:val="18"/>
                <w:lang w:eastAsia="es-AR"/>
              </w:rPr>
            </w:pPr>
            <w:r w:rsidRPr="00701F32">
              <w:rPr>
                <w:rFonts w:ascii="Arial" w:hAnsi="Arial" w:cs="Arial"/>
                <w:b/>
                <w:bCs/>
                <w:sz w:val="18"/>
              </w:rPr>
              <w:t>Saldo del Capital Social al 31-12-2016</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CE6E" w14:textId="77777777" w:rsidR="00504768" w:rsidRPr="00701F32" w:rsidRDefault="00504768" w:rsidP="00465779">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310E7" w14:textId="77777777" w:rsidR="00504768" w:rsidRPr="00701F32" w:rsidRDefault="00504768" w:rsidP="00C73C7E">
            <w:pPr>
              <w:jc w:val="center"/>
              <w:rPr>
                <w:rFonts w:ascii="Arial" w:hAnsi="Arial" w:cs="Arial"/>
                <w:b/>
                <w:bCs/>
                <w:sz w:val="18"/>
                <w:lang w:eastAsia="es-AR"/>
              </w:rPr>
            </w:pPr>
            <w:r w:rsidRPr="00701F32">
              <w:rPr>
                <w:rFonts w:ascii="Arial" w:hAnsi="Arial" w:cs="Arial"/>
                <w:b/>
                <w:bCs/>
                <w:sz w:val="18"/>
                <w:lang w:eastAsia="es-AR"/>
              </w:rPr>
              <w:t>638.</w:t>
            </w:r>
            <w:r w:rsidR="00C73C7E" w:rsidRPr="00701F32">
              <w:rPr>
                <w:rFonts w:ascii="Arial" w:hAnsi="Arial" w:cs="Arial"/>
                <w:b/>
                <w:bCs/>
                <w:sz w:val="18"/>
                <w:lang w:eastAsia="es-AR"/>
              </w:rPr>
              <w:t>283</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3792" w14:textId="77777777" w:rsidR="00504768" w:rsidRPr="00701F32" w:rsidRDefault="00504768" w:rsidP="00465779">
            <w:pPr>
              <w:jc w:val="center"/>
              <w:rPr>
                <w:rFonts w:ascii="Arial" w:hAnsi="Arial" w:cs="Arial"/>
                <w:sz w:val="18"/>
                <w:lang w:eastAsia="es-AR"/>
              </w:rPr>
            </w:pPr>
          </w:p>
          <w:p w14:paraId="59BCCB15" w14:textId="77777777" w:rsidR="00504768" w:rsidRPr="00701F32" w:rsidRDefault="00504768" w:rsidP="00465779">
            <w:pPr>
              <w:jc w:val="center"/>
              <w:rPr>
                <w:rFonts w:ascii="Arial" w:hAnsi="Arial" w:cs="Arial"/>
                <w:sz w:val="18"/>
                <w:lang w:eastAsia="es-AR"/>
              </w:rPr>
            </w:pPr>
          </w:p>
        </w:tc>
      </w:tr>
      <w:tr w:rsidR="00504768" w:rsidRPr="00701F32" w14:paraId="2DA98CD2"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24656" w14:textId="77777777" w:rsidR="00504768" w:rsidRPr="00701F32" w:rsidRDefault="00504768" w:rsidP="00465779">
            <w:pPr>
              <w:rPr>
                <w:rFonts w:ascii="Arial" w:hAnsi="Arial" w:cs="Arial"/>
                <w:sz w:val="18"/>
                <w:lang w:eastAsia="es-AR"/>
              </w:rPr>
            </w:pPr>
            <w:r w:rsidRPr="00701F32">
              <w:rPr>
                <w:rFonts w:ascii="Arial" w:hAnsi="Arial" w:cs="Arial"/>
                <w:sz w:val="18"/>
                <w:lang w:eastAsia="es-AR"/>
              </w:rPr>
              <w:t>Aumento de capital según Asamblea Ordinaria y Extraordinaria de Accionistas del 04-05-2017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0E28" w14:textId="77777777" w:rsidR="00504768" w:rsidRPr="00701F32" w:rsidRDefault="00504768" w:rsidP="00C73C7E">
            <w:pPr>
              <w:jc w:val="center"/>
              <w:rPr>
                <w:rFonts w:ascii="Arial" w:hAnsi="Arial" w:cs="Arial"/>
                <w:sz w:val="18"/>
                <w:lang w:eastAsia="es-AR"/>
              </w:rPr>
            </w:pPr>
            <w:r w:rsidRPr="00701F32">
              <w:rPr>
                <w:rFonts w:ascii="Arial" w:hAnsi="Arial" w:cs="Arial"/>
                <w:sz w:val="18"/>
                <w:lang w:eastAsia="es-AR"/>
              </w:rPr>
              <w:t>4.</w:t>
            </w:r>
            <w:r w:rsidR="00E851AA" w:rsidRPr="00701F32">
              <w:rPr>
                <w:rFonts w:ascii="Arial" w:hAnsi="Arial" w:cs="Arial"/>
                <w:sz w:val="18"/>
                <w:lang w:eastAsia="es-AR"/>
              </w:rPr>
              <w:t>59</w:t>
            </w:r>
            <w:r w:rsidR="00C73C7E" w:rsidRPr="00701F32">
              <w:rPr>
                <w:rFonts w:ascii="Arial" w:hAnsi="Arial" w:cs="Arial"/>
                <w:sz w:val="18"/>
                <w:lang w:eastAsia="es-AR"/>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90838" w14:textId="77777777" w:rsidR="00504768" w:rsidRPr="00701F32" w:rsidRDefault="00504768" w:rsidP="00465779">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3791" w14:textId="77777777" w:rsidR="00504768" w:rsidRPr="00701F32" w:rsidRDefault="00504768" w:rsidP="00465779">
            <w:pPr>
              <w:jc w:val="center"/>
              <w:rPr>
                <w:rFonts w:ascii="Arial" w:hAnsi="Arial" w:cs="Arial"/>
                <w:sz w:val="18"/>
                <w:lang w:eastAsia="es-AR"/>
              </w:rPr>
            </w:pPr>
            <w:r w:rsidRPr="00701F32">
              <w:rPr>
                <w:rFonts w:ascii="Arial" w:hAnsi="Arial" w:cs="Arial"/>
                <w:bCs/>
                <w:sz w:val="18"/>
              </w:rPr>
              <w:t>En trámite</w:t>
            </w:r>
          </w:p>
        </w:tc>
      </w:tr>
      <w:tr w:rsidR="00504768" w:rsidRPr="00701F32" w14:paraId="0A115994"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C1147" w14:textId="77777777" w:rsidR="00504768" w:rsidRPr="00701F32" w:rsidRDefault="00504768" w:rsidP="00465779">
            <w:pPr>
              <w:rPr>
                <w:rFonts w:ascii="Arial" w:hAnsi="Arial" w:cs="Arial"/>
                <w:sz w:val="18"/>
                <w:lang w:eastAsia="es-AR"/>
              </w:rPr>
            </w:pPr>
            <w:r w:rsidRPr="00701F32">
              <w:rPr>
                <w:rFonts w:ascii="Arial" w:hAnsi="Arial" w:cs="Arial"/>
                <w:sz w:val="18"/>
                <w:lang w:eastAsia="es-AR"/>
              </w:rPr>
              <w:t>Aumento de capital según Asamblea Ordinaria de Accionistas del 24-11-2017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FCB74" w14:textId="77777777" w:rsidR="00504768" w:rsidRPr="00701F32" w:rsidRDefault="00504768" w:rsidP="00465779">
            <w:pPr>
              <w:jc w:val="center"/>
              <w:rPr>
                <w:rFonts w:ascii="Arial" w:hAnsi="Arial" w:cs="Arial"/>
                <w:sz w:val="18"/>
                <w:lang w:eastAsia="es-AR"/>
              </w:rPr>
            </w:pPr>
            <w:r w:rsidRPr="00701F32">
              <w:rPr>
                <w:rFonts w:ascii="Arial" w:hAnsi="Arial" w:cs="Arial"/>
                <w:sz w:val="18"/>
                <w:lang w:eastAsia="es-AR"/>
              </w:rPr>
              <w:t>101.509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CE1E1" w14:textId="77777777" w:rsidR="00504768" w:rsidRPr="00701F32" w:rsidRDefault="00504768" w:rsidP="00465779">
            <w:pPr>
              <w:jc w:val="center"/>
              <w:rPr>
                <w:rFonts w:ascii="Arial" w:hAnsi="Arial" w:cs="Arial"/>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24C2E" w14:textId="77777777" w:rsidR="00504768" w:rsidRPr="00701F32" w:rsidRDefault="00504768" w:rsidP="00465779">
            <w:pPr>
              <w:jc w:val="center"/>
              <w:rPr>
                <w:rFonts w:ascii="Arial" w:hAnsi="Arial" w:cs="Arial"/>
                <w:bCs/>
                <w:sz w:val="18"/>
              </w:rPr>
            </w:pPr>
            <w:r w:rsidRPr="00701F32">
              <w:rPr>
                <w:rFonts w:ascii="Arial" w:hAnsi="Arial" w:cs="Arial"/>
                <w:bCs/>
                <w:sz w:val="18"/>
              </w:rPr>
              <w:t>En trámite</w:t>
            </w:r>
          </w:p>
        </w:tc>
      </w:tr>
      <w:tr w:rsidR="00504768" w:rsidRPr="00701F32" w14:paraId="1990EFC2"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64693" w14:textId="77777777" w:rsidR="00504768" w:rsidRPr="00701F32" w:rsidRDefault="00504768" w:rsidP="00465779">
            <w:pPr>
              <w:rPr>
                <w:rFonts w:ascii="Arial" w:hAnsi="Arial" w:cs="Arial"/>
                <w:b/>
                <w:bCs/>
                <w:sz w:val="18"/>
                <w:lang w:eastAsia="es-AR"/>
              </w:rPr>
            </w:pPr>
            <w:r w:rsidRPr="00701F32">
              <w:rPr>
                <w:rFonts w:ascii="Arial" w:hAnsi="Arial" w:cs="Arial"/>
                <w:b/>
                <w:bCs/>
                <w:sz w:val="18"/>
              </w:rPr>
              <w:t>Saldo del Capital Social al 31-12-2017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E5E01" w14:textId="77777777" w:rsidR="00504768" w:rsidRPr="00701F32" w:rsidRDefault="00504768" w:rsidP="00465779">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915B8" w14:textId="77777777" w:rsidR="00504768" w:rsidRPr="00701F32" w:rsidRDefault="00504768" w:rsidP="00E851AA">
            <w:pPr>
              <w:jc w:val="center"/>
              <w:rPr>
                <w:rFonts w:ascii="Arial" w:hAnsi="Arial" w:cs="Arial"/>
                <w:b/>
                <w:bCs/>
                <w:sz w:val="18"/>
                <w:lang w:eastAsia="es-AR"/>
              </w:rPr>
            </w:pPr>
            <w:r w:rsidRPr="00701F32">
              <w:rPr>
                <w:rFonts w:ascii="Arial" w:hAnsi="Arial" w:cs="Arial"/>
                <w:b/>
                <w:bCs/>
                <w:sz w:val="18"/>
                <w:lang w:eastAsia="es-AR"/>
              </w:rPr>
              <w:t>744.</w:t>
            </w:r>
            <w:r w:rsidR="00E851AA" w:rsidRPr="00701F32">
              <w:rPr>
                <w:rFonts w:ascii="Arial" w:hAnsi="Arial" w:cs="Arial"/>
                <w:b/>
                <w:bCs/>
                <w:sz w:val="18"/>
                <w:lang w:eastAsia="es-AR"/>
              </w:rPr>
              <w:t>386</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30703" w14:textId="77777777" w:rsidR="00504768" w:rsidRPr="00701F32" w:rsidRDefault="00504768" w:rsidP="00465779">
            <w:pPr>
              <w:jc w:val="center"/>
              <w:rPr>
                <w:rFonts w:ascii="Arial" w:hAnsi="Arial" w:cs="Arial"/>
                <w:sz w:val="18"/>
                <w:lang w:eastAsia="es-AR"/>
              </w:rPr>
            </w:pPr>
          </w:p>
        </w:tc>
      </w:tr>
      <w:tr w:rsidR="00504768" w:rsidRPr="00701F32" w14:paraId="07D1C098"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AAE01" w14:textId="77777777" w:rsidR="00504768" w:rsidRPr="00701F32" w:rsidRDefault="00504768" w:rsidP="00465779">
            <w:pPr>
              <w:rPr>
                <w:rFonts w:ascii="Arial" w:hAnsi="Arial" w:cs="Arial"/>
                <w:b/>
                <w:bCs/>
                <w:sz w:val="18"/>
              </w:rPr>
            </w:pPr>
            <w:r w:rsidRPr="00701F32">
              <w:rPr>
                <w:rFonts w:ascii="Arial" w:hAnsi="Arial" w:cs="Arial"/>
                <w:sz w:val="18"/>
                <w:lang w:eastAsia="es-AR"/>
              </w:rPr>
              <w:t>Aumento de capital según Asamblea Ordinaria</w:t>
            </w:r>
            <w:r w:rsidR="007D1882" w:rsidRPr="00701F32">
              <w:rPr>
                <w:rFonts w:ascii="Arial" w:hAnsi="Arial" w:cs="Arial"/>
                <w:sz w:val="18"/>
                <w:lang w:eastAsia="es-AR"/>
              </w:rPr>
              <w:t xml:space="preserve"> yu extraordinaria</w:t>
            </w:r>
            <w:r w:rsidRPr="00701F32">
              <w:rPr>
                <w:rFonts w:ascii="Arial" w:hAnsi="Arial" w:cs="Arial"/>
                <w:sz w:val="18"/>
                <w:lang w:eastAsia="es-AR"/>
              </w:rPr>
              <w:t xml:space="preserve"> de Accionistas del 19-04-2018</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55FA" w14:textId="77777777" w:rsidR="00504768" w:rsidRPr="00701F32" w:rsidRDefault="00504768" w:rsidP="00E851AA">
            <w:pPr>
              <w:jc w:val="center"/>
              <w:rPr>
                <w:rFonts w:ascii="Arial" w:hAnsi="Arial" w:cs="Arial"/>
                <w:sz w:val="18"/>
                <w:lang w:eastAsia="es-AR"/>
              </w:rPr>
            </w:pPr>
            <w:r w:rsidRPr="00701F32">
              <w:rPr>
                <w:rFonts w:ascii="Arial" w:hAnsi="Arial" w:cs="Arial"/>
                <w:sz w:val="18"/>
                <w:lang w:eastAsia="es-AR"/>
              </w:rPr>
              <w:t>27.</w:t>
            </w:r>
            <w:r w:rsidR="00E851AA" w:rsidRPr="00701F32">
              <w:rPr>
                <w:rFonts w:ascii="Arial" w:hAnsi="Arial" w:cs="Arial"/>
                <w:sz w:val="18"/>
                <w:lang w:eastAsia="es-AR"/>
              </w:rPr>
              <w:t>579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903BB" w14:textId="77777777" w:rsidR="00504768" w:rsidRPr="00701F32" w:rsidRDefault="00504768" w:rsidP="00465779">
            <w:pPr>
              <w:jc w:val="center"/>
              <w:rPr>
                <w:rFonts w:ascii="Arial" w:hAnsi="Arial" w:cs="Arial"/>
                <w:b/>
                <w:bCs/>
                <w:sz w:val="18"/>
                <w:lang w:eastAsia="es-AR"/>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0E158" w14:textId="77777777" w:rsidR="00504768" w:rsidRPr="00701F32" w:rsidRDefault="00504768" w:rsidP="00465779">
            <w:pPr>
              <w:jc w:val="center"/>
              <w:rPr>
                <w:rFonts w:ascii="Arial" w:hAnsi="Arial" w:cs="Arial"/>
                <w:sz w:val="18"/>
                <w:lang w:eastAsia="es-AR"/>
              </w:rPr>
            </w:pPr>
            <w:r w:rsidRPr="00701F32">
              <w:rPr>
                <w:rFonts w:ascii="Arial" w:hAnsi="Arial" w:cs="Arial"/>
                <w:bCs/>
                <w:sz w:val="18"/>
              </w:rPr>
              <w:t>En trámite</w:t>
            </w:r>
          </w:p>
        </w:tc>
      </w:tr>
      <w:tr w:rsidR="00504768" w:rsidRPr="00701F32" w14:paraId="24EEBF88" w14:textId="77777777" w:rsidTr="00465779">
        <w:trPr>
          <w:trHeight w:val="298"/>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62F9C" w14:textId="77777777" w:rsidR="00504768" w:rsidRPr="00701F32" w:rsidRDefault="00504768" w:rsidP="00465779">
            <w:pPr>
              <w:rPr>
                <w:rFonts w:ascii="Arial" w:hAnsi="Arial" w:cs="Arial"/>
                <w:b/>
                <w:bCs/>
                <w:sz w:val="18"/>
                <w:lang w:eastAsia="es-AR"/>
              </w:rPr>
            </w:pPr>
            <w:r w:rsidRPr="00701F32">
              <w:rPr>
                <w:rFonts w:ascii="Arial" w:hAnsi="Arial" w:cs="Arial"/>
                <w:b/>
                <w:bCs/>
                <w:sz w:val="18"/>
              </w:rPr>
              <w:t>S</w:t>
            </w:r>
            <w:r w:rsidR="001D24AC" w:rsidRPr="00701F32">
              <w:rPr>
                <w:rFonts w:ascii="Arial" w:hAnsi="Arial" w:cs="Arial"/>
                <w:b/>
                <w:bCs/>
                <w:sz w:val="18"/>
              </w:rPr>
              <w:t>aldo del Capital Social al 30-09</w:t>
            </w:r>
            <w:r w:rsidRPr="00701F32">
              <w:rPr>
                <w:rFonts w:ascii="Arial" w:hAnsi="Arial" w:cs="Arial"/>
                <w:b/>
                <w:bCs/>
                <w:sz w:val="18"/>
              </w:rPr>
              <w:t>-18</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D2379" w14:textId="77777777" w:rsidR="00504768" w:rsidRPr="00701F32" w:rsidRDefault="00504768" w:rsidP="00465779">
            <w:pPr>
              <w:jc w:val="center"/>
              <w:rPr>
                <w:rFonts w:ascii="Arial" w:hAnsi="Arial" w:cs="Arial"/>
                <w:sz w:val="18"/>
                <w:lang w:eastAsia="es-A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6D4D0" w14:textId="77777777" w:rsidR="00504768" w:rsidRPr="00701F32" w:rsidRDefault="00504768" w:rsidP="00465779">
            <w:pPr>
              <w:jc w:val="center"/>
              <w:rPr>
                <w:rFonts w:ascii="Arial" w:hAnsi="Arial" w:cs="Arial"/>
                <w:b/>
                <w:bCs/>
                <w:sz w:val="18"/>
                <w:lang w:eastAsia="es-AR"/>
              </w:rPr>
            </w:pPr>
            <w:r w:rsidRPr="00701F32">
              <w:rPr>
                <w:rFonts w:ascii="Arial" w:hAnsi="Arial" w:cs="Arial"/>
                <w:b/>
                <w:bCs/>
                <w:sz w:val="18"/>
                <w:lang w:eastAsia="es-AR"/>
              </w:rPr>
              <w:t>771.965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F1324" w14:textId="77777777" w:rsidR="00504768" w:rsidRPr="00701F32" w:rsidRDefault="00504768" w:rsidP="00465779">
            <w:pPr>
              <w:jc w:val="center"/>
              <w:rPr>
                <w:rFonts w:ascii="Arial" w:hAnsi="Arial" w:cs="Arial"/>
                <w:sz w:val="18"/>
                <w:lang w:eastAsia="es-AR"/>
              </w:rPr>
            </w:pPr>
          </w:p>
          <w:p w14:paraId="5F1E3547" w14:textId="77777777" w:rsidR="00504768" w:rsidRPr="00701F32" w:rsidRDefault="00504768" w:rsidP="00465779">
            <w:pPr>
              <w:jc w:val="center"/>
              <w:rPr>
                <w:rFonts w:ascii="Arial" w:hAnsi="Arial" w:cs="Arial"/>
                <w:sz w:val="18"/>
                <w:lang w:eastAsia="es-AR"/>
              </w:rPr>
            </w:pPr>
          </w:p>
        </w:tc>
      </w:tr>
    </w:tbl>
    <w:p w14:paraId="2830CAC2" w14:textId="77777777" w:rsidR="00656E62" w:rsidRPr="00701F32" w:rsidRDefault="00656E62" w:rsidP="00656E62">
      <w:pPr>
        <w:tabs>
          <w:tab w:val="left" w:pos="142"/>
          <w:tab w:val="left" w:pos="9923"/>
        </w:tabs>
        <w:spacing w:after="200" w:line="276" w:lineRule="auto"/>
        <w:contextualSpacing/>
        <w:jc w:val="both"/>
        <w:rPr>
          <w:rFonts w:ascii="Arial" w:hAnsi="Arial" w:cs="Arial"/>
          <w:b/>
          <w:sz w:val="20"/>
        </w:rPr>
      </w:pPr>
    </w:p>
    <w:p w14:paraId="72DF4745" w14:textId="77777777" w:rsidR="00656E62" w:rsidRPr="00701F32" w:rsidRDefault="00D57127" w:rsidP="00656E62">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.4 Actividades fiduciarias</w:t>
      </w:r>
    </w:p>
    <w:p w14:paraId="7ABE1740" w14:textId="77777777" w:rsidR="00656E62" w:rsidRPr="00701F32" w:rsidRDefault="00656E62" w:rsidP="00656E62">
      <w:pPr>
        <w:tabs>
          <w:tab w:val="left" w:pos="142"/>
          <w:tab w:val="left" w:pos="9923"/>
        </w:tabs>
        <w:spacing w:after="200" w:line="276" w:lineRule="auto"/>
        <w:contextualSpacing/>
        <w:jc w:val="both"/>
        <w:rPr>
          <w:rFonts w:ascii="Arial" w:hAnsi="Arial" w:cs="Arial"/>
          <w:b/>
          <w:sz w:val="20"/>
        </w:rPr>
      </w:pPr>
    </w:p>
    <w:p w14:paraId="698EF5BF"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La Entidad actúa como Fiduciario o Fiduciante en los fideicomisos que se detallan a continuación:</w:t>
      </w:r>
    </w:p>
    <w:p w14:paraId="2C769833" w14:textId="77777777" w:rsidR="00656E62" w:rsidRPr="00701F32" w:rsidRDefault="00656E62" w:rsidP="00656E62">
      <w:pPr>
        <w:tabs>
          <w:tab w:val="left" w:pos="142"/>
        </w:tabs>
        <w:jc w:val="both"/>
        <w:rPr>
          <w:rFonts w:ascii="Arial" w:hAnsi="Arial" w:cs="Arial"/>
          <w:sz w:val="20"/>
        </w:rPr>
      </w:pPr>
    </w:p>
    <w:p w14:paraId="5CB9A103" w14:textId="77777777" w:rsidR="00656E62" w:rsidRPr="00701F32" w:rsidRDefault="00656E62" w:rsidP="00656E62">
      <w:pPr>
        <w:tabs>
          <w:tab w:val="left" w:pos="142"/>
        </w:tabs>
        <w:jc w:val="both"/>
        <w:rPr>
          <w:rFonts w:ascii="Arial" w:hAnsi="Arial" w:cs="Arial"/>
          <w:b/>
          <w:sz w:val="20"/>
          <w:u w:val="single"/>
        </w:rPr>
      </w:pPr>
      <w:r w:rsidRPr="00701F32">
        <w:rPr>
          <w:rFonts w:ascii="Arial" w:hAnsi="Arial" w:cs="Arial"/>
          <w:b/>
          <w:sz w:val="20"/>
          <w:u w:val="single"/>
        </w:rPr>
        <w:t>Actuación como Fiduciario</w:t>
      </w:r>
    </w:p>
    <w:p w14:paraId="5862CAAD" w14:textId="77777777" w:rsidR="00656E62" w:rsidRPr="00701F32" w:rsidRDefault="00656E62" w:rsidP="00656E62">
      <w:pPr>
        <w:tabs>
          <w:tab w:val="left" w:pos="142"/>
        </w:tabs>
        <w:jc w:val="both"/>
        <w:rPr>
          <w:rFonts w:ascii="Arial" w:hAnsi="Arial" w:cs="Arial"/>
          <w:sz w:val="20"/>
        </w:rPr>
      </w:pPr>
    </w:p>
    <w:p w14:paraId="61063FD6"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Se resume a continuación el detalle de los fideicomisos financieros:</w:t>
      </w:r>
    </w:p>
    <w:p w14:paraId="47CBF1A6"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 xml:space="preserve">      </w:t>
      </w:r>
    </w:p>
    <w:p w14:paraId="710281E6"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Fideicomiso Financiero Banex Créditos IV</w:t>
      </w:r>
    </w:p>
    <w:p w14:paraId="083E5B0E"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Fiduciario: Banco Supervielle</w:t>
      </w:r>
    </w:p>
    <w:p w14:paraId="5B37DD5C"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Programa Global de Valores Fiduciarios Supervielle Asset Backed Securities</w:t>
      </w:r>
    </w:p>
    <w:p w14:paraId="28D32E50" w14:textId="77777777" w:rsidR="00656E62" w:rsidRPr="00701F32" w:rsidRDefault="00656E62" w:rsidP="00656E62">
      <w:pPr>
        <w:tabs>
          <w:tab w:val="left" w:pos="142"/>
        </w:tabs>
        <w:jc w:val="both"/>
        <w:rPr>
          <w:rFonts w:ascii="Arial" w:hAnsi="Arial" w:cs="Arial"/>
          <w:sz w:val="20"/>
        </w:rPr>
      </w:pPr>
    </w:p>
    <w:tbl>
      <w:tblPr>
        <w:tblW w:w="8505" w:type="dxa"/>
        <w:tblInd w:w="55" w:type="dxa"/>
        <w:tblCellMar>
          <w:left w:w="70" w:type="dxa"/>
          <w:right w:w="70" w:type="dxa"/>
        </w:tblCellMar>
        <w:tblLook w:val="04A0" w:firstRow="1" w:lastRow="0" w:firstColumn="1" w:lastColumn="0" w:noHBand="0" w:noVBand="1"/>
      </w:tblPr>
      <w:tblGrid>
        <w:gridCol w:w="1223"/>
        <w:gridCol w:w="1165"/>
        <w:gridCol w:w="1873"/>
        <w:gridCol w:w="911"/>
        <w:gridCol w:w="911"/>
        <w:gridCol w:w="911"/>
        <w:gridCol w:w="1511"/>
      </w:tblGrid>
      <w:tr w:rsidR="00656E62" w:rsidRPr="00701F32" w14:paraId="57C298C9" w14:textId="77777777" w:rsidTr="00464C0F">
        <w:trPr>
          <w:trHeight w:val="525"/>
        </w:trPr>
        <w:tc>
          <w:tcPr>
            <w:tcW w:w="1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A48A47" w14:textId="77777777" w:rsidR="00656E62" w:rsidRPr="00701F32" w:rsidRDefault="00656E62" w:rsidP="00464C0F">
            <w:pPr>
              <w:jc w:val="center"/>
              <w:rPr>
                <w:rFonts w:ascii="Arial" w:hAnsi="Arial" w:cs="Arial"/>
                <w:b/>
                <w:sz w:val="16"/>
                <w:szCs w:val="16"/>
              </w:rPr>
            </w:pPr>
            <w:r w:rsidRPr="00701F32">
              <w:rPr>
                <w:rFonts w:ascii="Arial" w:hAnsi="Arial" w:cs="Arial"/>
                <w:b/>
                <w:sz w:val="16"/>
                <w:szCs w:val="16"/>
              </w:rPr>
              <w:t>Serie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B59B01D" w14:textId="77777777" w:rsidR="00656E62" w:rsidRPr="00701F32" w:rsidRDefault="00656E62" w:rsidP="00464C0F">
            <w:pPr>
              <w:jc w:val="center"/>
              <w:rPr>
                <w:rFonts w:ascii="Arial" w:hAnsi="Arial" w:cs="Arial"/>
                <w:b/>
                <w:sz w:val="16"/>
                <w:szCs w:val="16"/>
              </w:rPr>
            </w:pPr>
            <w:r w:rsidRPr="00701F32">
              <w:rPr>
                <w:rFonts w:ascii="Arial" w:hAnsi="Arial" w:cs="Arial"/>
                <w:b/>
                <w:sz w:val="16"/>
                <w:szCs w:val="16"/>
              </w:rPr>
              <w:t>Fecha constitución</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14:paraId="6AC63F12" w14:textId="77777777" w:rsidR="00656E62" w:rsidRPr="00701F32" w:rsidRDefault="00656E62" w:rsidP="00464C0F">
            <w:pPr>
              <w:jc w:val="center"/>
              <w:rPr>
                <w:rFonts w:ascii="Arial" w:hAnsi="Arial" w:cs="Arial"/>
                <w:b/>
                <w:sz w:val="16"/>
                <w:szCs w:val="16"/>
              </w:rPr>
            </w:pPr>
            <w:r w:rsidRPr="00701F32">
              <w:rPr>
                <w:rFonts w:ascii="Arial" w:hAnsi="Arial" w:cs="Arial"/>
                <w:b/>
                <w:sz w:val="16"/>
                <w:szCs w:val="16"/>
              </w:rPr>
              <w:t>Valor Fideicomitido Inicial</w:t>
            </w:r>
          </w:p>
        </w:tc>
        <w:tc>
          <w:tcPr>
            <w:tcW w:w="2940" w:type="dxa"/>
            <w:gridSpan w:val="3"/>
            <w:tcBorders>
              <w:top w:val="single" w:sz="8" w:space="0" w:color="auto"/>
              <w:left w:val="nil"/>
              <w:bottom w:val="single" w:sz="8" w:space="0" w:color="auto"/>
              <w:right w:val="single" w:sz="8" w:space="0" w:color="000000"/>
            </w:tcBorders>
            <w:shd w:val="clear" w:color="auto" w:fill="auto"/>
            <w:vAlign w:val="center"/>
            <w:hideMark/>
          </w:tcPr>
          <w:p w14:paraId="526E7D2A" w14:textId="77777777" w:rsidR="00656E62" w:rsidRPr="00701F32" w:rsidRDefault="00656E62" w:rsidP="00464C0F">
            <w:pPr>
              <w:jc w:val="center"/>
              <w:rPr>
                <w:rFonts w:ascii="Arial" w:hAnsi="Arial" w:cs="Arial"/>
                <w:b/>
                <w:sz w:val="16"/>
                <w:szCs w:val="16"/>
              </w:rPr>
            </w:pPr>
            <w:r w:rsidRPr="00701F32">
              <w:rPr>
                <w:rFonts w:ascii="Arial" w:hAnsi="Arial" w:cs="Arial"/>
                <w:b/>
                <w:sz w:val="16"/>
                <w:szCs w:val="16"/>
              </w:rPr>
              <w:t>Títulos emitidos y ultimo vencimiento</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73C49630" w14:textId="77777777" w:rsidR="00656E62" w:rsidRPr="00701F32" w:rsidRDefault="00656E62" w:rsidP="00464C0F">
            <w:pPr>
              <w:jc w:val="center"/>
              <w:rPr>
                <w:rFonts w:ascii="Arial" w:hAnsi="Arial" w:cs="Arial"/>
                <w:b/>
                <w:sz w:val="16"/>
                <w:szCs w:val="16"/>
              </w:rPr>
            </w:pPr>
            <w:r w:rsidRPr="00701F32">
              <w:rPr>
                <w:rFonts w:ascii="Arial" w:hAnsi="Arial" w:cs="Arial"/>
                <w:b/>
                <w:sz w:val="16"/>
                <w:szCs w:val="16"/>
              </w:rPr>
              <w:t>Tenencia Valor Libro</w:t>
            </w:r>
          </w:p>
        </w:tc>
      </w:tr>
      <w:tr w:rsidR="00656E62" w:rsidRPr="00701F32" w14:paraId="5F232C12" w14:textId="77777777" w:rsidTr="00464C0F">
        <w:trPr>
          <w:trHeight w:val="510"/>
        </w:trPr>
        <w:tc>
          <w:tcPr>
            <w:tcW w:w="15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6C3FD8" w14:textId="77777777" w:rsidR="00656E62" w:rsidRPr="00701F32" w:rsidRDefault="00656E62" w:rsidP="00464C0F">
            <w:pPr>
              <w:jc w:val="both"/>
              <w:rPr>
                <w:rFonts w:ascii="Arial" w:hAnsi="Arial" w:cs="Arial"/>
                <w:sz w:val="16"/>
                <w:szCs w:val="16"/>
              </w:rPr>
            </w:pPr>
            <w:r w:rsidRPr="00701F32">
              <w:rPr>
                <w:rFonts w:ascii="Arial" w:hAnsi="Arial" w:cs="Arial"/>
                <w:sz w:val="16"/>
                <w:szCs w:val="16"/>
              </w:rPr>
              <w:t>Banex IV</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14:paraId="56DA1FBA" w14:textId="77777777" w:rsidR="00656E62" w:rsidRPr="00701F32" w:rsidRDefault="00656E62" w:rsidP="00464C0F">
            <w:pPr>
              <w:jc w:val="center"/>
              <w:rPr>
                <w:rFonts w:ascii="Arial" w:hAnsi="Arial" w:cs="Arial"/>
                <w:sz w:val="16"/>
                <w:szCs w:val="16"/>
              </w:rPr>
            </w:pPr>
            <w:r w:rsidRPr="00701F32">
              <w:rPr>
                <w:rFonts w:ascii="Arial" w:hAnsi="Arial" w:cs="Arial"/>
                <w:sz w:val="16"/>
                <w:szCs w:val="16"/>
              </w:rPr>
              <w:t>19/03/2004</w:t>
            </w:r>
          </w:p>
        </w:tc>
        <w:tc>
          <w:tcPr>
            <w:tcW w:w="2200" w:type="dxa"/>
            <w:tcBorders>
              <w:top w:val="single" w:sz="4" w:space="0" w:color="auto"/>
              <w:left w:val="nil"/>
              <w:bottom w:val="single" w:sz="8" w:space="0" w:color="auto"/>
              <w:right w:val="single" w:sz="8" w:space="0" w:color="auto"/>
            </w:tcBorders>
            <w:shd w:val="clear" w:color="auto" w:fill="auto"/>
            <w:vAlign w:val="center"/>
            <w:hideMark/>
          </w:tcPr>
          <w:p w14:paraId="09000FBF" w14:textId="77777777" w:rsidR="00656E62" w:rsidRPr="00701F32" w:rsidRDefault="00656E62" w:rsidP="00464C0F">
            <w:pPr>
              <w:jc w:val="right"/>
              <w:rPr>
                <w:rFonts w:ascii="Arial" w:hAnsi="Arial" w:cs="Arial"/>
                <w:sz w:val="16"/>
                <w:szCs w:val="16"/>
              </w:rPr>
            </w:pPr>
            <w:r w:rsidRPr="00701F32">
              <w:rPr>
                <w:rFonts w:ascii="Arial" w:hAnsi="Arial" w:cs="Arial"/>
                <w:sz w:val="16"/>
                <w:szCs w:val="16"/>
              </w:rPr>
              <w:t>$ 30.012</w:t>
            </w:r>
          </w:p>
        </w:tc>
        <w:tc>
          <w:tcPr>
            <w:tcW w:w="980" w:type="dxa"/>
            <w:tcBorders>
              <w:top w:val="single" w:sz="4" w:space="0" w:color="auto"/>
              <w:left w:val="nil"/>
              <w:bottom w:val="single" w:sz="8" w:space="0" w:color="auto"/>
              <w:right w:val="single" w:sz="4" w:space="0" w:color="auto"/>
            </w:tcBorders>
            <w:shd w:val="clear" w:color="auto" w:fill="auto"/>
            <w:vAlign w:val="center"/>
            <w:hideMark/>
          </w:tcPr>
          <w:p w14:paraId="6268B873" w14:textId="77777777" w:rsidR="00656E62" w:rsidRPr="00701F32" w:rsidRDefault="00656E62" w:rsidP="00464C0F">
            <w:pPr>
              <w:jc w:val="both"/>
              <w:rPr>
                <w:rFonts w:ascii="Arial" w:hAnsi="Arial" w:cs="Arial"/>
                <w:sz w:val="16"/>
                <w:szCs w:val="16"/>
              </w:rPr>
            </w:pPr>
            <w:r w:rsidRPr="00701F32">
              <w:rPr>
                <w:rFonts w:ascii="Arial" w:hAnsi="Arial" w:cs="Arial"/>
                <w:sz w:val="16"/>
                <w:szCs w:val="16"/>
              </w:rPr>
              <w:t>VDFA</w:t>
            </w:r>
            <w:r w:rsidRPr="00701F32">
              <w:rPr>
                <w:rFonts w:ascii="Arial" w:hAnsi="Arial" w:cs="Arial"/>
                <w:sz w:val="16"/>
                <w:szCs w:val="16"/>
              </w:rPr>
              <w:br/>
              <w:t>VN$ 21.000</w:t>
            </w:r>
            <w:r w:rsidRPr="00701F32">
              <w:rPr>
                <w:rFonts w:ascii="Arial" w:hAnsi="Arial" w:cs="Arial"/>
                <w:sz w:val="16"/>
                <w:szCs w:val="16"/>
              </w:rPr>
              <w:br/>
              <w:t xml:space="preserve">Vto: 20/01/05    </w:t>
            </w:r>
          </w:p>
        </w:tc>
        <w:tc>
          <w:tcPr>
            <w:tcW w:w="980" w:type="dxa"/>
            <w:tcBorders>
              <w:top w:val="single" w:sz="4" w:space="0" w:color="auto"/>
              <w:left w:val="nil"/>
              <w:bottom w:val="single" w:sz="8" w:space="0" w:color="auto"/>
              <w:right w:val="single" w:sz="4" w:space="0" w:color="auto"/>
            </w:tcBorders>
            <w:shd w:val="clear" w:color="auto" w:fill="auto"/>
            <w:vAlign w:val="center"/>
            <w:hideMark/>
          </w:tcPr>
          <w:p w14:paraId="6678F81B" w14:textId="77777777" w:rsidR="00656E62" w:rsidRPr="00701F32" w:rsidRDefault="00656E62" w:rsidP="00464C0F">
            <w:pPr>
              <w:jc w:val="both"/>
              <w:rPr>
                <w:rFonts w:ascii="Arial" w:hAnsi="Arial" w:cs="Arial"/>
                <w:sz w:val="16"/>
                <w:szCs w:val="16"/>
              </w:rPr>
            </w:pPr>
            <w:r w:rsidRPr="00701F32">
              <w:rPr>
                <w:rFonts w:ascii="Arial" w:hAnsi="Arial" w:cs="Arial"/>
                <w:sz w:val="16"/>
                <w:szCs w:val="16"/>
              </w:rPr>
              <w:t>VDFB</w:t>
            </w:r>
            <w:r w:rsidRPr="00701F32">
              <w:rPr>
                <w:rFonts w:ascii="Arial" w:hAnsi="Arial" w:cs="Arial"/>
                <w:sz w:val="16"/>
                <w:szCs w:val="16"/>
              </w:rPr>
              <w:br/>
              <w:t>VN$ 6.000</w:t>
            </w:r>
            <w:r w:rsidRPr="00701F32">
              <w:rPr>
                <w:rFonts w:ascii="Arial" w:hAnsi="Arial" w:cs="Arial"/>
                <w:sz w:val="16"/>
                <w:szCs w:val="16"/>
              </w:rPr>
              <w:br/>
              <w:t>Vto: 20/04/05</w:t>
            </w:r>
          </w:p>
        </w:tc>
        <w:tc>
          <w:tcPr>
            <w:tcW w:w="980" w:type="dxa"/>
            <w:tcBorders>
              <w:top w:val="single" w:sz="4" w:space="0" w:color="auto"/>
              <w:left w:val="nil"/>
              <w:bottom w:val="single" w:sz="8" w:space="0" w:color="auto"/>
              <w:right w:val="single" w:sz="8" w:space="0" w:color="auto"/>
            </w:tcBorders>
            <w:shd w:val="clear" w:color="auto" w:fill="auto"/>
            <w:vAlign w:val="center"/>
            <w:hideMark/>
          </w:tcPr>
          <w:p w14:paraId="49D305F7" w14:textId="77777777" w:rsidR="00656E62" w:rsidRPr="00701F32" w:rsidRDefault="00656E62" w:rsidP="00464C0F">
            <w:pPr>
              <w:jc w:val="both"/>
              <w:rPr>
                <w:rFonts w:ascii="Arial" w:hAnsi="Arial" w:cs="Arial"/>
                <w:sz w:val="16"/>
                <w:szCs w:val="16"/>
              </w:rPr>
            </w:pPr>
            <w:r w:rsidRPr="00701F32">
              <w:rPr>
                <w:rFonts w:ascii="Arial" w:hAnsi="Arial" w:cs="Arial"/>
                <w:sz w:val="16"/>
                <w:szCs w:val="16"/>
              </w:rPr>
              <w:t>CP</w:t>
            </w:r>
            <w:r w:rsidRPr="00701F32">
              <w:rPr>
                <w:rFonts w:ascii="Arial" w:hAnsi="Arial" w:cs="Arial"/>
                <w:sz w:val="16"/>
                <w:szCs w:val="16"/>
              </w:rPr>
              <w:br/>
              <w:t>VN$ 3.000</w:t>
            </w:r>
            <w:r w:rsidRPr="00701F32">
              <w:rPr>
                <w:rFonts w:ascii="Arial" w:hAnsi="Arial" w:cs="Arial"/>
                <w:sz w:val="16"/>
                <w:szCs w:val="16"/>
              </w:rPr>
              <w:br/>
              <w:t>Vto: 20/04/07</w:t>
            </w:r>
          </w:p>
        </w:tc>
        <w:tc>
          <w:tcPr>
            <w:tcW w:w="1800" w:type="dxa"/>
            <w:tcBorders>
              <w:top w:val="nil"/>
              <w:left w:val="nil"/>
              <w:bottom w:val="single" w:sz="8" w:space="0" w:color="auto"/>
              <w:right w:val="single" w:sz="8" w:space="0" w:color="auto"/>
            </w:tcBorders>
            <w:shd w:val="clear" w:color="auto" w:fill="auto"/>
            <w:vAlign w:val="center"/>
            <w:hideMark/>
          </w:tcPr>
          <w:p w14:paraId="3F98AC9F" w14:textId="62256843" w:rsidR="00656E62" w:rsidRPr="00701F32" w:rsidRDefault="008A02CB" w:rsidP="00464C0F">
            <w:pPr>
              <w:jc w:val="both"/>
              <w:rPr>
                <w:rFonts w:ascii="Arial" w:hAnsi="Arial" w:cs="Arial"/>
                <w:sz w:val="16"/>
                <w:szCs w:val="16"/>
              </w:rPr>
            </w:pPr>
            <w:r w:rsidRPr="00701F32">
              <w:rPr>
                <w:rFonts w:ascii="Arial" w:hAnsi="Arial" w:cs="Arial"/>
                <w:sz w:val="16"/>
                <w:szCs w:val="16"/>
              </w:rPr>
              <w:t>Estado de liquidación 31/07/18</w:t>
            </w:r>
          </w:p>
        </w:tc>
      </w:tr>
    </w:tbl>
    <w:p w14:paraId="635EA659" w14:textId="77777777" w:rsidR="00656E62" w:rsidRPr="00701F32" w:rsidRDefault="00656E62" w:rsidP="00656E62">
      <w:pPr>
        <w:tabs>
          <w:tab w:val="left" w:pos="142"/>
        </w:tabs>
        <w:jc w:val="both"/>
        <w:rPr>
          <w:rFonts w:ascii="Arial" w:hAnsi="Arial" w:cs="Arial"/>
          <w:sz w:val="20"/>
        </w:rPr>
      </w:pPr>
    </w:p>
    <w:p w14:paraId="385D978F" w14:textId="21E99E44" w:rsidR="006470AD" w:rsidRPr="00701F32" w:rsidRDefault="00656E62" w:rsidP="00656E62">
      <w:pPr>
        <w:tabs>
          <w:tab w:val="left" w:pos="142"/>
        </w:tabs>
        <w:jc w:val="both"/>
        <w:rPr>
          <w:rFonts w:ascii="Arial" w:hAnsi="Arial" w:cs="Arial"/>
          <w:sz w:val="20"/>
        </w:rPr>
      </w:pPr>
      <w:r w:rsidRPr="00701F32">
        <w:rPr>
          <w:rFonts w:ascii="Arial" w:hAnsi="Arial" w:cs="Arial"/>
          <w:sz w:val="20"/>
        </w:rPr>
        <w:t>Fideicomisos de administración en garantía en los cuales Banco Supervielle S.A. actúa como fiduciario al 3</w:t>
      </w:r>
      <w:r w:rsidR="00331783" w:rsidRPr="00701F32">
        <w:rPr>
          <w:rFonts w:ascii="Arial" w:hAnsi="Arial" w:cs="Arial"/>
          <w:sz w:val="20"/>
        </w:rPr>
        <w:t>0</w:t>
      </w:r>
      <w:r w:rsidRPr="00701F32">
        <w:rPr>
          <w:rFonts w:ascii="Arial" w:hAnsi="Arial" w:cs="Arial"/>
          <w:sz w:val="20"/>
        </w:rPr>
        <w:t xml:space="preserve"> de </w:t>
      </w:r>
      <w:r w:rsidR="00A3374B" w:rsidRPr="00701F32">
        <w:rPr>
          <w:rFonts w:ascii="Arial" w:hAnsi="Arial" w:cs="Arial"/>
          <w:sz w:val="20"/>
        </w:rPr>
        <w:t>septiembre</w:t>
      </w:r>
      <w:r w:rsidRPr="00701F32">
        <w:rPr>
          <w:rFonts w:ascii="Arial" w:hAnsi="Arial" w:cs="Arial"/>
          <w:sz w:val="20"/>
        </w:rPr>
        <w:t xml:space="preserve"> de 2018:</w:t>
      </w:r>
    </w:p>
    <w:p w14:paraId="6CE714C2" w14:textId="77777777" w:rsidR="002C3A48" w:rsidRPr="00701F32" w:rsidRDefault="002C3A48" w:rsidP="00656E62">
      <w:pPr>
        <w:tabs>
          <w:tab w:val="left" w:pos="142"/>
        </w:tabs>
        <w:jc w:val="both"/>
        <w:rPr>
          <w:rFonts w:ascii="Arial" w:hAnsi="Arial" w:cs="Arial"/>
          <w:sz w:val="20"/>
        </w:rPr>
      </w:pPr>
    </w:p>
    <w:tbl>
      <w:tblPr>
        <w:tblW w:w="8580" w:type="dxa"/>
        <w:tblInd w:w="-5" w:type="dxa"/>
        <w:tblCellMar>
          <w:left w:w="70" w:type="dxa"/>
          <w:right w:w="70" w:type="dxa"/>
        </w:tblCellMar>
        <w:tblLook w:val="04A0" w:firstRow="1" w:lastRow="0" w:firstColumn="1" w:lastColumn="0" w:noHBand="0" w:noVBand="1"/>
      </w:tblPr>
      <w:tblGrid>
        <w:gridCol w:w="1262"/>
        <w:gridCol w:w="976"/>
        <w:gridCol w:w="1450"/>
        <w:gridCol w:w="745"/>
        <w:gridCol w:w="674"/>
        <w:gridCol w:w="1914"/>
        <w:gridCol w:w="1559"/>
      </w:tblGrid>
      <w:tr w:rsidR="006D7FAF" w:rsidRPr="00701F32" w14:paraId="5BE0EF30" w14:textId="77777777" w:rsidTr="00701F32">
        <w:trPr>
          <w:trHeight w:val="740"/>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1307C"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Fideicomiso</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3ABDFD62"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Fecha Firma Contrato</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2ECB3D59"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Vencimiento</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45FD4457"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Monto de Capital Original</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2033A29C"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Saldo de Capital</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14:paraId="77F20ED0"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Beneficiarios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2F4118" w14:textId="77777777" w:rsidR="006D7FAF" w:rsidRPr="00701F32" w:rsidRDefault="006D7FAF" w:rsidP="00464C0F">
            <w:pPr>
              <w:jc w:val="center"/>
              <w:rPr>
                <w:rFonts w:ascii="Arial" w:hAnsi="Arial" w:cs="Arial"/>
                <w:b/>
                <w:sz w:val="16"/>
                <w:szCs w:val="16"/>
              </w:rPr>
            </w:pPr>
            <w:r w:rsidRPr="00701F32">
              <w:rPr>
                <w:rFonts w:ascii="Arial" w:hAnsi="Arial" w:cs="Arial"/>
                <w:b/>
                <w:sz w:val="16"/>
                <w:szCs w:val="16"/>
              </w:rPr>
              <w:t>Fiduciante</w:t>
            </w:r>
          </w:p>
        </w:tc>
      </w:tr>
      <w:tr w:rsidR="006D7FAF" w:rsidRPr="00701F32" w14:paraId="5D5C9F7E" w14:textId="77777777" w:rsidTr="00701F32">
        <w:trPr>
          <w:trHeight w:val="313"/>
        </w:trPr>
        <w:tc>
          <w:tcPr>
            <w:tcW w:w="1262" w:type="dxa"/>
            <w:vMerge w:val="restart"/>
            <w:tcBorders>
              <w:top w:val="single" w:sz="4" w:space="0" w:color="auto"/>
              <w:left w:val="single" w:sz="4" w:space="0" w:color="auto"/>
              <w:right w:val="single" w:sz="4" w:space="0" w:color="auto"/>
            </w:tcBorders>
            <w:shd w:val="clear" w:color="auto" w:fill="auto"/>
            <w:vAlign w:val="center"/>
            <w:hideMark/>
          </w:tcPr>
          <w:p w14:paraId="5F44EA7D" w14:textId="77777777" w:rsidR="006D7FAF" w:rsidRPr="00701F32" w:rsidRDefault="006D7FAF" w:rsidP="00464C0F">
            <w:pPr>
              <w:jc w:val="both"/>
              <w:rPr>
                <w:rFonts w:ascii="Arial" w:hAnsi="Arial" w:cs="Arial"/>
                <w:sz w:val="16"/>
                <w:szCs w:val="16"/>
              </w:rPr>
            </w:pPr>
            <w:r w:rsidRPr="00701F32">
              <w:rPr>
                <w:rFonts w:ascii="Arial" w:hAnsi="Arial" w:cs="Arial"/>
                <w:sz w:val="16"/>
                <w:szCs w:val="16"/>
              </w:rPr>
              <w:t>Credimas</w:t>
            </w:r>
          </w:p>
        </w:tc>
        <w:tc>
          <w:tcPr>
            <w:tcW w:w="976" w:type="dxa"/>
            <w:vMerge w:val="restart"/>
            <w:tcBorders>
              <w:top w:val="single" w:sz="4" w:space="0" w:color="auto"/>
              <w:left w:val="single" w:sz="4" w:space="0" w:color="auto"/>
              <w:right w:val="single" w:sz="4" w:space="0" w:color="auto"/>
            </w:tcBorders>
            <w:shd w:val="clear" w:color="auto" w:fill="auto"/>
            <w:vAlign w:val="center"/>
            <w:hideMark/>
          </w:tcPr>
          <w:p w14:paraId="71E4A662" w14:textId="77777777" w:rsidR="006D7FAF" w:rsidRPr="00701F32" w:rsidRDefault="006D7FAF" w:rsidP="00464C0F">
            <w:pPr>
              <w:jc w:val="both"/>
              <w:rPr>
                <w:rFonts w:ascii="Arial" w:hAnsi="Arial" w:cs="Arial"/>
                <w:sz w:val="16"/>
                <w:szCs w:val="16"/>
              </w:rPr>
            </w:pPr>
            <w:r w:rsidRPr="00701F32">
              <w:rPr>
                <w:rFonts w:ascii="Arial" w:hAnsi="Arial" w:cs="Arial"/>
                <w:sz w:val="16"/>
                <w:szCs w:val="16"/>
              </w:rPr>
              <w:t>11/01/2013</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22491C0A" w14:textId="77777777" w:rsidR="006D7FAF" w:rsidRPr="00701F32" w:rsidRDefault="006D7FAF" w:rsidP="00C23045">
            <w:pPr>
              <w:jc w:val="center"/>
              <w:rPr>
                <w:rFonts w:ascii="Arial" w:hAnsi="Arial" w:cs="Arial"/>
                <w:sz w:val="16"/>
                <w:szCs w:val="16"/>
                <w:lang w:val="es-ES_tradnl"/>
              </w:rPr>
            </w:pPr>
            <w:r w:rsidRPr="00701F32">
              <w:rPr>
                <w:rFonts w:ascii="Arial" w:hAnsi="Arial" w:cs="Arial"/>
                <w:sz w:val="16"/>
                <w:szCs w:val="16"/>
              </w:rPr>
              <w:t>26/12/2018</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69C578E2" w14:textId="77777777" w:rsidR="006D7FAF" w:rsidRPr="00701F32" w:rsidRDefault="006D7FAF" w:rsidP="00C23045">
            <w:pPr>
              <w:jc w:val="center"/>
              <w:rPr>
                <w:rFonts w:ascii="Arial" w:hAnsi="Arial" w:cs="Arial"/>
                <w:sz w:val="16"/>
                <w:szCs w:val="16"/>
                <w:lang w:val="es-ES_tradnl"/>
              </w:rPr>
            </w:pPr>
            <w:r w:rsidRPr="00701F32">
              <w:rPr>
                <w:rFonts w:ascii="Arial" w:hAnsi="Arial" w:cs="Arial"/>
                <w:sz w:val="16"/>
                <w:szCs w:val="16"/>
              </w:rPr>
              <w:t>16.000</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7BB5A5B" w14:textId="1A6964EE" w:rsidR="006D7FAF" w:rsidRPr="00701F32" w:rsidRDefault="006D7FAF" w:rsidP="008A02CB">
            <w:pPr>
              <w:jc w:val="center"/>
              <w:rPr>
                <w:rFonts w:ascii="Arial" w:hAnsi="Arial" w:cs="Arial"/>
                <w:sz w:val="16"/>
                <w:szCs w:val="16"/>
                <w:lang w:val="es-ES_tradnl"/>
              </w:rPr>
            </w:pPr>
            <w:r w:rsidRPr="00701F32">
              <w:rPr>
                <w:rFonts w:ascii="Arial" w:hAnsi="Arial" w:cs="Arial"/>
                <w:sz w:val="16"/>
                <w:szCs w:val="16"/>
              </w:rPr>
              <w:t>4.616</w:t>
            </w:r>
          </w:p>
        </w:tc>
        <w:tc>
          <w:tcPr>
            <w:tcW w:w="1914" w:type="dxa"/>
            <w:vMerge w:val="restart"/>
            <w:tcBorders>
              <w:top w:val="single" w:sz="4" w:space="0" w:color="auto"/>
              <w:left w:val="single" w:sz="4" w:space="0" w:color="auto"/>
              <w:right w:val="single" w:sz="4" w:space="0" w:color="auto"/>
            </w:tcBorders>
            <w:shd w:val="clear" w:color="auto" w:fill="auto"/>
            <w:vAlign w:val="center"/>
            <w:hideMark/>
          </w:tcPr>
          <w:p w14:paraId="4986303F" w14:textId="77777777" w:rsidR="006D7FAF" w:rsidRPr="00701F32" w:rsidRDefault="006D7FAF" w:rsidP="00464C0F">
            <w:pPr>
              <w:jc w:val="both"/>
              <w:rPr>
                <w:rFonts w:ascii="Arial" w:hAnsi="Arial" w:cs="Arial"/>
                <w:sz w:val="16"/>
                <w:szCs w:val="16"/>
              </w:rPr>
            </w:pPr>
            <w:r w:rsidRPr="00701F32">
              <w:rPr>
                <w:rFonts w:ascii="Arial" w:hAnsi="Arial" w:cs="Arial"/>
                <w:sz w:val="16"/>
                <w:szCs w:val="16"/>
              </w:rPr>
              <w:t>Banco Supervielle S.A.</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3BF5BCE6" w14:textId="77777777" w:rsidR="006D7FAF" w:rsidRPr="00701F32" w:rsidRDefault="006D7FAF" w:rsidP="00464C0F">
            <w:pPr>
              <w:jc w:val="both"/>
              <w:rPr>
                <w:rFonts w:ascii="Arial" w:hAnsi="Arial" w:cs="Arial"/>
                <w:sz w:val="16"/>
                <w:szCs w:val="16"/>
              </w:rPr>
            </w:pPr>
            <w:r w:rsidRPr="00701F32">
              <w:rPr>
                <w:rFonts w:ascii="Arial" w:hAnsi="Arial" w:cs="Arial"/>
                <w:sz w:val="16"/>
                <w:szCs w:val="16"/>
              </w:rPr>
              <w:t>Credimas S.A.</w:t>
            </w:r>
          </w:p>
        </w:tc>
      </w:tr>
      <w:tr w:rsidR="006D7FAF" w:rsidRPr="00701F32" w14:paraId="4DA05632" w14:textId="77777777" w:rsidTr="00701F32">
        <w:trPr>
          <w:trHeight w:val="254"/>
        </w:trPr>
        <w:tc>
          <w:tcPr>
            <w:tcW w:w="1262" w:type="dxa"/>
            <w:vMerge/>
            <w:tcBorders>
              <w:left w:val="single" w:sz="4" w:space="0" w:color="auto"/>
              <w:bottom w:val="single" w:sz="4" w:space="0" w:color="auto"/>
              <w:right w:val="single" w:sz="4" w:space="0" w:color="auto"/>
            </w:tcBorders>
            <w:shd w:val="clear" w:color="auto" w:fill="auto"/>
            <w:vAlign w:val="center"/>
          </w:tcPr>
          <w:p w14:paraId="6A282B2F" w14:textId="77777777" w:rsidR="006D7FAF" w:rsidRPr="00701F32" w:rsidRDefault="006D7FAF" w:rsidP="00464C0F">
            <w:pPr>
              <w:jc w:val="both"/>
              <w:rPr>
                <w:rFonts w:ascii="Arial" w:hAnsi="Arial" w:cs="Arial"/>
                <w:sz w:val="16"/>
                <w:szCs w:val="16"/>
              </w:rPr>
            </w:pPr>
          </w:p>
        </w:tc>
        <w:tc>
          <w:tcPr>
            <w:tcW w:w="976" w:type="dxa"/>
            <w:vMerge/>
            <w:tcBorders>
              <w:left w:val="single" w:sz="4" w:space="0" w:color="auto"/>
              <w:bottom w:val="single" w:sz="4" w:space="0" w:color="auto"/>
              <w:right w:val="single" w:sz="4" w:space="0" w:color="auto"/>
            </w:tcBorders>
            <w:shd w:val="clear" w:color="auto" w:fill="auto"/>
            <w:vAlign w:val="center"/>
          </w:tcPr>
          <w:p w14:paraId="220D9E5D" w14:textId="77777777" w:rsidR="006D7FAF" w:rsidRPr="00701F32" w:rsidRDefault="006D7FAF" w:rsidP="00464C0F">
            <w:pPr>
              <w:jc w:val="both"/>
              <w:rPr>
                <w:rFonts w:ascii="Arial" w:hAnsi="Arial" w:cs="Arial"/>
                <w:sz w:val="16"/>
                <w:szCs w:val="16"/>
              </w:rPr>
            </w:pPr>
          </w:p>
        </w:tc>
        <w:tc>
          <w:tcPr>
            <w:tcW w:w="1450" w:type="dxa"/>
            <w:tcBorders>
              <w:top w:val="single" w:sz="4" w:space="0" w:color="auto"/>
              <w:left w:val="nil"/>
              <w:bottom w:val="single" w:sz="4" w:space="0" w:color="auto"/>
              <w:right w:val="single" w:sz="4" w:space="0" w:color="auto"/>
            </w:tcBorders>
            <w:shd w:val="clear" w:color="auto" w:fill="auto"/>
            <w:vAlign w:val="center"/>
          </w:tcPr>
          <w:p w14:paraId="1982E502" w14:textId="3E09B7E7" w:rsidR="006D7FAF" w:rsidRPr="00701F32" w:rsidRDefault="006D7FAF" w:rsidP="00C23045">
            <w:pPr>
              <w:jc w:val="center"/>
              <w:rPr>
                <w:rFonts w:ascii="Arial" w:hAnsi="Arial" w:cs="Arial"/>
                <w:sz w:val="16"/>
                <w:szCs w:val="16"/>
              </w:rPr>
            </w:pPr>
            <w:r w:rsidRPr="00701F32">
              <w:rPr>
                <w:rFonts w:ascii="Arial" w:hAnsi="Arial" w:cs="Arial"/>
                <w:sz w:val="16"/>
                <w:szCs w:val="16"/>
              </w:rPr>
              <w:t>24/01/2019</w:t>
            </w:r>
          </w:p>
        </w:tc>
        <w:tc>
          <w:tcPr>
            <w:tcW w:w="745" w:type="dxa"/>
            <w:tcBorders>
              <w:top w:val="single" w:sz="4" w:space="0" w:color="auto"/>
              <w:left w:val="nil"/>
              <w:bottom w:val="single" w:sz="4" w:space="0" w:color="auto"/>
              <w:right w:val="single" w:sz="4" w:space="0" w:color="auto"/>
            </w:tcBorders>
            <w:shd w:val="clear" w:color="auto" w:fill="auto"/>
            <w:vAlign w:val="center"/>
          </w:tcPr>
          <w:p w14:paraId="4D9836E5" w14:textId="15E0E952" w:rsidR="006D7FAF" w:rsidRPr="00701F32" w:rsidRDefault="006D7FAF" w:rsidP="00C23045">
            <w:pPr>
              <w:jc w:val="center"/>
              <w:rPr>
                <w:rFonts w:ascii="Arial" w:hAnsi="Arial" w:cs="Arial"/>
                <w:sz w:val="16"/>
                <w:szCs w:val="16"/>
              </w:rPr>
            </w:pPr>
            <w:r w:rsidRPr="00701F32">
              <w:rPr>
                <w:rFonts w:ascii="Arial" w:hAnsi="Arial" w:cs="Arial"/>
                <w:sz w:val="16"/>
                <w:szCs w:val="16"/>
              </w:rPr>
              <w:t>7.000</w:t>
            </w:r>
          </w:p>
        </w:tc>
        <w:tc>
          <w:tcPr>
            <w:tcW w:w="674" w:type="dxa"/>
            <w:tcBorders>
              <w:top w:val="single" w:sz="4" w:space="0" w:color="auto"/>
              <w:left w:val="nil"/>
              <w:bottom w:val="single" w:sz="4" w:space="0" w:color="auto"/>
              <w:right w:val="single" w:sz="4" w:space="0" w:color="auto"/>
            </w:tcBorders>
            <w:shd w:val="clear" w:color="auto" w:fill="auto"/>
            <w:vAlign w:val="center"/>
          </w:tcPr>
          <w:p w14:paraId="637EDFBB" w14:textId="70639E71" w:rsidR="006D7FAF" w:rsidRPr="00701F32" w:rsidRDefault="006D7FAF" w:rsidP="00C23045">
            <w:pPr>
              <w:jc w:val="center"/>
              <w:rPr>
                <w:rFonts w:ascii="Arial" w:hAnsi="Arial" w:cs="Arial"/>
                <w:sz w:val="16"/>
                <w:szCs w:val="16"/>
              </w:rPr>
            </w:pPr>
            <w:r w:rsidRPr="00701F32">
              <w:rPr>
                <w:rFonts w:ascii="Arial" w:hAnsi="Arial" w:cs="Arial"/>
                <w:sz w:val="16"/>
                <w:szCs w:val="16"/>
              </w:rPr>
              <w:t>4.867</w:t>
            </w:r>
          </w:p>
        </w:tc>
        <w:tc>
          <w:tcPr>
            <w:tcW w:w="1914" w:type="dxa"/>
            <w:vMerge/>
            <w:tcBorders>
              <w:left w:val="single" w:sz="4" w:space="0" w:color="auto"/>
              <w:bottom w:val="single" w:sz="4" w:space="0" w:color="auto"/>
              <w:right w:val="single" w:sz="4" w:space="0" w:color="auto"/>
            </w:tcBorders>
            <w:shd w:val="clear" w:color="auto" w:fill="auto"/>
            <w:vAlign w:val="center"/>
          </w:tcPr>
          <w:p w14:paraId="155A0265" w14:textId="77777777" w:rsidR="006D7FAF" w:rsidRPr="00701F32" w:rsidRDefault="006D7FAF" w:rsidP="00464C0F">
            <w:pPr>
              <w:jc w:val="both"/>
              <w:rPr>
                <w:rFonts w:ascii="Arial" w:hAnsi="Arial" w:cs="Arial"/>
                <w:sz w:val="16"/>
                <w:szCs w:val="16"/>
              </w:rPr>
            </w:pPr>
          </w:p>
        </w:tc>
        <w:tc>
          <w:tcPr>
            <w:tcW w:w="1559" w:type="dxa"/>
            <w:vMerge/>
            <w:tcBorders>
              <w:left w:val="single" w:sz="4" w:space="0" w:color="auto"/>
              <w:bottom w:val="single" w:sz="4" w:space="0" w:color="auto"/>
              <w:right w:val="single" w:sz="4" w:space="0" w:color="auto"/>
            </w:tcBorders>
            <w:shd w:val="clear" w:color="auto" w:fill="auto"/>
            <w:vAlign w:val="center"/>
          </w:tcPr>
          <w:p w14:paraId="391AA107" w14:textId="77777777" w:rsidR="006D7FAF" w:rsidRPr="00701F32" w:rsidRDefault="006D7FAF" w:rsidP="00464C0F">
            <w:pPr>
              <w:jc w:val="both"/>
              <w:rPr>
                <w:rFonts w:ascii="Arial" w:hAnsi="Arial" w:cs="Arial"/>
                <w:sz w:val="16"/>
                <w:szCs w:val="16"/>
              </w:rPr>
            </w:pPr>
          </w:p>
        </w:tc>
      </w:tr>
      <w:tr w:rsidR="006D7FAF" w:rsidRPr="00701F32" w14:paraId="2648FBBA" w14:textId="77777777" w:rsidTr="00701F32">
        <w:trPr>
          <w:trHeight w:val="580"/>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5AED245" w14:textId="4B45669D" w:rsidR="006D7FAF" w:rsidRPr="00701F32" w:rsidRDefault="006D7FAF" w:rsidP="00464C0F">
            <w:pPr>
              <w:jc w:val="both"/>
              <w:rPr>
                <w:rFonts w:ascii="Arial" w:hAnsi="Arial" w:cs="Arial"/>
                <w:sz w:val="16"/>
                <w:szCs w:val="16"/>
              </w:rPr>
            </w:pPr>
            <w:r w:rsidRPr="00701F32">
              <w:rPr>
                <w:rFonts w:ascii="Arial" w:hAnsi="Arial" w:cs="Arial"/>
                <w:sz w:val="16"/>
                <w:szCs w:val="16"/>
                <w:lang w:eastAsia="es-AR"/>
              </w:rPr>
              <w:t>Fideicomiso de Administración Interconexión 500 KV ET Nueva San Juan - ET Rodeo Iglesia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14:paraId="1EC54901" w14:textId="407E7D6A" w:rsidR="006D7FAF" w:rsidRPr="00701F32" w:rsidRDefault="006D7FAF" w:rsidP="00464C0F">
            <w:pPr>
              <w:jc w:val="both"/>
              <w:rPr>
                <w:rFonts w:ascii="Arial" w:hAnsi="Arial" w:cs="Arial"/>
                <w:sz w:val="16"/>
                <w:szCs w:val="16"/>
              </w:rPr>
            </w:pPr>
            <w:r w:rsidRPr="00701F32">
              <w:rPr>
                <w:rFonts w:ascii="Arial" w:hAnsi="Arial" w:cs="Arial"/>
                <w:sz w:val="16"/>
                <w:szCs w:val="16"/>
                <w:lang w:eastAsia="es-AR"/>
              </w:rPr>
              <w:t>12/09/2018</w:t>
            </w:r>
          </w:p>
        </w:tc>
        <w:tc>
          <w:tcPr>
            <w:tcW w:w="1450" w:type="dxa"/>
            <w:tcBorders>
              <w:top w:val="single" w:sz="4" w:space="0" w:color="auto"/>
              <w:left w:val="nil"/>
              <w:bottom w:val="single" w:sz="4" w:space="0" w:color="auto"/>
              <w:right w:val="single" w:sz="4" w:space="0" w:color="auto"/>
            </w:tcBorders>
            <w:shd w:val="clear" w:color="auto" w:fill="auto"/>
            <w:vAlign w:val="center"/>
          </w:tcPr>
          <w:p w14:paraId="2287D9DA" w14:textId="4E65FAA7" w:rsidR="006D7FAF" w:rsidRPr="00701F32" w:rsidRDefault="006D7FAF">
            <w:pPr>
              <w:jc w:val="center"/>
              <w:rPr>
                <w:rFonts w:ascii="Arial" w:hAnsi="Arial" w:cs="Arial"/>
                <w:sz w:val="16"/>
                <w:szCs w:val="16"/>
                <w:lang w:val="es-ES_tradnl"/>
              </w:rPr>
            </w:pPr>
            <w:r w:rsidRPr="00701F32">
              <w:rPr>
                <w:rFonts w:ascii="Arial" w:hAnsi="Arial" w:cs="Arial"/>
                <w:sz w:val="16"/>
                <w:szCs w:val="16"/>
                <w:lang w:eastAsia="es-AR"/>
              </w:rPr>
              <w:t xml:space="preserve">12/09/2020, o hasta la extinción de las obligaciones de pago mediante Desembolsos (la “Fecha de Extinción”). </w:t>
            </w:r>
          </w:p>
        </w:tc>
        <w:tc>
          <w:tcPr>
            <w:tcW w:w="745" w:type="dxa"/>
            <w:tcBorders>
              <w:top w:val="single" w:sz="4" w:space="0" w:color="auto"/>
              <w:left w:val="nil"/>
              <w:bottom w:val="single" w:sz="4" w:space="0" w:color="auto"/>
              <w:right w:val="single" w:sz="4" w:space="0" w:color="auto"/>
            </w:tcBorders>
            <w:shd w:val="clear" w:color="auto" w:fill="auto"/>
            <w:vAlign w:val="center"/>
          </w:tcPr>
          <w:p w14:paraId="50BD3B17" w14:textId="1343C336" w:rsidR="006D7FAF" w:rsidRPr="00701F32" w:rsidRDefault="006D7FAF" w:rsidP="00C23045">
            <w:pPr>
              <w:jc w:val="center"/>
              <w:rPr>
                <w:rFonts w:ascii="Arial" w:hAnsi="Arial" w:cs="Arial"/>
                <w:sz w:val="16"/>
                <w:szCs w:val="16"/>
              </w:rPr>
            </w:pPr>
            <w:r w:rsidRPr="00701F32">
              <w:rPr>
                <w:rFonts w:ascii="Arial" w:hAnsi="Arial" w:cs="Arial"/>
                <w:sz w:val="16"/>
                <w:szCs w:val="16"/>
                <w:lang w:eastAsia="es-AR"/>
              </w:rPr>
              <w:t> -</w:t>
            </w:r>
          </w:p>
        </w:tc>
        <w:tc>
          <w:tcPr>
            <w:tcW w:w="674" w:type="dxa"/>
            <w:tcBorders>
              <w:top w:val="single" w:sz="4" w:space="0" w:color="auto"/>
              <w:left w:val="nil"/>
              <w:bottom w:val="single" w:sz="4" w:space="0" w:color="auto"/>
              <w:right w:val="single" w:sz="4" w:space="0" w:color="auto"/>
            </w:tcBorders>
            <w:shd w:val="clear" w:color="auto" w:fill="auto"/>
            <w:vAlign w:val="center"/>
          </w:tcPr>
          <w:p w14:paraId="0690B25B" w14:textId="29A4B6ED" w:rsidR="006D7FAF" w:rsidRPr="00701F32" w:rsidRDefault="006D7FAF" w:rsidP="00C23045">
            <w:pPr>
              <w:jc w:val="center"/>
              <w:rPr>
                <w:rFonts w:ascii="Arial" w:hAnsi="Arial" w:cs="Arial"/>
                <w:sz w:val="16"/>
                <w:szCs w:val="16"/>
              </w:rPr>
            </w:pPr>
            <w:r w:rsidRPr="00701F32">
              <w:rPr>
                <w:rFonts w:ascii="Arial" w:hAnsi="Arial" w:cs="Arial"/>
                <w:sz w:val="16"/>
                <w:szCs w:val="16"/>
                <w:lang w:eastAsia="es-AR"/>
              </w:rPr>
              <w:t>- </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78170E18" w14:textId="773E5A72" w:rsidR="006D7FAF" w:rsidRPr="00701F32" w:rsidRDefault="006D7FAF">
            <w:pPr>
              <w:jc w:val="both"/>
              <w:rPr>
                <w:rFonts w:ascii="Arial" w:hAnsi="Arial" w:cs="Arial"/>
                <w:sz w:val="16"/>
                <w:szCs w:val="16"/>
                <w:lang w:val="es-ES_tradnl"/>
              </w:rPr>
            </w:pPr>
            <w:r w:rsidRPr="00701F32">
              <w:rPr>
                <w:rFonts w:ascii="Arial" w:hAnsi="Arial" w:cs="Arial"/>
                <w:sz w:val="16"/>
                <w:szCs w:val="16"/>
                <w:lang w:eastAsia="es-AR"/>
              </w:rPr>
              <w:t>DISERVEL S.R.L., INGENIAS S.R.L, GEOTECNIA (INV. CALVENTE), NEWEN INGENIERIA S.A., INGICIAP S.A., MERCADOS ENERGETICOS, DISERVEL S.R.L.) y los proveedores de obras, bienes y servicios comprendidos en el Proyecto.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84A209" w14:textId="53442EA3" w:rsidR="006D7FAF" w:rsidRPr="00701F32" w:rsidRDefault="006D7FAF" w:rsidP="00464C0F">
            <w:pPr>
              <w:jc w:val="both"/>
              <w:rPr>
                <w:rFonts w:ascii="Arial" w:hAnsi="Arial" w:cs="Arial"/>
                <w:sz w:val="16"/>
                <w:szCs w:val="16"/>
              </w:rPr>
            </w:pPr>
            <w:r w:rsidRPr="00701F32">
              <w:rPr>
                <w:rFonts w:ascii="Arial" w:hAnsi="Arial" w:cs="Arial"/>
                <w:sz w:val="16"/>
                <w:szCs w:val="16"/>
                <w:lang w:eastAsia="es-AR"/>
              </w:rPr>
              <w:t>Interconexion Electrica Rodeo S.A.</w:t>
            </w:r>
          </w:p>
        </w:tc>
      </w:tr>
    </w:tbl>
    <w:p w14:paraId="455F79BE" w14:textId="77777777" w:rsidR="00656E62" w:rsidRPr="00701F32" w:rsidRDefault="00656E62" w:rsidP="00656E62">
      <w:pPr>
        <w:tabs>
          <w:tab w:val="left" w:pos="142"/>
        </w:tabs>
        <w:jc w:val="both"/>
        <w:rPr>
          <w:rFonts w:ascii="Arial" w:hAnsi="Arial" w:cs="Arial"/>
          <w:sz w:val="20"/>
        </w:rPr>
      </w:pPr>
    </w:p>
    <w:p w14:paraId="568AFC40" w14:textId="77777777" w:rsidR="00656E62" w:rsidRPr="00701F32" w:rsidRDefault="00656E62" w:rsidP="00656E62">
      <w:pPr>
        <w:jc w:val="both"/>
        <w:rPr>
          <w:rFonts w:ascii="Arial" w:hAnsi="Arial" w:cs="Arial"/>
          <w:sz w:val="20"/>
        </w:rPr>
      </w:pPr>
      <w:r w:rsidRPr="00701F32">
        <w:rPr>
          <w:rFonts w:ascii="Arial" w:hAnsi="Arial" w:cs="Arial"/>
          <w:sz w:val="20"/>
        </w:rPr>
        <w:t>Con motivo de la fusión con el ex Banco Regional de Cuyo S.A. efectuada el 1° de noviembre de 2010, la Entidad tomó a su cargo los siguientes fideicomisos en los cuales el ex Banco Regional de Cuyo S.A. actuaba como fiduciario:</w:t>
      </w:r>
    </w:p>
    <w:p w14:paraId="38C242F9" w14:textId="77777777" w:rsidR="008A02CB" w:rsidRPr="00701F32" w:rsidRDefault="008A02CB" w:rsidP="00656E62">
      <w:pPr>
        <w:jc w:val="both"/>
        <w:rPr>
          <w:rFonts w:ascii="Arial" w:hAnsi="Arial" w:cs="Arial"/>
          <w:sz w:val="20"/>
        </w:rPr>
      </w:pPr>
    </w:p>
    <w:p w14:paraId="2CFBFF7D" w14:textId="2E20AEE4" w:rsidR="00656E62" w:rsidRPr="00701F32" w:rsidRDefault="00656E62" w:rsidP="00656E62">
      <w:pPr>
        <w:jc w:val="both"/>
        <w:rPr>
          <w:rFonts w:ascii="Arial" w:hAnsi="Arial" w:cs="Arial"/>
          <w:sz w:val="20"/>
        </w:rPr>
      </w:pPr>
      <w:r w:rsidRPr="00701F32">
        <w:rPr>
          <w:rFonts w:ascii="Arial" w:hAnsi="Arial" w:cs="Arial"/>
          <w:sz w:val="20"/>
          <w:u w:val="single"/>
        </w:rPr>
        <w:t>Fideicomiso Mendoza</w:t>
      </w:r>
      <w:r w:rsidRPr="00701F32">
        <w:rPr>
          <w:rFonts w:ascii="Arial" w:hAnsi="Arial" w:cs="Arial"/>
          <w:sz w:val="20"/>
        </w:rPr>
        <w:t>: Se encuentra en etapa de liquidación, toda vez que se ha cumplido el plazo contractual, aunque queda pendiente la realización de varios actos que derivan de la actividad fiduciaria. Los pasivos contabilizados al 3</w:t>
      </w:r>
      <w:r w:rsidR="00331783" w:rsidRPr="00701F32">
        <w:rPr>
          <w:rFonts w:ascii="Arial" w:hAnsi="Arial" w:cs="Arial"/>
          <w:sz w:val="20"/>
        </w:rPr>
        <w:t>0</w:t>
      </w:r>
      <w:r w:rsidRPr="00701F32">
        <w:rPr>
          <w:rFonts w:ascii="Arial" w:hAnsi="Arial" w:cs="Arial"/>
          <w:sz w:val="20"/>
        </w:rPr>
        <w:t xml:space="preserve"> de </w:t>
      </w:r>
      <w:r w:rsidR="00307D49" w:rsidRPr="00701F32">
        <w:rPr>
          <w:rFonts w:ascii="Arial" w:hAnsi="Arial" w:cs="Arial"/>
          <w:sz w:val="20"/>
        </w:rPr>
        <w:t>septiembre</w:t>
      </w:r>
      <w:r w:rsidR="006D7FAF" w:rsidRPr="00701F32">
        <w:rPr>
          <w:rFonts w:ascii="Arial" w:hAnsi="Arial" w:cs="Arial"/>
          <w:sz w:val="20"/>
        </w:rPr>
        <w:t xml:space="preserve"> de</w:t>
      </w:r>
      <w:r w:rsidRPr="00701F32">
        <w:rPr>
          <w:rFonts w:ascii="Arial" w:hAnsi="Arial" w:cs="Arial"/>
          <w:sz w:val="20"/>
        </w:rPr>
        <w:t xml:space="preserve"> 2018, fundamentalmente originados en la exclusión de activos, ascienden a la suma de $ </w:t>
      </w:r>
      <w:r w:rsidR="00331783" w:rsidRPr="00701F32">
        <w:rPr>
          <w:rFonts w:ascii="Arial" w:hAnsi="Arial" w:cs="Arial"/>
          <w:sz w:val="20"/>
        </w:rPr>
        <w:t>18.462</w:t>
      </w:r>
      <w:r w:rsidR="007D1882" w:rsidRPr="00701F32">
        <w:rPr>
          <w:rFonts w:ascii="Arial" w:hAnsi="Arial" w:cs="Arial"/>
          <w:sz w:val="20"/>
        </w:rPr>
        <w:t xml:space="preserve"> </w:t>
      </w:r>
      <w:r w:rsidRPr="00701F32">
        <w:rPr>
          <w:rFonts w:ascii="Arial" w:hAnsi="Arial" w:cs="Arial"/>
          <w:sz w:val="20"/>
        </w:rPr>
        <w:t>miles y han sido respaldados con activos fideicomitidos (préstamos, otros créditos diversos, otros activos no financieros, etc.) por la suma de $ 5</w:t>
      </w:r>
      <w:r w:rsidR="00331783" w:rsidRPr="00701F32">
        <w:rPr>
          <w:rFonts w:ascii="Arial" w:hAnsi="Arial" w:cs="Arial"/>
          <w:sz w:val="20"/>
        </w:rPr>
        <w:t>07</w:t>
      </w:r>
      <w:r w:rsidRPr="00701F32">
        <w:rPr>
          <w:rFonts w:ascii="Arial" w:hAnsi="Arial" w:cs="Arial"/>
          <w:sz w:val="20"/>
        </w:rPr>
        <w:t xml:space="preserve"> miles, oportunamente se procederá a la liquidación del fideicomiso conforme a lo establecido la ley 24.441</w:t>
      </w:r>
    </w:p>
    <w:p w14:paraId="5A8528E3" w14:textId="77777777" w:rsidR="00656E62" w:rsidRPr="00701F32" w:rsidRDefault="00656E62" w:rsidP="00656E62">
      <w:pPr>
        <w:jc w:val="both"/>
        <w:rPr>
          <w:rFonts w:ascii="Arial" w:hAnsi="Arial" w:cs="Arial"/>
          <w:sz w:val="20"/>
        </w:rPr>
      </w:pPr>
      <w:r w:rsidRPr="00701F32">
        <w:rPr>
          <w:rFonts w:ascii="Arial" w:hAnsi="Arial" w:cs="Arial"/>
          <w:sz w:val="20"/>
        </w:rPr>
        <w:t xml:space="preserve">                    </w:t>
      </w:r>
    </w:p>
    <w:p w14:paraId="417E7B6F" w14:textId="77777777" w:rsidR="00656E62" w:rsidRPr="00701F32" w:rsidRDefault="00656E62" w:rsidP="00656E62">
      <w:pPr>
        <w:jc w:val="both"/>
        <w:rPr>
          <w:rFonts w:ascii="Arial" w:hAnsi="Arial" w:cs="Arial"/>
          <w:sz w:val="20"/>
        </w:rPr>
      </w:pPr>
      <w:r w:rsidRPr="00701F32">
        <w:rPr>
          <w:rFonts w:ascii="Arial" w:hAnsi="Arial" w:cs="Arial"/>
          <w:sz w:val="20"/>
          <w:u w:val="single"/>
        </w:rPr>
        <w:t>Fideicomiso Luján</w:t>
      </w:r>
      <w:r w:rsidRPr="00701F32">
        <w:rPr>
          <w:rFonts w:ascii="Arial" w:hAnsi="Arial" w:cs="Arial"/>
          <w:sz w:val="20"/>
        </w:rPr>
        <w:t>: Se ha cumplido el plazo del contrato por lo que la Entidad ha procedido a la entrega de toda la documentación referente a la liquidación y se ha solicitado la baja definitiva en la Dirección General de Rentas en el impuesto sobre los ingresos brutos y como agente de retención de sellos e ingresos brutos, la cual fue resuelta favorablemente por la DGR. Igualmente se ha solicitado la baja definitiva ante AFIP. A la fecha, no se ha recibido la constancia de baja definitiva en el mencionado Ente.</w:t>
      </w:r>
    </w:p>
    <w:p w14:paraId="6EF434BC" w14:textId="77777777" w:rsidR="006D7FAF" w:rsidRPr="00701F32" w:rsidRDefault="006D7FAF" w:rsidP="00656E62">
      <w:pPr>
        <w:jc w:val="both"/>
        <w:rPr>
          <w:rFonts w:ascii="Arial" w:hAnsi="Arial" w:cs="Arial"/>
          <w:sz w:val="20"/>
        </w:rPr>
      </w:pPr>
    </w:p>
    <w:p w14:paraId="79EC844D" w14:textId="77777777" w:rsidR="00656E62" w:rsidRPr="00701F32" w:rsidRDefault="00656E62" w:rsidP="00E311C9">
      <w:pPr>
        <w:rPr>
          <w:rFonts w:ascii="Arial" w:hAnsi="Arial" w:cs="Arial"/>
          <w:b/>
          <w:sz w:val="20"/>
          <w:u w:val="single"/>
        </w:rPr>
      </w:pPr>
      <w:r w:rsidRPr="00701F32">
        <w:rPr>
          <w:rFonts w:ascii="Arial" w:hAnsi="Arial" w:cs="Arial"/>
          <w:b/>
          <w:sz w:val="20"/>
          <w:u w:val="single"/>
        </w:rPr>
        <w:t>Actuación como Fiduciante</w:t>
      </w:r>
    </w:p>
    <w:p w14:paraId="019C7470" w14:textId="77777777" w:rsidR="00656E62" w:rsidRPr="00701F32" w:rsidRDefault="00656E62" w:rsidP="00656E62">
      <w:pPr>
        <w:tabs>
          <w:tab w:val="left" w:pos="142"/>
        </w:tabs>
        <w:jc w:val="both"/>
        <w:rPr>
          <w:rFonts w:ascii="Arial" w:hAnsi="Arial" w:cs="Arial"/>
          <w:b/>
          <w:sz w:val="20"/>
        </w:rPr>
      </w:pPr>
    </w:p>
    <w:p w14:paraId="6A2BA6E8"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Se resume a continuación el detalle de los fideicomisos financieros:</w:t>
      </w:r>
    </w:p>
    <w:p w14:paraId="27AEF14B" w14:textId="77777777" w:rsidR="00656E62" w:rsidRPr="00701F32" w:rsidRDefault="00656E62" w:rsidP="00656E62">
      <w:pPr>
        <w:tabs>
          <w:tab w:val="left" w:pos="142"/>
        </w:tabs>
        <w:jc w:val="both"/>
        <w:rPr>
          <w:rFonts w:ascii="Arial" w:hAnsi="Arial" w:cs="Arial"/>
          <w:sz w:val="20"/>
        </w:rPr>
      </w:pPr>
    </w:p>
    <w:p w14:paraId="7D6B9578"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Fideicomisos financieros con oferta pública y cotización al 3</w:t>
      </w:r>
      <w:r w:rsidR="00331783" w:rsidRPr="00701F32">
        <w:rPr>
          <w:rFonts w:ascii="Arial" w:hAnsi="Arial" w:cs="Arial"/>
          <w:sz w:val="20"/>
        </w:rPr>
        <w:t>0</w:t>
      </w:r>
      <w:r w:rsidRPr="00701F32">
        <w:rPr>
          <w:rFonts w:ascii="Arial" w:hAnsi="Arial" w:cs="Arial"/>
          <w:sz w:val="20"/>
        </w:rPr>
        <w:t xml:space="preserve"> de </w:t>
      </w:r>
      <w:r w:rsidR="00A3374B" w:rsidRPr="00701F32">
        <w:rPr>
          <w:rFonts w:ascii="Arial" w:hAnsi="Arial" w:cs="Arial"/>
          <w:sz w:val="20"/>
        </w:rPr>
        <w:t>septiembre</w:t>
      </w:r>
      <w:r w:rsidRPr="00701F32">
        <w:rPr>
          <w:rFonts w:ascii="Arial" w:hAnsi="Arial" w:cs="Arial"/>
          <w:sz w:val="20"/>
        </w:rPr>
        <w:t xml:space="preserve"> de 2018. </w:t>
      </w:r>
    </w:p>
    <w:p w14:paraId="23522AE2" w14:textId="77777777" w:rsidR="00656E62" w:rsidRPr="00701F32" w:rsidRDefault="00656E62" w:rsidP="00656E62">
      <w:pPr>
        <w:tabs>
          <w:tab w:val="left" w:pos="142"/>
        </w:tabs>
        <w:jc w:val="both"/>
        <w:rPr>
          <w:rFonts w:ascii="Arial" w:hAnsi="Arial" w:cs="Arial"/>
          <w:sz w:val="20"/>
        </w:rPr>
      </w:pPr>
    </w:p>
    <w:p w14:paraId="2243F78C" w14:textId="77777777" w:rsidR="00656E62" w:rsidRPr="00701F32" w:rsidRDefault="00656E62" w:rsidP="00656E62">
      <w:pPr>
        <w:numPr>
          <w:ilvl w:val="0"/>
          <w:numId w:val="3"/>
        </w:numPr>
        <w:tabs>
          <w:tab w:val="left" w:pos="142"/>
        </w:tabs>
        <w:contextualSpacing/>
        <w:jc w:val="both"/>
        <w:rPr>
          <w:rFonts w:ascii="Arial" w:hAnsi="Arial" w:cs="Arial"/>
          <w:b/>
          <w:sz w:val="20"/>
          <w:lang w:eastAsia="es-AR"/>
        </w:rPr>
      </w:pPr>
      <w:r w:rsidRPr="00701F32">
        <w:rPr>
          <w:rFonts w:ascii="Arial" w:hAnsi="Arial" w:cs="Arial"/>
          <w:b/>
          <w:sz w:val="20"/>
          <w:lang w:eastAsia="es-AR"/>
        </w:rPr>
        <w:t>Fideicomiso Financiero Supervielle Créditos</w:t>
      </w:r>
    </w:p>
    <w:p w14:paraId="247C685D" w14:textId="77777777" w:rsidR="00656E62" w:rsidRPr="00701F32" w:rsidRDefault="00656E62" w:rsidP="00656E62">
      <w:pPr>
        <w:tabs>
          <w:tab w:val="left" w:pos="6990"/>
        </w:tabs>
        <w:jc w:val="both"/>
        <w:rPr>
          <w:rFonts w:ascii="Arial" w:hAnsi="Arial" w:cs="Arial"/>
          <w:b/>
          <w:sz w:val="20"/>
        </w:rPr>
      </w:pPr>
      <w:r w:rsidRPr="00701F32">
        <w:rPr>
          <w:rFonts w:ascii="Arial" w:hAnsi="Arial" w:cs="Arial"/>
          <w:b/>
          <w:sz w:val="20"/>
        </w:rPr>
        <w:tab/>
      </w:r>
    </w:p>
    <w:p w14:paraId="53BC7B98"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u w:val="single"/>
        </w:rPr>
        <w:t>Activos Fideicomitidos</w:t>
      </w:r>
      <w:r w:rsidRPr="00701F32">
        <w:rPr>
          <w:rFonts w:ascii="Arial" w:hAnsi="Arial" w:cs="Arial"/>
          <w:sz w:val="20"/>
        </w:rPr>
        <w:t xml:space="preserve">: Préstamos Personales </w:t>
      </w:r>
    </w:p>
    <w:p w14:paraId="00DE5ED3"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u w:val="single"/>
        </w:rPr>
        <w:t>Fiduciario:</w:t>
      </w:r>
      <w:r w:rsidRPr="00701F32">
        <w:rPr>
          <w:rFonts w:ascii="Arial" w:hAnsi="Arial" w:cs="Arial"/>
          <w:sz w:val="20"/>
        </w:rPr>
        <w:t xml:space="preserve"> TMF Trust Company (Argentina) S.A.</w:t>
      </w:r>
    </w:p>
    <w:p w14:paraId="07DCF81E" w14:textId="77777777" w:rsidR="00AA6F3C" w:rsidRPr="00701F32" w:rsidRDefault="00AA6F3C" w:rsidP="00656E62">
      <w:pPr>
        <w:jc w:val="both"/>
        <w:rPr>
          <w:rFonts w:ascii="Arial" w:hAnsi="Arial" w:cs="Arial"/>
          <w:sz w:val="20"/>
        </w:rPr>
      </w:pP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0F7B89" w:rsidRPr="00701F32" w14:paraId="009FDBA0" w14:textId="77777777" w:rsidTr="00701F32">
        <w:trPr>
          <w:trHeight w:val="420"/>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274761" w14:textId="77777777" w:rsidR="000F7B89" w:rsidRPr="00701F32" w:rsidRDefault="000F7B89" w:rsidP="0033178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Serie</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3646A0" w14:textId="77777777" w:rsidR="000F7B89" w:rsidRPr="00701F32" w:rsidRDefault="000F7B89" w:rsidP="0033178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Fecha de Emisión</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40275E" w14:textId="77777777" w:rsidR="000F7B89" w:rsidRPr="00701F32" w:rsidRDefault="000F7B89" w:rsidP="0033178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Valor fideicomitido inicial</w:t>
            </w:r>
          </w:p>
        </w:tc>
        <w:tc>
          <w:tcPr>
            <w:tcW w:w="2400" w:type="dxa"/>
            <w:gridSpan w:val="2"/>
            <w:tcBorders>
              <w:top w:val="single" w:sz="8" w:space="0" w:color="auto"/>
              <w:left w:val="nil"/>
              <w:bottom w:val="single" w:sz="8" w:space="0" w:color="auto"/>
              <w:right w:val="single" w:sz="8" w:space="0" w:color="000000"/>
            </w:tcBorders>
            <w:shd w:val="clear" w:color="auto" w:fill="auto"/>
            <w:vAlign w:val="center"/>
            <w:hideMark/>
          </w:tcPr>
          <w:p w14:paraId="35330050" w14:textId="77777777" w:rsidR="000F7B89" w:rsidRPr="00701F32" w:rsidRDefault="000F7B89" w:rsidP="00331783">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Títulos Emitidos</w:t>
            </w:r>
          </w:p>
        </w:tc>
      </w:tr>
      <w:tr w:rsidR="000F7B89" w:rsidRPr="00701F32" w14:paraId="3D5DC4AF" w14:textId="77777777" w:rsidTr="00701F32">
        <w:trPr>
          <w:trHeight w:val="46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FB94572" w14:textId="77777777" w:rsidR="000F7B89" w:rsidRPr="00701F32" w:rsidRDefault="000F7B89" w:rsidP="00331783">
            <w:pPr>
              <w:rPr>
                <w:rFonts w:ascii="Arial" w:hAnsi="Arial" w:cs="Arial"/>
                <w:b/>
                <w:bCs/>
                <w:color w:val="000000"/>
                <w:sz w:val="16"/>
                <w:szCs w:val="16"/>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7D5DAE62" w14:textId="77777777" w:rsidR="000F7B89" w:rsidRPr="00701F32" w:rsidRDefault="000F7B89" w:rsidP="00331783">
            <w:pPr>
              <w:rPr>
                <w:rFonts w:ascii="Arial" w:hAnsi="Arial" w:cs="Arial"/>
                <w:b/>
                <w:bCs/>
                <w:color w:val="000000"/>
                <w:sz w:val="16"/>
                <w:szCs w:val="16"/>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DF7EEB9" w14:textId="77777777" w:rsidR="000F7B89" w:rsidRPr="00701F32" w:rsidRDefault="000F7B89" w:rsidP="00331783">
            <w:pPr>
              <w:rPr>
                <w:rFonts w:ascii="Arial" w:hAnsi="Arial" w:cs="Arial"/>
                <w:b/>
                <w:bCs/>
                <w:color w:val="000000"/>
                <w:sz w:val="16"/>
                <w:szCs w:val="16"/>
                <w:lang w:eastAsia="es-AR"/>
              </w:rPr>
            </w:pPr>
          </w:p>
        </w:tc>
        <w:tc>
          <w:tcPr>
            <w:tcW w:w="1200" w:type="dxa"/>
            <w:tcBorders>
              <w:top w:val="nil"/>
              <w:left w:val="nil"/>
              <w:bottom w:val="single" w:sz="8" w:space="0" w:color="auto"/>
              <w:right w:val="single" w:sz="8" w:space="0" w:color="auto"/>
            </w:tcBorders>
            <w:shd w:val="clear" w:color="auto" w:fill="auto"/>
            <w:vAlign w:val="center"/>
            <w:hideMark/>
          </w:tcPr>
          <w:p w14:paraId="7B8DF244" w14:textId="77777777" w:rsidR="000F7B89" w:rsidRPr="00701F32" w:rsidRDefault="000F7B89" w:rsidP="00331783">
            <w:pPr>
              <w:jc w:val="center"/>
              <w:rPr>
                <w:rFonts w:ascii="Arial" w:hAnsi="Arial" w:cs="Arial"/>
                <w:b/>
                <w:color w:val="000000"/>
                <w:sz w:val="16"/>
                <w:szCs w:val="16"/>
                <w:lang w:eastAsia="es-AR"/>
              </w:rPr>
            </w:pPr>
            <w:r w:rsidRPr="00701F32">
              <w:rPr>
                <w:rFonts w:ascii="Arial" w:hAnsi="Arial" w:cs="Arial"/>
                <w:b/>
                <w:color w:val="000000"/>
                <w:sz w:val="16"/>
                <w:szCs w:val="16"/>
                <w:lang w:eastAsia="es-AR"/>
              </w:rPr>
              <w:t>Certificados de participación</w:t>
            </w:r>
          </w:p>
        </w:tc>
        <w:tc>
          <w:tcPr>
            <w:tcW w:w="1200" w:type="dxa"/>
            <w:tcBorders>
              <w:top w:val="nil"/>
              <w:left w:val="nil"/>
              <w:bottom w:val="single" w:sz="8" w:space="0" w:color="auto"/>
              <w:right w:val="single" w:sz="8" w:space="0" w:color="auto"/>
            </w:tcBorders>
            <w:shd w:val="clear" w:color="auto" w:fill="auto"/>
            <w:vAlign w:val="center"/>
            <w:hideMark/>
          </w:tcPr>
          <w:p w14:paraId="0F940A59" w14:textId="77777777" w:rsidR="000F7B89" w:rsidRPr="00701F32" w:rsidRDefault="000F7B89" w:rsidP="00331783">
            <w:pPr>
              <w:jc w:val="center"/>
              <w:rPr>
                <w:rFonts w:ascii="Arial" w:hAnsi="Arial" w:cs="Arial"/>
                <w:b/>
                <w:color w:val="000000"/>
                <w:sz w:val="16"/>
                <w:szCs w:val="16"/>
                <w:lang w:eastAsia="es-AR"/>
              </w:rPr>
            </w:pPr>
            <w:r w:rsidRPr="00701F32">
              <w:rPr>
                <w:rFonts w:ascii="Arial" w:hAnsi="Arial" w:cs="Arial"/>
                <w:b/>
                <w:color w:val="000000"/>
                <w:sz w:val="16"/>
                <w:szCs w:val="16"/>
                <w:lang w:eastAsia="es-AR"/>
              </w:rPr>
              <w:t>Títulos de deuda</w:t>
            </w:r>
          </w:p>
        </w:tc>
      </w:tr>
      <w:tr w:rsidR="000F7B89" w:rsidRPr="00701F32" w14:paraId="00E77F75" w14:textId="77777777" w:rsidTr="00701F32">
        <w:trPr>
          <w:trHeight w:val="465"/>
        </w:trPr>
        <w:tc>
          <w:tcPr>
            <w:tcW w:w="1200" w:type="dxa"/>
            <w:tcBorders>
              <w:top w:val="nil"/>
              <w:left w:val="single" w:sz="8" w:space="0" w:color="auto"/>
              <w:bottom w:val="single" w:sz="8" w:space="0" w:color="auto"/>
              <w:right w:val="single" w:sz="8" w:space="0" w:color="auto"/>
            </w:tcBorders>
            <w:shd w:val="clear" w:color="auto" w:fill="auto"/>
            <w:vAlign w:val="center"/>
          </w:tcPr>
          <w:p w14:paraId="73D429A7" w14:textId="2ACF4891"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 xml:space="preserve">Serie 95 </w:t>
            </w:r>
          </w:p>
        </w:tc>
        <w:tc>
          <w:tcPr>
            <w:tcW w:w="1200" w:type="dxa"/>
            <w:tcBorders>
              <w:top w:val="nil"/>
              <w:left w:val="nil"/>
              <w:bottom w:val="single" w:sz="8" w:space="0" w:color="auto"/>
              <w:right w:val="single" w:sz="8" w:space="0" w:color="auto"/>
            </w:tcBorders>
            <w:shd w:val="clear" w:color="auto" w:fill="auto"/>
            <w:vAlign w:val="center"/>
          </w:tcPr>
          <w:p w14:paraId="46098F36" w14:textId="36E234D3"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30/06/2017</w:t>
            </w:r>
          </w:p>
        </w:tc>
        <w:tc>
          <w:tcPr>
            <w:tcW w:w="1200" w:type="dxa"/>
            <w:tcBorders>
              <w:top w:val="nil"/>
              <w:left w:val="nil"/>
              <w:bottom w:val="single" w:sz="8" w:space="0" w:color="auto"/>
              <w:right w:val="single" w:sz="8" w:space="0" w:color="auto"/>
            </w:tcBorders>
            <w:shd w:val="clear" w:color="auto" w:fill="auto"/>
            <w:vAlign w:val="center"/>
          </w:tcPr>
          <w:p w14:paraId="77C7EC78" w14:textId="1F114DE2"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500.000</w:t>
            </w:r>
          </w:p>
        </w:tc>
        <w:tc>
          <w:tcPr>
            <w:tcW w:w="1200" w:type="dxa"/>
            <w:tcBorders>
              <w:top w:val="nil"/>
              <w:left w:val="nil"/>
              <w:bottom w:val="single" w:sz="8" w:space="0" w:color="auto"/>
              <w:right w:val="single" w:sz="8" w:space="0" w:color="auto"/>
            </w:tcBorders>
            <w:shd w:val="clear" w:color="auto" w:fill="auto"/>
            <w:vAlign w:val="center"/>
          </w:tcPr>
          <w:p w14:paraId="4BC7C056" w14:textId="3AE1CD1E" w:rsidR="000F7B89" w:rsidRPr="00701F32" w:rsidRDefault="000F7B89" w:rsidP="008A02CB">
            <w:pPr>
              <w:jc w:val="right"/>
              <w:rPr>
                <w:rFonts w:ascii="Arial" w:hAnsi="Arial" w:cs="Arial"/>
                <w:color w:val="000000"/>
                <w:sz w:val="16"/>
                <w:szCs w:val="16"/>
                <w:lang w:eastAsia="es-AR"/>
              </w:rPr>
            </w:pPr>
            <w:r w:rsidRPr="00701F32">
              <w:rPr>
                <w:rFonts w:ascii="Arial" w:hAnsi="Arial" w:cs="Arial"/>
                <w:color w:val="000000"/>
                <w:sz w:val="16"/>
                <w:szCs w:val="16"/>
                <w:lang w:eastAsia="es-AR"/>
              </w:rPr>
              <w:t>80.353</w:t>
            </w:r>
          </w:p>
        </w:tc>
        <w:tc>
          <w:tcPr>
            <w:tcW w:w="1200" w:type="dxa"/>
            <w:tcBorders>
              <w:top w:val="nil"/>
              <w:left w:val="nil"/>
              <w:bottom w:val="single" w:sz="8" w:space="0" w:color="auto"/>
              <w:right w:val="single" w:sz="8" w:space="0" w:color="auto"/>
            </w:tcBorders>
            <w:shd w:val="clear" w:color="auto" w:fill="auto"/>
            <w:vAlign w:val="center"/>
          </w:tcPr>
          <w:p w14:paraId="492A901D" w14:textId="3CE3245D" w:rsidR="000F7B89" w:rsidRPr="00701F32" w:rsidRDefault="000F7B89" w:rsidP="00331783">
            <w:pPr>
              <w:jc w:val="right"/>
              <w:rPr>
                <w:rFonts w:ascii="Arial" w:hAnsi="Arial" w:cs="Arial"/>
                <w:color w:val="000000"/>
                <w:sz w:val="16"/>
                <w:szCs w:val="16"/>
                <w:lang w:eastAsia="es-AR"/>
              </w:rPr>
            </w:pPr>
            <w:r w:rsidRPr="00701F32">
              <w:rPr>
                <w:rFonts w:ascii="Arial" w:hAnsi="Arial" w:cs="Arial"/>
                <w:color w:val="000000"/>
                <w:sz w:val="16"/>
                <w:szCs w:val="16"/>
                <w:lang w:eastAsia="es-AR"/>
              </w:rPr>
              <w:t>2.061</w:t>
            </w:r>
          </w:p>
        </w:tc>
      </w:tr>
      <w:tr w:rsidR="000F7B89" w:rsidRPr="00701F32" w14:paraId="2EC2F2CE" w14:textId="77777777" w:rsidTr="00701F32">
        <w:trPr>
          <w:trHeight w:val="465"/>
        </w:trPr>
        <w:tc>
          <w:tcPr>
            <w:tcW w:w="120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35B7E7C" w14:textId="77777777"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 xml:space="preserve">Serie 96 </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44A3ADEE" w14:textId="77777777"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19/09/2017</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56544A58" w14:textId="77777777"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236.867</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7AB4E55C" w14:textId="7B05CE3A" w:rsidR="000F7B89" w:rsidRPr="00701F32" w:rsidRDefault="000F7B89" w:rsidP="00331783">
            <w:pPr>
              <w:jc w:val="right"/>
              <w:rPr>
                <w:rFonts w:ascii="Arial" w:hAnsi="Arial" w:cs="Arial"/>
                <w:color w:val="000000"/>
                <w:sz w:val="16"/>
                <w:szCs w:val="16"/>
                <w:lang w:eastAsia="es-AR"/>
              </w:rPr>
            </w:pPr>
            <w:r w:rsidRPr="00701F32">
              <w:rPr>
                <w:rFonts w:ascii="Arial" w:hAnsi="Arial" w:cs="Arial"/>
                <w:color w:val="000000"/>
                <w:sz w:val="16"/>
                <w:szCs w:val="16"/>
                <w:lang w:eastAsia="es-AR"/>
              </w:rPr>
              <w:t>18.536</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08D000FF" w14:textId="28C5924A" w:rsidR="000F7B89" w:rsidRPr="00701F32" w:rsidRDefault="000F7B89" w:rsidP="00331783">
            <w:pPr>
              <w:jc w:val="right"/>
              <w:rPr>
                <w:rFonts w:ascii="Arial" w:hAnsi="Arial" w:cs="Arial"/>
                <w:color w:val="000000"/>
                <w:sz w:val="16"/>
                <w:szCs w:val="16"/>
                <w:lang w:eastAsia="es-AR"/>
              </w:rPr>
            </w:pPr>
            <w:r w:rsidRPr="00701F32">
              <w:rPr>
                <w:rFonts w:ascii="Arial" w:hAnsi="Arial" w:cs="Arial"/>
                <w:color w:val="000000"/>
                <w:sz w:val="16"/>
                <w:szCs w:val="16"/>
                <w:lang w:eastAsia="es-AR"/>
              </w:rPr>
              <w:t>2.500</w:t>
            </w:r>
          </w:p>
        </w:tc>
      </w:tr>
      <w:tr w:rsidR="000F7B89" w:rsidRPr="00701F32" w14:paraId="3EA1AABD" w14:textId="77777777" w:rsidTr="00701F32">
        <w:trPr>
          <w:trHeight w:val="465"/>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tcPr>
          <w:p w14:paraId="0AFFCFB7" w14:textId="75E598A9"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Serie 97</w:t>
            </w:r>
          </w:p>
        </w:tc>
        <w:tc>
          <w:tcPr>
            <w:tcW w:w="1200" w:type="dxa"/>
            <w:tcBorders>
              <w:top w:val="single" w:sz="4" w:space="0" w:color="auto"/>
              <w:left w:val="nil"/>
              <w:bottom w:val="single" w:sz="8" w:space="0" w:color="auto"/>
              <w:right w:val="single" w:sz="8" w:space="0" w:color="auto"/>
            </w:tcBorders>
            <w:shd w:val="clear" w:color="auto" w:fill="auto"/>
            <w:vAlign w:val="center"/>
          </w:tcPr>
          <w:p w14:paraId="5DC62A45" w14:textId="041E8921"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27/03/2018</w:t>
            </w:r>
          </w:p>
        </w:tc>
        <w:tc>
          <w:tcPr>
            <w:tcW w:w="1200" w:type="dxa"/>
            <w:tcBorders>
              <w:top w:val="single" w:sz="4" w:space="0" w:color="auto"/>
              <w:left w:val="nil"/>
              <w:bottom w:val="single" w:sz="8" w:space="0" w:color="auto"/>
              <w:right w:val="single" w:sz="8" w:space="0" w:color="auto"/>
            </w:tcBorders>
            <w:shd w:val="clear" w:color="auto" w:fill="auto"/>
            <w:vAlign w:val="center"/>
          </w:tcPr>
          <w:p w14:paraId="16507322" w14:textId="227F62AC" w:rsidR="000F7B89" w:rsidRPr="00701F32" w:rsidRDefault="000F7B89" w:rsidP="00331783">
            <w:pPr>
              <w:jc w:val="center"/>
              <w:rPr>
                <w:rFonts w:ascii="Arial" w:hAnsi="Arial" w:cs="Arial"/>
                <w:color w:val="000000"/>
                <w:sz w:val="16"/>
                <w:szCs w:val="16"/>
                <w:lang w:eastAsia="es-AR"/>
              </w:rPr>
            </w:pPr>
            <w:r w:rsidRPr="00701F32">
              <w:rPr>
                <w:rFonts w:ascii="Arial" w:hAnsi="Arial" w:cs="Arial"/>
                <w:color w:val="000000"/>
                <w:sz w:val="16"/>
                <w:szCs w:val="16"/>
                <w:lang w:eastAsia="es-AR"/>
              </w:rPr>
              <w:t>750.000</w:t>
            </w:r>
          </w:p>
        </w:tc>
        <w:tc>
          <w:tcPr>
            <w:tcW w:w="1200" w:type="dxa"/>
            <w:tcBorders>
              <w:top w:val="single" w:sz="4" w:space="0" w:color="auto"/>
              <w:left w:val="nil"/>
              <w:bottom w:val="single" w:sz="8" w:space="0" w:color="auto"/>
              <w:right w:val="single" w:sz="8" w:space="0" w:color="auto"/>
            </w:tcBorders>
            <w:shd w:val="clear" w:color="auto" w:fill="auto"/>
            <w:vAlign w:val="center"/>
          </w:tcPr>
          <w:p w14:paraId="275D9F91" w14:textId="3D725CDA" w:rsidR="000F7B89" w:rsidRPr="00701F32" w:rsidRDefault="000F7B89" w:rsidP="00331783">
            <w:pPr>
              <w:jc w:val="right"/>
              <w:rPr>
                <w:rFonts w:ascii="Arial" w:hAnsi="Arial" w:cs="Arial"/>
                <w:color w:val="000000"/>
                <w:sz w:val="16"/>
                <w:szCs w:val="16"/>
                <w:lang w:eastAsia="es-AR"/>
              </w:rPr>
            </w:pPr>
            <w:r w:rsidRPr="00701F32">
              <w:rPr>
                <w:rFonts w:ascii="Arial" w:hAnsi="Arial" w:cs="Arial"/>
                <w:color w:val="000000"/>
                <w:sz w:val="16"/>
                <w:szCs w:val="16"/>
                <w:lang w:eastAsia="es-AR"/>
              </w:rPr>
              <w:t>-</w:t>
            </w:r>
          </w:p>
        </w:tc>
        <w:tc>
          <w:tcPr>
            <w:tcW w:w="1200" w:type="dxa"/>
            <w:tcBorders>
              <w:top w:val="single" w:sz="4" w:space="0" w:color="auto"/>
              <w:left w:val="nil"/>
              <w:bottom w:val="single" w:sz="8" w:space="0" w:color="auto"/>
              <w:right w:val="single" w:sz="8" w:space="0" w:color="auto"/>
            </w:tcBorders>
            <w:shd w:val="clear" w:color="auto" w:fill="auto"/>
            <w:vAlign w:val="center"/>
          </w:tcPr>
          <w:p w14:paraId="4DBF4AB4" w14:textId="284B0C9D" w:rsidR="000F7B89" w:rsidRPr="00701F32" w:rsidRDefault="000F7B89" w:rsidP="00331783">
            <w:pPr>
              <w:jc w:val="right"/>
              <w:rPr>
                <w:rFonts w:ascii="Arial" w:hAnsi="Arial" w:cs="Arial"/>
                <w:color w:val="000000"/>
                <w:sz w:val="16"/>
                <w:szCs w:val="16"/>
                <w:lang w:eastAsia="es-AR"/>
              </w:rPr>
            </w:pPr>
            <w:r w:rsidRPr="00701F32">
              <w:rPr>
                <w:rFonts w:ascii="Arial" w:hAnsi="Arial" w:cs="Arial"/>
                <w:color w:val="000000"/>
                <w:sz w:val="16"/>
                <w:szCs w:val="16"/>
                <w:lang w:eastAsia="es-AR"/>
              </w:rPr>
              <w:t>30.926</w:t>
            </w:r>
          </w:p>
        </w:tc>
      </w:tr>
    </w:tbl>
    <w:p w14:paraId="67F63495" w14:textId="77777777" w:rsidR="00A844A1" w:rsidRPr="00701F32" w:rsidRDefault="00A844A1" w:rsidP="00656E62">
      <w:pPr>
        <w:tabs>
          <w:tab w:val="left" w:pos="142"/>
          <w:tab w:val="left" w:pos="9923"/>
        </w:tabs>
        <w:spacing w:after="200" w:line="276" w:lineRule="auto"/>
        <w:contextualSpacing/>
        <w:jc w:val="both"/>
        <w:rPr>
          <w:rFonts w:ascii="Arial" w:hAnsi="Arial" w:cs="Arial"/>
          <w:b/>
          <w:sz w:val="20"/>
        </w:rPr>
      </w:pPr>
    </w:p>
    <w:p w14:paraId="2840C1F6" w14:textId="77777777" w:rsidR="00656E62" w:rsidRPr="00701F32" w:rsidRDefault="00656E62" w:rsidP="00656E62">
      <w:pPr>
        <w:tabs>
          <w:tab w:val="left" w:pos="142"/>
          <w:tab w:val="left" w:pos="9923"/>
        </w:tabs>
        <w:spacing w:after="200" w:line="276" w:lineRule="auto"/>
        <w:contextualSpacing/>
        <w:jc w:val="both"/>
        <w:rPr>
          <w:rFonts w:ascii="Arial" w:hAnsi="Arial" w:cs="Arial"/>
          <w:b/>
          <w:sz w:val="20"/>
        </w:rPr>
      </w:pPr>
      <w:r w:rsidRPr="00701F32">
        <w:rPr>
          <w:rFonts w:ascii="Arial" w:hAnsi="Arial" w:cs="Arial"/>
          <w:b/>
          <w:sz w:val="20"/>
        </w:rPr>
        <w:t>1</w:t>
      </w:r>
      <w:r w:rsidR="00D57127" w:rsidRPr="00701F32">
        <w:rPr>
          <w:rFonts w:ascii="Arial" w:hAnsi="Arial" w:cs="Arial"/>
          <w:b/>
          <w:sz w:val="20"/>
        </w:rPr>
        <w:t>5</w:t>
      </w:r>
      <w:r w:rsidRPr="00701F32">
        <w:rPr>
          <w:rFonts w:ascii="Arial" w:hAnsi="Arial" w:cs="Arial"/>
          <w:b/>
          <w:sz w:val="20"/>
        </w:rPr>
        <w:t>.5 Cumplimiento de disposiciones requeridas por la Comisión Nacional de Valores</w:t>
      </w:r>
    </w:p>
    <w:p w14:paraId="575DCDB0" w14:textId="77777777" w:rsidR="00656E62" w:rsidRPr="00701F32" w:rsidRDefault="00656E62" w:rsidP="00656E62">
      <w:pPr>
        <w:tabs>
          <w:tab w:val="left" w:pos="142"/>
          <w:tab w:val="left" w:pos="9923"/>
        </w:tabs>
        <w:spacing w:after="200" w:line="276" w:lineRule="auto"/>
        <w:contextualSpacing/>
        <w:jc w:val="both"/>
        <w:rPr>
          <w:rFonts w:ascii="Arial" w:hAnsi="Arial" w:cs="Arial"/>
          <w:b/>
          <w:sz w:val="20"/>
        </w:rPr>
      </w:pPr>
    </w:p>
    <w:p w14:paraId="44A8B22D" w14:textId="77777777" w:rsidR="00656E62" w:rsidRPr="00701F32" w:rsidRDefault="00D57127" w:rsidP="00656E62">
      <w:pPr>
        <w:tabs>
          <w:tab w:val="left" w:pos="142"/>
          <w:tab w:val="left" w:pos="9923"/>
        </w:tabs>
        <w:spacing w:after="200" w:line="276" w:lineRule="auto"/>
        <w:contextualSpacing/>
        <w:jc w:val="both"/>
        <w:rPr>
          <w:rFonts w:ascii="Arial" w:hAnsi="Arial" w:cs="Arial"/>
          <w:sz w:val="20"/>
        </w:rPr>
      </w:pPr>
      <w:r w:rsidRPr="00701F32">
        <w:rPr>
          <w:rFonts w:ascii="Arial" w:hAnsi="Arial" w:cs="Arial"/>
          <w:b/>
          <w:sz w:val="20"/>
        </w:rPr>
        <w:t>15</w:t>
      </w:r>
      <w:r w:rsidR="00656E62" w:rsidRPr="00701F32">
        <w:rPr>
          <w:rFonts w:ascii="Arial" w:hAnsi="Arial" w:cs="Arial"/>
          <w:b/>
          <w:sz w:val="20"/>
        </w:rPr>
        <w:t>.5.1 Disposiciones para operar como agente de mercado abierto</w:t>
      </w:r>
    </w:p>
    <w:p w14:paraId="16C84F01" w14:textId="77777777" w:rsidR="00656E62" w:rsidRPr="00701F32" w:rsidRDefault="00656E62" w:rsidP="00656E62">
      <w:pPr>
        <w:tabs>
          <w:tab w:val="left" w:pos="142"/>
          <w:tab w:val="left" w:pos="9923"/>
        </w:tabs>
        <w:spacing w:after="200" w:line="276" w:lineRule="auto"/>
        <w:contextualSpacing/>
        <w:jc w:val="both"/>
        <w:rPr>
          <w:rFonts w:ascii="Arial" w:hAnsi="Arial" w:cs="Arial"/>
          <w:sz w:val="20"/>
        </w:rPr>
      </w:pPr>
    </w:p>
    <w:p w14:paraId="1D8B86FF"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Considerando la operatoria que actualmente realiza la Entidad, y conforme a las diferentes categorías de agentes que establece la Resolución General N° 622 de la Comisión Nacional de la misma se encuentra inscripta ante dicho organismo para la categoría de Agente de Liquidación, Compensación y Agente de Negociación Integral.</w:t>
      </w:r>
    </w:p>
    <w:p w14:paraId="0CC6AFDE" w14:textId="77777777" w:rsidR="00656E62" w:rsidRPr="00701F32" w:rsidRDefault="00656E62" w:rsidP="00656E62">
      <w:pPr>
        <w:autoSpaceDE w:val="0"/>
        <w:autoSpaceDN w:val="0"/>
        <w:adjustRightInd w:val="0"/>
        <w:jc w:val="both"/>
        <w:rPr>
          <w:rFonts w:ascii="Arial" w:hAnsi="Arial" w:cs="Arial"/>
          <w:i/>
          <w:sz w:val="20"/>
        </w:rPr>
      </w:pPr>
    </w:p>
    <w:p w14:paraId="3D559936" w14:textId="3E89E73E" w:rsidR="00656E62" w:rsidRPr="00701F32" w:rsidRDefault="00656E62" w:rsidP="00656E62">
      <w:pPr>
        <w:jc w:val="both"/>
        <w:rPr>
          <w:rFonts w:ascii="Arial" w:hAnsi="Arial" w:cs="Arial"/>
          <w:sz w:val="20"/>
        </w:rPr>
      </w:pPr>
      <w:r w:rsidRPr="00701F32">
        <w:rPr>
          <w:rFonts w:ascii="Arial" w:hAnsi="Arial" w:cs="Arial"/>
          <w:sz w:val="20"/>
        </w:rPr>
        <w:t xml:space="preserve">Asimismo, se informa que al </w:t>
      </w:r>
      <w:r w:rsidR="00205046" w:rsidRPr="00701F32">
        <w:rPr>
          <w:rFonts w:ascii="Arial" w:hAnsi="Arial" w:cs="Arial"/>
          <w:sz w:val="20"/>
        </w:rPr>
        <w:t xml:space="preserve">30 </w:t>
      </w:r>
      <w:r w:rsidRPr="00701F32">
        <w:rPr>
          <w:rFonts w:ascii="Arial" w:hAnsi="Arial" w:cs="Arial"/>
          <w:sz w:val="20"/>
        </w:rPr>
        <w:t xml:space="preserve">de </w:t>
      </w:r>
      <w:r w:rsidR="00A0527A" w:rsidRPr="00701F32">
        <w:rPr>
          <w:rFonts w:ascii="Arial" w:hAnsi="Arial" w:cs="Arial"/>
          <w:sz w:val="20"/>
        </w:rPr>
        <w:t>septiembre</w:t>
      </w:r>
      <w:r w:rsidR="00205046" w:rsidRPr="00701F32">
        <w:rPr>
          <w:rFonts w:ascii="Arial" w:hAnsi="Arial" w:cs="Arial"/>
          <w:sz w:val="20"/>
        </w:rPr>
        <w:t xml:space="preserve"> </w:t>
      </w:r>
      <w:r w:rsidRPr="00701F32">
        <w:rPr>
          <w:rFonts w:ascii="Arial" w:hAnsi="Arial" w:cs="Arial"/>
          <w:sz w:val="20"/>
        </w:rPr>
        <w:t xml:space="preserve">de 2018 y al 31 de diciembre de 2017 el patrimonio neto de la Entidad supera el patrimonio neto mínimo requerido por dicha norma para actuar como agente de mercado abierto, el cual asciende a 15.000, y para actuar como agente de custodia de productos de inversión colectiva de fondos comunes de inversión, el cual asciende a 21.000, por cuanto la contrapartida líquida exigida por la norma asciende a 7.500 y 8.000 respectivamente, y se encuentra constituida por la cuenta corriente en pesos abierta en el BCRA cuyo saldo ascendía a </w:t>
      </w:r>
      <w:r w:rsidR="00D65F4F" w:rsidRPr="00701F32">
        <w:rPr>
          <w:rFonts w:ascii="Arial" w:hAnsi="Arial" w:cs="Arial"/>
          <w:sz w:val="20"/>
        </w:rPr>
        <w:t>16.137.979</w:t>
      </w:r>
      <w:r w:rsidRPr="00701F32">
        <w:rPr>
          <w:rFonts w:ascii="Arial" w:hAnsi="Arial" w:cs="Arial"/>
          <w:sz w:val="20"/>
        </w:rPr>
        <w:t xml:space="preserve"> al </w:t>
      </w:r>
      <w:r w:rsidR="00205046" w:rsidRPr="00701F32">
        <w:rPr>
          <w:rFonts w:ascii="Arial" w:hAnsi="Arial" w:cs="Arial"/>
          <w:sz w:val="20"/>
        </w:rPr>
        <w:t xml:space="preserve">30 </w:t>
      </w:r>
      <w:r w:rsidRPr="00701F32">
        <w:rPr>
          <w:rFonts w:ascii="Arial" w:hAnsi="Arial" w:cs="Arial"/>
          <w:sz w:val="20"/>
        </w:rPr>
        <w:t xml:space="preserve">de </w:t>
      </w:r>
      <w:r w:rsidR="00A0527A" w:rsidRPr="00701F32">
        <w:rPr>
          <w:rFonts w:ascii="Arial" w:hAnsi="Arial" w:cs="Arial"/>
          <w:sz w:val="20"/>
        </w:rPr>
        <w:t xml:space="preserve">septiembre </w:t>
      </w:r>
      <w:r w:rsidRPr="00701F32">
        <w:rPr>
          <w:rFonts w:ascii="Arial" w:hAnsi="Arial" w:cs="Arial"/>
          <w:sz w:val="20"/>
        </w:rPr>
        <w:t>de 2018 y 2.529.004 al 31 de diciembre de 2017 respectivamente.</w:t>
      </w:r>
    </w:p>
    <w:p w14:paraId="17E383FD" w14:textId="77777777" w:rsidR="00656E62" w:rsidRPr="00701F32" w:rsidRDefault="00656E62" w:rsidP="00656E62">
      <w:pPr>
        <w:autoSpaceDE w:val="0"/>
        <w:autoSpaceDN w:val="0"/>
        <w:adjustRightInd w:val="0"/>
        <w:jc w:val="both"/>
        <w:rPr>
          <w:rFonts w:ascii="Arial" w:hAnsi="Arial" w:cs="Arial"/>
          <w:sz w:val="20"/>
        </w:rPr>
      </w:pPr>
    </w:p>
    <w:p w14:paraId="0E4B2C72" w14:textId="4B78FE81" w:rsidR="00656E62" w:rsidRPr="00701F32" w:rsidRDefault="00656E62" w:rsidP="00656E62">
      <w:pPr>
        <w:tabs>
          <w:tab w:val="left" w:pos="142"/>
        </w:tabs>
        <w:jc w:val="both"/>
        <w:rPr>
          <w:rFonts w:ascii="Arial" w:hAnsi="Arial" w:cs="Arial"/>
          <w:sz w:val="20"/>
        </w:rPr>
      </w:pPr>
      <w:r w:rsidRPr="00701F32">
        <w:rPr>
          <w:rFonts w:ascii="Arial" w:hAnsi="Arial" w:cs="Arial"/>
          <w:sz w:val="20"/>
        </w:rPr>
        <w:t xml:space="preserve">Por otra parte, en cumplimiento de la citada resolución general, el inmueble sito en la calle Reconquista 330 de esta Ciudad Autónoma, cuyo valor residual contable al </w:t>
      </w:r>
      <w:r w:rsidR="00205046" w:rsidRPr="00701F32">
        <w:rPr>
          <w:rFonts w:ascii="Arial" w:hAnsi="Arial" w:cs="Arial"/>
          <w:sz w:val="20"/>
        </w:rPr>
        <w:t xml:space="preserve">30 </w:t>
      </w:r>
      <w:r w:rsidR="00A0527A" w:rsidRPr="00701F32">
        <w:rPr>
          <w:rFonts w:ascii="Arial" w:hAnsi="Arial" w:cs="Arial"/>
          <w:sz w:val="20"/>
        </w:rPr>
        <w:t>septiembre</w:t>
      </w:r>
      <w:r w:rsidR="00205046" w:rsidRPr="00701F32">
        <w:rPr>
          <w:rFonts w:ascii="Arial" w:hAnsi="Arial" w:cs="Arial"/>
          <w:sz w:val="20"/>
        </w:rPr>
        <w:t xml:space="preserve"> </w:t>
      </w:r>
      <w:r w:rsidRPr="00701F32">
        <w:rPr>
          <w:rFonts w:ascii="Arial" w:hAnsi="Arial" w:cs="Arial"/>
          <w:sz w:val="20"/>
        </w:rPr>
        <w:t xml:space="preserve">de 2018 es de </w:t>
      </w:r>
      <w:r w:rsidR="00D65F4F" w:rsidRPr="00701F32">
        <w:rPr>
          <w:rFonts w:ascii="Arial" w:hAnsi="Arial" w:cs="Arial"/>
          <w:sz w:val="20"/>
        </w:rPr>
        <w:t>166.041</w:t>
      </w:r>
      <w:r w:rsidRPr="00701F32">
        <w:rPr>
          <w:rFonts w:ascii="Arial" w:hAnsi="Arial" w:cs="Arial"/>
          <w:sz w:val="20"/>
        </w:rPr>
        <w:t xml:space="preserve"> y 113.096 al 31 de diciembre de 2017, se encuentra afectado al desarrollo de las operaciones del Mercado Abierto.</w:t>
      </w:r>
    </w:p>
    <w:p w14:paraId="74F4D958" w14:textId="77777777" w:rsidR="00656E62" w:rsidRPr="00701F32" w:rsidRDefault="00656E62" w:rsidP="00656E62">
      <w:pPr>
        <w:tabs>
          <w:tab w:val="left" w:pos="142"/>
        </w:tabs>
        <w:jc w:val="both"/>
        <w:rPr>
          <w:rFonts w:ascii="Arial" w:hAnsi="Arial" w:cs="Arial"/>
          <w:sz w:val="20"/>
        </w:rPr>
      </w:pPr>
    </w:p>
    <w:p w14:paraId="7042ED31" w14:textId="77777777" w:rsidR="00A3374B" w:rsidRPr="00701F32" w:rsidRDefault="00A3374B" w:rsidP="00656E62">
      <w:pPr>
        <w:tabs>
          <w:tab w:val="left" w:pos="142"/>
        </w:tabs>
        <w:jc w:val="both"/>
        <w:rPr>
          <w:rFonts w:ascii="Arial" w:hAnsi="Arial" w:cs="Arial"/>
          <w:sz w:val="20"/>
        </w:rPr>
      </w:pPr>
    </w:p>
    <w:p w14:paraId="5292641D" w14:textId="77777777" w:rsidR="00656E62" w:rsidRPr="00701F32" w:rsidRDefault="00D57127" w:rsidP="00656E62">
      <w:pPr>
        <w:tabs>
          <w:tab w:val="left" w:pos="142"/>
        </w:tabs>
        <w:spacing w:after="200" w:line="276" w:lineRule="auto"/>
        <w:contextualSpacing/>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.5.2 Resolución N° 629 de la Comisión Nacional de Valores</w:t>
      </w:r>
    </w:p>
    <w:p w14:paraId="55179B5A" w14:textId="77777777" w:rsidR="00656E62" w:rsidRPr="00701F32" w:rsidRDefault="00656E62" w:rsidP="00656E62">
      <w:pPr>
        <w:tabs>
          <w:tab w:val="left" w:pos="142"/>
        </w:tabs>
        <w:spacing w:after="200" w:line="276" w:lineRule="auto"/>
        <w:contextualSpacing/>
        <w:jc w:val="both"/>
        <w:rPr>
          <w:rFonts w:ascii="Arial" w:hAnsi="Arial" w:cs="Arial"/>
          <w:b/>
          <w:sz w:val="20"/>
        </w:rPr>
      </w:pPr>
    </w:p>
    <w:p w14:paraId="05AFBE57" w14:textId="77777777" w:rsidR="00656E62" w:rsidRPr="00701F32" w:rsidRDefault="00656E62" w:rsidP="00656E62">
      <w:pPr>
        <w:jc w:val="both"/>
        <w:rPr>
          <w:rFonts w:ascii="Arial" w:hAnsi="Arial" w:cs="Arial"/>
          <w:sz w:val="20"/>
        </w:rPr>
      </w:pPr>
      <w:r w:rsidRPr="00701F32">
        <w:rPr>
          <w:rFonts w:ascii="Arial" w:hAnsi="Arial" w:cs="Arial"/>
          <w:sz w:val="20"/>
        </w:rPr>
        <w:t xml:space="preserve">En cumplimiento de lo dispuesto por la Resolución General N° 629 de la CNV se aclara que los libros de comercio y los libros societarios se guardan en la sede social inscripta (Bartolomé Mitre 434 de la Ciudad Autónoma de Buenos Aires) de acuerdo con el siguiente detalle: </w:t>
      </w:r>
    </w:p>
    <w:p w14:paraId="4225BFA2"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 xml:space="preserve">Libro Diario (Registro de Habilitación de Medios Opticos y sus correspondientes soportes ópticos –CD y DVD-) desde el 1° de octubre de 2009. </w:t>
      </w:r>
    </w:p>
    <w:p w14:paraId="3D359440"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 xml:space="preserve">Libro Inventario desde el 31 de diciembre de 2016. </w:t>
      </w:r>
    </w:p>
    <w:p w14:paraId="4B853264"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 xml:space="preserve">Libro Balance desde el 31 de diciembre de 2002. </w:t>
      </w:r>
    </w:p>
    <w:p w14:paraId="4FEB09AF" w14:textId="48D68095" w:rsidR="00656E62" w:rsidRPr="00701F32" w:rsidRDefault="00656E62" w:rsidP="00656E62">
      <w:pPr>
        <w:numPr>
          <w:ilvl w:val="0"/>
          <w:numId w:val="2"/>
        </w:numPr>
        <w:jc w:val="both"/>
        <w:rPr>
          <w:rFonts w:ascii="Arial" w:hAnsi="Arial" w:cs="Arial"/>
          <w:sz w:val="20"/>
        </w:rPr>
      </w:pPr>
      <w:r w:rsidRPr="00701F32">
        <w:rPr>
          <w:rFonts w:ascii="Arial" w:hAnsi="Arial" w:cs="Arial"/>
          <w:sz w:val="20"/>
        </w:rPr>
        <w:t>Libro Actas de Directorio desde el diciembre de 1988 a noviembre de 1999, desde mayo de 2000 a octubre de 2003 y febrero de 2007 a la fecha.</w:t>
      </w:r>
    </w:p>
    <w:p w14:paraId="06DF52DF"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Libro Depósito de Acciones y Registro de Asistencia a Asambleas desde el 30 de mayo de 2001 a la fecha.</w:t>
      </w:r>
    </w:p>
    <w:p w14:paraId="407AF5C0"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Libro de Actas de Asambleas desde el 27 de mayo de 1999 a la fecha.</w:t>
      </w:r>
    </w:p>
    <w:p w14:paraId="48329E31"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 xml:space="preserve">Libro de Actas de Comisión Fiscalizadora desde el 13 de agosto de 2004.  </w:t>
      </w:r>
    </w:p>
    <w:p w14:paraId="58EB96AA" w14:textId="77777777" w:rsidR="00656E62" w:rsidRPr="00701F32" w:rsidRDefault="00656E62" w:rsidP="00656E62">
      <w:pPr>
        <w:jc w:val="both"/>
        <w:rPr>
          <w:rFonts w:ascii="Arial" w:hAnsi="Arial" w:cs="Arial"/>
          <w:sz w:val="20"/>
        </w:rPr>
      </w:pPr>
    </w:p>
    <w:p w14:paraId="60FFE1EE" w14:textId="77777777" w:rsidR="00656E62" w:rsidRPr="00701F32" w:rsidRDefault="00656E62" w:rsidP="00656E62">
      <w:pPr>
        <w:jc w:val="both"/>
        <w:rPr>
          <w:rFonts w:ascii="Arial" w:hAnsi="Arial" w:cs="Arial"/>
          <w:sz w:val="20"/>
        </w:rPr>
      </w:pPr>
      <w:r w:rsidRPr="00701F32">
        <w:rPr>
          <w:rFonts w:ascii="Arial" w:hAnsi="Arial" w:cs="Arial"/>
          <w:sz w:val="20"/>
        </w:rPr>
        <w:t xml:space="preserve">Respecto de los libros de operaciones de títulos y de mercado abierto, se encuentran en la sede social inscripta mencionada precedentemente de acuerdo con el siguiente detalle: </w:t>
      </w:r>
    </w:p>
    <w:p w14:paraId="538B500F"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Registro de Ordenes de Agente desde el 6 de enero de 2015.</w:t>
      </w:r>
    </w:p>
    <w:p w14:paraId="228B3F2B"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Registro de Operaciones desde el 2 de enero de 2015.</w:t>
      </w:r>
    </w:p>
    <w:p w14:paraId="530327CA"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Registro de Operaciones Cartera Propia desde el 5 de enero de 2015.</w:t>
      </w:r>
    </w:p>
    <w:p w14:paraId="3B1A620D"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Libro de Caja desde el 5 de enero de 2015.</w:t>
      </w:r>
    </w:p>
    <w:p w14:paraId="7E305540" w14:textId="77777777" w:rsidR="00656E62" w:rsidRPr="00701F32" w:rsidRDefault="00656E62" w:rsidP="00656E62">
      <w:pPr>
        <w:numPr>
          <w:ilvl w:val="0"/>
          <w:numId w:val="2"/>
        </w:numPr>
        <w:jc w:val="both"/>
        <w:rPr>
          <w:rFonts w:ascii="Arial" w:hAnsi="Arial" w:cs="Arial"/>
          <w:sz w:val="20"/>
        </w:rPr>
      </w:pPr>
      <w:r w:rsidRPr="00701F32">
        <w:rPr>
          <w:rFonts w:ascii="Arial" w:hAnsi="Arial" w:cs="Arial"/>
          <w:sz w:val="20"/>
        </w:rPr>
        <w:t>Registro de Ordenes (ACYL N° 57) desde el 7 de enero de 2015.</w:t>
      </w:r>
    </w:p>
    <w:p w14:paraId="1F4371DC" w14:textId="77777777" w:rsidR="00656E62" w:rsidRPr="00701F32" w:rsidRDefault="00656E62" w:rsidP="00656E62">
      <w:pPr>
        <w:ind w:left="720"/>
        <w:jc w:val="both"/>
        <w:rPr>
          <w:rFonts w:ascii="Arial" w:hAnsi="Arial" w:cs="Arial"/>
          <w:sz w:val="20"/>
        </w:rPr>
      </w:pPr>
    </w:p>
    <w:p w14:paraId="7973D744" w14:textId="77777777" w:rsidR="00656E62" w:rsidRPr="00701F32" w:rsidRDefault="00656E62" w:rsidP="00656E62">
      <w:pPr>
        <w:jc w:val="both"/>
        <w:rPr>
          <w:rFonts w:ascii="Arial" w:hAnsi="Arial" w:cs="Arial"/>
          <w:sz w:val="20"/>
        </w:rPr>
      </w:pPr>
      <w:r w:rsidRPr="00701F32">
        <w:rPr>
          <w:rFonts w:ascii="Arial" w:hAnsi="Arial" w:cs="Arial"/>
          <w:sz w:val="20"/>
        </w:rPr>
        <w:t>Los libros antecesores a los señalados precedentemente que contienen las operaciones anteriores a la fecha indicada en cada caso, se encuentran bajo la guarda de la empresa Adea S.A. cuyo depósito está ubicado en Ruta provincial N° 36, Km 31,500 localidad de Bosques, Partido de Florencio Varela de la Provincia de Buenos Aires.</w:t>
      </w:r>
    </w:p>
    <w:p w14:paraId="6C163D71" w14:textId="77777777" w:rsidR="00656E62" w:rsidRPr="00701F32" w:rsidRDefault="00656E62" w:rsidP="00656E62">
      <w:pPr>
        <w:jc w:val="both"/>
        <w:rPr>
          <w:rFonts w:ascii="Arial" w:hAnsi="Arial" w:cs="Arial"/>
          <w:sz w:val="20"/>
        </w:rPr>
      </w:pPr>
    </w:p>
    <w:p w14:paraId="2C400E10" w14:textId="60F7B412" w:rsidR="00656E62" w:rsidRPr="00701F32" w:rsidRDefault="00656E62" w:rsidP="00656E62">
      <w:pPr>
        <w:tabs>
          <w:tab w:val="left" w:pos="142"/>
        </w:tabs>
        <w:jc w:val="both"/>
        <w:rPr>
          <w:rFonts w:ascii="Arial" w:hAnsi="Arial" w:cs="Arial"/>
          <w:sz w:val="20"/>
        </w:rPr>
      </w:pPr>
      <w:r w:rsidRPr="00701F32">
        <w:rPr>
          <w:rFonts w:ascii="Arial" w:hAnsi="Arial" w:cs="Arial"/>
          <w:sz w:val="20"/>
        </w:rPr>
        <w:t>La documentación respaldatoria de las operaciones contables y de la gestión de la Entidad hasta una antigüedad de 2 (dos) meses anterior</w:t>
      </w:r>
      <w:r w:rsidR="00841E78">
        <w:rPr>
          <w:rFonts w:ascii="Arial" w:hAnsi="Arial" w:cs="Arial"/>
          <w:sz w:val="20"/>
        </w:rPr>
        <w:t>es</w:t>
      </w:r>
      <w:r w:rsidRPr="00701F32">
        <w:rPr>
          <w:rFonts w:ascii="Arial" w:hAnsi="Arial" w:cs="Arial"/>
          <w:sz w:val="20"/>
        </w:rPr>
        <w:t xml:space="preserve"> a la actual, se encuentra en cada sucursal, y, con antigüedad superior a dicho lapso de tiempo se encuentra bajo la guarda de la empresa Adea S.A. </w:t>
      </w:r>
    </w:p>
    <w:p w14:paraId="306858F3" w14:textId="77777777" w:rsidR="00656E62" w:rsidRPr="00701F32" w:rsidRDefault="00656E62" w:rsidP="00656E62">
      <w:pPr>
        <w:tabs>
          <w:tab w:val="left" w:pos="142"/>
        </w:tabs>
        <w:jc w:val="both"/>
        <w:rPr>
          <w:rFonts w:ascii="Arial" w:hAnsi="Arial" w:cs="Arial"/>
          <w:sz w:val="20"/>
        </w:rPr>
      </w:pPr>
    </w:p>
    <w:p w14:paraId="2E2933A7" w14:textId="77777777" w:rsidR="00656E62" w:rsidRPr="00701F32" w:rsidRDefault="00D57127" w:rsidP="00656E62">
      <w:pPr>
        <w:tabs>
          <w:tab w:val="left" w:pos="142"/>
        </w:tabs>
        <w:spacing w:after="200" w:line="276" w:lineRule="auto"/>
        <w:contextualSpacing/>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.6 Cuentas que identifican el cumplimiento de efectivo mínimo</w:t>
      </w:r>
    </w:p>
    <w:p w14:paraId="7DAF4B2E" w14:textId="77777777" w:rsidR="00656E62" w:rsidRPr="00701F32" w:rsidRDefault="00656E62" w:rsidP="00656E62">
      <w:pPr>
        <w:tabs>
          <w:tab w:val="left" w:pos="142"/>
        </w:tabs>
        <w:spacing w:after="200" w:line="276" w:lineRule="auto"/>
        <w:contextualSpacing/>
        <w:jc w:val="both"/>
        <w:rPr>
          <w:rFonts w:ascii="Arial" w:hAnsi="Arial" w:cs="Arial"/>
          <w:b/>
          <w:sz w:val="20"/>
        </w:rPr>
      </w:pPr>
    </w:p>
    <w:p w14:paraId="48E428C9"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 xml:space="preserve">Al </w:t>
      </w:r>
      <w:r w:rsidR="00920438" w:rsidRPr="00701F32">
        <w:rPr>
          <w:rFonts w:ascii="Arial" w:hAnsi="Arial" w:cs="Arial"/>
          <w:sz w:val="20"/>
        </w:rPr>
        <w:t xml:space="preserve">30 </w:t>
      </w:r>
      <w:r w:rsidRPr="00701F32">
        <w:rPr>
          <w:rFonts w:ascii="Arial" w:hAnsi="Arial" w:cs="Arial"/>
          <w:sz w:val="20"/>
        </w:rPr>
        <w:t xml:space="preserve">de </w:t>
      </w:r>
      <w:r w:rsidR="00A3374B" w:rsidRPr="00701F32">
        <w:rPr>
          <w:rFonts w:ascii="Arial" w:hAnsi="Arial" w:cs="Arial"/>
          <w:sz w:val="20"/>
        </w:rPr>
        <w:t>septiembre</w:t>
      </w:r>
      <w:r w:rsidRPr="00701F32">
        <w:rPr>
          <w:rFonts w:ascii="Arial" w:hAnsi="Arial" w:cs="Arial"/>
          <w:sz w:val="20"/>
        </w:rPr>
        <w:t xml:space="preserve"> de 2018 y al 31 de diciembre de 2017 la integración de efectivo mínimo estaba compuesta de la siguiente manera: </w:t>
      </w:r>
    </w:p>
    <w:p w14:paraId="73FD7145" w14:textId="77777777" w:rsidR="00656E62" w:rsidRPr="00701F32" w:rsidRDefault="00656E62" w:rsidP="00656E62">
      <w:pPr>
        <w:tabs>
          <w:tab w:val="left" w:pos="142"/>
        </w:tabs>
        <w:jc w:val="both"/>
        <w:rPr>
          <w:rFonts w:ascii="Arial" w:hAnsi="Arial" w:cs="Arial"/>
          <w:sz w:val="20"/>
        </w:rPr>
      </w:pPr>
    </w:p>
    <w:tbl>
      <w:tblPr>
        <w:tblW w:w="434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780"/>
        <w:gridCol w:w="1559"/>
        <w:gridCol w:w="1236"/>
      </w:tblGrid>
      <w:tr w:rsidR="00656E62" w:rsidRPr="00701F32" w14:paraId="7480DD56" w14:textId="77777777" w:rsidTr="00701F32">
        <w:trPr>
          <w:trHeight w:val="461"/>
          <w:tblHeader/>
          <w:jc w:val="center"/>
        </w:trPr>
        <w:tc>
          <w:tcPr>
            <w:tcW w:w="3155" w:type="pct"/>
            <w:tcBorders>
              <w:top w:val="single" w:sz="4" w:space="0" w:color="auto"/>
              <w:left w:val="single" w:sz="4" w:space="0" w:color="auto"/>
              <w:bottom w:val="single" w:sz="4" w:space="0" w:color="auto"/>
            </w:tcBorders>
            <w:vAlign w:val="center"/>
          </w:tcPr>
          <w:p w14:paraId="5CEF647E" w14:textId="77777777" w:rsidR="00656E62" w:rsidRPr="00701F32" w:rsidRDefault="00656E62" w:rsidP="00464C0F">
            <w:pPr>
              <w:ind w:left="371" w:hanging="142"/>
              <w:jc w:val="both"/>
              <w:rPr>
                <w:rFonts w:ascii="Arial" w:hAnsi="Arial" w:cs="Arial"/>
                <w:b/>
                <w:sz w:val="18"/>
              </w:rPr>
            </w:pPr>
            <w:r w:rsidRPr="00701F32">
              <w:rPr>
                <w:rFonts w:ascii="Arial" w:hAnsi="Arial" w:cs="Arial"/>
                <w:b/>
                <w:sz w:val="18"/>
              </w:rPr>
              <w:t>Concepto</w:t>
            </w:r>
          </w:p>
        </w:tc>
        <w:tc>
          <w:tcPr>
            <w:tcW w:w="1029" w:type="pct"/>
            <w:tcBorders>
              <w:top w:val="single" w:sz="4" w:space="0" w:color="auto"/>
              <w:bottom w:val="single" w:sz="4" w:space="0" w:color="auto"/>
            </w:tcBorders>
            <w:vAlign w:val="center"/>
          </w:tcPr>
          <w:p w14:paraId="66EF1C80" w14:textId="77777777" w:rsidR="00656E62" w:rsidRPr="00701F32" w:rsidRDefault="00656E62" w:rsidP="0007631D">
            <w:pPr>
              <w:tabs>
                <w:tab w:val="left" w:pos="142"/>
              </w:tabs>
              <w:jc w:val="center"/>
              <w:rPr>
                <w:rFonts w:ascii="Arial" w:hAnsi="Arial" w:cs="Arial"/>
                <w:b/>
                <w:sz w:val="18"/>
              </w:rPr>
            </w:pPr>
            <w:r w:rsidRPr="00701F32">
              <w:rPr>
                <w:rFonts w:ascii="Arial" w:hAnsi="Arial" w:cs="Arial"/>
                <w:b/>
                <w:sz w:val="18"/>
              </w:rPr>
              <w:t>3</w:t>
            </w:r>
            <w:r w:rsidR="0007631D" w:rsidRPr="00701F32">
              <w:rPr>
                <w:rFonts w:ascii="Arial" w:hAnsi="Arial" w:cs="Arial"/>
                <w:b/>
                <w:sz w:val="18"/>
              </w:rPr>
              <w:t>0</w:t>
            </w:r>
            <w:r w:rsidRPr="00701F32">
              <w:rPr>
                <w:rFonts w:ascii="Arial" w:hAnsi="Arial" w:cs="Arial"/>
                <w:b/>
                <w:sz w:val="18"/>
              </w:rPr>
              <w:t>/0</w:t>
            </w:r>
            <w:r w:rsidR="00A3374B" w:rsidRPr="00701F32">
              <w:rPr>
                <w:rFonts w:ascii="Arial" w:hAnsi="Arial" w:cs="Arial"/>
                <w:b/>
                <w:sz w:val="18"/>
              </w:rPr>
              <w:t>9</w:t>
            </w:r>
            <w:r w:rsidRPr="00701F32">
              <w:rPr>
                <w:rFonts w:ascii="Arial" w:hAnsi="Arial" w:cs="Arial"/>
                <w:b/>
                <w:sz w:val="18"/>
              </w:rPr>
              <w:t>/2018</w:t>
            </w:r>
          </w:p>
        </w:tc>
        <w:tc>
          <w:tcPr>
            <w:tcW w:w="816" w:type="pct"/>
            <w:tcBorders>
              <w:top w:val="single" w:sz="4" w:space="0" w:color="auto"/>
              <w:bottom w:val="single" w:sz="4" w:space="0" w:color="auto"/>
              <w:right w:val="single" w:sz="4" w:space="0" w:color="auto"/>
            </w:tcBorders>
            <w:vAlign w:val="center"/>
          </w:tcPr>
          <w:p w14:paraId="7E253576" w14:textId="77777777" w:rsidR="00656E62" w:rsidRPr="00701F32" w:rsidRDefault="00656E62" w:rsidP="00464C0F">
            <w:pPr>
              <w:tabs>
                <w:tab w:val="left" w:pos="142"/>
              </w:tabs>
              <w:jc w:val="center"/>
              <w:rPr>
                <w:rFonts w:ascii="Arial" w:hAnsi="Arial" w:cs="Arial"/>
                <w:b/>
                <w:sz w:val="18"/>
              </w:rPr>
            </w:pPr>
            <w:r w:rsidRPr="00701F32">
              <w:rPr>
                <w:rFonts w:ascii="Arial" w:hAnsi="Arial" w:cs="Arial"/>
                <w:b/>
                <w:sz w:val="18"/>
              </w:rPr>
              <w:t>31/12/2017</w:t>
            </w:r>
          </w:p>
        </w:tc>
      </w:tr>
      <w:tr w:rsidR="00656E62" w:rsidRPr="00701F32" w14:paraId="51EFF33D" w14:textId="77777777" w:rsidTr="00701F32">
        <w:trPr>
          <w:trHeight w:val="337"/>
          <w:jc w:val="center"/>
        </w:trPr>
        <w:tc>
          <w:tcPr>
            <w:tcW w:w="3155" w:type="pct"/>
            <w:tcBorders>
              <w:top w:val="single" w:sz="4" w:space="0" w:color="auto"/>
              <w:left w:val="single" w:sz="4" w:space="0" w:color="auto"/>
            </w:tcBorders>
            <w:vAlign w:val="bottom"/>
          </w:tcPr>
          <w:p w14:paraId="0EB8149F" w14:textId="77777777" w:rsidR="00656E62" w:rsidRPr="00701F32" w:rsidRDefault="00656E62" w:rsidP="00C23045">
            <w:pPr>
              <w:ind w:left="154"/>
              <w:rPr>
                <w:rFonts w:ascii="Arial" w:hAnsi="Arial" w:cs="Arial"/>
                <w:sz w:val="18"/>
              </w:rPr>
            </w:pPr>
            <w:r w:rsidRPr="00701F32">
              <w:rPr>
                <w:rFonts w:ascii="Arial" w:hAnsi="Arial" w:cs="Arial"/>
                <w:sz w:val="18"/>
              </w:rPr>
              <w:t>Cuentas corrientes en el BCRA (*)</w:t>
            </w:r>
          </w:p>
        </w:tc>
        <w:tc>
          <w:tcPr>
            <w:tcW w:w="1029" w:type="pct"/>
            <w:tcBorders>
              <w:top w:val="single" w:sz="4" w:space="0" w:color="auto"/>
            </w:tcBorders>
            <w:vAlign w:val="bottom"/>
          </w:tcPr>
          <w:p w14:paraId="46FBCC49" w14:textId="54D92B4E" w:rsidR="00656E62" w:rsidRPr="00701F32" w:rsidRDefault="00E376A1">
            <w:pPr>
              <w:tabs>
                <w:tab w:val="left" w:pos="142"/>
              </w:tabs>
              <w:jc w:val="right"/>
              <w:rPr>
                <w:rFonts w:ascii="Arial" w:hAnsi="Arial" w:cs="Arial"/>
                <w:sz w:val="18"/>
                <w:lang w:val="es-ES_tradnl"/>
              </w:rPr>
            </w:pPr>
            <w:r w:rsidRPr="00701F32">
              <w:rPr>
                <w:rFonts w:ascii="Arial" w:hAnsi="Arial" w:cs="Arial"/>
                <w:sz w:val="18"/>
                <w:lang w:val="es-ES_tradnl"/>
              </w:rPr>
              <w:t>16.137.979</w:t>
            </w:r>
          </w:p>
        </w:tc>
        <w:tc>
          <w:tcPr>
            <w:tcW w:w="816" w:type="pct"/>
            <w:tcBorders>
              <w:top w:val="single" w:sz="4" w:space="0" w:color="auto"/>
              <w:right w:val="single" w:sz="4" w:space="0" w:color="auto"/>
            </w:tcBorders>
            <w:vAlign w:val="bottom"/>
          </w:tcPr>
          <w:p w14:paraId="44D8F305" w14:textId="77777777" w:rsidR="00656E62" w:rsidRPr="00701F32" w:rsidRDefault="00656E62">
            <w:pPr>
              <w:tabs>
                <w:tab w:val="left" w:pos="142"/>
              </w:tabs>
              <w:jc w:val="right"/>
              <w:rPr>
                <w:rFonts w:ascii="Arial" w:hAnsi="Arial" w:cs="Arial"/>
                <w:sz w:val="18"/>
                <w:lang w:val="es-ES_tradnl"/>
              </w:rPr>
            </w:pPr>
            <w:r w:rsidRPr="00701F32">
              <w:rPr>
                <w:rFonts w:ascii="Arial" w:hAnsi="Arial" w:cs="Arial"/>
                <w:sz w:val="18"/>
              </w:rPr>
              <w:t>2.529.004</w:t>
            </w:r>
          </w:p>
        </w:tc>
      </w:tr>
      <w:tr w:rsidR="00656E62" w:rsidRPr="00701F32" w14:paraId="1D61D350" w14:textId="77777777" w:rsidTr="00701F32">
        <w:trPr>
          <w:trHeight w:val="337"/>
          <w:jc w:val="center"/>
        </w:trPr>
        <w:tc>
          <w:tcPr>
            <w:tcW w:w="3155" w:type="pct"/>
            <w:tcBorders>
              <w:left w:val="single" w:sz="4" w:space="0" w:color="auto"/>
            </w:tcBorders>
            <w:vAlign w:val="bottom"/>
          </w:tcPr>
          <w:p w14:paraId="7D533EA0" w14:textId="77777777" w:rsidR="00656E62" w:rsidRPr="00701F32" w:rsidRDefault="00656E62" w:rsidP="00C23045">
            <w:pPr>
              <w:ind w:left="154"/>
              <w:rPr>
                <w:rFonts w:ascii="Arial" w:hAnsi="Arial" w:cs="Arial"/>
                <w:sz w:val="18"/>
              </w:rPr>
            </w:pPr>
            <w:r w:rsidRPr="00701F32">
              <w:rPr>
                <w:rFonts w:ascii="Arial" w:hAnsi="Arial" w:cs="Arial"/>
                <w:sz w:val="18"/>
              </w:rPr>
              <w:t>Cuentas a la vista en el BCRA (*)</w:t>
            </w:r>
          </w:p>
        </w:tc>
        <w:tc>
          <w:tcPr>
            <w:tcW w:w="1029" w:type="pct"/>
            <w:vAlign w:val="bottom"/>
          </w:tcPr>
          <w:p w14:paraId="7D968DA9" w14:textId="2A5F371D" w:rsidR="00656E62" w:rsidRPr="00701F32" w:rsidRDefault="00E376A1">
            <w:pPr>
              <w:tabs>
                <w:tab w:val="left" w:pos="142"/>
              </w:tabs>
              <w:jc w:val="right"/>
              <w:rPr>
                <w:rFonts w:ascii="Arial" w:hAnsi="Arial" w:cs="Arial"/>
                <w:sz w:val="18"/>
                <w:lang w:val="es-ES_tradnl"/>
              </w:rPr>
            </w:pPr>
            <w:r w:rsidRPr="00701F32">
              <w:rPr>
                <w:rFonts w:ascii="Arial" w:hAnsi="Arial" w:cs="Arial"/>
                <w:sz w:val="18"/>
                <w:lang w:val="es-ES_tradnl"/>
              </w:rPr>
              <w:t>12.494.652</w:t>
            </w:r>
          </w:p>
        </w:tc>
        <w:tc>
          <w:tcPr>
            <w:tcW w:w="816" w:type="pct"/>
            <w:tcBorders>
              <w:right w:val="single" w:sz="4" w:space="0" w:color="auto"/>
            </w:tcBorders>
            <w:vAlign w:val="bottom"/>
          </w:tcPr>
          <w:p w14:paraId="13C5913F" w14:textId="77777777" w:rsidR="00656E62" w:rsidRPr="00701F32" w:rsidRDefault="00656E62">
            <w:pPr>
              <w:tabs>
                <w:tab w:val="left" w:pos="142"/>
              </w:tabs>
              <w:jc w:val="right"/>
              <w:rPr>
                <w:rFonts w:ascii="Arial" w:hAnsi="Arial" w:cs="Arial"/>
                <w:sz w:val="18"/>
                <w:lang w:val="es-ES_tradnl"/>
              </w:rPr>
            </w:pPr>
            <w:r w:rsidRPr="00701F32">
              <w:rPr>
                <w:rFonts w:ascii="Arial" w:hAnsi="Arial" w:cs="Arial"/>
                <w:sz w:val="18"/>
              </w:rPr>
              <w:t>4.553.366</w:t>
            </w:r>
          </w:p>
        </w:tc>
      </w:tr>
      <w:tr w:rsidR="00656E62" w:rsidRPr="00701F32" w14:paraId="36E28638" w14:textId="77777777" w:rsidTr="00701F32">
        <w:trPr>
          <w:trHeight w:val="337"/>
          <w:jc w:val="center"/>
        </w:trPr>
        <w:tc>
          <w:tcPr>
            <w:tcW w:w="3155" w:type="pct"/>
            <w:tcBorders>
              <w:left w:val="single" w:sz="4" w:space="0" w:color="auto"/>
            </w:tcBorders>
            <w:vAlign w:val="bottom"/>
          </w:tcPr>
          <w:p w14:paraId="4CF46B18" w14:textId="77777777" w:rsidR="00656E62" w:rsidRPr="00701F32" w:rsidRDefault="00656E62" w:rsidP="00C23045">
            <w:pPr>
              <w:ind w:left="154"/>
              <w:rPr>
                <w:rFonts w:ascii="Arial" w:hAnsi="Arial" w:cs="Arial"/>
                <w:sz w:val="18"/>
              </w:rPr>
            </w:pPr>
            <w:r w:rsidRPr="00701F32">
              <w:rPr>
                <w:rFonts w:ascii="Arial" w:hAnsi="Arial" w:cs="Arial"/>
                <w:sz w:val="18"/>
              </w:rPr>
              <w:t>Cuentas especiales de garantías en el BCRA (*)</w:t>
            </w:r>
          </w:p>
        </w:tc>
        <w:tc>
          <w:tcPr>
            <w:tcW w:w="1029" w:type="pct"/>
            <w:vAlign w:val="bottom"/>
          </w:tcPr>
          <w:p w14:paraId="57BD590D" w14:textId="21D21CF8" w:rsidR="00656E62" w:rsidRPr="00701F32" w:rsidRDefault="00E376A1">
            <w:pPr>
              <w:tabs>
                <w:tab w:val="left" w:pos="142"/>
              </w:tabs>
              <w:jc w:val="right"/>
              <w:rPr>
                <w:rFonts w:ascii="Arial" w:hAnsi="Arial" w:cs="Arial"/>
                <w:sz w:val="18"/>
                <w:lang w:val="es-ES_tradnl"/>
              </w:rPr>
            </w:pPr>
            <w:r w:rsidRPr="00701F32">
              <w:rPr>
                <w:rFonts w:ascii="Arial" w:hAnsi="Arial" w:cs="Arial"/>
                <w:sz w:val="18"/>
                <w:lang w:val="es-ES_tradnl"/>
              </w:rPr>
              <w:t>1.132.573</w:t>
            </w:r>
          </w:p>
        </w:tc>
        <w:tc>
          <w:tcPr>
            <w:tcW w:w="816" w:type="pct"/>
            <w:tcBorders>
              <w:right w:val="single" w:sz="4" w:space="0" w:color="auto"/>
            </w:tcBorders>
            <w:vAlign w:val="bottom"/>
          </w:tcPr>
          <w:p w14:paraId="160E1FB1" w14:textId="77777777" w:rsidR="00656E62" w:rsidRPr="00701F32" w:rsidRDefault="00656E62">
            <w:pPr>
              <w:tabs>
                <w:tab w:val="left" w:pos="142"/>
              </w:tabs>
              <w:jc w:val="right"/>
              <w:rPr>
                <w:rFonts w:ascii="Arial" w:hAnsi="Arial" w:cs="Arial"/>
                <w:sz w:val="18"/>
                <w:lang w:val="es-ES_tradnl"/>
              </w:rPr>
            </w:pPr>
            <w:r w:rsidRPr="00701F32">
              <w:rPr>
                <w:rFonts w:ascii="Arial" w:hAnsi="Arial" w:cs="Arial"/>
                <w:sz w:val="18"/>
              </w:rPr>
              <w:t>753.141</w:t>
            </w:r>
          </w:p>
        </w:tc>
      </w:tr>
      <w:tr w:rsidR="00656E62" w:rsidRPr="00701F32" w14:paraId="76FA3EA7" w14:textId="77777777" w:rsidTr="00701F32">
        <w:trPr>
          <w:trHeight w:val="337"/>
          <w:jc w:val="center"/>
        </w:trPr>
        <w:tc>
          <w:tcPr>
            <w:tcW w:w="3155" w:type="pct"/>
            <w:tcBorders>
              <w:left w:val="single" w:sz="4" w:space="0" w:color="auto"/>
              <w:bottom w:val="single" w:sz="4" w:space="0" w:color="auto"/>
            </w:tcBorders>
            <w:vAlign w:val="bottom"/>
          </w:tcPr>
          <w:p w14:paraId="2B43DFAC" w14:textId="77777777" w:rsidR="00656E62" w:rsidRPr="00701F32" w:rsidRDefault="00656E62" w:rsidP="00C23045">
            <w:pPr>
              <w:ind w:left="154"/>
              <w:rPr>
                <w:rFonts w:ascii="Arial" w:hAnsi="Arial" w:cs="Arial"/>
                <w:sz w:val="18"/>
              </w:rPr>
            </w:pPr>
            <w:r w:rsidRPr="00701F32">
              <w:rPr>
                <w:rFonts w:ascii="Arial" w:hAnsi="Arial" w:cs="Arial"/>
                <w:sz w:val="18"/>
              </w:rPr>
              <w:t>Cuentas especiales para acreditación de haberes(*)</w:t>
            </w:r>
          </w:p>
        </w:tc>
        <w:tc>
          <w:tcPr>
            <w:tcW w:w="1029" w:type="pct"/>
            <w:tcBorders>
              <w:bottom w:val="single" w:sz="4" w:space="0" w:color="auto"/>
            </w:tcBorders>
            <w:vAlign w:val="bottom"/>
          </w:tcPr>
          <w:p w14:paraId="65E88E57" w14:textId="14AE09DF" w:rsidR="00656E62" w:rsidRPr="00701F32" w:rsidRDefault="00E376A1">
            <w:pPr>
              <w:tabs>
                <w:tab w:val="left" w:pos="142"/>
              </w:tabs>
              <w:jc w:val="right"/>
              <w:rPr>
                <w:rFonts w:ascii="Arial" w:hAnsi="Arial" w:cs="Arial"/>
                <w:sz w:val="18"/>
                <w:lang w:val="es-ES_tradnl"/>
              </w:rPr>
            </w:pPr>
            <w:r w:rsidRPr="00701F32">
              <w:rPr>
                <w:rFonts w:ascii="Arial" w:hAnsi="Arial" w:cs="Arial"/>
                <w:sz w:val="18"/>
                <w:lang w:val="es-ES_tradnl"/>
              </w:rPr>
              <w:t>133.854</w:t>
            </w:r>
          </w:p>
        </w:tc>
        <w:tc>
          <w:tcPr>
            <w:tcW w:w="816" w:type="pct"/>
            <w:tcBorders>
              <w:bottom w:val="single" w:sz="4" w:space="0" w:color="auto"/>
              <w:right w:val="single" w:sz="4" w:space="0" w:color="auto"/>
            </w:tcBorders>
            <w:vAlign w:val="bottom"/>
          </w:tcPr>
          <w:p w14:paraId="25A99D0A" w14:textId="77777777" w:rsidR="00656E62" w:rsidRPr="00701F32" w:rsidRDefault="00656E62">
            <w:pPr>
              <w:tabs>
                <w:tab w:val="left" w:pos="142"/>
              </w:tabs>
              <w:jc w:val="right"/>
              <w:rPr>
                <w:rFonts w:ascii="Arial" w:hAnsi="Arial" w:cs="Arial"/>
                <w:sz w:val="18"/>
                <w:lang w:val="es-ES_tradnl"/>
              </w:rPr>
            </w:pPr>
            <w:r w:rsidRPr="00701F32">
              <w:rPr>
                <w:rFonts w:ascii="Arial" w:hAnsi="Arial" w:cs="Arial"/>
                <w:sz w:val="18"/>
              </w:rPr>
              <w:t>-</w:t>
            </w:r>
          </w:p>
        </w:tc>
      </w:tr>
      <w:tr w:rsidR="00656E62" w:rsidRPr="00701F32" w14:paraId="03AE1FFA" w14:textId="77777777" w:rsidTr="00701F32">
        <w:trPr>
          <w:trHeight w:val="461"/>
          <w:jc w:val="center"/>
        </w:trPr>
        <w:tc>
          <w:tcPr>
            <w:tcW w:w="3155" w:type="pct"/>
            <w:tcBorders>
              <w:top w:val="single" w:sz="4" w:space="0" w:color="auto"/>
              <w:left w:val="single" w:sz="4" w:space="0" w:color="auto"/>
              <w:bottom w:val="single" w:sz="4" w:space="0" w:color="auto"/>
            </w:tcBorders>
            <w:vAlign w:val="bottom"/>
          </w:tcPr>
          <w:p w14:paraId="79428B72" w14:textId="77777777" w:rsidR="00656E62" w:rsidRPr="00701F32" w:rsidRDefault="00656E62" w:rsidP="00C23045">
            <w:pPr>
              <w:rPr>
                <w:rFonts w:ascii="Arial" w:hAnsi="Arial" w:cs="Arial"/>
                <w:b/>
                <w:sz w:val="18"/>
              </w:rPr>
            </w:pPr>
            <w:r w:rsidRPr="00701F32">
              <w:rPr>
                <w:rFonts w:ascii="Arial" w:hAnsi="Arial" w:cs="Arial"/>
                <w:b/>
                <w:sz w:val="18"/>
              </w:rPr>
              <w:t xml:space="preserve">   Total</w:t>
            </w:r>
          </w:p>
        </w:tc>
        <w:tc>
          <w:tcPr>
            <w:tcW w:w="1029" w:type="pct"/>
            <w:tcBorders>
              <w:top w:val="single" w:sz="4" w:space="0" w:color="auto"/>
              <w:bottom w:val="single" w:sz="4" w:space="0" w:color="auto"/>
            </w:tcBorders>
            <w:vAlign w:val="bottom"/>
          </w:tcPr>
          <w:p w14:paraId="08EC7B25" w14:textId="73BD7731" w:rsidR="00656E62" w:rsidRPr="00701F32" w:rsidRDefault="00E376A1">
            <w:pPr>
              <w:tabs>
                <w:tab w:val="left" w:pos="142"/>
              </w:tabs>
              <w:jc w:val="right"/>
              <w:rPr>
                <w:rFonts w:ascii="Arial" w:hAnsi="Arial" w:cs="Arial"/>
                <w:b/>
                <w:sz w:val="18"/>
                <w:lang w:val="es-ES_tradnl"/>
              </w:rPr>
            </w:pPr>
            <w:r w:rsidRPr="00701F32">
              <w:rPr>
                <w:rFonts w:ascii="Arial" w:hAnsi="Arial" w:cs="Arial"/>
                <w:b/>
                <w:sz w:val="18"/>
                <w:lang w:val="es-ES_tradnl"/>
              </w:rPr>
              <w:t>29.899.058</w:t>
            </w:r>
          </w:p>
        </w:tc>
        <w:tc>
          <w:tcPr>
            <w:tcW w:w="816" w:type="pct"/>
            <w:tcBorders>
              <w:top w:val="single" w:sz="4" w:space="0" w:color="auto"/>
              <w:bottom w:val="single" w:sz="4" w:space="0" w:color="auto"/>
              <w:right w:val="single" w:sz="4" w:space="0" w:color="auto"/>
            </w:tcBorders>
            <w:vAlign w:val="bottom"/>
          </w:tcPr>
          <w:p w14:paraId="733CEF1D" w14:textId="77777777" w:rsidR="00656E62" w:rsidRPr="00701F32" w:rsidRDefault="00656E62">
            <w:pPr>
              <w:tabs>
                <w:tab w:val="left" w:pos="142"/>
              </w:tabs>
              <w:jc w:val="right"/>
              <w:rPr>
                <w:rFonts w:ascii="Arial" w:hAnsi="Arial" w:cs="Arial"/>
                <w:b/>
                <w:sz w:val="18"/>
                <w:lang w:val="es-ES_tradnl"/>
              </w:rPr>
            </w:pPr>
            <w:r w:rsidRPr="00701F32">
              <w:rPr>
                <w:rFonts w:ascii="Arial" w:hAnsi="Arial" w:cs="Arial"/>
                <w:b/>
                <w:sz w:val="18"/>
              </w:rPr>
              <w:t>7.835.511</w:t>
            </w:r>
          </w:p>
        </w:tc>
      </w:tr>
    </w:tbl>
    <w:p w14:paraId="4A0D77C9" w14:textId="77777777" w:rsidR="00656E62" w:rsidRPr="00701F32" w:rsidRDefault="00656E62" w:rsidP="00656E62">
      <w:pPr>
        <w:tabs>
          <w:tab w:val="left" w:pos="142"/>
        </w:tabs>
        <w:jc w:val="both"/>
        <w:rPr>
          <w:rFonts w:ascii="Arial" w:hAnsi="Arial" w:cs="Arial"/>
          <w:sz w:val="20"/>
        </w:rPr>
      </w:pPr>
    </w:p>
    <w:p w14:paraId="01B93C2E"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 xml:space="preserve"> (*) Corresponden a saldos según extractos bancarios.</w:t>
      </w:r>
    </w:p>
    <w:p w14:paraId="3A46623D" w14:textId="77777777" w:rsidR="00656E62" w:rsidRPr="00701F32" w:rsidRDefault="00656E62" w:rsidP="00656E62">
      <w:pPr>
        <w:tabs>
          <w:tab w:val="left" w:pos="142"/>
        </w:tabs>
        <w:jc w:val="both"/>
        <w:rPr>
          <w:rFonts w:ascii="Arial" w:hAnsi="Arial" w:cs="Arial"/>
          <w:sz w:val="20"/>
        </w:rPr>
      </w:pPr>
    </w:p>
    <w:p w14:paraId="39339A7A" w14:textId="53B9347E" w:rsidR="00976DC6" w:rsidRPr="00701F32" w:rsidRDefault="00656E62" w:rsidP="00976DC6">
      <w:pPr>
        <w:tabs>
          <w:tab w:val="left" w:pos="142"/>
        </w:tabs>
        <w:jc w:val="both"/>
        <w:rPr>
          <w:rFonts w:ascii="Arial" w:hAnsi="Arial" w:cs="Arial"/>
          <w:sz w:val="20"/>
        </w:rPr>
      </w:pPr>
      <w:r w:rsidRPr="00701F32">
        <w:rPr>
          <w:rFonts w:ascii="Arial" w:hAnsi="Arial" w:cs="Arial"/>
          <w:sz w:val="20"/>
        </w:rPr>
        <w:t>Cabe señalar que en dichas fechas la Entidad no presentaba incumplimientos en la integración del efectivo mínimo</w:t>
      </w:r>
      <w:r w:rsidR="007A783F" w:rsidRPr="00701F32">
        <w:rPr>
          <w:rFonts w:ascii="Arial" w:hAnsi="Arial" w:cs="Arial"/>
          <w:sz w:val="20"/>
        </w:rPr>
        <w:t>.</w:t>
      </w:r>
      <w:r w:rsidR="00976DC6" w:rsidRPr="00701F32">
        <w:rPr>
          <w:rFonts w:ascii="Arial" w:hAnsi="Arial" w:cs="Arial"/>
          <w:sz w:val="20"/>
        </w:rPr>
        <w:t xml:space="preserve"> </w:t>
      </w:r>
    </w:p>
    <w:p w14:paraId="0BB9FC69" w14:textId="77777777" w:rsidR="00656E62" w:rsidRPr="00701F32" w:rsidRDefault="00656E62" w:rsidP="00656E62">
      <w:pPr>
        <w:tabs>
          <w:tab w:val="left" w:pos="142"/>
        </w:tabs>
        <w:jc w:val="both"/>
        <w:rPr>
          <w:rFonts w:ascii="Arial" w:hAnsi="Arial" w:cs="Arial"/>
          <w:sz w:val="20"/>
        </w:rPr>
      </w:pPr>
    </w:p>
    <w:p w14:paraId="7915038F" w14:textId="77777777" w:rsidR="00656E62" w:rsidRPr="00701F32" w:rsidRDefault="00D57127" w:rsidP="00656E62">
      <w:pPr>
        <w:tabs>
          <w:tab w:val="left" w:pos="142"/>
        </w:tabs>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.7 Sanciones aplicadas a la Entidad financiera y sumarios iniciados por el BCRA</w:t>
      </w:r>
    </w:p>
    <w:p w14:paraId="363686BA" w14:textId="77777777" w:rsidR="00656E62" w:rsidRPr="00701F32" w:rsidRDefault="00656E62" w:rsidP="00656E62">
      <w:pPr>
        <w:tabs>
          <w:tab w:val="left" w:pos="142"/>
        </w:tabs>
        <w:jc w:val="both"/>
        <w:rPr>
          <w:rFonts w:ascii="Arial" w:hAnsi="Arial" w:cs="Arial"/>
          <w:b/>
          <w:sz w:val="20"/>
        </w:rPr>
      </w:pPr>
    </w:p>
    <w:p w14:paraId="660AD7A2"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 xml:space="preserve">1. </w:t>
      </w:r>
      <w:r w:rsidRPr="00701F32">
        <w:rPr>
          <w:rFonts w:ascii="Arial" w:hAnsi="Arial" w:cs="Arial"/>
          <w:sz w:val="20"/>
          <w:u w:val="single"/>
        </w:rPr>
        <w:t>Sanciones aplicadas por la Unidad de Información Financiera (UIF)</w:t>
      </w:r>
    </w:p>
    <w:p w14:paraId="48FF3C84"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Se trata del sumario caratulado “Banco Supervielle S.A. s/ Infracción Art. 21, Ley 25.246, Expediente N° 147/2013.</w:t>
      </w:r>
    </w:p>
    <w:p w14:paraId="02C1658E" w14:textId="77777777" w:rsidR="00AA2A28" w:rsidRPr="00701F32" w:rsidRDefault="00AA2A28" w:rsidP="00AA2A28">
      <w:pPr>
        <w:tabs>
          <w:tab w:val="left" w:pos="142"/>
        </w:tabs>
        <w:jc w:val="both"/>
        <w:rPr>
          <w:rFonts w:ascii="Arial" w:hAnsi="Arial" w:cs="Arial"/>
          <w:sz w:val="20"/>
        </w:rPr>
      </w:pPr>
    </w:p>
    <w:p w14:paraId="5061A4A5"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Fecha de notificación y N° de resolución</w:t>
      </w:r>
      <w:r w:rsidRPr="00701F32">
        <w:rPr>
          <w:rFonts w:ascii="Arial" w:hAnsi="Arial" w:cs="Arial"/>
          <w:sz w:val="20"/>
        </w:rPr>
        <w:t>: La resolución por medio de la cual se inició el presente expediente es la N° 362/13 de fecha 29 de agosto de 2013. Posteriormente, en fecha 17 de junio de 2014 el presidente de la UIF, mediante resolución N° 284, decretó a su vez imponer una multa.</w:t>
      </w:r>
    </w:p>
    <w:p w14:paraId="4CF6204A"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Motivo de la sanción</w:t>
      </w:r>
      <w:r w:rsidRPr="00701F32">
        <w:rPr>
          <w:rFonts w:ascii="Arial" w:hAnsi="Arial" w:cs="Arial"/>
          <w:sz w:val="20"/>
        </w:rPr>
        <w:t>: Infracción al art. 21 de la Ley 25.246.</w:t>
      </w:r>
    </w:p>
    <w:p w14:paraId="19419944"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Monto aplicado</w:t>
      </w:r>
      <w:r w:rsidRPr="00701F32">
        <w:rPr>
          <w:rFonts w:ascii="Arial" w:hAnsi="Arial" w:cs="Arial"/>
          <w:sz w:val="20"/>
        </w:rPr>
        <w:t>: 200.</w:t>
      </w:r>
    </w:p>
    <w:p w14:paraId="04A18C24"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Responsables sancionados</w:t>
      </w:r>
      <w:r w:rsidRPr="00701F32">
        <w:rPr>
          <w:rFonts w:ascii="Arial" w:hAnsi="Arial" w:cs="Arial"/>
          <w:sz w:val="20"/>
        </w:rPr>
        <w:t>: Señores Juan Carlos Nougues, Julio Piekarz, Patricio Supervielle, Richard Gluzman y Aníbal Rodriguez Melgarejo.</w:t>
      </w:r>
    </w:p>
    <w:p w14:paraId="4489EAAA"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Estado de la causa</w:t>
      </w:r>
      <w:r w:rsidRPr="00701F32">
        <w:rPr>
          <w:rFonts w:ascii="Arial" w:hAnsi="Arial" w:cs="Arial"/>
          <w:sz w:val="20"/>
        </w:rPr>
        <w:t>: Con fecha 9 de diciembre de 2013 se presentaron descargos. Dentro del marco del sumario mencionado, se formuló un planteo de nulidad respecto del cual, con fecha 26 de mayo de 2014 no se hizo lugar al mismo. En virtud de ello en fecha 12 de junio de 2014 se presentó un recurso de reconsideración y alzada. Posteriormente, en fecha 17 de junio de 2014, el presidente de la UIF decretó, mediante resolución N° 284, no hacer lugar a dicho recurso. En fecha 3 de julio de 2014 se procedió al pago del monto total por la suma de 200. En fecha 19 de agosto de 2014 se interpuso ante la Cámara Nacional de Apelaciones en lo Contencioso Administrativo, un recurso directo respecto de la Entidad. El mismo quedó radicado bajo el N° 38.559/14 y tramita ante la Sala I de dicha Cámara.</w:t>
      </w:r>
    </w:p>
    <w:p w14:paraId="79FC4E53" w14:textId="77777777" w:rsidR="00AA2A28" w:rsidRPr="00701F32" w:rsidRDefault="00AA2A28" w:rsidP="00AA2A28">
      <w:pPr>
        <w:tabs>
          <w:tab w:val="left" w:pos="142"/>
        </w:tabs>
        <w:jc w:val="both"/>
        <w:rPr>
          <w:rFonts w:ascii="Arial" w:hAnsi="Arial" w:cs="Arial"/>
          <w:sz w:val="20"/>
        </w:rPr>
      </w:pPr>
    </w:p>
    <w:p w14:paraId="5F55CCCC"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En igual sentido, en fecha 20 de agosto de 2014 se presentó un recurso directo respecto a los Sres. Supervielle, Piekarz, Nougues, Gluzman y Rodriguez Melgarejo, el cual quedó radicado bajo el N° 38.799/14 en la Sala V de la Cámara mencionada.</w:t>
      </w:r>
    </w:p>
    <w:p w14:paraId="799E97AE" w14:textId="77777777" w:rsidR="00AA2A28" w:rsidRPr="00701F32" w:rsidRDefault="00AA2A28" w:rsidP="00AA2A28">
      <w:pPr>
        <w:tabs>
          <w:tab w:val="left" w:pos="142"/>
        </w:tabs>
        <w:jc w:val="both"/>
        <w:rPr>
          <w:rFonts w:ascii="Arial" w:hAnsi="Arial" w:cs="Arial"/>
          <w:sz w:val="20"/>
        </w:rPr>
      </w:pPr>
    </w:p>
    <w:p w14:paraId="542DEBCA"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Luego de cumplir con las intimaciones cursadas por ambas Salas (pago de tasa de justicia, notificación a la UIF de la presentación de ambos recursos, notificación a la Procuración Nacional del Tesoro de la Nación), se solicitó en ambas Salas se proceda a resolver la conexidad de ambos recursos dado que ambas presentaciones se hicieron en el marco del mismo expediente (sumario. 147/13) y frente a la misma resolución N° 284/14. Con fecha 07 de abril de 2015 se resolvió declarar la conexidad entre ambos recursos.</w:t>
      </w:r>
    </w:p>
    <w:p w14:paraId="00BB8EB6" w14:textId="77777777" w:rsidR="00AA2A28" w:rsidRPr="00701F32" w:rsidRDefault="00AA2A28" w:rsidP="00AA2A28">
      <w:pPr>
        <w:tabs>
          <w:tab w:val="left" w:pos="142"/>
        </w:tabs>
        <w:jc w:val="both"/>
        <w:rPr>
          <w:rFonts w:ascii="Arial" w:hAnsi="Arial" w:cs="Arial"/>
          <w:sz w:val="20"/>
        </w:rPr>
      </w:pPr>
    </w:p>
    <w:p w14:paraId="365E85EE"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Durante el mes de septiembre del año 2016 la Sala I de la Cámara Contencioso Administrativo Federal resolvió desestimar los agravios expresados por las partes al momento de la interposición de los recursos.</w:t>
      </w:r>
    </w:p>
    <w:p w14:paraId="6344BC93" w14:textId="77777777" w:rsidR="00AA2A28" w:rsidRPr="00701F32" w:rsidRDefault="00AA2A28" w:rsidP="00AA2A28">
      <w:pPr>
        <w:tabs>
          <w:tab w:val="left" w:pos="142"/>
        </w:tabs>
        <w:jc w:val="both"/>
        <w:rPr>
          <w:rFonts w:ascii="Arial" w:hAnsi="Arial" w:cs="Arial"/>
          <w:sz w:val="20"/>
        </w:rPr>
      </w:pPr>
    </w:p>
    <w:p w14:paraId="5F0332C9"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Por último, dado que el monto de la sanción fue ingresado, no corresponde registrar previsiones contables.</w:t>
      </w:r>
    </w:p>
    <w:p w14:paraId="18C02BA1" w14:textId="77777777" w:rsidR="00AA2A28" w:rsidRPr="00701F32" w:rsidRDefault="00AA2A28" w:rsidP="00AA2A28">
      <w:pPr>
        <w:tabs>
          <w:tab w:val="left" w:pos="142"/>
        </w:tabs>
        <w:jc w:val="both"/>
        <w:rPr>
          <w:rFonts w:ascii="Arial" w:hAnsi="Arial" w:cs="Arial"/>
          <w:sz w:val="20"/>
        </w:rPr>
      </w:pPr>
    </w:p>
    <w:p w14:paraId="1F567477"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 xml:space="preserve">2. </w:t>
      </w:r>
      <w:r w:rsidRPr="00701F32">
        <w:rPr>
          <w:rFonts w:ascii="Arial" w:hAnsi="Arial" w:cs="Arial"/>
          <w:sz w:val="20"/>
          <w:u w:val="single"/>
        </w:rPr>
        <w:t>Sumarios iniciados por el BCRA</w:t>
      </w:r>
    </w:p>
    <w:p w14:paraId="52BEBCD1" w14:textId="77777777" w:rsidR="00AA2A28" w:rsidRPr="00701F32" w:rsidRDefault="00AA2A28" w:rsidP="00AA2A28">
      <w:pPr>
        <w:tabs>
          <w:tab w:val="left" w:pos="142"/>
        </w:tabs>
        <w:jc w:val="both"/>
        <w:rPr>
          <w:rFonts w:ascii="Arial" w:hAnsi="Arial" w:cs="Arial"/>
          <w:sz w:val="20"/>
        </w:rPr>
      </w:pPr>
    </w:p>
    <w:p w14:paraId="7A5E719E"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2.1. Banco Central de la República Argentina: “Supervielle S/ Sumario Penal Cambiario. Expte. Nº 100.936/07 (3928)”:</w:t>
      </w:r>
    </w:p>
    <w:p w14:paraId="1439B67C" w14:textId="77777777" w:rsidR="00AA2A28" w:rsidRPr="00701F32" w:rsidRDefault="00AA2A28" w:rsidP="00AA2A28">
      <w:pPr>
        <w:tabs>
          <w:tab w:val="left" w:pos="142"/>
        </w:tabs>
        <w:jc w:val="both"/>
        <w:rPr>
          <w:rFonts w:ascii="Arial" w:hAnsi="Arial" w:cs="Arial"/>
          <w:sz w:val="20"/>
        </w:rPr>
      </w:pPr>
    </w:p>
    <w:p w14:paraId="051A5EBC"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Fecha de notificación y N° de sumario</w:t>
      </w:r>
      <w:r w:rsidRPr="00701F32">
        <w:rPr>
          <w:rFonts w:ascii="Arial" w:hAnsi="Arial" w:cs="Arial"/>
          <w:sz w:val="20"/>
        </w:rPr>
        <w:t>: iniciado por Resolución N° 535 del 8 de septiembre de 2008.</w:t>
      </w:r>
    </w:p>
    <w:p w14:paraId="5FB101CD"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Cargo imputado</w:t>
      </w:r>
      <w:r w:rsidRPr="00701F32">
        <w:rPr>
          <w:rFonts w:ascii="Arial" w:hAnsi="Arial" w:cs="Arial"/>
          <w:sz w:val="20"/>
        </w:rPr>
        <w:t>: Exceso en venta de dólares estadounidenses.</w:t>
      </w:r>
    </w:p>
    <w:p w14:paraId="249EF575"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Personas Sumariadas</w:t>
      </w:r>
      <w:r w:rsidRPr="00701F32">
        <w:rPr>
          <w:rFonts w:ascii="Arial" w:hAnsi="Arial" w:cs="Arial"/>
          <w:sz w:val="20"/>
        </w:rPr>
        <w:t>: Ricardo Pablo Villaverde, Raúl Oscar Pastor, Christian Bellanti, Fernando Suarez y de las Sras. Andrea Marisa Suarez, Eleonora Gabriela Laurini de Morolli.</w:t>
      </w:r>
    </w:p>
    <w:p w14:paraId="013B5722"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Estado Actual</w:t>
      </w:r>
      <w:r w:rsidRPr="00701F32">
        <w:rPr>
          <w:rFonts w:ascii="Arial" w:hAnsi="Arial" w:cs="Arial"/>
          <w:sz w:val="20"/>
        </w:rPr>
        <w:t>: con fecha 25 de junio de 2013 el BCRA resolvió no hacer lugar a la excepción de falta de acción por prescripción de la acción penal interpuesta como así tampoco a la aplicación del principio de ley penal más benigna; contra ello la Entidad presentó recurso de apelación. Con fecha 9 de febrero de 2015, se resolvió no conceder el recurso de apelación interpuesto.</w:t>
      </w:r>
    </w:p>
    <w:p w14:paraId="5C8A6DB8" w14:textId="77777777" w:rsidR="00AA2A28" w:rsidRPr="00701F32" w:rsidRDefault="00AA2A28" w:rsidP="00AA2A28">
      <w:pPr>
        <w:tabs>
          <w:tab w:val="left" w:pos="142"/>
        </w:tabs>
        <w:jc w:val="both"/>
        <w:rPr>
          <w:rFonts w:ascii="Arial" w:hAnsi="Arial" w:cs="Arial"/>
          <w:sz w:val="20"/>
        </w:rPr>
      </w:pPr>
    </w:p>
    <w:p w14:paraId="45A018CA"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A raíz de ello, con fecha 20 de febrero de 2015, la Entidad interpuso recurso de queja el cual quedó radicado en el Juzgado Nacional en lo Penal Económico N° 5, bajo el N° 111/15. Con fecha 13 de abril de 2015 dicho Juzgado resolvió rechazar la queja, de modo que el 24 de abril de 2015 se devolvió el expediente al BCRA. Con fecha 3 de noviembre de 2015 se presentó ante el BCRA el memorial correspondiente en los términos del art. 8 inc c) de la Ley de Régimen Penal Cambiario.</w:t>
      </w:r>
    </w:p>
    <w:p w14:paraId="29E3E6BC"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Luego de ello, concluido el trámite del sumario cambiario de referencia en el Banco Central de la República Argentina, ese organismo –según lo dispuesto por el art. 8° de la Ley del Régimen Penal Cambiario -, se elevó para el sorteo a la Excelentísima Cámara de Apelaciones del Fuero Penal económico en estado de conclusa para definitiva a fin de que se continuara la tramitación de conformidad con lo dispuesto por el art.9 de la ley 19.359 (T.O. por Decreto N° 480/95). Quedando el expediente radicado por ante el Juzgado Nacional en lo Penal Económico N° 5, Secretaría 9 bajo el N° 121/16 donde el 25 de agosto de 2016 se acompañó a audiencia art. 41 a Suarez Andrea, Morolli y Bellanti. Por Fernando Suarez, se dejó escrito haciendo constar que aún no se ha podido contactar. Por el momento no hay novedades.</w:t>
      </w:r>
    </w:p>
    <w:p w14:paraId="27177C9C" w14:textId="77777777" w:rsidR="00AA2A28" w:rsidRPr="00701F32" w:rsidRDefault="00AA2A28" w:rsidP="00AA2A28">
      <w:pPr>
        <w:tabs>
          <w:tab w:val="left" w:pos="142"/>
        </w:tabs>
        <w:jc w:val="both"/>
        <w:rPr>
          <w:rFonts w:ascii="Arial" w:hAnsi="Arial" w:cs="Arial"/>
          <w:sz w:val="20"/>
        </w:rPr>
      </w:pPr>
    </w:p>
    <w:p w14:paraId="4B143CFF"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La defensa de Ricardo Pablo Villaverde planteó la extinción de la acción penal por aplicación de la ley penal más benigna que fue rechazada por el Juzgado, y al apelar, la Sala A de la Cámara Nacional de Apelaciones en lo Penal Económico revocó dicha resolución e hizo lugar al planteo. El Ministerio Público Fiscal presentó Recurso Extraordinario contra la resolución de Cámara que, con fecha 21 de noviembre de 2017, fue rechazado ante lo cual el Fiscal presentó queja ante la Corte Suprema de Justicia de la Nación que en este momento se encuentra a estudio.</w:t>
      </w:r>
    </w:p>
    <w:p w14:paraId="6274D1AF" w14:textId="77777777" w:rsidR="00AA2A28" w:rsidRPr="00701F32" w:rsidRDefault="00AA2A28" w:rsidP="00AA2A28">
      <w:pPr>
        <w:tabs>
          <w:tab w:val="left" w:pos="142"/>
        </w:tabs>
        <w:jc w:val="both"/>
        <w:rPr>
          <w:rFonts w:ascii="Arial" w:hAnsi="Arial" w:cs="Arial"/>
          <w:sz w:val="20"/>
        </w:rPr>
      </w:pPr>
    </w:p>
    <w:p w14:paraId="369D189E"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rPr>
        <w:t>2.2. Supervielle S/Sumario Penal Cambiario Expte. N° 48.225/07 (5424).</w:t>
      </w:r>
    </w:p>
    <w:p w14:paraId="43C62A68" w14:textId="77777777" w:rsidR="00AA2A28" w:rsidRPr="00701F32" w:rsidRDefault="00AA2A28" w:rsidP="00AA2A28">
      <w:pPr>
        <w:tabs>
          <w:tab w:val="left" w:pos="142"/>
        </w:tabs>
        <w:jc w:val="both"/>
        <w:rPr>
          <w:rFonts w:ascii="Arial" w:hAnsi="Arial" w:cs="Arial"/>
          <w:sz w:val="20"/>
        </w:rPr>
      </w:pPr>
    </w:p>
    <w:p w14:paraId="2455BCC9"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Fecha de inicio</w:t>
      </w:r>
      <w:r w:rsidRPr="00701F32">
        <w:rPr>
          <w:rFonts w:ascii="Arial" w:hAnsi="Arial" w:cs="Arial"/>
          <w:sz w:val="20"/>
        </w:rPr>
        <w:t>: 31 de julio de 2013.</w:t>
      </w:r>
    </w:p>
    <w:p w14:paraId="08383F2B"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Personas Sumariadas</w:t>
      </w:r>
      <w:r w:rsidRPr="00701F32">
        <w:rPr>
          <w:rFonts w:ascii="Arial" w:hAnsi="Arial" w:cs="Arial"/>
          <w:sz w:val="20"/>
        </w:rPr>
        <w:t>: Defensa de la Entidad y de los señores Jorge Di Péntima y Alberto Cid.</w:t>
      </w:r>
    </w:p>
    <w:p w14:paraId="70DC076B" w14:textId="77777777" w:rsidR="00AA2A28" w:rsidRPr="00701F32" w:rsidRDefault="00AA2A28" w:rsidP="00AA2A28">
      <w:pPr>
        <w:tabs>
          <w:tab w:val="left" w:pos="142"/>
        </w:tabs>
        <w:jc w:val="both"/>
        <w:rPr>
          <w:rFonts w:ascii="Arial" w:hAnsi="Arial" w:cs="Arial"/>
          <w:sz w:val="20"/>
        </w:rPr>
      </w:pPr>
      <w:r w:rsidRPr="00701F32">
        <w:rPr>
          <w:rFonts w:ascii="Arial" w:hAnsi="Arial" w:cs="Arial"/>
          <w:sz w:val="20"/>
          <w:u w:val="single"/>
        </w:rPr>
        <w:t>Cargo Imputado</w:t>
      </w:r>
      <w:r w:rsidRPr="00701F32">
        <w:rPr>
          <w:rFonts w:ascii="Arial" w:hAnsi="Arial" w:cs="Arial"/>
          <w:sz w:val="20"/>
        </w:rPr>
        <w:t>: Venta de dólares a Inhabilitados.</w:t>
      </w:r>
    </w:p>
    <w:p w14:paraId="48E98003" w14:textId="441599EB" w:rsidR="00656E62" w:rsidRDefault="00AA2A28" w:rsidP="00AA2A28">
      <w:pPr>
        <w:tabs>
          <w:tab w:val="left" w:pos="142"/>
        </w:tabs>
        <w:jc w:val="both"/>
        <w:rPr>
          <w:rFonts w:ascii="Arial" w:hAnsi="Arial" w:cs="Arial"/>
          <w:sz w:val="20"/>
        </w:rPr>
      </w:pPr>
      <w:r w:rsidRPr="00701F32">
        <w:rPr>
          <w:rFonts w:ascii="Arial" w:hAnsi="Arial" w:cs="Arial"/>
          <w:sz w:val="20"/>
          <w:u w:val="single"/>
        </w:rPr>
        <w:t>Estado Actual</w:t>
      </w:r>
      <w:r w:rsidRPr="00701F32">
        <w:rPr>
          <w:rFonts w:ascii="Arial" w:hAnsi="Arial" w:cs="Arial"/>
          <w:sz w:val="20"/>
        </w:rPr>
        <w:t>: con fecha 12 de febrero de 2015 el BCRA resolvió abrir el presente sumario a prueba por el término de 20 días hábiles bancarios, en los términos del artículo 8° de la Ley del Régimen Penal Cambiario. En ese sentido, se dispuso librar oficio al Departamento de Recursos Humanos de la Entidad y citar a las señoras Claudia Andretto y Mónica Carrizo a prestar declaración testimonial para el día 15 de abril de 2015, quienes efectivamente se presentaron a declarar. Con fecha 12 de junio de 2015 se respondió el oficio. Con fecha 14 de diciembre de 2017 se cerró el período de prueba, y el día 18 de diciembre de 2017 se presentó el memorial y se planteó la prescripción de la acción. El día 1 de marzo de 2018 el BCRA resolvió no hacer lugar al planteo de nulidad y a la violación de la garantía de ser Juzgado en un plazo justo. Contra dicha resolución, el día 15 de marzo de 2018, se interpuso recurso de apelación que fue rechazado el día 21 de marzo de 2018. Luego, el 23 de marzo de 2018 se presentó el escrito manifestando que se consiente la resolución y que se hace reserva de plantear su nulidad. El BCRA declaró concluido el sumario y lo elevó al Juzgado Penal Económico N° 11, Secretaría N° 22, en el cual ingresó bajo el N° 645/2018 y a la fecha no hay novedades.</w:t>
      </w:r>
    </w:p>
    <w:p w14:paraId="24D1FE57" w14:textId="20B37617" w:rsidR="00841E78" w:rsidRDefault="00841E78" w:rsidP="00656E62">
      <w:pPr>
        <w:tabs>
          <w:tab w:val="left" w:pos="142"/>
        </w:tabs>
        <w:jc w:val="both"/>
        <w:rPr>
          <w:rFonts w:ascii="Arial" w:hAnsi="Arial" w:cs="Arial"/>
          <w:sz w:val="20"/>
        </w:rPr>
      </w:pPr>
    </w:p>
    <w:p w14:paraId="09930A1D" w14:textId="77777777" w:rsidR="00656E62" w:rsidRPr="00701F32" w:rsidRDefault="00D57127" w:rsidP="00701F32">
      <w:pPr>
        <w:rPr>
          <w:rFonts w:ascii="Arial" w:hAnsi="Arial" w:cs="Arial"/>
          <w:b/>
          <w:sz w:val="20"/>
        </w:rPr>
      </w:pPr>
      <w:r w:rsidRPr="00701F32">
        <w:rPr>
          <w:rFonts w:ascii="Arial" w:hAnsi="Arial" w:cs="Arial"/>
          <w:b/>
          <w:sz w:val="20"/>
        </w:rPr>
        <w:t>15</w:t>
      </w:r>
      <w:r w:rsidR="00656E62" w:rsidRPr="00701F32">
        <w:rPr>
          <w:rFonts w:ascii="Arial" w:hAnsi="Arial" w:cs="Arial"/>
          <w:b/>
          <w:sz w:val="20"/>
        </w:rPr>
        <w:t>.8 Emisión de obligaciones negociables</w:t>
      </w:r>
    </w:p>
    <w:p w14:paraId="68F7AAF0" w14:textId="77777777" w:rsidR="00656E62" w:rsidRPr="00701F32" w:rsidRDefault="00656E62" w:rsidP="00656E62">
      <w:pPr>
        <w:tabs>
          <w:tab w:val="left" w:pos="142"/>
        </w:tabs>
        <w:jc w:val="both"/>
        <w:rPr>
          <w:rFonts w:ascii="Arial" w:hAnsi="Arial" w:cs="Arial"/>
          <w:b/>
          <w:sz w:val="20"/>
        </w:rPr>
      </w:pPr>
    </w:p>
    <w:p w14:paraId="0D83CFC8" w14:textId="77777777" w:rsidR="00413157" w:rsidRPr="00701F32" w:rsidRDefault="00413157" w:rsidP="00413157">
      <w:pPr>
        <w:pStyle w:val="PrimerNivel"/>
        <w:numPr>
          <w:ilvl w:val="0"/>
          <w:numId w:val="0"/>
        </w:numPr>
        <w:rPr>
          <w:rFonts w:ascii="Arial" w:hAnsi="Arial" w:cs="Arial"/>
          <w:b/>
          <w:sz w:val="20"/>
        </w:rPr>
      </w:pPr>
      <w:r w:rsidRPr="00701F32">
        <w:rPr>
          <w:rFonts w:ascii="Arial" w:hAnsi="Arial" w:cs="Arial"/>
          <w:b/>
          <w:sz w:val="20"/>
        </w:rPr>
        <w:t>Obligaciones Negociables no subordinadas</w:t>
      </w:r>
    </w:p>
    <w:p w14:paraId="14C6D565" w14:textId="77777777" w:rsidR="00413157" w:rsidRPr="00701F32" w:rsidRDefault="00413157" w:rsidP="00413157">
      <w:pPr>
        <w:tabs>
          <w:tab w:val="left" w:pos="142"/>
          <w:tab w:val="left" w:pos="9923"/>
        </w:tabs>
        <w:jc w:val="both"/>
        <w:rPr>
          <w:rFonts w:ascii="Arial" w:hAnsi="Arial" w:cs="Arial"/>
          <w:sz w:val="20"/>
        </w:rPr>
      </w:pPr>
    </w:p>
    <w:p w14:paraId="2AF53DD6" w14:textId="77777777" w:rsidR="00413157" w:rsidRPr="00701F32" w:rsidRDefault="00413157" w:rsidP="00413157">
      <w:pPr>
        <w:spacing w:line="220" w:lineRule="exact"/>
        <w:jc w:val="both"/>
        <w:rPr>
          <w:rFonts w:ascii="Arial" w:hAnsi="Arial" w:cs="Arial"/>
          <w:sz w:val="20"/>
        </w:rPr>
      </w:pPr>
      <w:r w:rsidRPr="00701F32">
        <w:rPr>
          <w:rFonts w:ascii="Arial" w:hAnsi="Arial" w:cs="Arial"/>
          <w:sz w:val="20"/>
        </w:rPr>
        <w:t>Con fecha 25 de abril de 2013, la Asamblea General Ordinaria y Extraordinaria de Accionistas N° 39, resolvió aprobar la creación de un Programa Global de emisión de Obligaciones Negociables (el “Programa”) por hasta un monto máximo en circulación de $500.000.000. El Programa fue autorizado por la Comisión Nacional de Valores (la “CNV”) a través de la Resolución N° 17.165 de fecha 15 de agosto de 2013. Con fecha 18 de abril de 2016, la Asamblea General Ordinaria y Extraordinaria de Accionistas N° 43, aprobó la ampliación del monto total del Programa a un valor nominal de hasta $ 1.000.000.000. Dicha ampliación fue aprobada por el directorio de la CNV, mediante Resolución N°18.296 de fecha 27 de octubre de 2016. Con fecha 22 de marzo de 2017, la Asamblea General Extraordinaria de Accionistas N° 45, resolvió aprobar el aumento del monto máximo del Programa a un valor nominal de hasta $ 2.500.000.000. Dicha ampliación fue aprobada por el directorio de la CNV, mediante Resolución N°18.608 de fecha 12 de abril de 2017.</w:t>
      </w:r>
    </w:p>
    <w:p w14:paraId="1D5212C9" w14:textId="77777777" w:rsidR="00413157" w:rsidRPr="00701F32" w:rsidRDefault="00413157" w:rsidP="00413157">
      <w:pPr>
        <w:jc w:val="both"/>
        <w:rPr>
          <w:rFonts w:ascii="Arial" w:hAnsi="Arial" w:cs="Arial"/>
          <w:sz w:val="20"/>
        </w:rPr>
      </w:pPr>
    </w:p>
    <w:p w14:paraId="70A76CE7" w14:textId="77777777" w:rsidR="00413157" w:rsidRPr="00701F32" w:rsidRDefault="00413157" w:rsidP="00413157">
      <w:pPr>
        <w:tabs>
          <w:tab w:val="left" w:pos="142"/>
          <w:tab w:val="left" w:pos="9923"/>
        </w:tabs>
        <w:jc w:val="both"/>
        <w:rPr>
          <w:rFonts w:ascii="Arial" w:hAnsi="Arial" w:cs="Arial"/>
          <w:b/>
          <w:sz w:val="20"/>
        </w:rPr>
      </w:pPr>
      <w:r w:rsidRPr="00701F32">
        <w:rPr>
          <w:rFonts w:ascii="Arial" w:hAnsi="Arial" w:cs="Arial"/>
          <w:b/>
          <w:sz w:val="20"/>
        </w:rPr>
        <w:t>Programa Global de Emisión de Títulos de Mediano Plazo por hasta V/N US$ 800.000.000</w:t>
      </w:r>
    </w:p>
    <w:p w14:paraId="6209C97C" w14:textId="77777777" w:rsidR="00413157" w:rsidRPr="00701F32" w:rsidRDefault="00413157" w:rsidP="00413157">
      <w:pPr>
        <w:tabs>
          <w:tab w:val="left" w:pos="142"/>
          <w:tab w:val="left" w:pos="9923"/>
        </w:tabs>
        <w:jc w:val="both"/>
        <w:rPr>
          <w:rFonts w:ascii="Arial" w:hAnsi="Arial" w:cs="Arial"/>
          <w:sz w:val="20"/>
        </w:rPr>
      </w:pPr>
    </w:p>
    <w:p w14:paraId="2C8385B8" w14:textId="77777777" w:rsidR="00413157" w:rsidRPr="00701F32" w:rsidRDefault="00413157" w:rsidP="00413157">
      <w:pPr>
        <w:tabs>
          <w:tab w:val="left" w:pos="142"/>
          <w:tab w:val="left" w:pos="9923"/>
        </w:tabs>
        <w:jc w:val="both"/>
        <w:rPr>
          <w:rFonts w:ascii="Arial" w:hAnsi="Arial" w:cs="Arial"/>
          <w:sz w:val="20"/>
        </w:rPr>
      </w:pPr>
      <w:r w:rsidRPr="00701F32">
        <w:rPr>
          <w:rFonts w:ascii="Arial" w:hAnsi="Arial" w:cs="Arial"/>
          <w:sz w:val="20"/>
        </w:rPr>
        <w:t>Con fecha 22 de septiembre de 2016, la Asamblea General Ordinaria y Extraordinaria N° 117 resolvió aprobar la creación de un Programa Global de Emisión de Obligaciones Negociables por hasta un monto máximo en circulación en cualquier momento durante la vigencia del programa de U$S 800.000.000 (dólares estadounidenses ochocientos millones). El programa fue autorizado por la Comisión Nacional de Valores a través de la Resolución Nº 18.376 de fecha 24 de noviembre de 2016.</w:t>
      </w:r>
    </w:p>
    <w:p w14:paraId="4CADBE5B" w14:textId="77777777" w:rsidR="00413157" w:rsidRPr="00701F32" w:rsidRDefault="00413157" w:rsidP="00413157">
      <w:pPr>
        <w:tabs>
          <w:tab w:val="left" w:pos="142"/>
          <w:tab w:val="left" w:pos="9923"/>
        </w:tabs>
        <w:jc w:val="both"/>
        <w:rPr>
          <w:rFonts w:ascii="Arial" w:hAnsi="Arial" w:cs="Arial"/>
          <w:sz w:val="20"/>
        </w:rPr>
      </w:pPr>
    </w:p>
    <w:p w14:paraId="43C6D212" w14:textId="77777777" w:rsidR="00413157" w:rsidRPr="00701F32" w:rsidRDefault="00413157" w:rsidP="00413157">
      <w:pPr>
        <w:tabs>
          <w:tab w:val="left" w:pos="142"/>
          <w:tab w:val="left" w:pos="9923"/>
        </w:tabs>
        <w:jc w:val="both"/>
        <w:rPr>
          <w:rFonts w:ascii="Arial" w:hAnsi="Arial" w:cs="Arial"/>
          <w:sz w:val="20"/>
        </w:rPr>
      </w:pPr>
      <w:r w:rsidRPr="00701F32">
        <w:rPr>
          <w:rFonts w:ascii="Arial" w:hAnsi="Arial" w:cs="Arial"/>
          <w:sz w:val="20"/>
        </w:rPr>
        <w:t>Con fecha 06 marzo de 2018 se aprobó por acta de asamblea la ampliación del Programa Global de Obligaciones Negociables por U$S 2.300.000.000 (dólares estadounidenses dos mil trescientos millones). Con fecha 16 de abril de 2018 la CNV aprobó el aumento del Programa mediante la resolución Nro 19470.</w:t>
      </w:r>
    </w:p>
    <w:p w14:paraId="3D75CBAA" w14:textId="77777777" w:rsidR="00413157" w:rsidRPr="00701F32" w:rsidRDefault="00413157" w:rsidP="00413157">
      <w:pPr>
        <w:tabs>
          <w:tab w:val="left" w:pos="142"/>
          <w:tab w:val="left" w:pos="9923"/>
        </w:tabs>
        <w:jc w:val="both"/>
        <w:rPr>
          <w:rFonts w:ascii="Arial" w:hAnsi="Arial" w:cs="Arial"/>
          <w:sz w:val="20"/>
        </w:rPr>
      </w:pPr>
    </w:p>
    <w:p w14:paraId="4F4C7FE5" w14:textId="586E7F42" w:rsidR="00656E62" w:rsidRPr="00701F32" w:rsidRDefault="008A0152" w:rsidP="00656E62">
      <w:pPr>
        <w:pStyle w:val="PrimerNivel"/>
        <w:numPr>
          <w:ilvl w:val="0"/>
          <w:numId w:val="0"/>
        </w:numPr>
        <w:rPr>
          <w:rFonts w:ascii="Arial" w:hAnsi="Arial" w:cs="Arial"/>
          <w:sz w:val="20"/>
        </w:rPr>
      </w:pPr>
      <w:r>
        <w:rPr>
          <w:rFonts w:ascii="Arial" w:hAnsi="Arial" w:cs="Arial"/>
          <w:sz w:val="20"/>
        </w:rPr>
        <w:t xml:space="preserve">A </w:t>
      </w:r>
      <w:r w:rsidR="00656E62" w:rsidRPr="00701F32">
        <w:rPr>
          <w:rFonts w:ascii="Arial" w:hAnsi="Arial" w:cs="Arial"/>
          <w:sz w:val="20"/>
        </w:rPr>
        <w:t>continuación se expone un detalle de las emisiones vigentes al 3</w:t>
      </w:r>
      <w:r w:rsidR="00331783" w:rsidRPr="00701F32">
        <w:rPr>
          <w:rFonts w:ascii="Arial" w:hAnsi="Arial" w:cs="Arial"/>
          <w:sz w:val="20"/>
        </w:rPr>
        <w:t>0</w:t>
      </w:r>
      <w:r w:rsidR="00656E62" w:rsidRPr="00701F32">
        <w:rPr>
          <w:rFonts w:ascii="Arial" w:hAnsi="Arial" w:cs="Arial"/>
          <w:sz w:val="20"/>
        </w:rPr>
        <w:t xml:space="preserve"> de </w:t>
      </w:r>
      <w:r w:rsidR="00A3374B" w:rsidRPr="00701F32">
        <w:rPr>
          <w:rFonts w:ascii="Arial" w:hAnsi="Arial" w:cs="Arial"/>
          <w:sz w:val="20"/>
        </w:rPr>
        <w:t>septiembre</w:t>
      </w:r>
      <w:r w:rsidR="00656E62" w:rsidRPr="00701F32">
        <w:rPr>
          <w:rFonts w:ascii="Arial" w:hAnsi="Arial" w:cs="Arial"/>
          <w:sz w:val="20"/>
        </w:rPr>
        <w:t xml:space="preserve"> de 2018 y 31 de diciembre de 2017:</w:t>
      </w:r>
    </w:p>
    <w:p w14:paraId="4C3F457A" w14:textId="77777777" w:rsidR="00CC58AD" w:rsidRPr="00701F32" w:rsidRDefault="00CC58AD" w:rsidP="00656E62">
      <w:pPr>
        <w:pStyle w:val="PrimerNivel"/>
        <w:numPr>
          <w:ilvl w:val="0"/>
          <w:numId w:val="0"/>
        </w:numPr>
        <w:rPr>
          <w:rFonts w:ascii="Arial" w:hAnsi="Arial" w:cs="Arial"/>
          <w:sz w:val="20"/>
        </w:rPr>
      </w:pPr>
    </w:p>
    <w:tbl>
      <w:tblPr>
        <w:tblW w:w="5709" w:type="pct"/>
        <w:tblInd w:w="-15" w:type="dxa"/>
        <w:tblLayout w:type="fixed"/>
        <w:tblCellMar>
          <w:left w:w="70" w:type="dxa"/>
          <w:right w:w="70" w:type="dxa"/>
        </w:tblCellMar>
        <w:tblLook w:val="04A0" w:firstRow="1" w:lastRow="0" w:firstColumn="1" w:lastColumn="0" w:noHBand="0" w:noVBand="1"/>
      </w:tblPr>
      <w:tblGrid>
        <w:gridCol w:w="933"/>
        <w:gridCol w:w="715"/>
        <w:gridCol w:w="565"/>
        <w:gridCol w:w="851"/>
        <w:gridCol w:w="1133"/>
        <w:gridCol w:w="851"/>
        <w:gridCol w:w="1001"/>
        <w:gridCol w:w="1267"/>
        <w:gridCol w:w="851"/>
        <w:gridCol w:w="851"/>
        <w:gridCol w:w="853"/>
      </w:tblGrid>
      <w:tr w:rsidR="004E457F" w:rsidRPr="00701F32" w14:paraId="5E9370D7" w14:textId="77777777" w:rsidTr="007C07F0">
        <w:trPr>
          <w:trHeight w:val="323"/>
          <w:tblHeader/>
        </w:trPr>
        <w:tc>
          <w:tcPr>
            <w:tcW w:w="4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7F906E"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Fecha de colocación</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D4D1A1"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Moneda</w:t>
            </w:r>
          </w:p>
        </w:tc>
        <w:tc>
          <w:tcPr>
            <w:tcW w:w="2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7B0F7D"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Nro. de Clase</w:t>
            </w:r>
          </w:p>
        </w:tc>
        <w:tc>
          <w:tcPr>
            <w:tcW w:w="4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0E0DF1"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Monto</w:t>
            </w:r>
          </w:p>
        </w:tc>
        <w:tc>
          <w:tcPr>
            <w:tcW w:w="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39C719"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Amortización</w:t>
            </w:r>
          </w:p>
        </w:tc>
        <w:tc>
          <w:tcPr>
            <w:tcW w:w="4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97B6F7"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Plazo</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52F400"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Fecha de vencimiento</w:t>
            </w:r>
          </w:p>
        </w:tc>
        <w:tc>
          <w:tcPr>
            <w:tcW w:w="6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678EC5"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Tasa</w:t>
            </w:r>
          </w:p>
        </w:tc>
        <w:tc>
          <w:tcPr>
            <w:tcW w:w="1294" w:type="pct"/>
            <w:gridSpan w:val="3"/>
            <w:tcBorders>
              <w:top w:val="single" w:sz="8" w:space="0" w:color="auto"/>
              <w:left w:val="nil"/>
              <w:bottom w:val="single" w:sz="8" w:space="0" w:color="auto"/>
              <w:right w:val="single" w:sz="8" w:space="0" w:color="000000"/>
            </w:tcBorders>
            <w:shd w:val="clear" w:color="auto" w:fill="auto"/>
            <w:vAlign w:val="center"/>
            <w:hideMark/>
          </w:tcPr>
          <w:p w14:paraId="0ADD15A1" w14:textId="77777777" w:rsidR="004E457F" w:rsidRPr="00701F32" w:rsidRDefault="004E457F" w:rsidP="007C07F0">
            <w:pPr>
              <w:jc w:val="center"/>
              <w:rPr>
                <w:rFonts w:ascii="Arial" w:hAnsi="Arial" w:cs="Arial"/>
                <w:b/>
                <w:color w:val="000000"/>
                <w:sz w:val="14"/>
                <w:szCs w:val="14"/>
                <w:lang w:eastAsia="es-AR"/>
              </w:rPr>
            </w:pPr>
            <w:r w:rsidRPr="00701F32">
              <w:rPr>
                <w:rFonts w:ascii="Arial" w:hAnsi="Arial" w:cs="Arial"/>
                <w:b/>
                <w:color w:val="000000"/>
                <w:sz w:val="14"/>
                <w:szCs w:val="14"/>
                <w:lang w:eastAsia="es-AR"/>
              </w:rPr>
              <w:t>Valor Libros</w:t>
            </w:r>
          </w:p>
        </w:tc>
      </w:tr>
      <w:tr w:rsidR="007D1882" w:rsidRPr="00701F32" w14:paraId="0CAA4776" w14:textId="77777777" w:rsidTr="007C07F0">
        <w:trPr>
          <w:trHeight w:val="323"/>
          <w:tblHeader/>
        </w:trPr>
        <w:tc>
          <w:tcPr>
            <w:tcW w:w="473" w:type="pct"/>
            <w:vMerge/>
            <w:tcBorders>
              <w:top w:val="single" w:sz="8" w:space="0" w:color="auto"/>
              <w:left w:val="single" w:sz="8" w:space="0" w:color="auto"/>
              <w:bottom w:val="single" w:sz="8" w:space="0" w:color="000000"/>
              <w:right w:val="single" w:sz="8" w:space="0" w:color="auto"/>
            </w:tcBorders>
            <w:vAlign w:val="center"/>
            <w:hideMark/>
          </w:tcPr>
          <w:p w14:paraId="595CE084" w14:textId="77777777" w:rsidR="007D1882" w:rsidRPr="00701F32" w:rsidRDefault="007D1882" w:rsidP="007D1882">
            <w:pPr>
              <w:jc w:val="center"/>
              <w:rPr>
                <w:rFonts w:ascii="Arial" w:hAnsi="Arial" w:cs="Arial"/>
                <w:b/>
                <w:color w:val="000000"/>
                <w:sz w:val="14"/>
                <w:szCs w:val="14"/>
                <w:lang w:eastAsia="es-AR"/>
              </w:rPr>
            </w:pPr>
          </w:p>
        </w:tc>
        <w:tc>
          <w:tcPr>
            <w:tcW w:w="362" w:type="pct"/>
            <w:vMerge/>
            <w:tcBorders>
              <w:top w:val="single" w:sz="8" w:space="0" w:color="auto"/>
              <w:left w:val="single" w:sz="8" w:space="0" w:color="auto"/>
              <w:bottom w:val="single" w:sz="8" w:space="0" w:color="000000"/>
              <w:right w:val="single" w:sz="8" w:space="0" w:color="auto"/>
            </w:tcBorders>
            <w:vAlign w:val="center"/>
            <w:hideMark/>
          </w:tcPr>
          <w:p w14:paraId="5B1DFDD2" w14:textId="77777777" w:rsidR="007D1882" w:rsidRPr="00701F32" w:rsidRDefault="007D1882" w:rsidP="007D1882">
            <w:pPr>
              <w:jc w:val="center"/>
              <w:rPr>
                <w:rFonts w:ascii="Arial" w:hAnsi="Arial" w:cs="Arial"/>
                <w:b/>
                <w:color w:val="000000"/>
                <w:sz w:val="14"/>
                <w:szCs w:val="14"/>
                <w:lang w:eastAsia="es-AR"/>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289F4146" w14:textId="77777777" w:rsidR="007D1882" w:rsidRPr="00701F32" w:rsidRDefault="007D1882" w:rsidP="007D1882">
            <w:pPr>
              <w:jc w:val="center"/>
              <w:rPr>
                <w:rFonts w:ascii="Arial" w:hAnsi="Arial" w:cs="Arial"/>
                <w:b/>
                <w:color w:val="000000"/>
                <w:sz w:val="14"/>
                <w:szCs w:val="14"/>
                <w:lang w:eastAsia="es-AR"/>
              </w:rPr>
            </w:pPr>
          </w:p>
        </w:tc>
        <w:tc>
          <w:tcPr>
            <w:tcW w:w="431" w:type="pct"/>
            <w:vMerge/>
            <w:tcBorders>
              <w:top w:val="single" w:sz="8" w:space="0" w:color="auto"/>
              <w:left w:val="single" w:sz="8" w:space="0" w:color="auto"/>
              <w:bottom w:val="single" w:sz="8" w:space="0" w:color="000000"/>
              <w:right w:val="single" w:sz="8" w:space="0" w:color="auto"/>
            </w:tcBorders>
            <w:vAlign w:val="center"/>
            <w:hideMark/>
          </w:tcPr>
          <w:p w14:paraId="0097E80F" w14:textId="77777777" w:rsidR="007D1882" w:rsidRPr="00701F32" w:rsidRDefault="007D1882" w:rsidP="007D1882">
            <w:pPr>
              <w:jc w:val="center"/>
              <w:rPr>
                <w:rFonts w:ascii="Arial" w:hAnsi="Arial" w:cs="Arial"/>
                <w:b/>
                <w:color w:val="000000"/>
                <w:sz w:val="14"/>
                <w:szCs w:val="14"/>
                <w:lang w:eastAsia="es-AR"/>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14:paraId="5EAE41D1" w14:textId="77777777" w:rsidR="007D1882" w:rsidRPr="00701F32" w:rsidRDefault="007D1882" w:rsidP="007D1882">
            <w:pPr>
              <w:jc w:val="center"/>
              <w:rPr>
                <w:rFonts w:ascii="Arial" w:hAnsi="Arial" w:cs="Arial"/>
                <w:b/>
                <w:color w:val="000000"/>
                <w:sz w:val="14"/>
                <w:szCs w:val="14"/>
                <w:lang w:eastAsia="es-AR"/>
              </w:rPr>
            </w:pPr>
          </w:p>
        </w:tc>
        <w:tc>
          <w:tcPr>
            <w:tcW w:w="431" w:type="pct"/>
            <w:vMerge/>
            <w:tcBorders>
              <w:top w:val="single" w:sz="8" w:space="0" w:color="auto"/>
              <w:left w:val="single" w:sz="8" w:space="0" w:color="auto"/>
              <w:bottom w:val="single" w:sz="8" w:space="0" w:color="000000"/>
              <w:right w:val="single" w:sz="8" w:space="0" w:color="auto"/>
            </w:tcBorders>
            <w:vAlign w:val="center"/>
            <w:hideMark/>
          </w:tcPr>
          <w:p w14:paraId="5E1FDBDF" w14:textId="77777777" w:rsidR="007D1882" w:rsidRPr="00701F32" w:rsidRDefault="007D1882" w:rsidP="007D1882">
            <w:pPr>
              <w:jc w:val="center"/>
              <w:rPr>
                <w:rFonts w:ascii="Arial" w:hAnsi="Arial" w:cs="Arial"/>
                <w:b/>
                <w:color w:val="000000"/>
                <w:sz w:val="14"/>
                <w:szCs w:val="14"/>
                <w:lang w:eastAsia="es-AR"/>
              </w:rPr>
            </w:pPr>
          </w:p>
        </w:tc>
        <w:tc>
          <w:tcPr>
            <w:tcW w:w="507" w:type="pct"/>
            <w:vMerge/>
            <w:tcBorders>
              <w:top w:val="single" w:sz="8" w:space="0" w:color="auto"/>
              <w:left w:val="single" w:sz="8" w:space="0" w:color="auto"/>
              <w:bottom w:val="single" w:sz="8" w:space="0" w:color="000000"/>
              <w:right w:val="single" w:sz="8" w:space="0" w:color="auto"/>
            </w:tcBorders>
            <w:vAlign w:val="center"/>
            <w:hideMark/>
          </w:tcPr>
          <w:p w14:paraId="0742E35D" w14:textId="77777777" w:rsidR="007D1882" w:rsidRPr="00701F32" w:rsidRDefault="007D1882" w:rsidP="007D1882">
            <w:pPr>
              <w:jc w:val="center"/>
              <w:rPr>
                <w:rFonts w:ascii="Arial" w:hAnsi="Arial" w:cs="Arial"/>
                <w:b/>
                <w:color w:val="000000"/>
                <w:sz w:val="14"/>
                <w:szCs w:val="14"/>
                <w:lang w:eastAsia="es-AR"/>
              </w:rPr>
            </w:pPr>
          </w:p>
        </w:tc>
        <w:tc>
          <w:tcPr>
            <w:tcW w:w="642" w:type="pct"/>
            <w:vMerge/>
            <w:tcBorders>
              <w:top w:val="single" w:sz="8" w:space="0" w:color="auto"/>
              <w:left w:val="single" w:sz="8" w:space="0" w:color="auto"/>
              <w:bottom w:val="single" w:sz="8" w:space="0" w:color="000000"/>
              <w:right w:val="single" w:sz="8" w:space="0" w:color="auto"/>
            </w:tcBorders>
            <w:vAlign w:val="center"/>
            <w:hideMark/>
          </w:tcPr>
          <w:p w14:paraId="2C192919" w14:textId="77777777" w:rsidR="007D1882" w:rsidRPr="00701F32" w:rsidRDefault="007D1882" w:rsidP="007D1882">
            <w:pPr>
              <w:jc w:val="center"/>
              <w:rPr>
                <w:rFonts w:ascii="Arial" w:hAnsi="Arial" w:cs="Arial"/>
                <w:b/>
                <w:color w:val="000000"/>
                <w:sz w:val="14"/>
                <w:szCs w:val="14"/>
                <w:lang w:eastAsia="es-AR"/>
              </w:rPr>
            </w:pPr>
          </w:p>
        </w:tc>
        <w:tc>
          <w:tcPr>
            <w:tcW w:w="431" w:type="pct"/>
            <w:tcBorders>
              <w:top w:val="nil"/>
              <w:left w:val="nil"/>
              <w:bottom w:val="single" w:sz="8" w:space="0" w:color="auto"/>
              <w:right w:val="single" w:sz="8" w:space="0" w:color="auto"/>
            </w:tcBorders>
            <w:shd w:val="clear" w:color="auto" w:fill="auto"/>
            <w:vAlign w:val="center"/>
            <w:hideMark/>
          </w:tcPr>
          <w:p w14:paraId="5C4A7467" w14:textId="77777777" w:rsidR="007D1882" w:rsidRPr="00701F32" w:rsidRDefault="007D1882" w:rsidP="007D1882">
            <w:pPr>
              <w:jc w:val="center"/>
              <w:rPr>
                <w:rFonts w:ascii="Arial" w:hAnsi="Arial" w:cs="Arial"/>
                <w:b/>
                <w:color w:val="000000"/>
                <w:sz w:val="14"/>
                <w:szCs w:val="14"/>
                <w:lang w:eastAsia="es-AR"/>
              </w:rPr>
            </w:pPr>
            <w:r w:rsidRPr="00701F32">
              <w:rPr>
                <w:rFonts w:ascii="Arial" w:hAnsi="Arial" w:cs="Arial"/>
                <w:b/>
                <w:color w:val="000000"/>
                <w:sz w:val="14"/>
                <w:szCs w:val="16"/>
                <w:lang w:eastAsia="es-AR"/>
              </w:rPr>
              <w:t>30/0</w:t>
            </w:r>
            <w:r w:rsidR="00784923" w:rsidRPr="00701F32">
              <w:rPr>
                <w:rFonts w:ascii="Arial" w:hAnsi="Arial" w:cs="Arial"/>
                <w:b/>
                <w:color w:val="000000"/>
                <w:sz w:val="14"/>
                <w:szCs w:val="16"/>
                <w:lang w:eastAsia="es-AR"/>
              </w:rPr>
              <w:t>9</w:t>
            </w:r>
            <w:r w:rsidRPr="00701F32">
              <w:rPr>
                <w:rFonts w:ascii="Arial" w:hAnsi="Arial" w:cs="Arial"/>
                <w:b/>
                <w:color w:val="000000"/>
                <w:sz w:val="14"/>
                <w:szCs w:val="16"/>
                <w:lang w:eastAsia="es-AR"/>
              </w:rPr>
              <w:t>/2018</w:t>
            </w:r>
          </w:p>
        </w:tc>
        <w:tc>
          <w:tcPr>
            <w:tcW w:w="431" w:type="pct"/>
            <w:tcBorders>
              <w:top w:val="nil"/>
              <w:left w:val="nil"/>
              <w:bottom w:val="single" w:sz="8" w:space="0" w:color="auto"/>
              <w:right w:val="single" w:sz="8" w:space="0" w:color="auto"/>
            </w:tcBorders>
            <w:shd w:val="clear" w:color="auto" w:fill="auto"/>
            <w:vAlign w:val="center"/>
            <w:hideMark/>
          </w:tcPr>
          <w:p w14:paraId="2F6088D5" w14:textId="77777777" w:rsidR="007D1882" w:rsidRPr="00701F32" w:rsidRDefault="007D1882" w:rsidP="007D1882">
            <w:pPr>
              <w:jc w:val="center"/>
              <w:rPr>
                <w:rFonts w:ascii="Arial" w:hAnsi="Arial" w:cs="Arial"/>
                <w:b/>
                <w:color w:val="000000"/>
                <w:sz w:val="14"/>
                <w:szCs w:val="14"/>
                <w:lang w:eastAsia="es-AR"/>
              </w:rPr>
            </w:pPr>
            <w:r w:rsidRPr="00701F32">
              <w:rPr>
                <w:rFonts w:ascii="Arial" w:hAnsi="Arial" w:cs="Arial"/>
                <w:b/>
                <w:color w:val="000000"/>
                <w:sz w:val="14"/>
                <w:szCs w:val="16"/>
                <w:lang w:eastAsia="es-AR"/>
              </w:rPr>
              <w:t>31/12/2017</w:t>
            </w:r>
          </w:p>
        </w:tc>
        <w:tc>
          <w:tcPr>
            <w:tcW w:w="432" w:type="pct"/>
            <w:tcBorders>
              <w:top w:val="nil"/>
              <w:left w:val="nil"/>
              <w:bottom w:val="single" w:sz="8" w:space="0" w:color="auto"/>
              <w:right w:val="single" w:sz="8" w:space="0" w:color="auto"/>
            </w:tcBorders>
            <w:vAlign w:val="center"/>
          </w:tcPr>
          <w:p w14:paraId="256E1F0F" w14:textId="77777777" w:rsidR="007D1882" w:rsidRPr="00701F32" w:rsidRDefault="007D1882" w:rsidP="007D1882">
            <w:pPr>
              <w:jc w:val="center"/>
              <w:rPr>
                <w:rFonts w:ascii="Arial" w:hAnsi="Arial" w:cs="Arial"/>
                <w:b/>
                <w:color w:val="000000"/>
                <w:sz w:val="14"/>
                <w:szCs w:val="14"/>
                <w:lang w:eastAsia="es-AR"/>
              </w:rPr>
            </w:pPr>
            <w:r w:rsidRPr="00701F32">
              <w:rPr>
                <w:rFonts w:ascii="Arial" w:hAnsi="Arial" w:cs="Arial"/>
                <w:b/>
                <w:color w:val="000000"/>
                <w:sz w:val="14"/>
                <w:szCs w:val="16"/>
                <w:lang w:eastAsia="es-AR"/>
              </w:rPr>
              <w:t>01/01/2017</w:t>
            </w:r>
          </w:p>
        </w:tc>
      </w:tr>
      <w:tr w:rsidR="004E457F" w:rsidRPr="00701F32" w14:paraId="1AC64411" w14:textId="77777777" w:rsidTr="007C07F0">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tcPr>
          <w:p w14:paraId="7B843881"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20/11/15</w:t>
            </w:r>
          </w:p>
        </w:tc>
        <w:tc>
          <w:tcPr>
            <w:tcW w:w="362" w:type="pct"/>
            <w:tcBorders>
              <w:top w:val="nil"/>
              <w:left w:val="nil"/>
              <w:bottom w:val="single" w:sz="8" w:space="0" w:color="auto"/>
              <w:right w:val="single" w:sz="8" w:space="0" w:color="auto"/>
            </w:tcBorders>
            <w:shd w:val="clear" w:color="auto" w:fill="auto"/>
            <w:noWrap/>
            <w:vAlign w:val="center"/>
          </w:tcPr>
          <w:p w14:paraId="1A78A760"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nil"/>
              <w:left w:val="nil"/>
              <w:bottom w:val="single" w:sz="8" w:space="0" w:color="auto"/>
              <w:right w:val="single" w:sz="8" w:space="0" w:color="auto"/>
            </w:tcBorders>
            <w:shd w:val="clear" w:color="auto" w:fill="auto"/>
            <w:noWrap/>
            <w:vAlign w:val="center"/>
          </w:tcPr>
          <w:p w14:paraId="21B9C0C1"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6"/>
                <w:lang w:eastAsia="es-AR"/>
              </w:rPr>
              <w:t>V</w:t>
            </w:r>
          </w:p>
        </w:tc>
        <w:tc>
          <w:tcPr>
            <w:tcW w:w="431" w:type="pct"/>
            <w:tcBorders>
              <w:top w:val="nil"/>
              <w:left w:val="nil"/>
              <w:bottom w:val="single" w:sz="8" w:space="0" w:color="auto"/>
              <w:right w:val="single" w:sz="8" w:space="0" w:color="auto"/>
            </w:tcBorders>
            <w:shd w:val="clear" w:color="auto" w:fill="auto"/>
            <w:noWrap/>
            <w:vAlign w:val="center"/>
          </w:tcPr>
          <w:p w14:paraId="6E246C66"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6"/>
                <w:lang w:eastAsia="es-AR"/>
              </w:rPr>
              <w:t>340.100</w:t>
            </w:r>
          </w:p>
        </w:tc>
        <w:tc>
          <w:tcPr>
            <w:tcW w:w="574" w:type="pct"/>
            <w:tcBorders>
              <w:top w:val="nil"/>
              <w:left w:val="nil"/>
              <w:bottom w:val="single" w:sz="8" w:space="0" w:color="auto"/>
              <w:right w:val="single" w:sz="8" w:space="0" w:color="auto"/>
            </w:tcBorders>
            <w:shd w:val="clear" w:color="auto" w:fill="auto"/>
            <w:vAlign w:val="center"/>
          </w:tcPr>
          <w:p w14:paraId="065F7F6B"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nil"/>
              <w:left w:val="nil"/>
              <w:bottom w:val="single" w:sz="8" w:space="0" w:color="auto"/>
              <w:right w:val="single" w:sz="8" w:space="0" w:color="auto"/>
            </w:tcBorders>
            <w:shd w:val="clear" w:color="auto" w:fill="auto"/>
            <w:noWrap/>
            <w:vAlign w:val="center"/>
          </w:tcPr>
          <w:p w14:paraId="18A7D0D0"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18 Meses</w:t>
            </w:r>
          </w:p>
        </w:tc>
        <w:tc>
          <w:tcPr>
            <w:tcW w:w="507" w:type="pct"/>
            <w:tcBorders>
              <w:top w:val="nil"/>
              <w:left w:val="nil"/>
              <w:bottom w:val="single" w:sz="8" w:space="0" w:color="auto"/>
              <w:right w:val="single" w:sz="8" w:space="0" w:color="auto"/>
            </w:tcBorders>
            <w:shd w:val="clear" w:color="auto" w:fill="auto"/>
            <w:noWrap/>
            <w:vAlign w:val="center"/>
          </w:tcPr>
          <w:p w14:paraId="79028417"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20/05/2017</w:t>
            </w:r>
          </w:p>
        </w:tc>
        <w:tc>
          <w:tcPr>
            <w:tcW w:w="642" w:type="pct"/>
            <w:tcBorders>
              <w:top w:val="nil"/>
              <w:left w:val="nil"/>
              <w:bottom w:val="single" w:sz="8" w:space="0" w:color="auto"/>
              <w:right w:val="single" w:sz="8" w:space="0" w:color="auto"/>
            </w:tcBorders>
            <w:shd w:val="clear" w:color="auto" w:fill="auto"/>
            <w:vAlign w:val="center"/>
          </w:tcPr>
          <w:p w14:paraId="70925FF6"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Flotante Badlar de Bancos Privados + 4.50%</w:t>
            </w:r>
          </w:p>
        </w:tc>
        <w:tc>
          <w:tcPr>
            <w:tcW w:w="431" w:type="pct"/>
            <w:tcBorders>
              <w:top w:val="nil"/>
              <w:left w:val="nil"/>
              <w:bottom w:val="single" w:sz="8" w:space="0" w:color="auto"/>
              <w:right w:val="single" w:sz="8" w:space="0" w:color="auto"/>
            </w:tcBorders>
            <w:shd w:val="clear" w:color="auto" w:fill="auto"/>
            <w:noWrap/>
            <w:vAlign w:val="center"/>
          </w:tcPr>
          <w:p w14:paraId="3A785914" w14:textId="77777777" w:rsidR="004E457F" w:rsidRPr="00701F32" w:rsidRDefault="004E457F" w:rsidP="007C07F0">
            <w:pPr>
              <w:jc w:val="right"/>
              <w:rPr>
                <w:rFonts w:ascii="Arial" w:hAnsi="Arial" w:cs="Arial"/>
                <w:color w:val="000000"/>
                <w:sz w:val="14"/>
                <w:szCs w:val="14"/>
                <w:lang w:eastAsia="es-AR"/>
              </w:rPr>
            </w:pPr>
          </w:p>
        </w:tc>
        <w:tc>
          <w:tcPr>
            <w:tcW w:w="431" w:type="pct"/>
            <w:tcBorders>
              <w:top w:val="nil"/>
              <w:left w:val="nil"/>
              <w:bottom w:val="single" w:sz="8" w:space="0" w:color="auto"/>
              <w:right w:val="single" w:sz="8" w:space="0" w:color="auto"/>
            </w:tcBorders>
            <w:shd w:val="clear" w:color="auto" w:fill="auto"/>
            <w:noWrap/>
            <w:vAlign w:val="center"/>
          </w:tcPr>
          <w:p w14:paraId="35FE1FB8"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2" w:type="pct"/>
            <w:tcBorders>
              <w:top w:val="nil"/>
              <w:left w:val="nil"/>
              <w:bottom w:val="single" w:sz="8" w:space="0" w:color="auto"/>
              <w:right w:val="single" w:sz="8" w:space="0" w:color="auto"/>
            </w:tcBorders>
            <w:vAlign w:val="center"/>
          </w:tcPr>
          <w:p w14:paraId="7113AC4F"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349.461</w:t>
            </w:r>
          </w:p>
        </w:tc>
      </w:tr>
      <w:tr w:rsidR="004E457F" w:rsidRPr="00701F32" w14:paraId="48558B60" w14:textId="77777777" w:rsidTr="00941382">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432E1345"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12/10/16</w:t>
            </w:r>
          </w:p>
        </w:tc>
        <w:tc>
          <w:tcPr>
            <w:tcW w:w="362" w:type="pct"/>
            <w:tcBorders>
              <w:top w:val="nil"/>
              <w:left w:val="nil"/>
              <w:bottom w:val="single" w:sz="8" w:space="0" w:color="auto"/>
              <w:right w:val="single" w:sz="8" w:space="0" w:color="auto"/>
            </w:tcBorders>
            <w:shd w:val="clear" w:color="auto" w:fill="auto"/>
            <w:noWrap/>
            <w:vAlign w:val="center"/>
            <w:hideMark/>
          </w:tcPr>
          <w:p w14:paraId="59A628C3"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5676B3DB"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VI</w:t>
            </w:r>
          </w:p>
        </w:tc>
        <w:tc>
          <w:tcPr>
            <w:tcW w:w="431" w:type="pct"/>
            <w:tcBorders>
              <w:top w:val="nil"/>
              <w:left w:val="nil"/>
              <w:bottom w:val="single" w:sz="8" w:space="0" w:color="auto"/>
              <w:right w:val="single" w:sz="8" w:space="0" w:color="auto"/>
            </w:tcBorders>
            <w:shd w:val="clear" w:color="auto" w:fill="auto"/>
            <w:noWrap/>
            <w:vAlign w:val="center"/>
            <w:hideMark/>
          </w:tcPr>
          <w:p w14:paraId="22DEAB6E"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422.000</w:t>
            </w:r>
          </w:p>
        </w:tc>
        <w:tc>
          <w:tcPr>
            <w:tcW w:w="574" w:type="pct"/>
            <w:tcBorders>
              <w:top w:val="nil"/>
              <w:left w:val="nil"/>
              <w:bottom w:val="single" w:sz="8" w:space="0" w:color="auto"/>
              <w:right w:val="single" w:sz="8" w:space="0" w:color="auto"/>
            </w:tcBorders>
            <w:shd w:val="clear" w:color="auto" w:fill="auto"/>
            <w:vAlign w:val="center"/>
            <w:hideMark/>
          </w:tcPr>
          <w:p w14:paraId="536370C1"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28E97521"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24 Meses</w:t>
            </w:r>
          </w:p>
        </w:tc>
        <w:tc>
          <w:tcPr>
            <w:tcW w:w="507" w:type="pct"/>
            <w:tcBorders>
              <w:top w:val="nil"/>
              <w:left w:val="nil"/>
              <w:bottom w:val="single" w:sz="8" w:space="0" w:color="auto"/>
              <w:right w:val="single" w:sz="8" w:space="0" w:color="auto"/>
            </w:tcBorders>
            <w:shd w:val="clear" w:color="auto" w:fill="auto"/>
            <w:noWrap/>
            <w:vAlign w:val="center"/>
            <w:hideMark/>
          </w:tcPr>
          <w:p w14:paraId="1F3F44BD"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12/10/2018</w:t>
            </w:r>
          </w:p>
        </w:tc>
        <w:tc>
          <w:tcPr>
            <w:tcW w:w="642" w:type="pct"/>
            <w:tcBorders>
              <w:top w:val="nil"/>
              <w:left w:val="nil"/>
              <w:bottom w:val="single" w:sz="8" w:space="0" w:color="auto"/>
              <w:right w:val="single" w:sz="8" w:space="0" w:color="auto"/>
            </w:tcBorders>
            <w:shd w:val="clear" w:color="auto" w:fill="auto"/>
            <w:vAlign w:val="center"/>
            <w:hideMark/>
          </w:tcPr>
          <w:p w14:paraId="593CC0A7"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+ 3.50%</w:t>
            </w:r>
          </w:p>
        </w:tc>
        <w:tc>
          <w:tcPr>
            <w:tcW w:w="431" w:type="pct"/>
            <w:tcBorders>
              <w:top w:val="nil"/>
              <w:left w:val="nil"/>
              <w:bottom w:val="single" w:sz="8" w:space="0" w:color="auto"/>
              <w:right w:val="single" w:sz="8" w:space="0" w:color="auto"/>
            </w:tcBorders>
            <w:shd w:val="clear" w:color="auto" w:fill="auto"/>
            <w:noWrap/>
            <w:vAlign w:val="center"/>
          </w:tcPr>
          <w:p w14:paraId="0AB7B724" w14:textId="44908808"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454.790</w:t>
            </w:r>
          </w:p>
        </w:tc>
        <w:tc>
          <w:tcPr>
            <w:tcW w:w="431" w:type="pct"/>
            <w:tcBorders>
              <w:top w:val="nil"/>
              <w:left w:val="nil"/>
              <w:bottom w:val="single" w:sz="8" w:space="0" w:color="auto"/>
              <w:right w:val="single" w:sz="8" w:space="0" w:color="auto"/>
            </w:tcBorders>
            <w:shd w:val="clear" w:color="auto" w:fill="auto"/>
            <w:noWrap/>
            <w:vAlign w:val="center"/>
            <w:hideMark/>
          </w:tcPr>
          <w:p w14:paraId="44F985D8"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445.673</w:t>
            </w:r>
          </w:p>
        </w:tc>
        <w:tc>
          <w:tcPr>
            <w:tcW w:w="432" w:type="pct"/>
            <w:tcBorders>
              <w:top w:val="nil"/>
              <w:left w:val="nil"/>
              <w:bottom w:val="single" w:sz="8" w:space="0" w:color="auto"/>
              <w:right w:val="single" w:sz="8" w:space="0" w:color="auto"/>
            </w:tcBorders>
            <w:vAlign w:val="center"/>
          </w:tcPr>
          <w:p w14:paraId="339077ED"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443.574</w:t>
            </w:r>
          </w:p>
        </w:tc>
      </w:tr>
      <w:tr w:rsidR="004E457F" w:rsidRPr="00701F32" w14:paraId="39E7D493" w14:textId="77777777" w:rsidTr="007C07F0">
        <w:trPr>
          <w:trHeight w:val="538"/>
        </w:trPr>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4D0B845"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17/11/16</w:t>
            </w:r>
          </w:p>
        </w:tc>
        <w:tc>
          <w:tcPr>
            <w:tcW w:w="362" w:type="pct"/>
            <w:tcBorders>
              <w:top w:val="single" w:sz="8" w:space="0" w:color="auto"/>
              <w:left w:val="nil"/>
              <w:bottom w:val="single" w:sz="8" w:space="0" w:color="auto"/>
              <w:right w:val="single" w:sz="8" w:space="0" w:color="auto"/>
            </w:tcBorders>
            <w:shd w:val="clear" w:color="auto" w:fill="auto"/>
            <w:noWrap/>
            <w:vAlign w:val="center"/>
          </w:tcPr>
          <w:p w14:paraId="2639F31A"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6"/>
                <w:lang w:eastAsia="es-AR"/>
              </w:rPr>
              <w:t>$</w:t>
            </w:r>
          </w:p>
        </w:tc>
        <w:tc>
          <w:tcPr>
            <w:tcW w:w="286" w:type="pct"/>
            <w:tcBorders>
              <w:top w:val="single" w:sz="8" w:space="0" w:color="auto"/>
              <w:left w:val="nil"/>
              <w:bottom w:val="single" w:sz="8" w:space="0" w:color="auto"/>
              <w:right w:val="single" w:sz="8" w:space="0" w:color="auto"/>
            </w:tcBorders>
            <w:shd w:val="clear" w:color="auto" w:fill="auto"/>
            <w:noWrap/>
            <w:vAlign w:val="center"/>
          </w:tcPr>
          <w:p w14:paraId="18300397"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6"/>
                <w:lang w:eastAsia="es-AR"/>
              </w:rPr>
              <w:t>VII</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050674DA"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6"/>
                <w:lang w:eastAsia="es-AR"/>
              </w:rPr>
              <w:t>269.100</w:t>
            </w:r>
          </w:p>
        </w:tc>
        <w:tc>
          <w:tcPr>
            <w:tcW w:w="574" w:type="pct"/>
            <w:tcBorders>
              <w:top w:val="single" w:sz="8" w:space="0" w:color="auto"/>
              <w:left w:val="nil"/>
              <w:bottom w:val="single" w:sz="8" w:space="0" w:color="auto"/>
              <w:right w:val="single" w:sz="8" w:space="0" w:color="auto"/>
            </w:tcBorders>
            <w:shd w:val="clear" w:color="auto" w:fill="auto"/>
            <w:vAlign w:val="center"/>
          </w:tcPr>
          <w:p w14:paraId="63BD7D20"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100% al vto.</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77761BB9"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12 Meses</w:t>
            </w:r>
          </w:p>
        </w:tc>
        <w:tc>
          <w:tcPr>
            <w:tcW w:w="507" w:type="pct"/>
            <w:tcBorders>
              <w:top w:val="single" w:sz="8" w:space="0" w:color="auto"/>
              <w:left w:val="nil"/>
              <w:bottom w:val="single" w:sz="8" w:space="0" w:color="auto"/>
              <w:right w:val="single" w:sz="8" w:space="0" w:color="auto"/>
            </w:tcBorders>
            <w:shd w:val="clear" w:color="auto" w:fill="auto"/>
            <w:noWrap/>
            <w:vAlign w:val="center"/>
          </w:tcPr>
          <w:p w14:paraId="09128604"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17/11/2017</w:t>
            </w:r>
          </w:p>
        </w:tc>
        <w:tc>
          <w:tcPr>
            <w:tcW w:w="642" w:type="pct"/>
            <w:tcBorders>
              <w:top w:val="single" w:sz="8" w:space="0" w:color="auto"/>
              <w:left w:val="nil"/>
              <w:bottom w:val="single" w:sz="8" w:space="0" w:color="auto"/>
              <w:right w:val="single" w:sz="8" w:space="0" w:color="auto"/>
            </w:tcBorders>
            <w:shd w:val="clear" w:color="auto" w:fill="auto"/>
            <w:vAlign w:val="center"/>
          </w:tcPr>
          <w:p w14:paraId="26ABFA08"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6"/>
                <w:lang w:eastAsia="es-AR"/>
              </w:rPr>
              <w:t>Flotante Badlar, de Bancos Privados + 3.50%</w:t>
            </w: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2EA3CFB0" w14:textId="77777777" w:rsidR="004E457F" w:rsidRPr="00701F32" w:rsidRDefault="004E457F" w:rsidP="007C07F0">
            <w:pPr>
              <w:jc w:val="right"/>
              <w:rPr>
                <w:rFonts w:ascii="Arial" w:hAnsi="Arial" w:cs="Arial"/>
                <w:color w:val="000000"/>
                <w:sz w:val="14"/>
                <w:szCs w:val="14"/>
                <w:lang w:eastAsia="es-AR"/>
              </w:rPr>
            </w:pPr>
          </w:p>
        </w:tc>
        <w:tc>
          <w:tcPr>
            <w:tcW w:w="431" w:type="pct"/>
            <w:tcBorders>
              <w:top w:val="single" w:sz="8" w:space="0" w:color="auto"/>
              <w:left w:val="nil"/>
              <w:bottom w:val="single" w:sz="8" w:space="0" w:color="auto"/>
              <w:right w:val="single" w:sz="8" w:space="0" w:color="auto"/>
            </w:tcBorders>
            <w:shd w:val="clear" w:color="auto" w:fill="auto"/>
            <w:noWrap/>
            <w:vAlign w:val="center"/>
          </w:tcPr>
          <w:p w14:paraId="5D63510D"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432" w:type="pct"/>
            <w:tcBorders>
              <w:top w:val="single" w:sz="8" w:space="0" w:color="auto"/>
              <w:left w:val="nil"/>
              <w:bottom w:val="single" w:sz="8" w:space="0" w:color="auto"/>
              <w:right w:val="single" w:sz="8" w:space="0" w:color="auto"/>
            </w:tcBorders>
            <w:vAlign w:val="center"/>
          </w:tcPr>
          <w:p w14:paraId="46294FD1"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276.816</w:t>
            </w:r>
          </w:p>
        </w:tc>
      </w:tr>
      <w:tr w:rsidR="004E457F" w:rsidRPr="00701F32" w14:paraId="725F5ADC" w14:textId="77777777" w:rsidTr="007C07F0">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tcPr>
          <w:p w14:paraId="0DD2E877"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09/02/17</w:t>
            </w:r>
          </w:p>
        </w:tc>
        <w:tc>
          <w:tcPr>
            <w:tcW w:w="362" w:type="pct"/>
            <w:tcBorders>
              <w:top w:val="nil"/>
              <w:left w:val="nil"/>
              <w:bottom w:val="single" w:sz="8" w:space="0" w:color="auto"/>
              <w:right w:val="single" w:sz="8" w:space="0" w:color="auto"/>
            </w:tcBorders>
            <w:shd w:val="clear" w:color="auto" w:fill="auto"/>
            <w:noWrap/>
            <w:vAlign w:val="center"/>
          </w:tcPr>
          <w:p w14:paraId="6F2CE7A2"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tcPr>
          <w:p w14:paraId="28BF19DB"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A</w:t>
            </w:r>
          </w:p>
        </w:tc>
        <w:tc>
          <w:tcPr>
            <w:tcW w:w="431" w:type="pct"/>
            <w:tcBorders>
              <w:top w:val="nil"/>
              <w:left w:val="nil"/>
              <w:bottom w:val="single" w:sz="8" w:space="0" w:color="auto"/>
              <w:right w:val="single" w:sz="8" w:space="0" w:color="auto"/>
            </w:tcBorders>
            <w:shd w:val="clear" w:color="auto" w:fill="auto"/>
            <w:noWrap/>
            <w:vAlign w:val="center"/>
          </w:tcPr>
          <w:p w14:paraId="464F9E88" w14:textId="54D671EB" w:rsidR="004E457F" w:rsidRPr="00701F32" w:rsidRDefault="004E457F">
            <w:pPr>
              <w:jc w:val="right"/>
              <w:rPr>
                <w:rFonts w:ascii="Arial" w:hAnsi="Arial" w:cs="Arial"/>
                <w:color w:val="000000"/>
                <w:sz w:val="14"/>
                <w:szCs w:val="14"/>
                <w:lang w:eastAsia="es-AR"/>
              </w:rPr>
            </w:pPr>
            <w:r w:rsidRPr="00701F32">
              <w:rPr>
                <w:rFonts w:ascii="Arial" w:hAnsi="Arial" w:cs="Arial"/>
                <w:color w:val="000000"/>
                <w:sz w:val="14"/>
                <w:szCs w:val="14"/>
                <w:lang w:eastAsia="es-AR"/>
              </w:rPr>
              <w:t>4</w:t>
            </w:r>
            <w:r w:rsidR="009F020F" w:rsidRPr="00701F32">
              <w:rPr>
                <w:rFonts w:ascii="Arial" w:hAnsi="Arial" w:cs="Arial"/>
                <w:color w:val="000000"/>
                <w:sz w:val="14"/>
                <w:szCs w:val="14"/>
                <w:lang w:eastAsia="es-AR"/>
              </w:rPr>
              <w:t>.150.140</w:t>
            </w:r>
          </w:p>
        </w:tc>
        <w:tc>
          <w:tcPr>
            <w:tcW w:w="574" w:type="pct"/>
            <w:tcBorders>
              <w:top w:val="nil"/>
              <w:left w:val="nil"/>
              <w:bottom w:val="single" w:sz="8" w:space="0" w:color="auto"/>
              <w:right w:val="single" w:sz="8" w:space="0" w:color="auto"/>
            </w:tcBorders>
            <w:shd w:val="clear" w:color="auto" w:fill="auto"/>
            <w:vAlign w:val="center"/>
          </w:tcPr>
          <w:p w14:paraId="7781952E"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50% el 9-2-2020 y 50% al vencimiento el 9-8-2020</w:t>
            </w:r>
          </w:p>
        </w:tc>
        <w:tc>
          <w:tcPr>
            <w:tcW w:w="431" w:type="pct"/>
            <w:tcBorders>
              <w:top w:val="nil"/>
              <w:left w:val="nil"/>
              <w:bottom w:val="single" w:sz="8" w:space="0" w:color="auto"/>
              <w:right w:val="single" w:sz="8" w:space="0" w:color="auto"/>
            </w:tcBorders>
            <w:shd w:val="clear" w:color="auto" w:fill="auto"/>
            <w:noWrap/>
            <w:vAlign w:val="center"/>
          </w:tcPr>
          <w:p w14:paraId="4144F461"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42 Meses</w:t>
            </w:r>
          </w:p>
        </w:tc>
        <w:tc>
          <w:tcPr>
            <w:tcW w:w="507" w:type="pct"/>
            <w:tcBorders>
              <w:top w:val="nil"/>
              <w:left w:val="nil"/>
              <w:bottom w:val="single" w:sz="8" w:space="0" w:color="auto"/>
              <w:right w:val="single" w:sz="8" w:space="0" w:color="auto"/>
            </w:tcBorders>
            <w:shd w:val="clear" w:color="auto" w:fill="auto"/>
            <w:noWrap/>
            <w:vAlign w:val="center"/>
          </w:tcPr>
          <w:p w14:paraId="0D601205"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09/08/2020</w:t>
            </w:r>
          </w:p>
        </w:tc>
        <w:tc>
          <w:tcPr>
            <w:tcW w:w="642" w:type="pct"/>
            <w:tcBorders>
              <w:top w:val="nil"/>
              <w:left w:val="nil"/>
              <w:bottom w:val="single" w:sz="8" w:space="0" w:color="auto"/>
              <w:right w:val="single" w:sz="8" w:space="0" w:color="auto"/>
            </w:tcBorders>
            <w:shd w:val="clear" w:color="auto" w:fill="auto"/>
            <w:vAlign w:val="center"/>
          </w:tcPr>
          <w:p w14:paraId="39A0090E"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+ 4,50%, con un mínimo del 18% nominal anual</w:t>
            </w:r>
          </w:p>
        </w:tc>
        <w:tc>
          <w:tcPr>
            <w:tcW w:w="431" w:type="pct"/>
            <w:tcBorders>
              <w:top w:val="nil"/>
              <w:left w:val="nil"/>
              <w:bottom w:val="single" w:sz="8" w:space="0" w:color="auto"/>
              <w:right w:val="single" w:sz="8" w:space="0" w:color="auto"/>
            </w:tcBorders>
            <w:shd w:val="clear" w:color="auto" w:fill="auto"/>
            <w:noWrap/>
            <w:vAlign w:val="center"/>
          </w:tcPr>
          <w:p w14:paraId="4B88439D" w14:textId="77BF7B7C"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4.401.202</w:t>
            </w:r>
          </w:p>
        </w:tc>
        <w:tc>
          <w:tcPr>
            <w:tcW w:w="431" w:type="pct"/>
            <w:tcBorders>
              <w:top w:val="nil"/>
              <w:left w:val="nil"/>
              <w:bottom w:val="single" w:sz="8" w:space="0" w:color="auto"/>
              <w:right w:val="single" w:sz="8" w:space="0" w:color="auto"/>
            </w:tcBorders>
            <w:shd w:val="clear" w:color="auto" w:fill="auto"/>
            <w:noWrap/>
            <w:vAlign w:val="center"/>
          </w:tcPr>
          <w:p w14:paraId="4596BC98"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4.914.856</w:t>
            </w:r>
          </w:p>
        </w:tc>
        <w:tc>
          <w:tcPr>
            <w:tcW w:w="432" w:type="pct"/>
            <w:tcBorders>
              <w:top w:val="nil"/>
              <w:left w:val="nil"/>
              <w:bottom w:val="single" w:sz="8" w:space="0" w:color="auto"/>
              <w:right w:val="single" w:sz="8" w:space="0" w:color="auto"/>
            </w:tcBorders>
            <w:vAlign w:val="center"/>
          </w:tcPr>
          <w:p w14:paraId="42CDF5E6"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4E457F" w:rsidRPr="00701F32" w14:paraId="0B6C523F" w14:textId="77777777" w:rsidTr="00941382">
        <w:trPr>
          <w:trHeight w:val="538"/>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4F2D8FC0"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22/12/17</w:t>
            </w:r>
          </w:p>
        </w:tc>
        <w:tc>
          <w:tcPr>
            <w:tcW w:w="362" w:type="pct"/>
            <w:tcBorders>
              <w:top w:val="nil"/>
              <w:left w:val="nil"/>
              <w:bottom w:val="single" w:sz="8" w:space="0" w:color="auto"/>
              <w:right w:val="single" w:sz="8" w:space="0" w:color="auto"/>
            </w:tcBorders>
            <w:shd w:val="clear" w:color="auto" w:fill="auto"/>
            <w:noWrap/>
            <w:vAlign w:val="center"/>
            <w:hideMark/>
          </w:tcPr>
          <w:p w14:paraId="21F08CE6"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245A065C"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B</w:t>
            </w:r>
          </w:p>
        </w:tc>
        <w:tc>
          <w:tcPr>
            <w:tcW w:w="431" w:type="pct"/>
            <w:tcBorders>
              <w:top w:val="nil"/>
              <w:left w:val="nil"/>
              <w:bottom w:val="single" w:sz="8" w:space="0" w:color="auto"/>
              <w:right w:val="single" w:sz="8" w:space="0" w:color="auto"/>
            </w:tcBorders>
            <w:shd w:val="clear" w:color="auto" w:fill="auto"/>
            <w:noWrap/>
            <w:vAlign w:val="center"/>
            <w:hideMark/>
          </w:tcPr>
          <w:p w14:paraId="2CB2B0BE"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629.000</w:t>
            </w:r>
          </w:p>
        </w:tc>
        <w:tc>
          <w:tcPr>
            <w:tcW w:w="574" w:type="pct"/>
            <w:tcBorders>
              <w:top w:val="nil"/>
              <w:left w:val="nil"/>
              <w:bottom w:val="single" w:sz="8" w:space="0" w:color="auto"/>
              <w:right w:val="single" w:sz="8" w:space="0" w:color="auto"/>
            </w:tcBorders>
            <w:shd w:val="clear" w:color="auto" w:fill="auto"/>
            <w:vAlign w:val="center"/>
            <w:hideMark/>
          </w:tcPr>
          <w:p w14:paraId="5E334123"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6F56CCEE"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24 Meses</w:t>
            </w:r>
          </w:p>
        </w:tc>
        <w:tc>
          <w:tcPr>
            <w:tcW w:w="507" w:type="pct"/>
            <w:tcBorders>
              <w:top w:val="nil"/>
              <w:left w:val="nil"/>
              <w:bottom w:val="single" w:sz="8" w:space="0" w:color="auto"/>
              <w:right w:val="single" w:sz="8" w:space="0" w:color="auto"/>
            </w:tcBorders>
            <w:shd w:val="clear" w:color="auto" w:fill="auto"/>
            <w:noWrap/>
            <w:vAlign w:val="center"/>
            <w:hideMark/>
          </w:tcPr>
          <w:p w14:paraId="7000B1E8"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22/12/2019</w:t>
            </w:r>
          </w:p>
        </w:tc>
        <w:tc>
          <w:tcPr>
            <w:tcW w:w="642" w:type="pct"/>
            <w:tcBorders>
              <w:top w:val="nil"/>
              <w:left w:val="nil"/>
              <w:bottom w:val="single" w:sz="8" w:space="0" w:color="auto"/>
              <w:right w:val="single" w:sz="8" w:space="0" w:color="auto"/>
            </w:tcBorders>
            <w:shd w:val="clear" w:color="auto" w:fill="auto"/>
            <w:vAlign w:val="center"/>
            <w:hideMark/>
          </w:tcPr>
          <w:p w14:paraId="65B5FD67"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TM20 + 3,25%</w:t>
            </w:r>
          </w:p>
        </w:tc>
        <w:tc>
          <w:tcPr>
            <w:tcW w:w="431" w:type="pct"/>
            <w:tcBorders>
              <w:top w:val="nil"/>
              <w:left w:val="nil"/>
              <w:bottom w:val="single" w:sz="8" w:space="0" w:color="auto"/>
              <w:right w:val="single" w:sz="8" w:space="0" w:color="auto"/>
            </w:tcBorders>
            <w:shd w:val="clear" w:color="auto" w:fill="auto"/>
            <w:noWrap/>
            <w:vAlign w:val="center"/>
          </w:tcPr>
          <w:p w14:paraId="11C73675" w14:textId="07F1496C"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598.342</w:t>
            </w:r>
          </w:p>
        </w:tc>
        <w:tc>
          <w:tcPr>
            <w:tcW w:w="431" w:type="pct"/>
            <w:tcBorders>
              <w:top w:val="nil"/>
              <w:left w:val="nil"/>
              <w:bottom w:val="single" w:sz="8" w:space="0" w:color="auto"/>
              <w:right w:val="single" w:sz="8" w:space="0" w:color="auto"/>
            </w:tcBorders>
            <w:shd w:val="clear" w:color="auto" w:fill="auto"/>
            <w:noWrap/>
            <w:vAlign w:val="center"/>
            <w:hideMark/>
          </w:tcPr>
          <w:p w14:paraId="2280D869"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630.312</w:t>
            </w:r>
          </w:p>
        </w:tc>
        <w:tc>
          <w:tcPr>
            <w:tcW w:w="432" w:type="pct"/>
            <w:tcBorders>
              <w:top w:val="nil"/>
              <w:left w:val="nil"/>
              <w:bottom w:val="single" w:sz="8" w:space="0" w:color="auto"/>
              <w:right w:val="single" w:sz="8" w:space="0" w:color="auto"/>
            </w:tcBorders>
            <w:vAlign w:val="center"/>
          </w:tcPr>
          <w:p w14:paraId="43FAE692"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4E457F" w:rsidRPr="00701F32" w14:paraId="6C7B6631" w14:textId="77777777" w:rsidTr="00701F32">
        <w:trPr>
          <w:trHeight w:val="178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559C013E"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22/12/17</w:t>
            </w:r>
          </w:p>
        </w:tc>
        <w:tc>
          <w:tcPr>
            <w:tcW w:w="362" w:type="pct"/>
            <w:tcBorders>
              <w:top w:val="nil"/>
              <w:left w:val="nil"/>
              <w:bottom w:val="single" w:sz="8" w:space="0" w:color="auto"/>
              <w:right w:val="single" w:sz="8" w:space="0" w:color="auto"/>
            </w:tcBorders>
            <w:shd w:val="clear" w:color="auto" w:fill="auto"/>
            <w:noWrap/>
            <w:vAlign w:val="center"/>
            <w:hideMark/>
          </w:tcPr>
          <w:p w14:paraId="5CE896DE"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61F09957"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C</w:t>
            </w:r>
          </w:p>
        </w:tc>
        <w:tc>
          <w:tcPr>
            <w:tcW w:w="431" w:type="pct"/>
            <w:tcBorders>
              <w:top w:val="nil"/>
              <w:left w:val="nil"/>
              <w:bottom w:val="single" w:sz="8" w:space="0" w:color="auto"/>
              <w:right w:val="single" w:sz="8" w:space="0" w:color="auto"/>
            </w:tcBorders>
            <w:shd w:val="clear" w:color="auto" w:fill="auto"/>
            <w:noWrap/>
            <w:vAlign w:val="center"/>
            <w:hideMark/>
          </w:tcPr>
          <w:p w14:paraId="66377E83"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659.750</w:t>
            </w:r>
          </w:p>
        </w:tc>
        <w:tc>
          <w:tcPr>
            <w:tcW w:w="574" w:type="pct"/>
            <w:tcBorders>
              <w:top w:val="nil"/>
              <w:left w:val="nil"/>
              <w:bottom w:val="single" w:sz="8" w:space="0" w:color="auto"/>
              <w:right w:val="single" w:sz="8" w:space="0" w:color="auto"/>
            </w:tcBorders>
            <w:shd w:val="clear" w:color="auto" w:fill="auto"/>
            <w:vAlign w:val="center"/>
            <w:hideMark/>
          </w:tcPr>
          <w:p w14:paraId="79FD549B"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3 cuotas:</w:t>
            </w:r>
          </w:p>
          <w:p w14:paraId="06A3C987" w14:textId="77777777" w:rsidR="004E457F" w:rsidRPr="00701F32" w:rsidRDefault="004E457F" w:rsidP="007C07F0">
            <w:pPr>
              <w:jc w:val="both"/>
              <w:rPr>
                <w:rFonts w:ascii="Arial" w:hAnsi="Arial" w:cs="Arial"/>
                <w:color w:val="000000"/>
                <w:sz w:val="14"/>
                <w:szCs w:val="14"/>
                <w:lang w:eastAsia="es-AR"/>
              </w:rPr>
            </w:pPr>
          </w:p>
          <w:p w14:paraId="54770666"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22-12-2020 33,33%,</w:t>
            </w:r>
          </w:p>
          <w:p w14:paraId="753D6665" w14:textId="77777777" w:rsidR="004E457F" w:rsidRPr="00701F32" w:rsidRDefault="004E457F" w:rsidP="007C07F0">
            <w:pPr>
              <w:jc w:val="both"/>
              <w:rPr>
                <w:rFonts w:ascii="Arial" w:hAnsi="Arial" w:cs="Arial"/>
                <w:color w:val="000000"/>
                <w:sz w:val="14"/>
                <w:szCs w:val="14"/>
                <w:lang w:eastAsia="es-AR"/>
              </w:rPr>
            </w:pPr>
          </w:p>
          <w:p w14:paraId="4F8E2DBF"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22-06-2021 33,33%,</w:t>
            </w:r>
          </w:p>
          <w:p w14:paraId="22E28224" w14:textId="41DD21A8"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y en la fecha de vencimiento 33,34%.</w:t>
            </w:r>
          </w:p>
        </w:tc>
        <w:tc>
          <w:tcPr>
            <w:tcW w:w="431" w:type="pct"/>
            <w:tcBorders>
              <w:top w:val="nil"/>
              <w:left w:val="nil"/>
              <w:bottom w:val="single" w:sz="8" w:space="0" w:color="auto"/>
              <w:right w:val="single" w:sz="8" w:space="0" w:color="auto"/>
            </w:tcBorders>
            <w:shd w:val="clear" w:color="auto" w:fill="auto"/>
            <w:noWrap/>
            <w:vAlign w:val="center"/>
            <w:hideMark/>
          </w:tcPr>
          <w:p w14:paraId="66A75972"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48 Meses</w:t>
            </w:r>
          </w:p>
        </w:tc>
        <w:tc>
          <w:tcPr>
            <w:tcW w:w="507" w:type="pct"/>
            <w:tcBorders>
              <w:top w:val="nil"/>
              <w:left w:val="nil"/>
              <w:bottom w:val="single" w:sz="8" w:space="0" w:color="auto"/>
              <w:right w:val="single" w:sz="8" w:space="0" w:color="auto"/>
            </w:tcBorders>
            <w:shd w:val="clear" w:color="auto" w:fill="auto"/>
            <w:noWrap/>
            <w:vAlign w:val="center"/>
            <w:hideMark/>
          </w:tcPr>
          <w:p w14:paraId="3D1F575C"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22/12/2021</w:t>
            </w:r>
          </w:p>
        </w:tc>
        <w:tc>
          <w:tcPr>
            <w:tcW w:w="642" w:type="pct"/>
            <w:tcBorders>
              <w:top w:val="nil"/>
              <w:left w:val="nil"/>
              <w:bottom w:val="single" w:sz="8" w:space="0" w:color="auto"/>
              <w:right w:val="single" w:sz="8" w:space="0" w:color="auto"/>
            </w:tcBorders>
            <w:shd w:val="clear" w:color="auto" w:fill="auto"/>
            <w:vAlign w:val="center"/>
            <w:hideMark/>
          </w:tcPr>
          <w:p w14:paraId="7667424E"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+ 4,25%</w:t>
            </w:r>
          </w:p>
        </w:tc>
        <w:tc>
          <w:tcPr>
            <w:tcW w:w="431" w:type="pct"/>
            <w:tcBorders>
              <w:top w:val="nil"/>
              <w:left w:val="nil"/>
              <w:bottom w:val="single" w:sz="8" w:space="0" w:color="auto"/>
              <w:right w:val="single" w:sz="8" w:space="0" w:color="auto"/>
            </w:tcBorders>
            <w:shd w:val="clear" w:color="auto" w:fill="auto"/>
            <w:noWrap/>
            <w:vAlign w:val="center"/>
          </w:tcPr>
          <w:p w14:paraId="72679B06" w14:textId="4E9A73FF"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665.036</w:t>
            </w:r>
          </w:p>
        </w:tc>
        <w:tc>
          <w:tcPr>
            <w:tcW w:w="431" w:type="pct"/>
            <w:tcBorders>
              <w:top w:val="nil"/>
              <w:left w:val="nil"/>
              <w:bottom w:val="single" w:sz="8" w:space="0" w:color="auto"/>
              <w:right w:val="single" w:sz="8" w:space="0" w:color="auto"/>
            </w:tcBorders>
            <w:shd w:val="clear" w:color="auto" w:fill="auto"/>
            <w:noWrap/>
            <w:vAlign w:val="center"/>
            <w:hideMark/>
          </w:tcPr>
          <w:p w14:paraId="0BB33C94"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661.079</w:t>
            </w:r>
          </w:p>
        </w:tc>
        <w:tc>
          <w:tcPr>
            <w:tcW w:w="432" w:type="pct"/>
            <w:tcBorders>
              <w:top w:val="nil"/>
              <w:left w:val="nil"/>
              <w:bottom w:val="single" w:sz="8" w:space="0" w:color="auto"/>
              <w:right w:val="single" w:sz="8" w:space="0" w:color="auto"/>
            </w:tcBorders>
            <w:vAlign w:val="center"/>
          </w:tcPr>
          <w:p w14:paraId="7627B5EE"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4E457F" w:rsidRPr="00701F32" w14:paraId="29E654C1" w14:textId="77777777" w:rsidTr="00941382">
        <w:trPr>
          <w:trHeight w:val="8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550C5405"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14/02/18</w:t>
            </w:r>
          </w:p>
        </w:tc>
        <w:tc>
          <w:tcPr>
            <w:tcW w:w="362" w:type="pct"/>
            <w:tcBorders>
              <w:top w:val="nil"/>
              <w:left w:val="nil"/>
              <w:bottom w:val="single" w:sz="8" w:space="0" w:color="auto"/>
              <w:right w:val="single" w:sz="8" w:space="0" w:color="auto"/>
            </w:tcBorders>
            <w:shd w:val="clear" w:color="auto" w:fill="auto"/>
            <w:noWrap/>
            <w:vAlign w:val="center"/>
            <w:hideMark/>
          </w:tcPr>
          <w:p w14:paraId="55002526"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nil"/>
              <w:left w:val="nil"/>
              <w:bottom w:val="single" w:sz="8" w:space="0" w:color="auto"/>
              <w:right w:val="single" w:sz="8" w:space="0" w:color="auto"/>
            </w:tcBorders>
            <w:shd w:val="clear" w:color="auto" w:fill="auto"/>
            <w:noWrap/>
            <w:vAlign w:val="center"/>
            <w:hideMark/>
          </w:tcPr>
          <w:p w14:paraId="019DFAC6"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D</w:t>
            </w:r>
          </w:p>
        </w:tc>
        <w:tc>
          <w:tcPr>
            <w:tcW w:w="431" w:type="pct"/>
            <w:tcBorders>
              <w:top w:val="nil"/>
              <w:left w:val="nil"/>
              <w:bottom w:val="single" w:sz="8" w:space="0" w:color="auto"/>
              <w:right w:val="single" w:sz="8" w:space="0" w:color="auto"/>
            </w:tcBorders>
            <w:shd w:val="clear" w:color="auto" w:fill="auto"/>
            <w:noWrap/>
            <w:vAlign w:val="center"/>
            <w:hideMark/>
          </w:tcPr>
          <w:p w14:paraId="24AA3AD9"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748.889</w:t>
            </w:r>
          </w:p>
        </w:tc>
        <w:tc>
          <w:tcPr>
            <w:tcW w:w="574" w:type="pct"/>
            <w:tcBorders>
              <w:top w:val="nil"/>
              <w:left w:val="nil"/>
              <w:bottom w:val="single" w:sz="8" w:space="0" w:color="auto"/>
              <w:right w:val="single" w:sz="8" w:space="0" w:color="auto"/>
            </w:tcBorders>
            <w:shd w:val="clear" w:color="auto" w:fill="auto"/>
            <w:vAlign w:val="center"/>
            <w:hideMark/>
          </w:tcPr>
          <w:p w14:paraId="31A06429"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100% al vto.</w:t>
            </w:r>
          </w:p>
        </w:tc>
        <w:tc>
          <w:tcPr>
            <w:tcW w:w="431" w:type="pct"/>
            <w:tcBorders>
              <w:top w:val="nil"/>
              <w:left w:val="nil"/>
              <w:bottom w:val="single" w:sz="8" w:space="0" w:color="auto"/>
              <w:right w:val="single" w:sz="8" w:space="0" w:color="auto"/>
            </w:tcBorders>
            <w:shd w:val="clear" w:color="auto" w:fill="auto"/>
            <w:noWrap/>
            <w:vAlign w:val="center"/>
            <w:hideMark/>
          </w:tcPr>
          <w:p w14:paraId="712F4941"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18 Meses</w:t>
            </w:r>
          </w:p>
        </w:tc>
        <w:tc>
          <w:tcPr>
            <w:tcW w:w="507" w:type="pct"/>
            <w:tcBorders>
              <w:top w:val="nil"/>
              <w:left w:val="nil"/>
              <w:bottom w:val="single" w:sz="8" w:space="0" w:color="auto"/>
              <w:right w:val="single" w:sz="8" w:space="0" w:color="auto"/>
            </w:tcBorders>
            <w:shd w:val="clear" w:color="auto" w:fill="auto"/>
            <w:noWrap/>
            <w:vAlign w:val="center"/>
            <w:hideMark/>
          </w:tcPr>
          <w:p w14:paraId="3E1A2854"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14/08/2019</w:t>
            </w:r>
          </w:p>
        </w:tc>
        <w:tc>
          <w:tcPr>
            <w:tcW w:w="642" w:type="pct"/>
            <w:tcBorders>
              <w:top w:val="nil"/>
              <w:left w:val="nil"/>
              <w:bottom w:val="single" w:sz="8" w:space="0" w:color="auto"/>
              <w:right w:val="single" w:sz="8" w:space="0" w:color="auto"/>
            </w:tcBorders>
            <w:shd w:val="clear" w:color="auto" w:fill="auto"/>
            <w:vAlign w:val="center"/>
            <w:hideMark/>
          </w:tcPr>
          <w:p w14:paraId="0C89FB5B"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+ 3,5%</w:t>
            </w:r>
          </w:p>
        </w:tc>
        <w:tc>
          <w:tcPr>
            <w:tcW w:w="431" w:type="pct"/>
            <w:tcBorders>
              <w:top w:val="nil"/>
              <w:left w:val="nil"/>
              <w:bottom w:val="single" w:sz="8" w:space="0" w:color="auto"/>
              <w:right w:val="single" w:sz="8" w:space="0" w:color="auto"/>
            </w:tcBorders>
            <w:shd w:val="clear" w:color="auto" w:fill="auto"/>
            <w:noWrap/>
            <w:vAlign w:val="center"/>
          </w:tcPr>
          <w:p w14:paraId="247C878F" w14:textId="1660ED95"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759.183</w:t>
            </w:r>
          </w:p>
        </w:tc>
        <w:tc>
          <w:tcPr>
            <w:tcW w:w="431" w:type="pct"/>
            <w:tcBorders>
              <w:top w:val="nil"/>
              <w:left w:val="nil"/>
              <w:bottom w:val="single" w:sz="8" w:space="0" w:color="auto"/>
              <w:right w:val="single" w:sz="8" w:space="0" w:color="auto"/>
            </w:tcBorders>
            <w:shd w:val="clear" w:color="auto" w:fill="auto"/>
            <w:noWrap/>
            <w:vAlign w:val="center"/>
            <w:hideMark/>
          </w:tcPr>
          <w:p w14:paraId="586946F3"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 </w:t>
            </w:r>
          </w:p>
        </w:tc>
        <w:tc>
          <w:tcPr>
            <w:tcW w:w="432" w:type="pct"/>
            <w:tcBorders>
              <w:top w:val="nil"/>
              <w:left w:val="nil"/>
              <w:bottom w:val="single" w:sz="8" w:space="0" w:color="auto"/>
              <w:right w:val="single" w:sz="8" w:space="0" w:color="auto"/>
            </w:tcBorders>
            <w:vAlign w:val="center"/>
          </w:tcPr>
          <w:p w14:paraId="59D3B57D"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4E457F" w:rsidRPr="00701F32" w14:paraId="53E4AC0D" w14:textId="77777777" w:rsidTr="00701F32">
        <w:trPr>
          <w:trHeight w:val="1261"/>
        </w:trPr>
        <w:tc>
          <w:tcPr>
            <w:tcW w:w="4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4E2983"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14/02/18</w:t>
            </w:r>
          </w:p>
        </w:tc>
        <w:tc>
          <w:tcPr>
            <w:tcW w:w="362" w:type="pct"/>
            <w:tcBorders>
              <w:top w:val="single" w:sz="8" w:space="0" w:color="auto"/>
              <w:left w:val="nil"/>
              <w:bottom w:val="single" w:sz="4" w:space="0" w:color="auto"/>
              <w:right w:val="single" w:sz="8" w:space="0" w:color="auto"/>
            </w:tcBorders>
            <w:shd w:val="clear" w:color="auto" w:fill="auto"/>
            <w:noWrap/>
            <w:vAlign w:val="center"/>
            <w:hideMark/>
          </w:tcPr>
          <w:p w14:paraId="459B3F50"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w:t>
            </w:r>
          </w:p>
        </w:tc>
        <w:tc>
          <w:tcPr>
            <w:tcW w:w="286" w:type="pct"/>
            <w:tcBorders>
              <w:top w:val="single" w:sz="8" w:space="0" w:color="auto"/>
              <w:left w:val="nil"/>
              <w:bottom w:val="single" w:sz="4" w:space="0" w:color="auto"/>
              <w:right w:val="single" w:sz="8" w:space="0" w:color="auto"/>
            </w:tcBorders>
            <w:shd w:val="clear" w:color="auto" w:fill="auto"/>
            <w:noWrap/>
            <w:vAlign w:val="center"/>
            <w:hideMark/>
          </w:tcPr>
          <w:p w14:paraId="6FD8A6CB" w14:textId="77777777" w:rsidR="004E457F" w:rsidRPr="00701F32" w:rsidRDefault="004E457F" w:rsidP="007C07F0">
            <w:pPr>
              <w:jc w:val="center"/>
              <w:rPr>
                <w:rFonts w:ascii="Arial" w:hAnsi="Arial" w:cs="Arial"/>
                <w:color w:val="000000"/>
                <w:sz w:val="14"/>
                <w:szCs w:val="14"/>
                <w:lang w:eastAsia="es-AR"/>
              </w:rPr>
            </w:pPr>
            <w:r w:rsidRPr="00701F32">
              <w:rPr>
                <w:rFonts w:ascii="Arial" w:hAnsi="Arial" w:cs="Arial"/>
                <w:color w:val="000000"/>
                <w:sz w:val="14"/>
                <w:szCs w:val="14"/>
                <w:lang w:eastAsia="es-AR"/>
              </w:rPr>
              <w:t>E</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6583A591"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1.607.667</w:t>
            </w:r>
          </w:p>
        </w:tc>
        <w:tc>
          <w:tcPr>
            <w:tcW w:w="574" w:type="pct"/>
            <w:tcBorders>
              <w:top w:val="single" w:sz="8" w:space="0" w:color="auto"/>
              <w:left w:val="nil"/>
              <w:bottom w:val="single" w:sz="4" w:space="0" w:color="auto"/>
              <w:right w:val="single" w:sz="8" w:space="0" w:color="auto"/>
            </w:tcBorders>
            <w:shd w:val="clear" w:color="auto" w:fill="auto"/>
            <w:vAlign w:val="center"/>
            <w:hideMark/>
          </w:tcPr>
          <w:p w14:paraId="06739434"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3 cuotas iguales anuales y consecutivas, 1° 14-02-21</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1B095148"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60 Meses</w:t>
            </w:r>
          </w:p>
        </w:tc>
        <w:tc>
          <w:tcPr>
            <w:tcW w:w="507" w:type="pct"/>
            <w:tcBorders>
              <w:top w:val="single" w:sz="8" w:space="0" w:color="auto"/>
              <w:left w:val="nil"/>
              <w:bottom w:val="single" w:sz="4" w:space="0" w:color="auto"/>
              <w:right w:val="single" w:sz="8" w:space="0" w:color="auto"/>
            </w:tcBorders>
            <w:shd w:val="clear" w:color="auto" w:fill="auto"/>
            <w:noWrap/>
            <w:vAlign w:val="center"/>
            <w:hideMark/>
          </w:tcPr>
          <w:p w14:paraId="4F7FE815"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14/02/2023</w:t>
            </w:r>
          </w:p>
        </w:tc>
        <w:tc>
          <w:tcPr>
            <w:tcW w:w="642" w:type="pct"/>
            <w:tcBorders>
              <w:top w:val="single" w:sz="8" w:space="0" w:color="auto"/>
              <w:left w:val="nil"/>
              <w:bottom w:val="single" w:sz="4" w:space="0" w:color="auto"/>
              <w:right w:val="single" w:sz="8" w:space="0" w:color="auto"/>
            </w:tcBorders>
            <w:shd w:val="clear" w:color="auto" w:fill="auto"/>
            <w:vAlign w:val="center"/>
            <w:hideMark/>
          </w:tcPr>
          <w:p w14:paraId="78F75EEB" w14:textId="77777777" w:rsidR="004E457F" w:rsidRPr="00701F32" w:rsidRDefault="004E457F" w:rsidP="007C07F0">
            <w:pPr>
              <w:jc w:val="both"/>
              <w:rPr>
                <w:rFonts w:ascii="Arial" w:hAnsi="Arial" w:cs="Arial"/>
                <w:color w:val="000000"/>
                <w:sz w:val="14"/>
                <w:szCs w:val="14"/>
                <w:lang w:eastAsia="es-AR"/>
              </w:rPr>
            </w:pPr>
            <w:r w:rsidRPr="00701F32">
              <w:rPr>
                <w:rFonts w:ascii="Arial" w:hAnsi="Arial" w:cs="Arial"/>
                <w:color w:val="000000"/>
                <w:sz w:val="14"/>
                <w:szCs w:val="14"/>
                <w:lang w:eastAsia="es-AR"/>
              </w:rPr>
              <w:t>Flotante Badlar de Bancos Privados + 4,05%</w:t>
            </w:r>
          </w:p>
        </w:tc>
        <w:tc>
          <w:tcPr>
            <w:tcW w:w="431" w:type="pct"/>
            <w:tcBorders>
              <w:top w:val="single" w:sz="8" w:space="0" w:color="auto"/>
              <w:left w:val="nil"/>
              <w:bottom w:val="single" w:sz="4" w:space="0" w:color="auto"/>
              <w:right w:val="single" w:sz="8" w:space="0" w:color="auto"/>
            </w:tcBorders>
            <w:shd w:val="clear" w:color="auto" w:fill="auto"/>
            <w:noWrap/>
            <w:vAlign w:val="center"/>
          </w:tcPr>
          <w:p w14:paraId="45014FC9" w14:textId="1F872ED8" w:rsidR="004E457F" w:rsidRPr="00701F32" w:rsidRDefault="00BD14C0"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1.664.370</w:t>
            </w:r>
          </w:p>
        </w:tc>
        <w:tc>
          <w:tcPr>
            <w:tcW w:w="431" w:type="pct"/>
            <w:tcBorders>
              <w:top w:val="single" w:sz="8" w:space="0" w:color="auto"/>
              <w:left w:val="nil"/>
              <w:bottom w:val="single" w:sz="4" w:space="0" w:color="auto"/>
              <w:right w:val="single" w:sz="8" w:space="0" w:color="auto"/>
            </w:tcBorders>
            <w:shd w:val="clear" w:color="auto" w:fill="auto"/>
            <w:noWrap/>
            <w:vAlign w:val="center"/>
            <w:hideMark/>
          </w:tcPr>
          <w:p w14:paraId="5E5EB9F2"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 </w:t>
            </w:r>
          </w:p>
        </w:tc>
        <w:tc>
          <w:tcPr>
            <w:tcW w:w="432" w:type="pct"/>
            <w:tcBorders>
              <w:top w:val="single" w:sz="8" w:space="0" w:color="auto"/>
              <w:left w:val="nil"/>
              <w:bottom w:val="single" w:sz="4" w:space="0" w:color="auto"/>
              <w:right w:val="single" w:sz="8" w:space="0" w:color="auto"/>
            </w:tcBorders>
            <w:vAlign w:val="center"/>
          </w:tcPr>
          <w:p w14:paraId="73105047" w14:textId="77777777" w:rsidR="004E457F" w:rsidRPr="00701F32" w:rsidRDefault="004E457F" w:rsidP="007C07F0">
            <w:pPr>
              <w:jc w:val="right"/>
              <w:rPr>
                <w:rFonts w:ascii="Arial" w:hAnsi="Arial" w:cs="Arial"/>
                <w:color w:val="000000"/>
                <w:sz w:val="14"/>
                <w:szCs w:val="14"/>
                <w:lang w:eastAsia="es-AR"/>
              </w:rPr>
            </w:pPr>
            <w:r w:rsidRPr="00701F32">
              <w:rPr>
                <w:rFonts w:ascii="Arial" w:hAnsi="Arial" w:cs="Arial"/>
                <w:color w:val="000000"/>
                <w:sz w:val="14"/>
                <w:szCs w:val="14"/>
                <w:lang w:eastAsia="es-AR"/>
              </w:rPr>
              <w:t>-</w:t>
            </w:r>
          </w:p>
        </w:tc>
      </w:tr>
      <w:tr w:rsidR="004E457F" w:rsidRPr="00701F32" w14:paraId="38B17EAF" w14:textId="77777777" w:rsidTr="00941382">
        <w:trPr>
          <w:trHeight w:val="323"/>
        </w:trPr>
        <w:tc>
          <w:tcPr>
            <w:tcW w:w="3064" w:type="pct"/>
            <w:gridSpan w:val="7"/>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6A95D19" w14:textId="77777777" w:rsidR="004E457F" w:rsidRPr="00701F32" w:rsidRDefault="004E457F" w:rsidP="007C07F0">
            <w:pPr>
              <w:jc w:val="both"/>
              <w:rPr>
                <w:rFonts w:ascii="Arial" w:hAnsi="Arial" w:cs="Arial"/>
                <w:color w:val="000000"/>
                <w:sz w:val="14"/>
                <w:szCs w:val="14"/>
                <w:lang w:eastAsia="es-AR"/>
              </w:rPr>
            </w:pPr>
          </w:p>
        </w:tc>
        <w:tc>
          <w:tcPr>
            <w:tcW w:w="642" w:type="pct"/>
            <w:tcBorders>
              <w:top w:val="single" w:sz="4" w:space="0" w:color="auto"/>
              <w:left w:val="nil"/>
              <w:bottom w:val="single" w:sz="4" w:space="0" w:color="auto"/>
              <w:right w:val="single" w:sz="8" w:space="0" w:color="auto"/>
            </w:tcBorders>
            <w:shd w:val="clear" w:color="auto" w:fill="auto"/>
            <w:noWrap/>
            <w:vAlign w:val="center"/>
            <w:hideMark/>
          </w:tcPr>
          <w:p w14:paraId="2A652A8D" w14:textId="77777777" w:rsidR="004E457F" w:rsidRPr="00701F32" w:rsidRDefault="004E457F" w:rsidP="007C07F0">
            <w:pPr>
              <w:jc w:val="both"/>
              <w:rPr>
                <w:rFonts w:ascii="Arial" w:hAnsi="Arial" w:cs="Arial"/>
                <w:b/>
                <w:bCs/>
                <w:color w:val="000000"/>
                <w:sz w:val="14"/>
                <w:szCs w:val="14"/>
                <w:lang w:eastAsia="es-AR"/>
              </w:rPr>
            </w:pPr>
            <w:r w:rsidRPr="00701F32">
              <w:rPr>
                <w:rFonts w:ascii="Arial" w:hAnsi="Arial" w:cs="Arial"/>
                <w:b/>
                <w:bCs/>
                <w:color w:val="000000"/>
                <w:sz w:val="14"/>
                <w:szCs w:val="14"/>
                <w:lang w:eastAsia="es-AR"/>
              </w:rPr>
              <w:t>TotalA</w:t>
            </w:r>
          </w:p>
        </w:tc>
        <w:tc>
          <w:tcPr>
            <w:tcW w:w="431" w:type="pct"/>
            <w:tcBorders>
              <w:top w:val="single" w:sz="4" w:space="0" w:color="auto"/>
              <w:left w:val="nil"/>
              <w:bottom w:val="single" w:sz="4" w:space="0" w:color="auto"/>
              <w:right w:val="single" w:sz="8" w:space="0" w:color="auto"/>
            </w:tcBorders>
            <w:shd w:val="clear" w:color="auto" w:fill="auto"/>
            <w:noWrap/>
            <w:vAlign w:val="center"/>
          </w:tcPr>
          <w:p w14:paraId="061E2BFB" w14:textId="201CD369" w:rsidR="004E457F" w:rsidRPr="00701F32" w:rsidRDefault="00BD14C0" w:rsidP="007C07F0">
            <w:pPr>
              <w:jc w:val="right"/>
              <w:rPr>
                <w:rFonts w:ascii="Arial" w:hAnsi="Arial" w:cs="Arial"/>
                <w:b/>
                <w:bCs/>
                <w:color w:val="000000"/>
                <w:sz w:val="14"/>
                <w:szCs w:val="14"/>
                <w:lang w:eastAsia="es-AR"/>
              </w:rPr>
            </w:pPr>
            <w:r w:rsidRPr="00701F32">
              <w:rPr>
                <w:rFonts w:ascii="Arial" w:hAnsi="Arial" w:cs="Arial"/>
                <w:b/>
                <w:bCs/>
                <w:color w:val="000000"/>
                <w:sz w:val="14"/>
                <w:szCs w:val="14"/>
                <w:lang w:eastAsia="es-AR"/>
              </w:rPr>
              <w:t>8.542.923</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4E89FDF8" w14:textId="77777777" w:rsidR="004E457F" w:rsidRPr="00701F32" w:rsidRDefault="004E457F" w:rsidP="007C07F0">
            <w:pPr>
              <w:jc w:val="right"/>
              <w:rPr>
                <w:rFonts w:ascii="Arial" w:hAnsi="Arial" w:cs="Arial"/>
                <w:b/>
                <w:bCs/>
                <w:color w:val="000000"/>
                <w:sz w:val="14"/>
                <w:szCs w:val="14"/>
                <w:lang w:eastAsia="es-AR"/>
              </w:rPr>
            </w:pPr>
            <w:r w:rsidRPr="00701F32">
              <w:rPr>
                <w:rFonts w:ascii="Arial" w:hAnsi="Arial" w:cs="Arial"/>
                <w:b/>
                <w:bCs/>
                <w:color w:val="000000"/>
                <w:sz w:val="14"/>
                <w:szCs w:val="14"/>
                <w:lang w:eastAsia="es-AR"/>
              </w:rPr>
              <w:t>6.651.920</w:t>
            </w:r>
          </w:p>
        </w:tc>
        <w:tc>
          <w:tcPr>
            <w:tcW w:w="432" w:type="pct"/>
            <w:tcBorders>
              <w:top w:val="single" w:sz="4" w:space="0" w:color="auto"/>
              <w:left w:val="nil"/>
              <w:bottom w:val="single" w:sz="4" w:space="0" w:color="auto"/>
              <w:right w:val="single" w:sz="4" w:space="0" w:color="auto"/>
            </w:tcBorders>
            <w:vAlign w:val="center"/>
          </w:tcPr>
          <w:p w14:paraId="1EE0FF5E" w14:textId="77777777" w:rsidR="004E457F" w:rsidRPr="00701F32" w:rsidRDefault="004E457F" w:rsidP="007C07F0">
            <w:pPr>
              <w:jc w:val="right"/>
              <w:rPr>
                <w:rFonts w:ascii="Arial" w:hAnsi="Arial" w:cs="Arial"/>
                <w:b/>
                <w:bCs/>
                <w:color w:val="000000"/>
                <w:sz w:val="14"/>
                <w:szCs w:val="14"/>
                <w:lang w:eastAsia="es-AR"/>
              </w:rPr>
            </w:pPr>
            <w:r w:rsidRPr="00701F32">
              <w:rPr>
                <w:rFonts w:ascii="Arial" w:hAnsi="Arial" w:cs="Arial"/>
                <w:b/>
                <w:bCs/>
                <w:color w:val="000000"/>
                <w:sz w:val="14"/>
                <w:szCs w:val="14"/>
                <w:lang w:eastAsia="es-AR"/>
              </w:rPr>
              <w:t>1.069.851</w:t>
            </w:r>
          </w:p>
        </w:tc>
      </w:tr>
    </w:tbl>
    <w:p w14:paraId="51FEA626" w14:textId="77777777" w:rsidR="00656E62" w:rsidRPr="00701F32" w:rsidRDefault="00656E62" w:rsidP="00656E62">
      <w:pPr>
        <w:pStyle w:val="PrimerNivel"/>
        <w:numPr>
          <w:ilvl w:val="0"/>
          <w:numId w:val="0"/>
        </w:numPr>
        <w:rPr>
          <w:rFonts w:ascii="Arial" w:hAnsi="Arial" w:cs="Arial"/>
          <w:b/>
          <w:sz w:val="20"/>
          <w:szCs w:val="20"/>
        </w:rPr>
      </w:pPr>
    </w:p>
    <w:p w14:paraId="21C4A258" w14:textId="77777777" w:rsidR="00CC58AD" w:rsidRPr="00701F32" w:rsidRDefault="00CC58AD" w:rsidP="00CC58AD">
      <w:pPr>
        <w:pStyle w:val="PrimerNivel"/>
        <w:numPr>
          <w:ilvl w:val="0"/>
          <w:numId w:val="0"/>
        </w:numPr>
        <w:rPr>
          <w:rFonts w:ascii="Arial" w:hAnsi="Arial" w:cs="Arial"/>
          <w:sz w:val="20"/>
        </w:rPr>
      </w:pPr>
      <w:r w:rsidRPr="00701F32">
        <w:rPr>
          <w:rFonts w:ascii="Arial" w:hAnsi="Arial" w:cs="Arial"/>
          <w:sz w:val="20"/>
        </w:rPr>
        <w:t>Con fecha 18 de septiembre de 2018 se redujo en un valor nominal en pesos de $ 618.030.000 (seiscientos dieciocho millones treinta mil) el monto total en circulación de las Obligaciones Negociables Clase A. El nuevo monto total de circulación en pesos es de $ 4.150.140.000 (cuatro mil ciento cincuenta millones ciento cuarenta mil).</w:t>
      </w:r>
    </w:p>
    <w:p w14:paraId="5998BED8" w14:textId="77777777" w:rsidR="00CC58AD" w:rsidRPr="00701F32" w:rsidRDefault="00CC58AD" w:rsidP="00656E62">
      <w:pPr>
        <w:pStyle w:val="PrimerNivel"/>
        <w:numPr>
          <w:ilvl w:val="0"/>
          <w:numId w:val="0"/>
        </w:numPr>
        <w:rPr>
          <w:rFonts w:ascii="Arial" w:hAnsi="Arial" w:cs="Arial"/>
          <w:b/>
          <w:sz w:val="20"/>
        </w:rPr>
      </w:pPr>
    </w:p>
    <w:p w14:paraId="6D4D1D40" w14:textId="77777777" w:rsidR="00656E62" w:rsidRPr="00701F32" w:rsidRDefault="00656E62" w:rsidP="00656E62">
      <w:pPr>
        <w:pStyle w:val="PrimerNivel"/>
        <w:numPr>
          <w:ilvl w:val="0"/>
          <w:numId w:val="0"/>
        </w:numPr>
        <w:rPr>
          <w:rFonts w:ascii="Arial" w:hAnsi="Arial" w:cs="Arial"/>
          <w:b/>
          <w:sz w:val="20"/>
          <w:szCs w:val="20"/>
        </w:rPr>
      </w:pPr>
      <w:r w:rsidRPr="00701F32">
        <w:rPr>
          <w:rFonts w:ascii="Arial" w:hAnsi="Arial" w:cs="Arial"/>
          <w:b/>
          <w:sz w:val="20"/>
          <w:szCs w:val="20"/>
        </w:rPr>
        <w:t>Obligaciones Negociables subordinadas</w:t>
      </w:r>
    </w:p>
    <w:p w14:paraId="42680195" w14:textId="77777777" w:rsidR="00656E62" w:rsidRPr="00701F32" w:rsidRDefault="00656E62" w:rsidP="00656E62">
      <w:pPr>
        <w:pStyle w:val="PrimerNivel"/>
        <w:numPr>
          <w:ilvl w:val="0"/>
          <w:numId w:val="0"/>
        </w:numPr>
        <w:ind w:left="66"/>
        <w:rPr>
          <w:rFonts w:ascii="Arial" w:hAnsi="Arial" w:cs="Arial"/>
          <w:b/>
          <w:sz w:val="20"/>
          <w:szCs w:val="20"/>
        </w:rPr>
      </w:pPr>
    </w:p>
    <w:p w14:paraId="2B11892C" w14:textId="77777777" w:rsidR="00656E62" w:rsidRPr="00701F32" w:rsidRDefault="00656E62" w:rsidP="00656E62">
      <w:pPr>
        <w:tabs>
          <w:tab w:val="left" w:pos="142"/>
          <w:tab w:val="left" w:pos="9923"/>
        </w:tabs>
        <w:jc w:val="both"/>
        <w:rPr>
          <w:rFonts w:ascii="Arial" w:hAnsi="Arial" w:cs="Arial"/>
          <w:b/>
          <w:sz w:val="20"/>
        </w:rPr>
      </w:pPr>
      <w:r w:rsidRPr="00701F32">
        <w:rPr>
          <w:rFonts w:ascii="Arial" w:hAnsi="Arial" w:cs="Arial"/>
          <w:b/>
          <w:sz w:val="20"/>
        </w:rPr>
        <w:t xml:space="preserve">Programa Global de Emisión de Obligaciones Negociables por hasta V/N $ 750.000.000 (ampliado a V/N $2.000.000.000). </w:t>
      </w:r>
    </w:p>
    <w:p w14:paraId="5AC820DE" w14:textId="77777777" w:rsidR="00656E62" w:rsidRPr="00701F32" w:rsidRDefault="00656E62" w:rsidP="00656E62">
      <w:pPr>
        <w:pStyle w:val="Sinespaciado"/>
        <w:jc w:val="both"/>
        <w:rPr>
          <w:rFonts w:ascii="Arial" w:hAnsi="Arial" w:cs="Arial"/>
          <w:sz w:val="20"/>
          <w:szCs w:val="20"/>
        </w:rPr>
      </w:pPr>
    </w:p>
    <w:p w14:paraId="4AA1D437" w14:textId="70AC8C8E" w:rsidR="00656E62" w:rsidRPr="00701F32" w:rsidRDefault="00656E62" w:rsidP="00656E62">
      <w:pPr>
        <w:pStyle w:val="Sinespaciado"/>
        <w:jc w:val="both"/>
        <w:rPr>
          <w:rFonts w:ascii="Arial" w:hAnsi="Arial" w:cs="Arial"/>
          <w:sz w:val="20"/>
          <w:szCs w:val="20"/>
        </w:rPr>
      </w:pPr>
      <w:r w:rsidRPr="00701F32">
        <w:rPr>
          <w:rFonts w:ascii="Arial" w:hAnsi="Arial" w:cs="Arial"/>
          <w:sz w:val="20"/>
          <w:szCs w:val="20"/>
        </w:rPr>
        <w:t>Con fecha 25 de marzo de 2013, la Asamblea General Extraordinaria de Accionistas resolvió aprobar la creación de un Programa Global de Emisión de Obligaciones Negociables por hasta un monto máximo en circulación en cualquier momento durante la vigencia del programa de pesos 750.000.000. Al respecto, cabe mencionar que en fecha 15 de abril de 2016 la Asamblea General Ordinaria y Extraordinaria de Accionistas resolvió incrementar el monto máximo de dicho programa hasta un valor nominal de pesos 2.000.000.000 o su equivalente en otras monedas, el cual fue aprobado por CNV mediante resolución N° 18.224 con fecha 22 de septiembre de 2016.</w:t>
      </w:r>
    </w:p>
    <w:p w14:paraId="76CAE598" w14:textId="77777777" w:rsidR="00656E62" w:rsidRPr="00701F32" w:rsidRDefault="00656E62" w:rsidP="00656E62">
      <w:pPr>
        <w:pStyle w:val="Sinespaciado"/>
        <w:jc w:val="both"/>
        <w:rPr>
          <w:rFonts w:ascii="Arial" w:hAnsi="Arial" w:cs="Arial"/>
          <w:sz w:val="20"/>
          <w:szCs w:val="20"/>
        </w:rPr>
      </w:pPr>
    </w:p>
    <w:p w14:paraId="60D6DF3E" w14:textId="77777777" w:rsidR="00656E62" w:rsidRPr="00701F32" w:rsidRDefault="00656E62" w:rsidP="00656E62">
      <w:pPr>
        <w:pStyle w:val="PrimerNivel"/>
        <w:numPr>
          <w:ilvl w:val="0"/>
          <w:numId w:val="0"/>
        </w:numPr>
        <w:rPr>
          <w:rFonts w:ascii="Arial" w:hAnsi="Arial" w:cs="Arial"/>
          <w:sz w:val="20"/>
          <w:szCs w:val="20"/>
        </w:rPr>
      </w:pPr>
      <w:r w:rsidRPr="00701F32">
        <w:rPr>
          <w:rFonts w:ascii="Arial" w:hAnsi="Arial" w:cs="Arial"/>
          <w:sz w:val="20"/>
          <w:szCs w:val="20"/>
        </w:rPr>
        <w:t>A continuación, se detallan los principales términos y condiciones de las emisiones vigentes al 3</w:t>
      </w:r>
      <w:r w:rsidR="007D1882" w:rsidRPr="00701F32">
        <w:rPr>
          <w:rFonts w:ascii="Arial" w:hAnsi="Arial" w:cs="Arial"/>
          <w:sz w:val="20"/>
          <w:szCs w:val="20"/>
        </w:rPr>
        <w:t>0</w:t>
      </w:r>
      <w:r w:rsidRPr="00701F32">
        <w:rPr>
          <w:rFonts w:ascii="Arial" w:hAnsi="Arial" w:cs="Arial"/>
          <w:sz w:val="20"/>
          <w:szCs w:val="20"/>
        </w:rPr>
        <w:t xml:space="preserve"> de </w:t>
      </w:r>
      <w:r w:rsidR="0017564D" w:rsidRPr="00701F32">
        <w:rPr>
          <w:rFonts w:ascii="Arial" w:hAnsi="Arial" w:cs="Arial"/>
          <w:sz w:val="20"/>
          <w:szCs w:val="20"/>
        </w:rPr>
        <w:t>septiembre</w:t>
      </w:r>
      <w:r w:rsidR="007D1882" w:rsidRPr="00701F32">
        <w:rPr>
          <w:rFonts w:ascii="Arial" w:hAnsi="Arial" w:cs="Arial"/>
          <w:sz w:val="20"/>
          <w:szCs w:val="20"/>
        </w:rPr>
        <w:t xml:space="preserve"> </w:t>
      </w:r>
      <w:r w:rsidRPr="00701F32">
        <w:rPr>
          <w:rFonts w:ascii="Arial" w:hAnsi="Arial" w:cs="Arial"/>
          <w:sz w:val="20"/>
          <w:szCs w:val="20"/>
        </w:rPr>
        <w:t>de 2018</w:t>
      </w:r>
      <w:r w:rsidR="004E457F" w:rsidRPr="00701F32">
        <w:rPr>
          <w:rFonts w:ascii="Arial" w:hAnsi="Arial" w:cs="Arial"/>
          <w:sz w:val="20"/>
          <w:szCs w:val="20"/>
        </w:rPr>
        <w:t>, 31 de diciembre y</w:t>
      </w:r>
      <w:r w:rsidRPr="00701F32">
        <w:rPr>
          <w:rFonts w:ascii="Arial" w:hAnsi="Arial" w:cs="Arial"/>
          <w:sz w:val="20"/>
          <w:szCs w:val="20"/>
        </w:rPr>
        <w:t xml:space="preserve"> </w:t>
      </w:r>
      <w:r w:rsidR="004E457F" w:rsidRPr="00701F32">
        <w:rPr>
          <w:rFonts w:ascii="Arial" w:hAnsi="Arial" w:cs="Arial"/>
          <w:sz w:val="20"/>
          <w:szCs w:val="20"/>
        </w:rPr>
        <w:t>1 de enero</w:t>
      </w:r>
      <w:r w:rsidRPr="00701F32">
        <w:rPr>
          <w:rFonts w:ascii="Arial" w:hAnsi="Arial" w:cs="Arial"/>
          <w:sz w:val="20"/>
          <w:szCs w:val="20"/>
        </w:rPr>
        <w:t xml:space="preserve"> de 2017:</w:t>
      </w:r>
    </w:p>
    <w:p w14:paraId="4C313A47" w14:textId="77777777" w:rsidR="00656E62" w:rsidRPr="00701F32" w:rsidRDefault="00656E62" w:rsidP="00656E62">
      <w:pPr>
        <w:pStyle w:val="PrimerNivel"/>
        <w:numPr>
          <w:ilvl w:val="0"/>
          <w:numId w:val="0"/>
        </w:numPr>
        <w:rPr>
          <w:rFonts w:ascii="Arial" w:hAnsi="Arial" w:cs="Arial"/>
          <w:sz w:val="20"/>
          <w:szCs w:val="20"/>
        </w:rPr>
      </w:pPr>
    </w:p>
    <w:tbl>
      <w:tblPr>
        <w:tblW w:w="9703" w:type="dxa"/>
        <w:tblInd w:w="55" w:type="dxa"/>
        <w:tblLayout w:type="fixed"/>
        <w:tblCellMar>
          <w:left w:w="70" w:type="dxa"/>
          <w:right w:w="70" w:type="dxa"/>
        </w:tblCellMar>
        <w:tblLook w:val="04A0" w:firstRow="1" w:lastRow="0" w:firstColumn="1" w:lastColumn="0" w:noHBand="0" w:noVBand="1"/>
      </w:tblPr>
      <w:tblGrid>
        <w:gridCol w:w="955"/>
        <w:gridCol w:w="730"/>
        <w:gridCol w:w="557"/>
        <w:gridCol w:w="846"/>
        <w:gridCol w:w="1190"/>
        <w:gridCol w:w="750"/>
        <w:gridCol w:w="1013"/>
        <w:gridCol w:w="820"/>
        <w:gridCol w:w="1141"/>
        <w:gridCol w:w="855"/>
        <w:gridCol w:w="846"/>
      </w:tblGrid>
      <w:tr w:rsidR="004E457F" w:rsidRPr="00701F32" w14:paraId="06D243C9" w14:textId="77777777" w:rsidTr="00C23045">
        <w:trPr>
          <w:trHeight w:val="261"/>
        </w:trPr>
        <w:tc>
          <w:tcPr>
            <w:tcW w:w="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959B79"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Fecha de colocación</w:t>
            </w:r>
          </w:p>
        </w:tc>
        <w:tc>
          <w:tcPr>
            <w:tcW w:w="7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7A3717" w14:textId="77777777" w:rsidR="004E457F" w:rsidRPr="00701F32" w:rsidRDefault="004E457F" w:rsidP="007C07F0">
            <w:pPr>
              <w:jc w:val="center"/>
              <w:rPr>
                <w:rFonts w:ascii="Arial" w:hAnsi="Arial" w:cs="Arial"/>
                <w:color w:val="000000"/>
                <w:sz w:val="14"/>
                <w:szCs w:val="16"/>
                <w:lang w:eastAsia="es-AR"/>
              </w:rPr>
            </w:pPr>
            <w:r w:rsidRPr="00701F32">
              <w:rPr>
                <w:rFonts w:ascii="Arial" w:hAnsi="Arial" w:cs="Arial"/>
                <w:color w:val="000000"/>
                <w:sz w:val="14"/>
                <w:szCs w:val="16"/>
                <w:lang w:eastAsia="es-AR"/>
              </w:rPr>
              <w:t>Moneda</w:t>
            </w:r>
          </w:p>
        </w:tc>
        <w:tc>
          <w:tcPr>
            <w:tcW w:w="5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A047CC"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Nro. de Clase</w:t>
            </w:r>
          </w:p>
        </w:tc>
        <w:tc>
          <w:tcPr>
            <w:tcW w:w="8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EF19CE"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Monto</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BDAC42"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Amortización</w:t>
            </w:r>
          </w:p>
        </w:tc>
        <w:tc>
          <w:tcPr>
            <w:tcW w:w="7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863132"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Plazo</w:t>
            </w:r>
          </w:p>
        </w:tc>
        <w:tc>
          <w:tcPr>
            <w:tcW w:w="10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1A4779"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Fecha de vencimiento</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34ADA0"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Tasa</w:t>
            </w:r>
          </w:p>
        </w:tc>
        <w:tc>
          <w:tcPr>
            <w:tcW w:w="2842" w:type="dxa"/>
            <w:gridSpan w:val="3"/>
            <w:tcBorders>
              <w:top w:val="single" w:sz="8" w:space="0" w:color="auto"/>
              <w:left w:val="nil"/>
              <w:bottom w:val="single" w:sz="8" w:space="0" w:color="auto"/>
              <w:right w:val="single" w:sz="8" w:space="0" w:color="000000"/>
            </w:tcBorders>
            <w:shd w:val="clear" w:color="auto" w:fill="auto"/>
            <w:vAlign w:val="center"/>
            <w:hideMark/>
          </w:tcPr>
          <w:p w14:paraId="0AF57D3D"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Valor Libros</w:t>
            </w:r>
          </w:p>
        </w:tc>
      </w:tr>
      <w:tr w:rsidR="004E457F" w:rsidRPr="00701F32" w14:paraId="4FBA03E1" w14:textId="77777777" w:rsidTr="00C23045">
        <w:trPr>
          <w:trHeight w:val="261"/>
        </w:trPr>
        <w:tc>
          <w:tcPr>
            <w:tcW w:w="955" w:type="dxa"/>
            <w:vMerge/>
            <w:tcBorders>
              <w:top w:val="single" w:sz="8" w:space="0" w:color="auto"/>
              <w:left w:val="single" w:sz="8" w:space="0" w:color="auto"/>
              <w:bottom w:val="single" w:sz="8" w:space="0" w:color="000000"/>
              <w:right w:val="single" w:sz="8" w:space="0" w:color="auto"/>
            </w:tcBorders>
            <w:vAlign w:val="center"/>
            <w:hideMark/>
          </w:tcPr>
          <w:p w14:paraId="4B7F3974" w14:textId="77777777" w:rsidR="004E457F" w:rsidRPr="00701F32" w:rsidRDefault="004E457F" w:rsidP="007C07F0">
            <w:pPr>
              <w:jc w:val="center"/>
              <w:rPr>
                <w:rFonts w:ascii="Arial" w:hAnsi="Arial" w:cs="Arial"/>
                <w:b/>
                <w:color w:val="000000"/>
                <w:sz w:val="14"/>
                <w:szCs w:val="16"/>
                <w:lang w:eastAsia="es-AR"/>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6ACC0343" w14:textId="77777777" w:rsidR="004E457F" w:rsidRPr="00701F32" w:rsidRDefault="004E457F" w:rsidP="007C07F0">
            <w:pPr>
              <w:jc w:val="center"/>
              <w:rPr>
                <w:rFonts w:ascii="Arial" w:hAnsi="Arial" w:cs="Arial"/>
                <w:b/>
                <w:color w:val="000000"/>
                <w:sz w:val="14"/>
                <w:szCs w:val="16"/>
                <w:lang w:eastAsia="es-AR"/>
              </w:rPr>
            </w:pPr>
          </w:p>
        </w:tc>
        <w:tc>
          <w:tcPr>
            <w:tcW w:w="557" w:type="dxa"/>
            <w:vMerge/>
            <w:tcBorders>
              <w:top w:val="single" w:sz="8" w:space="0" w:color="auto"/>
              <w:left w:val="single" w:sz="8" w:space="0" w:color="auto"/>
              <w:bottom w:val="single" w:sz="8" w:space="0" w:color="000000"/>
              <w:right w:val="single" w:sz="8" w:space="0" w:color="auto"/>
            </w:tcBorders>
            <w:vAlign w:val="center"/>
            <w:hideMark/>
          </w:tcPr>
          <w:p w14:paraId="2FA5FF4D" w14:textId="77777777" w:rsidR="004E457F" w:rsidRPr="00701F32" w:rsidRDefault="004E457F" w:rsidP="007C07F0">
            <w:pPr>
              <w:jc w:val="center"/>
              <w:rPr>
                <w:rFonts w:ascii="Arial" w:hAnsi="Arial" w:cs="Arial"/>
                <w:b/>
                <w:color w:val="000000"/>
                <w:sz w:val="14"/>
                <w:szCs w:val="16"/>
                <w:lang w:eastAsia="es-AR"/>
              </w:rP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14:paraId="0E3FFE6C" w14:textId="77777777" w:rsidR="004E457F" w:rsidRPr="00701F32" w:rsidRDefault="004E457F" w:rsidP="007C07F0">
            <w:pPr>
              <w:jc w:val="center"/>
              <w:rPr>
                <w:rFonts w:ascii="Arial" w:hAnsi="Arial" w:cs="Arial"/>
                <w:b/>
                <w:color w:val="000000"/>
                <w:sz w:val="14"/>
                <w:szCs w:val="16"/>
                <w:lang w:eastAsia="es-AR"/>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481039B8" w14:textId="77777777" w:rsidR="004E457F" w:rsidRPr="00701F32" w:rsidRDefault="004E457F" w:rsidP="007C07F0">
            <w:pPr>
              <w:jc w:val="center"/>
              <w:rPr>
                <w:rFonts w:ascii="Arial" w:hAnsi="Arial" w:cs="Arial"/>
                <w:b/>
                <w:color w:val="000000"/>
                <w:sz w:val="14"/>
                <w:szCs w:val="16"/>
                <w:lang w:eastAsia="es-AR"/>
              </w:rPr>
            </w:pPr>
          </w:p>
        </w:tc>
        <w:tc>
          <w:tcPr>
            <w:tcW w:w="750" w:type="dxa"/>
            <w:vMerge/>
            <w:tcBorders>
              <w:top w:val="single" w:sz="8" w:space="0" w:color="auto"/>
              <w:left w:val="single" w:sz="8" w:space="0" w:color="auto"/>
              <w:bottom w:val="single" w:sz="8" w:space="0" w:color="000000"/>
              <w:right w:val="single" w:sz="8" w:space="0" w:color="auto"/>
            </w:tcBorders>
            <w:vAlign w:val="center"/>
            <w:hideMark/>
          </w:tcPr>
          <w:p w14:paraId="3183226F" w14:textId="77777777" w:rsidR="004E457F" w:rsidRPr="00701F32" w:rsidRDefault="004E457F" w:rsidP="007C07F0">
            <w:pPr>
              <w:jc w:val="center"/>
              <w:rPr>
                <w:rFonts w:ascii="Arial" w:hAnsi="Arial" w:cs="Arial"/>
                <w:b/>
                <w:color w:val="000000"/>
                <w:sz w:val="14"/>
                <w:szCs w:val="16"/>
                <w:lang w:eastAsia="es-AR"/>
              </w:rPr>
            </w:pPr>
          </w:p>
        </w:tc>
        <w:tc>
          <w:tcPr>
            <w:tcW w:w="1010" w:type="dxa"/>
            <w:vMerge/>
            <w:tcBorders>
              <w:top w:val="single" w:sz="8" w:space="0" w:color="auto"/>
              <w:left w:val="single" w:sz="8" w:space="0" w:color="auto"/>
              <w:bottom w:val="single" w:sz="8" w:space="0" w:color="000000"/>
              <w:right w:val="single" w:sz="8" w:space="0" w:color="auto"/>
            </w:tcBorders>
            <w:vAlign w:val="center"/>
            <w:hideMark/>
          </w:tcPr>
          <w:p w14:paraId="0ECCC6F5" w14:textId="77777777" w:rsidR="004E457F" w:rsidRPr="00701F32" w:rsidRDefault="004E457F" w:rsidP="007C07F0">
            <w:pPr>
              <w:jc w:val="center"/>
              <w:rPr>
                <w:rFonts w:ascii="Arial" w:hAnsi="Arial" w:cs="Arial"/>
                <w:b/>
                <w:color w:val="000000"/>
                <w:sz w:val="14"/>
                <w:szCs w:val="16"/>
                <w:lang w:eastAsia="es-AR"/>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0F9552E" w14:textId="77777777" w:rsidR="004E457F" w:rsidRPr="00701F32" w:rsidRDefault="004E457F" w:rsidP="007C07F0">
            <w:pPr>
              <w:jc w:val="center"/>
              <w:rPr>
                <w:rFonts w:ascii="Arial" w:hAnsi="Arial" w:cs="Arial"/>
                <w:b/>
                <w:color w:val="000000"/>
                <w:sz w:val="14"/>
                <w:szCs w:val="16"/>
                <w:lang w:eastAsia="es-AR"/>
              </w:rPr>
            </w:pPr>
          </w:p>
        </w:tc>
        <w:tc>
          <w:tcPr>
            <w:tcW w:w="1141" w:type="dxa"/>
            <w:tcBorders>
              <w:top w:val="nil"/>
              <w:left w:val="nil"/>
              <w:bottom w:val="single" w:sz="8" w:space="0" w:color="auto"/>
              <w:right w:val="single" w:sz="8" w:space="0" w:color="auto"/>
            </w:tcBorders>
            <w:shd w:val="clear" w:color="auto" w:fill="auto"/>
            <w:vAlign w:val="center"/>
            <w:hideMark/>
          </w:tcPr>
          <w:p w14:paraId="5845BE0B" w14:textId="77777777" w:rsidR="004E457F" w:rsidRPr="00701F32" w:rsidRDefault="007D1882"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30/0</w:t>
            </w:r>
            <w:r w:rsidR="0017564D" w:rsidRPr="00701F32">
              <w:rPr>
                <w:rFonts w:ascii="Arial" w:hAnsi="Arial" w:cs="Arial"/>
                <w:b/>
                <w:color w:val="000000"/>
                <w:sz w:val="14"/>
                <w:szCs w:val="16"/>
                <w:lang w:eastAsia="es-AR"/>
              </w:rPr>
              <w:t>9</w:t>
            </w:r>
            <w:r w:rsidRPr="00701F32">
              <w:rPr>
                <w:rFonts w:ascii="Arial" w:hAnsi="Arial" w:cs="Arial"/>
                <w:b/>
                <w:color w:val="000000"/>
                <w:sz w:val="14"/>
                <w:szCs w:val="16"/>
                <w:lang w:eastAsia="es-AR"/>
              </w:rPr>
              <w:t>/2018</w:t>
            </w:r>
          </w:p>
        </w:tc>
        <w:tc>
          <w:tcPr>
            <w:tcW w:w="855" w:type="dxa"/>
            <w:tcBorders>
              <w:top w:val="nil"/>
              <w:left w:val="nil"/>
              <w:bottom w:val="single" w:sz="8" w:space="0" w:color="auto"/>
              <w:right w:val="single" w:sz="8" w:space="0" w:color="auto"/>
            </w:tcBorders>
            <w:shd w:val="clear" w:color="auto" w:fill="auto"/>
            <w:vAlign w:val="center"/>
            <w:hideMark/>
          </w:tcPr>
          <w:p w14:paraId="0698A143"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31/12/2017</w:t>
            </w:r>
          </w:p>
        </w:tc>
        <w:tc>
          <w:tcPr>
            <w:tcW w:w="846" w:type="dxa"/>
            <w:tcBorders>
              <w:top w:val="nil"/>
              <w:left w:val="nil"/>
              <w:bottom w:val="single" w:sz="8" w:space="0" w:color="auto"/>
              <w:right w:val="single" w:sz="8" w:space="0" w:color="auto"/>
            </w:tcBorders>
            <w:vAlign w:val="center"/>
          </w:tcPr>
          <w:p w14:paraId="286F4515" w14:textId="77777777" w:rsidR="004E457F" w:rsidRPr="00701F32" w:rsidRDefault="004E457F" w:rsidP="007C07F0">
            <w:pPr>
              <w:jc w:val="center"/>
              <w:rPr>
                <w:rFonts w:ascii="Arial" w:hAnsi="Arial" w:cs="Arial"/>
                <w:b/>
                <w:color w:val="000000"/>
                <w:sz w:val="14"/>
                <w:szCs w:val="16"/>
                <w:lang w:eastAsia="es-AR"/>
              </w:rPr>
            </w:pPr>
            <w:r w:rsidRPr="00701F32">
              <w:rPr>
                <w:rFonts w:ascii="Arial" w:hAnsi="Arial" w:cs="Arial"/>
                <w:b/>
                <w:color w:val="000000"/>
                <w:sz w:val="14"/>
                <w:szCs w:val="16"/>
                <w:lang w:eastAsia="es-AR"/>
              </w:rPr>
              <w:t>01/01/2017</w:t>
            </w:r>
          </w:p>
        </w:tc>
      </w:tr>
      <w:tr w:rsidR="004E457F" w:rsidRPr="00701F32" w14:paraId="139D6006" w14:textId="77777777" w:rsidTr="00C23045">
        <w:trPr>
          <w:trHeight w:val="261"/>
        </w:trPr>
        <w:tc>
          <w:tcPr>
            <w:tcW w:w="955" w:type="dxa"/>
            <w:tcBorders>
              <w:top w:val="nil"/>
              <w:left w:val="single" w:sz="8" w:space="0" w:color="auto"/>
              <w:bottom w:val="single" w:sz="8" w:space="0" w:color="auto"/>
              <w:right w:val="single" w:sz="8" w:space="0" w:color="auto"/>
            </w:tcBorders>
            <w:shd w:val="clear" w:color="auto" w:fill="auto"/>
            <w:noWrap/>
            <w:vAlign w:val="center"/>
          </w:tcPr>
          <w:p w14:paraId="2E33B2FE"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4"/>
                <w:lang w:eastAsia="es-AR"/>
              </w:rPr>
              <w:t>11/11/10</w:t>
            </w:r>
          </w:p>
        </w:tc>
        <w:tc>
          <w:tcPr>
            <w:tcW w:w="730" w:type="dxa"/>
            <w:tcBorders>
              <w:top w:val="nil"/>
              <w:left w:val="nil"/>
              <w:bottom w:val="single" w:sz="8" w:space="0" w:color="auto"/>
              <w:right w:val="single" w:sz="8" w:space="0" w:color="auto"/>
            </w:tcBorders>
            <w:shd w:val="clear" w:color="auto" w:fill="auto"/>
            <w:noWrap/>
            <w:vAlign w:val="center"/>
          </w:tcPr>
          <w:p w14:paraId="10669577"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4"/>
                <w:lang w:eastAsia="es-AR"/>
              </w:rPr>
              <w:t>u$s</w:t>
            </w:r>
          </w:p>
        </w:tc>
        <w:tc>
          <w:tcPr>
            <w:tcW w:w="557" w:type="dxa"/>
            <w:tcBorders>
              <w:top w:val="nil"/>
              <w:left w:val="nil"/>
              <w:bottom w:val="single" w:sz="8" w:space="0" w:color="auto"/>
              <w:right w:val="single" w:sz="8" w:space="0" w:color="auto"/>
            </w:tcBorders>
            <w:shd w:val="clear" w:color="auto" w:fill="auto"/>
            <w:noWrap/>
            <w:vAlign w:val="center"/>
          </w:tcPr>
          <w:p w14:paraId="4A80ABE1"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4"/>
                <w:lang w:eastAsia="es-AR"/>
              </w:rPr>
              <w:t xml:space="preserve">I </w:t>
            </w:r>
          </w:p>
        </w:tc>
        <w:tc>
          <w:tcPr>
            <w:tcW w:w="846" w:type="dxa"/>
            <w:tcBorders>
              <w:top w:val="nil"/>
              <w:left w:val="nil"/>
              <w:bottom w:val="single" w:sz="8" w:space="0" w:color="auto"/>
              <w:right w:val="single" w:sz="8" w:space="0" w:color="auto"/>
            </w:tcBorders>
            <w:shd w:val="clear" w:color="auto" w:fill="auto"/>
            <w:noWrap/>
            <w:vAlign w:val="center"/>
          </w:tcPr>
          <w:p w14:paraId="454EB2AD"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50.000</w:t>
            </w:r>
          </w:p>
        </w:tc>
        <w:tc>
          <w:tcPr>
            <w:tcW w:w="1190" w:type="dxa"/>
            <w:tcBorders>
              <w:top w:val="nil"/>
              <w:left w:val="nil"/>
              <w:bottom w:val="single" w:sz="8" w:space="0" w:color="auto"/>
              <w:right w:val="single" w:sz="8" w:space="0" w:color="auto"/>
            </w:tcBorders>
            <w:shd w:val="clear" w:color="auto" w:fill="auto"/>
            <w:vAlign w:val="center"/>
          </w:tcPr>
          <w:p w14:paraId="77296BD0"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4"/>
                <w:lang w:eastAsia="es-AR"/>
              </w:rPr>
              <w:t>100% al vto.</w:t>
            </w:r>
          </w:p>
        </w:tc>
        <w:tc>
          <w:tcPr>
            <w:tcW w:w="750" w:type="dxa"/>
            <w:tcBorders>
              <w:top w:val="nil"/>
              <w:left w:val="nil"/>
              <w:bottom w:val="single" w:sz="8" w:space="0" w:color="auto"/>
              <w:right w:val="single" w:sz="8" w:space="0" w:color="auto"/>
            </w:tcBorders>
            <w:shd w:val="clear" w:color="auto" w:fill="auto"/>
            <w:noWrap/>
            <w:vAlign w:val="center"/>
          </w:tcPr>
          <w:p w14:paraId="0B1A0A05" w14:textId="77777777" w:rsidR="004E457F" w:rsidRPr="00701F32" w:rsidRDefault="004E457F" w:rsidP="00C23045">
            <w:pPr>
              <w:jc w:val="center"/>
              <w:rPr>
                <w:rFonts w:ascii="Arial" w:hAnsi="Arial" w:cs="Arial"/>
                <w:color w:val="000000"/>
                <w:sz w:val="14"/>
                <w:szCs w:val="16"/>
                <w:lang w:val="es-ES_tradnl" w:eastAsia="es-AR"/>
              </w:rPr>
            </w:pPr>
            <w:r w:rsidRPr="00701F32">
              <w:rPr>
                <w:rFonts w:ascii="Arial" w:hAnsi="Arial" w:cs="Arial"/>
                <w:color w:val="000000"/>
                <w:sz w:val="14"/>
                <w:szCs w:val="14"/>
                <w:lang w:eastAsia="es-AR"/>
              </w:rPr>
              <w:t>84 Meses</w:t>
            </w:r>
          </w:p>
        </w:tc>
        <w:tc>
          <w:tcPr>
            <w:tcW w:w="1010" w:type="dxa"/>
            <w:tcBorders>
              <w:top w:val="nil"/>
              <w:left w:val="nil"/>
              <w:bottom w:val="single" w:sz="8" w:space="0" w:color="auto"/>
              <w:right w:val="single" w:sz="8" w:space="0" w:color="auto"/>
            </w:tcBorders>
            <w:shd w:val="clear" w:color="auto" w:fill="auto"/>
            <w:noWrap/>
            <w:vAlign w:val="center"/>
          </w:tcPr>
          <w:p w14:paraId="00FF143F"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11/11/2017</w:t>
            </w:r>
          </w:p>
        </w:tc>
        <w:tc>
          <w:tcPr>
            <w:tcW w:w="820" w:type="dxa"/>
            <w:tcBorders>
              <w:top w:val="nil"/>
              <w:left w:val="nil"/>
              <w:bottom w:val="single" w:sz="8" w:space="0" w:color="auto"/>
              <w:right w:val="single" w:sz="8" w:space="0" w:color="auto"/>
            </w:tcBorders>
            <w:shd w:val="clear" w:color="auto" w:fill="auto"/>
            <w:noWrap/>
            <w:vAlign w:val="center"/>
          </w:tcPr>
          <w:p w14:paraId="54B871BA"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11,375</w:t>
            </w:r>
          </w:p>
        </w:tc>
        <w:tc>
          <w:tcPr>
            <w:tcW w:w="1141" w:type="dxa"/>
            <w:tcBorders>
              <w:top w:val="nil"/>
              <w:left w:val="nil"/>
              <w:bottom w:val="single" w:sz="8" w:space="0" w:color="auto"/>
              <w:right w:val="single" w:sz="8" w:space="0" w:color="auto"/>
            </w:tcBorders>
            <w:shd w:val="clear" w:color="auto" w:fill="auto"/>
            <w:noWrap/>
            <w:vAlign w:val="center"/>
          </w:tcPr>
          <w:p w14:paraId="42EFD94B"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6"/>
                <w:lang w:eastAsia="es-AR"/>
              </w:rPr>
              <w:t>-</w:t>
            </w:r>
          </w:p>
        </w:tc>
        <w:tc>
          <w:tcPr>
            <w:tcW w:w="855" w:type="dxa"/>
            <w:tcBorders>
              <w:top w:val="nil"/>
              <w:left w:val="nil"/>
              <w:bottom w:val="single" w:sz="8" w:space="0" w:color="auto"/>
              <w:right w:val="single" w:sz="8" w:space="0" w:color="auto"/>
            </w:tcBorders>
            <w:shd w:val="clear" w:color="auto" w:fill="auto"/>
            <w:noWrap/>
            <w:vAlign w:val="center"/>
          </w:tcPr>
          <w:p w14:paraId="066FE6B2"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6"/>
                <w:lang w:eastAsia="es-AR"/>
              </w:rPr>
              <w:t>-</w:t>
            </w:r>
          </w:p>
        </w:tc>
        <w:tc>
          <w:tcPr>
            <w:tcW w:w="846" w:type="dxa"/>
            <w:tcBorders>
              <w:top w:val="nil"/>
              <w:left w:val="nil"/>
              <w:bottom w:val="single" w:sz="8" w:space="0" w:color="auto"/>
              <w:right w:val="single" w:sz="8" w:space="0" w:color="auto"/>
            </w:tcBorders>
            <w:vAlign w:val="center"/>
          </w:tcPr>
          <w:p w14:paraId="0DF1E2FB"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800.674</w:t>
            </w:r>
          </w:p>
        </w:tc>
      </w:tr>
      <w:tr w:rsidR="004E457F" w:rsidRPr="00701F32" w14:paraId="40ADACAE" w14:textId="77777777" w:rsidTr="00941382">
        <w:trPr>
          <w:trHeight w:val="261"/>
        </w:trPr>
        <w:tc>
          <w:tcPr>
            <w:tcW w:w="955" w:type="dxa"/>
            <w:tcBorders>
              <w:top w:val="nil"/>
              <w:left w:val="single" w:sz="8" w:space="0" w:color="auto"/>
              <w:bottom w:val="single" w:sz="8" w:space="0" w:color="auto"/>
              <w:right w:val="single" w:sz="8" w:space="0" w:color="auto"/>
            </w:tcBorders>
            <w:shd w:val="clear" w:color="auto" w:fill="auto"/>
            <w:noWrap/>
            <w:vAlign w:val="center"/>
            <w:hideMark/>
          </w:tcPr>
          <w:p w14:paraId="1779796F"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20/08/13</w:t>
            </w:r>
          </w:p>
        </w:tc>
        <w:tc>
          <w:tcPr>
            <w:tcW w:w="730" w:type="dxa"/>
            <w:tcBorders>
              <w:top w:val="nil"/>
              <w:left w:val="nil"/>
              <w:bottom w:val="single" w:sz="8" w:space="0" w:color="auto"/>
              <w:right w:val="single" w:sz="8" w:space="0" w:color="auto"/>
            </w:tcBorders>
            <w:shd w:val="clear" w:color="auto" w:fill="auto"/>
            <w:noWrap/>
            <w:vAlign w:val="center"/>
            <w:hideMark/>
          </w:tcPr>
          <w:p w14:paraId="2A345418"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u$s</w:t>
            </w:r>
          </w:p>
        </w:tc>
        <w:tc>
          <w:tcPr>
            <w:tcW w:w="557" w:type="dxa"/>
            <w:tcBorders>
              <w:top w:val="nil"/>
              <w:left w:val="nil"/>
              <w:bottom w:val="single" w:sz="8" w:space="0" w:color="auto"/>
              <w:right w:val="single" w:sz="8" w:space="0" w:color="auto"/>
            </w:tcBorders>
            <w:shd w:val="clear" w:color="auto" w:fill="auto"/>
            <w:noWrap/>
            <w:vAlign w:val="center"/>
            <w:hideMark/>
          </w:tcPr>
          <w:p w14:paraId="348ADC1C"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III</w:t>
            </w:r>
          </w:p>
        </w:tc>
        <w:tc>
          <w:tcPr>
            <w:tcW w:w="846" w:type="dxa"/>
            <w:tcBorders>
              <w:top w:val="nil"/>
              <w:left w:val="nil"/>
              <w:bottom w:val="single" w:sz="8" w:space="0" w:color="auto"/>
              <w:right w:val="single" w:sz="8" w:space="0" w:color="auto"/>
            </w:tcBorders>
            <w:shd w:val="clear" w:color="auto" w:fill="auto"/>
            <w:noWrap/>
            <w:vAlign w:val="center"/>
            <w:hideMark/>
          </w:tcPr>
          <w:p w14:paraId="4E2AEB46"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22.500</w:t>
            </w:r>
          </w:p>
        </w:tc>
        <w:tc>
          <w:tcPr>
            <w:tcW w:w="1190" w:type="dxa"/>
            <w:tcBorders>
              <w:top w:val="nil"/>
              <w:left w:val="nil"/>
              <w:bottom w:val="single" w:sz="8" w:space="0" w:color="auto"/>
              <w:right w:val="single" w:sz="8" w:space="0" w:color="auto"/>
            </w:tcBorders>
            <w:shd w:val="clear" w:color="auto" w:fill="auto"/>
            <w:vAlign w:val="center"/>
            <w:hideMark/>
          </w:tcPr>
          <w:p w14:paraId="5F90B2BF"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100% al vto.</w:t>
            </w:r>
          </w:p>
        </w:tc>
        <w:tc>
          <w:tcPr>
            <w:tcW w:w="750" w:type="dxa"/>
            <w:tcBorders>
              <w:top w:val="nil"/>
              <w:left w:val="nil"/>
              <w:bottom w:val="single" w:sz="8" w:space="0" w:color="auto"/>
              <w:right w:val="single" w:sz="8" w:space="0" w:color="auto"/>
            </w:tcBorders>
            <w:shd w:val="clear" w:color="auto" w:fill="auto"/>
            <w:noWrap/>
            <w:vAlign w:val="center"/>
            <w:hideMark/>
          </w:tcPr>
          <w:p w14:paraId="4D262CD1" w14:textId="77777777" w:rsidR="004E457F" w:rsidRPr="00701F32" w:rsidRDefault="004E457F">
            <w:pPr>
              <w:jc w:val="center"/>
              <w:rPr>
                <w:rFonts w:ascii="Arial" w:hAnsi="Arial" w:cs="Arial"/>
                <w:color w:val="000000"/>
                <w:sz w:val="14"/>
                <w:szCs w:val="16"/>
                <w:lang w:val="es-ES_tradnl" w:eastAsia="es-AR"/>
              </w:rPr>
            </w:pPr>
            <w:r w:rsidRPr="00701F32">
              <w:rPr>
                <w:rFonts w:ascii="Arial" w:hAnsi="Arial" w:cs="Arial"/>
                <w:color w:val="000000"/>
                <w:sz w:val="14"/>
                <w:szCs w:val="16"/>
                <w:lang w:eastAsia="es-AR"/>
              </w:rPr>
              <w:t>84 Meses</w:t>
            </w:r>
          </w:p>
        </w:tc>
        <w:tc>
          <w:tcPr>
            <w:tcW w:w="1010" w:type="dxa"/>
            <w:tcBorders>
              <w:top w:val="nil"/>
              <w:left w:val="nil"/>
              <w:bottom w:val="single" w:sz="8" w:space="0" w:color="auto"/>
              <w:right w:val="single" w:sz="8" w:space="0" w:color="auto"/>
            </w:tcBorders>
            <w:shd w:val="clear" w:color="auto" w:fill="auto"/>
            <w:noWrap/>
            <w:vAlign w:val="center"/>
            <w:hideMark/>
          </w:tcPr>
          <w:p w14:paraId="4C922930"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20/08/20</w:t>
            </w:r>
          </w:p>
        </w:tc>
        <w:tc>
          <w:tcPr>
            <w:tcW w:w="820" w:type="dxa"/>
            <w:tcBorders>
              <w:top w:val="nil"/>
              <w:left w:val="nil"/>
              <w:bottom w:val="single" w:sz="8" w:space="0" w:color="auto"/>
              <w:right w:val="single" w:sz="8" w:space="0" w:color="auto"/>
            </w:tcBorders>
            <w:shd w:val="clear" w:color="auto" w:fill="auto"/>
            <w:noWrap/>
            <w:vAlign w:val="center"/>
            <w:hideMark/>
          </w:tcPr>
          <w:p w14:paraId="1E42F96C"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7</w:t>
            </w:r>
          </w:p>
        </w:tc>
        <w:tc>
          <w:tcPr>
            <w:tcW w:w="1141" w:type="dxa"/>
            <w:tcBorders>
              <w:top w:val="nil"/>
              <w:left w:val="nil"/>
              <w:bottom w:val="single" w:sz="8" w:space="0" w:color="auto"/>
              <w:right w:val="single" w:sz="8" w:space="0" w:color="auto"/>
            </w:tcBorders>
            <w:shd w:val="clear" w:color="auto" w:fill="auto"/>
            <w:noWrap/>
            <w:vAlign w:val="center"/>
          </w:tcPr>
          <w:p w14:paraId="0A6755B1" w14:textId="5870C4BA" w:rsidR="004E457F" w:rsidRPr="00701F32" w:rsidRDefault="000409A6"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val="es-ES_tradnl" w:eastAsia="es-AR"/>
              </w:rPr>
              <w:t>926.460</w:t>
            </w:r>
          </w:p>
        </w:tc>
        <w:tc>
          <w:tcPr>
            <w:tcW w:w="855" w:type="dxa"/>
            <w:tcBorders>
              <w:top w:val="nil"/>
              <w:left w:val="nil"/>
              <w:bottom w:val="single" w:sz="8" w:space="0" w:color="auto"/>
              <w:right w:val="single" w:sz="8" w:space="0" w:color="auto"/>
            </w:tcBorders>
            <w:shd w:val="clear" w:color="auto" w:fill="auto"/>
            <w:noWrap/>
            <w:vAlign w:val="center"/>
            <w:hideMark/>
          </w:tcPr>
          <w:p w14:paraId="394F1648"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431.701</w:t>
            </w:r>
          </w:p>
        </w:tc>
        <w:tc>
          <w:tcPr>
            <w:tcW w:w="846" w:type="dxa"/>
            <w:tcBorders>
              <w:top w:val="nil"/>
              <w:left w:val="nil"/>
              <w:bottom w:val="single" w:sz="8" w:space="0" w:color="auto"/>
              <w:right w:val="single" w:sz="8" w:space="0" w:color="auto"/>
            </w:tcBorders>
            <w:vAlign w:val="center"/>
          </w:tcPr>
          <w:p w14:paraId="2A169DBA"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363.623</w:t>
            </w:r>
          </w:p>
        </w:tc>
      </w:tr>
      <w:tr w:rsidR="004E457F" w:rsidRPr="00701F32" w14:paraId="5AC28450" w14:textId="77777777" w:rsidTr="00941382">
        <w:trPr>
          <w:trHeight w:val="261"/>
        </w:trPr>
        <w:tc>
          <w:tcPr>
            <w:tcW w:w="955" w:type="dxa"/>
            <w:tcBorders>
              <w:top w:val="nil"/>
              <w:left w:val="single" w:sz="8" w:space="0" w:color="auto"/>
              <w:bottom w:val="single" w:sz="8" w:space="0" w:color="auto"/>
              <w:right w:val="single" w:sz="8" w:space="0" w:color="auto"/>
            </w:tcBorders>
            <w:shd w:val="clear" w:color="auto" w:fill="auto"/>
            <w:noWrap/>
            <w:vAlign w:val="center"/>
            <w:hideMark/>
          </w:tcPr>
          <w:p w14:paraId="61C66D52"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18/11/14</w:t>
            </w:r>
          </w:p>
        </w:tc>
        <w:tc>
          <w:tcPr>
            <w:tcW w:w="730" w:type="dxa"/>
            <w:tcBorders>
              <w:top w:val="nil"/>
              <w:left w:val="nil"/>
              <w:bottom w:val="single" w:sz="8" w:space="0" w:color="auto"/>
              <w:right w:val="single" w:sz="8" w:space="0" w:color="auto"/>
            </w:tcBorders>
            <w:shd w:val="clear" w:color="auto" w:fill="auto"/>
            <w:noWrap/>
            <w:vAlign w:val="center"/>
            <w:hideMark/>
          </w:tcPr>
          <w:p w14:paraId="145CC207"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u$s</w:t>
            </w:r>
          </w:p>
        </w:tc>
        <w:tc>
          <w:tcPr>
            <w:tcW w:w="557" w:type="dxa"/>
            <w:tcBorders>
              <w:top w:val="nil"/>
              <w:left w:val="nil"/>
              <w:bottom w:val="single" w:sz="8" w:space="0" w:color="auto"/>
              <w:right w:val="single" w:sz="8" w:space="0" w:color="auto"/>
            </w:tcBorders>
            <w:shd w:val="clear" w:color="auto" w:fill="auto"/>
            <w:noWrap/>
            <w:vAlign w:val="center"/>
            <w:hideMark/>
          </w:tcPr>
          <w:p w14:paraId="458C34D9"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IV</w:t>
            </w:r>
          </w:p>
        </w:tc>
        <w:tc>
          <w:tcPr>
            <w:tcW w:w="846" w:type="dxa"/>
            <w:tcBorders>
              <w:top w:val="nil"/>
              <w:left w:val="nil"/>
              <w:bottom w:val="single" w:sz="8" w:space="0" w:color="auto"/>
              <w:right w:val="single" w:sz="8" w:space="0" w:color="auto"/>
            </w:tcBorders>
            <w:shd w:val="clear" w:color="auto" w:fill="auto"/>
            <w:noWrap/>
            <w:vAlign w:val="center"/>
            <w:hideMark/>
          </w:tcPr>
          <w:p w14:paraId="2ED44C6A"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13.441</w:t>
            </w:r>
          </w:p>
        </w:tc>
        <w:tc>
          <w:tcPr>
            <w:tcW w:w="1190" w:type="dxa"/>
            <w:tcBorders>
              <w:top w:val="nil"/>
              <w:left w:val="nil"/>
              <w:bottom w:val="single" w:sz="8" w:space="0" w:color="auto"/>
              <w:right w:val="single" w:sz="8" w:space="0" w:color="auto"/>
            </w:tcBorders>
            <w:shd w:val="clear" w:color="auto" w:fill="auto"/>
            <w:vAlign w:val="center"/>
            <w:hideMark/>
          </w:tcPr>
          <w:p w14:paraId="21844159" w14:textId="77777777" w:rsidR="004E457F" w:rsidRPr="00701F32" w:rsidRDefault="004E457F" w:rsidP="007C07F0">
            <w:pPr>
              <w:jc w:val="both"/>
              <w:rPr>
                <w:rFonts w:ascii="Arial" w:hAnsi="Arial" w:cs="Arial"/>
                <w:color w:val="000000"/>
                <w:sz w:val="14"/>
                <w:szCs w:val="16"/>
                <w:lang w:eastAsia="es-AR"/>
              </w:rPr>
            </w:pPr>
            <w:r w:rsidRPr="00701F32">
              <w:rPr>
                <w:rFonts w:ascii="Arial" w:hAnsi="Arial" w:cs="Arial"/>
                <w:color w:val="000000"/>
                <w:sz w:val="14"/>
                <w:szCs w:val="16"/>
                <w:lang w:eastAsia="es-AR"/>
              </w:rPr>
              <w:t>100% al vto.</w:t>
            </w:r>
          </w:p>
        </w:tc>
        <w:tc>
          <w:tcPr>
            <w:tcW w:w="750" w:type="dxa"/>
            <w:tcBorders>
              <w:top w:val="nil"/>
              <w:left w:val="nil"/>
              <w:bottom w:val="single" w:sz="8" w:space="0" w:color="auto"/>
              <w:right w:val="single" w:sz="8" w:space="0" w:color="auto"/>
            </w:tcBorders>
            <w:shd w:val="clear" w:color="auto" w:fill="auto"/>
            <w:noWrap/>
            <w:vAlign w:val="center"/>
            <w:hideMark/>
          </w:tcPr>
          <w:p w14:paraId="69CBA7B4" w14:textId="77777777" w:rsidR="004E457F" w:rsidRPr="00701F32" w:rsidRDefault="004E457F">
            <w:pPr>
              <w:jc w:val="center"/>
              <w:rPr>
                <w:rFonts w:ascii="Arial" w:hAnsi="Arial" w:cs="Arial"/>
                <w:color w:val="000000"/>
                <w:sz w:val="14"/>
                <w:szCs w:val="16"/>
                <w:lang w:val="es-ES_tradnl" w:eastAsia="es-AR"/>
              </w:rPr>
            </w:pPr>
            <w:r w:rsidRPr="00701F32">
              <w:rPr>
                <w:rFonts w:ascii="Arial" w:hAnsi="Arial" w:cs="Arial"/>
                <w:color w:val="000000"/>
                <w:sz w:val="14"/>
                <w:szCs w:val="16"/>
                <w:lang w:eastAsia="es-AR"/>
              </w:rPr>
              <w:t>84 Meses</w:t>
            </w:r>
          </w:p>
        </w:tc>
        <w:tc>
          <w:tcPr>
            <w:tcW w:w="1010" w:type="dxa"/>
            <w:tcBorders>
              <w:top w:val="nil"/>
              <w:left w:val="nil"/>
              <w:bottom w:val="single" w:sz="8" w:space="0" w:color="auto"/>
              <w:right w:val="single" w:sz="8" w:space="0" w:color="auto"/>
            </w:tcBorders>
            <w:shd w:val="clear" w:color="auto" w:fill="auto"/>
            <w:noWrap/>
            <w:vAlign w:val="center"/>
            <w:hideMark/>
          </w:tcPr>
          <w:p w14:paraId="44EDA352"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18/11/21</w:t>
            </w:r>
          </w:p>
        </w:tc>
        <w:tc>
          <w:tcPr>
            <w:tcW w:w="820" w:type="dxa"/>
            <w:tcBorders>
              <w:top w:val="nil"/>
              <w:left w:val="nil"/>
              <w:bottom w:val="single" w:sz="8" w:space="0" w:color="auto"/>
              <w:right w:val="single" w:sz="8" w:space="0" w:color="auto"/>
            </w:tcBorders>
            <w:shd w:val="clear" w:color="auto" w:fill="auto"/>
            <w:noWrap/>
            <w:vAlign w:val="center"/>
            <w:hideMark/>
          </w:tcPr>
          <w:p w14:paraId="6B9F4F16"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7</w:t>
            </w:r>
          </w:p>
        </w:tc>
        <w:tc>
          <w:tcPr>
            <w:tcW w:w="1141" w:type="dxa"/>
            <w:tcBorders>
              <w:top w:val="nil"/>
              <w:left w:val="nil"/>
              <w:bottom w:val="single" w:sz="8" w:space="0" w:color="auto"/>
              <w:right w:val="single" w:sz="8" w:space="0" w:color="auto"/>
            </w:tcBorders>
            <w:shd w:val="clear" w:color="auto" w:fill="auto"/>
            <w:noWrap/>
            <w:vAlign w:val="center"/>
          </w:tcPr>
          <w:p w14:paraId="59A9F813" w14:textId="79380682" w:rsidR="004E457F" w:rsidRPr="00701F32" w:rsidRDefault="000409A6"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val="es-ES_tradnl" w:eastAsia="es-AR"/>
              </w:rPr>
              <w:t>563.786</w:t>
            </w:r>
          </w:p>
        </w:tc>
        <w:tc>
          <w:tcPr>
            <w:tcW w:w="855" w:type="dxa"/>
            <w:tcBorders>
              <w:top w:val="nil"/>
              <w:left w:val="nil"/>
              <w:bottom w:val="single" w:sz="8" w:space="0" w:color="auto"/>
              <w:right w:val="single" w:sz="8" w:space="0" w:color="auto"/>
            </w:tcBorders>
            <w:shd w:val="clear" w:color="auto" w:fill="auto"/>
            <w:noWrap/>
            <w:vAlign w:val="center"/>
            <w:hideMark/>
          </w:tcPr>
          <w:p w14:paraId="689EDF1F" w14:textId="77777777" w:rsidR="004E457F" w:rsidRPr="00701F32" w:rsidRDefault="004E457F" w:rsidP="007C07F0">
            <w:pPr>
              <w:jc w:val="right"/>
              <w:rPr>
                <w:rFonts w:ascii="Arial" w:hAnsi="Arial" w:cs="Arial"/>
                <w:color w:val="000000"/>
                <w:sz w:val="14"/>
                <w:szCs w:val="16"/>
                <w:lang w:val="es-ES_tradnl" w:eastAsia="es-AR"/>
              </w:rPr>
            </w:pPr>
            <w:r w:rsidRPr="00701F32">
              <w:rPr>
                <w:rFonts w:ascii="Arial" w:hAnsi="Arial" w:cs="Arial"/>
                <w:color w:val="000000"/>
                <w:sz w:val="14"/>
                <w:szCs w:val="16"/>
                <w:lang w:eastAsia="es-AR"/>
              </w:rPr>
              <w:t>254.172</w:t>
            </w:r>
          </w:p>
        </w:tc>
        <w:tc>
          <w:tcPr>
            <w:tcW w:w="846" w:type="dxa"/>
            <w:tcBorders>
              <w:top w:val="nil"/>
              <w:left w:val="nil"/>
              <w:bottom w:val="single" w:sz="8" w:space="0" w:color="auto"/>
              <w:right w:val="single" w:sz="8" w:space="0" w:color="auto"/>
            </w:tcBorders>
            <w:vAlign w:val="center"/>
          </w:tcPr>
          <w:p w14:paraId="31E28985" w14:textId="77777777" w:rsidR="004E457F" w:rsidRPr="00701F32" w:rsidRDefault="004E457F" w:rsidP="007C07F0">
            <w:pPr>
              <w:jc w:val="right"/>
              <w:rPr>
                <w:rFonts w:ascii="Arial" w:hAnsi="Arial" w:cs="Arial"/>
                <w:color w:val="000000"/>
                <w:sz w:val="14"/>
                <w:szCs w:val="16"/>
                <w:lang w:eastAsia="es-AR"/>
              </w:rPr>
            </w:pPr>
            <w:r w:rsidRPr="00701F32">
              <w:rPr>
                <w:rFonts w:ascii="Arial" w:hAnsi="Arial" w:cs="Arial"/>
                <w:color w:val="000000"/>
                <w:sz w:val="14"/>
                <w:szCs w:val="14"/>
                <w:lang w:eastAsia="es-AR"/>
              </w:rPr>
              <w:t>214.461</w:t>
            </w:r>
          </w:p>
        </w:tc>
      </w:tr>
      <w:tr w:rsidR="004E457F" w:rsidRPr="00701F32" w14:paraId="074D792C" w14:textId="77777777" w:rsidTr="00941382">
        <w:trPr>
          <w:trHeight w:val="261"/>
        </w:trPr>
        <w:tc>
          <w:tcPr>
            <w:tcW w:w="6041" w:type="dxa"/>
            <w:gridSpan w:val="7"/>
            <w:tcBorders>
              <w:top w:val="single" w:sz="8" w:space="0" w:color="auto"/>
              <w:left w:val="nil"/>
              <w:bottom w:val="nil"/>
              <w:right w:val="single" w:sz="8" w:space="0" w:color="000000"/>
            </w:tcBorders>
            <w:shd w:val="clear" w:color="auto" w:fill="auto"/>
            <w:noWrap/>
            <w:vAlign w:val="center"/>
          </w:tcPr>
          <w:p w14:paraId="735AD876" w14:textId="77777777" w:rsidR="004E457F" w:rsidRPr="00701F32" w:rsidRDefault="004E457F" w:rsidP="007C07F0">
            <w:pPr>
              <w:jc w:val="both"/>
              <w:rPr>
                <w:rFonts w:ascii="Arial" w:hAnsi="Arial" w:cs="Arial"/>
                <w:color w:val="000000"/>
                <w:sz w:val="14"/>
                <w:szCs w:val="16"/>
                <w:lang w:eastAsia="es-AR"/>
              </w:rPr>
            </w:pPr>
          </w:p>
        </w:tc>
        <w:tc>
          <w:tcPr>
            <w:tcW w:w="820" w:type="dxa"/>
            <w:tcBorders>
              <w:top w:val="nil"/>
              <w:left w:val="nil"/>
              <w:bottom w:val="single" w:sz="8" w:space="0" w:color="auto"/>
              <w:right w:val="single" w:sz="8" w:space="0" w:color="auto"/>
            </w:tcBorders>
            <w:shd w:val="clear" w:color="auto" w:fill="auto"/>
            <w:noWrap/>
            <w:vAlign w:val="center"/>
            <w:hideMark/>
          </w:tcPr>
          <w:p w14:paraId="7F2F1A2E" w14:textId="77777777" w:rsidR="004E457F" w:rsidRPr="00701F32" w:rsidRDefault="004E457F" w:rsidP="007C07F0">
            <w:pPr>
              <w:jc w:val="both"/>
              <w:rPr>
                <w:rFonts w:ascii="Arial" w:hAnsi="Arial" w:cs="Arial"/>
                <w:b/>
                <w:bCs/>
                <w:color w:val="000000"/>
                <w:sz w:val="14"/>
                <w:szCs w:val="16"/>
                <w:lang w:eastAsia="es-AR"/>
              </w:rPr>
            </w:pPr>
            <w:r w:rsidRPr="00701F32">
              <w:rPr>
                <w:rFonts w:ascii="Arial" w:hAnsi="Arial" w:cs="Arial"/>
                <w:b/>
                <w:bCs/>
                <w:color w:val="000000"/>
                <w:sz w:val="14"/>
                <w:szCs w:val="16"/>
                <w:lang w:eastAsia="es-AR"/>
              </w:rPr>
              <w:t>Total</w:t>
            </w:r>
          </w:p>
        </w:tc>
        <w:tc>
          <w:tcPr>
            <w:tcW w:w="1141" w:type="dxa"/>
            <w:tcBorders>
              <w:top w:val="nil"/>
              <w:left w:val="nil"/>
              <w:bottom w:val="single" w:sz="8" w:space="0" w:color="auto"/>
              <w:right w:val="single" w:sz="8" w:space="0" w:color="auto"/>
            </w:tcBorders>
            <w:shd w:val="clear" w:color="auto" w:fill="auto"/>
            <w:noWrap/>
            <w:vAlign w:val="center"/>
          </w:tcPr>
          <w:p w14:paraId="4D0C4588" w14:textId="755E9B7D" w:rsidR="004E457F" w:rsidRPr="00701F32" w:rsidRDefault="000409A6" w:rsidP="007C07F0">
            <w:pPr>
              <w:jc w:val="right"/>
              <w:rPr>
                <w:rFonts w:ascii="Arial" w:hAnsi="Arial" w:cs="Arial"/>
                <w:b/>
                <w:bCs/>
                <w:color w:val="000000"/>
                <w:sz w:val="14"/>
                <w:szCs w:val="16"/>
                <w:lang w:val="es-ES_tradnl" w:eastAsia="es-AR"/>
              </w:rPr>
            </w:pPr>
            <w:r w:rsidRPr="00701F32">
              <w:rPr>
                <w:rFonts w:ascii="Arial" w:hAnsi="Arial" w:cs="Arial"/>
                <w:b/>
                <w:bCs/>
                <w:color w:val="000000"/>
                <w:sz w:val="14"/>
                <w:szCs w:val="16"/>
                <w:lang w:val="es-ES_tradnl" w:eastAsia="es-AR"/>
              </w:rPr>
              <w:t>1.490.246</w:t>
            </w:r>
          </w:p>
        </w:tc>
        <w:tc>
          <w:tcPr>
            <w:tcW w:w="855" w:type="dxa"/>
            <w:tcBorders>
              <w:top w:val="nil"/>
              <w:left w:val="nil"/>
              <w:bottom w:val="single" w:sz="8" w:space="0" w:color="auto"/>
              <w:right w:val="single" w:sz="8" w:space="0" w:color="auto"/>
            </w:tcBorders>
            <w:shd w:val="clear" w:color="auto" w:fill="auto"/>
            <w:noWrap/>
            <w:vAlign w:val="center"/>
            <w:hideMark/>
          </w:tcPr>
          <w:p w14:paraId="6AD43EC2" w14:textId="77777777" w:rsidR="004E457F" w:rsidRPr="00701F32" w:rsidRDefault="004E457F" w:rsidP="007C07F0">
            <w:pPr>
              <w:jc w:val="right"/>
              <w:rPr>
                <w:rFonts w:ascii="Arial" w:hAnsi="Arial" w:cs="Arial"/>
                <w:b/>
                <w:bCs/>
                <w:color w:val="000000"/>
                <w:sz w:val="14"/>
                <w:szCs w:val="16"/>
                <w:lang w:val="es-ES_tradnl" w:eastAsia="es-AR"/>
              </w:rPr>
            </w:pPr>
            <w:r w:rsidRPr="00701F32">
              <w:rPr>
                <w:rFonts w:ascii="Arial" w:hAnsi="Arial" w:cs="Arial"/>
                <w:b/>
                <w:bCs/>
                <w:color w:val="000000"/>
                <w:sz w:val="14"/>
                <w:szCs w:val="16"/>
                <w:lang w:eastAsia="es-AR"/>
              </w:rPr>
              <w:t>685.873</w:t>
            </w:r>
          </w:p>
        </w:tc>
        <w:tc>
          <w:tcPr>
            <w:tcW w:w="846" w:type="dxa"/>
            <w:tcBorders>
              <w:top w:val="nil"/>
              <w:left w:val="nil"/>
              <w:bottom w:val="single" w:sz="8" w:space="0" w:color="auto"/>
              <w:right w:val="single" w:sz="8" w:space="0" w:color="auto"/>
            </w:tcBorders>
            <w:vAlign w:val="center"/>
          </w:tcPr>
          <w:p w14:paraId="6B7875D6" w14:textId="77777777" w:rsidR="004E457F" w:rsidRPr="00701F32" w:rsidRDefault="004E457F" w:rsidP="007C07F0">
            <w:pPr>
              <w:jc w:val="right"/>
              <w:rPr>
                <w:rFonts w:ascii="Arial" w:hAnsi="Arial" w:cs="Arial"/>
                <w:b/>
                <w:bCs/>
                <w:color w:val="000000"/>
                <w:sz w:val="14"/>
                <w:szCs w:val="16"/>
                <w:lang w:eastAsia="es-AR"/>
              </w:rPr>
            </w:pPr>
            <w:r w:rsidRPr="00701F32">
              <w:rPr>
                <w:rFonts w:ascii="Arial" w:hAnsi="Arial" w:cs="Arial"/>
                <w:b/>
                <w:bCs/>
                <w:color w:val="000000"/>
                <w:sz w:val="14"/>
                <w:szCs w:val="16"/>
                <w:lang w:eastAsia="es-AR"/>
              </w:rPr>
              <w:t>1.378.758</w:t>
            </w:r>
          </w:p>
        </w:tc>
      </w:tr>
    </w:tbl>
    <w:p w14:paraId="422E4C26" w14:textId="77777777" w:rsidR="00656E62" w:rsidRPr="00701F32" w:rsidRDefault="00656E62" w:rsidP="00656E62">
      <w:pPr>
        <w:pStyle w:val="Sinespaciado"/>
        <w:jc w:val="both"/>
        <w:rPr>
          <w:rFonts w:ascii="Arial" w:hAnsi="Arial" w:cs="Arial"/>
          <w:sz w:val="20"/>
          <w:szCs w:val="20"/>
          <w:lang w:val="es-PE"/>
        </w:rPr>
      </w:pPr>
    </w:p>
    <w:p w14:paraId="438BFC55" w14:textId="362A8582" w:rsidR="00413157" w:rsidRPr="00701F32" w:rsidRDefault="00CC58AD" w:rsidP="00656E62">
      <w:pPr>
        <w:pStyle w:val="Sinespaciado"/>
        <w:jc w:val="both"/>
        <w:rPr>
          <w:rFonts w:ascii="Arial" w:hAnsi="Arial" w:cs="Arial"/>
          <w:sz w:val="20"/>
          <w:szCs w:val="20"/>
        </w:rPr>
      </w:pPr>
      <w:r w:rsidRPr="00701F32">
        <w:rPr>
          <w:rFonts w:ascii="Arial" w:hAnsi="Arial" w:cs="Arial"/>
          <w:sz w:val="20"/>
        </w:rPr>
        <w:t>Con fecha 6 de agosto de 2018 el Directorio resolvió solicitar a la CNV el registro del Banco como emisor frecuente de obligaciones negociables, y la consecuente autorización de oferta pública para emitir obligaciones negociables bajo el régimen referido, en los términos previstos en la Resolución y presentando ante el mencionado organismo toda la documentación necesaria a tales fines.</w:t>
      </w:r>
    </w:p>
    <w:p w14:paraId="3750E9EA" w14:textId="77777777" w:rsidR="00CC58AD" w:rsidRPr="00701F32" w:rsidRDefault="00CC58AD" w:rsidP="00656E62">
      <w:pPr>
        <w:pStyle w:val="Sinespaciado"/>
        <w:jc w:val="both"/>
        <w:rPr>
          <w:rFonts w:ascii="Arial" w:hAnsi="Arial" w:cs="Arial"/>
          <w:sz w:val="20"/>
          <w:szCs w:val="20"/>
        </w:rPr>
      </w:pPr>
    </w:p>
    <w:p w14:paraId="0AAECE78" w14:textId="77777777" w:rsidR="00656E62" w:rsidRPr="00701F32" w:rsidRDefault="00D57127" w:rsidP="00656E62">
      <w:pPr>
        <w:tabs>
          <w:tab w:val="left" w:pos="142"/>
        </w:tabs>
        <w:jc w:val="both"/>
        <w:rPr>
          <w:rFonts w:ascii="Arial" w:hAnsi="Arial" w:cs="Arial"/>
          <w:b/>
          <w:sz w:val="20"/>
        </w:rPr>
      </w:pPr>
      <w:r w:rsidRPr="00701F32">
        <w:rPr>
          <w:rFonts w:ascii="Arial" w:hAnsi="Arial" w:cs="Arial"/>
          <w:b/>
          <w:sz w:val="20"/>
        </w:rPr>
        <w:t>15</w:t>
      </w:r>
      <w:r w:rsidR="00656E62" w:rsidRPr="00701F32">
        <w:rPr>
          <w:rFonts w:ascii="Arial" w:hAnsi="Arial" w:cs="Arial"/>
          <w:b/>
          <w:sz w:val="20"/>
        </w:rPr>
        <w:t>.9 Restricciones para la distribución de utilidades</w:t>
      </w:r>
    </w:p>
    <w:p w14:paraId="6F338D89" w14:textId="77777777" w:rsidR="00656E62" w:rsidRPr="00701F32" w:rsidRDefault="00656E62" w:rsidP="00656E62">
      <w:pPr>
        <w:tabs>
          <w:tab w:val="left" w:pos="142"/>
        </w:tabs>
        <w:jc w:val="both"/>
        <w:rPr>
          <w:rFonts w:ascii="Arial" w:hAnsi="Arial" w:cs="Arial"/>
          <w:b/>
          <w:sz w:val="20"/>
        </w:rPr>
      </w:pPr>
    </w:p>
    <w:p w14:paraId="27C9A699"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Conforme a las regulaciones establecidas por el B.C.R.A., corresponde asignar a reserva legal el 20% de las utilidades del ejercicio netas de los eventuales ajustes de ejercicios anteriores, en caso de corresponder.</w:t>
      </w:r>
    </w:p>
    <w:p w14:paraId="7E090FB9" w14:textId="77777777" w:rsidR="00656E62" w:rsidRPr="00701F32" w:rsidRDefault="00656E62" w:rsidP="00656E62">
      <w:pPr>
        <w:tabs>
          <w:tab w:val="left" w:pos="142"/>
        </w:tabs>
        <w:jc w:val="both"/>
        <w:rPr>
          <w:rFonts w:ascii="Arial" w:hAnsi="Arial" w:cs="Arial"/>
          <w:sz w:val="20"/>
        </w:rPr>
      </w:pPr>
    </w:p>
    <w:p w14:paraId="3CAD2BBC"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Según lo estipulado en el texto ordenado sobre distribución de resultados, las entidades financieras deberán dar cumplimiento a una serie de requerimientos entre los que se destacan: i) No encontrarse alcanzada por las disposiciones de los artículos 34 y 35 bis de la Ley de Entidades Financieras, ii) No registrar asistencia por iliquidez, iii) No presentar atrasos o incumplimientos en los regímenes informativos, iv) No registrar deficiencias de integración de capital mínimo (sin computar a tales fines los efectos de las franquicias otorgadas por la Superintendencia de Entidades Financieras y Cambiarias) o de efectivo mínimo, v) haber dado cumplimiento a los márgenes adicionales de capital que les sean de aplicación.</w:t>
      </w:r>
    </w:p>
    <w:p w14:paraId="5A73AB21" w14:textId="77777777" w:rsidR="00656E62" w:rsidRPr="00701F32" w:rsidRDefault="00656E62" w:rsidP="00656E62">
      <w:pPr>
        <w:tabs>
          <w:tab w:val="left" w:pos="142"/>
        </w:tabs>
        <w:jc w:val="both"/>
        <w:rPr>
          <w:rFonts w:ascii="Arial" w:hAnsi="Arial" w:cs="Arial"/>
          <w:sz w:val="20"/>
        </w:rPr>
      </w:pPr>
    </w:p>
    <w:p w14:paraId="2278F70B"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Las entidades no comprendidas en algunas de estas situaciones podrán distribuir resultados con arreglo a las regulaciones establecidas en dicho texto ordenado, siempre y cuando no se comprometa la liquidez y solvencia de la entidad.</w:t>
      </w:r>
    </w:p>
    <w:p w14:paraId="15AA239C" w14:textId="77777777" w:rsidR="00656E62" w:rsidRPr="00701F32" w:rsidRDefault="00656E62" w:rsidP="00656E62">
      <w:pPr>
        <w:tabs>
          <w:tab w:val="left" w:pos="142"/>
        </w:tabs>
        <w:jc w:val="both"/>
        <w:rPr>
          <w:rFonts w:ascii="Arial" w:hAnsi="Arial" w:cs="Arial"/>
          <w:sz w:val="20"/>
        </w:rPr>
      </w:pPr>
    </w:p>
    <w:p w14:paraId="3B24DD81" w14:textId="77777777" w:rsidR="00656E62" w:rsidRPr="00701F32" w:rsidRDefault="00656E62" w:rsidP="00656E62">
      <w:pPr>
        <w:tabs>
          <w:tab w:val="left" w:pos="142"/>
        </w:tabs>
        <w:jc w:val="both"/>
        <w:rPr>
          <w:rFonts w:ascii="Arial" w:hAnsi="Arial" w:cs="Arial"/>
          <w:sz w:val="20"/>
        </w:rPr>
      </w:pPr>
      <w:r w:rsidRPr="00701F32">
        <w:rPr>
          <w:rFonts w:ascii="Arial" w:hAnsi="Arial" w:cs="Arial"/>
          <w:sz w:val="20"/>
        </w:rPr>
        <w:t>Cabe aclarar que a través de la Comunicación “A” 6464 el B.C.R.A. estableció que hasta el 31 de marzo de 2020 deberán contar con la autorización previa de la SEFyC para la distribución de resultados las entidades financieras que, para determinar el resultado distribuible, no hayan incrementado los márgenes de conservación de capital en 1 punto porcentual adicional a lo establecido en las normas.</w:t>
      </w:r>
    </w:p>
    <w:p w14:paraId="487072EC" w14:textId="77777777" w:rsidR="00656E62" w:rsidRPr="00701F32" w:rsidRDefault="00656E62" w:rsidP="00656E62">
      <w:pPr>
        <w:ind w:right="51"/>
        <w:rPr>
          <w:rFonts w:ascii="Arial" w:hAnsi="Arial" w:cs="Arial"/>
          <w:sz w:val="20"/>
        </w:rPr>
      </w:pPr>
    </w:p>
    <w:p w14:paraId="1CF5A506" w14:textId="77777777" w:rsidR="00110108" w:rsidRPr="00701F32" w:rsidRDefault="00D57127" w:rsidP="00712ADC">
      <w:pPr>
        <w:pStyle w:val="Prrafodelista"/>
        <w:spacing w:after="200" w:line="276" w:lineRule="auto"/>
        <w:ind w:left="0"/>
        <w:contextualSpacing/>
        <w:jc w:val="both"/>
        <w:rPr>
          <w:rFonts w:ascii="Arial" w:hAnsi="Arial" w:cs="Arial"/>
          <w:b/>
          <w:sz w:val="20"/>
        </w:rPr>
      </w:pPr>
      <w:r w:rsidRPr="00701F32">
        <w:rPr>
          <w:rFonts w:ascii="Arial" w:hAnsi="Arial" w:cs="Arial"/>
          <w:b/>
          <w:sz w:val="20"/>
        </w:rPr>
        <w:t>16</w:t>
      </w:r>
      <w:r w:rsidR="00D242BF" w:rsidRPr="00701F32">
        <w:rPr>
          <w:rFonts w:ascii="Arial" w:hAnsi="Arial" w:cs="Arial"/>
          <w:b/>
          <w:sz w:val="20"/>
        </w:rPr>
        <w:t xml:space="preserve">. </w:t>
      </w:r>
      <w:r w:rsidR="00110108" w:rsidRPr="00701F32">
        <w:rPr>
          <w:rFonts w:ascii="Arial" w:hAnsi="Arial" w:cs="Arial"/>
          <w:b/>
          <w:sz w:val="20"/>
        </w:rPr>
        <w:t>RESCISION DEL CONTRATO COMO AGENTE FINANCIERO POR PARTE DE LA PROVINCIA DE SAN LUIS</w:t>
      </w:r>
    </w:p>
    <w:p w14:paraId="16C89021" w14:textId="77777777" w:rsidR="00004B94" w:rsidRPr="00701F32" w:rsidRDefault="00004B94" w:rsidP="00004B94">
      <w:pPr>
        <w:jc w:val="both"/>
        <w:rPr>
          <w:rFonts w:ascii="Arial" w:hAnsi="Arial" w:cs="Arial"/>
          <w:sz w:val="20"/>
        </w:rPr>
      </w:pPr>
      <w:r w:rsidRPr="00701F32">
        <w:rPr>
          <w:rFonts w:ascii="Arial" w:hAnsi="Arial" w:cs="Arial"/>
          <w:sz w:val="20"/>
        </w:rPr>
        <w:t>En fecha 17 de enero de 2017 se recibió una comunicación fehaciente del Ministerio de Hacienda Pública de la Provincia de San Luis mediante la cual se comunica a Banco Supervielle S.A. que a partir del 28 de febrero de 2017 hace uso del derecho a rescindir el Contrato de Vinculación mediante el cual la Entidad cumple el rol de Agente Financiero de esa provincia. Dicho Ministerio también manifiesta que, sin perjuicio del ejercicio del derecho a rescindir el contrato, el Estado Provincial podrá continuar operando con el Banco hasta tanto se seleccione un nuevo agente financiero.</w:t>
      </w:r>
    </w:p>
    <w:p w14:paraId="274DF744" w14:textId="77777777" w:rsidR="00004B94" w:rsidRPr="00701F32" w:rsidRDefault="00004B94" w:rsidP="00004B94">
      <w:pPr>
        <w:jc w:val="both"/>
        <w:rPr>
          <w:rFonts w:ascii="Arial" w:hAnsi="Arial" w:cs="Arial"/>
          <w:sz w:val="20"/>
        </w:rPr>
      </w:pPr>
    </w:p>
    <w:p w14:paraId="7513A4CC" w14:textId="77777777" w:rsidR="00004B94" w:rsidRPr="00701F32" w:rsidRDefault="00004B94" w:rsidP="00004B94">
      <w:pPr>
        <w:jc w:val="both"/>
        <w:rPr>
          <w:rFonts w:ascii="Arial" w:hAnsi="Arial" w:cs="Arial"/>
          <w:sz w:val="20"/>
        </w:rPr>
      </w:pPr>
      <w:r w:rsidRPr="00701F32">
        <w:rPr>
          <w:rFonts w:ascii="Arial" w:hAnsi="Arial" w:cs="Arial"/>
          <w:sz w:val="20"/>
        </w:rPr>
        <w:t>Desde febrero de 2017, el Banco ha continuado brindando servicios financieros al gobierno de la Provincia de San Luis y a sus empleados a pesar de la terminación del acuerdo en febrero de 2017.</w:t>
      </w:r>
    </w:p>
    <w:p w14:paraId="0DA60FB0" w14:textId="77777777" w:rsidR="00004B94" w:rsidRPr="00701F32" w:rsidRDefault="00004B94" w:rsidP="00004B94">
      <w:pPr>
        <w:jc w:val="both"/>
        <w:rPr>
          <w:rFonts w:ascii="Arial" w:hAnsi="Arial" w:cs="Arial"/>
          <w:sz w:val="20"/>
        </w:rPr>
      </w:pPr>
    </w:p>
    <w:p w14:paraId="36B483DE" w14:textId="77777777" w:rsidR="00004B94" w:rsidRPr="00701F32" w:rsidRDefault="00004B94" w:rsidP="00004B94">
      <w:pPr>
        <w:jc w:val="both"/>
        <w:rPr>
          <w:rFonts w:ascii="Arial" w:hAnsi="Arial" w:cs="Arial"/>
          <w:sz w:val="20"/>
        </w:rPr>
      </w:pPr>
      <w:r w:rsidRPr="00701F32">
        <w:rPr>
          <w:rFonts w:ascii="Arial" w:hAnsi="Arial" w:cs="Arial"/>
          <w:sz w:val="20"/>
        </w:rPr>
        <w:t>El 23 de mayo de 2018, la Municipalidad de la ciudad de San Luis designó al Banco Supervielle (el “Banco”) como agente financiero por un período de 2 años, con renovación automática por 2 años adicionales, comenzando con el primer pago de sueldos el 29 de junio del año en curso. Con esta designación, el Banco se convirtió en agente financiero de todos los municipios de la Provincia.</w:t>
      </w:r>
    </w:p>
    <w:p w14:paraId="4633A694" w14:textId="77777777" w:rsidR="00004B94" w:rsidRPr="00701F32" w:rsidRDefault="00004B94" w:rsidP="00004B94">
      <w:pPr>
        <w:jc w:val="both"/>
        <w:rPr>
          <w:rFonts w:ascii="Arial" w:hAnsi="Arial" w:cs="Arial"/>
          <w:sz w:val="20"/>
        </w:rPr>
      </w:pPr>
    </w:p>
    <w:p w14:paraId="468A47D1" w14:textId="5E625E0F" w:rsidR="00656E62" w:rsidRPr="00701F32" w:rsidRDefault="00004B94" w:rsidP="00110108">
      <w:pPr>
        <w:ind w:right="51"/>
        <w:rPr>
          <w:rFonts w:ascii="Arial" w:hAnsi="Arial" w:cs="Arial"/>
          <w:sz w:val="20"/>
        </w:rPr>
      </w:pPr>
      <w:r w:rsidRPr="00701F32">
        <w:rPr>
          <w:rFonts w:ascii="Arial" w:hAnsi="Arial" w:cs="Arial"/>
          <w:sz w:val="20"/>
        </w:rPr>
        <w:t xml:space="preserve">El 7 de junio de 2018, la Provincia ratificó el convenio firmado con el Banco por un plazo de 12 meses formalizando su rol de agente de </w:t>
      </w:r>
      <w:r w:rsidR="00B71829" w:rsidRPr="00701F32">
        <w:rPr>
          <w:rFonts w:ascii="Arial" w:hAnsi="Arial" w:cs="Arial"/>
          <w:sz w:val="20"/>
        </w:rPr>
        <w:t>servicios financieros exclusivo que ha continuado ejerciendo desde hace más de 20 años</w:t>
      </w:r>
      <w:r w:rsidRPr="00701F32">
        <w:rPr>
          <w:rFonts w:ascii="Arial" w:hAnsi="Arial" w:cs="Arial"/>
          <w:sz w:val="20"/>
        </w:rPr>
        <w:t>.</w:t>
      </w:r>
    </w:p>
    <w:p w14:paraId="3DA95A52" w14:textId="55B348F1" w:rsidR="00656E62" w:rsidRPr="00701F32" w:rsidRDefault="0017564D" w:rsidP="00841E78">
      <w:pPr>
        <w:rPr>
          <w:rFonts w:ascii="Arial" w:hAnsi="Arial" w:cs="Arial"/>
          <w:b/>
          <w:noProof/>
          <w:sz w:val="20"/>
        </w:rPr>
      </w:pPr>
      <w:r w:rsidRPr="00701F32">
        <w:rPr>
          <w:rFonts w:ascii="Arial" w:hAnsi="Arial" w:cs="Arial"/>
          <w:b/>
          <w:noProof/>
          <w:sz w:val="20"/>
        </w:rPr>
        <w:br w:type="page"/>
      </w:r>
      <w:r w:rsidR="00D57127" w:rsidRPr="00701F32">
        <w:rPr>
          <w:rFonts w:ascii="Arial" w:hAnsi="Arial" w:cs="Arial"/>
          <w:b/>
          <w:noProof/>
          <w:sz w:val="20"/>
        </w:rPr>
        <w:t>17</w:t>
      </w:r>
      <w:r w:rsidR="00656E62" w:rsidRPr="00701F32">
        <w:rPr>
          <w:rFonts w:ascii="Arial" w:hAnsi="Arial" w:cs="Arial"/>
          <w:b/>
          <w:noProof/>
          <w:sz w:val="20"/>
        </w:rPr>
        <w:t>. I</w:t>
      </w:r>
      <w:r w:rsidR="00D242BF" w:rsidRPr="00701F32">
        <w:rPr>
          <w:rFonts w:ascii="Arial" w:hAnsi="Arial" w:cs="Arial"/>
          <w:b/>
          <w:noProof/>
          <w:sz w:val="20"/>
        </w:rPr>
        <w:t>NFORMACION ADICIONAL AL 31 DE DICIEMBRE DE 2017 PARA LOS ESTADOS FINANCIEROS CONDENSADOS SEPARADOS INTERMEDIOS</w:t>
      </w:r>
    </w:p>
    <w:p w14:paraId="24FAC359" w14:textId="77777777" w:rsidR="00656E62" w:rsidRPr="00701F32" w:rsidRDefault="00656E62" w:rsidP="00656E62">
      <w:pPr>
        <w:widowControl w:val="0"/>
        <w:autoSpaceDE w:val="0"/>
        <w:autoSpaceDN w:val="0"/>
        <w:adjustRightInd w:val="0"/>
        <w:jc w:val="both"/>
        <w:rPr>
          <w:rFonts w:ascii="Arial" w:hAnsi="Arial" w:cs="Arial"/>
          <w:noProof/>
          <w:sz w:val="20"/>
        </w:rPr>
      </w:pPr>
    </w:p>
    <w:p w14:paraId="4324F2B7" w14:textId="77777777" w:rsidR="00656E62" w:rsidRPr="00701F32" w:rsidRDefault="00656E62" w:rsidP="00656E62">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La siguiente información preparada de acuerdo al marco contable establecido por el BCRA, relativa al ejercicio finalizado al 31 de diciembre de 2017, es necesaria para el entendimiento de los presentes estados financieros condensados </w:t>
      </w:r>
      <w:r w:rsidR="00D242BF" w:rsidRPr="00701F32">
        <w:rPr>
          <w:rFonts w:ascii="Arial" w:hAnsi="Arial" w:cs="Arial"/>
          <w:noProof/>
          <w:sz w:val="20"/>
        </w:rPr>
        <w:t xml:space="preserve">separados </w:t>
      </w:r>
      <w:r w:rsidRPr="00701F32">
        <w:rPr>
          <w:rFonts w:ascii="Arial" w:hAnsi="Arial" w:cs="Arial"/>
          <w:noProof/>
          <w:sz w:val="20"/>
        </w:rPr>
        <w:t>intermedios.</w:t>
      </w:r>
    </w:p>
    <w:p w14:paraId="7B8037F5" w14:textId="77777777" w:rsidR="00656E62" w:rsidRPr="00701F32" w:rsidRDefault="00656E62" w:rsidP="00656E62">
      <w:pPr>
        <w:widowControl w:val="0"/>
        <w:autoSpaceDE w:val="0"/>
        <w:autoSpaceDN w:val="0"/>
        <w:adjustRightInd w:val="0"/>
        <w:jc w:val="both"/>
        <w:rPr>
          <w:rFonts w:ascii="Arial" w:hAnsi="Arial" w:cs="Arial"/>
          <w:b/>
          <w:noProof/>
          <w:sz w:val="20"/>
        </w:rPr>
      </w:pPr>
    </w:p>
    <w:p w14:paraId="00EFBE46" w14:textId="77777777" w:rsidR="00656E62" w:rsidRPr="00701F32" w:rsidRDefault="00D57127" w:rsidP="00656E62">
      <w:pPr>
        <w:jc w:val="both"/>
        <w:rPr>
          <w:rFonts w:ascii="Arial" w:eastAsia="Calibri" w:hAnsi="Arial" w:cs="Arial"/>
          <w:b/>
          <w:sz w:val="20"/>
          <w:lang w:val="es-PE" w:eastAsia="es-PE"/>
        </w:rPr>
      </w:pPr>
      <w:r w:rsidRPr="00701F32">
        <w:rPr>
          <w:rFonts w:ascii="Arial" w:eastAsia="Calibri" w:hAnsi="Arial" w:cs="Arial"/>
          <w:b/>
          <w:sz w:val="20"/>
          <w:lang w:val="es-PE" w:eastAsia="es-PE"/>
        </w:rPr>
        <w:t>17</w:t>
      </w:r>
      <w:r w:rsidR="00656E62" w:rsidRPr="00701F32">
        <w:rPr>
          <w:rFonts w:ascii="Arial" w:eastAsia="Calibri" w:hAnsi="Arial" w:cs="Arial"/>
          <w:b/>
          <w:sz w:val="20"/>
          <w:lang w:val="es-PE" w:eastAsia="es-PE"/>
        </w:rPr>
        <w:t xml:space="preserve">.1 Efectivo y Depósitos en Bancos </w:t>
      </w:r>
    </w:p>
    <w:p w14:paraId="0863381C" w14:textId="77777777" w:rsidR="00656E62" w:rsidRPr="00701F32" w:rsidRDefault="00656E62" w:rsidP="00656E62">
      <w:pPr>
        <w:jc w:val="both"/>
        <w:rPr>
          <w:rFonts w:ascii="Arial" w:eastAsia="Calibri" w:hAnsi="Arial" w:cs="Arial"/>
          <w:b/>
          <w:sz w:val="20"/>
          <w:lang w:val="es-PE" w:eastAsia="es-PE"/>
        </w:rPr>
      </w:pPr>
    </w:p>
    <w:p w14:paraId="616C31E2" w14:textId="77777777" w:rsidR="00656E62" w:rsidRPr="00701F32" w:rsidRDefault="00656E62" w:rsidP="00656E62">
      <w:pPr>
        <w:jc w:val="both"/>
        <w:rPr>
          <w:rFonts w:ascii="Arial" w:eastAsia="Calibri" w:hAnsi="Arial" w:cs="Arial"/>
          <w:sz w:val="20"/>
          <w:lang w:eastAsia="es-PE"/>
        </w:rPr>
      </w:pPr>
      <w:r w:rsidRPr="00701F32">
        <w:rPr>
          <w:rFonts w:ascii="Arial" w:eastAsia="Calibri" w:hAnsi="Arial" w:cs="Arial"/>
          <w:sz w:val="20"/>
          <w:lang w:eastAsia="es-PE"/>
        </w:rPr>
        <w:t>Los equivalentes al efectivo se tienen, más que para propósitos de inversión o similares, para cumplir los compromisos de pago a corto plazo. Para que una inversión financiera pueda ser calificada como equivalente al efectivo, debe poder ser fácilmente convertible en una cantidad determinada de efectivo y estar sujeta a un riesgo insignificante de cambios en su valor. Por tanto, una inversión así será equivalente al efectivo cuando tenga vencimiento próximo, tres meses o menos desde la fecha de adquisición. Las participaciones en el capital de otras entidades están excluidas de los equivalentes al efectivo</w:t>
      </w:r>
    </w:p>
    <w:p w14:paraId="0EC29AC9" w14:textId="77777777" w:rsidR="00656E62" w:rsidRPr="00701F32" w:rsidRDefault="00656E62" w:rsidP="00656E62">
      <w:pPr>
        <w:jc w:val="both"/>
        <w:rPr>
          <w:rFonts w:ascii="Arial" w:eastAsia="Calibri" w:hAnsi="Arial" w:cs="Arial"/>
          <w:sz w:val="20"/>
          <w:lang w:eastAsia="es-PE"/>
        </w:rPr>
      </w:pPr>
    </w:p>
    <w:p w14:paraId="7EB2DE28" w14:textId="031FB2CC" w:rsidR="00656E62" w:rsidRPr="00701F32" w:rsidRDefault="00656E62" w:rsidP="00656E62">
      <w:pPr>
        <w:jc w:val="both"/>
        <w:rPr>
          <w:rFonts w:ascii="Arial" w:eastAsia="Calibri" w:hAnsi="Arial" w:cs="Arial"/>
          <w:sz w:val="20"/>
          <w:lang w:eastAsia="es-PE"/>
        </w:rPr>
      </w:pPr>
      <w:r w:rsidRPr="00701F32">
        <w:rPr>
          <w:rFonts w:ascii="Arial" w:eastAsia="Calibri" w:hAnsi="Arial" w:cs="Arial"/>
          <w:sz w:val="20"/>
          <w:lang w:eastAsia="es-PE"/>
        </w:rPr>
        <w:t>Se detallan a continuación los componentes del efectivo y sus equivalentes:</w:t>
      </w:r>
    </w:p>
    <w:p w14:paraId="6D0B32C3" w14:textId="77777777" w:rsidR="00B16471" w:rsidRPr="00701F32" w:rsidRDefault="00B16471" w:rsidP="00656E62">
      <w:pPr>
        <w:jc w:val="both"/>
        <w:rPr>
          <w:rFonts w:ascii="Arial" w:eastAsia="Calibri" w:hAnsi="Arial" w:cs="Arial"/>
          <w:sz w:val="20"/>
          <w:lang w:eastAsia="es-PE"/>
        </w:rPr>
      </w:pPr>
    </w:p>
    <w:tbl>
      <w:tblPr>
        <w:tblW w:w="4023"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4"/>
        <w:gridCol w:w="2372"/>
      </w:tblGrid>
      <w:tr w:rsidR="00656E62" w:rsidRPr="00701F32" w14:paraId="24ED9B7C" w14:textId="77777777" w:rsidTr="00E311C9">
        <w:trPr>
          <w:trHeight w:val="282"/>
          <w:tblHeader/>
        </w:trPr>
        <w:tc>
          <w:tcPr>
            <w:tcW w:w="3295" w:type="pct"/>
            <w:shd w:val="clear" w:color="auto" w:fill="auto"/>
            <w:noWrap/>
            <w:vAlign w:val="bottom"/>
            <w:hideMark/>
          </w:tcPr>
          <w:p w14:paraId="61A75EC5" w14:textId="77777777" w:rsidR="00656E62" w:rsidRPr="00701F32" w:rsidRDefault="00656E62" w:rsidP="00464C0F">
            <w:pPr>
              <w:spacing w:line="259" w:lineRule="auto"/>
              <w:jc w:val="both"/>
              <w:rPr>
                <w:rFonts w:ascii="Arial" w:hAnsi="Arial" w:cs="Arial"/>
                <w:color w:val="000000"/>
                <w:sz w:val="20"/>
                <w:lang w:eastAsia="es-AR"/>
              </w:rPr>
            </w:pPr>
            <w:r w:rsidRPr="00701F32">
              <w:rPr>
                <w:rFonts w:ascii="Arial" w:hAnsi="Arial" w:cs="Arial"/>
                <w:color w:val="000000"/>
                <w:sz w:val="20"/>
                <w:lang w:eastAsia="es-AR"/>
              </w:rPr>
              <w:t> </w:t>
            </w:r>
          </w:p>
        </w:tc>
        <w:tc>
          <w:tcPr>
            <w:tcW w:w="1705" w:type="pct"/>
            <w:shd w:val="clear" w:color="auto" w:fill="auto"/>
            <w:noWrap/>
            <w:vAlign w:val="bottom"/>
            <w:hideMark/>
          </w:tcPr>
          <w:p w14:paraId="6CEB9630" w14:textId="77777777" w:rsidR="00656E62" w:rsidRPr="00701F32" w:rsidRDefault="00656E62" w:rsidP="0086282C">
            <w:pPr>
              <w:spacing w:line="259" w:lineRule="auto"/>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E62731" w:rsidRPr="00701F32" w14:paraId="1992570B" w14:textId="77777777" w:rsidTr="00E311C9">
        <w:trPr>
          <w:trHeight w:val="282"/>
        </w:trPr>
        <w:tc>
          <w:tcPr>
            <w:tcW w:w="3295" w:type="pct"/>
            <w:shd w:val="clear" w:color="auto" w:fill="auto"/>
            <w:noWrap/>
            <w:vAlign w:val="bottom"/>
            <w:hideMark/>
          </w:tcPr>
          <w:p w14:paraId="4A72BB30" w14:textId="77777777" w:rsidR="00E62731" w:rsidRPr="00701F32" w:rsidRDefault="009B4431" w:rsidP="0086282C">
            <w:pPr>
              <w:spacing w:line="259" w:lineRule="auto"/>
              <w:jc w:val="both"/>
              <w:rPr>
                <w:rFonts w:ascii="Arial" w:hAnsi="Arial" w:cs="Arial"/>
                <w:color w:val="000000"/>
                <w:sz w:val="20"/>
                <w:lang w:eastAsia="es-AR"/>
              </w:rPr>
            </w:pPr>
            <w:r w:rsidRPr="00701F32">
              <w:rPr>
                <w:rFonts w:ascii="Arial" w:hAnsi="Arial" w:cs="Arial"/>
                <w:color w:val="000000"/>
                <w:sz w:val="20"/>
                <w:lang w:eastAsia="es-AR"/>
              </w:rPr>
              <w:t>Efectivo y depósitos en bancos</w:t>
            </w:r>
          </w:p>
        </w:tc>
        <w:tc>
          <w:tcPr>
            <w:tcW w:w="1705" w:type="pct"/>
            <w:shd w:val="clear" w:color="auto" w:fill="auto"/>
            <w:noWrap/>
            <w:vAlign w:val="bottom"/>
            <w:hideMark/>
          </w:tcPr>
          <w:p w14:paraId="2E8403CB" w14:textId="77777777" w:rsidR="00E62731" w:rsidRPr="00701F32" w:rsidRDefault="00E62731">
            <w:pPr>
              <w:spacing w:line="259" w:lineRule="auto"/>
              <w:jc w:val="right"/>
              <w:rPr>
                <w:rFonts w:ascii="Arial" w:hAnsi="Arial" w:cs="Arial"/>
                <w:color w:val="000000"/>
                <w:sz w:val="20"/>
                <w:lang w:eastAsia="es-AR"/>
              </w:rPr>
            </w:pPr>
            <w:r w:rsidRPr="00701F32">
              <w:rPr>
                <w:rFonts w:ascii="Arial" w:hAnsi="Arial" w:cs="Arial"/>
                <w:color w:val="000000"/>
                <w:sz w:val="20"/>
                <w:lang w:eastAsia="es-AR"/>
              </w:rPr>
              <w:t xml:space="preserve">     11.030.347</w:t>
            </w:r>
          </w:p>
        </w:tc>
      </w:tr>
      <w:tr w:rsidR="00E62731" w:rsidRPr="00701F32" w14:paraId="11F10B87" w14:textId="77777777" w:rsidTr="00E311C9">
        <w:trPr>
          <w:trHeight w:val="282"/>
        </w:trPr>
        <w:tc>
          <w:tcPr>
            <w:tcW w:w="3295" w:type="pct"/>
            <w:shd w:val="clear" w:color="auto" w:fill="auto"/>
            <w:noWrap/>
            <w:vAlign w:val="bottom"/>
            <w:hideMark/>
          </w:tcPr>
          <w:p w14:paraId="1E2201BD" w14:textId="77777777" w:rsidR="00E62731" w:rsidRPr="00701F32" w:rsidRDefault="009B4431" w:rsidP="009B4431">
            <w:pPr>
              <w:spacing w:line="259" w:lineRule="auto"/>
              <w:ind w:right="722"/>
              <w:jc w:val="both"/>
              <w:rPr>
                <w:rFonts w:ascii="Arial" w:hAnsi="Arial" w:cs="Arial"/>
                <w:color w:val="000000"/>
                <w:sz w:val="20"/>
                <w:lang w:eastAsia="es-AR"/>
              </w:rPr>
            </w:pPr>
            <w:r w:rsidRPr="00701F32">
              <w:rPr>
                <w:rFonts w:ascii="Arial" w:hAnsi="Arial" w:cs="Arial"/>
                <w:color w:val="000000"/>
                <w:sz w:val="20"/>
                <w:lang w:eastAsia="es-AR"/>
              </w:rPr>
              <w:t>Títulos valores a valor razonable</w:t>
            </w:r>
          </w:p>
        </w:tc>
        <w:tc>
          <w:tcPr>
            <w:tcW w:w="1705" w:type="pct"/>
            <w:shd w:val="clear" w:color="auto" w:fill="auto"/>
            <w:noWrap/>
            <w:vAlign w:val="bottom"/>
            <w:hideMark/>
          </w:tcPr>
          <w:p w14:paraId="19A960BE" w14:textId="77777777" w:rsidR="00E62731" w:rsidRPr="00701F32" w:rsidRDefault="00E62731">
            <w:pPr>
              <w:spacing w:line="259" w:lineRule="auto"/>
              <w:jc w:val="right"/>
              <w:rPr>
                <w:rFonts w:ascii="Arial" w:hAnsi="Arial" w:cs="Arial"/>
                <w:color w:val="000000"/>
                <w:sz w:val="20"/>
                <w:lang w:eastAsia="es-AR"/>
              </w:rPr>
            </w:pPr>
            <w:r w:rsidRPr="00701F32">
              <w:rPr>
                <w:rFonts w:ascii="Arial" w:hAnsi="Arial" w:cs="Arial"/>
                <w:color w:val="000000"/>
                <w:sz w:val="20"/>
                <w:lang w:eastAsia="es-AR"/>
              </w:rPr>
              <w:t xml:space="preserve">9.646.700 </w:t>
            </w:r>
          </w:p>
        </w:tc>
      </w:tr>
      <w:tr w:rsidR="00E62731" w:rsidRPr="00701F32" w14:paraId="24466777" w14:textId="77777777" w:rsidTr="00E311C9">
        <w:trPr>
          <w:trHeight w:val="282"/>
        </w:trPr>
        <w:tc>
          <w:tcPr>
            <w:tcW w:w="3295" w:type="pct"/>
            <w:shd w:val="clear" w:color="auto" w:fill="auto"/>
            <w:noWrap/>
            <w:vAlign w:val="bottom"/>
            <w:hideMark/>
          </w:tcPr>
          <w:p w14:paraId="6753FDDA" w14:textId="77777777" w:rsidR="00E62731" w:rsidRPr="00701F32" w:rsidRDefault="00E62731" w:rsidP="00464C0F">
            <w:pPr>
              <w:spacing w:line="259" w:lineRule="auto"/>
              <w:jc w:val="both"/>
              <w:rPr>
                <w:rFonts w:ascii="Arial" w:hAnsi="Arial" w:cs="Arial"/>
                <w:b/>
                <w:bCs/>
                <w:color w:val="000000"/>
                <w:sz w:val="20"/>
                <w:lang w:eastAsia="es-AR"/>
              </w:rPr>
            </w:pPr>
            <w:r w:rsidRPr="00701F32">
              <w:rPr>
                <w:rFonts w:ascii="Arial" w:hAnsi="Arial" w:cs="Arial"/>
                <w:b/>
                <w:bCs/>
                <w:color w:val="000000"/>
                <w:sz w:val="20"/>
                <w:lang w:eastAsia="es-AR"/>
              </w:rPr>
              <w:t>Total</w:t>
            </w:r>
          </w:p>
        </w:tc>
        <w:tc>
          <w:tcPr>
            <w:tcW w:w="1705" w:type="pct"/>
            <w:shd w:val="clear" w:color="auto" w:fill="auto"/>
            <w:noWrap/>
            <w:vAlign w:val="bottom"/>
            <w:hideMark/>
          </w:tcPr>
          <w:p w14:paraId="1C3E7CCC" w14:textId="77777777" w:rsidR="00E62731" w:rsidRPr="00701F32" w:rsidRDefault="00E62731">
            <w:pPr>
              <w:spacing w:line="259" w:lineRule="auto"/>
              <w:jc w:val="right"/>
              <w:rPr>
                <w:rFonts w:ascii="Arial" w:hAnsi="Arial" w:cs="Arial"/>
                <w:b/>
                <w:color w:val="000000"/>
                <w:sz w:val="20"/>
                <w:lang w:eastAsia="es-AR"/>
              </w:rPr>
            </w:pPr>
            <w:r w:rsidRPr="00701F32">
              <w:rPr>
                <w:rFonts w:ascii="Arial" w:hAnsi="Arial" w:cs="Arial"/>
                <w:b/>
                <w:color w:val="000000"/>
                <w:sz w:val="20"/>
                <w:lang w:eastAsia="es-AR"/>
              </w:rPr>
              <w:t>20.677.047</w:t>
            </w:r>
          </w:p>
        </w:tc>
      </w:tr>
    </w:tbl>
    <w:p w14:paraId="3BFC1367" w14:textId="77777777" w:rsidR="00656E62" w:rsidRPr="00701F32" w:rsidRDefault="00656E62" w:rsidP="00656E62">
      <w:pPr>
        <w:jc w:val="both"/>
        <w:rPr>
          <w:rFonts w:ascii="Arial" w:eastAsia="Calibri" w:hAnsi="Arial" w:cs="Arial"/>
          <w:sz w:val="20"/>
          <w:lang w:eastAsia="es-PE"/>
        </w:rPr>
      </w:pPr>
    </w:p>
    <w:p w14:paraId="508121B8" w14:textId="77777777" w:rsidR="00656E62" w:rsidRPr="00701F32" w:rsidRDefault="00656E62" w:rsidP="00656E62">
      <w:pPr>
        <w:jc w:val="both"/>
        <w:rPr>
          <w:rFonts w:ascii="Arial" w:eastAsia="Calibri" w:hAnsi="Arial" w:cs="Arial"/>
          <w:sz w:val="20"/>
          <w:lang w:eastAsia="es-PE"/>
        </w:rPr>
      </w:pPr>
      <w:r w:rsidRPr="00701F32">
        <w:rPr>
          <w:rFonts w:ascii="Arial" w:eastAsia="Calibri" w:hAnsi="Arial" w:cs="Arial"/>
          <w:sz w:val="20"/>
          <w:lang w:eastAsia="es-PE"/>
        </w:rPr>
        <w:t>Por su parte, se exponen a continuación las conciliaciones entre los saldos de aquellas partidas consideradas equivalentes de efectivo en el Estado de Flujo de Efectivo y las reportadas en el Estado de Situación Financiera al cierre del ejercicio:</w:t>
      </w:r>
    </w:p>
    <w:p w14:paraId="04F77EBE" w14:textId="77777777" w:rsidR="00656E62" w:rsidRPr="00701F32" w:rsidRDefault="00656E62" w:rsidP="00656E62">
      <w:pPr>
        <w:jc w:val="both"/>
        <w:rPr>
          <w:rFonts w:ascii="Arial" w:eastAsia="Calibri" w:hAnsi="Arial" w:cs="Arial"/>
          <w:sz w:val="20"/>
          <w:lang w:eastAsia="es-PE"/>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6"/>
        <w:gridCol w:w="2126"/>
      </w:tblGrid>
      <w:tr w:rsidR="009B4431" w:rsidRPr="00701F32" w14:paraId="27940CFF" w14:textId="77777777" w:rsidTr="0086282C">
        <w:trPr>
          <w:trHeight w:val="278"/>
          <w:tblHeader/>
        </w:trPr>
        <w:tc>
          <w:tcPr>
            <w:tcW w:w="3718" w:type="pct"/>
            <w:shd w:val="clear" w:color="auto" w:fill="auto"/>
            <w:noWrap/>
            <w:vAlign w:val="bottom"/>
            <w:hideMark/>
          </w:tcPr>
          <w:p w14:paraId="25C5EBE8" w14:textId="77777777" w:rsidR="00656E62" w:rsidRPr="00701F32" w:rsidRDefault="00656E62" w:rsidP="00464C0F">
            <w:pPr>
              <w:spacing w:line="259" w:lineRule="auto"/>
              <w:jc w:val="center"/>
              <w:rPr>
                <w:rFonts w:ascii="Arial" w:hAnsi="Arial" w:cs="Arial"/>
                <w:color w:val="000000"/>
                <w:sz w:val="20"/>
                <w:lang w:eastAsia="es-AR"/>
              </w:rPr>
            </w:pPr>
          </w:p>
        </w:tc>
        <w:tc>
          <w:tcPr>
            <w:tcW w:w="1282" w:type="pct"/>
            <w:shd w:val="clear" w:color="auto" w:fill="auto"/>
            <w:noWrap/>
            <w:vAlign w:val="bottom"/>
            <w:hideMark/>
          </w:tcPr>
          <w:p w14:paraId="34F7F58E" w14:textId="77777777" w:rsidR="00656E62" w:rsidRPr="00701F32" w:rsidRDefault="00656E62" w:rsidP="0086282C">
            <w:pPr>
              <w:spacing w:line="259" w:lineRule="auto"/>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9B4431" w:rsidRPr="00701F32" w14:paraId="238C75D1" w14:textId="77777777" w:rsidTr="00E311C9">
        <w:trPr>
          <w:trHeight w:val="278"/>
        </w:trPr>
        <w:tc>
          <w:tcPr>
            <w:tcW w:w="3718" w:type="pct"/>
            <w:shd w:val="clear" w:color="auto" w:fill="auto"/>
            <w:noWrap/>
            <w:vAlign w:val="bottom"/>
            <w:hideMark/>
          </w:tcPr>
          <w:p w14:paraId="75C36641" w14:textId="77777777" w:rsidR="001A24CA" w:rsidRPr="00701F32" w:rsidRDefault="009B4431" w:rsidP="0086282C">
            <w:pPr>
              <w:spacing w:line="259" w:lineRule="auto"/>
              <w:rPr>
                <w:rFonts w:ascii="Arial" w:hAnsi="Arial" w:cs="Arial"/>
                <w:color w:val="000000"/>
                <w:sz w:val="20"/>
                <w:lang w:eastAsia="es-AR"/>
              </w:rPr>
            </w:pPr>
            <w:r w:rsidRPr="00701F32">
              <w:rPr>
                <w:rFonts w:ascii="Arial" w:hAnsi="Arial" w:cs="Arial"/>
                <w:color w:val="000000"/>
                <w:sz w:val="20"/>
                <w:lang w:eastAsia="es-AR"/>
              </w:rPr>
              <w:t>Títulos valores a valor razonable s/Estado de Sit.Financiera</w:t>
            </w:r>
          </w:p>
        </w:tc>
        <w:tc>
          <w:tcPr>
            <w:tcW w:w="1282" w:type="pct"/>
            <w:shd w:val="clear" w:color="auto" w:fill="auto"/>
            <w:noWrap/>
            <w:vAlign w:val="bottom"/>
            <w:hideMark/>
          </w:tcPr>
          <w:p w14:paraId="6436C0B9" w14:textId="77777777" w:rsidR="001A24CA" w:rsidRPr="00701F32" w:rsidRDefault="001A24CA">
            <w:pPr>
              <w:jc w:val="right"/>
              <w:rPr>
                <w:rFonts w:ascii="Arial" w:hAnsi="Arial" w:cs="Arial"/>
                <w:color w:val="000000"/>
                <w:sz w:val="20"/>
              </w:rPr>
            </w:pPr>
            <w:r w:rsidRPr="00701F32">
              <w:rPr>
                <w:rFonts w:ascii="Arial" w:hAnsi="Arial" w:cs="Arial"/>
                <w:color w:val="000000"/>
                <w:sz w:val="20"/>
              </w:rPr>
              <w:t>11.030.208</w:t>
            </w:r>
          </w:p>
        </w:tc>
      </w:tr>
      <w:tr w:rsidR="009B4431" w:rsidRPr="00701F32" w14:paraId="260198EC" w14:textId="77777777" w:rsidTr="00E311C9">
        <w:trPr>
          <w:trHeight w:val="278"/>
        </w:trPr>
        <w:tc>
          <w:tcPr>
            <w:tcW w:w="3718" w:type="pct"/>
            <w:shd w:val="clear" w:color="auto" w:fill="auto"/>
            <w:noWrap/>
            <w:vAlign w:val="bottom"/>
            <w:hideMark/>
          </w:tcPr>
          <w:p w14:paraId="5E908906" w14:textId="77777777" w:rsidR="001A24CA" w:rsidRPr="00701F32" w:rsidRDefault="001A24CA" w:rsidP="00464C0F">
            <w:pPr>
              <w:jc w:val="both"/>
              <w:rPr>
                <w:rFonts w:ascii="Arial" w:hAnsi="Arial" w:cs="Arial"/>
                <w:color w:val="000000"/>
                <w:sz w:val="20"/>
              </w:rPr>
            </w:pPr>
            <w:r w:rsidRPr="00701F32">
              <w:rPr>
                <w:rFonts w:ascii="Arial" w:hAnsi="Arial" w:cs="Arial"/>
                <w:color w:val="000000"/>
                <w:sz w:val="20"/>
              </w:rPr>
              <w:t>- Letras del BCRA hasta 90 días</w:t>
            </w:r>
          </w:p>
        </w:tc>
        <w:tc>
          <w:tcPr>
            <w:tcW w:w="1282" w:type="pct"/>
            <w:shd w:val="clear" w:color="auto" w:fill="auto"/>
            <w:noWrap/>
            <w:vAlign w:val="bottom"/>
            <w:hideMark/>
          </w:tcPr>
          <w:p w14:paraId="69E58A90" w14:textId="77777777" w:rsidR="001A24CA" w:rsidRPr="00701F32" w:rsidRDefault="001A24CA">
            <w:pPr>
              <w:jc w:val="right"/>
              <w:rPr>
                <w:rFonts w:ascii="Arial" w:hAnsi="Arial" w:cs="Arial"/>
                <w:color w:val="000000"/>
                <w:sz w:val="20"/>
              </w:rPr>
            </w:pPr>
            <w:r w:rsidRPr="00701F32">
              <w:rPr>
                <w:rFonts w:ascii="Arial" w:hAnsi="Arial" w:cs="Arial"/>
                <w:color w:val="000000"/>
                <w:sz w:val="20"/>
              </w:rPr>
              <w:t>9.270.724</w:t>
            </w:r>
          </w:p>
        </w:tc>
      </w:tr>
      <w:tr w:rsidR="009B4431" w:rsidRPr="00701F32" w14:paraId="72D92C15" w14:textId="77777777" w:rsidTr="00E311C9">
        <w:trPr>
          <w:trHeight w:val="278"/>
        </w:trPr>
        <w:tc>
          <w:tcPr>
            <w:tcW w:w="3718" w:type="pct"/>
            <w:shd w:val="clear" w:color="auto" w:fill="auto"/>
            <w:noWrap/>
            <w:vAlign w:val="bottom"/>
            <w:hideMark/>
          </w:tcPr>
          <w:p w14:paraId="26544AB6" w14:textId="77777777" w:rsidR="001A24CA" w:rsidRPr="00701F32" w:rsidRDefault="001A24CA" w:rsidP="00464C0F">
            <w:pPr>
              <w:jc w:val="both"/>
              <w:rPr>
                <w:rFonts w:ascii="Arial" w:hAnsi="Arial" w:cs="Arial"/>
                <w:color w:val="000000"/>
                <w:sz w:val="20"/>
              </w:rPr>
            </w:pPr>
            <w:r w:rsidRPr="00701F32">
              <w:rPr>
                <w:rFonts w:ascii="Arial" w:hAnsi="Arial" w:cs="Arial"/>
                <w:color w:val="000000"/>
                <w:sz w:val="20"/>
              </w:rPr>
              <w:t>-Letras del Tesoro Nacional hasta 90 días</w:t>
            </w:r>
          </w:p>
        </w:tc>
        <w:tc>
          <w:tcPr>
            <w:tcW w:w="1282" w:type="pct"/>
            <w:shd w:val="clear" w:color="auto" w:fill="auto"/>
            <w:noWrap/>
            <w:vAlign w:val="bottom"/>
            <w:hideMark/>
          </w:tcPr>
          <w:p w14:paraId="0AC2EBB5" w14:textId="77777777" w:rsidR="001A24CA" w:rsidRPr="00701F32" w:rsidRDefault="001A24CA">
            <w:pPr>
              <w:jc w:val="right"/>
              <w:rPr>
                <w:rFonts w:ascii="Arial" w:hAnsi="Arial" w:cs="Arial"/>
                <w:color w:val="000000"/>
                <w:sz w:val="20"/>
              </w:rPr>
            </w:pPr>
            <w:r w:rsidRPr="00701F32">
              <w:rPr>
                <w:rFonts w:ascii="Arial" w:hAnsi="Arial" w:cs="Arial"/>
                <w:color w:val="000000"/>
                <w:sz w:val="20"/>
              </w:rPr>
              <w:t>375.976</w:t>
            </w:r>
          </w:p>
        </w:tc>
      </w:tr>
      <w:tr w:rsidR="009B4431" w:rsidRPr="00701F32" w14:paraId="5FD89E20" w14:textId="77777777" w:rsidTr="00E311C9">
        <w:trPr>
          <w:trHeight w:val="278"/>
        </w:trPr>
        <w:tc>
          <w:tcPr>
            <w:tcW w:w="3718" w:type="pct"/>
            <w:shd w:val="clear" w:color="auto" w:fill="auto"/>
            <w:noWrap/>
            <w:vAlign w:val="bottom"/>
            <w:hideMark/>
          </w:tcPr>
          <w:p w14:paraId="107D1DB7" w14:textId="77777777" w:rsidR="001A24CA" w:rsidRPr="00701F32" w:rsidRDefault="001A24CA" w:rsidP="00464C0F">
            <w:pPr>
              <w:spacing w:line="259" w:lineRule="auto"/>
              <w:jc w:val="both"/>
              <w:rPr>
                <w:rFonts w:ascii="Arial" w:hAnsi="Arial" w:cs="Arial"/>
                <w:color w:val="000000"/>
                <w:sz w:val="20"/>
                <w:lang w:eastAsia="es-AR"/>
              </w:rPr>
            </w:pPr>
            <w:r w:rsidRPr="00701F32">
              <w:rPr>
                <w:rFonts w:ascii="Arial" w:hAnsi="Arial" w:cs="Arial"/>
                <w:color w:val="000000"/>
                <w:sz w:val="20"/>
                <w:lang w:eastAsia="es-AR"/>
              </w:rPr>
              <w:t>Títulos Públicos y Privados  s/E</w:t>
            </w:r>
            <w:r w:rsidR="009B4431" w:rsidRPr="00701F32">
              <w:rPr>
                <w:rFonts w:ascii="Arial" w:hAnsi="Arial" w:cs="Arial"/>
                <w:color w:val="000000"/>
                <w:sz w:val="20"/>
                <w:lang w:eastAsia="es-AR"/>
              </w:rPr>
              <w:t>stado de Flujo de Efectivo</w:t>
            </w:r>
          </w:p>
        </w:tc>
        <w:tc>
          <w:tcPr>
            <w:tcW w:w="1282" w:type="pct"/>
            <w:shd w:val="clear" w:color="auto" w:fill="auto"/>
            <w:noWrap/>
            <w:vAlign w:val="bottom"/>
            <w:hideMark/>
          </w:tcPr>
          <w:p w14:paraId="2AE9A12A" w14:textId="77777777" w:rsidR="001A24CA" w:rsidRPr="00701F32" w:rsidRDefault="001A24CA">
            <w:pPr>
              <w:jc w:val="right"/>
              <w:rPr>
                <w:rFonts w:ascii="Arial" w:hAnsi="Arial" w:cs="Arial"/>
                <w:b/>
                <w:bCs/>
                <w:color w:val="000000"/>
                <w:sz w:val="20"/>
              </w:rPr>
            </w:pPr>
            <w:r w:rsidRPr="00701F32">
              <w:rPr>
                <w:rFonts w:ascii="Arial" w:hAnsi="Arial" w:cs="Arial"/>
                <w:b/>
                <w:bCs/>
                <w:color w:val="000000"/>
                <w:sz w:val="20"/>
              </w:rPr>
              <w:t>9.646.700</w:t>
            </w:r>
          </w:p>
        </w:tc>
      </w:tr>
    </w:tbl>
    <w:p w14:paraId="1437119C" w14:textId="77777777" w:rsidR="00656E62" w:rsidRPr="00701F32" w:rsidRDefault="00656E62" w:rsidP="00656E62">
      <w:pPr>
        <w:spacing w:after="160" w:line="259" w:lineRule="auto"/>
        <w:jc w:val="both"/>
        <w:rPr>
          <w:rFonts w:ascii="Arial" w:eastAsia="Arial" w:hAnsi="Arial" w:cs="Arial"/>
          <w:b/>
          <w:sz w:val="20"/>
        </w:rPr>
      </w:pPr>
    </w:p>
    <w:p w14:paraId="1FAB5B4D" w14:textId="77777777" w:rsidR="00656E62" w:rsidRPr="00701F32" w:rsidRDefault="00B225FD" w:rsidP="00656E62">
      <w:pPr>
        <w:spacing w:after="160" w:line="259" w:lineRule="auto"/>
        <w:jc w:val="both"/>
        <w:rPr>
          <w:rFonts w:ascii="Arial" w:eastAsia="Calibri" w:hAnsi="Arial" w:cs="Arial"/>
          <w:b/>
          <w:bCs/>
          <w:sz w:val="20"/>
        </w:rPr>
      </w:pPr>
      <w:r w:rsidRPr="00701F32">
        <w:rPr>
          <w:rFonts w:ascii="Arial" w:eastAsia="Calibri" w:hAnsi="Arial" w:cs="Arial"/>
          <w:b/>
          <w:bCs/>
          <w:sz w:val="20"/>
        </w:rPr>
        <w:t>17.2. Instrumentos Financieros</w:t>
      </w:r>
      <w:r w:rsidR="00656E62" w:rsidRPr="00701F32">
        <w:rPr>
          <w:rFonts w:ascii="Arial" w:eastAsia="Calibri" w:hAnsi="Arial" w:cs="Arial"/>
          <w:b/>
          <w:bCs/>
          <w:sz w:val="20"/>
        </w:rPr>
        <w:t xml:space="preserve"> </w:t>
      </w:r>
    </w:p>
    <w:p w14:paraId="0BDA5358" w14:textId="77777777" w:rsidR="00656E62" w:rsidRPr="00701F32" w:rsidRDefault="00656E62" w:rsidP="00656E62">
      <w:pPr>
        <w:spacing w:line="259" w:lineRule="auto"/>
        <w:jc w:val="both"/>
        <w:rPr>
          <w:rFonts w:ascii="Arial" w:eastAsia="Calibri" w:hAnsi="Arial" w:cs="Arial"/>
          <w:sz w:val="20"/>
        </w:rPr>
      </w:pPr>
      <w:r w:rsidRPr="00701F32">
        <w:rPr>
          <w:rFonts w:ascii="Arial" w:eastAsia="Calibri" w:hAnsi="Arial" w:cs="Arial"/>
          <w:sz w:val="20"/>
        </w:rPr>
        <w:t>Al cierre del ejercicio la Entidad mantiene los siguientes instrumentos financieros:</w:t>
      </w:r>
    </w:p>
    <w:p w14:paraId="5A55B680" w14:textId="77777777" w:rsidR="00F17F39" w:rsidRPr="00701F32" w:rsidRDefault="00F17F39" w:rsidP="00656E62">
      <w:pPr>
        <w:spacing w:line="259" w:lineRule="auto"/>
        <w:jc w:val="both"/>
        <w:rPr>
          <w:rFonts w:ascii="Arial" w:eastAsia="Calibri" w:hAnsi="Arial" w:cs="Arial"/>
          <w:sz w:val="20"/>
        </w:rPr>
      </w:pPr>
    </w:p>
    <w:p w14:paraId="263E7B63" w14:textId="77777777" w:rsidR="00F4204E" w:rsidRPr="00701F32" w:rsidRDefault="00F4204E" w:rsidP="00656E62">
      <w:pPr>
        <w:spacing w:line="259" w:lineRule="auto"/>
        <w:jc w:val="both"/>
        <w:rPr>
          <w:rFonts w:ascii="Arial" w:eastAsia="Calibri" w:hAnsi="Arial" w:cs="Arial"/>
          <w:sz w:val="20"/>
        </w:rPr>
      </w:pPr>
    </w:p>
    <w:p w14:paraId="3518647D" w14:textId="77777777" w:rsidR="006D7FAF" w:rsidRPr="00701F32" w:rsidRDefault="006D7FAF" w:rsidP="00656E62">
      <w:pPr>
        <w:spacing w:line="259" w:lineRule="auto"/>
        <w:jc w:val="both"/>
        <w:rPr>
          <w:rFonts w:ascii="Arial" w:eastAsia="Calibri" w:hAnsi="Arial" w:cs="Arial"/>
          <w:sz w:val="20"/>
        </w:rPr>
      </w:pPr>
    </w:p>
    <w:p w14:paraId="7BFB030D" w14:textId="77777777" w:rsidR="00F4204E" w:rsidRPr="00701F32" w:rsidRDefault="00F4204E" w:rsidP="00656E62">
      <w:pPr>
        <w:spacing w:line="259" w:lineRule="auto"/>
        <w:jc w:val="both"/>
        <w:rPr>
          <w:rFonts w:ascii="Arial" w:eastAsia="Calibri" w:hAnsi="Arial" w:cs="Arial"/>
          <w:sz w:val="20"/>
        </w:rPr>
      </w:pPr>
    </w:p>
    <w:tbl>
      <w:tblPr>
        <w:tblW w:w="5000" w:type="pct"/>
        <w:tblLayout w:type="fixed"/>
        <w:tblCellMar>
          <w:left w:w="70" w:type="dxa"/>
          <w:right w:w="70" w:type="dxa"/>
        </w:tblCellMar>
        <w:tblLook w:val="04A0" w:firstRow="1" w:lastRow="0" w:firstColumn="1" w:lastColumn="0" w:noHBand="0" w:noVBand="1"/>
      </w:tblPr>
      <w:tblGrid>
        <w:gridCol w:w="3740"/>
        <w:gridCol w:w="1183"/>
        <w:gridCol w:w="1292"/>
        <w:gridCol w:w="1215"/>
        <w:gridCol w:w="1215"/>
      </w:tblGrid>
      <w:tr w:rsidR="008C4C54" w:rsidRPr="00701F32" w14:paraId="55337626" w14:textId="77777777" w:rsidTr="005819B2">
        <w:trPr>
          <w:trHeight w:val="228"/>
          <w:tblHeader/>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6480" w14:textId="77777777" w:rsidR="008C4C54" w:rsidRPr="00701F32" w:rsidRDefault="008C4C54" w:rsidP="00464C0F">
            <w:pPr>
              <w:rPr>
                <w:rFonts w:ascii="Arial" w:hAnsi="Arial" w:cs="Arial"/>
                <w:b/>
                <w:color w:val="000000"/>
                <w:sz w:val="18"/>
                <w:szCs w:val="18"/>
                <w:lang w:eastAsia="es-AR"/>
              </w:rPr>
            </w:pPr>
            <w:r w:rsidRPr="00701F32">
              <w:rPr>
                <w:rFonts w:ascii="Arial" w:hAnsi="Arial" w:cs="Arial"/>
                <w:b/>
                <w:color w:val="000000"/>
                <w:sz w:val="18"/>
                <w:szCs w:val="18"/>
                <w:lang w:eastAsia="es-AR"/>
              </w:rPr>
              <w:t>Cartera de instrumentos al 31/12/2017</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14:paraId="13FC6389" w14:textId="77777777" w:rsidR="008C4C54" w:rsidRPr="00701F32" w:rsidRDefault="008C4C54">
            <w:pPr>
              <w:jc w:val="center"/>
              <w:rPr>
                <w:rFonts w:ascii="Arial" w:hAnsi="Arial" w:cs="Arial"/>
                <w:b/>
                <w:bCs/>
                <w:color w:val="000000"/>
                <w:sz w:val="18"/>
                <w:szCs w:val="18"/>
              </w:rPr>
            </w:pPr>
            <w:r w:rsidRPr="00701F32">
              <w:rPr>
                <w:rFonts w:ascii="Arial" w:hAnsi="Arial" w:cs="Arial"/>
                <w:b/>
                <w:bCs/>
                <w:color w:val="000000"/>
                <w:sz w:val="18"/>
                <w:szCs w:val="18"/>
              </w:rPr>
              <w:t>Costo Amortizado</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14:paraId="54833ADC" w14:textId="77777777" w:rsidR="008C4C54" w:rsidRPr="00701F32" w:rsidRDefault="008C4C54">
            <w:pPr>
              <w:jc w:val="center"/>
              <w:rPr>
                <w:rFonts w:ascii="Arial" w:hAnsi="Arial" w:cs="Arial"/>
                <w:b/>
                <w:bCs/>
                <w:color w:val="000000"/>
                <w:sz w:val="18"/>
                <w:szCs w:val="18"/>
              </w:rPr>
            </w:pPr>
            <w:r w:rsidRPr="00701F32">
              <w:rPr>
                <w:rFonts w:ascii="Arial" w:hAnsi="Arial" w:cs="Arial"/>
                <w:b/>
                <w:bCs/>
                <w:color w:val="000000"/>
                <w:sz w:val="18"/>
                <w:szCs w:val="18"/>
              </w:rPr>
              <w:t>Valor Razonable - Resultados</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14:paraId="4975FDB0" w14:textId="77777777" w:rsidR="008C4C54" w:rsidRPr="00701F32" w:rsidRDefault="008C4C54">
            <w:pPr>
              <w:jc w:val="center"/>
              <w:rPr>
                <w:rFonts w:ascii="Arial" w:hAnsi="Arial" w:cs="Arial"/>
                <w:b/>
                <w:bCs/>
                <w:color w:val="000000"/>
                <w:sz w:val="18"/>
                <w:szCs w:val="18"/>
              </w:rPr>
            </w:pPr>
            <w:r w:rsidRPr="00701F32">
              <w:rPr>
                <w:rFonts w:ascii="Arial" w:hAnsi="Arial" w:cs="Arial"/>
                <w:b/>
                <w:bCs/>
                <w:color w:val="000000"/>
                <w:sz w:val="18"/>
                <w:szCs w:val="18"/>
              </w:rPr>
              <w:t>Valor Razonable - ORI</w:t>
            </w:r>
          </w:p>
        </w:tc>
        <w:tc>
          <w:tcPr>
            <w:tcW w:w="703" w:type="pct"/>
            <w:tcBorders>
              <w:top w:val="single" w:sz="4" w:space="0" w:color="auto"/>
              <w:left w:val="nil"/>
              <w:bottom w:val="single" w:sz="4" w:space="0" w:color="auto"/>
              <w:right w:val="single" w:sz="4" w:space="0" w:color="auto"/>
            </w:tcBorders>
            <w:vAlign w:val="center"/>
          </w:tcPr>
          <w:p w14:paraId="4E9214C4" w14:textId="77777777" w:rsidR="008C4C54" w:rsidRPr="00701F32" w:rsidRDefault="008C4C54">
            <w:pPr>
              <w:jc w:val="center"/>
              <w:rPr>
                <w:rFonts w:ascii="Arial" w:hAnsi="Arial" w:cs="Arial"/>
                <w:b/>
                <w:bCs/>
                <w:color w:val="000000"/>
                <w:sz w:val="18"/>
                <w:szCs w:val="18"/>
              </w:rPr>
            </w:pPr>
            <w:r w:rsidRPr="00701F32">
              <w:rPr>
                <w:rFonts w:ascii="Arial" w:hAnsi="Arial" w:cs="Arial"/>
                <w:b/>
                <w:bCs/>
                <w:color w:val="000000"/>
                <w:sz w:val="18"/>
                <w:szCs w:val="18"/>
              </w:rPr>
              <w:t>Total</w:t>
            </w:r>
          </w:p>
        </w:tc>
      </w:tr>
      <w:tr w:rsidR="008C4C54" w:rsidRPr="00701F32" w14:paraId="52B5201C"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32486C91" w14:textId="77777777" w:rsidR="008C4C54" w:rsidRPr="00701F32" w:rsidRDefault="008C4C54" w:rsidP="00464C0F">
            <w:pPr>
              <w:rPr>
                <w:rFonts w:ascii="Arial" w:hAnsi="Arial" w:cs="Arial"/>
                <w:b/>
                <w:bCs/>
                <w:color w:val="000000"/>
                <w:sz w:val="18"/>
                <w:szCs w:val="18"/>
                <w:lang w:eastAsia="es-AR"/>
              </w:rPr>
            </w:pPr>
            <w:r w:rsidRPr="00701F32">
              <w:rPr>
                <w:rFonts w:ascii="Arial" w:hAnsi="Arial" w:cs="Arial"/>
                <w:b/>
                <w:bCs/>
                <w:color w:val="000000"/>
                <w:sz w:val="18"/>
                <w:szCs w:val="18"/>
                <w:lang w:eastAsia="es-AR"/>
              </w:rPr>
              <w:t>Activos</w:t>
            </w:r>
          </w:p>
        </w:tc>
        <w:tc>
          <w:tcPr>
            <w:tcW w:w="684" w:type="pct"/>
            <w:tcBorders>
              <w:top w:val="nil"/>
              <w:left w:val="nil"/>
              <w:bottom w:val="single" w:sz="4" w:space="0" w:color="auto"/>
              <w:right w:val="single" w:sz="4" w:space="0" w:color="auto"/>
            </w:tcBorders>
            <w:shd w:val="clear" w:color="auto" w:fill="auto"/>
            <w:noWrap/>
            <w:vAlign w:val="bottom"/>
            <w:hideMark/>
          </w:tcPr>
          <w:p w14:paraId="1F79CB92" w14:textId="77777777" w:rsidR="008C4C54" w:rsidRPr="00701F32" w:rsidRDefault="008C4C54" w:rsidP="00464C0F">
            <w:pPr>
              <w:jc w:val="right"/>
              <w:rPr>
                <w:rFonts w:ascii="Arial" w:hAnsi="Arial" w:cs="Arial"/>
                <w:b/>
                <w:bCs/>
                <w:color w:val="000000"/>
                <w:sz w:val="18"/>
                <w:szCs w:val="18"/>
                <w:lang w:eastAsia="es-AR"/>
              </w:rPr>
            </w:pPr>
          </w:p>
        </w:tc>
        <w:tc>
          <w:tcPr>
            <w:tcW w:w="747" w:type="pct"/>
            <w:tcBorders>
              <w:top w:val="nil"/>
              <w:left w:val="nil"/>
              <w:bottom w:val="single" w:sz="4" w:space="0" w:color="auto"/>
              <w:right w:val="single" w:sz="4" w:space="0" w:color="auto"/>
            </w:tcBorders>
            <w:shd w:val="clear" w:color="auto" w:fill="auto"/>
            <w:noWrap/>
            <w:vAlign w:val="bottom"/>
            <w:hideMark/>
          </w:tcPr>
          <w:p w14:paraId="1E83722A" w14:textId="77777777" w:rsidR="008C4C54" w:rsidRPr="00701F32" w:rsidRDefault="008C4C54" w:rsidP="00464C0F">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shd w:val="clear" w:color="auto" w:fill="auto"/>
            <w:noWrap/>
            <w:vAlign w:val="bottom"/>
            <w:hideMark/>
          </w:tcPr>
          <w:p w14:paraId="33BF6BBB" w14:textId="77777777" w:rsidR="008C4C54" w:rsidRPr="00701F32" w:rsidRDefault="008C4C54" w:rsidP="00464C0F">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tcPr>
          <w:p w14:paraId="5194C0CC" w14:textId="77777777" w:rsidR="008C4C54" w:rsidRPr="00701F32" w:rsidRDefault="008C4C54" w:rsidP="00464C0F">
            <w:pPr>
              <w:jc w:val="right"/>
              <w:rPr>
                <w:rFonts w:ascii="Arial" w:hAnsi="Arial" w:cs="Arial"/>
                <w:b/>
                <w:bCs/>
                <w:color w:val="000000"/>
                <w:sz w:val="18"/>
                <w:szCs w:val="18"/>
                <w:lang w:eastAsia="es-AR"/>
              </w:rPr>
            </w:pPr>
          </w:p>
        </w:tc>
      </w:tr>
      <w:tr w:rsidR="008C4C54" w:rsidRPr="00701F32" w14:paraId="776366B8"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099DAF63"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Títulos de deuda a valor razonable con cambios en resultados</w:t>
            </w:r>
          </w:p>
        </w:tc>
        <w:tc>
          <w:tcPr>
            <w:tcW w:w="684" w:type="pct"/>
            <w:tcBorders>
              <w:top w:val="nil"/>
              <w:left w:val="nil"/>
              <w:bottom w:val="single" w:sz="4" w:space="0" w:color="auto"/>
              <w:right w:val="single" w:sz="4" w:space="0" w:color="auto"/>
            </w:tcBorders>
            <w:shd w:val="clear" w:color="auto" w:fill="auto"/>
            <w:noWrap/>
            <w:vAlign w:val="bottom"/>
            <w:hideMark/>
          </w:tcPr>
          <w:p w14:paraId="015E1AF2"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bottom"/>
            <w:hideMark/>
          </w:tcPr>
          <w:p w14:paraId="123C6F50"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11.328.443</w:t>
            </w:r>
          </w:p>
        </w:tc>
        <w:tc>
          <w:tcPr>
            <w:tcW w:w="703" w:type="pct"/>
            <w:tcBorders>
              <w:top w:val="nil"/>
              <w:left w:val="nil"/>
              <w:bottom w:val="single" w:sz="4" w:space="0" w:color="auto"/>
              <w:right w:val="single" w:sz="4" w:space="0" w:color="auto"/>
            </w:tcBorders>
            <w:shd w:val="clear" w:color="auto" w:fill="auto"/>
            <w:noWrap/>
            <w:vAlign w:val="bottom"/>
            <w:hideMark/>
          </w:tcPr>
          <w:p w14:paraId="338708C9"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bottom"/>
          </w:tcPr>
          <w:p w14:paraId="5E68D940" w14:textId="77777777" w:rsidR="008C4C54" w:rsidRPr="00701F32" w:rsidRDefault="008C4C54">
            <w:pPr>
              <w:jc w:val="right"/>
              <w:rPr>
                <w:rFonts w:ascii="Arial" w:hAnsi="Arial" w:cs="Arial"/>
                <w:sz w:val="18"/>
                <w:szCs w:val="18"/>
              </w:rPr>
            </w:pPr>
            <w:r w:rsidRPr="00701F32">
              <w:rPr>
                <w:rFonts w:ascii="Arial" w:hAnsi="Arial" w:cs="Arial"/>
                <w:sz w:val="18"/>
                <w:szCs w:val="18"/>
              </w:rPr>
              <w:t>11.328.443</w:t>
            </w:r>
          </w:p>
        </w:tc>
      </w:tr>
      <w:tr w:rsidR="008C4C54" w:rsidRPr="00701F32" w14:paraId="416A9536"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3B6889BE"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684" w:type="pct"/>
            <w:tcBorders>
              <w:top w:val="nil"/>
              <w:left w:val="nil"/>
              <w:bottom w:val="single" w:sz="4" w:space="0" w:color="auto"/>
              <w:right w:val="single" w:sz="4" w:space="0" w:color="auto"/>
            </w:tcBorders>
            <w:shd w:val="clear" w:color="auto" w:fill="auto"/>
            <w:noWrap/>
            <w:vAlign w:val="bottom"/>
            <w:hideMark/>
          </w:tcPr>
          <w:p w14:paraId="34792341"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bottom"/>
            <w:hideMark/>
          </w:tcPr>
          <w:p w14:paraId="264A374D"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26.916</w:t>
            </w:r>
          </w:p>
        </w:tc>
        <w:tc>
          <w:tcPr>
            <w:tcW w:w="703" w:type="pct"/>
            <w:tcBorders>
              <w:top w:val="nil"/>
              <w:left w:val="nil"/>
              <w:bottom w:val="single" w:sz="4" w:space="0" w:color="auto"/>
              <w:right w:val="single" w:sz="4" w:space="0" w:color="auto"/>
            </w:tcBorders>
            <w:shd w:val="clear" w:color="auto" w:fill="auto"/>
            <w:noWrap/>
            <w:vAlign w:val="bottom"/>
            <w:hideMark/>
          </w:tcPr>
          <w:p w14:paraId="083851C7"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bottom"/>
          </w:tcPr>
          <w:p w14:paraId="73A5F9BC" w14:textId="77777777" w:rsidR="008C4C54" w:rsidRPr="00701F32" w:rsidRDefault="008C4C54">
            <w:pPr>
              <w:jc w:val="right"/>
              <w:rPr>
                <w:rFonts w:ascii="Arial" w:hAnsi="Arial" w:cs="Arial"/>
                <w:sz w:val="18"/>
                <w:szCs w:val="18"/>
              </w:rPr>
            </w:pPr>
            <w:r w:rsidRPr="00701F32">
              <w:rPr>
                <w:rFonts w:ascii="Arial" w:hAnsi="Arial" w:cs="Arial"/>
                <w:sz w:val="18"/>
                <w:szCs w:val="18"/>
              </w:rPr>
              <w:t>26.916</w:t>
            </w:r>
          </w:p>
        </w:tc>
      </w:tr>
      <w:tr w:rsidR="008C4C54" w:rsidRPr="00701F32" w14:paraId="090FF753"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30EB1275"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Operaciones de pases</w:t>
            </w:r>
          </w:p>
        </w:tc>
        <w:tc>
          <w:tcPr>
            <w:tcW w:w="684" w:type="pct"/>
            <w:tcBorders>
              <w:top w:val="nil"/>
              <w:left w:val="nil"/>
              <w:bottom w:val="single" w:sz="4" w:space="0" w:color="auto"/>
              <w:right w:val="single" w:sz="4" w:space="0" w:color="auto"/>
            </w:tcBorders>
            <w:shd w:val="clear" w:color="auto" w:fill="auto"/>
            <w:noWrap/>
            <w:vAlign w:val="bottom"/>
            <w:hideMark/>
          </w:tcPr>
          <w:p w14:paraId="452FE42D"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3.349.822</w:t>
            </w:r>
          </w:p>
        </w:tc>
        <w:tc>
          <w:tcPr>
            <w:tcW w:w="747" w:type="pct"/>
            <w:tcBorders>
              <w:top w:val="nil"/>
              <w:left w:val="nil"/>
              <w:bottom w:val="single" w:sz="4" w:space="0" w:color="auto"/>
              <w:right w:val="single" w:sz="4" w:space="0" w:color="auto"/>
            </w:tcBorders>
            <w:shd w:val="clear" w:color="auto" w:fill="auto"/>
            <w:noWrap/>
            <w:vAlign w:val="bottom"/>
            <w:hideMark/>
          </w:tcPr>
          <w:p w14:paraId="59516BBC"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bottom"/>
            <w:hideMark/>
          </w:tcPr>
          <w:p w14:paraId="239EFFE3"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bottom"/>
          </w:tcPr>
          <w:p w14:paraId="25CB7338" w14:textId="77777777" w:rsidR="008C4C54" w:rsidRPr="00701F32" w:rsidRDefault="008C4C54">
            <w:pPr>
              <w:jc w:val="right"/>
              <w:rPr>
                <w:rFonts w:ascii="Arial" w:hAnsi="Arial" w:cs="Arial"/>
                <w:sz w:val="18"/>
                <w:szCs w:val="18"/>
              </w:rPr>
            </w:pPr>
            <w:r w:rsidRPr="00701F32">
              <w:rPr>
                <w:rFonts w:ascii="Arial" w:hAnsi="Arial" w:cs="Arial"/>
                <w:sz w:val="18"/>
                <w:szCs w:val="18"/>
              </w:rPr>
              <w:t>3.349.822</w:t>
            </w:r>
          </w:p>
        </w:tc>
      </w:tr>
      <w:tr w:rsidR="008C4C54" w:rsidRPr="00701F32" w14:paraId="4605DD43"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448FE5AC"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activos financieros</w:t>
            </w:r>
          </w:p>
        </w:tc>
        <w:tc>
          <w:tcPr>
            <w:tcW w:w="684" w:type="pct"/>
            <w:tcBorders>
              <w:top w:val="nil"/>
              <w:left w:val="nil"/>
              <w:bottom w:val="single" w:sz="4" w:space="0" w:color="auto"/>
              <w:right w:val="single" w:sz="4" w:space="0" w:color="auto"/>
            </w:tcBorders>
            <w:shd w:val="clear" w:color="auto" w:fill="auto"/>
            <w:noWrap/>
            <w:vAlign w:val="bottom"/>
            <w:hideMark/>
          </w:tcPr>
          <w:p w14:paraId="5F6ACC00"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423.505</w:t>
            </w:r>
          </w:p>
        </w:tc>
        <w:tc>
          <w:tcPr>
            <w:tcW w:w="747" w:type="pct"/>
            <w:tcBorders>
              <w:top w:val="nil"/>
              <w:left w:val="nil"/>
              <w:bottom w:val="single" w:sz="4" w:space="0" w:color="auto"/>
              <w:right w:val="single" w:sz="4" w:space="0" w:color="auto"/>
            </w:tcBorders>
            <w:shd w:val="clear" w:color="auto" w:fill="auto"/>
            <w:noWrap/>
            <w:vAlign w:val="bottom"/>
            <w:hideMark/>
          </w:tcPr>
          <w:p w14:paraId="1F211802"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26.264</w:t>
            </w:r>
          </w:p>
        </w:tc>
        <w:tc>
          <w:tcPr>
            <w:tcW w:w="703" w:type="pct"/>
            <w:tcBorders>
              <w:top w:val="nil"/>
              <w:left w:val="nil"/>
              <w:bottom w:val="single" w:sz="4" w:space="0" w:color="auto"/>
              <w:right w:val="single" w:sz="4" w:space="0" w:color="auto"/>
            </w:tcBorders>
            <w:shd w:val="clear" w:color="auto" w:fill="auto"/>
            <w:noWrap/>
            <w:vAlign w:val="bottom"/>
            <w:hideMark/>
          </w:tcPr>
          <w:p w14:paraId="53A2CFCE"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bottom"/>
          </w:tcPr>
          <w:p w14:paraId="280AEBD4" w14:textId="77777777" w:rsidR="008C4C54" w:rsidRPr="00701F32" w:rsidRDefault="008C4C54">
            <w:pPr>
              <w:jc w:val="right"/>
              <w:rPr>
                <w:rFonts w:ascii="Arial" w:hAnsi="Arial" w:cs="Arial"/>
                <w:sz w:val="18"/>
                <w:szCs w:val="18"/>
              </w:rPr>
            </w:pPr>
            <w:r w:rsidRPr="00701F32">
              <w:rPr>
                <w:rFonts w:ascii="Arial" w:hAnsi="Arial" w:cs="Arial"/>
                <w:sz w:val="18"/>
                <w:szCs w:val="18"/>
              </w:rPr>
              <w:t>449.769</w:t>
            </w:r>
          </w:p>
        </w:tc>
      </w:tr>
      <w:tr w:rsidR="008C4C54" w:rsidRPr="00701F32" w14:paraId="232F3F72"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6A06247C"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Préstamos y otras financiaciones</w:t>
            </w:r>
          </w:p>
        </w:tc>
        <w:tc>
          <w:tcPr>
            <w:tcW w:w="684" w:type="pct"/>
            <w:tcBorders>
              <w:top w:val="nil"/>
              <w:left w:val="nil"/>
              <w:bottom w:val="single" w:sz="4" w:space="0" w:color="auto"/>
              <w:right w:val="single" w:sz="4" w:space="0" w:color="auto"/>
            </w:tcBorders>
            <w:shd w:val="clear" w:color="auto" w:fill="auto"/>
            <w:noWrap/>
            <w:vAlign w:val="bottom"/>
            <w:hideMark/>
          </w:tcPr>
          <w:p w14:paraId="08B29E63"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54.648.748</w:t>
            </w:r>
          </w:p>
        </w:tc>
        <w:tc>
          <w:tcPr>
            <w:tcW w:w="747" w:type="pct"/>
            <w:tcBorders>
              <w:top w:val="nil"/>
              <w:left w:val="nil"/>
              <w:bottom w:val="single" w:sz="4" w:space="0" w:color="auto"/>
              <w:right w:val="single" w:sz="4" w:space="0" w:color="auto"/>
            </w:tcBorders>
            <w:shd w:val="clear" w:color="auto" w:fill="auto"/>
            <w:noWrap/>
            <w:vAlign w:val="bottom"/>
            <w:hideMark/>
          </w:tcPr>
          <w:p w14:paraId="477300AD"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bottom"/>
            <w:hideMark/>
          </w:tcPr>
          <w:p w14:paraId="21EDB5FB" w14:textId="77777777" w:rsidR="008C4C54" w:rsidRPr="00701F32" w:rsidRDefault="008C4C54" w:rsidP="00464C0F">
            <w:pPr>
              <w:jc w:val="right"/>
              <w:rPr>
                <w:rFonts w:ascii="Arial" w:hAnsi="Arial" w:cs="Arial"/>
                <w:color w:val="000000"/>
                <w:sz w:val="18"/>
                <w:szCs w:val="18"/>
                <w:lang w:eastAsia="es-AR"/>
              </w:rPr>
            </w:pPr>
          </w:p>
        </w:tc>
        <w:tc>
          <w:tcPr>
            <w:tcW w:w="703" w:type="pct"/>
            <w:tcBorders>
              <w:top w:val="nil"/>
              <w:left w:val="nil"/>
              <w:bottom w:val="single" w:sz="4" w:space="0" w:color="auto"/>
              <w:right w:val="single" w:sz="4" w:space="0" w:color="auto"/>
            </w:tcBorders>
            <w:vAlign w:val="bottom"/>
          </w:tcPr>
          <w:p w14:paraId="376B1C73" w14:textId="77777777" w:rsidR="008C4C54" w:rsidRPr="00701F32" w:rsidRDefault="008C4C54">
            <w:pPr>
              <w:jc w:val="right"/>
              <w:rPr>
                <w:rFonts w:ascii="Arial" w:hAnsi="Arial" w:cs="Arial"/>
                <w:color w:val="000000"/>
                <w:sz w:val="18"/>
                <w:szCs w:val="18"/>
                <w:lang w:eastAsia="es-AR"/>
              </w:rPr>
            </w:pPr>
            <w:r w:rsidRPr="00701F32">
              <w:rPr>
                <w:rFonts w:ascii="Arial" w:hAnsi="Arial" w:cs="Arial"/>
                <w:color w:val="000000"/>
                <w:sz w:val="18"/>
                <w:szCs w:val="18"/>
                <w:lang w:eastAsia="es-AR"/>
              </w:rPr>
              <w:t>54.648.748</w:t>
            </w:r>
          </w:p>
        </w:tc>
      </w:tr>
      <w:tr w:rsidR="008C4C54" w:rsidRPr="00701F32" w14:paraId="0E7D0C46"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66A1BFD2"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títulos de deuda</w:t>
            </w:r>
          </w:p>
        </w:tc>
        <w:tc>
          <w:tcPr>
            <w:tcW w:w="684" w:type="pct"/>
            <w:tcBorders>
              <w:top w:val="nil"/>
              <w:left w:val="nil"/>
              <w:bottom w:val="single" w:sz="4" w:space="0" w:color="auto"/>
              <w:right w:val="single" w:sz="4" w:space="0" w:color="auto"/>
            </w:tcBorders>
            <w:shd w:val="clear" w:color="auto" w:fill="auto"/>
            <w:noWrap/>
            <w:vAlign w:val="bottom"/>
            <w:hideMark/>
          </w:tcPr>
          <w:p w14:paraId="6648B919"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256.971</w:t>
            </w:r>
          </w:p>
        </w:tc>
        <w:tc>
          <w:tcPr>
            <w:tcW w:w="747" w:type="pct"/>
            <w:tcBorders>
              <w:top w:val="nil"/>
              <w:left w:val="nil"/>
              <w:bottom w:val="single" w:sz="4" w:space="0" w:color="auto"/>
              <w:right w:val="single" w:sz="4" w:space="0" w:color="auto"/>
            </w:tcBorders>
            <w:shd w:val="clear" w:color="auto" w:fill="auto"/>
            <w:noWrap/>
            <w:vAlign w:val="bottom"/>
            <w:hideMark/>
          </w:tcPr>
          <w:p w14:paraId="0EF1DDCF"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bottom"/>
            <w:hideMark/>
          </w:tcPr>
          <w:p w14:paraId="6FD70CFD"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32</w:t>
            </w:r>
          </w:p>
        </w:tc>
        <w:tc>
          <w:tcPr>
            <w:tcW w:w="703" w:type="pct"/>
            <w:tcBorders>
              <w:top w:val="nil"/>
              <w:left w:val="nil"/>
              <w:bottom w:val="single" w:sz="4" w:space="0" w:color="auto"/>
              <w:right w:val="single" w:sz="4" w:space="0" w:color="auto"/>
            </w:tcBorders>
            <w:vAlign w:val="bottom"/>
          </w:tcPr>
          <w:p w14:paraId="281A27FE" w14:textId="77777777" w:rsidR="008C4C54" w:rsidRPr="00701F32" w:rsidRDefault="008C4C54">
            <w:pPr>
              <w:jc w:val="right"/>
              <w:rPr>
                <w:rFonts w:ascii="Arial" w:hAnsi="Arial" w:cs="Arial"/>
                <w:sz w:val="18"/>
                <w:szCs w:val="18"/>
              </w:rPr>
            </w:pPr>
            <w:r w:rsidRPr="00701F32">
              <w:rPr>
                <w:rFonts w:ascii="Arial" w:hAnsi="Arial" w:cs="Arial"/>
                <w:sz w:val="18"/>
                <w:szCs w:val="18"/>
              </w:rPr>
              <w:t>257.003</w:t>
            </w:r>
          </w:p>
        </w:tc>
      </w:tr>
      <w:tr w:rsidR="008C4C54" w:rsidRPr="00701F32" w14:paraId="12FE660F"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6E4C9A77"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Activos financieros entregados en garantía</w:t>
            </w:r>
          </w:p>
        </w:tc>
        <w:tc>
          <w:tcPr>
            <w:tcW w:w="684" w:type="pct"/>
            <w:tcBorders>
              <w:top w:val="nil"/>
              <w:left w:val="nil"/>
              <w:bottom w:val="single" w:sz="4" w:space="0" w:color="auto"/>
              <w:right w:val="single" w:sz="4" w:space="0" w:color="auto"/>
            </w:tcBorders>
            <w:shd w:val="clear" w:color="auto" w:fill="auto"/>
            <w:noWrap/>
            <w:vAlign w:val="bottom"/>
            <w:hideMark/>
          </w:tcPr>
          <w:p w14:paraId="0BCEBA8C"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bottom"/>
            <w:hideMark/>
          </w:tcPr>
          <w:p w14:paraId="14D75551"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1.180.087</w:t>
            </w:r>
          </w:p>
        </w:tc>
        <w:tc>
          <w:tcPr>
            <w:tcW w:w="703" w:type="pct"/>
            <w:tcBorders>
              <w:top w:val="nil"/>
              <w:left w:val="nil"/>
              <w:bottom w:val="single" w:sz="4" w:space="0" w:color="auto"/>
              <w:right w:val="single" w:sz="4" w:space="0" w:color="auto"/>
            </w:tcBorders>
            <w:shd w:val="clear" w:color="auto" w:fill="auto"/>
            <w:noWrap/>
            <w:vAlign w:val="bottom"/>
            <w:hideMark/>
          </w:tcPr>
          <w:p w14:paraId="23F0D0B4"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bottom"/>
          </w:tcPr>
          <w:p w14:paraId="68835FC8" w14:textId="77777777" w:rsidR="008C4C54" w:rsidRPr="00701F32" w:rsidRDefault="008C4C54">
            <w:pPr>
              <w:jc w:val="right"/>
              <w:rPr>
                <w:rFonts w:ascii="Arial" w:hAnsi="Arial" w:cs="Arial"/>
                <w:sz w:val="18"/>
                <w:szCs w:val="18"/>
              </w:rPr>
            </w:pPr>
            <w:r w:rsidRPr="00701F32">
              <w:rPr>
                <w:rFonts w:ascii="Arial" w:hAnsi="Arial" w:cs="Arial"/>
                <w:sz w:val="18"/>
                <w:szCs w:val="18"/>
              </w:rPr>
              <w:t>1.180.087</w:t>
            </w:r>
          </w:p>
        </w:tc>
      </w:tr>
      <w:tr w:rsidR="008C4C54" w:rsidRPr="00701F32" w14:paraId="7A4BDDAC"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449DFE3A"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Inversiones en Instrumentos de Patrimonio</w:t>
            </w:r>
          </w:p>
        </w:tc>
        <w:tc>
          <w:tcPr>
            <w:tcW w:w="684" w:type="pct"/>
            <w:tcBorders>
              <w:top w:val="nil"/>
              <w:left w:val="nil"/>
              <w:bottom w:val="single" w:sz="4" w:space="0" w:color="auto"/>
              <w:right w:val="single" w:sz="4" w:space="0" w:color="auto"/>
            </w:tcBorders>
            <w:shd w:val="clear" w:color="auto" w:fill="auto"/>
            <w:noWrap/>
            <w:vAlign w:val="bottom"/>
            <w:hideMark/>
          </w:tcPr>
          <w:p w14:paraId="7C2EDA6C"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bottom"/>
            <w:hideMark/>
          </w:tcPr>
          <w:p w14:paraId="2C7E5BE5"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38.001</w:t>
            </w:r>
          </w:p>
        </w:tc>
        <w:tc>
          <w:tcPr>
            <w:tcW w:w="703" w:type="pct"/>
            <w:tcBorders>
              <w:top w:val="nil"/>
              <w:left w:val="nil"/>
              <w:bottom w:val="single" w:sz="4" w:space="0" w:color="auto"/>
              <w:right w:val="single" w:sz="4" w:space="0" w:color="auto"/>
            </w:tcBorders>
            <w:shd w:val="clear" w:color="auto" w:fill="auto"/>
            <w:noWrap/>
            <w:vAlign w:val="bottom"/>
            <w:hideMark/>
          </w:tcPr>
          <w:p w14:paraId="06982102" w14:textId="77777777" w:rsidR="008C4C54" w:rsidRPr="00701F32" w:rsidRDefault="008C4C54" w:rsidP="00464C0F">
            <w:pPr>
              <w:jc w:val="right"/>
              <w:rPr>
                <w:rFonts w:ascii="Arial" w:hAnsi="Arial" w:cs="Arial"/>
                <w:color w:val="000000"/>
                <w:sz w:val="18"/>
                <w:szCs w:val="18"/>
                <w:lang w:eastAsia="es-AR"/>
              </w:rPr>
            </w:pPr>
            <w:r w:rsidRPr="00701F32">
              <w:rPr>
                <w:rFonts w:ascii="Arial" w:hAnsi="Arial" w:cs="Arial"/>
                <w:sz w:val="18"/>
                <w:szCs w:val="18"/>
              </w:rPr>
              <w:t>7.918</w:t>
            </w:r>
          </w:p>
        </w:tc>
        <w:tc>
          <w:tcPr>
            <w:tcW w:w="703" w:type="pct"/>
            <w:tcBorders>
              <w:top w:val="nil"/>
              <w:left w:val="nil"/>
              <w:bottom w:val="single" w:sz="4" w:space="0" w:color="auto"/>
              <w:right w:val="single" w:sz="4" w:space="0" w:color="auto"/>
            </w:tcBorders>
            <w:vAlign w:val="bottom"/>
          </w:tcPr>
          <w:p w14:paraId="153701C7" w14:textId="77777777" w:rsidR="008C4C54" w:rsidRPr="00701F32" w:rsidRDefault="008C4C54">
            <w:pPr>
              <w:jc w:val="right"/>
              <w:rPr>
                <w:rFonts w:ascii="Arial" w:hAnsi="Arial" w:cs="Arial"/>
                <w:sz w:val="18"/>
                <w:szCs w:val="18"/>
              </w:rPr>
            </w:pPr>
            <w:r w:rsidRPr="00701F32">
              <w:rPr>
                <w:rFonts w:ascii="Arial" w:hAnsi="Arial" w:cs="Arial"/>
                <w:sz w:val="18"/>
                <w:szCs w:val="18"/>
              </w:rPr>
              <w:t>45.919</w:t>
            </w:r>
          </w:p>
        </w:tc>
      </w:tr>
      <w:tr w:rsidR="008C4C54" w:rsidRPr="00701F32" w14:paraId="6D93E1B7"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4B83FA08" w14:textId="77777777" w:rsidR="008C4C54" w:rsidRPr="00701F32" w:rsidRDefault="008C4C54" w:rsidP="00464C0F">
            <w:pPr>
              <w:jc w:val="both"/>
              <w:rPr>
                <w:rFonts w:ascii="Arial" w:hAnsi="Arial" w:cs="Arial"/>
                <w:b/>
                <w:color w:val="000000"/>
                <w:sz w:val="18"/>
                <w:szCs w:val="18"/>
                <w:lang w:eastAsia="es-AR"/>
              </w:rPr>
            </w:pPr>
            <w:r w:rsidRPr="00701F32">
              <w:rPr>
                <w:rFonts w:ascii="Arial" w:hAnsi="Arial" w:cs="Arial"/>
                <w:b/>
                <w:color w:val="000000"/>
                <w:sz w:val="18"/>
                <w:szCs w:val="18"/>
                <w:lang w:eastAsia="es-AR"/>
              </w:rPr>
              <w:t>Total Activo</w:t>
            </w:r>
          </w:p>
        </w:tc>
        <w:tc>
          <w:tcPr>
            <w:tcW w:w="684" w:type="pct"/>
            <w:tcBorders>
              <w:top w:val="nil"/>
              <w:left w:val="nil"/>
              <w:bottom w:val="single" w:sz="4" w:space="0" w:color="auto"/>
              <w:right w:val="single" w:sz="4" w:space="0" w:color="auto"/>
            </w:tcBorders>
            <w:shd w:val="clear" w:color="auto" w:fill="auto"/>
            <w:noWrap/>
            <w:vAlign w:val="bottom"/>
          </w:tcPr>
          <w:p w14:paraId="211BEA23" w14:textId="77777777" w:rsidR="008C4C54" w:rsidRPr="00701F32" w:rsidRDefault="008C4C54" w:rsidP="00464C0F">
            <w:pPr>
              <w:jc w:val="right"/>
              <w:rPr>
                <w:rFonts w:ascii="Arial" w:hAnsi="Arial" w:cs="Arial"/>
                <w:b/>
                <w:sz w:val="18"/>
                <w:szCs w:val="18"/>
              </w:rPr>
            </w:pPr>
            <w:r w:rsidRPr="00701F32">
              <w:rPr>
                <w:rFonts w:ascii="Arial" w:hAnsi="Arial" w:cs="Arial"/>
                <w:b/>
                <w:sz w:val="18"/>
                <w:szCs w:val="18"/>
              </w:rPr>
              <w:t>58.679.046</w:t>
            </w:r>
          </w:p>
        </w:tc>
        <w:tc>
          <w:tcPr>
            <w:tcW w:w="747" w:type="pct"/>
            <w:tcBorders>
              <w:top w:val="nil"/>
              <w:left w:val="nil"/>
              <w:bottom w:val="single" w:sz="4" w:space="0" w:color="auto"/>
              <w:right w:val="single" w:sz="4" w:space="0" w:color="auto"/>
            </w:tcBorders>
            <w:shd w:val="clear" w:color="auto" w:fill="auto"/>
            <w:noWrap/>
            <w:vAlign w:val="bottom"/>
          </w:tcPr>
          <w:p w14:paraId="46F20367" w14:textId="77777777" w:rsidR="008C4C54" w:rsidRPr="00701F32" w:rsidRDefault="008C4C54" w:rsidP="00464C0F">
            <w:pPr>
              <w:jc w:val="right"/>
              <w:rPr>
                <w:rFonts w:ascii="Arial" w:hAnsi="Arial" w:cs="Arial"/>
                <w:b/>
                <w:sz w:val="18"/>
                <w:szCs w:val="18"/>
              </w:rPr>
            </w:pPr>
            <w:r w:rsidRPr="00701F32">
              <w:rPr>
                <w:rFonts w:ascii="Arial" w:hAnsi="Arial" w:cs="Arial"/>
                <w:b/>
                <w:sz w:val="18"/>
                <w:szCs w:val="18"/>
              </w:rPr>
              <w:t>12.599.711</w:t>
            </w:r>
          </w:p>
        </w:tc>
        <w:tc>
          <w:tcPr>
            <w:tcW w:w="703" w:type="pct"/>
            <w:tcBorders>
              <w:top w:val="nil"/>
              <w:left w:val="nil"/>
              <w:bottom w:val="single" w:sz="4" w:space="0" w:color="auto"/>
              <w:right w:val="single" w:sz="4" w:space="0" w:color="auto"/>
            </w:tcBorders>
            <w:shd w:val="clear" w:color="auto" w:fill="auto"/>
            <w:noWrap/>
            <w:vAlign w:val="bottom"/>
          </w:tcPr>
          <w:p w14:paraId="4D795338" w14:textId="77777777" w:rsidR="008C4C54" w:rsidRPr="00701F32" w:rsidRDefault="008C4C54" w:rsidP="00464C0F">
            <w:pPr>
              <w:jc w:val="right"/>
              <w:rPr>
                <w:rFonts w:ascii="Arial" w:hAnsi="Arial" w:cs="Arial"/>
                <w:b/>
                <w:sz w:val="18"/>
                <w:szCs w:val="18"/>
              </w:rPr>
            </w:pPr>
            <w:r w:rsidRPr="00701F32">
              <w:rPr>
                <w:rFonts w:ascii="Arial" w:hAnsi="Arial" w:cs="Arial"/>
                <w:b/>
                <w:sz w:val="18"/>
                <w:szCs w:val="18"/>
              </w:rPr>
              <w:t>7.950</w:t>
            </w:r>
          </w:p>
        </w:tc>
        <w:tc>
          <w:tcPr>
            <w:tcW w:w="703" w:type="pct"/>
            <w:tcBorders>
              <w:top w:val="nil"/>
              <w:left w:val="nil"/>
              <w:bottom w:val="single" w:sz="4" w:space="0" w:color="auto"/>
              <w:right w:val="single" w:sz="4" w:space="0" w:color="auto"/>
            </w:tcBorders>
            <w:vAlign w:val="bottom"/>
          </w:tcPr>
          <w:p w14:paraId="427A6C27" w14:textId="77777777" w:rsidR="008C4C54" w:rsidRPr="00701F32" w:rsidRDefault="008C4C54">
            <w:pPr>
              <w:jc w:val="right"/>
              <w:rPr>
                <w:rFonts w:ascii="Arial" w:hAnsi="Arial" w:cs="Arial"/>
                <w:b/>
                <w:sz w:val="18"/>
                <w:szCs w:val="18"/>
              </w:rPr>
            </w:pPr>
            <w:r w:rsidRPr="00701F32">
              <w:rPr>
                <w:rFonts w:ascii="Arial" w:hAnsi="Arial" w:cs="Arial"/>
                <w:b/>
                <w:sz w:val="18"/>
                <w:szCs w:val="18"/>
              </w:rPr>
              <w:t>71.286.707</w:t>
            </w:r>
          </w:p>
        </w:tc>
      </w:tr>
      <w:tr w:rsidR="008C4C54" w:rsidRPr="00701F32" w14:paraId="03A77BDA"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5D47299B" w14:textId="77777777" w:rsidR="008C4C54" w:rsidRPr="00701F32" w:rsidRDefault="008C4C54" w:rsidP="00464C0F">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Pasivos</w:t>
            </w:r>
          </w:p>
        </w:tc>
        <w:tc>
          <w:tcPr>
            <w:tcW w:w="684" w:type="pct"/>
            <w:tcBorders>
              <w:top w:val="nil"/>
              <w:left w:val="nil"/>
              <w:bottom w:val="single" w:sz="4" w:space="0" w:color="auto"/>
              <w:right w:val="single" w:sz="4" w:space="0" w:color="auto"/>
            </w:tcBorders>
            <w:shd w:val="clear" w:color="auto" w:fill="auto"/>
            <w:noWrap/>
            <w:vAlign w:val="bottom"/>
            <w:hideMark/>
          </w:tcPr>
          <w:p w14:paraId="0E141087" w14:textId="77777777" w:rsidR="008C4C54" w:rsidRPr="00701F32" w:rsidRDefault="008C4C54" w:rsidP="00464C0F">
            <w:pPr>
              <w:jc w:val="right"/>
              <w:rPr>
                <w:rFonts w:ascii="Arial" w:hAnsi="Arial" w:cs="Arial"/>
                <w:b/>
                <w:bCs/>
                <w:color w:val="000000"/>
                <w:sz w:val="18"/>
                <w:szCs w:val="18"/>
                <w:lang w:eastAsia="es-AR"/>
              </w:rPr>
            </w:pPr>
          </w:p>
        </w:tc>
        <w:tc>
          <w:tcPr>
            <w:tcW w:w="747" w:type="pct"/>
            <w:tcBorders>
              <w:top w:val="nil"/>
              <w:left w:val="nil"/>
              <w:bottom w:val="single" w:sz="4" w:space="0" w:color="auto"/>
              <w:right w:val="single" w:sz="4" w:space="0" w:color="auto"/>
            </w:tcBorders>
            <w:shd w:val="clear" w:color="auto" w:fill="auto"/>
            <w:noWrap/>
            <w:vAlign w:val="bottom"/>
            <w:hideMark/>
          </w:tcPr>
          <w:p w14:paraId="32CAD021" w14:textId="77777777" w:rsidR="008C4C54" w:rsidRPr="00701F32" w:rsidRDefault="008C4C54" w:rsidP="00464C0F">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shd w:val="clear" w:color="auto" w:fill="auto"/>
            <w:noWrap/>
            <w:vAlign w:val="bottom"/>
            <w:hideMark/>
          </w:tcPr>
          <w:p w14:paraId="299F4799" w14:textId="77777777" w:rsidR="008C4C54" w:rsidRPr="00701F32" w:rsidRDefault="008C4C54" w:rsidP="00464C0F">
            <w:pPr>
              <w:jc w:val="right"/>
              <w:rPr>
                <w:rFonts w:ascii="Arial" w:hAnsi="Arial" w:cs="Arial"/>
                <w:b/>
                <w:bCs/>
                <w:color w:val="000000"/>
                <w:sz w:val="18"/>
                <w:szCs w:val="18"/>
                <w:lang w:eastAsia="es-AR"/>
              </w:rPr>
            </w:pPr>
          </w:p>
        </w:tc>
        <w:tc>
          <w:tcPr>
            <w:tcW w:w="703" w:type="pct"/>
            <w:tcBorders>
              <w:top w:val="nil"/>
              <w:left w:val="nil"/>
              <w:bottom w:val="single" w:sz="4" w:space="0" w:color="auto"/>
              <w:right w:val="single" w:sz="4" w:space="0" w:color="auto"/>
            </w:tcBorders>
            <w:vAlign w:val="bottom"/>
          </w:tcPr>
          <w:p w14:paraId="5E8A889B" w14:textId="77777777" w:rsidR="008C4C54" w:rsidRPr="00701F32" w:rsidRDefault="008C4C54">
            <w:pPr>
              <w:jc w:val="right"/>
              <w:rPr>
                <w:rFonts w:ascii="Arial" w:hAnsi="Arial" w:cs="Arial"/>
                <w:b/>
                <w:bCs/>
                <w:color w:val="000000"/>
                <w:sz w:val="18"/>
                <w:szCs w:val="18"/>
                <w:lang w:eastAsia="es-AR"/>
              </w:rPr>
            </w:pPr>
          </w:p>
        </w:tc>
      </w:tr>
      <w:tr w:rsidR="008C4C54" w:rsidRPr="00701F32" w14:paraId="799FEE81"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4B470FFE"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Pasivos a valor razonable con cambios en resultados</w:t>
            </w:r>
          </w:p>
        </w:tc>
        <w:tc>
          <w:tcPr>
            <w:tcW w:w="684" w:type="pct"/>
            <w:tcBorders>
              <w:top w:val="nil"/>
              <w:left w:val="nil"/>
              <w:bottom w:val="single" w:sz="4" w:space="0" w:color="auto"/>
              <w:right w:val="single" w:sz="4" w:space="0" w:color="auto"/>
            </w:tcBorders>
            <w:shd w:val="clear" w:color="auto" w:fill="auto"/>
            <w:noWrap/>
            <w:vAlign w:val="center"/>
            <w:hideMark/>
          </w:tcPr>
          <w:p w14:paraId="003D6D27"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4F911788"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4.176.040</w:t>
            </w:r>
          </w:p>
        </w:tc>
        <w:tc>
          <w:tcPr>
            <w:tcW w:w="703" w:type="pct"/>
            <w:tcBorders>
              <w:top w:val="nil"/>
              <w:left w:val="nil"/>
              <w:bottom w:val="single" w:sz="4" w:space="0" w:color="auto"/>
              <w:right w:val="single" w:sz="4" w:space="0" w:color="auto"/>
            </w:tcBorders>
            <w:shd w:val="clear" w:color="auto" w:fill="auto"/>
            <w:noWrap/>
            <w:vAlign w:val="center"/>
            <w:hideMark/>
          </w:tcPr>
          <w:p w14:paraId="0C409640"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24D0CEF2" w14:textId="77777777" w:rsidR="008C4C54" w:rsidRPr="00701F32" w:rsidRDefault="008C4C54">
            <w:pPr>
              <w:jc w:val="right"/>
              <w:rPr>
                <w:rFonts w:ascii="Arial" w:hAnsi="Arial" w:cs="Arial"/>
                <w:sz w:val="18"/>
                <w:szCs w:val="18"/>
              </w:rPr>
            </w:pPr>
            <w:r w:rsidRPr="00701F32">
              <w:rPr>
                <w:rFonts w:ascii="Arial" w:hAnsi="Arial" w:cs="Arial"/>
                <w:sz w:val="18"/>
                <w:szCs w:val="18"/>
              </w:rPr>
              <w:t>4.176.040</w:t>
            </w:r>
          </w:p>
        </w:tc>
      </w:tr>
      <w:tr w:rsidR="008C4C54" w:rsidRPr="00701F32" w14:paraId="4A171B48"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078DCDD7"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684" w:type="pct"/>
            <w:tcBorders>
              <w:top w:val="nil"/>
              <w:left w:val="nil"/>
              <w:bottom w:val="single" w:sz="4" w:space="0" w:color="auto"/>
              <w:right w:val="single" w:sz="4" w:space="0" w:color="auto"/>
            </w:tcBorders>
            <w:shd w:val="clear" w:color="auto" w:fill="auto"/>
            <w:noWrap/>
            <w:vAlign w:val="center"/>
            <w:hideMark/>
          </w:tcPr>
          <w:p w14:paraId="661E7810"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39F0D82D"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hideMark/>
          </w:tcPr>
          <w:p w14:paraId="67A2126F"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4FAA0F3B" w14:textId="77777777" w:rsidR="008C4C54" w:rsidRPr="00701F32" w:rsidRDefault="008C4C54">
            <w:pPr>
              <w:jc w:val="right"/>
              <w:rPr>
                <w:rFonts w:ascii="Arial" w:hAnsi="Arial" w:cs="Arial"/>
                <w:sz w:val="18"/>
                <w:szCs w:val="18"/>
              </w:rPr>
            </w:pPr>
            <w:r w:rsidRPr="00701F32">
              <w:rPr>
                <w:rFonts w:ascii="Arial" w:hAnsi="Arial" w:cs="Arial"/>
                <w:sz w:val="18"/>
                <w:szCs w:val="18"/>
              </w:rPr>
              <w:t>-</w:t>
            </w:r>
          </w:p>
        </w:tc>
      </w:tr>
      <w:tr w:rsidR="008C4C54" w:rsidRPr="00701F32" w14:paraId="277EB0C0"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hideMark/>
          </w:tcPr>
          <w:p w14:paraId="737E729E"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Operaciones de pases</w:t>
            </w:r>
          </w:p>
        </w:tc>
        <w:tc>
          <w:tcPr>
            <w:tcW w:w="684" w:type="pct"/>
            <w:tcBorders>
              <w:top w:val="nil"/>
              <w:left w:val="nil"/>
              <w:bottom w:val="single" w:sz="4" w:space="0" w:color="auto"/>
              <w:right w:val="single" w:sz="4" w:space="0" w:color="auto"/>
            </w:tcBorders>
            <w:shd w:val="clear" w:color="auto" w:fill="auto"/>
            <w:noWrap/>
            <w:vAlign w:val="center"/>
            <w:hideMark/>
          </w:tcPr>
          <w:p w14:paraId="550012F4"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7EE408B5"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hideMark/>
          </w:tcPr>
          <w:p w14:paraId="0D2F0171"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5F56FEED" w14:textId="77777777" w:rsidR="008C4C54" w:rsidRPr="00701F32" w:rsidRDefault="008C4C54">
            <w:pPr>
              <w:jc w:val="right"/>
              <w:rPr>
                <w:rFonts w:ascii="Arial" w:hAnsi="Arial" w:cs="Arial"/>
                <w:sz w:val="18"/>
                <w:szCs w:val="18"/>
              </w:rPr>
            </w:pPr>
            <w:r w:rsidRPr="00701F32">
              <w:rPr>
                <w:rFonts w:ascii="Arial" w:hAnsi="Arial" w:cs="Arial"/>
                <w:sz w:val="18"/>
                <w:szCs w:val="18"/>
              </w:rPr>
              <w:t>-</w:t>
            </w:r>
          </w:p>
        </w:tc>
      </w:tr>
      <w:tr w:rsidR="008C4C54" w:rsidRPr="00701F32" w14:paraId="11184C45"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424F89BF"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pasivos financieros</w:t>
            </w:r>
          </w:p>
        </w:tc>
        <w:tc>
          <w:tcPr>
            <w:tcW w:w="684" w:type="pct"/>
            <w:tcBorders>
              <w:top w:val="nil"/>
              <w:left w:val="nil"/>
              <w:bottom w:val="single" w:sz="4" w:space="0" w:color="auto"/>
              <w:right w:val="single" w:sz="4" w:space="0" w:color="auto"/>
            </w:tcBorders>
            <w:shd w:val="clear" w:color="auto" w:fill="auto"/>
            <w:noWrap/>
            <w:vAlign w:val="center"/>
          </w:tcPr>
          <w:p w14:paraId="00642F9E"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501.321</w:t>
            </w:r>
          </w:p>
        </w:tc>
        <w:tc>
          <w:tcPr>
            <w:tcW w:w="747" w:type="pct"/>
            <w:tcBorders>
              <w:top w:val="nil"/>
              <w:left w:val="nil"/>
              <w:bottom w:val="single" w:sz="4" w:space="0" w:color="auto"/>
              <w:right w:val="single" w:sz="4" w:space="0" w:color="auto"/>
            </w:tcBorders>
            <w:shd w:val="clear" w:color="auto" w:fill="auto"/>
            <w:noWrap/>
            <w:vAlign w:val="center"/>
          </w:tcPr>
          <w:p w14:paraId="1E8381F7"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2.220.661</w:t>
            </w:r>
          </w:p>
        </w:tc>
        <w:tc>
          <w:tcPr>
            <w:tcW w:w="703" w:type="pct"/>
            <w:tcBorders>
              <w:top w:val="nil"/>
              <w:left w:val="nil"/>
              <w:bottom w:val="single" w:sz="4" w:space="0" w:color="auto"/>
              <w:right w:val="single" w:sz="4" w:space="0" w:color="auto"/>
            </w:tcBorders>
            <w:shd w:val="clear" w:color="auto" w:fill="auto"/>
            <w:noWrap/>
            <w:vAlign w:val="center"/>
          </w:tcPr>
          <w:p w14:paraId="361D91BC"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276CB995" w14:textId="77777777" w:rsidR="008C4C54" w:rsidRPr="00701F32" w:rsidRDefault="008C4C54">
            <w:pPr>
              <w:jc w:val="right"/>
              <w:rPr>
                <w:rFonts w:ascii="Arial" w:hAnsi="Arial" w:cs="Arial"/>
                <w:sz w:val="18"/>
                <w:szCs w:val="18"/>
              </w:rPr>
            </w:pPr>
            <w:r w:rsidRPr="00701F32">
              <w:rPr>
                <w:rFonts w:ascii="Arial" w:hAnsi="Arial" w:cs="Arial"/>
                <w:sz w:val="18"/>
                <w:szCs w:val="18"/>
              </w:rPr>
              <w:t>2.721.982</w:t>
            </w:r>
          </w:p>
        </w:tc>
      </w:tr>
      <w:tr w:rsidR="008C4C54" w:rsidRPr="00701F32" w14:paraId="79C5CDF5" w14:textId="77777777" w:rsidTr="0086282C">
        <w:trPr>
          <w:trHeight w:val="228"/>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329CF3"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Financiaciones recibidas del BCRA y otras instituciones financieras</w:t>
            </w:r>
          </w:p>
        </w:tc>
        <w:tc>
          <w:tcPr>
            <w:tcW w:w="684" w:type="pct"/>
            <w:tcBorders>
              <w:top w:val="single" w:sz="4" w:space="0" w:color="auto"/>
              <w:left w:val="nil"/>
              <w:bottom w:val="single" w:sz="4" w:space="0" w:color="auto"/>
              <w:right w:val="single" w:sz="4" w:space="0" w:color="auto"/>
            </w:tcBorders>
            <w:shd w:val="clear" w:color="auto" w:fill="auto"/>
            <w:noWrap/>
            <w:vAlign w:val="center"/>
          </w:tcPr>
          <w:p w14:paraId="6CBC04B8"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3.325.388</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040DFD29"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50.105</w:t>
            </w:r>
          </w:p>
        </w:tc>
        <w:tc>
          <w:tcPr>
            <w:tcW w:w="703" w:type="pct"/>
            <w:tcBorders>
              <w:top w:val="single" w:sz="4" w:space="0" w:color="auto"/>
              <w:left w:val="nil"/>
              <w:bottom w:val="single" w:sz="4" w:space="0" w:color="auto"/>
              <w:right w:val="single" w:sz="4" w:space="0" w:color="auto"/>
            </w:tcBorders>
            <w:shd w:val="clear" w:color="auto" w:fill="auto"/>
            <w:noWrap/>
            <w:vAlign w:val="center"/>
          </w:tcPr>
          <w:p w14:paraId="27B5BA2E"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single" w:sz="4" w:space="0" w:color="auto"/>
              <w:left w:val="nil"/>
              <w:bottom w:val="single" w:sz="4" w:space="0" w:color="auto"/>
              <w:right w:val="single" w:sz="4" w:space="0" w:color="auto"/>
            </w:tcBorders>
            <w:vAlign w:val="center"/>
          </w:tcPr>
          <w:p w14:paraId="01B4379A" w14:textId="77777777" w:rsidR="008C4C54" w:rsidRPr="00701F32" w:rsidRDefault="008C4C54">
            <w:pPr>
              <w:jc w:val="right"/>
              <w:rPr>
                <w:rFonts w:ascii="Arial" w:hAnsi="Arial" w:cs="Arial"/>
                <w:sz w:val="18"/>
                <w:szCs w:val="18"/>
              </w:rPr>
            </w:pPr>
            <w:r w:rsidRPr="00701F32">
              <w:rPr>
                <w:rFonts w:ascii="Arial" w:hAnsi="Arial" w:cs="Arial"/>
                <w:sz w:val="18"/>
                <w:szCs w:val="18"/>
              </w:rPr>
              <w:t>3.375.493</w:t>
            </w:r>
          </w:p>
        </w:tc>
      </w:tr>
      <w:tr w:rsidR="008C4C54" w:rsidRPr="00701F32" w14:paraId="30C24E03"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347B26FE"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emitidas</w:t>
            </w:r>
          </w:p>
        </w:tc>
        <w:tc>
          <w:tcPr>
            <w:tcW w:w="684" w:type="pct"/>
            <w:tcBorders>
              <w:top w:val="nil"/>
              <w:left w:val="nil"/>
              <w:bottom w:val="single" w:sz="4" w:space="0" w:color="auto"/>
              <w:right w:val="single" w:sz="4" w:space="0" w:color="auto"/>
            </w:tcBorders>
            <w:shd w:val="clear" w:color="auto" w:fill="auto"/>
            <w:noWrap/>
            <w:vAlign w:val="center"/>
          </w:tcPr>
          <w:p w14:paraId="7393B9E8"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6.651.920</w:t>
            </w:r>
          </w:p>
        </w:tc>
        <w:tc>
          <w:tcPr>
            <w:tcW w:w="747" w:type="pct"/>
            <w:tcBorders>
              <w:top w:val="nil"/>
              <w:left w:val="nil"/>
              <w:bottom w:val="single" w:sz="4" w:space="0" w:color="auto"/>
              <w:right w:val="single" w:sz="4" w:space="0" w:color="auto"/>
            </w:tcBorders>
            <w:shd w:val="clear" w:color="auto" w:fill="auto"/>
            <w:noWrap/>
            <w:vAlign w:val="center"/>
          </w:tcPr>
          <w:p w14:paraId="054FFF1B"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tcPr>
          <w:p w14:paraId="68FA722B"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6AFAC0C6" w14:textId="77777777" w:rsidR="008C4C54" w:rsidRPr="00701F32" w:rsidRDefault="008C4C54">
            <w:pPr>
              <w:jc w:val="right"/>
              <w:rPr>
                <w:rFonts w:ascii="Arial" w:hAnsi="Arial" w:cs="Arial"/>
                <w:sz w:val="18"/>
                <w:szCs w:val="18"/>
              </w:rPr>
            </w:pPr>
            <w:r w:rsidRPr="00701F32">
              <w:rPr>
                <w:rFonts w:ascii="Arial" w:hAnsi="Arial" w:cs="Arial"/>
                <w:sz w:val="18"/>
                <w:szCs w:val="18"/>
              </w:rPr>
              <w:t>6.651.920</w:t>
            </w:r>
          </w:p>
        </w:tc>
      </w:tr>
      <w:tr w:rsidR="008C4C54" w:rsidRPr="00701F32" w14:paraId="2E25BC62"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29379A17"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subordinadas</w:t>
            </w:r>
          </w:p>
        </w:tc>
        <w:tc>
          <w:tcPr>
            <w:tcW w:w="684" w:type="pct"/>
            <w:tcBorders>
              <w:top w:val="nil"/>
              <w:left w:val="nil"/>
              <w:bottom w:val="single" w:sz="4" w:space="0" w:color="auto"/>
              <w:right w:val="single" w:sz="4" w:space="0" w:color="auto"/>
            </w:tcBorders>
            <w:shd w:val="clear" w:color="auto" w:fill="auto"/>
            <w:noWrap/>
            <w:vAlign w:val="center"/>
          </w:tcPr>
          <w:p w14:paraId="551F2564"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685.873</w:t>
            </w:r>
          </w:p>
        </w:tc>
        <w:tc>
          <w:tcPr>
            <w:tcW w:w="747" w:type="pct"/>
            <w:tcBorders>
              <w:top w:val="nil"/>
              <w:left w:val="nil"/>
              <w:bottom w:val="single" w:sz="4" w:space="0" w:color="auto"/>
              <w:right w:val="single" w:sz="4" w:space="0" w:color="auto"/>
            </w:tcBorders>
            <w:shd w:val="clear" w:color="auto" w:fill="auto"/>
            <w:noWrap/>
            <w:vAlign w:val="center"/>
          </w:tcPr>
          <w:p w14:paraId="26EA60A5"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shd w:val="clear" w:color="auto" w:fill="auto"/>
            <w:noWrap/>
            <w:vAlign w:val="center"/>
          </w:tcPr>
          <w:p w14:paraId="088A6253" w14:textId="77777777" w:rsidR="008C4C54" w:rsidRPr="00701F32" w:rsidRDefault="008C4C54">
            <w:pPr>
              <w:jc w:val="right"/>
              <w:rPr>
                <w:rFonts w:ascii="Arial" w:hAnsi="Arial" w:cs="Arial"/>
                <w:color w:val="000000"/>
                <w:sz w:val="18"/>
                <w:szCs w:val="18"/>
                <w:lang w:eastAsia="es-AR"/>
              </w:rPr>
            </w:pPr>
            <w:r w:rsidRPr="00701F32">
              <w:rPr>
                <w:rFonts w:ascii="Arial" w:hAnsi="Arial" w:cs="Arial"/>
                <w:sz w:val="18"/>
                <w:szCs w:val="18"/>
              </w:rPr>
              <w:t>-</w:t>
            </w:r>
          </w:p>
        </w:tc>
        <w:tc>
          <w:tcPr>
            <w:tcW w:w="703" w:type="pct"/>
            <w:tcBorders>
              <w:top w:val="nil"/>
              <w:left w:val="nil"/>
              <w:bottom w:val="single" w:sz="4" w:space="0" w:color="auto"/>
              <w:right w:val="single" w:sz="4" w:space="0" w:color="auto"/>
            </w:tcBorders>
            <w:vAlign w:val="center"/>
          </w:tcPr>
          <w:p w14:paraId="3FEACF76" w14:textId="77777777" w:rsidR="008C4C54" w:rsidRPr="00701F32" w:rsidRDefault="008C4C54">
            <w:pPr>
              <w:jc w:val="right"/>
              <w:rPr>
                <w:rFonts w:ascii="Arial" w:hAnsi="Arial" w:cs="Arial"/>
                <w:sz w:val="18"/>
                <w:szCs w:val="18"/>
              </w:rPr>
            </w:pPr>
            <w:r w:rsidRPr="00701F32">
              <w:rPr>
                <w:rFonts w:ascii="Arial" w:hAnsi="Arial" w:cs="Arial"/>
                <w:sz w:val="18"/>
                <w:szCs w:val="18"/>
              </w:rPr>
              <w:t>685.873</w:t>
            </w:r>
          </w:p>
        </w:tc>
      </w:tr>
      <w:tr w:rsidR="008C4C54" w:rsidRPr="00701F32" w14:paraId="7161CEB7" w14:textId="77777777" w:rsidTr="0086282C">
        <w:trPr>
          <w:trHeight w:val="228"/>
        </w:trPr>
        <w:tc>
          <w:tcPr>
            <w:tcW w:w="2163" w:type="pct"/>
            <w:tcBorders>
              <w:top w:val="nil"/>
              <w:left w:val="single" w:sz="4" w:space="0" w:color="auto"/>
              <w:bottom w:val="single" w:sz="4" w:space="0" w:color="auto"/>
              <w:right w:val="single" w:sz="4" w:space="0" w:color="auto"/>
            </w:tcBorders>
            <w:shd w:val="clear" w:color="auto" w:fill="auto"/>
            <w:noWrap/>
            <w:vAlign w:val="bottom"/>
          </w:tcPr>
          <w:p w14:paraId="78B8BF42" w14:textId="77777777" w:rsidR="008C4C54" w:rsidRPr="00701F32" w:rsidRDefault="008C4C54" w:rsidP="00464C0F">
            <w:pPr>
              <w:jc w:val="both"/>
              <w:rPr>
                <w:rFonts w:ascii="Arial" w:hAnsi="Arial" w:cs="Arial"/>
                <w:color w:val="000000"/>
                <w:sz w:val="18"/>
                <w:szCs w:val="18"/>
                <w:lang w:eastAsia="es-AR"/>
              </w:rPr>
            </w:pPr>
            <w:r w:rsidRPr="00701F32">
              <w:rPr>
                <w:rFonts w:ascii="Arial" w:hAnsi="Arial" w:cs="Arial"/>
                <w:b/>
                <w:bCs/>
                <w:color w:val="000000"/>
                <w:sz w:val="18"/>
                <w:szCs w:val="18"/>
                <w:lang w:eastAsia="es-AR"/>
              </w:rPr>
              <w:t>Total pasivos</w:t>
            </w:r>
          </w:p>
        </w:tc>
        <w:tc>
          <w:tcPr>
            <w:tcW w:w="684" w:type="pct"/>
            <w:tcBorders>
              <w:top w:val="nil"/>
              <w:left w:val="nil"/>
              <w:bottom w:val="single" w:sz="4" w:space="0" w:color="auto"/>
              <w:right w:val="single" w:sz="4" w:space="0" w:color="auto"/>
            </w:tcBorders>
            <w:shd w:val="clear" w:color="auto" w:fill="auto"/>
            <w:noWrap/>
            <w:vAlign w:val="bottom"/>
          </w:tcPr>
          <w:p w14:paraId="628E4800" w14:textId="77777777" w:rsidR="008C4C54" w:rsidRPr="00701F32" w:rsidRDefault="008C4C54" w:rsidP="00464C0F">
            <w:pPr>
              <w:jc w:val="right"/>
              <w:rPr>
                <w:rFonts w:ascii="Arial" w:hAnsi="Arial" w:cs="Arial"/>
                <w:b/>
                <w:color w:val="000000"/>
                <w:sz w:val="18"/>
                <w:szCs w:val="18"/>
                <w:lang w:eastAsia="es-AR"/>
              </w:rPr>
            </w:pPr>
            <w:r w:rsidRPr="00701F32">
              <w:rPr>
                <w:rFonts w:ascii="Arial" w:hAnsi="Arial" w:cs="Arial"/>
                <w:b/>
                <w:sz w:val="18"/>
                <w:szCs w:val="18"/>
              </w:rPr>
              <w:t>11.164.502</w:t>
            </w:r>
          </w:p>
        </w:tc>
        <w:tc>
          <w:tcPr>
            <w:tcW w:w="747" w:type="pct"/>
            <w:tcBorders>
              <w:top w:val="nil"/>
              <w:left w:val="nil"/>
              <w:bottom w:val="single" w:sz="4" w:space="0" w:color="auto"/>
              <w:right w:val="single" w:sz="4" w:space="0" w:color="auto"/>
            </w:tcBorders>
            <w:shd w:val="clear" w:color="auto" w:fill="auto"/>
            <w:noWrap/>
            <w:vAlign w:val="bottom"/>
          </w:tcPr>
          <w:p w14:paraId="076D201D" w14:textId="77777777" w:rsidR="008C4C54" w:rsidRPr="00701F32" w:rsidRDefault="008C4C54" w:rsidP="00464C0F">
            <w:pPr>
              <w:jc w:val="right"/>
              <w:rPr>
                <w:rFonts w:ascii="Arial" w:hAnsi="Arial" w:cs="Arial"/>
                <w:b/>
                <w:color w:val="000000"/>
                <w:sz w:val="18"/>
                <w:szCs w:val="18"/>
                <w:lang w:eastAsia="es-AR"/>
              </w:rPr>
            </w:pPr>
            <w:r w:rsidRPr="00701F32">
              <w:rPr>
                <w:rFonts w:ascii="Arial" w:hAnsi="Arial" w:cs="Arial"/>
                <w:b/>
                <w:sz w:val="18"/>
                <w:szCs w:val="18"/>
              </w:rPr>
              <w:t>6.446.806</w:t>
            </w:r>
          </w:p>
        </w:tc>
        <w:tc>
          <w:tcPr>
            <w:tcW w:w="703" w:type="pct"/>
            <w:tcBorders>
              <w:top w:val="nil"/>
              <w:left w:val="nil"/>
              <w:bottom w:val="single" w:sz="4" w:space="0" w:color="auto"/>
              <w:right w:val="single" w:sz="4" w:space="0" w:color="auto"/>
            </w:tcBorders>
            <w:shd w:val="clear" w:color="auto" w:fill="auto"/>
            <w:noWrap/>
            <w:vAlign w:val="bottom"/>
          </w:tcPr>
          <w:p w14:paraId="0075B289" w14:textId="77777777" w:rsidR="008C4C54" w:rsidRPr="00701F32" w:rsidRDefault="008C4C54" w:rsidP="00464C0F">
            <w:pPr>
              <w:jc w:val="right"/>
              <w:rPr>
                <w:rFonts w:ascii="Arial" w:hAnsi="Arial" w:cs="Arial"/>
                <w:b/>
                <w:color w:val="000000"/>
                <w:sz w:val="18"/>
                <w:szCs w:val="18"/>
                <w:lang w:eastAsia="es-AR"/>
              </w:rPr>
            </w:pPr>
            <w:r w:rsidRPr="00701F32">
              <w:rPr>
                <w:rFonts w:ascii="Arial" w:hAnsi="Arial" w:cs="Arial"/>
                <w:b/>
                <w:sz w:val="18"/>
                <w:szCs w:val="18"/>
              </w:rPr>
              <w:t>-</w:t>
            </w:r>
          </w:p>
        </w:tc>
        <w:tc>
          <w:tcPr>
            <w:tcW w:w="703" w:type="pct"/>
            <w:tcBorders>
              <w:top w:val="nil"/>
              <w:left w:val="nil"/>
              <w:bottom w:val="single" w:sz="4" w:space="0" w:color="auto"/>
              <w:right w:val="single" w:sz="4" w:space="0" w:color="auto"/>
            </w:tcBorders>
            <w:vAlign w:val="bottom"/>
          </w:tcPr>
          <w:p w14:paraId="3E4ED583" w14:textId="77777777" w:rsidR="008C4C54" w:rsidRPr="00701F32" w:rsidRDefault="008C4C54">
            <w:pPr>
              <w:jc w:val="right"/>
              <w:rPr>
                <w:rFonts w:ascii="Arial" w:hAnsi="Arial" w:cs="Arial"/>
                <w:b/>
                <w:sz w:val="18"/>
                <w:szCs w:val="18"/>
              </w:rPr>
            </w:pPr>
            <w:r w:rsidRPr="00701F32">
              <w:rPr>
                <w:rFonts w:ascii="Arial" w:hAnsi="Arial" w:cs="Arial"/>
                <w:b/>
                <w:sz w:val="18"/>
                <w:szCs w:val="18"/>
              </w:rPr>
              <w:t>17.611.308</w:t>
            </w:r>
          </w:p>
        </w:tc>
      </w:tr>
    </w:tbl>
    <w:p w14:paraId="50443CC3" w14:textId="77777777" w:rsidR="00656E62" w:rsidRPr="00701F32" w:rsidRDefault="00656E62" w:rsidP="00656E62">
      <w:pPr>
        <w:spacing w:after="160" w:line="259" w:lineRule="auto"/>
        <w:jc w:val="both"/>
        <w:rPr>
          <w:rFonts w:ascii="Arial" w:eastAsia="Calibri" w:hAnsi="Arial" w:cs="Arial"/>
          <w:b/>
          <w:bCs/>
          <w:sz w:val="20"/>
        </w:rPr>
      </w:pPr>
    </w:p>
    <w:p w14:paraId="64DBEF76" w14:textId="77777777" w:rsidR="00656E62" w:rsidRPr="00701F32" w:rsidRDefault="00656E62" w:rsidP="00656E62">
      <w:pPr>
        <w:spacing w:after="160" w:line="259" w:lineRule="auto"/>
        <w:jc w:val="both"/>
        <w:rPr>
          <w:rFonts w:ascii="Arial" w:eastAsia="Calibri" w:hAnsi="Arial" w:cs="Arial"/>
          <w:b/>
          <w:bCs/>
          <w:color w:val="FF0000"/>
          <w:sz w:val="20"/>
        </w:rPr>
      </w:pPr>
      <w:r w:rsidRPr="00701F32">
        <w:rPr>
          <w:rFonts w:ascii="Arial" w:eastAsia="Calibri" w:hAnsi="Arial" w:cs="Arial"/>
          <w:b/>
          <w:bCs/>
          <w:sz w:val="20"/>
        </w:rPr>
        <w:t xml:space="preserve">Valores Razonables   </w:t>
      </w:r>
    </w:p>
    <w:p w14:paraId="647E6DE9"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 xml:space="preserve">El </w:t>
      </w:r>
      <w:r w:rsidR="00075BC5" w:rsidRPr="00701F32">
        <w:rPr>
          <w:rFonts w:ascii="Arial" w:eastAsia="Calibri" w:hAnsi="Arial" w:cs="Arial"/>
          <w:bCs/>
          <w:sz w:val="20"/>
        </w:rPr>
        <w:t xml:space="preserve">Banco </w:t>
      </w:r>
      <w:r w:rsidRPr="00701F32">
        <w:rPr>
          <w:rFonts w:ascii="Arial" w:eastAsia="Calibri" w:hAnsi="Arial" w:cs="Arial"/>
          <w:bCs/>
          <w:sz w:val="20"/>
        </w:rPr>
        <w:t xml:space="preserve">clasifica los valores razonables de los instrumentos financieros en 3 niveles, de acuerdo a la calidad de los datos utilizados para su determinación. </w:t>
      </w:r>
    </w:p>
    <w:p w14:paraId="614B80FF"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Se detallan a continuación los instrumentos financieros del grupo medidos a valor razonable al cierre del ejercicio:</w:t>
      </w:r>
    </w:p>
    <w:tbl>
      <w:tblPr>
        <w:tblW w:w="5000" w:type="pct"/>
        <w:tblLayout w:type="fixed"/>
        <w:tblCellMar>
          <w:left w:w="70" w:type="dxa"/>
          <w:right w:w="70" w:type="dxa"/>
        </w:tblCellMar>
        <w:tblLook w:val="04A0" w:firstRow="1" w:lastRow="0" w:firstColumn="1" w:lastColumn="0" w:noHBand="0" w:noVBand="1"/>
      </w:tblPr>
      <w:tblGrid>
        <w:gridCol w:w="4149"/>
        <w:gridCol w:w="1124"/>
        <w:gridCol w:w="1126"/>
        <w:gridCol w:w="1043"/>
        <w:gridCol w:w="1203"/>
      </w:tblGrid>
      <w:tr w:rsidR="001E45E4" w:rsidRPr="00701F32" w14:paraId="2DFBB292" w14:textId="77777777" w:rsidTr="005819B2">
        <w:trPr>
          <w:trHeight w:val="315"/>
          <w:tblHeader/>
        </w:trPr>
        <w:tc>
          <w:tcPr>
            <w:tcW w:w="2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0B26C" w14:textId="77777777" w:rsidR="001E45E4" w:rsidRPr="00701F32" w:rsidRDefault="001E45E4" w:rsidP="0086282C">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Cartera de instrumentos al 31/12/2017</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37E98F69" w14:textId="77777777" w:rsidR="001E45E4" w:rsidRPr="00701F32" w:rsidRDefault="001E45E4">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1</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14:paraId="162F6F23" w14:textId="77777777" w:rsidR="001E45E4" w:rsidRPr="00701F32" w:rsidRDefault="001E45E4">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2</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34C749D6" w14:textId="77777777" w:rsidR="001E45E4" w:rsidRPr="00701F32" w:rsidRDefault="001E45E4">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VR nivel 3</w:t>
            </w:r>
          </w:p>
        </w:tc>
        <w:tc>
          <w:tcPr>
            <w:tcW w:w="696" w:type="pct"/>
            <w:tcBorders>
              <w:top w:val="single" w:sz="4" w:space="0" w:color="auto"/>
              <w:left w:val="nil"/>
              <w:bottom w:val="single" w:sz="4" w:space="0" w:color="auto"/>
              <w:right w:val="single" w:sz="4" w:space="0" w:color="auto"/>
            </w:tcBorders>
            <w:vAlign w:val="center"/>
          </w:tcPr>
          <w:p w14:paraId="5C687274" w14:textId="77777777" w:rsidR="001E45E4" w:rsidRPr="00701F32" w:rsidRDefault="001E45E4">
            <w:pPr>
              <w:jc w:val="center"/>
              <w:rPr>
                <w:rFonts w:ascii="Arial" w:hAnsi="Arial" w:cs="Arial"/>
                <w:b/>
                <w:color w:val="000000"/>
                <w:sz w:val="18"/>
                <w:szCs w:val="18"/>
                <w:lang w:eastAsia="es-AR"/>
              </w:rPr>
            </w:pPr>
            <w:r w:rsidRPr="00701F32">
              <w:rPr>
                <w:rFonts w:ascii="Arial" w:hAnsi="Arial" w:cs="Arial"/>
                <w:b/>
                <w:color w:val="000000"/>
                <w:sz w:val="18"/>
                <w:szCs w:val="18"/>
                <w:lang w:eastAsia="es-AR"/>
              </w:rPr>
              <w:t>Total</w:t>
            </w:r>
          </w:p>
        </w:tc>
      </w:tr>
      <w:tr w:rsidR="001E45E4" w:rsidRPr="00701F32" w14:paraId="254747B5"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2BFE4A21" w14:textId="77777777" w:rsidR="001E45E4" w:rsidRPr="00701F32" w:rsidRDefault="001E45E4" w:rsidP="00464C0F">
            <w:pPr>
              <w:rPr>
                <w:rFonts w:ascii="Arial" w:hAnsi="Arial" w:cs="Arial"/>
                <w:b/>
                <w:bCs/>
                <w:color w:val="000000"/>
                <w:sz w:val="18"/>
                <w:szCs w:val="18"/>
                <w:lang w:eastAsia="es-AR"/>
              </w:rPr>
            </w:pPr>
            <w:r w:rsidRPr="00701F32">
              <w:rPr>
                <w:rFonts w:ascii="Arial" w:hAnsi="Arial" w:cs="Arial"/>
                <w:b/>
                <w:bCs/>
                <w:color w:val="000000"/>
                <w:sz w:val="18"/>
                <w:szCs w:val="18"/>
                <w:lang w:eastAsia="es-AR"/>
              </w:rPr>
              <w:t>Activos</w:t>
            </w:r>
          </w:p>
        </w:tc>
        <w:tc>
          <w:tcPr>
            <w:tcW w:w="650" w:type="pct"/>
            <w:tcBorders>
              <w:top w:val="nil"/>
              <w:left w:val="nil"/>
              <w:bottom w:val="single" w:sz="4" w:space="0" w:color="auto"/>
              <w:right w:val="single" w:sz="4" w:space="0" w:color="auto"/>
            </w:tcBorders>
            <w:shd w:val="clear" w:color="auto" w:fill="auto"/>
            <w:noWrap/>
            <w:vAlign w:val="bottom"/>
            <w:hideMark/>
          </w:tcPr>
          <w:p w14:paraId="556EAB94"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51" w:type="pct"/>
            <w:tcBorders>
              <w:top w:val="nil"/>
              <w:left w:val="nil"/>
              <w:bottom w:val="single" w:sz="4" w:space="0" w:color="auto"/>
              <w:right w:val="single" w:sz="4" w:space="0" w:color="auto"/>
            </w:tcBorders>
            <w:shd w:val="clear" w:color="auto" w:fill="auto"/>
            <w:noWrap/>
            <w:vAlign w:val="bottom"/>
            <w:hideMark/>
          </w:tcPr>
          <w:p w14:paraId="11B93392"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03" w:type="pct"/>
            <w:tcBorders>
              <w:top w:val="nil"/>
              <w:left w:val="nil"/>
              <w:bottom w:val="single" w:sz="4" w:space="0" w:color="auto"/>
              <w:right w:val="single" w:sz="4" w:space="0" w:color="auto"/>
            </w:tcBorders>
            <w:shd w:val="clear" w:color="auto" w:fill="auto"/>
            <w:noWrap/>
            <w:vAlign w:val="bottom"/>
            <w:hideMark/>
          </w:tcPr>
          <w:p w14:paraId="08FC239C"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96" w:type="pct"/>
            <w:tcBorders>
              <w:top w:val="nil"/>
              <w:left w:val="nil"/>
              <w:bottom w:val="single" w:sz="4" w:space="0" w:color="auto"/>
              <w:right w:val="single" w:sz="4" w:space="0" w:color="auto"/>
            </w:tcBorders>
          </w:tcPr>
          <w:p w14:paraId="4BEEDAA8" w14:textId="77777777" w:rsidR="001E45E4" w:rsidRPr="00701F32" w:rsidRDefault="001E45E4" w:rsidP="00464C0F">
            <w:pPr>
              <w:jc w:val="right"/>
              <w:rPr>
                <w:rFonts w:ascii="Arial" w:hAnsi="Arial" w:cs="Arial"/>
                <w:b/>
                <w:bCs/>
                <w:color w:val="000000"/>
                <w:sz w:val="18"/>
                <w:szCs w:val="18"/>
                <w:lang w:eastAsia="es-AR"/>
              </w:rPr>
            </w:pPr>
          </w:p>
        </w:tc>
      </w:tr>
      <w:tr w:rsidR="001E45E4" w:rsidRPr="00701F32" w14:paraId="1FE4649C"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3A96BB14"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Títulos de deuda a valor razonable con cambios en resultados</w:t>
            </w:r>
          </w:p>
        </w:tc>
        <w:tc>
          <w:tcPr>
            <w:tcW w:w="650" w:type="pct"/>
            <w:tcBorders>
              <w:top w:val="nil"/>
              <w:left w:val="nil"/>
              <w:bottom w:val="single" w:sz="4" w:space="0" w:color="auto"/>
              <w:right w:val="single" w:sz="4" w:space="0" w:color="auto"/>
            </w:tcBorders>
            <w:shd w:val="clear" w:color="auto" w:fill="auto"/>
            <w:noWrap/>
            <w:vAlign w:val="bottom"/>
            <w:hideMark/>
          </w:tcPr>
          <w:p w14:paraId="4393BD51"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10.835.773</w:t>
            </w:r>
          </w:p>
        </w:tc>
        <w:tc>
          <w:tcPr>
            <w:tcW w:w="651" w:type="pct"/>
            <w:tcBorders>
              <w:top w:val="nil"/>
              <w:left w:val="nil"/>
              <w:bottom w:val="single" w:sz="4" w:space="0" w:color="auto"/>
              <w:right w:val="single" w:sz="4" w:space="0" w:color="auto"/>
            </w:tcBorders>
            <w:shd w:val="clear" w:color="auto" w:fill="auto"/>
            <w:noWrap/>
            <w:vAlign w:val="bottom"/>
            <w:hideMark/>
          </w:tcPr>
          <w:p w14:paraId="15D2981B"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492.670  </w:t>
            </w:r>
          </w:p>
        </w:tc>
        <w:tc>
          <w:tcPr>
            <w:tcW w:w="603" w:type="pct"/>
            <w:tcBorders>
              <w:top w:val="nil"/>
              <w:left w:val="nil"/>
              <w:bottom w:val="single" w:sz="4" w:space="0" w:color="auto"/>
              <w:right w:val="single" w:sz="4" w:space="0" w:color="auto"/>
            </w:tcBorders>
            <w:shd w:val="clear" w:color="auto" w:fill="auto"/>
            <w:noWrap/>
            <w:vAlign w:val="bottom"/>
            <w:hideMark/>
          </w:tcPr>
          <w:p w14:paraId="4B2208D1"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73B91EED" w14:textId="77777777" w:rsidR="001E45E4" w:rsidRPr="00701F32" w:rsidRDefault="001E45E4">
            <w:pPr>
              <w:jc w:val="right"/>
              <w:rPr>
                <w:rFonts w:ascii="Arial" w:hAnsi="Arial" w:cs="Arial"/>
                <w:sz w:val="18"/>
                <w:szCs w:val="18"/>
              </w:rPr>
            </w:pPr>
            <w:r w:rsidRPr="00701F32">
              <w:rPr>
                <w:rFonts w:ascii="Arial" w:hAnsi="Arial" w:cs="Arial"/>
                <w:sz w:val="18"/>
                <w:szCs w:val="18"/>
              </w:rPr>
              <w:t>11.328.443</w:t>
            </w:r>
          </w:p>
        </w:tc>
      </w:tr>
      <w:tr w:rsidR="001E45E4" w:rsidRPr="00701F32" w14:paraId="33BE30EF"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17F4678D"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650" w:type="pct"/>
            <w:tcBorders>
              <w:top w:val="nil"/>
              <w:left w:val="nil"/>
              <w:bottom w:val="single" w:sz="4" w:space="0" w:color="auto"/>
              <w:right w:val="single" w:sz="4" w:space="0" w:color="auto"/>
            </w:tcBorders>
            <w:shd w:val="clear" w:color="auto" w:fill="auto"/>
            <w:noWrap/>
            <w:vAlign w:val="bottom"/>
            <w:hideMark/>
          </w:tcPr>
          <w:p w14:paraId="16354C84"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26.916 </w:t>
            </w:r>
          </w:p>
        </w:tc>
        <w:tc>
          <w:tcPr>
            <w:tcW w:w="651" w:type="pct"/>
            <w:tcBorders>
              <w:top w:val="nil"/>
              <w:left w:val="nil"/>
              <w:bottom w:val="single" w:sz="4" w:space="0" w:color="auto"/>
              <w:right w:val="single" w:sz="4" w:space="0" w:color="auto"/>
            </w:tcBorders>
            <w:shd w:val="clear" w:color="auto" w:fill="auto"/>
            <w:noWrap/>
            <w:vAlign w:val="bottom"/>
            <w:hideMark/>
          </w:tcPr>
          <w:p w14:paraId="15C5119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444072B8"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777DE4C4" w14:textId="77777777" w:rsidR="001E45E4" w:rsidRPr="00701F32" w:rsidRDefault="001E45E4">
            <w:pPr>
              <w:jc w:val="right"/>
              <w:rPr>
                <w:rFonts w:ascii="Arial" w:hAnsi="Arial" w:cs="Arial"/>
                <w:sz w:val="18"/>
                <w:szCs w:val="18"/>
              </w:rPr>
            </w:pPr>
            <w:r w:rsidRPr="00701F32">
              <w:rPr>
                <w:rFonts w:ascii="Arial" w:hAnsi="Arial" w:cs="Arial"/>
                <w:sz w:val="18"/>
                <w:szCs w:val="18"/>
              </w:rPr>
              <w:t>26.916</w:t>
            </w:r>
          </w:p>
        </w:tc>
      </w:tr>
      <w:tr w:rsidR="001E45E4" w:rsidRPr="00701F32" w14:paraId="0B524E32"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226812DF"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Operaciones de pases</w:t>
            </w:r>
          </w:p>
        </w:tc>
        <w:tc>
          <w:tcPr>
            <w:tcW w:w="650" w:type="pct"/>
            <w:tcBorders>
              <w:top w:val="nil"/>
              <w:left w:val="nil"/>
              <w:bottom w:val="single" w:sz="4" w:space="0" w:color="auto"/>
              <w:right w:val="single" w:sz="4" w:space="0" w:color="auto"/>
            </w:tcBorders>
            <w:shd w:val="clear" w:color="auto" w:fill="auto"/>
            <w:noWrap/>
            <w:vAlign w:val="bottom"/>
            <w:hideMark/>
          </w:tcPr>
          <w:p w14:paraId="0DA8CAE2"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1F7BF9B9"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7227FBD4"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02F4FB1E" w14:textId="77777777" w:rsidR="001E45E4" w:rsidRPr="00701F32" w:rsidRDefault="001E45E4">
            <w:pPr>
              <w:jc w:val="right"/>
              <w:rPr>
                <w:rFonts w:ascii="Arial" w:hAnsi="Arial" w:cs="Arial"/>
                <w:sz w:val="18"/>
                <w:szCs w:val="18"/>
              </w:rPr>
            </w:pPr>
            <w:r w:rsidRPr="00701F32">
              <w:rPr>
                <w:rFonts w:ascii="Arial" w:hAnsi="Arial" w:cs="Arial"/>
                <w:sz w:val="18"/>
                <w:szCs w:val="18"/>
              </w:rPr>
              <w:t>-</w:t>
            </w:r>
          </w:p>
        </w:tc>
      </w:tr>
      <w:tr w:rsidR="001E45E4" w:rsidRPr="00701F32" w14:paraId="5F8690D8"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6F8E92A7"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activos financieros</w:t>
            </w:r>
          </w:p>
        </w:tc>
        <w:tc>
          <w:tcPr>
            <w:tcW w:w="650" w:type="pct"/>
            <w:tcBorders>
              <w:top w:val="nil"/>
              <w:left w:val="nil"/>
              <w:bottom w:val="single" w:sz="4" w:space="0" w:color="auto"/>
              <w:right w:val="single" w:sz="4" w:space="0" w:color="auto"/>
            </w:tcBorders>
            <w:shd w:val="clear" w:color="auto" w:fill="auto"/>
            <w:noWrap/>
            <w:vAlign w:val="bottom"/>
            <w:hideMark/>
          </w:tcPr>
          <w:p w14:paraId="4B9D143B"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26.264 </w:t>
            </w:r>
          </w:p>
        </w:tc>
        <w:tc>
          <w:tcPr>
            <w:tcW w:w="651" w:type="pct"/>
            <w:tcBorders>
              <w:top w:val="nil"/>
              <w:left w:val="nil"/>
              <w:bottom w:val="single" w:sz="4" w:space="0" w:color="auto"/>
              <w:right w:val="single" w:sz="4" w:space="0" w:color="auto"/>
            </w:tcBorders>
            <w:shd w:val="clear" w:color="auto" w:fill="auto"/>
            <w:noWrap/>
            <w:vAlign w:val="bottom"/>
            <w:hideMark/>
          </w:tcPr>
          <w:p w14:paraId="641E0B00"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6F98EA98"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586CC320" w14:textId="77777777" w:rsidR="001E45E4" w:rsidRPr="00701F32" w:rsidRDefault="001E45E4">
            <w:pPr>
              <w:jc w:val="right"/>
              <w:rPr>
                <w:rFonts w:ascii="Arial" w:hAnsi="Arial" w:cs="Arial"/>
                <w:sz w:val="18"/>
                <w:szCs w:val="18"/>
              </w:rPr>
            </w:pPr>
            <w:r w:rsidRPr="00701F32">
              <w:rPr>
                <w:rFonts w:ascii="Arial" w:hAnsi="Arial" w:cs="Arial"/>
                <w:sz w:val="18"/>
                <w:szCs w:val="18"/>
              </w:rPr>
              <w:t>26.264</w:t>
            </w:r>
          </w:p>
        </w:tc>
      </w:tr>
      <w:tr w:rsidR="001E45E4" w:rsidRPr="00701F32" w14:paraId="08F7E9C1"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486F8FBA"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Préstamos y otras financiaciones</w:t>
            </w:r>
          </w:p>
        </w:tc>
        <w:tc>
          <w:tcPr>
            <w:tcW w:w="650" w:type="pct"/>
            <w:tcBorders>
              <w:top w:val="nil"/>
              <w:left w:val="nil"/>
              <w:bottom w:val="single" w:sz="4" w:space="0" w:color="auto"/>
              <w:right w:val="single" w:sz="4" w:space="0" w:color="auto"/>
            </w:tcBorders>
            <w:shd w:val="clear" w:color="auto" w:fill="auto"/>
            <w:noWrap/>
            <w:vAlign w:val="bottom"/>
            <w:hideMark/>
          </w:tcPr>
          <w:p w14:paraId="7AE9A391"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7034D913"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3678A138"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4CCDA9CD" w14:textId="77777777" w:rsidR="001E45E4" w:rsidRPr="00701F32" w:rsidRDefault="001E45E4">
            <w:pPr>
              <w:jc w:val="right"/>
              <w:rPr>
                <w:rFonts w:ascii="Arial" w:hAnsi="Arial" w:cs="Arial"/>
                <w:sz w:val="18"/>
                <w:szCs w:val="18"/>
              </w:rPr>
            </w:pPr>
            <w:r w:rsidRPr="00701F32">
              <w:rPr>
                <w:rFonts w:ascii="Arial" w:hAnsi="Arial" w:cs="Arial"/>
                <w:sz w:val="18"/>
                <w:szCs w:val="18"/>
              </w:rPr>
              <w:t>-</w:t>
            </w:r>
          </w:p>
        </w:tc>
      </w:tr>
      <w:tr w:rsidR="001E45E4" w:rsidRPr="00701F32" w14:paraId="3BE512D8"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29CF4125"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títulos de deuda</w:t>
            </w:r>
          </w:p>
        </w:tc>
        <w:tc>
          <w:tcPr>
            <w:tcW w:w="650" w:type="pct"/>
            <w:tcBorders>
              <w:top w:val="nil"/>
              <w:left w:val="nil"/>
              <w:bottom w:val="single" w:sz="4" w:space="0" w:color="auto"/>
              <w:right w:val="single" w:sz="4" w:space="0" w:color="auto"/>
            </w:tcBorders>
            <w:shd w:val="clear" w:color="auto" w:fill="auto"/>
            <w:noWrap/>
            <w:vAlign w:val="bottom"/>
            <w:hideMark/>
          </w:tcPr>
          <w:p w14:paraId="0F02EC7B"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32 </w:t>
            </w:r>
          </w:p>
        </w:tc>
        <w:tc>
          <w:tcPr>
            <w:tcW w:w="651" w:type="pct"/>
            <w:tcBorders>
              <w:top w:val="nil"/>
              <w:left w:val="nil"/>
              <w:bottom w:val="single" w:sz="4" w:space="0" w:color="auto"/>
              <w:right w:val="single" w:sz="4" w:space="0" w:color="auto"/>
            </w:tcBorders>
            <w:shd w:val="clear" w:color="auto" w:fill="auto"/>
            <w:noWrap/>
            <w:vAlign w:val="bottom"/>
            <w:hideMark/>
          </w:tcPr>
          <w:p w14:paraId="7E36DB75"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198E213A"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7C9D5C26" w14:textId="77777777" w:rsidR="001E45E4" w:rsidRPr="00701F32" w:rsidRDefault="001E45E4">
            <w:pPr>
              <w:jc w:val="right"/>
              <w:rPr>
                <w:rFonts w:ascii="Arial" w:hAnsi="Arial" w:cs="Arial"/>
                <w:sz w:val="18"/>
                <w:szCs w:val="18"/>
              </w:rPr>
            </w:pPr>
            <w:r w:rsidRPr="00701F32">
              <w:rPr>
                <w:rFonts w:ascii="Arial" w:hAnsi="Arial" w:cs="Arial"/>
                <w:sz w:val="18"/>
                <w:szCs w:val="18"/>
              </w:rPr>
              <w:t>32</w:t>
            </w:r>
          </w:p>
        </w:tc>
      </w:tr>
      <w:tr w:rsidR="001E45E4" w:rsidRPr="00701F32" w14:paraId="4A57453D"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5E10B7D1"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Activos financieros entregados en garantía</w:t>
            </w:r>
          </w:p>
        </w:tc>
        <w:tc>
          <w:tcPr>
            <w:tcW w:w="650" w:type="pct"/>
            <w:tcBorders>
              <w:top w:val="nil"/>
              <w:left w:val="nil"/>
              <w:bottom w:val="single" w:sz="4" w:space="0" w:color="auto"/>
              <w:right w:val="single" w:sz="4" w:space="0" w:color="auto"/>
            </w:tcBorders>
            <w:shd w:val="clear" w:color="auto" w:fill="auto"/>
            <w:noWrap/>
            <w:vAlign w:val="bottom"/>
            <w:hideMark/>
          </w:tcPr>
          <w:p w14:paraId="4268B47A"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1.180.087 </w:t>
            </w:r>
          </w:p>
        </w:tc>
        <w:tc>
          <w:tcPr>
            <w:tcW w:w="651" w:type="pct"/>
            <w:tcBorders>
              <w:top w:val="nil"/>
              <w:left w:val="nil"/>
              <w:bottom w:val="single" w:sz="4" w:space="0" w:color="auto"/>
              <w:right w:val="single" w:sz="4" w:space="0" w:color="auto"/>
            </w:tcBorders>
            <w:shd w:val="clear" w:color="auto" w:fill="auto"/>
            <w:noWrap/>
            <w:vAlign w:val="bottom"/>
            <w:hideMark/>
          </w:tcPr>
          <w:p w14:paraId="45E08735"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51AFE2C1"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639AF288" w14:textId="77777777" w:rsidR="001E45E4" w:rsidRPr="00701F32" w:rsidRDefault="001E45E4">
            <w:pPr>
              <w:jc w:val="right"/>
              <w:rPr>
                <w:rFonts w:ascii="Arial" w:hAnsi="Arial" w:cs="Arial"/>
                <w:sz w:val="18"/>
                <w:szCs w:val="18"/>
              </w:rPr>
            </w:pPr>
            <w:r w:rsidRPr="00701F32">
              <w:rPr>
                <w:rFonts w:ascii="Arial" w:hAnsi="Arial" w:cs="Arial"/>
                <w:sz w:val="18"/>
                <w:szCs w:val="18"/>
              </w:rPr>
              <w:t>1.180.087</w:t>
            </w:r>
          </w:p>
        </w:tc>
      </w:tr>
      <w:tr w:rsidR="001E45E4" w:rsidRPr="00701F32" w14:paraId="0436C73F"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11081C57"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Inversiones en Instrumentos de Patrimonio</w:t>
            </w:r>
          </w:p>
        </w:tc>
        <w:tc>
          <w:tcPr>
            <w:tcW w:w="650" w:type="pct"/>
            <w:tcBorders>
              <w:top w:val="nil"/>
              <w:left w:val="nil"/>
              <w:bottom w:val="single" w:sz="4" w:space="0" w:color="auto"/>
              <w:right w:val="single" w:sz="4" w:space="0" w:color="auto"/>
            </w:tcBorders>
            <w:shd w:val="clear" w:color="auto" w:fill="auto"/>
            <w:noWrap/>
            <w:vAlign w:val="bottom"/>
            <w:hideMark/>
          </w:tcPr>
          <w:p w14:paraId="7F33EDA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38.001 </w:t>
            </w:r>
          </w:p>
        </w:tc>
        <w:tc>
          <w:tcPr>
            <w:tcW w:w="651" w:type="pct"/>
            <w:tcBorders>
              <w:top w:val="nil"/>
              <w:left w:val="nil"/>
              <w:bottom w:val="single" w:sz="4" w:space="0" w:color="auto"/>
              <w:right w:val="single" w:sz="4" w:space="0" w:color="auto"/>
            </w:tcBorders>
            <w:shd w:val="clear" w:color="auto" w:fill="auto"/>
            <w:noWrap/>
            <w:vAlign w:val="bottom"/>
            <w:hideMark/>
          </w:tcPr>
          <w:p w14:paraId="0630F46A"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7.918 </w:t>
            </w:r>
          </w:p>
        </w:tc>
        <w:tc>
          <w:tcPr>
            <w:tcW w:w="603" w:type="pct"/>
            <w:tcBorders>
              <w:top w:val="nil"/>
              <w:left w:val="nil"/>
              <w:bottom w:val="single" w:sz="4" w:space="0" w:color="auto"/>
              <w:right w:val="single" w:sz="4" w:space="0" w:color="auto"/>
            </w:tcBorders>
            <w:shd w:val="clear" w:color="auto" w:fill="auto"/>
            <w:noWrap/>
            <w:vAlign w:val="bottom"/>
            <w:hideMark/>
          </w:tcPr>
          <w:p w14:paraId="1F1D4AC5"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41CA2D40" w14:textId="77777777" w:rsidR="001E45E4" w:rsidRPr="00701F32" w:rsidRDefault="001E45E4">
            <w:pPr>
              <w:jc w:val="right"/>
              <w:rPr>
                <w:rFonts w:ascii="Arial" w:hAnsi="Arial" w:cs="Arial"/>
                <w:sz w:val="18"/>
                <w:szCs w:val="18"/>
              </w:rPr>
            </w:pPr>
            <w:r w:rsidRPr="00701F32">
              <w:rPr>
                <w:rFonts w:ascii="Arial" w:hAnsi="Arial" w:cs="Arial"/>
                <w:sz w:val="18"/>
                <w:szCs w:val="18"/>
              </w:rPr>
              <w:t>45.919</w:t>
            </w:r>
          </w:p>
        </w:tc>
      </w:tr>
      <w:tr w:rsidR="001E45E4" w:rsidRPr="00701F32" w14:paraId="02CAC268"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tcPr>
          <w:p w14:paraId="44866AF1" w14:textId="77777777" w:rsidR="001E45E4" w:rsidRPr="00701F32" w:rsidRDefault="001E45E4" w:rsidP="00464C0F">
            <w:pPr>
              <w:jc w:val="both"/>
              <w:rPr>
                <w:rFonts w:ascii="Arial" w:hAnsi="Arial" w:cs="Arial"/>
                <w:b/>
                <w:color w:val="000000"/>
                <w:sz w:val="18"/>
                <w:szCs w:val="18"/>
                <w:lang w:eastAsia="es-AR"/>
              </w:rPr>
            </w:pPr>
            <w:r w:rsidRPr="00701F32">
              <w:rPr>
                <w:rFonts w:ascii="Arial" w:hAnsi="Arial" w:cs="Arial"/>
                <w:b/>
                <w:color w:val="000000"/>
                <w:sz w:val="18"/>
                <w:szCs w:val="18"/>
                <w:lang w:eastAsia="es-AR"/>
              </w:rPr>
              <w:t>Total Activos</w:t>
            </w:r>
          </w:p>
        </w:tc>
        <w:tc>
          <w:tcPr>
            <w:tcW w:w="650" w:type="pct"/>
            <w:tcBorders>
              <w:top w:val="nil"/>
              <w:left w:val="nil"/>
              <w:bottom w:val="single" w:sz="4" w:space="0" w:color="auto"/>
              <w:right w:val="single" w:sz="4" w:space="0" w:color="auto"/>
            </w:tcBorders>
            <w:shd w:val="clear" w:color="auto" w:fill="auto"/>
            <w:noWrap/>
            <w:vAlign w:val="bottom"/>
          </w:tcPr>
          <w:p w14:paraId="73C17C16" w14:textId="77777777" w:rsidR="001E45E4" w:rsidRPr="00701F32" w:rsidRDefault="001E45E4">
            <w:pPr>
              <w:jc w:val="right"/>
              <w:rPr>
                <w:rFonts w:ascii="Arial" w:hAnsi="Arial" w:cs="Arial"/>
                <w:b/>
                <w:sz w:val="18"/>
                <w:szCs w:val="18"/>
              </w:rPr>
            </w:pPr>
            <w:r w:rsidRPr="00701F32">
              <w:rPr>
                <w:rFonts w:ascii="Arial" w:hAnsi="Arial" w:cs="Arial"/>
                <w:b/>
                <w:sz w:val="18"/>
                <w:szCs w:val="18"/>
              </w:rPr>
              <w:t>1</w:t>
            </w:r>
            <w:r w:rsidR="00A83330" w:rsidRPr="00701F32">
              <w:rPr>
                <w:rFonts w:ascii="Arial" w:hAnsi="Arial" w:cs="Arial"/>
                <w:b/>
                <w:sz w:val="18"/>
                <w:szCs w:val="18"/>
              </w:rPr>
              <w:t>2.107.073</w:t>
            </w:r>
          </w:p>
        </w:tc>
        <w:tc>
          <w:tcPr>
            <w:tcW w:w="651" w:type="pct"/>
            <w:tcBorders>
              <w:top w:val="nil"/>
              <w:left w:val="nil"/>
              <w:bottom w:val="single" w:sz="4" w:space="0" w:color="auto"/>
              <w:right w:val="single" w:sz="4" w:space="0" w:color="auto"/>
            </w:tcBorders>
            <w:shd w:val="clear" w:color="auto" w:fill="auto"/>
            <w:noWrap/>
            <w:vAlign w:val="bottom"/>
          </w:tcPr>
          <w:p w14:paraId="60C23E58" w14:textId="77777777" w:rsidR="001E45E4" w:rsidRPr="00701F32" w:rsidRDefault="001E45E4" w:rsidP="00464C0F">
            <w:pPr>
              <w:jc w:val="right"/>
              <w:rPr>
                <w:rFonts w:ascii="Arial" w:hAnsi="Arial" w:cs="Arial"/>
                <w:b/>
                <w:sz w:val="18"/>
                <w:szCs w:val="18"/>
              </w:rPr>
            </w:pPr>
            <w:r w:rsidRPr="00701F32">
              <w:rPr>
                <w:rFonts w:ascii="Arial" w:hAnsi="Arial" w:cs="Arial"/>
                <w:b/>
                <w:sz w:val="18"/>
                <w:szCs w:val="18"/>
              </w:rPr>
              <w:t>500.588</w:t>
            </w:r>
          </w:p>
        </w:tc>
        <w:tc>
          <w:tcPr>
            <w:tcW w:w="603" w:type="pct"/>
            <w:tcBorders>
              <w:top w:val="nil"/>
              <w:left w:val="nil"/>
              <w:bottom w:val="single" w:sz="4" w:space="0" w:color="auto"/>
              <w:right w:val="single" w:sz="4" w:space="0" w:color="auto"/>
            </w:tcBorders>
            <w:shd w:val="clear" w:color="auto" w:fill="auto"/>
            <w:noWrap/>
            <w:vAlign w:val="bottom"/>
          </w:tcPr>
          <w:p w14:paraId="16DE949B" w14:textId="77777777" w:rsidR="001E45E4" w:rsidRPr="00701F32" w:rsidRDefault="001E45E4" w:rsidP="00464C0F">
            <w:pPr>
              <w:jc w:val="right"/>
              <w:rPr>
                <w:rFonts w:ascii="Arial" w:hAnsi="Arial" w:cs="Arial"/>
                <w:b/>
                <w:sz w:val="18"/>
                <w:szCs w:val="18"/>
              </w:rPr>
            </w:pPr>
            <w:r w:rsidRPr="00701F32">
              <w:rPr>
                <w:rFonts w:ascii="Arial" w:hAnsi="Arial" w:cs="Arial"/>
                <w:b/>
                <w:sz w:val="18"/>
                <w:szCs w:val="18"/>
              </w:rPr>
              <w:t>-</w:t>
            </w:r>
          </w:p>
        </w:tc>
        <w:tc>
          <w:tcPr>
            <w:tcW w:w="696" w:type="pct"/>
            <w:tcBorders>
              <w:top w:val="nil"/>
              <w:left w:val="nil"/>
              <w:bottom w:val="single" w:sz="4" w:space="0" w:color="auto"/>
              <w:right w:val="single" w:sz="4" w:space="0" w:color="auto"/>
            </w:tcBorders>
            <w:vAlign w:val="bottom"/>
          </w:tcPr>
          <w:p w14:paraId="73F7C197" w14:textId="77777777" w:rsidR="001E45E4" w:rsidRPr="00701F32" w:rsidRDefault="001E45E4">
            <w:pPr>
              <w:jc w:val="right"/>
              <w:rPr>
                <w:rFonts w:ascii="Arial" w:hAnsi="Arial" w:cs="Arial"/>
                <w:b/>
                <w:sz w:val="18"/>
                <w:szCs w:val="18"/>
              </w:rPr>
            </w:pPr>
            <w:r w:rsidRPr="00701F32">
              <w:rPr>
                <w:rFonts w:ascii="Arial" w:hAnsi="Arial" w:cs="Arial"/>
                <w:b/>
                <w:sz w:val="18"/>
                <w:szCs w:val="18"/>
              </w:rPr>
              <w:t>12.607.661</w:t>
            </w:r>
          </w:p>
        </w:tc>
      </w:tr>
      <w:tr w:rsidR="001E45E4" w:rsidRPr="00701F32" w14:paraId="7D74C1D2"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3790CFB2" w14:textId="77777777" w:rsidR="001E45E4" w:rsidRPr="00701F32" w:rsidRDefault="001E45E4" w:rsidP="00464C0F">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Pasivos</w:t>
            </w:r>
          </w:p>
        </w:tc>
        <w:tc>
          <w:tcPr>
            <w:tcW w:w="650" w:type="pct"/>
            <w:tcBorders>
              <w:top w:val="nil"/>
              <w:left w:val="nil"/>
              <w:bottom w:val="single" w:sz="4" w:space="0" w:color="auto"/>
              <w:right w:val="single" w:sz="4" w:space="0" w:color="auto"/>
            </w:tcBorders>
            <w:shd w:val="clear" w:color="auto" w:fill="auto"/>
            <w:noWrap/>
            <w:vAlign w:val="bottom"/>
            <w:hideMark/>
          </w:tcPr>
          <w:p w14:paraId="497CB72F"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51" w:type="pct"/>
            <w:tcBorders>
              <w:top w:val="nil"/>
              <w:left w:val="nil"/>
              <w:bottom w:val="single" w:sz="4" w:space="0" w:color="auto"/>
              <w:right w:val="single" w:sz="4" w:space="0" w:color="auto"/>
            </w:tcBorders>
            <w:shd w:val="clear" w:color="auto" w:fill="auto"/>
            <w:noWrap/>
            <w:vAlign w:val="bottom"/>
            <w:hideMark/>
          </w:tcPr>
          <w:p w14:paraId="508C568C"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03" w:type="pct"/>
            <w:tcBorders>
              <w:top w:val="nil"/>
              <w:left w:val="nil"/>
              <w:bottom w:val="single" w:sz="4" w:space="0" w:color="auto"/>
              <w:right w:val="single" w:sz="4" w:space="0" w:color="auto"/>
            </w:tcBorders>
            <w:shd w:val="clear" w:color="auto" w:fill="auto"/>
            <w:noWrap/>
            <w:vAlign w:val="bottom"/>
            <w:hideMark/>
          </w:tcPr>
          <w:p w14:paraId="32E115D9"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 </w:t>
            </w:r>
          </w:p>
        </w:tc>
        <w:tc>
          <w:tcPr>
            <w:tcW w:w="696" w:type="pct"/>
            <w:tcBorders>
              <w:top w:val="nil"/>
              <w:left w:val="nil"/>
              <w:bottom w:val="single" w:sz="4" w:space="0" w:color="auto"/>
              <w:right w:val="single" w:sz="4" w:space="0" w:color="auto"/>
            </w:tcBorders>
            <w:vAlign w:val="bottom"/>
          </w:tcPr>
          <w:p w14:paraId="000FE946" w14:textId="77777777" w:rsidR="001E45E4" w:rsidRPr="00701F32" w:rsidRDefault="001E45E4">
            <w:pPr>
              <w:jc w:val="right"/>
              <w:rPr>
                <w:rFonts w:ascii="Arial" w:hAnsi="Arial" w:cs="Arial"/>
                <w:b/>
                <w:bCs/>
                <w:color w:val="000000"/>
                <w:sz w:val="18"/>
                <w:szCs w:val="18"/>
                <w:lang w:eastAsia="es-AR"/>
              </w:rPr>
            </w:pPr>
          </w:p>
        </w:tc>
      </w:tr>
      <w:tr w:rsidR="001E45E4" w:rsidRPr="00701F32" w14:paraId="03E30AD7"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033C999E"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Pasivos a valor razonable con cambios en resultados</w:t>
            </w:r>
          </w:p>
        </w:tc>
        <w:tc>
          <w:tcPr>
            <w:tcW w:w="650" w:type="pct"/>
            <w:tcBorders>
              <w:top w:val="nil"/>
              <w:left w:val="nil"/>
              <w:bottom w:val="single" w:sz="4" w:space="0" w:color="auto"/>
              <w:right w:val="single" w:sz="4" w:space="0" w:color="auto"/>
            </w:tcBorders>
            <w:shd w:val="clear" w:color="auto" w:fill="auto"/>
            <w:noWrap/>
            <w:vAlign w:val="bottom"/>
            <w:hideMark/>
          </w:tcPr>
          <w:p w14:paraId="46DDFB1E"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4.176.040 </w:t>
            </w:r>
          </w:p>
        </w:tc>
        <w:tc>
          <w:tcPr>
            <w:tcW w:w="651" w:type="pct"/>
            <w:tcBorders>
              <w:top w:val="nil"/>
              <w:left w:val="nil"/>
              <w:bottom w:val="single" w:sz="4" w:space="0" w:color="auto"/>
              <w:right w:val="single" w:sz="4" w:space="0" w:color="auto"/>
            </w:tcBorders>
            <w:shd w:val="clear" w:color="auto" w:fill="auto"/>
            <w:noWrap/>
            <w:vAlign w:val="bottom"/>
            <w:hideMark/>
          </w:tcPr>
          <w:p w14:paraId="4CF79AFF"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52020519"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328A6F78" w14:textId="77777777" w:rsidR="001E45E4" w:rsidRPr="00701F32" w:rsidRDefault="001E45E4">
            <w:pPr>
              <w:jc w:val="right"/>
              <w:rPr>
                <w:rFonts w:ascii="Arial" w:hAnsi="Arial" w:cs="Arial"/>
                <w:sz w:val="18"/>
                <w:szCs w:val="18"/>
              </w:rPr>
            </w:pPr>
            <w:r w:rsidRPr="00701F32">
              <w:rPr>
                <w:rFonts w:ascii="Arial" w:hAnsi="Arial" w:cs="Arial"/>
                <w:sz w:val="18"/>
                <w:szCs w:val="18"/>
              </w:rPr>
              <w:t>4.176.040</w:t>
            </w:r>
          </w:p>
        </w:tc>
      </w:tr>
      <w:tr w:rsidR="001E45E4" w:rsidRPr="00701F32" w14:paraId="2A82AE14"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38238F15"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Instrumentos derivados</w:t>
            </w:r>
          </w:p>
        </w:tc>
        <w:tc>
          <w:tcPr>
            <w:tcW w:w="650" w:type="pct"/>
            <w:tcBorders>
              <w:top w:val="nil"/>
              <w:left w:val="nil"/>
              <w:bottom w:val="single" w:sz="4" w:space="0" w:color="auto"/>
              <w:right w:val="single" w:sz="4" w:space="0" w:color="auto"/>
            </w:tcBorders>
            <w:shd w:val="clear" w:color="auto" w:fill="auto"/>
            <w:noWrap/>
            <w:vAlign w:val="bottom"/>
            <w:hideMark/>
          </w:tcPr>
          <w:p w14:paraId="4734DC37"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51F0FDAD"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2540AB91"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3D02ABB9" w14:textId="77777777" w:rsidR="001E45E4" w:rsidRPr="00701F32" w:rsidRDefault="001E45E4">
            <w:pPr>
              <w:jc w:val="right"/>
              <w:rPr>
                <w:rFonts w:ascii="Arial" w:hAnsi="Arial" w:cs="Arial"/>
                <w:sz w:val="18"/>
                <w:szCs w:val="18"/>
              </w:rPr>
            </w:pPr>
          </w:p>
        </w:tc>
      </w:tr>
      <w:tr w:rsidR="001E45E4" w:rsidRPr="00701F32" w14:paraId="0676CD47"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725CEEE2"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Operaciones de pases</w:t>
            </w:r>
          </w:p>
        </w:tc>
        <w:tc>
          <w:tcPr>
            <w:tcW w:w="650" w:type="pct"/>
            <w:tcBorders>
              <w:top w:val="nil"/>
              <w:left w:val="nil"/>
              <w:bottom w:val="single" w:sz="4" w:space="0" w:color="auto"/>
              <w:right w:val="single" w:sz="4" w:space="0" w:color="auto"/>
            </w:tcBorders>
            <w:shd w:val="clear" w:color="auto" w:fill="auto"/>
            <w:noWrap/>
            <w:vAlign w:val="bottom"/>
            <w:hideMark/>
          </w:tcPr>
          <w:p w14:paraId="7245481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66EB7B1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hideMark/>
          </w:tcPr>
          <w:p w14:paraId="72DDE803"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461A9FF1" w14:textId="77777777" w:rsidR="001E45E4" w:rsidRPr="00701F32" w:rsidRDefault="001E45E4">
            <w:pPr>
              <w:jc w:val="right"/>
              <w:rPr>
                <w:rFonts w:ascii="Arial" w:hAnsi="Arial" w:cs="Arial"/>
                <w:sz w:val="18"/>
                <w:szCs w:val="18"/>
              </w:rPr>
            </w:pPr>
          </w:p>
        </w:tc>
      </w:tr>
      <w:tr w:rsidR="001E45E4" w:rsidRPr="00701F32" w14:paraId="733DA2EE"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tcPr>
          <w:p w14:paraId="16ADBF6A"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Otros pasivos financieros</w:t>
            </w:r>
          </w:p>
        </w:tc>
        <w:tc>
          <w:tcPr>
            <w:tcW w:w="650" w:type="pct"/>
            <w:tcBorders>
              <w:top w:val="nil"/>
              <w:left w:val="nil"/>
              <w:bottom w:val="single" w:sz="4" w:space="0" w:color="auto"/>
              <w:right w:val="single" w:sz="4" w:space="0" w:color="auto"/>
            </w:tcBorders>
            <w:shd w:val="clear" w:color="auto" w:fill="auto"/>
            <w:noWrap/>
            <w:vAlign w:val="bottom"/>
          </w:tcPr>
          <w:p w14:paraId="2294F5D7"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2.220.661</w:t>
            </w:r>
          </w:p>
        </w:tc>
        <w:tc>
          <w:tcPr>
            <w:tcW w:w="651" w:type="pct"/>
            <w:tcBorders>
              <w:top w:val="nil"/>
              <w:left w:val="nil"/>
              <w:bottom w:val="single" w:sz="4" w:space="0" w:color="auto"/>
              <w:right w:val="single" w:sz="4" w:space="0" w:color="auto"/>
            </w:tcBorders>
            <w:shd w:val="clear" w:color="auto" w:fill="auto"/>
            <w:noWrap/>
            <w:vAlign w:val="bottom"/>
          </w:tcPr>
          <w:p w14:paraId="47A7F2A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tcPr>
          <w:p w14:paraId="1114B754"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62C9D001" w14:textId="77777777" w:rsidR="001E45E4" w:rsidRPr="00701F32" w:rsidRDefault="001E45E4">
            <w:pPr>
              <w:jc w:val="right"/>
              <w:rPr>
                <w:rFonts w:ascii="Arial" w:hAnsi="Arial" w:cs="Arial"/>
                <w:sz w:val="18"/>
                <w:szCs w:val="18"/>
              </w:rPr>
            </w:pPr>
            <w:r w:rsidRPr="00701F32">
              <w:rPr>
                <w:rFonts w:ascii="Arial" w:hAnsi="Arial" w:cs="Arial"/>
                <w:sz w:val="18"/>
                <w:szCs w:val="18"/>
              </w:rPr>
              <w:t>2.220.661</w:t>
            </w:r>
          </w:p>
        </w:tc>
      </w:tr>
      <w:tr w:rsidR="001E45E4" w:rsidRPr="00701F32" w14:paraId="7F4803EF"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tcPr>
          <w:p w14:paraId="1EA08C3C"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Financiaciones recibidas del BCRA y otras instituciones financieras</w:t>
            </w:r>
          </w:p>
        </w:tc>
        <w:tc>
          <w:tcPr>
            <w:tcW w:w="650" w:type="pct"/>
            <w:tcBorders>
              <w:top w:val="nil"/>
              <w:left w:val="nil"/>
              <w:bottom w:val="single" w:sz="4" w:space="0" w:color="auto"/>
              <w:right w:val="single" w:sz="4" w:space="0" w:color="auto"/>
            </w:tcBorders>
            <w:shd w:val="clear" w:color="auto" w:fill="auto"/>
            <w:noWrap/>
            <w:vAlign w:val="bottom"/>
          </w:tcPr>
          <w:p w14:paraId="1030925F"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50.105 </w:t>
            </w:r>
          </w:p>
        </w:tc>
        <w:tc>
          <w:tcPr>
            <w:tcW w:w="651" w:type="pct"/>
            <w:tcBorders>
              <w:top w:val="nil"/>
              <w:left w:val="nil"/>
              <w:bottom w:val="single" w:sz="4" w:space="0" w:color="auto"/>
              <w:right w:val="single" w:sz="4" w:space="0" w:color="auto"/>
            </w:tcBorders>
            <w:shd w:val="clear" w:color="auto" w:fill="auto"/>
            <w:noWrap/>
            <w:vAlign w:val="bottom"/>
          </w:tcPr>
          <w:p w14:paraId="326BFF4F"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tcPr>
          <w:p w14:paraId="742E4766"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2E75FBC2" w14:textId="77777777" w:rsidR="001E45E4" w:rsidRPr="00701F32" w:rsidRDefault="001E45E4">
            <w:pPr>
              <w:jc w:val="right"/>
              <w:rPr>
                <w:rFonts w:ascii="Arial" w:hAnsi="Arial" w:cs="Arial"/>
                <w:sz w:val="18"/>
                <w:szCs w:val="18"/>
              </w:rPr>
            </w:pPr>
            <w:r w:rsidRPr="00701F32">
              <w:rPr>
                <w:rFonts w:ascii="Arial" w:hAnsi="Arial" w:cs="Arial"/>
                <w:sz w:val="18"/>
                <w:szCs w:val="18"/>
              </w:rPr>
              <w:t>50.105</w:t>
            </w:r>
          </w:p>
        </w:tc>
      </w:tr>
      <w:tr w:rsidR="001E45E4" w:rsidRPr="00701F32" w14:paraId="791EE192"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tcPr>
          <w:p w14:paraId="08CBEC73"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emitidas</w:t>
            </w:r>
          </w:p>
        </w:tc>
        <w:tc>
          <w:tcPr>
            <w:tcW w:w="650" w:type="pct"/>
            <w:tcBorders>
              <w:top w:val="nil"/>
              <w:left w:val="nil"/>
              <w:bottom w:val="single" w:sz="4" w:space="0" w:color="auto"/>
              <w:right w:val="single" w:sz="4" w:space="0" w:color="auto"/>
            </w:tcBorders>
            <w:shd w:val="clear" w:color="auto" w:fill="auto"/>
            <w:noWrap/>
            <w:vAlign w:val="bottom"/>
          </w:tcPr>
          <w:p w14:paraId="123ABEBD"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tcPr>
          <w:p w14:paraId="72B40CA8"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tcPr>
          <w:p w14:paraId="00568B7C"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1331D0AB" w14:textId="77777777" w:rsidR="001E45E4" w:rsidRPr="00701F32" w:rsidRDefault="001E45E4">
            <w:pPr>
              <w:jc w:val="right"/>
              <w:rPr>
                <w:rFonts w:ascii="Arial" w:hAnsi="Arial" w:cs="Arial"/>
                <w:sz w:val="18"/>
                <w:szCs w:val="18"/>
              </w:rPr>
            </w:pPr>
          </w:p>
        </w:tc>
      </w:tr>
      <w:tr w:rsidR="001E45E4" w:rsidRPr="00701F32" w14:paraId="0451212C"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tcPr>
          <w:p w14:paraId="30C0A81D" w14:textId="77777777" w:rsidR="001E45E4" w:rsidRPr="00701F32" w:rsidRDefault="001E45E4" w:rsidP="00464C0F">
            <w:pPr>
              <w:jc w:val="both"/>
              <w:rPr>
                <w:rFonts w:ascii="Arial" w:hAnsi="Arial" w:cs="Arial"/>
                <w:color w:val="000000"/>
                <w:sz w:val="18"/>
                <w:szCs w:val="18"/>
                <w:lang w:eastAsia="es-AR"/>
              </w:rPr>
            </w:pPr>
            <w:r w:rsidRPr="00701F32">
              <w:rPr>
                <w:rFonts w:ascii="Arial" w:hAnsi="Arial" w:cs="Arial"/>
                <w:color w:val="000000"/>
                <w:sz w:val="18"/>
                <w:szCs w:val="18"/>
                <w:lang w:eastAsia="es-AR"/>
              </w:rPr>
              <w:t>- Obligaciones negociables subordinadas</w:t>
            </w:r>
          </w:p>
        </w:tc>
        <w:tc>
          <w:tcPr>
            <w:tcW w:w="650" w:type="pct"/>
            <w:tcBorders>
              <w:top w:val="nil"/>
              <w:left w:val="nil"/>
              <w:bottom w:val="single" w:sz="4" w:space="0" w:color="auto"/>
              <w:right w:val="single" w:sz="4" w:space="0" w:color="auto"/>
            </w:tcBorders>
            <w:shd w:val="clear" w:color="auto" w:fill="auto"/>
            <w:noWrap/>
            <w:vAlign w:val="bottom"/>
          </w:tcPr>
          <w:p w14:paraId="69FE392C" w14:textId="77777777" w:rsidR="001E45E4" w:rsidRPr="00701F32" w:rsidRDefault="001E45E4" w:rsidP="00464C0F">
            <w:pPr>
              <w:ind w:left="792"/>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51" w:type="pct"/>
            <w:tcBorders>
              <w:top w:val="nil"/>
              <w:left w:val="nil"/>
              <w:bottom w:val="single" w:sz="4" w:space="0" w:color="auto"/>
              <w:right w:val="single" w:sz="4" w:space="0" w:color="auto"/>
            </w:tcBorders>
            <w:shd w:val="clear" w:color="auto" w:fill="auto"/>
            <w:noWrap/>
            <w:vAlign w:val="bottom"/>
          </w:tcPr>
          <w:p w14:paraId="58E4489D"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03" w:type="pct"/>
            <w:tcBorders>
              <w:top w:val="nil"/>
              <w:left w:val="nil"/>
              <w:bottom w:val="single" w:sz="4" w:space="0" w:color="auto"/>
              <w:right w:val="single" w:sz="4" w:space="0" w:color="auto"/>
            </w:tcBorders>
            <w:shd w:val="clear" w:color="auto" w:fill="auto"/>
            <w:noWrap/>
            <w:vAlign w:val="bottom"/>
          </w:tcPr>
          <w:p w14:paraId="48C2A3FF" w14:textId="77777777" w:rsidR="001E45E4" w:rsidRPr="00701F32" w:rsidRDefault="001E45E4" w:rsidP="00464C0F">
            <w:pPr>
              <w:jc w:val="right"/>
              <w:rPr>
                <w:rFonts w:ascii="Arial" w:hAnsi="Arial" w:cs="Arial"/>
                <w:color w:val="000000"/>
                <w:sz w:val="18"/>
                <w:szCs w:val="18"/>
                <w:lang w:eastAsia="es-AR"/>
              </w:rPr>
            </w:pPr>
            <w:r w:rsidRPr="00701F32">
              <w:rPr>
                <w:rFonts w:ascii="Arial" w:hAnsi="Arial" w:cs="Arial"/>
                <w:sz w:val="18"/>
                <w:szCs w:val="18"/>
              </w:rPr>
              <w:t xml:space="preserve"> -   </w:t>
            </w:r>
          </w:p>
        </w:tc>
        <w:tc>
          <w:tcPr>
            <w:tcW w:w="696" w:type="pct"/>
            <w:tcBorders>
              <w:top w:val="nil"/>
              <w:left w:val="nil"/>
              <w:bottom w:val="single" w:sz="4" w:space="0" w:color="auto"/>
              <w:right w:val="single" w:sz="4" w:space="0" w:color="auto"/>
            </w:tcBorders>
            <w:vAlign w:val="bottom"/>
          </w:tcPr>
          <w:p w14:paraId="6E1A5C3A" w14:textId="77777777" w:rsidR="001E45E4" w:rsidRPr="00701F32" w:rsidRDefault="001E45E4">
            <w:pPr>
              <w:jc w:val="right"/>
              <w:rPr>
                <w:rFonts w:ascii="Arial" w:hAnsi="Arial" w:cs="Arial"/>
                <w:sz w:val="18"/>
                <w:szCs w:val="18"/>
              </w:rPr>
            </w:pPr>
          </w:p>
        </w:tc>
      </w:tr>
      <w:tr w:rsidR="001E45E4" w:rsidRPr="00701F32" w14:paraId="45830F05" w14:textId="77777777" w:rsidTr="0086282C">
        <w:trPr>
          <w:trHeight w:val="205"/>
        </w:trPr>
        <w:tc>
          <w:tcPr>
            <w:tcW w:w="2400" w:type="pct"/>
            <w:tcBorders>
              <w:top w:val="nil"/>
              <w:left w:val="single" w:sz="4" w:space="0" w:color="auto"/>
              <w:bottom w:val="single" w:sz="4" w:space="0" w:color="auto"/>
              <w:right w:val="single" w:sz="4" w:space="0" w:color="auto"/>
            </w:tcBorders>
            <w:shd w:val="clear" w:color="auto" w:fill="auto"/>
            <w:noWrap/>
            <w:vAlign w:val="bottom"/>
            <w:hideMark/>
          </w:tcPr>
          <w:p w14:paraId="37725174" w14:textId="77777777" w:rsidR="001E45E4" w:rsidRPr="00701F32" w:rsidRDefault="001E45E4" w:rsidP="00464C0F">
            <w:pPr>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Total Pasivos</w:t>
            </w:r>
          </w:p>
        </w:tc>
        <w:tc>
          <w:tcPr>
            <w:tcW w:w="650" w:type="pct"/>
            <w:tcBorders>
              <w:top w:val="nil"/>
              <w:left w:val="nil"/>
              <w:bottom w:val="single" w:sz="4" w:space="0" w:color="auto"/>
              <w:right w:val="single" w:sz="4" w:space="0" w:color="auto"/>
            </w:tcBorders>
            <w:shd w:val="clear" w:color="auto" w:fill="auto"/>
            <w:noWrap/>
            <w:vAlign w:val="bottom"/>
            <w:hideMark/>
          </w:tcPr>
          <w:p w14:paraId="37AB9905"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sz w:val="18"/>
                <w:szCs w:val="18"/>
              </w:rPr>
              <w:t xml:space="preserve">  6.446.806</w:t>
            </w:r>
          </w:p>
        </w:tc>
        <w:tc>
          <w:tcPr>
            <w:tcW w:w="651" w:type="pct"/>
            <w:tcBorders>
              <w:top w:val="nil"/>
              <w:left w:val="nil"/>
              <w:bottom w:val="single" w:sz="4" w:space="0" w:color="auto"/>
              <w:right w:val="single" w:sz="4" w:space="0" w:color="auto"/>
            </w:tcBorders>
            <w:shd w:val="clear" w:color="auto" w:fill="auto"/>
            <w:noWrap/>
            <w:vAlign w:val="bottom"/>
            <w:hideMark/>
          </w:tcPr>
          <w:p w14:paraId="4D1A3267" w14:textId="77777777" w:rsidR="001E45E4" w:rsidRPr="00701F32" w:rsidRDefault="001E45E4" w:rsidP="00464C0F">
            <w:pPr>
              <w:jc w:val="right"/>
              <w:rPr>
                <w:rFonts w:ascii="Arial" w:hAnsi="Arial" w:cs="Arial"/>
                <w:b/>
                <w:bCs/>
                <w:color w:val="000000"/>
                <w:sz w:val="18"/>
                <w:szCs w:val="18"/>
                <w:lang w:eastAsia="es-AR"/>
              </w:rPr>
            </w:pPr>
            <w:r w:rsidRPr="00701F32">
              <w:rPr>
                <w:rFonts w:ascii="Arial" w:hAnsi="Arial" w:cs="Arial"/>
                <w:b/>
                <w:sz w:val="18"/>
                <w:szCs w:val="18"/>
              </w:rPr>
              <w:t xml:space="preserve">- </w:t>
            </w:r>
          </w:p>
        </w:tc>
        <w:tc>
          <w:tcPr>
            <w:tcW w:w="603" w:type="pct"/>
            <w:tcBorders>
              <w:top w:val="nil"/>
              <w:left w:val="nil"/>
              <w:bottom w:val="single" w:sz="4" w:space="0" w:color="auto"/>
              <w:right w:val="single" w:sz="4" w:space="0" w:color="auto"/>
            </w:tcBorders>
            <w:shd w:val="clear" w:color="auto" w:fill="auto"/>
            <w:noWrap/>
            <w:vAlign w:val="bottom"/>
            <w:hideMark/>
          </w:tcPr>
          <w:p w14:paraId="010C6E3E" w14:textId="77777777" w:rsidR="001E45E4" w:rsidRPr="00701F32" w:rsidRDefault="001E45E4" w:rsidP="00464C0F">
            <w:pPr>
              <w:jc w:val="right"/>
              <w:rPr>
                <w:rFonts w:ascii="Arial" w:hAnsi="Arial" w:cs="Arial"/>
                <w:b/>
                <w:bCs/>
                <w:color w:val="000000"/>
                <w:sz w:val="18"/>
                <w:szCs w:val="18"/>
                <w:lang w:eastAsia="es-AR"/>
              </w:rPr>
            </w:pPr>
          </w:p>
        </w:tc>
        <w:tc>
          <w:tcPr>
            <w:tcW w:w="696" w:type="pct"/>
            <w:tcBorders>
              <w:top w:val="nil"/>
              <w:left w:val="nil"/>
              <w:bottom w:val="single" w:sz="4" w:space="0" w:color="auto"/>
              <w:right w:val="single" w:sz="4" w:space="0" w:color="auto"/>
            </w:tcBorders>
            <w:vAlign w:val="bottom"/>
          </w:tcPr>
          <w:p w14:paraId="54EDE550" w14:textId="77777777" w:rsidR="001E45E4" w:rsidRPr="00701F32" w:rsidRDefault="001E45E4">
            <w:pPr>
              <w:jc w:val="right"/>
              <w:rPr>
                <w:rFonts w:ascii="Arial" w:hAnsi="Arial" w:cs="Arial"/>
                <w:b/>
                <w:bCs/>
                <w:color w:val="000000"/>
                <w:sz w:val="18"/>
                <w:szCs w:val="18"/>
                <w:lang w:eastAsia="es-AR"/>
              </w:rPr>
            </w:pPr>
            <w:r w:rsidRPr="00701F32">
              <w:rPr>
                <w:rFonts w:ascii="Arial" w:hAnsi="Arial" w:cs="Arial"/>
                <w:b/>
                <w:bCs/>
                <w:color w:val="000000"/>
                <w:sz w:val="18"/>
                <w:szCs w:val="18"/>
                <w:lang w:eastAsia="es-AR"/>
              </w:rPr>
              <w:t>6.446.806</w:t>
            </w:r>
          </w:p>
        </w:tc>
      </w:tr>
    </w:tbl>
    <w:p w14:paraId="4FE419C4" w14:textId="77777777" w:rsidR="00656E62" w:rsidRPr="00701F32" w:rsidRDefault="00656E62" w:rsidP="00656E62">
      <w:pPr>
        <w:spacing w:line="259" w:lineRule="auto"/>
        <w:jc w:val="both"/>
        <w:rPr>
          <w:rFonts w:ascii="Arial" w:eastAsia="Calibri" w:hAnsi="Arial" w:cs="Arial"/>
          <w:bCs/>
          <w:sz w:val="20"/>
        </w:rPr>
      </w:pPr>
    </w:p>
    <w:p w14:paraId="7CBD6411"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La política del Banco es reconocer transferencias entre los niveles de Valores Razonables solo a las fechas de cierre de ejercicio, no existiendo modificaciones en relación a los instrumentos financieros mantenidos en cartera al 31 de diciembre de 2017.</w:t>
      </w:r>
    </w:p>
    <w:p w14:paraId="08B4E7A6" w14:textId="77777777" w:rsidR="00B16471"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Valor Razonable nivel 1: El</w:t>
      </w:r>
      <w:r w:rsidRPr="00701F32">
        <w:rPr>
          <w:rFonts w:ascii="Arial" w:eastAsia="Calibri" w:hAnsi="Arial" w:cs="Arial"/>
          <w:color w:val="000000"/>
          <w:sz w:val="20"/>
        </w:rPr>
        <w:t xml:space="preserve"> valor razonable de los instrumentos financieros negociados en mercados activos (como derivados negociados públicamente, inversiones negociables o disponibles para la venta) se basa en los precios de cotización de los mercados a la fecha del </w:t>
      </w:r>
    </w:p>
    <w:p w14:paraId="1F278E5E" w14:textId="77777777" w:rsidR="00B16471" w:rsidRPr="00701F32" w:rsidRDefault="00B16471" w:rsidP="00656E62">
      <w:pPr>
        <w:autoSpaceDE w:val="0"/>
        <w:autoSpaceDN w:val="0"/>
        <w:adjustRightInd w:val="0"/>
        <w:jc w:val="both"/>
        <w:rPr>
          <w:rFonts w:ascii="Arial" w:eastAsia="Calibri" w:hAnsi="Arial" w:cs="Arial"/>
          <w:color w:val="000000"/>
          <w:sz w:val="20"/>
        </w:rPr>
      </w:pPr>
    </w:p>
    <w:p w14:paraId="4B8D756E"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color w:val="000000"/>
          <w:sz w:val="20"/>
        </w:rPr>
        <w:t xml:space="preserve">periodo de reporte. El precio de mercado utilizado en los activos financieros mantenidos por el Grupo es el precio de compra actual. Estos instrumentos se incluyen en el nivel 1. </w:t>
      </w:r>
    </w:p>
    <w:p w14:paraId="0CDEC92B" w14:textId="77777777" w:rsidR="00656E62" w:rsidRPr="00701F32" w:rsidRDefault="00656E62" w:rsidP="00656E62">
      <w:pPr>
        <w:autoSpaceDE w:val="0"/>
        <w:autoSpaceDN w:val="0"/>
        <w:adjustRightInd w:val="0"/>
        <w:jc w:val="both"/>
        <w:rPr>
          <w:rFonts w:ascii="Arial" w:eastAsia="Calibri" w:hAnsi="Arial" w:cs="Arial"/>
          <w:bCs/>
          <w:color w:val="000000"/>
          <w:sz w:val="20"/>
        </w:rPr>
      </w:pPr>
    </w:p>
    <w:p w14:paraId="59D81FAE"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2: </w:t>
      </w:r>
      <w:r w:rsidRPr="00701F32">
        <w:rPr>
          <w:rFonts w:ascii="Arial" w:eastAsia="Calibri" w:hAnsi="Arial" w:cs="Arial"/>
          <w:color w:val="000000"/>
          <w:sz w:val="20"/>
        </w:rPr>
        <w:t xml:space="preserve">El valor razonable de instrumentos financieros que no se negocian en mercados activos, por ejemplo, los derivados disponibles fuera de bolsa (over-the-counter), se determina utilizando técnicas de valuación que maximizan el uso de información observable y deposita la menor confianza posible en estimados específicos del Grupo. Si todas las variables relevantes para establecer el valor razonable de un instrumento financiero son observables, el instrumento se incluye en el nivel 2. </w:t>
      </w:r>
    </w:p>
    <w:p w14:paraId="534444BB" w14:textId="77777777" w:rsidR="00656E62" w:rsidRPr="00701F32" w:rsidRDefault="00656E62" w:rsidP="00656E62">
      <w:pPr>
        <w:autoSpaceDE w:val="0"/>
        <w:autoSpaceDN w:val="0"/>
        <w:adjustRightInd w:val="0"/>
        <w:jc w:val="both"/>
        <w:rPr>
          <w:rFonts w:ascii="Arial" w:eastAsia="Calibri" w:hAnsi="Arial" w:cs="Arial"/>
          <w:bCs/>
          <w:color w:val="000000"/>
          <w:sz w:val="20"/>
        </w:rPr>
      </w:pPr>
    </w:p>
    <w:p w14:paraId="7D0D90B2" w14:textId="77777777" w:rsidR="00656E62" w:rsidRPr="00701F32" w:rsidRDefault="00656E62" w:rsidP="00656E62">
      <w:pPr>
        <w:autoSpaceDE w:val="0"/>
        <w:autoSpaceDN w:val="0"/>
        <w:adjustRightInd w:val="0"/>
        <w:jc w:val="both"/>
        <w:rPr>
          <w:rFonts w:ascii="Arial" w:eastAsia="Calibri" w:hAnsi="Arial" w:cs="Arial"/>
          <w:color w:val="000000"/>
          <w:sz w:val="20"/>
        </w:rPr>
      </w:pPr>
      <w:r w:rsidRPr="00701F32">
        <w:rPr>
          <w:rFonts w:ascii="Arial" w:eastAsia="Calibri" w:hAnsi="Arial" w:cs="Arial"/>
          <w:bCs/>
          <w:color w:val="000000"/>
          <w:sz w:val="20"/>
        </w:rPr>
        <w:t xml:space="preserve">Valor Razonable nivel 3: </w:t>
      </w:r>
      <w:r w:rsidRPr="00701F32">
        <w:rPr>
          <w:rFonts w:ascii="Arial" w:eastAsia="Calibri" w:hAnsi="Arial" w:cs="Arial"/>
          <w:color w:val="000000"/>
          <w:sz w:val="20"/>
        </w:rPr>
        <w:t xml:space="preserve">Si una o más variables relevantes no se basan en información observable de mercado, el instrumento se incluye en el nivel 3. Este es el caso de los instrumentos de capital sin cotización. </w:t>
      </w:r>
    </w:p>
    <w:p w14:paraId="0C7509E8" w14:textId="77777777" w:rsidR="00656E62" w:rsidRPr="00701F32" w:rsidRDefault="00656E62" w:rsidP="00656E62">
      <w:pPr>
        <w:spacing w:line="259" w:lineRule="auto"/>
        <w:jc w:val="both"/>
        <w:rPr>
          <w:rFonts w:ascii="Arial" w:eastAsia="Calibri" w:hAnsi="Arial" w:cs="Arial"/>
          <w:b/>
          <w:bCs/>
          <w:sz w:val="20"/>
        </w:rPr>
      </w:pPr>
    </w:p>
    <w:p w14:paraId="0109CBE6" w14:textId="77777777" w:rsidR="00656E62" w:rsidRPr="00701F32" w:rsidRDefault="00656E62" w:rsidP="00656E62">
      <w:pPr>
        <w:spacing w:after="160" w:line="259" w:lineRule="auto"/>
        <w:jc w:val="both"/>
        <w:rPr>
          <w:rFonts w:ascii="Arial" w:eastAsia="Calibri" w:hAnsi="Arial" w:cs="Arial"/>
          <w:b/>
          <w:bCs/>
          <w:sz w:val="20"/>
        </w:rPr>
      </w:pPr>
      <w:r w:rsidRPr="00701F32">
        <w:rPr>
          <w:rFonts w:ascii="Arial" w:eastAsia="Calibri" w:hAnsi="Arial" w:cs="Arial"/>
          <w:b/>
          <w:bCs/>
          <w:sz w:val="20"/>
        </w:rPr>
        <w:t>Valor Razonable de Otros Instrumentos Financieros</w:t>
      </w:r>
    </w:p>
    <w:p w14:paraId="6FDFD606" w14:textId="5CEEF336"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La Entidad</w:t>
      </w:r>
      <w:r w:rsidR="002C7E18" w:rsidRPr="00701F32">
        <w:rPr>
          <w:rFonts w:ascii="Arial" w:eastAsia="Calibri" w:hAnsi="Arial" w:cs="Arial"/>
          <w:bCs/>
          <w:sz w:val="20"/>
        </w:rPr>
        <w:t xml:space="preserve"> con</w:t>
      </w:r>
      <w:r w:rsidRPr="00701F32">
        <w:rPr>
          <w:rFonts w:ascii="Arial" w:eastAsia="Calibri" w:hAnsi="Arial" w:cs="Arial"/>
          <w:bCs/>
          <w:sz w:val="20"/>
        </w:rPr>
        <w:t xml:space="preserve"> cuenta instrumentos financieros que no son valuados a su valor razonable. Para la mayoría de los mismos, el valor razonable no difiere sustancialmente de su valor residual, debido a que la tasa de interés a pagar o cobrar es similar a las tasas de mercado, o bien el instrumento es de corta duración. Al 31/12/2017 no se han registrado diferencias sustanciales.</w:t>
      </w:r>
    </w:p>
    <w:p w14:paraId="25474151" w14:textId="77777777" w:rsidR="00F17F39" w:rsidRPr="00701F32" w:rsidRDefault="00F17F39" w:rsidP="00656E62">
      <w:pPr>
        <w:spacing w:after="160" w:line="259" w:lineRule="auto"/>
        <w:jc w:val="both"/>
        <w:rPr>
          <w:rFonts w:ascii="Arial" w:eastAsia="Calibri" w:hAnsi="Arial" w:cs="Arial"/>
          <w:bCs/>
          <w:sz w:val="20"/>
        </w:rPr>
      </w:pPr>
    </w:p>
    <w:p w14:paraId="39A17AB9" w14:textId="77777777" w:rsidR="00F17F39" w:rsidRPr="00701F32" w:rsidRDefault="00F17F39" w:rsidP="00656E62">
      <w:pPr>
        <w:spacing w:after="160" w:line="259" w:lineRule="auto"/>
        <w:jc w:val="both"/>
        <w:rPr>
          <w:rFonts w:ascii="Arial" w:eastAsia="Calibri" w:hAnsi="Arial" w:cs="Arial"/>
          <w:bCs/>
          <w:sz w:val="20"/>
        </w:rPr>
      </w:pPr>
    </w:p>
    <w:p w14:paraId="7922891B" w14:textId="77777777" w:rsidR="00656E62" w:rsidRPr="00701F32" w:rsidRDefault="00656E62" w:rsidP="00656E62">
      <w:pPr>
        <w:spacing w:after="160" w:line="259" w:lineRule="auto"/>
        <w:jc w:val="both"/>
        <w:rPr>
          <w:rFonts w:ascii="Arial" w:eastAsia="Calibri" w:hAnsi="Arial" w:cs="Arial"/>
          <w:b/>
          <w:bCs/>
          <w:color w:val="FF0000"/>
          <w:sz w:val="20"/>
        </w:rPr>
      </w:pPr>
      <w:r w:rsidRPr="00701F32">
        <w:rPr>
          <w:rFonts w:ascii="Arial" w:eastAsia="Calibri" w:hAnsi="Arial" w:cs="Arial"/>
          <w:b/>
          <w:bCs/>
          <w:sz w:val="20"/>
        </w:rPr>
        <w:t xml:space="preserve">Baja de Activos Financieros </w:t>
      </w:r>
    </w:p>
    <w:p w14:paraId="3CF2CFF6" w14:textId="4994A121"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 xml:space="preserve">La cartera cedida a fideicomisos financieros no implica la baja de las mismas en las cuentas de activos de la Entidad. La misma ha mantenido sustancialmente todos los riesgos y beneficios asociados a la cartera fideicomitida de acuerdo a lo establecido en el punto 3.2.4. (Baja en cuentas de activos) de la NIIF 9 “Instrumentos Financieros”, reconociendo de esta forma la totalidad de la cartera securitizada y la deuda adquirida con el </w:t>
      </w:r>
      <w:r w:rsidR="001F412C" w:rsidRPr="00701F32">
        <w:rPr>
          <w:rFonts w:ascii="Arial" w:eastAsia="Calibri" w:hAnsi="Arial" w:cs="Arial"/>
          <w:bCs/>
          <w:sz w:val="20"/>
        </w:rPr>
        <w:t xml:space="preserve">fideicomiso </w:t>
      </w:r>
      <w:r w:rsidRPr="00701F32">
        <w:rPr>
          <w:rFonts w:ascii="Arial" w:eastAsia="Calibri" w:hAnsi="Arial" w:cs="Arial"/>
          <w:bCs/>
          <w:sz w:val="20"/>
        </w:rPr>
        <w:t xml:space="preserve">en su </w:t>
      </w:r>
      <w:r w:rsidR="001F412C" w:rsidRPr="00701F32">
        <w:rPr>
          <w:rFonts w:ascii="Arial" w:eastAsia="Calibri" w:hAnsi="Arial" w:cs="Arial"/>
          <w:bCs/>
          <w:sz w:val="20"/>
        </w:rPr>
        <w:t xml:space="preserve">estado </w:t>
      </w:r>
      <w:r w:rsidRPr="00701F32">
        <w:rPr>
          <w:rFonts w:ascii="Arial" w:eastAsia="Calibri" w:hAnsi="Arial" w:cs="Arial"/>
          <w:bCs/>
          <w:sz w:val="20"/>
        </w:rPr>
        <w:t xml:space="preserve">de </w:t>
      </w:r>
      <w:r w:rsidR="001F412C" w:rsidRPr="00701F32">
        <w:rPr>
          <w:rFonts w:ascii="Arial" w:eastAsia="Calibri" w:hAnsi="Arial" w:cs="Arial"/>
          <w:bCs/>
          <w:sz w:val="20"/>
        </w:rPr>
        <w:t>situación financiera</w:t>
      </w:r>
      <w:r w:rsidRPr="00701F32">
        <w:rPr>
          <w:rFonts w:ascii="Arial" w:eastAsia="Calibri" w:hAnsi="Arial" w:cs="Arial"/>
          <w:bCs/>
          <w:sz w:val="20"/>
        </w:rPr>
        <w:t>.</w:t>
      </w:r>
    </w:p>
    <w:p w14:paraId="4A20F3A6" w14:textId="77777777" w:rsidR="00656E62" w:rsidRPr="00701F32" w:rsidRDefault="00656E62" w:rsidP="00656E62">
      <w:pPr>
        <w:spacing w:after="160" w:line="259" w:lineRule="auto"/>
        <w:jc w:val="both"/>
        <w:rPr>
          <w:rFonts w:ascii="Arial" w:eastAsia="Calibri" w:hAnsi="Arial" w:cs="Arial"/>
          <w:bCs/>
          <w:sz w:val="20"/>
        </w:rPr>
      </w:pPr>
      <w:r w:rsidRPr="00701F32">
        <w:rPr>
          <w:rFonts w:ascii="Arial" w:eastAsia="Calibri" w:hAnsi="Arial" w:cs="Arial"/>
          <w:bCs/>
          <w:sz w:val="20"/>
        </w:rPr>
        <w:t>Se exponen a continuación los saldos de la cartera fideicomitida y la deuda asociada a las mismas:</w:t>
      </w:r>
    </w:p>
    <w:tbl>
      <w:tblPr>
        <w:tblW w:w="4866" w:type="pct"/>
        <w:tblCellMar>
          <w:left w:w="70" w:type="dxa"/>
          <w:right w:w="70" w:type="dxa"/>
        </w:tblCellMar>
        <w:tblLook w:val="04A0" w:firstRow="1" w:lastRow="0" w:firstColumn="1" w:lastColumn="0" w:noHBand="0" w:noVBand="1"/>
      </w:tblPr>
      <w:tblGrid>
        <w:gridCol w:w="6348"/>
        <w:gridCol w:w="2065"/>
      </w:tblGrid>
      <w:tr w:rsidR="00656E62" w:rsidRPr="00701F32" w14:paraId="2509B043" w14:textId="77777777" w:rsidTr="00464C0F">
        <w:trPr>
          <w:trHeight w:val="262"/>
          <w:tblHeader/>
        </w:trPr>
        <w:tc>
          <w:tcPr>
            <w:tcW w:w="3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FF4A1" w14:textId="77777777" w:rsidR="00656E62" w:rsidRPr="00701F32" w:rsidRDefault="00656E62" w:rsidP="00464C0F">
            <w:pPr>
              <w:jc w:val="both"/>
              <w:rPr>
                <w:rFonts w:ascii="Arial" w:hAnsi="Arial" w:cs="Arial"/>
                <w:color w:val="000000"/>
                <w:sz w:val="20"/>
                <w:lang w:eastAsia="es-AR"/>
              </w:rPr>
            </w:pPr>
            <w:r w:rsidRPr="00701F32">
              <w:rPr>
                <w:rFonts w:ascii="Arial" w:hAnsi="Arial" w:cs="Arial"/>
                <w:color w:val="000000"/>
                <w:sz w:val="20"/>
                <w:lang w:eastAsia="es-AR"/>
              </w:rPr>
              <w:t> </w:t>
            </w:r>
          </w:p>
        </w:tc>
        <w:tc>
          <w:tcPr>
            <w:tcW w:w="1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8AFB5" w14:textId="77777777" w:rsidR="00656E62" w:rsidRPr="00701F32" w:rsidRDefault="00656E62" w:rsidP="00464C0F">
            <w:pPr>
              <w:jc w:val="right"/>
              <w:rPr>
                <w:rFonts w:ascii="Arial" w:hAnsi="Arial" w:cs="Arial"/>
                <w:b/>
                <w:color w:val="000000"/>
                <w:sz w:val="20"/>
                <w:lang w:eastAsia="es-AR"/>
              </w:rPr>
            </w:pPr>
            <w:r w:rsidRPr="00701F32">
              <w:rPr>
                <w:rFonts w:ascii="Arial" w:hAnsi="Arial" w:cs="Arial"/>
                <w:b/>
                <w:color w:val="000000"/>
                <w:sz w:val="20"/>
                <w:lang w:eastAsia="es-AR"/>
              </w:rPr>
              <w:t>31/12/2017</w:t>
            </w:r>
          </w:p>
        </w:tc>
      </w:tr>
      <w:tr w:rsidR="00656E62" w:rsidRPr="00701F32" w14:paraId="2860DB2A" w14:textId="77777777" w:rsidTr="00464C0F">
        <w:trPr>
          <w:trHeight w:val="262"/>
        </w:trPr>
        <w:tc>
          <w:tcPr>
            <w:tcW w:w="3773" w:type="pct"/>
            <w:tcBorders>
              <w:top w:val="nil"/>
              <w:left w:val="single" w:sz="4" w:space="0" w:color="auto"/>
              <w:bottom w:val="single" w:sz="4" w:space="0" w:color="auto"/>
              <w:right w:val="single" w:sz="4" w:space="0" w:color="auto"/>
            </w:tcBorders>
            <w:shd w:val="clear" w:color="auto" w:fill="auto"/>
            <w:noWrap/>
            <w:vAlign w:val="bottom"/>
            <w:hideMark/>
          </w:tcPr>
          <w:p w14:paraId="7FBBB754" w14:textId="77777777" w:rsidR="00656E62" w:rsidRPr="00701F32" w:rsidRDefault="00656E62" w:rsidP="00464C0F">
            <w:pPr>
              <w:jc w:val="both"/>
              <w:rPr>
                <w:rFonts w:ascii="Arial" w:hAnsi="Arial" w:cs="Arial"/>
                <w:color w:val="000000"/>
                <w:sz w:val="20"/>
                <w:lang w:eastAsia="es-AR"/>
              </w:rPr>
            </w:pPr>
            <w:r w:rsidRPr="00701F32">
              <w:rPr>
                <w:rFonts w:ascii="Arial" w:hAnsi="Arial" w:cs="Arial"/>
                <w:color w:val="000000"/>
                <w:sz w:val="20"/>
                <w:lang w:eastAsia="es-AR"/>
              </w:rPr>
              <w:t>Total de Activos Fideicomitidos</w:t>
            </w:r>
          </w:p>
        </w:tc>
        <w:tc>
          <w:tcPr>
            <w:tcW w:w="1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0C2C" w14:textId="77777777" w:rsidR="00656E62" w:rsidRPr="00701F32" w:rsidRDefault="00656E62" w:rsidP="00464C0F">
            <w:pPr>
              <w:jc w:val="right"/>
              <w:rPr>
                <w:rFonts w:ascii="Arial" w:hAnsi="Arial" w:cs="Arial"/>
                <w:color w:val="000000"/>
                <w:sz w:val="20"/>
                <w:lang w:eastAsia="es-AR"/>
              </w:rPr>
            </w:pPr>
            <w:r w:rsidRPr="00701F32">
              <w:rPr>
                <w:rFonts w:ascii="Arial" w:hAnsi="Arial" w:cs="Arial"/>
                <w:color w:val="000000"/>
                <w:sz w:val="20"/>
                <w:lang w:eastAsia="es-AR"/>
              </w:rPr>
              <w:t>568.133</w:t>
            </w:r>
          </w:p>
        </w:tc>
      </w:tr>
      <w:tr w:rsidR="00656E62" w:rsidRPr="00701F32" w14:paraId="14D6DCD1" w14:textId="77777777" w:rsidTr="00464C0F">
        <w:trPr>
          <w:trHeight w:val="262"/>
        </w:trPr>
        <w:tc>
          <w:tcPr>
            <w:tcW w:w="3773" w:type="pct"/>
            <w:tcBorders>
              <w:top w:val="nil"/>
              <w:left w:val="single" w:sz="4" w:space="0" w:color="auto"/>
              <w:bottom w:val="single" w:sz="4" w:space="0" w:color="auto"/>
              <w:right w:val="single" w:sz="4" w:space="0" w:color="auto"/>
            </w:tcBorders>
            <w:shd w:val="clear" w:color="auto" w:fill="auto"/>
            <w:noWrap/>
            <w:vAlign w:val="bottom"/>
            <w:hideMark/>
          </w:tcPr>
          <w:p w14:paraId="26C4924E" w14:textId="77777777" w:rsidR="00656E62" w:rsidRPr="00701F32" w:rsidRDefault="00656E62" w:rsidP="00464C0F">
            <w:pPr>
              <w:jc w:val="both"/>
              <w:rPr>
                <w:rFonts w:ascii="Arial" w:hAnsi="Arial" w:cs="Arial"/>
                <w:color w:val="000000"/>
                <w:sz w:val="20"/>
                <w:lang w:eastAsia="es-AR"/>
              </w:rPr>
            </w:pPr>
            <w:r w:rsidRPr="00701F32">
              <w:rPr>
                <w:rFonts w:ascii="Arial" w:hAnsi="Arial" w:cs="Arial"/>
                <w:color w:val="000000"/>
                <w:sz w:val="20"/>
                <w:lang w:eastAsia="es-AR"/>
              </w:rPr>
              <w:t>Pasivos asociados a la transferencia (*)</w:t>
            </w:r>
          </w:p>
        </w:tc>
        <w:tc>
          <w:tcPr>
            <w:tcW w:w="1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D8F14" w14:textId="77777777" w:rsidR="00656E62" w:rsidRPr="00701F32" w:rsidRDefault="00656E62" w:rsidP="00464C0F">
            <w:pPr>
              <w:jc w:val="right"/>
              <w:rPr>
                <w:rFonts w:ascii="Arial" w:hAnsi="Arial" w:cs="Arial"/>
                <w:color w:val="000000"/>
                <w:sz w:val="20"/>
                <w:lang w:eastAsia="es-AR"/>
              </w:rPr>
            </w:pPr>
            <w:r w:rsidRPr="00701F32">
              <w:rPr>
                <w:rFonts w:ascii="Arial" w:hAnsi="Arial" w:cs="Arial"/>
                <w:color w:val="000000"/>
                <w:sz w:val="20"/>
                <w:lang w:eastAsia="es-AR"/>
              </w:rPr>
              <w:t>473.809</w:t>
            </w:r>
          </w:p>
        </w:tc>
      </w:tr>
    </w:tbl>
    <w:p w14:paraId="11E1FCA5" w14:textId="77777777" w:rsidR="00656E62" w:rsidRPr="00701F32" w:rsidRDefault="00656E62" w:rsidP="00656E62">
      <w:pPr>
        <w:spacing w:after="160" w:line="259" w:lineRule="auto"/>
        <w:jc w:val="both"/>
        <w:rPr>
          <w:rFonts w:ascii="Arial" w:eastAsia="Calibri" w:hAnsi="Arial" w:cs="Arial"/>
          <w:bCs/>
          <w:sz w:val="16"/>
          <w:szCs w:val="16"/>
        </w:rPr>
      </w:pPr>
      <w:r w:rsidRPr="00701F32">
        <w:rPr>
          <w:rFonts w:ascii="Arial" w:eastAsia="Calibri" w:hAnsi="Arial" w:cs="Arial"/>
          <w:bCs/>
          <w:sz w:val="16"/>
          <w:szCs w:val="16"/>
        </w:rPr>
        <w:t>(*) Al 31/12/2017 no se han generado pasivos asociados a la trasferencia de cartera fiduciaria</w:t>
      </w:r>
    </w:p>
    <w:p w14:paraId="25A5FAB1" w14:textId="77777777" w:rsidR="00656E62" w:rsidRPr="00701F32" w:rsidRDefault="00656E62" w:rsidP="00656E62">
      <w:pPr>
        <w:spacing w:after="160" w:line="259" w:lineRule="auto"/>
        <w:jc w:val="both"/>
        <w:rPr>
          <w:rFonts w:ascii="Arial" w:eastAsia="Calibri" w:hAnsi="Arial" w:cs="Arial"/>
          <w:sz w:val="20"/>
          <w:u w:val="single"/>
        </w:rPr>
      </w:pPr>
      <w:r w:rsidRPr="00701F32">
        <w:rPr>
          <w:rFonts w:ascii="Arial" w:eastAsia="Calibri" w:hAnsi="Arial" w:cs="Arial"/>
          <w:sz w:val="20"/>
          <w:u w:val="single"/>
        </w:rPr>
        <w:t xml:space="preserve">Instrumentos de Patrimonio </w:t>
      </w:r>
    </w:p>
    <w:p w14:paraId="6B8F2D58"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Se detallan a continuación los instrumentos de patrimonio medidos a valor razonable con cambios en otros resultados Integrales al cierre del período:</w:t>
      </w:r>
    </w:p>
    <w:tbl>
      <w:tblPr>
        <w:tblW w:w="8691" w:type="dxa"/>
        <w:tblInd w:w="75" w:type="dxa"/>
        <w:tblLayout w:type="fixed"/>
        <w:tblCellMar>
          <w:left w:w="70" w:type="dxa"/>
          <w:right w:w="70" w:type="dxa"/>
        </w:tblCellMar>
        <w:tblLook w:val="04A0" w:firstRow="1" w:lastRow="0" w:firstColumn="1" w:lastColumn="0" w:noHBand="0" w:noVBand="1"/>
      </w:tblPr>
      <w:tblGrid>
        <w:gridCol w:w="1667"/>
        <w:gridCol w:w="1353"/>
        <w:gridCol w:w="1184"/>
        <w:gridCol w:w="1362"/>
        <w:gridCol w:w="1487"/>
        <w:gridCol w:w="1638"/>
      </w:tblGrid>
      <w:tr w:rsidR="00752937" w:rsidRPr="00701F32" w14:paraId="4C210784" w14:textId="77777777" w:rsidTr="00C23045">
        <w:trPr>
          <w:trHeight w:val="400"/>
        </w:trPr>
        <w:tc>
          <w:tcPr>
            <w:tcW w:w="1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89064A" w14:textId="77777777" w:rsidR="00752937" w:rsidRPr="00701F32" w:rsidRDefault="00752937" w:rsidP="002731C9">
            <w:pPr>
              <w:jc w:val="center"/>
              <w:rPr>
                <w:rFonts w:ascii="Arial" w:hAnsi="Arial" w:cs="Arial"/>
                <w:b/>
                <w:bCs/>
                <w:color w:val="000000"/>
                <w:sz w:val="16"/>
                <w:szCs w:val="18"/>
                <w:lang w:eastAsia="es-AR"/>
              </w:rPr>
            </w:pPr>
            <w:r w:rsidRPr="00701F32">
              <w:rPr>
                <w:rFonts w:ascii="Arial" w:hAnsi="Arial" w:cs="Arial"/>
                <w:b/>
                <w:bCs/>
                <w:color w:val="000000"/>
                <w:sz w:val="16"/>
                <w:szCs w:val="18"/>
              </w:rPr>
              <w:t> </w:t>
            </w:r>
          </w:p>
        </w:tc>
        <w:tc>
          <w:tcPr>
            <w:tcW w:w="13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30924"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 xml:space="preserve">VR al </w:t>
            </w:r>
          </w:p>
          <w:p w14:paraId="7842961F"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01/01/2017</w:t>
            </w:r>
          </w:p>
        </w:tc>
        <w:tc>
          <w:tcPr>
            <w:tcW w:w="2546" w:type="dxa"/>
            <w:gridSpan w:val="2"/>
            <w:tcBorders>
              <w:top w:val="single" w:sz="4" w:space="0" w:color="auto"/>
              <w:left w:val="nil"/>
              <w:bottom w:val="single" w:sz="4" w:space="0" w:color="auto"/>
              <w:right w:val="single" w:sz="4" w:space="0" w:color="000000"/>
            </w:tcBorders>
            <w:shd w:val="clear" w:color="auto" w:fill="auto"/>
            <w:vAlign w:val="center"/>
            <w:hideMark/>
          </w:tcPr>
          <w:p w14:paraId="2D8620C5"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Dividendos de</w:t>
            </w:r>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A3E2A3"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Transferencias a ORI</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A3C1D"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VR 31/12/2017</w:t>
            </w:r>
          </w:p>
        </w:tc>
      </w:tr>
      <w:tr w:rsidR="00752937" w:rsidRPr="00701F32" w14:paraId="1C9D13E7" w14:textId="77777777" w:rsidTr="00C23045">
        <w:trPr>
          <w:trHeight w:val="601"/>
        </w:trPr>
        <w:tc>
          <w:tcPr>
            <w:tcW w:w="1667" w:type="dxa"/>
            <w:vMerge/>
            <w:tcBorders>
              <w:top w:val="single" w:sz="4" w:space="0" w:color="auto"/>
              <w:left w:val="single" w:sz="4" w:space="0" w:color="auto"/>
              <w:bottom w:val="single" w:sz="4" w:space="0" w:color="000000"/>
              <w:right w:val="single" w:sz="4" w:space="0" w:color="auto"/>
            </w:tcBorders>
            <w:vAlign w:val="center"/>
            <w:hideMark/>
          </w:tcPr>
          <w:p w14:paraId="2A2A2AC5" w14:textId="77777777" w:rsidR="00752937" w:rsidRPr="00701F32" w:rsidRDefault="00752937" w:rsidP="002731C9">
            <w:pPr>
              <w:rPr>
                <w:rFonts w:ascii="Arial" w:hAnsi="Arial" w:cs="Arial"/>
                <w:b/>
                <w:bCs/>
                <w:color w:val="000000"/>
                <w:sz w:val="16"/>
                <w:szCs w:val="18"/>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14:paraId="2EB79CE9" w14:textId="77777777" w:rsidR="00752937" w:rsidRPr="00701F32" w:rsidRDefault="00752937" w:rsidP="002731C9">
            <w:pPr>
              <w:rPr>
                <w:rFonts w:ascii="Arial" w:hAnsi="Arial" w:cs="Arial"/>
                <w:b/>
                <w:bCs/>
                <w:color w:val="000000"/>
                <w:sz w:val="16"/>
                <w:szCs w:val="18"/>
              </w:rPr>
            </w:pPr>
          </w:p>
        </w:tc>
        <w:tc>
          <w:tcPr>
            <w:tcW w:w="1184" w:type="dxa"/>
            <w:tcBorders>
              <w:top w:val="nil"/>
              <w:left w:val="nil"/>
              <w:bottom w:val="single" w:sz="4" w:space="0" w:color="auto"/>
              <w:right w:val="single" w:sz="4" w:space="0" w:color="auto"/>
            </w:tcBorders>
            <w:shd w:val="clear" w:color="auto" w:fill="auto"/>
            <w:vAlign w:val="center"/>
            <w:hideMark/>
          </w:tcPr>
          <w:p w14:paraId="550B6C36"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Instrumentos mantenidos al cierre</w:t>
            </w:r>
          </w:p>
        </w:tc>
        <w:tc>
          <w:tcPr>
            <w:tcW w:w="1361" w:type="dxa"/>
            <w:tcBorders>
              <w:top w:val="nil"/>
              <w:left w:val="nil"/>
              <w:bottom w:val="single" w:sz="4" w:space="0" w:color="auto"/>
              <w:right w:val="single" w:sz="4" w:space="0" w:color="auto"/>
            </w:tcBorders>
            <w:shd w:val="clear" w:color="auto" w:fill="auto"/>
            <w:vAlign w:val="center"/>
            <w:hideMark/>
          </w:tcPr>
          <w:p w14:paraId="32433E17" w14:textId="77777777" w:rsidR="00752937" w:rsidRPr="00701F32" w:rsidRDefault="00752937" w:rsidP="002731C9">
            <w:pPr>
              <w:jc w:val="center"/>
              <w:rPr>
                <w:rFonts w:ascii="Arial" w:hAnsi="Arial" w:cs="Arial"/>
                <w:b/>
                <w:bCs/>
                <w:color w:val="000000"/>
                <w:sz w:val="16"/>
                <w:szCs w:val="18"/>
              </w:rPr>
            </w:pPr>
            <w:r w:rsidRPr="00701F32">
              <w:rPr>
                <w:rFonts w:ascii="Arial" w:hAnsi="Arial" w:cs="Arial"/>
                <w:b/>
                <w:bCs/>
                <w:color w:val="000000"/>
                <w:sz w:val="16"/>
                <w:szCs w:val="18"/>
              </w:rPr>
              <w:t>Instrumentos dados de baja</w:t>
            </w:r>
          </w:p>
        </w:tc>
        <w:tc>
          <w:tcPr>
            <w:tcW w:w="1487" w:type="dxa"/>
            <w:vMerge/>
            <w:tcBorders>
              <w:top w:val="single" w:sz="4" w:space="0" w:color="auto"/>
              <w:left w:val="single" w:sz="4" w:space="0" w:color="auto"/>
              <w:bottom w:val="single" w:sz="4" w:space="0" w:color="000000"/>
              <w:right w:val="single" w:sz="4" w:space="0" w:color="auto"/>
            </w:tcBorders>
            <w:vAlign w:val="center"/>
            <w:hideMark/>
          </w:tcPr>
          <w:p w14:paraId="58B1D677" w14:textId="77777777" w:rsidR="00752937" w:rsidRPr="00701F32" w:rsidRDefault="00752937" w:rsidP="002731C9">
            <w:pPr>
              <w:rPr>
                <w:rFonts w:ascii="Arial" w:hAnsi="Arial" w:cs="Arial"/>
                <w:b/>
                <w:bCs/>
                <w:color w:val="000000"/>
                <w:sz w:val="16"/>
                <w:szCs w:val="18"/>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397D7277" w14:textId="77777777" w:rsidR="00752937" w:rsidRPr="00701F32" w:rsidRDefault="00752937" w:rsidP="002731C9">
            <w:pPr>
              <w:rPr>
                <w:rFonts w:ascii="Arial" w:hAnsi="Arial" w:cs="Arial"/>
                <w:b/>
                <w:bCs/>
                <w:color w:val="000000"/>
                <w:sz w:val="16"/>
                <w:szCs w:val="18"/>
              </w:rPr>
            </w:pPr>
          </w:p>
        </w:tc>
      </w:tr>
      <w:tr w:rsidR="00752937" w:rsidRPr="00701F32" w14:paraId="5D562E30"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51114222"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MAE</w:t>
            </w:r>
          </w:p>
        </w:tc>
        <w:tc>
          <w:tcPr>
            <w:tcW w:w="1353" w:type="dxa"/>
            <w:tcBorders>
              <w:top w:val="nil"/>
              <w:left w:val="nil"/>
              <w:bottom w:val="single" w:sz="4" w:space="0" w:color="auto"/>
              <w:right w:val="single" w:sz="4" w:space="0" w:color="auto"/>
            </w:tcBorders>
            <w:shd w:val="clear" w:color="auto" w:fill="auto"/>
            <w:noWrap/>
            <w:vAlign w:val="center"/>
            <w:hideMark/>
          </w:tcPr>
          <w:p w14:paraId="1E22FB8E"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61 </w:t>
            </w:r>
          </w:p>
        </w:tc>
        <w:tc>
          <w:tcPr>
            <w:tcW w:w="1184" w:type="dxa"/>
            <w:tcBorders>
              <w:top w:val="nil"/>
              <w:left w:val="nil"/>
              <w:bottom w:val="single" w:sz="4" w:space="0" w:color="auto"/>
              <w:right w:val="single" w:sz="4" w:space="0" w:color="auto"/>
            </w:tcBorders>
            <w:shd w:val="clear" w:color="auto" w:fill="auto"/>
            <w:noWrap/>
            <w:vAlign w:val="center"/>
            <w:hideMark/>
          </w:tcPr>
          <w:p w14:paraId="3F192AF6"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4391F7EF"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51E15A20"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4.549 </w:t>
            </w:r>
          </w:p>
        </w:tc>
        <w:tc>
          <w:tcPr>
            <w:tcW w:w="1638" w:type="dxa"/>
            <w:tcBorders>
              <w:top w:val="nil"/>
              <w:left w:val="nil"/>
              <w:bottom w:val="single" w:sz="4" w:space="0" w:color="auto"/>
              <w:right w:val="single" w:sz="4" w:space="0" w:color="auto"/>
            </w:tcBorders>
            <w:shd w:val="clear" w:color="auto" w:fill="auto"/>
            <w:noWrap/>
            <w:vAlign w:val="center"/>
            <w:hideMark/>
          </w:tcPr>
          <w:p w14:paraId="4D4B5058"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4.610 </w:t>
            </w:r>
          </w:p>
        </w:tc>
      </w:tr>
      <w:tr w:rsidR="00752937" w:rsidRPr="00701F32" w14:paraId="631EE778"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4E36C8B2"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SEDESA</w:t>
            </w:r>
          </w:p>
        </w:tc>
        <w:tc>
          <w:tcPr>
            <w:tcW w:w="1353" w:type="dxa"/>
            <w:tcBorders>
              <w:top w:val="nil"/>
              <w:left w:val="nil"/>
              <w:bottom w:val="single" w:sz="4" w:space="0" w:color="auto"/>
              <w:right w:val="single" w:sz="4" w:space="0" w:color="auto"/>
            </w:tcBorders>
            <w:shd w:val="clear" w:color="auto" w:fill="auto"/>
            <w:noWrap/>
            <w:vAlign w:val="center"/>
            <w:hideMark/>
          </w:tcPr>
          <w:p w14:paraId="26BE25AA"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39 </w:t>
            </w:r>
          </w:p>
        </w:tc>
        <w:tc>
          <w:tcPr>
            <w:tcW w:w="1184" w:type="dxa"/>
            <w:tcBorders>
              <w:top w:val="nil"/>
              <w:left w:val="nil"/>
              <w:bottom w:val="single" w:sz="4" w:space="0" w:color="auto"/>
              <w:right w:val="single" w:sz="4" w:space="0" w:color="auto"/>
            </w:tcBorders>
            <w:shd w:val="clear" w:color="auto" w:fill="auto"/>
            <w:noWrap/>
            <w:vAlign w:val="center"/>
            <w:hideMark/>
          </w:tcPr>
          <w:p w14:paraId="67B7ABCB"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0C467E10"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075EF432"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1.575 </w:t>
            </w:r>
          </w:p>
        </w:tc>
        <w:tc>
          <w:tcPr>
            <w:tcW w:w="1638" w:type="dxa"/>
            <w:tcBorders>
              <w:top w:val="nil"/>
              <w:left w:val="nil"/>
              <w:bottom w:val="single" w:sz="4" w:space="0" w:color="auto"/>
              <w:right w:val="single" w:sz="4" w:space="0" w:color="auto"/>
            </w:tcBorders>
            <w:shd w:val="clear" w:color="auto" w:fill="auto"/>
            <w:noWrap/>
            <w:vAlign w:val="center"/>
            <w:hideMark/>
          </w:tcPr>
          <w:p w14:paraId="60CAE779"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1.614 </w:t>
            </w:r>
          </w:p>
        </w:tc>
      </w:tr>
      <w:tr w:rsidR="00752937" w:rsidRPr="00701F32" w14:paraId="3A3F2473"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33A2D09E"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COELSA</w:t>
            </w:r>
          </w:p>
        </w:tc>
        <w:tc>
          <w:tcPr>
            <w:tcW w:w="1353" w:type="dxa"/>
            <w:tcBorders>
              <w:top w:val="nil"/>
              <w:left w:val="nil"/>
              <w:bottom w:val="single" w:sz="4" w:space="0" w:color="auto"/>
              <w:right w:val="single" w:sz="4" w:space="0" w:color="auto"/>
            </w:tcBorders>
            <w:shd w:val="clear" w:color="auto" w:fill="auto"/>
            <w:noWrap/>
            <w:vAlign w:val="center"/>
            <w:hideMark/>
          </w:tcPr>
          <w:p w14:paraId="082A1811"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54 </w:t>
            </w:r>
          </w:p>
        </w:tc>
        <w:tc>
          <w:tcPr>
            <w:tcW w:w="1184" w:type="dxa"/>
            <w:tcBorders>
              <w:top w:val="nil"/>
              <w:left w:val="nil"/>
              <w:bottom w:val="single" w:sz="4" w:space="0" w:color="auto"/>
              <w:right w:val="single" w:sz="4" w:space="0" w:color="auto"/>
            </w:tcBorders>
            <w:shd w:val="clear" w:color="auto" w:fill="auto"/>
            <w:noWrap/>
            <w:vAlign w:val="center"/>
            <w:hideMark/>
          </w:tcPr>
          <w:p w14:paraId="51E9EF69"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16926192"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08B5CA07"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865 </w:t>
            </w:r>
          </w:p>
        </w:tc>
        <w:tc>
          <w:tcPr>
            <w:tcW w:w="1638" w:type="dxa"/>
            <w:tcBorders>
              <w:top w:val="nil"/>
              <w:left w:val="nil"/>
              <w:bottom w:val="single" w:sz="4" w:space="0" w:color="auto"/>
              <w:right w:val="single" w:sz="4" w:space="0" w:color="auto"/>
            </w:tcBorders>
            <w:shd w:val="clear" w:color="auto" w:fill="auto"/>
            <w:noWrap/>
            <w:vAlign w:val="center"/>
            <w:hideMark/>
          </w:tcPr>
          <w:p w14:paraId="4114138F"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919 </w:t>
            </w:r>
          </w:p>
        </w:tc>
      </w:tr>
      <w:tr w:rsidR="00752937" w:rsidRPr="00701F32" w14:paraId="691C2296"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23661EE7"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PROVINCANJE</w:t>
            </w:r>
          </w:p>
        </w:tc>
        <w:tc>
          <w:tcPr>
            <w:tcW w:w="1353" w:type="dxa"/>
            <w:tcBorders>
              <w:top w:val="nil"/>
              <w:left w:val="nil"/>
              <w:bottom w:val="single" w:sz="4" w:space="0" w:color="auto"/>
              <w:right w:val="single" w:sz="4" w:space="0" w:color="auto"/>
            </w:tcBorders>
            <w:shd w:val="clear" w:color="auto" w:fill="auto"/>
            <w:noWrap/>
            <w:vAlign w:val="center"/>
            <w:hideMark/>
          </w:tcPr>
          <w:p w14:paraId="1FBC5691"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504 </w:t>
            </w:r>
          </w:p>
        </w:tc>
        <w:tc>
          <w:tcPr>
            <w:tcW w:w="1184" w:type="dxa"/>
            <w:tcBorders>
              <w:top w:val="nil"/>
              <w:left w:val="nil"/>
              <w:bottom w:val="single" w:sz="4" w:space="0" w:color="auto"/>
              <w:right w:val="single" w:sz="4" w:space="0" w:color="auto"/>
            </w:tcBorders>
            <w:shd w:val="clear" w:color="auto" w:fill="auto"/>
            <w:noWrap/>
            <w:vAlign w:val="center"/>
            <w:hideMark/>
          </w:tcPr>
          <w:p w14:paraId="1751B991"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3548AEB1"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40628CED"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-232 </w:t>
            </w:r>
          </w:p>
        </w:tc>
        <w:tc>
          <w:tcPr>
            <w:tcW w:w="1638" w:type="dxa"/>
            <w:tcBorders>
              <w:top w:val="nil"/>
              <w:left w:val="nil"/>
              <w:bottom w:val="single" w:sz="4" w:space="0" w:color="auto"/>
              <w:right w:val="single" w:sz="4" w:space="0" w:color="auto"/>
            </w:tcBorders>
            <w:shd w:val="clear" w:color="auto" w:fill="auto"/>
            <w:noWrap/>
            <w:vAlign w:val="center"/>
            <w:hideMark/>
          </w:tcPr>
          <w:p w14:paraId="1FC524A9" w14:textId="77777777" w:rsidR="00752937" w:rsidRPr="00701F32" w:rsidRDefault="00752937">
            <w:pPr>
              <w:jc w:val="right"/>
              <w:rPr>
                <w:rFonts w:ascii="Arial" w:hAnsi="Arial" w:cs="Arial"/>
                <w:color w:val="000000"/>
                <w:sz w:val="16"/>
                <w:szCs w:val="18"/>
              </w:rPr>
            </w:pPr>
            <w:r w:rsidRPr="00701F32">
              <w:rPr>
                <w:rFonts w:ascii="Arial" w:hAnsi="Arial" w:cs="Arial"/>
                <w:color w:val="000000"/>
                <w:sz w:val="16"/>
                <w:szCs w:val="18"/>
              </w:rPr>
              <w:t xml:space="preserve">                          </w:t>
            </w:r>
            <w:r w:rsidR="000438B2" w:rsidRPr="00701F32">
              <w:rPr>
                <w:rFonts w:ascii="Arial" w:hAnsi="Arial" w:cs="Arial"/>
                <w:color w:val="000000"/>
                <w:sz w:val="16"/>
                <w:szCs w:val="18"/>
              </w:rPr>
              <w:t xml:space="preserve">272 </w:t>
            </w:r>
          </w:p>
        </w:tc>
      </w:tr>
      <w:tr w:rsidR="00752937" w:rsidRPr="00701F32" w14:paraId="7F57C5C6"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7767C15C"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CUYO AVAL SGR</w:t>
            </w:r>
          </w:p>
        </w:tc>
        <w:tc>
          <w:tcPr>
            <w:tcW w:w="1353" w:type="dxa"/>
            <w:tcBorders>
              <w:top w:val="nil"/>
              <w:left w:val="nil"/>
              <w:bottom w:val="single" w:sz="4" w:space="0" w:color="auto"/>
              <w:right w:val="single" w:sz="4" w:space="0" w:color="auto"/>
            </w:tcBorders>
            <w:shd w:val="clear" w:color="auto" w:fill="auto"/>
            <w:noWrap/>
            <w:vAlign w:val="center"/>
            <w:hideMark/>
          </w:tcPr>
          <w:p w14:paraId="6271E3B3"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10 </w:t>
            </w:r>
          </w:p>
        </w:tc>
        <w:tc>
          <w:tcPr>
            <w:tcW w:w="1184" w:type="dxa"/>
            <w:tcBorders>
              <w:top w:val="nil"/>
              <w:left w:val="nil"/>
              <w:bottom w:val="single" w:sz="4" w:space="0" w:color="auto"/>
              <w:right w:val="single" w:sz="4" w:space="0" w:color="auto"/>
            </w:tcBorders>
            <w:shd w:val="clear" w:color="auto" w:fill="auto"/>
            <w:noWrap/>
            <w:vAlign w:val="center"/>
            <w:hideMark/>
          </w:tcPr>
          <w:p w14:paraId="46393ED7"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1D2C9EC4"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53D384D1"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212 </w:t>
            </w:r>
          </w:p>
        </w:tc>
        <w:tc>
          <w:tcPr>
            <w:tcW w:w="1638" w:type="dxa"/>
            <w:tcBorders>
              <w:top w:val="nil"/>
              <w:left w:val="nil"/>
              <w:bottom w:val="single" w:sz="4" w:space="0" w:color="auto"/>
              <w:right w:val="single" w:sz="4" w:space="0" w:color="auto"/>
            </w:tcBorders>
            <w:shd w:val="clear" w:color="auto" w:fill="auto"/>
            <w:noWrap/>
            <w:vAlign w:val="center"/>
            <w:hideMark/>
          </w:tcPr>
          <w:p w14:paraId="749B27EE"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222 </w:t>
            </w:r>
          </w:p>
        </w:tc>
      </w:tr>
      <w:tr w:rsidR="00752937" w:rsidRPr="00701F32" w14:paraId="1093F9B8"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654B47EB"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ARGENCONTROL</w:t>
            </w:r>
          </w:p>
        </w:tc>
        <w:tc>
          <w:tcPr>
            <w:tcW w:w="1353" w:type="dxa"/>
            <w:tcBorders>
              <w:top w:val="nil"/>
              <w:left w:val="nil"/>
              <w:bottom w:val="single" w:sz="4" w:space="0" w:color="auto"/>
              <w:right w:val="single" w:sz="4" w:space="0" w:color="auto"/>
            </w:tcBorders>
            <w:shd w:val="clear" w:color="auto" w:fill="auto"/>
            <w:noWrap/>
            <w:vAlign w:val="center"/>
            <w:hideMark/>
          </w:tcPr>
          <w:p w14:paraId="1413007A"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25 </w:t>
            </w:r>
          </w:p>
        </w:tc>
        <w:tc>
          <w:tcPr>
            <w:tcW w:w="1184" w:type="dxa"/>
            <w:tcBorders>
              <w:top w:val="nil"/>
              <w:left w:val="nil"/>
              <w:bottom w:val="single" w:sz="4" w:space="0" w:color="auto"/>
              <w:right w:val="single" w:sz="4" w:space="0" w:color="auto"/>
            </w:tcBorders>
            <w:shd w:val="clear" w:color="auto" w:fill="auto"/>
            <w:noWrap/>
            <w:vAlign w:val="center"/>
            <w:hideMark/>
          </w:tcPr>
          <w:p w14:paraId="380616B2"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5CA1845A"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3B5F5ACB"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100 </w:t>
            </w:r>
          </w:p>
        </w:tc>
        <w:tc>
          <w:tcPr>
            <w:tcW w:w="1638" w:type="dxa"/>
            <w:tcBorders>
              <w:top w:val="nil"/>
              <w:left w:val="nil"/>
              <w:bottom w:val="single" w:sz="4" w:space="0" w:color="auto"/>
              <w:right w:val="single" w:sz="4" w:space="0" w:color="auto"/>
            </w:tcBorders>
            <w:shd w:val="clear" w:color="auto" w:fill="auto"/>
            <w:noWrap/>
            <w:vAlign w:val="center"/>
            <w:hideMark/>
          </w:tcPr>
          <w:p w14:paraId="542AFF60"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125 </w:t>
            </w:r>
          </w:p>
        </w:tc>
      </w:tr>
      <w:tr w:rsidR="00752937" w:rsidRPr="00701F32" w14:paraId="4426B503"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17DFB447"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LOS GROBO SGR</w:t>
            </w:r>
          </w:p>
        </w:tc>
        <w:tc>
          <w:tcPr>
            <w:tcW w:w="1353" w:type="dxa"/>
            <w:tcBorders>
              <w:top w:val="nil"/>
              <w:left w:val="nil"/>
              <w:bottom w:val="single" w:sz="4" w:space="0" w:color="auto"/>
              <w:right w:val="single" w:sz="4" w:space="0" w:color="auto"/>
            </w:tcBorders>
            <w:shd w:val="clear" w:color="auto" w:fill="auto"/>
            <w:noWrap/>
            <w:vAlign w:val="center"/>
            <w:hideMark/>
          </w:tcPr>
          <w:p w14:paraId="7C13D69D"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   </w:t>
            </w:r>
          </w:p>
        </w:tc>
        <w:tc>
          <w:tcPr>
            <w:tcW w:w="1184" w:type="dxa"/>
            <w:tcBorders>
              <w:top w:val="nil"/>
              <w:left w:val="nil"/>
              <w:bottom w:val="single" w:sz="4" w:space="0" w:color="auto"/>
              <w:right w:val="single" w:sz="4" w:space="0" w:color="auto"/>
            </w:tcBorders>
            <w:shd w:val="clear" w:color="auto" w:fill="auto"/>
            <w:noWrap/>
            <w:vAlign w:val="center"/>
            <w:hideMark/>
          </w:tcPr>
          <w:p w14:paraId="201D4889"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1E748138"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768E05D3"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68 </w:t>
            </w:r>
          </w:p>
        </w:tc>
        <w:tc>
          <w:tcPr>
            <w:tcW w:w="1638" w:type="dxa"/>
            <w:tcBorders>
              <w:top w:val="nil"/>
              <w:left w:val="nil"/>
              <w:bottom w:val="single" w:sz="4" w:space="0" w:color="auto"/>
              <w:right w:val="single" w:sz="4" w:space="0" w:color="auto"/>
            </w:tcBorders>
            <w:shd w:val="clear" w:color="auto" w:fill="auto"/>
            <w:noWrap/>
            <w:vAlign w:val="center"/>
            <w:hideMark/>
          </w:tcPr>
          <w:p w14:paraId="4182709B"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68 </w:t>
            </w:r>
          </w:p>
        </w:tc>
      </w:tr>
      <w:tr w:rsidR="00752937" w:rsidRPr="00701F32" w14:paraId="56478C0E"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1BFB119A"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IEBA SA</w:t>
            </w:r>
          </w:p>
        </w:tc>
        <w:tc>
          <w:tcPr>
            <w:tcW w:w="1353" w:type="dxa"/>
            <w:tcBorders>
              <w:top w:val="nil"/>
              <w:left w:val="nil"/>
              <w:bottom w:val="single" w:sz="4" w:space="0" w:color="auto"/>
              <w:right w:val="single" w:sz="4" w:space="0" w:color="auto"/>
            </w:tcBorders>
            <w:shd w:val="clear" w:color="auto" w:fill="auto"/>
            <w:noWrap/>
            <w:vAlign w:val="center"/>
            <w:hideMark/>
          </w:tcPr>
          <w:p w14:paraId="09DF0ECD"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   </w:t>
            </w:r>
          </w:p>
        </w:tc>
        <w:tc>
          <w:tcPr>
            <w:tcW w:w="1184" w:type="dxa"/>
            <w:tcBorders>
              <w:top w:val="nil"/>
              <w:left w:val="nil"/>
              <w:bottom w:val="single" w:sz="4" w:space="0" w:color="auto"/>
              <w:right w:val="single" w:sz="4" w:space="0" w:color="auto"/>
            </w:tcBorders>
            <w:shd w:val="clear" w:color="auto" w:fill="auto"/>
            <w:noWrap/>
            <w:vAlign w:val="center"/>
            <w:hideMark/>
          </w:tcPr>
          <w:p w14:paraId="4D477762"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49BBCB2F"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446EA915"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61 </w:t>
            </w:r>
          </w:p>
        </w:tc>
        <w:tc>
          <w:tcPr>
            <w:tcW w:w="1638" w:type="dxa"/>
            <w:tcBorders>
              <w:top w:val="nil"/>
              <w:left w:val="nil"/>
              <w:bottom w:val="single" w:sz="4" w:space="0" w:color="auto"/>
              <w:right w:val="single" w:sz="4" w:space="0" w:color="auto"/>
            </w:tcBorders>
            <w:shd w:val="clear" w:color="auto" w:fill="auto"/>
            <w:noWrap/>
            <w:vAlign w:val="center"/>
            <w:hideMark/>
          </w:tcPr>
          <w:p w14:paraId="645970C1"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61 </w:t>
            </w:r>
          </w:p>
        </w:tc>
      </w:tr>
      <w:tr w:rsidR="00752937" w:rsidRPr="00701F32" w14:paraId="08436ABE"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11D4DD2A" w14:textId="77777777" w:rsidR="00752937" w:rsidRPr="00701F32" w:rsidRDefault="00752937" w:rsidP="002731C9">
            <w:pPr>
              <w:jc w:val="both"/>
              <w:rPr>
                <w:rFonts w:ascii="Arial" w:hAnsi="Arial" w:cs="Arial"/>
                <w:color w:val="000000"/>
                <w:sz w:val="16"/>
                <w:szCs w:val="18"/>
              </w:rPr>
            </w:pPr>
            <w:r w:rsidRPr="00701F32">
              <w:rPr>
                <w:rFonts w:ascii="Arial" w:hAnsi="Arial" w:cs="Arial"/>
                <w:color w:val="000000"/>
                <w:sz w:val="16"/>
                <w:szCs w:val="18"/>
              </w:rPr>
              <w:t>Otras SGR</w:t>
            </w:r>
          </w:p>
        </w:tc>
        <w:tc>
          <w:tcPr>
            <w:tcW w:w="1353" w:type="dxa"/>
            <w:tcBorders>
              <w:top w:val="nil"/>
              <w:left w:val="nil"/>
              <w:bottom w:val="single" w:sz="4" w:space="0" w:color="auto"/>
              <w:right w:val="single" w:sz="4" w:space="0" w:color="auto"/>
            </w:tcBorders>
            <w:shd w:val="clear" w:color="auto" w:fill="auto"/>
            <w:noWrap/>
            <w:vAlign w:val="center"/>
            <w:hideMark/>
          </w:tcPr>
          <w:p w14:paraId="2E355333"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42 </w:t>
            </w:r>
          </w:p>
        </w:tc>
        <w:tc>
          <w:tcPr>
            <w:tcW w:w="1184" w:type="dxa"/>
            <w:tcBorders>
              <w:top w:val="nil"/>
              <w:left w:val="nil"/>
              <w:bottom w:val="single" w:sz="4" w:space="0" w:color="auto"/>
              <w:right w:val="single" w:sz="4" w:space="0" w:color="auto"/>
            </w:tcBorders>
            <w:shd w:val="clear" w:color="auto" w:fill="auto"/>
            <w:noWrap/>
            <w:vAlign w:val="center"/>
            <w:hideMark/>
          </w:tcPr>
          <w:p w14:paraId="4EC5952E"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0CF8F4C2"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45D2714C"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-14 </w:t>
            </w:r>
          </w:p>
        </w:tc>
        <w:tc>
          <w:tcPr>
            <w:tcW w:w="1638" w:type="dxa"/>
            <w:tcBorders>
              <w:top w:val="nil"/>
              <w:left w:val="nil"/>
              <w:bottom w:val="single" w:sz="4" w:space="0" w:color="auto"/>
              <w:right w:val="single" w:sz="4" w:space="0" w:color="auto"/>
            </w:tcBorders>
            <w:shd w:val="clear" w:color="auto" w:fill="auto"/>
            <w:noWrap/>
            <w:vAlign w:val="center"/>
            <w:hideMark/>
          </w:tcPr>
          <w:p w14:paraId="35513AA4" w14:textId="77777777" w:rsidR="00752937" w:rsidRPr="00701F32" w:rsidRDefault="00752937" w:rsidP="002731C9">
            <w:pPr>
              <w:jc w:val="right"/>
              <w:rPr>
                <w:rFonts w:ascii="Arial" w:hAnsi="Arial" w:cs="Arial"/>
                <w:color w:val="000000"/>
                <w:sz w:val="16"/>
                <w:szCs w:val="18"/>
              </w:rPr>
            </w:pPr>
            <w:r w:rsidRPr="00701F32">
              <w:rPr>
                <w:rFonts w:ascii="Arial" w:hAnsi="Arial" w:cs="Arial"/>
                <w:color w:val="000000"/>
                <w:sz w:val="16"/>
                <w:szCs w:val="18"/>
              </w:rPr>
              <w:t xml:space="preserve">                            28 </w:t>
            </w:r>
          </w:p>
        </w:tc>
      </w:tr>
      <w:tr w:rsidR="00752937" w:rsidRPr="00701F32" w14:paraId="47653768" w14:textId="77777777" w:rsidTr="00C23045">
        <w:trPr>
          <w:trHeight w:val="211"/>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1D62A13D" w14:textId="77777777" w:rsidR="00752937" w:rsidRPr="00701F32" w:rsidRDefault="00752937" w:rsidP="002731C9">
            <w:pPr>
              <w:jc w:val="both"/>
              <w:rPr>
                <w:rFonts w:ascii="Arial" w:hAnsi="Arial" w:cs="Arial"/>
                <w:b/>
                <w:bCs/>
                <w:color w:val="000000"/>
                <w:sz w:val="16"/>
                <w:szCs w:val="18"/>
              </w:rPr>
            </w:pPr>
            <w:r w:rsidRPr="00701F32">
              <w:rPr>
                <w:rFonts w:ascii="Arial" w:hAnsi="Arial" w:cs="Arial"/>
                <w:b/>
                <w:bCs/>
                <w:color w:val="000000"/>
                <w:sz w:val="16"/>
                <w:szCs w:val="18"/>
              </w:rPr>
              <w:t>Total</w:t>
            </w:r>
          </w:p>
        </w:tc>
        <w:tc>
          <w:tcPr>
            <w:tcW w:w="1353" w:type="dxa"/>
            <w:tcBorders>
              <w:top w:val="nil"/>
              <w:left w:val="nil"/>
              <w:bottom w:val="single" w:sz="4" w:space="0" w:color="auto"/>
              <w:right w:val="single" w:sz="4" w:space="0" w:color="auto"/>
            </w:tcBorders>
            <w:shd w:val="clear" w:color="auto" w:fill="auto"/>
            <w:noWrap/>
            <w:vAlign w:val="center"/>
            <w:hideMark/>
          </w:tcPr>
          <w:p w14:paraId="6BD06D0F" w14:textId="77777777" w:rsidR="00752937" w:rsidRPr="00701F32" w:rsidRDefault="00752937">
            <w:pPr>
              <w:jc w:val="right"/>
              <w:rPr>
                <w:rFonts w:ascii="Arial" w:hAnsi="Arial" w:cs="Arial"/>
                <w:b/>
                <w:bCs/>
                <w:color w:val="000000"/>
                <w:sz w:val="16"/>
                <w:szCs w:val="18"/>
              </w:rPr>
            </w:pPr>
            <w:r w:rsidRPr="00701F32">
              <w:rPr>
                <w:rFonts w:ascii="Arial" w:hAnsi="Arial" w:cs="Arial"/>
                <w:b/>
                <w:bCs/>
                <w:color w:val="000000"/>
                <w:sz w:val="16"/>
                <w:szCs w:val="18"/>
              </w:rPr>
              <w:t xml:space="preserve">                    </w:t>
            </w:r>
            <w:r w:rsidR="000438B2" w:rsidRPr="00701F32">
              <w:rPr>
                <w:rFonts w:ascii="Arial" w:hAnsi="Arial" w:cs="Arial"/>
                <w:b/>
                <w:bCs/>
                <w:color w:val="000000"/>
                <w:sz w:val="16"/>
                <w:szCs w:val="18"/>
              </w:rPr>
              <w:t xml:space="preserve">735 </w:t>
            </w:r>
          </w:p>
        </w:tc>
        <w:tc>
          <w:tcPr>
            <w:tcW w:w="1184" w:type="dxa"/>
            <w:tcBorders>
              <w:top w:val="nil"/>
              <w:left w:val="nil"/>
              <w:bottom w:val="single" w:sz="4" w:space="0" w:color="auto"/>
              <w:right w:val="single" w:sz="4" w:space="0" w:color="auto"/>
            </w:tcBorders>
            <w:shd w:val="clear" w:color="auto" w:fill="auto"/>
            <w:noWrap/>
            <w:vAlign w:val="center"/>
            <w:hideMark/>
          </w:tcPr>
          <w:p w14:paraId="35F4D8BA"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361" w:type="dxa"/>
            <w:tcBorders>
              <w:top w:val="nil"/>
              <w:left w:val="nil"/>
              <w:bottom w:val="single" w:sz="4" w:space="0" w:color="auto"/>
              <w:right w:val="single" w:sz="4" w:space="0" w:color="auto"/>
            </w:tcBorders>
            <w:shd w:val="clear" w:color="auto" w:fill="auto"/>
            <w:noWrap/>
            <w:vAlign w:val="center"/>
            <w:hideMark/>
          </w:tcPr>
          <w:p w14:paraId="0D2B3037"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 xml:space="preserve">                  -   </w:t>
            </w:r>
          </w:p>
        </w:tc>
        <w:tc>
          <w:tcPr>
            <w:tcW w:w="1487" w:type="dxa"/>
            <w:tcBorders>
              <w:top w:val="nil"/>
              <w:left w:val="nil"/>
              <w:bottom w:val="single" w:sz="4" w:space="0" w:color="auto"/>
              <w:right w:val="single" w:sz="4" w:space="0" w:color="auto"/>
            </w:tcBorders>
            <w:shd w:val="clear" w:color="auto" w:fill="auto"/>
            <w:noWrap/>
            <w:vAlign w:val="center"/>
            <w:hideMark/>
          </w:tcPr>
          <w:p w14:paraId="4CE55CE3" w14:textId="77777777" w:rsidR="00752937" w:rsidRPr="00701F32" w:rsidRDefault="00752937" w:rsidP="002731C9">
            <w:pPr>
              <w:jc w:val="right"/>
              <w:rPr>
                <w:rFonts w:ascii="Arial" w:hAnsi="Arial" w:cs="Arial"/>
                <w:b/>
                <w:bCs/>
                <w:color w:val="000000"/>
                <w:sz w:val="16"/>
                <w:szCs w:val="18"/>
              </w:rPr>
            </w:pPr>
            <w:r w:rsidRPr="00701F32">
              <w:rPr>
                <w:rFonts w:ascii="Arial" w:hAnsi="Arial" w:cs="Arial"/>
                <w:b/>
                <w:bCs/>
                <w:color w:val="000000"/>
                <w:sz w:val="16"/>
                <w:szCs w:val="18"/>
              </w:rPr>
              <w:t>7.184</w:t>
            </w:r>
          </w:p>
        </w:tc>
        <w:tc>
          <w:tcPr>
            <w:tcW w:w="1638" w:type="dxa"/>
            <w:tcBorders>
              <w:top w:val="nil"/>
              <w:left w:val="nil"/>
              <w:bottom w:val="single" w:sz="4" w:space="0" w:color="auto"/>
              <w:right w:val="single" w:sz="4" w:space="0" w:color="auto"/>
            </w:tcBorders>
            <w:shd w:val="clear" w:color="auto" w:fill="auto"/>
            <w:noWrap/>
            <w:vAlign w:val="center"/>
            <w:hideMark/>
          </w:tcPr>
          <w:p w14:paraId="16293F11" w14:textId="77777777" w:rsidR="00752937" w:rsidRPr="00701F32" w:rsidRDefault="00752937">
            <w:pPr>
              <w:jc w:val="right"/>
              <w:rPr>
                <w:rFonts w:ascii="Arial" w:hAnsi="Arial" w:cs="Arial"/>
                <w:b/>
                <w:bCs/>
                <w:color w:val="000000"/>
                <w:sz w:val="16"/>
                <w:szCs w:val="18"/>
              </w:rPr>
            </w:pPr>
            <w:r w:rsidRPr="00701F32">
              <w:rPr>
                <w:rFonts w:ascii="Arial" w:hAnsi="Arial" w:cs="Arial"/>
                <w:b/>
                <w:bCs/>
                <w:color w:val="000000"/>
                <w:sz w:val="16"/>
                <w:szCs w:val="18"/>
              </w:rPr>
              <w:t xml:space="preserve">                       7</w:t>
            </w:r>
            <w:r w:rsidR="00561992" w:rsidRPr="00701F32">
              <w:rPr>
                <w:rFonts w:ascii="Arial" w:hAnsi="Arial" w:cs="Arial"/>
                <w:b/>
                <w:bCs/>
                <w:color w:val="000000"/>
                <w:sz w:val="16"/>
                <w:szCs w:val="18"/>
              </w:rPr>
              <w:t>.</w:t>
            </w:r>
            <w:r w:rsidR="000438B2" w:rsidRPr="00701F32">
              <w:rPr>
                <w:rFonts w:ascii="Arial" w:hAnsi="Arial" w:cs="Arial"/>
                <w:b/>
                <w:bCs/>
                <w:color w:val="000000"/>
                <w:sz w:val="16"/>
                <w:szCs w:val="18"/>
              </w:rPr>
              <w:t xml:space="preserve">919 </w:t>
            </w:r>
          </w:p>
        </w:tc>
      </w:tr>
    </w:tbl>
    <w:p w14:paraId="110B6E85" w14:textId="77777777" w:rsidR="00752937" w:rsidRPr="00701F32" w:rsidRDefault="00752937" w:rsidP="00656E62">
      <w:pPr>
        <w:spacing w:after="160" w:line="259" w:lineRule="auto"/>
        <w:jc w:val="both"/>
        <w:rPr>
          <w:rFonts w:ascii="Arial" w:eastAsia="Calibri" w:hAnsi="Arial" w:cs="Arial"/>
          <w:sz w:val="20"/>
        </w:rPr>
      </w:pPr>
    </w:p>
    <w:p w14:paraId="7E9BA0B5" w14:textId="77777777" w:rsidR="00656E62" w:rsidRPr="00701F32" w:rsidRDefault="00D57127" w:rsidP="00656E62">
      <w:pPr>
        <w:autoSpaceDE w:val="0"/>
        <w:autoSpaceDN w:val="0"/>
        <w:adjustRightInd w:val="0"/>
        <w:jc w:val="both"/>
        <w:rPr>
          <w:rFonts w:ascii="Arial" w:hAnsi="Arial" w:cs="Arial"/>
          <w:b/>
          <w:bCs/>
          <w:color w:val="000000"/>
          <w:sz w:val="20"/>
        </w:rPr>
      </w:pPr>
      <w:bookmarkStart w:id="12" w:name="OLE_LINK2"/>
      <w:r w:rsidRPr="00701F32">
        <w:rPr>
          <w:rFonts w:ascii="Arial" w:hAnsi="Arial" w:cs="Arial"/>
          <w:b/>
          <w:bCs/>
          <w:color w:val="000000"/>
          <w:sz w:val="20"/>
        </w:rPr>
        <w:t>17</w:t>
      </w:r>
      <w:r w:rsidR="00656E62" w:rsidRPr="00701F32">
        <w:rPr>
          <w:rFonts w:ascii="Arial" w:hAnsi="Arial" w:cs="Arial"/>
          <w:b/>
          <w:bCs/>
          <w:color w:val="000000"/>
          <w:sz w:val="20"/>
        </w:rPr>
        <w:t>.3  Préstamos y otras Financiaciones</w:t>
      </w:r>
    </w:p>
    <w:bookmarkEnd w:id="12"/>
    <w:p w14:paraId="33712907" w14:textId="77777777" w:rsidR="00656E62" w:rsidRPr="00701F32" w:rsidRDefault="00656E62" w:rsidP="00656E62">
      <w:pPr>
        <w:pStyle w:val="Textodebloque"/>
        <w:widowControl w:val="0"/>
        <w:tabs>
          <w:tab w:val="left" w:pos="9356"/>
        </w:tabs>
        <w:spacing w:after="240"/>
        <w:ind w:left="0" w:right="4"/>
        <w:contextualSpacing/>
        <w:jc w:val="both"/>
        <w:rPr>
          <w:rFonts w:ascii="Arial" w:eastAsia="MS Mincho" w:hAnsi="Arial" w:cs="Arial"/>
          <w:b/>
          <w:bCs/>
          <w:iCs/>
          <w:color w:val="000000"/>
          <w:kern w:val="28"/>
          <w:sz w:val="20"/>
        </w:rPr>
      </w:pPr>
    </w:p>
    <w:p w14:paraId="173FD354" w14:textId="09851CB1"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 xml:space="preserve">La reglamentación establecida por el B.C.R.A sobre clasificación de deuda están destinadas a establecer pautas claras para identificar y clasificar la calidad de los activos, como también evaluar el riesgo real o potencial de pérdidas sobre el capital o los intereses, para determinar (tomando en cuenta las garantías), si las previsiones afectadas a tales contingencias son adecuadas. La Entidad debe clasificar su cartera de préstamos en dos categorías diferentes: (i) préstamos para el consumo o la vivienda, y (ii) préstamos comerciales. Los préstamos para el consumo o la vivienda incluyen préstamos para la vivienda, préstamos para el consumo (incluyendo financiamientos a través de tarjetas de crédito), préstamos de hasta 5.000 a Instituciones de Microcrédito y microemprendedores, y otros tipos de préstamos comerciales de hasta 5.000 con o sin garantías. Todos los demás préstamos son considerados préstamos comerciales. Los préstamos para el consumo o la vivienda superiores a Ps.5.000 cuyo repago se encuentre vinculado a la evolución de su actividad productiva o comercial, son clasificados como préstamos comerciales. </w:t>
      </w:r>
    </w:p>
    <w:p w14:paraId="069AF292"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p>
    <w:p w14:paraId="01586F3C" w14:textId="7B9D4CCD"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 xml:space="preserve">A opción de la Entidad, las financiaciones de naturaleza comercial de hasta 5.000, que cuenten o no con garantías preferidas, pueden agruparse junto con los créditos para consumo o vivienda, en cuyo caso reciben el tratamiento previsto para estos últimos. Si un cliente tiene ambas clases de préstamos (préstamos comerciales y para el consumo o la vivienda), los préstamos para el consumo o vivienda se incorporan a la cartera comercial para determinar bajo qué cartera deben ser clasificados basados en el monto indicado. En estos casos, los préstamos garantizados con garantías preferidas se ponderan al 50% de su valor nominal. </w:t>
      </w:r>
    </w:p>
    <w:p w14:paraId="38AFFA02"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p>
    <w:p w14:paraId="5216F4D2" w14:textId="10238901" w:rsidR="00656E62" w:rsidRPr="00701F32" w:rsidRDefault="00656E62" w:rsidP="00656E62">
      <w:pPr>
        <w:pStyle w:val="Textodebloque"/>
        <w:widowControl w:val="0"/>
        <w:spacing w:after="240"/>
        <w:ind w:left="0" w:right="4"/>
        <w:contextualSpacing/>
        <w:jc w:val="both"/>
        <w:rPr>
          <w:rFonts w:ascii="Arial" w:hAnsi="Arial" w:cs="Arial"/>
          <w:i/>
          <w:color w:val="000000"/>
          <w:sz w:val="20"/>
        </w:rPr>
      </w:pPr>
      <w:r w:rsidRPr="00701F32">
        <w:rPr>
          <w:rFonts w:ascii="Arial" w:hAnsi="Arial" w:cs="Arial"/>
          <w:color w:val="000000"/>
          <w:sz w:val="20"/>
        </w:rPr>
        <w:t>Bajo este sistema de clasificación, cada cliente, como también sus deudas pendientes, son incluidos dentro de una de seis sub-categorías. Los criterios de clasificación de deuda aplicados a la cartera de préstamos para el consumo están basados primordialmente en factores objetivos relacionados con el cumplimiento de las obligaciones por parte del cliente o en su situación legal, mientras que el criterio clave para clasificar la cartera de préstamo</w:t>
      </w:r>
      <w:r w:rsidR="000761A8" w:rsidRPr="00701F32">
        <w:rPr>
          <w:rFonts w:ascii="Arial" w:hAnsi="Arial" w:cs="Arial"/>
          <w:color w:val="000000"/>
          <w:sz w:val="20"/>
        </w:rPr>
        <w:t>s de naturaleza</w:t>
      </w:r>
      <w:r w:rsidRPr="00701F32">
        <w:rPr>
          <w:rFonts w:ascii="Arial" w:hAnsi="Arial" w:cs="Arial"/>
          <w:color w:val="000000"/>
          <w:sz w:val="20"/>
        </w:rPr>
        <w:t xml:space="preserve"> comercial lo constituye la capacidad de pago de cada cliente, basado en su flujo de efectivo futuro.</w:t>
      </w:r>
    </w:p>
    <w:p w14:paraId="55BAF647" w14:textId="77777777" w:rsidR="00656E62" w:rsidRPr="00701F32" w:rsidRDefault="00656E62" w:rsidP="00656E62">
      <w:pPr>
        <w:pStyle w:val="Textodebloque"/>
        <w:widowControl w:val="0"/>
        <w:spacing w:after="240"/>
        <w:ind w:left="0" w:right="4"/>
        <w:contextualSpacing/>
        <w:jc w:val="both"/>
        <w:rPr>
          <w:rFonts w:ascii="Arial" w:hAnsi="Arial" w:cs="Arial"/>
          <w:i/>
          <w:color w:val="000000"/>
          <w:sz w:val="20"/>
        </w:rPr>
      </w:pPr>
    </w:p>
    <w:p w14:paraId="0086E168"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b/>
          <w:color w:val="000000"/>
          <w:sz w:val="20"/>
        </w:rPr>
      </w:pPr>
      <w:r w:rsidRPr="00701F32">
        <w:rPr>
          <w:rFonts w:ascii="Arial" w:hAnsi="Arial" w:cs="Arial"/>
          <w:b/>
          <w:color w:val="000000"/>
          <w:sz w:val="20"/>
        </w:rPr>
        <w:t>Clasificación de préstamos comerciales</w:t>
      </w:r>
    </w:p>
    <w:p w14:paraId="5181FD91"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b/>
          <w:color w:val="000000"/>
          <w:sz w:val="20"/>
        </w:rPr>
      </w:pPr>
    </w:p>
    <w:p w14:paraId="02E972A8"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r w:rsidRPr="00701F32">
        <w:rPr>
          <w:rFonts w:ascii="Arial" w:hAnsi="Arial" w:cs="Arial"/>
          <w:color w:val="000000"/>
          <w:sz w:val="20"/>
        </w:rPr>
        <w:t>El criterio principal utilizado por la Entidad para evaluar un préstamo perteneciente a la cartera comercial es la capacidad de su prestatario para reembolsarlo, la cual se mide principalmente por el flujo de efectivo futuro de dicho prestatario. De acuerdo con las normas B.C.R.A, los préstamos comerciales son clasificados del siguiente modo:</w:t>
      </w:r>
    </w:p>
    <w:p w14:paraId="50E040D7" w14:textId="77777777" w:rsidR="00656E62" w:rsidRPr="00701F32" w:rsidRDefault="00656E62" w:rsidP="00656E62">
      <w:pPr>
        <w:pStyle w:val="Textodebloque"/>
        <w:widowControl w:val="0"/>
        <w:tabs>
          <w:tab w:val="left" w:pos="9356"/>
        </w:tabs>
        <w:spacing w:after="240"/>
        <w:ind w:left="0" w:right="4"/>
        <w:contextualSpacing/>
        <w:jc w:val="both"/>
        <w:rPr>
          <w:rFonts w:ascii="Arial" w:hAnsi="Arial" w:cs="Arial"/>
          <w:i/>
          <w:color w:val="000000"/>
          <w:sz w:val="20"/>
        </w:rPr>
      </w:pPr>
    </w:p>
    <w:tbl>
      <w:tblPr>
        <w:tblW w:w="8405" w:type="dxa"/>
        <w:jc w:val="center"/>
        <w:tblLayout w:type="fixed"/>
        <w:tblLook w:val="0000" w:firstRow="0" w:lastRow="0" w:firstColumn="0" w:lastColumn="0" w:noHBand="0" w:noVBand="0"/>
      </w:tblPr>
      <w:tblGrid>
        <w:gridCol w:w="2158"/>
        <w:gridCol w:w="6247"/>
      </w:tblGrid>
      <w:tr w:rsidR="00656E62" w:rsidRPr="00701F32" w14:paraId="7FE84E47" w14:textId="77777777" w:rsidTr="00464C0F">
        <w:trPr>
          <w:tblHeader/>
          <w:jc w:val="center"/>
        </w:trPr>
        <w:tc>
          <w:tcPr>
            <w:tcW w:w="2158" w:type="dxa"/>
            <w:tcBorders>
              <w:bottom w:val="single" w:sz="4" w:space="0" w:color="auto"/>
            </w:tcBorders>
          </w:tcPr>
          <w:p w14:paraId="46245F95" w14:textId="77777777" w:rsidR="00656E62" w:rsidRPr="00701F32" w:rsidRDefault="00656E62" w:rsidP="00464C0F">
            <w:pPr>
              <w:widowControl w:val="0"/>
              <w:contextualSpacing/>
              <w:jc w:val="both"/>
              <w:rPr>
                <w:rFonts w:ascii="Arial" w:hAnsi="Arial" w:cs="Arial"/>
                <w:b/>
                <w:color w:val="000000"/>
                <w:sz w:val="20"/>
              </w:rPr>
            </w:pPr>
            <w:r w:rsidRPr="00701F32">
              <w:rPr>
                <w:rFonts w:ascii="Arial" w:hAnsi="Arial" w:cs="Arial"/>
                <w:b/>
                <w:color w:val="000000"/>
                <w:sz w:val="20"/>
              </w:rPr>
              <w:t>Clasificación</w:t>
            </w:r>
          </w:p>
        </w:tc>
        <w:tc>
          <w:tcPr>
            <w:tcW w:w="6247" w:type="dxa"/>
            <w:tcBorders>
              <w:bottom w:val="single" w:sz="4" w:space="0" w:color="auto"/>
            </w:tcBorders>
          </w:tcPr>
          <w:p w14:paraId="7C73C20C" w14:textId="77777777" w:rsidR="00656E62" w:rsidRPr="00701F32" w:rsidRDefault="00656E62" w:rsidP="00464C0F">
            <w:pPr>
              <w:widowControl w:val="0"/>
              <w:contextualSpacing/>
              <w:jc w:val="both"/>
              <w:rPr>
                <w:rFonts w:ascii="Arial" w:hAnsi="Arial" w:cs="Arial"/>
                <w:b/>
                <w:color w:val="000000"/>
                <w:sz w:val="20"/>
              </w:rPr>
            </w:pPr>
            <w:r w:rsidRPr="00701F32">
              <w:rPr>
                <w:rFonts w:ascii="Arial" w:hAnsi="Arial" w:cs="Arial"/>
                <w:b/>
                <w:color w:val="000000"/>
                <w:sz w:val="20"/>
              </w:rPr>
              <w:t>Criterios</w:t>
            </w:r>
          </w:p>
        </w:tc>
      </w:tr>
      <w:tr w:rsidR="00656E62" w:rsidRPr="00701F32" w14:paraId="686D9966" w14:textId="77777777" w:rsidTr="00464C0F">
        <w:trPr>
          <w:jc w:val="center"/>
        </w:trPr>
        <w:tc>
          <w:tcPr>
            <w:tcW w:w="2158" w:type="dxa"/>
            <w:tcBorders>
              <w:top w:val="single" w:sz="4" w:space="0" w:color="auto"/>
            </w:tcBorders>
          </w:tcPr>
          <w:p w14:paraId="0E0FE6D1" w14:textId="77777777" w:rsidR="00656E62" w:rsidRPr="00701F32" w:rsidRDefault="00656E62" w:rsidP="00464C0F">
            <w:pPr>
              <w:widowControl w:val="0"/>
              <w:contextualSpacing/>
              <w:jc w:val="both"/>
              <w:rPr>
                <w:rFonts w:ascii="Arial" w:hAnsi="Arial" w:cs="Arial"/>
                <w:color w:val="000000"/>
                <w:sz w:val="20"/>
              </w:rPr>
            </w:pPr>
          </w:p>
          <w:p w14:paraId="13169E7E"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En situación normal</w:t>
            </w:r>
          </w:p>
        </w:tc>
        <w:tc>
          <w:tcPr>
            <w:tcW w:w="6247" w:type="dxa"/>
            <w:tcBorders>
              <w:top w:val="single" w:sz="4" w:space="0" w:color="auto"/>
            </w:tcBorders>
          </w:tcPr>
          <w:p w14:paraId="65CB14F3" w14:textId="77777777" w:rsidR="00656E62" w:rsidRPr="00701F32" w:rsidRDefault="00656E62" w:rsidP="00464C0F">
            <w:pPr>
              <w:widowControl w:val="0"/>
              <w:contextualSpacing/>
              <w:jc w:val="both"/>
              <w:rPr>
                <w:rFonts w:ascii="Arial" w:hAnsi="Arial" w:cs="Arial"/>
                <w:color w:val="000000"/>
                <w:sz w:val="20"/>
              </w:rPr>
            </w:pPr>
          </w:p>
          <w:p w14:paraId="3AEF8B90"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Deudores respecto de los que no existen dudas respecto de su capacidad para cumplir con sus obligaciones de pago.</w:t>
            </w:r>
          </w:p>
          <w:p w14:paraId="12C9F2A0"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49203A48" w14:textId="77777777" w:rsidTr="00464C0F">
        <w:trPr>
          <w:jc w:val="center"/>
        </w:trPr>
        <w:tc>
          <w:tcPr>
            <w:tcW w:w="2158" w:type="dxa"/>
          </w:tcPr>
          <w:p w14:paraId="4FA2BD83"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Con seguimiento especial /En observación</w:t>
            </w:r>
          </w:p>
        </w:tc>
        <w:tc>
          <w:tcPr>
            <w:tcW w:w="6247" w:type="dxa"/>
          </w:tcPr>
          <w:p w14:paraId="314D342A"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Los deudores cuya mora supera los 90 días, entre otros criterios, aunque son considerados capaces de hacer frente a todas sus obligaciones financieras, son sensibles a los cambios que puedan comprometer su capacidad para honrar deudas en ausencia de medidas correctivas oportunas.</w:t>
            </w:r>
          </w:p>
          <w:p w14:paraId="79D70679"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3972A772" w14:textId="77777777" w:rsidTr="00464C0F">
        <w:trPr>
          <w:jc w:val="center"/>
        </w:trPr>
        <w:tc>
          <w:tcPr>
            <w:tcW w:w="2158" w:type="dxa"/>
          </w:tcPr>
          <w:p w14:paraId="7468AC67"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Bajo seguimiento especial / en negociación o con acuerdos de refinanciación.</w:t>
            </w:r>
          </w:p>
        </w:tc>
        <w:tc>
          <w:tcPr>
            <w:tcW w:w="6247" w:type="dxa"/>
          </w:tcPr>
          <w:p w14:paraId="6EAAD9DC"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sz w:val="20"/>
              </w:rPr>
              <w:t xml:space="preserve">Incluye aquellos clientes que ante la imposibilidad de hacer frente al pago de sus obligaciones en las condiciones pactadas, manifiesten fehacientemente antes de los 60 días contados desde la fecha en que se verificó la mora en el pago de las obligaciones, la intención de refinanciar sus deudas. </w:t>
            </w:r>
            <w:r w:rsidRPr="00701F32">
              <w:rPr>
                <w:rFonts w:ascii="Arial" w:eastAsia="Calibri" w:hAnsi="Arial" w:cs="Arial"/>
                <w:sz w:val="20"/>
              </w:rPr>
              <w:t>De no haberse alcanzado el acuerdo dentro de los 90 días (si estuvieran involucrados dos entidades prestamistas) o 180 días calendarios (si estuvieran involucrados más de dos entidades prestamistas) después de la fecha de incumplimiento de pago, deberá reclasificarse al deudor en la categoría inferior que corresponda, de acuerdo con los indicadores establecidos para cada nivel.</w:t>
            </w:r>
          </w:p>
          <w:p w14:paraId="2B74C33C" w14:textId="77777777" w:rsidR="00656E62" w:rsidRPr="00701F32" w:rsidRDefault="00656E62" w:rsidP="00464C0F">
            <w:pPr>
              <w:widowControl w:val="0"/>
              <w:contextualSpacing/>
              <w:jc w:val="both"/>
              <w:rPr>
                <w:rFonts w:ascii="Arial" w:hAnsi="Arial" w:cs="Arial"/>
                <w:color w:val="000000"/>
                <w:sz w:val="20"/>
              </w:rPr>
            </w:pPr>
          </w:p>
        </w:tc>
      </w:tr>
      <w:tr w:rsidR="00656E62" w:rsidRPr="00701F32" w14:paraId="1CCA9339" w14:textId="77777777" w:rsidTr="00464C0F">
        <w:trPr>
          <w:jc w:val="center"/>
        </w:trPr>
        <w:tc>
          <w:tcPr>
            <w:tcW w:w="2158" w:type="dxa"/>
          </w:tcPr>
          <w:p w14:paraId="7E8E814C" w14:textId="77777777" w:rsidR="00656E62" w:rsidRPr="00701F32" w:rsidRDefault="00656E62" w:rsidP="00561992">
            <w:pPr>
              <w:widowControl w:val="0"/>
              <w:contextualSpacing/>
              <w:jc w:val="both"/>
              <w:rPr>
                <w:rFonts w:ascii="Arial" w:hAnsi="Arial" w:cs="Arial"/>
                <w:color w:val="000000"/>
                <w:sz w:val="20"/>
              </w:rPr>
            </w:pPr>
            <w:r w:rsidRPr="00701F32">
              <w:rPr>
                <w:rFonts w:ascii="Arial" w:hAnsi="Arial" w:cs="Arial"/>
                <w:color w:val="000000"/>
                <w:sz w:val="20"/>
              </w:rPr>
              <w:t>Con problemas</w:t>
            </w:r>
          </w:p>
        </w:tc>
        <w:tc>
          <w:tcPr>
            <w:tcW w:w="6247" w:type="dxa"/>
          </w:tcPr>
          <w:p w14:paraId="3C034C5A" w14:textId="77777777" w:rsidR="00656E62" w:rsidRPr="00701F32" w:rsidRDefault="00656E62" w:rsidP="00561992">
            <w:pPr>
              <w:widowControl w:val="0"/>
              <w:contextualSpacing/>
              <w:jc w:val="both"/>
              <w:rPr>
                <w:rFonts w:ascii="Arial" w:hAnsi="Arial" w:cs="Arial"/>
                <w:color w:val="000000"/>
                <w:sz w:val="20"/>
              </w:rPr>
            </w:pPr>
            <w:r w:rsidRPr="00701F32">
              <w:rPr>
                <w:rFonts w:ascii="Arial" w:hAnsi="Arial" w:cs="Arial"/>
                <w:color w:val="000000"/>
                <w:sz w:val="20"/>
              </w:rPr>
              <w:t>Deudores con dificultades para cumplir con sus obligaciones financieras en forma regular que, de no ser corregidas, pueden dar como resultado pérdidas para el banco o que  mantengan convenios de pago resultantes de concordatos judiciales o extrajudiciales homologados (incluyendo los acuerdos preventivos extrajudiciales homologados) a vencer.</w:t>
            </w:r>
          </w:p>
          <w:p w14:paraId="6594E964"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6BBF3753" w14:textId="77777777" w:rsidTr="00464C0F">
        <w:trPr>
          <w:jc w:val="center"/>
        </w:trPr>
        <w:tc>
          <w:tcPr>
            <w:tcW w:w="2158" w:type="dxa"/>
          </w:tcPr>
          <w:p w14:paraId="227EA8C8" w14:textId="77777777" w:rsidR="00656E62" w:rsidRPr="00701F32" w:rsidRDefault="00656E62" w:rsidP="0086282C">
            <w:pPr>
              <w:widowControl w:val="0"/>
              <w:contextualSpacing/>
              <w:jc w:val="both"/>
              <w:rPr>
                <w:rFonts w:ascii="Arial" w:hAnsi="Arial" w:cs="Arial"/>
                <w:color w:val="000000"/>
                <w:sz w:val="20"/>
                <w:lang w:val="es-ES_tradnl"/>
              </w:rPr>
            </w:pPr>
            <w:r w:rsidRPr="00701F32">
              <w:rPr>
                <w:rFonts w:ascii="Arial" w:hAnsi="Arial" w:cs="Arial"/>
                <w:color w:val="000000"/>
                <w:sz w:val="20"/>
              </w:rPr>
              <w:t>Con alto riesgo de insolvencia</w:t>
            </w:r>
          </w:p>
        </w:tc>
        <w:tc>
          <w:tcPr>
            <w:tcW w:w="6247" w:type="dxa"/>
          </w:tcPr>
          <w:p w14:paraId="701DC789" w14:textId="77777777" w:rsidR="00656E62" w:rsidRPr="00701F32" w:rsidRDefault="00656E62" w:rsidP="0086282C">
            <w:pPr>
              <w:widowControl w:val="0"/>
              <w:contextualSpacing/>
              <w:jc w:val="both"/>
              <w:rPr>
                <w:rFonts w:ascii="Arial" w:hAnsi="Arial" w:cs="Arial"/>
                <w:color w:val="000000"/>
                <w:sz w:val="20"/>
                <w:lang w:val="es-ES_tradnl"/>
              </w:rPr>
            </w:pPr>
            <w:r w:rsidRPr="00701F32">
              <w:rPr>
                <w:rFonts w:ascii="Arial" w:hAnsi="Arial" w:cs="Arial"/>
                <w:color w:val="000000"/>
                <w:sz w:val="20"/>
              </w:rPr>
              <w:t xml:space="preserve">Deudores con una alta probabilidad de que no cumplan con sus compromisos financieros o hayan solicitado acuerdo preventivo, celebrado un acuerdo preventivo extrajudicial aún no homologado o hayan requerido su quiebra, en tanto no hubiere sido declarada </w:t>
            </w:r>
          </w:p>
          <w:p w14:paraId="417CCC87" w14:textId="77777777" w:rsidR="00656E62" w:rsidRPr="00701F32" w:rsidRDefault="00656E62">
            <w:pPr>
              <w:widowControl w:val="0"/>
              <w:contextualSpacing/>
              <w:jc w:val="both"/>
              <w:outlineLvl w:val="2"/>
              <w:rPr>
                <w:rFonts w:ascii="Arial" w:hAnsi="Arial" w:cs="Arial"/>
                <w:color w:val="000000"/>
                <w:sz w:val="20"/>
              </w:rPr>
            </w:pPr>
          </w:p>
        </w:tc>
      </w:tr>
      <w:tr w:rsidR="00656E62" w:rsidRPr="00701F32" w14:paraId="7B5E7EF0" w14:textId="77777777" w:rsidTr="00464C0F">
        <w:trPr>
          <w:jc w:val="center"/>
        </w:trPr>
        <w:tc>
          <w:tcPr>
            <w:tcW w:w="2158" w:type="dxa"/>
          </w:tcPr>
          <w:p w14:paraId="21BA54A7" w14:textId="77777777" w:rsidR="00656E62" w:rsidRPr="00701F32" w:rsidRDefault="00656E62" w:rsidP="0086282C">
            <w:pPr>
              <w:widowControl w:val="0"/>
              <w:contextualSpacing/>
              <w:jc w:val="both"/>
              <w:rPr>
                <w:rFonts w:ascii="Arial" w:hAnsi="Arial" w:cs="Arial"/>
                <w:color w:val="000000"/>
                <w:sz w:val="20"/>
                <w:lang w:val="es-ES_tradnl"/>
              </w:rPr>
            </w:pPr>
            <w:r w:rsidRPr="00701F32">
              <w:rPr>
                <w:rFonts w:ascii="Arial" w:hAnsi="Arial" w:cs="Arial"/>
                <w:color w:val="000000"/>
                <w:sz w:val="20"/>
              </w:rPr>
              <w:t>Irrecuperable</w:t>
            </w:r>
          </w:p>
        </w:tc>
        <w:tc>
          <w:tcPr>
            <w:tcW w:w="6247" w:type="dxa"/>
          </w:tcPr>
          <w:p w14:paraId="044E5AEC" w14:textId="77777777" w:rsidR="00656E62" w:rsidRPr="00701F32" w:rsidRDefault="00656E62" w:rsidP="0086282C">
            <w:pPr>
              <w:widowControl w:val="0"/>
              <w:contextualSpacing/>
              <w:jc w:val="both"/>
              <w:rPr>
                <w:rFonts w:ascii="Arial" w:hAnsi="Arial" w:cs="Arial"/>
                <w:color w:val="000000"/>
                <w:sz w:val="20"/>
                <w:lang w:val="es-ES_tradnl"/>
              </w:rPr>
            </w:pPr>
            <w:r w:rsidRPr="00701F32">
              <w:rPr>
                <w:rFonts w:ascii="Arial" w:hAnsi="Arial" w:cs="Arial"/>
                <w:color w:val="000000"/>
                <w:sz w:val="20"/>
              </w:rPr>
              <w:t>Préstamos clasificados como incobrables al momento del análisis (aunque podría existir la posibilidad de que tales préstamos se cobraran en el futuro). Se sostiene que el deudor no cumplirá sus obligaciones financieras con la entidad financiera.Incluye prestamos a deudores insolventes o en quiebra declarada.</w:t>
            </w:r>
          </w:p>
          <w:p w14:paraId="4D02B174" w14:textId="77777777" w:rsidR="00656E62" w:rsidRPr="00701F32" w:rsidRDefault="00656E62">
            <w:pPr>
              <w:widowControl w:val="0"/>
              <w:contextualSpacing/>
              <w:jc w:val="both"/>
              <w:outlineLvl w:val="2"/>
              <w:rPr>
                <w:rFonts w:ascii="Arial" w:hAnsi="Arial" w:cs="Arial"/>
                <w:color w:val="000000"/>
                <w:sz w:val="20"/>
              </w:rPr>
            </w:pPr>
          </w:p>
        </w:tc>
      </w:tr>
      <w:tr w:rsidR="00656E62" w:rsidRPr="00701F32" w14:paraId="0AF90569" w14:textId="77777777" w:rsidTr="00464C0F">
        <w:trPr>
          <w:jc w:val="center"/>
        </w:trPr>
        <w:tc>
          <w:tcPr>
            <w:tcW w:w="2158" w:type="dxa"/>
          </w:tcPr>
          <w:p w14:paraId="7338A82F" w14:textId="77777777" w:rsidR="00656E62" w:rsidRPr="00701F32" w:rsidRDefault="00656E62" w:rsidP="0086282C">
            <w:pPr>
              <w:widowControl w:val="0"/>
              <w:contextualSpacing/>
              <w:jc w:val="both"/>
              <w:rPr>
                <w:rFonts w:ascii="Arial" w:hAnsi="Arial" w:cs="Arial"/>
                <w:color w:val="000000"/>
                <w:sz w:val="20"/>
                <w:lang w:val="es-ES_tradnl"/>
              </w:rPr>
            </w:pPr>
            <w:r w:rsidRPr="00701F32">
              <w:rPr>
                <w:rFonts w:ascii="Arial" w:hAnsi="Arial" w:cs="Arial"/>
                <w:color w:val="000000"/>
                <w:sz w:val="20"/>
              </w:rPr>
              <w:t>Irrecuperable por disposición técnica</w:t>
            </w:r>
          </w:p>
        </w:tc>
        <w:tc>
          <w:tcPr>
            <w:tcW w:w="6247" w:type="dxa"/>
          </w:tcPr>
          <w:p w14:paraId="5F98FB99" w14:textId="77777777" w:rsidR="00656E62" w:rsidRPr="00701F32" w:rsidRDefault="00656E62">
            <w:pPr>
              <w:pStyle w:val="BodyBullet"/>
              <w:widowControl w:val="0"/>
              <w:jc w:val="both"/>
              <w:rPr>
                <w:rFonts w:ascii="Arial" w:hAnsi="Arial" w:cs="Arial"/>
                <w:color w:val="000000"/>
                <w:lang w:val="es-AR"/>
              </w:rPr>
            </w:pPr>
            <w:r w:rsidRPr="00701F32">
              <w:rPr>
                <w:rFonts w:ascii="Arial" w:hAnsi="Arial" w:cs="Arial"/>
                <w:color w:val="000000"/>
                <w:lang w:val="es-AR"/>
              </w:rPr>
              <w:t>(a) Un deudor que no ha cumplido con sus obligaciones de pago de un préstamo durante más de 180 días calendario según el informe correspondiente suministrado por el</w:t>
            </w:r>
            <w:r w:rsidR="00561992" w:rsidRPr="00701F32">
              <w:rPr>
                <w:rFonts w:ascii="Arial" w:hAnsi="Arial" w:cs="Arial"/>
                <w:color w:val="000000"/>
                <w:lang w:val="es-AR"/>
              </w:rPr>
              <w:t xml:space="preserve"> </w:t>
            </w:r>
            <w:r w:rsidRPr="00701F32">
              <w:rPr>
                <w:rFonts w:ascii="Arial" w:hAnsi="Arial" w:cs="Arial"/>
                <w:color w:val="000000"/>
                <w:lang w:val="es-AR"/>
              </w:rPr>
              <w:t>B.C.R.A, incluye (1) las entidades financieras liquidadas por el B.C.R.A, (2) entidades residuales creadas como resultado de la privatización de entidades financieras públicas, o en procesos de privatización o disolución, (3) entidades financieras cuya licencia ha sido revocada por el B.C.R.A y que se encuentran sujetas a liquidación judicial o procedimientos de quiebra, y (4) fideicomisos en los que SEDESA sea beneficiario; o (b) determinada clase de prestatario extranjero (incluyendo bancos u otras entidades financieras que no están sujetos a la supervisión del B.C.R.A o autoridad similar del país en el cual están constituidos) que no cuentan con la calificación internacional de “</w:t>
            </w:r>
            <w:r w:rsidRPr="00701F32">
              <w:rPr>
                <w:rFonts w:ascii="Arial" w:hAnsi="Arial" w:cs="Arial"/>
                <w:i/>
                <w:color w:val="000000"/>
                <w:lang w:val="es-AR"/>
              </w:rPr>
              <w:t>investment grade</w:t>
            </w:r>
            <w:r w:rsidRPr="00701F32">
              <w:rPr>
                <w:rFonts w:ascii="Arial" w:hAnsi="Arial" w:cs="Arial"/>
                <w:color w:val="000000"/>
                <w:lang w:val="es-AR"/>
              </w:rPr>
              <w:t>” de cualquiera de las agencias calificadoras de riesgo reconocidas por el B.C.R.A</w:t>
            </w:r>
          </w:p>
        </w:tc>
      </w:tr>
    </w:tbl>
    <w:p w14:paraId="0E51450B" w14:textId="77777777" w:rsidR="00656E62" w:rsidRPr="00701F32" w:rsidRDefault="00656E62" w:rsidP="00656E62">
      <w:pPr>
        <w:pStyle w:val="Textodebloque"/>
        <w:widowControl w:val="0"/>
        <w:tabs>
          <w:tab w:val="left" w:pos="9356"/>
        </w:tabs>
        <w:spacing w:after="240"/>
        <w:ind w:left="0" w:right="6"/>
        <w:contextualSpacing/>
        <w:jc w:val="both"/>
        <w:rPr>
          <w:rFonts w:ascii="Arial" w:hAnsi="Arial" w:cs="Arial"/>
          <w:i/>
          <w:color w:val="000000"/>
          <w:sz w:val="20"/>
        </w:rPr>
      </w:pPr>
    </w:p>
    <w:p w14:paraId="3E4BB5B1" w14:textId="77777777" w:rsidR="000761A8" w:rsidRPr="00701F32" w:rsidRDefault="000761A8" w:rsidP="00656E62">
      <w:pPr>
        <w:pStyle w:val="Textodebloque"/>
        <w:widowControl w:val="0"/>
        <w:tabs>
          <w:tab w:val="left" w:pos="9356"/>
        </w:tabs>
        <w:spacing w:after="240"/>
        <w:ind w:left="0" w:right="6"/>
        <w:contextualSpacing/>
        <w:jc w:val="both"/>
        <w:rPr>
          <w:rFonts w:ascii="Arial" w:hAnsi="Arial" w:cs="Arial"/>
          <w:i/>
          <w:color w:val="000000"/>
          <w:sz w:val="20"/>
        </w:rPr>
      </w:pPr>
    </w:p>
    <w:p w14:paraId="79862854" w14:textId="77777777" w:rsidR="000761A8" w:rsidRPr="00701F32" w:rsidRDefault="000761A8" w:rsidP="00656E62">
      <w:pPr>
        <w:pStyle w:val="Textodebloque"/>
        <w:widowControl w:val="0"/>
        <w:tabs>
          <w:tab w:val="left" w:pos="9356"/>
        </w:tabs>
        <w:spacing w:after="240"/>
        <w:ind w:left="0" w:right="6"/>
        <w:contextualSpacing/>
        <w:jc w:val="both"/>
        <w:rPr>
          <w:rFonts w:ascii="Arial" w:hAnsi="Arial" w:cs="Arial"/>
          <w:i/>
          <w:color w:val="000000"/>
          <w:sz w:val="20"/>
        </w:rPr>
      </w:pPr>
    </w:p>
    <w:p w14:paraId="5ED27DCD" w14:textId="77777777" w:rsidR="00656E62" w:rsidRPr="00701F32" w:rsidRDefault="00656E62" w:rsidP="00656E62">
      <w:pPr>
        <w:pStyle w:val="Textodebloque"/>
        <w:widowControl w:val="0"/>
        <w:tabs>
          <w:tab w:val="left" w:pos="9356"/>
        </w:tabs>
        <w:spacing w:after="240"/>
        <w:ind w:left="0" w:right="6"/>
        <w:contextualSpacing/>
        <w:jc w:val="both"/>
        <w:rPr>
          <w:rFonts w:ascii="Arial" w:hAnsi="Arial" w:cs="Arial"/>
          <w:b/>
          <w:color w:val="000000"/>
          <w:sz w:val="20"/>
        </w:rPr>
      </w:pPr>
      <w:r w:rsidRPr="00701F32">
        <w:rPr>
          <w:rFonts w:ascii="Arial" w:hAnsi="Arial" w:cs="Arial"/>
          <w:b/>
          <w:color w:val="000000"/>
          <w:sz w:val="20"/>
        </w:rPr>
        <w:t>Clasificación de préstamos para el consumo y la vivienda</w:t>
      </w:r>
    </w:p>
    <w:p w14:paraId="4C311443" w14:textId="77777777" w:rsidR="00656E62" w:rsidRPr="00701F32" w:rsidRDefault="00656E62" w:rsidP="00656E62">
      <w:pPr>
        <w:pStyle w:val="Textodebloque"/>
        <w:widowControl w:val="0"/>
        <w:tabs>
          <w:tab w:val="left" w:pos="9356"/>
        </w:tabs>
        <w:spacing w:after="240"/>
        <w:ind w:left="0" w:right="6"/>
        <w:contextualSpacing/>
        <w:jc w:val="both"/>
        <w:rPr>
          <w:rFonts w:ascii="Arial" w:hAnsi="Arial" w:cs="Arial"/>
          <w:b/>
          <w:color w:val="000000"/>
          <w:sz w:val="20"/>
        </w:rPr>
      </w:pPr>
    </w:p>
    <w:p w14:paraId="11E332AC" w14:textId="77777777" w:rsidR="00656E62" w:rsidRPr="00701F32" w:rsidRDefault="00656E62" w:rsidP="00656E62">
      <w:pPr>
        <w:pStyle w:val="Textodebloque"/>
        <w:widowControl w:val="0"/>
        <w:tabs>
          <w:tab w:val="left" w:pos="9356"/>
        </w:tabs>
        <w:spacing w:after="240"/>
        <w:ind w:left="0" w:right="6"/>
        <w:contextualSpacing/>
        <w:jc w:val="both"/>
        <w:rPr>
          <w:rFonts w:ascii="Arial" w:hAnsi="Arial" w:cs="Arial"/>
          <w:i/>
          <w:color w:val="000000"/>
          <w:sz w:val="20"/>
        </w:rPr>
      </w:pPr>
      <w:r w:rsidRPr="00701F32">
        <w:rPr>
          <w:rFonts w:ascii="Arial" w:hAnsi="Arial" w:cs="Arial"/>
          <w:color w:val="000000"/>
          <w:sz w:val="20"/>
        </w:rPr>
        <w:t>El principal criterio utilizado en la evaluación de los préstamos en la cartera de préstamos de consumo y la vivienda es el plazo de los incumplimientos. Según las Normas del B.C.R.A, los deudores son clasificados del siguiente modo:</w:t>
      </w:r>
    </w:p>
    <w:p w14:paraId="541BAC47" w14:textId="77777777" w:rsidR="00656E62" w:rsidRPr="00701F32" w:rsidRDefault="00656E62" w:rsidP="00656E62">
      <w:pPr>
        <w:pStyle w:val="Textodebloque"/>
        <w:widowControl w:val="0"/>
        <w:tabs>
          <w:tab w:val="left" w:pos="9356"/>
        </w:tabs>
        <w:spacing w:after="240"/>
        <w:ind w:left="0" w:right="6"/>
        <w:contextualSpacing/>
        <w:jc w:val="both"/>
        <w:rPr>
          <w:rFonts w:ascii="Arial" w:hAnsi="Arial" w:cs="Arial"/>
          <w:i/>
          <w:color w:val="000000"/>
          <w:sz w:val="20"/>
        </w:rPr>
      </w:pPr>
    </w:p>
    <w:tbl>
      <w:tblPr>
        <w:tblW w:w="8405" w:type="dxa"/>
        <w:jc w:val="center"/>
        <w:tblLayout w:type="fixed"/>
        <w:tblLook w:val="0000" w:firstRow="0" w:lastRow="0" w:firstColumn="0" w:lastColumn="0" w:noHBand="0" w:noVBand="0"/>
      </w:tblPr>
      <w:tblGrid>
        <w:gridCol w:w="2158"/>
        <w:gridCol w:w="25"/>
        <w:gridCol w:w="6189"/>
        <w:gridCol w:w="33"/>
      </w:tblGrid>
      <w:tr w:rsidR="00656E62" w:rsidRPr="00701F32" w14:paraId="2CA865EA" w14:textId="77777777" w:rsidTr="00464C0F">
        <w:trPr>
          <w:gridAfter w:val="1"/>
          <w:wAfter w:w="33" w:type="dxa"/>
          <w:tblHeader/>
          <w:jc w:val="center"/>
        </w:trPr>
        <w:tc>
          <w:tcPr>
            <w:tcW w:w="2183" w:type="dxa"/>
            <w:gridSpan w:val="2"/>
            <w:tcBorders>
              <w:bottom w:val="single" w:sz="4" w:space="0" w:color="auto"/>
            </w:tcBorders>
          </w:tcPr>
          <w:p w14:paraId="44ACF7AF" w14:textId="77777777" w:rsidR="00656E62" w:rsidRPr="00701F32" w:rsidRDefault="00656E62" w:rsidP="00464C0F">
            <w:pPr>
              <w:widowControl w:val="0"/>
              <w:contextualSpacing/>
              <w:jc w:val="both"/>
              <w:rPr>
                <w:rFonts w:ascii="Arial" w:hAnsi="Arial" w:cs="Arial"/>
                <w:b/>
                <w:color w:val="000000"/>
                <w:sz w:val="20"/>
              </w:rPr>
            </w:pPr>
            <w:r w:rsidRPr="00701F32">
              <w:rPr>
                <w:rFonts w:ascii="Arial" w:hAnsi="Arial" w:cs="Arial"/>
                <w:b/>
                <w:color w:val="000000"/>
                <w:sz w:val="20"/>
              </w:rPr>
              <w:t>Clasificación</w:t>
            </w:r>
          </w:p>
        </w:tc>
        <w:tc>
          <w:tcPr>
            <w:tcW w:w="6189" w:type="dxa"/>
            <w:tcBorders>
              <w:bottom w:val="single" w:sz="4" w:space="0" w:color="auto"/>
            </w:tcBorders>
          </w:tcPr>
          <w:p w14:paraId="3AA6D0E3" w14:textId="77777777" w:rsidR="00656E62" w:rsidRPr="00701F32" w:rsidRDefault="00656E62" w:rsidP="00464C0F">
            <w:pPr>
              <w:widowControl w:val="0"/>
              <w:contextualSpacing/>
              <w:jc w:val="both"/>
              <w:rPr>
                <w:rFonts w:ascii="Arial" w:hAnsi="Arial" w:cs="Arial"/>
                <w:b/>
                <w:color w:val="000000"/>
                <w:sz w:val="20"/>
              </w:rPr>
            </w:pPr>
            <w:r w:rsidRPr="00701F32">
              <w:rPr>
                <w:rFonts w:ascii="Arial" w:hAnsi="Arial" w:cs="Arial"/>
                <w:b/>
                <w:color w:val="000000"/>
                <w:sz w:val="20"/>
              </w:rPr>
              <w:t>Criterios</w:t>
            </w:r>
          </w:p>
        </w:tc>
      </w:tr>
      <w:tr w:rsidR="00656E62" w:rsidRPr="00701F32" w14:paraId="7F59FC6E" w14:textId="77777777" w:rsidTr="00464C0F">
        <w:trPr>
          <w:gridAfter w:val="1"/>
          <w:wAfter w:w="33" w:type="dxa"/>
          <w:jc w:val="center"/>
        </w:trPr>
        <w:tc>
          <w:tcPr>
            <w:tcW w:w="2183" w:type="dxa"/>
            <w:gridSpan w:val="2"/>
            <w:tcBorders>
              <w:top w:val="single" w:sz="4" w:space="0" w:color="auto"/>
            </w:tcBorders>
          </w:tcPr>
          <w:p w14:paraId="535A867E" w14:textId="77777777" w:rsidR="00656E62" w:rsidRPr="00701F32" w:rsidRDefault="00656E62" w:rsidP="00464C0F">
            <w:pPr>
              <w:widowControl w:val="0"/>
              <w:contextualSpacing/>
              <w:jc w:val="both"/>
              <w:rPr>
                <w:rFonts w:ascii="Arial" w:hAnsi="Arial" w:cs="Arial"/>
                <w:color w:val="000000"/>
                <w:sz w:val="20"/>
              </w:rPr>
            </w:pPr>
          </w:p>
          <w:p w14:paraId="52E66A5C"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Situación normal</w:t>
            </w:r>
          </w:p>
        </w:tc>
        <w:tc>
          <w:tcPr>
            <w:tcW w:w="6189" w:type="dxa"/>
            <w:tcBorders>
              <w:top w:val="single" w:sz="4" w:space="0" w:color="auto"/>
            </w:tcBorders>
          </w:tcPr>
          <w:p w14:paraId="6C8B3C69" w14:textId="77777777" w:rsidR="00656E62" w:rsidRPr="00701F32" w:rsidRDefault="00656E62" w:rsidP="00464C0F">
            <w:pPr>
              <w:widowControl w:val="0"/>
              <w:contextualSpacing/>
              <w:jc w:val="both"/>
              <w:rPr>
                <w:rFonts w:ascii="Arial" w:hAnsi="Arial" w:cs="Arial"/>
                <w:color w:val="000000"/>
                <w:sz w:val="20"/>
              </w:rPr>
            </w:pPr>
          </w:p>
          <w:p w14:paraId="3499850D"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cuando existe un cumplimiento puntual o mora menor a  31 días y, en caso de adelantos en cuentas corrientes, mora menor a 61 días.</w:t>
            </w:r>
          </w:p>
          <w:p w14:paraId="009215C6"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354E021A" w14:textId="77777777" w:rsidTr="00464C0F">
        <w:trPr>
          <w:gridAfter w:val="1"/>
          <w:wAfter w:w="33" w:type="dxa"/>
          <w:jc w:val="center"/>
        </w:trPr>
        <w:tc>
          <w:tcPr>
            <w:tcW w:w="2183" w:type="dxa"/>
            <w:gridSpan w:val="2"/>
          </w:tcPr>
          <w:p w14:paraId="3A360E4F"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Riesgo Bajo</w:t>
            </w:r>
          </w:p>
        </w:tc>
        <w:tc>
          <w:tcPr>
            <w:tcW w:w="6189" w:type="dxa"/>
          </w:tcPr>
          <w:p w14:paraId="46CFC5F0" w14:textId="77777777" w:rsidR="00656E62" w:rsidRPr="00701F32" w:rsidRDefault="00656E62" w:rsidP="00464C0F">
            <w:pPr>
              <w:widowControl w:val="0"/>
              <w:contextualSpacing/>
              <w:jc w:val="both"/>
              <w:rPr>
                <w:rFonts w:ascii="Arial" w:hAnsi="Arial" w:cs="Arial"/>
                <w:color w:val="000000"/>
                <w:sz w:val="20"/>
              </w:rPr>
            </w:pPr>
            <w:r w:rsidRPr="00701F32">
              <w:rPr>
                <w:rFonts w:ascii="Arial" w:eastAsia="Calibri" w:hAnsi="Arial" w:cs="Arial"/>
                <w:sz w:val="20"/>
              </w:rPr>
              <w:t xml:space="preserve">Préstamos de clientes que registran incumplimientos ocasionales en la atención de sus obligaciones, con atrasos de más de 31 hasta 90 días. </w:t>
            </w:r>
          </w:p>
          <w:p w14:paraId="2BE96ED7" w14:textId="77777777" w:rsidR="00656E62" w:rsidRPr="00701F32" w:rsidRDefault="00656E62" w:rsidP="00464C0F">
            <w:pPr>
              <w:widowControl w:val="0"/>
              <w:contextualSpacing/>
              <w:jc w:val="both"/>
              <w:rPr>
                <w:rFonts w:ascii="Arial" w:hAnsi="Arial" w:cs="Arial"/>
                <w:color w:val="000000"/>
                <w:sz w:val="20"/>
              </w:rPr>
            </w:pPr>
          </w:p>
        </w:tc>
      </w:tr>
      <w:tr w:rsidR="00656E62" w:rsidRPr="00701F32" w14:paraId="2C798A7D" w14:textId="77777777" w:rsidTr="00464C0F">
        <w:trPr>
          <w:gridAfter w:val="1"/>
          <w:wAfter w:w="33" w:type="dxa"/>
          <w:jc w:val="center"/>
        </w:trPr>
        <w:tc>
          <w:tcPr>
            <w:tcW w:w="2183" w:type="dxa"/>
            <w:gridSpan w:val="2"/>
          </w:tcPr>
          <w:p w14:paraId="0CB36AAD"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Riesgo Medio</w:t>
            </w:r>
          </w:p>
        </w:tc>
        <w:tc>
          <w:tcPr>
            <w:tcW w:w="6189" w:type="dxa"/>
          </w:tcPr>
          <w:p w14:paraId="5A103069"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Préstamos en los cuales sus obligaciones de pago están en mora por un período de más de 90 días pero menos de 180 días.</w:t>
            </w:r>
          </w:p>
          <w:p w14:paraId="3A1E0383"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6FA5EF63" w14:textId="77777777" w:rsidTr="00464C0F">
        <w:trPr>
          <w:gridAfter w:val="1"/>
          <w:wAfter w:w="33" w:type="dxa"/>
          <w:jc w:val="center"/>
        </w:trPr>
        <w:tc>
          <w:tcPr>
            <w:tcW w:w="2183" w:type="dxa"/>
            <w:gridSpan w:val="2"/>
          </w:tcPr>
          <w:p w14:paraId="4DC2A557"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Riesgo Alto</w:t>
            </w:r>
          </w:p>
        </w:tc>
        <w:tc>
          <w:tcPr>
            <w:tcW w:w="6189" w:type="dxa"/>
          </w:tcPr>
          <w:p w14:paraId="3F4DE2D5"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Préstamos en cuyo respecto se ha entablado una acción judicial de cobro, o préstamos que tengan obligaciones de pago en mora durante más de 180 días pero menos de 365 días.</w:t>
            </w:r>
          </w:p>
          <w:p w14:paraId="2A03D242"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1DD38509" w14:textId="77777777" w:rsidTr="00464C0F">
        <w:trPr>
          <w:jc w:val="center"/>
        </w:trPr>
        <w:tc>
          <w:tcPr>
            <w:tcW w:w="2158" w:type="dxa"/>
          </w:tcPr>
          <w:p w14:paraId="4BDD98C2"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Irrecuperable</w:t>
            </w:r>
          </w:p>
        </w:tc>
        <w:tc>
          <w:tcPr>
            <w:tcW w:w="6247" w:type="dxa"/>
            <w:gridSpan w:val="3"/>
          </w:tcPr>
          <w:p w14:paraId="0F3A249E"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Préstamos a clientes insolventes, en gestión judicial o quiebra, con nula o escasa posibilidad de recuperación o con mora superior a 365 dias.</w:t>
            </w:r>
          </w:p>
          <w:p w14:paraId="449B8895" w14:textId="77777777" w:rsidR="00656E62" w:rsidRPr="00701F32" w:rsidRDefault="00656E62" w:rsidP="00464C0F">
            <w:pPr>
              <w:widowControl w:val="0"/>
              <w:contextualSpacing/>
              <w:jc w:val="both"/>
              <w:outlineLvl w:val="2"/>
              <w:rPr>
                <w:rFonts w:ascii="Arial" w:hAnsi="Arial" w:cs="Arial"/>
                <w:color w:val="000000"/>
                <w:sz w:val="20"/>
              </w:rPr>
            </w:pPr>
          </w:p>
        </w:tc>
      </w:tr>
      <w:tr w:rsidR="00656E62" w:rsidRPr="00701F32" w14:paraId="3C6A64C6" w14:textId="77777777" w:rsidTr="00464C0F">
        <w:trPr>
          <w:gridAfter w:val="1"/>
          <w:wAfter w:w="33" w:type="dxa"/>
          <w:jc w:val="center"/>
        </w:trPr>
        <w:tc>
          <w:tcPr>
            <w:tcW w:w="2183" w:type="dxa"/>
            <w:gridSpan w:val="2"/>
          </w:tcPr>
          <w:p w14:paraId="56A379FE"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 xml:space="preserve">Irrecuperable </w:t>
            </w:r>
          </w:p>
          <w:p w14:paraId="588BE94D"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 xml:space="preserve">por disposición técnica </w:t>
            </w:r>
          </w:p>
        </w:tc>
        <w:tc>
          <w:tcPr>
            <w:tcW w:w="6189" w:type="dxa"/>
          </w:tcPr>
          <w:p w14:paraId="0A821B9F"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 xml:space="preserve">Se aplican los mismos criterios que para los préstamos comerciales en estado de técnicamente irrecuperables según los Normas B.C.R.A </w:t>
            </w:r>
          </w:p>
        </w:tc>
      </w:tr>
    </w:tbl>
    <w:p w14:paraId="58A8DABE" w14:textId="77777777" w:rsidR="00656E62" w:rsidRPr="00701F32" w:rsidRDefault="00656E62" w:rsidP="00656E62">
      <w:pPr>
        <w:pStyle w:val="Textodebloque"/>
        <w:widowControl w:val="0"/>
        <w:spacing w:after="240"/>
        <w:ind w:left="0"/>
        <w:contextualSpacing/>
        <w:jc w:val="both"/>
        <w:rPr>
          <w:rFonts w:ascii="Arial" w:hAnsi="Arial" w:cs="Arial"/>
          <w:i/>
          <w:color w:val="000000"/>
          <w:sz w:val="20"/>
        </w:rPr>
      </w:pPr>
    </w:p>
    <w:p w14:paraId="60DC8A8E" w14:textId="77777777" w:rsidR="00656E62" w:rsidRPr="00701F32" w:rsidRDefault="00656E62" w:rsidP="00656E62">
      <w:pPr>
        <w:pStyle w:val="TitleLItal"/>
        <w:keepNext w:val="0"/>
        <w:widowControl w:val="0"/>
        <w:contextualSpacing/>
        <w:rPr>
          <w:rFonts w:ascii="Arial" w:hAnsi="Arial" w:cs="Arial"/>
          <w:b/>
          <w:i w:val="0"/>
          <w:color w:val="000000"/>
          <w:lang w:val="es-AR"/>
        </w:rPr>
      </w:pPr>
      <w:r w:rsidRPr="00701F32">
        <w:rPr>
          <w:rFonts w:ascii="Arial" w:hAnsi="Arial" w:cs="Arial"/>
          <w:b/>
          <w:i w:val="0"/>
          <w:color w:val="000000"/>
          <w:lang w:val="es-AR"/>
        </w:rPr>
        <w:t>Previsiones mínimas por riesgos de incobrabilidad</w:t>
      </w:r>
    </w:p>
    <w:p w14:paraId="07BC5A22" w14:textId="77777777" w:rsidR="00656E62" w:rsidRPr="00701F32" w:rsidRDefault="00656E62" w:rsidP="00656E62">
      <w:pPr>
        <w:pStyle w:val="Textodebloque"/>
        <w:widowControl w:val="0"/>
        <w:spacing w:after="240"/>
        <w:ind w:left="0" w:right="4"/>
        <w:contextualSpacing/>
        <w:jc w:val="both"/>
        <w:rPr>
          <w:rFonts w:ascii="Arial" w:hAnsi="Arial" w:cs="Arial"/>
          <w:i/>
          <w:color w:val="000000"/>
          <w:sz w:val="20"/>
        </w:rPr>
      </w:pPr>
      <w:r w:rsidRPr="00701F32">
        <w:rPr>
          <w:rFonts w:ascii="Arial" w:hAnsi="Arial" w:cs="Arial"/>
          <w:color w:val="000000"/>
          <w:sz w:val="20"/>
        </w:rPr>
        <w:t>El B.C.R.A ha establecido las siguientes previsiones de crédito mínimas en relación con la categoría de cartera de crédito y existencia de garantías</w:t>
      </w:r>
    </w:p>
    <w:p w14:paraId="5FDA7715" w14:textId="77777777" w:rsidR="00656E62" w:rsidRPr="00701F32" w:rsidRDefault="00656E62" w:rsidP="00656E62">
      <w:pPr>
        <w:pStyle w:val="Textodebloque"/>
        <w:widowControl w:val="0"/>
        <w:spacing w:after="240"/>
        <w:ind w:left="0" w:right="4"/>
        <w:contextualSpacing/>
        <w:jc w:val="both"/>
        <w:rPr>
          <w:rFonts w:ascii="Arial" w:hAnsi="Arial" w:cs="Arial"/>
          <w:i/>
          <w:color w:val="000000"/>
          <w:sz w:val="20"/>
        </w:rPr>
      </w:pPr>
    </w:p>
    <w:tbl>
      <w:tblPr>
        <w:tblW w:w="8490" w:type="dxa"/>
        <w:jc w:val="center"/>
        <w:tblLayout w:type="fixed"/>
        <w:tblLook w:val="0000" w:firstRow="0" w:lastRow="0" w:firstColumn="0" w:lastColumn="0" w:noHBand="0" w:noVBand="0"/>
      </w:tblPr>
      <w:tblGrid>
        <w:gridCol w:w="5573"/>
        <w:gridCol w:w="1440"/>
        <w:gridCol w:w="1477"/>
      </w:tblGrid>
      <w:tr w:rsidR="00656E62" w:rsidRPr="00701F32" w14:paraId="7A499D90" w14:textId="77777777" w:rsidTr="00464C0F">
        <w:trPr>
          <w:trHeight w:val="70"/>
          <w:jc w:val="center"/>
        </w:trPr>
        <w:tc>
          <w:tcPr>
            <w:tcW w:w="5573" w:type="dxa"/>
            <w:tcBorders>
              <w:top w:val="single" w:sz="4" w:space="0" w:color="auto"/>
            </w:tcBorders>
          </w:tcPr>
          <w:p w14:paraId="5B174B53" w14:textId="77777777" w:rsidR="00656E62" w:rsidRPr="00701F32" w:rsidRDefault="00656E62" w:rsidP="00464C0F">
            <w:pPr>
              <w:widowControl w:val="0"/>
              <w:contextualSpacing/>
              <w:jc w:val="center"/>
              <w:rPr>
                <w:rFonts w:ascii="Arial" w:hAnsi="Arial" w:cs="Arial"/>
                <w:b/>
                <w:color w:val="000000"/>
                <w:sz w:val="20"/>
              </w:rPr>
            </w:pPr>
            <w:r w:rsidRPr="00701F32">
              <w:rPr>
                <w:rFonts w:ascii="Arial" w:hAnsi="Arial" w:cs="Arial"/>
                <w:b/>
                <w:color w:val="000000"/>
                <w:sz w:val="20"/>
              </w:rPr>
              <w:t>Categoría</w:t>
            </w:r>
          </w:p>
        </w:tc>
        <w:tc>
          <w:tcPr>
            <w:tcW w:w="1440" w:type="dxa"/>
            <w:tcBorders>
              <w:top w:val="single" w:sz="4" w:space="0" w:color="auto"/>
            </w:tcBorders>
          </w:tcPr>
          <w:p w14:paraId="27B1A22B" w14:textId="77777777" w:rsidR="00656E62" w:rsidRPr="00701F32" w:rsidRDefault="00656E62" w:rsidP="00464C0F">
            <w:pPr>
              <w:widowControl w:val="0"/>
              <w:tabs>
                <w:tab w:val="center" w:pos="1125"/>
              </w:tabs>
              <w:contextualSpacing/>
              <w:jc w:val="center"/>
              <w:rPr>
                <w:rFonts w:ascii="Arial" w:hAnsi="Arial" w:cs="Arial"/>
                <w:b/>
                <w:color w:val="000000"/>
                <w:sz w:val="20"/>
              </w:rPr>
            </w:pPr>
            <w:r w:rsidRPr="00701F32">
              <w:rPr>
                <w:rFonts w:ascii="Arial" w:hAnsi="Arial" w:cs="Arial"/>
                <w:b/>
                <w:color w:val="000000"/>
                <w:sz w:val="20"/>
              </w:rPr>
              <w:t>Con Garantías Preferidas</w:t>
            </w:r>
          </w:p>
        </w:tc>
        <w:tc>
          <w:tcPr>
            <w:tcW w:w="1477" w:type="dxa"/>
            <w:tcBorders>
              <w:top w:val="single" w:sz="4" w:space="0" w:color="auto"/>
            </w:tcBorders>
          </w:tcPr>
          <w:p w14:paraId="64A71E7D" w14:textId="77777777" w:rsidR="00656E62" w:rsidRPr="00701F32" w:rsidRDefault="00656E62" w:rsidP="00464C0F">
            <w:pPr>
              <w:pStyle w:val="CG-Title-Center"/>
              <w:widowControl w:val="0"/>
              <w:contextualSpacing/>
              <w:rPr>
                <w:rFonts w:ascii="Arial" w:hAnsi="Arial" w:cs="Arial"/>
                <w:b/>
                <w:color w:val="000000"/>
                <w:lang w:val="es-AR"/>
              </w:rPr>
            </w:pPr>
            <w:r w:rsidRPr="00701F32">
              <w:rPr>
                <w:rFonts w:ascii="Arial" w:hAnsi="Arial" w:cs="Arial"/>
                <w:b/>
                <w:color w:val="000000"/>
                <w:lang w:val="es-AR"/>
              </w:rPr>
              <w:t>Sin Garantías Preferidas</w:t>
            </w:r>
          </w:p>
        </w:tc>
      </w:tr>
      <w:tr w:rsidR="00656E62" w:rsidRPr="00701F32" w14:paraId="6AACDCD1" w14:textId="77777777" w:rsidTr="00464C0F">
        <w:trPr>
          <w:trHeight w:val="70"/>
          <w:jc w:val="center"/>
        </w:trPr>
        <w:tc>
          <w:tcPr>
            <w:tcW w:w="5573" w:type="dxa"/>
            <w:tcBorders>
              <w:top w:val="single" w:sz="4" w:space="0" w:color="auto"/>
            </w:tcBorders>
          </w:tcPr>
          <w:p w14:paraId="752E9CB0"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 xml:space="preserve">“En situación normal” </w:t>
            </w:r>
          </w:p>
        </w:tc>
        <w:tc>
          <w:tcPr>
            <w:tcW w:w="1440" w:type="dxa"/>
            <w:tcBorders>
              <w:top w:val="single" w:sz="4" w:space="0" w:color="auto"/>
            </w:tcBorders>
          </w:tcPr>
          <w:p w14:paraId="183E040D"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w:t>
            </w:r>
          </w:p>
        </w:tc>
        <w:tc>
          <w:tcPr>
            <w:tcW w:w="1477" w:type="dxa"/>
            <w:tcBorders>
              <w:top w:val="single" w:sz="4" w:space="0" w:color="auto"/>
            </w:tcBorders>
            <w:vAlign w:val="bottom"/>
          </w:tcPr>
          <w:p w14:paraId="1E2E20CB" w14:textId="77777777" w:rsidR="00656E62" w:rsidRPr="00701F32" w:rsidRDefault="00656E62" w:rsidP="00464C0F">
            <w:pPr>
              <w:pStyle w:val="Tax"/>
              <w:widowControl w:val="0"/>
              <w:contextualSpacing/>
              <w:jc w:val="center"/>
              <w:rPr>
                <w:rFonts w:ascii="Arial" w:hAnsi="Arial" w:cs="Arial"/>
                <w:color w:val="000000"/>
                <w:sz w:val="20"/>
                <w:szCs w:val="20"/>
                <w:lang w:val="es-AR"/>
              </w:rPr>
            </w:pPr>
            <w:r w:rsidRPr="00701F32">
              <w:rPr>
                <w:rFonts w:ascii="Arial" w:hAnsi="Arial" w:cs="Arial"/>
                <w:color w:val="000000"/>
                <w:sz w:val="20"/>
                <w:szCs w:val="20"/>
                <w:lang w:val="es-AR"/>
              </w:rPr>
              <w:t>1%</w:t>
            </w:r>
          </w:p>
        </w:tc>
      </w:tr>
      <w:tr w:rsidR="00656E62" w:rsidRPr="00701F32" w14:paraId="4E18A9FC" w14:textId="77777777" w:rsidTr="00464C0F">
        <w:trPr>
          <w:jc w:val="center"/>
        </w:trPr>
        <w:tc>
          <w:tcPr>
            <w:tcW w:w="5573" w:type="dxa"/>
          </w:tcPr>
          <w:p w14:paraId="04A02C4D"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“En observación” y “de Riesgo Bajo”</w:t>
            </w:r>
          </w:p>
        </w:tc>
        <w:tc>
          <w:tcPr>
            <w:tcW w:w="1440" w:type="dxa"/>
          </w:tcPr>
          <w:p w14:paraId="0FD02871"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3%</w:t>
            </w:r>
          </w:p>
        </w:tc>
        <w:tc>
          <w:tcPr>
            <w:tcW w:w="1477" w:type="dxa"/>
            <w:vAlign w:val="bottom"/>
          </w:tcPr>
          <w:p w14:paraId="3FAC3FCE"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5%</w:t>
            </w:r>
          </w:p>
        </w:tc>
      </w:tr>
      <w:tr w:rsidR="00656E62" w:rsidRPr="00701F32" w14:paraId="3F2EB16A" w14:textId="77777777" w:rsidTr="00464C0F">
        <w:trPr>
          <w:jc w:val="center"/>
        </w:trPr>
        <w:tc>
          <w:tcPr>
            <w:tcW w:w="5573" w:type="dxa"/>
          </w:tcPr>
          <w:p w14:paraId="233E14D2"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“Bajo negociación o con acuerdos de refinanciación”</w:t>
            </w:r>
          </w:p>
        </w:tc>
        <w:tc>
          <w:tcPr>
            <w:tcW w:w="1440" w:type="dxa"/>
          </w:tcPr>
          <w:p w14:paraId="1FB181D3"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6%</w:t>
            </w:r>
          </w:p>
        </w:tc>
        <w:tc>
          <w:tcPr>
            <w:tcW w:w="1477" w:type="dxa"/>
            <w:vAlign w:val="bottom"/>
          </w:tcPr>
          <w:p w14:paraId="77CE44B4"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12%</w:t>
            </w:r>
          </w:p>
        </w:tc>
      </w:tr>
      <w:tr w:rsidR="00656E62" w:rsidRPr="00701F32" w14:paraId="14F177C3" w14:textId="77777777" w:rsidTr="00464C0F">
        <w:trPr>
          <w:jc w:val="center"/>
        </w:trPr>
        <w:tc>
          <w:tcPr>
            <w:tcW w:w="5573" w:type="dxa"/>
          </w:tcPr>
          <w:p w14:paraId="7D590B71"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“Con Problemas” y “de Riesgo Medio”</w:t>
            </w:r>
          </w:p>
        </w:tc>
        <w:tc>
          <w:tcPr>
            <w:tcW w:w="1440" w:type="dxa"/>
          </w:tcPr>
          <w:p w14:paraId="5C18E962"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12%</w:t>
            </w:r>
          </w:p>
        </w:tc>
        <w:tc>
          <w:tcPr>
            <w:tcW w:w="1477" w:type="dxa"/>
            <w:vAlign w:val="bottom"/>
          </w:tcPr>
          <w:p w14:paraId="42BE2DD7"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25%</w:t>
            </w:r>
          </w:p>
        </w:tc>
      </w:tr>
      <w:tr w:rsidR="00656E62" w:rsidRPr="00701F32" w14:paraId="5023D85E" w14:textId="77777777" w:rsidTr="00464C0F">
        <w:trPr>
          <w:jc w:val="center"/>
        </w:trPr>
        <w:tc>
          <w:tcPr>
            <w:tcW w:w="5573" w:type="dxa"/>
          </w:tcPr>
          <w:p w14:paraId="0E8C2179" w14:textId="77777777" w:rsidR="00656E62" w:rsidRPr="00701F32" w:rsidRDefault="00656E62" w:rsidP="00464C0F">
            <w:pPr>
              <w:pStyle w:val="AOHeadings"/>
              <w:widowControl w:val="0"/>
              <w:spacing w:before="0"/>
              <w:contextualSpacing/>
              <w:rPr>
                <w:rFonts w:ascii="Arial" w:hAnsi="Arial" w:cs="Arial"/>
                <w:color w:val="000000"/>
                <w:lang w:val="es-AR"/>
              </w:rPr>
            </w:pPr>
            <w:r w:rsidRPr="00701F32">
              <w:rPr>
                <w:rFonts w:ascii="Arial" w:hAnsi="Arial" w:cs="Arial"/>
                <w:color w:val="000000"/>
                <w:lang w:val="es-AR"/>
              </w:rPr>
              <w:t>“Con alto riesgo de insolvencia” y “de Riesgo Alto”</w:t>
            </w:r>
          </w:p>
        </w:tc>
        <w:tc>
          <w:tcPr>
            <w:tcW w:w="1440" w:type="dxa"/>
          </w:tcPr>
          <w:p w14:paraId="30ECEA30"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25%</w:t>
            </w:r>
          </w:p>
        </w:tc>
        <w:tc>
          <w:tcPr>
            <w:tcW w:w="1477" w:type="dxa"/>
            <w:vAlign w:val="bottom"/>
          </w:tcPr>
          <w:p w14:paraId="0BE0F501"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50%</w:t>
            </w:r>
          </w:p>
        </w:tc>
      </w:tr>
      <w:tr w:rsidR="00656E62" w:rsidRPr="00701F32" w14:paraId="0E4AB620" w14:textId="77777777" w:rsidTr="00464C0F">
        <w:trPr>
          <w:jc w:val="center"/>
        </w:trPr>
        <w:tc>
          <w:tcPr>
            <w:tcW w:w="5573" w:type="dxa"/>
          </w:tcPr>
          <w:p w14:paraId="0A30600C"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“Irrecuperable”</w:t>
            </w:r>
          </w:p>
        </w:tc>
        <w:tc>
          <w:tcPr>
            <w:tcW w:w="1440" w:type="dxa"/>
          </w:tcPr>
          <w:p w14:paraId="7CE1744A"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50%</w:t>
            </w:r>
          </w:p>
        </w:tc>
        <w:tc>
          <w:tcPr>
            <w:tcW w:w="1477" w:type="dxa"/>
            <w:vAlign w:val="bottom"/>
          </w:tcPr>
          <w:p w14:paraId="7037231B"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r>
      <w:tr w:rsidR="00656E62" w:rsidRPr="00701F32" w14:paraId="18EF55E3" w14:textId="77777777" w:rsidTr="00464C0F">
        <w:trPr>
          <w:jc w:val="center"/>
        </w:trPr>
        <w:tc>
          <w:tcPr>
            <w:tcW w:w="5573" w:type="dxa"/>
          </w:tcPr>
          <w:p w14:paraId="6339B214" w14:textId="77777777" w:rsidR="00656E62" w:rsidRPr="00701F32" w:rsidRDefault="00656E62" w:rsidP="00464C0F">
            <w:pPr>
              <w:widowControl w:val="0"/>
              <w:contextualSpacing/>
              <w:jc w:val="both"/>
              <w:rPr>
                <w:rFonts w:ascii="Arial" w:hAnsi="Arial" w:cs="Arial"/>
                <w:color w:val="000000"/>
                <w:sz w:val="20"/>
              </w:rPr>
            </w:pPr>
            <w:r w:rsidRPr="00701F32">
              <w:rPr>
                <w:rFonts w:ascii="Arial" w:hAnsi="Arial" w:cs="Arial"/>
                <w:color w:val="000000"/>
                <w:sz w:val="20"/>
              </w:rPr>
              <w:t>“Irrecuperable por disposición técnica”</w:t>
            </w:r>
          </w:p>
        </w:tc>
        <w:tc>
          <w:tcPr>
            <w:tcW w:w="1440" w:type="dxa"/>
          </w:tcPr>
          <w:p w14:paraId="37719BE8"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c>
          <w:tcPr>
            <w:tcW w:w="1477" w:type="dxa"/>
            <w:vAlign w:val="bottom"/>
          </w:tcPr>
          <w:p w14:paraId="1C76E9AD" w14:textId="77777777" w:rsidR="00656E62" w:rsidRPr="00701F32" w:rsidRDefault="00656E62" w:rsidP="00464C0F">
            <w:pPr>
              <w:widowControl w:val="0"/>
              <w:contextualSpacing/>
              <w:jc w:val="center"/>
              <w:rPr>
                <w:rFonts w:ascii="Arial" w:hAnsi="Arial" w:cs="Arial"/>
                <w:color w:val="000000"/>
                <w:sz w:val="20"/>
              </w:rPr>
            </w:pPr>
            <w:r w:rsidRPr="00701F32">
              <w:rPr>
                <w:rFonts w:ascii="Arial" w:hAnsi="Arial" w:cs="Arial"/>
                <w:color w:val="000000"/>
                <w:sz w:val="20"/>
              </w:rPr>
              <w:t>100%</w:t>
            </w:r>
          </w:p>
        </w:tc>
      </w:tr>
    </w:tbl>
    <w:p w14:paraId="30BE963F" w14:textId="77777777" w:rsidR="00656E62" w:rsidRPr="00701F32" w:rsidRDefault="00656E62" w:rsidP="00656E62">
      <w:pPr>
        <w:widowControl w:val="0"/>
        <w:spacing w:after="240"/>
        <w:contextualSpacing/>
        <w:jc w:val="both"/>
        <w:rPr>
          <w:rFonts w:asciiTheme="minorHAnsi" w:hAnsiTheme="minorHAnsi" w:cstheme="minorHAnsi"/>
          <w:color w:val="000000"/>
          <w:sz w:val="20"/>
        </w:rPr>
      </w:pPr>
    </w:p>
    <w:p w14:paraId="1A96ABE2" w14:textId="77777777" w:rsidR="00656E62" w:rsidRPr="00701F32" w:rsidRDefault="00656E62" w:rsidP="00656E62">
      <w:pPr>
        <w:widowControl w:val="0"/>
        <w:spacing w:after="240"/>
        <w:contextualSpacing/>
        <w:jc w:val="both"/>
        <w:rPr>
          <w:rFonts w:asciiTheme="minorHAnsi" w:hAnsiTheme="minorHAnsi" w:cstheme="minorHAnsi"/>
          <w:color w:val="000000"/>
        </w:rPr>
      </w:pPr>
    </w:p>
    <w:p w14:paraId="214CAB09" w14:textId="5DDDF135" w:rsidR="00656E62" w:rsidRPr="00701F32" w:rsidRDefault="00656E62" w:rsidP="00656E62">
      <w:pPr>
        <w:widowControl w:val="0"/>
        <w:spacing w:after="240"/>
        <w:contextualSpacing/>
        <w:jc w:val="both"/>
        <w:rPr>
          <w:rFonts w:ascii="Arial" w:hAnsi="Arial" w:cs="Arial"/>
          <w:color w:val="000000"/>
          <w:sz w:val="20"/>
        </w:rPr>
      </w:pPr>
      <w:r w:rsidRPr="00701F32">
        <w:rPr>
          <w:rFonts w:ascii="Arial" w:hAnsi="Arial" w:cs="Arial"/>
          <w:color w:val="000000"/>
          <w:sz w:val="20"/>
        </w:rPr>
        <w:t>Los porcentajes, antes descriptos, se aplican sobre la totalidad de los compromisos del cliente, considerando tanto el capital como los intereses. La previsión sobre la cartera normal es de carácter global, en tanto que la correspondiente a las demás categorías es de imputación individual.</w:t>
      </w:r>
      <w:r w:rsidR="004D7093">
        <w:rPr>
          <w:rFonts w:ascii="Arial" w:hAnsi="Arial" w:cs="Arial"/>
          <w:color w:val="000000"/>
          <w:sz w:val="20"/>
        </w:rPr>
        <w:t xml:space="preserve"> </w:t>
      </w:r>
      <w:r w:rsidRPr="00701F32">
        <w:rPr>
          <w:rFonts w:ascii="Arial" w:hAnsi="Arial" w:cs="Arial"/>
          <w:color w:val="000000"/>
          <w:sz w:val="20"/>
        </w:rPr>
        <w:t>Asimismo, las normas establecen la suspensión del devengamiento o la constitución de previsiones por el 100% de los intereses correspondientes a clientes clasificados como “Con Problemas y Riesgo Medio” o en categorías de inferior calidad.</w:t>
      </w:r>
    </w:p>
    <w:p w14:paraId="154A3903" w14:textId="77777777" w:rsidR="00656E62" w:rsidRPr="00701F32" w:rsidRDefault="00656E62" w:rsidP="00656E62">
      <w:pPr>
        <w:widowControl w:val="0"/>
        <w:spacing w:after="240"/>
        <w:contextualSpacing/>
        <w:jc w:val="both"/>
        <w:rPr>
          <w:rFonts w:ascii="Arial" w:hAnsi="Arial" w:cs="Arial"/>
          <w:color w:val="000000"/>
          <w:sz w:val="20"/>
        </w:rPr>
      </w:pPr>
    </w:p>
    <w:p w14:paraId="5B79D92B" w14:textId="77777777" w:rsidR="00656E62" w:rsidRPr="00701F32" w:rsidRDefault="00656E62" w:rsidP="00656E62">
      <w:pPr>
        <w:widowControl w:val="0"/>
        <w:spacing w:after="240"/>
        <w:contextualSpacing/>
        <w:jc w:val="both"/>
        <w:rPr>
          <w:rFonts w:ascii="Arial" w:hAnsi="Arial" w:cs="Arial"/>
          <w:color w:val="000000"/>
          <w:sz w:val="20"/>
        </w:rPr>
      </w:pPr>
      <w:r w:rsidRPr="00701F32">
        <w:rPr>
          <w:rFonts w:ascii="Arial" w:hAnsi="Arial" w:cs="Arial"/>
          <w:color w:val="000000"/>
          <w:sz w:val="20"/>
        </w:rPr>
        <w:t>No obstante, las financiaciones que se encuentren cubiertas con garantías preferidas “A” se previsionarán al 1% independientemente de la categoría del cliente.</w:t>
      </w:r>
    </w:p>
    <w:p w14:paraId="6C8D1F7C" w14:textId="77777777" w:rsidR="00656E62" w:rsidRPr="00701F32" w:rsidRDefault="00656E62" w:rsidP="00656E62">
      <w:pPr>
        <w:widowControl w:val="0"/>
        <w:spacing w:after="240"/>
        <w:contextualSpacing/>
        <w:jc w:val="both"/>
        <w:rPr>
          <w:rFonts w:ascii="Arial" w:hAnsi="Arial" w:cs="Arial"/>
          <w:color w:val="000000"/>
          <w:sz w:val="20"/>
        </w:rPr>
      </w:pPr>
    </w:p>
    <w:p w14:paraId="7CFDC238" w14:textId="77777777" w:rsidR="00656E62" w:rsidRPr="00701F32" w:rsidRDefault="00656E62" w:rsidP="00656E62">
      <w:pPr>
        <w:widowControl w:val="0"/>
        <w:spacing w:after="240"/>
        <w:contextualSpacing/>
        <w:jc w:val="both"/>
        <w:rPr>
          <w:rFonts w:ascii="Arial" w:hAnsi="Arial" w:cs="Arial"/>
          <w:color w:val="000000"/>
          <w:sz w:val="20"/>
        </w:rPr>
      </w:pPr>
      <w:r w:rsidRPr="00701F32">
        <w:rPr>
          <w:rFonts w:ascii="Arial" w:hAnsi="Arial" w:cs="Arial"/>
          <w:color w:val="000000"/>
          <w:sz w:val="20"/>
        </w:rPr>
        <w:t>Las entidades financieras tienen derecho a registrar previsiones por incobrabilidad por montos superiores a los exigidos por las Normas del B.C.R.A. En tales casos y sin perjuicio de la existencia de determinadas excepciones, el hecho de registrar una previsión mayor para un crédito comercial, en la medida en que el monto de la previsión registrada quede comprendido en la siguiente categoría de la cartera de créditos establecida por la normativa vigente, tendrá como resultado automático que el deudor quede recategorizado consecuentemente.</w:t>
      </w:r>
    </w:p>
    <w:p w14:paraId="32C66004" w14:textId="77777777" w:rsidR="00F121B0" w:rsidRPr="00701F32" w:rsidRDefault="00F121B0" w:rsidP="00F121B0">
      <w:pPr>
        <w:pStyle w:val="Textodebloque"/>
        <w:widowControl w:val="0"/>
        <w:tabs>
          <w:tab w:val="left" w:pos="9356"/>
        </w:tabs>
        <w:spacing w:after="240"/>
        <w:ind w:left="0"/>
        <w:contextualSpacing/>
        <w:jc w:val="both"/>
        <w:rPr>
          <w:rFonts w:ascii="Arial" w:hAnsi="Arial" w:cs="Arial"/>
          <w:b/>
          <w:color w:val="000000"/>
          <w:sz w:val="20"/>
        </w:rPr>
      </w:pPr>
      <w:r w:rsidRPr="00701F32">
        <w:rPr>
          <w:rFonts w:ascii="Arial" w:hAnsi="Arial" w:cs="Arial"/>
          <w:b/>
          <w:color w:val="000000"/>
          <w:sz w:val="20"/>
        </w:rPr>
        <w:t>Frecuencia mínima para revisión de clasificación</w:t>
      </w:r>
    </w:p>
    <w:p w14:paraId="7F5E4487" w14:textId="77777777" w:rsidR="00F121B0" w:rsidRPr="00701F32" w:rsidRDefault="00F121B0" w:rsidP="00F121B0">
      <w:pPr>
        <w:pStyle w:val="Textodebloque"/>
        <w:widowControl w:val="0"/>
        <w:tabs>
          <w:tab w:val="left" w:pos="9356"/>
        </w:tabs>
        <w:spacing w:after="240"/>
        <w:ind w:left="0"/>
        <w:contextualSpacing/>
        <w:jc w:val="both"/>
        <w:rPr>
          <w:rFonts w:ascii="Arial" w:hAnsi="Arial" w:cs="Arial"/>
          <w:b/>
          <w:color w:val="000000"/>
          <w:sz w:val="20"/>
        </w:rPr>
      </w:pPr>
    </w:p>
    <w:p w14:paraId="348741D4"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i/>
          <w:sz w:val="20"/>
        </w:rPr>
      </w:pPr>
      <w:r w:rsidRPr="00701F32">
        <w:rPr>
          <w:rFonts w:ascii="Arial" w:hAnsi="Arial" w:cs="Arial"/>
          <w:color w:val="000000"/>
          <w:sz w:val="20"/>
        </w:rPr>
        <w:t xml:space="preserve">Las entidades financieras </w:t>
      </w:r>
      <w:r w:rsidRPr="00701F32">
        <w:rPr>
          <w:rFonts w:ascii="Arial" w:hAnsi="Arial" w:cs="Arial"/>
          <w:sz w:val="20"/>
        </w:rPr>
        <w:t>deberán desarrollar procedimientos de análisis de cartera que aseguren un análisis adecuado de la situación económica y financiera del deudor y una revisión periódica de su situación en cuanto a las condiciones objetivas y subjetivas de todos los riesgos asumidos. Los procedimientos establecidos se deberán detallar en un manual denominado “Manual de Procedimientos de Clasificación y Previsión” que deberá estar a disposición permanente de la SEFyC para su revisión. El análisis de clasificación debe estar debidamente documentado.</w:t>
      </w:r>
    </w:p>
    <w:p w14:paraId="43F52155"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i/>
          <w:color w:val="000000"/>
          <w:sz w:val="20"/>
        </w:rPr>
      </w:pPr>
    </w:p>
    <w:p w14:paraId="2E0C8003"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i/>
          <w:sz w:val="20"/>
        </w:rPr>
      </w:pPr>
      <w:r w:rsidRPr="00701F32">
        <w:rPr>
          <w:rFonts w:ascii="Arial" w:hAnsi="Arial" w:cs="Arial"/>
          <w:color w:val="000000"/>
          <w:sz w:val="20"/>
        </w:rPr>
        <w:t xml:space="preserve">En el caso de préstamos comerciales, las normas aplicables también requieren una frecuencia mínima de revisión. Dicha revisión deberá tener lugar (i) trimestralmente para </w:t>
      </w:r>
      <w:r w:rsidRPr="00701F32">
        <w:rPr>
          <w:rFonts w:ascii="Arial" w:hAnsi="Arial" w:cs="Arial"/>
          <w:sz w:val="20"/>
        </w:rPr>
        <w:t xml:space="preserve">clientes cuyas financiaciones sean equivalentes al 5,0% o más de la RPC del mes anterior a la finalización de dicho período y (ii) semestralmente, respecto de clientes cuyas financiaciones sumen (A) en algún momento entre el 1% -o el equivalente a 19,8 millones, de ambos el menor (B) y menos del 5,0% de la RPC de la entidad financiera respecto del mes anterior a la finalización de dicho período. Al cierre del primer semestre, la revisión íntegra conforme al punto (i) y (ii) deberá haber alcanzado no menos del 50% del importe total de la cartera comercial comprendida, y de resultar inferior, será completada incorporando clientes (en orden descendente) cuyo endeudamiento total resulte inferior al 1% de la RPC mencionada. Asimismo, </w:t>
      </w:r>
      <w:r w:rsidRPr="00701F32">
        <w:rPr>
          <w:rFonts w:ascii="Arial" w:hAnsi="Arial" w:cs="Arial"/>
          <w:color w:val="000000"/>
          <w:sz w:val="20"/>
        </w:rPr>
        <w:t>a la finalización del ejercicio económico la revisión debe haber alcanzado a la totalidad de la cartera comercial comprendida.</w:t>
      </w:r>
    </w:p>
    <w:p w14:paraId="3097CD88"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i/>
          <w:color w:val="000000"/>
          <w:sz w:val="20"/>
        </w:rPr>
      </w:pPr>
    </w:p>
    <w:p w14:paraId="4AB49719"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color w:val="000000"/>
          <w:sz w:val="20"/>
        </w:rPr>
      </w:pPr>
      <w:r w:rsidRPr="00701F32">
        <w:rPr>
          <w:rFonts w:ascii="Arial" w:hAnsi="Arial" w:cs="Arial"/>
          <w:color w:val="000000"/>
          <w:sz w:val="20"/>
        </w:rPr>
        <w:t xml:space="preserve">Asimismo, las entidades financieras deben revisar la clasificación asignada a un deudor cada vez que tenga lugar alguna de las siguientes circunstancias: </w:t>
      </w:r>
    </w:p>
    <w:p w14:paraId="0D1578DF"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color w:val="000000"/>
          <w:sz w:val="20"/>
        </w:rPr>
      </w:pPr>
    </w:p>
    <w:p w14:paraId="0BCAADE0"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color w:val="000000"/>
          <w:sz w:val="20"/>
        </w:rPr>
        <w:t>- Modificacion en forma negativa de la clasificación del deudor en la “</w:t>
      </w:r>
      <w:r w:rsidRPr="00701F32">
        <w:rPr>
          <w:rFonts w:ascii="Arial" w:hAnsi="Arial" w:cs="Arial"/>
          <w:sz w:val="20"/>
        </w:rPr>
        <w:t>Central de Deudores del Sistema Financiero” llevándola a un grado inferior  al de la Entidad, por al menos otra entidad cuyas acreencias representen como mínimo el 10% del total informado en el sistema financiero.</w:t>
      </w:r>
    </w:p>
    <w:p w14:paraId="797D19F4"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p>
    <w:p w14:paraId="4F598C97"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 Modificación de alguno de los criterior objetivos de clasificación.</w:t>
      </w:r>
    </w:p>
    <w:p w14:paraId="39736CE0"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p>
    <w:p w14:paraId="1C24960F" w14:textId="4BEAFCCD"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 Cuando exista una discrepancia de más de un nivel entre la clasificación dada por la Entidad y la otorgada por al menos otras dos entidades en categorías inferiores a la asignada, cuyas acreencias en conjunto representen por lo menos el 20 % y sean inferiores al 40 % del total informado por todas las entidades según la última información disponible en la "Central de deudores del sistema financiero".</w:t>
      </w:r>
    </w:p>
    <w:p w14:paraId="429D7845"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p>
    <w:p w14:paraId="2E1BB919" w14:textId="77777777" w:rsidR="006D7FAF" w:rsidRPr="00701F32" w:rsidRDefault="006D7FAF" w:rsidP="006D7FAF">
      <w:pPr>
        <w:pStyle w:val="Textodebloque"/>
        <w:widowControl w:val="0"/>
        <w:tabs>
          <w:tab w:val="left" w:pos="9356"/>
        </w:tabs>
        <w:spacing w:after="240"/>
        <w:ind w:left="0" w:right="4"/>
        <w:contextualSpacing/>
        <w:jc w:val="both"/>
        <w:rPr>
          <w:rFonts w:ascii="Arial" w:hAnsi="Arial" w:cs="Arial"/>
          <w:sz w:val="20"/>
        </w:rPr>
      </w:pPr>
      <w:r w:rsidRPr="00701F32">
        <w:rPr>
          <w:rFonts w:ascii="Arial" w:hAnsi="Arial" w:cs="Arial"/>
          <w:sz w:val="20"/>
        </w:rPr>
        <w:t>La reevaluación será inmediata cuando se trate de clientes cuyas financiaciones comprendidas igualen o superen el 1 % de la RPC de la entidad o del activo del fideicomiso financiero, del mes anterior al de presentación de alguna de las circunstancias mencionadas o el equivalente a 19,8 millones, de ambos el menor, y dentro de los tres meses respecto de los demás clientes comprendidos.</w:t>
      </w:r>
    </w:p>
    <w:p w14:paraId="651A7A5C" w14:textId="77777777" w:rsidR="00656E62" w:rsidRPr="00701F32" w:rsidRDefault="00D57127" w:rsidP="00656E62">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656E62" w:rsidRPr="00701F32">
        <w:rPr>
          <w:rFonts w:ascii="Arial" w:hAnsi="Arial" w:cs="Arial"/>
          <w:b/>
          <w:noProof/>
          <w:sz w:val="20"/>
        </w:rPr>
        <w:t>.4 Obligaciones por arrendamientos financieros</w:t>
      </w:r>
    </w:p>
    <w:p w14:paraId="43D4FF27" w14:textId="77777777" w:rsidR="00656E62" w:rsidRPr="00701F32" w:rsidRDefault="00656E62" w:rsidP="00656E62">
      <w:pPr>
        <w:widowControl w:val="0"/>
        <w:autoSpaceDE w:val="0"/>
        <w:autoSpaceDN w:val="0"/>
        <w:adjustRightInd w:val="0"/>
        <w:jc w:val="both"/>
        <w:rPr>
          <w:rFonts w:ascii="Arial" w:hAnsi="Arial" w:cs="Arial"/>
          <w:b/>
          <w:noProof/>
          <w:sz w:val="20"/>
        </w:rPr>
      </w:pPr>
    </w:p>
    <w:p w14:paraId="5D4D4BF0"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A continuación, se realiza un detalle de los vencimientos de los arrendamientos por cobrar del Banco y de los valores actuales al 31 de diciembre de 2017:</w:t>
      </w:r>
    </w:p>
    <w:tbl>
      <w:tblPr>
        <w:tblW w:w="5966" w:type="dxa"/>
        <w:jc w:val="center"/>
        <w:tblCellMar>
          <w:left w:w="70" w:type="dxa"/>
          <w:right w:w="70" w:type="dxa"/>
        </w:tblCellMar>
        <w:tblLook w:val="04A0" w:firstRow="1" w:lastRow="0" w:firstColumn="1" w:lastColumn="0" w:noHBand="0" w:noVBand="1"/>
      </w:tblPr>
      <w:tblGrid>
        <w:gridCol w:w="3683"/>
        <w:gridCol w:w="2283"/>
      </w:tblGrid>
      <w:tr w:rsidR="00656E62" w:rsidRPr="00701F32" w14:paraId="2CAD8C1B" w14:textId="77777777" w:rsidTr="0086282C">
        <w:trPr>
          <w:trHeight w:val="256"/>
          <w:tblHeader/>
          <w:jc w:val="center"/>
        </w:trPr>
        <w:tc>
          <w:tcPr>
            <w:tcW w:w="36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672F0B" w14:textId="77777777" w:rsidR="00656E62" w:rsidRPr="00701F32" w:rsidRDefault="00656E62" w:rsidP="00464C0F">
            <w:pPr>
              <w:ind w:firstLine="10"/>
              <w:jc w:val="both"/>
              <w:rPr>
                <w:rFonts w:ascii="Arial" w:hAnsi="Arial" w:cs="Arial"/>
                <w:b/>
                <w:bCs/>
                <w:color w:val="000000"/>
                <w:sz w:val="20"/>
                <w:lang w:eastAsia="es-AR"/>
              </w:rPr>
            </w:pPr>
            <w:r w:rsidRPr="00701F32">
              <w:rPr>
                <w:rFonts w:ascii="Arial" w:hAnsi="Arial" w:cs="Arial"/>
                <w:b/>
                <w:bCs/>
                <w:color w:val="000000"/>
                <w:sz w:val="20"/>
                <w:lang w:eastAsia="es-AR"/>
              </w:rPr>
              <w:t>Canones a cobrar</w:t>
            </w:r>
          </w:p>
        </w:tc>
        <w:tc>
          <w:tcPr>
            <w:tcW w:w="2283" w:type="dxa"/>
            <w:tcBorders>
              <w:top w:val="single" w:sz="8" w:space="0" w:color="auto"/>
              <w:left w:val="nil"/>
              <w:bottom w:val="single" w:sz="8" w:space="0" w:color="auto"/>
              <w:right w:val="single" w:sz="8" w:space="0" w:color="auto"/>
            </w:tcBorders>
            <w:shd w:val="clear" w:color="auto" w:fill="auto"/>
            <w:vAlign w:val="bottom"/>
            <w:hideMark/>
          </w:tcPr>
          <w:p w14:paraId="0684B8AD" w14:textId="77777777" w:rsidR="00656E62" w:rsidRPr="00701F32" w:rsidRDefault="00656E62" w:rsidP="00464C0F">
            <w:pPr>
              <w:ind w:firstLine="10"/>
              <w:jc w:val="right"/>
              <w:rPr>
                <w:rFonts w:ascii="Arial" w:hAnsi="Arial" w:cs="Arial"/>
                <w:b/>
                <w:bCs/>
                <w:color w:val="000000"/>
                <w:sz w:val="20"/>
                <w:lang w:eastAsia="es-AR"/>
              </w:rPr>
            </w:pPr>
            <w:r w:rsidRPr="00701F32">
              <w:rPr>
                <w:rFonts w:ascii="Arial" w:hAnsi="Arial" w:cs="Arial"/>
                <w:b/>
                <w:bCs/>
                <w:color w:val="000000"/>
                <w:sz w:val="20"/>
                <w:lang w:eastAsia="es-AR"/>
              </w:rPr>
              <w:t>31/12/2017</w:t>
            </w:r>
          </w:p>
        </w:tc>
      </w:tr>
      <w:tr w:rsidR="00656E62" w:rsidRPr="00701F32" w14:paraId="32AD22C1"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18E4B7AF" w14:textId="77777777" w:rsidR="00656E62" w:rsidRPr="00701F32" w:rsidRDefault="00656E62" w:rsidP="00464C0F">
            <w:pPr>
              <w:ind w:firstLine="10"/>
              <w:jc w:val="both"/>
              <w:rPr>
                <w:rFonts w:ascii="Arial" w:hAnsi="Arial" w:cs="Arial"/>
                <w:color w:val="000000"/>
                <w:sz w:val="20"/>
                <w:lang w:eastAsia="es-AR"/>
              </w:rPr>
            </w:pPr>
            <w:r w:rsidRPr="00701F32">
              <w:rPr>
                <w:rFonts w:ascii="Arial" w:hAnsi="Arial" w:cs="Arial"/>
                <w:color w:val="000000"/>
                <w:sz w:val="20"/>
                <w:lang w:eastAsia="es-AR"/>
              </w:rPr>
              <w:t>Hasta un año</w:t>
            </w:r>
          </w:p>
        </w:tc>
        <w:tc>
          <w:tcPr>
            <w:tcW w:w="2283" w:type="dxa"/>
            <w:tcBorders>
              <w:top w:val="nil"/>
              <w:left w:val="nil"/>
              <w:bottom w:val="single" w:sz="8" w:space="0" w:color="auto"/>
              <w:right w:val="single" w:sz="8" w:space="0" w:color="auto"/>
            </w:tcBorders>
            <w:shd w:val="clear" w:color="auto" w:fill="auto"/>
            <w:vAlign w:val="center"/>
            <w:hideMark/>
          </w:tcPr>
          <w:p w14:paraId="1967802E" w14:textId="77777777" w:rsidR="00656E62" w:rsidRPr="00701F32" w:rsidRDefault="00656E62"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1.358.464 </w:t>
            </w:r>
          </w:p>
        </w:tc>
      </w:tr>
      <w:tr w:rsidR="00656E62" w:rsidRPr="00701F32" w14:paraId="0F0C6122"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371B08E0" w14:textId="77777777" w:rsidR="00656E62" w:rsidRPr="00701F32" w:rsidRDefault="00656E62" w:rsidP="00464C0F">
            <w:pPr>
              <w:ind w:firstLine="10"/>
              <w:jc w:val="both"/>
              <w:rPr>
                <w:rFonts w:ascii="Arial" w:hAnsi="Arial" w:cs="Arial"/>
                <w:color w:val="000000"/>
                <w:sz w:val="20"/>
                <w:lang w:eastAsia="es-AR"/>
              </w:rPr>
            </w:pPr>
            <w:r w:rsidRPr="00701F32">
              <w:rPr>
                <w:rFonts w:ascii="Arial" w:hAnsi="Arial" w:cs="Arial"/>
                <w:color w:val="000000"/>
                <w:sz w:val="20"/>
                <w:lang w:eastAsia="es-AR"/>
              </w:rPr>
              <w:t>Más de uno a dos años</w:t>
            </w:r>
          </w:p>
        </w:tc>
        <w:tc>
          <w:tcPr>
            <w:tcW w:w="2283" w:type="dxa"/>
            <w:tcBorders>
              <w:top w:val="nil"/>
              <w:left w:val="nil"/>
              <w:bottom w:val="single" w:sz="8" w:space="0" w:color="auto"/>
              <w:right w:val="single" w:sz="8" w:space="0" w:color="auto"/>
            </w:tcBorders>
            <w:shd w:val="clear" w:color="auto" w:fill="auto"/>
            <w:vAlign w:val="center"/>
            <w:hideMark/>
          </w:tcPr>
          <w:p w14:paraId="23304D26" w14:textId="77777777" w:rsidR="00656E62" w:rsidRPr="00701F32" w:rsidRDefault="00656E62"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1.113.691 </w:t>
            </w:r>
          </w:p>
        </w:tc>
      </w:tr>
      <w:tr w:rsidR="00656E62" w:rsidRPr="00701F32" w14:paraId="5DBF3AB6"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68F6FCE9" w14:textId="77777777" w:rsidR="00656E62" w:rsidRPr="00701F32" w:rsidRDefault="00656E62"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De dos a tres años</w:t>
            </w:r>
          </w:p>
        </w:tc>
        <w:tc>
          <w:tcPr>
            <w:tcW w:w="2283" w:type="dxa"/>
            <w:tcBorders>
              <w:top w:val="nil"/>
              <w:left w:val="nil"/>
              <w:bottom w:val="single" w:sz="8" w:space="0" w:color="auto"/>
              <w:right w:val="single" w:sz="8" w:space="0" w:color="auto"/>
            </w:tcBorders>
            <w:shd w:val="clear" w:color="auto" w:fill="auto"/>
            <w:vAlign w:val="center"/>
            <w:hideMark/>
          </w:tcPr>
          <w:p w14:paraId="66517340" w14:textId="77777777" w:rsidR="00656E62" w:rsidRPr="00701F32" w:rsidRDefault="00656E62"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704.272 </w:t>
            </w:r>
          </w:p>
        </w:tc>
      </w:tr>
      <w:tr w:rsidR="00656E62" w:rsidRPr="00701F32" w14:paraId="511F4325"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0C3C3781" w14:textId="77777777" w:rsidR="00656E62" w:rsidRPr="00701F32" w:rsidRDefault="00656E62"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De tres a cinco años</w:t>
            </w:r>
          </w:p>
        </w:tc>
        <w:tc>
          <w:tcPr>
            <w:tcW w:w="2283" w:type="dxa"/>
            <w:tcBorders>
              <w:top w:val="nil"/>
              <w:left w:val="nil"/>
              <w:bottom w:val="single" w:sz="8" w:space="0" w:color="auto"/>
              <w:right w:val="single" w:sz="8" w:space="0" w:color="auto"/>
            </w:tcBorders>
            <w:shd w:val="clear" w:color="auto" w:fill="auto"/>
            <w:vAlign w:val="center"/>
            <w:hideMark/>
          </w:tcPr>
          <w:p w14:paraId="7D2A0C1A" w14:textId="77777777" w:rsidR="00656E62" w:rsidRPr="00701F32" w:rsidRDefault="00656E62"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427.456 </w:t>
            </w:r>
          </w:p>
        </w:tc>
      </w:tr>
      <w:tr w:rsidR="00656E62" w:rsidRPr="00701F32" w14:paraId="6B21E1C9"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375FCC77" w14:textId="77777777" w:rsidR="00656E62" w:rsidRPr="00701F32" w:rsidRDefault="00656E62" w:rsidP="00464C0F">
            <w:pPr>
              <w:ind w:firstLine="10"/>
              <w:jc w:val="both"/>
              <w:rPr>
                <w:rFonts w:ascii="Arial" w:hAnsi="Arial" w:cs="Arial"/>
                <w:color w:val="000000"/>
                <w:sz w:val="20"/>
                <w:lang w:eastAsia="es-AR"/>
              </w:rPr>
            </w:pPr>
            <w:r w:rsidRPr="00701F32">
              <w:rPr>
                <w:rFonts w:ascii="Arial" w:eastAsia="Arial" w:hAnsi="Arial" w:cs="Arial"/>
                <w:color w:val="000000"/>
                <w:sz w:val="20"/>
                <w:lang w:eastAsia="es-AR"/>
              </w:rPr>
              <w:t>Más de cinco años</w:t>
            </w:r>
          </w:p>
        </w:tc>
        <w:tc>
          <w:tcPr>
            <w:tcW w:w="2283" w:type="dxa"/>
            <w:tcBorders>
              <w:top w:val="nil"/>
              <w:left w:val="nil"/>
              <w:bottom w:val="single" w:sz="8" w:space="0" w:color="auto"/>
              <w:right w:val="single" w:sz="8" w:space="0" w:color="auto"/>
            </w:tcBorders>
            <w:shd w:val="clear" w:color="auto" w:fill="auto"/>
            <w:vAlign w:val="center"/>
            <w:hideMark/>
          </w:tcPr>
          <w:p w14:paraId="7133CBE4" w14:textId="77777777" w:rsidR="00656E62" w:rsidRPr="00701F32" w:rsidRDefault="00656E62" w:rsidP="00464C0F">
            <w:pPr>
              <w:ind w:firstLine="10"/>
              <w:jc w:val="right"/>
              <w:rPr>
                <w:rFonts w:ascii="Arial" w:hAnsi="Arial" w:cs="Arial"/>
                <w:color w:val="000000"/>
                <w:sz w:val="20"/>
                <w:lang w:eastAsia="es-AR"/>
              </w:rPr>
            </w:pPr>
            <w:r w:rsidRPr="00701F32">
              <w:rPr>
                <w:rFonts w:ascii="Arial" w:eastAsia="Arial" w:hAnsi="Arial" w:cs="Arial"/>
                <w:color w:val="000000"/>
                <w:sz w:val="20"/>
                <w:lang w:eastAsia="es-AR"/>
              </w:rPr>
              <w:t xml:space="preserve">6.022 </w:t>
            </w:r>
          </w:p>
        </w:tc>
      </w:tr>
      <w:tr w:rsidR="00656E62" w:rsidRPr="00701F32" w14:paraId="34C3E137" w14:textId="77777777" w:rsidTr="0086282C">
        <w:trPr>
          <w:trHeight w:val="256"/>
          <w:jc w:val="center"/>
        </w:trPr>
        <w:tc>
          <w:tcPr>
            <w:tcW w:w="3683" w:type="dxa"/>
            <w:tcBorders>
              <w:top w:val="nil"/>
              <w:left w:val="single" w:sz="8" w:space="0" w:color="auto"/>
              <w:bottom w:val="single" w:sz="8" w:space="0" w:color="auto"/>
              <w:right w:val="single" w:sz="8" w:space="0" w:color="auto"/>
            </w:tcBorders>
            <w:shd w:val="clear" w:color="auto" w:fill="auto"/>
            <w:vAlign w:val="center"/>
            <w:hideMark/>
          </w:tcPr>
          <w:p w14:paraId="0DDFD4E2" w14:textId="77777777" w:rsidR="00656E62" w:rsidRPr="00701F32" w:rsidRDefault="00656E62" w:rsidP="00464C0F">
            <w:pPr>
              <w:ind w:firstLine="10"/>
              <w:jc w:val="both"/>
              <w:rPr>
                <w:rFonts w:ascii="Arial" w:hAnsi="Arial" w:cs="Arial"/>
                <w:b/>
                <w:bCs/>
                <w:color w:val="000000"/>
                <w:sz w:val="20"/>
                <w:lang w:eastAsia="es-AR"/>
              </w:rPr>
            </w:pPr>
            <w:r w:rsidRPr="00701F32">
              <w:rPr>
                <w:rFonts w:ascii="Arial" w:hAnsi="Arial" w:cs="Arial"/>
                <w:b/>
                <w:bCs/>
                <w:color w:val="000000"/>
                <w:sz w:val="20"/>
                <w:lang w:eastAsia="es-AR"/>
              </w:rPr>
              <w:t>Valores residuales</w:t>
            </w:r>
          </w:p>
        </w:tc>
        <w:tc>
          <w:tcPr>
            <w:tcW w:w="2283" w:type="dxa"/>
            <w:tcBorders>
              <w:top w:val="nil"/>
              <w:left w:val="nil"/>
              <w:bottom w:val="single" w:sz="8" w:space="0" w:color="auto"/>
              <w:right w:val="single" w:sz="8" w:space="0" w:color="auto"/>
            </w:tcBorders>
            <w:shd w:val="clear" w:color="auto" w:fill="auto"/>
            <w:vAlign w:val="center"/>
            <w:hideMark/>
          </w:tcPr>
          <w:p w14:paraId="5EF69520" w14:textId="77777777" w:rsidR="00656E62" w:rsidRPr="00701F32" w:rsidRDefault="00B678EE" w:rsidP="00464C0F">
            <w:pPr>
              <w:ind w:firstLine="10"/>
              <w:jc w:val="right"/>
              <w:rPr>
                <w:rFonts w:ascii="Arial" w:hAnsi="Arial" w:cs="Arial"/>
                <w:b/>
                <w:bCs/>
                <w:color w:val="000000"/>
                <w:sz w:val="20"/>
                <w:lang w:eastAsia="es-AR"/>
              </w:rPr>
            </w:pPr>
            <w:r w:rsidRPr="00701F32">
              <w:rPr>
                <w:rFonts w:ascii="Arial" w:hAnsi="Arial" w:cs="Arial"/>
                <w:b/>
                <w:bCs/>
                <w:color w:val="000000"/>
                <w:sz w:val="20"/>
                <w:lang w:eastAsia="es-AR"/>
              </w:rPr>
              <w:t>2</w:t>
            </w:r>
            <w:r w:rsidR="00656E62" w:rsidRPr="00701F32">
              <w:rPr>
                <w:rFonts w:ascii="Arial" w:hAnsi="Arial" w:cs="Arial"/>
                <w:b/>
                <w:bCs/>
                <w:color w:val="000000"/>
                <w:sz w:val="20"/>
                <w:lang w:eastAsia="es-AR"/>
              </w:rPr>
              <w:t>.</w:t>
            </w:r>
            <w:r w:rsidRPr="00701F32">
              <w:rPr>
                <w:rFonts w:ascii="Arial" w:hAnsi="Arial" w:cs="Arial"/>
                <w:b/>
                <w:bCs/>
                <w:color w:val="000000"/>
                <w:sz w:val="20"/>
                <w:lang w:eastAsia="es-AR"/>
              </w:rPr>
              <w:t>512</w:t>
            </w:r>
            <w:r w:rsidR="00656E62" w:rsidRPr="00701F32">
              <w:rPr>
                <w:rFonts w:ascii="Arial" w:hAnsi="Arial" w:cs="Arial"/>
                <w:b/>
                <w:bCs/>
                <w:color w:val="000000"/>
                <w:sz w:val="20"/>
                <w:lang w:eastAsia="es-AR"/>
              </w:rPr>
              <w:t>.</w:t>
            </w:r>
            <w:r w:rsidRPr="00701F32">
              <w:rPr>
                <w:rFonts w:ascii="Arial" w:hAnsi="Arial" w:cs="Arial"/>
                <w:b/>
                <w:bCs/>
                <w:color w:val="000000"/>
                <w:sz w:val="20"/>
                <w:lang w:eastAsia="es-AR"/>
              </w:rPr>
              <w:t>388</w:t>
            </w:r>
            <w:r w:rsidR="00656E62" w:rsidRPr="00701F32">
              <w:rPr>
                <w:rFonts w:ascii="Arial" w:hAnsi="Arial" w:cs="Arial"/>
                <w:b/>
                <w:bCs/>
                <w:color w:val="000000"/>
                <w:sz w:val="20"/>
                <w:lang w:eastAsia="es-AR"/>
              </w:rPr>
              <w:t xml:space="preserve"> </w:t>
            </w:r>
          </w:p>
        </w:tc>
      </w:tr>
    </w:tbl>
    <w:p w14:paraId="59A3C6BB" w14:textId="77777777" w:rsidR="00656E62" w:rsidRPr="00701F32" w:rsidRDefault="00656E62" w:rsidP="00656E62">
      <w:pPr>
        <w:widowControl w:val="0"/>
        <w:autoSpaceDE w:val="0"/>
        <w:autoSpaceDN w:val="0"/>
        <w:adjustRightInd w:val="0"/>
        <w:jc w:val="both"/>
        <w:rPr>
          <w:rFonts w:ascii="Arial" w:hAnsi="Arial" w:cs="Arial"/>
          <w:noProof/>
          <w:color w:val="FF0000"/>
          <w:sz w:val="20"/>
        </w:rPr>
      </w:pPr>
    </w:p>
    <w:p w14:paraId="7B0BE645" w14:textId="77777777" w:rsidR="00656E62" w:rsidRPr="00701F32" w:rsidRDefault="00656E62" w:rsidP="00656E62">
      <w:pPr>
        <w:widowControl w:val="0"/>
        <w:autoSpaceDE w:val="0"/>
        <w:autoSpaceDN w:val="0"/>
        <w:adjustRightInd w:val="0"/>
        <w:jc w:val="both"/>
        <w:rPr>
          <w:rFonts w:ascii="Arial" w:hAnsi="Arial" w:cs="Arial"/>
          <w:noProof/>
          <w:sz w:val="20"/>
        </w:rPr>
      </w:pPr>
      <w:r w:rsidRPr="00701F32">
        <w:rPr>
          <w:rFonts w:ascii="Arial" w:hAnsi="Arial" w:cs="Arial"/>
          <w:noProof/>
          <w:sz w:val="20"/>
        </w:rPr>
        <w:t>El saldo de las previsiones por riesgo de incobrabilidad asociadas a arrendamientos financieros asciende a  25.356 al cierre del ejercicio.</w:t>
      </w:r>
    </w:p>
    <w:p w14:paraId="128DEC51" w14:textId="77777777" w:rsidR="00D242BF" w:rsidRPr="00701F32" w:rsidRDefault="00D242BF" w:rsidP="00712ADC">
      <w:pPr>
        <w:jc w:val="both"/>
        <w:rPr>
          <w:rFonts w:ascii="Arial" w:hAnsi="Arial" w:cs="Arial"/>
          <w:b/>
          <w:noProof/>
          <w:sz w:val="20"/>
        </w:rPr>
      </w:pPr>
    </w:p>
    <w:p w14:paraId="69AF8DA8" w14:textId="77777777" w:rsidR="00656E62" w:rsidRPr="00701F32" w:rsidRDefault="00D57127" w:rsidP="00712ADC">
      <w:pPr>
        <w:jc w:val="both"/>
        <w:rPr>
          <w:rFonts w:ascii="Arial" w:eastAsiaTheme="minorHAnsi" w:hAnsi="Arial" w:cs="Arial"/>
          <w:b/>
          <w:sz w:val="20"/>
        </w:rPr>
      </w:pPr>
      <w:r w:rsidRPr="00701F32">
        <w:rPr>
          <w:rFonts w:ascii="Arial" w:eastAsiaTheme="minorHAnsi" w:hAnsi="Arial" w:cs="Arial"/>
          <w:b/>
          <w:sz w:val="20"/>
        </w:rPr>
        <w:t>17</w:t>
      </w:r>
      <w:r w:rsidR="00656E62" w:rsidRPr="00701F32">
        <w:rPr>
          <w:rFonts w:ascii="Arial" w:eastAsiaTheme="minorHAnsi" w:hAnsi="Arial" w:cs="Arial"/>
          <w:b/>
          <w:sz w:val="20"/>
        </w:rPr>
        <w:t>.</w:t>
      </w:r>
      <w:r w:rsidR="00D242BF" w:rsidRPr="00701F32">
        <w:rPr>
          <w:rFonts w:ascii="Arial" w:eastAsiaTheme="minorHAnsi" w:hAnsi="Arial" w:cs="Arial"/>
          <w:b/>
          <w:sz w:val="20"/>
        </w:rPr>
        <w:t>5</w:t>
      </w:r>
      <w:r w:rsidR="00656E62" w:rsidRPr="00701F32">
        <w:rPr>
          <w:rFonts w:ascii="Arial" w:eastAsiaTheme="minorHAnsi" w:hAnsi="Arial" w:cs="Arial"/>
          <w:b/>
          <w:sz w:val="20"/>
        </w:rPr>
        <w:t xml:space="preserve"> Transferencia de Activos Financieros </w:t>
      </w:r>
    </w:p>
    <w:p w14:paraId="0EDA42A5" w14:textId="77777777" w:rsidR="00561992" w:rsidRPr="00701F32" w:rsidRDefault="00561992" w:rsidP="00712ADC">
      <w:pPr>
        <w:jc w:val="both"/>
        <w:rPr>
          <w:rFonts w:ascii="Arial" w:eastAsiaTheme="minorHAnsi" w:hAnsi="Arial" w:cs="Arial"/>
          <w:b/>
          <w:sz w:val="20"/>
        </w:rPr>
      </w:pPr>
    </w:p>
    <w:p w14:paraId="663B7AE6" w14:textId="77777777" w:rsidR="00656E62" w:rsidRPr="00701F32" w:rsidRDefault="00656E62" w:rsidP="00656E62">
      <w:pPr>
        <w:pStyle w:val="Style1"/>
        <w:jc w:val="both"/>
        <w:rPr>
          <w:rFonts w:ascii="Arial" w:hAnsi="Arial" w:cs="Arial"/>
          <w:szCs w:val="20"/>
        </w:rPr>
      </w:pPr>
      <w:r w:rsidRPr="00701F32">
        <w:rPr>
          <w:rFonts w:ascii="Arial" w:hAnsi="Arial" w:cs="Arial"/>
          <w:szCs w:val="20"/>
        </w:rPr>
        <w:t xml:space="preserve">Cuando el Banco realiza la transferencia de un activo financiero bajo un acuerdo que cumple con los requisitos para dar de baja dicho activo pero aún continúa con el derecho de administración a cambio de una comisión, se reconoce el activo o pasivo por la comisión establecida en el contrato. </w:t>
      </w:r>
    </w:p>
    <w:p w14:paraId="12E6A3EC" w14:textId="77777777" w:rsidR="00656E62" w:rsidRPr="00701F32" w:rsidRDefault="00656E62" w:rsidP="00656E62">
      <w:pPr>
        <w:pStyle w:val="Style1"/>
        <w:jc w:val="both"/>
        <w:rPr>
          <w:rFonts w:ascii="Arial" w:hAnsi="Arial" w:cs="Arial"/>
          <w:szCs w:val="20"/>
        </w:rPr>
      </w:pPr>
    </w:p>
    <w:p w14:paraId="352B4A75" w14:textId="77777777" w:rsidR="00656E62" w:rsidRPr="00701F32" w:rsidRDefault="00656E62" w:rsidP="00656E62">
      <w:pPr>
        <w:pStyle w:val="Style1"/>
        <w:jc w:val="both"/>
        <w:rPr>
          <w:rFonts w:ascii="Arial" w:hAnsi="Arial" w:cs="Arial"/>
          <w:szCs w:val="20"/>
        </w:rPr>
      </w:pPr>
      <w:r w:rsidRPr="00701F32">
        <w:rPr>
          <w:rFonts w:ascii="Arial" w:hAnsi="Arial" w:cs="Arial"/>
          <w:szCs w:val="20"/>
        </w:rPr>
        <w:t xml:space="preserve">Al realizar la baja del activo financiero, la diferencia entre el valor de libros y el recibido en contrapartida es imputado a resultados. </w:t>
      </w:r>
    </w:p>
    <w:p w14:paraId="58D44D68" w14:textId="77777777" w:rsidR="000A1F0D" w:rsidRPr="00701F32" w:rsidRDefault="000A1F0D" w:rsidP="00656E62">
      <w:pPr>
        <w:pStyle w:val="Style1"/>
        <w:jc w:val="both"/>
        <w:rPr>
          <w:rFonts w:ascii="Arial" w:hAnsi="Arial" w:cs="Arial"/>
          <w:szCs w:val="20"/>
          <w:u w:val="single"/>
        </w:rPr>
      </w:pPr>
    </w:p>
    <w:p w14:paraId="63AA85FE" w14:textId="77777777" w:rsidR="00656E62" w:rsidRPr="00701F32" w:rsidRDefault="00656E62" w:rsidP="00656E62">
      <w:pPr>
        <w:pStyle w:val="Style1"/>
        <w:jc w:val="both"/>
        <w:rPr>
          <w:rFonts w:ascii="Arial" w:hAnsi="Arial" w:cs="Arial"/>
          <w:szCs w:val="20"/>
          <w:u w:val="single"/>
        </w:rPr>
      </w:pPr>
      <w:r w:rsidRPr="00701F32">
        <w:rPr>
          <w:rFonts w:ascii="Arial" w:hAnsi="Arial" w:cs="Arial"/>
          <w:szCs w:val="20"/>
          <w:u w:val="single"/>
        </w:rPr>
        <w:t>Transferencias que no cumplen con los requisitos para dar de baja los activos financieros cedidos</w:t>
      </w:r>
    </w:p>
    <w:p w14:paraId="1FE33ABD" w14:textId="77777777" w:rsidR="00656E62" w:rsidRPr="00701F32" w:rsidRDefault="00656E62" w:rsidP="00656E62">
      <w:pPr>
        <w:pStyle w:val="Style1"/>
        <w:jc w:val="both"/>
        <w:rPr>
          <w:rFonts w:ascii="Arial" w:hAnsi="Arial" w:cs="Arial"/>
          <w:szCs w:val="20"/>
        </w:rPr>
      </w:pPr>
    </w:p>
    <w:p w14:paraId="6B5139DA" w14:textId="77777777" w:rsidR="00656E62" w:rsidRPr="00701F32" w:rsidRDefault="00656E62" w:rsidP="00656E62">
      <w:pPr>
        <w:pStyle w:val="Style1"/>
        <w:jc w:val="both"/>
        <w:rPr>
          <w:rFonts w:ascii="Arial" w:hAnsi="Arial" w:cs="Arial"/>
          <w:szCs w:val="20"/>
        </w:rPr>
      </w:pPr>
      <w:r w:rsidRPr="00701F32">
        <w:rPr>
          <w:rFonts w:ascii="Arial" w:hAnsi="Arial" w:cs="Arial"/>
          <w:szCs w:val="20"/>
        </w:rPr>
        <w:t xml:space="preserve">A continuación se detallan los activos financieros transferidos por el </w:t>
      </w:r>
      <w:r w:rsidR="001F412C" w:rsidRPr="00701F32">
        <w:rPr>
          <w:rFonts w:ascii="Arial" w:hAnsi="Arial" w:cs="Arial"/>
          <w:szCs w:val="20"/>
        </w:rPr>
        <w:t xml:space="preserve">Banco </w:t>
      </w:r>
      <w:r w:rsidRPr="00701F32">
        <w:rPr>
          <w:rFonts w:ascii="Arial" w:hAnsi="Arial" w:cs="Arial"/>
          <w:szCs w:val="20"/>
        </w:rPr>
        <w:t xml:space="preserve">que se continuan reconociendo en sus estados financieros </w:t>
      </w:r>
      <w:r w:rsidR="001F412C" w:rsidRPr="00701F32">
        <w:rPr>
          <w:rFonts w:ascii="Arial" w:eastAsia="Arial" w:hAnsi="Arial" w:cs="Arial"/>
        </w:rPr>
        <w:t>separados</w:t>
      </w:r>
      <w:r w:rsidRPr="00701F32">
        <w:rPr>
          <w:rFonts w:ascii="Arial" w:hAnsi="Arial" w:cs="Arial"/>
          <w:szCs w:val="20"/>
        </w:rPr>
        <w:t>:</w:t>
      </w:r>
    </w:p>
    <w:p w14:paraId="26254E31" w14:textId="77777777" w:rsidR="00656E62" w:rsidRPr="00701F32" w:rsidRDefault="00656E62" w:rsidP="00656E62">
      <w:pPr>
        <w:pStyle w:val="Style1"/>
        <w:jc w:val="both"/>
        <w:rPr>
          <w:rFonts w:ascii="Arial" w:hAnsi="Arial" w:cs="Arial"/>
          <w:szCs w:val="20"/>
        </w:rPr>
      </w:pPr>
    </w:p>
    <w:tbl>
      <w:tblPr>
        <w:tblStyle w:val="Tablaconcuadrcula"/>
        <w:tblW w:w="8803" w:type="dxa"/>
        <w:tblLook w:val="04A0" w:firstRow="1" w:lastRow="0" w:firstColumn="1" w:lastColumn="0" w:noHBand="0" w:noVBand="1"/>
      </w:tblPr>
      <w:tblGrid>
        <w:gridCol w:w="2933"/>
        <w:gridCol w:w="2933"/>
        <w:gridCol w:w="2937"/>
      </w:tblGrid>
      <w:tr w:rsidR="00656E62" w:rsidRPr="00701F32" w14:paraId="62D9AC52" w14:textId="77777777" w:rsidTr="00464C0F">
        <w:trPr>
          <w:trHeight w:val="274"/>
          <w:tblHeader/>
        </w:trPr>
        <w:tc>
          <w:tcPr>
            <w:tcW w:w="2933" w:type="dxa"/>
            <w:vMerge w:val="restart"/>
            <w:vAlign w:val="center"/>
          </w:tcPr>
          <w:p w14:paraId="00357A28" w14:textId="77777777" w:rsidR="00656E62" w:rsidRPr="00701F32" w:rsidRDefault="00656E62" w:rsidP="00464C0F">
            <w:pPr>
              <w:pStyle w:val="Style1"/>
              <w:jc w:val="both"/>
              <w:rPr>
                <w:rFonts w:ascii="Arial" w:hAnsi="Arial" w:cs="Arial"/>
                <w:b/>
                <w:sz w:val="18"/>
                <w:szCs w:val="20"/>
              </w:rPr>
            </w:pPr>
          </w:p>
        </w:tc>
        <w:tc>
          <w:tcPr>
            <w:tcW w:w="5870" w:type="dxa"/>
            <w:gridSpan w:val="2"/>
            <w:vAlign w:val="center"/>
          </w:tcPr>
          <w:p w14:paraId="1E9C0788" w14:textId="77777777" w:rsidR="00656E62" w:rsidRPr="00701F32" w:rsidRDefault="00656E62" w:rsidP="00464C0F">
            <w:pPr>
              <w:pStyle w:val="Style1"/>
              <w:jc w:val="center"/>
              <w:rPr>
                <w:rFonts w:ascii="Arial" w:hAnsi="Arial" w:cs="Arial"/>
                <w:b/>
                <w:sz w:val="18"/>
                <w:szCs w:val="20"/>
              </w:rPr>
            </w:pPr>
            <w:r w:rsidRPr="00701F32">
              <w:rPr>
                <w:rFonts w:ascii="Arial" w:hAnsi="Arial" w:cs="Arial"/>
                <w:b/>
                <w:sz w:val="18"/>
                <w:szCs w:val="20"/>
              </w:rPr>
              <w:t>Al 31 de diciembre de 2017</w:t>
            </w:r>
          </w:p>
        </w:tc>
      </w:tr>
      <w:tr w:rsidR="00656E62" w:rsidRPr="00701F32" w14:paraId="461B9264" w14:textId="77777777" w:rsidTr="00464C0F">
        <w:trPr>
          <w:trHeight w:val="408"/>
          <w:tblHeader/>
        </w:trPr>
        <w:tc>
          <w:tcPr>
            <w:tcW w:w="2933" w:type="dxa"/>
            <w:vMerge/>
            <w:vAlign w:val="center"/>
          </w:tcPr>
          <w:p w14:paraId="53B4ABB1" w14:textId="77777777" w:rsidR="00656E62" w:rsidRPr="00701F32" w:rsidRDefault="00656E62" w:rsidP="00464C0F">
            <w:pPr>
              <w:pStyle w:val="Style1"/>
              <w:jc w:val="both"/>
              <w:rPr>
                <w:rFonts w:ascii="Arial" w:hAnsi="Arial" w:cs="Arial"/>
                <w:b/>
                <w:sz w:val="18"/>
                <w:szCs w:val="20"/>
              </w:rPr>
            </w:pPr>
          </w:p>
        </w:tc>
        <w:tc>
          <w:tcPr>
            <w:tcW w:w="2933" w:type="dxa"/>
            <w:vAlign w:val="center"/>
          </w:tcPr>
          <w:p w14:paraId="552B8056" w14:textId="77777777" w:rsidR="00656E62" w:rsidRPr="00701F32" w:rsidRDefault="00656E62" w:rsidP="00464C0F">
            <w:pPr>
              <w:pStyle w:val="Style1"/>
              <w:jc w:val="center"/>
              <w:rPr>
                <w:rFonts w:ascii="Arial" w:hAnsi="Arial" w:cs="Arial"/>
                <w:b/>
                <w:sz w:val="18"/>
                <w:szCs w:val="20"/>
              </w:rPr>
            </w:pPr>
            <w:r w:rsidRPr="00701F32">
              <w:rPr>
                <w:rFonts w:ascii="Arial" w:hAnsi="Arial" w:cs="Arial"/>
                <w:b/>
                <w:sz w:val="18"/>
                <w:szCs w:val="20"/>
              </w:rPr>
              <w:t>Valor libro de activos</w:t>
            </w:r>
          </w:p>
        </w:tc>
        <w:tc>
          <w:tcPr>
            <w:tcW w:w="2937" w:type="dxa"/>
            <w:vAlign w:val="center"/>
          </w:tcPr>
          <w:p w14:paraId="00E757AF" w14:textId="77777777" w:rsidR="00656E62" w:rsidRPr="00701F32" w:rsidRDefault="00656E62" w:rsidP="00464C0F">
            <w:pPr>
              <w:pStyle w:val="Style1"/>
              <w:jc w:val="center"/>
              <w:rPr>
                <w:rFonts w:ascii="Arial" w:hAnsi="Arial" w:cs="Arial"/>
                <w:b/>
                <w:sz w:val="18"/>
                <w:szCs w:val="20"/>
              </w:rPr>
            </w:pPr>
            <w:r w:rsidRPr="00701F32">
              <w:rPr>
                <w:rFonts w:ascii="Arial" w:hAnsi="Arial" w:cs="Arial"/>
                <w:b/>
                <w:sz w:val="18"/>
                <w:szCs w:val="20"/>
              </w:rPr>
              <w:t>Valor libro de los pasivos asociados</w:t>
            </w:r>
          </w:p>
        </w:tc>
      </w:tr>
      <w:tr w:rsidR="00656E62" w:rsidRPr="00701F32" w14:paraId="2B74FE81" w14:textId="77777777" w:rsidTr="0086282C">
        <w:trPr>
          <w:trHeight w:val="141"/>
        </w:trPr>
        <w:tc>
          <w:tcPr>
            <w:tcW w:w="2933" w:type="dxa"/>
          </w:tcPr>
          <w:p w14:paraId="2ACBDA8D" w14:textId="77777777" w:rsidR="00656E62" w:rsidRPr="00701F32" w:rsidRDefault="00561992" w:rsidP="00464C0F">
            <w:pPr>
              <w:pStyle w:val="Style1"/>
              <w:jc w:val="both"/>
              <w:rPr>
                <w:rFonts w:ascii="Arial" w:hAnsi="Arial" w:cs="Arial"/>
                <w:sz w:val="18"/>
                <w:szCs w:val="20"/>
              </w:rPr>
            </w:pPr>
            <w:r w:rsidRPr="00701F32">
              <w:rPr>
                <w:rFonts w:ascii="Arial" w:hAnsi="Arial" w:cs="Arial"/>
                <w:sz w:val="18"/>
                <w:szCs w:val="20"/>
              </w:rPr>
              <w:t>Préstamos personales cedidos a fideicomisos financieros</w:t>
            </w:r>
          </w:p>
        </w:tc>
        <w:tc>
          <w:tcPr>
            <w:tcW w:w="2933" w:type="dxa"/>
            <w:vAlign w:val="center"/>
          </w:tcPr>
          <w:p w14:paraId="698C1874" w14:textId="77777777" w:rsidR="00656E62" w:rsidRPr="00701F32" w:rsidRDefault="00656E62">
            <w:pPr>
              <w:pStyle w:val="Style1"/>
              <w:jc w:val="right"/>
              <w:rPr>
                <w:rFonts w:ascii="Arial" w:hAnsi="Arial" w:cs="Arial"/>
                <w:sz w:val="18"/>
                <w:szCs w:val="20"/>
              </w:rPr>
            </w:pPr>
            <w:r w:rsidRPr="00701F32">
              <w:rPr>
                <w:rFonts w:ascii="Arial" w:hAnsi="Arial" w:cs="Arial"/>
                <w:sz w:val="18"/>
                <w:szCs w:val="20"/>
              </w:rPr>
              <w:t>568.133</w:t>
            </w:r>
          </w:p>
        </w:tc>
        <w:tc>
          <w:tcPr>
            <w:tcW w:w="2937" w:type="dxa"/>
            <w:vAlign w:val="center"/>
          </w:tcPr>
          <w:p w14:paraId="3E93140D" w14:textId="77777777" w:rsidR="00656E62" w:rsidRPr="00701F32" w:rsidRDefault="00656E62">
            <w:pPr>
              <w:pStyle w:val="Style1"/>
              <w:jc w:val="right"/>
              <w:rPr>
                <w:rFonts w:ascii="Arial" w:hAnsi="Arial" w:cs="Arial"/>
                <w:sz w:val="18"/>
                <w:szCs w:val="20"/>
              </w:rPr>
            </w:pPr>
            <w:r w:rsidRPr="00701F32">
              <w:rPr>
                <w:rFonts w:ascii="Arial" w:hAnsi="Arial" w:cs="Arial"/>
                <w:sz w:val="18"/>
                <w:szCs w:val="20"/>
              </w:rPr>
              <w:t>473.809</w:t>
            </w:r>
          </w:p>
        </w:tc>
      </w:tr>
    </w:tbl>
    <w:p w14:paraId="42547527" w14:textId="77777777" w:rsidR="00656E62" w:rsidRPr="00701F32" w:rsidRDefault="00656E62" w:rsidP="00656E62">
      <w:pPr>
        <w:pStyle w:val="Style1"/>
        <w:jc w:val="both"/>
        <w:rPr>
          <w:rFonts w:ascii="Arial" w:hAnsi="Arial" w:cs="Arial"/>
          <w:szCs w:val="20"/>
        </w:rPr>
      </w:pPr>
    </w:p>
    <w:p w14:paraId="3D1F2E49" w14:textId="77777777" w:rsidR="00656E62" w:rsidRPr="00701F32" w:rsidRDefault="00A923F6" w:rsidP="00656E62">
      <w:pPr>
        <w:pStyle w:val="Style1"/>
        <w:jc w:val="both"/>
        <w:rPr>
          <w:rFonts w:ascii="Arial" w:hAnsi="Arial" w:cs="Arial"/>
          <w:color w:val="FF0000"/>
          <w:szCs w:val="20"/>
        </w:rPr>
      </w:pPr>
      <w:r w:rsidRPr="00701F32">
        <w:rPr>
          <w:rFonts w:ascii="Arial" w:hAnsi="Arial" w:cs="Arial"/>
          <w:szCs w:val="20"/>
        </w:rPr>
        <w:t>El Banco puede vender en determinadas oportunidades, cartera con mora significativa sin recurso para el comprador. En estos casos, La entidad no retiene ningún riesgo ni beneficio sustancial sobre la cartera cedida, y por lo tanto la misma califica para su baja en cuentas</w:t>
      </w:r>
    </w:p>
    <w:p w14:paraId="51260455" w14:textId="77777777" w:rsidR="00656E62" w:rsidRPr="00701F32" w:rsidRDefault="00656E62" w:rsidP="00656E62">
      <w:pPr>
        <w:jc w:val="both"/>
        <w:rPr>
          <w:rFonts w:ascii="Arial" w:eastAsia="Arial" w:hAnsi="Arial" w:cs="Arial"/>
          <w:bCs/>
          <w:noProof/>
          <w:color w:val="000000"/>
          <w:sz w:val="20"/>
        </w:rPr>
      </w:pPr>
    </w:p>
    <w:p w14:paraId="3A810E04" w14:textId="77777777" w:rsidR="00656E62" w:rsidRPr="00701F32" w:rsidRDefault="00D57127" w:rsidP="00656E62">
      <w:pPr>
        <w:pStyle w:val="Style1"/>
        <w:jc w:val="both"/>
        <w:rPr>
          <w:rFonts w:ascii="Arial" w:hAnsi="Arial" w:cs="Arial"/>
          <w:b/>
          <w:szCs w:val="20"/>
          <w:lang w:eastAsia="es-ES"/>
        </w:rPr>
      </w:pPr>
      <w:r w:rsidRPr="00701F32">
        <w:rPr>
          <w:rFonts w:ascii="Arial" w:hAnsi="Arial" w:cs="Arial"/>
          <w:b/>
          <w:szCs w:val="20"/>
          <w:lang w:eastAsia="es-ES"/>
        </w:rPr>
        <w:t>17</w:t>
      </w:r>
      <w:r w:rsidR="00656E62" w:rsidRPr="00701F32">
        <w:rPr>
          <w:rFonts w:ascii="Arial" w:hAnsi="Arial" w:cs="Arial"/>
          <w:b/>
          <w:szCs w:val="20"/>
          <w:lang w:eastAsia="es-ES"/>
        </w:rPr>
        <w:t>.</w:t>
      </w:r>
      <w:r w:rsidR="00D242BF" w:rsidRPr="00701F32">
        <w:rPr>
          <w:rFonts w:ascii="Arial" w:hAnsi="Arial" w:cs="Arial"/>
          <w:b/>
          <w:szCs w:val="20"/>
          <w:lang w:eastAsia="es-ES"/>
        </w:rPr>
        <w:t>6</w:t>
      </w:r>
      <w:r w:rsidR="00656E62" w:rsidRPr="00701F32">
        <w:rPr>
          <w:rFonts w:ascii="Arial" w:hAnsi="Arial" w:cs="Arial"/>
          <w:b/>
          <w:szCs w:val="20"/>
          <w:lang w:eastAsia="es-ES"/>
        </w:rPr>
        <w:t xml:space="preserve"> Inversión en Otras Sociedades </w:t>
      </w:r>
    </w:p>
    <w:p w14:paraId="040380D4" w14:textId="77777777" w:rsidR="00656E62" w:rsidRPr="00701F32" w:rsidRDefault="00656E62" w:rsidP="00656E62">
      <w:pPr>
        <w:pStyle w:val="Lista"/>
        <w:ind w:left="502" w:hanging="502"/>
        <w:jc w:val="both"/>
        <w:rPr>
          <w:rFonts w:ascii="Arial" w:hAnsi="Arial" w:cs="Arial"/>
          <w:b/>
          <w:sz w:val="20"/>
          <w:szCs w:val="20"/>
          <w:u w:val="single"/>
          <w:lang w:val="es-AR"/>
        </w:rPr>
      </w:pPr>
    </w:p>
    <w:p w14:paraId="15720289" w14:textId="77777777" w:rsidR="000C735B" w:rsidRPr="00701F32" w:rsidRDefault="000C735B" w:rsidP="000C735B">
      <w:pPr>
        <w:pStyle w:val="Lista"/>
        <w:ind w:left="502" w:hanging="502"/>
        <w:jc w:val="both"/>
        <w:rPr>
          <w:rFonts w:ascii="Arial" w:hAnsi="Arial" w:cs="Arial"/>
          <w:sz w:val="20"/>
          <w:szCs w:val="20"/>
          <w:lang w:val="es-AR"/>
        </w:rPr>
      </w:pPr>
      <w:r w:rsidRPr="00701F32">
        <w:rPr>
          <w:rFonts w:ascii="Arial" w:hAnsi="Arial" w:cs="Arial"/>
          <w:sz w:val="20"/>
          <w:szCs w:val="20"/>
          <w:lang w:val="es-AR"/>
        </w:rPr>
        <w:t xml:space="preserve">Las inversiones en otras sociedades al 31 de diciembre de 2017 son las siguientes: </w:t>
      </w:r>
    </w:p>
    <w:p w14:paraId="51D7FA1D" w14:textId="77777777" w:rsidR="000C735B" w:rsidRPr="00701F32" w:rsidRDefault="000C735B" w:rsidP="000C735B">
      <w:pPr>
        <w:pStyle w:val="Lista"/>
        <w:ind w:left="502" w:hanging="502"/>
        <w:jc w:val="both"/>
        <w:rPr>
          <w:rFonts w:ascii="Arial" w:hAnsi="Arial" w:cs="Arial"/>
          <w:sz w:val="20"/>
          <w:szCs w:val="20"/>
          <w:lang w:val="es-AR"/>
        </w:rPr>
      </w:pPr>
    </w:p>
    <w:tbl>
      <w:tblPr>
        <w:tblW w:w="7575" w:type="dxa"/>
        <w:tblInd w:w="75" w:type="dxa"/>
        <w:tblLayout w:type="fixed"/>
        <w:tblCellMar>
          <w:left w:w="70" w:type="dxa"/>
          <w:right w:w="70" w:type="dxa"/>
        </w:tblCellMar>
        <w:tblLook w:val="04A0" w:firstRow="1" w:lastRow="0" w:firstColumn="1" w:lastColumn="0" w:noHBand="0" w:noVBand="1"/>
      </w:tblPr>
      <w:tblGrid>
        <w:gridCol w:w="5590"/>
        <w:gridCol w:w="1985"/>
      </w:tblGrid>
      <w:tr w:rsidR="000C735B" w:rsidRPr="00701F32" w14:paraId="144B9B03" w14:textId="77777777" w:rsidTr="000B2ED3">
        <w:trPr>
          <w:trHeight w:val="235"/>
        </w:trPr>
        <w:tc>
          <w:tcPr>
            <w:tcW w:w="5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31B27" w14:textId="77777777" w:rsidR="000C735B" w:rsidRPr="00701F32" w:rsidRDefault="000C735B" w:rsidP="000B2ED3">
            <w:pPr>
              <w:jc w:val="both"/>
              <w:rPr>
                <w:rFonts w:ascii="Arial" w:hAnsi="Arial" w:cs="Arial"/>
                <w:b/>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D55813B" w14:textId="77777777" w:rsidR="000C735B" w:rsidRPr="00701F32" w:rsidRDefault="000C735B" w:rsidP="000B2ED3">
            <w:pPr>
              <w:jc w:val="center"/>
              <w:rPr>
                <w:rFonts w:ascii="Arial" w:hAnsi="Arial" w:cs="Arial"/>
                <w:b/>
                <w:color w:val="000000"/>
                <w:sz w:val="18"/>
                <w:szCs w:val="18"/>
              </w:rPr>
            </w:pPr>
            <w:r w:rsidRPr="00701F32">
              <w:rPr>
                <w:rFonts w:ascii="Arial" w:hAnsi="Arial" w:cs="Arial"/>
                <w:b/>
                <w:color w:val="000000"/>
                <w:sz w:val="18"/>
                <w:szCs w:val="18"/>
              </w:rPr>
              <w:t>31/12/2017</w:t>
            </w:r>
          </w:p>
        </w:tc>
      </w:tr>
      <w:tr w:rsidR="000C735B" w:rsidRPr="00701F32" w14:paraId="7F2CF56F"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33868F1E"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Mercado Abierto Electrónico S.A.</w:t>
            </w:r>
          </w:p>
        </w:tc>
        <w:tc>
          <w:tcPr>
            <w:tcW w:w="1985" w:type="dxa"/>
            <w:tcBorders>
              <w:top w:val="nil"/>
              <w:left w:val="nil"/>
              <w:bottom w:val="single" w:sz="4" w:space="0" w:color="auto"/>
              <w:right w:val="single" w:sz="4" w:space="0" w:color="auto"/>
            </w:tcBorders>
            <w:shd w:val="clear" w:color="auto" w:fill="auto"/>
            <w:noWrap/>
            <w:vAlign w:val="center"/>
            <w:hideMark/>
          </w:tcPr>
          <w:p w14:paraId="4C2D413F"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4.610 </w:t>
            </w:r>
          </w:p>
        </w:tc>
      </w:tr>
      <w:tr w:rsidR="000C735B" w:rsidRPr="00701F32" w14:paraId="78F54748"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AD0A492"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Seguro de Depósitos S.A</w:t>
            </w:r>
          </w:p>
        </w:tc>
        <w:tc>
          <w:tcPr>
            <w:tcW w:w="1985" w:type="dxa"/>
            <w:tcBorders>
              <w:top w:val="nil"/>
              <w:left w:val="nil"/>
              <w:bottom w:val="single" w:sz="4" w:space="0" w:color="auto"/>
              <w:right w:val="single" w:sz="4" w:space="0" w:color="auto"/>
            </w:tcBorders>
            <w:shd w:val="clear" w:color="auto" w:fill="auto"/>
            <w:noWrap/>
            <w:vAlign w:val="center"/>
            <w:hideMark/>
          </w:tcPr>
          <w:p w14:paraId="314681FB"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1.614 </w:t>
            </w:r>
          </w:p>
        </w:tc>
      </w:tr>
      <w:tr w:rsidR="000C735B" w:rsidRPr="00701F32" w14:paraId="34E14D53"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4BC91D6"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Compensador Electrónica S.A.</w:t>
            </w:r>
          </w:p>
        </w:tc>
        <w:tc>
          <w:tcPr>
            <w:tcW w:w="1985" w:type="dxa"/>
            <w:tcBorders>
              <w:top w:val="nil"/>
              <w:left w:val="nil"/>
              <w:bottom w:val="single" w:sz="4" w:space="0" w:color="auto"/>
              <w:right w:val="single" w:sz="4" w:space="0" w:color="auto"/>
            </w:tcBorders>
            <w:shd w:val="clear" w:color="auto" w:fill="auto"/>
            <w:noWrap/>
            <w:vAlign w:val="center"/>
            <w:hideMark/>
          </w:tcPr>
          <w:p w14:paraId="0133A22D"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919 </w:t>
            </w:r>
          </w:p>
        </w:tc>
      </w:tr>
      <w:tr w:rsidR="000C735B" w:rsidRPr="00701F32" w14:paraId="08690EF7"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2602CBD"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Provincanje S.A.</w:t>
            </w:r>
          </w:p>
        </w:tc>
        <w:tc>
          <w:tcPr>
            <w:tcW w:w="1985" w:type="dxa"/>
            <w:tcBorders>
              <w:top w:val="nil"/>
              <w:left w:val="nil"/>
              <w:bottom w:val="single" w:sz="4" w:space="0" w:color="auto"/>
              <w:right w:val="single" w:sz="4" w:space="0" w:color="auto"/>
            </w:tcBorders>
            <w:shd w:val="clear" w:color="auto" w:fill="auto"/>
            <w:noWrap/>
            <w:vAlign w:val="center"/>
            <w:hideMark/>
          </w:tcPr>
          <w:p w14:paraId="7EA12DDA"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271 </w:t>
            </w:r>
          </w:p>
        </w:tc>
      </w:tr>
      <w:tr w:rsidR="000C735B" w:rsidRPr="00701F32" w14:paraId="44C42E2F"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16FDC7E"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Cuyo Aval Sociedad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7B6AA18A"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222 </w:t>
            </w:r>
          </w:p>
        </w:tc>
      </w:tr>
      <w:tr w:rsidR="000C735B" w:rsidRPr="00701F32" w14:paraId="1B5995E1"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352C8F13"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Argencontrol S.A.</w:t>
            </w:r>
          </w:p>
        </w:tc>
        <w:tc>
          <w:tcPr>
            <w:tcW w:w="1985" w:type="dxa"/>
            <w:tcBorders>
              <w:top w:val="nil"/>
              <w:left w:val="nil"/>
              <w:bottom w:val="single" w:sz="4" w:space="0" w:color="auto"/>
              <w:right w:val="single" w:sz="4" w:space="0" w:color="auto"/>
            </w:tcBorders>
            <w:shd w:val="clear" w:color="auto" w:fill="auto"/>
            <w:noWrap/>
            <w:vAlign w:val="center"/>
            <w:hideMark/>
          </w:tcPr>
          <w:p w14:paraId="0979A91E"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125 </w:t>
            </w:r>
          </w:p>
        </w:tc>
      </w:tr>
      <w:tr w:rsidR="000C735B" w:rsidRPr="00701F32" w14:paraId="5F59EC6B"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6D79222"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Los Grobo Sociedad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270E0170"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68 </w:t>
            </w:r>
          </w:p>
        </w:tc>
      </w:tr>
      <w:tr w:rsidR="000C735B" w:rsidRPr="00701F32" w14:paraId="29D1CD88"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17CFB0B2"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IEBA S.A.</w:t>
            </w:r>
          </w:p>
        </w:tc>
        <w:tc>
          <w:tcPr>
            <w:tcW w:w="1985" w:type="dxa"/>
            <w:tcBorders>
              <w:top w:val="nil"/>
              <w:left w:val="nil"/>
              <w:bottom w:val="single" w:sz="4" w:space="0" w:color="auto"/>
              <w:right w:val="single" w:sz="4" w:space="0" w:color="auto"/>
            </w:tcBorders>
            <w:shd w:val="clear" w:color="auto" w:fill="auto"/>
            <w:noWrap/>
            <w:vAlign w:val="center"/>
            <w:hideMark/>
          </w:tcPr>
          <w:p w14:paraId="15BA5EC1"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61 </w:t>
            </w:r>
          </w:p>
        </w:tc>
      </w:tr>
      <w:tr w:rsidR="000C735B" w:rsidRPr="00701F32" w14:paraId="56B2451E"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0C6B5D1" w14:textId="77777777" w:rsidR="000C735B" w:rsidRPr="00701F32" w:rsidRDefault="000C735B" w:rsidP="000B2ED3">
            <w:pPr>
              <w:jc w:val="both"/>
              <w:rPr>
                <w:rFonts w:ascii="Arial" w:hAnsi="Arial" w:cs="Arial"/>
                <w:color w:val="000000"/>
                <w:sz w:val="18"/>
                <w:szCs w:val="18"/>
              </w:rPr>
            </w:pPr>
            <w:r w:rsidRPr="00701F32">
              <w:rPr>
                <w:rFonts w:ascii="Arial" w:hAnsi="Arial" w:cs="Arial"/>
                <w:color w:val="000000"/>
                <w:sz w:val="18"/>
                <w:szCs w:val="18"/>
              </w:rPr>
              <w:t>Otras Sociedades de Garantía Recíproca</w:t>
            </w:r>
          </w:p>
        </w:tc>
        <w:tc>
          <w:tcPr>
            <w:tcW w:w="1985" w:type="dxa"/>
            <w:tcBorders>
              <w:top w:val="nil"/>
              <w:left w:val="nil"/>
              <w:bottom w:val="single" w:sz="4" w:space="0" w:color="auto"/>
              <w:right w:val="single" w:sz="4" w:space="0" w:color="auto"/>
            </w:tcBorders>
            <w:shd w:val="clear" w:color="auto" w:fill="auto"/>
            <w:noWrap/>
            <w:vAlign w:val="center"/>
            <w:hideMark/>
          </w:tcPr>
          <w:p w14:paraId="123A03D9" w14:textId="77777777" w:rsidR="000C735B" w:rsidRPr="00701F32" w:rsidRDefault="000C735B" w:rsidP="000B2ED3">
            <w:pPr>
              <w:jc w:val="right"/>
              <w:rPr>
                <w:rFonts w:ascii="Arial" w:hAnsi="Arial" w:cs="Arial"/>
                <w:color w:val="000000"/>
                <w:sz w:val="18"/>
                <w:szCs w:val="18"/>
              </w:rPr>
            </w:pPr>
            <w:r w:rsidRPr="00701F32">
              <w:rPr>
                <w:rFonts w:ascii="Arial" w:hAnsi="Arial" w:cs="Arial"/>
                <w:color w:val="000000"/>
                <w:sz w:val="18"/>
                <w:szCs w:val="18"/>
              </w:rPr>
              <w:t xml:space="preserve">                            28 </w:t>
            </w:r>
          </w:p>
        </w:tc>
      </w:tr>
      <w:tr w:rsidR="000C735B" w:rsidRPr="00701F32" w14:paraId="2730E492" w14:textId="77777777" w:rsidTr="000B2ED3">
        <w:trPr>
          <w:trHeight w:val="235"/>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10126CF6" w14:textId="77777777" w:rsidR="000C735B" w:rsidRPr="00701F32" w:rsidRDefault="000C735B" w:rsidP="000B2ED3">
            <w:pPr>
              <w:jc w:val="both"/>
              <w:rPr>
                <w:rFonts w:ascii="Arial" w:hAnsi="Arial" w:cs="Arial"/>
                <w:b/>
                <w:bCs/>
                <w:color w:val="000000"/>
                <w:sz w:val="18"/>
                <w:szCs w:val="18"/>
              </w:rPr>
            </w:pPr>
            <w:r w:rsidRPr="00701F32">
              <w:rPr>
                <w:rFonts w:ascii="Arial" w:hAnsi="Arial" w:cs="Arial"/>
                <w:b/>
                <w:bCs/>
                <w:color w:val="000000"/>
                <w:sz w:val="18"/>
                <w:szCs w:val="18"/>
              </w:rPr>
              <w:t>Total</w:t>
            </w:r>
          </w:p>
        </w:tc>
        <w:tc>
          <w:tcPr>
            <w:tcW w:w="1985" w:type="dxa"/>
            <w:tcBorders>
              <w:top w:val="nil"/>
              <w:left w:val="nil"/>
              <w:bottom w:val="single" w:sz="4" w:space="0" w:color="auto"/>
              <w:right w:val="single" w:sz="4" w:space="0" w:color="auto"/>
            </w:tcBorders>
            <w:shd w:val="clear" w:color="auto" w:fill="auto"/>
            <w:noWrap/>
            <w:vAlign w:val="center"/>
            <w:hideMark/>
          </w:tcPr>
          <w:p w14:paraId="2DEAE3C6" w14:textId="77777777" w:rsidR="000C735B" w:rsidRPr="00701F32" w:rsidRDefault="000C735B" w:rsidP="000B2ED3">
            <w:pPr>
              <w:jc w:val="right"/>
              <w:rPr>
                <w:rFonts w:ascii="Arial" w:hAnsi="Arial" w:cs="Arial"/>
                <w:b/>
                <w:bCs/>
                <w:color w:val="000000"/>
                <w:sz w:val="18"/>
                <w:szCs w:val="18"/>
              </w:rPr>
            </w:pPr>
            <w:r w:rsidRPr="00701F32">
              <w:rPr>
                <w:rFonts w:ascii="Arial" w:hAnsi="Arial" w:cs="Arial"/>
                <w:b/>
                <w:bCs/>
                <w:color w:val="000000"/>
                <w:sz w:val="18"/>
                <w:szCs w:val="18"/>
              </w:rPr>
              <w:t xml:space="preserve">                       7.918 </w:t>
            </w:r>
          </w:p>
        </w:tc>
      </w:tr>
    </w:tbl>
    <w:p w14:paraId="130BD9DE" w14:textId="77777777" w:rsidR="000C735B" w:rsidRPr="00701F32" w:rsidRDefault="000C735B" w:rsidP="000C735B">
      <w:pPr>
        <w:pStyle w:val="Lista"/>
        <w:ind w:left="502" w:hanging="502"/>
        <w:jc w:val="both"/>
        <w:rPr>
          <w:rFonts w:ascii="Arial" w:hAnsi="Arial" w:cs="Arial"/>
          <w:sz w:val="20"/>
          <w:szCs w:val="20"/>
          <w:lang w:val="es-AR"/>
        </w:rPr>
      </w:pPr>
    </w:p>
    <w:p w14:paraId="48B1E1F4" w14:textId="77777777" w:rsidR="000C735B" w:rsidRPr="00701F32" w:rsidRDefault="000C735B" w:rsidP="000C735B">
      <w:pPr>
        <w:pStyle w:val="Lista"/>
        <w:ind w:left="0" w:firstLine="0"/>
        <w:jc w:val="both"/>
        <w:rPr>
          <w:rFonts w:ascii="Arial" w:hAnsi="Arial" w:cs="Arial"/>
          <w:sz w:val="20"/>
          <w:szCs w:val="20"/>
          <w:lang w:val="es-AR"/>
        </w:rPr>
      </w:pPr>
      <w:r w:rsidRPr="00701F32">
        <w:rPr>
          <w:rFonts w:ascii="Arial" w:hAnsi="Arial" w:cs="Arial"/>
          <w:sz w:val="20"/>
          <w:szCs w:val="20"/>
          <w:lang w:val="es-AR"/>
        </w:rPr>
        <w:t>A continuación, se detallan los movimientos ocurridos durante el ejercicio al 31 de diciembre de 2017:</w:t>
      </w:r>
    </w:p>
    <w:p w14:paraId="6B363258" w14:textId="77777777" w:rsidR="000A1F0D" w:rsidRPr="00701F32" w:rsidRDefault="000A1F0D" w:rsidP="000C735B">
      <w:pPr>
        <w:pStyle w:val="Lista"/>
        <w:ind w:left="502" w:hanging="502"/>
        <w:jc w:val="both"/>
        <w:rPr>
          <w:rFonts w:ascii="Arial" w:hAnsi="Arial" w:cs="Arial"/>
          <w:sz w:val="20"/>
          <w:szCs w:val="20"/>
          <w:lang w:val="es-AR"/>
        </w:rPr>
      </w:pPr>
    </w:p>
    <w:tbl>
      <w:tblPr>
        <w:tblW w:w="7105" w:type="dxa"/>
        <w:jc w:val="center"/>
        <w:tblLayout w:type="fixed"/>
        <w:tblCellMar>
          <w:left w:w="70" w:type="dxa"/>
          <w:right w:w="70" w:type="dxa"/>
        </w:tblCellMar>
        <w:tblLook w:val="04A0" w:firstRow="1" w:lastRow="0" w:firstColumn="1" w:lastColumn="0" w:noHBand="0" w:noVBand="1"/>
      </w:tblPr>
      <w:tblGrid>
        <w:gridCol w:w="3464"/>
        <w:gridCol w:w="1410"/>
        <w:gridCol w:w="1130"/>
        <w:gridCol w:w="1101"/>
      </w:tblGrid>
      <w:tr w:rsidR="000A1F0D" w:rsidRPr="00701F32" w14:paraId="794F0B82" w14:textId="77777777" w:rsidTr="00701F32">
        <w:trPr>
          <w:trHeight w:val="235"/>
          <w:tblHeader/>
          <w:jc w:val="center"/>
        </w:trPr>
        <w:tc>
          <w:tcPr>
            <w:tcW w:w="34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6389B" w14:textId="77777777" w:rsidR="000A1F0D" w:rsidRPr="00701F32" w:rsidRDefault="000A1F0D" w:rsidP="000B2ED3">
            <w:pPr>
              <w:jc w:val="both"/>
              <w:rPr>
                <w:rFonts w:ascii="Arial" w:hAnsi="Arial" w:cs="Arial"/>
                <w:color w:val="000000"/>
                <w:sz w:val="16"/>
                <w:szCs w:val="18"/>
              </w:rPr>
            </w:pP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02655AB" w14:textId="77777777" w:rsidR="000A1F0D" w:rsidRPr="00701F32" w:rsidRDefault="000A1F0D" w:rsidP="005819B2">
            <w:pPr>
              <w:jc w:val="center"/>
              <w:rPr>
                <w:rFonts w:ascii="Arial" w:hAnsi="Arial" w:cs="Arial"/>
                <w:b/>
                <w:color w:val="000000"/>
                <w:sz w:val="16"/>
                <w:szCs w:val="16"/>
              </w:rPr>
            </w:pPr>
            <w:r w:rsidRPr="00701F32">
              <w:rPr>
                <w:rFonts w:ascii="Arial" w:hAnsi="Arial" w:cs="Arial"/>
                <w:b/>
                <w:color w:val="000000"/>
                <w:sz w:val="16"/>
                <w:szCs w:val="16"/>
              </w:rPr>
              <w:t>Saldos al 01/01/2017</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69B16646" w14:textId="77777777" w:rsidR="000A1F0D" w:rsidRPr="00701F32" w:rsidRDefault="000A1F0D" w:rsidP="005819B2">
            <w:pPr>
              <w:jc w:val="center"/>
              <w:rPr>
                <w:rFonts w:ascii="Arial" w:hAnsi="Arial" w:cs="Arial"/>
                <w:b/>
                <w:color w:val="000000"/>
                <w:sz w:val="16"/>
                <w:szCs w:val="16"/>
              </w:rPr>
            </w:pPr>
            <w:r w:rsidRPr="00701F32">
              <w:rPr>
                <w:rFonts w:ascii="Arial" w:hAnsi="Arial" w:cs="Arial"/>
                <w:b/>
                <w:color w:val="000000"/>
                <w:sz w:val="16"/>
                <w:szCs w:val="16"/>
              </w:rPr>
              <w:t>Incremento en ORI</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55AD6D83" w14:textId="77777777" w:rsidR="000A1F0D" w:rsidRPr="00701F32" w:rsidRDefault="000A1F0D" w:rsidP="005819B2">
            <w:pPr>
              <w:jc w:val="center"/>
              <w:rPr>
                <w:rFonts w:ascii="Arial" w:hAnsi="Arial" w:cs="Arial"/>
                <w:b/>
                <w:color w:val="000000"/>
                <w:sz w:val="16"/>
                <w:szCs w:val="16"/>
              </w:rPr>
            </w:pPr>
            <w:r w:rsidRPr="00701F32">
              <w:rPr>
                <w:rFonts w:ascii="Arial" w:hAnsi="Arial" w:cs="Arial"/>
                <w:b/>
                <w:color w:val="000000"/>
                <w:sz w:val="16"/>
                <w:szCs w:val="16"/>
              </w:rPr>
              <w:t>Saldo al  31/12/2017</w:t>
            </w:r>
          </w:p>
        </w:tc>
      </w:tr>
      <w:tr w:rsidR="00820928" w:rsidRPr="00701F32" w14:paraId="6B19DD40"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68798105"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Mercado Abierto Electrónico S.A.</w:t>
            </w:r>
          </w:p>
        </w:tc>
        <w:tc>
          <w:tcPr>
            <w:tcW w:w="1410" w:type="dxa"/>
            <w:tcBorders>
              <w:top w:val="nil"/>
              <w:left w:val="nil"/>
              <w:bottom w:val="single" w:sz="4" w:space="0" w:color="auto"/>
              <w:right w:val="single" w:sz="4" w:space="0" w:color="auto"/>
            </w:tcBorders>
            <w:shd w:val="clear" w:color="auto" w:fill="auto"/>
            <w:noWrap/>
            <w:vAlign w:val="center"/>
            <w:hideMark/>
          </w:tcPr>
          <w:p w14:paraId="18579454" w14:textId="77777777" w:rsidR="000C735B" w:rsidRPr="00701F32" w:rsidRDefault="000C735B" w:rsidP="000B2ED3">
            <w:pPr>
              <w:jc w:val="right"/>
              <w:rPr>
                <w:rFonts w:ascii="Arial" w:hAnsi="Arial" w:cs="Arial"/>
                <w:color w:val="000000"/>
                <w:sz w:val="16"/>
                <w:szCs w:val="16"/>
              </w:rPr>
            </w:pPr>
            <w:r w:rsidRPr="00701F32">
              <w:rPr>
                <w:rFonts w:ascii="Arial" w:hAnsi="Arial" w:cs="Arial"/>
                <w:color w:val="000000"/>
                <w:sz w:val="16"/>
                <w:szCs w:val="16"/>
              </w:rPr>
              <w:t xml:space="preserve">                     61 </w:t>
            </w:r>
          </w:p>
        </w:tc>
        <w:tc>
          <w:tcPr>
            <w:tcW w:w="1130" w:type="dxa"/>
            <w:tcBorders>
              <w:top w:val="nil"/>
              <w:left w:val="nil"/>
              <w:bottom w:val="single" w:sz="4" w:space="0" w:color="auto"/>
              <w:right w:val="single" w:sz="4" w:space="0" w:color="auto"/>
            </w:tcBorders>
            <w:shd w:val="clear" w:color="auto" w:fill="auto"/>
            <w:noWrap/>
            <w:vAlign w:val="center"/>
            <w:hideMark/>
          </w:tcPr>
          <w:p w14:paraId="72E2297D" w14:textId="77777777" w:rsidR="000C735B" w:rsidRPr="00701F32" w:rsidRDefault="000C735B" w:rsidP="000B2ED3">
            <w:pPr>
              <w:jc w:val="right"/>
              <w:rPr>
                <w:rFonts w:ascii="Arial" w:hAnsi="Arial" w:cs="Arial"/>
                <w:color w:val="000000"/>
                <w:sz w:val="16"/>
                <w:szCs w:val="16"/>
              </w:rPr>
            </w:pPr>
            <w:r w:rsidRPr="00701F32">
              <w:rPr>
                <w:rFonts w:ascii="Arial" w:hAnsi="Arial" w:cs="Arial"/>
                <w:color w:val="000000"/>
                <w:sz w:val="16"/>
                <w:szCs w:val="16"/>
              </w:rPr>
              <w:t xml:space="preserve">             4.549 </w:t>
            </w:r>
          </w:p>
        </w:tc>
        <w:tc>
          <w:tcPr>
            <w:tcW w:w="1101" w:type="dxa"/>
            <w:tcBorders>
              <w:top w:val="nil"/>
              <w:left w:val="nil"/>
              <w:bottom w:val="single" w:sz="4" w:space="0" w:color="auto"/>
              <w:right w:val="single" w:sz="4" w:space="0" w:color="auto"/>
            </w:tcBorders>
            <w:shd w:val="clear" w:color="auto" w:fill="auto"/>
            <w:noWrap/>
            <w:vAlign w:val="center"/>
            <w:hideMark/>
          </w:tcPr>
          <w:p w14:paraId="695E8B7B" w14:textId="77777777" w:rsidR="000C735B" w:rsidRPr="00701F32" w:rsidRDefault="000C735B" w:rsidP="000B2ED3">
            <w:pPr>
              <w:jc w:val="right"/>
              <w:rPr>
                <w:rFonts w:ascii="Arial" w:hAnsi="Arial" w:cs="Arial"/>
                <w:color w:val="000000"/>
                <w:sz w:val="16"/>
                <w:szCs w:val="16"/>
              </w:rPr>
            </w:pPr>
            <w:r w:rsidRPr="00701F32">
              <w:rPr>
                <w:rFonts w:ascii="Arial" w:hAnsi="Arial" w:cs="Arial"/>
                <w:color w:val="000000"/>
                <w:sz w:val="16"/>
                <w:szCs w:val="16"/>
              </w:rPr>
              <w:t xml:space="preserve">            4.610 </w:t>
            </w:r>
          </w:p>
        </w:tc>
      </w:tr>
      <w:tr w:rsidR="00820928" w:rsidRPr="00701F32" w14:paraId="19ABDEEE"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5A49CBD9"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Seguro de Depósitos S.A</w:t>
            </w:r>
          </w:p>
        </w:tc>
        <w:tc>
          <w:tcPr>
            <w:tcW w:w="1410" w:type="dxa"/>
            <w:tcBorders>
              <w:top w:val="nil"/>
              <w:left w:val="nil"/>
              <w:bottom w:val="single" w:sz="4" w:space="0" w:color="auto"/>
              <w:right w:val="single" w:sz="4" w:space="0" w:color="auto"/>
            </w:tcBorders>
            <w:shd w:val="clear" w:color="auto" w:fill="auto"/>
            <w:noWrap/>
            <w:vAlign w:val="center"/>
            <w:hideMark/>
          </w:tcPr>
          <w:p w14:paraId="5C1E1760"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39 </w:t>
            </w:r>
          </w:p>
        </w:tc>
        <w:tc>
          <w:tcPr>
            <w:tcW w:w="1130" w:type="dxa"/>
            <w:tcBorders>
              <w:top w:val="nil"/>
              <w:left w:val="nil"/>
              <w:bottom w:val="single" w:sz="4" w:space="0" w:color="auto"/>
              <w:right w:val="single" w:sz="4" w:space="0" w:color="auto"/>
            </w:tcBorders>
            <w:shd w:val="clear" w:color="auto" w:fill="auto"/>
            <w:noWrap/>
            <w:vAlign w:val="center"/>
            <w:hideMark/>
          </w:tcPr>
          <w:p w14:paraId="0973AC06"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1.575 </w:t>
            </w:r>
          </w:p>
        </w:tc>
        <w:tc>
          <w:tcPr>
            <w:tcW w:w="1101" w:type="dxa"/>
            <w:tcBorders>
              <w:top w:val="nil"/>
              <w:left w:val="nil"/>
              <w:bottom w:val="single" w:sz="4" w:space="0" w:color="auto"/>
              <w:right w:val="single" w:sz="4" w:space="0" w:color="auto"/>
            </w:tcBorders>
            <w:shd w:val="clear" w:color="auto" w:fill="auto"/>
            <w:noWrap/>
            <w:vAlign w:val="center"/>
            <w:hideMark/>
          </w:tcPr>
          <w:p w14:paraId="359B161B"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1.614 </w:t>
            </w:r>
          </w:p>
        </w:tc>
      </w:tr>
      <w:tr w:rsidR="00820928" w:rsidRPr="00701F32" w14:paraId="48E1FA5C"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7194111F"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Compensador Electrónica S.A.</w:t>
            </w:r>
          </w:p>
        </w:tc>
        <w:tc>
          <w:tcPr>
            <w:tcW w:w="1410" w:type="dxa"/>
            <w:tcBorders>
              <w:top w:val="nil"/>
              <w:left w:val="nil"/>
              <w:bottom w:val="single" w:sz="4" w:space="0" w:color="auto"/>
              <w:right w:val="single" w:sz="4" w:space="0" w:color="auto"/>
            </w:tcBorders>
            <w:shd w:val="clear" w:color="auto" w:fill="auto"/>
            <w:noWrap/>
            <w:vAlign w:val="center"/>
            <w:hideMark/>
          </w:tcPr>
          <w:p w14:paraId="5861C919"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54 </w:t>
            </w:r>
          </w:p>
        </w:tc>
        <w:tc>
          <w:tcPr>
            <w:tcW w:w="1130" w:type="dxa"/>
            <w:tcBorders>
              <w:top w:val="nil"/>
              <w:left w:val="nil"/>
              <w:bottom w:val="single" w:sz="4" w:space="0" w:color="auto"/>
              <w:right w:val="single" w:sz="4" w:space="0" w:color="auto"/>
            </w:tcBorders>
            <w:shd w:val="clear" w:color="auto" w:fill="auto"/>
            <w:noWrap/>
            <w:vAlign w:val="center"/>
            <w:hideMark/>
          </w:tcPr>
          <w:p w14:paraId="3A6CA138"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865 </w:t>
            </w:r>
          </w:p>
        </w:tc>
        <w:tc>
          <w:tcPr>
            <w:tcW w:w="1101" w:type="dxa"/>
            <w:tcBorders>
              <w:top w:val="nil"/>
              <w:left w:val="nil"/>
              <w:bottom w:val="single" w:sz="4" w:space="0" w:color="auto"/>
              <w:right w:val="single" w:sz="4" w:space="0" w:color="auto"/>
            </w:tcBorders>
            <w:shd w:val="clear" w:color="auto" w:fill="auto"/>
            <w:noWrap/>
            <w:vAlign w:val="center"/>
            <w:hideMark/>
          </w:tcPr>
          <w:p w14:paraId="7471B2B7"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919 </w:t>
            </w:r>
          </w:p>
        </w:tc>
      </w:tr>
      <w:tr w:rsidR="00820928" w:rsidRPr="00701F32" w14:paraId="58EA659F"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204E7A35"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Provincanje S.A.</w:t>
            </w:r>
          </w:p>
        </w:tc>
        <w:tc>
          <w:tcPr>
            <w:tcW w:w="1410" w:type="dxa"/>
            <w:tcBorders>
              <w:top w:val="nil"/>
              <w:left w:val="nil"/>
              <w:bottom w:val="single" w:sz="4" w:space="0" w:color="auto"/>
              <w:right w:val="single" w:sz="4" w:space="0" w:color="auto"/>
            </w:tcBorders>
            <w:shd w:val="clear" w:color="auto" w:fill="auto"/>
            <w:noWrap/>
            <w:vAlign w:val="center"/>
            <w:hideMark/>
          </w:tcPr>
          <w:p w14:paraId="7DB31479"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504 </w:t>
            </w:r>
          </w:p>
        </w:tc>
        <w:tc>
          <w:tcPr>
            <w:tcW w:w="1130" w:type="dxa"/>
            <w:tcBorders>
              <w:top w:val="nil"/>
              <w:left w:val="nil"/>
              <w:bottom w:val="single" w:sz="4" w:space="0" w:color="auto"/>
              <w:right w:val="single" w:sz="4" w:space="0" w:color="auto"/>
            </w:tcBorders>
            <w:shd w:val="clear" w:color="auto" w:fill="auto"/>
            <w:noWrap/>
            <w:vAlign w:val="center"/>
            <w:hideMark/>
          </w:tcPr>
          <w:p w14:paraId="5A256243"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-232 </w:t>
            </w:r>
          </w:p>
        </w:tc>
        <w:tc>
          <w:tcPr>
            <w:tcW w:w="1101" w:type="dxa"/>
            <w:tcBorders>
              <w:top w:val="nil"/>
              <w:left w:val="nil"/>
              <w:bottom w:val="single" w:sz="4" w:space="0" w:color="auto"/>
              <w:right w:val="single" w:sz="4" w:space="0" w:color="auto"/>
            </w:tcBorders>
            <w:shd w:val="clear" w:color="auto" w:fill="auto"/>
            <w:noWrap/>
            <w:vAlign w:val="center"/>
            <w:hideMark/>
          </w:tcPr>
          <w:p w14:paraId="67378B5D"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w:t>
            </w:r>
            <w:r w:rsidR="00D952A7" w:rsidRPr="00701F32">
              <w:rPr>
                <w:rFonts w:ascii="Arial" w:hAnsi="Arial" w:cs="Arial"/>
                <w:color w:val="000000"/>
                <w:sz w:val="16"/>
                <w:szCs w:val="16"/>
              </w:rPr>
              <w:t xml:space="preserve">272 </w:t>
            </w:r>
          </w:p>
        </w:tc>
      </w:tr>
      <w:tr w:rsidR="00820928" w:rsidRPr="00701F32" w14:paraId="2AEDD613"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334961C0"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Cuyo Aval Sociedad de Garantía Recíproca</w:t>
            </w:r>
          </w:p>
        </w:tc>
        <w:tc>
          <w:tcPr>
            <w:tcW w:w="1410" w:type="dxa"/>
            <w:tcBorders>
              <w:top w:val="nil"/>
              <w:left w:val="nil"/>
              <w:bottom w:val="single" w:sz="4" w:space="0" w:color="auto"/>
              <w:right w:val="single" w:sz="4" w:space="0" w:color="auto"/>
            </w:tcBorders>
            <w:shd w:val="clear" w:color="auto" w:fill="auto"/>
            <w:noWrap/>
            <w:vAlign w:val="center"/>
            <w:hideMark/>
          </w:tcPr>
          <w:p w14:paraId="2137C630"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10 </w:t>
            </w:r>
          </w:p>
        </w:tc>
        <w:tc>
          <w:tcPr>
            <w:tcW w:w="1130" w:type="dxa"/>
            <w:tcBorders>
              <w:top w:val="nil"/>
              <w:left w:val="nil"/>
              <w:bottom w:val="single" w:sz="4" w:space="0" w:color="auto"/>
              <w:right w:val="single" w:sz="4" w:space="0" w:color="auto"/>
            </w:tcBorders>
            <w:shd w:val="clear" w:color="auto" w:fill="auto"/>
            <w:noWrap/>
            <w:vAlign w:val="center"/>
            <w:hideMark/>
          </w:tcPr>
          <w:p w14:paraId="73BAE531"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212 </w:t>
            </w:r>
          </w:p>
        </w:tc>
        <w:tc>
          <w:tcPr>
            <w:tcW w:w="1101" w:type="dxa"/>
            <w:tcBorders>
              <w:top w:val="nil"/>
              <w:left w:val="nil"/>
              <w:bottom w:val="single" w:sz="4" w:space="0" w:color="auto"/>
              <w:right w:val="single" w:sz="4" w:space="0" w:color="auto"/>
            </w:tcBorders>
            <w:shd w:val="clear" w:color="auto" w:fill="auto"/>
            <w:noWrap/>
            <w:vAlign w:val="center"/>
            <w:hideMark/>
          </w:tcPr>
          <w:p w14:paraId="63F78D1F"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222 </w:t>
            </w:r>
          </w:p>
        </w:tc>
      </w:tr>
      <w:tr w:rsidR="00820928" w:rsidRPr="00701F32" w14:paraId="0BCED3DE"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013A5B64"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Argencontrol S.A.</w:t>
            </w:r>
          </w:p>
        </w:tc>
        <w:tc>
          <w:tcPr>
            <w:tcW w:w="1410" w:type="dxa"/>
            <w:tcBorders>
              <w:top w:val="nil"/>
              <w:left w:val="nil"/>
              <w:bottom w:val="single" w:sz="4" w:space="0" w:color="auto"/>
              <w:right w:val="single" w:sz="4" w:space="0" w:color="auto"/>
            </w:tcBorders>
            <w:shd w:val="clear" w:color="auto" w:fill="auto"/>
            <w:noWrap/>
            <w:vAlign w:val="center"/>
            <w:hideMark/>
          </w:tcPr>
          <w:p w14:paraId="36D0BF8E"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25 </w:t>
            </w:r>
          </w:p>
        </w:tc>
        <w:tc>
          <w:tcPr>
            <w:tcW w:w="1130" w:type="dxa"/>
            <w:tcBorders>
              <w:top w:val="nil"/>
              <w:left w:val="nil"/>
              <w:bottom w:val="single" w:sz="4" w:space="0" w:color="auto"/>
              <w:right w:val="single" w:sz="4" w:space="0" w:color="auto"/>
            </w:tcBorders>
            <w:shd w:val="clear" w:color="auto" w:fill="auto"/>
            <w:noWrap/>
            <w:vAlign w:val="center"/>
            <w:hideMark/>
          </w:tcPr>
          <w:p w14:paraId="01517538"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100 </w:t>
            </w:r>
          </w:p>
        </w:tc>
        <w:tc>
          <w:tcPr>
            <w:tcW w:w="1101" w:type="dxa"/>
            <w:tcBorders>
              <w:top w:val="nil"/>
              <w:left w:val="nil"/>
              <w:bottom w:val="single" w:sz="4" w:space="0" w:color="auto"/>
              <w:right w:val="single" w:sz="4" w:space="0" w:color="auto"/>
            </w:tcBorders>
            <w:shd w:val="clear" w:color="auto" w:fill="auto"/>
            <w:noWrap/>
            <w:vAlign w:val="center"/>
            <w:hideMark/>
          </w:tcPr>
          <w:p w14:paraId="2D0AA0FD"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125 </w:t>
            </w:r>
          </w:p>
        </w:tc>
      </w:tr>
      <w:tr w:rsidR="00820928" w:rsidRPr="00701F32" w14:paraId="4C6788C4"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18A2B558"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Los Grobo Sociedad de Garantía Recíproca</w:t>
            </w:r>
          </w:p>
        </w:tc>
        <w:tc>
          <w:tcPr>
            <w:tcW w:w="1410" w:type="dxa"/>
            <w:tcBorders>
              <w:top w:val="nil"/>
              <w:left w:val="nil"/>
              <w:bottom w:val="single" w:sz="4" w:space="0" w:color="auto"/>
              <w:right w:val="single" w:sz="4" w:space="0" w:color="auto"/>
            </w:tcBorders>
            <w:shd w:val="clear" w:color="auto" w:fill="auto"/>
            <w:noWrap/>
            <w:vAlign w:val="center"/>
            <w:hideMark/>
          </w:tcPr>
          <w:p w14:paraId="3513A9F4"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   </w:t>
            </w:r>
          </w:p>
        </w:tc>
        <w:tc>
          <w:tcPr>
            <w:tcW w:w="1130" w:type="dxa"/>
            <w:tcBorders>
              <w:top w:val="nil"/>
              <w:left w:val="nil"/>
              <w:bottom w:val="single" w:sz="4" w:space="0" w:color="auto"/>
              <w:right w:val="single" w:sz="4" w:space="0" w:color="auto"/>
            </w:tcBorders>
            <w:shd w:val="clear" w:color="auto" w:fill="auto"/>
            <w:noWrap/>
            <w:vAlign w:val="center"/>
            <w:hideMark/>
          </w:tcPr>
          <w:p w14:paraId="4E6BC194"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68 </w:t>
            </w:r>
          </w:p>
        </w:tc>
        <w:tc>
          <w:tcPr>
            <w:tcW w:w="1101" w:type="dxa"/>
            <w:tcBorders>
              <w:top w:val="nil"/>
              <w:left w:val="nil"/>
              <w:bottom w:val="single" w:sz="4" w:space="0" w:color="auto"/>
              <w:right w:val="single" w:sz="4" w:space="0" w:color="auto"/>
            </w:tcBorders>
            <w:shd w:val="clear" w:color="auto" w:fill="auto"/>
            <w:noWrap/>
            <w:vAlign w:val="center"/>
            <w:hideMark/>
          </w:tcPr>
          <w:p w14:paraId="16EE3B59"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68 </w:t>
            </w:r>
          </w:p>
        </w:tc>
      </w:tr>
      <w:tr w:rsidR="00820928" w:rsidRPr="00701F32" w14:paraId="7EA67BB6"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3AF6B353"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IEBA S.A.</w:t>
            </w:r>
          </w:p>
        </w:tc>
        <w:tc>
          <w:tcPr>
            <w:tcW w:w="1410" w:type="dxa"/>
            <w:tcBorders>
              <w:top w:val="nil"/>
              <w:left w:val="nil"/>
              <w:bottom w:val="single" w:sz="4" w:space="0" w:color="auto"/>
              <w:right w:val="single" w:sz="4" w:space="0" w:color="auto"/>
            </w:tcBorders>
            <w:shd w:val="clear" w:color="auto" w:fill="auto"/>
            <w:noWrap/>
            <w:vAlign w:val="center"/>
            <w:hideMark/>
          </w:tcPr>
          <w:p w14:paraId="254A551D"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   </w:t>
            </w:r>
          </w:p>
        </w:tc>
        <w:tc>
          <w:tcPr>
            <w:tcW w:w="1130" w:type="dxa"/>
            <w:tcBorders>
              <w:top w:val="nil"/>
              <w:left w:val="nil"/>
              <w:bottom w:val="single" w:sz="4" w:space="0" w:color="auto"/>
              <w:right w:val="single" w:sz="4" w:space="0" w:color="auto"/>
            </w:tcBorders>
            <w:shd w:val="clear" w:color="auto" w:fill="auto"/>
            <w:noWrap/>
            <w:vAlign w:val="center"/>
            <w:hideMark/>
          </w:tcPr>
          <w:p w14:paraId="2FB00AD5"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61 </w:t>
            </w:r>
          </w:p>
        </w:tc>
        <w:tc>
          <w:tcPr>
            <w:tcW w:w="1101" w:type="dxa"/>
            <w:tcBorders>
              <w:top w:val="nil"/>
              <w:left w:val="nil"/>
              <w:bottom w:val="single" w:sz="4" w:space="0" w:color="auto"/>
              <w:right w:val="single" w:sz="4" w:space="0" w:color="auto"/>
            </w:tcBorders>
            <w:shd w:val="clear" w:color="auto" w:fill="auto"/>
            <w:noWrap/>
            <w:vAlign w:val="center"/>
            <w:hideMark/>
          </w:tcPr>
          <w:p w14:paraId="0F9C6A4B"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61 </w:t>
            </w:r>
          </w:p>
        </w:tc>
      </w:tr>
      <w:tr w:rsidR="00820928" w:rsidRPr="00701F32" w14:paraId="42FA0374"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53E4E55C" w14:textId="77777777" w:rsidR="000C735B" w:rsidRPr="00701F32" w:rsidRDefault="000C735B" w:rsidP="000B2ED3">
            <w:pPr>
              <w:jc w:val="both"/>
              <w:rPr>
                <w:rFonts w:ascii="Arial" w:hAnsi="Arial" w:cs="Arial"/>
                <w:color w:val="000000"/>
                <w:sz w:val="16"/>
                <w:szCs w:val="18"/>
              </w:rPr>
            </w:pPr>
            <w:r w:rsidRPr="00701F32">
              <w:rPr>
                <w:rFonts w:ascii="Arial" w:hAnsi="Arial" w:cs="Arial"/>
                <w:color w:val="000000"/>
                <w:sz w:val="16"/>
                <w:szCs w:val="18"/>
              </w:rPr>
              <w:t>Otras Sociedades de Garantía Recíproca</w:t>
            </w:r>
          </w:p>
        </w:tc>
        <w:tc>
          <w:tcPr>
            <w:tcW w:w="1410" w:type="dxa"/>
            <w:tcBorders>
              <w:top w:val="nil"/>
              <w:left w:val="nil"/>
              <w:bottom w:val="single" w:sz="4" w:space="0" w:color="auto"/>
              <w:right w:val="single" w:sz="4" w:space="0" w:color="auto"/>
            </w:tcBorders>
            <w:shd w:val="clear" w:color="auto" w:fill="auto"/>
            <w:noWrap/>
            <w:vAlign w:val="center"/>
            <w:hideMark/>
          </w:tcPr>
          <w:p w14:paraId="0F3FD829"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42 </w:t>
            </w:r>
          </w:p>
        </w:tc>
        <w:tc>
          <w:tcPr>
            <w:tcW w:w="1130" w:type="dxa"/>
            <w:tcBorders>
              <w:top w:val="nil"/>
              <w:left w:val="nil"/>
              <w:bottom w:val="single" w:sz="4" w:space="0" w:color="auto"/>
              <w:right w:val="single" w:sz="4" w:space="0" w:color="auto"/>
            </w:tcBorders>
            <w:shd w:val="clear" w:color="auto" w:fill="auto"/>
            <w:noWrap/>
            <w:vAlign w:val="center"/>
            <w:hideMark/>
          </w:tcPr>
          <w:p w14:paraId="1F54594A"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-14 </w:t>
            </w:r>
          </w:p>
        </w:tc>
        <w:tc>
          <w:tcPr>
            <w:tcW w:w="1101" w:type="dxa"/>
            <w:tcBorders>
              <w:top w:val="nil"/>
              <w:left w:val="nil"/>
              <w:bottom w:val="single" w:sz="4" w:space="0" w:color="auto"/>
              <w:right w:val="single" w:sz="4" w:space="0" w:color="auto"/>
            </w:tcBorders>
            <w:shd w:val="clear" w:color="auto" w:fill="auto"/>
            <w:noWrap/>
            <w:vAlign w:val="center"/>
            <w:hideMark/>
          </w:tcPr>
          <w:p w14:paraId="01F22ECC" w14:textId="77777777" w:rsidR="000C735B" w:rsidRPr="00701F32" w:rsidRDefault="000C735B">
            <w:pPr>
              <w:jc w:val="right"/>
              <w:rPr>
                <w:rFonts w:ascii="Arial" w:hAnsi="Arial" w:cs="Arial"/>
                <w:color w:val="000000"/>
                <w:sz w:val="16"/>
                <w:szCs w:val="16"/>
              </w:rPr>
            </w:pPr>
            <w:r w:rsidRPr="00701F32">
              <w:rPr>
                <w:rFonts w:ascii="Arial" w:hAnsi="Arial" w:cs="Arial"/>
                <w:color w:val="000000"/>
                <w:sz w:val="16"/>
                <w:szCs w:val="16"/>
              </w:rPr>
              <w:t xml:space="preserve">                 28 </w:t>
            </w:r>
          </w:p>
        </w:tc>
      </w:tr>
      <w:tr w:rsidR="00820928" w:rsidRPr="00701F32" w14:paraId="2FF5A64C" w14:textId="77777777" w:rsidTr="005819B2">
        <w:trPr>
          <w:trHeight w:val="235"/>
          <w:jc w:val="center"/>
        </w:trPr>
        <w:tc>
          <w:tcPr>
            <w:tcW w:w="3464" w:type="dxa"/>
            <w:tcBorders>
              <w:top w:val="nil"/>
              <w:left w:val="single" w:sz="4" w:space="0" w:color="auto"/>
              <w:bottom w:val="single" w:sz="4" w:space="0" w:color="auto"/>
              <w:right w:val="single" w:sz="4" w:space="0" w:color="auto"/>
            </w:tcBorders>
            <w:shd w:val="clear" w:color="auto" w:fill="auto"/>
            <w:noWrap/>
            <w:vAlign w:val="center"/>
            <w:hideMark/>
          </w:tcPr>
          <w:p w14:paraId="0C634D97" w14:textId="77777777" w:rsidR="000C735B" w:rsidRPr="00701F32" w:rsidRDefault="000C735B" w:rsidP="000B2ED3">
            <w:pPr>
              <w:jc w:val="both"/>
              <w:rPr>
                <w:rFonts w:ascii="Arial" w:hAnsi="Arial" w:cs="Arial"/>
                <w:b/>
                <w:bCs/>
                <w:color w:val="000000"/>
                <w:sz w:val="16"/>
                <w:szCs w:val="16"/>
              </w:rPr>
            </w:pPr>
            <w:r w:rsidRPr="00701F32">
              <w:rPr>
                <w:rFonts w:ascii="Arial" w:hAnsi="Arial" w:cs="Arial"/>
                <w:b/>
                <w:bCs/>
                <w:color w:val="000000"/>
                <w:sz w:val="16"/>
                <w:szCs w:val="16"/>
              </w:rPr>
              <w:t>Total</w:t>
            </w:r>
          </w:p>
        </w:tc>
        <w:tc>
          <w:tcPr>
            <w:tcW w:w="1410" w:type="dxa"/>
            <w:tcBorders>
              <w:top w:val="nil"/>
              <w:left w:val="nil"/>
              <w:bottom w:val="single" w:sz="4" w:space="0" w:color="auto"/>
              <w:right w:val="single" w:sz="4" w:space="0" w:color="auto"/>
            </w:tcBorders>
            <w:shd w:val="clear" w:color="auto" w:fill="auto"/>
            <w:noWrap/>
            <w:vAlign w:val="center"/>
            <w:hideMark/>
          </w:tcPr>
          <w:p w14:paraId="58A4592B" w14:textId="77777777" w:rsidR="000C735B" w:rsidRPr="00701F32" w:rsidRDefault="000C735B">
            <w:pPr>
              <w:jc w:val="right"/>
              <w:rPr>
                <w:rFonts w:ascii="Arial" w:hAnsi="Arial" w:cs="Arial"/>
                <w:b/>
                <w:bCs/>
                <w:color w:val="000000"/>
                <w:sz w:val="16"/>
                <w:szCs w:val="16"/>
              </w:rPr>
            </w:pPr>
            <w:r w:rsidRPr="00701F32">
              <w:rPr>
                <w:rFonts w:ascii="Arial" w:hAnsi="Arial" w:cs="Arial"/>
                <w:b/>
                <w:bCs/>
                <w:color w:val="000000"/>
                <w:sz w:val="16"/>
                <w:szCs w:val="16"/>
              </w:rPr>
              <w:t xml:space="preserve">                 </w:t>
            </w:r>
            <w:r w:rsidR="00D952A7" w:rsidRPr="00701F32">
              <w:rPr>
                <w:rFonts w:ascii="Arial" w:hAnsi="Arial" w:cs="Arial"/>
                <w:b/>
                <w:bCs/>
                <w:color w:val="000000"/>
                <w:sz w:val="16"/>
                <w:szCs w:val="16"/>
              </w:rPr>
              <w:t xml:space="preserve">735 </w:t>
            </w:r>
          </w:p>
        </w:tc>
        <w:tc>
          <w:tcPr>
            <w:tcW w:w="1130" w:type="dxa"/>
            <w:tcBorders>
              <w:top w:val="nil"/>
              <w:left w:val="nil"/>
              <w:bottom w:val="single" w:sz="4" w:space="0" w:color="auto"/>
              <w:right w:val="single" w:sz="4" w:space="0" w:color="auto"/>
            </w:tcBorders>
            <w:shd w:val="clear" w:color="auto" w:fill="auto"/>
            <w:noWrap/>
            <w:vAlign w:val="center"/>
            <w:hideMark/>
          </w:tcPr>
          <w:p w14:paraId="33FDB31E" w14:textId="77777777" w:rsidR="000C735B" w:rsidRPr="00701F32" w:rsidRDefault="000C735B">
            <w:pPr>
              <w:jc w:val="right"/>
              <w:rPr>
                <w:rFonts w:ascii="Arial" w:hAnsi="Arial" w:cs="Arial"/>
                <w:b/>
                <w:bCs/>
                <w:color w:val="000000"/>
                <w:sz w:val="16"/>
                <w:szCs w:val="16"/>
              </w:rPr>
            </w:pPr>
            <w:r w:rsidRPr="00701F32">
              <w:rPr>
                <w:rFonts w:ascii="Arial" w:hAnsi="Arial" w:cs="Arial"/>
                <w:b/>
                <w:bCs/>
                <w:color w:val="000000"/>
                <w:sz w:val="16"/>
                <w:szCs w:val="16"/>
              </w:rPr>
              <w:t>7.184</w:t>
            </w:r>
          </w:p>
        </w:tc>
        <w:tc>
          <w:tcPr>
            <w:tcW w:w="1101" w:type="dxa"/>
            <w:tcBorders>
              <w:top w:val="nil"/>
              <w:left w:val="nil"/>
              <w:bottom w:val="single" w:sz="4" w:space="0" w:color="auto"/>
              <w:right w:val="single" w:sz="4" w:space="0" w:color="auto"/>
            </w:tcBorders>
            <w:shd w:val="clear" w:color="auto" w:fill="auto"/>
            <w:noWrap/>
            <w:vAlign w:val="center"/>
            <w:hideMark/>
          </w:tcPr>
          <w:p w14:paraId="26CD6057" w14:textId="77777777" w:rsidR="000C735B" w:rsidRPr="00701F32" w:rsidRDefault="000C735B">
            <w:pPr>
              <w:jc w:val="right"/>
              <w:rPr>
                <w:rFonts w:ascii="Arial" w:hAnsi="Arial" w:cs="Arial"/>
                <w:b/>
                <w:bCs/>
                <w:color w:val="000000"/>
                <w:sz w:val="16"/>
                <w:szCs w:val="16"/>
              </w:rPr>
            </w:pPr>
            <w:r w:rsidRPr="00701F32">
              <w:rPr>
                <w:rFonts w:ascii="Arial" w:hAnsi="Arial" w:cs="Arial"/>
                <w:b/>
                <w:bCs/>
                <w:color w:val="000000"/>
                <w:sz w:val="16"/>
                <w:szCs w:val="16"/>
              </w:rPr>
              <w:t xml:space="preserve">            7.</w:t>
            </w:r>
            <w:r w:rsidR="00D952A7" w:rsidRPr="00701F32">
              <w:rPr>
                <w:rFonts w:ascii="Arial" w:hAnsi="Arial" w:cs="Arial"/>
                <w:b/>
                <w:bCs/>
                <w:color w:val="000000"/>
                <w:sz w:val="16"/>
                <w:szCs w:val="16"/>
              </w:rPr>
              <w:t xml:space="preserve">919 </w:t>
            </w:r>
          </w:p>
        </w:tc>
      </w:tr>
    </w:tbl>
    <w:p w14:paraId="7DF99064" w14:textId="77777777" w:rsidR="00656E62" w:rsidRPr="00701F32" w:rsidRDefault="00656E62" w:rsidP="00656E62">
      <w:pPr>
        <w:spacing w:after="160" w:line="259" w:lineRule="auto"/>
        <w:jc w:val="both"/>
        <w:rPr>
          <w:rFonts w:ascii="Arial" w:eastAsia="Calibri" w:hAnsi="Arial" w:cs="Arial"/>
          <w:b/>
          <w:sz w:val="20"/>
        </w:rPr>
      </w:pPr>
    </w:p>
    <w:p w14:paraId="6A2543E9" w14:textId="77777777" w:rsidR="00656E62" w:rsidRPr="00701F32" w:rsidRDefault="00D57127" w:rsidP="00656E62">
      <w:pPr>
        <w:spacing w:after="160" w:line="259" w:lineRule="auto"/>
        <w:jc w:val="both"/>
        <w:rPr>
          <w:rFonts w:ascii="Arial" w:eastAsia="Calibri" w:hAnsi="Arial" w:cs="Arial"/>
          <w:b/>
          <w:sz w:val="20"/>
        </w:rPr>
      </w:pPr>
      <w:r w:rsidRPr="00701F32">
        <w:rPr>
          <w:rFonts w:ascii="Arial" w:eastAsia="Calibri" w:hAnsi="Arial" w:cs="Arial"/>
          <w:b/>
          <w:sz w:val="20"/>
        </w:rPr>
        <w:t>17</w:t>
      </w:r>
      <w:r w:rsidR="00656E62" w:rsidRPr="00701F32">
        <w:rPr>
          <w:rFonts w:ascii="Arial" w:eastAsia="Calibri" w:hAnsi="Arial" w:cs="Arial"/>
          <w:b/>
          <w:sz w:val="20"/>
        </w:rPr>
        <w:t>.</w:t>
      </w:r>
      <w:r w:rsidR="00AD4A7A" w:rsidRPr="00701F32">
        <w:rPr>
          <w:rFonts w:ascii="Arial" w:eastAsia="Calibri" w:hAnsi="Arial" w:cs="Arial"/>
          <w:b/>
          <w:sz w:val="20"/>
        </w:rPr>
        <w:t>7</w:t>
      </w:r>
      <w:r w:rsidR="00656E62" w:rsidRPr="00701F32">
        <w:rPr>
          <w:rFonts w:ascii="Arial" w:eastAsia="Calibri" w:hAnsi="Arial" w:cs="Arial"/>
          <w:b/>
          <w:sz w:val="20"/>
        </w:rPr>
        <w:t xml:space="preserve"> Propiedad, planta  y equipo</w:t>
      </w:r>
    </w:p>
    <w:p w14:paraId="32AB3DF4"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propiedad, planta y equipo para </w:t>
      </w:r>
      <w:r w:rsidR="001C6C95" w:rsidRPr="00701F32">
        <w:rPr>
          <w:rFonts w:ascii="Arial" w:eastAsia="Calibri" w:hAnsi="Arial" w:cs="Arial"/>
          <w:sz w:val="20"/>
        </w:rPr>
        <w:t>el ejercicio</w:t>
      </w:r>
      <w:r w:rsidRPr="00701F32">
        <w:rPr>
          <w:rFonts w:ascii="Arial" w:eastAsia="Calibri" w:hAnsi="Arial" w:cs="Arial"/>
          <w:sz w:val="20"/>
        </w:rPr>
        <w:t xml:space="preserve"> finalizado el 31 de diciembre 2017 fueron los siguientes</w:t>
      </w:r>
    </w:p>
    <w:p w14:paraId="6E747A3A" w14:textId="77777777" w:rsidR="008D7C41" w:rsidRPr="00701F32" w:rsidRDefault="008D7C41" w:rsidP="005819B2">
      <w:pPr>
        <w:spacing w:after="160" w:line="259" w:lineRule="auto"/>
        <w:ind w:left="-1276"/>
        <w:jc w:val="center"/>
        <w:rPr>
          <w:rFonts w:ascii="Arial" w:eastAsia="Calibri" w:hAnsi="Arial" w:cs="Arial"/>
          <w:sz w:val="20"/>
        </w:rPr>
      </w:pPr>
      <w:r w:rsidRPr="00701F32">
        <w:rPr>
          <w:rFonts w:eastAsia="Calibri"/>
          <w:noProof/>
          <w:lang w:eastAsia="es-AR"/>
        </w:rPr>
        <w:drawing>
          <wp:inline distT="0" distB="0" distL="0" distR="0" wp14:anchorId="3CC6C8CE" wp14:editId="31125F67">
            <wp:extent cx="6678778" cy="2324396"/>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25542" cy="2340671"/>
                    </a:xfrm>
                    <a:prstGeom prst="rect">
                      <a:avLst/>
                    </a:prstGeom>
                    <a:noFill/>
                    <a:ln>
                      <a:noFill/>
                    </a:ln>
                  </pic:spPr>
                </pic:pic>
              </a:graphicData>
            </a:graphic>
          </wp:inline>
        </w:drawing>
      </w:r>
    </w:p>
    <w:p w14:paraId="77A4FC15" w14:textId="77777777" w:rsidR="00F4204E" w:rsidRPr="00701F32" w:rsidRDefault="00F4204E" w:rsidP="00656E62">
      <w:pPr>
        <w:spacing w:after="160" w:line="259" w:lineRule="auto"/>
        <w:jc w:val="both"/>
        <w:rPr>
          <w:rFonts w:ascii="Arial" w:eastAsia="Calibri" w:hAnsi="Arial" w:cs="Arial"/>
          <w:sz w:val="20"/>
        </w:rPr>
      </w:pPr>
    </w:p>
    <w:p w14:paraId="6551C25E"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Calibri" w:hAnsi="Arial" w:cs="Arial"/>
          <w:b/>
          <w:sz w:val="20"/>
        </w:rPr>
        <w:t xml:space="preserve">Información adicional al 31 de </w:t>
      </w:r>
      <w:r w:rsidR="00D35F15" w:rsidRPr="00701F32">
        <w:rPr>
          <w:rFonts w:ascii="Arial" w:eastAsia="Calibri" w:hAnsi="Arial" w:cs="Arial"/>
          <w:b/>
          <w:sz w:val="20"/>
        </w:rPr>
        <w:t xml:space="preserve">diciembre </w:t>
      </w:r>
      <w:r w:rsidRPr="00701F32">
        <w:rPr>
          <w:rFonts w:ascii="Arial" w:eastAsia="Calibri" w:hAnsi="Arial" w:cs="Arial"/>
          <w:b/>
          <w:sz w:val="20"/>
        </w:rPr>
        <w:t>de 2017</w:t>
      </w:r>
    </w:p>
    <w:tbl>
      <w:tblPr>
        <w:tblStyle w:val="GridTable1Light1"/>
        <w:tblW w:w="0" w:type="auto"/>
        <w:tblLook w:val="04A0" w:firstRow="1" w:lastRow="0" w:firstColumn="1" w:lastColumn="0" w:noHBand="0" w:noVBand="1"/>
      </w:tblPr>
      <w:tblGrid>
        <w:gridCol w:w="1494"/>
        <w:gridCol w:w="1464"/>
        <w:gridCol w:w="1444"/>
        <w:gridCol w:w="1445"/>
        <w:gridCol w:w="1449"/>
        <w:gridCol w:w="1425"/>
      </w:tblGrid>
      <w:tr w:rsidR="00656E62" w:rsidRPr="00701F32" w14:paraId="40DBE072" w14:textId="77777777" w:rsidTr="00464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0C9A808B" w14:textId="77777777" w:rsidR="00656E62" w:rsidRPr="00701F32" w:rsidRDefault="00656E62" w:rsidP="00464C0F">
            <w:pPr>
              <w:jc w:val="center"/>
              <w:rPr>
                <w:rFonts w:ascii="Arial" w:hAnsi="Arial" w:cs="Arial"/>
                <w:sz w:val="18"/>
              </w:rPr>
            </w:pPr>
          </w:p>
        </w:tc>
        <w:tc>
          <w:tcPr>
            <w:tcW w:w="1471" w:type="dxa"/>
            <w:tcBorders>
              <w:top w:val="single" w:sz="4" w:space="0" w:color="auto"/>
              <w:left w:val="single" w:sz="4" w:space="0" w:color="auto"/>
              <w:bottom w:val="single" w:sz="4" w:space="0" w:color="auto"/>
              <w:right w:val="single" w:sz="4" w:space="0" w:color="auto"/>
            </w:tcBorders>
          </w:tcPr>
          <w:p w14:paraId="1E4219A8" w14:textId="77777777" w:rsidR="00656E62" w:rsidRPr="00701F32" w:rsidRDefault="00656E62" w:rsidP="0086282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Mobiliario e Instalaciones</w:t>
            </w:r>
          </w:p>
        </w:tc>
        <w:tc>
          <w:tcPr>
            <w:tcW w:w="1471" w:type="dxa"/>
            <w:tcBorders>
              <w:top w:val="single" w:sz="4" w:space="0" w:color="auto"/>
              <w:left w:val="single" w:sz="4" w:space="0" w:color="auto"/>
              <w:bottom w:val="single" w:sz="4" w:space="0" w:color="auto"/>
              <w:right w:val="single" w:sz="4" w:space="0" w:color="auto"/>
            </w:tcBorders>
          </w:tcPr>
          <w:p w14:paraId="68DF0E9B" w14:textId="77777777" w:rsidR="00656E62" w:rsidRPr="00701F32" w:rsidRDefault="00656E62" w:rsidP="0086282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Máquinas y Equipos</w:t>
            </w:r>
          </w:p>
        </w:tc>
        <w:tc>
          <w:tcPr>
            <w:tcW w:w="1471" w:type="dxa"/>
            <w:tcBorders>
              <w:top w:val="single" w:sz="4" w:space="0" w:color="auto"/>
              <w:left w:val="single" w:sz="4" w:space="0" w:color="auto"/>
              <w:bottom w:val="single" w:sz="4" w:space="0" w:color="auto"/>
              <w:right w:val="single" w:sz="4" w:space="0" w:color="auto"/>
            </w:tcBorders>
          </w:tcPr>
          <w:p w14:paraId="50404293" w14:textId="77777777" w:rsidR="00656E62" w:rsidRPr="00701F32" w:rsidRDefault="00656E62" w:rsidP="0086282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Vehículos</w:t>
            </w:r>
          </w:p>
        </w:tc>
        <w:tc>
          <w:tcPr>
            <w:tcW w:w="1472" w:type="dxa"/>
            <w:tcBorders>
              <w:top w:val="single" w:sz="4" w:space="0" w:color="auto"/>
              <w:left w:val="single" w:sz="4" w:space="0" w:color="auto"/>
              <w:bottom w:val="single" w:sz="4" w:space="0" w:color="auto"/>
              <w:right w:val="single" w:sz="4" w:space="0" w:color="auto"/>
            </w:tcBorders>
          </w:tcPr>
          <w:p w14:paraId="4C46DB51" w14:textId="77777777" w:rsidR="00656E62" w:rsidRPr="00701F32" w:rsidRDefault="00656E62" w:rsidP="0086282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Inmuebles</w:t>
            </w:r>
          </w:p>
        </w:tc>
        <w:tc>
          <w:tcPr>
            <w:tcW w:w="1472" w:type="dxa"/>
            <w:tcBorders>
              <w:top w:val="single" w:sz="4" w:space="0" w:color="auto"/>
              <w:left w:val="single" w:sz="4" w:space="0" w:color="auto"/>
              <w:bottom w:val="single" w:sz="4" w:space="0" w:color="auto"/>
              <w:right w:val="single" w:sz="4" w:space="0" w:color="auto"/>
            </w:tcBorders>
          </w:tcPr>
          <w:p w14:paraId="55588B11" w14:textId="77777777" w:rsidR="00656E62" w:rsidRPr="00701F32" w:rsidRDefault="00656E62" w:rsidP="0086282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Obras en Curso</w:t>
            </w:r>
          </w:p>
        </w:tc>
      </w:tr>
      <w:tr w:rsidR="00656E62" w:rsidRPr="00701F32" w14:paraId="4AECDE4C" w14:textId="77777777" w:rsidTr="0086282C">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4E3E4403" w14:textId="77777777" w:rsidR="00656E62" w:rsidRPr="00701F32" w:rsidRDefault="00656E62" w:rsidP="0086282C">
            <w:pPr>
              <w:jc w:val="both"/>
              <w:rPr>
                <w:rFonts w:ascii="Arial" w:hAnsi="Arial" w:cs="Arial"/>
                <w:sz w:val="18"/>
              </w:rPr>
            </w:pPr>
            <w:r w:rsidRPr="00701F32">
              <w:rPr>
                <w:rFonts w:ascii="Arial" w:hAnsi="Arial" w:cs="Arial"/>
                <w:sz w:val="18"/>
              </w:rPr>
              <w:t>Método de depreciación</w:t>
            </w:r>
          </w:p>
        </w:tc>
        <w:tc>
          <w:tcPr>
            <w:tcW w:w="1471" w:type="dxa"/>
            <w:tcBorders>
              <w:top w:val="single" w:sz="4" w:space="0" w:color="auto"/>
              <w:left w:val="single" w:sz="4" w:space="0" w:color="auto"/>
              <w:bottom w:val="single" w:sz="4" w:space="0" w:color="auto"/>
              <w:right w:val="single" w:sz="4" w:space="0" w:color="auto"/>
            </w:tcBorders>
            <w:vAlign w:val="center"/>
          </w:tcPr>
          <w:p w14:paraId="45C415AF"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1" w:type="dxa"/>
            <w:tcBorders>
              <w:top w:val="single" w:sz="4" w:space="0" w:color="auto"/>
              <w:left w:val="single" w:sz="4" w:space="0" w:color="auto"/>
              <w:bottom w:val="single" w:sz="4" w:space="0" w:color="auto"/>
              <w:right w:val="single" w:sz="4" w:space="0" w:color="auto"/>
            </w:tcBorders>
            <w:vAlign w:val="center"/>
          </w:tcPr>
          <w:p w14:paraId="0E80B850"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1" w:type="dxa"/>
            <w:tcBorders>
              <w:top w:val="single" w:sz="4" w:space="0" w:color="auto"/>
              <w:left w:val="single" w:sz="4" w:space="0" w:color="auto"/>
              <w:bottom w:val="single" w:sz="4" w:space="0" w:color="auto"/>
              <w:right w:val="single" w:sz="4" w:space="0" w:color="auto"/>
            </w:tcBorders>
            <w:vAlign w:val="center"/>
          </w:tcPr>
          <w:p w14:paraId="7B2B9174"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2" w:type="dxa"/>
            <w:tcBorders>
              <w:top w:val="single" w:sz="4" w:space="0" w:color="auto"/>
              <w:left w:val="single" w:sz="4" w:space="0" w:color="auto"/>
              <w:bottom w:val="single" w:sz="4" w:space="0" w:color="auto"/>
              <w:right w:val="single" w:sz="4" w:space="0" w:color="auto"/>
            </w:tcBorders>
            <w:vAlign w:val="center"/>
          </w:tcPr>
          <w:p w14:paraId="5177F86A"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Línea recta</w:t>
            </w:r>
          </w:p>
        </w:tc>
        <w:tc>
          <w:tcPr>
            <w:tcW w:w="1472" w:type="dxa"/>
            <w:tcBorders>
              <w:top w:val="single" w:sz="4" w:space="0" w:color="auto"/>
              <w:left w:val="single" w:sz="4" w:space="0" w:color="auto"/>
              <w:bottom w:val="single" w:sz="4" w:space="0" w:color="auto"/>
              <w:right w:val="single" w:sz="4" w:space="0" w:color="auto"/>
            </w:tcBorders>
            <w:vAlign w:val="center"/>
          </w:tcPr>
          <w:p w14:paraId="0281DC4B"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w:t>
            </w:r>
          </w:p>
        </w:tc>
      </w:tr>
      <w:tr w:rsidR="00656E62" w:rsidRPr="00701F32" w14:paraId="1687A2C4" w14:textId="77777777" w:rsidTr="0086282C">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left w:val="single" w:sz="4" w:space="0" w:color="auto"/>
              <w:bottom w:val="single" w:sz="4" w:space="0" w:color="auto"/>
              <w:right w:val="single" w:sz="4" w:space="0" w:color="auto"/>
            </w:tcBorders>
          </w:tcPr>
          <w:p w14:paraId="7C18D429" w14:textId="77777777" w:rsidR="00656E62" w:rsidRPr="00701F32" w:rsidRDefault="00656E62" w:rsidP="00464C0F">
            <w:pPr>
              <w:jc w:val="both"/>
              <w:rPr>
                <w:rFonts w:ascii="Arial" w:hAnsi="Arial" w:cs="Arial"/>
                <w:sz w:val="18"/>
              </w:rPr>
            </w:pPr>
            <w:r w:rsidRPr="00701F32">
              <w:rPr>
                <w:rFonts w:ascii="Arial" w:hAnsi="Arial" w:cs="Arial"/>
                <w:sz w:val="18"/>
              </w:rPr>
              <w:t>Vida útil</w:t>
            </w:r>
          </w:p>
        </w:tc>
        <w:tc>
          <w:tcPr>
            <w:tcW w:w="1471" w:type="dxa"/>
            <w:tcBorders>
              <w:top w:val="single" w:sz="4" w:space="0" w:color="auto"/>
              <w:left w:val="single" w:sz="4" w:space="0" w:color="auto"/>
              <w:bottom w:val="single" w:sz="4" w:space="0" w:color="auto"/>
              <w:right w:val="single" w:sz="4" w:space="0" w:color="auto"/>
            </w:tcBorders>
            <w:vAlign w:val="center"/>
          </w:tcPr>
          <w:p w14:paraId="5F9035D5"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10 años</w:t>
            </w:r>
          </w:p>
        </w:tc>
        <w:tc>
          <w:tcPr>
            <w:tcW w:w="1471" w:type="dxa"/>
            <w:tcBorders>
              <w:top w:val="single" w:sz="4" w:space="0" w:color="auto"/>
              <w:left w:val="single" w:sz="4" w:space="0" w:color="auto"/>
              <w:bottom w:val="single" w:sz="4" w:space="0" w:color="auto"/>
              <w:right w:val="single" w:sz="4" w:space="0" w:color="auto"/>
            </w:tcBorders>
            <w:vAlign w:val="center"/>
          </w:tcPr>
          <w:p w14:paraId="3A6E1FD8"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c>
          <w:tcPr>
            <w:tcW w:w="1471" w:type="dxa"/>
            <w:tcBorders>
              <w:top w:val="single" w:sz="4" w:space="0" w:color="auto"/>
              <w:left w:val="single" w:sz="4" w:space="0" w:color="auto"/>
              <w:bottom w:val="single" w:sz="4" w:space="0" w:color="auto"/>
              <w:right w:val="single" w:sz="4" w:space="0" w:color="auto"/>
            </w:tcBorders>
            <w:vAlign w:val="center"/>
          </w:tcPr>
          <w:p w14:paraId="2DC877CA"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 años</w:t>
            </w:r>
          </w:p>
        </w:tc>
        <w:tc>
          <w:tcPr>
            <w:tcW w:w="1472" w:type="dxa"/>
            <w:tcBorders>
              <w:top w:val="single" w:sz="4" w:space="0" w:color="auto"/>
              <w:left w:val="single" w:sz="4" w:space="0" w:color="auto"/>
              <w:bottom w:val="single" w:sz="4" w:space="0" w:color="auto"/>
              <w:right w:val="single" w:sz="4" w:space="0" w:color="auto"/>
            </w:tcBorders>
            <w:vAlign w:val="center"/>
          </w:tcPr>
          <w:p w14:paraId="7EA83D72"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50 años</w:t>
            </w:r>
          </w:p>
        </w:tc>
        <w:tc>
          <w:tcPr>
            <w:tcW w:w="1472" w:type="dxa"/>
            <w:tcBorders>
              <w:top w:val="single" w:sz="4" w:space="0" w:color="auto"/>
              <w:left w:val="single" w:sz="4" w:space="0" w:color="auto"/>
              <w:bottom w:val="single" w:sz="4" w:space="0" w:color="auto"/>
              <w:right w:val="single" w:sz="4" w:space="0" w:color="auto"/>
            </w:tcBorders>
            <w:vAlign w:val="center"/>
          </w:tcPr>
          <w:p w14:paraId="174A400B" w14:textId="77777777" w:rsidR="00656E62" w:rsidRPr="00701F32" w:rsidRDefault="00656E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01F32">
              <w:rPr>
                <w:rFonts w:ascii="Arial" w:hAnsi="Arial" w:cs="Arial"/>
                <w:sz w:val="18"/>
              </w:rPr>
              <w:t>-</w:t>
            </w:r>
          </w:p>
        </w:tc>
      </w:tr>
    </w:tbl>
    <w:p w14:paraId="6C7BF897" w14:textId="77777777" w:rsidR="00656E62" w:rsidRPr="00701F32" w:rsidRDefault="00656E62" w:rsidP="00656E62">
      <w:pPr>
        <w:spacing w:after="160" w:line="259" w:lineRule="auto"/>
        <w:jc w:val="both"/>
        <w:rPr>
          <w:rFonts w:ascii="Arial" w:eastAsia="Calibri" w:hAnsi="Arial" w:cs="Arial"/>
          <w:b/>
          <w:sz w:val="20"/>
        </w:rPr>
      </w:pPr>
    </w:p>
    <w:p w14:paraId="6AFCAC51"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b/>
          <w:sz w:val="20"/>
        </w:rPr>
        <w:t>Revalúo de Propiedad, planta y equipo</w:t>
      </w:r>
    </w:p>
    <w:p w14:paraId="7A6B9C2E"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Al finalizar cada período, la Gerencia actualiza la valuación del valor razonable de terrenos y edificios (clasificados como propiedad, planta y equipo), teniendo en cuenta valoraciones independientes. La Gerencia determina el valor de una propiedad, planta y equipo dentro de una gama de estimaciones de su valor razonable. </w:t>
      </w:r>
    </w:p>
    <w:p w14:paraId="0D537B30"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La última valuación se realizó el 31 de diciembre de 2017. La misma fue realizada por un tasador independiente. </w:t>
      </w:r>
    </w:p>
    <w:p w14:paraId="56A99842"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En el siguiente cuadro se revela la siguiente información relacionada al revalúo de los terrenos y edificios, como así también se presentan los valores en libros que se habrían reconocido si los activos revaluados hubieran sido contabilizados bajo modelo de costo:</w:t>
      </w:r>
    </w:p>
    <w:p w14:paraId="4343022E" w14:textId="77777777" w:rsidR="0007777C" w:rsidRPr="00701F32" w:rsidRDefault="0007777C" w:rsidP="00656E62">
      <w:pPr>
        <w:spacing w:after="160" w:line="259" w:lineRule="auto"/>
        <w:jc w:val="both"/>
        <w:rPr>
          <w:rFonts w:ascii="Arial" w:eastAsia="Calibri" w:hAnsi="Arial" w:cs="Arial"/>
          <w:sz w:val="20"/>
        </w:rPr>
      </w:pPr>
    </w:p>
    <w:tbl>
      <w:tblPr>
        <w:tblW w:w="9351" w:type="dxa"/>
        <w:tblLayout w:type="fixed"/>
        <w:tblCellMar>
          <w:left w:w="70" w:type="dxa"/>
          <w:right w:w="70" w:type="dxa"/>
        </w:tblCellMar>
        <w:tblLook w:val="04A0" w:firstRow="1" w:lastRow="0" w:firstColumn="1" w:lastColumn="0" w:noHBand="0" w:noVBand="1"/>
      </w:tblPr>
      <w:tblGrid>
        <w:gridCol w:w="968"/>
        <w:gridCol w:w="1862"/>
        <w:gridCol w:w="1134"/>
        <w:gridCol w:w="993"/>
        <w:gridCol w:w="992"/>
        <w:gridCol w:w="1134"/>
        <w:gridCol w:w="1276"/>
        <w:gridCol w:w="992"/>
      </w:tblGrid>
      <w:tr w:rsidR="00A56CA6" w:rsidRPr="00701F32" w14:paraId="34B5AD54" w14:textId="77777777" w:rsidTr="00FF7CC8">
        <w:trPr>
          <w:trHeight w:val="188"/>
        </w:trPr>
        <w:tc>
          <w:tcPr>
            <w:tcW w:w="968"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7CB76F41" w14:textId="77777777" w:rsidR="00A56CA6" w:rsidRPr="00701F32" w:rsidRDefault="00A56CA6" w:rsidP="0069179D">
            <w:pPr>
              <w:jc w:val="center"/>
              <w:rPr>
                <w:rFonts w:ascii="Arial" w:hAnsi="Arial" w:cs="Arial"/>
                <w:b/>
                <w:bCs/>
                <w:sz w:val="16"/>
                <w:szCs w:val="18"/>
                <w:lang w:eastAsia="es-AR"/>
              </w:rPr>
            </w:pPr>
            <w:r w:rsidRPr="00701F32">
              <w:rPr>
                <w:rFonts w:ascii="Arial" w:hAnsi="Arial" w:cs="Arial"/>
                <w:b/>
                <w:bCs/>
                <w:color w:val="363639"/>
                <w:sz w:val="16"/>
                <w:szCs w:val="18"/>
              </w:rPr>
              <w:t>Detalle de Clases</w:t>
            </w:r>
          </w:p>
        </w:tc>
        <w:tc>
          <w:tcPr>
            <w:tcW w:w="1862"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24341AEF"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Tasador</w:t>
            </w:r>
          </w:p>
        </w:tc>
        <w:tc>
          <w:tcPr>
            <w:tcW w:w="1134"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7DFA0249"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Fecha de Revaluación</w:t>
            </w:r>
          </w:p>
        </w:tc>
        <w:tc>
          <w:tcPr>
            <w:tcW w:w="3119" w:type="dxa"/>
            <w:gridSpan w:val="3"/>
            <w:tcBorders>
              <w:top w:val="single" w:sz="4" w:space="0" w:color="363639"/>
              <w:left w:val="nil"/>
              <w:bottom w:val="single" w:sz="4" w:space="0" w:color="363639"/>
              <w:right w:val="single" w:sz="4" w:space="0" w:color="363639"/>
            </w:tcBorders>
            <w:shd w:val="clear" w:color="auto" w:fill="auto"/>
            <w:vAlign w:val="center"/>
            <w:hideMark/>
          </w:tcPr>
          <w:p w14:paraId="7B36A4F3"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Ajuste por Revaluación - ORI acumulado</w:t>
            </w:r>
          </w:p>
        </w:tc>
        <w:tc>
          <w:tcPr>
            <w:tcW w:w="1276" w:type="dxa"/>
            <w:vMerge w:val="restart"/>
            <w:tcBorders>
              <w:top w:val="single" w:sz="4" w:space="0" w:color="363639"/>
              <w:left w:val="single" w:sz="4" w:space="0" w:color="363639"/>
              <w:right w:val="single" w:sz="4" w:space="0" w:color="363639"/>
            </w:tcBorders>
            <w:vAlign w:val="center"/>
          </w:tcPr>
          <w:p w14:paraId="7A62F6FC" w14:textId="77777777" w:rsidR="00A56CA6" w:rsidRPr="00701F32" w:rsidRDefault="00A56CA6" w:rsidP="0069179D">
            <w:pPr>
              <w:jc w:val="center"/>
              <w:rPr>
                <w:rFonts w:ascii="Arial" w:hAnsi="Arial" w:cs="Arial"/>
                <w:b/>
                <w:bCs/>
                <w:color w:val="363639"/>
                <w:sz w:val="16"/>
                <w:szCs w:val="18"/>
              </w:rPr>
            </w:pPr>
            <w:r w:rsidRPr="00701F32">
              <w:rPr>
                <w:rFonts w:ascii="Arial" w:hAnsi="Arial" w:cs="Arial"/>
                <w:b/>
                <w:bCs/>
                <w:color w:val="363639"/>
                <w:sz w:val="16"/>
                <w:szCs w:val="18"/>
              </w:rPr>
              <w:t>Amortización revaluo</w:t>
            </w:r>
          </w:p>
        </w:tc>
        <w:tc>
          <w:tcPr>
            <w:tcW w:w="992" w:type="dxa"/>
            <w:vMerge w:val="restart"/>
            <w:tcBorders>
              <w:top w:val="single" w:sz="4" w:space="0" w:color="363639"/>
              <w:left w:val="single" w:sz="4" w:space="0" w:color="363639"/>
              <w:bottom w:val="single" w:sz="4" w:space="0" w:color="363639"/>
              <w:right w:val="single" w:sz="4" w:space="0" w:color="363639"/>
            </w:tcBorders>
            <w:shd w:val="clear" w:color="auto" w:fill="auto"/>
            <w:vAlign w:val="center"/>
            <w:hideMark/>
          </w:tcPr>
          <w:p w14:paraId="41AA135D"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Importe en libros s/ Modelo de costo</w:t>
            </w:r>
          </w:p>
        </w:tc>
      </w:tr>
      <w:tr w:rsidR="00A56CA6" w:rsidRPr="00701F32" w14:paraId="0F3E6A52" w14:textId="77777777" w:rsidTr="00FF7CC8">
        <w:trPr>
          <w:trHeight w:val="566"/>
        </w:trPr>
        <w:tc>
          <w:tcPr>
            <w:tcW w:w="968" w:type="dxa"/>
            <w:vMerge/>
            <w:tcBorders>
              <w:top w:val="single" w:sz="4" w:space="0" w:color="363639"/>
              <w:left w:val="single" w:sz="4" w:space="0" w:color="363639"/>
              <w:bottom w:val="single" w:sz="4" w:space="0" w:color="363639"/>
              <w:right w:val="single" w:sz="4" w:space="0" w:color="363639"/>
            </w:tcBorders>
            <w:vAlign w:val="center"/>
            <w:hideMark/>
          </w:tcPr>
          <w:p w14:paraId="38C7417D" w14:textId="77777777" w:rsidR="00A56CA6" w:rsidRPr="00701F32" w:rsidRDefault="00A56CA6" w:rsidP="0069179D">
            <w:pPr>
              <w:rPr>
                <w:rFonts w:ascii="Arial" w:hAnsi="Arial" w:cs="Arial"/>
                <w:b/>
                <w:bCs/>
                <w:sz w:val="16"/>
                <w:szCs w:val="18"/>
              </w:rPr>
            </w:pPr>
          </w:p>
        </w:tc>
        <w:tc>
          <w:tcPr>
            <w:tcW w:w="1862" w:type="dxa"/>
            <w:vMerge/>
            <w:tcBorders>
              <w:top w:val="single" w:sz="4" w:space="0" w:color="363639"/>
              <w:left w:val="single" w:sz="4" w:space="0" w:color="363639"/>
              <w:bottom w:val="single" w:sz="4" w:space="0" w:color="363639"/>
              <w:right w:val="single" w:sz="4" w:space="0" w:color="363639"/>
            </w:tcBorders>
            <w:vAlign w:val="center"/>
            <w:hideMark/>
          </w:tcPr>
          <w:p w14:paraId="4F28274F" w14:textId="77777777" w:rsidR="00A56CA6" w:rsidRPr="00701F32" w:rsidRDefault="00A56CA6" w:rsidP="0069179D">
            <w:pPr>
              <w:rPr>
                <w:rFonts w:ascii="Arial" w:hAnsi="Arial" w:cs="Arial"/>
                <w:b/>
                <w:bCs/>
                <w:sz w:val="16"/>
                <w:szCs w:val="18"/>
              </w:rPr>
            </w:pPr>
          </w:p>
        </w:tc>
        <w:tc>
          <w:tcPr>
            <w:tcW w:w="1134" w:type="dxa"/>
            <w:vMerge/>
            <w:tcBorders>
              <w:top w:val="single" w:sz="4" w:space="0" w:color="363639"/>
              <w:left w:val="single" w:sz="4" w:space="0" w:color="363639"/>
              <w:bottom w:val="single" w:sz="4" w:space="0" w:color="363639"/>
              <w:right w:val="single" w:sz="4" w:space="0" w:color="363639"/>
            </w:tcBorders>
            <w:vAlign w:val="center"/>
            <w:hideMark/>
          </w:tcPr>
          <w:p w14:paraId="5278E5CD" w14:textId="77777777" w:rsidR="00A56CA6" w:rsidRPr="00701F32" w:rsidRDefault="00A56CA6" w:rsidP="0069179D">
            <w:pPr>
              <w:rPr>
                <w:rFonts w:ascii="Arial" w:hAnsi="Arial" w:cs="Arial"/>
                <w:b/>
                <w:bCs/>
                <w:sz w:val="16"/>
                <w:szCs w:val="18"/>
              </w:rPr>
            </w:pPr>
          </w:p>
        </w:tc>
        <w:tc>
          <w:tcPr>
            <w:tcW w:w="993" w:type="dxa"/>
            <w:tcBorders>
              <w:top w:val="nil"/>
              <w:left w:val="nil"/>
              <w:bottom w:val="single" w:sz="4" w:space="0" w:color="363639"/>
              <w:right w:val="single" w:sz="4" w:space="0" w:color="363639"/>
            </w:tcBorders>
            <w:shd w:val="clear" w:color="auto" w:fill="auto"/>
            <w:vAlign w:val="center"/>
            <w:hideMark/>
          </w:tcPr>
          <w:p w14:paraId="0314DD17"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Saldo al inicio del período</w:t>
            </w:r>
          </w:p>
        </w:tc>
        <w:tc>
          <w:tcPr>
            <w:tcW w:w="992" w:type="dxa"/>
            <w:tcBorders>
              <w:top w:val="nil"/>
              <w:left w:val="nil"/>
              <w:bottom w:val="single" w:sz="4" w:space="0" w:color="363639"/>
              <w:right w:val="single" w:sz="4" w:space="0" w:color="363639"/>
            </w:tcBorders>
            <w:shd w:val="clear" w:color="auto" w:fill="auto"/>
            <w:vAlign w:val="center"/>
            <w:hideMark/>
          </w:tcPr>
          <w:p w14:paraId="5272793F" w14:textId="77777777" w:rsidR="00A56CA6" w:rsidRPr="00701F32" w:rsidRDefault="00A56CA6" w:rsidP="0069179D">
            <w:pPr>
              <w:jc w:val="center"/>
              <w:rPr>
                <w:rFonts w:ascii="Arial" w:hAnsi="Arial" w:cs="Arial"/>
                <w:b/>
                <w:bCs/>
                <w:color w:val="363639"/>
                <w:sz w:val="16"/>
                <w:szCs w:val="18"/>
              </w:rPr>
            </w:pPr>
            <w:r w:rsidRPr="00701F32">
              <w:rPr>
                <w:rFonts w:ascii="Arial" w:hAnsi="Arial" w:cs="Arial"/>
                <w:b/>
                <w:bCs/>
                <w:color w:val="363639"/>
                <w:sz w:val="16"/>
                <w:szCs w:val="18"/>
              </w:rPr>
              <w:t>Cambio del período</w:t>
            </w:r>
          </w:p>
        </w:tc>
        <w:tc>
          <w:tcPr>
            <w:tcW w:w="1134" w:type="dxa"/>
            <w:tcBorders>
              <w:top w:val="nil"/>
              <w:left w:val="nil"/>
              <w:bottom w:val="single" w:sz="4" w:space="0" w:color="363639"/>
              <w:right w:val="single" w:sz="4" w:space="0" w:color="363639"/>
            </w:tcBorders>
            <w:shd w:val="clear" w:color="auto" w:fill="auto"/>
            <w:vAlign w:val="center"/>
            <w:hideMark/>
          </w:tcPr>
          <w:p w14:paraId="0CA24115" w14:textId="77777777" w:rsidR="00A56CA6" w:rsidRPr="00701F32" w:rsidRDefault="00A56CA6" w:rsidP="0069179D">
            <w:pPr>
              <w:jc w:val="center"/>
              <w:rPr>
                <w:rFonts w:ascii="Arial" w:hAnsi="Arial" w:cs="Arial"/>
                <w:b/>
                <w:bCs/>
                <w:sz w:val="16"/>
                <w:szCs w:val="18"/>
              </w:rPr>
            </w:pPr>
            <w:r w:rsidRPr="00701F32">
              <w:rPr>
                <w:rFonts w:ascii="Arial" w:hAnsi="Arial" w:cs="Arial"/>
                <w:b/>
                <w:bCs/>
                <w:color w:val="363639"/>
                <w:sz w:val="16"/>
                <w:szCs w:val="18"/>
              </w:rPr>
              <w:t>Saldo al cierre del período</w:t>
            </w:r>
          </w:p>
        </w:tc>
        <w:tc>
          <w:tcPr>
            <w:tcW w:w="1276" w:type="dxa"/>
            <w:vMerge/>
            <w:tcBorders>
              <w:left w:val="single" w:sz="4" w:space="0" w:color="363639"/>
              <w:bottom w:val="single" w:sz="4" w:space="0" w:color="363639"/>
              <w:right w:val="single" w:sz="4" w:space="0" w:color="363639"/>
            </w:tcBorders>
          </w:tcPr>
          <w:p w14:paraId="47A768EB" w14:textId="77777777" w:rsidR="00A56CA6" w:rsidRPr="00701F32" w:rsidRDefault="00A56CA6" w:rsidP="0069179D">
            <w:pPr>
              <w:rPr>
                <w:rFonts w:ascii="Arial" w:hAnsi="Arial" w:cs="Arial"/>
                <w:b/>
                <w:bCs/>
                <w:sz w:val="16"/>
                <w:szCs w:val="18"/>
              </w:rPr>
            </w:pPr>
          </w:p>
        </w:tc>
        <w:tc>
          <w:tcPr>
            <w:tcW w:w="992" w:type="dxa"/>
            <w:vMerge/>
            <w:tcBorders>
              <w:top w:val="single" w:sz="4" w:space="0" w:color="363639"/>
              <w:left w:val="single" w:sz="4" w:space="0" w:color="363639"/>
              <w:bottom w:val="single" w:sz="4" w:space="0" w:color="363639"/>
              <w:right w:val="single" w:sz="4" w:space="0" w:color="363639"/>
            </w:tcBorders>
            <w:vAlign w:val="center"/>
            <w:hideMark/>
          </w:tcPr>
          <w:p w14:paraId="7C70D23D" w14:textId="77777777" w:rsidR="00A56CA6" w:rsidRPr="00701F32" w:rsidRDefault="00A56CA6" w:rsidP="0069179D">
            <w:pPr>
              <w:rPr>
                <w:rFonts w:ascii="Arial" w:hAnsi="Arial" w:cs="Arial"/>
                <w:b/>
                <w:bCs/>
                <w:sz w:val="16"/>
                <w:szCs w:val="18"/>
              </w:rPr>
            </w:pPr>
          </w:p>
        </w:tc>
      </w:tr>
      <w:tr w:rsidR="00A56CA6" w:rsidRPr="00701F32" w14:paraId="33F14DF5" w14:textId="77777777" w:rsidTr="00FF7CC8">
        <w:trPr>
          <w:trHeight w:val="188"/>
        </w:trPr>
        <w:tc>
          <w:tcPr>
            <w:tcW w:w="968" w:type="dxa"/>
            <w:vMerge w:val="restart"/>
            <w:tcBorders>
              <w:top w:val="nil"/>
              <w:left w:val="single" w:sz="4" w:space="0" w:color="363639"/>
              <w:bottom w:val="single" w:sz="4" w:space="0" w:color="363639"/>
              <w:right w:val="single" w:sz="4" w:space="0" w:color="363639"/>
            </w:tcBorders>
            <w:shd w:val="clear" w:color="auto" w:fill="auto"/>
            <w:vAlign w:val="center"/>
            <w:hideMark/>
          </w:tcPr>
          <w:p w14:paraId="68817E83" w14:textId="77777777" w:rsidR="00A56CA6" w:rsidRPr="00701F32" w:rsidRDefault="00A56CA6" w:rsidP="0069179D">
            <w:pPr>
              <w:jc w:val="center"/>
              <w:rPr>
                <w:rFonts w:ascii="Arial" w:hAnsi="Arial" w:cs="Arial"/>
                <w:sz w:val="16"/>
                <w:szCs w:val="18"/>
              </w:rPr>
            </w:pPr>
            <w:r w:rsidRPr="00701F32">
              <w:rPr>
                <w:rFonts w:ascii="Arial" w:hAnsi="Arial" w:cs="Arial"/>
                <w:sz w:val="16"/>
                <w:szCs w:val="18"/>
              </w:rPr>
              <w:t>Inmuebles</w:t>
            </w:r>
          </w:p>
        </w:tc>
        <w:tc>
          <w:tcPr>
            <w:tcW w:w="1862" w:type="dxa"/>
            <w:tcBorders>
              <w:top w:val="nil"/>
              <w:left w:val="nil"/>
              <w:bottom w:val="nil"/>
              <w:right w:val="single" w:sz="4" w:space="0" w:color="363639"/>
            </w:tcBorders>
            <w:shd w:val="clear" w:color="auto" w:fill="auto"/>
            <w:hideMark/>
          </w:tcPr>
          <w:p w14:paraId="4ADF66AB" w14:textId="77777777" w:rsidR="00A56CA6" w:rsidRPr="00701F32" w:rsidRDefault="00A56CA6" w:rsidP="0069179D">
            <w:pPr>
              <w:jc w:val="center"/>
              <w:rPr>
                <w:rFonts w:ascii="Arial" w:hAnsi="Arial" w:cs="Arial"/>
                <w:sz w:val="16"/>
                <w:szCs w:val="16"/>
              </w:rPr>
            </w:pPr>
            <w:r w:rsidRPr="00701F32">
              <w:rPr>
                <w:rFonts w:ascii="Arial" w:hAnsi="Arial" w:cs="Arial"/>
                <w:sz w:val="16"/>
                <w:szCs w:val="16"/>
              </w:rPr>
              <w:t xml:space="preserve">Tribunal de Tasaciones de la Nación </w:t>
            </w:r>
          </w:p>
        </w:tc>
        <w:tc>
          <w:tcPr>
            <w:tcW w:w="1134"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77728A5B" w14:textId="77777777" w:rsidR="00A56CA6" w:rsidRPr="00701F32" w:rsidRDefault="00A56CA6" w:rsidP="0069179D">
            <w:pPr>
              <w:jc w:val="center"/>
              <w:rPr>
                <w:rFonts w:ascii="Arial" w:hAnsi="Arial" w:cs="Arial"/>
                <w:sz w:val="16"/>
                <w:szCs w:val="18"/>
              </w:rPr>
            </w:pPr>
            <w:r w:rsidRPr="00701F32">
              <w:rPr>
                <w:rFonts w:ascii="Arial" w:hAnsi="Arial" w:cs="Arial"/>
                <w:sz w:val="16"/>
                <w:szCs w:val="18"/>
              </w:rPr>
              <w:t>31/12/2017</w:t>
            </w:r>
          </w:p>
        </w:tc>
        <w:tc>
          <w:tcPr>
            <w:tcW w:w="993"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0032B5E8" w14:textId="77777777" w:rsidR="00A56CA6" w:rsidRPr="00701F32" w:rsidRDefault="00A56CA6" w:rsidP="0069179D">
            <w:pPr>
              <w:jc w:val="right"/>
              <w:rPr>
                <w:rFonts w:ascii="Arial" w:hAnsi="Arial" w:cs="Arial"/>
                <w:sz w:val="16"/>
                <w:szCs w:val="18"/>
              </w:rPr>
            </w:pPr>
            <w:r w:rsidRPr="00701F32">
              <w:rPr>
                <w:rFonts w:ascii="Arial" w:hAnsi="Arial" w:cs="Arial"/>
                <w:sz w:val="16"/>
                <w:szCs w:val="18"/>
              </w:rPr>
              <w:t>119.688</w:t>
            </w:r>
          </w:p>
        </w:tc>
        <w:tc>
          <w:tcPr>
            <w:tcW w:w="992"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347927AD" w14:textId="77777777" w:rsidR="00A56CA6" w:rsidRPr="00701F32" w:rsidRDefault="00A56CA6" w:rsidP="0069179D">
            <w:pPr>
              <w:jc w:val="right"/>
              <w:rPr>
                <w:rFonts w:ascii="Arial" w:hAnsi="Arial" w:cs="Arial"/>
                <w:sz w:val="16"/>
                <w:szCs w:val="18"/>
              </w:rPr>
            </w:pPr>
            <w:r w:rsidRPr="00701F32">
              <w:rPr>
                <w:rFonts w:ascii="Arial" w:hAnsi="Arial" w:cs="Arial"/>
                <w:sz w:val="16"/>
                <w:szCs w:val="18"/>
              </w:rPr>
              <w:t>83.191</w:t>
            </w:r>
          </w:p>
        </w:tc>
        <w:tc>
          <w:tcPr>
            <w:tcW w:w="1134"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26F3D9A3" w14:textId="77777777" w:rsidR="00A56CA6" w:rsidRPr="00701F32" w:rsidRDefault="00A56CA6" w:rsidP="0069179D">
            <w:pPr>
              <w:jc w:val="right"/>
              <w:rPr>
                <w:rFonts w:ascii="Arial" w:hAnsi="Arial" w:cs="Arial"/>
                <w:sz w:val="16"/>
                <w:szCs w:val="18"/>
              </w:rPr>
            </w:pPr>
            <w:r w:rsidRPr="00701F32">
              <w:rPr>
                <w:rFonts w:ascii="Arial" w:hAnsi="Arial" w:cs="Arial"/>
                <w:sz w:val="16"/>
                <w:szCs w:val="18"/>
              </w:rPr>
              <w:t>202.879</w:t>
            </w:r>
          </w:p>
        </w:tc>
        <w:tc>
          <w:tcPr>
            <w:tcW w:w="1276" w:type="dxa"/>
            <w:vMerge w:val="restart"/>
            <w:tcBorders>
              <w:top w:val="nil"/>
              <w:left w:val="single" w:sz="4" w:space="0" w:color="363639"/>
              <w:right w:val="single" w:sz="4" w:space="0" w:color="363639"/>
            </w:tcBorders>
            <w:vAlign w:val="center"/>
          </w:tcPr>
          <w:p w14:paraId="73F11682" w14:textId="77777777" w:rsidR="00A56CA6" w:rsidRPr="00701F32" w:rsidRDefault="00A56CA6" w:rsidP="0069179D">
            <w:pPr>
              <w:jc w:val="right"/>
              <w:rPr>
                <w:rFonts w:ascii="Arial" w:hAnsi="Arial" w:cs="Arial"/>
                <w:sz w:val="16"/>
                <w:szCs w:val="18"/>
              </w:rPr>
            </w:pPr>
            <w:r w:rsidRPr="00701F32">
              <w:rPr>
                <w:rFonts w:ascii="Arial" w:hAnsi="Arial" w:cs="Arial"/>
                <w:sz w:val="16"/>
                <w:szCs w:val="18"/>
              </w:rPr>
              <w:t>(21.545)</w:t>
            </w:r>
          </w:p>
        </w:tc>
        <w:tc>
          <w:tcPr>
            <w:tcW w:w="992" w:type="dxa"/>
            <w:vMerge w:val="restart"/>
            <w:tcBorders>
              <w:top w:val="nil"/>
              <w:left w:val="single" w:sz="4" w:space="0" w:color="363639"/>
              <w:bottom w:val="single" w:sz="4" w:space="0" w:color="000000"/>
              <w:right w:val="single" w:sz="4" w:space="0" w:color="363639"/>
            </w:tcBorders>
            <w:shd w:val="clear" w:color="auto" w:fill="auto"/>
            <w:noWrap/>
            <w:vAlign w:val="center"/>
            <w:hideMark/>
          </w:tcPr>
          <w:p w14:paraId="02F96055" w14:textId="77777777" w:rsidR="00A56CA6" w:rsidRPr="00701F32" w:rsidRDefault="00A56CA6" w:rsidP="0069179D">
            <w:pPr>
              <w:jc w:val="right"/>
              <w:rPr>
                <w:rFonts w:ascii="Arial" w:hAnsi="Arial" w:cs="Arial"/>
                <w:sz w:val="16"/>
                <w:szCs w:val="18"/>
              </w:rPr>
            </w:pPr>
            <w:r w:rsidRPr="00701F32">
              <w:rPr>
                <w:rFonts w:ascii="Arial" w:hAnsi="Arial" w:cs="Arial"/>
                <w:sz w:val="16"/>
                <w:szCs w:val="18"/>
              </w:rPr>
              <w:t>344.518</w:t>
            </w:r>
          </w:p>
        </w:tc>
      </w:tr>
      <w:tr w:rsidR="00A56CA6" w:rsidRPr="00701F32" w14:paraId="63661806" w14:textId="77777777" w:rsidTr="00FF7CC8">
        <w:trPr>
          <w:trHeight w:val="188"/>
        </w:trPr>
        <w:tc>
          <w:tcPr>
            <w:tcW w:w="968" w:type="dxa"/>
            <w:vMerge/>
            <w:tcBorders>
              <w:top w:val="nil"/>
              <w:left w:val="single" w:sz="4" w:space="0" w:color="363639"/>
              <w:bottom w:val="single" w:sz="4" w:space="0" w:color="363639"/>
              <w:right w:val="single" w:sz="4" w:space="0" w:color="363639"/>
            </w:tcBorders>
            <w:vAlign w:val="center"/>
            <w:hideMark/>
          </w:tcPr>
          <w:p w14:paraId="4B4888DF" w14:textId="77777777" w:rsidR="00A56CA6" w:rsidRPr="00701F32" w:rsidRDefault="00A56CA6" w:rsidP="0069179D">
            <w:pPr>
              <w:rPr>
                <w:rFonts w:ascii="Arial" w:hAnsi="Arial" w:cs="Arial"/>
                <w:sz w:val="16"/>
                <w:szCs w:val="18"/>
              </w:rPr>
            </w:pPr>
          </w:p>
        </w:tc>
        <w:tc>
          <w:tcPr>
            <w:tcW w:w="1862" w:type="dxa"/>
            <w:tcBorders>
              <w:top w:val="nil"/>
              <w:left w:val="nil"/>
              <w:bottom w:val="nil"/>
              <w:right w:val="single" w:sz="4" w:space="0" w:color="363639"/>
            </w:tcBorders>
            <w:shd w:val="clear" w:color="auto" w:fill="auto"/>
            <w:hideMark/>
          </w:tcPr>
          <w:p w14:paraId="38B7ADD3" w14:textId="77777777" w:rsidR="00A56CA6" w:rsidRPr="00701F32" w:rsidRDefault="00A56CA6" w:rsidP="0069179D">
            <w:pPr>
              <w:jc w:val="center"/>
              <w:rPr>
                <w:rFonts w:ascii="Arial" w:hAnsi="Arial" w:cs="Arial"/>
                <w:sz w:val="16"/>
                <w:szCs w:val="16"/>
              </w:rPr>
            </w:pPr>
            <w:r w:rsidRPr="00701F32">
              <w:rPr>
                <w:rFonts w:ascii="Arial" w:hAnsi="Arial" w:cs="Arial"/>
                <w:sz w:val="16"/>
                <w:szCs w:val="16"/>
              </w:rPr>
              <w:t>CM Ingeniería en Valuaciones</w:t>
            </w:r>
          </w:p>
        </w:tc>
        <w:tc>
          <w:tcPr>
            <w:tcW w:w="1134" w:type="dxa"/>
            <w:vMerge/>
            <w:tcBorders>
              <w:top w:val="nil"/>
              <w:left w:val="single" w:sz="4" w:space="0" w:color="363639"/>
              <w:bottom w:val="single" w:sz="4" w:space="0" w:color="000000"/>
              <w:right w:val="single" w:sz="4" w:space="0" w:color="363639"/>
            </w:tcBorders>
            <w:vAlign w:val="center"/>
            <w:hideMark/>
          </w:tcPr>
          <w:p w14:paraId="7994572F" w14:textId="77777777" w:rsidR="00A56CA6" w:rsidRPr="00701F32" w:rsidRDefault="00A56CA6" w:rsidP="0069179D">
            <w:pPr>
              <w:rPr>
                <w:rFonts w:ascii="Arial" w:hAnsi="Arial" w:cs="Arial"/>
                <w:sz w:val="16"/>
                <w:szCs w:val="18"/>
              </w:rPr>
            </w:pPr>
          </w:p>
        </w:tc>
        <w:tc>
          <w:tcPr>
            <w:tcW w:w="993" w:type="dxa"/>
            <w:vMerge/>
            <w:tcBorders>
              <w:top w:val="nil"/>
              <w:left w:val="single" w:sz="4" w:space="0" w:color="363639"/>
              <w:bottom w:val="single" w:sz="4" w:space="0" w:color="000000"/>
              <w:right w:val="single" w:sz="4" w:space="0" w:color="363639"/>
            </w:tcBorders>
            <w:vAlign w:val="center"/>
            <w:hideMark/>
          </w:tcPr>
          <w:p w14:paraId="4AE1969E"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4B5BFEA5" w14:textId="77777777" w:rsidR="00A56CA6" w:rsidRPr="00701F32" w:rsidRDefault="00A56CA6" w:rsidP="0069179D">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2344D237" w14:textId="77777777" w:rsidR="00A56CA6" w:rsidRPr="00701F32" w:rsidRDefault="00A56CA6" w:rsidP="0069179D">
            <w:pPr>
              <w:rPr>
                <w:rFonts w:ascii="Arial" w:hAnsi="Arial" w:cs="Arial"/>
                <w:sz w:val="16"/>
                <w:szCs w:val="18"/>
              </w:rPr>
            </w:pPr>
          </w:p>
        </w:tc>
        <w:tc>
          <w:tcPr>
            <w:tcW w:w="1276" w:type="dxa"/>
            <w:vMerge/>
            <w:tcBorders>
              <w:left w:val="single" w:sz="4" w:space="0" w:color="363639"/>
              <w:right w:val="single" w:sz="4" w:space="0" w:color="363639"/>
            </w:tcBorders>
          </w:tcPr>
          <w:p w14:paraId="22414C64"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3E1C6BF3" w14:textId="77777777" w:rsidR="00A56CA6" w:rsidRPr="00701F32" w:rsidRDefault="00A56CA6" w:rsidP="0069179D">
            <w:pPr>
              <w:rPr>
                <w:rFonts w:ascii="Arial" w:hAnsi="Arial" w:cs="Arial"/>
                <w:sz w:val="16"/>
                <w:szCs w:val="18"/>
              </w:rPr>
            </w:pPr>
          </w:p>
        </w:tc>
      </w:tr>
      <w:tr w:rsidR="00A56CA6" w:rsidRPr="00701F32" w14:paraId="278F140A" w14:textId="77777777" w:rsidTr="00FF7CC8">
        <w:trPr>
          <w:trHeight w:val="188"/>
        </w:trPr>
        <w:tc>
          <w:tcPr>
            <w:tcW w:w="968" w:type="dxa"/>
            <w:vMerge/>
            <w:tcBorders>
              <w:top w:val="nil"/>
              <w:left w:val="single" w:sz="4" w:space="0" w:color="363639"/>
              <w:bottom w:val="single" w:sz="4" w:space="0" w:color="363639"/>
              <w:right w:val="single" w:sz="4" w:space="0" w:color="363639"/>
            </w:tcBorders>
            <w:vAlign w:val="center"/>
            <w:hideMark/>
          </w:tcPr>
          <w:p w14:paraId="5EB49AB5" w14:textId="77777777" w:rsidR="00A56CA6" w:rsidRPr="00701F32" w:rsidRDefault="00A56CA6" w:rsidP="0069179D">
            <w:pPr>
              <w:rPr>
                <w:rFonts w:ascii="Arial" w:hAnsi="Arial" w:cs="Arial"/>
                <w:sz w:val="16"/>
                <w:szCs w:val="18"/>
              </w:rPr>
            </w:pPr>
          </w:p>
        </w:tc>
        <w:tc>
          <w:tcPr>
            <w:tcW w:w="1862" w:type="dxa"/>
            <w:tcBorders>
              <w:top w:val="nil"/>
              <w:left w:val="nil"/>
              <w:bottom w:val="nil"/>
              <w:right w:val="single" w:sz="4" w:space="0" w:color="363639"/>
            </w:tcBorders>
            <w:shd w:val="clear" w:color="auto" w:fill="auto"/>
            <w:hideMark/>
          </w:tcPr>
          <w:p w14:paraId="51A00D9C" w14:textId="77777777" w:rsidR="00A56CA6" w:rsidRPr="00701F32" w:rsidRDefault="00A56CA6" w:rsidP="0069179D">
            <w:pPr>
              <w:jc w:val="center"/>
              <w:rPr>
                <w:rFonts w:ascii="Arial" w:hAnsi="Arial" w:cs="Arial"/>
                <w:sz w:val="16"/>
                <w:szCs w:val="16"/>
              </w:rPr>
            </w:pPr>
            <w:r w:rsidRPr="00701F32">
              <w:rPr>
                <w:rFonts w:ascii="Arial" w:hAnsi="Arial" w:cs="Arial"/>
                <w:sz w:val="16"/>
                <w:szCs w:val="16"/>
              </w:rPr>
              <w:t>Serinco</w:t>
            </w:r>
          </w:p>
        </w:tc>
        <w:tc>
          <w:tcPr>
            <w:tcW w:w="1134" w:type="dxa"/>
            <w:vMerge/>
            <w:tcBorders>
              <w:top w:val="nil"/>
              <w:left w:val="single" w:sz="4" w:space="0" w:color="363639"/>
              <w:bottom w:val="single" w:sz="4" w:space="0" w:color="000000"/>
              <w:right w:val="single" w:sz="4" w:space="0" w:color="363639"/>
            </w:tcBorders>
            <w:vAlign w:val="center"/>
            <w:hideMark/>
          </w:tcPr>
          <w:p w14:paraId="0436FD2E" w14:textId="77777777" w:rsidR="00A56CA6" w:rsidRPr="00701F32" w:rsidRDefault="00A56CA6" w:rsidP="0069179D">
            <w:pPr>
              <w:rPr>
                <w:rFonts w:ascii="Arial" w:hAnsi="Arial" w:cs="Arial"/>
                <w:sz w:val="16"/>
                <w:szCs w:val="18"/>
              </w:rPr>
            </w:pPr>
          </w:p>
        </w:tc>
        <w:tc>
          <w:tcPr>
            <w:tcW w:w="993" w:type="dxa"/>
            <w:vMerge/>
            <w:tcBorders>
              <w:top w:val="nil"/>
              <w:left w:val="single" w:sz="4" w:space="0" w:color="363639"/>
              <w:bottom w:val="single" w:sz="4" w:space="0" w:color="000000"/>
              <w:right w:val="single" w:sz="4" w:space="0" w:color="363639"/>
            </w:tcBorders>
            <w:vAlign w:val="center"/>
            <w:hideMark/>
          </w:tcPr>
          <w:p w14:paraId="4C9B8994"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05F9D1A1" w14:textId="77777777" w:rsidR="00A56CA6" w:rsidRPr="00701F32" w:rsidRDefault="00A56CA6" w:rsidP="0069179D">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5BEBBF50" w14:textId="77777777" w:rsidR="00A56CA6" w:rsidRPr="00701F32" w:rsidRDefault="00A56CA6" w:rsidP="0069179D">
            <w:pPr>
              <w:rPr>
                <w:rFonts w:ascii="Arial" w:hAnsi="Arial" w:cs="Arial"/>
                <w:sz w:val="16"/>
                <w:szCs w:val="18"/>
              </w:rPr>
            </w:pPr>
          </w:p>
        </w:tc>
        <w:tc>
          <w:tcPr>
            <w:tcW w:w="1276" w:type="dxa"/>
            <w:vMerge/>
            <w:tcBorders>
              <w:left w:val="single" w:sz="4" w:space="0" w:color="363639"/>
              <w:right w:val="single" w:sz="4" w:space="0" w:color="363639"/>
            </w:tcBorders>
          </w:tcPr>
          <w:p w14:paraId="7E17583E"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60A15036" w14:textId="77777777" w:rsidR="00A56CA6" w:rsidRPr="00701F32" w:rsidRDefault="00A56CA6" w:rsidP="0069179D">
            <w:pPr>
              <w:rPr>
                <w:rFonts w:ascii="Arial" w:hAnsi="Arial" w:cs="Arial"/>
                <w:sz w:val="16"/>
                <w:szCs w:val="18"/>
              </w:rPr>
            </w:pPr>
          </w:p>
        </w:tc>
      </w:tr>
      <w:tr w:rsidR="00A56CA6" w:rsidRPr="00701F32" w14:paraId="598498B5" w14:textId="77777777" w:rsidTr="00FF7CC8">
        <w:trPr>
          <w:trHeight w:val="188"/>
        </w:trPr>
        <w:tc>
          <w:tcPr>
            <w:tcW w:w="968" w:type="dxa"/>
            <w:vMerge/>
            <w:tcBorders>
              <w:top w:val="nil"/>
              <w:left w:val="single" w:sz="4" w:space="0" w:color="363639"/>
              <w:bottom w:val="single" w:sz="4" w:space="0" w:color="363639"/>
              <w:right w:val="single" w:sz="4" w:space="0" w:color="363639"/>
            </w:tcBorders>
            <w:vAlign w:val="center"/>
            <w:hideMark/>
          </w:tcPr>
          <w:p w14:paraId="3700971B" w14:textId="77777777" w:rsidR="00A56CA6" w:rsidRPr="00701F32" w:rsidRDefault="00A56CA6" w:rsidP="0069179D">
            <w:pPr>
              <w:rPr>
                <w:rFonts w:ascii="Arial" w:hAnsi="Arial" w:cs="Arial"/>
                <w:sz w:val="16"/>
                <w:szCs w:val="18"/>
              </w:rPr>
            </w:pPr>
          </w:p>
        </w:tc>
        <w:tc>
          <w:tcPr>
            <w:tcW w:w="1862" w:type="dxa"/>
            <w:tcBorders>
              <w:top w:val="nil"/>
              <w:left w:val="nil"/>
              <w:bottom w:val="single" w:sz="4" w:space="0" w:color="363639"/>
              <w:right w:val="single" w:sz="4" w:space="0" w:color="363639"/>
            </w:tcBorders>
            <w:shd w:val="clear" w:color="auto" w:fill="auto"/>
            <w:hideMark/>
          </w:tcPr>
          <w:p w14:paraId="2CB1A7A0" w14:textId="77777777" w:rsidR="00A56CA6" w:rsidRPr="00701F32" w:rsidRDefault="00A56CA6" w:rsidP="0069179D">
            <w:pPr>
              <w:jc w:val="center"/>
              <w:rPr>
                <w:rFonts w:ascii="Arial" w:hAnsi="Arial" w:cs="Arial"/>
                <w:sz w:val="16"/>
                <w:szCs w:val="16"/>
              </w:rPr>
            </w:pPr>
            <w:r w:rsidRPr="00701F32">
              <w:rPr>
                <w:rFonts w:ascii="Arial" w:hAnsi="Arial" w:cs="Arial"/>
                <w:sz w:val="16"/>
                <w:szCs w:val="16"/>
              </w:rPr>
              <w:t>Reporte Inmobiliario</w:t>
            </w:r>
          </w:p>
        </w:tc>
        <w:tc>
          <w:tcPr>
            <w:tcW w:w="1134" w:type="dxa"/>
            <w:vMerge/>
            <w:tcBorders>
              <w:top w:val="nil"/>
              <w:left w:val="single" w:sz="4" w:space="0" w:color="363639"/>
              <w:bottom w:val="single" w:sz="4" w:space="0" w:color="000000"/>
              <w:right w:val="single" w:sz="4" w:space="0" w:color="363639"/>
            </w:tcBorders>
            <w:vAlign w:val="center"/>
            <w:hideMark/>
          </w:tcPr>
          <w:p w14:paraId="36785D2C" w14:textId="77777777" w:rsidR="00A56CA6" w:rsidRPr="00701F32" w:rsidRDefault="00A56CA6" w:rsidP="0069179D">
            <w:pPr>
              <w:rPr>
                <w:rFonts w:ascii="Arial" w:hAnsi="Arial" w:cs="Arial"/>
                <w:sz w:val="16"/>
                <w:szCs w:val="18"/>
              </w:rPr>
            </w:pPr>
          </w:p>
        </w:tc>
        <w:tc>
          <w:tcPr>
            <w:tcW w:w="993" w:type="dxa"/>
            <w:vMerge/>
            <w:tcBorders>
              <w:top w:val="nil"/>
              <w:left w:val="single" w:sz="4" w:space="0" w:color="363639"/>
              <w:bottom w:val="single" w:sz="4" w:space="0" w:color="000000"/>
              <w:right w:val="single" w:sz="4" w:space="0" w:color="363639"/>
            </w:tcBorders>
            <w:vAlign w:val="center"/>
            <w:hideMark/>
          </w:tcPr>
          <w:p w14:paraId="429B35BA"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57690B1E" w14:textId="77777777" w:rsidR="00A56CA6" w:rsidRPr="00701F32" w:rsidRDefault="00A56CA6" w:rsidP="0069179D">
            <w:pPr>
              <w:rPr>
                <w:rFonts w:ascii="Arial" w:hAnsi="Arial" w:cs="Arial"/>
                <w:sz w:val="16"/>
                <w:szCs w:val="18"/>
              </w:rPr>
            </w:pPr>
          </w:p>
        </w:tc>
        <w:tc>
          <w:tcPr>
            <w:tcW w:w="1134" w:type="dxa"/>
            <w:vMerge/>
            <w:tcBorders>
              <w:top w:val="nil"/>
              <w:left w:val="single" w:sz="4" w:space="0" w:color="363639"/>
              <w:bottom w:val="single" w:sz="4" w:space="0" w:color="000000"/>
              <w:right w:val="single" w:sz="4" w:space="0" w:color="363639"/>
            </w:tcBorders>
            <w:vAlign w:val="center"/>
            <w:hideMark/>
          </w:tcPr>
          <w:p w14:paraId="73DC62F9" w14:textId="77777777" w:rsidR="00A56CA6" w:rsidRPr="00701F32" w:rsidRDefault="00A56CA6" w:rsidP="0069179D">
            <w:pPr>
              <w:rPr>
                <w:rFonts w:ascii="Arial" w:hAnsi="Arial" w:cs="Arial"/>
                <w:sz w:val="16"/>
                <w:szCs w:val="18"/>
              </w:rPr>
            </w:pPr>
          </w:p>
        </w:tc>
        <w:tc>
          <w:tcPr>
            <w:tcW w:w="1276" w:type="dxa"/>
            <w:vMerge/>
            <w:tcBorders>
              <w:left w:val="single" w:sz="4" w:space="0" w:color="363639"/>
              <w:bottom w:val="single" w:sz="4" w:space="0" w:color="auto"/>
              <w:right w:val="single" w:sz="4" w:space="0" w:color="363639"/>
            </w:tcBorders>
          </w:tcPr>
          <w:p w14:paraId="68CDEBEE" w14:textId="77777777" w:rsidR="00A56CA6" w:rsidRPr="00701F32" w:rsidRDefault="00A56CA6" w:rsidP="0069179D">
            <w:pPr>
              <w:rPr>
                <w:rFonts w:ascii="Arial" w:hAnsi="Arial" w:cs="Arial"/>
                <w:sz w:val="16"/>
                <w:szCs w:val="18"/>
              </w:rPr>
            </w:pPr>
          </w:p>
        </w:tc>
        <w:tc>
          <w:tcPr>
            <w:tcW w:w="992" w:type="dxa"/>
            <w:vMerge/>
            <w:tcBorders>
              <w:top w:val="nil"/>
              <w:left w:val="single" w:sz="4" w:space="0" w:color="363639"/>
              <w:bottom w:val="single" w:sz="4" w:space="0" w:color="000000"/>
              <w:right w:val="single" w:sz="4" w:space="0" w:color="363639"/>
            </w:tcBorders>
            <w:vAlign w:val="center"/>
            <w:hideMark/>
          </w:tcPr>
          <w:p w14:paraId="3EE104DE" w14:textId="77777777" w:rsidR="00A56CA6" w:rsidRPr="00701F32" w:rsidRDefault="00A56CA6" w:rsidP="0069179D">
            <w:pPr>
              <w:rPr>
                <w:rFonts w:ascii="Arial" w:hAnsi="Arial" w:cs="Arial"/>
                <w:sz w:val="16"/>
                <w:szCs w:val="18"/>
              </w:rPr>
            </w:pPr>
          </w:p>
        </w:tc>
      </w:tr>
      <w:tr w:rsidR="00A56CA6" w:rsidRPr="00701F32" w14:paraId="0835427C" w14:textId="77777777" w:rsidTr="00FF7CC8">
        <w:trPr>
          <w:trHeight w:val="188"/>
        </w:trPr>
        <w:tc>
          <w:tcPr>
            <w:tcW w:w="968" w:type="dxa"/>
            <w:tcBorders>
              <w:top w:val="nil"/>
              <w:left w:val="single" w:sz="4" w:space="0" w:color="363639"/>
              <w:bottom w:val="single" w:sz="4" w:space="0" w:color="363639"/>
              <w:right w:val="single" w:sz="4" w:space="0" w:color="363639"/>
            </w:tcBorders>
            <w:shd w:val="clear" w:color="auto" w:fill="auto"/>
            <w:hideMark/>
          </w:tcPr>
          <w:p w14:paraId="4EE32C59" w14:textId="77777777" w:rsidR="00A56CA6" w:rsidRPr="00701F32" w:rsidRDefault="00A56CA6" w:rsidP="0069179D">
            <w:pPr>
              <w:rPr>
                <w:rFonts w:ascii="Arial" w:hAnsi="Arial" w:cs="Arial"/>
                <w:b/>
                <w:bCs/>
                <w:sz w:val="16"/>
                <w:szCs w:val="18"/>
              </w:rPr>
            </w:pPr>
            <w:r w:rsidRPr="00701F32">
              <w:rPr>
                <w:rFonts w:ascii="Arial" w:hAnsi="Arial" w:cs="Arial"/>
                <w:b/>
                <w:bCs/>
                <w:color w:val="363639"/>
                <w:sz w:val="16"/>
                <w:szCs w:val="18"/>
              </w:rPr>
              <w:t>TOTALES</w:t>
            </w:r>
          </w:p>
        </w:tc>
        <w:tc>
          <w:tcPr>
            <w:tcW w:w="1862" w:type="dxa"/>
            <w:tcBorders>
              <w:top w:val="nil"/>
              <w:left w:val="nil"/>
              <w:bottom w:val="single" w:sz="4" w:space="0" w:color="363639"/>
              <w:right w:val="single" w:sz="4" w:space="0" w:color="363639"/>
            </w:tcBorders>
            <w:shd w:val="clear" w:color="auto" w:fill="auto"/>
            <w:hideMark/>
          </w:tcPr>
          <w:p w14:paraId="7C292EF1" w14:textId="77777777" w:rsidR="00A56CA6" w:rsidRPr="00701F32" w:rsidRDefault="00A56CA6" w:rsidP="0069179D">
            <w:pPr>
              <w:rPr>
                <w:rFonts w:ascii="Arial" w:hAnsi="Arial" w:cs="Arial"/>
                <w:color w:val="000000"/>
                <w:sz w:val="16"/>
                <w:szCs w:val="18"/>
              </w:rPr>
            </w:pPr>
            <w:r w:rsidRPr="00701F32">
              <w:rPr>
                <w:rFonts w:ascii="Arial" w:hAnsi="Arial" w:cs="Arial"/>
                <w:color w:val="000000"/>
                <w:sz w:val="16"/>
                <w:szCs w:val="18"/>
              </w:rPr>
              <w:t> </w:t>
            </w:r>
          </w:p>
        </w:tc>
        <w:tc>
          <w:tcPr>
            <w:tcW w:w="1134" w:type="dxa"/>
            <w:tcBorders>
              <w:top w:val="single" w:sz="4" w:space="0" w:color="363639"/>
              <w:left w:val="nil"/>
              <w:bottom w:val="single" w:sz="4" w:space="0" w:color="363639"/>
              <w:right w:val="single" w:sz="4" w:space="0" w:color="363639"/>
            </w:tcBorders>
            <w:shd w:val="clear" w:color="auto" w:fill="auto"/>
            <w:hideMark/>
          </w:tcPr>
          <w:p w14:paraId="52FAC0DF" w14:textId="77777777" w:rsidR="00A56CA6" w:rsidRPr="00701F32" w:rsidRDefault="00A56CA6" w:rsidP="0069179D">
            <w:pPr>
              <w:rPr>
                <w:rFonts w:ascii="Arial" w:hAnsi="Arial" w:cs="Arial"/>
                <w:color w:val="000000"/>
                <w:sz w:val="16"/>
                <w:szCs w:val="18"/>
              </w:rPr>
            </w:pPr>
            <w:r w:rsidRPr="00701F32">
              <w:rPr>
                <w:rFonts w:ascii="Arial" w:hAnsi="Arial" w:cs="Arial"/>
                <w:color w:val="000000"/>
                <w:sz w:val="16"/>
                <w:szCs w:val="18"/>
              </w:rPr>
              <w:t> </w:t>
            </w:r>
          </w:p>
        </w:tc>
        <w:tc>
          <w:tcPr>
            <w:tcW w:w="993" w:type="dxa"/>
            <w:tcBorders>
              <w:top w:val="nil"/>
              <w:left w:val="nil"/>
              <w:bottom w:val="single" w:sz="4" w:space="0" w:color="auto"/>
              <w:right w:val="single" w:sz="4" w:space="0" w:color="363639"/>
            </w:tcBorders>
            <w:shd w:val="clear" w:color="auto" w:fill="auto"/>
            <w:noWrap/>
            <w:vAlign w:val="bottom"/>
            <w:hideMark/>
          </w:tcPr>
          <w:p w14:paraId="78C60572" w14:textId="77777777" w:rsidR="00A56CA6" w:rsidRPr="00701F32" w:rsidRDefault="00A56CA6" w:rsidP="0069179D">
            <w:pPr>
              <w:jc w:val="right"/>
              <w:rPr>
                <w:rFonts w:ascii="Arial" w:hAnsi="Arial" w:cs="Arial"/>
                <w:b/>
                <w:sz w:val="16"/>
                <w:szCs w:val="18"/>
              </w:rPr>
            </w:pPr>
            <w:r w:rsidRPr="00701F32">
              <w:rPr>
                <w:rFonts w:ascii="Arial" w:hAnsi="Arial" w:cs="Arial"/>
                <w:b/>
                <w:sz w:val="16"/>
                <w:szCs w:val="18"/>
              </w:rPr>
              <w:t>119.688</w:t>
            </w:r>
          </w:p>
        </w:tc>
        <w:tc>
          <w:tcPr>
            <w:tcW w:w="992" w:type="dxa"/>
            <w:tcBorders>
              <w:top w:val="nil"/>
              <w:left w:val="nil"/>
              <w:bottom w:val="single" w:sz="4" w:space="0" w:color="auto"/>
              <w:right w:val="single" w:sz="4" w:space="0" w:color="363639"/>
            </w:tcBorders>
            <w:shd w:val="clear" w:color="auto" w:fill="auto"/>
            <w:noWrap/>
            <w:vAlign w:val="bottom"/>
            <w:hideMark/>
          </w:tcPr>
          <w:p w14:paraId="5FCBEFD5" w14:textId="77777777" w:rsidR="00A56CA6" w:rsidRPr="00701F32" w:rsidRDefault="00A56CA6" w:rsidP="0069179D">
            <w:pPr>
              <w:jc w:val="right"/>
              <w:rPr>
                <w:rFonts w:ascii="Arial" w:hAnsi="Arial" w:cs="Arial"/>
                <w:b/>
                <w:sz w:val="16"/>
                <w:szCs w:val="18"/>
              </w:rPr>
            </w:pPr>
            <w:r w:rsidRPr="00701F32">
              <w:rPr>
                <w:rFonts w:ascii="Arial" w:hAnsi="Arial" w:cs="Arial"/>
                <w:b/>
                <w:sz w:val="16"/>
                <w:szCs w:val="18"/>
              </w:rPr>
              <w:t>83.191</w:t>
            </w:r>
          </w:p>
        </w:tc>
        <w:tc>
          <w:tcPr>
            <w:tcW w:w="1134" w:type="dxa"/>
            <w:tcBorders>
              <w:top w:val="nil"/>
              <w:left w:val="nil"/>
              <w:bottom w:val="single" w:sz="4" w:space="0" w:color="auto"/>
              <w:right w:val="single" w:sz="4" w:space="0" w:color="auto"/>
            </w:tcBorders>
            <w:shd w:val="clear" w:color="auto" w:fill="auto"/>
            <w:noWrap/>
            <w:vAlign w:val="bottom"/>
            <w:hideMark/>
          </w:tcPr>
          <w:p w14:paraId="2DBC9D51" w14:textId="77777777" w:rsidR="00A56CA6" w:rsidRPr="00701F32" w:rsidRDefault="00A56CA6" w:rsidP="0069179D">
            <w:pPr>
              <w:jc w:val="right"/>
              <w:rPr>
                <w:rFonts w:ascii="Arial" w:hAnsi="Arial" w:cs="Arial"/>
                <w:b/>
                <w:sz w:val="16"/>
                <w:szCs w:val="18"/>
              </w:rPr>
            </w:pPr>
            <w:r w:rsidRPr="00701F32">
              <w:rPr>
                <w:rFonts w:ascii="Arial" w:hAnsi="Arial" w:cs="Arial"/>
                <w:b/>
                <w:sz w:val="16"/>
                <w:szCs w:val="18"/>
              </w:rPr>
              <w:t>202.879</w:t>
            </w:r>
          </w:p>
        </w:tc>
        <w:tc>
          <w:tcPr>
            <w:tcW w:w="1276" w:type="dxa"/>
            <w:tcBorders>
              <w:top w:val="single" w:sz="4" w:space="0" w:color="auto"/>
              <w:left w:val="single" w:sz="4" w:space="0" w:color="auto"/>
              <w:bottom w:val="single" w:sz="4" w:space="0" w:color="auto"/>
              <w:right w:val="single" w:sz="4" w:space="0" w:color="auto"/>
            </w:tcBorders>
          </w:tcPr>
          <w:p w14:paraId="37EBE539" w14:textId="77777777" w:rsidR="00A56CA6" w:rsidRPr="00701F32" w:rsidRDefault="00A56CA6" w:rsidP="0069179D">
            <w:pPr>
              <w:jc w:val="right"/>
              <w:rPr>
                <w:rFonts w:ascii="Arial" w:hAnsi="Arial" w:cs="Arial"/>
                <w:b/>
                <w:sz w:val="16"/>
                <w:szCs w:val="18"/>
              </w:rPr>
            </w:pPr>
            <w:r w:rsidRPr="00701F32">
              <w:rPr>
                <w:rFonts w:ascii="Arial" w:hAnsi="Arial" w:cs="Arial"/>
                <w:b/>
                <w:sz w:val="16"/>
                <w:szCs w:val="18"/>
              </w:rPr>
              <w:t>(21.545</w:t>
            </w:r>
            <w:r w:rsidR="001934D5" w:rsidRPr="00701F32">
              <w:rPr>
                <w:rFonts w:ascii="Arial" w:hAnsi="Arial" w:cs="Arial"/>
                <w:b/>
                <w:sz w:val="16"/>
                <w:szCs w:val="18"/>
              </w:rPr>
              <w:t>)</w:t>
            </w:r>
          </w:p>
        </w:tc>
        <w:tc>
          <w:tcPr>
            <w:tcW w:w="992" w:type="dxa"/>
            <w:tcBorders>
              <w:top w:val="nil"/>
              <w:left w:val="single" w:sz="4" w:space="0" w:color="auto"/>
              <w:bottom w:val="single" w:sz="4" w:space="0" w:color="auto"/>
              <w:right w:val="single" w:sz="4" w:space="0" w:color="363639"/>
            </w:tcBorders>
            <w:shd w:val="clear" w:color="auto" w:fill="auto"/>
            <w:noWrap/>
            <w:vAlign w:val="bottom"/>
            <w:hideMark/>
          </w:tcPr>
          <w:p w14:paraId="6FC58968" w14:textId="77777777" w:rsidR="00A56CA6" w:rsidRPr="00701F32" w:rsidRDefault="00A56CA6" w:rsidP="0069179D">
            <w:pPr>
              <w:jc w:val="right"/>
              <w:rPr>
                <w:rFonts w:ascii="Arial" w:hAnsi="Arial" w:cs="Arial"/>
                <w:b/>
                <w:sz w:val="16"/>
                <w:szCs w:val="18"/>
              </w:rPr>
            </w:pPr>
            <w:r w:rsidRPr="00701F32">
              <w:rPr>
                <w:rFonts w:ascii="Arial" w:hAnsi="Arial" w:cs="Arial"/>
                <w:b/>
                <w:sz w:val="16"/>
                <w:szCs w:val="18"/>
              </w:rPr>
              <w:t>344.518</w:t>
            </w:r>
          </w:p>
        </w:tc>
      </w:tr>
    </w:tbl>
    <w:p w14:paraId="7E445181" w14:textId="77777777" w:rsidR="00A56CA6" w:rsidRPr="00701F32" w:rsidRDefault="00A56CA6" w:rsidP="00656E62">
      <w:pPr>
        <w:spacing w:after="160" w:line="259" w:lineRule="auto"/>
        <w:jc w:val="both"/>
        <w:rPr>
          <w:rFonts w:ascii="Arial" w:eastAsia="Calibri" w:hAnsi="Arial" w:cs="Arial"/>
          <w:sz w:val="20"/>
        </w:rPr>
      </w:pPr>
    </w:p>
    <w:p w14:paraId="1DF7C67D" w14:textId="77777777" w:rsidR="00656E62" w:rsidRPr="00701F32" w:rsidRDefault="00D57127" w:rsidP="00656E62">
      <w:pPr>
        <w:spacing w:after="160" w:line="259" w:lineRule="auto"/>
        <w:jc w:val="both"/>
        <w:rPr>
          <w:rFonts w:ascii="Arial" w:eastAsia="Calibri" w:hAnsi="Arial" w:cs="Arial"/>
          <w:sz w:val="20"/>
        </w:rPr>
      </w:pPr>
      <w:r w:rsidRPr="00701F32">
        <w:rPr>
          <w:rFonts w:ascii="Arial" w:eastAsia="Calibri" w:hAnsi="Arial" w:cs="Arial"/>
          <w:b/>
          <w:sz w:val="20"/>
        </w:rPr>
        <w:t>17</w:t>
      </w:r>
      <w:r w:rsidR="00656E62" w:rsidRPr="00701F32">
        <w:rPr>
          <w:rFonts w:ascii="Arial" w:eastAsia="Calibri" w:hAnsi="Arial" w:cs="Arial"/>
          <w:b/>
          <w:sz w:val="20"/>
        </w:rPr>
        <w:t>.</w:t>
      </w:r>
      <w:r w:rsidR="00AD4A7A" w:rsidRPr="00701F32">
        <w:rPr>
          <w:rFonts w:ascii="Arial" w:eastAsia="Calibri" w:hAnsi="Arial" w:cs="Arial"/>
          <w:b/>
          <w:sz w:val="20"/>
        </w:rPr>
        <w:t>8</w:t>
      </w:r>
      <w:r w:rsidR="00656E62" w:rsidRPr="00701F32">
        <w:rPr>
          <w:rFonts w:ascii="Arial" w:eastAsia="Calibri" w:hAnsi="Arial" w:cs="Arial"/>
          <w:b/>
          <w:sz w:val="20"/>
        </w:rPr>
        <w:t xml:space="preserve"> Propiedades de Inversión</w:t>
      </w:r>
    </w:p>
    <w:p w14:paraId="4586705E"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 xml:space="preserve">Los movimientos en propiedades de inversión para </w:t>
      </w:r>
      <w:r w:rsidR="00195684" w:rsidRPr="00701F32">
        <w:rPr>
          <w:rFonts w:ascii="Arial" w:eastAsia="Calibri" w:hAnsi="Arial" w:cs="Arial"/>
          <w:sz w:val="20"/>
        </w:rPr>
        <w:t>e</w:t>
      </w:r>
      <w:r w:rsidRPr="00701F32">
        <w:rPr>
          <w:rFonts w:ascii="Arial" w:eastAsia="Calibri" w:hAnsi="Arial" w:cs="Arial"/>
          <w:sz w:val="20"/>
        </w:rPr>
        <w:t>l ejercicio finalizado el 31 de diciembre 2017 fueron los siguientes:</w:t>
      </w:r>
    </w:p>
    <w:tbl>
      <w:tblPr>
        <w:tblW w:w="8835" w:type="dxa"/>
        <w:tblInd w:w="212" w:type="dxa"/>
        <w:tblCellMar>
          <w:left w:w="70" w:type="dxa"/>
          <w:right w:w="70" w:type="dxa"/>
        </w:tblCellMar>
        <w:tblLook w:val="04A0" w:firstRow="1" w:lastRow="0" w:firstColumn="1" w:lastColumn="0" w:noHBand="0" w:noVBand="1"/>
      </w:tblPr>
      <w:tblGrid>
        <w:gridCol w:w="2388"/>
        <w:gridCol w:w="1084"/>
        <w:gridCol w:w="1142"/>
        <w:gridCol w:w="1178"/>
        <w:gridCol w:w="869"/>
        <w:gridCol w:w="1131"/>
        <w:gridCol w:w="1043"/>
      </w:tblGrid>
      <w:tr w:rsidR="00195684" w:rsidRPr="00701F32" w14:paraId="061D2320" w14:textId="77777777" w:rsidTr="000B2ED3">
        <w:trPr>
          <w:trHeight w:val="173"/>
        </w:trPr>
        <w:tc>
          <w:tcPr>
            <w:tcW w:w="2388"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5191A083" w14:textId="77777777" w:rsidR="000A1F0D" w:rsidRPr="00701F32" w:rsidRDefault="000A1F0D" w:rsidP="000B2ED3">
            <w:pPr>
              <w:jc w:val="center"/>
              <w:rPr>
                <w:rFonts w:ascii="Arial" w:hAnsi="Arial" w:cs="Arial"/>
                <w:b/>
                <w:bCs/>
                <w:color w:val="363639"/>
                <w:sz w:val="14"/>
                <w:szCs w:val="12"/>
              </w:rPr>
            </w:pPr>
          </w:p>
          <w:p w14:paraId="5AC79DAD" w14:textId="77777777" w:rsidR="00195684" w:rsidRPr="00701F32" w:rsidRDefault="00195684" w:rsidP="000B2ED3">
            <w:pPr>
              <w:jc w:val="center"/>
              <w:rPr>
                <w:rFonts w:ascii="Arial" w:hAnsi="Arial" w:cs="Arial"/>
                <w:b/>
                <w:bCs/>
                <w:sz w:val="14"/>
                <w:szCs w:val="12"/>
                <w:lang w:eastAsia="es-AR"/>
              </w:rPr>
            </w:pPr>
            <w:r w:rsidRPr="00701F32">
              <w:rPr>
                <w:rFonts w:ascii="Arial" w:hAnsi="Arial" w:cs="Arial"/>
                <w:b/>
                <w:bCs/>
                <w:color w:val="363639"/>
                <w:sz w:val="14"/>
                <w:szCs w:val="12"/>
              </w:rPr>
              <w:t>Concepto</w:t>
            </w:r>
          </w:p>
        </w:tc>
        <w:tc>
          <w:tcPr>
            <w:tcW w:w="1084"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36F8D8C1"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Valor de origen al inicio del ejercicio</w:t>
            </w:r>
          </w:p>
        </w:tc>
        <w:tc>
          <w:tcPr>
            <w:tcW w:w="1142"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03A034F7"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Vida Útil total estimada en años</w:t>
            </w:r>
          </w:p>
        </w:tc>
        <w:tc>
          <w:tcPr>
            <w:tcW w:w="1178"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341C9AD5"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Pérdida/ Ganancia Neta por medición a VR</w:t>
            </w:r>
          </w:p>
        </w:tc>
        <w:tc>
          <w:tcPr>
            <w:tcW w:w="869"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486CB292"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Altas</w:t>
            </w:r>
          </w:p>
        </w:tc>
        <w:tc>
          <w:tcPr>
            <w:tcW w:w="1131" w:type="dxa"/>
            <w:vMerge w:val="restart"/>
            <w:tcBorders>
              <w:top w:val="single" w:sz="4" w:space="0" w:color="363639"/>
              <w:left w:val="single" w:sz="4" w:space="0" w:color="363639"/>
              <w:bottom w:val="single" w:sz="4" w:space="0" w:color="363639"/>
              <w:right w:val="single" w:sz="4" w:space="0" w:color="363639"/>
            </w:tcBorders>
            <w:shd w:val="clear" w:color="auto" w:fill="auto"/>
            <w:vAlign w:val="bottom"/>
            <w:hideMark/>
          </w:tcPr>
          <w:p w14:paraId="0D0B790A"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Bajas</w:t>
            </w:r>
          </w:p>
        </w:tc>
        <w:tc>
          <w:tcPr>
            <w:tcW w:w="1043" w:type="dxa"/>
            <w:vMerge w:val="restart"/>
            <w:tcBorders>
              <w:top w:val="single" w:sz="4" w:space="0" w:color="363639"/>
              <w:left w:val="single" w:sz="4" w:space="0" w:color="363639"/>
              <w:right w:val="single" w:sz="4" w:space="0" w:color="363639"/>
            </w:tcBorders>
            <w:shd w:val="clear" w:color="auto" w:fill="auto"/>
            <w:vAlign w:val="bottom"/>
            <w:hideMark/>
          </w:tcPr>
          <w:p w14:paraId="0C2F1AA0" w14:textId="77777777" w:rsidR="00195684" w:rsidRPr="00701F32" w:rsidRDefault="00195684" w:rsidP="000B2ED3">
            <w:pPr>
              <w:jc w:val="center"/>
              <w:rPr>
                <w:rFonts w:ascii="Arial" w:hAnsi="Arial" w:cs="Arial"/>
                <w:b/>
                <w:bCs/>
                <w:sz w:val="14"/>
                <w:szCs w:val="12"/>
              </w:rPr>
            </w:pPr>
            <w:r w:rsidRPr="00701F32">
              <w:rPr>
                <w:rFonts w:ascii="Arial" w:hAnsi="Arial" w:cs="Arial"/>
                <w:b/>
                <w:bCs/>
                <w:color w:val="363639"/>
                <w:sz w:val="14"/>
                <w:szCs w:val="12"/>
              </w:rPr>
              <w:t>Valor residual al cierre del período</w:t>
            </w:r>
          </w:p>
        </w:tc>
      </w:tr>
      <w:tr w:rsidR="00195684" w:rsidRPr="00701F32" w14:paraId="7B3E9C24" w14:textId="77777777" w:rsidTr="000B2ED3">
        <w:trPr>
          <w:trHeight w:val="173"/>
        </w:trPr>
        <w:tc>
          <w:tcPr>
            <w:tcW w:w="2388" w:type="dxa"/>
            <w:vMerge/>
            <w:tcBorders>
              <w:top w:val="single" w:sz="4" w:space="0" w:color="363639"/>
              <w:left w:val="single" w:sz="4" w:space="0" w:color="363639"/>
              <w:bottom w:val="single" w:sz="4" w:space="0" w:color="363639"/>
              <w:right w:val="single" w:sz="4" w:space="0" w:color="363639"/>
            </w:tcBorders>
            <w:vAlign w:val="bottom"/>
            <w:hideMark/>
          </w:tcPr>
          <w:p w14:paraId="26D9428A" w14:textId="77777777" w:rsidR="00195684" w:rsidRPr="00701F32" w:rsidRDefault="00195684" w:rsidP="000B2ED3">
            <w:pPr>
              <w:jc w:val="center"/>
              <w:rPr>
                <w:rFonts w:ascii="Arial" w:hAnsi="Arial" w:cs="Arial"/>
                <w:b/>
                <w:bCs/>
                <w:sz w:val="14"/>
                <w:szCs w:val="12"/>
              </w:rPr>
            </w:pPr>
          </w:p>
        </w:tc>
        <w:tc>
          <w:tcPr>
            <w:tcW w:w="1084" w:type="dxa"/>
            <w:vMerge/>
            <w:tcBorders>
              <w:top w:val="single" w:sz="4" w:space="0" w:color="363639"/>
              <w:left w:val="single" w:sz="4" w:space="0" w:color="363639"/>
              <w:bottom w:val="single" w:sz="4" w:space="0" w:color="363639"/>
              <w:right w:val="single" w:sz="4" w:space="0" w:color="363639"/>
            </w:tcBorders>
            <w:vAlign w:val="bottom"/>
            <w:hideMark/>
          </w:tcPr>
          <w:p w14:paraId="77DA7FA5" w14:textId="77777777" w:rsidR="00195684" w:rsidRPr="00701F32" w:rsidRDefault="00195684" w:rsidP="000B2ED3">
            <w:pPr>
              <w:jc w:val="center"/>
              <w:rPr>
                <w:rFonts w:ascii="Arial" w:hAnsi="Arial" w:cs="Arial"/>
                <w:b/>
                <w:bCs/>
                <w:sz w:val="14"/>
                <w:szCs w:val="12"/>
              </w:rPr>
            </w:pPr>
          </w:p>
        </w:tc>
        <w:tc>
          <w:tcPr>
            <w:tcW w:w="1142" w:type="dxa"/>
            <w:vMerge/>
            <w:tcBorders>
              <w:top w:val="single" w:sz="4" w:space="0" w:color="363639"/>
              <w:left w:val="single" w:sz="4" w:space="0" w:color="363639"/>
              <w:bottom w:val="single" w:sz="4" w:space="0" w:color="363639"/>
              <w:right w:val="single" w:sz="4" w:space="0" w:color="363639"/>
            </w:tcBorders>
            <w:vAlign w:val="bottom"/>
            <w:hideMark/>
          </w:tcPr>
          <w:p w14:paraId="145FE324" w14:textId="77777777" w:rsidR="00195684" w:rsidRPr="00701F32" w:rsidRDefault="00195684" w:rsidP="000B2ED3">
            <w:pPr>
              <w:jc w:val="center"/>
              <w:rPr>
                <w:rFonts w:ascii="Arial" w:hAnsi="Arial" w:cs="Arial"/>
                <w:b/>
                <w:bCs/>
                <w:sz w:val="14"/>
                <w:szCs w:val="12"/>
              </w:rPr>
            </w:pPr>
          </w:p>
        </w:tc>
        <w:tc>
          <w:tcPr>
            <w:tcW w:w="1178" w:type="dxa"/>
            <w:vMerge/>
            <w:tcBorders>
              <w:top w:val="single" w:sz="4" w:space="0" w:color="363639"/>
              <w:left w:val="single" w:sz="4" w:space="0" w:color="363639"/>
              <w:bottom w:val="single" w:sz="4" w:space="0" w:color="363639"/>
              <w:right w:val="single" w:sz="4" w:space="0" w:color="363639"/>
            </w:tcBorders>
            <w:vAlign w:val="bottom"/>
            <w:hideMark/>
          </w:tcPr>
          <w:p w14:paraId="3D999BD8" w14:textId="77777777" w:rsidR="00195684" w:rsidRPr="00701F32" w:rsidRDefault="00195684" w:rsidP="000B2ED3">
            <w:pPr>
              <w:jc w:val="center"/>
              <w:rPr>
                <w:rFonts w:ascii="Arial" w:hAnsi="Arial" w:cs="Arial"/>
                <w:b/>
                <w:bCs/>
                <w:sz w:val="14"/>
                <w:szCs w:val="12"/>
              </w:rPr>
            </w:pPr>
          </w:p>
        </w:tc>
        <w:tc>
          <w:tcPr>
            <w:tcW w:w="869" w:type="dxa"/>
            <w:vMerge/>
            <w:tcBorders>
              <w:top w:val="single" w:sz="4" w:space="0" w:color="363639"/>
              <w:left w:val="single" w:sz="4" w:space="0" w:color="363639"/>
              <w:bottom w:val="single" w:sz="4" w:space="0" w:color="363639"/>
              <w:right w:val="single" w:sz="4" w:space="0" w:color="363639"/>
            </w:tcBorders>
            <w:vAlign w:val="bottom"/>
            <w:hideMark/>
          </w:tcPr>
          <w:p w14:paraId="48FC770C" w14:textId="77777777" w:rsidR="00195684" w:rsidRPr="00701F32" w:rsidRDefault="00195684" w:rsidP="000B2ED3">
            <w:pPr>
              <w:jc w:val="center"/>
              <w:rPr>
                <w:rFonts w:ascii="Arial" w:hAnsi="Arial" w:cs="Arial"/>
                <w:b/>
                <w:bCs/>
                <w:sz w:val="14"/>
                <w:szCs w:val="12"/>
              </w:rPr>
            </w:pPr>
          </w:p>
        </w:tc>
        <w:tc>
          <w:tcPr>
            <w:tcW w:w="1131" w:type="dxa"/>
            <w:vMerge/>
            <w:tcBorders>
              <w:top w:val="single" w:sz="4" w:space="0" w:color="363639"/>
              <w:left w:val="single" w:sz="4" w:space="0" w:color="363639"/>
              <w:bottom w:val="single" w:sz="4" w:space="0" w:color="363639"/>
              <w:right w:val="single" w:sz="4" w:space="0" w:color="363639"/>
            </w:tcBorders>
            <w:vAlign w:val="bottom"/>
            <w:hideMark/>
          </w:tcPr>
          <w:p w14:paraId="186FEF70" w14:textId="77777777" w:rsidR="00195684" w:rsidRPr="00701F32" w:rsidRDefault="00195684" w:rsidP="000B2ED3">
            <w:pPr>
              <w:jc w:val="center"/>
              <w:rPr>
                <w:rFonts w:ascii="Arial" w:hAnsi="Arial" w:cs="Arial"/>
                <w:b/>
                <w:bCs/>
                <w:sz w:val="14"/>
                <w:szCs w:val="12"/>
              </w:rPr>
            </w:pPr>
          </w:p>
        </w:tc>
        <w:tc>
          <w:tcPr>
            <w:tcW w:w="1043" w:type="dxa"/>
            <w:vMerge/>
            <w:tcBorders>
              <w:left w:val="single" w:sz="4" w:space="0" w:color="363639"/>
              <w:bottom w:val="single" w:sz="4" w:space="0" w:color="363639"/>
              <w:right w:val="single" w:sz="4" w:space="0" w:color="363639"/>
            </w:tcBorders>
            <w:vAlign w:val="bottom"/>
            <w:hideMark/>
          </w:tcPr>
          <w:p w14:paraId="19415AA1" w14:textId="77777777" w:rsidR="00195684" w:rsidRPr="00701F32" w:rsidRDefault="00195684" w:rsidP="000B2ED3">
            <w:pPr>
              <w:jc w:val="center"/>
              <w:rPr>
                <w:rFonts w:ascii="Arial" w:hAnsi="Arial" w:cs="Arial"/>
                <w:b/>
                <w:bCs/>
                <w:sz w:val="14"/>
                <w:szCs w:val="12"/>
              </w:rPr>
            </w:pPr>
          </w:p>
        </w:tc>
      </w:tr>
      <w:tr w:rsidR="00195684" w:rsidRPr="00701F32" w14:paraId="0A868699" w14:textId="77777777" w:rsidTr="000B2ED3">
        <w:trPr>
          <w:trHeight w:val="172"/>
        </w:trPr>
        <w:tc>
          <w:tcPr>
            <w:tcW w:w="8835" w:type="dxa"/>
            <w:gridSpan w:val="7"/>
            <w:tcBorders>
              <w:top w:val="single" w:sz="4" w:space="0" w:color="auto"/>
              <w:left w:val="single" w:sz="4" w:space="0" w:color="auto"/>
              <w:bottom w:val="single" w:sz="4" w:space="0" w:color="auto"/>
              <w:right w:val="single" w:sz="4" w:space="0" w:color="auto"/>
            </w:tcBorders>
            <w:shd w:val="clear" w:color="auto" w:fill="auto"/>
          </w:tcPr>
          <w:p w14:paraId="2BF90020" w14:textId="77777777" w:rsidR="00195684" w:rsidRPr="00701F32" w:rsidRDefault="00195684" w:rsidP="000B2ED3">
            <w:pPr>
              <w:rPr>
                <w:rFonts w:ascii="Arial" w:hAnsi="Arial" w:cs="Arial"/>
                <w:b/>
                <w:bCs/>
                <w:sz w:val="14"/>
                <w:szCs w:val="12"/>
                <w:lang w:val="es-ES_tradnl"/>
              </w:rPr>
            </w:pPr>
            <w:r w:rsidRPr="00701F32">
              <w:rPr>
                <w:rFonts w:ascii="Arial" w:hAnsi="Arial" w:cs="Arial"/>
                <w:b/>
                <w:color w:val="363639"/>
                <w:sz w:val="14"/>
                <w:szCs w:val="12"/>
              </w:rPr>
              <w:t>Medición al valor razonable</w:t>
            </w:r>
          </w:p>
        </w:tc>
      </w:tr>
      <w:tr w:rsidR="00195684" w:rsidRPr="00701F32" w14:paraId="6232678F" w14:textId="77777777" w:rsidTr="000B2ED3">
        <w:trPr>
          <w:trHeight w:val="1"/>
        </w:trPr>
        <w:tc>
          <w:tcPr>
            <w:tcW w:w="2388" w:type="dxa"/>
            <w:tcBorders>
              <w:top w:val="single" w:sz="4" w:space="0" w:color="auto"/>
              <w:left w:val="single" w:sz="4" w:space="0" w:color="363639"/>
              <w:bottom w:val="single" w:sz="4" w:space="0" w:color="363639"/>
              <w:right w:val="single" w:sz="4" w:space="0" w:color="363639"/>
            </w:tcBorders>
            <w:shd w:val="clear" w:color="auto" w:fill="auto"/>
            <w:hideMark/>
          </w:tcPr>
          <w:p w14:paraId="65E64D2F" w14:textId="77777777" w:rsidR="00195684" w:rsidRPr="00701F32" w:rsidRDefault="00195684" w:rsidP="000B2ED3">
            <w:pPr>
              <w:rPr>
                <w:rFonts w:ascii="Arial" w:hAnsi="Arial" w:cs="Arial"/>
                <w:sz w:val="14"/>
                <w:szCs w:val="12"/>
              </w:rPr>
            </w:pPr>
            <w:r w:rsidRPr="00701F32">
              <w:rPr>
                <w:rFonts w:ascii="Arial" w:hAnsi="Arial" w:cs="Arial"/>
                <w:color w:val="363639"/>
                <w:sz w:val="14"/>
                <w:szCs w:val="12"/>
              </w:rPr>
              <w:t>Inmuebles alquilados</w:t>
            </w:r>
          </w:p>
        </w:tc>
        <w:tc>
          <w:tcPr>
            <w:tcW w:w="1084" w:type="dxa"/>
            <w:tcBorders>
              <w:top w:val="single" w:sz="4" w:space="0" w:color="auto"/>
              <w:left w:val="nil"/>
              <w:bottom w:val="single" w:sz="4" w:space="0" w:color="auto"/>
              <w:right w:val="single" w:sz="4" w:space="0" w:color="363639"/>
            </w:tcBorders>
            <w:shd w:val="clear" w:color="auto" w:fill="auto"/>
            <w:noWrap/>
            <w:vAlign w:val="bottom"/>
            <w:hideMark/>
          </w:tcPr>
          <w:p w14:paraId="4F2BE75B" w14:textId="77777777" w:rsidR="00195684" w:rsidRPr="00701F32" w:rsidRDefault="00195684" w:rsidP="000B2ED3">
            <w:pPr>
              <w:jc w:val="right"/>
              <w:rPr>
                <w:rFonts w:ascii="Arial" w:hAnsi="Arial" w:cs="Arial"/>
                <w:b/>
                <w:bCs/>
                <w:sz w:val="14"/>
                <w:szCs w:val="12"/>
              </w:rPr>
            </w:pPr>
            <w:r w:rsidRPr="00701F32">
              <w:rPr>
                <w:rFonts w:ascii="Arial" w:hAnsi="Arial" w:cs="Arial"/>
                <w:b/>
                <w:bCs/>
                <w:sz w:val="14"/>
                <w:szCs w:val="12"/>
              </w:rPr>
              <w:t xml:space="preserve">     481.529 </w:t>
            </w:r>
          </w:p>
        </w:tc>
        <w:tc>
          <w:tcPr>
            <w:tcW w:w="1142" w:type="dxa"/>
            <w:tcBorders>
              <w:top w:val="single" w:sz="4" w:space="0" w:color="auto"/>
              <w:left w:val="nil"/>
              <w:bottom w:val="single" w:sz="4" w:space="0" w:color="auto"/>
              <w:right w:val="single" w:sz="4" w:space="0" w:color="363639"/>
            </w:tcBorders>
            <w:shd w:val="clear" w:color="auto" w:fill="auto"/>
            <w:noWrap/>
            <w:vAlign w:val="bottom"/>
            <w:hideMark/>
          </w:tcPr>
          <w:p w14:paraId="62575B62" w14:textId="77777777" w:rsidR="00195684" w:rsidRPr="00701F32" w:rsidRDefault="00195684" w:rsidP="000B2ED3">
            <w:pPr>
              <w:jc w:val="right"/>
              <w:rPr>
                <w:rFonts w:ascii="Arial" w:hAnsi="Arial" w:cs="Arial"/>
                <w:sz w:val="14"/>
                <w:szCs w:val="12"/>
              </w:rPr>
            </w:pPr>
            <w:r w:rsidRPr="00701F32">
              <w:rPr>
                <w:rFonts w:ascii="Arial" w:hAnsi="Arial" w:cs="Arial"/>
                <w:sz w:val="14"/>
                <w:szCs w:val="12"/>
              </w:rPr>
              <w:t>50</w:t>
            </w:r>
          </w:p>
        </w:tc>
        <w:tc>
          <w:tcPr>
            <w:tcW w:w="1178" w:type="dxa"/>
            <w:tcBorders>
              <w:top w:val="single" w:sz="4" w:space="0" w:color="auto"/>
              <w:left w:val="nil"/>
              <w:bottom w:val="single" w:sz="4" w:space="0" w:color="auto"/>
              <w:right w:val="single" w:sz="4" w:space="0" w:color="363639"/>
            </w:tcBorders>
            <w:shd w:val="clear" w:color="auto" w:fill="auto"/>
            <w:noWrap/>
            <w:vAlign w:val="bottom"/>
            <w:hideMark/>
          </w:tcPr>
          <w:p w14:paraId="4C59A9D3"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16.920 </w:t>
            </w:r>
          </w:p>
        </w:tc>
        <w:tc>
          <w:tcPr>
            <w:tcW w:w="869" w:type="dxa"/>
            <w:tcBorders>
              <w:top w:val="single" w:sz="4" w:space="0" w:color="auto"/>
              <w:left w:val="nil"/>
              <w:bottom w:val="single" w:sz="4" w:space="0" w:color="auto"/>
              <w:right w:val="single" w:sz="4" w:space="0" w:color="363639"/>
            </w:tcBorders>
            <w:shd w:val="clear" w:color="auto" w:fill="auto"/>
            <w:noWrap/>
            <w:vAlign w:val="bottom"/>
            <w:hideMark/>
          </w:tcPr>
          <w:p w14:paraId="26D4DAB9"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14.294 </w:t>
            </w:r>
          </w:p>
        </w:tc>
        <w:tc>
          <w:tcPr>
            <w:tcW w:w="1131" w:type="dxa"/>
            <w:tcBorders>
              <w:top w:val="single" w:sz="4" w:space="0" w:color="auto"/>
              <w:left w:val="nil"/>
              <w:bottom w:val="single" w:sz="4" w:space="0" w:color="auto"/>
              <w:right w:val="single" w:sz="4" w:space="0" w:color="363639"/>
            </w:tcBorders>
            <w:shd w:val="clear" w:color="auto" w:fill="auto"/>
            <w:noWrap/>
            <w:vAlign w:val="bottom"/>
            <w:hideMark/>
          </w:tcPr>
          <w:p w14:paraId="4ED7A13B"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(314.372)</w:t>
            </w:r>
          </w:p>
        </w:tc>
        <w:tc>
          <w:tcPr>
            <w:tcW w:w="1043" w:type="dxa"/>
            <w:tcBorders>
              <w:top w:val="single" w:sz="4" w:space="0" w:color="auto"/>
              <w:left w:val="nil"/>
              <w:bottom w:val="single" w:sz="4" w:space="0" w:color="auto"/>
              <w:right w:val="single" w:sz="4" w:space="0" w:color="363639"/>
            </w:tcBorders>
            <w:shd w:val="clear" w:color="auto" w:fill="auto"/>
            <w:noWrap/>
            <w:vAlign w:val="bottom"/>
            <w:hideMark/>
          </w:tcPr>
          <w:p w14:paraId="41512CD9" w14:textId="77777777" w:rsidR="00195684" w:rsidRPr="00701F32" w:rsidRDefault="00195684" w:rsidP="000B2ED3">
            <w:pPr>
              <w:jc w:val="right"/>
              <w:rPr>
                <w:rFonts w:ascii="Arial" w:hAnsi="Arial" w:cs="Arial"/>
                <w:b/>
                <w:bCs/>
                <w:sz w:val="14"/>
                <w:szCs w:val="12"/>
                <w:lang w:val="es-ES_tradnl"/>
              </w:rPr>
            </w:pPr>
            <w:r w:rsidRPr="00701F32">
              <w:rPr>
                <w:rFonts w:ascii="Arial" w:hAnsi="Arial" w:cs="Arial"/>
                <w:b/>
                <w:bCs/>
                <w:sz w:val="14"/>
                <w:szCs w:val="12"/>
              </w:rPr>
              <w:t xml:space="preserve">    198.371 </w:t>
            </w:r>
          </w:p>
        </w:tc>
      </w:tr>
      <w:tr w:rsidR="00195684" w:rsidRPr="00701F32" w14:paraId="646D4FD2" w14:textId="77777777" w:rsidTr="000B2ED3">
        <w:trPr>
          <w:trHeight w:val="61"/>
        </w:trPr>
        <w:tc>
          <w:tcPr>
            <w:tcW w:w="2388" w:type="dxa"/>
            <w:tcBorders>
              <w:top w:val="nil"/>
              <w:left w:val="single" w:sz="4" w:space="0" w:color="363639"/>
              <w:bottom w:val="single" w:sz="4" w:space="0" w:color="363639"/>
              <w:right w:val="single" w:sz="4" w:space="0" w:color="363639"/>
            </w:tcBorders>
            <w:shd w:val="clear" w:color="auto" w:fill="auto"/>
            <w:hideMark/>
          </w:tcPr>
          <w:p w14:paraId="42BBB3EA" w14:textId="77777777" w:rsidR="00195684" w:rsidRPr="00701F32" w:rsidRDefault="00195684" w:rsidP="000B2ED3">
            <w:pPr>
              <w:rPr>
                <w:rFonts w:ascii="Arial" w:hAnsi="Arial" w:cs="Arial"/>
                <w:b/>
                <w:bCs/>
                <w:sz w:val="14"/>
                <w:szCs w:val="12"/>
              </w:rPr>
            </w:pPr>
            <w:r w:rsidRPr="00701F32">
              <w:rPr>
                <w:rFonts w:ascii="Arial" w:hAnsi="Arial" w:cs="Arial"/>
                <w:b/>
                <w:bCs/>
                <w:color w:val="363639"/>
                <w:sz w:val="14"/>
                <w:szCs w:val="12"/>
              </w:rPr>
              <w:t>TOTAL PROPIEDADES DE INVERSIÓN</w:t>
            </w:r>
          </w:p>
        </w:tc>
        <w:tc>
          <w:tcPr>
            <w:tcW w:w="1084" w:type="dxa"/>
            <w:tcBorders>
              <w:top w:val="nil"/>
              <w:left w:val="nil"/>
              <w:bottom w:val="single" w:sz="4" w:space="0" w:color="auto"/>
              <w:right w:val="single" w:sz="4" w:space="0" w:color="363639"/>
            </w:tcBorders>
            <w:shd w:val="clear" w:color="auto" w:fill="auto"/>
            <w:noWrap/>
            <w:vAlign w:val="bottom"/>
            <w:hideMark/>
          </w:tcPr>
          <w:p w14:paraId="35F1DF1E" w14:textId="77777777" w:rsidR="00195684" w:rsidRPr="00701F32" w:rsidRDefault="00195684" w:rsidP="000B2ED3">
            <w:pPr>
              <w:jc w:val="right"/>
              <w:rPr>
                <w:rFonts w:ascii="Arial" w:hAnsi="Arial" w:cs="Arial"/>
                <w:b/>
                <w:bCs/>
                <w:sz w:val="14"/>
                <w:szCs w:val="12"/>
              </w:rPr>
            </w:pPr>
            <w:r w:rsidRPr="00701F32">
              <w:rPr>
                <w:rFonts w:ascii="Arial" w:hAnsi="Arial" w:cs="Arial"/>
                <w:b/>
                <w:bCs/>
                <w:sz w:val="14"/>
                <w:szCs w:val="12"/>
              </w:rPr>
              <w:t xml:space="preserve">     481.529 </w:t>
            </w:r>
          </w:p>
        </w:tc>
        <w:tc>
          <w:tcPr>
            <w:tcW w:w="1142" w:type="dxa"/>
            <w:tcBorders>
              <w:top w:val="single" w:sz="4" w:space="0" w:color="363639"/>
              <w:left w:val="nil"/>
              <w:bottom w:val="single" w:sz="4" w:space="0" w:color="363639"/>
              <w:right w:val="single" w:sz="4" w:space="0" w:color="363639"/>
            </w:tcBorders>
            <w:shd w:val="clear" w:color="auto" w:fill="auto"/>
            <w:hideMark/>
          </w:tcPr>
          <w:p w14:paraId="1B0943D7" w14:textId="77777777" w:rsidR="00195684" w:rsidRPr="00701F32" w:rsidRDefault="00195684" w:rsidP="000B2ED3">
            <w:pPr>
              <w:jc w:val="right"/>
              <w:rPr>
                <w:rFonts w:ascii="Arial" w:hAnsi="Arial" w:cs="Arial"/>
                <w:color w:val="000000"/>
                <w:sz w:val="14"/>
                <w:szCs w:val="12"/>
              </w:rPr>
            </w:pPr>
            <w:r w:rsidRPr="00701F32">
              <w:rPr>
                <w:rFonts w:ascii="Arial" w:hAnsi="Arial" w:cs="Arial"/>
                <w:color w:val="000000"/>
                <w:sz w:val="14"/>
                <w:szCs w:val="12"/>
              </w:rPr>
              <w:t> </w:t>
            </w:r>
          </w:p>
        </w:tc>
        <w:tc>
          <w:tcPr>
            <w:tcW w:w="1178" w:type="dxa"/>
            <w:tcBorders>
              <w:top w:val="nil"/>
              <w:left w:val="nil"/>
              <w:bottom w:val="single" w:sz="4" w:space="0" w:color="auto"/>
              <w:right w:val="single" w:sz="4" w:space="0" w:color="363639"/>
            </w:tcBorders>
            <w:shd w:val="clear" w:color="auto" w:fill="auto"/>
            <w:noWrap/>
            <w:vAlign w:val="bottom"/>
            <w:hideMark/>
          </w:tcPr>
          <w:p w14:paraId="4D7C3C96"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16.920 </w:t>
            </w:r>
          </w:p>
        </w:tc>
        <w:tc>
          <w:tcPr>
            <w:tcW w:w="869" w:type="dxa"/>
            <w:tcBorders>
              <w:top w:val="nil"/>
              <w:left w:val="nil"/>
              <w:bottom w:val="single" w:sz="4" w:space="0" w:color="auto"/>
              <w:right w:val="single" w:sz="4" w:space="0" w:color="363639"/>
            </w:tcBorders>
            <w:shd w:val="clear" w:color="auto" w:fill="auto"/>
            <w:noWrap/>
            <w:vAlign w:val="bottom"/>
            <w:hideMark/>
          </w:tcPr>
          <w:p w14:paraId="322D2A26"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14.294 </w:t>
            </w:r>
          </w:p>
        </w:tc>
        <w:tc>
          <w:tcPr>
            <w:tcW w:w="1131" w:type="dxa"/>
            <w:tcBorders>
              <w:top w:val="nil"/>
              <w:left w:val="nil"/>
              <w:bottom w:val="single" w:sz="4" w:space="0" w:color="auto"/>
              <w:right w:val="single" w:sz="4" w:space="0" w:color="363639"/>
            </w:tcBorders>
            <w:shd w:val="clear" w:color="auto" w:fill="auto"/>
            <w:noWrap/>
            <w:vAlign w:val="bottom"/>
            <w:hideMark/>
          </w:tcPr>
          <w:p w14:paraId="09B6BD9D" w14:textId="77777777" w:rsidR="00195684" w:rsidRPr="00701F32" w:rsidRDefault="00195684" w:rsidP="000B2ED3">
            <w:pPr>
              <w:jc w:val="right"/>
              <w:rPr>
                <w:rFonts w:ascii="Arial" w:hAnsi="Arial" w:cs="Arial"/>
                <w:sz w:val="14"/>
                <w:szCs w:val="12"/>
                <w:lang w:val="es-ES_tradnl"/>
              </w:rPr>
            </w:pPr>
            <w:r w:rsidRPr="00701F32">
              <w:rPr>
                <w:rFonts w:ascii="Arial" w:hAnsi="Arial" w:cs="Arial"/>
                <w:sz w:val="14"/>
                <w:szCs w:val="12"/>
              </w:rPr>
              <w:t xml:space="preserve">  (314.372)</w:t>
            </w:r>
          </w:p>
        </w:tc>
        <w:tc>
          <w:tcPr>
            <w:tcW w:w="1043" w:type="dxa"/>
            <w:tcBorders>
              <w:top w:val="nil"/>
              <w:left w:val="nil"/>
              <w:bottom w:val="single" w:sz="4" w:space="0" w:color="auto"/>
              <w:right w:val="single" w:sz="4" w:space="0" w:color="363639"/>
            </w:tcBorders>
            <w:shd w:val="clear" w:color="auto" w:fill="auto"/>
            <w:noWrap/>
            <w:vAlign w:val="bottom"/>
            <w:hideMark/>
          </w:tcPr>
          <w:p w14:paraId="4294E04A" w14:textId="77777777" w:rsidR="00195684" w:rsidRPr="00701F32" w:rsidRDefault="00195684" w:rsidP="000B2ED3">
            <w:pPr>
              <w:jc w:val="right"/>
              <w:rPr>
                <w:rFonts w:ascii="Arial" w:hAnsi="Arial" w:cs="Arial"/>
                <w:b/>
                <w:bCs/>
                <w:sz w:val="14"/>
                <w:szCs w:val="12"/>
                <w:lang w:val="es-ES_tradnl"/>
              </w:rPr>
            </w:pPr>
            <w:r w:rsidRPr="00701F32">
              <w:rPr>
                <w:rFonts w:ascii="Arial" w:hAnsi="Arial" w:cs="Arial"/>
                <w:b/>
                <w:bCs/>
                <w:sz w:val="14"/>
                <w:szCs w:val="12"/>
              </w:rPr>
              <w:t xml:space="preserve">    198.371 </w:t>
            </w:r>
          </w:p>
        </w:tc>
      </w:tr>
    </w:tbl>
    <w:p w14:paraId="509C1C6E" w14:textId="77777777" w:rsidR="00656E62" w:rsidRPr="00701F32" w:rsidRDefault="00656E62" w:rsidP="00656E62">
      <w:pPr>
        <w:spacing w:after="160" w:line="259" w:lineRule="auto"/>
        <w:jc w:val="both"/>
        <w:rPr>
          <w:rFonts w:ascii="Arial" w:eastAsia="Calibri" w:hAnsi="Arial" w:cs="Arial"/>
          <w:sz w:val="20"/>
        </w:rPr>
      </w:pPr>
    </w:p>
    <w:p w14:paraId="0FFB8C71" w14:textId="77777777" w:rsidR="00656E62"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Las propiedades de inversión se valorizan a su valor razonable. Su valor de mercado al 31 de diciembre de 2017 es de 198.371 y fue determinado por tasadores profesionales independientes.</w:t>
      </w:r>
    </w:p>
    <w:p w14:paraId="404794C8" w14:textId="77777777" w:rsidR="00656E62" w:rsidRPr="00701F32" w:rsidRDefault="00D57127" w:rsidP="00656E62">
      <w:pPr>
        <w:spacing w:after="160" w:line="259" w:lineRule="auto"/>
        <w:jc w:val="both"/>
        <w:rPr>
          <w:rFonts w:ascii="Arial" w:eastAsia="Calibri" w:hAnsi="Arial" w:cs="Arial"/>
          <w:b/>
          <w:sz w:val="20"/>
        </w:rPr>
      </w:pPr>
      <w:r w:rsidRPr="00701F32">
        <w:rPr>
          <w:rFonts w:ascii="Arial" w:eastAsia="Calibri" w:hAnsi="Arial" w:cs="Arial"/>
          <w:b/>
          <w:sz w:val="20"/>
        </w:rPr>
        <w:t>17</w:t>
      </w:r>
      <w:r w:rsidR="00656E62" w:rsidRPr="00701F32">
        <w:rPr>
          <w:rFonts w:ascii="Arial" w:eastAsia="Calibri" w:hAnsi="Arial" w:cs="Arial"/>
          <w:b/>
          <w:sz w:val="20"/>
        </w:rPr>
        <w:t>.</w:t>
      </w:r>
      <w:r w:rsidR="00AD4A7A" w:rsidRPr="00701F32">
        <w:rPr>
          <w:rFonts w:ascii="Arial" w:eastAsia="Calibri" w:hAnsi="Arial" w:cs="Arial"/>
          <w:b/>
          <w:sz w:val="20"/>
        </w:rPr>
        <w:t>9</w:t>
      </w:r>
      <w:r w:rsidR="00656E62" w:rsidRPr="00701F32">
        <w:rPr>
          <w:rFonts w:ascii="Arial" w:eastAsia="Calibri" w:hAnsi="Arial" w:cs="Arial"/>
          <w:b/>
          <w:sz w:val="20"/>
        </w:rPr>
        <w:t xml:space="preserve"> Activos Intangibles</w:t>
      </w:r>
    </w:p>
    <w:p w14:paraId="25DCDB33" w14:textId="2DB6E797" w:rsidR="00B16471" w:rsidRPr="00701F32" w:rsidRDefault="00656E62" w:rsidP="00656E62">
      <w:pPr>
        <w:spacing w:after="160" w:line="259" w:lineRule="auto"/>
        <w:jc w:val="both"/>
        <w:rPr>
          <w:rFonts w:ascii="Arial" w:eastAsia="Calibri" w:hAnsi="Arial" w:cs="Arial"/>
          <w:sz w:val="20"/>
        </w:rPr>
      </w:pPr>
      <w:r w:rsidRPr="00701F32">
        <w:rPr>
          <w:rFonts w:ascii="Arial" w:eastAsia="Calibri" w:hAnsi="Arial" w:cs="Arial"/>
          <w:sz w:val="20"/>
        </w:rPr>
        <w:t>Los movimientos en activos intangibles para los ejercicios finalizados el 31 de diciembre 2017 fueron los siguientes:</w:t>
      </w:r>
    </w:p>
    <w:p w14:paraId="24D2014E" w14:textId="77777777" w:rsidR="008D7C41" w:rsidRPr="00701F32" w:rsidRDefault="008D7C41" w:rsidP="0086282C">
      <w:pPr>
        <w:spacing w:after="160" w:line="259" w:lineRule="auto"/>
        <w:ind w:left="-567"/>
        <w:jc w:val="center"/>
        <w:rPr>
          <w:rFonts w:ascii="Arial" w:eastAsia="Calibri" w:hAnsi="Arial" w:cs="Arial"/>
          <w:b/>
          <w:sz w:val="20"/>
        </w:rPr>
      </w:pPr>
      <w:r w:rsidRPr="00701F32">
        <w:rPr>
          <w:rFonts w:eastAsia="Calibri"/>
          <w:noProof/>
          <w:lang w:eastAsia="es-AR"/>
        </w:rPr>
        <w:drawing>
          <wp:inline distT="0" distB="0" distL="0" distR="0" wp14:anchorId="28E2C0B8" wp14:editId="1E082591">
            <wp:extent cx="6122340" cy="209679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49727" cy="2106176"/>
                    </a:xfrm>
                    <a:prstGeom prst="rect">
                      <a:avLst/>
                    </a:prstGeom>
                    <a:noFill/>
                    <a:ln>
                      <a:noFill/>
                    </a:ln>
                  </pic:spPr>
                </pic:pic>
              </a:graphicData>
            </a:graphic>
          </wp:inline>
        </w:drawing>
      </w:r>
    </w:p>
    <w:p w14:paraId="2788D5A5" w14:textId="77777777" w:rsidR="00B16471" w:rsidRPr="00701F32" w:rsidRDefault="00B16471" w:rsidP="00656E62">
      <w:pPr>
        <w:spacing w:after="160" w:line="259" w:lineRule="auto"/>
        <w:jc w:val="both"/>
        <w:rPr>
          <w:rFonts w:ascii="Arial" w:eastAsia="Calibri" w:hAnsi="Arial" w:cs="Arial"/>
          <w:b/>
          <w:sz w:val="20"/>
        </w:rPr>
      </w:pPr>
    </w:p>
    <w:p w14:paraId="4778D948" w14:textId="77777777" w:rsidR="00656E62" w:rsidRPr="00701F32" w:rsidRDefault="00656E62" w:rsidP="00656E62">
      <w:pPr>
        <w:spacing w:after="160" w:line="259" w:lineRule="auto"/>
        <w:jc w:val="both"/>
        <w:rPr>
          <w:rFonts w:ascii="Arial" w:eastAsia="Calibri" w:hAnsi="Arial" w:cs="Arial"/>
          <w:b/>
          <w:sz w:val="20"/>
        </w:rPr>
      </w:pPr>
      <w:r w:rsidRPr="00701F32">
        <w:rPr>
          <w:rFonts w:ascii="Arial" w:eastAsia="Calibri" w:hAnsi="Arial" w:cs="Arial"/>
          <w:b/>
          <w:sz w:val="20"/>
        </w:rPr>
        <w:t>Información adicional al 31 de Diciembre de 2017</w:t>
      </w:r>
    </w:p>
    <w:tbl>
      <w:tblPr>
        <w:tblStyle w:val="GridTable1Light1"/>
        <w:tblW w:w="0" w:type="auto"/>
        <w:jc w:val="center"/>
        <w:tblLook w:val="04A0" w:firstRow="1" w:lastRow="0" w:firstColumn="1" w:lastColumn="0" w:noHBand="0" w:noVBand="1"/>
      </w:tblPr>
      <w:tblGrid>
        <w:gridCol w:w="3105"/>
        <w:gridCol w:w="3098"/>
      </w:tblGrid>
      <w:tr w:rsidR="00AD4A7A" w:rsidRPr="00701F32" w14:paraId="21374918" w14:textId="77777777" w:rsidTr="00712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tcBorders>
              <w:top w:val="single" w:sz="4" w:space="0" w:color="auto"/>
              <w:left w:val="single" w:sz="4" w:space="0" w:color="auto"/>
              <w:bottom w:val="single" w:sz="4" w:space="0" w:color="auto"/>
              <w:right w:val="single" w:sz="4" w:space="0" w:color="auto"/>
            </w:tcBorders>
          </w:tcPr>
          <w:p w14:paraId="02347DCB" w14:textId="77777777" w:rsidR="00AD4A7A" w:rsidRPr="00701F32" w:rsidRDefault="00AD4A7A" w:rsidP="00464C0F">
            <w:pPr>
              <w:jc w:val="center"/>
              <w:rPr>
                <w:rFonts w:ascii="Arial" w:hAnsi="Arial" w:cs="Arial"/>
                <w:sz w:val="20"/>
              </w:rPr>
            </w:pPr>
          </w:p>
        </w:tc>
        <w:tc>
          <w:tcPr>
            <w:tcW w:w="3098" w:type="dxa"/>
            <w:tcBorders>
              <w:top w:val="single" w:sz="4" w:space="0" w:color="auto"/>
              <w:left w:val="nil"/>
              <w:bottom w:val="single" w:sz="4" w:space="0" w:color="auto"/>
              <w:right w:val="single" w:sz="4" w:space="0" w:color="auto"/>
            </w:tcBorders>
          </w:tcPr>
          <w:p w14:paraId="32CA9808" w14:textId="77777777" w:rsidR="00AD4A7A" w:rsidRPr="00701F32" w:rsidRDefault="00AD4A7A" w:rsidP="00464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Programas y aplicaciones informáticas</w:t>
            </w:r>
          </w:p>
        </w:tc>
      </w:tr>
      <w:tr w:rsidR="00AD4A7A" w:rsidRPr="00701F32" w14:paraId="451EF386" w14:textId="77777777" w:rsidTr="00712ADC">
        <w:trPr>
          <w:jc w:val="center"/>
        </w:trPr>
        <w:tc>
          <w:tcPr>
            <w:cnfStyle w:val="001000000000" w:firstRow="0" w:lastRow="0" w:firstColumn="1" w:lastColumn="0" w:oddVBand="0" w:evenVBand="0" w:oddHBand="0" w:evenHBand="0" w:firstRowFirstColumn="0" w:firstRowLastColumn="0" w:lastRowFirstColumn="0" w:lastRowLastColumn="0"/>
            <w:tcW w:w="3105" w:type="dxa"/>
            <w:tcBorders>
              <w:top w:val="single" w:sz="4" w:space="0" w:color="auto"/>
              <w:left w:val="single" w:sz="4" w:space="0" w:color="auto"/>
              <w:bottom w:val="single" w:sz="4" w:space="0" w:color="auto"/>
              <w:right w:val="single" w:sz="4" w:space="0" w:color="auto"/>
            </w:tcBorders>
          </w:tcPr>
          <w:p w14:paraId="60FBF48F" w14:textId="77777777" w:rsidR="00AD4A7A" w:rsidRPr="00701F32" w:rsidRDefault="00AD4A7A" w:rsidP="00464C0F">
            <w:pPr>
              <w:jc w:val="both"/>
              <w:rPr>
                <w:rFonts w:ascii="Arial" w:hAnsi="Arial" w:cs="Arial"/>
                <w:sz w:val="20"/>
              </w:rPr>
            </w:pPr>
            <w:r w:rsidRPr="00701F32">
              <w:rPr>
                <w:rFonts w:ascii="Arial" w:hAnsi="Arial" w:cs="Arial"/>
                <w:sz w:val="20"/>
              </w:rPr>
              <w:t>Vida útil definida</w:t>
            </w:r>
          </w:p>
        </w:tc>
        <w:tc>
          <w:tcPr>
            <w:tcW w:w="3098" w:type="dxa"/>
            <w:tcBorders>
              <w:top w:val="single" w:sz="4" w:space="0" w:color="auto"/>
              <w:left w:val="nil"/>
              <w:bottom w:val="single" w:sz="4" w:space="0" w:color="auto"/>
              <w:right w:val="single" w:sz="4" w:space="0" w:color="auto"/>
            </w:tcBorders>
          </w:tcPr>
          <w:p w14:paraId="3CE1FFCB" w14:textId="77777777" w:rsidR="00AD4A7A" w:rsidRPr="00701F32" w:rsidRDefault="00AD4A7A"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3 años</w:t>
            </w:r>
          </w:p>
        </w:tc>
      </w:tr>
      <w:tr w:rsidR="00AD4A7A" w:rsidRPr="00701F32" w14:paraId="72A4B422" w14:textId="77777777" w:rsidTr="00712ADC">
        <w:trPr>
          <w:jc w:val="center"/>
        </w:trPr>
        <w:tc>
          <w:tcPr>
            <w:cnfStyle w:val="001000000000" w:firstRow="0" w:lastRow="0" w:firstColumn="1" w:lastColumn="0" w:oddVBand="0" w:evenVBand="0" w:oddHBand="0" w:evenHBand="0" w:firstRowFirstColumn="0" w:firstRowLastColumn="0" w:lastRowFirstColumn="0" w:lastRowLastColumn="0"/>
            <w:tcW w:w="3105" w:type="dxa"/>
            <w:tcBorders>
              <w:top w:val="single" w:sz="4" w:space="0" w:color="auto"/>
              <w:left w:val="single" w:sz="4" w:space="0" w:color="auto"/>
              <w:bottom w:val="single" w:sz="4" w:space="0" w:color="auto"/>
              <w:right w:val="single" w:sz="4" w:space="0" w:color="auto"/>
            </w:tcBorders>
          </w:tcPr>
          <w:p w14:paraId="4F714148" w14:textId="77777777" w:rsidR="00AD4A7A" w:rsidRPr="00701F32" w:rsidRDefault="00AD4A7A" w:rsidP="00464C0F">
            <w:pPr>
              <w:jc w:val="both"/>
              <w:rPr>
                <w:rFonts w:ascii="Arial" w:hAnsi="Arial" w:cs="Arial"/>
                <w:sz w:val="20"/>
              </w:rPr>
            </w:pPr>
            <w:r w:rsidRPr="00701F32">
              <w:rPr>
                <w:rFonts w:ascii="Arial" w:hAnsi="Arial" w:cs="Arial"/>
                <w:sz w:val="20"/>
              </w:rPr>
              <w:t>Método de depreciación</w:t>
            </w:r>
          </w:p>
        </w:tc>
        <w:tc>
          <w:tcPr>
            <w:tcW w:w="3098" w:type="dxa"/>
            <w:tcBorders>
              <w:top w:val="single" w:sz="4" w:space="0" w:color="auto"/>
              <w:left w:val="nil"/>
              <w:bottom w:val="single" w:sz="4" w:space="0" w:color="auto"/>
              <w:right w:val="single" w:sz="4" w:space="0" w:color="auto"/>
            </w:tcBorders>
          </w:tcPr>
          <w:p w14:paraId="46E24CAF" w14:textId="77777777" w:rsidR="00AD4A7A" w:rsidRPr="00701F32" w:rsidRDefault="00AD4A7A" w:rsidP="00464C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701F32">
              <w:rPr>
                <w:rFonts w:ascii="Arial" w:hAnsi="Arial" w:cs="Arial"/>
                <w:sz w:val="20"/>
              </w:rPr>
              <w:t>Línea recta</w:t>
            </w:r>
          </w:p>
        </w:tc>
      </w:tr>
    </w:tbl>
    <w:p w14:paraId="339F5F09" w14:textId="77777777" w:rsidR="00656E62" w:rsidRPr="00701F32" w:rsidRDefault="00656E62" w:rsidP="00656E62">
      <w:pPr>
        <w:jc w:val="both"/>
        <w:rPr>
          <w:rFonts w:ascii="Arial" w:eastAsia="Arial" w:hAnsi="Arial" w:cs="Arial"/>
          <w:bCs/>
          <w:noProof/>
          <w:color w:val="000000"/>
          <w:sz w:val="20"/>
        </w:rPr>
      </w:pPr>
    </w:p>
    <w:p w14:paraId="040D984B" w14:textId="77777777" w:rsidR="00B16471" w:rsidRPr="00701F32" w:rsidRDefault="00B16471" w:rsidP="00656E62">
      <w:pPr>
        <w:jc w:val="both"/>
        <w:rPr>
          <w:rFonts w:ascii="Arial" w:eastAsia="Arial" w:hAnsi="Arial" w:cs="Arial"/>
          <w:bCs/>
          <w:noProof/>
          <w:color w:val="000000"/>
          <w:sz w:val="20"/>
        </w:rPr>
      </w:pPr>
    </w:p>
    <w:p w14:paraId="18981551" w14:textId="77777777" w:rsidR="00656E62" w:rsidRPr="00701F32" w:rsidRDefault="00D57127" w:rsidP="00656E62">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656E62" w:rsidRPr="00701F32">
        <w:rPr>
          <w:rFonts w:ascii="Arial" w:hAnsi="Arial" w:cs="Arial"/>
          <w:b/>
          <w:noProof/>
          <w:sz w:val="20"/>
        </w:rPr>
        <w:t>.1</w:t>
      </w:r>
      <w:r w:rsidR="00AD4A7A" w:rsidRPr="00701F32">
        <w:rPr>
          <w:rFonts w:ascii="Arial" w:hAnsi="Arial" w:cs="Arial"/>
          <w:b/>
          <w:noProof/>
          <w:sz w:val="20"/>
        </w:rPr>
        <w:t>0</w:t>
      </w:r>
      <w:r w:rsidR="00656E62" w:rsidRPr="00701F32">
        <w:rPr>
          <w:rFonts w:ascii="Arial" w:hAnsi="Arial" w:cs="Arial"/>
          <w:b/>
          <w:noProof/>
          <w:sz w:val="20"/>
        </w:rPr>
        <w:t xml:space="preserve"> Obligaciones por beneficios de retiro del personal </w:t>
      </w:r>
    </w:p>
    <w:p w14:paraId="1D769460" w14:textId="77777777" w:rsidR="00656E62" w:rsidRPr="00701F32" w:rsidRDefault="00656E62" w:rsidP="00656E62">
      <w:pPr>
        <w:widowControl w:val="0"/>
        <w:autoSpaceDE w:val="0"/>
        <w:autoSpaceDN w:val="0"/>
        <w:adjustRightInd w:val="0"/>
        <w:jc w:val="both"/>
        <w:rPr>
          <w:rFonts w:ascii="Arial" w:hAnsi="Arial" w:cs="Arial"/>
          <w:noProof/>
          <w:sz w:val="20"/>
        </w:rPr>
      </w:pPr>
    </w:p>
    <w:p w14:paraId="6926F972" w14:textId="77777777" w:rsidR="0027520C" w:rsidRPr="00701F32" w:rsidRDefault="0027520C" w:rsidP="0086282C">
      <w:pPr>
        <w:widowControl w:val="0"/>
        <w:autoSpaceDE w:val="0"/>
        <w:autoSpaceDN w:val="0"/>
        <w:adjustRightInd w:val="0"/>
        <w:jc w:val="both"/>
        <w:rPr>
          <w:rFonts w:ascii="Arial" w:hAnsi="Arial" w:cs="Arial"/>
          <w:noProof/>
          <w:sz w:val="20"/>
        </w:rPr>
      </w:pPr>
      <w:r w:rsidRPr="00701F32">
        <w:rPr>
          <w:rFonts w:ascii="Arial" w:hAnsi="Arial" w:cs="Arial"/>
          <w:noProof/>
          <w:sz w:val="20"/>
        </w:rPr>
        <w:t>Al 31 de diciembre de 2017 los saldos registrados por beneficios por planes de retiros del personal ascendían a 451.505</w:t>
      </w:r>
    </w:p>
    <w:p w14:paraId="173C6AB3" w14:textId="77777777" w:rsidR="0027520C" w:rsidRPr="00701F32" w:rsidRDefault="0027520C" w:rsidP="0086282C">
      <w:pPr>
        <w:widowControl w:val="0"/>
        <w:autoSpaceDE w:val="0"/>
        <w:autoSpaceDN w:val="0"/>
        <w:adjustRightInd w:val="0"/>
        <w:jc w:val="both"/>
        <w:rPr>
          <w:rFonts w:ascii="Arial" w:eastAsia="Arial" w:hAnsi="Arial" w:cs="Arial"/>
          <w:sz w:val="20"/>
        </w:rPr>
      </w:pPr>
    </w:p>
    <w:p w14:paraId="03D6182B" w14:textId="77777777" w:rsidR="0027520C" w:rsidRPr="00701F32" w:rsidRDefault="0027520C" w:rsidP="0086282C">
      <w:pPr>
        <w:widowControl w:val="0"/>
        <w:autoSpaceDE w:val="0"/>
        <w:autoSpaceDN w:val="0"/>
        <w:adjustRightInd w:val="0"/>
        <w:jc w:val="both"/>
        <w:rPr>
          <w:rFonts w:ascii="Arial" w:eastAsia="Arial" w:hAnsi="Arial" w:cs="Arial"/>
          <w:sz w:val="20"/>
        </w:rPr>
      </w:pPr>
      <w:r w:rsidRPr="00701F32">
        <w:rPr>
          <w:rFonts w:ascii="Arial" w:eastAsia="Arial" w:hAnsi="Arial" w:cs="Arial"/>
          <w:sz w:val="20"/>
        </w:rPr>
        <w:t>El importe del ejercicio reconocido como gasto respecto de los beneficios de retiro del personal al 31 de diciembre de 2017 fue de 264.328.</w:t>
      </w:r>
    </w:p>
    <w:p w14:paraId="4769D382" w14:textId="77777777" w:rsidR="0027520C" w:rsidRPr="00701F32" w:rsidRDefault="0027520C" w:rsidP="0086282C">
      <w:pPr>
        <w:widowControl w:val="0"/>
        <w:autoSpaceDE w:val="0"/>
        <w:autoSpaceDN w:val="0"/>
        <w:adjustRightInd w:val="0"/>
        <w:jc w:val="both"/>
        <w:rPr>
          <w:rFonts w:ascii="Arial" w:hAnsi="Arial" w:cs="Arial"/>
          <w:noProof/>
          <w:sz w:val="20"/>
        </w:rPr>
      </w:pPr>
    </w:p>
    <w:p w14:paraId="41E3EA4F" w14:textId="16A78348" w:rsidR="0027520C" w:rsidRPr="00701F32" w:rsidRDefault="0027520C" w:rsidP="0027520C">
      <w:pPr>
        <w:spacing w:after="160" w:line="259" w:lineRule="auto"/>
        <w:jc w:val="both"/>
        <w:rPr>
          <w:rFonts w:ascii="Arial" w:eastAsia="Arial" w:hAnsi="Arial" w:cs="Arial"/>
          <w:sz w:val="20"/>
        </w:rPr>
      </w:pPr>
      <w:r w:rsidRPr="00701F32">
        <w:rPr>
          <w:rFonts w:ascii="Arial" w:eastAsia="Arial" w:hAnsi="Arial" w:cs="Arial"/>
          <w:sz w:val="20"/>
        </w:rPr>
        <w:t>Se detalla a continuación la evolución durante el ejercicio</w:t>
      </w:r>
      <w:r w:rsidR="00F17F39" w:rsidRPr="00701F32">
        <w:rPr>
          <w:rFonts w:ascii="Arial" w:eastAsia="Arial" w:hAnsi="Arial" w:cs="Arial"/>
          <w:sz w:val="20"/>
        </w:rPr>
        <w:t>:</w:t>
      </w:r>
    </w:p>
    <w:tbl>
      <w:tblPr>
        <w:tblW w:w="3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126"/>
      </w:tblGrid>
      <w:tr w:rsidR="0027520C" w:rsidRPr="00701F32" w14:paraId="3CEB2FE1" w14:textId="77777777" w:rsidTr="0027520C">
        <w:trPr>
          <w:trHeight w:val="142"/>
          <w:jc w:val="center"/>
        </w:trPr>
        <w:tc>
          <w:tcPr>
            <w:tcW w:w="3361" w:type="pct"/>
          </w:tcPr>
          <w:p w14:paraId="5FA0A87F" w14:textId="77777777" w:rsidR="0027520C" w:rsidRPr="00701F32" w:rsidRDefault="0027520C" w:rsidP="0027520C">
            <w:pPr>
              <w:jc w:val="both"/>
              <w:rPr>
                <w:rFonts w:ascii="Arial" w:eastAsia="SimSun" w:hAnsi="Arial" w:cs="Arial"/>
                <w:sz w:val="18"/>
                <w:lang w:eastAsia="zh-CN"/>
              </w:rPr>
            </w:pPr>
            <w:r w:rsidRPr="00701F32">
              <w:rPr>
                <w:rFonts w:ascii="Arial" w:eastAsia="SimSun" w:hAnsi="Arial" w:cs="Arial"/>
                <w:sz w:val="18"/>
                <w:lang w:eastAsia="zh-CN"/>
              </w:rPr>
              <w:t> </w:t>
            </w:r>
          </w:p>
        </w:tc>
        <w:tc>
          <w:tcPr>
            <w:tcW w:w="1639" w:type="pct"/>
          </w:tcPr>
          <w:p w14:paraId="316CFB23" w14:textId="77777777" w:rsidR="0027520C" w:rsidRPr="00701F32" w:rsidRDefault="0027520C" w:rsidP="0027520C">
            <w:pPr>
              <w:jc w:val="center"/>
              <w:rPr>
                <w:rFonts w:ascii="Arial" w:eastAsia="SimSun" w:hAnsi="Arial" w:cs="Arial"/>
                <w:sz w:val="18"/>
                <w:lang w:eastAsia="zh-CN"/>
              </w:rPr>
            </w:pPr>
            <w:r w:rsidRPr="00701F32">
              <w:rPr>
                <w:rFonts w:ascii="Arial" w:eastAsia="SimSun" w:hAnsi="Arial" w:cs="Arial"/>
                <w:b/>
                <w:bCs/>
                <w:sz w:val="18"/>
                <w:lang w:eastAsia="zh-CN"/>
              </w:rPr>
              <w:t>31/12/2017</w:t>
            </w:r>
          </w:p>
        </w:tc>
      </w:tr>
      <w:tr w:rsidR="0027520C" w:rsidRPr="00701F32" w14:paraId="6683914C" w14:textId="77777777" w:rsidTr="00C23045">
        <w:trPr>
          <w:trHeight w:val="287"/>
          <w:jc w:val="center"/>
        </w:trPr>
        <w:tc>
          <w:tcPr>
            <w:tcW w:w="3361" w:type="pct"/>
            <w:vAlign w:val="bottom"/>
          </w:tcPr>
          <w:p w14:paraId="25988D20" w14:textId="77777777" w:rsidR="0027520C" w:rsidRPr="00701F32" w:rsidRDefault="0027520C" w:rsidP="0027520C">
            <w:pPr>
              <w:jc w:val="both"/>
              <w:rPr>
                <w:rFonts w:ascii="Arial" w:eastAsia="SimSun" w:hAnsi="Arial" w:cs="Arial"/>
                <w:sz w:val="18"/>
                <w:lang w:eastAsia="zh-CN"/>
              </w:rPr>
            </w:pPr>
            <w:r w:rsidRPr="00701F32">
              <w:rPr>
                <w:rFonts w:ascii="Arial" w:eastAsia="SimSun" w:hAnsi="Arial" w:cs="Arial"/>
                <w:sz w:val="18"/>
                <w:lang w:eastAsia="zh-CN"/>
              </w:rPr>
              <w:t xml:space="preserve">Saldo al inicio del ejercicio </w:t>
            </w:r>
          </w:p>
        </w:tc>
        <w:tc>
          <w:tcPr>
            <w:tcW w:w="1639" w:type="pct"/>
            <w:vAlign w:val="bottom"/>
          </w:tcPr>
          <w:p w14:paraId="686ADBEA" w14:textId="77777777" w:rsidR="0027520C" w:rsidRPr="00701F32" w:rsidRDefault="0027520C">
            <w:pPr>
              <w:ind w:right="113"/>
              <w:jc w:val="right"/>
              <w:rPr>
                <w:rFonts w:ascii="Arial" w:eastAsia="SimSun" w:hAnsi="Arial" w:cs="Arial"/>
                <w:sz w:val="18"/>
                <w:lang w:val="es-ES_tradnl" w:eastAsia="zh-CN"/>
              </w:rPr>
            </w:pPr>
            <w:r w:rsidRPr="00701F32">
              <w:rPr>
                <w:rFonts w:ascii="Arial" w:eastAsia="SimSun" w:hAnsi="Arial" w:cs="Arial"/>
                <w:sz w:val="18"/>
                <w:lang w:eastAsia="zh-CN"/>
              </w:rPr>
              <w:t xml:space="preserve">        187.177</w:t>
            </w:r>
          </w:p>
        </w:tc>
      </w:tr>
      <w:tr w:rsidR="0027520C" w:rsidRPr="00701F32" w14:paraId="3019344E" w14:textId="77777777" w:rsidTr="00C23045">
        <w:trPr>
          <w:trHeight w:val="297"/>
          <w:jc w:val="center"/>
        </w:trPr>
        <w:tc>
          <w:tcPr>
            <w:tcW w:w="3361" w:type="pct"/>
            <w:vAlign w:val="bottom"/>
          </w:tcPr>
          <w:p w14:paraId="606A0306" w14:textId="77777777" w:rsidR="0027520C" w:rsidRPr="00701F32" w:rsidRDefault="0027520C" w:rsidP="0027520C">
            <w:pPr>
              <w:jc w:val="both"/>
              <w:rPr>
                <w:rFonts w:ascii="Arial" w:eastAsia="SimSun" w:hAnsi="Arial" w:cs="Arial"/>
                <w:sz w:val="18"/>
                <w:lang w:eastAsia="zh-CN"/>
              </w:rPr>
            </w:pPr>
            <w:r w:rsidRPr="00701F32">
              <w:rPr>
                <w:rFonts w:ascii="Arial" w:eastAsia="SimSun" w:hAnsi="Arial" w:cs="Arial"/>
                <w:sz w:val="18"/>
                <w:lang w:eastAsia="zh-CN"/>
              </w:rPr>
              <w:t>Altas del período</w:t>
            </w:r>
          </w:p>
        </w:tc>
        <w:tc>
          <w:tcPr>
            <w:tcW w:w="1639" w:type="pct"/>
            <w:vAlign w:val="bottom"/>
          </w:tcPr>
          <w:p w14:paraId="5E02E507" w14:textId="77777777" w:rsidR="0027520C" w:rsidRPr="00701F32" w:rsidRDefault="0027520C">
            <w:pPr>
              <w:ind w:right="113"/>
              <w:jc w:val="right"/>
              <w:rPr>
                <w:rFonts w:ascii="Arial" w:eastAsia="SimSun" w:hAnsi="Arial" w:cs="Arial"/>
                <w:sz w:val="18"/>
                <w:lang w:val="es-ES_tradnl" w:eastAsia="zh-CN"/>
              </w:rPr>
            </w:pPr>
            <w:r w:rsidRPr="00701F32">
              <w:rPr>
                <w:rFonts w:ascii="Arial" w:eastAsia="SimSun" w:hAnsi="Arial" w:cs="Arial"/>
                <w:sz w:val="18"/>
                <w:lang w:eastAsia="zh-CN"/>
              </w:rPr>
              <w:t xml:space="preserve">        369.455</w:t>
            </w:r>
          </w:p>
        </w:tc>
      </w:tr>
      <w:tr w:rsidR="0027520C" w:rsidRPr="00701F32" w14:paraId="37C62EC8" w14:textId="77777777" w:rsidTr="00C23045">
        <w:trPr>
          <w:trHeight w:val="246"/>
          <w:jc w:val="center"/>
        </w:trPr>
        <w:tc>
          <w:tcPr>
            <w:tcW w:w="3361" w:type="pct"/>
            <w:vAlign w:val="bottom"/>
          </w:tcPr>
          <w:p w14:paraId="51F86A5A" w14:textId="77777777" w:rsidR="0027520C" w:rsidRPr="00701F32" w:rsidRDefault="0027520C" w:rsidP="0027520C">
            <w:pPr>
              <w:jc w:val="both"/>
              <w:rPr>
                <w:rFonts w:ascii="Arial" w:eastAsia="SimSun" w:hAnsi="Arial" w:cs="Arial"/>
                <w:sz w:val="18"/>
                <w:lang w:eastAsia="zh-CN"/>
              </w:rPr>
            </w:pPr>
            <w:r w:rsidRPr="00701F32">
              <w:rPr>
                <w:rFonts w:ascii="Arial" w:eastAsia="SimSun" w:hAnsi="Arial" w:cs="Arial"/>
                <w:sz w:val="18"/>
                <w:lang w:eastAsia="zh-CN"/>
              </w:rPr>
              <w:t>Beneficios pagados a los participantes</w:t>
            </w:r>
          </w:p>
        </w:tc>
        <w:tc>
          <w:tcPr>
            <w:tcW w:w="1639" w:type="pct"/>
            <w:vAlign w:val="bottom"/>
          </w:tcPr>
          <w:p w14:paraId="4214EC9E" w14:textId="77777777" w:rsidR="0027520C" w:rsidRPr="00701F32" w:rsidRDefault="0027520C">
            <w:pPr>
              <w:ind w:right="113"/>
              <w:jc w:val="right"/>
              <w:rPr>
                <w:rFonts w:ascii="Arial" w:eastAsia="SimSun" w:hAnsi="Arial" w:cs="Arial"/>
                <w:sz w:val="18"/>
                <w:lang w:val="es-ES_tradnl" w:eastAsia="zh-CN"/>
              </w:rPr>
            </w:pPr>
            <w:r w:rsidRPr="00701F32">
              <w:rPr>
                <w:rFonts w:ascii="Arial" w:eastAsia="SimSun" w:hAnsi="Arial" w:cs="Arial"/>
                <w:sz w:val="18"/>
                <w:lang w:eastAsia="zh-CN"/>
              </w:rPr>
              <w:t xml:space="preserve">       105.127</w:t>
            </w:r>
          </w:p>
        </w:tc>
      </w:tr>
      <w:tr w:rsidR="0027520C" w:rsidRPr="00701F32" w14:paraId="1479AC70" w14:textId="77777777" w:rsidTr="00C23045">
        <w:trPr>
          <w:trHeight w:val="287"/>
          <w:jc w:val="center"/>
        </w:trPr>
        <w:tc>
          <w:tcPr>
            <w:tcW w:w="3361" w:type="pct"/>
            <w:vAlign w:val="bottom"/>
          </w:tcPr>
          <w:p w14:paraId="48FD9023" w14:textId="77777777" w:rsidR="0027520C" w:rsidRPr="00701F32" w:rsidRDefault="0027520C" w:rsidP="0027520C">
            <w:pPr>
              <w:jc w:val="both"/>
              <w:rPr>
                <w:rFonts w:ascii="Arial" w:eastAsia="SimSun" w:hAnsi="Arial" w:cs="Arial"/>
                <w:b/>
                <w:bCs/>
                <w:sz w:val="18"/>
                <w:lang w:eastAsia="zh-CN"/>
              </w:rPr>
            </w:pPr>
            <w:r w:rsidRPr="00701F32">
              <w:rPr>
                <w:rFonts w:ascii="Arial" w:eastAsia="SimSun" w:hAnsi="Arial" w:cs="Arial"/>
                <w:b/>
                <w:bCs/>
                <w:sz w:val="18"/>
                <w:lang w:eastAsia="zh-CN"/>
              </w:rPr>
              <w:t>Saldo al 31 de diciembre de 2017</w:t>
            </w:r>
          </w:p>
        </w:tc>
        <w:tc>
          <w:tcPr>
            <w:tcW w:w="1639" w:type="pct"/>
            <w:vAlign w:val="bottom"/>
          </w:tcPr>
          <w:p w14:paraId="428F749E" w14:textId="77777777" w:rsidR="0027520C" w:rsidRPr="00701F32" w:rsidRDefault="0027520C">
            <w:pPr>
              <w:ind w:right="113"/>
              <w:jc w:val="right"/>
              <w:rPr>
                <w:rFonts w:ascii="Arial" w:eastAsia="SimSun" w:hAnsi="Arial" w:cs="Arial"/>
                <w:b/>
                <w:sz w:val="18"/>
                <w:lang w:val="es-ES_tradnl" w:eastAsia="zh-CN"/>
              </w:rPr>
            </w:pPr>
            <w:r w:rsidRPr="00701F32">
              <w:rPr>
                <w:rFonts w:ascii="Arial" w:eastAsia="SimSun" w:hAnsi="Arial" w:cs="Arial"/>
                <w:sz w:val="18"/>
                <w:lang w:eastAsia="zh-CN"/>
              </w:rPr>
              <w:t xml:space="preserve">       </w:t>
            </w:r>
            <w:r w:rsidRPr="00701F32">
              <w:rPr>
                <w:rFonts w:ascii="Arial" w:eastAsia="SimSun" w:hAnsi="Arial" w:cs="Arial"/>
                <w:b/>
                <w:sz w:val="18"/>
                <w:lang w:eastAsia="zh-CN"/>
              </w:rPr>
              <w:t>451.505</w:t>
            </w:r>
          </w:p>
        </w:tc>
      </w:tr>
    </w:tbl>
    <w:p w14:paraId="2130CE55" w14:textId="77777777" w:rsidR="00F121B0" w:rsidRPr="00701F32" w:rsidRDefault="00F121B0" w:rsidP="00656E62">
      <w:pPr>
        <w:spacing w:after="160" w:line="259" w:lineRule="auto"/>
        <w:jc w:val="both"/>
        <w:rPr>
          <w:rFonts w:ascii="Arial" w:eastAsia="Arial" w:hAnsi="Arial" w:cs="Arial"/>
          <w:b/>
          <w:color w:val="0070C0"/>
          <w:sz w:val="20"/>
        </w:rPr>
      </w:pPr>
    </w:p>
    <w:p w14:paraId="10F125F5" w14:textId="77777777" w:rsidR="006D7FAF" w:rsidRPr="00701F32" w:rsidRDefault="006D7FAF" w:rsidP="00656E62">
      <w:pPr>
        <w:spacing w:after="160" w:line="259" w:lineRule="auto"/>
        <w:jc w:val="both"/>
        <w:rPr>
          <w:rFonts w:ascii="Arial" w:eastAsia="Arial" w:hAnsi="Arial" w:cs="Arial"/>
          <w:b/>
          <w:color w:val="0070C0"/>
          <w:sz w:val="20"/>
        </w:rPr>
      </w:pPr>
    </w:p>
    <w:p w14:paraId="0E49F303" w14:textId="77777777" w:rsidR="006D7FAF" w:rsidRPr="00701F32" w:rsidRDefault="006D7FAF" w:rsidP="00656E62">
      <w:pPr>
        <w:spacing w:after="160" w:line="259" w:lineRule="auto"/>
        <w:jc w:val="both"/>
        <w:rPr>
          <w:rFonts w:ascii="Arial" w:eastAsia="Arial" w:hAnsi="Arial" w:cs="Arial"/>
          <w:b/>
          <w:color w:val="0070C0"/>
          <w:sz w:val="20"/>
        </w:rPr>
      </w:pPr>
    </w:p>
    <w:p w14:paraId="73BC1C66" w14:textId="77777777" w:rsidR="00656E62" w:rsidRPr="00701F32" w:rsidRDefault="00D57127" w:rsidP="00656E62">
      <w:pPr>
        <w:spacing w:after="160" w:line="259" w:lineRule="auto"/>
        <w:jc w:val="both"/>
        <w:rPr>
          <w:rFonts w:ascii="Arial" w:eastAsia="Arial" w:hAnsi="Arial" w:cs="Arial"/>
          <w:b/>
          <w:szCs w:val="22"/>
        </w:rPr>
      </w:pPr>
      <w:r w:rsidRPr="00701F32">
        <w:rPr>
          <w:rFonts w:ascii="Arial" w:eastAsia="Arial" w:hAnsi="Arial" w:cs="Arial"/>
          <w:b/>
          <w:sz w:val="20"/>
        </w:rPr>
        <w:t>17</w:t>
      </w:r>
      <w:r w:rsidR="00656E62" w:rsidRPr="00701F32">
        <w:rPr>
          <w:rFonts w:ascii="Arial" w:eastAsia="Arial" w:hAnsi="Arial" w:cs="Arial"/>
          <w:b/>
          <w:sz w:val="20"/>
        </w:rPr>
        <w:t>.</w:t>
      </w:r>
      <w:r w:rsidR="004E457F" w:rsidRPr="00701F32">
        <w:rPr>
          <w:rFonts w:ascii="Arial" w:eastAsia="Arial" w:hAnsi="Arial" w:cs="Arial"/>
          <w:b/>
          <w:sz w:val="20"/>
        </w:rPr>
        <w:t xml:space="preserve">11 </w:t>
      </w:r>
      <w:r w:rsidR="00656E62" w:rsidRPr="00701F32">
        <w:rPr>
          <w:rFonts w:ascii="Arial" w:eastAsia="Arial" w:hAnsi="Arial" w:cs="Arial"/>
          <w:b/>
          <w:sz w:val="20"/>
        </w:rPr>
        <w:t>Compromisos</w:t>
      </w:r>
    </w:p>
    <w:p w14:paraId="129A770F" w14:textId="77777777" w:rsidR="00656E62" w:rsidRPr="00701F32" w:rsidRDefault="00656E62" w:rsidP="00656E62">
      <w:pPr>
        <w:spacing w:after="160" w:line="259" w:lineRule="auto"/>
        <w:jc w:val="both"/>
        <w:rPr>
          <w:rFonts w:ascii="Arial" w:eastAsia="Arial" w:hAnsi="Arial" w:cs="Arial"/>
          <w:sz w:val="20"/>
          <w:u w:val="single"/>
        </w:rPr>
      </w:pPr>
      <w:r w:rsidRPr="00701F32">
        <w:rPr>
          <w:rFonts w:ascii="Arial" w:eastAsia="Arial" w:hAnsi="Arial" w:cs="Arial"/>
          <w:sz w:val="20"/>
          <w:u w:val="single"/>
        </w:rPr>
        <w:t>Compromisos de arrendamiento operativos</w:t>
      </w:r>
    </w:p>
    <w:p w14:paraId="4AD6339F" w14:textId="77777777" w:rsidR="00656E62" w:rsidRPr="00701F32" w:rsidRDefault="001D6D40" w:rsidP="00656E62">
      <w:pPr>
        <w:spacing w:after="160" w:line="259" w:lineRule="auto"/>
        <w:jc w:val="both"/>
        <w:rPr>
          <w:rFonts w:ascii="Arial" w:eastAsia="Arial" w:hAnsi="Arial" w:cs="Arial"/>
          <w:sz w:val="20"/>
        </w:rPr>
      </w:pPr>
      <w:r w:rsidRPr="00701F32">
        <w:rPr>
          <w:rFonts w:ascii="Arial" w:eastAsia="Arial" w:hAnsi="Arial" w:cs="Arial"/>
          <w:sz w:val="20"/>
        </w:rPr>
        <w:t>La Entidad</w:t>
      </w:r>
      <w:r w:rsidR="00656E62" w:rsidRPr="00701F32">
        <w:rPr>
          <w:rFonts w:ascii="Arial" w:eastAsia="Arial" w:hAnsi="Arial" w:cs="Arial"/>
          <w:sz w:val="20"/>
        </w:rPr>
        <w:t xml:space="preserve"> arrienda ciertos inmuebles bajo contratos de alquiler operativos no cancelables. El plazo de estos contratos varía entre uno y cinco años y la mayoría son renovables a su vencimiento a precios de mercado.</w:t>
      </w:r>
    </w:p>
    <w:p w14:paraId="168724F2" w14:textId="77777777" w:rsidR="00656E62" w:rsidRPr="00701F32" w:rsidRDefault="00656E62" w:rsidP="00656E62">
      <w:pPr>
        <w:spacing w:after="160" w:line="259" w:lineRule="auto"/>
        <w:jc w:val="both"/>
        <w:rPr>
          <w:rFonts w:ascii="Arial" w:eastAsia="Arial" w:hAnsi="Arial" w:cs="Arial"/>
          <w:sz w:val="20"/>
        </w:rPr>
      </w:pPr>
      <w:r w:rsidRPr="00701F32">
        <w:rPr>
          <w:rFonts w:ascii="Arial" w:eastAsia="Arial" w:hAnsi="Arial" w:cs="Arial"/>
          <w:sz w:val="20"/>
        </w:rPr>
        <w:t>Se detalla a continuación el total de los pagos mínimos estimados futuros de arrendamiento por contratos de alquiler operativos no cancelables:</w:t>
      </w:r>
    </w:p>
    <w:tbl>
      <w:tblPr>
        <w:tblW w:w="2673" w:type="pct"/>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2"/>
        <w:gridCol w:w="2170"/>
      </w:tblGrid>
      <w:tr w:rsidR="001D742A" w:rsidRPr="00701F32" w14:paraId="498A183B" w14:textId="77777777" w:rsidTr="0086282C">
        <w:trPr>
          <w:trHeight w:val="401"/>
          <w:tblHeader/>
        </w:trPr>
        <w:tc>
          <w:tcPr>
            <w:tcW w:w="2611" w:type="pct"/>
            <w:shd w:val="clear" w:color="auto" w:fill="auto"/>
            <w:noWrap/>
            <w:vAlign w:val="bottom"/>
          </w:tcPr>
          <w:p w14:paraId="59A104A5" w14:textId="77777777" w:rsidR="001D742A" w:rsidRPr="00701F32" w:rsidRDefault="001D742A" w:rsidP="00464C0F">
            <w:pPr>
              <w:spacing w:line="259" w:lineRule="auto"/>
              <w:jc w:val="both"/>
              <w:rPr>
                <w:rFonts w:ascii="Arial" w:eastAsia="Arial" w:hAnsi="Arial" w:cs="Arial"/>
                <w:sz w:val="18"/>
              </w:rPr>
            </w:pPr>
          </w:p>
        </w:tc>
        <w:tc>
          <w:tcPr>
            <w:tcW w:w="2389" w:type="pct"/>
            <w:shd w:val="clear" w:color="auto" w:fill="auto"/>
            <w:vAlign w:val="center"/>
          </w:tcPr>
          <w:p w14:paraId="113C18A4" w14:textId="77777777" w:rsidR="001D742A" w:rsidRPr="00701F32" w:rsidRDefault="001D742A">
            <w:pPr>
              <w:spacing w:line="259" w:lineRule="auto"/>
              <w:jc w:val="center"/>
              <w:rPr>
                <w:rFonts w:ascii="Arial" w:eastAsia="Arial" w:hAnsi="Arial" w:cs="Arial"/>
                <w:b/>
                <w:sz w:val="18"/>
              </w:rPr>
            </w:pPr>
            <w:r w:rsidRPr="00701F32">
              <w:rPr>
                <w:rFonts w:ascii="Arial" w:eastAsia="Arial" w:hAnsi="Arial" w:cs="Arial"/>
                <w:b/>
                <w:sz w:val="18"/>
              </w:rPr>
              <w:t>31/12/2017</w:t>
            </w:r>
          </w:p>
        </w:tc>
      </w:tr>
      <w:tr w:rsidR="001D742A" w:rsidRPr="00701F32" w14:paraId="49D56B01" w14:textId="77777777" w:rsidTr="0086282C">
        <w:trPr>
          <w:trHeight w:val="228"/>
        </w:trPr>
        <w:tc>
          <w:tcPr>
            <w:tcW w:w="2611" w:type="pct"/>
            <w:shd w:val="clear" w:color="auto" w:fill="auto"/>
            <w:noWrap/>
            <w:vAlign w:val="bottom"/>
            <w:hideMark/>
          </w:tcPr>
          <w:p w14:paraId="51D0624E" w14:textId="77777777" w:rsidR="001D742A" w:rsidRPr="00701F32" w:rsidRDefault="001D742A" w:rsidP="00464C0F">
            <w:pPr>
              <w:spacing w:line="259" w:lineRule="auto"/>
              <w:jc w:val="both"/>
              <w:rPr>
                <w:rFonts w:ascii="Arial" w:eastAsia="Arial" w:hAnsi="Arial" w:cs="Arial"/>
                <w:sz w:val="18"/>
              </w:rPr>
            </w:pPr>
            <w:r w:rsidRPr="00701F32">
              <w:rPr>
                <w:rFonts w:ascii="Arial" w:eastAsia="Arial" w:hAnsi="Arial" w:cs="Arial"/>
                <w:sz w:val="18"/>
              </w:rPr>
              <w:t xml:space="preserve">Hasta 1 año  </w:t>
            </w:r>
          </w:p>
        </w:tc>
        <w:tc>
          <w:tcPr>
            <w:tcW w:w="2389" w:type="pct"/>
            <w:shd w:val="clear" w:color="auto" w:fill="auto"/>
            <w:noWrap/>
            <w:vAlign w:val="bottom"/>
          </w:tcPr>
          <w:p w14:paraId="42582021" w14:textId="77777777" w:rsidR="001D742A" w:rsidRPr="00701F32" w:rsidRDefault="001D742A">
            <w:pPr>
              <w:spacing w:line="259" w:lineRule="auto"/>
              <w:jc w:val="right"/>
              <w:rPr>
                <w:rFonts w:ascii="Arial" w:eastAsia="Arial" w:hAnsi="Arial" w:cs="Arial"/>
                <w:sz w:val="18"/>
              </w:rPr>
            </w:pPr>
            <w:r w:rsidRPr="00701F32">
              <w:rPr>
                <w:rFonts w:ascii="Arial" w:eastAsia="Arial" w:hAnsi="Arial" w:cs="Arial"/>
                <w:sz w:val="18"/>
              </w:rPr>
              <w:t xml:space="preserve">                  225.024</w:t>
            </w:r>
          </w:p>
        </w:tc>
      </w:tr>
      <w:tr w:rsidR="001D742A" w:rsidRPr="00701F32" w14:paraId="2F0A8483" w14:textId="77777777" w:rsidTr="0086282C">
        <w:trPr>
          <w:trHeight w:val="228"/>
        </w:trPr>
        <w:tc>
          <w:tcPr>
            <w:tcW w:w="2611" w:type="pct"/>
            <w:shd w:val="clear" w:color="auto" w:fill="auto"/>
            <w:noWrap/>
            <w:vAlign w:val="bottom"/>
          </w:tcPr>
          <w:p w14:paraId="1B76D71D" w14:textId="77777777" w:rsidR="001D742A" w:rsidRPr="00701F32" w:rsidRDefault="001D742A" w:rsidP="00464C0F">
            <w:pPr>
              <w:spacing w:line="259" w:lineRule="auto"/>
              <w:jc w:val="both"/>
              <w:rPr>
                <w:rFonts w:ascii="Arial" w:eastAsia="Arial" w:hAnsi="Arial" w:cs="Arial"/>
                <w:sz w:val="18"/>
              </w:rPr>
            </w:pPr>
            <w:r w:rsidRPr="00701F32">
              <w:rPr>
                <w:rFonts w:ascii="Arial" w:eastAsia="Arial" w:hAnsi="Arial" w:cs="Arial"/>
                <w:sz w:val="18"/>
              </w:rPr>
              <w:t>Más de 1 año y hasta 5 años</w:t>
            </w:r>
          </w:p>
        </w:tc>
        <w:tc>
          <w:tcPr>
            <w:tcW w:w="2389" w:type="pct"/>
            <w:shd w:val="clear" w:color="auto" w:fill="auto"/>
            <w:noWrap/>
            <w:vAlign w:val="bottom"/>
            <w:hideMark/>
          </w:tcPr>
          <w:p w14:paraId="39272D88" w14:textId="77777777" w:rsidR="001D742A" w:rsidRPr="00701F32" w:rsidRDefault="001D742A">
            <w:pPr>
              <w:spacing w:line="259" w:lineRule="auto"/>
              <w:jc w:val="right"/>
              <w:rPr>
                <w:rFonts w:ascii="Arial" w:eastAsia="Arial" w:hAnsi="Arial" w:cs="Arial"/>
                <w:sz w:val="18"/>
              </w:rPr>
            </w:pPr>
            <w:r w:rsidRPr="00701F32">
              <w:rPr>
                <w:rFonts w:ascii="Arial" w:eastAsia="Arial" w:hAnsi="Arial" w:cs="Arial"/>
                <w:sz w:val="18"/>
              </w:rPr>
              <w:t xml:space="preserve">                   452.863</w:t>
            </w:r>
          </w:p>
        </w:tc>
      </w:tr>
      <w:tr w:rsidR="001D742A" w:rsidRPr="00701F32" w14:paraId="74868E3F" w14:textId="77777777" w:rsidTr="0086282C">
        <w:trPr>
          <w:trHeight w:val="228"/>
        </w:trPr>
        <w:tc>
          <w:tcPr>
            <w:tcW w:w="2611" w:type="pct"/>
            <w:shd w:val="clear" w:color="auto" w:fill="auto"/>
            <w:noWrap/>
            <w:vAlign w:val="bottom"/>
          </w:tcPr>
          <w:p w14:paraId="418A61B8" w14:textId="77777777" w:rsidR="001D742A" w:rsidRPr="00701F32" w:rsidRDefault="001D742A" w:rsidP="00464C0F">
            <w:pPr>
              <w:spacing w:line="259" w:lineRule="auto"/>
              <w:jc w:val="both"/>
              <w:rPr>
                <w:rFonts w:ascii="Arial" w:eastAsia="Arial" w:hAnsi="Arial" w:cs="Arial"/>
                <w:sz w:val="18"/>
              </w:rPr>
            </w:pPr>
            <w:r w:rsidRPr="00701F32">
              <w:rPr>
                <w:rFonts w:ascii="Arial" w:eastAsia="Arial" w:hAnsi="Arial" w:cs="Arial"/>
                <w:sz w:val="18"/>
              </w:rPr>
              <w:t>Más de 5 años</w:t>
            </w:r>
          </w:p>
        </w:tc>
        <w:tc>
          <w:tcPr>
            <w:tcW w:w="2389" w:type="pct"/>
            <w:shd w:val="clear" w:color="auto" w:fill="auto"/>
            <w:noWrap/>
            <w:vAlign w:val="bottom"/>
            <w:hideMark/>
          </w:tcPr>
          <w:p w14:paraId="74D3984C" w14:textId="77777777" w:rsidR="001D742A" w:rsidRPr="00701F32" w:rsidRDefault="001D742A">
            <w:pPr>
              <w:spacing w:line="259" w:lineRule="auto"/>
              <w:jc w:val="right"/>
              <w:rPr>
                <w:rFonts w:ascii="Arial" w:eastAsia="Arial" w:hAnsi="Arial" w:cs="Arial"/>
                <w:sz w:val="18"/>
              </w:rPr>
            </w:pPr>
            <w:r w:rsidRPr="00701F32">
              <w:rPr>
                <w:rFonts w:ascii="Arial" w:eastAsia="Arial" w:hAnsi="Arial" w:cs="Arial"/>
                <w:sz w:val="18"/>
              </w:rPr>
              <w:t>                     45.620</w:t>
            </w:r>
          </w:p>
        </w:tc>
      </w:tr>
      <w:tr w:rsidR="001D742A" w:rsidRPr="00701F32" w14:paraId="7A93C59C" w14:textId="77777777" w:rsidTr="0086282C">
        <w:trPr>
          <w:trHeight w:val="228"/>
        </w:trPr>
        <w:tc>
          <w:tcPr>
            <w:tcW w:w="2611" w:type="pct"/>
            <w:shd w:val="clear" w:color="auto" w:fill="auto"/>
            <w:noWrap/>
            <w:vAlign w:val="bottom"/>
          </w:tcPr>
          <w:p w14:paraId="690C03CA" w14:textId="77777777" w:rsidR="001D742A" w:rsidRPr="00701F32" w:rsidRDefault="001D742A" w:rsidP="00464C0F">
            <w:pPr>
              <w:spacing w:line="259" w:lineRule="auto"/>
              <w:jc w:val="both"/>
              <w:rPr>
                <w:rFonts w:ascii="Arial" w:eastAsia="Arial" w:hAnsi="Arial" w:cs="Arial"/>
                <w:b/>
                <w:sz w:val="18"/>
              </w:rPr>
            </w:pPr>
            <w:r w:rsidRPr="00701F32">
              <w:rPr>
                <w:rFonts w:ascii="Arial" w:eastAsia="Arial" w:hAnsi="Arial" w:cs="Arial"/>
                <w:b/>
                <w:sz w:val="18"/>
              </w:rPr>
              <w:t>Total</w:t>
            </w:r>
          </w:p>
        </w:tc>
        <w:tc>
          <w:tcPr>
            <w:tcW w:w="2389" w:type="pct"/>
            <w:shd w:val="clear" w:color="auto" w:fill="auto"/>
            <w:noWrap/>
            <w:vAlign w:val="bottom"/>
            <w:hideMark/>
          </w:tcPr>
          <w:p w14:paraId="0CFA54CC" w14:textId="77777777" w:rsidR="001D742A" w:rsidRPr="00701F32" w:rsidRDefault="001D742A">
            <w:pPr>
              <w:spacing w:line="259" w:lineRule="auto"/>
              <w:jc w:val="right"/>
              <w:rPr>
                <w:rFonts w:ascii="Arial" w:eastAsia="Arial" w:hAnsi="Arial" w:cs="Arial"/>
                <w:b/>
                <w:sz w:val="18"/>
              </w:rPr>
            </w:pPr>
            <w:r w:rsidRPr="00701F32">
              <w:rPr>
                <w:rFonts w:ascii="Arial" w:eastAsia="Arial" w:hAnsi="Arial" w:cs="Arial"/>
                <w:b/>
                <w:sz w:val="18"/>
              </w:rPr>
              <w:t xml:space="preserve">                   723.507  </w:t>
            </w:r>
          </w:p>
        </w:tc>
      </w:tr>
    </w:tbl>
    <w:p w14:paraId="1210F805" w14:textId="77777777" w:rsidR="00656E62" w:rsidRPr="00701F32" w:rsidRDefault="00656E62" w:rsidP="00656E62">
      <w:pPr>
        <w:jc w:val="both"/>
        <w:rPr>
          <w:rFonts w:ascii="Arial" w:hAnsi="Arial" w:cs="Arial"/>
          <w:b/>
          <w:sz w:val="20"/>
        </w:rPr>
      </w:pPr>
    </w:p>
    <w:p w14:paraId="3007A585" w14:textId="77777777" w:rsidR="00D12E45" w:rsidRPr="00701F32" w:rsidRDefault="00D12E45" w:rsidP="00656E62">
      <w:pPr>
        <w:jc w:val="both"/>
        <w:rPr>
          <w:rFonts w:ascii="Arial" w:hAnsi="Arial" w:cs="Arial"/>
          <w:b/>
          <w:sz w:val="20"/>
        </w:rPr>
      </w:pPr>
    </w:p>
    <w:p w14:paraId="3065A0A8" w14:textId="77777777" w:rsidR="00656E62" w:rsidRPr="00701F32" w:rsidRDefault="004E457F" w:rsidP="00656E62">
      <w:pPr>
        <w:jc w:val="both"/>
        <w:rPr>
          <w:rFonts w:ascii="Arial" w:hAnsi="Arial" w:cs="Arial"/>
          <w:b/>
          <w:sz w:val="20"/>
        </w:rPr>
      </w:pPr>
      <w:r w:rsidRPr="00701F32">
        <w:rPr>
          <w:rFonts w:ascii="Arial" w:hAnsi="Arial" w:cs="Arial"/>
          <w:b/>
          <w:sz w:val="20"/>
        </w:rPr>
        <w:t>17</w:t>
      </w:r>
      <w:r w:rsidR="00656E62" w:rsidRPr="00701F32">
        <w:rPr>
          <w:rFonts w:ascii="Arial" w:hAnsi="Arial" w:cs="Arial"/>
          <w:b/>
          <w:sz w:val="20"/>
        </w:rPr>
        <w:t>.</w:t>
      </w:r>
      <w:r w:rsidRPr="00701F32">
        <w:rPr>
          <w:rFonts w:ascii="Arial" w:hAnsi="Arial" w:cs="Arial"/>
          <w:b/>
          <w:sz w:val="20"/>
        </w:rPr>
        <w:t xml:space="preserve">12 </w:t>
      </w:r>
      <w:r w:rsidR="00656E62" w:rsidRPr="00701F32">
        <w:rPr>
          <w:rFonts w:ascii="Arial" w:hAnsi="Arial" w:cs="Arial"/>
          <w:b/>
          <w:sz w:val="20"/>
        </w:rPr>
        <w:t>Composición del capital</w:t>
      </w:r>
    </w:p>
    <w:p w14:paraId="45D10F7E" w14:textId="77777777" w:rsidR="00656E62" w:rsidRPr="00701F32" w:rsidRDefault="00656E62" w:rsidP="00656E62">
      <w:pPr>
        <w:jc w:val="both"/>
        <w:rPr>
          <w:rFonts w:ascii="Arial" w:hAnsi="Arial" w:cs="Arial"/>
          <w:b/>
          <w:sz w:val="20"/>
        </w:rPr>
      </w:pPr>
    </w:p>
    <w:tbl>
      <w:tblPr>
        <w:tblW w:w="8695" w:type="dxa"/>
        <w:tblCellMar>
          <w:left w:w="70" w:type="dxa"/>
          <w:right w:w="70" w:type="dxa"/>
        </w:tblCellMar>
        <w:tblLook w:val="04A0" w:firstRow="1" w:lastRow="0" w:firstColumn="1" w:lastColumn="0" w:noHBand="0" w:noVBand="1"/>
      </w:tblPr>
      <w:tblGrid>
        <w:gridCol w:w="1733"/>
        <w:gridCol w:w="1030"/>
        <w:gridCol w:w="674"/>
        <w:gridCol w:w="185"/>
        <w:gridCol w:w="985"/>
        <w:gridCol w:w="702"/>
        <w:gridCol w:w="603"/>
        <w:gridCol w:w="656"/>
        <w:gridCol w:w="1056"/>
        <w:gridCol w:w="869"/>
        <w:gridCol w:w="869"/>
      </w:tblGrid>
      <w:tr w:rsidR="00656E62" w:rsidRPr="00701F32" w14:paraId="33B21A68" w14:textId="77777777" w:rsidTr="00464C0F">
        <w:trPr>
          <w:trHeight w:val="217"/>
        </w:trPr>
        <w:tc>
          <w:tcPr>
            <w:tcW w:w="1733" w:type="dxa"/>
            <w:tcBorders>
              <w:top w:val="single" w:sz="4" w:space="0" w:color="auto"/>
              <w:left w:val="single" w:sz="4" w:space="0" w:color="auto"/>
              <w:bottom w:val="nil"/>
              <w:right w:val="nil"/>
            </w:tcBorders>
            <w:shd w:val="clear" w:color="auto" w:fill="auto"/>
            <w:noWrap/>
            <w:vAlign w:val="bottom"/>
            <w:hideMark/>
          </w:tcPr>
          <w:p w14:paraId="004C330A" w14:textId="77777777" w:rsidR="00656E62" w:rsidRPr="00701F32" w:rsidRDefault="00656E62" w:rsidP="00464C0F">
            <w:pPr>
              <w:rPr>
                <w:rFonts w:ascii="Arial" w:hAnsi="Arial" w:cs="Arial"/>
                <w:b/>
                <w:bCs/>
                <w:sz w:val="16"/>
                <w:szCs w:val="16"/>
                <w:lang w:eastAsia="es-AR"/>
              </w:rPr>
            </w:pPr>
            <w:r w:rsidRPr="00701F32">
              <w:rPr>
                <w:rFonts w:ascii="Arial" w:hAnsi="Arial" w:cs="Arial"/>
                <w:b/>
                <w:bCs/>
                <w:sz w:val="16"/>
                <w:szCs w:val="16"/>
                <w:lang w:eastAsia="es-AR"/>
              </w:rPr>
              <w:t> </w:t>
            </w:r>
          </w:p>
        </w:tc>
        <w:tc>
          <w:tcPr>
            <w:tcW w:w="927" w:type="dxa"/>
            <w:tcBorders>
              <w:top w:val="single" w:sz="4" w:space="0" w:color="auto"/>
              <w:left w:val="nil"/>
              <w:bottom w:val="single" w:sz="4" w:space="0" w:color="auto"/>
              <w:right w:val="nil"/>
            </w:tcBorders>
            <w:shd w:val="clear" w:color="auto" w:fill="auto"/>
            <w:noWrap/>
            <w:vAlign w:val="bottom"/>
            <w:hideMark/>
          </w:tcPr>
          <w:p w14:paraId="064EA715"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Acciones</w:t>
            </w:r>
          </w:p>
        </w:tc>
        <w:tc>
          <w:tcPr>
            <w:tcW w:w="607" w:type="dxa"/>
            <w:tcBorders>
              <w:top w:val="single" w:sz="4" w:space="0" w:color="auto"/>
              <w:left w:val="nil"/>
              <w:bottom w:val="single" w:sz="4" w:space="0" w:color="auto"/>
              <w:right w:val="nil"/>
            </w:tcBorders>
            <w:shd w:val="clear" w:color="auto" w:fill="auto"/>
            <w:noWrap/>
            <w:vAlign w:val="bottom"/>
            <w:hideMark/>
          </w:tcPr>
          <w:p w14:paraId="126C76B2" w14:textId="77777777" w:rsidR="00656E62" w:rsidRPr="00701F32" w:rsidRDefault="00656E62" w:rsidP="00464C0F">
            <w:pPr>
              <w:jc w:val="center"/>
              <w:rPr>
                <w:rFonts w:ascii="Arial" w:hAnsi="Arial" w:cs="Arial"/>
                <w:b/>
                <w:bCs/>
                <w:sz w:val="16"/>
                <w:szCs w:val="16"/>
                <w:lang w:eastAsia="es-AR"/>
              </w:rPr>
            </w:pPr>
          </w:p>
        </w:tc>
        <w:tc>
          <w:tcPr>
            <w:tcW w:w="166" w:type="dxa"/>
            <w:tcBorders>
              <w:top w:val="single" w:sz="4" w:space="0" w:color="auto"/>
              <w:left w:val="nil"/>
              <w:bottom w:val="nil"/>
              <w:right w:val="nil"/>
            </w:tcBorders>
            <w:shd w:val="clear" w:color="auto" w:fill="auto"/>
            <w:noWrap/>
            <w:vAlign w:val="bottom"/>
            <w:hideMark/>
          </w:tcPr>
          <w:p w14:paraId="66125700" w14:textId="77777777" w:rsidR="00656E62" w:rsidRPr="00701F32" w:rsidRDefault="00656E62" w:rsidP="00464C0F">
            <w:pPr>
              <w:jc w:val="center"/>
              <w:rPr>
                <w:rFonts w:ascii="Arial" w:hAnsi="Arial" w:cs="Arial"/>
                <w:b/>
                <w:bCs/>
                <w:sz w:val="16"/>
                <w:szCs w:val="16"/>
                <w:lang w:eastAsia="es-AR"/>
              </w:rPr>
            </w:pPr>
          </w:p>
        </w:tc>
        <w:tc>
          <w:tcPr>
            <w:tcW w:w="887" w:type="dxa"/>
            <w:tcBorders>
              <w:top w:val="single" w:sz="4" w:space="0" w:color="auto"/>
              <w:left w:val="nil"/>
              <w:bottom w:val="single" w:sz="4" w:space="0" w:color="auto"/>
              <w:right w:val="nil"/>
            </w:tcBorders>
            <w:shd w:val="clear" w:color="auto" w:fill="auto"/>
            <w:noWrap/>
            <w:vAlign w:val="bottom"/>
            <w:hideMark/>
          </w:tcPr>
          <w:p w14:paraId="68A087D5" w14:textId="77777777" w:rsidR="00656E62" w:rsidRPr="00701F32" w:rsidRDefault="00656E62" w:rsidP="00464C0F">
            <w:pPr>
              <w:jc w:val="center"/>
              <w:rPr>
                <w:rFonts w:ascii="Arial" w:hAnsi="Arial" w:cs="Arial"/>
                <w:b/>
                <w:bCs/>
                <w:sz w:val="16"/>
                <w:szCs w:val="16"/>
                <w:lang w:eastAsia="es-AR"/>
              </w:rPr>
            </w:pPr>
          </w:p>
        </w:tc>
        <w:tc>
          <w:tcPr>
            <w:tcW w:w="702" w:type="dxa"/>
            <w:tcBorders>
              <w:top w:val="single" w:sz="4" w:space="0" w:color="auto"/>
              <w:left w:val="nil"/>
              <w:bottom w:val="single" w:sz="4" w:space="0" w:color="auto"/>
              <w:right w:val="nil"/>
            </w:tcBorders>
            <w:shd w:val="clear" w:color="auto" w:fill="auto"/>
            <w:noWrap/>
            <w:vAlign w:val="bottom"/>
            <w:hideMark/>
          </w:tcPr>
          <w:p w14:paraId="7187DD07" w14:textId="77777777" w:rsidR="00656E62" w:rsidRPr="00701F32" w:rsidRDefault="00656E62" w:rsidP="00464C0F">
            <w:pPr>
              <w:jc w:val="center"/>
              <w:rPr>
                <w:rFonts w:ascii="Arial" w:hAnsi="Arial" w:cs="Arial"/>
                <w:b/>
                <w:bCs/>
                <w:sz w:val="16"/>
                <w:szCs w:val="16"/>
                <w:lang w:eastAsia="es-AR"/>
              </w:rPr>
            </w:pPr>
          </w:p>
        </w:tc>
        <w:tc>
          <w:tcPr>
            <w:tcW w:w="567" w:type="dxa"/>
            <w:tcBorders>
              <w:top w:val="single" w:sz="4" w:space="0" w:color="auto"/>
              <w:left w:val="nil"/>
              <w:bottom w:val="single" w:sz="4" w:space="0" w:color="auto"/>
              <w:right w:val="nil"/>
            </w:tcBorders>
            <w:shd w:val="clear" w:color="auto" w:fill="auto"/>
            <w:noWrap/>
            <w:vAlign w:val="bottom"/>
            <w:hideMark/>
          </w:tcPr>
          <w:p w14:paraId="04374FE8" w14:textId="77777777" w:rsidR="00656E62" w:rsidRPr="00701F32" w:rsidRDefault="00656E62" w:rsidP="00464C0F">
            <w:pPr>
              <w:jc w:val="center"/>
              <w:rPr>
                <w:rFonts w:ascii="Arial" w:hAnsi="Arial" w:cs="Arial"/>
                <w:b/>
                <w:bCs/>
                <w:sz w:val="16"/>
                <w:szCs w:val="16"/>
                <w:lang w:eastAsia="es-AR"/>
              </w:rPr>
            </w:pPr>
          </w:p>
        </w:tc>
        <w:tc>
          <w:tcPr>
            <w:tcW w:w="2324" w:type="dxa"/>
            <w:gridSpan w:val="3"/>
            <w:tcBorders>
              <w:top w:val="single" w:sz="4" w:space="0" w:color="auto"/>
              <w:left w:val="nil"/>
              <w:bottom w:val="single" w:sz="4" w:space="0" w:color="auto"/>
              <w:right w:val="nil"/>
            </w:tcBorders>
            <w:shd w:val="clear" w:color="auto" w:fill="auto"/>
            <w:noWrap/>
            <w:vAlign w:val="bottom"/>
            <w:hideMark/>
          </w:tcPr>
          <w:p w14:paraId="59011C38"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Capital Social (1)</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1AA47F3D" w14:textId="77777777" w:rsidR="00656E62" w:rsidRPr="00701F32" w:rsidRDefault="00656E62" w:rsidP="00464C0F">
            <w:pPr>
              <w:jc w:val="center"/>
              <w:rPr>
                <w:rFonts w:ascii="Arial" w:hAnsi="Arial" w:cs="Arial"/>
                <w:b/>
                <w:bCs/>
                <w:sz w:val="16"/>
                <w:szCs w:val="16"/>
                <w:lang w:eastAsia="es-AR"/>
              </w:rPr>
            </w:pPr>
          </w:p>
        </w:tc>
      </w:tr>
      <w:tr w:rsidR="00656E62" w:rsidRPr="00701F32" w14:paraId="072227D8"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52ABDA0D" w14:textId="77777777" w:rsidR="00656E62" w:rsidRPr="00701F32" w:rsidRDefault="00656E62" w:rsidP="00464C0F">
            <w:pPr>
              <w:rPr>
                <w:rFonts w:ascii="Arial" w:hAnsi="Arial" w:cs="Arial"/>
                <w:b/>
                <w:bCs/>
                <w:sz w:val="16"/>
                <w:szCs w:val="16"/>
                <w:lang w:eastAsia="es-AR"/>
              </w:rPr>
            </w:pPr>
            <w:r w:rsidRPr="00701F32">
              <w:rPr>
                <w:rFonts w:ascii="Arial" w:hAnsi="Arial" w:cs="Arial"/>
                <w:b/>
                <w:bCs/>
                <w:sz w:val="16"/>
                <w:szCs w:val="16"/>
                <w:lang w:eastAsia="es-AR"/>
              </w:rPr>
              <w:t> </w:t>
            </w:r>
          </w:p>
        </w:tc>
        <w:tc>
          <w:tcPr>
            <w:tcW w:w="927" w:type="dxa"/>
            <w:tcBorders>
              <w:top w:val="nil"/>
              <w:left w:val="nil"/>
              <w:bottom w:val="nil"/>
              <w:right w:val="nil"/>
            </w:tcBorders>
            <w:shd w:val="clear" w:color="auto" w:fill="auto"/>
            <w:noWrap/>
            <w:vAlign w:val="bottom"/>
            <w:hideMark/>
          </w:tcPr>
          <w:p w14:paraId="25D90F7F" w14:textId="77777777" w:rsidR="00656E62" w:rsidRPr="00701F32" w:rsidRDefault="00656E62" w:rsidP="00464C0F">
            <w:pPr>
              <w:rPr>
                <w:rFonts w:ascii="Arial" w:hAnsi="Arial" w:cs="Arial"/>
                <w:b/>
                <w:bCs/>
                <w:sz w:val="16"/>
                <w:szCs w:val="16"/>
                <w:lang w:eastAsia="es-AR"/>
              </w:rPr>
            </w:pPr>
          </w:p>
        </w:tc>
        <w:tc>
          <w:tcPr>
            <w:tcW w:w="607" w:type="dxa"/>
            <w:tcBorders>
              <w:top w:val="nil"/>
              <w:left w:val="nil"/>
              <w:bottom w:val="nil"/>
              <w:right w:val="nil"/>
            </w:tcBorders>
            <w:shd w:val="clear" w:color="auto" w:fill="auto"/>
            <w:noWrap/>
            <w:vAlign w:val="bottom"/>
            <w:hideMark/>
          </w:tcPr>
          <w:p w14:paraId="13344EC2"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Votos</w:t>
            </w:r>
          </w:p>
        </w:tc>
        <w:tc>
          <w:tcPr>
            <w:tcW w:w="166" w:type="dxa"/>
            <w:tcBorders>
              <w:top w:val="nil"/>
              <w:left w:val="nil"/>
              <w:bottom w:val="nil"/>
              <w:right w:val="nil"/>
            </w:tcBorders>
            <w:shd w:val="clear" w:color="auto" w:fill="auto"/>
            <w:noWrap/>
            <w:vAlign w:val="bottom"/>
            <w:hideMark/>
          </w:tcPr>
          <w:p w14:paraId="58BE373A" w14:textId="77777777" w:rsidR="00656E62" w:rsidRPr="00701F32" w:rsidRDefault="00656E62" w:rsidP="00464C0F">
            <w:pPr>
              <w:jc w:val="center"/>
              <w:rPr>
                <w:rFonts w:ascii="Arial" w:hAnsi="Arial" w:cs="Arial"/>
                <w:b/>
                <w:bCs/>
                <w:sz w:val="16"/>
                <w:szCs w:val="16"/>
                <w:lang w:eastAsia="es-AR"/>
              </w:rPr>
            </w:pPr>
          </w:p>
        </w:tc>
        <w:tc>
          <w:tcPr>
            <w:tcW w:w="2747" w:type="dxa"/>
            <w:gridSpan w:val="4"/>
            <w:tcBorders>
              <w:top w:val="single" w:sz="4" w:space="0" w:color="auto"/>
              <w:left w:val="nil"/>
              <w:bottom w:val="single" w:sz="4" w:space="0" w:color="auto"/>
              <w:right w:val="nil"/>
            </w:tcBorders>
            <w:shd w:val="clear" w:color="auto" w:fill="auto"/>
            <w:noWrap/>
            <w:vAlign w:val="bottom"/>
            <w:hideMark/>
          </w:tcPr>
          <w:p w14:paraId="1459823E"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Emitido </w:t>
            </w:r>
          </w:p>
        </w:tc>
        <w:tc>
          <w:tcPr>
            <w:tcW w:w="951" w:type="dxa"/>
            <w:tcBorders>
              <w:top w:val="nil"/>
              <w:left w:val="nil"/>
              <w:bottom w:val="nil"/>
              <w:right w:val="nil"/>
            </w:tcBorders>
            <w:shd w:val="clear" w:color="auto" w:fill="auto"/>
            <w:noWrap/>
            <w:vAlign w:val="bottom"/>
            <w:hideMark/>
          </w:tcPr>
          <w:p w14:paraId="48E633A7"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Pendiente</w:t>
            </w:r>
          </w:p>
        </w:tc>
        <w:tc>
          <w:tcPr>
            <w:tcW w:w="782" w:type="dxa"/>
            <w:tcBorders>
              <w:top w:val="nil"/>
              <w:left w:val="nil"/>
              <w:bottom w:val="nil"/>
              <w:right w:val="nil"/>
            </w:tcBorders>
            <w:shd w:val="clear" w:color="auto" w:fill="auto"/>
            <w:noWrap/>
            <w:vAlign w:val="bottom"/>
            <w:hideMark/>
          </w:tcPr>
          <w:p w14:paraId="4258712C" w14:textId="77777777" w:rsidR="00656E62" w:rsidRPr="00701F32" w:rsidRDefault="00656E62" w:rsidP="00464C0F">
            <w:pPr>
              <w:jc w:val="center"/>
              <w:rPr>
                <w:rFonts w:ascii="Arial" w:hAnsi="Arial" w:cs="Arial"/>
                <w:b/>
                <w:bCs/>
                <w:sz w:val="16"/>
                <w:szCs w:val="16"/>
                <w:lang w:eastAsia="es-AR"/>
              </w:rPr>
            </w:pPr>
          </w:p>
        </w:tc>
        <w:tc>
          <w:tcPr>
            <w:tcW w:w="782" w:type="dxa"/>
            <w:tcBorders>
              <w:top w:val="nil"/>
              <w:left w:val="nil"/>
              <w:bottom w:val="nil"/>
              <w:right w:val="single" w:sz="4" w:space="0" w:color="auto"/>
            </w:tcBorders>
            <w:shd w:val="clear" w:color="auto" w:fill="auto"/>
            <w:noWrap/>
            <w:vAlign w:val="bottom"/>
            <w:hideMark/>
          </w:tcPr>
          <w:p w14:paraId="55FA8737" w14:textId="77777777" w:rsidR="00656E62" w:rsidRPr="00701F32" w:rsidRDefault="00656E62" w:rsidP="00464C0F">
            <w:pPr>
              <w:jc w:val="both"/>
              <w:rPr>
                <w:rFonts w:ascii="Arial" w:hAnsi="Arial" w:cs="Arial"/>
                <w:b/>
                <w:bCs/>
                <w:sz w:val="16"/>
                <w:szCs w:val="16"/>
                <w:lang w:eastAsia="es-AR"/>
              </w:rPr>
            </w:pPr>
            <w:r w:rsidRPr="00701F32">
              <w:rPr>
                <w:rFonts w:ascii="Arial" w:hAnsi="Arial" w:cs="Arial"/>
                <w:b/>
                <w:bCs/>
                <w:sz w:val="16"/>
                <w:szCs w:val="16"/>
                <w:lang w:eastAsia="es-AR"/>
              </w:rPr>
              <w:t> </w:t>
            </w:r>
          </w:p>
        </w:tc>
      </w:tr>
      <w:tr w:rsidR="00656E62" w:rsidRPr="00701F32" w14:paraId="1DD359F6"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445F3B4C"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Clase</w:t>
            </w:r>
          </w:p>
        </w:tc>
        <w:tc>
          <w:tcPr>
            <w:tcW w:w="927" w:type="dxa"/>
            <w:tcBorders>
              <w:top w:val="nil"/>
              <w:left w:val="nil"/>
              <w:bottom w:val="nil"/>
              <w:right w:val="nil"/>
            </w:tcBorders>
            <w:shd w:val="clear" w:color="auto" w:fill="auto"/>
            <w:noWrap/>
            <w:vAlign w:val="bottom"/>
            <w:hideMark/>
          </w:tcPr>
          <w:p w14:paraId="1472A46F"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Cantidad</w:t>
            </w:r>
          </w:p>
        </w:tc>
        <w:tc>
          <w:tcPr>
            <w:tcW w:w="607" w:type="dxa"/>
            <w:tcBorders>
              <w:top w:val="nil"/>
              <w:left w:val="nil"/>
              <w:bottom w:val="nil"/>
              <w:right w:val="nil"/>
            </w:tcBorders>
            <w:shd w:val="clear" w:color="auto" w:fill="auto"/>
            <w:noWrap/>
            <w:vAlign w:val="bottom"/>
            <w:hideMark/>
          </w:tcPr>
          <w:p w14:paraId="0D1AF74A"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por</w:t>
            </w:r>
          </w:p>
        </w:tc>
        <w:tc>
          <w:tcPr>
            <w:tcW w:w="166" w:type="dxa"/>
            <w:tcBorders>
              <w:top w:val="nil"/>
              <w:left w:val="nil"/>
              <w:bottom w:val="nil"/>
              <w:right w:val="nil"/>
            </w:tcBorders>
            <w:shd w:val="clear" w:color="auto" w:fill="auto"/>
            <w:noWrap/>
            <w:vAlign w:val="bottom"/>
            <w:hideMark/>
          </w:tcPr>
          <w:p w14:paraId="5E8D97DD" w14:textId="77777777" w:rsidR="00656E62" w:rsidRPr="00701F32" w:rsidRDefault="00656E62" w:rsidP="00464C0F">
            <w:pPr>
              <w:jc w:val="center"/>
              <w:rPr>
                <w:rFonts w:ascii="Arial" w:hAnsi="Arial" w:cs="Arial"/>
                <w:b/>
                <w:bCs/>
                <w:sz w:val="16"/>
                <w:szCs w:val="16"/>
                <w:lang w:eastAsia="es-AR"/>
              </w:rPr>
            </w:pPr>
          </w:p>
        </w:tc>
        <w:tc>
          <w:tcPr>
            <w:tcW w:w="887" w:type="dxa"/>
            <w:tcBorders>
              <w:top w:val="nil"/>
              <w:left w:val="nil"/>
              <w:bottom w:val="nil"/>
              <w:right w:val="nil"/>
            </w:tcBorders>
            <w:shd w:val="clear" w:color="auto" w:fill="auto"/>
            <w:noWrap/>
            <w:vAlign w:val="bottom"/>
            <w:hideMark/>
          </w:tcPr>
          <w:p w14:paraId="7907EC26"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En</w:t>
            </w:r>
          </w:p>
        </w:tc>
        <w:tc>
          <w:tcPr>
            <w:tcW w:w="702" w:type="dxa"/>
            <w:tcBorders>
              <w:top w:val="nil"/>
              <w:left w:val="nil"/>
              <w:bottom w:val="nil"/>
              <w:right w:val="nil"/>
            </w:tcBorders>
            <w:shd w:val="clear" w:color="auto" w:fill="auto"/>
            <w:noWrap/>
            <w:vAlign w:val="bottom"/>
            <w:hideMark/>
          </w:tcPr>
          <w:p w14:paraId="3FFB591A"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En cartera</w:t>
            </w:r>
          </w:p>
        </w:tc>
        <w:tc>
          <w:tcPr>
            <w:tcW w:w="1158" w:type="dxa"/>
            <w:gridSpan w:val="2"/>
            <w:tcBorders>
              <w:top w:val="single" w:sz="4" w:space="0" w:color="auto"/>
              <w:left w:val="nil"/>
              <w:bottom w:val="nil"/>
              <w:right w:val="nil"/>
            </w:tcBorders>
            <w:shd w:val="clear" w:color="auto" w:fill="auto"/>
            <w:noWrap/>
            <w:vAlign w:val="bottom"/>
            <w:hideMark/>
          </w:tcPr>
          <w:p w14:paraId="2896187B"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Adquisición</w:t>
            </w:r>
          </w:p>
        </w:tc>
        <w:tc>
          <w:tcPr>
            <w:tcW w:w="951" w:type="dxa"/>
            <w:tcBorders>
              <w:top w:val="nil"/>
              <w:left w:val="nil"/>
              <w:bottom w:val="nil"/>
              <w:right w:val="nil"/>
            </w:tcBorders>
            <w:shd w:val="clear" w:color="auto" w:fill="auto"/>
            <w:noWrap/>
            <w:vAlign w:val="bottom"/>
            <w:hideMark/>
          </w:tcPr>
          <w:p w14:paraId="2135FEF4"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de emisión </w:t>
            </w:r>
          </w:p>
        </w:tc>
        <w:tc>
          <w:tcPr>
            <w:tcW w:w="782" w:type="dxa"/>
            <w:tcBorders>
              <w:top w:val="nil"/>
              <w:left w:val="nil"/>
              <w:bottom w:val="nil"/>
              <w:right w:val="nil"/>
            </w:tcBorders>
            <w:shd w:val="clear" w:color="auto" w:fill="auto"/>
            <w:noWrap/>
            <w:vAlign w:val="bottom"/>
            <w:hideMark/>
          </w:tcPr>
          <w:p w14:paraId="2F828912"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Asignado</w:t>
            </w:r>
          </w:p>
        </w:tc>
        <w:tc>
          <w:tcPr>
            <w:tcW w:w="782" w:type="dxa"/>
            <w:tcBorders>
              <w:top w:val="nil"/>
              <w:left w:val="nil"/>
              <w:bottom w:val="nil"/>
              <w:right w:val="single" w:sz="4" w:space="0" w:color="auto"/>
            </w:tcBorders>
            <w:shd w:val="clear" w:color="auto" w:fill="auto"/>
            <w:noWrap/>
            <w:vAlign w:val="bottom"/>
            <w:hideMark/>
          </w:tcPr>
          <w:p w14:paraId="3DD13462"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Integrado</w:t>
            </w:r>
          </w:p>
        </w:tc>
      </w:tr>
      <w:tr w:rsidR="00656E62" w:rsidRPr="00701F32" w14:paraId="1F897DA1" w14:textId="77777777" w:rsidTr="00464C0F">
        <w:trPr>
          <w:trHeight w:val="217"/>
        </w:trPr>
        <w:tc>
          <w:tcPr>
            <w:tcW w:w="1733" w:type="dxa"/>
            <w:tcBorders>
              <w:top w:val="nil"/>
              <w:left w:val="single" w:sz="4" w:space="0" w:color="auto"/>
              <w:bottom w:val="single" w:sz="4" w:space="0" w:color="auto"/>
              <w:right w:val="nil"/>
            </w:tcBorders>
            <w:shd w:val="clear" w:color="auto" w:fill="auto"/>
            <w:noWrap/>
            <w:vAlign w:val="bottom"/>
            <w:hideMark/>
          </w:tcPr>
          <w:p w14:paraId="502EFB59"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927" w:type="dxa"/>
            <w:tcBorders>
              <w:top w:val="nil"/>
              <w:left w:val="nil"/>
              <w:bottom w:val="single" w:sz="4" w:space="0" w:color="auto"/>
              <w:right w:val="nil"/>
            </w:tcBorders>
            <w:shd w:val="clear" w:color="auto" w:fill="auto"/>
            <w:noWrap/>
            <w:vAlign w:val="bottom"/>
            <w:hideMark/>
          </w:tcPr>
          <w:p w14:paraId="356D5C06"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607" w:type="dxa"/>
            <w:tcBorders>
              <w:top w:val="nil"/>
              <w:left w:val="nil"/>
              <w:bottom w:val="single" w:sz="4" w:space="0" w:color="auto"/>
              <w:right w:val="nil"/>
            </w:tcBorders>
            <w:shd w:val="clear" w:color="auto" w:fill="auto"/>
            <w:noWrap/>
            <w:vAlign w:val="bottom"/>
            <w:hideMark/>
          </w:tcPr>
          <w:p w14:paraId="3F703217"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acción</w:t>
            </w:r>
          </w:p>
        </w:tc>
        <w:tc>
          <w:tcPr>
            <w:tcW w:w="166" w:type="dxa"/>
            <w:tcBorders>
              <w:top w:val="nil"/>
              <w:left w:val="nil"/>
              <w:bottom w:val="nil"/>
              <w:right w:val="nil"/>
            </w:tcBorders>
            <w:shd w:val="clear" w:color="auto" w:fill="auto"/>
            <w:noWrap/>
            <w:vAlign w:val="bottom"/>
            <w:hideMark/>
          </w:tcPr>
          <w:p w14:paraId="4E3E6303" w14:textId="77777777" w:rsidR="00656E62" w:rsidRPr="00701F32" w:rsidRDefault="00656E62" w:rsidP="00464C0F">
            <w:pPr>
              <w:jc w:val="center"/>
              <w:rPr>
                <w:rFonts w:ascii="Arial" w:hAnsi="Arial" w:cs="Arial"/>
                <w:b/>
                <w:bCs/>
                <w:sz w:val="16"/>
                <w:szCs w:val="16"/>
                <w:lang w:eastAsia="es-AR"/>
              </w:rPr>
            </w:pPr>
          </w:p>
        </w:tc>
        <w:tc>
          <w:tcPr>
            <w:tcW w:w="887" w:type="dxa"/>
            <w:tcBorders>
              <w:top w:val="nil"/>
              <w:left w:val="nil"/>
              <w:bottom w:val="single" w:sz="4" w:space="0" w:color="auto"/>
              <w:right w:val="nil"/>
            </w:tcBorders>
            <w:shd w:val="clear" w:color="auto" w:fill="auto"/>
            <w:noWrap/>
            <w:vAlign w:val="bottom"/>
            <w:hideMark/>
          </w:tcPr>
          <w:p w14:paraId="4A694EF1"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xml:space="preserve">circulación </w:t>
            </w:r>
          </w:p>
        </w:tc>
        <w:tc>
          <w:tcPr>
            <w:tcW w:w="702" w:type="dxa"/>
            <w:tcBorders>
              <w:top w:val="nil"/>
              <w:left w:val="nil"/>
              <w:bottom w:val="single" w:sz="4" w:space="0" w:color="auto"/>
              <w:right w:val="nil"/>
            </w:tcBorders>
            <w:shd w:val="clear" w:color="auto" w:fill="auto"/>
            <w:noWrap/>
            <w:vAlign w:val="bottom"/>
            <w:hideMark/>
          </w:tcPr>
          <w:p w14:paraId="4506601F"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567" w:type="dxa"/>
            <w:tcBorders>
              <w:top w:val="nil"/>
              <w:left w:val="nil"/>
              <w:bottom w:val="single" w:sz="4" w:space="0" w:color="auto"/>
              <w:right w:val="nil"/>
            </w:tcBorders>
            <w:shd w:val="clear" w:color="auto" w:fill="auto"/>
            <w:noWrap/>
            <w:vAlign w:val="bottom"/>
            <w:hideMark/>
          </w:tcPr>
          <w:p w14:paraId="20A266AC"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Fecha</w:t>
            </w:r>
          </w:p>
        </w:tc>
        <w:tc>
          <w:tcPr>
            <w:tcW w:w="590" w:type="dxa"/>
            <w:tcBorders>
              <w:top w:val="nil"/>
              <w:left w:val="nil"/>
              <w:bottom w:val="single" w:sz="4" w:space="0" w:color="auto"/>
              <w:right w:val="nil"/>
            </w:tcBorders>
            <w:shd w:val="clear" w:color="auto" w:fill="auto"/>
            <w:noWrap/>
            <w:vAlign w:val="bottom"/>
            <w:hideMark/>
          </w:tcPr>
          <w:p w14:paraId="11498D0F" w14:textId="77777777" w:rsidR="00656E62" w:rsidRPr="00701F32" w:rsidRDefault="00656E62" w:rsidP="00464C0F">
            <w:pPr>
              <w:jc w:val="both"/>
              <w:rPr>
                <w:rFonts w:ascii="Arial" w:hAnsi="Arial" w:cs="Arial"/>
                <w:b/>
                <w:bCs/>
                <w:sz w:val="16"/>
                <w:szCs w:val="16"/>
                <w:lang w:eastAsia="es-AR"/>
              </w:rPr>
            </w:pPr>
            <w:r w:rsidRPr="00701F32">
              <w:rPr>
                <w:rFonts w:ascii="Arial" w:hAnsi="Arial" w:cs="Arial"/>
                <w:b/>
                <w:bCs/>
                <w:sz w:val="16"/>
                <w:szCs w:val="16"/>
                <w:lang w:eastAsia="es-AR"/>
              </w:rPr>
              <w:t>Motivo</w:t>
            </w:r>
          </w:p>
        </w:tc>
        <w:tc>
          <w:tcPr>
            <w:tcW w:w="951" w:type="dxa"/>
            <w:tcBorders>
              <w:top w:val="nil"/>
              <w:left w:val="nil"/>
              <w:bottom w:val="single" w:sz="4" w:space="0" w:color="auto"/>
              <w:right w:val="nil"/>
            </w:tcBorders>
            <w:shd w:val="clear" w:color="auto" w:fill="auto"/>
            <w:noWrap/>
            <w:vAlign w:val="bottom"/>
            <w:hideMark/>
          </w:tcPr>
          <w:p w14:paraId="4DB5313F"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o distribución</w:t>
            </w:r>
          </w:p>
        </w:tc>
        <w:tc>
          <w:tcPr>
            <w:tcW w:w="782" w:type="dxa"/>
            <w:tcBorders>
              <w:top w:val="nil"/>
              <w:left w:val="nil"/>
              <w:bottom w:val="single" w:sz="4" w:space="0" w:color="auto"/>
              <w:right w:val="nil"/>
            </w:tcBorders>
            <w:shd w:val="clear" w:color="auto" w:fill="auto"/>
            <w:noWrap/>
            <w:vAlign w:val="bottom"/>
            <w:hideMark/>
          </w:tcPr>
          <w:p w14:paraId="3B2F0B97"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c>
          <w:tcPr>
            <w:tcW w:w="782" w:type="dxa"/>
            <w:tcBorders>
              <w:top w:val="nil"/>
              <w:left w:val="nil"/>
              <w:bottom w:val="single" w:sz="4" w:space="0" w:color="auto"/>
              <w:right w:val="single" w:sz="4" w:space="0" w:color="auto"/>
            </w:tcBorders>
            <w:shd w:val="clear" w:color="auto" w:fill="auto"/>
            <w:noWrap/>
            <w:vAlign w:val="bottom"/>
            <w:hideMark/>
          </w:tcPr>
          <w:p w14:paraId="16DC6132" w14:textId="77777777" w:rsidR="00656E62" w:rsidRPr="00701F32" w:rsidRDefault="00656E62" w:rsidP="00464C0F">
            <w:pPr>
              <w:jc w:val="center"/>
              <w:rPr>
                <w:rFonts w:ascii="Arial" w:hAnsi="Arial" w:cs="Arial"/>
                <w:b/>
                <w:bCs/>
                <w:sz w:val="16"/>
                <w:szCs w:val="16"/>
                <w:lang w:eastAsia="es-AR"/>
              </w:rPr>
            </w:pPr>
            <w:r w:rsidRPr="00701F32">
              <w:rPr>
                <w:rFonts w:ascii="Arial" w:hAnsi="Arial" w:cs="Arial"/>
                <w:b/>
                <w:bCs/>
                <w:sz w:val="16"/>
                <w:szCs w:val="16"/>
                <w:lang w:eastAsia="es-AR"/>
              </w:rPr>
              <w:t> </w:t>
            </w:r>
          </w:p>
        </w:tc>
      </w:tr>
      <w:tr w:rsidR="00656E62" w:rsidRPr="00701F32" w14:paraId="501AB80B"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78A54162" w14:textId="77777777" w:rsidR="00656E62" w:rsidRPr="00701F32" w:rsidRDefault="00656E62" w:rsidP="00464C0F">
            <w:pPr>
              <w:rPr>
                <w:rFonts w:ascii="Arial" w:hAnsi="Arial" w:cs="Arial"/>
                <w:sz w:val="16"/>
                <w:szCs w:val="16"/>
                <w:lang w:eastAsia="es-AR"/>
              </w:rPr>
            </w:pPr>
            <w:r w:rsidRPr="00701F32">
              <w:rPr>
                <w:rFonts w:ascii="Arial" w:hAnsi="Arial" w:cs="Arial"/>
                <w:sz w:val="16"/>
                <w:szCs w:val="16"/>
                <w:lang w:eastAsia="es-AR"/>
              </w:rPr>
              <w:t> </w:t>
            </w:r>
          </w:p>
        </w:tc>
        <w:tc>
          <w:tcPr>
            <w:tcW w:w="927" w:type="dxa"/>
            <w:tcBorders>
              <w:top w:val="nil"/>
              <w:left w:val="nil"/>
              <w:bottom w:val="nil"/>
              <w:right w:val="nil"/>
            </w:tcBorders>
            <w:shd w:val="clear" w:color="auto" w:fill="auto"/>
            <w:noWrap/>
            <w:vAlign w:val="bottom"/>
            <w:hideMark/>
          </w:tcPr>
          <w:p w14:paraId="76CA39C5" w14:textId="77777777" w:rsidR="00656E62" w:rsidRPr="00701F32" w:rsidRDefault="00656E62" w:rsidP="00464C0F">
            <w:pPr>
              <w:rPr>
                <w:rFonts w:ascii="Arial" w:hAnsi="Arial" w:cs="Arial"/>
                <w:sz w:val="16"/>
                <w:szCs w:val="16"/>
                <w:lang w:eastAsia="es-AR"/>
              </w:rPr>
            </w:pPr>
          </w:p>
        </w:tc>
        <w:tc>
          <w:tcPr>
            <w:tcW w:w="607" w:type="dxa"/>
            <w:tcBorders>
              <w:top w:val="nil"/>
              <w:left w:val="nil"/>
              <w:bottom w:val="nil"/>
              <w:right w:val="nil"/>
            </w:tcBorders>
            <w:shd w:val="clear" w:color="auto" w:fill="auto"/>
            <w:noWrap/>
            <w:vAlign w:val="bottom"/>
            <w:hideMark/>
          </w:tcPr>
          <w:p w14:paraId="47172D6E" w14:textId="77777777" w:rsidR="00656E62" w:rsidRPr="00701F32" w:rsidRDefault="00656E62" w:rsidP="00464C0F">
            <w:pPr>
              <w:rPr>
                <w:sz w:val="20"/>
                <w:lang w:eastAsia="es-AR"/>
              </w:rPr>
            </w:pPr>
          </w:p>
        </w:tc>
        <w:tc>
          <w:tcPr>
            <w:tcW w:w="166" w:type="dxa"/>
            <w:tcBorders>
              <w:top w:val="nil"/>
              <w:left w:val="nil"/>
              <w:bottom w:val="nil"/>
              <w:right w:val="nil"/>
            </w:tcBorders>
            <w:shd w:val="clear" w:color="auto" w:fill="auto"/>
            <w:noWrap/>
            <w:vAlign w:val="bottom"/>
            <w:hideMark/>
          </w:tcPr>
          <w:p w14:paraId="5F36C055" w14:textId="77777777" w:rsidR="00656E62" w:rsidRPr="00701F32" w:rsidRDefault="00656E62" w:rsidP="00464C0F">
            <w:pPr>
              <w:rPr>
                <w:sz w:val="20"/>
                <w:lang w:eastAsia="es-AR"/>
              </w:rPr>
            </w:pPr>
          </w:p>
        </w:tc>
        <w:tc>
          <w:tcPr>
            <w:tcW w:w="887" w:type="dxa"/>
            <w:tcBorders>
              <w:top w:val="nil"/>
              <w:left w:val="nil"/>
              <w:bottom w:val="nil"/>
              <w:right w:val="nil"/>
            </w:tcBorders>
            <w:shd w:val="clear" w:color="auto" w:fill="auto"/>
            <w:noWrap/>
            <w:vAlign w:val="bottom"/>
            <w:hideMark/>
          </w:tcPr>
          <w:p w14:paraId="527D61E2" w14:textId="77777777" w:rsidR="00656E62" w:rsidRPr="00701F32" w:rsidRDefault="00656E62" w:rsidP="00464C0F">
            <w:pPr>
              <w:rPr>
                <w:sz w:val="20"/>
                <w:lang w:eastAsia="es-AR"/>
              </w:rPr>
            </w:pPr>
          </w:p>
        </w:tc>
        <w:tc>
          <w:tcPr>
            <w:tcW w:w="702" w:type="dxa"/>
            <w:tcBorders>
              <w:top w:val="nil"/>
              <w:left w:val="nil"/>
              <w:bottom w:val="nil"/>
              <w:right w:val="nil"/>
            </w:tcBorders>
            <w:shd w:val="clear" w:color="auto" w:fill="auto"/>
            <w:noWrap/>
            <w:vAlign w:val="bottom"/>
            <w:hideMark/>
          </w:tcPr>
          <w:p w14:paraId="2F20EF3F" w14:textId="77777777" w:rsidR="00656E62" w:rsidRPr="00701F32" w:rsidRDefault="00656E62" w:rsidP="00464C0F">
            <w:pPr>
              <w:rPr>
                <w:sz w:val="20"/>
                <w:lang w:eastAsia="es-AR"/>
              </w:rPr>
            </w:pPr>
          </w:p>
        </w:tc>
        <w:tc>
          <w:tcPr>
            <w:tcW w:w="567" w:type="dxa"/>
            <w:tcBorders>
              <w:top w:val="nil"/>
              <w:left w:val="nil"/>
              <w:bottom w:val="nil"/>
              <w:right w:val="nil"/>
            </w:tcBorders>
            <w:shd w:val="clear" w:color="auto" w:fill="auto"/>
            <w:noWrap/>
            <w:vAlign w:val="bottom"/>
            <w:hideMark/>
          </w:tcPr>
          <w:p w14:paraId="1D871D0E" w14:textId="77777777" w:rsidR="00656E62" w:rsidRPr="00701F32" w:rsidRDefault="00656E62" w:rsidP="00464C0F">
            <w:pPr>
              <w:rPr>
                <w:sz w:val="20"/>
                <w:lang w:eastAsia="es-AR"/>
              </w:rPr>
            </w:pPr>
          </w:p>
        </w:tc>
        <w:tc>
          <w:tcPr>
            <w:tcW w:w="590" w:type="dxa"/>
            <w:tcBorders>
              <w:top w:val="nil"/>
              <w:left w:val="nil"/>
              <w:bottom w:val="nil"/>
              <w:right w:val="nil"/>
            </w:tcBorders>
            <w:shd w:val="clear" w:color="auto" w:fill="auto"/>
            <w:noWrap/>
            <w:vAlign w:val="bottom"/>
            <w:hideMark/>
          </w:tcPr>
          <w:p w14:paraId="63725B67" w14:textId="77777777" w:rsidR="00656E62" w:rsidRPr="00701F32" w:rsidRDefault="00656E62" w:rsidP="00464C0F">
            <w:pPr>
              <w:rPr>
                <w:sz w:val="20"/>
                <w:lang w:eastAsia="es-AR"/>
              </w:rPr>
            </w:pPr>
          </w:p>
        </w:tc>
        <w:tc>
          <w:tcPr>
            <w:tcW w:w="951" w:type="dxa"/>
            <w:tcBorders>
              <w:top w:val="nil"/>
              <w:left w:val="nil"/>
              <w:bottom w:val="nil"/>
              <w:right w:val="nil"/>
            </w:tcBorders>
            <w:shd w:val="clear" w:color="auto" w:fill="auto"/>
            <w:noWrap/>
            <w:vAlign w:val="bottom"/>
            <w:hideMark/>
          </w:tcPr>
          <w:p w14:paraId="35297CE6" w14:textId="77777777" w:rsidR="00656E62" w:rsidRPr="00701F32" w:rsidRDefault="00656E62" w:rsidP="00464C0F">
            <w:pPr>
              <w:rPr>
                <w:sz w:val="20"/>
                <w:lang w:eastAsia="es-AR"/>
              </w:rPr>
            </w:pPr>
          </w:p>
        </w:tc>
        <w:tc>
          <w:tcPr>
            <w:tcW w:w="782" w:type="dxa"/>
            <w:tcBorders>
              <w:top w:val="nil"/>
              <w:left w:val="nil"/>
              <w:bottom w:val="nil"/>
              <w:right w:val="nil"/>
            </w:tcBorders>
            <w:shd w:val="clear" w:color="auto" w:fill="auto"/>
            <w:noWrap/>
            <w:vAlign w:val="bottom"/>
            <w:hideMark/>
          </w:tcPr>
          <w:p w14:paraId="13A94E69" w14:textId="77777777" w:rsidR="00656E62" w:rsidRPr="00701F32" w:rsidRDefault="00656E62" w:rsidP="00464C0F">
            <w:pPr>
              <w:rPr>
                <w:sz w:val="20"/>
                <w:lang w:eastAsia="es-AR"/>
              </w:rPr>
            </w:pPr>
          </w:p>
        </w:tc>
        <w:tc>
          <w:tcPr>
            <w:tcW w:w="782" w:type="dxa"/>
            <w:tcBorders>
              <w:top w:val="nil"/>
              <w:left w:val="nil"/>
              <w:bottom w:val="nil"/>
              <w:right w:val="single" w:sz="4" w:space="0" w:color="auto"/>
            </w:tcBorders>
            <w:shd w:val="clear" w:color="auto" w:fill="auto"/>
            <w:noWrap/>
            <w:vAlign w:val="bottom"/>
            <w:hideMark/>
          </w:tcPr>
          <w:p w14:paraId="6131D73A"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r>
      <w:tr w:rsidR="00656E62" w:rsidRPr="00701F32" w14:paraId="53FD1262"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2C134E05"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Ordinarias escriturales clase A</w:t>
            </w:r>
          </w:p>
        </w:tc>
        <w:tc>
          <w:tcPr>
            <w:tcW w:w="927" w:type="dxa"/>
            <w:tcBorders>
              <w:top w:val="nil"/>
              <w:left w:val="nil"/>
              <w:bottom w:val="nil"/>
              <w:right w:val="nil"/>
            </w:tcBorders>
            <w:shd w:val="clear" w:color="auto" w:fill="auto"/>
            <w:noWrap/>
            <w:vAlign w:val="bottom"/>
            <w:hideMark/>
          </w:tcPr>
          <w:p w14:paraId="7BA4EF5A"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930.371 </w:t>
            </w:r>
          </w:p>
        </w:tc>
        <w:tc>
          <w:tcPr>
            <w:tcW w:w="607" w:type="dxa"/>
            <w:tcBorders>
              <w:top w:val="nil"/>
              <w:left w:val="nil"/>
              <w:bottom w:val="nil"/>
              <w:right w:val="nil"/>
            </w:tcBorders>
            <w:shd w:val="clear" w:color="auto" w:fill="auto"/>
            <w:noWrap/>
            <w:vAlign w:val="bottom"/>
            <w:hideMark/>
          </w:tcPr>
          <w:p w14:paraId="017F5239"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5 </w:t>
            </w:r>
          </w:p>
        </w:tc>
        <w:tc>
          <w:tcPr>
            <w:tcW w:w="166" w:type="dxa"/>
            <w:tcBorders>
              <w:top w:val="nil"/>
              <w:left w:val="nil"/>
              <w:bottom w:val="nil"/>
              <w:right w:val="nil"/>
            </w:tcBorders>
            <w:shd w:val="clear" w:color="auto" w:fill="auto"/>
            <w:noWrap/>
            <w:vAlign w:val="bottom"/>
            <w:hideMark/>
          </w:tcPr>
          <w:p w14:paraId="0C82185F" w14:textId="77777777" w:rsidR="00656E62" w:rsidRPr="00701F32" w:rsidRDefault="00656E62" w:rsidP="00464C0F">
            <w:pPr>
              <w:jc w:val="right"/>
              <w:rPr>
                <w:rFonts w:ascii="Arial" w:hAnsi="Arial" w:cs="Arial"/>
                <w:sz w:val="16"/>
                <w:szCs w:val="16"/>
                <w:lang w:eastAsia="es-AR"/>
              </w:rPr>
            </w:pPr>
          </w:p>
        </w:tc>
        <w:tc>
          <w:tcPr>
            <w:tcW w:w="887" w:type="dxa"/>
            <w:tcBorders>
              <w:top w:val="nil"/>
              <w:left w:val="nil"/>
              <w:bottom w:val="nil"/>
              <w:right w:val="nil"/>
            </w:tcBorders>
            <w:shd w:val="clear" w:color="auto" w:fill="auto"/>
            <w:noWrap/>
            <w:vAlign w:val="bottom"/>
            <w:hideMark/>
          </w:tcPr>
          <w:p w14:paraId="75EDA8CF"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930 </w:t>
            </w:r>
          </w:p>
        </w:tc>
        <w:tc>
          <w:tcPr>
            <w:tcW w:w="702" w:type="dxa"/>
            <w:tcBorders>
              <w:top w:val="nil"/>
              <w:left w:val="nil"/>
              <w:bottom w:val="nil"/>
              <w:right w:val="nil"/>
            </w:tcBorders>
            <w:shd w:val="clear" w:color="auto" w:fill="auto"/>
            <w:noWrap/>
            <w:vAlign w:val="bottom"/>
            <w:hideMark/>
          </w:tcPr>
          <w:p w14:paraId="397210A9"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567" w:type="dxa"/>
            <w:tcBorders>
              <w:top w:val="nil"/>
              <w:left w:val="nil"/>
              <w:bottom w:val="nil"/>
              <w:right w:val="nil"/>
            </w:tcBorders>
            <w:shd w:val="clear" w:color="auto" w:fill="auto"/>
            <w:noWrap/>
            <w:vAlign w:val="bottom"/>
            <w:hideMark/>
          </w:tcPr>
          <w:p w14:paraId="67F60493"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590" w:type="dxa"/>
            <w:tcBorders>
              <w:top w:val="nil"/>
              <w:left w:val="nil"/>
              <w:bottom w:val="nil"/>
              <w:right w:val="nil"/>
            </w:tcBorders>
            <w:shd w:val="clear" w:color="auto" w:fill="auto"/>
            <w:noWrap/>
            <w:vAlign w:val="bottom"/>
            <w:hideMark/>
          </w:tcPr>
          <w:p w14:paraId="641A6BCB"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951" w:type="dxa"/>
            <w:tcBorders>
              <w:top w:val="nil"/>
              <w:left w:val="nil"/>
              <w:bottom w:val="nil"/>
              <w:right w:val="nil"/>
            </w:tcBorders>
            <w:shd w:val="clear" w:color="auto" w:fill="auto"/>
            <w:noWrap/>
            <w:vAlign w:val="bottom"/>
            <w:hideMark/>
          </w:tcPr>
          <w:p w14:paraId="64A63644"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782" w:type="dxa"/>
            <w:tcBorders>
              <w:top w:val="nil"/>
              <w:left w:val="nil"/>
              <w:bottom w:val="nil"/>
              <w:right w:val="nil"/>
            </w:tcBorders>
            <w:shd w:val="clear" w:color="auto" w:fill="auto"/>
            <w:noWrap/>
            <w:vAlign w:val="bottom"/>
            <w:hideMark/>
          </w:tcPr>
          <w:p w14:paraId="577CC1A4"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782" w:type="dxa"/>
            <w:tcBorders>
              <w:top w:val="nil"/>
              <w:left w:val="nil"/>
              <w:bottom w:val="nil"/>
              <w:right w:val="single" w:sz="4" w:space="0" w:color="auto"/>
            </w:tcBorders>
            <w:shd w:val="clear" w:color="auto" w:fill="auto"/>
            <w:noWrap/>
            <w:vAlign w:val="bottom"/>
            <w:hideMark/>
          </w:tcPr>
          <w:p w14:paraId="681DA2D7"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930 </w:t>
            </w:r>
          </w:p>
        </w:tc>
      </w:tr>
      <w:tr w:rsidR="00656E62" w:rsidRPr="00701F32" w14:paraId="2BD10841"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2EB7123E"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927" w:type="dxa"/>
            <w:tcBorders>
              <w:top w:val="nil"/>
              <w:left w:val="nil"/>
              <w:bottom w:val="nil"/>
              <w:right w:val="nil"/>
            </w:tcBorders>
            <w:shd w:val="clear" w:color="auto" w:fill="auto"/>
            <w:noWrap/>
            <w:vAlign w:val="bottom"/>
            <w:hideMark/>
          </w:tcPr>
          <w:p w14:paraId="4043A9CB" w14:textId="77777777" w:rsidR="00656E62" w:rsidRPr="00701F32" w:rsidRDefault="00656E62" w:rsidP="00464C0F">
            <w:pPr>
              <w:rPr>
                <w:rFonts w:ascii="Arial" w:hAnsi="Arial" w:cs="Arial"/>
                <w:sz w:val="16"/>
                <w:szCs w:val="16"/>
                <w:lang w:eastAsia="es-AR"/>
              </w:rPr>
            </w:pPr>
          </w:p>
        </w:tc>
        <w:tc>
          <w:tcPr>
            <w:tcW w:w="607" w:type="dxa"/>
            <w:tcBorders>
              <w:top w:val="nil"/>
              <w:left w:val="nil"/>
              <w:bottom w:val="nil"/>
              <w:right w:val="nil"/>
            </w:tcBorders>
            <w:shd w:val="clear" w:color="auto" w:fill="auto"/>
            <w:noWrap/>
            <w:vAlign w:val="bottom"/>
            <w:hideMark/>
          </w:tcPr>
          <w:p w14:paraId="7ED59F58" w14:textId="77777777" w:rsidR="00656E62" w:rsidRPr="00701F32" w:rsidRDefault="00656E62" w:rsidP="00464C0F">
            <w:pPr>
              <w:rPr>
                <w:sz w:val="20"/>
                <w:lang w:eastAsia="es-AR"/>
              </w:rPr>
            </w:pPr>
          </w:p>
        </w:tc>
        <w:tc>
          <w:tcPr>
            <w:tcW w:w="166" w:type="dxa"/>
            <w:tcBorders>
              <w:top w:val="nil"/>
              <w:left w:val="nil"/>
              <w:bottom w:val="nil"/>
              <w:right w:val="nil"/>
            </w:tcBorders>
            <w:shd w:val="clear" w:color="auto" w:fill="auto"/>
            <w:noWrap/>
            <w:vAlign w:val="bottom"/>
            <w:hideMark/>
          </w:tcPr>
          <w:p w14:paraId="644EE190" w14:textId="77777777" w:rsidR="00656E62" w:rsidRPr="00701F32" w:rsidRDefault="00656E62" w:rsidP="00464C0F">
            <w:pPr>
              <w:rPr>
                <w:sz w:val="20"/>
                <w:lang w:eastAsia="es-AR"/>
              </w:rPr>
            </w:pPr>
          </w:p>
        </w:tc>
        <w:tc>
          <w:tcPr>
            <w:tcW w:w="887" w:type="dxa"/>
            <w:tcBorders>
              <w:top w:val="nil"/>
              <w:left w:val="nil"/>
              <w:bottom w:val="nil"/>
              <w:right w:val="nil"/>
            </w:tcBorders>
            <w:shd w:val="clear" w:color="auto" w:fill="auto"/>
            <w:noWrap/>
            <w:vAlign w:val="bottom"/>
            <w:hideMark/>
          </w:tcPr>
          <w:p w14:paraId="41302F0C" w14:textId="77777777" w:rsidR="00656E62" w:rsidRPr="00701F32" w:rsidRDefault="00656E62" w:rsidP="00464C0F">
            <w:pPr>
              <w:rPr>
                <w:sz w:val="20"/>
                <w:lang w:eastAsia="es-AR"/>
              </w:rPr>
            </w:pPr>
          </w:p>
        </w:tc>
        <w:tc>
          <w:tcPr>
            <w:tcW w:w="702" w:type="dxa"/>
            <w:tcBorders>
              <w:top w:val="nil"/>
              <w:left w:val="nil"/>
              <w:bottom w:val="nil"/>
              <w:right w:val="nil"/>
            </w:tcBorders>
            <w:shd w:val="clear" w:color="auto" w:fill="auto"/>
            <w:noWrap/>
            <w:vAlign w:val="bottom"/>
            <w:hideMark/>
          </w:tcPr>
          <w:p w14:paraId="7089C21D" w14:textId="77777777" w:rsidR="00656E62" w:rsidRPr="00701F32" w:rsidRDefault="00656E62" w:rsidP="00464C0F">
            <w:pPr>
              <w:rPr>
                <w:sz w:val="20"/>
                <w:lang w:eastAsia="es-AR"/>
              </w:rPr>
            </w:pPr>
          </w:p>
        </w:tc>
        <w:tc>
          <w:tcPr>
            <w:tcW w:w="567" w:type="dxa"/>
            <w:tcBorders>
              <w:top w:val="nil"/>
              <w:left w:val="nil"/>
              <w:bottom w:val="nil"/>
              <w:right w:val="nil"/>
            </w:tcBorders>
            <w:shd w:val="clear" w:color="auto" w:fill="auto"/>
            <w:noWrap/>
            <w:vAlign w:val="bottom"/>
            <w:hideMark/>
          </w:tcPr>
          <w:p w14:paraId="6FE8BBCF" w14:textId="77777777" w:rsidR="00656E62" w:rsidRPr="00701F32" w:rsidRDefault="00656E62" w:rsidP="00464C0F">
            <w:pPr>
              <w:rPr>
                <w:sz w:val="20"/>
                <w:lang w:eastAsia="es-AR"/>
              </w:rPr>
            </w:pPr>
          </w:p>
        </w:tc>
        <w:tc>
          <w:tcPr>
            <w:tcW w:w="590" w:type="dxa"/>
            <w:tcBorders>
              <w:top w:val="nil"/>
              <w:left w:val="nil"/>
              <w:bottom w:val="nil"/>
              <w:right w:val="nil"/>
            </w:tcBorders>
            <w:shd w:val="clear" w:color="auto" w:fill="auto"/>
            <w:noWrap/>
            <w:vAlign w:val="bottom"/>
            <w:hideMark/>
          </w:tcPr>
          <w:p w14:paraId="4E79D5FB" w14:textId="77777777" w:rsidR="00656E62" w:rsidRPr="00701F32" w:rsidRDefault="00656E62" w:rsidP="00464C0F">
            <w:pPr>
              <w:rPr>
                <w:sz w:val="20"/>
                <w:lang w:eastAsia="es-AR"/>
              </w:rPr>
            </w:pPr>
          </w:p>
        </w:tc>
        <w:tc>
          <w:tcPr>
            <w:tcW w:w="951" w:type="dxa"/>
            <w:tcBorders>
              <w:top w:val="nil"/>
              <w:left w:val="nil"/>
              <w:bottom w:val="nil"/>
              <w:right w:val="nil"/>
            </w:tcBorders>
            <w:shd w:val="clear" w:color="auto" w:fill="auto"/>
            <w:noWrap/>
            <w:vAlign w:val="bottom"/>
            <w:hideMark/>
          </w:tcPr>
          <w:p w14:paraId="3312D9AC" w14:textId="77777777" w:rsidR="00656E62" w:rsidRPr="00701F32" w:rsidRDefault="00656E62" w:rsidP="00464C0F">
            <w:pPr>
              <w:rPr>
                <w:sz w:val="20"/>
                <w:lang w:eastAsia="es-AR"/>
              </w:rPr>
            </w:pPr>
          </w:p>
        </w:tc>
        <w:tc>
          <w:tcPr>
            <w:tcW w:w="782" w:type="dxa"/>
            <w:tcBorders>
              <w:top w:val="nil"/>
              <w:left w:val="nil"/>
              <w:bottom w:val="nil"/>
              <w:right w:val="nil"/>
            </w:tcBorders>
            <w:shd w:val="clear" w:color="auto" w:fill="auto"/>
            <w:noWrap/>
            <w:vAlign w:val="bottom"/>
            <w:hideMark/>
          </w:tcPr>
          <w:p w14:paraId="75356D01" w14:textId="77777777" w:rsidR="00656E62" w:rsidRPr="00701F32" w:rsidRDefault="00656E62" w:rsidP="00464C0F">
            <w:pPr>
              <w:rPr>
                <w:sz w:val="20"/>
                <w:lang w:eastAsia="es-AR"/>
              </w:rPr>
            </w:pPr>
          </w:p>
        </w:tc>
        <w:tc>
          <w:tcPr>
            <w:tcW w:w="782" w:type="dxa"/>
            <w:tcBorders>
              <w:top w:val="nil"/>
              <w:left w:val="nil"/>
              <w:bottom w:val="nil"/>
              <w:right w:val="single" w:sz="4" w:space="0" w:color="auto"/>
            </w:tcBorders>
            <w:shd w:val="clear" w:color="auto" w:fill="auto"/>
            <w:noWrap/>
            <w:vAlign w:val="bottom"/>
            <w:hideMark/>
          </w:tcPr>
          <w:p w14:paraId="1DA3B12F"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r>
      <w:tr w:rsidR="00656E62" w:rsidRPr="00701F32" w14:paraId="443CEFD4"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0D367797"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Ordinarias escriturales clase B</w:t>
            </w:r>
          </w:p>
        </w:tc>
        <w:tc>
          <w:tcPr>
            <w:tcW w:w="927" w:type="dxa"/>
            <w:tcBorders>
              <w:top w:val="nil"/>
              <w:left w:val="nil"/>
              <w:bottom w:val="nil"/>
              <w:right w:val="nil"/>
            </w:tcBorders>
            <w:shd w:val="clear" w:color="auto" w:fill="auto"/>
            <w:noWrap/>
            <w:vAlign w:val="bottom"/>
            <w:hideMark/>
          </w:tcPr>
          <w:p w14:paraId="7D968463"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743.455.980 </w:t>
            </w:r>
          </w:p>
        </w:tc>
        <w:tc>
          <w:tcPr>
            <w:tcW w:w="607" w:type="dxa"/>
            <w:tcBorders>
              <w:top w:val="nil"/>
              <w:left w:val="nil"/>
              <w:bottom w:val="nil"/>
              <w:right w:val="nil"/>
            </w:tcBorders>
            <w:shd w:val="clear" w:color="auto" w:fill="auto"/>
            <w:noWrap/>
            <w:vAlign w:val="bottom"/>
            <w:hideMark/>
          </w:tcPr>
          <w:p w14:paraId="1261D46F"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1 </w:t>
            </w:r>
          </w:p>
        </w:tc>
        <w:tc>
          <w:tcPr>
            <w:tcW w:w="166" w:type="dxa"/>
            <w:tcBorders>
              <w:top w:val="nil"/>
              <w:left w:val="nil"/>
              <w:bottom w:val="nil"/>
              <w:right w:val="nil"/>
            </w:tcBorders>
            <w:shd w:val="clear" w:color="auto" w:fill="auto"/>
            <w:noWrap/>
            <w:vAlign w:val="bottom"/>
            <w:hideMark/>
          </w:tcPr>
          <w:p w14:paraId="4E1F7393" w14:textId="77777777" w:rsidR="00656E62" w:rsidRPr="00701F32" w:rsidRDefault="00656E62" w:rsidP="00464C0F">
            <w:pPr>
              <w:jc w:val="right"/>
              <w:rPr>
                <w:rFonts w:ascii="Arial" w:hAnsi="Arial" w:cs="Arial"/>
                <w:sz w:val="16"/>
                <w:szCs w:val="16"/>
                <w:lang w:eastAsia="es-AR"/>
              </w:rPr>
            </w:pPr>
          </w:p>
        </w:tc>
        <w:tc>
          <w:tcPr>
            <w:tcW w:w="887" w:type="dxa"/>
            <w:tcBorders>
              <w:top w:val="nil"/>
              <w:left w:val="nil"/>
              <w:bottom w:val="nil"/>
              <w:right w:val="nil"/>
            </w:tcBorders>
            <w:shd w:val="clear" w:color="auto" w:fill="auto"/>
            <w:noWrap/>
            <w:vAlign w:val="bottom"/>
            <w:hideMark/>
          </w:tcPr>
          <w:p w14:paraId="27A1B2A9"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743.456 </w:t>
            </w:r>
          </w:p>
        </w:tc>
        <w:tc>
          <w:tcPr>
            <w:tcW w:w="702" w:type="dxa"/>
            <w:tcBorders>
              <w:top w:val="nil"/>
              <w:left w:val="nil"/>
              <w:bottom w:val="nil"/>
              <w:right w:val="nil"/>
            </w:tcBorders>
            <w:shd w:val="clear" w:color="auto" w:fill="auto"/>
            <w:noWrap/>
            <w:vAlign w:val="bottom"/>
            <w:hideMark/>
          </w:tcPr>
          <w:p w14:paraId="014FB239"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567" w:type="dxa"/>
            <w:tcBorders>
              <w:top w:val="nil"/>
              <w:left w:val="nil"/>
              <w:bottom w:val="nil"/>
              <w:right w:val="nil"/>
            </w:tcBorders>
            <w:shd w:val="clear" w:color="auto" w:fill="auto"/>
            <w:noWrap/>
            <w:vAlign w:val="bottom"/>
            <w:hideMark/>
          </w:tcPr>
          <w:p w14:paraId="6974EA5A"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590" w:type="dxa"/>
            <w:tcBorders>
              <w:top w:val="nil"/>
              <w:left w:val="nil"/>
              <w:bottom w:val="nil"/>
              <w:right w:val="nil"/>
            </w:tcBorders>
            <w:shd w:val="clear" w:color="auto" w:fill="auto"/>
            <w:noWrap/>
            <w:vAlign w:val="bottom"/>
            <w:hideMark/>
          </w:tcPr>
          <w:p w14:paraId="454F80FF"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951" w:type="dxa"/>
            <w:tcBorders>
              <w:top w:val="nil"/>
              <w:left w:val="nil"/>
              <w:bottom w:val="nil"/>
              <w:right w:val="nil"/>
            </w:tcBorders>
            <w:shd w:val="clear" w:color="auto" w:fill="auto"/>
            <w:noWrap/>
            <w:vAlign w:val="bottom"/>
            <w:hideMark/>
          </w:tcPr>
          <w:p w14:paraId="16149713"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782" w:type="dxa"/>
            <w:tcBorders>
              <w:top w:val="nil"/>
              <w:left w:val="nil"/>
              <w:bottom w:val="nil"/>
              <w:right w:val="nil"/>
            </w:tcBorders>
            <w:shd w:val="clear" w:color="auto" w:fill="auto"/>
            <w:noWrap/>
            <w:vAlign w:val="bottom"/>
            <w:hideMark/>
          </w:tcPr>
          <w:p w14:paraId="2EF45E9D"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 </w:t>
            </w:r>
          </w:p>
        </w:tc>
        <w:tc>
          <w:tcPr>
            <w:tcW w:w="782" w:type="dxa"/>
            <w:tcBorders>
              <w:top w:val="nil"/>
              <w:left w:val="nil"/>
              <w:bottom w:val="nil"/>
              <w:right w:val="single" w:sz="4" w:space="0" w:color="auto"/>
            </w:tcBorders>
            <w:shd w:val="clear" w:color="auto" w:fill="auto"/>
            <w:noWrap/>
            <w:vAlign w:val="bottom"/>
            <w:hideMark/>
          </w:tcPr>
          <w:p w14:paraId="6FDE750A" w14:textId="77777777" w:rsidR="00656E62" w:rsidRPr="00701F32" w:rsidRDefault="00656E62" w:rsidP="00464C0F">
            <w:pPr>
              <w:jc w:val="right"/>
              <w:rPr>
                <w:rFonts w:ascii="Arial" w:hAnsi="Arial" w:cs="Arial"/>
                <w:sz w:val="16"/>
                <w:szCs w:val="16"/>
                <w:lang w:eastAsia="es-AR"/>
              </w:rPr>
            </w:pPr>
            <w:r w:rsidRPr="00701F32">
              <w:rPr>
                <w:rFonts w:ascii="Arial" w:hAnsi="Arial" w:cs="Arial"/>
                <w:sz w:val="16"/>
                <w:szCs w:val="16"/>
                <w:lang w:eastAsia="es-AR"/>
              </w:rPr>
              <w:t xml:space="preserve">743.456 </w:t>
            </w:r>
          </w:p>
        </w:tc>
      </w:tr>
      <w:tr w:rsidR="00656E62" w:rsidRPr="00701F32" w14:paraId="46B493C9" w14:textId="77777777" w:rsidTr="00464C0F">
        <w:trPr>
          <w:trHeight w:val="217"/>
        </w:trPr>
        <w:tc>
          <w:tcPr>
            <w:tcW w:w="1733" w:type="dxa"/>
            <w:tcBorders>
              <w:top w:val="nil"/>
              <w:left w:val="single" w:sz="4" w:space="0" w:color="auto"/>
              <w:bottom w:val="nil"/>
              <w:right w:val="nil"/>
            </w:tcBorders>
            <w:shd w:val="clear" w:color="auto" w:fill="auto"/>
            <w:noWrap/>
            <w:vAlign w:val="bottom"/>
            <w:hideMark/>
          </w:tcPr>
          <w:p w14:paraId="70C960C5"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927" w:type="dxa"/>
            <w:tcBorders>
              <w:top w:val="nil"/>
              <w:left w:val="nil"/>
              <w:bottom w:val="nil"/>
              <w:right w:val="nil"/>
            </w:tcBorders>
            <w:shd w:val="clear" w:color="auto" w:fill="auto"/>
            <w:noWrap/>
            <w:vAlign w:val="bottom"/>
            <w:hideMark/>
          </w:tcPr>
          <w:p w14:paraId="78924DB7" w14:textId="77777777" w:rsidR="00656E62" w:rsidRPr="00701F32" w:rsidRDefault="00656E62" w:rsidP="00464C0F">
            <w:pPr>
              <w:rPr>
                <w:rFonts w:ascii="Arial" w:hAnsi="Arial" w:cs="Arial"/>
                <w:sz w:val="16"/>
                <w:szCs w:val="16"/>
                <w:lang w:eastAsia="es-AR"/>
              </w:rPr>
            </w:pPr>
          </w:p>
        </w:tc>
        <w:tc>
          <w:tcPr>
            <w:tcW w:w="607" w:type="dxa"/>
            <w:tcBorders>
              <w:top w:val="nil"/>
              <w:left w:val="nil"/>
              <w:bottom w:val="nil"/>
              <w:right w:val="nil"/>
            </w:tcBorders>
            <w:shd w:val="clear" w:color="auto" w:fill="auto"/>
            <w:noWrap/>
            <w:vAlign w:val="bottom"/>
            <w:hideMark/>
          </w:tcPr>
          <w:p w14:paraId="1FBC51E7" w14:textId="77777777" w:rsidR="00656E62" w:rsidRPr="00701F32" w:rsidRDefault="00656E62" w:rsidP="00464C0F">
            <w:pPr>
              <w:rPr>
                <w:sz w:val="20"/>
                <w:lang w:eastAsia="es-AR"/>
              </w:rPr>
            </w:pPr>
          </w:p>
        </w:tc>
        <w:tc>
          <w:tcPr>
            <w:tcW w:w="166" w:type="dxa"/>
            <w:tcBorders>
              <w:top w:val="nil"/>
              <w:left w:val="nil"/>
              <w:bottom w:val="nil"/>
              <w:right w:val="nil"/>
            </w:tcBorders>
            <w:shd w:val="clear" w:color="auto" w:fill="auto"/>
            <w:noWrap/>
            <w:vAlign w:val="bottom"/>
            <w:hideMark/>
          </w:tcPr>
          <w:p w14:paraId="169EDE77" w14:textId="77777777" w:rsidR="00656E62" w:rsidRPr="00701F32" w:rsidRDefault="00656E62" w:rsidP="00464C0F">
            <w:pPr>
              <w:jc w:val="center"/>
              <w:rPr>
                <w:sz w:val="20"/>
                <w:lang w:eastAsia="es-AR"/>
              </w:rPr>
            </w:pPr>
          </w:p>
        </w:tc>
        <w:tc>
          <w:tcPr>
            <w:tcW w:w="887" w:type="dxa"/>
            <w:tcBorders>
              <w:top w:val="nil"/>
              <w:left w:val="nil"/>
              <w:bottom w:val="single" w:sz="4" w:space="0" w:color="auto"/>
              <w:right w:val="nil"/>
            </w:tcBorders>
            <w:shd w:val="clear" w:color="auto" w:fill="auto"/>
            <w:noWrap/>
            <w:vAlign w:val="bottom"/>
            <w:hideMark/>
          </w:tcPr>
          <w:p w14:paraId="67C94302"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702" w:type="dxa"/>
            <w:tcBorders>
              <w:top w:val="nil"/>
              <w:left w:val="nil"/>
              <w:bottom w:val="single" w:sz="4" w:space="0" w:color="auto"/>
              <w:right w:val="nil"/>
            </w:tcBorders>
            <w:shd w:val="clear" w:color="auto" w:fill="auto"/>
            <w:noWrap/>
            <w:vAlign w:val="bottom"/>
            <w:hideMark/>
          </w:tcPr>
          <w:p w14:paraId="2F1CA461"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567" w:type="dxa"/>
            <w:tcBorders>
              <w:top w:val="nil"/>
              <w:left w:val="nil"/>
              <w:bottom w:val="single" w:sz="4" w:space="0" w:color="auto"/>
              <w:right w:val="nil"/>
            </w:tcBorders>
            <w:shd w:val="clear" w:color="auto" w:fill="auto"/>
            <w:noWrap/>
            <w:vAlign w:val="bottom"/>
            <w:hideMark/>
          </w:tcPr>
          <w:p w14:paraId="78DAF25B"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590" w:type="dxa"/>
            <w:tcBorders>
              <w:top w:val="nil"/>
              <w:left w:val="nil"/>
              <w:bottom w:val="single" w:sz="4" w:space="0" w:color="auto"/>
              <w:right w:val="nil"/>
            </w:tcBorders>
            <w:shd w:val="clear" w:color="auto" w:fill="auto"/>
            <w:noWrap/>
            <w:vAlign w:val="bottom"/>
            <w:hideMark/>
          </w:tcPr>
          <w:p w14:paraId="02907417"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951" w:type="dxa"/>
            <w:tcBorders>
              <w:top w:val="nil"/>
              <w:left w:val="nil"/>
              <w:bottom w:val="single" w:sz="4" w:space="0" w:color="auto"/>
              <w:right w:val="nil"/>
            </w:tcBorders>
            <w:shd w:val="clear" w:color="auto" w:fill="auto"/>
            <w:noWrap/>
            <w:vAlign w:val="bottom"/>
            <w:hideMark/>
          </w:tcPr>
          <w:p w14:paraId="7AC24089"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782" w:type="dxa"/>
            <w:tcBorders>
              <w:top w:val="nil"/>
              <w:left w:val="nil"/>
              <w:bottom w:val="single" w:sz="4" w:space="0" w:color="auto"/>
              <w:right w:val="nil"/>
            </w:tcBorders>
            <w:shd w:val="clear" w:color="auto" w:fill="auto"/>
            <w:noWrap/>
            <w:vAlign w:val="bottom"/>
            <w:hideMark/>
          </w:tcPr>
          <w:p w14:paraId="0932D218"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782" w:type="dxa"/>
            <w:tcBorders>
              <w:top w:val="nil"/>
              <w:left w:val="nil"/>
              <w:bottom w:val="single" w:sz="4" w:space="0" w:color="auto"/>
              <w:right w:val="single" w:sz="4" w:space="0" w:color="auto"/>
            </w:tcBorders>
            <w:shd w:val="clear" w:color="auto" w:fill="auto"/>
            <w:noWrap/>
            <w:vAlign w:val="bottom"/>
            <w:hideMark/>
          </w:tcPr>
          <w:p w14:paraId="7DB292BF"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r>
      <w:tr w:rsidR="00656E62" w:rsidRPr="00701F32" w14:paraId="1025D2CE" w14:textId="77777777" w:rsidTr="00464C0F">
        <w:trPr>
          <w:trHeight w:val="217"/>
        </w:trPr>
        <w:tc>
          <w:tcPr>
            <w:tcW w:w="1733" w:type="dxa"/>
            <w:tcBorders>
              <w:top w:val="nil"/>
              <w:left w:val="single" w:sz="4" w:space="0" w:color="auto"/>
              <w:bottom w:val="single" w:sz="4" w:space="0" w:color="auto"/>
              <w:right w:val="nil"/>
            </w:tcBorders>
            <w:shd w:val="clear" w:color="auto" w:fill="auto"/>
            <w:noWrap/>
            <w:vAlign w:val="bottom"/>
            <w:hideMark/>
          </w:tcPr>
          <w:p w14:paraId="18965D2A"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927" w:type="dxa"/>
            <w:tcBorders>
              <w:top w:val="nil"/>
              <w:left w:val="nil"/>
              <w:bottom w:val="single" w:sz="4" w:space="0" w:color="auto"/>
              <w:right w:val="nil"/>
            </w:tcBorders>
            <w:shd w:val="clear" w:color="auto" w:fill="auto"/>
            <w:noWrap/>
            <w:vAlign w:val="bottom"/>
            <w:hideMark/>
          </w:tcPr>
          <w:p w14:paraId="5B80D140"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607" w:type="dxa"/>
            <w:tcBorders>
              <w:top w:val="nil"/>
              <w:left w:val="nil"/>
              <w:bottom w:val="single" w:sz="4" w:space="0" w:color="auto"/>
              <w:right w:val="nil"/>
            </w:tcBorders>
            <w:shd w:val="clear" w:color="auto" w:fill="auto"/>
            <w:noWrap/>
            <w:vAlign w:val="bottom"/>
            <w:hideMark/>
          </w:tcPr>
          <w:p w14:paraId="77E8588B"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TOTAL </w:t>
            </w:r>
          </w:p>
        </w:tc>
        <w:tc>
          <w:tcPr>
            <w:tcW w:w="166" w:type="dxa"/>
            <w:tcBorders>
              <w:top w:val="nil"/>
              <w:left w:val="nil"/>
              <w:bottom w:val="single" w:sz="4" w:space="0" w:color="auto"/>
              <w:right w:val="nil"/>
            </w:tcBorders>
            <w:shd w:val="clear" w:color="auto" w:fill="auto"/>
            <w:noWrap/>
            <w:vAlign w:val="bottom"/>
            <w:hideMark/>
          </w:tcPr>
          <w:p w14:paraId="2799B399" w14:textId="77777777" w:rsidR="00656E62" w:rsidRPr="00701F32" w:rsidRDefault="00656E62" w:rsidP="00464C0F">
            <w:pPr>
              <w:jc w:val="both"/>
              <w:rPr>
                <w:rFonts w:ascii="Arial" w:hAnsi="Arial" w:cs="Arial"/>
                <w:sz w:val="16"/>
                <w:szCs w:val="16"/>
                <w:lang w:eastAsia="es-AR"/>
              </w:rPr>
            </w:pPr>
            <w:r w:rsidRPr="00701F32">
              <w:rPr>
                <w:rFonts w:ascii="Arial" w:hAnsi="Arial" w:cs="Arial"/>
                <w:sz w:val="16"/>
                <w:szCs w:val="16"/>
                <w:lang w:eastAsia="es-AR"/>
              </w:rPr>
              <w:t> </w:t>
            </w:r>
          </w:p>
        </w:tc>
        <w:tc>
          <w:tcPr>
            <w:tcW w:w="887" w:type="dxa"/>
            <w:tcBorders>
              <w:top w:val="nil"/>
              <w:left w:val="nil"/>
              <w:bottom w:val="single" w:sz="4" w:space="0" w:color="auto"/>
              <w:right w:val="nil"/>
            </w:tcBorders>
            <w:shd w:val="clear" w:color="auto" w:fill="auto"/>
            <w:noWrap/>
            <w:vAlign w:val="bottom"/>
            <w:hideMark/>
          </w:tcPr>
          <w:p w14:paraId="4E8BCC06"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744.386 </w:t>
            </w:r>
          </w:p>
        </w:tc>
        <w:tc>
          <w:tcPr>
            <w:tcW w:w="702" w:type="dxa"/>
            <w:tcBorders>
              <w:top w:val="nil"/>
              <w:left w:val="nil"/>
              <w:bottom w:val="single" w:sz="4" w:space="0" w:color="auto"/>
              <w:right w:val="nil"/>
            </w:tcBorders>
            <w:shd w:val="clear" w:color="auto" w:fill="auto"/>
            <w:noWrap/>
            <w:vAlign w:val="bottom"/>
            <w:hideMark/>
          </w:tcPr>
          <w:p w14:paraId="641EDB0B"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567" w:type="dxa"/>
            <w:tcBorders>
              <w:top w:val="nil"/>
              <w:left w:val="nil"/>
              <w:bottom w:val="single" w:sz="4" w:space="0" w:color="auto"/>
              <w:right w:val="nil"/>
            </w:tcBorders>
            <w:shd w:val="clear" w:color="auto" w:fill="auto"/>
            <w:noWrap/>
            <w:vAlign w:val="bottom"/>
            <w:hideMark/>
          </w:tcPr>
          <w:p w14:paraId="0EC61F2C"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590" w:type="dxa"/>
            <w:tcBorders>
              <w:top w:val="nil"/>
              <w:left w:val="nil"/>
              <w:bottom w:val="single" w:sz="4" w:space="0" w:color="auto"/>
              <w:right w:val="nil"/>
            </w:tcBorders>
            <w:shd w:val="clear" w:color="auto" w:fill="auto"/>
            <w:noWrap/>
            <w:vAlign w:val="bottom"/>
            <w:hideMark/>
          </w:tcPr>
          <w:p w14:paraId="61A69D38"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951" w:type="dxa"/>
            <w:tcBorders>
              <w:top w:val="nil"/>
              <w:left w:val="nil"/>
              <w:bottom w:val="single" w:sz="4" w:space="0" w:color="auto"/>
              <w:right w:val="nil"/>
            </w:tcBorders>
            <w:shd w:val="clear" w:color="auto" w:fill="auto"/>
            <w:noWrap/>
            <w:vAlign w:val="bottom"/>
            <w:hideMark/>
          </w:tcPr>
          <w:p w14:paraId="4FEA5D10"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782" w:type="dxa"/>
            <w:tcBorders>
              <w:top w:val="nil"/>
              <w:left w:val="nil"/>
              <w:bottom w:val="single" w:sz="4" w:space="0" w:color="auto"/>
              <w:right w:val="nil"/>
            </w:tcBorders>
            <w:shd w:val="clear" w:color="auto" w:fill="auto"/>
            <w:noWrap/>
            <w:vAlign w:val="bottom"/>
            <w:hideMark/>
          </w:tcPr>
          <w:p w14:paraId="6D0101FB"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 </w:t>
            </w:r>
          </w:p>
        </w:tc>
        <w:tc>
          <w:tcPr>
            <w:tcW w:w="782" w:type="dxa"/>
            <w:tcBorders>
              <w:top w:val="nil"/>
              <w:left w:val="nil"/>
              <w:bottom w:val="single" w:sz="4" w:space="0" w:color="auto"/>
              <w:right w:val="single" w:sz="4" w:space="0" w:color="auto"/>
            </w:tcBorders>
            <w:shd w:val="clear" w:color="auto" w:fill="auto"/>
            <w:noWrap/>
            <w:vAlign w:val="bottom"/>
            <w:hideMark/>
          </w:tcPr>
          <w:p w14:paraId="5AB5EBD9" w14:textId="77777777" w:rsidR="00656E62" w:rsidRPr="00701F32" w:rsidRDefault="00656E62" w:rsidP="00464C0F">
            <w:pPr>
              <w:jc w:val="right"/>
              <w:rPr>
                <w:rFonts w:ascii="Arial" w:hAnsi="Arial" w:cs="Arial"/>
                <w:b/>
                <w:bCs/>
                <w:sz w:val="16"/>
                <w:szCs w:val="16"/>
                <w:lang w:eastAsia="es-AR"/>
              </w:rPr>
            </w:pPr>
            <w:r w:rsidRPr="00701F32">
              <w:rPr>
                <w:rFonts w:ascii="Arial" w:hAnsi="Arial" w:cs="Arial"/>
                <w:b/>
                <w:bCs/>
                <w:sz w:val="16"/>
                <w:szCs w:val="16"/>
                <w:lang w:eastAsia="es-AR"/>
              </w:rPr>
              <w:t xml:space="preserve">744.386 </w:t>
            </w:r>
          </w:p>
        </w:tc>
      </w:tr>
    </w:tbl>
    <w:p w14:paraId="1614DCB0" w14:textId="77777777" w:rsidR="00656E62" w:rsidRPr="00701F32" w:rsidRDefault="00656E62" w:rsidP="00656E62">
      <w:pPr>
        <w:jc w:val="both"/>
        <w:rPr>
          <w:rFonts w:ascii="Arial" w:hAnsi="Arial" w:cs="Arial"/>
          <w:sz w:val="20"/>
        </w:rPr>
      </w:pPr>
    </w:p>
    <w:p w14:paraId="39631A17" w14:textId="013BF01E" w:rsidR="00656E62" w:rsidRPr="00701F32" w:rsidRDefault="00656E62" w:rsidP="00656E62">
      <w:pPr>
        <w:jc w:val="both"/>
        <w:rPr>
          <w:rFonts w:ascii="Arial" w:hAnsi="Arial" w:cs="Arial"/>
          <w:sz w:val="20"/>
        </w:rPr>
      </w:pPr>
      <w:r w:rsidRPr="00701F32">
        <w:rPr>
          <w:rFonts w:ascii="Arial" w:hAnsi="Arial" w:cs="Arial"/>
          <w:sz w:val="20"/>
        </w:rPr>
        <w:t xml:space="preserve">Al 31 de diciembre de 2017 la reserva facultativa constituida por la asamblea asciende a 2.497.308 y la reserva legal </w:t>
      </w:r>
      <w:r w:rsidR="00F17F39" w:rsidRPr="00701F32">
        <w:rPr>
          <w:rFonts w:ascii="Arial" w:hAnsi="Arial" w:cs="Arial"/>
          <w:sz w:val="20"/>
        </w:rPr>
        <w:t>a 676.447</w:t>
      </w:r>
      <w:r w:rsidRPr="00701F32">
        <w:rPr>
          <w:rFonts w:ascii="Arial" w:hAnsi="Arial" w:cs="Arial"/>
          <w:sz w:val="20"/>
        </w:rPr>
        <w:t xml:space="preserve">. </w:t>
      </w:r>
    </w:p>
    <w:p w14:paraId="29ECA924" w14:textId="77777777" w:rsidR="00656E62" w:rsidRPr="00701F32" w:rsidRDefault="00656E62" w:rsidP="00656E62">
      <w:pPr>
        <w:jc w:val="both"/>
        <w:rPr>
          <w:rFonts w:ascii="Arial" w:eastAsia="Arial" w:hAnsi="Arial" w:cs="Arial"/>
          <w:bCs/>
          <w:noProof/>
          <w:color w:val="000000"/>
          <w:sz w:val="20"/>
        </w:rPr>
      </w:pPr>
    </w:p>
    <w:p w14:paraId="77219A2C" w14:textId="77777777" w:rsidR="00656E62" w:rsidRPr="00701F32" w:rsidRDefault="00D57127" w:rsidP="00656E62">
      <w:pPr>
        <w:jc w:val="both"/>
        <w:rPr>
          <w:rFonts w:ascii="Arial" w:eastAsia="Calibri" w:hAnsi="Arial" w:cs="Arial"/>
          <w:b/>
          <w:sz w:val="20"/>
          <w:lang w:val="es-PE" w:eastAsia="es-PE"/>
        </w:rPr>
      </w:pPr>
      <w:r w:rsidRPr="00701F32">
        <w:rPr>
          <w:rFonts w:ascii="Arial" w:eastAsia="Calibri" w:hAnsi="Arial" w:cs="Arial"/>
          <w:b/>
          <w:sz w:val="20"/>
          <w:lang w:val="es-PE" w:eastAsia="es-PE"/>
        </w:rPr>
        <w:t>17</w:t>
      </w:r>
      <w:r w:rsidR="00656E62" w:rsidRPr="00701F32">
        <w:rPr>
          <w:rFonts w:ascii="Arial" w:eastAsia="Calibri" w:hAnsi="Arial" w:cs="Arial"/>
          <w:b/>
          <w:sz w:val="20"/>
          <w:lang w:val="es-PE" w:eastAsia="es-PE"/>
        </w:rPr>
        <w:t>.</w:t>
      </w:r>
      <w:r w:rsidR="004E457F" w:rsidRPr="00701F32">
        <w:rPr>
          <w:rFonts w:ascii="Arial" w:eastAsia="Calibri" w:hAnsi="Arial" w:cs="Arial"/>
          <w:b/>
          <w:sz w:val="20"/>
          <w:lang w:val="es-PE" w:eastAsia="es-PE"/>
        </w:rPr>
        <w:t xml:space="preserve">13 </w:t>
      </w:r>
      <w:r w:rsidR="00656E62" w:rsidRPr="00701F32">
        <w:rPr>
          <w:rFonts w:ascii="Arial" w:eastAsia="Calibri" w:hAnsi="Arial" w:cs="Arial"/>
          <w:b/>
          <w:sz w:val="20"/>
          <w:lang w:val="es-PE" w:eastAsia="es-PE"/>
        </w:rPr>
        <w:t xml:space="preserve">Utilidad por Acción </w:t>
      </w:r>
    </w:p>
    <w:p w14:paraId="5F2490DB" w14:textId="77777777" w:rsidR="00656E62" w:rsidRPr="00701F32" w:rsidRDefault="00656E62" w:rsidP="00656E62">
      <w:pPr>
        <w:jc w:val="both"/>
        <w:rPr>
          <w:rFonts w:ascii="Arial" w:eastAsia="Calibri" w:hAnsi="Arial" w:cs="Arial"/>
          <w:b/>
          <w:sz w:val="20"/>
          <w:lang w:val="es-PE" w:eastAsia="es-PE"/>
        </w:rPr>
      </w:pPr>
    </w:p>
    <w:p w14:paraId="18D5F99A" w14:textId="24F9342D" w:rsidR="00656E62" w:rsidRPr="00701F32" w:rsidRDefault="00656E62" w:rsidP="00656E62">
      <w:pPr>
        <w:ind w:right="119"/>
        <w:jc w:val="both"/>
        <w:rPr>
          <w:rFonts w:ascii="Arial" w:eastAsia="Calibri" w:hAnsi="Arial" w:cs="Arial"/>
          <w:sz w:val="20"/>
          <w:lang w:eastAsia="es-PE"/>
        </w:rPr>
      </w:pPr>
      <w:r w:rsidRPr="00701F32">
        <w:rPr>
          <w:rFonts w:ascii="Arial" w:eastAsia="Calibri" w:hAnsi="Arial" w:cs="Arial"/>
          <w:sz w:val="20"/>
          <w:lang w:eastAsia="es-PE"/>
        </w:rPr>
        <w:t xml:space="preserve">La utilidad por acción se calcula dividiendo la utilidad atribuible a los </w:t>
      </w:r>
      <w:r w:rsidR="00F121B0" w:rsidRPr="00701F32">
        <w:rPr>
          <w:rFonts w:ascii="Arial" w:eastAsia="Calibri" w:hAnsi="Arial" w:cs="Arial"/>
          <w:sz w:val="20"/>
          <w:lang w:eastAsia="es-PE"/>
        </w:rPr>
        <w:t xml:space="preserve">propietarios de la controlante </w:t>
      </w:r>
      <w:r w:rsidRPr="00701F32">
        <w:rPr>
          <w:rFonts w:ascii="Arial" w:eastAsia="Calibri" w:hAnsi="Arial" w:cs="Arial"/>
          <w:sz w:val="20"/>
          <w:lang w:eastAsia="es-PE"/>
        </w:rPr>
        <w:t xml:space="preserve">entre el promedio ponderado de las acciones </w:t>
      </w:r>
      <w:r w:rsidR="00F121B0" w:rsidRPr="00701F32">
        <w:rPr>
          <w:rFonts w:ascii="Arial" w:eastAsia="Calibri" w:hAnsi="Arial" w:cs="Arial"/>
          <w:sz w:val="20"/>
          <w:lang w:eastAsia="es-PE"/>
        </w:rPr>
        <w:t xml:space="preserve">ordinarias </w:t>
      </w:r>
      <w:r w:rsidRPr="00701F32">
        <w:rPr>
          <w:rFonts w:ascii="Arial" w:eastAsia="Calibri" w:hAnsi="Arial" w:cs="Arial"/>
          <w:sz w:val="20"/>
          <w:lang w:eastAsia="es-PE"/>
        </w:rPr>
        <w:t>en circulación en el año. Dado que el Banco no posee acciones preferidas ni deuda convertible en acciones, el resultado básico es igual al resultado diluido por acción.</w:t>
      </w:r>
    </w:p>
    <w:p w14:paraId="63D54CD4" w14:textId="77777777" w:rsidR="00656E62" w:rsidRPr="00701F32" w:rsidRDefault="00656E62" w:rsidP="00656E62">
      <w:pPr>
        <w:ind w:right="119"/>
        <w:jc w:val="both"/>
        <w:rPr>
          <w:rFonts w:ascii="Arial" w:eastAsia="Calibri" w:hAnsi="Arial" w:cs="Arial"/>
          <w:sz w:val="20"/>
          <w:lang w:eastAsia="es-PE"/>
        </w:rPr>
      </w:pPr>
    </w:p>
    <w:p w14:paraId="45FC66BF" w14:textId="77777777" w:rsidR="006D7FAF" w:rsidRPr="00701F32" w:rsidRDefault="006D7FAF" w:rsidP="00656E62">
      <w:pPr>
        <w:ind w:right="119"/>
        <w:jc w:val="both"/>
        <w:rPr>
          <w:rFonts w:ascii="Arial" w:eastAsia="Calibri" w:hAnsi="Arial" w:cs="Arial"/>
          <w:sz w:val="20"/>
          <w:lang w:eastAsia="es-PE"/>
        </w:rPr>
      </w:pPr>
    </w:p>
    <w:p w14:paraId="686850D8" w14:textId="77777777" w:rsidR="00F121B0" w:rsidRPr="00701F32" w:rsidRDefault="00F121B0" w:rsidP="00656E62">
      <w:pPr>
        <w:ind w:right="119"/>
        <w:jc w:val="both"/>
        <w:rPr>
          <w:rFonts w:ascii="Arial" w:eastAsia="Calibri" w:hAnsi="Arial" w:cs="Arial"/>
          <w:sz w:val="20"/>
          <w:lang w:eastAsia="es-PE"/>
        </w:rPr>
      </w:pPr>
    </w:p>
    <w:tbl>
      <w:tblPr>
        <w:tblW w:w="7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9"/>
        <w:gridCol w:w="1229"/>
      </w:tblGrid>
      <w:tr w:rsidR="00AD4A7A" w:rsidRPr="00701F32" w14:paraId="0FD8661E" w14:textId="77777777" w:rsidTr="00E311C9">
        <w:trPr>
          <w:trHeight w:val="228"/>
          <w:tblHeader/>
          <w:jc w:val="center"/>
        </w:trPr>
        <w:tc>
          <w:tcPr>
            <w:tcW w:w="6359" w:type="dxa"/>
            <w:shd w:val="clear" w:color="auto" w:fill="auto"/>
            <w:noWrap/>
            <w:vAlign w:val="bottom"/>
            <w:hideMark/>
          </w:tcPr>
          <w:p w14:paraId="08F15096" w14:textId="77777777" w:rsidR="00AD4A7A" w:rsidRPr="00701F32" w:rsidRDefault="00AD4A7A" w:rsidP="00464C0F">
            <w:pPr>
              <w:jc w:val="both"/>
              <w:rPr>
                <w:rFonts w:ascii="Arial" w:hAnsi="Arial" w:cs="Arial"/>
                <w:color w:val="000000"/>
                <w:sz w:val="20"/>
                <w:lang w:eastAsia="es-AR"/>
              </w:rPr>
            </w:pPr>
            <w:r w:rsidRPr="00701F32">
              <w:rPr>
                <w:rFonts w:ascii="Arial" w:hAnsi="Arial" w:cs="Arial"/>
                <w:color w:val="000000"/>
                <w:sz w:val="20"/>
                <w:lang w:eastAsia="es-AR"/>
              </w:rPr>
              <w:t> </w:t>
            </w:r>
          </w:p>
        </w:tc>
        <w:tc>
          <w:tcPr>
            <w:tcW w:w="1229" w:type="dxa"/>
            <w:shd w:val="clear" w:color="auto" w:fill="auto"/>
            <w:noWrap/>
            <w:vAlign w:val="bottom"/>
            <w:hideMark/>
          </w:tcPr>
          <w:p w14:paraId="2CAD4FBA" w14:textId="77777777" w:rsidR="00AD4A7A" w:rsidRPr="00701F32" w:rsidRDefault="00AD4A7A" w:rsidP="00464C0F">
            <w:pPr>
              <w:jc w:val="center"/>
              <w:rPr>
                <w:rFonts w:ascii="Arial" w:hAnsi="Arial" w:cs="Arial"/>
                <w:b/>
                <w:color w:val="000000"/>
                <w:sz w:val="20"/>
                <w:lang w:eastAsia="es-AR"/>
              </w:rPr>
            </w:pPr>
            <w:r w:rsidRPr="00701F32">
              <w:rPr>
                <w:rFonts w:ascii="Arial" w:hAnsi="Arial" w:cs="Arial"/>
                <w:b/>
                <w:color w:val="000000"/>
                <w:sz w:val="20"/>
                <w:lang w:eastAsia="es-AR"/>
              </w:rPr>
              <w:t>31/12/2017</w:t>
            </w:r>
          </w:p>
        </w:tc>
      </w:tr>
      <w:tr w:rsidR="00AD4A7A" w:rsidRPr="00701F32" w14:paraId="6B9A10B1" w14:textId="77777777" w:rsidTr="00E311C9">
        <w:trPr>
          <w:trHeight w:val="228"/>
          <w:jc w:val="center"/>
        </w:trPr>
        <w:tc>
          <w:tcPr>
            <w:tcW w:w="6359" w:type="dxa"/>
            <w:shd w:val="clear" w:color="auto" w:fill="auto"/>
            <w:noWrap/>
            <w:vAlign w:val="bottom"/>
            <w:hideMark/>
          </w:tcPr>
          <w:p w14:paraId="7BD254AD" w14:textId="075367F6" w:rsidR="00AD4A7A" w:rsidRPr="00701F32" w:rsidRDefault="00AD4A7A" w:rsidP="00464C0F">
            <w:pPr>
              <w:jc w:val="both"/>
              <w:rPr>
                <w:rFonts w:ascii="Arial" w:hAnsi="Arial" w:cs="Arial"/>
                <w:color w:val="000000"/>
                <w:sz w:val="20"/>
                <w:lang w:eastAsia="es-AR"/>
              </w:rPr>
            </w:pPr>
            <w:r w:rsidRPr="00701F32">
              <w:rPr>
                <w:rFonts w:ascii="Arial" w:hAnsi="Arial" w:cs="Arial"/>
                <w:color w:val="000000"/>
                <w:sz w:val="20"/>
                <w:lang w:eastAsia="es-AR"/>
              </w:rPr>
              <w:t xml:space="preserve">Utilidad atribuible a los </w:t>
            </w:r>
            <w:r w:rsidR="00F121B0" w:rsidRPr="00701F32">
              <w:rPr>
                <w:rFonts w:ascii="Arial" w:hAnsi="Arial" w:cs="Arial"/>
                <w:color w:val="000000"/>
                <w:sz w:val="20"/>
                <w:lang w:eastAsia="es-AR"/>
              </w:rPr>
              <w:t>propietarios de la controlante</w:t>
            </w:r>
          </w:p>
        </w:tc>
        <w:tc>
          <w:tcPr>
            <w:tcW w:w="1229" w:type="dxa"/>
            <w:shd w:val="clear" w:color="auto" w:fill="auto"/>
            <w:noWrap/>
            <w:vAlign w:val="bottom"/>
            <w:hideMark/>
          </w:tcPr>
          <w:p w14:paraId="4F077180" w14:textId="77777777" w:rsidR="00AD4A7A" w:rsidRPr="00701F32" w:rsidRDefault="00AD4A7A" w:rsidP="00464C0F">
            <w:pPr>
              <w:jc w:val="right"/>
              <w:rPr>
                <w:rFonts w:ascii="Arial" w:hAnsi="Arial" w:cs="Arial"/>
                <w:color w:val="000000"/>
                <w:sz w:val="20"/>
                <w:lang w:eastAsia="es-AR"/>
              </w:rPr>
            </w:pPr>
            <w:r w:rsidRPr="00701F32">
              <w:rPr>
                <w:rFonts w:ascii="Arial" w:hAnsi="Arial" w:cs="Arial"/>
                <w:color w:val="000000"/>
                <w:sz w:val="20"/>
                <w:lang w:eastAsia="es-AR"/>
              </w:rPr>
              <w:t>796.799</w:t>
            </w:r>
          </w:p>
        </w:tc>
      </w:tr>
      <w:tr w:rsidR="00AD4A7A" w:rsidRPr="00701F32" w14:paraId="2F1531BB" w14:textId="77777777" w:rsidTr="00E311C9">
        <w:trPr>
          <w:trHeight w:val="228"/>
          <w:jc w:val="center"/>
        </w:trPr>
        <w:tc>
          <w:tcPr>
            <w:tcW w:w="6359" w:type="dxa"/>
            <w:shd w:val="clear" w:color="auto" w:fill="auto"/>
            <w:noWrap/>
            <w:vAlign w:val="bottom"/>
            <w:hideMark/>
          </w:tcPr>
          <w:p w14:paraId="107F444C" w14:textId="77777777" w:rsidR="00AD4A7A" w:rsidRPr="00701F32" w:rsidRDefault="00AD4A7A" w:rsidP="00464C0F">
            <w:pPr>
              <w:jc w:val="both"/>
              <w:rPr>
                <w:rFonts w:ascii="Arial" w:hAnsi="Arial" w:cs="Arial"/>
                <w:color w:val="000000"/>
                <w:sz w:val="20"/>
                <w:lang w:eastAsia="es-AR"/>
              </w:rPr>
            </w:pPr>
            <w:r w:rsidRPr="00701F32">
              <w:rPr>
                <w:rFonts w:ascii="Arial" w:hAnsi="Arial" w:cs="Arial"/>
                <w:color w:val="000000"/>
                <w:sz w:val="20"/>
                <w:lang w:eastAsia="es-AR"/>
              </w:rPr>
              <w:t>Promedio ponderado de acciones en circulación (miles)</w:t>
            </w:r>
          </w:p>
        </w:tc>
        <w:tc>
          <w:tcPr>
            <w:tcW w:w="1229" w:type="dxa"/>
            <w:shd w:val="clear" w:color="auto" w:fill="auto"/>
            <w:noWrap/>
            <w:vAlign w:val="bottom"/>
            <w:hideMark/>
          </w:tcPr>
          <w:p w14:paraId="7D6BE3F5" w14:textId="77777777" w:rsidR="00AD4A7A" w:rsidRPr="00701F32" w:rsidRDefault="00AD4A7A" w:rsidP="00464C0F">
            <w:pPr>
              <w:jc w:val="right"/>
              <w:rPr>
                <w:rFonts w:ascii="Arial" w:hAnsi="Arial" w:cs="Arial"/>
                <w:color w:val="000000"/>
                <w:sz w:val="20"/>
                <w:lang w:eastAsia="es-AR"/>
              </w:rPr>
            </w:pPr>
            <w:r w:rsidRPr="00701F32">
              <w:rPr>
                <w:rFonts w:ascii="Arial" w:hAnsi="Arial" w:cs="Arial"/>
                <w:color w:val="000000"/>
                <w:sz w:val="20"/>
                <w:lang w:eastAsia="es-AR"/>
              </w:rPr>
              <w:t>650.228</w:t>
            </w:r>
          </w:p>
        </w:tc>
      </w:tr>
      <w:tr w:rsidR="00AD4A7A" w:rsidRPr="00701F32" w14:paraId="56EF17F2" w14:textId="77777777" w:rsidTr="00E311C9">
        <w:trPr>
          <w:trHeight w:val="228"/>
          <w:jc w:val="center"/>
        </w:trPr>
        <w:tc>
          <w:tcPr>
            <w:tcW w:w="6359" w:type="dxa"/>
            <w:shd w:val="clear" w:color="auto" w:fill="auto"/>
            <w:noWrap/>
            <w:vAlign w:val="bottom"/>
            <w:hideMark/>
          </w:tcPr>
          <w:p w14:paraId="5B2192FF" w14:textId="77777777" w:rsidR="00AD4A7A" w:rsidRPr="00701F32" w:rsidRDefault="00AD4A7A" w:rsidP="00464C0F">
            <w:pPr>
              <w:jc w:val="both"/>
              <w:rPr>
                <w:rFonts w:ascii="Arial" w:hAnsi="Arial" w:cs="Arial"/>
                <w:b/>
                <w:bCs/>
                <w:color w:val="000000"/>
                <w:sz w:val="20"/>
                <w:lang w:eastAsia="es-AR"/>
              </w:rPr>
            </w:pPr>
            <w:r w:rsidRPr="00701F32">
              <w:rPr>
                <w:rFonts w:ascii="Arial" w:hAnsi="Arial" w:cs="Arial"/>
                <w:b/>
                <w:bCs/>
                <w:color w:val="000000"/>
                <w:sz w:val="20"/>
                <w:lang w:eastAsia="es-AR"/>
              </w:rPr>
              <w:t>Utilidad por Acción</w:t>
            </w:r>
          </w:p>
        </w:tc>
        <w:tc>
          <w:tcPr>
            <w:tcW w:w="1229" w:type="dxa"/>
            <w:shd w:val="clear" w:color="auto" w:fill="auto"/>
            <w:noWrap/>
            <w:vAlign w:val="bottom"/>
            <w:hideMark/>
          </w:tcPr>
          <w:p w14:paraId="32112617" w14:textId="77777777" w:rsidR="00AD4A7A" w:rsidRPr="00701F32" w:rsidRDefault="00AD4A7A" w:rsidP="00464C0F">
            <w:pPr>
              <w:jc w:val="right"/>
              <w:rPr>
                <w:rFonts w:ascii="Arial" w:hAnsi="Arial" w:cs="Arial"/>
                <w:b/>
                <w:bCs/>
                <w:color w:val="000000"/>
                <w:sz w:val="20"/>
                <w:lang w:eastAsia="es-AR"/>
              </w:rPr>
            </w:pPr>
            <w:r w:rsidRPr="00701F32">
              <w:rPr>
                <w:rFonts w:ascii="Arial" w:hAnsi="Arial" w:cs="Arial"/>
                <w:b/>
                <w:bCs/>
                <w:color w:val="000000"/>
                <w:sz w:val="20"/>
                <w:lang w:eastAsia="es-AR"/>
              </w:rPr>
              <w:t>1,2254</w:t>
            </w:r>
          </w:p>
        </w:tc>
      </w:tr>
    </w:tbl>
    <w:p w14:paraId="2D7685B8" w14:textId="77777777" w:rsidR="00656E62" w:rsidRPr="00701F32" w:rsidRDefault="00656E62" w:rsidP="00656E62">
      <w:pPr>
        <w:autoSpaceDE w:val="0"/>
        <w:autoSpaceDN w:val="0"/>
        <w:adjustRightInd w:val="0"/>
        <w:spacing w:after="160" w:line="259" w:lineRule="auto"/>
        <w:jc w:val="both"/>
        <w:rPr>
          <w:rFonts w:ascii="Arial" w:eastAsia="Arial" w:hAnsi="Arial" w:cs="Arial"/>
          <w:b/>
          <w:bCs/>
          <w:color w:val="00B0F0"/>
          <w:sz w:val="20"/>
        </w:rPr>
      </w:pPr>
    </w:p>
    <w:p w14:paraId="36F49F6A" w14:textId="77777777" w:rsidR="00656E62" w:rsidRPr="00701F32" w:rsidRDefault="00D57127" w:rsidP="00656E62">
      <w:pPr>
        <w:jc w:val="both"/>
        <w:rPr>
          <w:rFonts w:ascii="Arial" w:hAnsi="Arial" w:cs="Arial"/>
          <w:b/>
          <w:sz w:val="20"/>
        </w:rPr>
      </w:pPr>
      <w:r w:rsidRPr="00701F32">
        <w:rPr>
          <w:rFonts w:ascii="Arial" w:hAnsi="Arial" w:cs="Arial"/>
          <w:b/>
          <w:sz w:val="20"/>
        </w:rPr>
        <w:t>17</w:t>
      </w:r>
      <w:r w:rsidR="00656E62" w:rsidRPr="00701F32">
        <w:rPr>
          <w:rFonts w:ascii="Arial" w:hAnsi="Arial" w:cs="Arial"/>
          <w:b/>
          <w:sz w:val="20"/>
        </w:rPr>
        <w:t>.</w:t>
      </w:r>
      <w:r w:rsidR="004E457F" w:rsidRPr="00701F32">
        <w:rPr>
          <w:rFonts w:ascii="Arial" w:hAnsi="Arial" w:cs="Arial"/>
          <w:b/>
          <w:sz w:val="20"/>
        </w:rPr>
        <w:t xml:space="preserve">14 </w:t>
      </w:r>
      <w:r w:rsidR="00656E62" w:rsidRPr="00701F32">
        <w:rPr>
          <w:rFonts w:ascii="Arial" w:hAnsi="Arial" w:cs="Arial"/>
          <w:b/>
          <w:sz w:val="20"/>
        </w:rPr>
        <w:t xml:space="preserve">Ingreso por intereses / comisiones </w:t>
      </w:r>
    </w:p>
    <w:p w14:paraId="6194687E" w14:textId="77777777" w:rsidR="00AC795F" w:rsidRPr="00701F32" w:rsidRDefault="00AC795F" w:rsidP="00656E62">
      <w:pPr>
        <w:jc w:val="both"/>
        <w:rPr>
          <w:rFonts w:ascii="Arial" w:hAnsi="Arial" w:cs="Arial"/>
          <w:b/>
          <w:sz w:val="20"/>
        </w:rPr>
      </w:pP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520"/>
      </w:tblGrid>
      <w:tr w:rsidR="00AC795F" w:rsidRPr="00701F32" w14:paraId="7600B27E" w14:textId="77777777" w:rsidTr="00AC795F">
        <w:trPr>
          <w:trHeight w:val="167"/>
          <w:tblHeader/>
        </w:trPr>
        <w:tc>
          <w:tcPr>
            <w:tcW w:w="7054" w:type="dxa"/>
            <w:shd w:val="clear" w:color="auto" w:fill="auto"/>
          </w:tcPr>
          <w:p w14:paraId="15799274" w14:textId="77777777" w:rsidR="00AC795F" w:rsidRPr="00701F32" w:rsidRDefault="00AC795F" w:rsidP="00AC795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Ingresos por intereses</w:t>
            </w:r>
          </w:p>
        </w:tc>
        <w:tc>
          <w:tcPr>
            <w:tcW w:w="1520" w:type="dxa"/>
            <w:shd w:val="clear" w:color="auto" w:fill="auto"/>
            <w:vAlign w:val="center"/>
          </w:tcPr>
          <w:p w14:paraId="73F41619" w14:textId="77777777" w:rsidR="00AC795F" w:rsidRPr="00701F32" w:rsidRDefault="00AC795F" w:rsidP="00AC795F">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AC795F" w:rsidRPr="00701F32" w14:paraId="3A992297" w14:textId="77777777" w:rsidTr="00E311C9">
        <w:trPr>
          <w:trHeight w:val="270"/>
        </w:trPr>
        <w:tc>
          <w:tcPr>
            <w:tcW w:w="7054" w:type="dxa"/>
          </w:tcPr>
          <w:p w14:paraId="13CC7DE4" w14:textId="77777777" w:rsidR="00AC795F" w:rsidRPr="00701F32" w:rsidRDefault="00AC795F" w:rsidP="00AC795F">
            <w:pPr>
              <w:ind w:left="29"/>
              <w:jc w:val="both"/>
              <w:rPr>
                <w:rFonts w:ascii="Arial" w:hAnsi="Arial" w:cs="Arial"/>
                <w:sz w:val="20"/>
              </w:rPr>
            </w:pPr>
            <w:r w:rsidRPr="00701F32">
              <w:rPr>
                <w:rFonts w:ascii="Arial" w:hAnsi="Arial" w:cs="Arial"/>
                <w:sz w:val="20"/>
              </w:rPr>
              <w:t>Por otros activos financieros</w:t>
            </w:r>
          </w:p>
        </w:tc>
        <w:tc>
          <w:tcPr>
            <w:tcW w:w="1520" w:type="dxa"/>
            <w:vAlign w:val="bottom"/>
          </w:tcPr>
          <w:p w14:paraId="27065FE2" w14:textId="77777777" w:rsidR="00AC795F" w:rsidRPr="00701F32" w:rsidRDefault="00AC795F">
            <w:pPr>
              <w:ind w:right="107"/>
              <w:jc w:val="right"/>
              <w:rPr>
                <w:rFonts w:ascii="Arial" w:hAnsi="Arial" w:cs="Arial"/>
                <w:sz w:val="20"/>
              </w:rPr>
            </w:pPr>
            <w:r w:rsidRPr="00701F32">
              <w:rPr>
                <w:rFonts w:ascii="Arial" w:hAnsi="Arial" w:cs="Arial"/>
                <w:sz w:val="20"/>
              </w:rPr>
              <w:t>213</w:t>
            </w:r>
          </w:p>
        </w:tc>
      </w:tr>
      <w:tr w:rsidR="001624B7" w:rsidRPr="00701F32" w14:paraId="61F8D868" w14:textId="77777777" w:rsidTr="00E311C9">
        <w:trPr>
          <w:trHeight w:val="270"/>
        </w:trPr>
        <w:tc>
          <w:tcPr>
            <w:tcW w:w="7054" w:type="dxa"/>
          </w:tcPr>
          <w:p w14:paraId="1FD0CB41" w14:textId="77777777" w:rsidR="001624B7" w:rsidRPr="00701F32" w:rsidRDefault="001624B7" w:rsidP="00AC795F">
            <w:pPr>
              <w:ind w:left="29"/>
              <w:jc w:val="both"/>
              <w:rPr>
                <w:rFonts w:ascii="Arial" w:hAnsi="Arial" w:cs="Arial"/>
                <w:sz w:val="20"/>
              </w:rPr>
            </w:pPr>
            <w:r w:rsidRPr="00701F32">
              <w:rPr>
                <w:rFonts w:ascii="Arial" w:hAnsi="Arial" w:cs="Arial"/>
                <w:sz w:val="20"/>
              </w:rPr>
              <w:t>Al sector financiero</w:t>
            </w:r>
          </w:p>
        </w:tc>
        <w:tc>
          <w:tcPr>
            <w:tcW w:w="1520" w:type="dxa"/>
            <w:vAlign w:val="bottom"/>
          </w:tcPr>
          <w:p w14:paraId="281252A2"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206.874</w:t>
            </w:r>
          </w:p>
        </w:tc>
      </w:tr>
      <w:tr w:rsidR="001624B7" w:rsidRPr="00701F32" w14:paraId="4E8AA795" w14:textId="77777777" w:rsidTr="00E311C9">
        <w:trPr>
          <w:trHeight w:val="270"/>
        </w:trPr>
        <w:tc>
          <w:tcPr>
            <w:tcW w:w="7054" w:type="dxa"/>
          </w:tcPr>
          <w:p w14:paraId="2292F988" w14:textId="77777777" w:rsidR="001624B7" w:rsidRPr="00701F32" w:rsidRDefault="001624B7" w:rsidP="00AC795F">
            <w:pPr>
              <w:ind w:left="29"/>
              <w:jc w:val="both"/>
              <w:rPr>
                <w:rFonts w:ascii="Arial" w:hAnsi="Arial" w:cs="Arial"/>
                <w:sz w:val="20"/>
              </w:rPr>
            </w:pPr>
            <w:r w:rsidRPr="00701F32">
              <w:rPr>
                <w:rFonts w:ascii="Arial" w:hAnsi="Arial" w:cs="Arial"/>
                <w:sz w:val="20"/>
              </w:rPr>
              <w:t>Adelantos</w:t>
            </w:r>
          </w:p>
        </w:tc>
        <w:tc>
          <w:tcPr>
            <w:tcW w:w="1520" w:type="dxa"/>
            <w:vAlign w:val="bottom"/>
          </w:tcPr>
          <w:p w14:paraId="7B7B9185"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1.164.578</w:t>
            </w:r>
          </w:p>
        </w:tc>
      </w:tr>
      <w:tr w:rsidR="001624B7" w:rsidRPr="00701F32" w14:paraId="25FF9DD8" w14:textId="77777777" w:rsidTr="00E311C9">
        <w:trPr>
          <w:trHeight w:val="270"/>
        </w:trPr>
        <w:tc>
          <w:tcPr>
            <w:tcW w:w="7054" w:type="dxa"/>
          </w:tcPr>
          <w:p w14:paraId="384BDA2B" w14:textId="77777777" w:rsidR="001624B7" w:rsidRPr="00701F32" w:rsidRDefault="001624B7" w:rsidP="00AC795F">
            <w:pPr>
              <w:ind w:left="29"/>
              <w:jc w:val="both"/>
              <w:rPr>
                <w:rFonts w:ascii="Arial" w:hAnsi="Arial" w:cs="Arial"/>
                <w:sz w:val="20"/>
              </w:rPr>
            </w:pPr>
            <w:r w:rsidRPr="00701F32">
              <w:rPr>
                <w:rFonts w:ascii="Arial" w:hAnsi="Arial" w:cs="Arial"/>
                <w:sz w:val="20"/>
              </w:rPr>
              <w:t>Documentos</w:t>
            </w:r>
          </w:p>
        </w:tc>
        <w:tc>
          <w:tcPr>
            <w:tcW w:w="1520" w:type="dxa"/>
            <w:vAlign w:val="bottom"/>
          </w:tcPr>
          <w:p w14:paraId="50FD71B2"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2.719.250</w:t>
            </w:r>
          </w:p>
        </w:tc>
      </w:tr>
      <w:tr w:rsidR="001624B7" w:rsidRPr="00701F32" w14:paraId="25DE211A" w14:textId="77777777" w:rsidTr="00E311C9">
        <w:trPr>
          <w:trHeight w:val="270"/>
        </w:trPr>
        <w:tc>
          <w:tcPr>
            <w:tcW w:w="7054" w:type="dxa"/>
          </w:tcPr>
          <w:p w14:paraId="5A573BB0" w14:textId="77777777" w:rsidR="001624B7" w:rsidRPr="00701F32" w:rsidRDefault="001624B7" w:rsidP="00AC795F">
            <w:pPr>
              <w:ind w:left="29"/>
              <w:jc w:val="both"/>
              <w:rPr>
                <w:rFonts w:ascii="Arial" w:hAnsi="Arial" w:cs="Arial"/>
                <w:sz w:val="20"/>
              </w:rPr>
            </w:pPr>
            <w:r w:rsidRPr="00701F32">
              <w:rPr>
                <w:rFonts w:ascii="Arial" w:hAnsi="Arial" w:cs="Arial"/>
                <w:sz w:val="20"/>
              </w:rPr>
              <w:t>Hipotecarios</w:t>
            </w:r>
          </w:p>
        </w:tc>
        <w:tc>
          <w:tcPr>
            <w:tcW w:w="1520" w:type="dxa"/>
            <w:vAlign w:val="bottom"/>
          </w:tcPr>
          <w:p w14:paraId="5F99AF12"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24.184</w:t>
            </w:r>
          </w:p>
        </w:tc>
      </w:tr>
      <w:tr w:rsidR="001624B7" w:rsidRPr="00701F32" w14:paraId="50D5D528" w14:textId="77777777" w:rsidTr="00E311C9">
        <w:trPr>
          <w:trHeight w:val="270"/>
        </w:trPr>
        <w:tc>
          <w:tcPr>
            <w:tcW w:w="7054" w:type="dxa"/>
          </w:tcPr>
          <w:p w14:paraId="55A8BAEF" w14:textId="77777777" w:rsidR="001624B7" w:rsidRPr="00701F32" w:rsidRDefault="001624B7" w:rsidP="00AC795F">
            <w:pPr>
              <w:ind w:left="29"/>
              <w:jc w:val="both"/>
              <w:rPr>
                <w:rFonts w:ascii="Arial" w:hAnsi="Arial" w:cs="Arial"/>
                <w:sz w:val="20"/>
              </w:rPr>
            </w:pPr>
            <w:r w:rsidRPr="00701F32">
              <w:rPr>
                <w:rFonts w:ascii="Arial" w:hAnsi="Arial" w:cs="Arial"/>
                <w:sz w:val="20"/>
              </w:rPr>
              <w:t>Prendarios</w:t>
            </w:r>
          </w:p>
        </w:tc>
        <w:tc>
          <w:tcPr>
            <w:tcW w:w="1520" w:type="dxa"/>
            <w:vAlign w:val="bottom"/>
          </w:tcPr>
          <w:p w14:paraId="45185085"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30.916</w:t>
            </w:r>
          </w:p>
        </w:tc>
      </w:tr>
      <w:tr w:rsidR="0076568E" w:rsidRPr="00701F32" w14:paraId="00452C46" w14:textId="77777777" w:rsidTr="00E311C9">
        <w:trPr>
          <w:trHeight w:val="270"/>
        </w:trPr>
        <w:tc>
          <w:tcPr>
            <w:tcW w:w="7054" w:type="dxa"/>
          </w:tcPr>
          <w:p w14:paraId="365F4D61" w14:textId="77777777" w:rsidR="0076568E" w:rsidRPr="00701F32" w:rsidRDefault="0076568E" w:rsidP="00AC795F">
            <w:pPr>
              <w:ind w:left="29"/>
              <w:jc w:val="both"/>
              <w:rPr>
                <w:rFonts w:ascii="Arial" w:hAnsi="Arial" w:cs="Arial"/>
                <w:sz w:val="20"/>
              </w:rPr>
            </w:pPr>
            <w:r w:rsidRPr="00701F32">
              <w:rPr>
                <w:rFonts w:ascii="Arial" w:hAnsi="Arial" w:cs="Arial"/>
                <w:sz w:val="20"/>
              </w:rPr>
              <w:t>Personales</w:t>
            </w:r>
          </w:p>
        </w:tc>
        <w:tc>
          <w:tcPr>
            <w:tcW w:w="1520" w:type="dxa"/>
            <w:vAlign w:val="bottom"/>
          </w:tcPr>
          <w:p w14:paraId="012840A8" w14:textId="77777777" w:rsidR="0076568E" w:rsidRPr="00701F32" w:rsidRDefault="0076568E">
            <w:pPr>
              <w:tabs>
                <w:tab w:val="left" w:pos="1307"/>
              </w:tabs>
              <w:ind w:right="107"/>
              <w:jc w:val="right"/>
              <w:rPr>
                <w:rFonts w:ascii="Arial" w:hAnsi="Arial" w:cs="Arial"/>
                <w:sz w:val="20"/>
              </w:rPr>
            </w:pPr>
            <w:r w:rsidRPr="00701F32">
              <w:rPr>
                <w:rFonts w:ascii="Arial" w:hAnsi="Arial" w:cs="Arial"/>
                <w:sz w:val="20"/>
              </w:rPr>
              <w:t>3.739.933</w:t>
            </w:r>
          </w:p>
        </w:tc>
      </w:tr>
      <w:tr w:rsidR="001624B7" w:rsidRPr="00701F32" w14:paraId="4398C614" w14:textId="77777777" w:rsidTr="00E311C9">
        <w:trPr>
          <w:trHeight w:val="270"/>
        </w:trPr>
        <w:tc>
          <w:tcPr>
            <w:tcW w:w="7054" w:type="dxa"/>
          </w:tcPr>
          <w:p w14:paraId="78C03898" w14:textId="77777777" w:rsidR="001624B7" w:rsidRPr="00701F32" w:rsidRDefault="001624B7" w:rsidP="00AC795F">
            <w:pPr>
              <w:ind w:left="29"/>
              <w:jc w:val="both"/>
              <w:rPr>
                <w:rFonts w:ascii="Arial" w:hAnsi="Arial" w:cs="Arial"/>
                <w:sz w:val="20"/>
              </w:rPr>
            </w:pPr>
            <w:r w:rsidRPr="00701F32">
              <w:rPr>
                <w:rFonts w:ascii="Arial" w:hAnsi="Arial" w:cs="Arial"/>
                <w:sz w:val="20"/>
              </w:rPr>
              <w:t>Tarjetas de crédito</w:t>
            </w:r>
          </w:p>
        </w:tc>
        <w:tc>
          <w:tcPr>
            <w:tcW w:w="1520" w:type="dxa"/>
            <w:vAlign w:val="bottom"/>
          </w:tcPr>
          <w:p w14:paraId="01480948"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1.441.113</w:t>
            </w:r>
          </w:p>
        </w:tc>
      </w:tr>
      <w:tr w:rsidR="001624B7" w:rsidRPr="00701F32" w14:paraId="1D2BCE4F" w14:textId="77777777" w:rsidTr="00E311C9">
        <w:trPr>
          <w:trHeight w:val="270"/>
        </w:trPr>
        <w:tc>
          <w:tcPr>
            <w:tcW w:w="7054" w:type="dxa"/>
          </w:tcPr>
          <w:p w14:paraId="56F3CC93" w14:textId="77777777" w:rsidR="001624B7" w:rsidRPr="00701F32" w:rsidRDefault="001624B7" w:rsidP="00AC795F">
            <w:pPr>
              <w:ind w:left="29"/>
              <w:jc w:val="both"/>
              <w:rPr>
                <w:rFonts w:ascii="Arial" w:hAnsi="Arial" w:cs="Arial"/>
                <w:sz w:val="20"/>
              </w:rPr>
            </w:pPr>
            <w:r w:rsidRPr="00701F32">
              <w:rPr>
                <w:rFonts w:ascii="Arial" w:hAnsi="Arial" w:cs="Arial"/>
                <w:sz w:val="20"/>
              </w:rPr>
              <w:t>Arrendamientos financieros</w:t>
            </w:r>
          </w:p>
        </w:tc>
        <w:tc>
          <w:tcPr>
            <w:tcW w:w="1520" w:type="dxa"/>
            <w:vAlign w:val="bottom"/>
          </w:tcPr>
          <w:p w14:paraId="61FC0A80" w14:textId="77777777" w:rsidR="001624B7" w:rsidRPr="00701F32" w:rsidRDefault="001624B7">
            <w:pPr>
              <w:tabs>
                <w:tab w:val="left" w:pos="1307"/>
              </w:tabs>
              <w:ind w:right="107"/>
              <w:jc w:val="right"/>
              <w:rPr>
                <w:rFonts w:ascii="Arial" w:hAnsi="Arial" w:cs="Arial"/>
                <w:sz w:val="20"/>
              </w:rPr>
            </w:pPr>
            <w:r w:rsidRPr="00701F32">
              <w:rPr>
                <w:rFonts w:ascii="Arial" w:hAnsi="Arial" w:cs="Arial"/>
                <w:sz w:val="20"/>
              </w:rPr>
              <w:t>413.029</w:t>
            </w:r>
          </w:p>
        </w:tc>
      </w:tr>
      <w:tr w:rsidR="001624B7" w:rsidRPr="00701F32" w14:paraId="2DE6E8A1" w14:textId="77777777" w:rsidTr="00E311C9">
        <w:trPr>
          <w:trHeight w:val="270"/>
        </w:trPr>
        <w:tc>
          <w:tcPr>
            <w:tcW w:w="7054" w:type="dxa"/>
          </w:tcPr>
          <w:p w14:paraId="34965F34" w14:textId="77777777" w:rsidR="001624B7" w:rsidRPr="00701F32" w:rsidRDefault="001624B7" w:rsidP="00AC795F">
            <w:pPr>
              <w:ind w:left="29"/>
              <w:jc w:val="both"/>
              <w:rPr>
                <w:rFonts w:ascii="Arial" w:hAnsi="Arial" w:cs="Arial"/>
                <w:sz w:val="20"/>
              </w:rPr>
            </w:pPr>
            <w:r w:rsidRPr="00701F32">
              <w:rPr>
                <w:rFonts w:ascii="Arial" w:hAnsi="Arial" w:cs="Arial"/>
                <w:sz w:val="20"/>
              </w:rPr>
              <w:t>Otros</w:t>
            </w:r>
          </w:p>
        </w:tc>
        <w:tc>
          <w:tcPr>
            <w:tcW w:w="1520" w:type="dxa"/>
            <w:vAlign w:val="bottom"/>
          </w:tcPr>
          <w:p w14:paraId="07CF11B4" w14:textId="77777777" w:rsidR="001624B7" w:rsidRPr="00701F32" w:rsidRDefault="0076568E">
            <w:pPr>
              <w:tabs>
                <w:tab w:val="left" w:pos="1307"/>
              </w:tabs>
              <w:ind w:right="107"/>
              <w:jc w:val="right"/>
              <w:rPr>
                <w:rFonts w:ascii="Arial" w:hAnsi="Arial" w:cs="Arial"/>
                <w:sz w:val="20"/>
              </w:rPr>
            </w:pPr>
            <w:r w:rsidRPr="00701F32">
              <w:rPr>
                <w:rFonts w:ascii="Arial" w:hAnsi="Arial" w:cs="Arial"/>
                <w:sz w:val="20"/>
              </w:rPr>
              <w:t>651.711</w:t>
            </w:r>
          </w:p>
        </w:tc>
      </w:tr>
      <w:tr w:rsidR="00AC795F" w:rsidRPr="00701F32" w14:paraId="1998A4E2" w14:textId="77777777" w:rsidTr="00E311C9">
        <w:trPr>
          <w:trHeight w:val="270"/>
        </w:trPr>
        <w:tc>
          <w:tcPr>
            <w:tcW w:w="7054" w:type="dxa"/>
          </w:tcPr>
          <w:p w14:paraId="0E7731D9" w14:textId="77777777" w:rsidR="00AC795F" w:rsidRPr="00701F32" w:rsidRDefault="00AC795F" w:rsidP="00AC795F">
            <w:pPr>
              <w:pStyle w:val="Style1"/>
              <w:adjustRightInd/>
              <w:ind w:left="29"/>
              <w:jc w:val="both"/>
              <w:rPr>
                <w:rFonts w:ascii="Arial" w:hAnsi="Arial" w:cs="Arial"/>
                <w:spacing w:val="-6"/>
                <w:szCs w:val="20"/>
              </w:rPr>
            </w:pPr>
            <w:r w:rsidRPr="00701F32">
              <w:rPr>
                <w:rFonts w:ascii="Arial" w:hAnsi="Arial" w:cs="Arial"/>
                <w:spacing w:val="-6"/>
                <w:szCs w:val="20"/>
              </w:rPr>
              <w:t>Por operaciones de pase con otras entidades  financieras</w:t>
            </w:r>
          </w:p>
        </w:tc>
        <w:tc>
          <w:tcPr>
            <w:tcW w:w="1520" w:type="dxa"/>
            <w:vAlign w:val="bottom"/>
          </w:tcPr>
          <w:p w14:paraId="0DBFFEA4" w14:textId="77777777" w:rsidR="00AC795F" w:rsidRPr="00701F32" w:rsidRDefault="00AC795F">
            <w:pPr>
              <w:pStyle w:val="Style1"/>
              <w:adjustRightInd/>
              <w:ind w:right="107"/>
              <w:jc w:val="right"/>
              <w:rPr>
                <w:rFonts w:ascii="Arial" w:hAnsi="Arial" w:cs="Arial"/>
                <w:spacing w:val="-4"/>
                <w:szCs w:val="20"/>
              </w:rPr>
            </w:pPr>
            <w:r w:rsidRPr="00701F32">
              <w:rPr>
                <w:rFonts w:ascii="Arial" w:hAnsi="Arial" w:cs="Arial"/>
                <w:spacing w:val="-4"/>
                <w:szCs w:val="20"/>
              </w:rPr>
              <w:t>180.153</w:t>
            </w:r>
          </w:p>
        </w:tc>
      </w:tr>
      <w:tr w:rsidR="00AC795F" w:rsidRPr="00701F32" w14:paraId="07B08D5B" w14:textId="77777777" w:rsidTr="00E311C9">
        <w:trPr>
          <w:trHeight w:val="270"/>
        </w:trPr>
        <w:tc>
          <w:tcPr>
            <w:tcW w:w="7054" w:type="dxa"/>
            <w:shd w:val="clear" w:color="auto" w:fill="auto"/>
          </w:tcPr>
          <w:p w14:paraId="0FFA3AA3" w14:textId="77777777" w:rsidR="00AC795F" w:rsidRPr="00701F32" w:rsidRDefault="00AC795F" w:rsidP="00AC795F">
            <w:pPr>
              <w:jc w:val="both"/>
              <w:rPr>
                <w:rFonts w:ascii="Arial" w:hAnsi="Arial" w:cs="Arial"/>
                <w:b/>
                <w:sz w:val="20"/>
              </w:rPr>
            </w:pPr>
            <w:r w:rsidRPr="00701F32">
              <w:rPr>
                <w:rFonts w:ascii="Arial" w:hAnsi="Arial" w:cs="Arial"/>
                <w:b/>
                <w:sz w:val="20"/>
              </w:rPr>
              <w:t>Total</w:t>
            </w:r>
          </w:p>
        </w:tc>
        <w:tc>
          <w:tcPr>
            <w:tcW w:w="1520" w:type="dxa"/>
            <w:shd w:val="clear" w:color="auto" w:fill="auto"/>
            <w:vAlign w:val="bottom"/>
          </w:tcPr>
          <w:p w14:paraId="0DA82C1A" w14:textId="77777777" w:rsidR="00AC795F" w:rsidRPr="00701F32" w:rsidRDefault="00AC795F">
            <w:pPr>
              <w:pStyle w:val="Style1"/>
              <w:adjustRightInd/>
              <w:ind w:right="107"/>
              <w:jc w:val="right"/>
              <w:rPr>
                <w:rFonts w:ascii="Arial" w:hAnsi="Arial" w:cs="Arial"/>
                <w:b/>
                <w:szCs w:val="20"/>
              </w:rPr>
            </w:pPr>
            <w:r w:rsidRPr="00701F32">
              <w:rPr>
                <w:rFonts w:ascii="Arial" w:hAnsi="Arial" w:cs="Arial"/>
                <w:b/>
                <w:szCs w:val="20"/>
              </w:rPr>
              <w:t>10.571.954</w:t>
            </w:r>
          </w:p>
        </w:tc>
      </w:tr>
    </w:tbl>
    <w:p w14:paraId="1B2BA078" w14:textId="77777777" w:rsidR="00656E62" w:rsidRPr="00701F32" w:rsidRDefault="00656E62" w:rsidP="00656E62">
      <w:pPr>
        <w:pStyle w:val="PrimerNivel"/>
        <w:numPr>
          <w:ilvl w:val="0"/>
          <w:numId w:val="0"/>
        </w:numPr>
        <w:rPr>
          <w:rFonts w:ascii="Arial" w:hAnsi="Arial" w:cs="Arial"/>
          <w:b/>
          <w:sz w:val="20"/>
          <w:szCs w:val="20"/>
          <w:lang w:val="es-AR"/>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547"/>
      </w:tblGrid>
      <w:tr w:rsidR="00656E62" w:rsidRPr="00701F32" w14:paraId="0973DF2E" w14:textId="77777777" w:rsidTr="00464C0F">
        <w:trPr>
          <w:trHeight w:val="255"/>
          <w:tblHeader/>
        </w:trPr>
        <w:tc>
          <w:tcPr>
            <w:tcW w:w="7054" w:type="dxa"/>
            <w:shd w:val="clear" w:color="auto" w:fill="auto"/>
          </w:tcPr>
          <w:p w14:paraId="73B7EF36" w14:textId="77777777" w:rsidR="00656E62" w:rsidRPr="00701F32" w:rsidRDefault="00656E62" w:rsidP="00464C0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Ingresos por comisiones</w:t>
            </w:r>
          </w:p>
        </w:tc>
        <w:tc>
          <w:tcPr>
            <w:tcW w:w="1547" w:type="dxa"/>
            <w:shd w:val="clear" w:color="auto" w:fill="auto"/>
            <w:vAlign w:val="center"/>
          </w:tcPr>
          <w:p w14:paraId="7260DFBA" w14:textId="77777777" w:rsidR="00656E62" w:rsidRPr="00701F32" w:rsidRDefault="00656E62" w:rsidP="00464C0F">
            <w:pPr>
              <w:tabs>
                <w:tab w:val="decimal" w:pos="284"/>
                <w:tab w:val="decimal" w:pos="6237"/>
                <w:tab w:val="decimal" w:pos="7200"/>
                <w:tab w:val="decimal" w:pos="8220"/>
                <w:tab w:val="decimal" w:pos="8900"/>
              </w:tabs>
              <w:jc w:val="center"/>
              <w:rPr>
                <w:rFonts w:ascii="Arial" w:hAnsi="Arial" w:cs="Arial"/>
                <w:b/>
                <w:sz w:val="20"/>
              </w:rPr>
            </w:pPr>
            <w:r w:rsidRPr="00701F32">
              <w:rPr>
                <w:rFonts w:ascii="Arial" w:hAnsi="Arial" w:cs="Arial"/>
                <w:b/>
                <w:sz w:val="20"/>
              </w:rPr>
              <w:t>31/12/2017</w:t>
            </w:r>
          </w:p>
        </w:tc>
      </w:tr>
      <w:tr w:rsidR="009A4B0D" w:rsidRPr="00701F32" w14:paraId="0FC4B9A1" w14:textId="77777777" w:rsidTr="00E311C9">
        <w:trPr>
          <w:trHeight w:val="255"/>
        </w:trPr>
        <w:tc>
          <w:tcPr>
            <w:tcW w:w="7054" w:type="dxa"/>
          </w:tcPr>
          <w:p w14:paraId="3D459DE2" w14:textId="77777777" w:rsidR="009A4B0D" w:rsidRPr="00701F32" w:rsidRDefault="009A4B0D" w:rsidP="00464C0F">
            <w:pPr>
              <w:jc w:val="both"/>
              <w:rPr>
                <w:rFonts w:ascii="Arial" w:hAnsi="Arial" w:cs="Arial"/>
                <w:sz w:val="20"/>
              </w:rPr>
            </w:pPr>
            <w:r w:rsidRPr="00701F32">
              <w:rPr>
                <w:rFonts w:ascii="Arial" w:hAnsi="Arial" w:cs="Arial"/>
                <w:sz w:val="20"/>
              </w:rPr>
              <w:t>Comisiones vinculadas con obligaciones</w:t>
            </w:r>
          </w:p>
        </w:tc>
        <w:tc>
          <w:tcPr>
            <w:tcW w:w="1547" w:type="dxa"/>
            <w:vAlign w:val="bottom"/>
          </w:tcPr>
          <w:p w14:paraId="32C6CD74" w14:textId="77777777" w:rsidR="009A4B0D" w:rsidRPr="00701F32" w:rsidRDefault="009A4B0D">
            <w:pPr>
              <w:ind w:right="113"/>
              <w:jc w:val="right"/>
              <w:rPr>
                <w:rFonts w:ascii="Arial" w:hAnsi="Arial" w:cs="Arial"/>
                <w:sz w:val="20"/>
              </w:rPr>
            </w:pPr>
            <w:r w:rsidRPr="00701F32">
              <w:rPr>
                <w:rFonts w:ascii="Arial" w:hAnsi="Arial" w:cs="Arial"/>
                <w:sz w:val="20"/>
              </w:rPr>
              <w:t>1.435.508</w:t>
            </w:r>
          </w:p>
        </w:tc>
      </w:tr>
      <w:tr w:rsidR="009A4B0D" w:rsidRPr="00701F32" w14:paraId="0DC54914" w14:textId="77777777" w:rsidTr="00E311C9">
        <w:trPr>
          <w:trHeight w:val="255"/>
        </w:trPr>
        <w:tc>
          <w:tcPr>
            <w:tcW w:w="7054" w:type="dxa"/>
          </w:tcPr>
          <w:p w14:paraId="09120AD7" w14:textId="77777777" w:rsidR="009A4B0D" w:rsidRPr="00701F32" w:rsidRDefault="009A4B0D" w:rsidP="00464C0F">
            <w:pPr>
              <w:jc w:val="both"/>
              <w:rPr>
                <w:rFonts w:ascii="Arial" w:hAnsi="Arial" w:cs="Arial"/>
                <w:sz w:val="20"/>
              </w:rPr>
            </w:pPr>
            <w:r w:rsidRPr="00701F32">
              <w:rPr>
                <w:rFonts w:ascii="Arial" w:hAnsi="Arial" w:cs="Arial"/>
                <w:sz w:val="20"/>
              </w:rPr>
              <w:t>Comisiones vinculadas con créditos</w:t>
            </w:r>
          </w:p>
        </w:tc>
        <w:tc>
          <w:tcPr>
            <w:tcW w:w="1547" w:type="dxa"/>
            <w:vAlign w:val="bottom"/>
          </w:tcPr>
          <w:p w14:paraId="14369A2C" w14:textId="77777777" w:rsidR="009A4B0D" w:rsidRPr="00701F32" w:rsidRDefault="009A4B0D">
            <w:pPr>
              <w:ind w:right="113"/>
              <w:jc w:val="right"/>
              <w:rPr>
                <w:rFonts w:ascii="Arial" w:hAnsi="Arial" w:cs="Arial"/>
                <w:sz w:val="20"/>
              </w:rPr>
            </w:pPr>
            <w:r w:rsidRPr="00701F32">
              <w:rPr>
                <w:rFonts w:ascii="Arial" w:hAnsi="Arial" w:cs="Arial"/>
                <w:sz w:val="20"/>
              </w:rPr>
              <w:t>1.221.244</w:t>
            </w:r>
          </w:p>
        </w:tc>
      </w:tr>
      <w:tr w:rsidR="009A4B0D" w:rsidRPr="00701F32" w14:paraId="62822E55" w14:textId="77777777" w:rsidTr="00E311C9">
        <w:trPr>
          <w:trHeight w:val="255"/>
        </w:trPr>
        <w:tc>
          <w:tcPr>
            <w:tcW w:w="7054" w:type="dxa"/>
          </w:tcPr>
          <w:p w14:paraId="6491357E" w14:textId="77777777" w:rsidR="009A4B0D" w:rsidRPr="00701F32" w:rsidRDefault="009A4B0D" w:rsidP="00464C0F">
            <w:pPr>
              <w:jc w:val="both"/>
              <w:rPr>
                <w:rFonts w:ascii="Arial" w:hAnsi="Arial" w:cs="Arial"/>
                <w:sz w:val="20"/>
              </w:rPr>
            </w:pPr>
            <w:r w:rsidRPr="00701F32">
              <w:rPr>
                <w:rFonts w:ascii="Arial" w:hAnsi="Arial" w:cs="Arial"/>
                <w:sz w:val="20"/>
              </w:rPr>
              <w:t>Comisiones vinculadas con compromisos eventuales y garantías financieras</w:t>
            </w:r>
          </w:p>
        </w:tc>
        <w:tc>
          <w:tcPr>
            <w:tcW w:w="1547" w:type="dxa"/>
            <w:vAlign w:val="bottom"/>
          </w:tcPr>
          <w:p w14:paraId="31BE0994" w14:textId="77777777" w:rsidR="009A4B0D" w:rsidRPr="00701F32" w:rsidRDefault="009A4B0D">
            <w:pPr>
              <w:tabs>
                <w:tab w:val="left" w:pos="1307"/>
              </w:tabs>
              <w:ind w:right="113"/>
              <w:jc w:val="right"/>
              <w:rPr>
                <w:rFonts w:ascii="Arial" w:hAnsi="Arial" w:cs="Arial"/>
                <w:sz w:val="20"/>
              </w:rPr>
            </w:pPr>
            <w:r w:rsidRPr="00701F32">
              <w:rPr>
                <w:rFonts w:ascii="Arial" w:hAnsi="Arial" w:cs="Arial"/>
                <w:sz w:val="20"/>
              </w:rPr>
              <w:t>18.197</w:t>
            </w:r>
          </w:p>
        </w:tc>
      </w:tr>
      <w:tr w:rsidR="009A4B0D" w:rsidRPr="00701F32" w14:paraId="41E440B6" w14:textId="77777777" w:rsidTr="00E311C9">
        <w:trPr>
          <w:trHeight w:val="255"/>
        </w:trPr>
        <w:tc>
          <w:tcPr>
            <w:tcW w:w="7054" w:type="dxa"/>
          </w:tcPr>
          <w:p w14:paraId="37385C3B" w14:textId="77777777" w:rsidR="009A4B0D" w:rsidRPr="00701F32" w:rsidRDefault="009A4B0D" w:rsidP="00464C0F">
            <w:pPr>
              <w:pStyle w:val="Style1"/>
              <w:adjustRightInd/>
              <w:jc w:val="both"/>
              <w:rPr>
                <w:rFonts w:ascii="Arial" w:hAnsi="Arial" w:cs="Arial"/>
                <w:spacing w:val="-6"/>
                <w:szCs w:val="20"/>
              </w:rPr>
            </w:pPr>
            <w:r w:rsidRPr="00701F32">
              <w:rPr>
                <w:rFonts w:ascii="Arial" w:hAnsi="Arial" w:cs="Arial"/>
                <w:spacing w:val="-6"/>
                <w:szCs w:val="20"/>
              </w:rPr>
              <w:t>Comisiones vinculadas con valores mobiliarios</w:t>
            </w:r>
          </w:p>
        </w:tc>
        <w:tc>
          <w:tcPr>
            <w:tcW w:w="1547" w:type="dxa"/>
            <w:vAlign w:val="bottom"/>
          </w:tcPr>
          <w:p w14:paraId="083705C0" w14:textId="77777777" w:rsidR="009A4B0D" w:rsidRPr="00701F32" w:rsidRDefault="009A4B0D">
            <w:pPr>
              <w:pStyle w:val="Style1"/>
              <w:adjustRightInd/>
              <w:ind w:right="113"/>
              <w:jc w:val="right"/>
              <w:rPr>
                <w:rFonts w:ascii="Arial" w:hAnsi="Arial" w:cs="Arial"/>
                <w:spacing w:val="-4"/>
                <w:szCs w:val="20"/>
              </w:rPr>
            </w:pPr>
            <w:r w:rsidRPr="00701F32">
              <w:rPr>
                <w:rFonts w:ascii="Arial" w:hAnsi="Arial" w:cs="Arial"/>
                <w:spacing w:val="-4"/>
                <w:szCs w:val="20"/>
              </w:rPr>
              <w:t>8.731</w:t>
            </w:r>
          </w:p>
        </w:tc>
      </w:tr>
      <w:tr w:rsidR="009A4B0D" w:rsidRPr="00701F32" w14:paraId="3C923522" w14:textId="77777777" w:rsidTr="00E311C9">
        <w:trPr>
          <w:trHeight w:val="255"/>
        </w:trPr>
        <w:tc>
          <w:tcPr>
            <w:tcW w:w="7054" w:type="dxa"/>
          </w:tcPr>
          <w:p w14:paraId="6C93552A" w14:textId="77777777" w:rsidR="009A4B0D" w:rsidRPr="00701F32" w:rsidRDefault="009A4B0D" w:rsidP="00464C0F">
            <w:pPr>
              <w:pStyle w:val="Style1"/>
              <w:adjustRightInd/>
              <w:jc w:val="both"/>
              <w:rPr>
                <w:rFonts w:ascii="Arial" w:hAnsi="Arial" w:cs="Arial"/>
                <w:spacing w:val="-6"/>
                <w:szCs w:val="20"/>
              </w:rPr>
            </w:pPr>
            <w:r w:rsidRPr="00701F32">
              <w:rPr>
                <w:rFonts w:ascii="Arial" w:hAnsi="Arial" w:cs="Arial"/>
                <w:spacing w:val="-6"/>
                <w:szCs w:val="20"/>
              </w:rPr>
              <w:t>Comisiones por operaciones  exterior y cambio</w:t>
            </w:r>
          </w:p>
        </w:tc>
        <w:tc>
          <w:tcPr>
            <w:tcW w:w="1547" w:type="dxa"/>
            <w:vAlign w:val="bottom"/>
          </w:tcPr>
          <w:p w14:paraId="6B371E4C" w14:textId="77777777" w:rsidR="009A4B0D" w:rsidRPr="00701F32" w:rsidRDefault="009A4B0D">
            <w:pPr>
              <w:pStyle w:val="Style1"/>
              <w:adjustRightInd/>
              <w:ind w:right="113"/>
              <w:jc w:val="right"/>
              <w:rPr>
                <w:rFonts w:ascii="Arial" w:hAnsi="Arial" w:cs="Arial"/>
                <w:spacing w:val="-4"/>
                <w:szCs w:val="20"/>
              </w:rPr>
            </w:pPr>
            <w:r w:rsidRPr="00701F32">
              <w:rPr>
                <w:rFonts w:ascii="Arial" w:hAnsi="Arial" w:cs="Arial"/>
                <w:spacing w:val="-4"/>
                <w:szCs w:val="20"/>
              </w:rPr>
              <w:t>173.535</w:t>
            </w:r>
          </w:p>
        </w:tc>
      </w:tr>
      <w:tr w:rsidR="00656E62" w:rsidRPr="00701F32" w14:paraId="45231E97" w14:textId="77777777" w:rsidTr="00E311C9">
        <w:trPr>
          <w:trHeight w:val="255"/>
        </w:trPr>
        <w:tc>
          <w:tcPr>
            <w:tcW w:w="7054" w:type="dxa"/>
            <w:shd w:val="clear" w:color="auto" w:fill="auto"/>
          </w:tcPr>
          <w:p w14:paraId="500D2601" w14:textId="77777777" w:rsidR="00656E62" w:rsidRPr="00701F32" w:rsidRDefault="00656E62" w:rsidP="00464C0F">
            <w:pPr>
              <w:jc w:val="both"/>
              <w:rPr>
                <w:rFonts w:ascii="Arial" w:hAnsi="Arial" w:cs="Arial"/>
                <w:b/>
                <w:sz w:val="20"/>
              </w:rPr>
            </w:pPr>
            <w:r w:rsidRPr="00701F32">
              <w:rPr>
                <w:rFonts w:ascii="Arial" w:hAnsi="Arial" w:cs="Arial"/>
                <w:b/>
                <w:sz w:val="20"/>
              </w:rPr>
              <w:t>Total</w:t>
            </w:r>
          </w:p>
        </w:tc>
        <w:tc>
          <w:tcPr>
            <w:tcW w:w="1547" w:type="dxa"/>
            <w:shd w:val="clear" w:color="auto" w:fill="auto"/>
            <w:vAlign w:val="bottom"/>
          </w:tcPr>
          <w:p w14:paraId="2377C73C" w14:textId="77777777" w:rsidR="00656E62" w:rsidRPr="00701F32" w:rsidRDefault="009A4B0D">
            <w:pPr>
              <w:ind w:right="134"/>
              <w:jc w:val="right"/>
              <w:rPr>
                <w:rFonts w:ascii="Arial" w:hAnsi="Arial" w:cs="Arial"/>
                <w:b/>
                <w:sz w:val="20"/>
              </w:rPr>
            </w:pPr>
            <w:r w:rsidRPr="00701F32">
              <w:rPr>
                <w:rFonts w:ascii="Arial" w:hAnsi="Arial" w:cs="Arial"/>
                <w:b/>
                <w:sz w:val="20"/>
              </w:rPr>
              <w:t>2.857.215</w:t>
            </w:r>
          </w:p>
        </w:tc>
      </w:tr>
    </w:tbl>
    <w:p w14:paraId="52BFBFC2" w14:textId="77777777" w:rsidR="00656E62" w:rsidRPr="00701F32" w:rsidRDefault="00656E62" w:rsidP="00656E62">
      <w:pPr>
        <w:pStyle w:val="PrimerNivel"/>
        <w:numPr>
          <w:ilvl w:val="0"/>
          <w:numId w:val="0"/>
        </w:numPr>
        <w:rPr>
          <w:rFonts w:ascii="Arial" w:hAnsi="Arial" w:cs="Arial"/>
          <w:b/>
          <w:sz w:val="20"/>
          <w:szCs w:val="20"/>
          <w:lang w:val="es-AR"/>
        </w:rPr>
      </w:pPr>
    </w:p>
    <w:p w14:paraId="212C55E9" w14:textId="77777777" w:rsidR="00656E62" w:rsidRPr="00701F32" w:rsidRDefault="00D57127" w:rsidP="00656E62">
      <w:pPr>
        <w:jc w:val="both"/>
        <w:rPr>
          <w:rFonts w:ascii="Arial" w:hAnsi="Arial" w:cs="Arial"/>
          <w:b/>
          <w:color w:val="943634" w:themeColor="accent2" w:themeShade="BF"/>
          <w:sz w:val="20"/>
        </w:rPr>
      </w:pPr>
      <w:r w:rsidRPr="00701F32">
        <w:rPr>
          <w:rFonts w:ascii="Arial" w:hAnsi="Arial" w:cs="Arial"/>
          <w:b/>
          <w:sz w:val="20"/>
        </w:rPr>
        <w:t>17</w:t>
      </w:r>
      <w:r w:rsidR="00656E62" w:rsidRPr="00701F32">
        <w:rPr>
          <w:rFonts w:ascii="Arial" w:hAnsi="Arial" w:cs="Arial"/>
          <w:b/>
          <w:sz w:val="20"/>
        </w:rPr>
        <w:t>.</w:t>
      </w:r>
      <w:r w:rsidR="004E457F" w:rsidRPr="00701F32">
        <w:rPr>
          <w:rFonts w:ascii="Arial" w:hAnsi="Arial" w:cs="Arial"/>
          <w:b/>
          <w:sz w:val="20"/>
        </w:rPr>
        <w:t xml:space="preserve">15 </w:t>
      </w:r>
      <w:r w:rsidR="00656E62" w:rsidRPr="00701F32">
        <w:rPr>
          <w:rFonts w:ascii="Arial" w:hAnsi="Arial" w:cs="Arial"/>
          <w:b/>
          <w:sz w:val="20"/>
        </w:rPr>
        <w:t xml:space="preserve">Egresos por intereses / comisiones </w:t>
      </w:r>
    </w:p>
    <w:p w14:paraId="3CE89CB8" w14:textId="77777777" w:rsidR="00656E62" w:rsidRPr="00701F32" w:rsidRDefault="00656E62" w:rsidP="00656E62">
      <w:pPr>
        <w:pStyle w:val="Style1"/>
        <w:jc w:val="both"/>
        <w:rPr>
          <w:rFonts w:ascii="Arial" w:hAnsi="Arial" w:cs="Arial"/>
          <w:b/>
          <w:szCs w:val="20"/>
          <w:lang w:eastAsia="es-ES"/>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5"/>
        <w:gridCol w:w="1426"/>
      </w:tblGrid>
      <w:tr w:rsidR="00AC795F" w:rsidRPr="00701F32" w14:paraId="7B54AF4C" w14:textId="77777777" w:rsidTr="00AC795F">
        <w:trPr>
          <w:trHeight w:val="255"/>
          <w:tblHeader/>
        </w:trPr>
        <w:tc>
          <w:tcPr>
            <w:tcW w:w="7175" w:type="dxa"/>
            <w:shd w:val="clear" w:color="auto" w:fill="auto"/>
          </w:tcPr>
          <w:p w14:paraId="42D106DA" w14:textId="77777777" w:rsidR="00AC795F" w:rsidRPr="00701F32" w:rsidRDefault="00AC795F" w:rsidP="00AC795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Egresos por intereses</w:t>
            </w:r>
          </w:p>
        </w:tc>
        <w:tc>
          <w:tcPr>
            <w:tcW w:w="1426" w:type="dxa"/>
            <w:shd w:val="clear" w:color="auto" w:fill="auto"/>
            <w:vAlign w:val="center"/>
          </w:tcPr>
          <w:p w14:paraId="6800A206" w14:textId="77777777" w:rsidR="00AC795F" w:rsidRPr="00701F32" w:rsidRDefault="00AC795F" w:rsidP="00AC795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31/12/2017</w:t>
            </w:r>
          </w:p>
        </w:tc>
      </w:tr>
      <w:tr w:rsidR="001624B7" w:rsidRPr="00701F32" w14:paraId="2DF5DF1A" w14:textId="77777777" w:rsidTr="00E311C9">
        <w:trPr>
          <w:trHeight w:val="255"/>
        </w:trPr>
        <w:tc>
          <w:tcPr>
            <w:tcW w:w="7175" w:type="dxa"/>
          </w:tcPr>
          <w:p w14:paraId="7AD5DEC2" w14:textId="77777777" w:rsidR="001624B7" w:rsidRPr="00701F32" w:rsidRDefault="001624B7" w:rsidP="00AC795F">
            <w:pPr>
              <w:ind w:left="180" w:hanging="151"/>
              <w:jc w:val="both"/>
              <w:rPr>
                <w:rFonts w:ascii="Arial" w:hAnsi="Arial" w:cs="Arial"/>
                <w:sz w:val="20"/>
              </w:rPr>
            </w:pPr>
            <w:r w:rsidRPr="00701F32">
              <w:rPr>
                <w:rFonts w:ascii="Arial" w:hAnsi="Arial" w:cs="Arial"/>
                <w:sz w:val="20"/>
              </w:rPr>
              <w:t>Cuenas corrientes</w:t>
            </w:r>
          </w:p>
        </w:tc>
        <w:tc>
          <w:tcPr>
            <w:tcW w:w="1426" w:type="dxa"/>
            <w:vAlign w:val="bottom"/>
          </w:tcPr>
          <w:p w14:paraId="79CFA4E5" w14:textId="77777777" w:rsidR="001624B7" w:rsidRPr="00701F32" w:rsidRDefault="001624B7">
            <w:pPr>
              <w:ind w:right="134"/>
              <w:jc w:val="right"/>
              <w:rPr>
                <w:rFonts w:ascii="Arial" w:hAnsi="Arial" w:cs="Arial"/>
                <w:sz w:val="20"/>
              </w:rPr>
            </w:pPr>
            <w:r w:rsidRPr="00701F32">
              <w:rPr>
                <w:rFonts w:ascii="Arial" w:hAnsi="Arial" w:cs="Arial"/>
                <w:sz w:val="20"/>
              </w:rPr>
              <w:t>641.184</w:t>
            </w:r>
          </w:p>
        </w:tc>
      </w:tr>
      <w:tr w:rsidR="001624B7" w:rsidRPr="00701F32" w14:paraId="7EACB76D" w14:textId="77777777" w:rsidTr="00E311C9">
        <w:trPr>
          <w:trHeight w:val="255"/>
        </w:trPr>
        <w:tc>
          <w:tcPr>
            <w:tcW w:w="7175" w:type="dxa"/>
          </w:tcPr>
          <w:p w14:paraId="4C7CB04D" w14:textId="77777777" w:rsidR="001624B7" w:rsidRPr="00701F32" w:rsidRDefault="001624B7" w:rsidP="00AC795F">
            <w:pPr>
              <w:ind w:left="180" w:hanging="151"/>
              <w:jc w:val="both"/>
              <w:rPr>
                <w:rFonts w:ascii="Arial" w:hAnsi="Arial" w:cs="Arial"/>
                <w:sz w:val="20"/>
              </w:rPr>
            </w:pPr>
            <w:r w:rsidRPr="00701F32">
              <w:rPr>
                <w:rFonts w:ascii="Arial" w:hAnsi="Arial" w:cs="Arial"/>
                <w:sz w:val="20"/>
              </w:rPr>
              <w:t>Cajas de ahorro</w:t>
            </w:r>
          </w:p>
        </w:tc>
        <w:tc>
          <w:tcPr>
            <w:tcW w:w="1426" w:type="dxa"/>
            <w:vAlign w:val="bottom"/>
          </w:tcPr>
          <w:p w14:paraId="66845B3A" w14:textId="77777777" w:rsidR="001624B7" w:rsidRPr="00701F32" w:rsidRDefault="001624B7">
            <w:pPr>
              <w:ind w:right="134"/>
              <w:jc w:val="right"/>
              <w:rPr>
                <w:rFonts w:ascii="Arial" w:hAnsi="Arial" w:cs="Arial"/>
                <w:sz w:val="20"/>
              </w:rPr>
            </w:pPr>
            <w:r w:rsidRPr="00701F32">
              <w:rPr>
                <w:rFonts w:ascii="Arial" w:hAnsi="Arial" w:cs="Arial"/>
                <w:sz w:val="20"/>
              </w:rPr>
              <w:t>3.702</w:t>
            </w:r>
          </w:p>
        </w:tc>
      </w:tr>
      <w:tr w:rsidR="001624B7" w:rsidRPr="00701F32" w14:paraId="0248B50C" w14:textId="77777777" w:rsidTr="00E311C9">
        <w:trPr>
          <w:trHeight w:val="255"/>
        </w:trPr>
        <w:tc>
          <w:tcPr>
            <w:tcW w:w="7175" w:type="dxa"/>
          </w:tcPr>
          <w:p w14:paraId="4305DE5D" w14:textId="77777777" w:rsidR="001624B7" w:rsidRPr="00701F32" w:rsidRDefault="001624B7" w:rsidP="00AC795F">
            <w:pPr>
              <w:ind w:left="180" w:hanging="151"/>
              <w:jc w:val="both"/>
              <w:rPr>
                <w:rFonts w:ascii="Arial" w:hAnsi="Arial" w:cs="Arial"/>
                <w:sz w:val="20"/>
              </w:rPr>
            </w:pPr>
            <w:r w:rsidRPr="00701F32">
              <w:rPr>
                <w:rFonts w:ascii="Arial" w:hAnsi="Arial" w:cs="Arial"/>
                <w:sz w:val="20"/>
              </w:rPr>
              <w:t>Plazo  fijo e inversiones a plazo</w:t>
            </w:r>
          </w:p>
        </w:tc>
        <w:tc>
          <w:tcPr>
            <w:tcW w:w="1426" w:type="dxa"/>
            <w:vAlign w:val="bottom"/>
          </w:tcPr>
          <w:p w14:paraId="533062BC" w14:textId="77777777" w:rsidR="001624B7" w:rsidRPr="00701F32" w:rsidRDefault="001624B7">
            <w:pPr>
              <w:ind w:right="134"/>
              <w:jc w:val="right"/>
              <w:rPr>
                <w:rFonts w:ascii="Arial" w:hAnsi="Arial" w:cs="Arial"/>
                <w:sz w:val="20"/>
              </w:rPr>
            </w:pPr>
            <w:r w:rsidRPr="00701F32">
              <w:rPr>
                <w:rFonts w:ascii="Arial" w:hAnsi="Arial" w:cs="Arial"/>
                <w:sz w:val="20"/>
              </w:rPr>
              <w:t>1.797.512</w:t>
            </w:r>
          </w:p>
        </w:tc>
      </w:tr>
      <w:tr w:rsidR="001624B7" w:rsidRPr="00701F32" w14:paraId="57B833DC" w14:textId="77777777" w:rsidTr="00E311C9">
        <w:trPr>
          <w:trHeight w:val="255"/>
        </w:trPr>
        <w:tc>
          <w:tcPr>
            <w:tcW w:w="7175" w:type="dxa"/>
          </w:tcPr>
          <w:p w14:paraId="3A562C4E" w14:textId="77777777" w:rsidR="001624B7" w:rsidRPr="00701F32" w:rsidRDefault="001624B7" w:rsidP="00AC795F">
            <w:pPr>
              <w:ind w:left="180" w:hanging="151"/>
              <w:jc w:val="both"/>
              <w:rPr>
                <w:rFonts w:ascii="Arial" w:hAnsi="Arial" w:cs="Arial"/>
                <w:sz w:val="20"/>
              </w:rPr>
            </w:pPr>
            <w:r w:rsidRPr="00701F32">
              <w:rPr>
                <w:rFonts w:ascii="Arial" w:hAnsi="Arial" w:cs="Arial"/>
                <w:sz w:val="20"/>
              </w:rPr>
              <w:t>Otros</w:t>
            </w:r>
          </w:p>
        </w:tc>
        <w:tc>
          <w:tcPr>
            <w:tcW w:w="1426" w:type="dxa"/>
            <w:vAlign w:val="bottom"/>
          </w:tcPr>
          <w:p w14:paraId="16EE86DB" w14:textId="77777777" w:rsidR="001624B7" w:rsidRPr="00701F32" w:rsidRDefault="001624B7">
            <w:pPr>
              <w:ind w:right="134"/>
              <w:jc w:val="right"/>
              <w:rPr>
                <w:rFonts w:ascii="Arial" w:hAnsi="Arial" w:cs="Arial"/>
                <w:sz w:val="20"/>
              </w:rPr>
            </w:pPr>
            <w:r w:rsidRPr="00701F32">
              <w:rPr>
                <w:rFonts w:ascii="Arial" w:hAnsi="Arial" w:cs="Arial"/>
                <w:sz w:val="20"/>
              </w:rPr>
              <w:t>318.444</w:t>
            </w:r>
          </w:p>
        </w:tc>
      </w:tr>
      <w:tr w:rsidR="00AC795F" w:rsidRPr="00701F32" w14:paraId="1557B502" w14:textId="77777777" w:rsidTr="00E311C9">
        <w:trPr>
          <w:trHeight w:val="255"/>
        </w:trPr>
        <w:tc>
          <w:tcPr>
            <w:tcW w:w="7175" w:type="dxa"/>
          </w:tcPr>
          <w:p w14:paraId="50AA5085" w14:textId="77777777" w:rsidR="00AC795F" w:rsidRPr="00701F32" w:rsidRDefault="00AC795F" w:rsidP="00AC795F">
            <w:pPr>
              <w:ind w:left="180" w:hanging="151"/>
              <w:jc w:val="both"/>
              <w:rPr>
                <w:rFonts w:ascii="Arial" w:hAnsi="Arial" w:cs="Arial"/>
                <w:sz w:val="20"/>
              </w:rPr>
            </w:pPr>
            <w:r w:rsidRPr="00701F32">
              <w:rPr>
                <w:rFonts w:ascii="Arial" w:hAnsi="Arial" w:cs="Arial"/>
                <w:sz w:val="20"/>
              </w:rPr>
              <w:t>Por financiaciones recibidas del BCRA y otras instituciones financieras</w:t>
            </w:r>
          </w:p>
        </w:tc>
        <w:tc>
          <w:tcPr>
            <w:tcW w:w="1426" w:type="dxa"/>
            <w:vAlign w:val="bottom"/>
          </w:tcPr>
          <w:p w14:paraId="30DFD0BD" w14:textId="77777777" w:rsidR="00AC795F" w:rsidRPr="00701F32" w:rsidRDefault="00AC795F">
            <w:pPr>
              <w:ind w:right="134"/>
              <w:jc w:val="right"/>
              <w:rPr>
                <w:rFonts w:ascii="Arial" w:hAnsi="Arial" w:cs="Arial"/>
                <w:sz w:val="20"/>
              </w:rPr>
            </w:pPr>
            <w:r w:rsidRPr="00701F32">
              <w:rPr>
                <w:rFonts w:ascii="Arial" w:hAnsi="Arial" w:cs="Arial"/>
                <w:sz w:val="20"/>
              </w:rPr>
              <w:t>64.591</w:t>
            </w:r>
          </w:p>
        </w:tc>
      </w:tr>
      <w:tr w:rsidR="00AC795F" w:rsidRPr="00701F32" w14:paraId="5FD895D2" w14:textId="77777777" w:rsidTr="00E311C9">
        <w:trPr>
          <w:trHeight w:val="255"/>
        </w:trPr>
        <w:tc>
          <w:tcPr>
            <w:tcW w:w="7175" w:type="dxa"/>
          </w:tcPr>
          <w:p w14:paraId="60C7D91A" w14:textId="77777777" w:rsidR="00AC795F" w:rsidRPr="00701F32" w:rsidRDefault="00AC795F" w:rsidP="00AC795F">
            <w:pPr>
              <w:ind w:left="180" w:hanging="151"/>
              <w:jc w:val="both"/>
              <w:rPr>
                <w:rFonts w:ascii="Arial" w:hAnsi="Arial" w:cs="Arial"/>
                <w:sz w:val="20"/>
              </w:rPr>
            </w:pPr>
            <w:r w:rsidRPr="00701F32">
              <w:rPr>
                <w:rFonts w:ascii="Arial" w:hAnsi="Arial" w:cs="Arial"/>
                <w:sz w:val="20"/>
              </w:rPr>
              <w:t>Por operaciones de pase</w:t>
            </w:r>
          </w:p>
        </w:tc>
        <w:tc>
          <w:tcPr>
            <w:tcW w:w="1426" w:type="dxa"/>
            <w:vAlign w:val="bottom"/>
          </w:tcPr>
          <w:p w14:paraId="6DE0B04E" w14:textId="77777777" w:rsidR="00AC795F" w:rsidRPr="00701F32" w:rsidRDefault="00AC795F">
            <w:pPr>
              <w:tabs>
                <w:tab w:val="left" w:pos="1307"/>
              </w:tabs>
              <w:ind w:right="134"/>
              <w:jc w:val="right"/>
              <w:rPr>
                <w:rFonts w:ascii="Arial" w:hAnsi="Arial" w:cs="Arial"/>
                <w:sz w:val="20"/>
              </w:rPr>
            </w:pPr>
            <w:r w:rsidRPr="00701F32">
              <w:rPr>
                <w:rFonts w:ascii="Arial" w:hAnsi="Arial" w:cs="Arial"/>
                <w:sz w:val="20"/>
              </w:rPr>
              <w:t>108.712</w:t>
            </w:r>
          </w:p>
        </w:tc>
      </w:tr>
      <w:tr w:rsidR="00AC795F" w:rsidRPr="00701F32" w14:paraId="64F1614C" w14:textId="77777777" w:rsidTr="00E311C9">
        <w:trPr>
          <w:trHeight w:val="255"/>
        </w:trPr>
        <w:tc>
          <w:tcPr>
            <w:tcW w:w="7175" w:type="dxa"/>
          </w:tcPr>
          <w:p w14:paraId="12F8924D" w14:textId="77777777" w:rsidR="00AC795F" w:rsidRPr="00701F32" w:rsidRDefault="00AC795F" w:rsidP="00AC795F">
            <w:pPr>
              <w:pStyle w:val="Style1"/>
              <w:adjustRightInd/>
              <w:ind w:left="162" w:hanging="151"/>
              <w:jc w:val="both"/>
              <w:rPr>
                <w:rFonts w:ascii="Arial" w:hAnsi="Arial" w:cs="Arial"/>
                <w:spacing w:val="-6"/>
                <w:szCs w:val="20"/>
              </w:rPr>
            </w:pPr>
            <w:r w:rsidRPr="00701F32">
              <w:rPr>
                <w:rFonts w:ascii="Arial" w:hAnsi="Arial" w:cs="Arial"/>
                <w:spacing w:val="-6"/>
                <w:szCs w:val="20"/>
              </w:rPr>
              <w:t>Por otros  pasivos financieros</w:t>
            </w:r>
          </w:p>
        </w:tc>
        <w:tc>
          <w:tcPr>
            <w:tcW w:w="1426" w:type="dxa"/>
            <w:vAlign w:val="bottom"/>
          </w:tcPr>
          <w:p w14:paraId="651154DC" w14:textId="77777777" w:rsidR="00AC795F" w:rsidRPr="00701F32" w:rsidRDefault="00AC795F">
            <w:pPr>
              <w:pStyle w:val="Style1"/>
              <w:adjustRightInd/>
              <w:ind w:right="134"/>
              <w:jc w:val="right"/>
              <w:rPr>
                <w:rFonts w:ascii="Arial" w:hAnsi="Arial" w:cs="Arial"/>
                <w:spacing w:val="-4"/>
                <w:szCs w:val="20"/>
              </w:rPr>
            </w:pPr>
            <w:r w:rsidRPr="00701F32">
              <w:rPr>
                <w:rFonts w:ascii="Arial" w:hAnsi="Arial" w:cs="Arial"/>
                <w:spacing w:val="-4"/>
                <w:szCs w:val="20"/>
              </w:rPr>
              <w:t>1.401.841</w:t>
            </w:r>
          </w:p>
        </w:tc>
      </w:tr>
      <w:tr w:rsidR="00AC795F" w:rsidRPr="00701F32" w14:paraId="29857FA3" w14:textId="77777777" w:rsidTr="00E311C9">
        <w:trPr>
          <w:trHeight w:val="255"/>
        </w:trPr>
        <w:tc>
          <w:tcPr>
            <w:tcW w:w="7175" w:type="dxa"/>
          </w:tcPr>
          <w:p w14:paraId="1B2E9799" w14:textId="77777777" w:rsidR="00AC795F" w:rsidRPr="00701F32" w:rsidRDefault="00AC795F" w:rsidP="00AC795F">
            <w:pPr>
              <w:pStyle w:val="Style1"/>
              <w:adjustRightInd/>
              <w:ind w:left="162" w:hanging="151"/>
              <w:jc w:val="both"/>
              <w:rPr>
                <w:rFonts w:ascii="Arial" w:hAnsi="Arial" w:cs="Arial"/>
                <w:spacing w:val="-6"/>
                <w:szCs w:val="20"/>
              </w:rPr>
            </w:pPr>
            <w:r w:rsidRPr="00701F32">
              <w:rPr>
                <w:rFonts w:ascii="Arial" w:hAnsi="Arial" w:cs="Arial"/>
                <w:spacing w:val="-6"/>
                <w:szCs w:val="20"/>
              </w:rPr>
              <w:t>Por otras  obligaciones negociables  subordinadas</w:t>
            </w:r>
          </w:p>
        </w:tc>
        <w:tc>
          <w:tcPr>
            <w:tcW w:w="1426" w:type="dxa"/>
            <w:vAlign w:val="bottom"/>
          </w:tcPr>
          <w:p w14:paraId="657A8D24" w14:textId="77777777" w:rsidR="00AC795F" w:rsidRPr="00701F32" w:rsidRDefault="00AC795F">
            <w:pPr>
              <w:pStyle w:val="Style1"/>
              <w:adjustRightInd/>
              <w:ind w:right="134"/>
              <w:jc w:val="right"/>
              <w:rPr>
                <w:rFonts w:ascii="Arial" w:hAnsi="Arial" w:cs="Arial"/>
                <w:spacing w:val="-4"/>
                <w:szCs w:val="20"/>
              </w:rPr>
            </w:pPr>
            <w:r w:rsidRPr="00701F32">
              <w:rPr>
                <w:rFonts w:ascii="Arial" w:hAnsi="Arial" w:cs="Arial"/>
                <w:spacing w:val="-4"/>
                <w:szCs w:val="20"/>
              </w:rPr>
              <w:t>128.237</w:t>
            </w:r>
          </w:p>
        </w:tc>
      </w:tr>
      <w:tr w:rsidR="00AC795F" w:rsidRPr="00701F32" w14:paraId="19DD7014" w14:textId="77777777" w:rsidTr="00E311C9">
        <w:trPr>
          <w:trHeight w:val="255"/>
        </w:trPr>
        <w:tc>
          <w:tcPr>
            <w:tcW w:w="7175" w:type="dxa"/>
            <w:shd w:val="clear" w:color="auto" w:fill="auto"/>
          </w:tcPr>
          <w:p w14:paraId="017E56BA" w14:textId="77777777" w:rsidR="00AC795F" w:rsidRPr="00701F32" w:rsidRDefault="00AC795F" w:rsidP="00AC795F">
            <w:pPr>
              <w:jc w:val="both"/>
              <w:rPr>
                <w:rFonts w:ascii="Arial" w:hAnsi="Arial" w:cs="Arial"/>
                <w:b/>
                <w:sz w:val="20"/>
              </w:rPr>
            </w:pPr>
            <w:r w:rsidRPr="00701F32">
              <w:rPr>
                <w:rFonts w:ascii="Arial" w:hAnsi="Arial" w:cs="Arial"/>
                <w:b/>
                <w:sz w:val="20"/>
              </w:rPr>
              <w:t>Total</w:t>
            </w:r>
          </w:p>
        </w:tc>
        <w:tc>
          <w:tcPr>
            <w:tcW w:w="1426" w:type="dxa"/>
            <w:shd w:val="clear" w:color="auto" w:fill="auto"/>
            <w:vAlign w:val="bottom"/>
          </w:tcPr>
          <w:p w14:paraId="66D1CE1F" w14:textId="77777777" w:rsidR="00AC795F" w:rsidRPr="00701F32" w:rsidRDefault="00AC795F">
            <w:pPr>
              <w:pStyle w:val="Style1"/>
              <w:adjustRightInd/>
              <w:ind w:right="107"/>
              <w:jc w:val="right"/>
              <w:rPr>
                <w:rFonts w:ascii="Arial" w:hAnsi="Arial" w:cs="Arial"/>
                <w:b/>
                <w:szCs w:val="20"/>
              </w:rPr>
            </w:pPr>
            <w:r w:rsidRPr="00701F32">
              <w:rPr>
                <w:rFonts w:ascii="Arial" w:hAnsi="Arial" w:cs="Arial"/>
                <w:b/>
                <w:szCs w:val="20"/>
              </w:rPr>
              <w:t>4.464.223</w:t>
            </w:r>
          </w:p>
        </w:tc>
      </w:tr>
    </w:tbl>
    <w:p w14:paraId="5F217506" w14:textId="77777777" w:rsidR="00AC795F" w:rsidRPr="00701F32" w:rsidRDefault="00AC795F" w:rsidP="00656E62">
      <w:pPr>
        <w:pStyle w:val="Style1"/>
        <w:jc w:val="both"/>
        <w:rPr>
          <w:rFonts w:ascii="Arial" w:hAnsi="Arial" w:cs="Arial"/>
          <w:b/>
          <w:szCs w:val="20"/>
          <w:lang w:eastAsia="es-ES"/>
        </w:rPr>
      </w:pPr>
    </w:p>
    <w:p w14:paraId="21934524" w14:textId="77777777" w:rsidR="0076568E" w:rsidRPr="00701F32" w:rsidRDefault="0076568E" w:rsidP="00656E62">
      <w:pPr>
        <w:pStyle w:val="Style1"/>
        <w:jc w:val="both"/>
        <w:rPr>
          <w:rFonts w:ascii="Arial" w:hAnsi="Arial" w:cs="Arial"/>
          <w:b/>
          <w:szCs w:val="20"/>
          <w:lang w:eastAsia="es-ES"/>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5"/>
        <w:gridCol w:w="1426"/>
      </w:tblGrid>
      <w:tr w:rsidR="00656E62" w:rsidRPr="00701F32" w14:paraId="115DA3DA" w14:textId="77777777" w:rsidTr="00464C0F">
        <w:trPr>
          <w:trHeight w:val="255"/>
          <w:tblHeader/>
        </w:trPr>
        <w:tc>
          <w:tcPr>
            <w:tcW w:w="7175" w:type="dxa"/>
            <w:shd w:val="clear" w:color="auto" w:fill="auto"/>
          </w:tcPr>
          <w:p w14:paraId="29D04761" w14:textId="77777777" w:rsidR="00656E62" w:rsidRPr="00701F32" w:rsidRDefault="00656E62" w:rsidP="00464C0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Egresos por comisiones</w:t>
            </w:r>
          </w:p>
        </w:tc>
        <w:tc>
          <w:tcPr>
            <w:tcW w:w="1426" w:type="dxa"/>
            <w:shd w:val="clear" w:color="auto" w:fill="auto"/>
            <w:vAlign w:val="center"/>
          </w:tcPr>
          <w:p w14:paraId="364F0AC9" w14:textId="77777777" w:rsidR="00656E62" w:rsidRPr="00701F32" w:rsidRDefault="00656E62" w:rsidP="00464C0F">
            <w:pPr>
              <w:tabs>
                <w:tab w:val="decimal" w:pos="284"/>
                <w:tab w:val="decimal" w:pos="6237"/>
                <w:tab w:val="decimal" w:pos="7200"/>
                <w:tab w:val="decimal" w:pos="8220"/>
                <w:tab w:val="decimal" w:pos="8900"/>
              </w:tabs>
              <w:jc w:val="both"/>
              <w:rPr>
                <w:rFonts w:ascii="Arial" w:hAnsi="Arial" w:cs="Arial"/>
                <w:b/>
                <w:sz w:val="20"/>
              </w:rPr>
            </w:pPr>
            <w:r w:rsidRPr="00701F32">
              <w:rPr>
                <w:rFonts w:ascii="Arial" w:hAnsi="Arial" w:cs="Arial"/>
                <w:b/>
                <w:sz w:val="20"/>
              </w:rPr>
              <w:t>31/12/2017</w:t>
            </w:r>
          </w:p>
        </w:tc>
      </w:tr>
      <w:tr w:rsidR="009A4B0D" w:rsidRPr="00701F32" w14:paraId="4D16BA3A" w14:textId="77777777" w:rsidTr="00E311C9">
        <w:trPr>
          <w:trHeight w:val="255"/>
        </w:trPr>
        <w:tc>
          <w:tcPr>
            <w:tcW w:w="7175" w:type="dxa"/>
            <w:shd w:val="clear" w:color="auto" w:fill="auto"/>
          </w:tcPr>
          <w:p w14:paraId="5063AC13" w14:textId="77777777" w:rsidR="009A4B0D" w:rsidRPr="00701F32" w:rsidRDefault="009A4B0D" w:rsidP="00464C0F">
            <w:pPr>
              <w:ind w:left="29"/>
              <w:jc w:val="both"/>
              <w:rPr>
                <w:rFonts w:ascii="Arial" w:hAnsi="Arial" w:cs="Arial"/>
                <w:sz w:val="20"/>
              </w:rPr>
            </w:pPr>
            <w:r w:rsidRPr="00701F32">
              <w:rPr>
                <w:rFonts w:ascii="Arial" w:hAnsi="Arial" w:cs="Arial"/>
                <w:sz w:val="20"/>
              </w:rPr>
              <w:t>Comisiones vinculadas con operaciones con títulos valores</w:t>
            </w:r>
          </w:p>
        </w:tc>
        <w:tc>
          <w:tcPr>
            <w:tcW w:w="1426" w:type="dxa"/>
            <w:shd w:val="clear" w:color="auto" w:fill="auto"/>
            <w:vAlign w:val="bottom"/>
          </w:tcPr>
          <w:p w14:paraId="1ACD327E" w14:textId="77777777" w:rsidR="009A4B0D" w:rsidRPr="00701F32" w:rsidRDefault="009A4B0D">
            <w:pPr>
              <w:ind w:right="113"/>
              <w:jc w:val="right"/>
              <w:rPr>
                <w:rFonts w:ascii="Arial" w:hAnsi="Arial" w:cs="Arial"/>
                <w:sz w:val="20"/>
              </w:rPr>
            </w:pPr>
            <w:r w:rsidRPr="00701F32">
              <w:rPr>
                <w:rFonts w:ascii="Arial" w:hAnsi="Arial" w:cs="Arial"/>
                <w:sz w:val="20"/>
              </w:rPr>
              <w:t>7.074</w:t>
            </w:r>
          </w:p>
        </w:tc>
      </w:tr>
      <w:tr w:rsidR="003B715A" w:rsidRPr="00701F32" w14:paraId="61CFFA6A" w14:textId="77777777" w:rsidTr="00E311C9">
        <w:trPr>
          <w:trHeight w:val="255"/>
        </w:trPr>
        <w:tc>
          <w:tcPr>
            <w:tcW w:w="7175" w:type="dxa"/>
          </w:tcPr>
          <w:p w14:paraId="7BF33495" w14:textId="77777777" w:rsidR="003B715A" w:rsidRPr="00701F32" w:rsidRDefault="003B715A" w:rsidP="00464C0F">
            <w:pPr>
              <w:ind w:left="29"/>
              <w:jc w:val="both"/>
              <w:rPr>
                <w:rFonts w:ascii="Arial" w:hAnsi="Arial" w:cs="Arial"/>
                <w:sz w:val="20"/>
              </w:rPr>
            </w:pPr>
            <w:r w:rsidRPr="00701F32">
              <w:rPr>
                <w:rFonts w:ascii="Arial" w:hAnsi="Arial" w:cs="Arial"/>
                <w:sz w:val="20"/>
              </w:rPr>
              <w:t>Financiaciones y consumos de tarjeta de crédito</w:t>
            </w:r>
          </w:p>
        </w:tc>
        <w:tc>
          <w:tcPr>
            <w:tcW w:w="1426" w:type="dxa"/>
            <w:vAlign w:val="bottom"/>
          </w:tcPr>
          <w:p w14:paraId="3C353F73" w14:textId="77777777" w:rsidR="003B715A" w:rsidRPr="00701F32" w:rsidRDefault="003B715A">
            <w:pPr>
              <w:ind w:right="113"/>
              <w:jc w:val="right"/>
              <w:rPr>
                <w:rFonts w:ascii="Arial" w:hAnsi="Arial" w:cs="Arial"/>
                <w:sz w:val="20"/>
              </w:rPr>
            </w:pPr>
            <w:r w:rsidRPr="00701F32">
              <w:rPr>
                <w:rFonts w:ascii="Arial" w:hAnsi="Arial" w:cs="Arial"/>
                <w:sz w:val="20"/>
              </w:rPr>
              <w:t>345.601</w:t>
            </w:r>
          </w:p>
        </w:tc>
      </w:tr>
      <w:tr w:rsidR="009A4B0D" w:rsidRPr="00701F32" w14:paraId="5ADA0B8E" w14:textId="77777777" w:rsidTr="00E311C9">
        <w:trPr>
          <w:trHeight w:val="255"/>
        </w:trPr>
        <w:tc>
          <w:tcPr>
            <w:tcW w:w="7175" w:type="dxa"/>
          </w:tcPr>
          <w:p w14:paraId="02C693F8" w14:textId="77777777" w:rsidR="009A4B0D" w:rsidRPr="00701F32" w:rsidRDefault="009A4B0D" w:rsidP="00464C0F">
            <w:pPr>
              <w:ind w:left="29"/>
              <w:jc w:val="both"/>
              <w:rPr>
                <w:rFonts w:ascii="Arial" w:hAnsi="Arial" w:cs="Arial"/>
                <w:sz w:val="20"/>
              </w:rPr>
            </w:pPr>
            <w:r w:rsidRPr="00701F32">
              <w:rPr>
                <w:rFonts w:ascii="Arial" w:hAnsi="Arial" w:cs="Arial"/>
                <w:sz w:val="20"/>
              </w:rPr>
              <w:t>Otros</w:t>
            </w:r>
          </w:p>
        </w:tc>
        <w:tc>
          <w:tcPr>
            <w:tcW w:w="1426" w:type="dxa"/>
            <w:vAlign w:val="bottom"/>
          </w:tcPr>
          <w:p w14:paraId="1727544F" w14:textId="77777777" w:rsidR="009A4B0D" w:rsidRPr="00701F32" w:rsidRDefault="003B715A">
            <w:pPr>
              <w:ind w:right="113"/>
              <w:jc w:val="right"/>
              <w:rPr>
                <w:rFonts w:ascii="Arial" w:hAnsi="Arial" w:cs="Arial"/>
                <w:sz w:val="20"/>
              </w:rPr>
            </w:pPr>
            <w:r w:rsidRPr="00701F32">
              <w:rPr>
                <w:rFonts w:ascii="Arial" w:hAnsi="Arial" w:cs="Arial"/>
                <w:sz w:val="20"/>
              </w:rPr>
              <w:t>187.663</w:t>
            </w:r>
          </w:p>
        </w:tc>
      </w:tr>
      <w:tr w:rsidR="00656E62" w:rsidRPr="00701F32" w14:paraId="0D9BAFE5" w14:textId="77777777" w:rsidTr="00E311C9">
        <w:trPr>
          <w:trHeight w:val="255"/>
        </w:trPr>
        <w:tc>
          <w:tcPr>
            <w:tcW w:w="7175" w:type="dxa"/>
            <w:shd w:val="clear" w:color="auto" w:fill="auto"/>
          </w:tcPr>
          <w:p w14:paraId="79FA218C" w14:textId="77777777" w:rsidR="00656E62" w:rsidRPr="00701F32" w:rsidRDefault="00656E62" w:rsidP="00464C0F">
            <w:pPr>
              <w:jc w:val="both"/>
              <w:rPr>
                <w:rFonts w:ascii="Arial" w:hAnsi="Arial" w:cs="Arial"/>
                <w:b/>
                <w:sz w:val="20"/>
              </w:rPr>
            </w:pPr>
            <w:r w:rsidRPr="00701F32">
              <w:rPr>
                <w:rFonts w:ascii="Arial" w:hAnsi="Arial" w:cs="Arial"/>
                <w:b/>
                <w:sz w:val="20"/>
              </w:rPr>
              <w:t>Total</w:t>
            </w:r>
          </w:p>
        </w:tc>
        <w:tc>
          <w:tcPr>
            <w:tcW w:w="1426" w:type="dxa"/>
            <w:shd w:val="clear" w:color="auto" w:fill="auto"/>
            <w:vAlign w:val="bottom"/>
          </w:tcPr>
          <w:p w14:paraId="0BE5E555" w14:textId="77777777" w:rsidR="00656E62" w:rsidRPr="00701F32" w:rsidRDefault="009A4B0D">
            <w:pPr>
              <w:pStyle w:val="Style1"/>
              <w:adjustRightInd/>
              <w:ind w:right="107"/>
              <w:jc w:val="right"/>
              <w:rPr>
                <w:rFonts w:ascii="Arial" w:hAnsi="Arial" w:cs="Arial"/>
                <w:b/>
                <w:szCs w:val="20"/>
              </w:rPr>
            </w:pPr>
            <w:r w:rsidRPr="00701F32">
              <w:rPr>
                <w:rFonts w:ascii="Arial" w:hAnsi="Arial" w:cs="Arial"/>
                <w:b/>
                <w:szCs w:val="20"/>
              </w:rPr>
              <w:t>540.338</w:t>
            </w:r>
          </w:p>
        </w:tc>
      </w:tr>
    </w:tbl>
    <w:p w14:paraId="28B798A5" w14:textId="77777777" w:rsidR="00656E62" w:rsidRPr="00701F32" w:rsidRDefault="00656E62" w:rsidP="00656E62">
      <w:pPr>
        <w:pStyle w:val="Style1"/>
        <w:jc w:val="both"/>
        <w:rPr>
          <w:rFonts w:ascii="Arial" w:hAnsi="Arial" w:cs="Arial"/>
          <w:b/>
          <w:szCs w:val="20"/>
          <w:lang w:eastAsia="es-ES"/>
        </w:rPr>
      </w:pPr>
    </w:p>
    <w:p w14:paraId="2667AB1D" w14:textId="77777777" w:rsidR="00656E62" w:rsidRPr="00701F32" w:rsidRDefault="00656E62" w:rsidP="00656E62">
      <w:pPr>
        <w:pStyle w:val="Style1"/>
        <w:jc w:val="both"/>
        <w:rPr>
          <w:rFonts w:ascii="Arial" w:hAnsi="Arial" w:cs="Arial"/>
          <w:b/>
          <w:szCs w:val="20"/>
          <w:lang w:eastAsia="es-ES"/>
        </w:rPr>
      </w:pPr>
    </w:p>
    <w:p w14:paraId="721C41B6" w14:textId="77777777" w:rsidR="00656E62" w:rsidRPr="00701F32" w:rsidRDefault="00D57127" w:rsidP="00712ADC">
      <w:pPr>
        <w:pStyle w:val="Style1"/>
        <w:jc w:val="both"/>
        <w:rPr>
          <w:rFonts w:ascii="Arial" w:hAnsi="Arial" w:cs="Arial"/>
          <w:b/>
          <w:color w:val="943634" w:themeColor="accent2" w:themeShade="BF"/>
        </w:rPr>
      </w:pPr>
      <w:r w:rsidRPr="00701F32">
        <w:rPr>
          <w:rFonts w:ascii="Arial" w:hAnsi="Arial" w:cs="Arial"/>
          <w:b/>
        </w:rPr>
        <w:t>17</w:t>
      </w:r>
      <w:r w:rsidR="00656E62" w:rsidRPr="00701F32">
        <w:rPr>
          <w:rFonts w:ascii="Arial" w:hAnsi="Arial" w:cs="Arial"/>
          <w:b/>
        </w:rPr>
        <w:t>.</w:t>
      </w:r>
      <w:r w:rsidR="004E457F" w:rsidRPr="00701F32">
        <w:rPr>
          <w:rFonts w:ascii="Arial" w:hAnsi="Arial" w:cs="Arial"/>
          <w:b/>
        </w:rPr>
        <w:t xml:space="preserve">16 </w:t>
      </w:r>
      <w:r w:rsidR="00656E62" w:rsidRPr="00701F32">
        <w:rPr>
          <w:rFonts w:ascii="Arial" w:hAnsi="Arial" w:cs="Arial"/>
          <w:b/>
        </w:rPr>
        <w:t xml:space="preserve">Otros ingresos / (Egresos) </w:t>
      </w:r>
      <w:r w:rsidR="00993E09" w:rsidRPr="00701F32">
        <w:rPr>
          <w:rFonts w:ascii="Arial" w:hAnsi="Arial" w:cs="Arial"/>
          <w:b/>
        </w:rPr>
        <w:t>operativos</w:t>
      </w:r>
    </w:p>
    <w:p w14:paraId="4111DC94" w14:textId="77777777" w:rsidR="00656E62" w:rsidRPr="00701F32" w:rsidRDefault="00656E62" w:rsidP="00656E62">
      <w:pPr>
        <w:pStyle w:val="Style1"/>
        <w:jc w:val="both"/>
        <w:rPr>
          <w:rFonts w:ascii="Arial" w:hAnsi="Arial" w:cs="Arial"/>
          <w:b/>
          <w:szCs w:val="20"/>
          <w:lang w:eastAsia="es-ES"/>
        </w:rPr>
      </w:pP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1615"/>
      </w:tblGrid>
      <w:tr w:rsidR="00993E09" w:rsidRPr="00701F32" w14:paraId="0F26F3D9" w14:textId="77777777" w:rsidTr="00993E0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6547DE2C" w14:textId="77777777" w:rsidR="00993E09" w:rsidRPr="00701F32" w:rsidRDefault="00993E09" w:rsidP="0048778A">
            <w:pPr>
              <w:jc w:val="both"/>
              <w:rPr>
                <w:rFonts w:ascii="Arial" w:hAnsi="Arial" w:cs="Arial"/>
                <w:b/>
                <w:sz w:val="20"/>
              </w:rPr>
            </w:pPr>
            <w:r w:rsidRPr="00701F32">
              <w:rPr>
                <w:rFonts w:ascii="Arial" w:hAnsi="Arial" w:cs="Arial"/>
                <w:b/>
                <w:sz w:val="20"/>
              </w:rPr>
              <w:t>Otros ingresos operativos</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12337F9" w14:textId="77777777" w:rsidR="00993E09" w:rsidRPr="00701F32" w:rsidRDefault="00993E09" w:rsidP="005819B2">
            <w:pPr>
              <w:jc w:val="center"/>
              <w:rPr>
                <w:rFonts w:ascii="Arial" w:hAnsi="Arial" w:cs="Arial"/>
                <w:b/>
                <w:sz w:val="20"/>
              </w:rPr>
            </w:pPr>
            <w:r w:rsidRPr="00701F32">
              <w:rPr>
                <w:rFonts w:ascii="Arial" w:hAnsi="Arial" w:cs="Arial"/>
                <w:b/>
                <w:sz w:val="20"/>
              </w:rPr>
              <w:t>31/12/2017</w:t>
            </w:r>
          </w:p>
        </w:tc>
      </w:tr>
      <w:tr w:rsidR="00993E09" w:rsidRPr="00701F32" w14:paraId="03F99043"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64657BA2" w14:textId="77777777" w:rsidR="00993E09" w:rsidRPr="00701F32" w:rsidRDefault="00993E09" w:rsidP="0048778A">
            <w:pPr>
              <w:jc w:val="both"/>
              <w:rPr>
                <w:rFonts w:ascii="Arial" w:hAnsi="Arial" w:cs="Arial"/>
                <w:sz w:val="20"/>
              </w:rPr>
            </w:pPr>
            <w:r w:rsidRPr="00701F32">
              <w:rPr>
                <w:rFonts w:ascii="Arial" w:hAnsi="Arial" w:cs="Arial"/>
                <w:sz w:val="20"/>
              </w:rPr>
              <w:t>Alquileres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2444F1B6" w14:textId="77777777" w:rsidR="00993E09" w:rsidRPr="00701F32" w:rsidRDefault="00993E09">
            <w:pPr>
              <w:jc w:val="right"/>
              <w:rPr>
                <w:rFonts w:ascii="Arial" w:hAnsi="Arial" w:cs="Arial"/>
                <w:sz w:val="20"/>
              </w:rPr>
            </w:pPr>
            <w:r w:rsidRPr="00701F32">
              <w:rPr>
                <w:rFonts w:ascii="Arial" w:hAnsi="Arial" w:cs="Arial"/>
                <w:sz w:val="20"/>
              </w:rPr>
              <w:t>27.828</w:t>
            </w:r>
          </w:p>
        </w:tc>
      </w:tr>
      <w:tr w:rsidR="00993E09" w:rsidRPr="00701F32" w14:paraId="13F006BB"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18201636" w14:textId="77777777" w:rsidR="00993E09" w:rsidRPr="00701F32" w:rsidRDefault="00993E09" w:rsidP="0048778A">
            <w:pPr>
              <w:jc w:val="both"/>
              <w:rPr>
                <w:rFonts w:ascii="Arial" w:hAnsi="Arial" w:cs="Arial"/>
                <w:sz w:val="20"/>
              </w:rPr>
            </w:pPr>
            <w:r w:rsidRPr="00701F32">
              <w:rPr>
                <w:rFonts w:ascii="Arial" w:hAnsi="Arial" w:cs="Arial"/>
                <w:sz w:val="20"/>
              </w:rPr>
              <w:t>Otros ingresos operativos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2200CE1E" w14:textId="77777777" w:rsidR="00993E09" w:rsidRPr="00701F32" w:rsidRDefault="00993E09">
            <w:pPr>
              <w:jc w:val="right"/>
              <w:rPr>
                <w:rFonts w:ascii="Arial" w:hAnsi="Arial" w:cs="Arial"/>
                <w:sz w:val="20"/>
              </w:rPr>
            </w:pPr>
            <w:r w:rsidRPr="00701F32">
              <w:rPr>
                <w:rFonts w:ascii="Arial" w:hAnsi="Arial" w:cs="Arial"/>
                <w:sz w:val="20"/>
              </w:rPr>
              <w:t>20.667</w:t>
            </w:r>
          </w:p>
        </w:tc>
      </w:tr>
      <w:tr w:rsidR="00993E09" w:rsidRPr="00701F32" w14:paraId="5EF98116"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7A3EDF64" w14:textId="77777777" w:rsidR="00993E09" w:rsidRPr="00701F32" w:rsidRDefault="00D0240E" w:rsidP="0086282C">
            <w:pPr>
              <w:rPr>
                <w:rFonts w:ascii="Arial" w:hAnsi="Arial" w:cs="Arial"/>
                <w:sz w:val="20"/>
              </w:rPr>
            </w:pPr>
            <w:r w:rsidRPr="00701F32">
              <w:rPr>
                <w:rFonts w:ascii="Arial" w:hAnsi="Arial" w:cs="Arial"/>
                <w:sz w:val="20"/>
              </w:rPr>
              <w:t>Alquiler de c</w:t>
            </w:r>
            <w:r w:rsidR="00993E09" w:rsidRPr="00701F32">
              <w:rPr>
                <w:rFonts w:ascii="Arial" w:hAnsi="Arial" w:cs="Arial"/>
                <w:sz w:val="20"/>
              </w:rPr>
              <w:t>aja</w:t>
            </w:r>
            <w:r w:rsidRPr="00701F32">
              <w:rPr>
                <w:rFonts w:ascii="Arial" w:hAnsi="Arial" w:cs="Arial"/>
                <w:sz w:val="20"/>
              </w:rPr>
              <w:t>s</w:t>
            </w:r>
            <w:r w:rsidR="00993E09" w:rsidRPr="00701F32">
              <w:rPr>
                <w:rFonts w:ascii="Arial" w:hAnsi="Arial" w:cs="Arial"/>
                <w:sz w:val="20"/>
              </w:rPr>
              <w:t xml:space="preserve"> de seguridad</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590CE6A7" w14:textId="77777777" w:rsidR="00993E09" w:rsidRPr="00701F32" w:rsidRDefault="00993E09">
            <w:pPr>
              <w:jc w:val="right"/>
              <w:rPr>
                <w:rFonts w:ascii="Arial" w:hAnsi="Arial" w:cs="Arial"/>
                <w:sz w:val="20"/>
              </w:rPr>
            </w:pPr>
            <w:r w:rsidRPr="00701F32">
              <w:rPr>
                <w:rFonts w:ascii="Arial" w:hAnsi="Arial" w:cs="Arial"/>
                <w:sz w:val="20"/>
              </w:rPr>
              <w:t>128.305</w:t>
            </w:r>
          </w:p>
        </w:tc>
      </w:tr>
      <w:tr w:rsidR="00993E09" w:rsidRPr="00701F32" w14:paraId="6E75A66C"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24DA22D4" w14:textId="77777777" w:rsidR="00993E09" w:rsidRPr="00701F32" w:rsidRDefault="00993E09" w:rsidP="0048778A">
            <w:pPr>
              <w:jc w:val="both"/>
              <w:rPr>
                <w:rFonts w:ascii="Arial" w:hAnsi="Arial" w:cs="Arial"/>
                <w:sz w:val="20"/>
              </w:rPr>
            </w:pPr>
            <w:r w:rsidRPr="00701F32">
              <w:rPr>
                <w:rFonts w:ascii="Arial" w:hAnsi="Arial" w:cs="Arial"/>
                <w:sz w:val="20"/>
              </w:rPr>
              <w:t>Ajustes e intereses de créditos diversos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5F76DFD4" w14:textId="77777777" w:rsidR="00993E09" w:rsidRPr="00701F32" w:rsidRDefault="00993E09">
            <w:pPr>
              <w:jc w:val="right"/>
              <w:rPr>
                <w:rFonts w:ascii="Arial" w:hAnsi="Arial" w:cs="Arial"/>
                <w:sz w:val="20"/>
              </w:rPr>
            </w:pPr>
            <w:r w:rsidRPr="00701F32">
              <w:rPr>
                <w:rFonts w:ascii="Arial" w:hAnsi="Arial" w:cs="Arial"/>
                <w:sz w:val="20"/>
              </w:rPr>
              <w:t>25.368</w:t>
            </w:r>
          </w:p>
        </w:tc>
      </w:tr>
      <w:tr w:rsidR="00993E09" w:rsidRPr="00701F32" w14:paraId="599F791E"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327E7858" w14:textId="77777777" w:rsidR="00993E09" w:rsidRPr="00701F32" w:rsidRDefault="00993E09" w:rsidP="0048778A">
            <w:pPr>
              <w:jc w:val="both"/>
              <w:rPr>
                <w:rFonts w:ascii="Arial" w:hAnsi="Arial" w:cs="Arial"/>
                <w:sz w:val="20"/>
              </w:rPr>
            </w:pPr>
            <w:r w:rsidRPr="00701F32">
              <w:rPr>
                <w:rFonts w:ascii="Arial" w:hAnsi="Arial" w:cs="Arial"/>
                <w:sz w:val="20"/>
              </w:rPr>
              <w:t>Intereses punitorios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38DB8C3B" w14:textId="77777777" w:rsidR="00993E09" w:rsidRPr="00701F32" w:rsidRDefault="00993E09">
            <w:pPr>
              <w:jc w:val="right"/>
              <w:rPr>
                <w:rFonts w:ascii="Arial" w:hAnsi="Arial" w:cs="Arial"/>
                <w:sz w:val="20"/>
              </w:rPr>
            </w:pPr>
            <w:r w:rsidRPr="00701F32">
              <w:rPr>
                <w:rFonts w:ascii="Arial" w:hAnsi="Arial" w:cs="Arial"/>
                <w:sz w:val="20"/>
              </w:rPr>
              <w:t>57.989</w:t>
            </w:r>
          </w:p>
        </w:tc>
      </w:tr>
      <w:tr w:rsidR="00993E09" w:rsidRPr="00701F32" w14:paraId="7E2B676B"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55F64AE4" w14:textId="77777777" w:rsidR="00993E09" w:rsidRPr="00701F32" w:rsidRDefault="00993E09" w:rsidP="0048778A">
            <w:pPr>
              <w:jc w:val="both"/>
              <w:rPr>
                <w:rFonts w:ascii="Arial" w:hAnsi="Arial" w:cs="Arial"/>
                <w:sz w:val="20"/>
              </w:rPr>
            </w:pPr>
            <w:r w:rsidRPr="00701F32">
              <w:rPr>
                <w:rFonts w:ascii="Arial" w:hAnsi="Arial" w:cs="Arial"/>
                <w:sz w:val="20"/>
              </w:rPr>
              <w:t>Previsiones desafectadas y créditos recuperados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64A3E23F" w14:textId="77777777" w:rsidR="00993E09" w:rsidRPr="00701F32" w:rsidRDefault="00993E09">
            <w:pPr>
              <w:jc w:val="right"/>
              <w:rPr>
                <w:rFonts w:ascii="Arial" w:hAnsi="Arial" w:cs="Arial"/>
                <w:sz w:val="20"/>
              </w:rPr>
            </w:pPr>
            <w:r w:rsidRPr="00701F32">
              <w:rPr>
                <w:rFonts w:ascii="Arial" w:hAnsi="Arial" w:cs="Arial"/>
                <w:sz w:val="20"/>
              </w:rPr>
              <w:t>162.240</w:t>
            </w:r>
          </w:p>
        </w:tc>
      </w:tr>
      <w:tr w:rsidR="00993E09" w:rsidRPr="00701F32" w14:paraId="67C68A46"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622B8096" w14:textId="77777777" w:rsidR="00993E09" w:rsidRPr="00701F32" w:rsidRDefault="00993E09" w:rsidP="0048778A">
            <w:pPr>
              <w:jc w:val="both"/>
              <w:rPr>
                <w:rFonts w:ascii="Arial" w:hAnsi="Arial" w:cs="Arial"/>
                <w:sz w:val="20"/>
              </w:rPr>
            </w:pPr>
            <w:r w:rsidRPr="00701F32">
              <w:rPr>
                <w:rFonts w:ascii="Arial" w:hAnsi="Arial" w:cs="Arial"/>
                <w:sz w:val="20"/>
              </w:rPr>
              <w:t>Rendimiento fondo de riesgo SGR</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39F0D921" w14:textId="77777777" w:rsidR="00993E09" w:rsidRPr="00701F32" w:rsidRDefault="00993E09">
            <w:pPr>
              <w:jc w:val="right"/>
              <w:rPr>
                <w:rFonts w:ascii="Arial" w:hAnsi="Arial" w:cs="Arial"/>
                <w:sz w:val="20"/>
              </w:rPr>
            </w:pPr>
            <w:r w:rsidRPr="00701F32">
              <w:rPr>
                <w:rFonts w:ascii="Arial" w:hAnsi="Arial" w:cs="Arial"/>
                <w:sz w:val="20"/>
              </w:rPr>
              <w:t>63.656</w:t>
            </w:r>
          </w:p>
        </w:tc>
      </w:tr>
      <w:tr w:rsidR="00993E09" w:rsidRPr="00701F32" w14:paraId="28B5B2B6"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46B37D9D" w14:textId="77777777" w:rsidR="00993E09" w:rsidRPr="00701F32" w:rsidRDefault="00993E09" w:rsidP="0048778A">
            <w:pPr>
              <w:jc w:val="both"/>
              <w:rPr>
                <w:rFonts w:ascii="Arial" w:hAnsi="Arial" w:cs="Arial"/>
                <w:sz w:val="20"/>
              </w:rPr>
            </w:pPr>
            <w:r w:rsidRPr="00701F32">
              <w:rPr>
                <w:rFonts w:ascii="Arial" w:hAnsi="Arial" w:cs="Arial"/>
                <w:sz w:val="20"/>
              </w:rPr>
              <w:t>Otros resultados OCIF</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6EE6D63C" w14:textId="77777777" w:rsidR="00993E09" w:rsidRPr="00701F32" w:rsidRDefault="00993E09">
            <w:pPr>
              <w:jc w:val="right"/>
              <w:rPr>
                <w:rFonts w:ascii="Arial" w:hAnsi="Arial" w:cs="Arial"/>
                <w:sz w:val="20"/>
              </w:rPr>
            </w:pPr>
            <w:r w:rsidRPr="00701F32">
              <w:rPr>
                <w:rFonts w:ascii="Arial" w:hAnsi="Arial" w:cs="Arial"/>
                <w:sz w:val="20"/>
              </w:rPr>
              <w:t>25.458</w:t>
            </w:r>
          </w:p>
        </w:tc>
      </w:tr>
      <w:tr w:rsidR="00993E09" w:rsidRPr="00701F32" w14:paraId="65E97859"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5D95ADC8" w14:textId="77777777" w:rsidR="00993E09" w:rsidRPr="00701F32" w:rsidRDefault="00993E09" w:rsidP="0048778A">
            <w:pPr>
              <w:jc w:val="both"/>
              <w:rPr>
                <w:rFonts w:ascii="Arial" w:hAnsi="Arial" w:cs="Arial"/>
                <w:sz w:val="20"/>
              </w:rPr>
            </w:pPr>
            <w:r w:rsidRPr="00701F32">
              <w:rPr>
                <w:rFonts w:ascii="Arial" w:hAnsi="Arial" w:cs="Arial"/>
                <w:sz w:val="20"/>
              </w:rPr>
              <w:t>Otros</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5238BE4D" w14:textId="77777777" w:rsidR="00993E09" w:rsidRPr="00701F32" w:rsidRDefault="00993E09">
            <w:pPr>
              <w:jc w:val="right"/>
              <w:rPr>
                <w:rFonts w:ascii="Arial" w:hAnsi="Arial" w:cs="Arial"/>
                <w:sz w:val="20"/>
              </w:rPr>
            </w:pPr>
            <w:r w:rsidRPr="00701F32">
              <w:rPr>
                <w:rFonts w:ascii="Arial" w:hAnsi="Arial" w:cs="Arial"/>
                <w:sz w:val="20"/>
              </w:rPr>
              <w:t>435.430</w:t>
            </w:r>
          </w:p>
        </w:tc>
      </w:tr>
      <w:tr w:rsidR="00993E09" w:rsidRPr="00701F32" w14:paraId="24AB9400" w14:textId="77777777" w:rsidTr="00E311C9">
        <w:trPr>
          <w:trHeight w:val="287"/>
        </w:trPr>
        <w:tc>
          <w:tcPr>
            <w:tcW w:w="4053" w:type="pct"/>
            <w:tcBorders>
              <w:top w:val="single" w:sz="4" w:space="0" w:color="auto"/>
              <w:left w:val="single" w:sz="4" w:space="0" w:color="auto"/>
              <w:bottom w:val="single" w:sz="4" w:space="0" w:color="auto"/>
              <w:right w:val="single" w:sz="4" w:space="0" w:color="auto"/>
            </w:tcBorders>
            <w:shd w:val="clear" w:color="auto" w:fill="auto"/>
          </w:tcPr>
          <w:p w14:paraId="48BAC925" w14:textId="77777777" w:rsidR="00993E09" w:rsidRPr="00701F32" w:rsidRDefault="00993E09" w:rsidP="0048778A">
            <w:pPr>
              <w:jc w:val="both"/>
              <w:rPr>
                <w:rFonts w:ascii="Arial" w:hAnsi="Arial" w:cs="Arial"/>
                <w:b/>
                <w:sz w:val="20"/>
              </w:rPr>
            </w:pPr>
            <w:r w:rsidRPr="00701F32">
              <w:rPr>
                <w:rFonts w:ascii="Arial" w:hAnsi="Arial" w:cs="Arial"/>
                <w:b/>
                <w:sz w:val="20"/>
              </w:rPr>
              <w:t>Total</w:t>
            </w:r>
          </w:p>
        </w:tc>
        <w:tc>
          <w:tcPr>
            <w:tcW w:w="947" w:type="pct"/>
            <w:tcBorders>
              <w:top w:val="single" w:sz="4" w:space="0" w:color="auto"/>
              <w:left w:val="single" w:sz="4" w:space="0" w:color="auto"/>
              <w:bottom w:val="single" w:sz="4" w:space="0" w:color="auto"/>
              <w:right w:val="single" w:sz="4" w:space="0" w:color="auto"/>
            </w:tcBorders>
            <w:shd w:val="clear" w:color="auto" w:fill="auto"/>
            <w:vAlign w:val="bottom"/>
          </w:tcPr>
          <w:p w14:paraId="40C36FFA" w14:textId="77777777" w:rsidR="00993E09" w:rsidRPr="00701F32" w:rsidRDefault="00993E09">
            <w:pPr>
              <w:jc w:val="right"/>
              <w:rPr>
                <w:rFonts w:ascii="Arial" w:hAnsi="Arial" w:cs="Arial"/>
                <w:b/>
                <w:sz w:val="20"/>
              </w:rPr>
            </w:pPr>
            <w:r w:rsidRPr="00701F32">
              <w:rPr>
                <w:rFonts w:ascii="Arial" w:hAnsi="Arial" w:cs="Arial"/>
                <w:b/>
                <w:sz w:val="20"/>
              </w:rPr>
              <w:t>946.941</w:t>
            </w:r>
          </w:p>
        </w:tc>
      </w:tr>
    </w:tbl>
    <w:p w14:paraId="65599718" w14:textId="77777777" w:rsidR="00656E62" w:rsidRPr="00701F32" w:rsidRDefault="00656E62" w:rsidP="00656E62">
      <w:pPr>
        <w:pStyle w:val="Style1"/>
        <w:jc w:val="both"/>
        <w:rPr>
          <w:rFonts w:ascii="Arial" w:hAnsi="Arial" w:cs="Arial"/>
          <w:b/>
          <w:szCs w:val="20"/>
          <w:lang w:eastAsia="es-ES"/>
        </w:rPr>
      </w:pPr>
    </w:p>
    <w:p w14:paraId="39065E6B" w14:textId="77777777" w:rsidR="00993E09" w:rsidRPr="00701F32" w:rsidRDefault="00993E09" w:rsidP="00656E62">
      <w:pPr>
        <w:pStyle w:val="Style1"/>
        <w:jc w:val="both"/>
        <w:rPr>
          <w:rFonts w:ascii="Arial" w:hAnsi="Arial" w:cs="Arial"/>
          <w:b/>
          <w:szCs w:val="20"/>
          <w:lang w:eastAsia="es-ES"/>
        </w:rPr>
      </w:pP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6"/>
        <w:gridCol w:w="1719"/>
      </w:tblGrid>
      <w:tr w:rsidR="00993E09" w:rsidRPr="00701F32" w14:paraId="66D3F503" w14:textId="77777777" w:rsidTr="005819B2">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4460FB86" w14:textId="77777777" w:rsidR="00993E09" w:rsidRPr="00701F32" w:rsidRDefault="00993E09">
            <w:pPr>
              <w:jc w:val="both"/>
              <w:rPr>
                <w:rFonts w:ascii="Arial" w:hAnsi="Arial" w:cs="Arial"/>
                <w:b/>
                <w:sz w:val="20"/>
              </w:rPr>
            </w:pPr>
            <w:r w:rsidRPr="00701F32">
              <w:rPr>
                <w:rFonts w:ascii="Arial" w:hAnsi="Arial" w:cs="Arial"/>
                <w:b/>
                <w:sz w:val="20"/>
              </w:rPr>
              <w:t xml:space="preserve">Otros </w:t>
            </w:r>
            <w:r w:rsidR="000A1F0D" w:rsidRPr="00701F32">
              <w:rPr>
                <w:rFonts w:ascii="Arial" w:hAnsi="Arial" w:cs="Arial"/>
                <w:b/>
                <w:sz w:val="20"/>
              </w:rPr>
              <w:t xml:space="preserve">gastos </w:t>
            </w:r>
            <w:r w:rsidRPr="00701F32">
              <w:rPr>
                <w:rFonts w:ascii="Arial" w:hAnsi="Arial" w:cs="Arial"/>
                <w:b/>
                <w:sz w:val="20"/>
              </w:rPr>
              <w:t>operativos</w:t>
            </w:r>
          </w:p>
        </w:tc>
        <w:tc>
          <w:tcPr>
            <w:tcW w:w="1006" w:type="pct"/>
            <w:tcBorders>
              <w:top w:val="single" w:sz="4" w:space="0" w:color="auto"/>
              <w:left w:val="single" w:sz="4" w:space="0" w:color="auto"/>
              <w:bottom w:val="single" w:sz="4" w:space="0" w:color="auto"/>
              <w:right w:val="single" w:sz="4" w:space="0" w:color="auto"/>
            </w:tcBorders>
            <w:shd w:val="clear" w:color="auto" w:fill="auto"/>
          </w:tcPr>
          <w:p w14:paraId="579E168D" w14:textId="77777777" w:rsidR="00993E09" w:rsidRPr="00701F32" w:rsidRDefault="00993E09" w:rsidP="005819B2">
            <w:pPr>
              <w:jc w:val="center"/>
              <w:rPr>
                <w:rFonts w:ascii="Arial" w:hAnsi="Arial" w:cs="Arial"/>
                <w:b/>
                <w:sz w:val="20"/>
              </w:rPr>
            </w:pPr>
            <w:r w:rsidRPr="00701F32">
              <w:rPr>
                <w:rFonts w:ascii="Arial" w:hAnsi="Arial" w:cs="Arial"/>
                <w:b/>
                <w:sz w:val="20"/>
              </w:rPr>
              <w:t>31/12/2017</w:t>
            </w:r>
          </w:p>
        </w:tc>
      </w:tr>
      <w:tr w:rsidR="00993E09" w:rsidRPr="00701F32" w14:paraId="48FCAE0A"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6C6B7377" w14:textId="77777777" w:rsidR="00993E09" w:rsidRPr="00701F32" w:rsidRDefault="00993E09" w:rsidP="00993E09">
            <w:pPr>
              <w:jc w:val="both"/>
              <w:rPr>
                <w:rFonts w:ascii="Arial" w:hAnsi="Arial" w:cs="Arial"/>
                <w:sz w:val="20"/>
              </w:rPr>
            </w:pPr>
            <w:r w:rsidRPr="00701F32">
              <w:rPr>
                <w:rFonts w:ascii="Arial" w:hAnsi="Arial" w:cs="Arial"/>
                <w:sz w:val="20"/>
              </w:rPr>
              <w:t>Donaciones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71399456" w14:textId="77777777" w:rsidR="00993E09" w:rsidRPr="00701F32" w:rsidRDefault="00993E09">
            <w:pPr>
              <w:jc w:val="right"/>
              <w:rPr>
                <w:rFonts w:ascii="Arial" w:hAnsi="Arial" w:cs="Arial"/>
                <w:sz w:val="20"/>
              </w:rPr>
            </w:pPr>
            <w:r w:rsidRPr="00701F32">
              <w:rPr>
                <w:rFonts w:ascii="Arial" w:hAnsi="Arial" w:cs="Arial"/>
                <w:sz w:val="20"/>
              </w:rPr>
              <w:t>21.252</w:t>
            </w:r>
          </w:p>
        </w:tc>
      </w:tr>
      <w:tr w:rsidR="00993E09" w:rsidRPr="00701F32" w14:paraId="11658C90"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20AD86C8" w14:textId="77777777" w:rsidR="00993E09" w:rsidRPr="00701F32" w:rsidRDefault="00993E09" w:rsidP="00993E09">
            <w:pPr>
              <w:jc w:val="both"/>
              <w:rPr>
                <w:rFonts w:ascii="Arial" w:hAnsi="Arial" w:cs="Arial"/>
                <w:sz w:val="20"/>
              </w:rPr>
            </w:pPr>
            <w:r w:rsidRPr="00701F32">
              <w:rPr>
                <w:rFonts w:ascii="Arial" w:hAnsi="Arial" w:cs="Arial"/>
                <w:sz w:val="20"/>
              </w:rPr>
              <w:t>Fondo de garantía de los depósitos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3C1875A2" w14:textId="77777777" w:rsidR="00993E09" w:rsidRPr="00701F32" w:rsidRDefault="00993E09">
            <w:pPr>
              <w:jc w:val="right"/>
              <w:rPr>
                <w:rFonts w:ascii="Arial" w:hAnsi="Arial" w:cs="Arial"/>
                <w:sz w:val="20"/>
              </w:rPr>
            </w:pPr>
            <w:r w:rsidRPr="00701F32">
              <w:rPr>
                <w:rFonts w:ascii="Arial" w:hAnsi="Arial" w:cs="Arial"/>
                <w:sz w:val="20"/>
              </w:rPr>
              <w:t>80.809</w:t>
            </w:r>
          </w:p>
        </w:tc>
      </w:tr>
      <w:tr w:rsidR="00993E09" w:rsidRPr="00701F32" w14:paraId="024E52F5"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7FCE3970" w14:textId="77777777" w:rsidR="00993E09" w:rsidRPr="00701F32" w:rsidRDefault="00993E09" w:rsidP="00993E09">
            <w:pPr>
              <w:jc w:val="both"/>
              <w:rPr>
                <w:rFonts w:ascii="Arial" w:hAnsi="Arial" w:cs="Arial"/>
                <w:sz w:val="20"/>
              </w:rPr>
            </w:pPr>
            <w:r w:rsidRPr="00701F32">
              <w:rPr>
                <w:rFonts w:ascii="Arial" w:hAnsi="Arial" w:cs="Arial"/>
                <w:sz w:val="20"/>
              </w:rPr>
              <w:t>Ingresos brutos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257E88AE" w14:textId="77777777" w:rsidR="00993E09" w:rsidRPr="00701F32" w:rsidRDefault="00993E09">
            <w:pPr>
              <w:jc w:val="right"/>
              <w:rPr>
                <w:rFonts w:ascii="Arial" w:hAnsi="Arial" w:cs="Arial"/>
                <w:sz w:val="20"/>
              </w:rPr>
            </w:pPr>
            <w:r w:rsidRPr="00701F32">
              <w:rPr>
                <w:rFonts w:ascii="Arial" w:hAnsi="Arial" w:cs="Arial"/>
                <w:sz w:val="20"/>
              </w:rPr>
              <w:t>1.033.135</w:t>
            </w:r>
          </w:p>
        </w:tc>
      </w:tr>
      <w:tr w:rsidR="00993E09" w:rsidRPr="00701F32" w14:paraId="6D855E2D"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11D12905" w14:textId="77777777" w:rsidR="00993E09" w:rsidRPr="00701F32" w:rsidRDefault="00993E09" w:rsidP="00993E09">
            <w:pPr>
              <w:jc w:val="both"/>
              <w:rPr>
                <w:rFonts w:ascii="Arial" w:hAnsi="Arial" w:cs="Arial"/>
                <w:sz w:val="20"/>
              </w:rPr>
            </w:pPr>
            <w:r w:rsidRPr="00701F32">
              <w:rPr>
                <w:rFonts w:ascii="Arial" w:hAnsi="Arial" w:cs="Arial"/>
                <w:sz w:val="20"/>
              </w:rPr>
              <w:t>Obligaciones diversas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201F5826" w14:textId="77777777" w:rsidR="00993E09" w:rsidRPr="00701F32" w:rsidRDefault="00993E09">
            <w:pPr>
              <w:jc w:val="right"/>
              <w:rPr>
                <w:rFonts w:ascii="Arial" w:hAnsi="Arial" w:cs="Arial"/>
                <w:sz w:val="20"/>
              </w:rPr>
            </w:pPr>
            <w:r w:rsidRPr="00701F32">
              <w:rPr>
                <w:rFonts w:ascii="Arial" w:hAnsi="Arial" w:cs="Arial"/>
                <w:sz w:val="20"/>
              </w:rPr>
              <w:t>2.144</w:t>
            </w:r>
          </w:p>
        </w:tc>
      </w:tr>
      <w:tr w:rsidR="00993E09" w:rsidRPr="00701F32" w14:paraId="1499D02F"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307AE347" w14:textId="77777777" w:rsidR="00993E09" w:rsidRPr="00701F32" w:rsidRDefault="00993E09" w:rsidP="00993E09">
            <w:pPr>
              <w:jc w:val="both"/>
              <w:rPr>
                <w:rFonts w:ascii="Arial" w:hAnsi="Arial" w:cs="Arial"/>
                <w:sz w:val="20"/>
              </w:rPr>
            </w:pPr>
            <w:r w:rsidRPr="00701F32">
              <w:rPr>
                <w:rFonts w:ascii="Arial" w:hAnsi="Arial" w:cs="Arial"/>
                <w:sz w:val="20"/>
              </w:rPr>
              <w:t>Otras provisiones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756DE93D" w14:textId="77777777" w:rsidR="00993E09" w:rsidRPr="00701F32" w:rsidRDefault="00993E09">
            <w:pPr>
              <w:jc w:val="right"/>
              <w:rPr>
                <w:rFonts w:ascii="Arial" w:hAnsi="Arial" w:cs="Arial"/>
                <w:sz w:val="20"/>
              </w:rPr>
            </w:pPr>
            <w:r w:rsidRPr="00701F32">
              <w:rPr>
                <w:rFonts w:ascii="Arial" w:hAnsi="Arial" w:cs="Arial"/>
                <w:sz w:val="20"/>
              </w:rPr>
              <w:t>19.066</w:t>
            </w:r>
          </w:p>
        </w:tc>
      </w:tr>
      <w:tr w:rsidR="00993E09" w:rsidRPr="00701F32" w14:paraId="3ED328CD"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6BD45AD6" w14:textId="77777777" w:rsidR="00993E09" w:rsidRPr="00701F32" w:rsidRDefault="00993E09">
            <w:pPr>
              <w:jc w:val="both"/>
              <w:rPr>
                <w:rFonts w:ascii="Arial" w:hAnsi="Arial" w:cs="Arial"/>
                <w:sz w:val="20"/>
              </w:rPr>
            </w:pPr>
            <w:r w:rsidRPr="00701F32">
              <w:rPr>
                <w:rFonts w:ascii="Arial" w:hAnsi="Arial" w:cs="Arial"/>
                <w:sz w:val="20"/>
              </w:rPr>
              <w:t>Venta o desvalorizaciones de propiedades y otros  activos no financieros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4CADB3AF" w14:textId="77777777" w:rsidR="00993E09" w:rsidRPr="00701F32" w:rsidRDefault="00993E09">
            <w:pPr>
              <w:jc w:val="right"/>
              <w:rPr>
                <w:rFonts w:ascii="Arial" w:hAnsi="Arial" w:cs="Arial"/>
                <w:sz w:val="20"/>
              </w:rPr>
            </w:pPr>
            <w:r w:rsidRPr="00701F32">
              <w:rPr>
                <w:rFonts w:ascii="Arial" w:hAnsi="Arial" w:cs="Arial"/>
                <w:sz w:val="20"/>
              </w:rPr>
              <w:t>1.036</w:t>
            </w:r>
          </w:p>
        </w:tc>
      </w:tr>
      <w:tr w:rsidR="00993E09" w:rsidRPr="00701F32" w14:paraId="3389B69A"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45D10D59" w14:textId="77777777" w:rsidR="00993E09" w:rsidRPr="00701F32" w:rsidRDefault="00D0240E" w:rsidP="00993E09">
            <w:pPr>
              <w:jc w:val="both"/>
              <w:rPr>
                <w:rFonts w:ascii="Arial" w:hAnsi="Arial" w:cs="Arial"/>
                <w:sz w:val="20"/>
              </w:rPr>
            </w:pPr>
            <w:r w:rsidRPr="00701F32">
              <w:rPr>
                <w:rFonts w:ascii="Arial" w:hAnsi="Arial" w:cs="Arial"/>
                <w:color w:val="000000"/>
                <w:sz w:val="20"/>
                <w:lang w:eastAsia="es-AR"/>
              </w:rPr>
              <w:t>Ajuste inicial a valor razonable de financiaciones a tasas inferiores a las de mercado</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7FF9F71B" w14:textId="77777777" w:rsidR="00993E09" w:rsidRPr="00701F32" w:rsidRDefault="00993E09">
            <w:pPr>
              <w:jc w:val="right"/>
              <w:rPr>
                <w:rFonts w:ascii="Arial" w:hAnsi="Arial" w:cs="Arial"/>
                <w:sz w:val="20"/>
              </w:rPr>
            </w:pPr>
            <w:r w:rsidRPr="00701F32">
              <w:rPr>
                <w:rFonts w:ascii="Arial" w:hAnsi="Arial" w:cs="Arial"/>
                <w:sz w:val="20"/>
              </w:rPr>
              <w:t>261.597</w:t>
            </w:r>
          </w:p>
        </w:tc>
      </w:tr>
      <w:tr w:rsidR="00993E09" w:rsidRPr="00701F32" w14:paraId="5488DA41"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452F0C16" w14:textId="77777777" w:rsidR="00993E09" w:rsidRPr="00701F32" w:rsidRDefault="00993E09" w:rsidP="00993E09">
            <w:pPr>
              <w:jc w:val="both"/>
              <w:rPr>
                <w:rFonts w:ascii="Arial" w:hAnsi="Arial" w:cs="Arial"/>
                <w:sz w:val="20"/>
              </w:rPr>
            </w:pPr>
            <w:r w:rsidRPr="00701F32">
              <w:rPr>
                <w:rFonts w:ascii="Arial" w:hAnsi="Arial" w:cs="Arial"/>
                <w:sz w:val="20"/>
              </w:rPr>
              <w:t>Otros</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38EF6F2D" w14:textId="77777777" w:rsidR="00993E09" w:rsidRPr="00701F32" w:rsidRDefault="00993E09">
            <w:pPr>
              <w:jc w:val="right"/>
              <w:rPr>
                <w:rFonts w:ascii="Arial" w:hAnsi="Arial" w:cs="Arial"/>
                <w:sz w:val="20"/>
              </w:rPr>
            </w:pPr>
            <w:r w:rsidRPr="00701F32">
              <w:rPr>
                <w:rFonts w:ascii="Arial" w:hAnsi="Arial" w:cs="Arial"/>
                <w:sz w:val="20"/>
              </w:rPr>
              <w:t>739.128</w:t>
            </w:r>
          </w:p>
        </w:tc>
      </w:tr>
      <w:tr w:rsidR="00993E09" w:rsidRPr="00701F32" w14:paraId="23C885B7" w14:textId="77777777" w:rsidTr="00E311C9">
        <w:trPr>
          <w:trHeight w:val="278"/>
        </w:trPr>
        <w:tc>
          <w:tcPr>
            <w:tcW w:w="3994" w:type="pct"/>
            <w:tcBorders>
              <w:top w:val="single" w:sz="4" w:space="0" w:color="auto"/>
              <w:left w:val="single" w:sz="4" w:space="0" w:color="auto"/>
              <w:bottom w:val="single" w:sz="4" w:space="0" w:color="auto"/>
              <w:right w:val="single" w:sz="4" w:space="0" w:color="auto"/>
            </w:tcBorders>
            <w:shd w:val="clear" w:color="auto" w:fill="auto"/>
          </w:tcPr>
          <w:p w14:paraId="2129BF57" w14:textId="77777777" w:rsidR="00993E09" w:rsidRPr="00701F32" w:rsidRDefault="00993E09" w:rsidP="00993E09">
            <w:pPr>
              <w:jc w:val="both"/>
              <w:rPr>
                <w:rFonts w:ascii="Arial" w:hAnsi="Arial" w:cs="Arial"/>
                <w:b/>
                <w:sz w:val="20"/>
              </w:rPr>
            </w:pPr>
            <w:r w:rsidRPr="00701F32">
              <w:rPr>
                <w:rFonts w:ascii="Arial" w:hAnsi="Arial" w:cs="Arial"/>
                <w:b/>
                <w:sz w:val="20"/>
              </w:rPr>
              <w:t>Total</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bottom"/>
          </w:tcPr>
          <w:p w14:paraId="599E2A45" w14:textId="77777777" w:rsidR="00993E09" w:rsidRPr="00701F32" w:rsidRDefault="00993E09">
            <w:pPr>
              <w:jc w:val="right"/>
              <w:rPr>
                <w:rFonts w:ascii="Arial" w:hAnsi="Arial" w:cs="Arial"/>
                <w:b/>
                <w:sz w:val="20"/>
              </w:rPr>
            </w:pPr>
            <w:r w:rsidRPr="00701F32">
              <w:rPr>
                <w:rFonts w:ascii="Arial" w:hAnsi="Arial" w:cs="Arial"/>
                <w:b/>
                <w:sz w:val="20"/>
              </w:rPr>
              <w:t>2.158.167</w:t>
            </w:r>
          </w:p>
        </w:tc>
      </w:tr>
    </w:tbl>
    <w:p w14:paraId="5EBE7F7E" w14:textId="77777777" w:rsidR="00656E62" w:rsidRPr="00701F32" w:rsidRDefault="00656E62" w:rsidP="00656E62">
      <w:pPr>
        <w:jc w:val="both"/>
        <w:rPr>
          <w:rFonts w:ascii="Arial" w:hAnsi="Arial" w:cs="Arial"/>
          <w:b/>
          <w:bCs/>
          <w:color w:val="000000"/>
          <w:sz w:val="20"/>
        </w:rPr>
      </w:pPr>
    </w:p>
    <w:p w14:paraId="4D2DDF96" w14:textId="77777777" w:rsidR="00D5336C" w:rsidRPr="00701F32" w:rsidRDefault="00D5336C" w:rsidP="00656E62">
      <w:pPr>
        <w:jc w:val="both"/>
        <w:rPr>
          <w:rFonts w:ascii="Arial" w:hAnsi="Arial" w:cs="Arial"/>
          <w:b/>
          <w:bCs/>
          <w:color w:val="000000"/>
          <w:sz w:val="20"/>
        </w:rPr>
      </w:pPr>
    </w:p>
    <w:p w14:paraId="69768942" w14:textId="77777777" w:rsidR="002C3A48" w:rsidRPr="00701F32" w:rsidRDefault="002C3A48" w:rsidP="00656E62">
      <w:pPr>
        <w:jc w:val="both"/>
        <w:rPr>
          <w:rFonts w:ascii="Arial" w:hAnsi="Arial" w:cs="Arial"/>
          <w:b/>
          <w:bCs/>
          <w:color w:val="000000"/>
          <w:sz w:val="20"/>
        </w:rPr>
      </w:pPr>
    </w:p>
    <w:p w14:paraId="73E75D06" w14:textId="77777777" w:rsidR="00656E62" w:rsidRPr="00701F32" w:rsidRDefault="00D57127" w:rsidP="00656E62">
      <w:pPr>
        <w:jc w:val="both"/>
        <w:rPr>
          <w:rFonts w:ascii="Arial" w:hAnsi="Arial" w:cs="Arial"/>
          <w:b/>
          <w:bCs/>
          <w:color w:val="000000"/>
          <w:sz w:val="20"/>
        </w:rPr>
      </w:pPr>
      <w:r w:rsidRPr="00701F32">
        <w:rPr>
          <w:rFonts w:ascii="Arial" w:hAnsi="Arial" w:cs="Arial"/>
          <w:b/>
          <w:bCs/>
          <w:color w:val="000000"/>
          <w:sz w:val="20"/>
        </w:rPr>
        <w:t>17</w:t>
      </w:r>
      <w:r w:rsidR="00656E62" w:rsidRPr="00701F32">
        <w:rPr>
          <w:rFonts w:ascii="Arial" w:hAnsi="Arial" w:cs="Arial"/>
          <w:b/>
          <w:bCs/>
          <w:color w:val="000000"/>
          <w:sz w:val="20"/>
        </w:rPr>
        <w:t>.</w:t>
      </w:r>
      <w:r w:rsidR="004E457F" w:rsidRPr="00701F32">
        <w:rPr>
          <w:rFonts w:ascii="Arial" w:hAnsi="Arial" w:cs="Arial"/>
          <w:b/>
          <w:bCs/>
          <w:color w:val="000000"/>
          <w:sz w:val="20"/>
        </w:rPr>
        <w:t xml:space="preserve">17 </w:t>
      </w:r>
      <w:r w:rsidR="00656E62" w:rsidRPr="00701F32">
        <w:rPr>
          <w:rFonts w:ascii="Arial" w:hAnsi="Arial" w:cs="Arial"/>
          <w:b/>
          <w:bCs/>
          <w:color w:val="000000"/>
          <w:sz w:val="20"/>
        </w:rPr>
        <w:t xml:space="preserve">Gastos por función y naturaleza  </w:t>
      </w:r>
    </w:p>
    <w:p w14:paraId="0DE89FBA" w14:textId="77777777" w:rsidR="00656E62" w:rsidRPr="00701F32" w:rsidRDefault="00656E62" w:rsidP="00656E62">
      <w:pPr>
        <w:jc w:val="both"/>
        <w:rPr>
          <w:rFonts w:ascii="Arial" w:hAnsi="Arial" w:cs="Arial"/>
          <w:b/>
          <w:color w:val="943634" w:themeColor="accent2" w:themeShade="BF"/>
          <w:sz w:val="20"/>
        </w:rPr>
      </w:pPr>
    </w:p>
    <w:p w14:paraId="30444F74" w14:textId="77777777" w:rsidR="00656E62" w:rsidRPr="00701F32" w:rsidRDefault="00656E62" w:rsidP="00656E62">
      <w:pPr>
        <w:autoSpaceDE w:val="0"/>
        <w:autoSpaceDN w:val="0"/>
        <w:adjustRightInd w:val="0"/>
        <w:jc w:val="both"/>
        <w:rPr>
          <w:rFonts w:ascii="Arial" w:hAnsi="Arial" w:cs="Arial"/>
          <w:color w:val="000000"/>
          <w:sz w:val="20"/>
        </w:rPr>
      </w:pPr>
      <w:r w:rsidRPr="00701F32">
        <w:rPr>
          <w:rFonts w:ascii="Arial" w:hAnsi="Arial" w:cs="Arial"/>
          <w:color w:val="000000"/>
          <w:sz w:val="20"/>
        </w:rPr>
        <w:t xml:space="preserve">La Entidad presentó sus estados de resultados integrales bajo el método de la función del gasto. De acuerdo con este método, los gastos se clasifican de acuerdo a su función como parte de la partida “gastos de administración”. </w:t>
      </w:r>
    </w:p>
    <w:p w14:paraId="47A8E769" w14:textId="77777777" w:rsidR="00656E62" w:rsidRPr="00701F32" w:rsidRDefault="00656E62" w:rsidP="00656E62">
      <w:pPr>
        <w:autoSpaceDE w:val="0"/>
        <w:autoSpaceDN w:val="0"/>
        <w:adjustRightInd w:val="0"/>
        <w:jc w:val="both"/>
        <w:rPr>
          <w:rFonts w:ascii="Arial" w:hAnsi="Arial" w:cs="Arial"/>
          <w:color w:val="000000"/>
          <w:sz w:val="20"/>
        </w:rPr>
      </w:pPr>
      <w:r w:rsidRPr="00701F32">
        <w:rPr>
          <w:rFonts w:ascii="Arial" w:hAnsi="Arial" w:cs="Arial"/>
          <w:color w:val="000000"/>
          <w:sz w:val="20"/>
        </w:rPr>
        <w:t>La siguiente tabla proporciona la información adicional requerida sobre la naturaleza de los gastos y su relación con la función:</w:t>
      </w:r>
    </w:p>
    <w:p w14:paraId="35C291EB" w14:textId="77777777" w:rsidR="00656E62" w:rsidRPr="00701F32" w:rsidRDefault="00656E62" w:rsidP="00656E62">
      <w:pPr>
        <w:autoSpaceDE w:val="0"/>
        <w:autoSpaceDN w:val="0"/>
        <w:adjustRightInd w:val="0"/>
        <w:jc w:val="both"/>
        <w:rPr>
          <w:rFonts w:ascii="Arial" w:hAnsi="Arial" w:cs="Arial"/>
          <w:color w:val="000000"/>
          <w:sz w:val="20"/>
        </w:rPr>
      </w:pPr>
    </w:p>
    <w:tbl>
      <w:tblPr>
        <w:tblW w:w="85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5"/>
        <w:gridCol w:w="1275"/>
      </w:tblGrid>
      <w:tr w:rsidR="00A70906" w:rsidRPr="00701F32" w14:paraId="60D16E58" w14:textId="77777777" w:rsidTr="0086282C">
        <w:trPr>
          <w:trHeight w:val="255"/>
        </w:trPr>
        <w:tc>
          <w:tcPr>
            <w:tcW w:w="7225" w:type="dxa"/>
            <w:shd w:val="clear" w:color="auto" w:fill="auto"/>
            <w:noWrap/>
            <w:vAlign w:val="bottom"/>
            <w:hideMark/>
          </w:tcPr>
          <w:p w14:paraId="0464B7FF" w14:textId="77777777" w:rsidR="00A70906" w:rsidRPr="00701F32" w:rsidRDefault="00A70906" w:rsidP="0048778A">
            <w:pPr>
              <w:rPr>
                <w:rFonts w:ascii="Arial" w:hAnsi="Arial" w:cs="Arial"/>
                <w:b/>
                <w:bCs/>
                <w:color w:val="000000"/>
                <w:sz w:val="20"/>
                <w:lang w:eastAsia="es-AR"/>
              </w:rPr>
            </w:pPr>
            <w:r w:rsidRPr="00701F32">
              <w:rPr>
                <w:rFonts w:ascii="Arial" w:hAnsi="Arial" w:cs="Arial"/>
                <w:b/>
                <w:bCs/>
                <w:color w:val="000000"/>
                <w:sz w:val="20"/>
                <w:lang w:eastAsia="es-AR"/>
              </w:rPr>
              <w:t>Beneficios al personal</w:t>
            </w:r>
          </w:p>
        </w:tc>
        <w:tc>
          <w:tcPr>
            <w:tcW w:w="1275" w:type="dxa"/>
          </w:tcPr>
          <w:p w14:paraId="26F35A06" w14:textId="77777777" w:rsidR="00A70906" w:rsidRPr="00701F32" w:rsidRDefault="00A70906">
            <w:pPr>
              <w:jc w:val="right"/>
              <w:rPr>
                <w:rFonts w:ascii="Arial" w:hAnsi="Arial" w:cs="Arial"/>
                <w:b/>
                <w:color w:val="000000"/>
                <w:sz w:val="20"/>
                <w:lang w:eastAsia="es-AR"/>
              </w:rPr>
            </w:pPr>
            <w:r w:rsidRPr="00701F32">
              <w:rPr>
                <w:rFonts w:ascii="Arial" w:hAnsi="Arial" w:cs="Arial"/>
                <w:b/>
                <w:color w:val="000000"/>
                <w:sz w:val="20"/>
                <w:lang w:eastAsia="es-AR"/>
              </w:rPr>
              <w:t>31/12/2017</w:t>
            </w:r>
          </w:p>
        </w:tc>
      </w:tr>
      <w:tr w:rsidR="00A70906" w:rsidRPr="00701F32" w14:paraId="6FDC03C2" w14:textId="77777777" w:rsidTr="00E311C9">
        <w:trPr>
          <w:trHeight w:val="255"/>
        </w:trPr>
        <w:tc>
          <w:tcPr>
            <w:tcW w:w="7225" w:type="dxa"/>
            <w:shd w:val="clear" w:color="auto" w:fill="auto"/>
            <w:noWrap/>
            <w:vAlign w:val="bottom"/>
            <w:hideMark/>
          </w:tcPr>
          <w:p w14:paraId="5D8321D3"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Gastos de personal</w:t>
            </w:r>
          </w:p>
        </w:tc>
        <w:tc>
          <w:tcPr>
            <w:tcW w:w="1275" w:type="dxa"/>
            <w:vAlign w:val="bottom"/>
          </w:tcPr>
          <w:p w14:paraId="0AB57F29"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815.907</w:t>
            </w:r>
          </w:p>
        </w:tc>
      </w:tr>
      <w:tr w:rsidR="00A70906" w:rsidRPr="00701F32" w14:paraId="769132E7" w14:textId="77777777" w:rsidTr="00E311C9">
        <w:trPr>
          <w:trHeight w:val="255"/>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92EB2"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Remuneraciones y cargas sociales</w:t>
            </w:r>
          </w:p>
        </w:tc>
        <w:tc>
          <w:tcPr>
            <w:tcW w:w="1275" w:type="dxa"/>
            <w:tcBorders>
              <w:top w:val="single" w:sz="4" w:space="0" w:color="auto"/>
              <w:left w:val="single" w:sz="4" w:space="0" w:color="auto"/>
              <w:bottom w:val="single" w:sz="4" w:space="0" w:color="auto"/>
              <w:right w:val="single" w:sz="4" w:space="0" w:color="auto"/>
            </w:tcBorders>
            <w:vAlign w:val="bottom"/>
          </w:tcPr>
          <w:p w14:paraId="37D1615E"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3.648.485</w:t>
            </w:r>
          </w:p>
        </w:tc>
      </w:tr>
      <w:tr w:rsidR="00A70906" w:rsidRPr="00701F32" w14:paraId="073F646F" w14:textId="77777777" w:rsidTr="00E311C9">
        <w:trPr>
          <w:trHeight w:val="270"/>
        </w:trPr>
        <w:tc>
          <w:tcPr>
            <w:tcW w:w="7225" w:type="dxa"/>
            <w:shd w:val="clear" w:color="auto" w:fill="auto"/>
            <w:noWrap/>
            <w:vAlign w:val="bottom"/>
            <w:hideMark/>
          </w:tcPr>
          <w:p w14:paraId="3B5ACD5E" w14:textId="77777777" w:rsidR="00A70906" w:rsidRPr="00701F32" w:rsidRDefault="00A70906" w:rsidP="0048778A">
            <w:pPr>
              <w:rPr>
                <w:rFonts w:ascii="Arial" w:hAnsi="Arial" w:cs="Arial"/>
                <w:b/>
                <w:color w:val="000000"/>
                <w:sz w:val="20"/>
                <w:lang w:eastAsia="es-AR"/>
              </w:rPr>
            </w:pPr>
            <w:r w:rsidRPr="00701F32">
              <w:rPr>
                <w:rFonts w:ascii="Arial" w:hAnsi="Arial" w:cs="Arial"/>
                <w:b/>
                <w:color w:val="000000"/>
                <w:sz w:val="20"/>
                <w:lang w:eastAsia="es-AR"/>
              </w:rPr>
              <w:t>Total</w:t>
            </w:r>
          </w:p>
        </w:tc>
        <w:tc>
          <w:tcPr>
            <w:tcW w:w="1275" w:type="dxa"/>
            <w:vAlign w:val="bottom"/>
          </w:tcPr>
          <w:p w14:paraId="258555F5" w14:textId="77777777" w:rsidR="00A70906" w:rsidRPr="00701F32" w:rsidRDefault="00A70906">
            <w:pPr>
              <w:jc w:val="right"/>
              <w:rPr>
                <w:rFonts w:ascii="Arial" w:hAnsi="Arial" w:cs="Arial"/>
                <w:b/>
                <w:color w:val="000000"/>
                <w:sz w:val="20"/>
                <w:lang w:eastAsia="es-AR"/>
              </w:rPr>
            </w:pPr>
            <w:r w:rsidRPr="00701F32">
              <w:rPr>
                <w:rFonts w:ascii="Arial" w:hAnsi="Arial" w:cs="Arial"/>
                <w:b/>
                <w:color w:val="000000"/>
                <w:sz w:val="20"/>
                <w:lang w:eastAsia="es-AR"/>
              </w:rPr>
              <w:t>4.464.392</w:t>
            </w:r>
          </w:p>
        </w:tc>
      </w:tr>
    </w:tbl>
    <w:p w14:paraId="25FCB44B" w14:textId="77777777" w:rsidR="00656E62" w:rsidRPr="00701F32" w:rsidRDefault="00656E62" w:rsidP="00656E62">
      <w:pPr>
        <w:autoSpaceDE w:val="0"/>
        <w:autoSpaceDN w:val="0"/>
        <w:adjustRightInd w:val="0"/>
        <w:spacing w:after="160" w:line="259" w:lineRule="auto"/>
        <w:jc w:val="both"/>
        <w:rPr>
          <w:rFonts w:ascii="Arial" w:eastAsia="Arial" w:hAnsi="Arial" w:cs="Arial"/>
          <w:b/>
          <w:bCs/>
          <w:sz w:val="20"/>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0"/>
        <w:gridCol w:w="1275"/>
      </w:tblGrid>
      <w:tr w:rsidR="00A70906" w:rsidRPr="00701F32" w14:paraId="567790FE" w14:textId="77777777" w:rsidTr="0086282C">
        <w:trPr>
          <w:trHeight w:val="255"/>
        </w:trPr>
        <w:tc>
          <w:tcPr>
            <w:tcW w:w="7230" w:type="dxa"/>
            <w:shd w:val="clear" w:color="auto" w:fill="auto"/>
            <w:noWrap/>
            <w:vAlign w:val="bottom"/>
            <w:hideMark/>
          </w:tcPr>
          <w:p w14:paraId="6A9D5D09" w14:textId="77777777" w:rsidR="00A70906" w:rsidRPr="00701F32" w:rsidRDefault="00A70906" w:rsidP="0048778A">
            <w:pPr>
              <w:rPr>
                <w:rFonts w:ascii="Arial" w:hAnsi="Arial" w:cs="Arial"/>
                <w:b/>
                <w:bCs/>
                <w:color w:val="000000"/>
                <w:sz w:val="20"/>
                <w:lang w:eastAsia="es-AR"/>
              </w:rPr>
            </w:pPr>
            <w:r w:rsidRPr="00701F32">
              <w:rPr>
                <w:rFonts w:ascii="Arial" w:hAnsi="Arial" w:cs="Arial"/>
                <w:b/>
                <w:bCs/>
                <w:color w:val="000000"/>
                <w:sz w:val="20"/>
                <w:lang w:eastAsia="es-AR"/>
              </w:rPr>
              <w:t>Gastos de administración</w:t>
            </w:r>
          </w:p>
        </w:tc>
        <w:tc>
          <w:tcPr>
            <w:tcW w:w="1275" w:type="dxa"/>
          </w:tcPr>
          <w:p w14:paraId="32072086" w14:textId="77777777" w:rsidR="00A70906" w:rsidRPr="00701F32" w:rsidRDefault="00A70906">
            <w:pPr>
              <w:jc w:val="right"/>
              <w:rPr>
                <w:rFonts w:ascii="Arial" w:hAnsi="Arial" w:cs="Arial"/>
                <w:b/>
                <w:color w:val="000000"/>
                <w:sz w:val="20"/>
                <w:lang w:eastAsia="es-AR"/>
              </w:rPr>
            </w:pPr>
            <w:r w:rsidRPr="00701F32">
              <w:rPr>
                <w:rFonts w:ascii="Arial" w:hAnsi="Arial" w:cs="Arial"/>
                <w:b/>
                <w:color w:val="000000"/>
                <w:sz w:val="20"/>
                <w:lang w:eastAsia="es-AR"/>
              </w:rPr>
              <w:t>31/12/2017</w:t>
            </w:r>
          </w:p>
        </w:tc>
      </w:tr>
      <w:tr w:rsidR="00A70906" w:rsidRPr="00701F32" w14:paraId="0E5042E4" w14:textId="77777777" w:rsidTr="00E311C9">
        <w:trPr>
          <w:trHeight w:val="255"/>
        </w:trPr>
        <w:tc>
          <w:tcPr>
            <w:tcW w:w="7230" w:type="dxa"/>
            <w:shd w:val="clear" w:color="auto" w:fill="auto"/>
            <w:noWrap/>
            <w:vAlign w:val="bottom"/>
            <w:hideMark/>
          </w:tcPr>
          <w:p w14:paraId="440231B8"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Alquileres</w:t>
            </w:r>
          </w:p>
        </w:tc>
        <w:tc>
          <w:tcPr>
            <w:tcW w:w="1275" w:type="dxa"/>
            <w:vAlign w:val="bottom"/>
          </w:tcPr>
          <w:p w14:paraId="233A4AB2"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232.323</w:t>
            </w:r>
          </w:p>
        </w:tc>
      </w:tr>
      <w:tr w:rsidR="00A70906" w:rsidRPr="00701F32" w14:paraId="2611C855"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2EF75"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Diversos</w:t>
            </w:r>
          </w:p>
        </w:tc>
        <w:tc>
          <w:tcPr>
            <w:tcW w:w="1275" w:type="dxa"/>
            <w:tcBorders>
              <w:top w:val="single" w:sz="4" w:space="0" w:color="auto"/>
              <w:left w:val="single" w:sz="4" w:space="0" w:color="auto"/>
              <w:bottom w:val="single" w:sz="4" w:space="0" w:color="auto"/>
              <w:right w:val="single" w:sz="4" w:space="0" w:color="auto"/>
            </w:tcBorders>
            <w:vAlign w:val="bottom"/>
          </w:tcPr>
          <w:p w14:paraId="2F49320C"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71.084</w:t>
            </w:r>
          </w:p>
        </w:tc>
      </w:tr>
      <w:tr w:rsidR="00A70906" w:rsidRPr="00701F32" w14:paraId="22EA3F4F"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F33C8"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Energía eléctrica, gas  y teléfono</w:t>
            </w:r>
          </w:p>
        </w:tc>
        <w:tc>
          <w:tcPr>
            <w:tcW w:w="1275" w:type="dxa"/>
            <w:tcBorders>
              <w:top w:val="single" w:sz="4" w:space="0" w:color="auto"/>
              <w:left w:val="single" w:sz="4" w:space="0" w:color="auto"/>
              <w:bottom w:val="single" w:sz="4" w:space="0" w:color="auto"/>
              <w:right w:val="single" w:sz="4" w:space="0" w:color="auto"/>
            </w:tcBorders>
            <w:vAlign w:val="bottom"/>
          </w:tcPr>
          <w:p w14:paraId="7AB23D65"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109.522</w:t>
            </w:r>
          </w:p>
        </w:tc>
      </w:tr>
      <w:tr w:rsidR="00A70906" w:rsidRPr="00701F32" w14:paraId="1DFC66E7"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B77AB"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Gastos de publicidad, promoción e investigación</w:t>
            </w:r>
          </w:p>
        </w:tc>
        <w:tc>
          <w:tcPr>
            <w:tcW w:w="1275" w:type="dxa"/>
            <w:tcBorders>
              <w:top w:val="single" w:sz="4" w:space="0" w:color="auto"/>
              <w:left w:val="single" w:sz="4" w:space="0" w:color="auto"/>
              <w:bottom w:val="single" w:sz="4" w:space="0" w:color="auto"/>
              <w:right w:val="single" w:sz="4" w:space="0" w:color="auto"/>
            </w:tcBorders>
            <w:vAlign w:val="bottom"/>
          </w:tcPr>
          <w:p w14:paraId="747A96E9"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217.567</w:t>
            </w:r>
          </w:p>
        </w:tc>
      </w:tr>
      <w:tr w:rsidR="00A70906" w:rsidRPr="00701F32" w14:paraId="4D661475"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461F0"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Gastos de representación y movilidad</w:t>
            </w:r>
          </w:p>
        </w:tc>
        <w:tc>
          <w:tcPr>
            <w:tcW w:w="1275" w:type="dxa"/>
            <w:tcBorders>
              <w:top w:val="single" w:sz="4" w:space="0" w:color="auto"/>
              <w:left w:val="single" w:sz="4" w:space="0" w:color="auto"/>
              <w:bottom w:val="single" w:sz="4" w:space="0" w:color="auto"/>
              <w:right w:val="single" w:sz="4" w:space="0" w:color="auto"/>
            </w:tcBorders>
            <w:vAlign w:val="bottom"/>
          </w:tcPr>
          <w:p w14:paraId="7E2E32F6"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58.527</w:t>
            </w:r>
          </w:p>
        </w:tc>
      </w:tr>
      <w:tr w:rsidR="00A70906" w:rsidRPr="00701F32" w14:paraId="49F7BE38"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BA78A"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Honorarios al Directorio</w:t>
            </w:r>
          </w:p>
        </w:tc>
        <w:tc>
          <w:tcPr>
            <w:tcW w:w="1275" w:type="dxa"/>
            <w:tcBorders>
              <w:top w:val="single" w:sz="4" w:space="0" w:color="auto"/>
              <w:left w:val="single" w:sz="4" w:space="0" w:color="auto"/>
              <w:bottom w:val="single" w:sz="4" w:space="0" w:color="auto"/>
              <w:right w:val="single" w:sz="4" w:space="0" w:color="auto"/>
            </w:tcBorders>
            <w:vAlign w:val="bottom"/>
          </w:tcPr>
          <w:p w14:paraId="05C74D93"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49.632</w:t>
            </w:r>
          </w:p>
        </w:tc>
      </w:tr>
      <w:tr w:rsidR="00A70906" w:rsidRPr="00701F32" w14:paraId="6221C2FA"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93E90"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Honorarios y retribuciones por servicios</w:t>
            </w:r>
          </w:p>
        </w:tc>
        <w:tc>
          <w:tcPr>
            <w:tcW w:w="1275" w:type="dxa"/>
            <w:tcBorders>
              <w:top w:val="single" w:sz="4" w:space="0" w:color="auto"/>
              <w:left w:val="single" w:sz="4" w:space="0" w:color="auto"/>
              <w:bottom w:val="single" w:sz="4" w:space="0" w:color="auto"/>
              <w:right w:val="single" w:sz="4" w:space="0" w:color="auto"/>
            </w:tcBorders>
            <w:vAlign w:val="bottom"/>
          </w:tcPr>
          <w:p w14:paraId="54F1FA72"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1.005.229</w:t>
            </w:r>
          </w:p>
        </w:tc>
      </w:tr>
      <w:tr w:rsidR="00A70906" w:rsidRPr="00701F32" w14:paraId="403EFE89"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1C950"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Impuestos y tasas</w:t>
            </w:r>
          </w:p>
        </w:tc>
        <w:tc>
          <w:tcPr>
            <w:tcW w:w="1275" w:type="dxa"/>
            <w:tcBorders>
              <w:top w:val="single" w:sz="4" w:space="0" w:color="auto"/>
              <w:left w:val="single" w:sz="4" w:space="0" w:color="auto"/>
              <w:bottom w:val="single" w:sz="4" w:space="0" w:color="auto"/>
              <w:right w:val="single" w:sz="4" w:space="0" w:color="auto"/>
            </w:tcBorders>
            <w:vAlign w:val="bottom"/>
          </w:tcPr>
          <w:p w14:paraId="2AD4C965"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424.888</w:t>
            </w:r>
          </w:p>
        </w:tc>
      </w:tr>
      <w:tr w:rsidR="00A70906" w:rsidRPr="00701F32" w14:paraId="6FC5FB25" w14:textId="77777777" w:rsidTr="00E311C9">
        <w:trPr>
          <w:trHeight w:val="255"/>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79540"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Mantenimiento y reparaciones</w:t>
            </w:r>
          </w:p>
        </w:tc>
        <w:tc>
          <w:tcPr>
            <w:tcW w:w="1275" w:type="dxa"/>
            <w:tcBorders>
              <w:top w:val="single" w:sz="4" w:space="0" w:color="auto"/>
              <w:left w:val="single" w:sz="4" w:space="0" w:color="auto"/>
              <w:bottom w:val="single" w:sz="4" w:space="0" w:color="auto"/>
              <w:right w:val="single" w:sz="4" w:space="0" w:color="auto"/>
            </w:tcBorders>
            <w:vAlign w:val="bottom"/>
          </w:tcPr>
          <w:p w14:paraId="5CE59D07"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308.236</w:t>
            </w:r>
          </w:p>
        </w:tc>
      </w:tr>
      <w:tr w:rsidR="00A70906" w:rsidRPr="00701F32" w14:paraId="13A58839" w14:textId="77777777" w:rsidTr="00E311C9">
        <w:trPr>
          <w:trHeight w:val="270"/>
        </w:trPr>
        <w:tc>
          <w:tcPr>
            <w:tcW w:w="7230" w:type="dxa"/>
            <w:shd w:val="clear" w:color="auto" w:fill="auto"/>
            <w:noWrap/>
            <w:vAlign w:val="bottom"/>
          </w:tcPr>
          <w:p w14:paraId="19409FF9" w14:textId="77777777" w:rsidR="00A70906" w:rsidRPr="00701F32" w:rsidRDefault="00A70906" w:rsidP="0048778A">
            <w:pPr>
              <w:rPr>
                <w:rFonts w:ascii="Arial" w:hAnsi="Arial" w:cs="Arial"/>
                <w:color w:val="000000"/>
                <w:sz w:val="20"/>
                <w:lang w:eastAsia="es-AR"/>
              </w:rPr>
            </w:pPr>
            <w:r w:rsidRPr="00701F32">
              <w:rPr>
                <w:rFonts w:ascii="Arial" w:hAnsi="Arial" w:cs="Arial"/>
                <w:color w:val="000000"/>
                <w:sz w:val="20"/>
                <w:lang w:eastAsia="es-AR"/>
              </w:rPr>
              <w:t>Utiles de oficina</w:t>
            </w:r>
          </w:p>
        </w:tc>
        <w:tc>
          <w:tcPr>
            <w:tcW w:w="1275" w:type="dxa"/>
            <w:vAlign w:val="bottom"/>
          </w:tcPr>
          <w:p w14:paraId="5F45CBBA" w14:textId="77777777" w:rsidR="00A70906" w:rsidRPr="00701F32" w:rsidRDefault="00A70906">
            <w:pPr>
              <w:jc w:val="right"/>
              <w:rPr>
                <w:rFonts w:ascii="Arial" w:hAnsi="Arial" w:cs="Arial"/>
                <w:color w:val="000000"/>
                <w:sz w:val="20"/>
                <w:lang w:eastAsia="es-AR"/>
              </w:rPr>
            </w:pPr>
            <w:r w:rsidRPr="00701F32">
              <w:rPr>
                <w:rFonts w:ascii="Arial" w:hAnsi="Arial" w:cs="Arial"/>
                <w:color w:val="000000"/>
                <w:sz w:val="20"/>
                <w:lang w:eastAsia="es-AR"/>
              </w:rPr>
              <w:t>49.958</w:t>
            </w:r>
          </w:p>
        </w:tc>
      </w:tr>
      <w:tr w:rsidR="00A70906" w:rsidRPr="00701F32" w14:paraId="60EBB86F" w14:textId="77777777" w:rsidTr="00E311C9">
        <w:trPr>
          <w:trHeight w:val="270"/>
        </w:trPr>
        <w:tc>
          <w:tcPr>
            <w:tcW w:w="7230" w:type="dxa"/>
            <w:shd w:val="clear" w:color="auto" w:fill="auto"/>
            <w:noWrap/>
            <w:vAlign w:val="bottom"/>
            <w:hideMark/>
          </w:tcPr>
          <w:p w14:paraId="5067AA87" w14:textId="77777777" w:rsidR="00A70906" w:rsidRPr="00701F32" w:rsidRDefault="00A70906" w:rsidP="0048778A">
            <w:pPr>
              <w:rPr>
                <w:rFonts w:ascii="Arial" w:hAnsi="Arial" w:cs="Arial"/>
                <w:b/>
                <w:color w:val="000000"/>
                <w:sz w:val="20"/>
                <w:lang w:eastAsia="es-AR"/>
              </w:rPr>
            </w:pPr>
            <w:r w:rsidRPr="00701F32">
              <w:rPr>
                <w:rFonts w:ascii="Arial" w:hAnsi="Arial" w:cs="Arial"/>
                <w:b/>
                <w:color w:val="000000"/>
                <w:sz w:val="20"/>
                <w:lang w:eastAsia="es-AR"/>
              </w:rPr>
              <w:t>Total</w:t>
            </w:r>
          </w:p>
        </w:tc>
        <w:tc>
          <w:tcPr>
            <w:tcW w:w="1275" w:type="dxa"/>
            <w:vAlign w:val="bottom"/>
          </w:tcPr>
          <w:p w14:paraId="3405E33F" w14:textId="77777777" w:rsidR="00A70906" w:rsidRPr="00701F32" w:rsidRDefault="00A70906">
            <w:pPr>
              <w:jc w:val="right"/>
              <w:rPr>
                <w:rFonts w:ascii="Arial" w:hAnsi="Arial" w:cs="Arial"/>
                <w:b/>
                <w:color w:val="000000"/>
                <w:sz w:val="20"/>
                <w:lang w:eastAsia="es-AR"/>
              </w:rPr>
            </w:pPr>
            <w:r w:rsidRPr="00701F32">
              <w:rPr>
                <w:rFonts w:ascii="Arial" w:hAnsi="Arial" w:cs="Arial"/>
                <w:b/>
                <w:color w:val="000000"/>
                <w:sz w:val="20"/>
                <w:lang w:eastAsia="es-AR"/>
              </w:rPr>
              <w:t>2.526.966</w:t>
            </w:r>
          </w:p>
        </w:tc>
      </w:tr>
    </w:tbl>
    <w:p w14:paraId="4E0F5E47" w14:textId="77777777" w:rsidR="00A70906" w:rsidRPr="00701F32" w:rsidRDefault="00A70906" w:rsidP="00656E62">
      <w:pPr>
        <w:autoSpaceDE w:val="0"/>
        <w:autoSpaceDN w:val="0"/>
        <w:adjustRightInd w:val="0"/>
        <w:spacing w:after="160" w:line="259" w:lineRule="auto"/>
        <w:jc w:val="both"/>
        <w:rPr>
          <w:rFonts w:ascii="Arial" w:eastAsia="Arial" w:hAnsi="Arial" w:cs="Arial"/>
          <w:b/>
          <w:bCs/>
          <w:sz w:val="20"/>
        </w:rPr>
      </w:pPr>
    </w:p>
    <w:p w14:paraId="3EA0AF79" w14:textId="77777777" w:rsidR="00752937" w:rsidRPr="00701F32" w:rsidRDefault="00D57127" w:rsidP="00656E62">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656E62" w:rsidRPr="00701F32">
        <w:rPr>
          <w:rFonts w:ascii="Arial" w:hAnsi="Arial" w:cs="Arial"/>
          <w:b/>
          <w:noProof/>
          <w:sz w:val="20"/>
        </w:rPr>
        <w:t>.</w:t>
      </w:r>
      <w:r w:rsidR="004E457F" w:rsidRPr="00701F32">
        <w:rPr>
          <w:rFonts w:ascii="Arial" w:hAnsi="Arial" w:cs="Arial"/>
          <w:b/>
          <w:noProof/>
          <w:sz w:val="20"/>
        </w:rPr>
        <w:t xml:space="preserve">18 </w:t>
      </w:r>
      <w:r w:rsidR="00656E62" w:rsidRPr="00701F32">
        <w:rPr>
          <w:rFonts w:ascii="Arial" w:hAnsi="Arial" w:cs="Arial"/>
          <w:b/>
          <w:noProof/>
          <w:sz w:val="20"/>
        </w:rPr>
        <w:t xml:space="preserve">Impuesto a las Ganancias      </w:t>
      </w:r>
    </w:p>
    <w:p w14:paraId="6A16FBCB" w14:textId="77777777" w:rsidR="00752937" w:rsidRPr="00701F32" w:rsidRDefault="00752937" w:rsidP="00752937">
      <w:pPr>
        <w:pStyle w:val="PrimerNivel"/>
        <w:numPr>
          <w:ilvl w:val="0"/>
          <w:numId w:val="0"/>
        </w:numPr>
        <w:rPr>
          <w:rFonts w:ascii="Arial" w:hAnsi="Arial" w:cs="Arial"/>
          <w:sz w:val="20"/>
          <w:szCs w:val="20"/>
          <w:lang w:val="es-AR"/>
        </w:rPr>
      </w:pPr>
    </w:p>
    <w:tbl>
      <w:tblPr>
        <w:tblW w:w="8020" w:type="dxa"/>
        <w:tblInd w:w="279" w:type="dxa"/>
        <w:tblCellMar>
          <w:left w:w="70" w:type="dxa"/>
          <w:right w:w="70" w:type="dxa"/>
        </w:tblCellMar>
        <w:tblLook w:val="04A0" w:firstRow="1" w:lastRow="0" w:firstColumn="1" w:lastColumn="0" w:noHBand="0" w:noVBand="1"/>
      </w:tblPr>
      <w:tblGrid>
        <w:gridCol w:w="6580"/>
        <w:gridCol w:w="1440"/>
      </w:tblGrid>
      <w:tr w:rsidR="00752937" w:rsidRPr="00701F32" w14:paraId="5977B533" w14:textId="77777777" w:rsidTr="0086282C">
        <w:trPr>
          <w:trHeight w:val="255"/>
          <w:tblHeader/>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7DCE" w14:textId="77777777" w:rsidR="00752937" w:rsidRPr="00701F32" w:rsidRDefault="00752937" w:rsidP="002731C9">
            <w:pPr>
              <w:rPr>
                <w:sz w:val="18"/>
                <w:szCs w:val="24"/>
                <w:lang w:eastAsia="es-AR"/>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0041" w14:textId="77777777" w:rsidR="00752937" w:rsidRPr="00701F32" w:rsidRDefault="00752937" w:rsidP="002731C9">
            <w:pPr>
              <w:jc w:val="center"/>
              <w:rPr>
                <w:rFonts w:ascii="Arial" w:hAnsi="Arial" w:cs="Arial"/>
                <w:b/>
                <w:bCs/>
                <w:color w:val="000000"/>
                <w:sz w:val="18"/>
                <w:lang w:eastAsia="es-AR"/>
              </w:rPr>
            </w:pPr>
            <w:r w:rsidRPr="00701F32">
              <w:rPr>
                <w:rFonts w:ascii="Arial" w:hAnsi="Arial" w:cs="Arial"/>
                <w:b/>
                <w:bCs/>
                <w:color w:val="000000"/>
                <w:sz w:val="18"/>
                <w:lang w:eastAsia="es-AR"/>
              </w:rPr>
              <w:t>31/12/2017</w:t>
            </w:r>
          </w:p>
        </w:tc>
      </w:tr>
      <w:tr w:rsidR="00752937" w:rsidRPr="00701F32" w14:paraId="65CA315D" w14:textId="77777777" w:rsidTr="002731C9">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606F3B78" w14:textId="77777777" w:rsidR="00752937" w:rsidRPr="00701F32" w:rsidRDefault="00752937" w:rsidP="002731C9">
            <w:pPr>
              <w:rPr>
                <w:rFonts w:ascii="Arial" w:hAnsi="Arial" w:cs="Arial"/>
                <w:color w:val="000000"/>
                <w:sz w:val="18"/>
                <w:lang w:eastAsia="es-AR"/>
              </w:rPr>
            </w:pPr>
            <w:r w:rsidRPr="00701F32">
              <w:rPr>
                <w:rFonts w:ascii="Arial" w:hAnsi="Arial" w:cs="Arial"/>
                <w:color w:val="000000"/>
                <w:sz w:val="18"/>
                <w:lang w:eastAsia="es-AR"/>
              </w:rPr>
              <w:t>Impuesto a las ganancias corriente</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2649518C" w14:textId="77777777" w:rsidR="00752937" w:rsidRPr="00701F32" w:rsidRDefault="00752937" w:rsidP="002731C9">
            <w:pPr>
              <w:jc w:val="right"/>
              <w:rPr>
                <w:rFonts w:ascii="Arial" w:hAnsi="Arial" w:cs="Arial"/>
                <w:color w:val="000000"/>
                <w:sz w:val="18"/>
                <w:lang w:eastAsia="es-AR"/>
              </w:rPr>
            </w:pPr>
            <w:r w:rsidRPr="00701F32">
              <w:rPr>
                <w:rFonts w:ascii="Arial" w:hAnsi="Arial" w:cs="Arial"/>
                <w:color w:val="000000"/>
                <w:sz w:val="18"/>
                <w:lang w:eastAsia="es-AR"/>
              </w:rPr>
              <w:t>439.477</w:t>
            </w:r>
          </w:p>
        </w:tc>
      </w:tr>
      <w:tr w:rsidR="00752937" w:rsidRPr="00701F32" w14:paraId="12010FE5" w14:textId="77777777" w:rsidTr="00B30DEB">
        <w:trPr>
          <w:trHeight w:val="255"/>
        </w:trPr>
        <w:tc>
          <w:tcPr>
            <w:tcW w:w="6580" w:type="dxa"/>
            <w:tcBorders>
              <w:top w:val="nil"/>
              <w:left w:val="single" w:sz="4" w:space="0" w:color="auto"/>
              <w:bottom w:val="single" w:sz="4" w:space="0" w:color="auto"/>
              <w:right w:val="single" w:sz="4" w:space="0" w:color="auto"/>
            </w:tcBorders>
            <w:shd w:val="clear" w:color="auto" w:fill="auto"/>
            <w:noWrap/>
            <w:vAlign w:val="bottom"/>
            <w:hideMark/>
          </w:tcPr>
          <w:p w14:paraId="18D49DE5" w14:textId="77777777" w:rsidR="00752937" w:rsidRPr="00701F32" w:rsidRDefault="00752937" w:rsidP="002731C9">
            <w:pPr>
              <w:rPr>
                <w:rFonts w:ascii="Arial" w:hAnsi="Arial" w:cs="Arial"/>
                <w:color w:val="000000"/>
                <w:sz w:val="18"/>
                <w:lang w:eastAsia="es-AR"/>
              </w:rPr>
            </w:pPr>
            <w:r w:rsidRPr="00701F32">
              <w:rPr>
                <w:rFonts w:ascii="Arial" w:hAnsi="Arial" w:cs="Arial"/>
                <w:color w:val="000000"/>
                <w:sz w:val="18"/>
                <w:lang w:eastAsia="es-AR"/>
              </w:rPr>
              <w:t>Impuesto -método diferido</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BA1D41" w14:textId="77777777" w:rsidR="00752937" w:rsidRPr="00701F32" w:rsidRDefault="00752937" w:rsidP="002731C9">
            <w:pPr>
              <w:jc w:val="right"/>
              <w:rPr>
                <w:rFonts w:ascii="Arial" w:hAnsi="Arial" w:cs="Arial"/>
                <w:color w:val="000000"/>
                <w:sz w:val="18"/>
                <w:lang w:eastAsia="es-AR"/>
              </w:rPr>
            </w:pPr>
            <w:r w:rsidRPr="00701F32">
              <w:rPr>
                <w:rFonts w:ascii="Arial" w:hAnsi="Arial" w:cs="Arial"/>
                <w:color w:val="000000"/>
                <w:sz w:val="18"/>
                <w:lang w:eastAsia="es-AR"/>
              </w:rPr>
              <w:t xml:space="preserve">            -87.453</w:t>
            </w:r>
          </w:p>
        </w:tc>
      </w:tr>
      <w:tr w:rsidR="00752937" w:rsidRPr="00701F32" w14:paraId="6848410D" w14:textId="77777777" w:rsidTr="00B30DEB">
        <w:trPr>
          <w:trHeight w:val="25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9065" w14:textId="77777777" w:rsidR="00752937" w:rsidRPr="00701F32" w:rsidRDefault="00752937" w:rsidP="002731C9">
            <w:pPr>
              <w:rPr>
                <w:rFonts w:ascii="Arial" w:hAnsi="Arial" w:cs="Arial"/>
                <w:b/>
                <w:bCs/>
                <w:color w:val="000000"/>
                <w:sz w:val="18"/>
                <w:lang w:eastAsia="es-AR"/>
              </w:rPr>
            </w:pPr>
            <w:r w:rsidRPr="00701F32">
              <w:rPr>
                <w:rFonts w:ascii="Arial" w:hAnsi="Arial" w:cs="Arial"/>
                <w:b/>
                <w:bCs/>
                <w:color w:val="000000"/>
                <w:sz w:val="18"/>
                <w:lang w:eastAsia="es-AR"/>
              </w:rPr>
              <w:t>Impuesto a las  Ganancias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F421E" w14:textId="77777777" w:rsidR="00752937" w:rsidRPr="00701F32" w:rsidRDefault="00752937" w:rsidP="002731C9">
            <w:pPr>
              <w:jc w:val="right"/>
              <w:rPr>
                <w:rFonts w:ascii="Arial" w:hAnsi="Arial" w:cs="Arial"/>
                <w:b/>
                <w:bCs/>
                <w:color w:val="000000"/>
                <w:sz w:val="18"/>
                <w:lang w:eastAsia="es-AR"/>
              </w:rPr>
            </w:pPr>
            <w:r w:rsidRPr="00701F32">
              <w:rPr>
                <w:rFonts w:ascii="Arial" w:hAnsi="Arial" w:cs="Arial"/>
                <w:b/>
                <w:bCs/>
                <w:color w:val="000000"/>
                <w:sz w:val="18"/>
                <w:lang w:eastAsia="es-AR"/>
              </w:rPr>
              <w:t xml:space="preserve">           352.024</w:t>
            </w:r>
          </w:p>
        </w:tc>
      </w:tr>
      <w:tr w:rsidR="00752937" w:rsidRPr="00701F32" w14:paraId="63A79170" w14:textId="77777777" w:rsidTr="00B30DEB">
        <w:trPr>
          <w:trHeight w:val="255"/>
        </w:trPr>
        <w:tc>
          <w:tcPr>
            <w:tcW w:w="6580" w:type="dxa"/>
            <w:tcBorders>
              <w:top w:val="single" w:sz="4" w:space="0" w:color="auto"/>
              <w:left w:val="single" w:sz="4" w:space="0" w:color="auto"/>
              <w:bottom w:val="nil"/>
              <w:right w:val="single" w:sz="4" w:space="0" w:color="auto"/>
            </w:tcBorders>
            <w:shd w:val="clear" w:color="auto" w:fill="auto"/>
            <w:noWrap/>
            <w:vAlign w:val="bottom"/>
            <w:hideMark/>
          </w:tcPr>
          <w:p w14:paraId="36F48CDB" w14:textId="77777777" w:rsidR="00752937" w:rsidRPr="00701F32" w:rsidRDefault="00752937" w:rsidP="002731C9">
            <w:pPr>
              <w:rPr>
                <w:rFonts w:ascii="Arial" w:hAnsi="Arial" w:cs="Arial"/>
                <w:color w:val="000000"/>
                <w:sz w:val="18"/>
                <w:lang w:eastAsia="es-AR"/>
              </w:rPr>
            </w:pPr>
            <w:r w:rsidRPr="00701F32">
              <w:rPr>
                <w:rFonts w:ascii="Arial" w:hAnsi="Arial" w:cs="Arial"/>
                <w:color w:val="000000"/>
                <w:sz w:val="18"/>
                <w:lang w:eastAsia="es-AR"/>
              </w:rPr>
              <w:t>IGMP</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5ECC6E12" w14:textId="77777777" w:rsidR="00752937" w:rsidRPr="00701F32" w:rsidRDefault="00752937" w:rsidP="002731C9">
            <w:pPr>
              <w:jc w:val="right"/>
              <w:rPr>
                <w:rFonts w:ascii="Arial" w:hAnsi="Arial" w:cs="Arial"/>
                <w:color w:val="000000"/>
                <w:sz w:val="18"/>
                <w:lang w:eastAsia="es-AR"/>
              </w:rPr>
            </w:pPr>
            <w:r w:rsidRPr="00701F32">
              <w:rPr>
                <w:rFonts w:ascii="Arial" w:hAnsi="Arial" w:cs="Arial"/>
                <w:color w:val="000000"/>
                <w:sz w:val="18"/>
                <w:lang w:eastAsia="es-AR"/>
              </w:rPr>
              <w:t xml:space="preserve">                   -</w:t>
            </w:r>
          </w:p>
        </w:tc>
      </w:tr>
      <w:tr w:rsidR="00752937" w:rsidRPr="00701F32" w14:paraId="3F2C8840" w14:textId="77777777" w:rsidTr="002731C9">
        <w:trPr>
          <w:trHeight w:val="25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5AEB" w14:textId="77777777" w:rsidR="00752937" w:rsidRPr="00701F32" w:rsidRDefault="00752937" w:rsidP="002731C9">
            <w:pPr>
              <w:rPr>
                <w:rFonts w:ascii="Arial" w:hAnsi="Arial" w:cs="Arial"/>
                <w:b/>
                <w:bCs/>
                <w:color w:val="000000"/>
                <w:sz w:val="18"/>
                <w:lang w:eastAsia="es-AR"/>
              </w:rPr>
            </w:pPr>
            <w:r w:rsidRPr="00701F32">
              <w:rPr>
                <w:rFonts w:ascii="Arial" w:hAnsi="Arial" w:cs="Arial"/>
                <w:b/>
                <w:bCs/>
                <w:color w:val="000000"/>
                <w:sz w:val="18"/>
                <w:lang w:eastAsia="es-AR"/>
              </w:rPr>
              <w:t>Subtotal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3AC10" w14:textId="77777777" w:rsidR="00752937" w:rsidRPr="00701F32" w:rsidRDefault="00752937" w:rsidP="002731C9">
            <w:pPr>
              <w:jc w:val="right"/>
              <w:rPr>
                <w:rFonts w:ascii="Arial" w:hAnsi="Arial" w:cs="Arial"/>
                <w:b/>
                <w:bCs/>
                <w:color w:val="000000"/>
                <w:sz w:val="18"/>
                <w:lang w:eastAsia="es-AR"/>
              </w:rPr>
            </w:pPr>
            <w:r w:rsidRPr="00701F32">
              <w:rPr>
                <w:rFonts w:ascii="Arial" w:hAnsi="Arial" w:cs="Arial"/>
                <w:b/>
                <w:bCs/>
                <w:color w:val="000000"/>
                <w:sz w:val="18"/>
                <w:lang w:eastAsia="es-AR"/>
              </w:rPr>
              <w:t>352.024</w:t>
            </w:r>
          </w:p>
        </w:tc>
      </w:tr>
      <w:tr w:rsidR="00752937" w:rsidRPr="00701F32" w14:paraId="2EF559EF" w14:textId="77777777" w:rsidTr="002731C9">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2A73E00F" w14:textId="77777777" w:rsidR="00752937" w:rsidRPr="00701F32" w:rsidRDefault="00752937" w:rsidP="002731C9">
            <w:pPr>
              <w:rPr>
                <w:rFonts w:ascii="Arial" w:hAnsi="Arial" w:cs="Arial"/>
                <w:color w:val="000000"/>
                <w:sz w:val="18"/>
                <w:lang w:eastAsia="es-AR"/>
              </w:rPr>
            </w:pPr>
            <w:r w:rsidRPr="00701F32">
              <w:rPr>
                <w:rFonts w:ascii="Arial" w:hAnsi="Arial" w:cs="Arial"/>
                <w:color w:val="000000"/>
                <w:sz w:val="18"/>
                <w:lang w:eastAsia="es-AR"/>
              </w:rPr>
              <w:t xml:space="preserve">Cargo por impuesto diferido reconocido en el resultado </w:t>
            </w:r>
          </w:p>
        </w:tc>
        <w:tc>
          <w:tcPr>
            <w:tcW w:w="1440" w:type="dxa"/>
            <w:tcBorders>
              <w:top w:val="nil"/>
              <w:left w:val="single" w:sz="4" w:space="0" w:color="auto"/>
              <w:bottom w:val="nil"/>
              <w:right w:val="single" w:sz="4" w:space="0" w:color="auto"/>
            </w:tcBorders>
            <w:shd w:val="clear" w:color="auto" w:fill="auto"/>
            <w:noWrap/>
            <w:vAlign w:val="bottom"/>
            <w:hideMark/>
          </w:tcPr>
          <w:p w14:paraId="3A677B63" w14:textId="77777777" w:rsidR="00752937" w:rsidRPr="00701F32" w:rsidRDefault="00752937" w:rsidP="002731C9">
            <w:pPr>
              <w:jc w:val="right"/>
              <w:rPr>
                <w:rFonts w:ascii="Arial" w:hAnsi="Arial" w:cs="Arial"/>
                <w:color w:val="000000"/>
                <w:sz w:val="18"/>
                <w:lang w:eastAsia="es-AR"/>
              </w:rPr>
            </w:pPr>
            <w:r w:rsidRPr="00701F32">
              <w:rPr>
                <w:rFonts w:ascii="Arial" w:hAnsi="Arial" w:cs="Arial"/>
                <w:color w:val="000000"/>
                <w:sz w:val="18"/>
                <w:lang w:eastAsia="es-AR"/>
              </w:rPr>
              <w:t>352.024</w:t>
            </w:r>
          </w:p>
        </w:tc>
      </w:tr>
      <w:tr w:rsidR="00752937" w:rsidRPr="00701F32" w14:paraId="6872A871" w14:textId="77777777" w:rsidTr="002731C9">
        <w:trPr>
          <w:trHeight w:val="255"/>
        </w:trPr>
        <w:tc>
          <w:tcPr>
            <w:tcW w:w="6580" w:type="dxa"/>
            <w:tcBorders>
              <w:top w:val="nil"/>
              <w:left w:val="single" w:sz="4" w:space="0" w:color="auto"/>
              <w:bottom w:val="nil"/>
              <w:right w:val="single" w:sz="4" w:space="0" w:color="auto"/>
            </w:tcBorders>
            <w:shd w:val="clear" w:color="auto" w:fill="auto"/>
            <w:noWrap/>
            <w:vAlign w:val="bottom"/>
            <w:hideMark/>
          </w:tcPr>
          <w:p w14:paraId="1587FEEB" w14:textId="77777777" w:rsidR="00752937" w:rsidRPr="00701F32" w:rsidRDefault="00752937" w:rsidP="002731C9">
            <w:pPr>
              <w:rPr>
                <w:rFonts w:ascii="Arial" w:hAnsi="Arial" w:cs="Arial"/>
                <w:color w:val="000000"/>
                <w:sz w:val="18"/>
                <w:lang w:eastAsia="es-AR"/>
              </w:rPr>
            </w:pPr>
            <w:r w:rsidRPr="00701F32">
              <w:rPr>
                <w:rFonts w:ascii="Arial" w:hAnsi="Arial" w:cs="Arial"/>
                <w:color w:val="000000"/>
                <w:sz w:val="18"/>
                <w:lang w:eastAsia="es-AR"/>
              </w:rPr>
              <w:t>Cargo por impuesto diferido reconocido en el otro resultado integral</w:t>
            </w:r>
          </w:p>
        </w:tc>
        <w:tc>
          <w:tcPr>
            <w:tcW w:w="1440" w:type="dxa"/>
            <w:tcBorders>
              <w:top w:val="nil"/>
              <w:left w:val="single" w:sz="4" w:space="0" w:color="auto"/>
              <w:bottom w:val="nil"/>
              <w:right w:val="single" w:sz="4" w:space="0" w:color="auto"/>
            </w:tcBorders>
            <w:shd w:val="clear" w:color="auto" w:fill="auto"/>
            <w:noWrap/>
            <w:vAlign w:val="bottom"/>
            <w:hideMark/>
          </w:tcPr>
          <w:p w14:paraId="1D4B2FBA" w14:textId="77777777" w:rsidR="00752937" w:rsidRPr="00701F32" w:rsidRDefault="00752937" w:rsidP="002731C9">
            <w:pPr>
              <w:jc w:val="right"/>
              <w:rPr>
                <w:rFonts w:ascii="Arial" w:hAnsi="Arial" w:cs="Arial"/>
                <w:color w:val="000000"/>
                <w:sz w:val="18"/>
                <w:lang w:eastAsia="es-AR"/>
              </w:rPr>
            </w:pPr>
            <w:r w:rsidRPr="00701F32">
              <w:rPr>
                <w:rFonts w:ascii="Arial" w:hAnsi="Arial" w:cs="Arial"/>
                <w:color w:val="000000"/>
                <w:sz w:val="18"/>
                <w:lang w:eastAsia="es-AR"/>
              </w:rPr>
              <w:t xml:space="preserve">29.214               </w:t>
            </w:r>
          </w:p>
        </w:tc>
      </w:tr>
      <w:tr w:rsidR="00752937" w:rsidRPr="00701F32" w14:paraId="4791E053" w14:textId="77777777" w:rsidTr="002731C9">
        <w:trPr>
          <w:trHeight w:val="255"/>
        </w:trPr>
        <w:tc>
          <w:tcPr>
            <w:tcW w:w="6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4E7E5" w14:textId="77777777" w:rsidR="00752937" w:rsidRPr="00701F32" w:rsidRDefault="00752937" w:rsidP="002731C9">
            <w:pPr>
              <w:rPr>
                <w:rFonts w:ascii="Arial" w:hAnsi="Arial" w:cs="Arial"/>
                <w:b/>
                <w:bCs/>
                <w:color w:val="000000"/>
                <w:sz w:val="18"/>
                <w:lang w:eastAsia="es-AR"/>
              </w:rPr>
            </w:pPr>
            <w:r w:rsidRPr="00701F32">
              <w:rPr>
                <w:rFonts w:ascii="Arial" w:hAnsi="Arial" w:cs="Arial"/>
                <w:b/>
                <w:bCs/>
                <w:color w:val="000000"/>
                <w:sz w:val="18"/>
                <w:lang w:eastAsia="es-AR"/>
              </w:rPr>
              <w:t>Total cargo Impuesto a las ganancias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04CC" w14:textId="77777777" w:rsidR="00752937" w:rsidRPr="00701F32" w:rsidRDefault="00752937" w:rsidP="002731C9">
            <w:pPr>
              <w:jc w:val="right"/>
              <w:rPr>
                <w:rFonts w:ascii="Arial" w:hAnsi="Arial" w:cs="Arial"/>
                <w:b/>
                <w:color w:val="000000"/>
                <w:sz w:val="18"/>
                <w:lang w:eastAsia="es-AR"/>
              </w:rPr>
            </w:pPr>
            <w:r w:rsidRPr="00701F32">
              <w:rPr>
                <w:rFonts w:ascii="Arial" w:hAnsi="Arial" w:cs="Arial"/>
                <w:b/>
                <w:color w:val="000000"/>
                <w:sz w:val="18"/>
                <w:lang w:eastAsia="es-AR"/>
              </w:rPr>
              <w:t>381.238</w:t>
            </w:r>
          </w:p>
        </w:tc>
      </w:tr>
    </w:tbl>
    <w:p w14:paraId="42579E4E" w14:textId="77777777" w:rsidR="00752937" w:rsidRPr="00701F32" w:rsidRDefault="00752937" w:rsidP="00752937">
      <w:pPr>
        <w:pStyle w:val="Textoindependiente"/>
        <w:rPr>
          <w:rFonts w:ascii="Arial" w:hAnsi="Arial" w:cs="Arial"/>
          <w:sz w:val="20"/>
          <w:lang w:val="es-AR"/>
        </w:rPr>
      </w:pPr>
    </w:p>
    <w:p w14:paraId="3660DB1F" w14:textId="77777777" w:rsidR="00752937" w:rsidRPr="00701F32" w:rsidRDefault="00752937" w:rsidP="00752937">
      <w:pPr>
        <w:pStyle w:val="Textoindependiente"/>
        <w:rPr>
          <w:rFonts w:ascii="Arial" w:hAnsi="Arial" w:cs="Arial"/>
          <w:sz w:val="20"/>
          <w:lang w:val="es-AR"/>
        </w:rPr>
      </w:pPr>
      <w:r w:rsidRPr="00701F32">
        <w:rPr>
          <w:rFonts w:ascii="Arial" w:hAnsi="Arial" w:cs="Arial"/>
          <w:sz w:val="20"/>
          <w:lang w:val="es-AR"/>
        </w:rPr>
        <w:t>A continuación, se presenta una conciliación entre el impuesto a las ganancias cargado a resultados al 31 de diciembre de 2017 y el que resultaría de aplicar la tasa del impuesto vigente sobre la utilidad contable:</w:t>
      </w:r>
    </w:p>
    <w:p w14:paraId="3CC3045C" w14:textId="77777777" w:rsidR="001D6D40" w:rsidRPr="00701F32" w:rsidRDefault="001D6D40" w:rsidP="00752937">
      <w:pPr>
        <w:pStyle w:val="Textoindependiente"/>
        <w:rPr>
          <w:rFonts w:ascii="Arial" w:hAnsi="Arial" w:cs="Arial"/>
          <w:sz w:val="20"/>
          <w:lang w:val="es-AR"/>
        </w:rPr>
      </w:pPr>
    </w:p>
    <w:p w14:paraId="208B1DEF" w14:textId="77777777" w:rsidR="0007777C" w:rsidRPr="00701F32" w:rsidRDefault="0007777C" w:rsidP="00752937">
      <w:pPr>
        <w:pStyle w:val="Textoindependiente"/>
        <w:rPr>
          <w:rFonts w:ascii="Arial" w:hAnsi="Arial" w:cs="Arial"/>
          <w:sz w:val="20"/>
          <w:lang w:val="es-AR"/>
        </w:rPr>
      </w:pPr>
    </w:p>
    <w:tbl>
      <w:tblPr>
        <w:tblW w:w="7840" w:type="dxa"/>
        <w:tblInd w:w="421" w:type="dxa"/>
        <w:tblCellMar>
          <w:left w:w="70" w:type="dxa"/>
          <w:right w:w="70" w:type="dxa"/>
        </w:tblCellMar>
        <w:tblLook w:val="04A0" w:firstRow="1" w:lastRow="0" w:firstColumn="1" w:lastColumn="0" w:noHBand="0" w:noVBand="1"/>
      </w:tblPr>
      <w:tblGrid>
        <w:gridCol w:w="6240"/>
        <w:gridCol w:w="1600"/>
      </w:tblGrid>
      <w:tr w:rsidR="00752937" w:rsidRPr="00701F32" w14:paraId="18D1E9F5" w14:textId="77777777" w:rsidTr="0086282C">
        <w:trPr>
          <w:trHeight w:val="45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14080B81" w14:textId="77777777" w:rsidR="00752937" w:rsidRPr="00701F32" w:rsidRDefault="00752937" w:rsidP="002731C9">
            <w:pPr>
              <w:jc w:val="center"/>
              <w:rPr>
                <w:rFonts w:ascii="Arial" w:hAnsi="Arial" w:cs="Arial"/>
                <w:b/>
                <w:bCs/>
                <w:color w:val="000000"/>
                <w:sz w:val="16"/>
                <w:szCs w:val="18"/>
                <w:lang w:eastAsia="es-AR"/>
              </w:rPr>
            </w:pPr>
            <w:r w:rsidRPr="00701F32">
              <w:rPr>
                <w:rFonts w:ascii="Arial" w:hAnsi="Arial" w:cs="Arial"/>
                <w:b/>
                <w:bCs/>
                <w:color w:val="000000"/>
                <w:sz w:val="16"/>
                <w:szCs w:val="18"/>
                <w:lang w:eastAsia="es-AR"/>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E17C0" w14:textId="77777777" w:rsidR="00752937" w:rsidRPr="00701F32" w:rsidRDefault="00752937" w:rsidP="002731C9">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31/12/2017</w:t>
            </w:r>
          </w:p>
        </w:tc>
      </w:tr>
      <w:tr w:rsidR="00752937" w:rsidRPr="00701F32" w14:paraId="20548B8A" w14:textId="77777777" w:rsidTr="002731C9">
        <w:trPr>
          <w:trHeight w:val="30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4809213D" w14:textId="77777777" w:rsidR="00752937" w:rsidRPr="00701F32" w:rsidRDefault="00752937" w:rsidP="002731C9">
            <w:pPr>
              <w:rPr>
                <w:rFonts w:ascii="Arial" w:hAnsi="Arial" w:cs="Arial"/>
                <w:color w:val="000000"/>
                <w:sz w:val="16"/>
                <w:szCs w:val="18"/>
                <w:lang w:eastAsia="es-AR"/>
              </w:rPr>
            </w:pPr>
            <w:r w:rsidRPr="00701F32">
              <w:rPr>
                <w:rFonts w:ascii="Arial" w:hAnsi="Arial" w:cs="Arial"/>
                <w:color w:val="000000"/>
                <w:sz w:val="16"/>
                <w:szCs w:val="18"/>
                <w:lang w:eastAsia="es-AR"/>
              </w:rPr>
              <w:t>Resultado del ejercicio antes de impuesto a las ganancias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4CF4B5" w14:textId="77777777" w:rsidR="00752937" w:rsidRPr="00701F32" w:rsidRDefault="00752937" w:rsidP="002731C9">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 xml:space="preserve">               1.148.823</w:t>
            </w:r>
          </w:p>
        </w:tc>
      </w:tr>
      <w:tr w:rsidR="00752937" w:rsidRPr="00701F32" w14:paraId="7C638EB3" w14:textId="77777777" w:rsidTr="0086282C">
        <w:trPr>
          <w:trHeight w:val="405"/>
        </w:trPr>
        <w:tc>
          <w:tcPr>
            <w:tcW w:w="6240" w:type="dxa"/>
            <w:tcBorders>
              <w:top w:val="single" w:sz="4" w:space="0" w:color="auto"/>
              <w:left w:val="single" w:sz="4" w:space="0" w:color="auto"/>
              <w:bottom w:val="nil"/>
              <w:right w:val="nil"/>
            </w:tcBorders>
            <w:shd w:val="clear" w:color="auto" w:fill="auto"/>
            <w:vAlign w:val="center"/>
            <w:hideMark/>
          </w:tcPr>
          <w:p w14:paraId="6679E10E" w14:textId="77777777" w:rsidR="00752937" w:rsidRPr="00701F32" w:rsidRDefault="00752937" w:rsidP="002731C9">
            <w:pPr>
              <w:rPr>
                <w:rFonts w:ascii="Arial" w:hAnsi="Arial" w:cs="Arial"/>
                <w:color w:val="000000"/>
                <w:sz w:val="16"/>
                <w:szCs w:val="18"/>
                <w:lang w:eastAsia="es-AR"/>
              </w:rPr>
            </w:pPr>
            <w:r w:rsidRPr="00701F32">
              <w:rPr>
                <w:rFonts w:ascii="Arial" w:hAnsi="Arial" w:cs="Arial"/>
                <w:color w:val="000000"/>
                <w:sz w:val="16"/>
                <w:szCs w:val="18"/>
                <w:lang w:eastAsia="es-AR"/>
              </w:rPr>
              <w:t>Tasa del impuesto vigente</w:t>
            </w:r>
          </w:p>
        </w:tc>
        <w:tc>
          <w:tcPr>
            <w:tcW w:w="1600" w:type="dxa"/>
            <w:tcBorders>
              <w:top w:val="single" w:sz="4" w:space="0" w:color="auto"/>
              <w:left w:val="single" w:sz="4" w:space="0" w:color="auto"/>
              <w:bottom w:val="nil"/>
              <w:right w:val="single" w:sz="4" w:space="0" w:color="auto"/>
            </w:tcBorders>
            <w:shd w:val="clear" w:color="auto" w:fill="auto"/>
            <w:vAlign w:val="center"/>
            <w:hideMark/>
          </w:tcPr>
          <w:p w14:paraId="6CBBD191" w14:textId="77777777" w:rsidR="00752937" w:rsidRPr="00701F32" w:rsidRDefault="00752937">
            <w:pPr>
              <w:jc w:val="right"/>
              <w:rPr>
                <w:rFonts w:ascii="Arial" w:hAnsi="Arial" w:cs="Arial"/>
                <w:color w:val="000000"/>
                <w:sz w:val="16"/>
                <w:szCs w:val="18"/>
                <w:lang w:eastAsia="es-AR"/>
              </w:rPr>
            </w:pPr>
            <w:r w:rsidRPr="00701F32">
              <w:rPr>
                <w:rFonts w:ascii="Arial" w:hAnsi="Arial" w:cs="Arial"/>
                <w:color w:val="000000"/>
                <w:sz w:val="16"/>
                <w:szCs w:val="18"/>
                <w:lang w:eastAsia="es-AR"/>
              </w:rPr>
              <w:t>35%</w:t>
            </w:r>
          </w:p>
        </w:tc>
      </w:tr>
      <w:tr w:rsidR="00752937" w:rsidRPr="00701F32" w14:paraId="23DA50A1" w14:textId="77777777" w:rsidTr="0086282C">
        <w:trPr>
          <w:trHeight w:val="33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12665FF1" w14:textId="77777777" w:rsidR="00752937" w:rsidRPr="00701F32" w:rsidRDefault="00752937" w:rsidP="002731C9">
            <w:pPr>
              <w:rPr>
                <w:rFonts w:ascii="Arial" w:hAnsi="Arial" w:cs="Arial"/>
                <w:color w:val="000000"/>
                <w:sz w:val="16"/>
                <w:szCs w:val="18"/>
                <w:lang w:eastAsia="es-AR"/>
              </w:rPr>
            </w:pPr>
            <w:r w:rsidRPr="00701F32">
              <w:rPr>
                <w:rFonts w:ascii="Arial" w:hAnsi="Arial" w:cs="Arial"/>
                <w:color w:val="000000"/>
                <w:sz w:val="16"/>
                <w:szCs w:val="18"/>
                <w:lang w:eastAsia="es-AR"/>
              </w:rPr>
              <w:t>Resultado del ejercicio a la tasa del impuesto</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B5E37" w14:textId="77777777" w:rsidR="00752937" w:rsidRPr="00701F32" w:rsidRDefault="00752937">
            <w:pPr>
              <w:jc w:val="right"/>
              <w:rPr>
                <w:rFonts w:ascii="Arial" w:hAnsi="Arial" w:cs="Arial"/>
                <w:bCs/>
                <w:color w:val="000000"/>
                <w:sz w:val="16"/>
                <w:szCs w:val="18"/>
                <w:lang w:eastAsia="es-AR"/>
              </w:rPr>
            </w:pPr>
            <w:r w:rsidRPr="00701F32">
              <w:rPr>
                <w:rFonts w:ascii="Arial" w:hAnsi="Arial" w:cs="Arial"/>
                <w:bCs/>
                <w:color w:val="000000"/>
                <w:sz w:val="16"/>
                <w:szCs w:val="18"/>
                <w:lang w:eastAsia="es-AR"/>
              </w:rPr>
              <w:t>402.088</w:t>
            </w:r>
          </w:p>
        </w:tc>
      </w:tr>
      <w:tr w:rsidR="00752937" w:rsidRPr="00701F32" w14:paraId="6E31F760" w14:textId="77777777" w:rsidTr="0086282C">
        <w:trPr>
          <w:trHeight w:val="300"/>
        </w:trPr>
        <w:tc>
          <w:tcPr>
            <w:tcW w:w="6240" w:type="dxa"/>
            <w:tcBorders>
              <w:top w:val="nil"/>
              <w:left w:val="single" w:sz="4" w:space="0" w:color="auto"/>
              <w:bottom w:val="nil"/>
              <w:right w:val="nil"/>
            </w:tcBorders>
            <w:shd w:val="clear" w:color="auto" w:fill="auto"/>
            <w:vAlign w:val="center"/>
            <w:hideMark/>
          </w:tcPr>
          <w:p w14:paraId="0953F2A7" w14:textId="77777777" w:rsidR="00752937" w:rsidRPr="00701F32" w:rsidRDefault="00752937" w:rsidP="002731C9">
            <w:pPr>
              <w:rPr>
                <w:rFonts w:ascii="Arial" w:hAnsi="Arial" w:cs="Arial"/>
                <w:bCs/>
                <w:color w:val="000000"/>
                <w:sz w:val="16"/>
                <w:szCs w:val="18"/>
                <w:lang w:eastAsia="es-AR"/>
              </w:rPr>
            </w:pPr>
            <w:r w:rsidRPr="00701F32">
              <w:rPr>
                <w:rFonts w:ascii="Arial" w:hAnsi="Arial" w:cs="Arial"/>
                <w:bCs/>
                <w:color w:val="000000"/>
                <w:sz w:val="16"/>
                <w:szCs w:val="18"/>
                <w:lang w:eastAsia="es-AR"/>
              </w:rPr>
              <w:t>Diferencias permanentes a la tasa del impuesto:</w:t>
            </w:r>
          </w:p>
        </w:tc>
        <w:tc>
          <w:tcPr>
            <w:tcW w:w="1600" w:type="dxa"/>
            <w:tcBorders>
              <w:top w:val="nil"/>
              <w:left w:val="single" w:sz="4" w:space="0" w:color="auto"/>
              <w:bottom w:val="nil"/>
              <w:right w:val="single" w:sz="4" w:space="0" w:color="auto"/>
            </w:tcBorders>
            <w:shd w:val="clear" w:color="auto" w:fill="auto"/>
            <w:vAlign w:val="center"/>
            <w:hideMark/>
          </w:tcPr>
          <w:p w14:paraId="7490B30D" w14:textId="77777777" w:rsidR="00752937" w:rsidRPr="00701F32" w:rsidRDefault="00752937">
            <w:pPr>
              <w:jc w:val="right"/>
              <w:rPr>
                <w:rFonts w:ascii="Arial" w:hAnsi="Arial" w:cs="Arial"/>
                <w:color w:val="000000"/>
                <w:sz w:val="16"/>
                <w:szCs w:val="18"/>
                <w:lang w:eastAsia="es-AR"/>
              </w:rPr>
            </w:pPr>
            <w:r w:rsidRPr="00701F32">
              <w:rPr>
                <w:rFonts w:ascii="Arial" w:hAnsi="Arial" w:cs="Arial"/>
                <w:color w:val="000000"/>
                <w:sz w:val="16"/>
                <w:szCs w:val="18"/>
                <w:lang w:eastAsia="es-AR"/>
              </w:rPr>
              <w:t> -50.064</w:t>
            </w:r>
          </w:p>
        </w:tc>
      </w:tr>
      <w:tr w:rsidR="00752937" w:rsidRPr="00701F32" w14:paraId="20E5E819" w14:textId="77777777" w:rsidTr="0086282C">
        <w:trPr>
          <w:trHeight w:val="30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0DEC0F3F" w14:textId="77777777" w:rsidR="00752937" w:rsidRPr="00701F32" w:rsidRDefault="00752937" w:rsidP="002731C9">
            <w:pPr>
              <w:rPr>
                <w:rFonts w:ascii="Arial" w:hAnsi="Arial" w:cs="Arial"/>
                <w:b/>
                <w:bCs/>
                <w:color w:val="000000"/>
                <w:sz w:val="16"/>
                <w:szCs w:val="18"/>
                <w:lang w:eastAsia="es-AR"/>
              </w:rPr>
            </w:pPr>
            <w:r w:rsidRPr="00701F32">
              <w:rPr>
                <w:rFonts w:ascii="Arial" w:hAnsi="Arial" w:cs="Arial"/>
                <w:b/>
                <w:bCs/>
                <w:color w:val="000000"/>
                <w:sz w:val="16"/>
                <w:szCs w:val="18"/>
                <w:lang w:eastAsia="es-AR"/>
              </w:rPr>
              <w:t>Total cargo por impuesto a las ganancias del ejercicio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909F" w14:textId="77777777" w:rsidR="00752937" w:rsidRPr="00701F32" w:rsidRDefault="00752937">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352.024</w:t>
            </w:r>
          </w:p>
        </w:tc>
      </w:tr>
      <w:tr w:rsidR="00752937" w:rsidRPr="00701F32" w14:paraId="342B956A" w14:textId="77777777" w:rsidTr="0086282C">
        <w:trPr>
          <w:trHeight w:val="300"/>
        </w:trPr>
        <w:tc>
          <w:tcPr>
            <w:tcW w:w="6240" w:type="dxa"/>
            <w:tcBorders>
              <w:top w:val="nil"/>
              <w:left w:val="single" w:sz="4" w:space="0" w:color="auto"/>
              <w:bottom w:val="nil"/>
              <w:right w:val="nil"/>
            </w:tcBorders>
            <w:shd w:val="clear" w:color="auto" w:fill="auto"/>
            <w:vAlign w:val="center"/>
            <w:hideMark/>
          </w:tcPr>
          <w:p w14:paraId="2F05D3BC" w14:textId="77777777" w:rsidR="00752937" w:rsidRPr="00701F32" w:rsidRDefault="00752937" w:rsidP="002731C9">
            <w:pPr>
              <w:rPr>
                <w:rFonts w:ascii="Arial" w:hAnsi="Arial" w:cs="Arial"/>
                <w:bCs/>
                <w:color w:val="000000"/>
                <w:sz w:val="16"/>
                <w:szCs w:val="18"/>
                <w:lang w:eastAsia="es-AR"/>
              </w:rPr>
            </w:pPr>
            <w:r w:rsidRPr="00701F32">
              <w:rPr>
                <w:rFonts w:ascii="Arial" w:hAnsi="Arial" w:cs="Arial"/>
                <w:bCs/>
                <w:color w:val="000000"/>
                <w:sz w:val="16"/>
                <w:szCs w:val="18"/>
                <w:lang w:eastAsia="es-AR"/>
              </w:rPr>
              <w:t>- Diferencias temporarias a la tasa del impuesto</w:t>
            </w:r>
          </w:p>
        </w:tc>
        <w:tc>
          <w:tcPr>
            <w:tcW w:w="1600" w:type="dxa"/>
            <w:tcBorders>
              <w:top w:val="nil"/>
              <w:left w:val="single" w:sz="4" w:space="0" w:color="auto"/>
              <w:bottom w:val="nil"/>
              <w:right w:val="single" w:sz="4" w:space="0" w:color="auto"/>
            </w:tcBorders>
            <w:shd w:val="clear" w:color="auto" w:fill="auto"/>
            <w:vAlign w:val="center"/>
            <w:hideMark/>
          </w:tcPr>
          <w:p w14:paraId="0D98A62C" w14:textId="77777777" w:rsidR="00752937" w:rsidRPr="00701F32" w:rsidRDefault="00752937">
            <w:pPr>
              <w:jc w:val="right"/>
              <w:rPr>
                <w:rFonts w:ascii="Arial" w:hAnsi="Arial" w:cs="Arial"/>
                <w:color w:val="000000"/>
                <w:sz w:val="16"/>
                <w:szCs w:val="18"/>
                <w:lang w:eastAsia="es-AR"/>
              </w:rPr>
            </w:pPr>
            <w:r w:rsidRPr="00701F32">
              <w:rPr>
                <w:rFonts w:ascii="Arial" w:hAnsi="Arial" w:cs="Arial"/>
                <w:color w:val="000000"/>
                <w:sz w:val="16"/>
                <w:szCs w:val="18"/>
                <w:lang w:eastAsia="es-AR"/>
              </w:rPr>
              <w:t> 87.453</w:t>
            </w:r>
          </w:p>
        </w:tc>
      </w:tr>
      <w:tr w:rsidR="00752937" w:rsidRPr="00701F32" w14:paraId="3D147FF5" w14:textId="77777777" w:rsidTr="0086282C">
        <w:trPr>
          <w:trHeight w:val="30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070FDC87" w14:textId="77777777" w:rsidR="00752937" w:rsidRPr="00701F32" w:rsidRDefault="00752937" w:rsidP="002731C9">
            <w:pPr>
              <w:rPr>
                <w:rFonts w:ascii="Arial" w:hAnsi="Arial" w:cs="Arial"/>
                <w:bCs/>
                <w:color w:val="000000"/>
                <w:sz w:val="16"/>
                <w:szCs w:val="18"/>
                <w:lang w:eastAsia="es-AR"/>
              </w:rPr>
            </w:pPr>
            <w:r w:rsidRPr="00701F32">
              <w:rPr>
                <w:rFonts w:ascii="Arial" w:hAnsi="Arial" w:cs="Arial"/>
                <w:bCs/>
                <w:color w:val="000000"/>
                <w:sz w:val="16"/>
                <w:szCs w:val="18"/>
                <w:lang w:eastAsia="es-AR"/>
              </w:rPr>
              <w:t>Total impuesto del ejercicio determinado a los fines fiscales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BD26E" w14:textId="77777777" w:rsidR="00752937" w:rsidRPr="00701F32" w:rsidRDefault="00752937">
            <w:pPr>
              <w:jc w:val="right"/>
              <w:rPr>
                <w:rFonts w:ascii="Arial" w:hAnsi="Arial" w:cs="Arial"/>
                <w:bCs/>
                <w:color w:val="000000"/>
                <w:sz w:val="16"/>
                <w:szCs w:val="18"/>
                <w:lang w:eastAsia="es-AR"/>
              </w:rPr>
            </w:pPr>
            <w:r w:rsidRPr="00701F32">
              <w:rPr>
                <w:rFonts w:ascii="Arial" w:hAnsi="Arial" w:cs="Arial"/>
                <w:bCs/>
                <w:color w:val="000000"/>
                <w:sz w:val="16"/>
                <w:szCs w:val="18"/>
                <w:lang w:eastAsia="es-AR"/>
              </w:rPr>
              <w:t>439.477</w:t>
            </w:r>
          </w:p>
        </w:tc>
      </w:tr>
      <w:tr w:rsidR="00752937" w:rsidRPr="00701F32" w14:paraId="7CB25C6D" w14:textId="77777777" w:rsidTr="0086282C">
        <w:trPr>
          <w:trHeight w:val="300"/>
        </w:trPr>
        <w:tc>
          <w:tcPr>
            <w:tcW w:w="6240" w:type="dxa"/>
            <w:tcBorders>
              <w:top w:val="nil"/>
              <w:left w:val="single" w:sz="4" w:space="0" w:color="auto"/>
              <w:bottom w:val="nil"/>
              <w:right w:val="nil"/>
            </w:tcBorders>
            <w:shd w:val="clear" w:color="auto" w:fill="auto"/>
            <w:vAlign w:val="center"/>
            <w:hideMark/>
          </w:tcPr>
          <w:p w14:paraId="567DA41B" w14:textId="77777777" w:rsidR="00752937" w:rsidRPr="00701F32" w:rsidRDefault="00752937" w:rsidP="002731C9">
            <w:pPr>
              <w:rPr>
                <w:rFonts w:ascii="Arial" w:hAnsi="Arial" w:cs="Arial"/>
                <w:color w:val="000000"/>
                <w:sz w:val="16"/>
                <w:szCs w:val="18"/>
                <w:lang w:eastAsia="es-AR"/>
              </w:rPr>
            </w:pPr>
            <w:r w:rsidRPr="00701F32">
              <w:rPr>
                <w:rFonts w:ascii="Arial" w:hAnsi="Arial" w:cs="Arial"/>
                <w:color w:val="000000"/>
                <w:sz w:val="16"/>
                <w:szCs w:val="18"/>
                <w:lang w:eastAsia="es-AR"/>
              </w:rPr>
              <w:t>Pagos a cuenta del impuesto a las ganancias</w:t>
            </w:r>
          </w:p>
        </w:tc>
        <w:tc>
          <w:tcPr>
            <w:tcW w:w="1600" w:type="dxa"/>
            <w:tcBorders>
              <w:top w:val="nil"/>
              <w:left w:val="single" w:sz="4" w:space="0" w:color="auto"/>
              <w:bottom w:val="nil"/>
              <w:right w:val="single" w:sz="4" w:space="0" w:color="auto"/>
            </w:tcBorders>
            <w:shd w:val="clear" w:color="auto" w:fill="auto"/>
            <w:vAlign w:val="center"/>
            <w:hideMark/>
          </w:tcPr>
          <w:p w14:paraId="2D0D924D" w14:textId="77777777" w:rsidR="00752937" w:rsidRPr="00701F32" w:rsidRDefault="00752937">
            <w:pPr>
              <w:jc w:val="right"/>
              <w:rPr>
                <w:rFonts w:ascii="Arial" w:hAnsi="Arial" w:cs="Arial"/>
                <w:color w:val="000000"/>
                <w:sz w:val="16"/>
                <w:szCs w:val="18"/>
                <w:lang w:eastAsia="es-AR"/>
              </w:rPr>
            </w:pPr>
            <w:r w:rsidRPr="00701F32">
              <w:rPr>
                <w:rFonts w:ascii="Arial" w:hAnsi="Arial" w:cs="Arial"/>
                <w:color w:val="000000"/>
                <w:sz w:val="16"/>
                <w:szCs w:val="18"/>
                <w:lang w:eastAsia="es-AR"/>
              </w:rPr>
              <w:t xml:space="preserve">                             -   </w:t>
            </w:r>
          </w:p>
        </w:tc>
      </w:tr>
      <w:tr w:rsidR="00752937" w:rsidRPr="00701F32" w14:paraId="70C0F15C" w14:textId="77777777" w:rsidTr="0086282C">
        <w:trPr>
          <w:trHeight w:val="300"/>
        </w:trPr>
        <w:tc>
          <w:tcPr>
            <w:tcW w:w="6240" w:type="dxa"/>
            <w:tcBorders>
              <w:top w:val="single" w:sz="4" w:space="0" w:color="auto"/>
              <w:left w:val="single" w:sz="4" w:space="0" w:color="auto"/>
              <w:bottom w:val="single" w:sz="4" w:space="0" w:color="auto"/>
              <w:right w:val="nil"/>
            </w:tcBorders>
            <w:shd w:val="clear" w:color="auto" w:fill="auto"/>
            <w:vAlign w:val="center"/>
            <w:hideMark/>
          </w:tcPr>
          <w:p w14:paraId="6190B43C" w14:textId="77777777" w:rsidR="00752937" w:rsidRPr="00701F32" w:rsidRDefault="00752937" w:rsidP="002731C9">
            <w:pPr>
              <w:rPr>
                <w:rFonts w:ascii="Arial" w:hAnsi="Arial" w:cs="Arial"/>
                <w:b/>
                <w:bCs/>
                <w:color w:val="000000"/>
                <w:sz w:val="16"/>
                <w:szCs w:val="18"/>
                <w:lang w:eastAsia="es-AR"/>
              </w:rPr>
            </w:pPr>
            <w:r w:rsidRPr="00701F32">
              <w:rPr>
                <w:rFonts w:ascii="Arial" w:hAnsi="Arial" w:cs="Arial"/>
                <w:b/>
                <w:bCs/>
                <w:color w:val="000000"/>
                <w:sz w:val="16"/>
                <w:szCs w:val="18"/>
                <w:lang w:eastAsia="es-AR"/>
              </w:rPr>
              <w:t>Impuesto a las ganancias a pagar</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F5EB5" w14:textId="77777777" w:rsidR="00752937" w:rsidRPr="00701F32" w:rsidRDefault="00752937">
            <w:pPr>
              <w:jc w:val="right"/>
              <w:rPr>
                <w:rFonts w:ascii="Arial" w:hAnsi="Arial" w:cs="Arial"/>
                <w:b/>
                <w:bCs/>
                <w:color w:val="000000"/>
                <w:sz w:val="16"/>
                <w:szCs w:val="18"/>
                <w:lang w:eastAsia="es-AR"/>
              </w:rPr>
            </w:pPr>
            <w:r w:rsidRPr="00701F32">
              <w:rPr>
                <w:rFonts w:ascii="Arial" w:hAnsi="Arial" w:cs="Arial"/>
                <w:b/>
                <w:bCs/>
                <w:color w:val="000000"/>
                <w:sz w:val="16"/>
                <w:szCs w:val="18"/>
                <w:lang w:eastAsia="es-AR"/>
              </w:rPr>
              <w:t>439.477</w:t>
            </w:r>
          </w:p>
        </w:tc>
      </w:tr>
    </w:tbl>
    <w:p w14:paraId="34F84BB0" w14:textId="77777777" w:rsidR="00656E62" w:rsidRPr="00701F32" w:rsidRDefault="00656E62" w:rsidP="00656E62">
      <w:pPr>
        <w:widowControl w:val="0"/>
        <w:autoSpaceDE w:val="0"/>
        <w:autoSpaceDN w:val="0"/>
        <w:adjustRightInd w:val="0"/>
        <w:jc w:val="both"/>
        <w:rPr>
          <w:rFonts w:ascii="Arial" w:hAnsi="Arial" w:cs="Arial"/>
          <w:b/>
          <w:noProof/>
          <w:color w:val="FF0000"/>
          <w:sz w:val="20"/>
        </w:rPr>
      </w:pPr>
      <w:r w:rsidRPr="00701F32">
        <w:rPr>
          <w:rFonts w:ascii="Arial" w:hAnsi="Arial" w:cs="Arial"/>
          <w:b/>
          <w:noProof/>
          <w:sz w:val="20"/>
        </w:rPr>
        <w:t xml:space="preserve"> </w:t>
      </w:r>
    </w:p>
    <w:p w14:paraId="21FF2C56" w14:textId="77777777" w:rsidR="00656E62" w:rsidRPr="00701F32" w:rsidRDefault="00D57127" w:rsidP="00656E62">
      <w:pPr>
        <w:widowControl w:val="0"/>
        <w:autoSpaceDE w:val="0"/>
        <w:autoSpaceDN w:val="0"/>
        <w:adjustRightInd w:val="0"/>
        <w:jc w:val="both"/>
        <w:rPr>
          <w:rFonts w:ascii="Arial" w:hAnsi="Arial" w:cs="Arial"/>
          <w:b/>
          <w:noProof/>
          <w:sz w:val="20"/>
        </w:rPr>
      </w:pPr>
      <w:r w:rsidRPr="00701F32">
        <w:rPr>
          <w:rFonts w:ascii="Arial" w:hAnsi="Arial" w:cs="Arial"/>
          <w:b/>
          <w:noProof/>
          <w:sz w:val="20"/>
        </w:rPr>
        <w:t>17</w:t>
      </w:r>
      <w:r w:rsidR="00656E62" w:rsidRPr="00701F32">
        <w:rPr>
          <w:rFonts w:ascii="Arial" w:hAnsi="Arial" w:cs="Arial"/>
          <w:b/>
          <w:noProof/>
          <w:sz w:val="20"/>
        </w:rPr>
        <w:t>.</w:t>
      </w:r>
      <w:r w:rsidR="00930CF9" w:rsidRPr="00701F32">
        <w:rPr>
          <w:rFonts w:ascii="Arial" w:hAnsi="Arial" w:cs="Arial"/>
          <w:b/>
          <w:noProof/>
          <w:sz w:val="20"/>
        </w:rPr>
        <w:t xml:space="preserve">19 </w:t>
      </w:r>
      <w:r w:rsidR="00656E62" w:rsidRPr="00701F32">
        <w:rPr>
          <w:rFonts w:ascii="Arial" w:hAnsi="Arial" w:cs="Arial"/>
          <w:b/>
          <w:noProof/>
          <w:sz w:val="20"/>
        </w:rPr>
        <w:t xml:space="preserve">Información por segmentos </w:t>
      </w:r>
    </w:p>
    <w:p w14:paraId="55549903" w14:textId="77777777" w:rsidR="00656E62" w:rsidRPr="00701F32" w:rsidRDefault="00656E62" w:rsidP="00656E62">
      <w:pPr>
        <w:widowControl w:val="0"/>
        <w:autoSpaceDE w:val="0"/>
        <w:autoSpaceDN w:val="0"/>
        <w:adjustRightInd w:val="0"/>
        <w:jc w:val="both"/>
        <w:rPr>
          <w:rFonts w:ascii="Arial" w:hAnsi="Arial" w:cs="Arial"/>
          <w:b/>
          <w:noProof/>
          <w:sz w:val="20"/>
        </w:rPr>
      </w:pPr>
    </w:p>
    <w:p w14:paraId="297EE3A7" w14:textId="77777777" w:rsidR="000306BF" w:rsidRPr="00701F32" w:rsidRDefault="000306BF" w:rsidP="000306BF">
      <w:pPr>
        <w:spacing w:after="160" w:line="259" w:lineRule="auto"/>
        <w:jc w:val="both"/>
        <w:rPr>
          <w:rFonts w:ascii="Arial" w:eastAsia="Calibri" w:hAnsi="Arial" w:cs="Arial"/>
          <w:bCs/>
          <w:sz w:val="20"/>
        </w:rPr>
      </w:pPr>
      <w:r w:rsidRPr="00701F32">
        <w:rPr>
          <w:rFonts w:ascii="Arial" w:eastAsia="Calibri" w:hAnsi="Arial" w:cs="Arial"/>
          <w:sz w:val="20"/>
        </w:rPr>
        <w:t xml:space="preserve">Adicionalmente a lo expresado en la nota 4 de los presentes estados financieros condensados </w:t>
      </w:r>
      <w:r w:rsidR="001F412C" w:rsidRPr="00701F32">
        <w:rPr>
          <w:rFonts w:ascii="Arial" w:eastAsia="Arial" w:hAnsi="Arial" w:cs="Arial"/>
          <w:sz w:val="20"/>
        </w:rPr>
        <w:t>separados</w:t>
      </w:r>
      <w:r w:rsidR="001F412C" w:rsidRPr="00701F32" w:rsidDel="001F412C">
        <w:rPr>
          <w:rFonts w:ascii="Arial" w:eastAsia="Calibri" w:hAnsi="Arial" w:cs="Arial"/>
          <w:sz w:val="20"/>
        </w:rPr>
        <w:t xml:space="preserve"> </w:t>
      </w:r>
      <w:r w:rsidRPr="00701F32">
        <w:rPr>
          <w:rFonts w:ascii="Arial" w:eastAsia="Calibri" w:hAnsi="Arial" w:cs="Arial"/>
          <w:sz w:val="20"/>
        </w:rPr>
        <w:t xml:space="preserve">intermedios, se detalla a </w:t>
      </w:r>
      <w:r w:rsidRPr="00701F32">
        <w:rPr>
          <w:rFonts w:ascii="Arial" w:eastAsia="Calibri" w:hAnsi="Arial" w:cs="Arial"/>
          <w:bCs/>
          <w:sz w:val="20"/>
        </w:rPr>
        <w:t>continuación, la información por segmentos corresondiente al ejercicio ecónomico finalizado el 31 de diciembre de 2017:</w:t>
      </w:r>
    </w:p>
    <w:tbl>
      <w:tblPr>
        <w:tblpPr w:leftFromText="141" w:rightFromText="141" w:vertAnchor="text" w:tblpX="-1136" w:tblpY="1"/>
        <w:tblOverlap w:val="never"/>
        <w:tblW w:w="11218" w:type="dxa"/>
        <w:tblCellMar>
          <w:left w:w="70" w:type="dxa"/>
          <w:right w:w="70" w:type="dxa"/>
        </w:tblCellMar>
        <w:tblLook w:val="04A0" w:firstRow="1" w:lastRow="0" w:firstColumn="1" w:lastColumn="0" w:noHBand="0" w:noVBand="1"/>
      </w:tblPr>
      <w:tblGrid>
        <w:gridCol w:w="4711"/>
        <w:gridCol w:w="1645"/>
        <w:gridCol w:w="1567"/>
        <w:gridCol w:w="1569"/>
        <w:gridCol w:w="1726"/>
      </w:tblGrid>
      <w:tr w:rsidR="001E152D" w:rsidRPr="00701F32" w14:paraId="245CD7CD" w14:textId="77777777" w:rsidTr="00701F32">
        <w:trPr>
          <w:trHeight w:val="444"/>
          <w:tblHeader/>
        </w:trPr>
        <w:tc>
          <w:tcPr>
            <w:tcW w:w="4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8937E" w14:textId="77777777" w:rsidR="001E152D" w:rsidRPr="00701F32" w:rsidRDefault="001E152D" w:rsidP="003D7196">
            <w:pPr>
              <w:jc w:val="both"/>
              <w:rPr>
                <w:rFonts w:ascii="Arial" w:hAnsi="Arial" w:cs="Arial"/>
                <w:b/>
                <w:bCs/>
                <w:sz w:val="16"/>
                <w:szCs w:val="16"/>
                <w:lang w:eastAsia="es-AR"/>
              </w:rPr>
            </w:pPr>
            <w:r w:rsidRPr="00701F32">
              <w:rPr>
                <w:rFonts w:ascii="Arial" w:hAnsi="Arial" w:cs="Arial"/>
                <w:b/>
                <w:bCs/>
                <w:sz w:val="16"/>
                <w:szCs w:val="16"/>
                <w:lang w:eastAsia="es-AR"/>
              </w:rPr>
              <w:t>ACTIVO al 31/12/2017</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313F18A6"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Banca Empresa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CA163E8"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Banca Minorista</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36829FB0"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Tesorería</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E5B3"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TOTAL</w:t>
            </w:r>
          </w:p>
        </w:tc>
      </w:tr>
      <w:tr w:rsidR="001E152D" w:rsidRPr="00701F32" w14:paraId="5634B04E" w14:textId="77777777" w:rsidTr="003D7196">
        <w:trPr>
          <w:trHeight w:val="243"/>
        </w:trPr>
        <w:tc>
          <w:tcPr>
            <w:tcW w:w="4711" w:type="dxa"/>
            <w:tcBorders>
              <w:top w:val="nil"/>
              <w:left w:val="single" w:sz="4" w:space="0" w:color="auto"/>
              <w:bottom w:val="single" w:sz="4" w:space="0" w:color="363639"/>
              <w:right w:val="single" w:sz="4" w:space="0" w:color="363639"/>
            </w:tcBorders>
            <w:shd w:val="clear" w:color="000000" w:fill="FFFFFF"/>
            <w:hideMark/>
          </w:tcPr>
          <w:p w14:paraId="18CF89CC"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Efectivo y Depósitos en Bancos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CE6250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260.107 </w:t>
            </w:r>
          </w:p>
        </w:tc>
        <w:tc>
          <w:tcPr>
            <w:tcW w:w="1567" w:type="dxa"/>
            <w:tcBorders>
              <w:top w:val="nil"/>
              <w:left w:val="nil"/>
              <w:bottom w:val="single" w:sz="4" w:space="0" w:color="auto"/>
              <w:right w:val="single" w:sz="4" w:space="0" w:color="auto"/>
            </w:tcBorders>
            <w:shd w:val="clear" w:color="000000" w:fill="FFFFFF"/>
            <w:noWrap/>
            <w:vAlign w:val="bottom"/>
            <w:hideMark/>
          </w:tcPr>
          <w:p w14:paraId="5427A083"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2.799.067</w:t>
            </w:r>
          </w:p>
        </w:tc>
        <w:tc>
          <w:tcPr>
            <w:tcW w:w="1569" w:type="dxa"/>
            <w:tcBorders>
              <w:top w:val="nil"/>
              <w:left w:val="nil"/>
              <w:bottom w:val="single" w:sz="4" w:space="0" w:color="auto"/>
              <w:right w:val="single" w:sz="4" w:space="0" w:color="auto"/>
            </w:tcBorders>
            <w:shd w:val="clear" w:color="000000" w:fill="FFFFFF"/>
            <w:noWrap/>
            <w:vAlign w:val="bottom"/>
            <w:hideMark/>
          </w:tcPr>
          <w:p w14:paraId="0F459E2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7.971.173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7CD017F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11.030.347 </w:t>
            </w:r>
          </w:p>
        </w:tc>
      </w:tr>
      <w:tr w:rsidR="001E152D" w:rsidRPr="00701F32" w14:paraId="42F15246"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noWrap/>
            <w:hideMark/>
          </w:tcPr>
          <w:p w14:paraId="3E5C7C20"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Efectivo</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7D129EA7"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259.606 </w:t>
            </w:r>
          </w:p>
        </w:tc>
        <w:tc>
          <w:tcPr>
            <w:tcW w:w="1567" w:type="dxa"/>
            <w:tcBorders>
              <w:top w:val="nil"/>
              <w:left w:val="nil"/>
              <w:bottom w:val="single" w:sz="4" w:space="0" w:color="auto"/>
              <w:right w:val="single" w:sz="4" w:space="0" w:color="auto"/>
            </w:tcBorders>
            <w:shd w:val="clear" w:color="000000" w:fill="FFFFFF"/>
            <w:noWrap/>
            <w:vAlign w:val="bottom"/>
            <w:hideMark/>
          </w:tcPr>
          <w:p w14:paraId="4E5D745D"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2.749.444</w:t>
            </w:r>
          </w:p>
        </w:tc>
        <w:tc>
          <w:tcPr>
            <w:tcW w:w="1569" w:type="dxa"/>
            <w:tcBorders>
              <w:top w:val="nil"/>
              <w:left w:val="nil"/>
              <w:bottom w:val="single" w:sz="4" w:space="0" w:color="auto"/>
              <w:right w:val="single" w:sz="4" w:space="0" w:color="auto"/>
            </w:tcBorders>
            <w:shd w:val="clear" w:color="000000" w:fill="FFFFFF"/>
            <w:noWrap/>
            <w:vAlign w:val="bottom"/>
            <w:hideMark/>
          </w:tcPr>
          <w:p w14:paraId="7245EBD3"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7F74E7E6"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3.009.050 </w:t>
            </w:r>
          </w:p>
        </w:tc>
      </w:tr>
      <w:tr w:rsidR="001E152D" w:rsidRPr="00701F32" w14:paraId="3EFE6E1E"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noWrap/>
            <w:hideMark/>
          </w:tcPr>
          <w:p w14:paraId="3EEE1AAD"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Entidades Financieras y corresponsales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4F82311E"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50A336AC"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w:t>
            </w:r>
          </w:p>
        </w:tc>
        <w:tc>
          <w:tcPr>
            <w:tcW w:w="1569" w:type="dxa"/>
            <w:tcBorders>
              <w:top w:val="nil"/>
              <w:left w:val="nil"/>
              <w:bottom w:val="single" w:sz="4" w:space="0" w:color="auto"/>
              <w:right w:val="single" w:sz="4" w:space="0" w:color="auto"/>
            </w:tcBorders>
            <w:shd w:val="clear" w:color="000000" w:fill="FFFFFF"/>
            <w:noWrap/>
            <w:vAlign w:val="bottom"/>
            <w:hideMark/>
          </w:tcPr>
          <w:p w14:paraId="2075381B"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4BF6328F"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r>
      <w:tr w:rsidR="001E152D" w:rsidRPr="00701F32" w14:paraId="161F3D26" w14:textId="77777777" w:rsidTr="003D7196">
        <w:trPr>
          <w:trHeight w:val="242"/>
        </w:trPr>
        <w:tc>
          <w:tcPr>
            <w:tcW w:w="4711" w:type="dxa"/>
            <w:tcBorders>
              <w:top w:val="nil"/>
              <w:left w:val="single" w:sz="4" w:space="0" w:color="auto"/>
              <w:bottom w:val="single" w:sz="4" w:space="0" w:color="363639"/>
              <w:right w:val="single" w:sz="4" w:space="0" w:color="363639"/>
            </w:tcBorders>
            <w:shd w:val="clear" w:color="000000" w:fill="FFFFFF"/>
            <w:noWrap/>
            <w:hideMark/>
          </w:tcPr>
          <w:p w14:paraId="41D34A64"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BCRA</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1D9C1D5"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79EDEA9B"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w:t>
            </w:r>
          </w:p>
        </w:tc>
        <w:tc>
          <w:tcPr>
            <w:tcW w:w="1569" w:type="dxa"/>
            <w:tcBorders>
              <w:top w:val="nil"/>
              <w:left w:val="nil"/>
              <w:bottom w:val="single" w:sz="4" w:space="0" w:color="auto"/>
              <w:right w:val="single" w:sz="4" w:space="0" w:color="auto"/>
            </w:tcBorders>
            <w:shd w:val="clear" w:color="000000" w:fill="FFFFFF"/>
            <w:noWrap/>
            <w:vAlign w:val="bottom"/>
            <w:hideMark/>
          </w:tcPr>
          <w:p w14:paraId="374E4188"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7.048.538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5034D6BF"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7.048.538 </w:t>
            </w:r>
          </w:p>
        </w:tc>
      </w:tr>
      <w:tr w:rsidR="001E152D" w:rsidRPr="00701F32" w14:paraId="1647D91D"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noWrap/>
            <w:hideMark/>
          </w:tcPr>
          <w:p w14:paraId="47799386"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Otras del país y del exterior</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1E1D68C7"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69495FC0"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w:t>
            </w:r>
          </w:p>
        </w:tc>
        <w:tc>
          <w:tcPr>
            <w:tcW w:w="1569" w:type="dxa"/>
            <w:tcBorders>
              <w:top w:val="nil"/>
              <w:left w:val="nil"/>
              <w:bottom w:val="single" w:sz="4" w:space="0" w:color="auto"/>
              <w:right w:val="single" w:sz="4" w:space="0" w:color="auto"/>
            </w:tcBorders>
            <w:shd w:val="clear" w:color="000000" w:fill="FFFFFF"/>
            <w:noWrap/>
            <w:vAlign w:val="bottom"/>
            <w:hideMark/>
          </w:tcPr>
          <w:p w14:paraId="3EEB3133"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922.635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5FCB534F"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922.635 </w:t>
            </w:r>
          </w:p>
        </w:tc>
      </w:tr>
      <w:tr w:rsidR="001E152D" w:rsidRPr="00701F32" w14:paraId="31A361DC" w14:textId="77777777" w:rsidTr="003D7196">
        <w:trPr>
          <w:trHeight w:val="197"/>
        </w:trPr>
        <w:tc>
          <w:tcPr>
            <w:tcW w:w="4711" w:type="dxa"/>
            <w:tcBorders>
              <w:top w:val="nil"/>
              <w:left w:val="single" w:sz="4" w:space="0" w:color="auto"/>
              <w:bottom w:val="single" w:sz="4" w:space="0" w:color="363639"/>
              <w:right w:val="single" w:sz="4" w:space="0" w:color="363639"/>
            </w:tcBorders>
            <w:shd w:val="clear" w:color="000000" w:fill="FFFFFF"/>
            <w:noWrap/>
            <w:hideMark/>
          </w:tcPr>
          <w:p w14:paraId="5D60F816"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Otros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C1A59ED"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501 </w:t>
            </w:r>
          </w:p>
        </w:tc>
        <w:tc>
          <w:tcPr>
            <w:tcW w:w="1567" w:type="dxa"/>
            <w:tcBorders>
              <w:top w:val="nil"/>
              <w:left w:val="nil"/>
              <w:bottom w:val="single" w:sz="4" w:space="0" w:color="auto"/>
              <w:right w:val="single" w:sz="4" w:space="0" w:color="auto"/>
            </w:tcBorders>
            <w:shd w:val="clear" w:color="000000" w:fill="FFFFFF"/>
            <w:noWrap/>
            <w:vAlign w:val="bottom"/>
            <w:hideMark/>
          </w:tcPr>
          <w:p w14:paraId="49F8D58E"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49.623</w:t>
            </w:r>
          </w:p>
        </w:tc>
        <w:tc>
          <w:tcPr>
            <w:tcW w:w="1569" w:type="dxa"/>
            <w:tcBorders>
              <w:top w:val="nil"/>
              <w:left w:val="nil"/>
              <w:bottom w:val="single" w:sz="4" w:space="0" w:color="auto"/>
              <w:right w:val="single" w:sz="4" w:space="0" w:color="auto"/>
            </w:tcBorders>
            <w:shd w:val="clear" w:color="000000" w:fill="FFFFFF"/>
            <w:noWrap/>
            <w:vAlign w:val="bottom"/>
            <w:hideMark/>
          </w:tcPr>
          <w:p w14:paraId="6A25772F"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3A5A34AB"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50.124 </w:t>
            </w:r>
          </w:p>
        </w:tc>
      </w:tr>
      <w:tr w:rsidR="001E152D" w:rsidRPr="00701F32" w14:paraId="1A241D4E" w14:textId="77777777" w:rsidTr="003D7196">
        <w:trPr>
          <w:trHeight w:val="444"/>
        </w:trPr>
        <w:tc>
          <w:tcPr>
            <w:tcW w:w="4711" w:type="dxa"/>
            <w:tcBorders>
              <w:top w:val="nil"/>
              <w:left w:val="single" w:sz="4" w:space="0" w:color="auto"/>
              <w:bottom w:val="single" w:sz="4" w:space="0" w:color="363639"/>
              <w:right w:val="single" w:sz="4" w:space="0" w:color="363639"/>
            </w:tcBorders>
            <w:shd w:val="clear" w:color="000000" w:fill="FFFFFF"/>
            <w:hideMark/>
          </w:tcPr>
          <w:p w14:paraId="63EDF150"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Títulos de deuda a valor razonable con cambios en resultados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3A4F735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15088BF4"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03EDBDBA"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11.030.208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529430E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11.030.208 </w:t>
            </w:r>
          </w:p>
        </w:tc>
      </w:tr>
      <w:tr w:rsidR="001E152D" w:rsidRPr="00701F32" w14:paraId="23D338CB"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7684EC95"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 xml:space="preserve">Instrumentos derivados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475199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7B64CE9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65564AE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26.916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3A85387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26.916 </w:t>
            </w:r>
          </w:p>
        </w:tc>
      </w:tr>
      <w:tr w:rsidR="001E152D" w:rsidRPr="00701F32" w14:paraId="5B79EFC9"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7936933E"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 xml:space="preserve">Operaciones de pase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3DBBA703"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6302F0B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02DA438D"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3.349.822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0A5E373E"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3.349.822 </w:t>
            </w:r>
          </w:p>
        </w:tc>
      </w:tr>
      <w:tr w:rsidR="001E152D" w:rsidRPr="00701F32" w14:paraId="79797999"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6FF0CD92"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 xml:space="preserve">Otros activos financieros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040B499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4013AAF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181.395 </w:t>
            </w:r>
          </w:p>
        </w:tc>
        <w:tc>
          <w:tcPr>
            <w:tcW w:w="1569" w:type="dxa"/>
            <w:tcBorders>
              <w:top w:val="nil"/>
              <w:left w:val="nil"/>
              <w:bottom w:val="single" w:sz="4" w:space="0" w:color="auto"/>
              <w:right w:val="single" w:sz="4" w:space="0" w:color="auto"/>
            </w:tcBorders>
            <w:shd w:val="clear" w:color="000000" w:fill="FFFFFF"/>
            <w:noWrap/>
            <w:vAlign w:val="bottom"/>
            <w:hideMark/>
          </w:tcPr>
          <w:p w14:paraId="4D9339B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268.374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24194BB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449.769 </w:t>
            </w:r>
          </w:p>
        </w:tc>
      </w:tr>
      <w:tr w:rsidR="001E152D" w:rsidRPr="00701F32" w14:paraId="5EB99CBF"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443ADA8B"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 xml:space="preserve">Préstamos y otras financiaciones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20DED8F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30.670.806 </w:t>
            </w:r>
          </w:p>
        </w:tc>
        <w:tc>
          <w:tcPr>
            <w:tcW w:w="1567" w:type="dxa"/>
            <w:tcBorders>
              <w:top w:val="nil"/>
              <w:left w:val="nil"/>
              <w:bottom w:val="single" w:sz="4" w:space="0" w:color="auto"/>
              <w:right w:val="single" w:sz="4" w:space="0" w:color="auto"/>
            </w:tcBorders>
            <w:shd w:val="clear" w:color="000000" w:fill="FFFFFF"/>
            <w:noWrap/>
            <w:vAlign w:val="bottom"/>
            <w:hideMark/>
          </w:tcPr>
          <w:p w14:paraId="2037619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21.693.466</w:t>
            </w:r>
          </w:p>
        </w:tc>
        <w:tc>
          <w:tcPr>
            <w:tcW w:w="1569" w:type="dxa"/>
            <w:tcBorders>
              <w:top w:val="nil"/>
              <w:left w:val="nil"/>
              <w:bottom w:val="single" w:sz="4" w:space="0" w:color="auto"/>
              <w:right w:val="single" w:sz="4" w:space="0" w:color="auto"/>
            </w:tcBorders>
            <w:shd w:val="clear" w:color="000000" w:fill="FFFFFF"/>
            <w:noWrap/>
            <w:vAlign w:val="bottom"/>
            <w:hideMark/>
          </w:tcPr>
          <w:p w14:paraId="07A7A51E"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2.284.476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4576196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54.648.748 </w:t>
            </w:r>
          </w:p>
        </w:tc>
      </w:tr>
      <w:tr w:rsidR="001E152D" w:rsidRPr="00701F32" w14:paraId="6EF3B149"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noWrap/>
            <w:hideMark/>
          </w:tcPr>
          <w:p w14:paraId="11BF2FCB"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Sector público no financiero</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E994181"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387 </w:t>
            </w:r>
          </w:p>
        </w:tc>
        <w:tc>
          <w:tcPr>
            <w:tcW w:w="1567" w:type="dxa"/>
            <w:tcBorders>
              <w:top w:val="nil"/>
              <w:left w:val="nil"/>
              <w:bottom w:val="single" w:sz="4" w:space="0" w:color="auto"/>
              <w:right w:val="single" w:sz="4" w:space="0" w:color="auto"/>
            </w:tcBorders>
            <w:shd w:val="clear" w:color="000000" w:fill="FFFFFF"/>
            <w:noWrap/>
            <w:vAlign w:val="bottom"/>
            <w:hideMark/>
          </w:tcPr>
          <w:p w14:paraId="0872EC00"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1.104 </w:t>
            </w:r>
          </w:p>
        </w:tc>
        <w:tc>
          <w:tcPr>
            <w:tcW w:w="1569" w:type="dxa"/>
            <w:tcBorders>
              <w:top w:val="nil"/>
              <w:left w:val="nil"/>
              <w:bottom w:val="single" w:sz="4" w:space="0" w:color="auto"/>
              <w:right w:val="single" w:sz="4" w:space="0" w:color="auto"/>
            </w:tcBorders>
            <w:shd w:val="clear" w:color="000000" w:fill="FFFFFF"/>
            <w:noWrap/>
            <w:vAlign w:val="bottom"/>
            <w:hideMark/>
          </w:tcPr>
          <w:p w14:paraId="3BD47279"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31.116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603867D1"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32.607 </w:t>
            </w:r>
          </w:p>
        </w:tc>
      </w:tr>
      <w:tr w:rsidR="001E152D" w:rsidRPr="00701F32" w14:paraId="4CEA7584"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311F2644"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Otras entidades financieras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130BBA20"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290.440 </w:t>
            </w:r>
          </w:p>
        </w:tc>
        <w:tc>
          <w:tcPr>
            <w:tcW w:w="1567" w:type="dxa"/>
            <w:tcBorders>
              <w:top w:val="nil"/>
              <w:left w:val="nil"/>
              <w:bottom w:val="single" w:sz="4" w:space="0" w:color="auto"/>
              <w:right w:val="single" w:sz="4" w:space="0" w:color="auto"/>
            </w:tcBorders>
            <w:shd w:val="clear" w:color="000000" w:fill="FFFFFF"/>
            <w:noWrap/>
            <w:vAlign w:val="bottom"/>
            <w:hideMark/>
          </w:tcPr>
          <w:p w14:paraId="43F012AD"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6C094166"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1.909.999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3A1EDBFE"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2.200.439 </w:t>
            </w:r>
          </w:p>
        </w:tc>
      </w:tr>
      <w:tr w:rsidR="001E152D" w:rsidRPr="00701F32" w14:paraId="254D64D1" w14:textId="77777777" w:rsidTr="003D7196">
        <w:trPr>
          <w:trHeight w:val="280"/>
        </w:trPr>
        <w:tc>
          <w:tcPr>
            <w:tcW w:w="4711" w:type="dxa"/>
            <w:tcBorders>
              <w:top w:val="nil"/>
              <w:left w:val="single" w:sz="4" w:space="0" w:color="auto"/>
              <w:bottom w:val="single" w:sz="4" w:space="0" w:color="363639"/>
              <w:right w:val="single" w:sz="4" w:space="0" w:color="363639"/>
            </w:tcBorders>
            <w:shd w:val="clear" w:color="000000" w:fill="FFFFFF"/>
            <w:hideMark/>
          </w:tcPr>
          <w:p w14:paraId="59AB256A" w14:textId="77777777" w:rsidR="001E152D" w:rsidRPr="00701F32" w:rsidRDefault="001E152D" w:rsidP="003D7196">
            <w:pPr>
              <w:rPr>
                <w:rFonts w:ascii="Arial" w:hAnsi="Arial" w:cs="Arial"/>
                <w:sz w:val="16"/>
                <w:szCs w:val="16"/>
                <w:lang w:eastAsia="es-AR"/>
              </w:rPr>
            </w:pPr>
            <w:r w:rsidRPr="00701F32">
              <w:rPr>
                <w:rFonts w:ascii="Arial" w:hAnsi="Arial" w:cs="Arial"/>
                <w:sz w:val="16"/>
                <w:szCs w:val="16"/>
                <w:lang w:eastAsia="es-AR"/>
              </w:rPr>
              <w:t xml:space="preserve">   Sector privado no financiero y residentes en el exterior </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15C732E5"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30.379.979 </w:t>
            </w:r>
          </w:p>
        </w:tc>
        <w:tc>
          <w:tcPr>
            <w:tcW w:w="1567" w:type="dxa"/>
            <w:tcBorders>
              <w:top w:val="nil"/>
              <w:left w:val="nil"/>
              <w:bottom w:val="single" w:sz="4" w:space="0" w:color="auto"/>
              <w:right w:val="single" w:sz="4" w:space="0" w:color="auto"/>
            </w:tcBorders>
            <w:shd w:val="clear" w:color="000000" w:fill="FFFFFF"/>
            <w:noWrap/>
            <w:vAlign w:val="bottom"/>
            <w:hideMark/>
          </w:tcPr>
          <w:p w14:paraId="15F83770"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21.692.362 </w:t>
            </w:r>
          </w:p>
        </w:tc>
        <w:tc>
          <w:tcPr>
            <w:tcW w:w="1569" w:type="dxa"/>
            <w:tcBorders>
              <w:top w:val="nil"/>
              <w:left w:val="nil"/>
              <w:bottom w:val="single" w:sz="4" w:space="0" w:color="auto"/>
              <w:right w:val="single" w:sz="4" w:space="0" w:color="auto"/>
            </w:tcBorders>
            <w:shd w:val="clear" w:color="000000" w:fill="FFFFFF"/>
            <w:noWrap/>
            <w:vAlign w:val="bottom"/>
            <w:hideMark/>
          </w:tcPr>
          <w:p w14:paraId="6E7378A9"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343.361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5EE8D557"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52.415.702 </w:t>
            </w:r>
          </w:p>
        </w:tc>
      </w:tr>
      <w:tr w:rsidR="001E152D" w:rsidRPr="00701F32" w14:paraId="32399A1B"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25216338"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Otros títulos de deuda</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0CE8252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40E5F96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519E7D2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555.238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4834F22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555.238 </w:t>
            </w:r>
          </w:p>
        </w:tc>
      </w:tr>
      <w:tr w:rsidR="001E152D" w:rsidRPr="00701F32" w14:paraId="7A5B30AB" w14:textId="77777777" w:rsidTr="003D7196">
        <w:trPr>
          <w:trHeight w:val="324"/>
        </w:trPr>
        <w:tc>
          <w:tcPr>
            <w:tcW w:w="4711" w:type="dxa"/>
            <w:tcBorders>
              <w:top w:val="nil"/>
              <w:left w:val="single" w:sz="4" w:space="0" w:color="auto"/>
              <w:bottom w:val="single" w:sz="4" w:space="0" w:color="363639"/>
              <w:right w:val="single" w:sz="4" w:space="0" w:color="363639"/>
            </w:tcBorders>
            <w:shd w:val="clear" w:color="000000" w:fill="FFFFFF"/>
            <w:hideMark/>
          </w:tcPr>
          <w:p w14:paraId="66D9C789"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Activos financieros entregados en garantía</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4BC8C8C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70CB7DB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163.947 </w:t>
            </w:r>
          </w:p>
        </w:tc>
        <w:tc>
          <w:tcPr>
            <w:tcW w:w="1569" w:type="dxa"/>
            <w:tcBorders>
              <w:top w:val="nil"/>
              <w:left w:val="nil"/>
              <w:bottom w:val="single" w:sz="4" w:space="0" w:color="auto"/>
              <w:right w:val="single" w:sz="4" w:space="0" w:color="auto"/>
            </w:tcBorders>
            <w:shd w:val="clear" w:color="000000" w:fill="FFFFFF"/>
            <w:noWrap/>
            <w:vAlign w:val="bottom"/>
            <w:hideMark/>
          </w:tcPr>
          <w:p w14:paraId="49A2C63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1.016.140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049C46F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1.180.087 </w:t>
            </w:r>
          </w:p>
        </w:tc>
      </w:tr>
      <w:tr w:rsidR="001E152D" w:rsidRPr="00701F32" w14:paraId="5385696C" w14:textId="77777777" w:rsidTr="003D7196">
        <w:trPr>
          <w:trHeight w:val="295"/>
        </w:trPr>
        <w:tc>
          <w:tcPr>
            <w:tcW w:w="4711" w:type="dxa"/>
            <w:tcBorders>
              <w:top w:val="nil"/>
              <w:left w:val="single" w:sz="4" w:space="0" w:color="auto"/>
              <w:bottom w:val="single" w:sz="4" w:space="0" w:color="363639"/>
              <w:right w:val="single" w:sz="4" w:space="0" w:color="363639"/>
            </w:tcBorders>
            <w:shd w:val="clear" w:color="000000" w:fill="FFFFFF"/>
            <w:hideMark/>
          </w:tcPr>
          <w:p w14:paraId="17670024"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Activos por impuestos a las ganancias corriente</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657D2DD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0E542C8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4E3D235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4.881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1A809FF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4.881 </w:t>
            </w:r>
          </w:p>
        </w:tc>
      </w:tr>
      <w:tr w:rsidR="001E152D" w:rsidRPr="00701F32" w14:paraId="4E87E4D3" w14:textId="77777777" w:rsidTr="003D7196">
        <w:trPr>
          <w:trHeight w:val="236"/>
        </w:trPr>
        <w:tc>
          <w:tcPr>
            <w:tcW w:w="4711" w:type="dxa"/>
            <w:tcBorders>
              <w:top w:val="nil"/>
              <w:left w:val="single" w:sz="4" w:space="0" w:color="auto"/>
              <w:bottom w:val="single" w:sz="4" w:space="0" w:color="363639"/>
              <w:right w:val="single" w:sz="4" w:space="0" w:color="363639"/>
            </w:tcBorders>
            <w:shd w:val="clear" w:color="000000" w:fill="FFFFFF"/>
            <w:hideMark/>
          </w:tcPr>
          <w:p w14:paraId="402A31E5"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Inversiones en instrumentos de patrimonio</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2DC8F9F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122AD93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10DBF45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45.919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6138790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45.919 </w:t>
            </w:r>
          </w:p>
        </w:tc>
      </w:tr>
      <w:tr w:rsidR="001E152D" w:rsidRPr="00701F32" w14:paraId="5F77A847" w14:textId="77777777" w:rsidTr="003D7196">
        <w:trPr>
          <w:trHeight w:val="289"/>
        </w:trPr>
        <w:tc>
          <w:tcPr>
            <w:tcW w:w="4711" w:type="dxa"/>
            <w:tcBorders>
              <w:top w:val="nil"/>
              <w:left w:val="single" w:sz="4" w:space="0" w:color="auto"/>
              <w:bottom w:val="single" w:sz="4" w:space="0" w:color="363639"/>
              <w:right w:val="single" w:sz="4" w:space="0" w:color="363639"/>
            </w:tcBorders>
            <w:shd w:val="clear" w:color="000000" w:fill="FFFFFF"/>
            <w:hideMark/>
          </w:tcPr>
          <w:p w14:paraId="4E623FFA"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Inversión en subsidiarias, asociadas y negocios conjuntos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2A3D450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0B8E8E1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76ECD83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1.438.112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772EF4F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1.438.112 </w:t>
            </w:r>
          </w:p>
        </w:tc>
      </w:tr>
      <w:tr w:rsidR="001E152D" w:rsidRPr="00701F32" w14:paraId="120DD27D"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0C7F86D6"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Propiedad, planta y equipo</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1364677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0DE1B153"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265C6B03"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1.098.437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42820BD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1.098.437 </w:t>
            </w:r>
          </w:p>
        </w:tc>
      </w:tr>
      <w:tr w:rsidR="001E152D" w:rsidRPr="00701F32" w14:paraId="10FCDE96"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3750B78A"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Activos intangibles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2E9DF07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7C1EDC1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46ED8C6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140.149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222F708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140.149 </w:t>
            </w:r>
          </w:p>
        </w:tc>
      </w:tr>
      <w:tr w:rsidR="001E152D" w:rsidRPr="00701F32" w14:paraId="7EB71708" w14:textId="77777777" w:rsidTr="003D7196">
        <w:trPr>
          <w:trHeight w:val="250"/>
        </w:trPr>
        <w:tc>
          <w:tcPr>
            <w:tcW w:w="4711" w:type="dxa"/>
            <w:tcBorders>
              <w:top w:val="nil"/>
              <w:left w:val="single" w:sz="4" w:space="0" w:color="auto"/>
              <w:bottom w:val="single" w:sz="4" w:space="0" w:color="363639"/>
              <w:right w:val="single" w:sz="4" w:space="0" w:color="363639"/>
            </w:tcBorders>
            <w:shd w:val="clear" w:color="000000" w:fill="FFFFFF"/>
            <w:hideMark/>
          </w:tcPr>
          <w:p w14:paraId="4FF3D76A"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Activos por impuesto a las ganancias diferido</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589BDCD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7" w:type="dxa"/>
            <w:tcBorders>
              <w:top w:val="nil"/>
              <w:left w:val="nil"/>
              <w:bottom w:val="single" w:sz="4" w:space="0" w:color="auto"/>
              <w:right w:val="single" w:sz="4" w:space="0" w:color="auto"/>
            </w:tcBorders>
            <w:shd w:val="clear" w:color="000000" w:fill="FFFFFF"/>
            <w:noWrap/>
            <w:vAlign w:val="bottom"/>
            <w:hideMark/>
          </w:tcPr>
          <w:p w14:paraId="6E73199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69" w:type="dxa"/>
            <w:tcBorders>
              <w:top w:val="nil"/>
              <w:left w:val="nil"/>
              <w:bottom w:val="single" w:sz="4" w:space="0" w:color="auto"/>
              <w:right w:val="single" w:sz="4" w:space="0" w:color="auto"/>
            </w:tcBorders>
            <w:shd w:val="clear" w:color="000000" w:fill="FFFFFF"/>
            <w:noWrap/>
            <w:vAlign w:val="bottom"/>
            <w:hideMark/>
          </w:tcPr>
          <w:p w14:paraId="50A888C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377.744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6C93D74A"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377.744 </w:t>
            </w:r>
          </w:p>
        </w:tc>
      </w:tr>
      <w:tr w:rsidR="001E152D" w:rsidRPr="00701F32" w14:paraId="790411AF" w14:textId="77777777" w:rsidTr="003D7196">
        <w:trPr>
          <w:trHeight w:val="221"/>
        </w:trPr>
        <w:tc>
          <w:tcPr>
            <w:tcW w:w="4711" w:type="dxa"/>
            <w:tcBorders>
              <w:top w:val="nil"/>
              <w:left w:val="single" w:sz="4" w:space="0" w:color="auto"/>
              <w:bottom w:val="single" w:sz="4" w:space="0" w:color="363639"/>
              <w:right w:val="single" w:sz="4" w:space="0" w:color="363639"/>
            </w:tcBorders>
            <w:shd w:val="clear" w:color="000000" w:fill="FFFFFF"/>
            <w:hideMark/>
          </w:tcPr>
          <w:p w14:paraId="50FB9680"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Otros activos no financieros</w:t>
            </w:r>
          </w:p>
        </w:tc>
        <w:tc>
          <w:tcPr>
            <w:tcW w:w="1645" w:type="dxa"/>
            <w:tcBorders>
              <w:top w:val="nil"/>
              <w:left w:val="single" w:sz="4" w:space="0" w:color="auto"/>
              <w:bottom w:val="single" w:sz="4" w:space="0" w:color="auto"/>
              <w:right w:val="single" w:sz="4" w:space="0" w:color="auto"/>
            </w:tcBorders>
            <w:shd w:val="clear" w:color="000000" w:fill="FFFFFF"/>
            <w:noWrap/>
            <w:vAlign w:val="bottom"/>
            <w:hideMark/>
          </w:tcPr>
          <w:p w14:paraId="5EC98B6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10.893 </w:t>
            </w:r>
          </w:p>
        </w:tc>
        <w:tc>
          <w:tcPr>
            <w:tcW w:w="1567" w:type="dxa"/>
            <w:tcBorders>
              <w:top w:val="nil"/>
              <w:left w:val="nil"/>
              <w:bottom w:val="single" w:sz="4" w:space="0" w:color="auto"/>
              <w:right w:val="single" w:sz="4" w:space="0" w:color="auto"/>
            </w:tcBorders>
            <w:shd w:val="clear" w:color="000000" w:fill="FFFFFF"/>
            <w:noWrap/>
            <w:vAlign w:val="bottom"/>
            <w:hideMark/>
          </w:tcPr>
          <w:p w14:paraId="74F7007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18.357 </w:t>
            </w:r>
          </w:p>
        </w:tc>
        <w:tc>
          <w:tcPr>
            <w:tcW w:w="1569" w:type="dxa"/>
            <w:tcBorders>
              <w:top w:val="nil"/>
              <w:left w:val="nil"/>
              <w:bottom w:val="single" w:sz="4" w:space="0" w:color="auto"/>
              <w:right w:val="single" w:sz="4" w:space="0" w:color="auto"/>
            </w:tcBorders>
            <w:shd w:val="clear" w:color="000000" w:fill="FFFFFF"/>
            <w:noWrap/>
            <w:vAlign w:val="bottom"/>
            <w:hideMark/>
          </w:tcPr>
          <w:p w14:paraId="42DA62B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592.689 </w:t>
            </w:r>
          </w:p>
        </w:tc>
        <w:tc>
          <w:tcPr>
            <w:tcW w:w="1726" w:type="dxa"/>
            <w:tcBorders>
              <w:top w:val="nil"/>
              <w:left w:val="single" w:sz="4" w:space="0" w:color="auto"/>
              <w:bottom w:val="single" w:sz="4" w:space="0" w:color="auto"/>
              <w:right w:val="single" w:sz="4" w:space="0" w:color="auto"/>
            </w:tcBorders>
            <w:shd w:val="clear" w:color="000000" w:fill="FFFFFF"/>
            <w:noWrap/>
            <w:vAlign w:val="bottom"/>
            <w:hideMark/>
          </w:tcPr>
          <w:p w14:paraId="4F0B212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621.939 </w:t>
            </w:r>
          </w:p>
        </w:tc>
      </w:tr>
      <w:tr w:rsidR="001E152D" w:rsidRPr="00701F32" w14:paraId="4C738B16" w14:textId="77777777" w:rsidTr="003D7196">
        <w:trPr>
          <w:trHeight w:val="221"/>
        </w:trPr>
        <w:tc>
          <w:tcPr>
            <w:tcW w:w="4711" w:type="dxa"/>
            <w:tcBorders>
              <w:top w:val="single" w:sz="4" w:space="0" w:color="auto"/>
              <w:left w:val="single" w:sz="4" w:space="0" w:color="auto"/>
              <w:bottom w:val="single" w:sz="4" w:space="0" w:color="auto"/>
              <w:right w:val="single" w:sz="4" w:space="0" w:color="363639"/>
            </w:tcBorders>
            <w:shd w:val="clear" w:color="000000" w:fill="FFFFFF"/>
            <w:vAlign w:val="center"/>
            <w:hideMark/>
          </w:tcPr>
          <w:p w14:paraId="33E2B11D"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TOTAL ACTIVO</w:t>
            </w:r>
          </w:p>
        </w:tc>
        <w:tc>
          <w:tcPr>
            <w:tcW w:w="16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B1637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30.941.806 </w:t>
            </w:r>
          </w:p>
        </w:tc>
        <w:tc>
          <w:tcPr>
            <w:tcW w:w="1567" w:type="dxa"/>
            <w:tcBorders>
              <w:top w:val="single" w:sz="4" w:space="0" w:color="auto"/>
              <w:left w:val="nil"/>
              <w:bottom w:val="single" w:sz="4" w:space="0" w:color="auto"/>
              <w:right w:val="single" w:sz="4" w:space="0" w:color="auto"/>
            </w:tcBorders>
            <w:shd w:val="clear" w:color="000000" w:fill="FFFFFF"/>
            <w:noWrap/>
            <w:vAlign w:val="bottom"/>
            <w:hideMark/>
          </w:tcPr>
          <w:p w14:paraId="224197B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24.856.232</w:t>
            </w:r>
          </w:p>
        </w:tc>
        <w:tc>
          <w:tcPr>
            <w:tcW w:w="1569" w:type="dxa"/>
            <w:tcBorders>
              <w:top w:val="single" w:sz="4" w:space="0" w:color="auto"/>
              <w:left w:val="nil"/>
              <w:bottom w:val="single" w:sz="4" w:space="0" w:color="auto"/>
              <w:right w:val="single" w:sz="4" w:space="0" w:color="auto"/>
            </w:tcBorders>
            <w:shd w:val="clear" w:color="000000" w:fill="FFFFFF"/>
            <w:noWrap/>
            <w:vAlign w:val="bottom"/>
            <w:hideMark/>
          </w:tcPr>
          <w:p w14:paraId="49665AFA"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30.200.278 </w:t>
            </w:r>
          </w:p>
        </w:tc>
        <w:tc>
          <w:tcPr>
            <w:tcW w:w="17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BD04F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85.998.316 </w:t>
            </w:r>
          </w:p>
        </w:tc>
      </w:tr>
    </w:tbl>
    <w:p w14:paraId="07AB9673" w14:textId="77777777" w:rsidR="001E152D" w:rsidRPr="00701F32" w:rsidRDefault="001E152D" w:rsidP="001E152D"/>
    <w:tbl>
      <w:tblPr>
        <w:tblpPr w:leftFromText="141" w:rightFromText="141" w:vertAnchor="text" w:tblpX="-1136" w:tblpY="1"/>
        <w:tblOverlap w:val="never"/>
        <w:tblW w:w="11220" w:type="dxa"/>
        <w:tblCellMar>
          <w:left w:w="70" w:type="dxa"/>
          <w:right w:w="70" w:type="dxa"/>
        </w:tblCellMar>
        <w:tblLook w:val="04A0" w:firstRow="1" w:lastRow="0" w:firstColumn="1" w:lastColumn="0" w:noHBand="0" w:noVBand="1"/>
      </w:tblPr>
      <w:tblGrid>
        <w:gridCol w:w="5182"/>
        <w:gridCol w:w="1383"/>
        <w:gridCol w:w="1556"/>
        <w:gridCol w:w="1555"/>
        <w:gridCol w:w="1544"/>
      </w:tblGrid>
      <w:tr w:rsidR="001E152D" w:rsidRPr="00701F32" w14:paraId="709EF355" w14:textId="77777777" w:rsidTr="003D7196">
        <w:trPr>
          <w:trHeight w:val="535"/>
        </w:trPr>
        <w:tc>
          <w:tcPr>
            <w:tcW w:w="518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B769E1" w14:textId="77777777" w:rsidR="001E152D" w:rsidRPr="00701F32" w:rsidRDefault="001E152D" w:rsidP="003D7196">
            <w:pPr>
              <w:jc w:val="center"/>
              <w:rPr>
                <w:rFonts w:ascii="Arial" w:hAnsi="Arial" w:cs="Arial"/>
                <w:b/>
                <w:bCs/>
                <w:sz w:val="16"/>
                <w:szCs w:val="16"/>
                <w:lang w:eastAsia="es-AR"/>
              </w:rPr>
            </w:pPr>
            <w:r w:rsidRPr="00701F32">
              <w:rPr>
                <w:rFonts w:ascii="Arial" w:hAnsi="Arial" w:cs="Arial"/>
                <w:b/>
                <w:bCs/>
                <w:sz w:val="16"/>
                <w:szCs w:val="16"/>
                <w:lang w:eastAsia="es-AR"/>
              </w:rPr>
              <w:t>PASIVO al 31/12/2017</w:t>
            </w:r>
          </w:p>
        </w:tc>
        <w:tc>
          <w:tcPr>
            <w:tcW w:w="1383" w:type="dxa"/>
            <w:tcBorders>
              <w:top w:val="single" w:sz="4" w:space="0" w:color="auto"/>
              <w:left w:val="nil"/>
              <w:bottom w:val="single" w:sz="4" w:space="0" w:color="auto"/>
              <w:right w:val="single" w:sz="4" w:space="0" w:color="auto"/>
            </w:tcBorders>
            <w:shd w:val="clear" w:color="auto" w:fill="auto"/>
            <w:vAlign w:val="bottom"/>
            <w:hideMark/>
          </w:tcPr>
          <w:p w14:paraId="0365CE1C"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Banca Empresa</w:t>
            </w:r>
          </w:p>
        </w:tc>
        <w:tc>
          <w:tcPr>
            <w:tcW w:w="1556" w:type="dxa"/>
            <w:tcBorders>
              <w:top w:val="single" w:sz="4" w:space="0" w:color="auto"/>
              <w:left w:val="nil"/>
              <w:bottom w:val="single" w:sz="4" w:space="0" w:color="auto"/>
              <w:right w:val="single" w:sz="4" w:space="0" w:color="auto"/>
            </w:tcBorders>
            <w:shd w:val="clear" w:color="auto" w:fill="auto"/>
            <w:vAlign w:val="bottom"/>
            <w:hideMark/>
          </w:tcPr>
          <w:p w14:paraId="73A0B4D4"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Banca Minorista</w:t>
            </w:r>
          </w:p>
        </w:tc>
        <w:tc>
          <w:tcPr>
            <w:tcW w:w="1555" w:type="dxa"/>
            <w:tcBorders>
              <w:top w:val="single" w:sz="4" w:space="0" w:color="auto"/>
              <w:left w:val="nil"/>
              <w:bottom w:val="single" w:sz="4" w:space="0" w:color="auto"/>
              <w:right w:val="single" w:sz="4" w:space="0" w:color="auto"/>
            </w:tcBorders>
            <w:shd w:val="clear" w:color="auto" w:fill="auto"/>
            <w:vAlign w:val="bottom"/>
            <w:hideMark/>
          </w:tcPr>
          <w:p w14:paraId="77460CBE"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Tesorería</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3CC3C" w14:textId="77777777" w:rsidR="001E152D" w:rsidRPr="00701F32" w:rsidRDefault="001E152D" w:rsidP="003D7196">
            <w:pPr>
              <w:jc w:val="center"/>
              <w:rPr>
                <w:rFonts w:ascii="Arial" w:hAnsi="Arial" w:cs="Arial"/>
                <w:b/>
                <w:bCs/>
                <w:color w:val="000000"/>
                <w:sz w:val="16"/>
                <w:szCs w:val="16"/>
                <w:lang w:eastAsia="es-AR"/>
              </w:rPr>
            </w:pPr>
            <w:r w:rsidRPr="00701F32">
              <w:rPr>
                <w:rFonts w:ascii="Arial" w:hAnsi="Arial" w:cs="Arial"/>
                <w:b/>
                <w:bCs/>
                <w:color w:val="000000"/>
                <w:sz w:val="16"/>
                <w:szCs w:val="16"/>
                <w:lang w:eastAsia="es-AR"/>
              </w:rPr>
              <w:t>TOTAL</w:t>
            </w:r>
          </w:p>
        </w:tc>
      </w:tr>
      <w:tr w:rsidR="001E152D" w:rsidRPr="00701F32" w14:paraId="69EAF148" w14:textId="77777777" w:rsidTr="003D7196">
        <w:trPr>
          <w:trHeight w:val="304"/>
        </w:trPr>
        <w:tc>
          <w:tcPr>
            <w:tcW w:w="5182" w:type="dxa"/>
            <w:tcBorders>
              <w:top w:val="nil"/>
              <w:left w:val="single" w:sz="4" w:space="0" w:color="auto"/>
              <w:bottom w:val="single" w:sz="4" w:space="0" w:color="auto"/>
              <w:right w:val="single" w:sz="4" w:space="0" w:color="auto"/>
            </w:tcBorders>
            <w:shd w:val="clear" w:color="auto" w:fill="auto"/>
            <w:hideMark/>
          </w:tcPr>
          <w:p w14:paraId="1CEA0668"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Depósitos</w:t>
            </w:r>
          </w:p>
        </w:tc>
        <w:tc>
          <w:tcPr>
            <w:tcW w:w="1383" w:type="dxa"/>
            <w:tcBorders>
              <w:top w:val="nil"/>
              <w:left w:val="nil"/>
              <w:bottom w:val="single" w:sz="4" w:space="0" w:color="auto"/>
              <w:right w:val="single" w:sz="4" w:space="0" w:color="auto"/>
            </w:tcBorders>
            <w:shd w:val="clear" w:color="auto" w:fill="auto"/>
            <w:noWrap/>
            <w:vAlign w:val="bottom"/>
            <w:hideMark/>
          </w:tcPr>
          <w:p w14:paraId="5904877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-4.615.245 </w:t>
            </w:r>
          </w:p>
        </w:tc>
        <w:tc>
          <w:tcPr>
            <w:tcW w:w="1556" w:type="dxa"/>
            <w:tcBorders>
              <w:top w:val="nil"/>
              <w:left w:val="nil"/>
              <w:bottom w:val="single" w:sz="4" w:space="0" w:color="auto"/>
              <w:right w:val="single" w:sz="4" w:space="0" w:color="auto"/>
            </w:tcBorders>
            <w:shd w:val="clear" w:color="auto" w:fill="auto"/>
            <w:noWrap/>
            <w:vAlign w:val="bottom"/>
            <w:hideMark/>
          </w:tcPr>
          <w:p w14:paraId="1DCCD4B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-35.239.872 </w:t>
            </w:r>
          </w:p>
        </w:tc>
        <w:tc>
          <w:tcPr>
            <w:tcW w:w="1555" w:type="dxa"/>
            <w:tcBorders>
              <w:top w:val="nil"/>
              <w:left w:val="nil"/>
              <w:bottom w:val="single" w:sz="4" w:space="0" w:color="auto"/>
              <w:right w:val="single" w:sz="4" w:space="0" w:color="auto"/>
            </w:tcBorders>
            <w:shd w:val="clear" w:color="auto" w:fill="auto"/>
            <w:noWrap/>
            <w:vAlign w:val="bottom"/>
            <w:hideMark/>
          </w:tcPr>
          <w:p w14:paraId="56094214"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-16.026.236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3C38CBB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-55.881.353</w:t>
            </w:r>
          </w:p>
        </w:tc>
      </w:tr>
      <w:tr w:rsidR="001E152D" w:rsidRPr="00701F32" w14:paraId="307B4470" w14:textId="77777777" w:rsidTr="003D7196">
        <w:trPr>
          <w:trHeight w:val="360"/>
        </w:trPr>
        <w:tc>
          <w:tcPr>
            <w:tcW w:w="5182" w:type="dxa"/>
            <w:tcBorders>
              <w:top w:val="nil"/>
              <w:left w:val="single" w:sz="4" w:space="0" w:color="auto"/>
              <w:bottom w:val="single" w:sz="4" w:space="0" w:color="auto"/>
              <w:right w:val="single" w:sz="4" w:space="0" w:color="auto"/>
            </w:tcBorders>
            <w:shd w:val="clear" w:color="auto" w:fill="auto"/>
            <w:hideMark/>
          </w:tcPr>
          <w:p w14:paraId="753748E5" w14:textId="77777777" w:rsidR="001E152D" w:rsidRPr="00701F32" w:rsidRDefault="001E152D" w:rsidP="003D7196">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público no financiero</w:t>
            </w:r>
          </w:p>
        </w:tc>
        <w:tc>
          <w:tcPr>
            <w:tcW w:w="1383" w:type="dxa"/>
            <w:tcBorders>
              <w:top w:val="nil"/>
              <w:left w:val="nil"/>
              <w:bottom w:val="single" w:sz="4" w:space="0" w:color="auto"/>
              <w:right w:val="single" w:sz="4" w:space="0" w:color="auto"/>
            </w:tcBorders>
            <w:shd w:val="clear" w:color="auto" w:fill="auto"/>
            <w:noWrap/>
            <w:vAlign w:val="bottom"/>
            <w:hideMark/>
          </w:tcPr>
          <w:p w14:paraId="64F46F0D"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-1.245 </w:t>
            </w:r>
          </w:p>
        </w:tc>
        <w:tc>
          <w:tcPr>
            <w:tcW w:w="1556" w:type="dxa"/>
            <w:tcBorders>
              <w:top w:val="nil"/>
              <w:left w:val="nil"/>
              <w:bottom w:val="single" w:sz="4" w:space="0" w:color="auto"/>
              <w:right w:val="single" w:sz="4" w:space="0" w:color="auto"/>
            </w:tcBorders>
            <w:shd w:val="clear" w:color="auto" w:fill="auto"/>
            <w:noWrap/>
            <w:vAlign w:val="bottom"/>
            <w:hideMark/>
          </w:tcPr>
          <w:p w14:paraId="10553B4A"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-1.116.467 </w:t>
            </w:r>
          </w:p>
        </w:tc>
        <w:tc>
          <w:tcPr>
            <w:tcW w:w="1555" w:type="dxa"/>
            <w:tcBorders>
              <w:top w:val="nil"/>
              <w:left w:val="nil"/>
              <w:bottom w:val="single" w:sz="4" w:space="0" w:color="auto"/>
              <w:right w:val="single" w:sz="4" w:space="0" w:color="auto"/>
            </w:tcBorders>
            <w:shd w:val="clear" w:color="auto" w:fill="auto"/>
            <w:noWrap/>
            <w:vAlign w:val="bottom"/>
            <w:hideMark/>
          </w:tcPr>
          <w:p w14:paraId="30D03923"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-5.053.949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3F2CB07B"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-6.171.661</w:t>
            </w:r>
          </w:p>
        </w:tc>
      </w:tr>
      <w:tr w:rsidR="001E152D" w:rsidRPr="00701F32" w14:paraId="1D4F85A2"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03FD49CB" w14:textId="77777777" w:rsidR="001E152D" w:rsidRPr="00701F32" w:rsidRDefault="001E152D" w:rsidP="003D7196">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financiero</w:t>
            </w:r>
          </w:p>
        </w:tc>
        <w:tc>
          <w:tcPr>
            <w:tcW w:w="1383" w:type="dxa"/>
            <w:tcBorders>
              <w:top w:val="nil"/>
              <w:left w:val="nil"/>
              <w:bottom w:val="single" w:sz="4" w:space="0" w:color="auto"/>
              <w:right w:val="single" w:sz="4" w:space="0" w:color="auto"/>
            </w:tcBorders>
            <w:shd w:val="clear" w:color="auto" w:fill="auto"/>
            <w:noWrap/>
            <w:vAlign w:val="bottom"/>
            <w:hideMark/>
          </w:tcPr>
          <w:p w14:paraId="2704A0B4"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-20.038 </w:t>
            </w:r>
          </w:p>
        </w:tc>
        <w:tc>
          <w:tcPr>
            <w:tcW w:w="1556" w:type="dxa"/>
            <w:tcBorders>
              <w:top w:val="nil"/>
              <w:left w:val="nil"/>
              <w:bottom w:val="single" w:sz="4" w:space="0" w:color="auto"/>
              <w:right w:val="single" w:sz="4" w:space="0" w:color="auto"/>
            </w:tcBorders>
            <w:shd w:val="clear" w:color="auto" w:fill="auto"/>
            <w:noWrap/>
            <w:vAlign w:val="bottom"/>
            <w:hideMark/>
          </w:tcPr>
          <w:p w14:paraId="7795D674"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-49 </w:t>
            </w:r>
          </w:p>
        </w:tc>
        <w:tc>
          <w:tcPr>
            <w:tcW w:w="1555" w:type="dxa"/>
            <w:tcBorders>
              <w:top w:val="nil"/>
              <w:left w:val="nil"/>
              <w:bottom w:val="single" w:sz="4" w:space="0" w:color="auto"/>
              <w:right w:val="single" w:sz="4" w:space="0" w:color="auto"/>
            </w:tcBorders>
            <w:shd w:val="clear" w:color="auto" w:fill="auto"/>
            <w:noWrap/>
            <w:vAlign w:val="bottom"/>
            <w:hideMark/>
          </w:tcPr>
          <w:p w14:paraId="4A5121C4"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-10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25893F56"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-20.097</w:t>
            </w:r>
          </w:p>
        </w:tc>
      </w:tr>
      <w:tr w:rsidR="001E152D" w:rsidRPr="00701F32" w14:paraId="58400D9C"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noWrap/>
            <w:hideMark/>
          </w:tcPr>
          <w:p w14:paraId="0EC664F5" w14:textId="77777777" w:rsidR="001E152D" w:rsidRPr="00701F32" w:rsidRDefault="001E152D" w:rsidP="003D7196">
            <w:pPr>
              <w:rPr>
                <w:rFonts w:ascii="Arial" w:hAnsi="Arial" w:cs="Arial"/>
                <w:color w:val="000000"/>
                <w:sz w:val="16"/>
                <w:szCs w:val="16"/>
                <w:lang w:eastAsia="es-AR"/>
              </w:rPr>
            </w:pPr>
            <w:r w:rsidRPr="00701F32">
              <w:rPr>
                <w:rFonts w:ascii="Arial" w:hAnsi="Arial" w:cs="Arial"/>
                <w:color w:val="000000"/>
                <w:sz w:val="16"/>
                <w:szCs w:val="16"/>
                <w:lang w:eastAsia="es-AR"/>
              </w:rPr>
              <w:t xml:space="preserve">   Sector privado no financiero y residentes en el exterior</w:t>
            </w:r>
          </w:p>
        </w:tc>
        <w:tc>
          <w:tcPr>
            <w:tcW w:w="1383" w:type="dxa"/>
            <w:tcBorders>
              <w:top w:val="nil"/>
              <w:left w:val="nil"/>
              <w:bottom w:val="single" w:sz="4" w:space="0" w:color="auto"/>
              <w:right w:val="single" w:sz="4" w:space="0" w:color="auto"/>
            </w:tcBorders>
            <w:shd w:val="clear" w:color="auto" w:fill="auto"/>
            <w:noWrap/>
            <w:vAlign w:val="bottom"/>
            <w:hideMark/>
          </w:tcPr>
          <w:p w14:paraId="6C1BBAF5"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-4.593.962 </w:t>
            </w:r>
          </w:p>
        </w:tc>
        <w:tc>
          <w:tcPr>
            <w:tcW w:w="1556" w:type="dxa"/>
            <w:tcBorders>
              <w:top w:val="nil"/>
              <w:left w:val="nil"/>
              <w:bottom w:val="single" w:sz="4" w:space="0" w:color="auto"/>
              <w:right w:val="single" w:sz="4" w:space="0" w:color="auto"/>
            </w:tcBorders>
            <w:shd w:val="clear" w:color="auto" w:fill="auto"/>
            <w:noWrap/>
            <w:vAlign w:val="bottom"/>
            <w:hideMark/>
          </w:tcPr>
          <w:p w14:paraId="7EE02C6E"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-34.123.356 </w:t>
            </w:r>
          </w:p>
        </w:tc>
        <w:tc>
          <w:tcPr>
            <w:tcW w:w="1555" w:type="dxa"/>
            <w:tcBorders>
              <w:top w:val="nil"/>
              <w:left w:val="nil"/>
              <w:bottom w:val="single" w:sz="4" w:space="0" w:color="auto"/>
              <w:right w:val="single" w:sz="4" w:space="0" w:color="auto"/>
            </w:tcBorders>
            <w:shd w:val="clear" w:color="auto" w:fill="auto"/>
            <w:noWrap/>
            <w:vAlign w:val="bottom"/>
            <w:hideMark/>
          </w:tcPr>
          <w:p w14:paraId="791579A9"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 xml:space="preserve"> -10.972.277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47E9326B" w14:textId="77777777" w:rsidR="001E152D" w:rsidRPr="00701F32" w:rsidRDefault="001E152D" w:rsidP="003D7196">
            <w:pPr>
              <w:jc w:val="right"/>
              <w:rPr>
                <w:rFonts w:ascii="Arial" w:hAnsi="Arial" w:cs="Arial"/>
                <w:bCs/>
                <w:sz w:val="16"/>
                <w:szCs w:val="16"/>
                <w:lang w:eastAsia="es-AR"/>
              </w:rPr>
            </w:pPr>
            <w:r w:rsidRPr="00701F32">
              <w:rPr>
                <w:rFonts w:ascii="Arial" w:hAnsi="Arial" w:cs="Arial"/>
                <w:bCs/>
                <w:sz w:val="16"/>
                <w:szCs w:val="16"/>
                <w:lang w:eastAsia="es-AR"/>
              </w:rPr>
              <w:t>-49.689.595</w:t>
            </w:r>
          </w:p>
        </w:tc>
      </w:tr>
      <w:tr w:rsidR="001E152D" w:rsidRPr="00701F32" w14:paraId="3BEF27E0"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noWrap/>
            <w:hideMark/>
          </w:tcPr>
          <w:p w14:paraId="2C56F23D"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Pasivos a valor razonable con cambios en resultados</w:t>
            </w:r>
          </w:p>
        </w:tc>
        <w:tc>
          <w:tcPr>
            <w:tcW w:w="1383" w:type="dxa"/>
            <w:tcBorders>
              <w:top w:val="nil"/>
              <w:left w:val="nil"/>
              <w:bottom w:val="single" w:sz="4" w:space="0" w:color="auto"/>
              <w:right w:val="single" w:sz="4" w:space="0" w:color="auto"/>
            </w:tcBorders>
            <w:shd w:val="clear" w:color="auto" w:fill="auto"/>
            <w:noWrap/>
            <w:vAlign w:val="bottom"/>
            <w:hideMark/>
          </w:tcPr>
          <w:p w14:paraId="1E97DC7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42F16D9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5" w:type="dxa"/>
            <w:tcBorders>
              <w:top w:val="nil"/>
              <w:left w:val="nil"/>
              <w:bottom w:val="single" w:sz="4" w:space="0" w:color="auto"/>
              <w:right w:val="single" w:sz="4" w:space="0" w:color="auto"/>
            </w:tcBorders>
            <w:shd w:val="clear" w:color="auto" w:fill="auto"/>
            <w:noWrap/>
            <w:vAlign w:val="bottom"/>
            <w:hideMark/>
          </w:tcPr>
          <w:p w14:paraId="430601B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-4.176.040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587C845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-4.176.040</w:t>
            </w:r>
          </w:p>
        </w:tc>
      </w:tr>
      <w:tr w:rsidR="001E152D" w:rsidRPr="00701F32" w14:paraId="1F2F1078"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42F5A1B8"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Otros pasivos financieros</w:t>
            </w:r>
          </w:p>
        </w:tc>
        <w:tc>
          <w:tcPr>
            <w:tcW w:w="1383" w:type="dxa"/>
            <w:tcBorders>
              <w:top w:val="nil"/>
              <w:left w:val="nil"/>
              <w:bottom w:val="single" w:sz="4" w:space="0" w:color="auto"/>
              <w:right w:val="single" w:sz="4" w:space="0" w:color="auto"/>
            </w:tcBorders>
            <w:shd w:val="clear" w:color="auto" w:fill="auto"/>
            <w:noWrap/>
            <w:vAlign w:val="bottom"/>
            <w:hideMark/>
          </w:tcPr>
          <w:p w14:paraId="6449E97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-706.694 </w:t>
            </w:r>
          </w:p>
        </w:tc>
        <w:tc>
          <w:tcPr>
            <w:tcW w:w="1556" w:type="dxa"/>
            <w:tcBorders>
              <w:top w:val="nil"/>
              <w:left w:val="nil"/>
              <w:bottom w:val="single" w:sz="4" w:space="0" w:color="auto"/>
              <w:right w:val="single" w:sz="4" w:space="0" w:color="auto"/>
            </w:tcBorders>
            <w:shd w:val="clear" w:color="auto" w:fill="auto"/>
            <w:noWrap/>
            <w:vAlign w:val="bottom"/>
            <w:hideMark/>
          </w:tcPr>
          <w:p w14:paraId="028E10A3"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-1.827.176 </w:t>
            </w:r>
          </w:p>
        </w:tc>
        <w:tc>
          <w:tcPr>
            <w:tcW w:w="1555" w:type="dxa"/>
            <w:tcBorders>
              <w:top w:val="nil"/>
              <w:left w:val="nil"/>
              <w:bottom w:val="single" w:sz="4" w:space="0" w:color="auto"/>
              <w:right w:val="single" w:sz="4" w:space="0" w:color="auto"/>
            </w:tcBorders>
            <w:shd w:val="clear" w:color="auto" w:fill="auto"/>
            <w:noWrap/>
            <w:vAlign w:val="bottom"/>
            <w:hideMark/>
          </w:tcPr>
          <w:p w14:paraId="1F20FC9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-188.112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4F87936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-2.721.982</w:t>
            </w:r>
          </w:p>
        </w:tc>
      </w:tr>
      <w:tr w:rsidR="001E152D" w:rsidRPr="00701F32" w14:paraId="2841F54B"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noWrap/>
            <w:hideMark/>
          </w:tcPr>
          <w:p w14:paraId="6B977F97"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Financiaciones recibidas del BCRA y otras instituciones financieras</w:t>
            </w:r>
          </w:p>
        </w:tc>
        <w:tc>
          <w:tcPr>
            <w:tcW w:w="1383" w:type="dxa"/>
            <w:tcBorders>
              <w:top w:val="nil"/>
              <w:left w:val="nil"/>
              <w:bottom w:val="single" w:sz="4" w:space="0" w:color="auto"/>
              <w:right w:val="single" w:sz="4" w:space="0" w:color="auto"/>
            </w:tcBorders>
            <w:shd w:val="clear" w:color="auto" w:fill="auto"/>
            <w:noWrap/>
            <w:vAlign w:val="bottom"/>
            <w:hideMark/>
          </w:tcPr>
          <w:p w14:paraId="2E06C64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-2.753.100 </w:t>
            </w:r>
          </w:p>
        </w:tc>
        <w:tc>
          <w:tcPr>
            <w:tcW w:w="1556" w:type="dxa"/>
            <w:tcBorders>
              <w:top w:val="nil"/>
              <w:left w:val="nil"/>
              <w:bottom w:val="single" w:sz="4" w:space="0" w:color="auto"/>
              <w:right w:val="single" w:sz="4" w:space="0" w:color="auto"/>
            </w:tcBorders>
            <w:shd w:val="clear" w:color="auto" w:fill="auto"/>
            <w:noWrap/>
            <w:vAlign w:val="bottom"/>
            <w:hideMark/>
          </w:tcPr>
          <w:p w14:paraId="54F2815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-6.515 </w:t>
            </w:r>
          </w:p>
        </w:tc>
        <w:tc>
          <w:tcPr>
            <w:tcW w:w="1555" w:type="dxa"/>
            <w:tcBorders>
              <w:top w:val="nil"/>
              <w:left w:val="nil"/>
              <w:bottom w:val="single" w:sz="4" w:space="0" w:color="auto"/>
              <w:right w:val="single" w:sz="4" w:space="0" w:color="auto"/>
            </w:tcBorders>
            <w:shd w:val="clear" w:color="auto" w:fill="auto"/>
            <w:noWrap/>
            <w:vAlign w:val="bottom"/>
            <w:hideMark/>
          </w:tcPr>
          <w:p w14:paraId="7657D83D"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-615.878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230F97DE"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-3.375.493</w:t>
            </w:r>
          </w:p>
        </w:tc>
      </w:tr>
      <w:tr w:rsidR="001E152D" w:rsidRPr="00701F32" w14:paraId="0263CCAE"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056C0954"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Obligaciones negociables emitidas</w:t>
            </w:r>
          </w:p>
        </w:tc>
        <w:tc>
          <w:tcPr>
            <w:tcW w:w="1383" w:type="dxa"/>
            <w:tcBorders>
              <w:top w:val="nil"/>
              <w:left w:val="nil"/>
              <w:bottom w:val="single" w:sz="4" w:space="0" w:color="auto"/>
              <w:right w:val="single" w:sz="4" w:space="0" w:color="auto"/>
            </w:tcBorders>
            <w:shd w:val="clear" w:color="auto" w:fill="auto"/>
            <w:noWrap/>
            <w:vAlign w:val="bottom"/>
            <w:hideMark/>
          </w:tcPr>
          <w:p w14:paraId="1CAE8F2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6FB637AF"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5" w:type="dxa"/>
            <w:tcBorders>
              <w:top w:val="nil"/>
              <w:left w:val="nil"/>
              <w:bottom w:val="single" w:sz="4" w:space="0" w:color="auto"/>
              <w:right w:val="single" w:sz="4" w:space="0" w:color="auto"/>
            </w:tcBorders>
            <w:shd w:val="clear" w:color="auto" w:fill="auto"/>
            <w:noWrap/>
            <w:vAlign w:val="bottom"/>
            <w:hideMark/>
          </w:tcPr>
          <w:p w14:paraId="3C832C1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-6.651.920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0F3F170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-6.651.920</w:t>
            </w:r>
          </w:p>
        </w:tc>
      </w:tr>
      <w:tr w:rsidR="001E152D" w:rsidRPr="00701F32" w14:paraId="354E6BFC"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49AFCDDB"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Pasivo por impuestos a las ganancias corriente</w:t>
            </w:r>
          </w:p>
        </w:tc>
        <w:tc>
          <w:tcPr>
            <w:tcW w:w="1383" w:type="dxa"/>
            <w:tcBorders>
              <w:top w:val="nil"/>
              <w:left w:val="nil"/>
              <w:bottom w:val="single" w:sz="4" w:space="0" w:color="auto"/>
              <w:right w:val="single" w:sz="4" w:space="0" w:color="auto"/>
            </w:tcBorders>
            <w:shd w:val="clear" w:color="auto" w:fill="auto"/>
            <w:noWrap/>
            <w:vAlign w:val="bottom"/>
            <w:hideMark/>
          </w:tcPr>
          <w:p w14:paraId="78792F9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5C229275"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-110 </w:t>
            </w:r>
          </w:p>
        </w:tc>
        <w:tc>
          <w:tcPr>
            <w:tcW w:w="1555" w:type="dxa"/>
            <w:tcBorders>
              <w:top w:val="nil"/>
              <w:left w:val="nil"/>
              <w:bottom w:val="single" w:sz="4" w:space="0" w:color="auto"/>
              <w:right w:val="single" w:sz="4" w:space="0" w:color="auto"/>
            </w:tcBorders>
            <w:shd w:val="clear" w:color="auto" w:fill="auto"/>
            <w:noWrap/>
            <w:vAlign w:val="bottom"/>
            <w:hideMark/>
          </w:tcPr>
          <w:p w14:paraId="3559891E"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-510.837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46EE0BF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-510.947</w:t>
            </w:r>
          </w:p>
        </w:tc>
      </w:tr>
      <w:tr w:rsidR="001E152D" w:rsidRPr="00701F32" w14:paraId="4CA2F123" w14:textId="77777777" w:rsidTr="003D7196">
        <w:trPr>
          <w:trHeight w:val="251"/>
        </w:trPr>
        <w:tc>
          <w:tcPr>
            <w:tcW w:w="5182" w:type="dxa"/>
            <w:tcBorders>
              <w:top w:val="nil"/>
              <w:left w:val="single" w:sz="4" w:space="0" w:color="auto"/>
              <w:bottom w:val="single" w:sz="4" w:space="0" w:color="auto"/>
              <w:right w:val="single" w:sz="4" w:space="0" w:color="auto"/>
            </w:tcBorders>
            <w:shd w:val="clear" w:color="auto" w:fill="auto"/>
            <w:hideMark/>
          </w:tcPr>
          <w:p w14:paraId="1C91672F"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Obligaciones negociables subordinadas</w:t>
            </w:r>
          </w:p>
        </w:tc>
        <w:tc>
          <w:tcPr>
            <w:tcW w:w="1383" w:type="dxa"/>
            <w:tcBorders>
              <w:top w:val="nil"/>
              <w:left w:val="nil"/>
              <w:bottom w:val="single" w:sz="4" w:space="0" w:color="auto"/>
              <w:right w:val="single" w:sz="4" w:space="0" w:color="auto"/>
            </w:tcBorders>
            <w:shd w:val="clear" w:color="auto" w:fill="auto"/>
            <w:noWrap/>
            <w:vAlign w:val="bottom"/>
            <w:hideMark/>
          </w:tcPr>
          <w:p w14:paraId="1130383D"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01EA3E8D"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   </w:t>
            </w:r>
          </w:p>
        </w:tc>
        <w:tc>
          <w:tcPr>
            <w:tcW w:w="1555" w:type="dxa"/>
            <w:tcBorders>
              <w:top w:val="nil"/>
              <w:left w:val="nil"/>
              <w:bottom w:val="single" w:sz="4" w:space="0" w:color="auto"/>
              <w:right w:val="single" w:sz="4" w:space="0" w:color="auto"/>
            </w:tcBorders>
            <w:shd w:val="clear" w:color="auto" w:fill="auto"/>
            <w:noWrap/>
            <w:vAlign w:val="bottom"/>
            <w:hideMark/>
          </w:tcPr>
          <w:p w14:paraId="126E5827"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-685.873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2E389B1A"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-685.873</w:t>
            </w:r>
          </w:p>
        </w:tc>
      </w:tr>
      <w:tr w:rsidR="001E152D" w:rsidRPr="00701F32" w14:paraId="34BFC15E"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2209AA80"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Provisiones</w:t>
            </w:r>
          </w:p>
        </w:tc>
        <w:tc>
          <w:tcPr>
            <w:tcW w:w="1383" w:type="dxa"/>
            <w:tcBorders>
              <w:top w:val="nil"/>
              <w:left w:val="nil"/>
              <w:bottom w:val="single" w:sz="4" w:space="0" w:color="auto"/>
              <w:right w:val="single" w:sz="4" w:space="0" w:color="auto"/>
            </w:tcBorders>
            <w:shd w:val="clear" w:color="auto" w:fill="auto"/>
            <w:noWrap/>
            <w:vAlign w:val="bottom"/>
            <w:hideMark/>
          </w:tcPr>
          <w:p w14:paraId="67DEC1B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-21.199 </w:t>
            </w:r>
          </w:p>
        </w:tc>
        <w:tc>
          <w:tcPr>
            <w:tcW w:w="1556" w:type="dxa"/>
            <w:tcBorders>
              <w:top w:val="nil"/>
              <w:left w:val="nil"/>
              <w:bottom w:val="single" w:sz="4" w:space="0" w:color="auto"/>
              <w:right w:val="single" w:sz="4" w:space="0" w:color="auto"/>
            </w:tcBorders>
            <w:shd w:val="clear" w:color="auto" w:fill="auto"/>
            <w:noWrap/>
            <w:vAlign w:val="bottom"/>
            <w:hideMark/>
          </w:tcPr>
          <w:p w14:paraId="67BAAC2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-25.933 </w:t>
            </w:r>
          </w:p>
        </w:tc>
        <w:tc>
          <w:tcPr>
            <w:tcW w:w="1555" w:type="dxa"/>
            <w:tcBorders>
              <w:top w:val="nil"/>
              <w:left w:val="nil"/>
              <w:bottom w:val="single" w:sz="4" w:space="0" w:color="auto"/>
              <w:right w:val="single" w:sz="4" w:space="0" w:color="auto"/>
            </w:tcBorders>
            <w:shd w:val="clear" w:color="auto" w:fill="auto"/>
            <w:noWrap/>
            <w:vAlign w:val="bottom"/>
            <w:hideMark/>
          </w:tcPr>
          <w:p w14:paraId="7F6B14C1"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-5.865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4A081FFB"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-52.997</w:t>
            </w:r>
          </w:p>
        </w:tc>
      </w:tr>
      <w:tr w:rsidR="001E152D" w:rsidRPr="00701F32" w14:paraId="0A3E37A2"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13AB1CC5"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Otros pasivos no financieros</w:t>
            </w:r>
          </w:p>
        </w:tc>
        <w:tc>
          <w:tcPr>
            <w:tcW w:w="1383" w:type="dxa"/>
            <w:tcBorders>
              <w:top w:val="nil"/>
              <w:left w:val="nil"/>
              <w:bottom w:val="single" w:sz="4" w:space="0" w:color="auto"/>
              <w:right w:val="single" w:sz="4" w:space="0" w:color="auto"/>
            </w:tcBorders>
            <w:shd w:val="clear" w:color="auto" w:fill="auto"/>
            <w:noWrap/>
            <w:vAlign w:val="bottom"/>
            <w:hideMark/>
          </w:tcPr>
          <w:p w14:paraId="267B7920"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-129.930 </w:t>
            </w:r>
          </w:p>
        </w:tc>
        <w:tc>
          <w:tcPr>
            <w:tcW w:w="1556" w:type="dxa"/>
            <w:tcBorders>
              <w:top w:val="nil"/>
              <w:left w:val="nil"/>
              <w:bottom w:val="single" w:sz="4" w:space="0" w:color="auto"/>
              <w:right w:val="single" w:sz="4" w:space="0" w:color="auto"/>
            </w:tcBorders>
            <w:shd w:val="clear" w:color="auto" w:fill="auto"/>
            <w:noWrap/>
            <w:vAlign w:val="bottom"/>
            <w:hideMark/>
          </w:tcPr>
          <w:p w14:paraId="69E29182"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-1.562.813 </w:t>
            </w:r>
          </w:p>
        </w:tc>
        <w:tc>
          <w:tcPr>
            <w:tcW w:w="1555" w:type="dxa"/>
            <w:tcBorders>
              <w:top w:val="nil"/>
              <w:left w:val="nil"/>
              <w:bottom w:val="single" w:sz="4" w:space="0" w:color="auto"/>
              <w:right w:val="single" w:sz="4" w:space="0" w:color="auto"/>
            </w:tcBorders>
            <w:shd w:val="clear" w:color="auto" w:fill="auto"/>
            <w:noWrap/>
            <w:vAlign w:val="bottom"/>
            <w:hideMark/>
          </w:tcPr>
          <w:p w14:paraId="33F5185C"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-1.037.142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5CB44169"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-2.729.885</w:t>
            </w:r>
          </w:p>
        </w:tc>
      </w:tr>
      <w:tr w:rsidR="001E152D" w:rsidRPr="00701F32" w14:paraId="2DD22037" w14:textId="77777777" w:rsidTr="003D7196">
        <w:trPr>
          <w:trHeight w:val="265"/>
        </w:trPr>
        <w:tc>
          <w:tcPr>
            <w:tcW w:w="5182" w:type="dxa"/>
            <w:tcBorders>
              <w:top w:val="nil"/>
              <w:left w:val="single" w:sz="4" w:space="0" w:color="auto"/>
              <w:bottom w:val="single" w:sz="4" w:space="0" w:color="auto"/>
              <w:right w:val="single" w:sz="4" w:space="0" w:color="auto"/>
            </w:tcBorders>
            <w:shd w:val="clear" w:color="auto" w:fill="auto"/>
            <w:hideMark/>
          </w:tcPr>
          <w:p w14:paraId="0FE8F734" w14:textId="77777777" w:rsidR="001E152D" w:rsidRPr="00701F32" w:rsidRDefault="001E152D" w:rsidP="003D7196">
            <w:pPr>
              <w:rPr>
                <w:rFonts w:ascii="Arial" w:hAnsi="Arial" w:cs="Arial"/>
                <w:b/>
                <w:bCs/>
                <w:sz w:val="16"/>
                <w:szCs w:val="16"/>
                <w:lang w:eastAsia="es-AR"/>
              </w:rPr>
            </w:pPr>
            <w:r w:rsidRPr="00701F32">
              <w:rPr>
                <w:rFonts w:ascii="Arial" w:hAnsi="Arial" w:cs="Arial"/>
                <w:b/>
                <w:bCs/>
                <w:sz w:val="16"/>
                <w:szCs w:val="16"/>
                <w:lang w:eastAsia="es-AR"/>
              </w:rPr>
              <w:t>TOTAL PASIVO</w:t>
            </w:r>
          </w:p>
        </w:tc>
        <w:tc>
          <w:tcPr>
            <w:tcW w:w="1383" w:type="dxa"/>
            <w:tcBorders>
              <w:top w:val="nil"/>
              <w:left w:val="nil"/>
              <w:bottom w:val="single" w:sz="4" w:space="0" w:color="auto"/>
              <w:right w:val="single" w:sz="4" w:space="0" w:color="auto"/>
            </w:tcBorders>
            <w:shd w:val="clear" w:color="auto" w:fill="auto"/>
            <w:noWrap/>
            <w:vAlign w:val="bottom"/>
            <w:hideMark/>
          </w:tcPr>
          <w:p w14:paraId="776045F4"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-8.226.168 </w:t>
            </w:r>
          </w:p>
        </w:tc>
        <w:tc>
          <w:tcPr>
            <w:tcW w:w="1556" w:type="dxa"/>
            <w:tcBorders>
              <w:top w:val="nil"/>
              <w:left w:val="nil"/>
              <w:bottom w:val="single" w:sz="4" w:space="0" w:color="auto"/>
              <w:right w:val="single" w:sz="4" w:space="0" w:color="auto"/>
            </w:tcBorders>
            <w:shd w:val="clear" w:color="auto" w:fill="auto"/>
            <w:noWrap/>
            <w:vAlign w:val="bottom"/>
            <w:hideMark/>
          </w:tcPr>
          <w:p w14:paraId="43688718"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-38.662.419 </w:t>
            </w:r>
          </w:p>
        </w:tc>
        <w:tc>
          <w:tcPr>
            <w:tcW w:w="1555" w:type="dxa"/>
            <w:tcBorders>
              <w:top w:val="nil"/>
              <w:left w:val="nil"/>
              <w:bottom w:val="single" w:sz="4" w:space="0" w:color="auto"/>
              <w:right w:val="single" w:sz="4" w:space="0" w:color="auto"/>
            </w:tcBorders>
            <w:shd w:val="clear" w:color="auto" w:fill="auto"/>
            <w:noWrap/>
            <w:vAlign w:val="bottom"/>
            <w:hideMark/>
          </w:tcPr>
          <w:p w14:paraId="1C137B76"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-29.897.903 </w:t>
            </w:r>
          </w:p>
        </w:tc>
        <w:tc>
          <w:tcPr>
            <w:tcW w:w="1544" w:type="dxa"/>
            <w:tcBorders>
              <w:top w:val="nil"/>
              <w:left w:val="single" w:sz="4" w:space="0" w:color="auto"/>
              <w:bottom w:val="single" w:sz="4" w:space="0" w:color="auto"/>
              <w:right w:val="single" w:sz="4" w:space="0" w:color="auto"/>
            </w:tcBorders>
            <w:shd w:val="clear" w:color="auto" w:fill="auto"/>
            <w:noWrap/>
            <w:vAlign w:val="bottom"/>
            <w:hideMark/>
          </w:tcPr>
          <w:p w14:paraId="32742C3E" w14:textId="77777777" w:rsidR="001E152D" w:rsidRPr="00701F32" w:rsidRDefault="001E152D" w:rsidP="003D7196">
            <w:pPr>
              <w:jc w:val="right"/>
              <w:rPr>
                <w:rFonts w:ascii="Arial" w:hAnsi="Arial" w:cs="Arial"/>
                <w:b/>
                <w:bCs/>
                <w:sz w:val="16"/>
                <w:szCs w:val="16"/>
                <w:lang w:eastAsia="es-AR"/>
              </w:rPr>
            </w:pPr>
            <w:r w:rsidRPr="00701F32">
              <w:rPr>
                <w:rFonts w:ascii="Arial" w:hAnsi="Arial" w:cs="Arial"/>
                <w:b/>
                <w:bCs/>
                <w:sz w:val="16"/>
                <w:szCs w:val="16"/>
                <w:lang w:eastAsia="es-AR"/>
              </w:rPr>
              <w:t xml:space="preserve"> -76.786.490 </w:t>
            </w:r>
          </w:p>
        </w:tc>
      </w:tr>
    </w:tbl>
    <w:p w14:paraId="14C4C55A" w14:textId="77777777" w:rsidR="00F4204E" w:rsidRPr="00701F32" w:rsidRDefault="00F4204E" w:rsidP="000306BF">
      <w:pPr>
        <w:spacing w:after="160" w:line="259" w:lineRule="auto"/>
        <w:jc w:val="both"/>
        <w:rPr>
          <w:rFonts w:ascii="Arial" w:eastAsia="Calibri" w:hAnsi="Arial" w:cs="Arial"/>
          <w:bCs/>
          <w:sz w:val="20"/>
        </w:rPr>
      </w:pPr>
    </w:p>
    <w:tbl>
      <w:tblPr>
        <w:tblW w:w="11085" w:type="dxa"/>
        <w:tblInd w:w="-1013" w:type="dxa"/>
        <w:tblLayout w:type="fixed"/>
        <w:tblCellMar>
          <w:left w:w="70" w:type="dxa"/>
          <w:right w:w="70" w:type="dxa"/>
        </w:tblCellMar>
        <w:tblLook w:val="04A0" w:firstRow="1" w:lastRow="0" w:firstColumn="1" w:lastColumn="0" w:noHBand="0" w:noVBand="1"/>
      </w:tblPr>
      <w:tblGrid>
        <w:gridCol w:w="4052"/>
        <w:gridCol w:w="1466"/>
        <w:gridCol w:w="1318"/>
        <w:gridCol w:w="1465"/>
        <w:gridCol w:w="1172"/>
        <w:gridCol w:w="1612"/>
      </w:tblGrid>
      <w:tr w:rsidR="00752937" w:rsidRPr="00701F32" w14:paraId="2A2CB09A" w14:textId="77777777" w:rsidTr="00E311C9">
        <w:trPr>
          <w:trHeight w:val="340"/>
          <w:tblHeader/>
        </w:trPr>
        <w:tc>
          <w:tcPr>
            <w:tcW w:w="40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BE0A3" w14:textId="77777777" w:rsidR="00F4204E" w:rsidRPr="00701F32" w:rsidRDefault="00F4204E" w:rsidP="00464C0F">
            <w:pPr>
              <w:ind w:left="497" w:hanging="497"/>
              <w:rPr>
                <w:rFonts w:ascii="Arial" w:hAnsi="Arial" w:cs="Arial"/>
                <w:b/>
                <w:bCs/>
                <w:color w:val="000000"/>
                <w:sz w:val="18"/>
                <w:szCs w:val="18"/>
                <w:lang w:eastAsia="es-AR"/>
              </w:rPr>
            </w:pPr>
          </w:p>
          <w:p w14:paraId="36262A3A" w14:textId="77777777" w:rsidR="00752937" w:rsidRPr="00701F32" w:rsidRDefault="00752937" w:rsidP="00464C0F">
            <w:pPr>
              <w:ind w:left="497" w:hanging="497"/>
              <w:rPr>
                <w:rFonts w:ascii="Arial" w:hAnsi="Arial" w:cs="Arial"/>
                <w:b/>
                <w:bCs/>
                <w:color w:val="000000"/>
                <w:sz w:val="18"/>
                <w:szCs w:val="18"/>
                <w:lang w:eastAsia="es-AR"/>
              </w:rPr>
            </w:pPr>
            <w:r w:rsidRPr="00701F32">
              <w:rPr>
                <w:rFonts w:ascii="Arial" w:hAnsi="Arial" w:cs="Arial"/>
                <w:b/>
                <w:bCs/>
                <w:color w:val="000000"/>
                <w:sz w:val="18"/>
                <w:szCs w:val="18"/>
                <w:lang w:eastAsia="es-AR"/>
              </w:rPr>
              <w:t>Resultado Segmentos al 31/12/2017</w:t>
            </w:r>
          </w:p>
        </w:tc>
        <w:tc>
          <w:tcPr>
            <w:tcW w:w="1466" w:type="dxa"/>
            <w:tcBorders>
              <w:top w:val="single" w:sz="8" w:space="0" w:color="auto"/>
              <w:left w:val="nil"/>
              <w:bottom w:val="single" w:sz="8" w:space="0" w:color="auto"/>
              <w:right w:val="single" w:sz="8" w:space="0" w:color="auto"/>
            </w:tcBorders>
            <w:shd w:val="clear" w:color="auto" w:fill="auto"/>
            <w:vAlign w:val="center"/>
            <w:hideMark/>
          </w:tcPr>
          <w:p w14:paraId="712EC9E9" w14:textId="77777777" w:rsidR="00752937" w:rsidRPr="00701F32" w:rsidRDefault="00752937" w:rsidP="0086282C">
            <w:pPr>
              <w:ind w:left="21"/>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Banca Empresa</w:t>
            </w:r>
          </w:p>
        </w:tc>
        <w:tc>
          <w:tcPr>
            <w:tcW w:w="1318" w:type="dxa"/>
            <w:tcBorders>
              <w:top w:val="single" w:sz="8" w:space="0" w:color="auto"/>
              <w:left w:val="nil"/>
              <w:bottom w:val="single" w:sz="8" w:space="0" w:color="auto"/>
              <w:right w:val="single" w:sz="8" w:space="0" w:color="auto"/>
            </w:tcBorders>
            <w:shd w:val="clear" w:color="auto" w:fill="auto"/>
            <w:vAlign w:val="center"/>
            <w:hideMark/>
          </w:tcPr>
          <w:p w14:paraId="2B04DD7E" w14:textId="77777777" w:rsidR="00752937" w:rsidRPr="00701F32" w:rsidRDefault="00752937">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Banca Minorista</w:t>
            </w:r>
          </w:p>
        </w:tc>
        <w:tc>
          <w:tcPr>
            <w:tcW w:w="1465" w:type="dxa"/>
            <w:tcBorders>
              <w:top w:val="single" w:sz="8" w:space="0" w:color="auto"/>
              <w:left w:val="nil"/>
              <w:bottom w:val="single" w:sz="8" w:space="0" w:color="auto"/>
              <w:right w:val="single" w:sz="8" w:space="0" w:color="auto"/>
            </w:tcBorders>
            <w:shd w:val="clear" w:color="auto" w:fill="auto"/>
            <w:vAlign w:val="center"/>
            <w:hideMark/>
          </w:tcPr>
          <w:p w14:paraId="74B1E956" w14:textId="77777777" w:rsidR="00752937" w:rsidRPr="00701F32" w:rsidRDefault="00752937" w:rsidP="0086282C">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Tesorería</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68517BC8" w14:textId="77777777" w:rsidR="00752937" w:rsidRPr="00701F32" w:rsidRDefault="00752937" w:rsidP="0086282C">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Ajustes</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19068518" w14:textId="77777777" w:rsidR="00752937" w:rsidRPr="00701F32" w:rsidRDefault="00752937" w:rsidP="0086282C">
            <w:pPr>
              <w:jc w:val="center"/>
              <w:rPr>
                <w:rFonts w:ascii="Arial" w:hAnsi="Arial" w:cs="Arial"/>
                <w:b/>
                <w:bCs/>
                <w:color w:val="000000"/>
                <w:sz w:val="18"/>
                <w:szCs w:val="18"/>
                <w:lang w:eastAsia="es-AR"/>
              </w:rPr>
            </w:pPr>
            <w:r w:rsidRPr="00701F32">
              <w:rPr>
                <w:rFonts w:ascii="Arial" w:hAnsi="Arial" w:cs="Arial"/>
                <w:b/>
                <w:bCs/>
                <w:color w:val="000000"/>
                <w:sz w:val="18"/>
                <w:szCs w:val="18"/>
                <w:lang w:eastAsia="es-AR"/>
              </w:rPr>
              <w:t>TOTAL</w:t>
            </w:r>
          </w:p>
        </w:tc>
      </w:tr>
      <w:tr w:rsidR="00341498" w:rsidRPr="00701F32" w14:paraId="1FF77398" w14:textId="77777777" w:rsidTr="00E311C9">
        <w:trPr>
          <w:trHeight w:val="161"/>
        </w:trPr>
        <w:tc>
          <w:tcPr>
            <w:tcW w:w="4052" w:type="dxa"/>
            <w:tcBorders>
              <w:top w:val="nil"/>
              <w:left w:val="single" w:sz="8" w:space="0" w:color="auto"/>
              <w:bottom w:val="nil"/>
              <w:right w:val="single" w:sz="8" w:space="0" w:color="auto"/>
            </w:tcBorders>
            <w:shd w:val="clear" w:color="auto" w:fill="auto"/>
            <w:noWrap/>
            <w:vAlign w:val="center"/>
            <w:hideMark/>
          </w:tcPr>
          <w:p w14:paraId="0F7FD758" w14:textId="77777777" w:rsidR="00341498" w:rsidRPr="00701F32" w:rsidRDefault="00341498" w:rsidP="00341498">
            <w:pPr>
              <w:rPr>
                <w:rFonts w:ascii="Arial" w:hAnsi="Arial" w:cs="Arial"/>
                <w:color w:val="000000"/>
                <w:sz w:val="18"/>
                <w:szCs w:val="18"/>
                <w:lang w:eastAsia="es-AR"/>
              </w:rPr>
            </w:pPr>
            <w:r w:rsidRPr="00701F32">
              <w:rPr>
                <w:rFonts w:ascii="Arial" w:hAnsi="Arial" w:cs="Arial"/>
                <w:color w:val="000000"/>
                <w:sz w:val="18"/>
                <w:szCs w:val="18"/>
                <w:lang w:eastAsia="es-AR"/>
              </w:rPr>
              <w:t xml:space="preserve"> Ingresos por intereses </w:t>
            </w:r>
          </w:p>
        </w:tc>
        <w:tc>
          <w:tcPr>
            <w:tcW w:w="1466" w:type="dxa"/>
            <w:tcBorders>
              <w:top w:val="nil"/>
              <w:left w:val="nil"/>
              <w:bottom w:val="nil"/>
              <w:right w:val="single" w:sz="8" w:space="0" w:color="auto"/>
            </w:tcBorders>
            <w:shd w:val="clear" w:color="auto" w:fill="auto"/>
            <w:noWrap/>
            <w:vAlign w:val="bottom"/>
            <w:hideMark/>
          </w:tcPr>
          <w:p w14:paraId="367504D0" w14:textId="77777777" w:rsidR="00341498" w:rsidRPr="00701F32" w:rsidRDefault="00341498">
            <w:pPr>
              <w:jc w:val="right"/>
              <w:rPr>
                <w:rFonts w:ascii="Arial" w:hAnsi="Arial" w:cs="Arial"/>
                <w:sz w:val="16"/>
              </w:rPr>
            </w:pPr>
            <w:r w:rsidRPr="00701F32">
              <w:rPr>
                <w:rFonts w:ascii="Arial" w:hAnsi="Arial" w:cs="Arial"/>
                <w:sz w:val="16"/>
              </w:rPr>
              <w:t xml:space="preserve"> 3.676.833 </w:t>
            </w:r>
          </w:p>
        </w:tc>
        <w:tc>
          <w:tcPr>
            <w:tcW w:w="1318" w:type="dxa"/>
            <w:tcBorders>
              <w:top w:val="nil"/>
              <w:left w:val="nil"/>
              <w:bottom w:val="nil"/>
              <w:right w:val="single" w:sz="8" w:space="0" w:color="auto"/>
            </w:tcBorders>
            <w:shd w:val="clear" w:color="auto" w:fill="auto"/>
            <w:noWrap/>
            <w:vAlign w:val="bottom"/>
            <w:hideMark/>
          </w:tcPr>
          <w:p w14:paraId="42468218" w14:textId="77777777" w:rsidR="00341498" w:rsidRPr="00701F32" w:rsidRDefault="00341498">
            <w:pPr>
              <w:jc w:val="right"/>
              <w:rPr>
                <w:rFonts w:ascii="Arial" w:hAnsi="Arial" w:cs="Arial"/>
                <w:sz w:val="16"/>
              </w:rPr>
            </w:pPr>
            <w:r w:rsidRPr="00701F32">
              <w:rPr>
                <w:rFonts w:ascii="Arial" w:hAnsi="Arial" w:cs="Arial"/>
                <w:sz w:val="16"/>
              </w:rPr>
              <w:t xml:space="preserve"> 6.035.235 </w:t>
            </w:r>
          </w:p>
        </w:tc>
        <w:tc>
          <w:tcPr>
            <w:tcW w:w="1465" w:type="dxa"/>
            <w:tcBorders>
              <w:top w:val="nil"/>
              <w:left w:val="nil"/>
              <w:bottom w:val="nil"/>
              <w:right w:val="single" w:sz="8" w:space="0" w:color="auto"/>
            </w:tcBorders>
            <w:shd w:val="clear" w:color="auto" w:fill="auto"/>
            <w:noWrap/>
            <w:vAlign w:val="bottom"/>
            <w:hideMark/>
          </w:tcPr>
          <w:p w14:paraId="25F9A717" w14:textId="77777777" w:rsidR="00341498" w:rsidRPr="00701F32" w:rsidRDefault="00341498">
            <w:pPr>
              <w:jc w:val="right"/>
              <w:rPr>
                <w:rFonts w:ascii="Arial" w:hAnsi="Arial" w:cs="Arial"/>
                <w:sz w:val="16"/>
              </w:rPr>
            </w:pPr>
            <w:r w:rsidRPr="00701F32">
              <w:rPr>
                <w:rFonts w:ascii="Arial" w:hAnsi="Arial" w:cs="Arial"/>
                <w:sz w:val="16"/>
              </w:rPr>
              <w:t xml:space="preserve"> 859.886 </w:t>
            </w:r>
          </w:p>
        </w:tc>
        <w:tc>
          <w:tcPr>
            <w:tcW w:w="1172" w:type="dxa"/>
            <w:tcBorders>
              <w:top w:val="nil"/>
              <w:left w:val="nil"/>
              <w:bottom w:val="nil"/>
              <w:right w:val="single" w:sz="8" w:space="0" w:color="auto"/>
            </w:tcBorders>
            <w:shd w:val="clear" w:color="auto" w:fill="auto"/>
            <w:noWrap/>
            <w:vAlign w:val="bottom"/>
            <w:hideMark/>
          </w:tcPr>
          <w:p w14:paraId="758BE50F" w14:textId="77777777" w:rsidR="00341498" w:rsidRPr="00701F32" w:rsidRDefault="00341498">
            <w:pPr>
              <w:jc w:val="right"/>
              <w:rPr>
                <w:rFonts w:ascii="Arial" w:hAnsi="Arial" w:cs="Arial"/>
                <w:sz w:val="16"/>
              </w:rPr>
            </w:pPr>
            <w:r w:rsidRPr="00701F32">
              <w:rPr>
                <w:rFonts w:ascii="Arial" w:hAnsi="Arial" w:cs="Arial"/>
                <w:sz w:val="16"/>
              </w:rPr>
              <w:t xml:space="preserve">- </w:t>
            </w:r>
          </w:p>
        </w:tc>
        <w:tc>
          <w:tcPr>
            <w:tcW w:w="1612" w:type="dxa"/>
            <w:tcBorders>
              <w:top w:val="nil"/>
              <w:left w:val="nil"/>
              <w:bottom w:val="nil"/>
              <w:right w:val="single" w:sz="8" w:space="0" w:color="auto"/>
            </w:tcBorders>
            <w:shd w:val="clear" w:color="auto" w:fill="auto"/>
            <w:noWrap/>
            <w:vAlign w:val="bottom"/>
            <w:hideMark/>
          </w:tcPr>
          <w:p w14:paraId="12DF6A23" w14:textId="77777777" w:rsidR="00341498" w:rsidRPr="00701F32" w:rsidRDefault="00341498">
            <w:pPr>
              <w:jc w:val="right"/>
              <w:rPr>
                <w:rFonts w:ascii="Arial" w:hAnsi="Arial" w:cs="Arial"/>
                <w:sz w:val="16"/>
              </w:rPr>
            </w:pPr>
            <w:r w:rsidRPr="00701F32">
              <w:rPr>
                <w:rFonts w:ascii="Arial" w:hAnsi="Arial" w:cs="Arial"/>
                <w:sz w:val="16"/>
              </w:rPr>
              <w:t xml:space="preserve"> 10.571.954 </w:t>
            </w:r>
          </w:p>
        </w:tc>
      </w:tr>
      <w:tr w:rsidR="00341498" w:rsidRPr="00701F32" w14:paraId="75BB4468" w14:textId="77777777" w:rsidTr="00E311C9">
        <w:trPr>
          <w:trHeight w:val="86"/>
        </w:trPr>
        <w:tc>
          <w:tcPr>
            <w:tcW w:w="4052" w:type="dxa"/>
            <w:tcBorders>
              <w:top w:val="nil"/>
              <w:left w:val="single" w:sz="8" w:space="0" w:color="auto"/>
              <w:bottom w:val="nil"/>
              <w:right w:val="single" w:sz="8" w:space="0" w:color="auto"/>
            </w:tcBorders>
            <w:shd w:val="clear" w:color="auto" w:fill="auto"/>
            <w:noWrap/>
            <w:vAlign w:val="center"/>
            <w:hideMark/>
          </w:tcPr>
          <w:p w14:paraId="731A4E81"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Egresos por intereses </w:t>
            </w:r>
          </w:p>
        </w:tc>
        <w:tc>
          <w:tcPr>
            <w:tcW w:w="1466" w:type="dxa"/>
            <w:tcBorders>
              <w:top w:val="nil"/>
              <w:left w:val="nil"/>
              <w:bottom w:val="nil"/>
              <w:right w:val="single" w:sz="8" w:space="0" w:color="auto"/>
            </w:tcBorders>
            <w:shd w:val="clear" w:color="auto" w:fill="auto"/>
            <w:noWrap/>
            <w:vAlign w:val="bottom"/>
            <w:hideMark/>
          </w:tcPr>
          <w:p w14:paraId="5342A538" w14:textId="77777777" w:rsidR="00341498" w:rsidRPr="00701F32" w:rsidRDefault="00341498">
            <w:pPr>
              <w:jc w:val="right"/>
              <w:rPr>
                <w:rFonts w:ascii="Arial" w:hAnsi="Arial" w:cs="Arial"/>
                <w:sz w:val="16"/>
              </w:rPr>
            </w:pPr>
            <w:r w:rsidRPr="00701F32">
              <w:rPr>
                <w:rFonts w:ascii="Arial" w:hAnsi="Arial" w:cs="Arial"/>
                <w:sz w:val="16"/>
              </w:rPr>
              <w:t xml:space="preserve"> 181.169 </w:t>
            </w:r>
          </w:p>
        </w:tc>
        <w:tc>
          <w:tcPr>
            <w:tcW w:w="1318" w:type="dxa"/>
            <w:tcBorders>
              <w:top w:val="nil"/>
              <w:left w:val="nil"/>
              <w:bottom w:val="nil"/>
              <w:right w:val="single" w:sz="8" w:space="0" w:color="auto"/>
            </w:tcBorders>
            <w:shd w:val="clear" w:color="auto" w:fill="auto"/>
            <w:noWrap/>
            <w:vAlign w:val="bottom"/>
            <w:hideMark/>
          </w:tcPr>
          <w:p w14:paraId="3EC94703" w14:textId="77777777" w:rsidR="00341498" w:rsidRPr="00701F32" w:rsidRDefault="00341498">
            <w:pPr>
              <w:jc w:val="right"/>
              <w:rPr>
                <w:rFonts w:ascii="Arial" w:hAnsi="Arial" w:cs="Arial"/>
                <w:sz w:val="16"/>
              </w:rPr>
            </w:pPr>
            <w:r w:rsidRPr="00701F32">
              <w:rPr>
                <w:rFonts w:ascii="Arial" w:hAnsi="Arial" w:cs="Arial"/>
                <w:sz w:val="16"/>
              </w:rPr>
              <w:t xml:space="preserve"> 1.476.158 </w:t>
            </w:r>
          </w:p>
        </w:tc>
        <w:tc>
          <w:tcPr>
            <w:tcW w:w="1465" w:type="dxa"/>
            <w:tcBorders>
              <w:top w:val="nil"/>
              <w:left w:val="nil"/>
              <w:bottom w:val="nil"/>
              <w:right w:val="single" w:sz="8" w:space="0" w:color="auto"/>
            </w:tcBorders>
            <w:shd w:val="clear" w:color="auto" w:fill="auto"/>
            <w:noWrap/>
            <w:vAlign w:val="bottom"/>
            <w:hideMark/>
          </w:tcPr>
          <w:p w14:paraId="4AB6069F" w14:textId="77777777" w:rsidR="00341498" w:rsidRPr="00701F32" w:rsidRDefault="00341498">
            <w:pPr>
              <w:jc w:val="right"/>
              <w:rPr>
                <w:rFonts w:ascii="Arial" w:hAnsi="Arial" w:cs="Arial"/>
                <w:sz w:val="16"/>
              </w:rPr>
            </w:pPr>
            <w:r w:rsidRPr="00701F32">
              <w:rPr>
                <w:rFonts w:ascii="Arial" w:hAnsi="Arial" w:cs="Arial"/>
                <w:sz w:val="16"/>
              </w:rPr>
              <w:t xml:space="preserve"> 2.806.896 </w:t>
            </w:r>
          </w:p>
        </w:tc>
        <w:tc>
          <w:tcPr>
            <w:tcW w:w="1172" w:type="dxa"/>
            <w:tcBorders>
              <w:top w:val="nil"/>
              <w:left w:val="nil"/>
              <w:bottom w:val="nil"/>
              <w:right w:val="single" w:sz="8" w:space="0" w:color="auto"/>
            </w:tcBorders>
            <w:shd w:val="clear" w:color="auto" w:fill="auto"/>
            <w:noWrap/>
            <w:vAlign w:val="bottom"/>
            <w:hideMark/>
          </w:tcPr>
          <w:p w14:paraId="4428D502" w14:textId="77777777" w:rsidR="00341498" w:rsidRPr="00701F32" w:rsidRDefault="00341498">
            <w:pPr>
              <w:jc w:val="right"/>
              <w:rPr>
                <w:rFonts w:ascii="Arial" w:hAnsi="Arial" w:cs="Arial"/>
                <w:sz w:val="16"/>
              </w:rPr>
            </w:pPr>
            <w:r w:rsidRPr="00701F32">
              <w:rPr>
                <w:rFonts w:ascii="Arial" w:hAnsi="Arial" w:cs="Arial"/>
                <w:sz w:val="16"/>
              </w:rPr>
              <w:t xml:space="preserve">- </w:t>
            </w:r>
          </w:p>
        </w:tc>
        <w:tc>
          <w:tcPr>
            <w:tcW w:w="1612" w:type="dxa"/>
            <w:tcBorders>
              <w:top w:val="nil"/>
              <w:left w:val="nil"/>
              <w:bottom w:val="nil"/>
              <w:right w:val="single" w:sz="8" w:space="0" w:color="auto"/>
            </w:tcBorders>
            <w:shd w:val="clear" w:color="auto" w:fill="auto"/>
            <w:noWrap/>
            <w:vAlign w:val="bottom"/>
            <w:hideMark/>
          </w:tcPr>
          <w:p w14:paraId="6D807FFF" w14:textId="77777777" w:rsidR="00341498" w:rsidRPr="00701F32" w:rsidRDefault="00341498">
            <w:pPr>
              <w:jc w:val="right"/>
              <w:rPr>
                <w:rFonts w:ascii="Arial" w:hAnsi="Arial" w:cs="Arial"/>
                <w:sz w:val="16"/>
              </w:rPr>
            </w:pPr>
            <w:r w:rsidRPr="00701F32">
              <w:rPr>
                <w:rFonts w:ascii="Arial" w:hAnsi="Arial" w:cs="Arial"/>
                <w:sz w:val="16"/>
              </w:rPr>
              <w:t xml:space="preserve"> 4.464.223 </w:t>
            </w:r>
          </w:p>
        </w:tc>
      </w:tr>
      <w:tr w:rsidR="00341498" w:rsidRPr="00701F32" w14:paraId="158577D7" w14:textId="77777777" w:rsidTr="00E311C9">
        <w:trPr>
          <w:trHeight w:val="228"/>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2C3C43D7"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Resultados por Interes de Transferencia </w:t>
            </w:r>
          </w:p>
        </w:tc>
        <w:tc>
          <w:tcPr>
            <w:tcW w:w="1466" w:type="dxa"/>
            <w:tcBorders>
              <w:top w:val="nil"/>
              <w:left w:val="nil"/>
              <w:bottom w:val="single" w:sz="8" w:space="0" w:color="auto"/>
              <w:right w:val="single" w:sz="8" w:space="0" w:color="auto"/>
            </w:tcBorders>
            <w:shd w:val="clear" w:color="auto" w:fill="auto"/>
            <w:noWrap/>
            <w:vAlign w:val="bottom"/>
            <w:hideMark/>
          </w:tcPr>
          <w:p w14:paraId="1F0364E7" w14:textId="77777777" w:rsidR="00341498" w:rsidRPr="00701F32" w:rsidRDefault="00341498">
            <w:pPr>
              <w:jc w:val="right"/>
              <w:rPr>
                <w:rFonts w:ascii="Arial" w:hAnsi="Arial" w:cs="Arial"/>
                <w:sz w:val="16"/>
              </w:rPr>
            </w:pPr>
            <w:r w:rsidRPr="00701F32">
              <w:rPr>
                <w:rFonts w:ascii="Arial" w:hAnsi="Arial" w:cs="Arial"/>
                <w:sz w:val="16"/>
              </w:rPr>
              <w:t xml:space="preserve"> -2.313.053 </w:t>
            </w:r>
          </w:p>
        </w:tc>
        <w:tc>
          <w:tcPr>
            <w:tcW w:w="1318" w:type="dxa"/>
            <w:tcBorders>
              <w:top w:val="nil"/>
              <w:left w:val="nil"/>
              <w:bottom w:val="single" w:sz="8" w:space="0" w:color="auto"/>
              <w:right w:val="single" w:sz="8" w:space="0" w:color="auto"/>
            </w:tcBorders>
            <w:shd w:val="clear" w:color="auto" w:fill="auto"/>
            <w:noWrap/>
            <w:vAlign w:val="bottom"/>
            <w:hideMark/>
          </w:tcPr>
          <w:p w14:paraId="6042A491" w14:textId="77777777" w:rsidR="00341498" w:rsidRPr="00701F32" w:rsidRDefault="00341498">
            <w:pPr>
              <w:jc w:val="right"/>
              <w:rPr>
                <w:rFonts w:ascii="Arial" w:hAnsi="Arial" w:cs="Arial"/>
                <w:sz w:val="16"/>
              </w:rPr>
            </w:pPr>
            <w:r w:rsidRPr="00701F32">
              <w:rPr>
                <w:rFonts w:ascii="Arial" w:hAnsi="Arial" w:cs="Arial"/>
                <w:sz w:val="16"/>
              </w:rPr>
              <w:t xml:space="preserve"> 1.172.277 </w:t>
            </w:r>
          </w:p>
        </w:tc>
        <w:tc>
          <w:tcPr>
            <w:tcW w:w="1465" w:type="dxa"/>
            <w:tcBorders>
              <w:top w:val="nil"/>
              <w:left w:val="nil"/>
              <w:bottom w:val="single" w:sz="8" w:space="0" w:color="auto"/>
              <w:right w:val="single" w:sz="8" w:space="0" w:color="auto"/>
            </w:tcBorders>
            <w:shd w:val="clear" w:color="auto" w:fill="auto"/>
            <w:noWrap/>
            <w:vAlign w:val="bottom"/>
            <w:hideMark/>
          </w:tcPr>
          <w:p w14:paraId="77B046C8" w14:textId="77777777" w:rsidR="00341498" w:rsidRPr="00701F32" w:rsidRDefault="00341498">
            <w:pPr>
              <w:jc w:val="right"/>
              <w:rPr>
                <w:rFonts w:ascii="Arial" w:hAnsi="Arial" w:cs="Arial"/>
                <w:sz w:val="16"/>
              </w:rPr>
            </w:pPr>
            <w:r w:rsidRPr="00701F32">
              <w:rPr>
                <w:rFonts w:ascii="Arial" w:hAnsi="Arial" w:cs="Arial"/>
                <w:sz w:val="16"/>
              </w:rPr>
              <w:t xml:space="preserve"> 1.140.776 </w:t>
            </w:r>
          </w:p>
        </w:tc>
        <w:tc>
          <w:tcPr>
            <w:tcW w:w="1172" w:type="dxa"/>
            <w:tcBorders>
              <w:top w:val="nil"/>
              <w:left w:val="nil"/>
              <w:bottom w:val="single" w:sz="8" w:space="0" w:color="auto"/>
              <w:right w:val="single" w:sz="8" w:space="0" w:color="auto"/>
            </w:tcBorders>
            <w:shd w:val="clear" w:color="auto" w:fill="auto"/>
            <w:noWrap/>
            <w:vAlign w:val="bottom"/>
            <w:hideMark/>
          </w:tcPr>
          <w:p w14:paraId="40986D61" w14:textId="77777777" w:rsidR="00341498" w:rsidRPr="00701F32" w:rsidRDefault="00341498">
            <w:pPr>
              <w:jc w:val="right"/>
              <w:rPr>
                <w:rFonts w:ascii="Arial" w:hAnsi="Arial" w:cs="Arial"/>
                <w:sz w:val="16"/>
              </w:rPr>
            </w:pPr>
            <w:r w:rsidRPr="00701F32">
              <w:rPr>
                <w:rFonts w:ascii="Arial" w:hAnsi="Arial" w:cs="Arial"/>
                <w:sz w:val="16"/>
              </w:rPr>
              <w:t>-</w:t>
            </w:r>
          </w:p>
        </w:tc>
        <w:tc>
          <w:tcPr>
            <w:tcW w:w="1612" w:type="dxa"/>
            <w:tcBorders>
              <w:top w:val="nil"/>
              <w:left w:val="nil"/>
              <w:bottom w:val="single" w:sz="8" w:space="0" w:color="auto"/>
              <w:right w:val="single" w:sz="8" w:space="0" w:color="auto"/>
            </w:tcBorders>
            <w:shd w:val="clear" w:color="auto" w:fill="auto"/>
            <w:noWrap/>
            <w:vAlign w:val="bottom"/>
            <w:hideMark/>
          </w:tcPr>
          <w:p w14:paraId="32A8EC7E" w14:textId="77777777" w:rsidR="00341498" w:rsidRPr="00701F32" w:rsidRDefault="00341498">
            <w:pPr>
              <w:jc w:val="right"/>
              <w:rPr>
                <w:rFonts w:ascii="Arial" w:hAnsi="Arial" w:cs="Arial"/>
                <w:sz w:val="16"/>
              </w:rPr>
            </w:pPr>
            <w:r w:rsidRPr="00701F32">
              <w:rPr>
                <w:rFonts w:ascii="Arial" w:hAnsi="Arial" w:cs="Arial"/>
                <w:sz w:val="16"/>
              </w:rPr>
              <w:t xml:space="preserve"> -   </w:t>
            </w:r>
          </w:p>
        </w:tc>
      </w:tr>
      <w:tr w:rsidR="00341498" w:rsidRPr="00701F32" w14:paraId="227E56ED"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3C533352"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neto por intereses </w:t>
            </w:r>
          </w:p>
        </w:tc>
        <w:tc>
          <w:tcPr>
            <w:tcW w:w="1466" w:type="dxa"/>
            <w:tcBorders>
              <w:top w:val="nil"/>
              <w:left w:val="nil"/>
              <w:bottom w:val="single" w:sz="8" w:space="0" w:color="auto"/>
              <w:right w:val="single" w:sz="8" w:space="0" w:color="auto"/>
            </w:tcBorders>
            <w:shd w:val="clear" w:color="auto" w:fill="auto"/>
            <w:noWrap/>
            <w:vAlign w:val="bottom"/>
            <w:hideMark/>
          </w:tcPr>
          <w:p w14:paraId="5EE49DD0" w14:textId="77777777" w:rsidR="00341498" w:rsidRPr="00701F32" w:rsidRDefault="00341498">
            <w:pPr>
              <w:jc w:val="right"/>
              <w:rPr>
                <w:rFonts w:ascii="Arial" w:hAnsi="Arial" w:cs="Arial"/>
                <w:b/>
                <w:sz w:val="16"/>
              </w:rPr>
            </w:pPr>
            <w:r w:rsidRPr="00701F32">
              <w:rPr>
                <w:rFonts w:ascii="Arial" w:hAnsi="Arial" w:cs="Arial"/>
                <w:b/>
                <w:sz w:val="16"/>
              </w:rPr>
              <w:t xml:space="preserve"> 1.182.611 </w:t>
            </w:r>
          </w:p>
        </w:tc>
        <w:tc>
          <w:tcPr>
            <w:tcW w:w="1318" w:type="dxa"/>
            <w:tcBorders>
              <w:top w:val="nil"/>
              <w:left w:val="nil"/>
              <w:bottom w:val="single" w:sz="8" w:space="0" w:color="auto"/>
              <w:right w:val="single" w:sz="8" w:space="0" w:color="auto"/>
            </w:tcBorders>
            <w:shd w:val="clear" w:color="auto" w:fill="auto"/>
            <w:noWrap/>
            <w:vAlign w:val="bottom"/>
            <w:hideMark/>
          </w:tcPr>
          <w:p w14:paraId="03872A47" w14:textId="77777777" w:rsidR="00341498" w:rsidRPr="00701F32" w:rsidRDefault="00341498">
            <w:pPr>
              <w:jc w:val="right"/>
              <w:rPr>
                <w:rFonts w:ascii="Arial" w:hAnsi="Arial" w:cs="Arial"/>
                <w:b/>
                <w:sz w:val="16"/>
              </w:rPr>
            </w:pPr>
            <w:r w:rsidRPr="00701F32">
              <w:rPr>
                <w:rFonts w:ascii="Arial" w:hAnsi="Arial" w:cs="Arial"/>
                <w:b/>
                <w:sz w:val="16"/>
              </w:rPr>
              <w:t xml:space="preserve"> 5.731.354 </w:t>
            </w:r>
          </w:p>
        </w:tc>
        <w:tc>
          <w:tcPr>
            <w:tcW w:w="1465" w:type="dxa"/>
            <w:tcBorders>
              <w:top w:val="nil"/>
              <w:left w:val="nil"/>
              <w:bottom w:val="single" w:sz="8" w:space="0" w:color="auto"/>
              <w:right w:val="single" w:sz="8" w:space="0" w:color="auto"/>
            </w:tcBorders>
            <w:shd w:val="clear" w:color="auto" w:fill="auto"/>
            <w:noWrap/>
            <w:vAlign w:val="bottom"/>
            <w:hideMark/>
          </w:tcPr>
          <w:p w14:paraId="736DA6FA" w14:textId="77777777" w:rsidR="00341498" w:rsidRPr="00701F32" w:rsidRDefault="00341498">
            <w:pPr>
              <w:jc w:val="right"/>
              <w:rPr>
                <w:rFonts w:ascii="Arial" w:hAnsi="Arial" w:cs="Arial"/>
                <w:b/>
                <w:sz w:val="16"/>
              </w:rPr>
            </w:pPr>
            <w:r w:rsidRPr="00701F32">
              <w:rPr>
                <w:rFonts w:ascii="Arial" w:hAnsi="Arial" w:cs="Arial"/>
                <w:b/>
                <w:sz w:val="16"/>
              </w:rPr>
              <w:t xml:space="preserve"> -806.234 </w:t>
            </w:r>
          </w:p>
        </w:tc>
        <w:tc>
          <w:tcPr>
            <w:tcW w:w="1172" w:type="dxa"/>
            <w:tcBorders>
              <w:top w:val="nil"/>
              <w:left w:val="nil"/>
              <w:bottom w:val="single" w:sz="8" w:space="0" w:color="auto"/>
              <w:right w:val="single" w:sz="8" w:space="0" w:color="auto"/>
            </w:tcBorders>
            <w:shd w:val="clear" w:color="auto" w:fill="auto"/>
            <w:noWrap/>
            <w:vAlign w:val="bottom"/>
            <w:hideMark/>
          </w:tcPr>
          <w:p w14:paraId="50ABC612" w14:textId="77777777" w:rsidR="00341498" w:rsidRPr="00701F32" w:rsidRDefault="00341498">
            <w:pPr>
              <w:jc w:val="right"/>
              <w:rPr>
                <w:rFonts w:ascii="Arial" w:hAnsi="Arial" w:cs="Arial"/>
                <w:b/>
                <w:sz w:val="16"/>
              </w:rPr>
            </w:pPr>
            <w:r w:rsidRPr="00701F32">
              <w:rPr>
                <w:rFonts w:ascii="Arial" w:hAnsi="Arial" w:cs="Arial"/>
                <w:b/>
                <w:sz w:val="16"/>
              </w:rPr>
              <w:t xml:space="preserve">- </w:t>
            </w:r>
          </w:p>
        </w:tc>
        <w:tc>
          <w:tcPr>
            <w:tcW w:w="1612" w:type="dxa"/>
            <w:tcBorders>
              <w:top w:val="nil"/>
              <w:left w:val="nil"/>
              <w:bottom w:val="single" w:sz="8" w:space="0" w:color="auto"/>
              <w:right w:val="single" w:sz="8" w:space="0" w:color="auto"/>
            </w:tcBorders>
            <w:shd w:val="clear" w:color="auto" w:fill="auto"/>
            <w:noWrap/>
            <w:vAlign w:val="bottom"/>
            <w:hideMark/>
          </w:tcPr>
          <w:p w14:paraId="68DA871D" w14:textId="77777777" w:rsidR="00341498" w:rsidRPr="00701F32" w:rsidRDefault="00341498">
            <w:pPr>
              <w:jc w:val="right"/>
              <w:rPr>
                <w:rFonts w:ascii="Arial" w:hAnsi="Arial" w:cs="Arial"/>
                <w:b/>
                <w:sz w:val="16"/>
              </w:rPr>
            </w:pPr>
            <w:r w:rsidRPr="00701F32">
              <w:rPr>
                <w:rFonts w:ascii="Arial" w:hAnsi="Arial" w:cs="Arial"/>
                <w:b/>
                <w:sz w:val="16"/>
              </w:rPr>
              <w:t xml:space="preserve"> 6.107.731 </w:t>
            </w:r>
          </w:p>
        </w:tc>
      </w:tr>
      <w:tr w:rsidR="00341498" w:rsidRPr="00701F32" w14:paraId="2F1D2D0F"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63D99172"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Ingresos por comisiones </w:t>
            </w:r>
          </w:p>
        </w:tc>
        <w:tc>
          <w:tcPr>
            <w:tcW w:w="1466" w:type="dxa"/>
            <w:tcBorders>
              <w:top w:val="nil"/>
              <w:left w:val="nil"/>
              <w:bottom w:val="nil"/>
              <w:right w:val="single" w:sz="8" w:space="0" w:color="auto"/>
            </w:tcBorders>
            <w:shd w:val="clear" w:color="auto" w:fill="auto"/>
            <w:noWrap/>
            <w:vAlign w:val="bottom"/>
            <w:hideMark/>
          </w:tcPr>
          <w:p w14:paraId="2CADA9F7" w14:textId="77777777" w:rsidR="00341498" w:rsidRPr="00701F32" w:rsidRDefault="00341498">
            <w:pPr>
              <w:jc w:val="right"/>
              <w:rPr>
                <w:rFonts w:ascii="Arial" w:hAnsi="Arial" w:cs="Arial"/>
                <w:sz w:val="16"/>
              </w:rPr>
            </w:pPr>
            <w:r w:rsidRPr="00701F32">
              <w:rPr>
                <w:rFonts w:ascii="Arial" w:hAnsi="Arial" w:cs="Arial"/>
                <w:sz w:val="16"/>
              </w:rPr>
              <w:t xml:space="preserve"> 468.323 </w:t>
            </w:r>
          </w:p>
        </w:tc>
        <w:tc>
          <w:tcPr>
            <w:tcW w:w="1318" w:type="dxa"/>
            <w:tcBorders>
              <w:top w:val="nil"/>
              <w:left w:val="nil"/>
              <w:bottom w:val="nil"/>
              <w:right w:val="single" w:sz="8" w:space="0" w:color="auto"/>
            </w:tcBorders>
            <w:shd w:val="clear" w:color="auto" w:fill="auto"/>
            <w:noWrap/>
            <w:vAlign w:val="bottom"/>
            <w:hideMark/>
          </w:tcPr>
          <w:p w14:paraId="1D5E439F" w14:textId="77777777" w:rsidR="00341498" w:rsidRPr="00701F32" w:rsidRDefault="00341498">
            <w:pPr>
              <w:jc w:val="right"/>
              <w:rPr>
                <w:rFonts w:ascii="Arial" w:hAnsi="Arial" w:cs="Arial"/>
                <w:sz w:val="16"/>
              </w:rPr>
            </w:pPr>
            <w:r w:rsidRPr="00701F32">
              <w:rPr>
                <w:rFonts w:ascii="Arial" w:hAnsi="Arial" w:cs="Arial"/>
                <w:sz w:val="16"/>
              </w:rPr>
              <w:t xml:space="preserve"> 2.371.490 </w:t>
            </w:r>
          </w:p>
        </w:tc>
        <w:tc>
          <w:tcPr>
            <w:tcW w:w="1465" w:type="dxa"/>
            <w:tcBorders>
              <w:top w:val="nil"/>
              <w:left w:val="nil"/>
              <w:bottom w:val="nil"/>
              <w:right w:val="single" w:sz="8" w:space="0" w:color="auto"/>
            </w:tcBorders>
            <w:shd w:val="clear" w:color="auto" w:fill="auto"/>
            <w:noWrap/>
            <w:vAlign w:val="bottom"/>
            <w:hideMark/>
          </w:tcPr>
          <w:p w14:paraId="4454EAE7" w14:textId="77777777" w:rsidR="00341498" w:rsidRPr="00701F32" w:rsidRDefault="00341498">
            <w:pPr>
              <w:jc w:val="right"/>
              <w:rPr>
                <w:rFonts w:ascii="Arial" w:hAnsi="Arial" w:cs="Arial"/>
                <w:sz w:val="16"/>
              </w:rPr>
            </w:pPr>
            <w:r w:rsidRPr="00701F32">
              <w:rPr>
                <w:rFonts w:ascii="Arial" w:hAnsi="Arial" w:cs="Arial"/>
                <w:sz w:val="16"/>
              </w:rPr>
              <w:t xml:space="preserve"> 17.402 </w:t>
            </w:r>
          </w:p>
        </w:tc>
        <w:tc>
          <w:tcPr>
            <w:tcW w:w="1172" w:type="dxa"/>
            <w:tcBorders>
              <w:top w:val="nil"/>
              <w:left w:val="nil"/>
              <w:bottom w:val="nil"/>
              <w:right w:val="single" w:sz="8" w:space="0" w:color="auto"/>
            </w:tcBorders>
            <w:shd w:val="clear" w:color="auto" w:fill="auto"/>
            <w:noWrap/>
            <w:vAlign w:val="bottom"/>
            <w:hideMark/>
          </w:tcPr>
          <w:p w14:paraId="08C465FB" w14:textId="77777777" w:rsidR="00341498" w:rsidRPr="00701F32" w:rsidRDefault="00341498">
            <w:pPr>
              <w:jc w:val="right"/>
              <w:rPr>
                <w:rFonts w:ascii="Arial" w:hAnsi="Arial" w:cs="Arial"/>
                <w:sz w:val="16"/>
              </w:rPr>
            </w:pPr>
            <w:r w:rsidRPr="00701F32">
              <w:rPr>
                <w:rFonts w:ascii="Arial" w:hAnsi="Arial" w:cs="Arial"/>
                <w:sz w:val="16"/>
              </w:rPr>
              <w:t xml:space="preserve">- </w:t>
            </w:r>
          </w:p>
        </w:tc>
        <w:tc>
          <w:tcPr>
            <w:tcW w:w="1612" w:type="dxa"/>
            <w:tcBorders>
              <w:top w:val="nil"/>
              <w:left w:val="nil"/>
              <w:bottom w:val="nil"/>
              <w:right w:val="single" w:sz="8" w:space="0" w:color="auto"/>
            </w:tcBorders>
            <w:shd w:val="clear" w:color="auto" w:fill="auto"/>
            <w:noWrap/>
            <w:vAlign w:val="bottom"/>
            <w:hideMark/>
          </w:tcPr>
          <w:p w14:paraId="7188FB4A" w14:textId="77777777" w:rsidR="00341498" w:rsidRPr="00701F32" w:rsidRDefault="00341498">
            <w:pPr>
              <w:jc w:val="right"/>
              <w:rPr>
                <w:rFonts w:ascii="Arial" w:hAnsi="Arial" w:cs="Arial"/>
                <w:sz w:val="16"/>
              </w:rPr>
            </w:pPr>
            <w:r w:rsidRPr="00701F32">
              <w:rPr>
                <w:rFonts w:ascii="Arial" w:hAnsi="Arial" w:cs="Arial"/>
                <w:sz w:val="16"/>
              </w:rPr>
              <w:t xml:space="preserve"> 2.857.215 </w:t>
            </w:r>
          </w:p>
        </w:tc>
      </w:tr>
      <w:tr w:rsidR="00341498" w:rsidRPr="00701F32" w14:paraId="5D98DB0C"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0D5676F0"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Egresos por comisiones </w:t>
            </w:r>
          </w:p>
        </w:tc>
        <w:tc>
          <w:tcPr>
            <w:tcW w:w="1466" w:type="dxa"/>
            <w:tcBorders>
              <w:top w:val="nil"/>
              <w:left w:val="nil"/>
              <w:bottom w:val="single" w:sz="8" w:space="0" w:color="auto"/>
              <w:right w:val="single" w:sz="8" w:space="0" w:color="auto"/>
            </w:tcBorders>
            <w:shd w:val="clear" w:color="auto" w:fill="auto"/>
            <w:noWrap/>
            <w:vAlign w:val="bottom"/>
            <w:hideMark/>
          </w:tcPr>
          <w:p w14:paraId="491D8A89" w14:textId="77777777" w:rsidR="00341498" w:rsidRPr="00701F32" w:rsidRDefault="00341498">
            <w:pPr>
              <w:jc w:val="right"/>
              <w:rPr>
                <w:rFonts w:ascii="Arial" w:hAnsi="Arial" w:cs="Arial"/>
                <w:sz w:val="16"/>
              </w:rPr>
            </w:pPr>
            <w:r w:rsidRPr="00701F32">
              <w:rPr>
                <w:rFonts w:ascii="Arial" w:hAnsi="Arial" w:cs="Arial"/>
                <w:sz w:val="16"/>
              </w:rPr>
              <w:t xml:space="preserve"> 23.897 </w:t>
            </w:r>
          </w:p>
        </w:tc>
        <w:tc>
          <w:tcPr>
            <w:tcW w:w="1318" w:type="dxa"/>
            <w:tcBorders>
              <w:top w:val="nil"/>
              <w:left w:val="nil"/>
              <w:bottom w:val="single" w:sz="8" w:space="0" w:color="auto"/>
              <w:right w:val="single" w:sz="8" w:space="0" w:color="auto"/>
            </w:tcBorders>
            <w:shd w:val="clear" w:color="auto" w:fill="auto"/>
            <w:noWrap/>
            <w:vAlign w:val="bottom"/>
            <w:hideMark/>
          </w:tcPr>
          <w:p w14:paraId="0D589033" w14:textId="77777777" w:rsidR="00341498" w:rsidRPr="00701F32" w:rsidRDefault="00341498">
            <w:pPr>
              <w:jc w:val="right"/>
              <w:rPr>
                <w:rFonts w:ascii="Arial" w:hAnsi="Arial" w:cs="Arial"/>
                <w:sz w:val="16"/>
              </w:rPr>
            </w:pPr>
            <w:r w:rsidRPr="00701F32">
              <w:rPr>
                <w:rFonts w:ascii="Arial" w:hAnsi="Arial" w:cs="Arial"/>
                <w:sz w:val="16"/>
              </w:rPr>
              <w:t xml:space="preserve"> 498.786 </w:t>
            </w:r>
          </w:p>
        </w:tc>
        <w:tc>
          <w:tcPr>
            <w:tcW w:w="1465" w:type="dxa"/>
            <w:tcBorders>
              <w:top w:val="nil"/>
              <w:left w:val="nil"/>
              <w:bottom w:val="single" w:sz="8" w:space="0" w:color="auto"/>
              <w:right w:val="single" w:sz="8" w:space="0" w:color="auto"/>
            </w:tcBorders>
            <w:shd w:val="clear" w:color="auto" w:fill="auto"/>
            <w:noWrap/>
            <w:vAlign w:val="bottom"/>
            <w:hideMark/>
          </w:tcPr>
          <w:p w14:paraId="19A0B39F" w14:textId="77777777" w:rsidR="00341498" w:rsidRPr="00701F32" w:rsidRDefault="00341498">
            <w:pPr>
              <w:jc w:val="right"/>
              <w:rPr>
                <w:rFonts w:ascii="Arial" w:hAnsi="Arial" w:cs="Arial"/>
                <w:sz w:val="16"/>
              </w:rPr>
            </w:pPr>
            <w:r w:rsidRPr="00701F32">
              <w:rPr>
                <w:rFonts w:ascii="Arial" w:hAnsi="Arial" w:cs="Arial"/>
                <w:sz w:val="16"/>
              </w:rPr>
              <w:t xml:space="preserve"> 17.655 </w:t>
            </w:r>
          </w:p>
        </w:tc>
        <w:tc>
          <w:tcPr>
            <w:tcW w:w="1172" w:type="dxa"/>
            <w:tcBorders>
              <w:top w:val="nil"/>
              <w:left w:val="nil"/>
              <w:bottom w:val="single" w:sz="8" w:space="0" w:color="auto"/>
              <w:right w:val="single" w:sz="8" w:space="0" w:color="auto"/>
            </w:tcBorders>
            <w:shd w:val="clear" w:color="auto" w:fill="auto"/>
            <w:noWrap/>
            <w:vAlign w:val="bottom"/>
            <w:hideMark/>
          </w:tcPr>
          <w:p w14:paraId="45178BFD" w14:textId="77777777" w:rsidR="00341498" w:rsidRPr="00701F32" w:rsidRDefault="00341498">
            <w:pPr>
              <w:jc w:val="right"/>
              <w:rPr>
                <w:rFonts w:ascii="Arial" w:hAnsi="Arial" w:cs="Arial"/>
                <w:sz w:val="16"/>
              </w:rPr>
            </w:pPr>
            <w:r w:rsidRPr="00701F32">
              <w:rPr>
                <w:rFonts w:ascii="Arial" w:hAnsi="Arial" w:cs="Arial"/>
                <w:sz w:val="16"/>
              </w:rPr>
              <w:t xml:space="preserve">- </w:t>
            </w:r>
          </w:p>
        </w:tc>
        <w:tc>
          <w:tcPr>
            <w:tcW w:w="1612" w:type="dxa"/>
            <w:tcBorders>
              <w:top w:val="nil"/>
              <w:left w:val="nil"/>
              <w:bottom w:val="single" w:sz="8" w:space="0" w:color="auto"/>
              <w:right w:val="single" w:sz="8" w:space="0" w:color="auto"/>
            </w:tcBorders>
            <w:shd w:val="clear" w:color="auto" w:fill="auto"/>
            <w:noWrap/>
            <w:vAlign w:val="bottom"/>
            <w:hideMark/>
          </w:tcPr>
          <w:p w14:paraId="33624FB6" w14:textId="77777777" w:rsidR="00341498" w:rsidRPr="00701F32" w:rsidRDefault="00341498">
            <w:pPr>
              <w:jc w:val="right"/>
              <w:rPr>
                <w:rFonts w:ascii="Arial" w:hAnsi="Arial" w:cs="Arial"/>
                <w:sz w:val="16"/>
              </w:rPr>
            </w:pPr>
            <w:r w:rsidRPr="00701F32">
              <w:rPr>
                <w:rFonts w:ascii="Arial" w:hAnsi="Arial" w:cs="Arial"/>
                <w:sz w:val="16"/>
              </w:rPr>
              <w:t xml:space="preserve"> 540.338 </w:t>
            </w:r>
          </w:p>
        </w:tc>
      </w:tr>
      <w:tr w:rsidR="00341498" w:rsidRPr="00701F32" w14:paraId="12B00A34" w14:textId="77777777" w:rsidTr="00E311C9">
        <w:trPr>
          <w:trHeight w:val="5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4C1844B5"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neto por comisiones </w:t>
            </w:r>
          </w:p>
        </w:tc>
        <w:tc>
          <w:tcPr>
            <w:tcW w:w="1466" w:type="dxa"/>
            <w:tcBorders>
              <w:top w:val="nil"/>
              <w:left w:val="nil"/>
              <w:bottom w:val="single" w:sz="8" w:space="0" w:color="auto"/>
              <w:right w:val="single" w:sz="8" w:space="0" w:color="auto"/>
            </w:tcBorders>
            <w:shd w:val="clear" w:color="auto" w:fill="auto"/>
            <w:noWrap/>
            <w:vAlign w:val="bottom"/>
            <w:hideMark/>
          </w:tcPr>
          <w:p w14:paraId="5A10BC6D" w14:textId="77777777" w:rsidR="00341498" w:rsidRPr="00701F32" w:rsidRDefault="00341498">
            <w:pPr>
              <w:jc w:val="right"/>
              <w:rPr>
                <w:rFonts w:ascii="Arial" w:hAnsi="Arial" w:cs="Arial"/>
                <w:b/>
                <w:sz w:val="16"/>
              </w:rPr>
            </w:pPr>
            <w:r w:rsidRPr="00701F32">
              <w:rPr>
                <w:rFonts w:ascii="Arial" w:hAnsi="Arial" w:cs="Arial"/>
                <w:b/>
                <w:sz w:val="16"/>
              </w:rPr>
              <w:t xml:space="preserve"> 444.426 </w:t>
            </w:r>
          </w:p>
        </w:tc>
        <w:tc>
          <w:tcPr>
            <w:tcW w:w="1318" w:type="dxa"/>
            <w:tcBorders>
              <w:top w:val="nil"/>
              <w:left w:val="nil"/>
              <w:bottom w:val="single" w:sz="8" w:space="0" w:color="auto"/>
              <w:right w:val="single" w:sz="8" w:space="0" w:color="auto"/>
            </w:tcBorders>
            <w:shd w:val="clear" w:color="auto" w:fill="auto"/>
            <w:noWrap/>
            <w:vAlign w:val="bottom"/>
            <w:hideMark/>
          </w:tcPr>
          <w:p w14:paraId="4F199849" w14:textId="77777777" w:rsidR="00341498" w:rsidRPr="00701F32" w:rsidRDefault="00341498">
            <w:pPr>
              <w:jc w:val="right"/>
              <w:rPr>
                <w:rFonts w:ascii="Arial" w:hAnsi="Arial" w:cs="Arial"/>
                <w:b/>
                <w:sz w:val="16"/>
              </w:rPr>
            </w:pPr>
            <w:r w:rsidRPr="00701F32">
              <w:rPr>
                <w:rFonts w:ascii="Arial" w:hAnsi="Arial" w:cs="Arial"/>
                <w:b/>
                <w:sz w:val="16"/>
              </w:rPr>
              <w:t xml:space="preserve"> 1.872.704 </w:t>
            </w:r>
          </w:p>
        </w:tc>
        <w:tc>
          <w:tcPr>
            <w:tcW w:w="1465" w:type="dxa"/>
            <w:tcBorders>
              <w:top w:val="nil"/>
              <w:left w:val="nil"/>
              <w:bottom w:val="single" w:sz="8" w:space="0" w:color="auto"/>
              <w:right w:val="single" w:sz="8" w:space="0" w:color="auto"/>
            </w:tcBorders>
            <w:shd w:val="clear" w:color="auto" w:fill="auto"/>
            <w:noWrap/>
            <w:vAlign w:val="bottom"/>
            <w:hideMark/>
          </w:tcPr>
          <w:p w14:paraId="23F3F792" w14:textId="77777777" w:rsidR="00341498" w:rsidRPr="00701F32" w:rsidRDefault="00341498">
            <w:pPr>
              <w:jc w:val="right"/>
              <w:rPr>
                <w:rFonts w:ascii="Arial" w:hAnsi="Arial" w:cs="Arial"/>
                <w:b/>
                <w:sz w:val="16"/>
              </w:rPr>
            </w:pPr>
            <w:r w:rsidRPr="00701F32">
              <w:rPr>
                <w:rFonts w:ascii="Arial" w:hAnsi="Arial" w:cs="Arial"/>
                <w:b/>
                <w:sz w:val="16"/>
              </w:rPr>
              <w:t xml:space="preserve"> -253 </w:t>
            </w:r>
          </w:p>
        </w:tc>
        <w:tc>
          <w:tcPr>
            <w:tcW w:w="1172" w:type="dxa"/>
            <w:tcBorders>
              <w:top w:val="nil"/>
              <w:left w:val="nil"/>
              <w:bottom w:val="single" w:sz="8" w:space="0" w:color="auto"/>
              <w:right w:val="single" w:sz="8" w:space="0" w:color="auto"/>
            </w:tcBorders>
            <w:shd w:val="clear" w:color="auto" w:fill="auto"/>
            <w:noWrap/>
            <w:vAlign w:val="bottom"/>
            <w:hideMark/>
          </w:tcPr>
          <w:p w14:paraId="616D67B7" w14:textId="77777777" w:rsidR="00341498" w:rsidRPr="00701F32" w:rsidRDefault="00341498">
            <w:pPr>
              <w:jc w:val="right"/>
              <w:rPr>
                <w:rFonts w:ascii="Arial" w:hAnsi="Arial" w:cs="Arial"/>
                <w:b/>
                <w:sz w:val="16"/>
              </w:rPr>
            </w:pPr>
            <w:r w:rsidRPr="00701F32">
              <w:rPr>
                <w:rFonts w:ascii="Arial" w:hAnsi="Arial" w:cs="Arial"/>
                <w:b/>
                <w:sz w:val="16"/>
              </w:rPr>
              <w:t xml:space="preserve">- </w:t>
            </w:r>
          </w:p>
        </w:tc>
        <w:tc>
          <w:tcPr>
            <w:tcW w:w="1612" w:type="dxa"/>
            <w:tcBorders>
              <w:top w:val="nil"/>
              <w:left w:val="nil"/>
              <w:bottom w:val="single" w:sz="8" w:space="0" w:color="auto"/>
              <w:right w:val="single" w:sz="8" w:space="0" w:color="auto"/>
            </w:tcBorders>
            <w:shd w:val="clear" w:color="auto" w:fill="auto"/>
            <w:noWrap/>
            <w:vAlign w:val="bottom"/>
            <w:hideMark/>
          </w:tcPr>
          <w:p w14:paraId="3D30C2DA" w14:textId="77777777" w:rsidR="00341498" w:rsidRPr="00701F32" w:rsidRDefault="00341498">
            <w:pPr>
              <w:jc w:val="right"/>
              <w:rPr>
                <w:rFonts w:ascii="Arial" w:hAnsi="Arial" w:cs="Arial"/>
                <w:b/>
                <w:sz w:val="16"/>
              </w:rPr>
            </w:pPr>
            <w:r w:rsidRPr="00701F32">
              <w:rPr>
                <w:rFonts w:ascii="Arial" w:hAnsi="Arial" w:cs="Arial"/>
                <w:b/>
                <w:sz w:val="16"/>
              </w:rPr>
              <w:t xml:space="preserve"> 2.316.877 </w:t>
            </w:r>
          </w:p>
        </w:tc>
      </w:tr>
      <w:tr w:rsidR="00341498" w:rsidRPr="00701F32" w14:paraId="57B385AF"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06841AAD"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Subtotal </w:t>
            </w:r>
          </w:p>
        </w:tc>
        <w:tc>
          <w:tcPr>
            <w:tcW w:w="1466" w:type="dxa"/>
            <w:tcBorders>
              <w:top w:val="nil"/>
              <w:left w:val="nil"/>
              <w:bottom w:val="single" w:sz="8" w:space="0" w:color="auto"/>
              <w:right w:val="single" w:sz="8" w:space="0" w:color="auto"/>
            </w:tcBorders>
            <w:shd w:val="clear" w:color="auto" w:fill="auto"/>
            <w:noWrap/>
            <w:vAlign w:val="bottom"/>
            <w:hideMark/>
          </w:tcPr>
          <w:p w14:paraId="150011A7" w14:textId="77777777" w:rsidR="00341498" w:rsidRPr="00701F32" w:rsidRDefault="00341498">
            <w:pPr>
              <w:jc w:val="right"/>
              <w:rPr>
                <w:rFonts w:ascii="Arial" w:hAnsi="Arial" w:cs="Arial"/>
                <w:b/>
                <w:sz w:val="16"/>
              </w:rPr>
            </w:pPr>
            <w:r w:rsidRPr="00701F32">
              <w:rPr>
                <w:rFonts w:ascii="Arial" w:hAnsi="Arial" w:cs="Arial"/>
                <w:b/>
                <w:sz w:val="16"/>
              </w:rPr>
              <w:t xml:space="preserve"> 1.627.037 </w:t>
            </w:r>
          </w:p>
        </w:tc>
        <w:tc>
          <w:tcPr>
            <w:tcW w:w="1318" w:type="dxa"/>
            <w:tcBorders>
              <w:top w:val="nil"/>
              <w:left w:val="nil"/>
              <w:bottom w:val="single" w:sz="8" w:space="0" w:color="auto"/>
              <w:right w:val="single" w:sz="8" w:space="0" w:color="auto"/>
            </w:tcBorders>
            <w:shd w:val="clear" w:color="auto" w:fill="auto"/>
            <w:noWrap/>
            <w:vAlign w:val="bottom"/>
            <w:hideMark/>
          </w:tcPr>
          <w:p w14:paraId="3EB1ECFD" w14:textId="77777777" w:rsidR="00341498" w:rsidRPr="00701F32" w:rsidRDefault="00341498">
            <w:pPr>
              <w:jc w:val="right"/>
              <w:rPr>
                <w:rFonts w:ascii="Arial" w:hAnsi="Arial" w:cs="Arial"/>
                <w:b/>
                <w:sz w:val="16"/>
              </w:rPr>
            </w:pPr>
            <w:r w:rsidRPr="00701F32">
              <w:rPr>
                <w:rFonts w:ascii="Arial" w:hAnsi="Arial" w:cs="Arial"/>
                <w:b/>
                <w:sz w:val="16"/>
              </w:rPr>
              <w:t xml:space="preserve"> 7.604.058 </w:t>
            </w:r>
          </w:p>
        </w:tc>
        <w:tc>
          <w:tcPr>
            <w:tcW w:w="1465" w:type="dxa"/>
            <w:tcBorders>
              <w:top w:val="nil"/>
              <w:left w:val="nil"/>
              <w:bottom w:val="single" w:sz="8" w:space="0" w:color="auto"/>
              <w:right w:val="single" w:sz="8" w:space="0" w:color="auto"/>
            </w:tcBorders>
            <w:shd w:val="clear" w:color="auto" w:fill="auto"/>
            <w:noWrap/>
            <w:vAlign w:val="bottom"/>
            <w:hideMark/>
          </w:tcPr>
          <w:p w14:paraId="4ADD7E07" w14:textId="77777777" w:rsidR="00341498" w:rsidRPr="00701F32" w:rsidRDefault="00341498">
            <w:pPr>
              <w:jc w:val="right"/>
              <w:rPr>
                <w:rFonts w:ascii="Arial" w:hAnsi="Arial" w:cs="Arial"/>
                <w:b/>
                <w:sz w:val="16"/>
              </w:rPr>
            </w:pPr>
            <w:r w:rsidRPr="00701F32">
              <w:rPr>
                <w:rFonts w:ascii="Arial" w:hAnsi="Arial" w:cs="Arial"/>
                <w:b/>
                <w:sz w:val="16"/>
              </w:rPr>
              <w:t xml:space="preserve"> -806.487 </w:t>
            </w:r>
          </w:p>
        </w:tc>
        <w:tc>
          <w:tcPr>
            <w:tcW w:w="1172" w:type="dxa"/>
            <w:tcBorders>
              <w:top w:val="nil"/>
              <w:left w:val="nil"/>
              <w:bottom w:val="single" w:sz="8" w:space="0" w:color="auto"/>
              <w:right w:val="single" w:sz="8" w:space="0" w:color="auto"/>
            </w:tcBorders>
            <w:shd w:val="clear" w:color="auto" w:fill="auto"/>
            <w:noWrap/>
            <w:vAlign w:val="bottom"/>
            <w:hideMark/>
          </w:tcPr>
          <w:p w14:paraId="2E389D66" w14:textId="77777777" w:rsidR="00341498" w:rsidRPr="00701F32" w:rsidRDefault="00341498">
            <w:pPr>
              <w:jc w:val="right"/>
              <w:rPr>
                <w:rFonts w:ascii="Arial" w:hAnsi="Arial" w:cs="Arial"/>
                <w:b/>
                <w:sz w:val="16"/>
              </w:rPr>
            </w:pPr>
            <w:r w:rsidRPr="00701F32">
              <w:rPr>
                <w:rFonts w:ascii="Arial" w:hAnsi="Arial" w:cs="Arial"/>
                <w:b/>
                <w:sz w:val="16"/>
              </w:rPr>
              <w:t xml:space="preserve"> - </w:t>
            </w:r>
          </w:p>
        </w:tc>
        <w:tc>
          <w:tcPr>
            <w:tcW w:w="1612" w:type="dxa"/>
            <w:tcBorders>
              <w:top w:val="nil"/>
              <w:left w:val="nil"/>
              <w:bottom w:val="single" w:sz="8" w:space="0" w:color="auto"/>
              <w:right w:val="single" w:sz="8" w:space="0" w:color="auto"/>
            </w:tcBorders>
            <w:shd w:val="clear" w:color="auto" w:fill="auto"/>
            <w:noWrap/>
            <w:vAlign w:val="bottom"/>
            <w:hideMark/>
          </w:tcPr>
          <w:p w14:paraId="4CFB1723" w14:textId="77777777" w:rsidR="00341498" w:rsidRPr="00701F32" w:rsidRDefault="00341498">
            <w:pPr>
              <w:jc w:val="right"/>
              <w:rPr>
                <w:rFonts w:ascii="Arial" w:hAnsi="Arial" w:cs="Arial"/>
                <w:b/>
                <w:sz w:val="16"/>
              </w:rPr>
            </w:pPr>
            <w:r w:rsidRPr="00701F32">
              <w:rPr>
                <w:rFonts w:ascii="Arial" w:hAnsi="Arial" w:cs="Arial"/>
                <w:b/>
                <w:sz w:val="16"/>
              </w:rPr>
              <w:t xml:space="preserve"> 8.424.608 </w:t>
            </w:r>
          </w:p>
        </w:tc>
      </w:tr>
      <w:tr w:rsidR="00341498" w:rsidRPr="00701F32" w14:paraId="6622F171"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1D1C80F7" w14:textId="77777777" w:rsidR="00341498" w:rsidRPr="00701F32" w:rsidRDefault="00341498" w:rsidP="00341498">
            <w:pPr>
              <w:ind w:left="72" w:hanging="72"/>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Resultado neto por medición de instrumentos financieros a valor razonable con cambios en resultados </w:t>
            </w:r>
          </w:p>
        </w:tc>
        <w:tc>
          <w:tcPr>
            <w:tcW w:w="1466" w:type="dxa"/>
            <w:tcBorders>
              <w:top w:val="nil"/>
              <w:left w:val="nil"/>
              <w:bottom w:val="nil"/>
              <w:right w:val="single" w:sz="8" w:space="0" w:color="auto"/>
            </w:tcBorders>
            <w:shd w:val="clear" w:color="auto" w:fill="auto"/>
            <w:noWrap/>
            <w:vAlign w:val="bottom"/>
            <w:hideMark/>
          </w:tcPr>
          <w:p w14:paraId="698C36E7"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318" w:type="dxa"/>
            <w:tcBorders>
              <w:top w:val="nil"/>
              <w:left w:val="nil"/>
              <w:bottom w:val="nil"/>
              <w:right w:val="single" w:sz="8" w:space="0" w:color="auto"/>
            </w:tcBorders>
            <w:shd w:val="clear" w:color="auto" w:fill="auto"/>
            <w:noWrap/>
            <w:vAlign w:val="bottom"/>
            <w:hideMark/>
          </w:tcPr>
          <w:p w14:paraId="43233E71"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465" w:type="dxa"/>
            <w:tcBorders>
              <w:top w:val="nil"/>
              <w:left w:val="nil"/>
              <w:bottom w:val="nil"/>
              <w:right w:val="single" w:sz="8" w:space="0" w:color="auto"/>
            </w:tcBorders>
            <w:shd w:val="clear" w:color="auto" w:fill="auto"/>
            <w:noWrap/>
            <w:vAlign w:val="bottom"/>
            <w:hideMark/>
          </w:tcPr>
          <w:p w14:paraId="3A1F5EED" w14:textId="77777777" w:rsidR="00341498" w:rsidRPr="00701F32" w:rsidRDefault="00341498">
            <w:pPr>
              <w:jc w:val="right"/>
              <w:rPr>
                <w:rFonts w:ascii="Arial" w:hAnsi="Arial" w:cs="Arial"/>
                <w:sz w:val="16"/>
              </w:rPr>
            </w:pPr>
            <w:r w:rsidRPr="00701F32">
              <w:rPr>
                <w:rFonts w:ascii="Arial" w:hAnsi="Arial" w:cs="Arial"/>
                <w:sz w:val="16"/>
              </w:rPr>
              <w:t xml:space="preserve"> 1.766.394 </w:t>
            </w:r>
          </w:p>
        </w:tc>
        <w:tc>
          <w:tcPr>
            <w:tcW w:w="1172" w:type="dxa"/>
            <w:tcBorders>
              <w:top w:val="nil"/>
              <w:left w:val="nil"/>
              <w:bottom w:val="nil"/>
              <w:right w:val="single" w:sz="8" w:space="0" w:color="auto"/>
            </w:tcBorders>
            <w:shd w:val="clear" w:color="auto" w:fill="auto"/>
            <w:noWrap/>
            <w:vAlign w:val="bottom"/>
            <w:hideMark/>
          </w:tcPr>
          <w:p w14:paraId="608976D3"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nil"/>
              <w:right w:val="single" w:sz="8" w:space="0" w:color="auto"/>
            </w:tcBorders>
            <w:shd w:val="clear" w:color="auto" w:fill="auto"/>
            <w:noWrap/>
            <w:vAlign w:val="bottom"/>
            <w:hideMark/>
          </w:tcPr>
          <w:p w14:paraId="14A0567F" w14:textId="77777777" w:rsidR="00341498" w:rsidRPr="00701F32" w:rsidRDefault="00341498">
            <w:pPr>
              <w:jc w:val="right"/>
              <w:rPr>
                <w:rFonts w:ascii="Arial" w:hAnsi="Arial" w:cs="Arial"/>
                <w:sz w:val="16"/>
              </w:rPr>
            </w:pPr>
            <w:r w:rsidRPr="00701F32">
              <w:rPr>
                <w:rFonts w:ascii="Arial" w:hAnsi="Arial" w:cs="Arial"/>
                <w:sz w:val="16"/>
              </w:rPr>
              <w:t xml:space="preserve"> 1.766.394 </w:t>
            </w:r>
          </w:p>
        </w:tc>
      </w:tr>
      <w:tr w:rsidR="00341498" w:rsidRPr="00701F32" w14:paraId="03AC598B" w14:textId="77777777" w:rsidTr="00E311C9">
        <w:trPr>
          <w:trHeight w:val="302"/>
        </w:trPr>
        <w:tc>
          <w:tcPr>
            <w:tcW w:w="4052" w:type="dxa"/>
            <w:tcBorders>
              <w:top w:val="nil"/>
              <w:left w:val="single" w:sz="8" w:space="0" w:color="auto"/>
              <w:bottom w:val="nil"/>
              <w:right w:val="single" w:sz="8" w:space="0" w:color="auto"/>
            </w:tcBorders>
            <w:shd w:val="clear" w:color="auto" w:fill="auto"/>
            <w:noWrap/>
            <w:vAlign w:val="center"/>
            <w:hideMark/>
          </w:tcPr>
          <w:p w14:paraId="65957BCD" w14:textId="77777777" w:rsidR="00341498" w:rsidRPr="00701F32" w:rsidRDefault="00341498" w:rsidP="00341498">
            <w:pPr>
              <w:ind w:left="20"/>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Diferencia de cotización de oro y moneda extranjera </w:t>
            </w:r>
          </w:p>
        </w:tc>
        <w:tc>
          <w:tcPr>
            <w:tcW w:w="1466" w:type="dxa"/>
            <w:tcBorders>
              <w:top w:val="nil"/>
              <w:left w:val="nil"/>
              <w:bottom w:val="nil"/>
              <w:right w:val="single" w:sz="8" w:space="0" w:color="auto"/>
            </w:tcBorders>
            <w:shd w:val="clear" w:color="auto" w:fill="auto"/>
            <w:noWrap/>
            <w:vAlign w:val="bottom"/>
            <w:hideMark/>
          </w:tcPr>
          <w:p w14:paraId="32BB5C10" w14:textId="77777777" w:rsidR="00341498" w:rsidRPr="00701F32" w:rsidRDefault="00341498">
            <w:pPr>
              <w:jc w:val="right"/>
              <w:rPr>
                <w:rFonts w:ascii="Arial" w:hAnsi="Arial" w:cs="Arial"/>
                <w:sz w:val="16"/>
              </w:rPr>
            </w:pPr>
            <w:r w:rsidRPr="00701F32">
              <w:rPr>
                <w:rFonts w:ascii="Arial" w:hAnsi="Arial" w:cs="Arial"/>
                <w:sz w:val="16"/>
              </w:rPr>
              <w:t xml:space="preserve"> -43.337 </w:t>
            </w:r>
          </w:p>
        </w:tc>
        <w:tc>
          <w:tcPr>
            <w:tcW w:w="1318" w:type="dxa"/>
            <w:tcBorders>
              <w:top w:val="nil"/>
              <w:left w:val="nil"/>
              <w:bottom w:val="nil"/>
              <w:right w:val="single" w:sz="8" w:space="0" w:color="auto"/>
            </w:tcBorders>
            <w:shd w:val="clear" w:color="auto" w:fill="auto"/>
            <w:noWrap/>
            <w:vAlign w:val="bottom"/>
            <w:hideMark/>
          </w:tcPr>
          <w:p w14:paraId="58C79D90" w14:textId="77777777" w:rsidR="00341498" w:rsidRPr="00701F32" w:rsidRDefault="00341498">
            <w:pPr>
              <w:jc w:val="right"/>
              <w:rPr>
                <w:rFonts w:ascii="Arial" w:hAnsi="Arial" w:cs="Arial"/>
                <w:sz w:val="16"/>
              </w:rPr>
            </w:pPr>
            <w:r w:rsidRPr="00701F32">
              <w:rPr>
                <w:rFonts w:ascii="Arial" w:hAnsi="Arial" w:cs="Arial"/>
                <w:sz w:val="16"/>
              </w:rPr>
              <w:t xml:space="preserve"> 151.537 </w:t>
            </w:r>
          </w:p>
        </w:tc>
        <w:tc>
          <w:tcPr>
            <w:tcW w:w="1465" w:type="dxa"/>
            <w:tcBorders>
              <w:top w:val="nil"/>
              <w:left w:val="nil"/>
              <w:bottom w:val="nil"/>
              <w:right w:val="single" w:sz="8" w:space="0" w:color="auto"/>
            </w:tcBorders>
            <w:shd w:val="clear" w:color="auto" w:fill="auto"/>
            <w:noWrap/>
            <w:vAlign w:val="bottom"/>
            <w:hideMark/>
          </w:tcPr>
          <w:p w14:paraId="7CF48FA6" w14:textId="77777777" w:rsidR="00341498" w:rsidRPr="00701F32" w:rsidRDefault="00341498">
            <w:pPr>
              <w:jc w:val="right"/>
              <w:rPr>
                <w:rFonts w:ascii="Arial" w:hAnsi="Arial" w:cs="Arial"/>
                <w:sz w:val="16"/>
              </w:rPr>
            </w:pPr>
            <w:r w:rsidRPr="00701F32">
              <w:rPr>
                <w:rFonts w:ascii="Arial" w:hAnsi="Arial" w:cs="Arial"/>
                <w:sz w:val="16"/>
              </w:rPr>
              <w:t xml:space="preserve"> 135.118 </w:t>
            </w:r>
          </w:p>
        </w:tc>
        <w:tc>
          <w:tcPr>
            <w:tcW w:w="1172" w:type="dxa"/>
            <w:tcBorders>
              <w:top w:val="nil"/>
              <w:left w:val="nil"/>
              <w:bottom w:val="nil"/>
              <w:right w:val="single" w:sz="8" w:space="0" w:color="auto"/>
            </w:tcBorders>
            <w:shd w:val="clear" w:color="auto" w:fill="auto"/>
            <w:noWrap/>
            <w:vAlign w:val="bottom"/>
            <w:hideMark/>
          </w:tcPr>
          <w:p w14:paraId="4D37DA8D"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nil"/>
              <w:right w:val="single" w:sz="8" w:space="0" w:color="auto"/>
            </w:tcBorders>
            <w:shd w:val="clear" w:color="auto" w:fill="auto"/>
            <w:noWrap/>
            <w:vAlign w:val="bottom"/>
            <w:hideMark/>
          </w:tcPr>
          <w:p w14:paraId="72C827D0" w14:textId="77777777" w:rsidR="00341498" w:rsidRPr="00701F32" w:rsidRDefault="00341498">
            <w:pPr>
              <w:jc w:val="right"/>
              <w:rPr>
                <w:rFonts w:ascii="Arial" w:hAnsi="Arial" w:cs="Arial"/>
                <w:sz w:val="16"/>
              </w:rPr>
            </w:pPr>
            <w:r w:rsidRPr="00701F32">
              <w:rPr>
                <w:rFonts w:ascii="Arial" w:hAnsi="Arial" w:cs="Arial"/>
                <w:sz w:val="16"/>
              </w:rPr>
              <w:t xml:space="preserve"> 243.318 </w:t>
            </w:r>
          </w:p>
        </w:tc>
      </w:tr>
      <w:tr w:rsidR="00341498" w:rsidRPr="00701F32" w14:paraId="786A15D7"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05F3CA18"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Otros ingresos operativos </w:t>
            </w:r>
          </w:p>
        </w:tc>
        <w:tc>
          <w:tcPr>
            <w:tcW w:w="1466" w:type="dxa"/>
            <w:tcBorders>
              <w:top w:val="nil"/>
              <w:left w:val="nil"/>
              <w:bottom w:val="nil"/>
              <w:right w:val="single" w:sz="8" w:space="0" w:color="auto"/>
            </w:tcBorders>
            <w:shd w:val="clear" w:color="auto" w:fill="auto"/>
            <w:noWrap/>
            <w:vAlign w:val="bottom"/>
            <w:hideMark/>
          </w:tcPr>
          <w:p w14:paraId="749CAEB7" w14:textId="77777777" w:rsidR="00341498" w:rsidRPr="00701F32" w:rsidRDefault="00341498">
            <w:pPr>
              <w:jc w:val="right"/>
              <w:rPr>
                <w:rFonts w:ascii="Arial" w:hAnsi="Arial" w:cs="Arial"/>
                <w:sz w:val="16"/>
              </w:rPr>
            </w:pPr>
            <w:r w:rsidRPr="00701F32">
              <w:rPr>
                <w:rFonts w:ascii="Arial" w:hAnsi="Arial" w:cs="Arial"/>
                <w:sz w:val="16"/>
              </w:rPr>
              <w:t xml:space="preserve"> 217.886 </w:t>
            </w:r>
          </w:p>
        </w:tc>
        <w:tc>
          <w:tcPr>
            <w:tcW w:w="1318" w:type="dxa"/>
            <w:tcBorders>
              <w:top w:val="nil"/>
              <w:left w:val="nil"/>
              <w:bottom w:val="nil"/>
              <w:right w:val="single" w:sz="8" w:space="0" w:color="auto"/>
            </w:tcBorders>
            <w:shd w:val="clear" w:color="auto" w:fill="auto"/>
            <w:noWrap/>
            <w:vAlign w:val="bottom"/>
            <w:hideMark/>
          </w:tcPr>
          <w:p w14:paraId="39E7A4EE" w14:textId="77777777" w:rsidR="00341498" w:rsidRPr="00701F32" w:rsidRDefault="00341498">
            <w:pPr>
              <w:jc w:val="right"/>
              <w:rPr>
                <w:rFonts w:ascii="Arial" w:hAnsi="Arial" w:cs="Arial"/>
                <w:sz w:val="16"/>
              </w:rPr>
            </w:pPr>
            <w:r w:rsidRPr="00701F32">
              <w:rPr>
                <w:rFonts w:ascii="Arial" w:hAnsi="Arial" w:cs="Arial"/>
                <w:sz w:val="16"/>
              </w:rPr>
              <w:t xml:space="preserve"> 676.590 </w:t>
            </w:r>
          </w:p>
        </w:tc>
        <w:tc>
          <w:tcPr>
            <w:tcW w:w="1465" w:type="dxa"/>
            <w:tcBorders>
              <w:top w:val="nil"/>
              <w:left w:val="nil"/>
              <w:bottom w:val="nil"/>
              <w:right w:val="single" w:sz="8" w:space="0" w:color="auto"/>
            </w:tcBorders>
            <w:shd w:val="clear" w:color="auto" w:fill="auto"/>
            <w:noWrap/>
            <w:vAlign w:val="bottom"/>
            <w:hideMark/>
          </w:tcPr>
          <w:p w14:paraId="06AF2172" w14:textId="77777777" w:rsidR="00341498" w:rsidRPr="00701F32" w:rsidRDefault="00341498">
            <w:pPr>
              <w:jc w:val="right"/>
              <w:rPr>
                <w:rFonts w:ascii="Arial" w:hAnsi="Arial" w:cs="Arial"/>
                <w:sz w:val="16"/>
              </w:rPr>
            </w:pPr>
            <w:r w:rsidRPr="00701F32">
              <w:rPr>
                <w:rFonts w:ascii="Arial" w:hAnsi="Arial" w:cs="Arial"/>
                <w:sz w:val="16"/>
              </w:rPr>
              <w:t xml:space="preserve"> 52.465 </w:t>
            </w:r>
          </w:p>
        </w:tc>
        <w:tc>
          <w:tcPr>
            <w:tcW w:w="1172" w:type="dxa"/>
            <w:tcBorders>
              <w:top w:val="nil"/>
              <w:left w:val="nil"/>
              <w:bottom w:val="nil"/>
              <w:right w:val="single" w:sz="8" w:space="0" w:color="auto"/>
            </w:tcBorders>
            <w:shd w:val="clear" w:color="auto" w:fill="auto"/>
            <w:noWrap/>
            <w:vAlign w:val="bottom"/>
            <w:hideMark/>
          </w:tcPr>
          <w:p w14:paraId="07A2C3DF" w14:textId="77777777" w:rsidR="00341498" w:rsidRPr="00701F32" w:rsidRDefault="00341498">
            <w:pPr>
              <w:jc w:val="right"/>
              <w:rPr>
                <w:rFonts w:ascii="Arial" w:hAnsi="Arial" w:cs="Arial"/>
                <w:sz w:val="16"/>
              </w:rPr>
            </w:pPr>
            <w:r w:rsidRPr="00701F32">
              <w:rPr>
                <w:rFonts w:ascii="Arial" w:hAnsi="Arial" w:cs="Arial"/>
                <w:sz w:val="16"/>
              </w:rPr>
              <w:t xml:space="preserve">-  </w:t>
            </w:r>
          </w:p>
        </w:tc>
        <w:tc>
          <w:tcPr>
            <w:tcW w:w="1612" w:type="dxa"/>
            <w:tcBorders>
              <w:top w:val="nil"/>
              <w:left w:val="nil"/>
              <w:bottom w:val="nil"/>
              <w:right w:val="single" w:sz="8" w:space="0" w:color="auto"/>
            </w:tcBorders>
            <w:shd w:val="clear" w:color="auto" w:fill="auto"/>
            <w:noWrap/>
            <w:vAlign w:val="bottom"/>
            <w:hideMark/>
          </w:tcPr>
          <w:p w14:paraId="0A40F0FF" w14:textId="77777777" w:rsidR="00341498" w:rsidRPr="00701F32" w:rsidRDefault="00341498">
            <w:pPr>
              <w:jc w:val="right"/>
              <w:rPr>
                <w:rFonts w:ascii="Arial" w:hAnsi="Arial" w:cs="Arial"/>
                <w:sz w:val="16"/>
              </w:rPr>
            </w:pPr>
            <w:r w:rsidRPr="00701F32">
              <w:rPr>
                <w:rFonts w:ascii="Arial" w:hAnsi="Arial" w:cs="Arial"/>
                <w:sz w:val="16"/>
              </w:rPr>
              <w:t xml:space="preserve"> 946.941 </w:t>
            </w:r>
          </w:p>
        </w:tc>
      </w:tr>
      <w:tr w:rsidR="00341498" w:rsidRPr="00701F32" w14:paraId="3E1C0713" w14:textId="77777777" w:rsidTr="00E311C9">
        <w:trPr>
          <w:trHeight w:val="71"/>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18D4C395"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Cargo por incobrabilidad </w:t>
            </w:r>
          </w:p>
        </w:tc>
        <w:tc>
          <w:tcPr>
            <w:tcW w:w="1466" w:type="dxa"/>
            <w:tcBorders>
              <w:top w:val="nil"/>
              <w:left w:val="nil"/>
              <w:bottom w:val="single" w:sz="8" w:space="0" w:color="auto"/>
              <w:right w:val="single" w:sz="8" w:space="0" w:color="auto"/>
            </w:tcBorders>
            <w:shd w:val="clear" w:color="auto" w:fill="auto"/>
            <w:noWrap/>
            <w:vAlign w:val="bottom"/>
            <w:hideMark/>
          </w:tcPr>
          <w:p w14:paraId="355FE2F4" w14:textId="77777777" w:rsidR="00341498" w:rsidRPr="00701F32" w:rsidRDefault="00341498">
            <w:pPr>
              <w:jc w:val="right"/>
              <w:rPr>
                <w:rFonts w:ascii="Arial" w:hAnsi="Arial" w:cs="Arial"/>
                <w:sz w:val="16"/>
              </w:rPr>
            </w:pPr>
            <w:r w:rsidRPr="00701F32">
              <w:rPr>
                <w:rFonts w:ascii="Arial" w:hAnsi="Arial" w:cs="Arial"/>
                <w:sz w:val="16"/>
              </w:rPr>
              <w:t xml:space="preserve"> 157.896 </w:t>
            </w:r>
          </w:p>
        </w:tc>
        <w:tc>
          <w:tcPr>
            <w:tcW w:w="1318" w:type="dxa"/>
            <w:tcBorders>
              <w:top w:val="nil"/>
              <w:left w:val="nil"/>
              <w:bottom w:val="single" w:sz="8" w:space="0" w:color="auto"/>
              <w:right w:val="single" w:sz="8" w:space="0" w:color="auto"/>
            </w:tcBorders>
            <w:shd w:val="clear" w:color="auto" w:fill="auto"/>
            <w:noWrap/>
            <w:vAlign w:val="bottom"/>
            <w:hideMark/>
          </w:tcPr>
          <w:p w14:paraId="3A926A7B" w14:textId="77777777" w:rsidR="00341498" w:rsidRPr="00701F32" w:rsidRDefault="00341498">
            <w:pPr>
              <w:jc w:val="right"/>
              <w:rPr>
                <w:rFonts w:ascii="Arial" w:hAnsi="Arial" w:cs="Arial"/>
                <w:sz w:val="16"/>
              </w:rPr>
            </w:pPr>
            <w:r w:rsidRPr="00701F32">
              <w:rPr>
                <w:rFonts w:ascii="Arial" w:hAnsi="Arial" w:cs="Arial"/>
                <w:sz w:val="16"/>
              </w:rPr>
              <w:t xml:space="preserve"> 759.333 </w:t>
            </w:r>
          </w:p>
        </w:tc>
        <w:tc>
          <w:tcPr>
            <w:tcW w:w="1465" w:type="dxa"/>
            <w:tcBorders>
              <w:top w:val="nil"/>
              <w:left w:val="nil"/>
              <w:bottom w:val="single" w:sz="8" w:space="0" w:color="auto"/>
              <w:right w:val="single" w:sz="8" w:space="0" w:color="auto"/>
            </w:tcBorders>
            <w:shd w:val="clear" w:color="auto" w:fill="auto"/>
            <w:noWrap/>
            <w:vAlign w:val="bottom"/>
            <w:hideMark/>
          </w:tcPr>
          <w:p w14:paraId="1E0BC13C" w14:textId="77777777" w:rsidR="00341498" w:rsidRPr="00701F32" w:rsidRDefault="00341498">
            <w:pPr>
              <w:jc w:val="right"/>
              <w:rPr>
                <w:rFonts w:ascii="Arial" w:hAnsi="Arial" w:cs="Arial"/>
                <w:sz w:val="16"/>
              </w:rPr>
            </w:pPr>
            <w:r w:rsidRPr="00701F32">
              <w:rPr>
                <w:rFonts w:ascii="Arial" w:hAnsi="Arial" w:cs="Arial"/>
                <w:sz w:val="16"/>
              </w:rPr>
              <w:t xml:space="preserve"> 3.751 </w:t>
            </w:r>
          </w:p>
        </w:tc>
        <w:tc>
          <w:tcPr>
            <w:tcW w:w="1172" w:type="dxa"/>
            <w:tcBorders>
              <w:top w:val="nil"/>
              <w:left w:val="nil"/>
              <w:bottom w:val="single" w:sz="8" w:space="0" w:color="auto"/>
              <w:right w:val="single" w:sz="8" w:space="0" w:color="auto"/>
            </w:tcBorders>
            <w:shd w:val="clear" w:color="auto" w:fill="auto"/>
            <w:noWrap/>
            <w:vAlign w:val="bottom"/>
            <w:hideMark/>
          </w:tcPr>
          <w:p w14:paraId="4400D863"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single" w:sz="8" w:space="0" w:color="auto"/>
              <w:right w:val="single" w:sz="8" w:space="0" w:color="auto"/>
            </w:tcBorders>
            <w:shd w:val="clear" w:color="auto" w:fill="auto"/>
            <w:noWrap/>
            <w:vAlign w:val="bottom"/>
            <w:hideMark/>
          </w:tcPr>
          <w:p w14:paraId="6F7A33A4" w14:textId="77777777" w:rsidR="00341498" w:rsidRPr="00701F32" w:rsidRDefault="00341498">
            <w:pPr>
              <w:jc w:val="right"/>
              <w:rPr>
                <w:rFonts w:ascii="Arial" w:hAnsi="Arial" w:cs="Arial"/>
                <w:sz w:val="16"/>
              </w:rPr>
            </w:pPr>
            <w:r w:rsidRPr="00701F32">
              <w:rPr>
                <w:rFonts w:ascii="Arial" w:hAnsi="Arial" w:cs="Arial"/>
                <w:sz w:val="16"/>
              </w:rPr>
              <w:t xml:space="preserve"> 920.980 </w:t>
            </w:r>
          </w:p>
        </w:tc>
      </w:tr>
      <w:tr w:rsidR="00341498" w:rsidRPr="00701F32" w14:paraId="70B3C13C" w14:textId="77777777" w:rsidTr="00E311C9">
        <w:trPr>
          <w:trHeight w:val="102"/>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54483E57"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Ingreso operativo neto </w:t>
            </w:r>
          </w:p>
        </w:tc>
        <w:tc>
          <w:tcPr>
            <w:tcW w:w="1466" w:type="dxa"/>
            <w:tcBorders>
              <w:top w:val="nil"/>
              <w:left w:val="nil"/>
              <w:bottom w:val="single" w:sz="8" w:space="0" w:color="auto"/>
              <w:right w:val="single" w:sz="8" w:space="0" w:color="auto"/>
            </w:tcBorders>
            <w:shd w:val="clear" w:color="auto" w:fill="auto"/>
            <w:noWrap/>
            <w:vAlign w:val="bottom"/>
            <w:hideMark/>
          </w:tcPr>
          <w:p w14:paraId="728C72A8" w14:textId="77777777" w:rsidR="00341498" w:rsidRPr="00701F32" w:rsidRDefault="00341498">
            <w:pPr>
              <w:jc w:val="right"/>
              <w:rPr>
                <w:rFonts w:ascii="Arial" w:hAnsi="Arial" w:cs="Arial"/>
                <w:b/>
                <w:sz w:val="16"/>
              </w:rPr>
            </w:pPr>
            <w:r w:rsidRPr="00701F32">
              <w:rPr>
                <w:rFonts w:ascii="Arial" w:hAnsi="Arial" w:cs="Arial"/>
                <w:b/>
                <w:sz w:val="16"/>
              </w:rPr>
              <w:t xml:space="preserve"> 1.643.690 </w:t>
            </w:r>
          </w:p>
        </w:tc>
        <w:tc>
          <w:tcPr>
            <w:tcW w:w="1318" w:type="dxa"/>
            <w:tcBorders>
              <w:top w:val="nil"/>
              <w:left w:val="nil"/>
              <w:bottom w:val="single" w:sz="8" w:space="0" w:color="auto"/>
              <w:right w:val="single" w:sz="8" w:space="0" w:color="auto"/>
            </w:tcBorders>
            <w:shd w:val="clear" w:color="auto" w:fill="auto"/>
            <w:noWrap/>
            <w:vAlign w:val="bottom"/>
            <w:hideMark/>
          </w:tcPr>
          <w:p w14:paraId="11179C2F" w14:textId="77777777" w:rsidR="00341498" w:rsidRPr="00701F32" w:rsidRDefault="00341498">
            <w:pPr>
              <w:jc w:val="right"/>
              <w:rPr>
                <w:rFonts w:ascii="Arial" w:hAnsi="Arial" w:cs="Arial"/>
                <w:b/>
                <w:sz w:val="16"/>
              </w:rPr>
            </w:pPr>
            <w:r w:rsidRPr="00701F32">
              <w:rPr>
                <w:rFonts w:ascii="Arial" w:hAnsi="Arial" w:cs="Arial"/>
                <w:b/>
                <w:sz w:val="16"/>
              </w:rPr>
              <w:t xml:space="preserve"> 7.672.852 </w:t>
            </w:r>
          </w:p>
        </w:tc>
        <w:tc>
          <w:tcPr>
            <w:tcW w:w="1465" w:type="dxa"/>
            <w:tcBorders>
              <w:top w:val="nil"/>
              <w:left w:val="nil"/>
              <w:bottom w:val="single" w:sz="8" w:space="0" w:color="auto"/>
              <w:right w:val="single" w:sz="8" w:space="0" w:color="auto"/>
            </w:tcBorders>
            <w:shd w:val="clear" w:color="auto" w:fill="auto"/>
            <w:noWrap/>
            <w:vAlign w:val="bottom"/>
            <w:hideMark/>
          </w:tcPr>
          <w:p w14:paraId="51CF6202" w14:textId="77777777" w:rsidR="00341498" w:rsidRPr="00701F32" w:rsidRDefault="00341498">
            <w:pPr>
              <w:jc w:val="right"/>
              <w:rPr>
                <w:rFonts w:ascii="Arial" w:hAnsi="Arial" w:cs="Arial"/>
                <w:b/>
                <w:sz w:val="16"/>
              </w:rPr>
            </w:pPr>
            <w:r w:rsidRPr="00701F32">
              <w:rPr>
                <w:rFonts w:ascii="Arial" w:hAnsi="Arial" w:cs="Arial"/>
                <w:b/>
                <w:sz w:val="16"/>
              </w:rPr>
              <w:t xml:space="preserve"> 1.143.739 </w:t>
            </w:r>
          </w:p>
        </w:tc>
        <w:tc>
          <w:tcPr>
            <w:tcW w:w="1172" w:type="dxa"/>
            <w:tcBorders>
              <w:top w:val="nil"/>
              <w:left w:val="nil"/>
              <w:bottom w:val="single" w:sz="8" w:space="0" w:color="auto"/>
              <w:right w:val="single" w:sz="8" w:space="0" w:color="auto"/>
            </w:tcBorders>
            <w:shd w:val="clear" w:color="auto" w:fill="auto"/>
            <w:noWrap/>
            <w:vAlign w:val="bottom"/>
            <w:hideMark/>
          </w:tcPr>
          <w:p w14:paraId="1BEFC3A4" w14:textId="77777777" w:rsidR="00341498" w:rsidRPr="00701F32" w:rsidRDefault="00341498">
            <w:pPr>
              <w:jc w:val="right"/>
              <w:rPr>
                <w:rFonts w:ascii="Arial" w:hAnsi="Arial" w:cs="Arial"/>
                <w:b/>
                <w:sz w:val="16"/>
              </w:rPr>
            </w:pPr>
            <w:r w:rsidRPr="00701F32">
              <w:rPr>
                <w:rFonts w:ascii="Arial" w:hAnsi="Arial" w:cs="Arial"/>
                <w:b/>
                <w:sz w:val="16"/>
              </w:rPr>
              <w:t xml:space="preserve">- </w:t>
            </w:r>
          </w:p>
        </w:tc>
        <w:tc>
          <w:tcPr>
            <w:tcW w:w="1612" w:type="dxa"/>
            <w:tcBorders>
              <w:top w:val="nil"/>
              <w:left w:val="nil"/>
              <w:bottom w:val="single" w:sz="8" w:space="0" w:color="auto"/>
              <w:right w:val="single" w:sz="8" w:space="0" w:color="auto"/>
            </w:tcBorders>
            <w:shd w:val="clear" w:color="auto" w:fill="auto"/>
            <w:noWrap/>
            <w:vAlign w:val="bottom"/>
            <w:hideMark/>
          </w:tcPr>
          <w:p w14:paraId="5831270B" w14:textId="77777777" w:rsidR="00341498" w:rsidRPr="00701F32" w:rsidRDefault="00341498">
            <w:pPr>
              <w:jc w:val="right"/>
              <w:rPr>
                <w:rFonts w:ascii="Arial" w:hAnsi="Arial" w:cs="Arial"/>
                <w:b/>
                <w:sz w:val="16"/>
              </w:rPr>
            </w:pPr>
            <w:r w:rsidRPr="00701F32">
              <w:rPr>
                <w:rFonts w:ascii="Arial" w:hAnsi="Arial" w:cs="Arial"/>
                <w:b/>
                <w:sz w:val="16"/>
              </w:rPr>
              <w:t xml:space="preserve"> 10.460.281 </w:t>
            </w:r>
          </w:p>
        </w:tc>
      </w:tr>
      <w:tr w:rsidR="00341498" w:rsidRPr="00701F32" w14:paraId="2F20359E"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3B091EBF"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Beneficios al personal </w:t>
            </w:r>
          </w:p>
        </w:tc>
        <w:tc>
          <w:tcPr>
            <w:tcW w:w="1466" w:type="dxa"/>
            <w:tcBorders>
              <w:top w:val="nil"/>
              <w:left w:val="nil"/>
              <w:bottom w:val="nil"/>
              <w:right w:val="single" w:sz="8" w:space="0" w:color="auto"/>
            </w:tcBorders>
            <w:shd w:val="clear" w:color="auto" w:fill="auto"/>
            <w:noWrap/>
            <w:vAlign w:val="bottom"/>
            <w:hideMark/>
          </w:tcPr>
          <w:p w14:paraId="67ED5A47" w14:textId="77777777" w:rsidR="00341498" w:rsidRPr="00701F32" w:rsidRDefault="00341498">
            <w:pPr>
              <w:jc w:val="right"/>
              <w:rPr>
                <w:rFonts w:ascii="Arial" w:hAnsi="Arial" w:cs="Arial"/>
                <w:sz w:val="16"/>
              </w:rPr>
            </w:pPr>
            <w:r w:rsidRPr="00701F32">
              <w:rPr>
                <w:rFonts w:ascii="Arial" w:hAnsi="Arial" w:cs="Arial"/>
                <w:sz w:val="16"/>
              </w:rPr>
              <w:t xml:space="preserve"> 659.700 </w:t>
            </w:r>
          </w:p>
        </w:tc>
        <w:tc>
          <w:tcPr>
            <w:tcW w:w="1318" w:type="dxa"/>
            <w:tcBorders>
              <w:top w:val="nil"/>
              <w:left w:val="nil"/>
              <w:bottom w:val="nil"/>
              <w:right w:val="single" w:sz="8" w:space="0" w:color="auto"/>
            </w:tcBorders>
            <w:shd w:val="clear" w:color="auto" w:fill="auto"/>
            <w:noWrap/>
            <w:vAlign w:val="bottom"/>
            <w:hideMark/>
          </w:tcPr>
          <w:p w14:paraId="17AD4E48" w14:textId="77777777" w:rsidR="00341498" w:rsidRPr="00701F32" w:rsidRDefault="00341498">
            <w:pPr>
              <w:jc w:val="right"/>
              <w:rPr>
                <w:rFonts w:ascii="Arial" w:hAnsi="Arial" w:cs="Arial"/>
                <w:sz w:val="16"/>
              </w:rPr>
            </w:pPr>
            <w:r w:rsidRPr="00701F32">
              <w:rPr>
                <w:rFonts w:ascii="Arial" w:hAnsi="Arial" w:cs="Arial"/>
                <w:sz w:val="16"/>
              </w:rPr>
              <w:t xml:space="preserve"> 3.560.993 </w:t>
            </w:r>
          </w:p>
        </w:tc>
        <w:tc>
          <w:tcPr>
            <w:tcW w:w="1465" w:type="dxa"/>
            <w:tcBorders>
              <w:top w:val="nil"/>
              <w:left w:val="nil"/>
              <w:bottom w:val="nil"/>
              <w:right w:val="single" w:sz="8" w:space="0" w:color="auto"/>
            </w:tcBorders>
            <w:shd w:val="clear" w:color="auto" w:fill="auto"/>
            <w:noWrap/>
            <w:vAlign w:val="bottom"/>
            <w:hideMark/>
          </w:tcPr>
          <w:p w14:paraId="6EA0D6A0" w14:textId="77777777" w:rsidR="00341498" w:rsidRPr="00701F32" w:rsidRDefault="00341498">
            <w:pPr>
              <w:jc w:val="right"/>
              <w:rPr>
                <w:rFonts w:ascii="Arial" w:hAnsi="Arial" w:cs="Arial"/>
                <w:sz w:val="16"/>
              </w:rPr>
            </w:pPr>
            <w:r w:rsidRPr="00701F32">
              <w:rPr>
                <w:rFonts w:ascii="Arial" w:hAnsi="Arial" w:cs="Arial"/>
                <w:sz w:val="16"/>
              </w:rPr>
              <w:t xml:space="preserve"> 243.699 </w:t>
            </w:r>
          </w:p>
        </w:tc>
        <w:tc>
          <w:tcPr>
            <w:tcW w:w="1172" w:type="dxa"/>
            <w:tcBorders>
              <w:top w:val="nil"/>
              <w:left w:val="nil"/>
              <w:bottom w:val="nil"/>
              <w:right w:val="single" w:sz="8" w:space="0" w:color="auto"/>
            </w:tcBorders>
            <w:shd w:val="clear" w:color="auto" w:fill="auto"/>
            <w:noWrap/>
            <w:vAlign w:val="bottom"/>
            <w:hideMark/>
          </w:tcPr>
          <w:p w14:paraId="2B56BA5A"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nil"/>
              <w:right w:val="single" w:sz="8" w:space="0" w:color="auto"/>
            </w:tcBorders>
            <w:shd w:val="clear" w:color="auto" w:fill="auto"/>
            <w:noWrap/>
            <w:vAlign w:val="bottom"/>
            <w:hideMark/>
          </w:tcPr>
          <w:p w14:paraId="3937DCD9" w14:textId="77777777" w:rsidR="00341498" w:rsidRPr="00701F32" w:rsidRDefault="00341498">
            <w:pPr>
              <w:jc w:val="right"/>
              <w:rPr>
                <w:rFonts w:ascii="Arial" w:hAnsi="Arial" w:cs="Arial"/>
                <w:sz w:val="16"/>
              </w:rPr>
            </w:pPr>
            <w:r w:rsidRPr="00701F32">
              <w:rPr>
                <w:rFonts w:ascii="Arial" w:hAnsi="Arial" w:cs="Arial"/>
                <w:sz w:val="16"/>
              </w:rPr>
              <w:t xml:space="preserve"> 4.464.392 </w:t>
            </w:r>
          </w:p>
        </w:tc>
      </w:tr>
      <w:tr w:rsidR="00341498" w:rsidRPr="00701F32" w14:paraId="0F372A44"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01B5BE80"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Gastos de administración </w:t>
            </w:r>
          </w:p>
        </w:tc>
        <w:tc>
          <w:tcPr>
            <w:tcW w:w="1466" w:type="dxa"/>
            <w:tcBorders>
              <w:top w:val="nil"/>
              <w:left w:val="nil"/>
              <w:bottom w:val="nil"/>
              <w:right w:val="single" w:sz="8" w:space="0" w:color="auto"/>
            </w:tcBorders>
            <w:shd w:val="clear" w:color="auto" w:fill="auto"/>
            <w:noWrap/>
            <w:vAlign w:val="bottom"/>
            <w:hideMark/>
          </w:tcPr>
          <w:p w14:paraId="3459EEA5" w14:textId="77777777" w:rsidR="00341498" w:rsidRPr="00701F32" w:rsidRDefault="00341498">
            <w:pPr>
              <w:jc w:val="right"/>
              <w:rPr>
                <w:rFonts w:ascii="Arial" w:hAnsi="Arial" w:cs="Arial"/>
                <w:sz w:val="16"/>
              </w:rPr>
            </w:pPr>
            <w:r w:rsidRPr="00701F32">
              <w:rPr>
                <w:rFonts w:ascii="Arial" w:hAnsi="Arial" w:cs="Arial"/>
                <w:sz w:val="16"/>
              </w:rPr>
              <w:t xml:space="preserve"> 273.644 </w:t>
            </w:r>
          </w:p>
        </w:tc>
        <w:tc>
          <w:tcPr>
            <w:tcW w:w="1318" w:type="dxa"/>
            <w:tcBorders>
              <w:top w:val="nil"/>
              <w:left w:val="nil"/>
              <w:bottom w:val="nil"/>
              <w:right w:val="single" w:sz="8" w:space="0" w:color="auto"/>
            </w:tcBorders>
            <w:shd w:val="clear" w:color="auto" w:fill="auto"/>
            <w:noWrap/>
            <w:vAlign w:val="bottom"/>
            <w:hideMark/>
          </w:tcPr>
          <w:p w14:paraId="792507FB" w14:textId="77777777" w:rsidR="00341498" w:rsidRPr="00701F32" w:rsidRDefault="00341498">
            <w:pPr>
              <w:jc w:val="right"/>
              <w:rPr>
                <w:rFonts w:ascii="Arial" w:hAnsi="Arial" w:cs="Arial"/>
                <w:sz w:val="16"/>
              </w:rPr>
            </w:pPr>
            <w:r w:rsidRPr="00701F32">
              <w:rPr>
                <w:rFonts w:ascii="Arial" w:hAnsi="Arial" w:cs="Arial"/>
                <w:sz w:val="16"/>
              </w:rPr>
              <w:t xml:space="preserve"> 2.123.907 </w:t>
            </w:r>
          </w:p>
        </w:tc>
        <w:tc>
          <w:tcPr>
            <w:tcW w:w="1465" w:type="dxa"/>
            <w:tcBorders>
              <w:top w:val="nil"/>
              <w:left w:val="nil"/>
              <w:bottom w:val="nil"/>
              <w:right w:val="single" w:sz="8" w:space="0" w:color="auto"/>
            </w:tcBorders>
            <w:shd w:val="clear" w:color="auto" w:fill="auto"/>
            <w:noWrap/>
            <w:vAlign w:val="bottom"/>
            <w:hideMark/>
          </w:tcPr>
          <w:p w14:paraId="1CB02970" w14:textId="77777777" w:rsidR="00341498" w:rsidRPr="00701F32" w:rsidRDefault="00341498">
            <w:pPr>
              <w:jc w:val="right"/>
              <w:rPr>
                <w:rFonts w:ascii="Arial" w:hAnsi="Arial" w:cs="Arial"/>
                <w:sz w:val="16"/>
              </w:rPr>
            </w:pPr>
            <w:r w:rsidRPr="00701F32">
              <w:rPr>
                <w:rFonts w:ascii="Arial" w:hAnsi="Arial" w:cs="Arial"/>
                <w:sz w:val="16"/>
              </w:rPr>
              <w:t xml:space="preserve"> 129.415 </w:t>
            </w:r>
          </w:p>
        </w:tc>
        <w:tc>
          <w:tcPr>
            <w:tcW w:w="1172" w:type="dxa"/>
            <w:tcBorders>
              <w:top w:val="nil"/>
              <w:left w:val="nil"/>
              <w:bottom w:val="nil"/>
              <w:right w:val="single" w:sz="8" w:space="0" w:color="auto"/>
            </w:tcBorders>
            <w:shd w:val="clear" w:color="auto" w:fill="auto"/>
            <w:noWrap/>
            <w:vAlign w:val="bottom"/>
            <w:hideMark/>
          </w:tcPr>
          <w:p w14:paraId="2D326DE7"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nil"/>
              <w:right w:val="single" w:sz="8" w:space="0" w:color="auto"/>
            </w:tcBorders>
            <w:shd w:val="clear" w:color="auto" w:fill="auto"/>
            <w:noWrap/>
            <w:vAlign w:val="bottom"/>
            <w:hideMark/>
          </w:tcPr>
          <w:p w14:paraId="02AF03F3" w14:textId="77777777" w:rsidR="00341498" w:rsidRPr="00701F32" w:rsidRDefault="00341498">
            <w:pPr>
              <w:jc w:val="right"/>
              <w:rPr>
                <w:rFonts w:ascii="Arial" w:hAnsi="Arial" w:cs="Arial"/>
                <w:sz w:val="16"/>
              </w:rPr>
            </w:pPr>
            <w:r w:rsidRPr="00701F32">
              <w:rPr>
                <w:rFonts w:ascii="Arial" w:hAnsi="Arial" w:cs="Arial"/>
                <w:sz w:val="16"/>
              </w:rPr>
              <w:t xml:space="preserve"> 2.526.966 </w:t>
            </w:r>
          </w:p>
        </w:tc>
      </w:tr>
      <w:tr w:rsidR="00341498" w:rsidRPr="00701F32" w14:paraId="34798252" w14:textId="77777777" w:rsidTr="00E311C9">
        <w:trPr>
          <w:trHeight w:val="205"/>
        </w:trPr>
        <w:tc>
          <w:tcPr>
            <w:tcW w:w="4052" w:type="dxa"/>
            <w:tcBorders>
              <w:top w:val="nil"/>
              <w:left w:val="single" w:sz="8" w:space="0" w:color="auto"/>
              <w:bottom w:val="nil"/>
              <w:right w:val="single" w:sz="8" w:space="0" w:color="auto"/>
            </w:tcBorders>
            <w:shd w:val="clear" w:color="auto" w:fill="auto"/>
            <w:noWrap/>
            <w:vAlign w:val="center"/>
            <w:hideMark/>
          </w:tcPr>
          <w:p w14:paraId="525D33E4"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Depreciaciones y desvalorizaciones de bienes </w:t>
            </w:r>
          </w:p>
        </w:tc>
        <w:tc>
          <w:tcPr>
            <w:tcW w:w="1466" w:type="dxa"/>
            <w:tcBorders>
              <w:top w:val="nil"/>
              <w:left w:val="nil"/>
              <w:bottom w:val="nil"/>
              <w:right w:val="single" w:sz="8" w:space="0" w:color="auto"/>
            </w:tcBorders>
            <w:shd w:val="clear" w:color="auto" w:fill="auto"/>
            <w:noWrap/>
            <w:vAlign w:val="bottom"/>
            <w:hideMark/>
          </w:tcPr>
          <w:p w14:paraId="5C9CA3B8" w14:textId="77777777" w:rsidR="00341498" w:rsidRPr="00701F32" w:rsidRDefault="00341498">
            <w:pPr>
              <w:jc w:val="right"/>
              <w:rPr>
                <w:rFonts w:ascii="Arial" w:hAnsi="Arial" w:cs="Arial"/>
                <w:sz w:val="16"/>
              </w:rPr>
            </w:pPr>
            <w:r w:rsidRPr="00701F32">
              <w:rPr>
                <w:rFonts w:ascii="Arial" w:hAnsi="Arial" w:cs="Arial"/>
                <w:sz w:val="16"/>
              </w:rPr>
              <w:t xml:space="preserve"> 40.331 </w:t>
            </w:r>
          </w:p>
        </w:tc>
        <w:tc>
          <w:tcPr>
            <w:tcW w:w="1318" w:type="dxa"/>
            <w:tcBorders>
              <w:top w:val="nil"/>
              <w:left w:val="nil"/>
              <w:bottom w:val="nil"/>
              <w:right w:val="single" w:sz="8" w:space="0" w:color="auto"/>
            </w:tcBorders>
            <w:shd w:val="clear" w:color="auto" w:fill="auto"/>
            <w:noWrap/>
            <w:vAlign w:val="bottom"/>
            <w:hideMark/>
          </w:tcPr>
          <w:p w14:paraId="0041A749" w14:textId="77777777" w:rsidR="00341498" w:rsidRPr="00701F32" w:rsidRDefault="00341498">
            <w:pPr>
              <w:jc w:val="right"/>
              <w:rPr>
                <w:rFonts w:ascii="Arial" w:hAnsi="Arial" w:cs="Arial"/>
                <w:sz w:val="16"/>
              </w:rPr>
            </w:pPr>
            <w:r w:rsidRPr="00701F32">
              <w:rPr>
                <w:rFonts w:ascii="Arial" w:hAnsi="Arial" w:cs="Arial"/>
                <w:sz w:val="16"/>
              </w:rPr>
              <w:t xml:space="preserve"> 182.573 </w:t>
            </w:r>
          </w:p>
        </w:tc>
        <w:tc>
          <w:tcPr>
            <w:tcW w:w="1465" w:type="dxa"/>
            <w:tcBorders>
              <w:top w:val="nil"/>
              <w:left w:val="nil"/>
              <w:bottom w:val="nil"/>
              <w:right w:val="single" w:sz="8" w:space="0" w:color="auto"/>
            </w:tcBorders>
            <w:shd w:val="clear" w:color="auto" w:fill="auto"/>
            <w:noWrap/>
            <w:vAlign w:val="bottom"/>
            <w:hideMark/>
          </w:tcPr>
          <w:p w14:paraId="71BB3C09" w14:textId="77777777" w:rsidR="00341498" w:rsidRPr="00701F32" w:rsidRDefault="00341498">
            <w:pPr>
              <w:jc w:val="right"/>
              <w:rPr>
                <w:rFonts w:ascii="Arial" w:hAnsi="Arial" w:cs="Arial"/>
                <w:sz w:val="16"/>
              </w:rPr>
            </w:pPr>
            <w:r w:rsidRPr="00701F32">
              <w:rPr>
                <w:rFonts w:ascii="Arial" w:hAnsi="Arial" w:cs="Arial"/>
                <w:sz w:val="16"/>
              </w:rPr>
              <w:t xml:space="preserve"> 47.307 </w:t>
            </w:r>
          </w:p>
        </w:tc>
        <w:tc>
          <w:tcPr>
            <w:tcW w:w="1172" w:type="dxa"/>
            <w:tcBorders>
              <w:top w:val="nil"/>
              <w:left w:val="nil"/>
              <w:bottom w:val="nil"/>
              <w:right w:val="single" w:sz="8" w:space="0" w:color="auto"/>
            </w:tcBorders>
            <w:shd w:val="clear" w:color="auto" w:fill="auto"/>
            <w:noWrap/>
            <w:vAlign w:val="bottom"/>
            <w:hideMark/>
          </w:tcPr>
          <w:p w14:paraId="36FB1F08"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nil"/>
              <w:right w:val="single" w:sz="8" w:space="0" w:color="auto"/>
            </w:tcBorders>
            <w:shd w:val="clear" w:color="auto" w:fill="auto"/>
            <w:noWrap/>
            <w:vAlign w:val="bottom"/>
            <w:hideMark/>
          </w:tcPr>
          <w:p w14:paraId="5AE23E36" w14:textId="77777777" w:rsidR="00341498" w:rsidRPr="00701F32" w:rsidRDefault="00341498">
            <w:pPr>
              <w:jc w:val="right"/>
              <w:rPr>
                <w:rFonts w:ascii="Arial" w:hAnsi="Arial" w:cs="Arial"/>
                <w:sz w:val="16"/>
              </w:rPr>
            </w:pPr>
            <w:r w:rsidRPr="00701F32">
              <w:rPr>
                <w:rFonts w:ascii="Arial" w:hAnsi="Arial" w:cs="Arial"/>
                <w:sz w:val="16"/>
              </w:rPr>
              <w:t xml:space="preserve"> 270.211 </w:t>
            </w:r>
          </w:p>
        </w:tc>
      </w:tr>
      <w:tr w:rsidR="00341498" w:rsidRPr="00701F32" w14:paraId="1F2506DB"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3489626D"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Otros gastos operativos </w:t>
            </w:r>
          </w:p>
        </w:tc>
        <w:tc>
          <w:tcPr>
            <w:tcW w:w="1466" w:type="dxa"/>
            <w:tcBorders>
              <w:top w:val="nil"/>
              <w:left w:val="nil"/>
              <w:bottom w:val="single" w:sz="8" w:space="0" w:color="auto"/>
              <w:right w:val="single" w:sz="8" w:space="0" w:color="auto"/>
            </w:tcBorders>
            <w:shd w:val="clear" w:color="auto" w:fill="auto"/>
            <w:noWrap/>
            <w:vAlign w:val="bottom"/>
            <w:hideMark/>
          </w:tcPr>
          <w:p w14:paraId="1591B2E3" w14:textId="77777777" w:rsidR="00341498" w:rsidRPr="00701F32" w:rsidRDefault="00341498">
            <w:pPr>
              <w:jc w:val="right"/>
              <w:rPr>
                <w:rFonts w:ascii="Arial" w:hAnsi="Arial" w:cs="Arial"/>
                <w:sz w:val="16"/>
              </w:rPr>
            </w:pPr>
            <w:r w:rsidRPr="00701F32">
              <w:rPr>
                <w:rFonts w:ascii="Arial" w:hAnsi="Arial" w:cs="Arial"/>
                <w:sz w:val="16"/>
              </w:rPr>
              <w:t xml:space="preserve"> 416.732 </w:t>
            </w:r>
          </w:p>
        </w:tc>
        <w:tc>
          <w:tcPr>
            <w:tcW w:w="1318" w:type="dxa"/>
            <w:tcBorders>
              <w:top w:val="nil"/>
              <w:left w:val="nil"/>
              <w:bottom w:val="single" w:sz="8" w:space="0" w:color="auto"/>
              <w:right w:val="single" w:sz="8" w:space="0" w:color="auto"/>
            </w:tcBorders>
            <w:shd w:val="clear" w:color="auto" w:fill="auto"/>
            <w:noWrap/>
            <w:vAlign w:val="bottom"/>
            <w:hideMark/>
          </w:tcPr>
          <w:p w14:paraId="1188664A" w14:textId="77777777" w:rsidR="00341498" w:rsidRPr="00701F32" w:rsidRDefault="00341498">
            <w:pPr>
              <w:jc w:val="right"/>
              <w:rPr>
                <w:rFonts w:ascii="Arial" w:hAnsi="Arial" w:cs="Arial"/>
                <w:sz w:val="16"/>
              </w:rPr>
            </w:pPr>
            <w:r w:rsidRPr="00701F32">
              <w:rPr>
                <w:rFonts w:ascii="Arial" w:hAnsi="Arial" w:cs="Arial"/>
                <w:sz w:val="16"/>
              </w:rPr>
              <w:t xml:space="preserve"> 1.598.732 </w:t>
            </w:r>
          </w:p>
        </w:tc>
        <w:tc>
          <w:tcPr>
            <w:tcW w:w="1465" w:type="dxa"/>
            <w:tcBorders>
              <w:top w:val="nil"/>
              <w:left w:val="nil"/>
              <w:bottom w:val="single" w:sz="8" w:space="0" w:color="auto"/>
              <w:right w:val="single" w:sz="8" w:space="0" w:color="auto"/>
            </w:tcBorders>
            <w:shd w:val="clear" w:color="auto" w:fill="auto"/>
            <w:noWrap/>
            <w:vAlign w:val="bottom"/>
            <w:hideMark/>
          </w:tcPr>
          <w:p w14:paraId="38C8E4B9" w14:textId="77777777" w:rsidR="00341498" w:rsidRPr="00701F32" w:rsidRDefault="00341498">
            <w:pPr>
              <w:jc w:val="right"/>
              <w:rPr>
                <w:rFonts w:ascii="Arial" w:hAnsi="Arial" w:cs="Arial"/>
                <w:sz w:val="16"/>
              </w:rPr>
            </w:pPr>
            <w:r w:rsidRPr="00701F32">
              <w:rPr>
                <w:rFonts w:ascii="Arial" w:hAnsi="Arial" w:cs="Arial"/>
                <w:sz w:val="16"/>
              </w:rPr>
              <w:t xml:space="preserve"> 142.703 </w:t>
            </w:r>
          </w:p>
        </w:tc>
        <w:tc>
          <w:tcPr>
            <w:tcW w:w="1172" w:type="dxa"/>
            <w:tcBorders>
              <w:top w:val="nil"/>
              <w:left w:val="nil"/>
              <w:bottom w:val="single" w:sz="8" w:space="0" w:color="auto"/>
              <w:right w:val="single" w:sz="8" w:space="0" w:color="auto"/>
            </w:tcBorders>
            <w:shd w:val="clear" w:color="auto" w:fill="auto"/>
            <w:noWrap/>
            <w:vAlign w:val="bottom"/>
            <w:hideMark/>
          </w:tcPr>
          <w:p w14:paraId="0DFB5DC2"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single" w:sz="8" w:space="0" w:color="auto"/>
              <w:right w:val="single" w:sz="8" w:space="0" w:color="auto"/>
            </w:tcBorders>
            <w:shd w:val="clear" w:color="auto" w:fill="auto"/>
            <w:noWrap/>
            <w:vAlign w:val="bottom"/>
            <w:hideMark/>
          </w:tcPr>
          <w:p w14:paraId="7F489910" w14:textId="77777777" w:rsidR="00341498" w:rsidRPr="00701F32" w:rsidRDefault="00341498">
            <w:pPr>
              <w:jc w:val="right"/>
              <w:rPr>
                <w:rFonts w:ascii="Arial" w:hAnsi="Arial" w:cs="Arial"/>
                <w:sz w:val="16"/>
              </w:rPr>
            </w:pPr>
            <w:r w:rsidRPr="00701F32">
              <w:rPr>
                <w:rFonts w:ascii="Arial" w:hAnsi="Arial" w:cs="Arial"/>
                <w:sz w:val="16"/>
              </w:rPr>
              <w:t xml:space="preserve"> 2.158.167 </w:t>
            </w:r>
          </w:p>
        </w:tc>
      </w:tr>
      <w:tr w:rsidR="00341498" w:rsidRPr="00701F32" w14:paraId="04A1772D"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6A84C5C4"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operativo </w:t>
            </w:r>
          </w:p>
        </w:tc>
        <w:tc>
          <w:tcPr>
            <w:tcW w:w="1466" w:type="dxa"/>
            <w:tcBorders>
              <w:top w:val="nil"/>
              <w:left w:val="nil"/>
              <w:bottom w:val="single" w:sz="8" w:space="0" w:color="auto"/>
              <w:right w:val="single" w:sz="8" w:space="0" w:color="auto"/>
            </w:tcBorders>
            <w:shd w:val="clear" w:color="auto" w:fill="auto"/>
            <w:noWrap/>
            <w:vAlign w:val="bottom"/>
            <w:hideMark/>
          </w:tcPr>
          <w:p w14:paraId="02A3D19D" w14:textId="77777777" w:rsidR="00341498" w:rsidRPr="00701F32" w:rsidRDefault="00341498">
            <w:pPr>
              <w:jc w:val="right"/>
              <w:rPr>
                <w:rFonts w:ascii="Arial" w:hAnsi="Arial" w:cs="Arial"/>
                <w:sz w:val="16"/>
              </w:rPr>
            </w:pPr>
            <w:r w:rsidRPr="00701F32">
              <w:rPr>
                <w:rFonts w:ascii="Arial" w:hAnsi="Arial" w:cs="Arial"/>
                <w:sz w:val="16"/>
              </w:rPr>
              <w:t xml:space="preserve"> 253.283 </w:t>
            </w:r>
          </w:p>
        </w:tc>
        <w:tc>
          <w:tcPr>
            <w:tcW w:w="1318" w:type="dxa"/>
            <w:tcBorders>
              <w:top w:val="nil"/>
              <w:left w:val="nil"/>
              <w:bottom w:val="single" w:sz="8" w:space="0" w:color="auto"/>
              <w:right w:val="single" w:sz="8" w:space="0" w:color="auto"/>
            </w:tcBorders>
            <w:shd w:val="clear" w:color="auto" w:fill="auto"/>
            <w:noWrap/>
            <w:vAlign w:val="bottom"/>
            <w:hideMark/>
          </w:tcPr>
          <w:p w14:paraId="61AD2C9B" w14:textId="77777777" w:rsidR="00341498" w:rsidRPr="00701F32" w:rsidRDefault="00341498">
            <w:pPr>
              <w:jc w:val="right"/>
              <w:rPr>
                <w:rFonts w:ascii="Arial" w:hAnsi="Arial" w:cs="Arial"/>
                <w:sz w:val="16"/>
              </w:rPr>
            </w:pPr>
            <w:r w:rsidRPr="00701F32">
              <w:rPr>
                <w:rFonts w:ascii="Arial" w:hAnsi="Arial" w:cs="Arial"/>
                <w:sz w:val="16"/>
              </w:rPr>
              <w:t xml:space="preserve"> 206.647 </w:t>
            </w:r>
          </w:p>
        </w:tc>
        <w:tc>
          <w:tcPr>
            <w:tcW w:w="1465" w:type="dxa"/>
            <w:tcBorders>
              <w:top w:val="nil"/>
              <w:left w:val="nil"/>
              <w:bottom w:val="single" w:sz="8" w:space="0" w:color="auto"/>
              <w:right w:val="single" w:sz="8" w:space="0" w:color="auto"/>
            </w:tcBorders>
            <w:shd w:val="clear" w:color="auto" w:fill="auto"/>
            <w:noWrap/>
            <w:vAlign w:val="bottom"/>
            <w:hideMark/>
          </w:tcPr>
          <w:p w14:paraId="4B951578" w14:textId="77777777" w:rsidR="00341498" w:rsidRPr="00701F32" w:rsidRDefault="00341498">
            <w:pPr>
              <w:jc w:val="right"/>
              <w:rPr>
                <w:rFonts w:ascii="Arial" w:hAnsi="Arial" w:cs="Arial"/>
                <w:sz w:val="16"/>
              </w:rPr>
            </w:pPr>
            <w:r w:rsidRPr="00701F32">
              <w:rPr>
                <w:rFonts w:ascii="Arial" w:hAnsi="Arial" w:cs="Arial"/>
                <w:sz w:val="16"/>
              </w:rPr>
              <w:t xml:space="preserve"> 580.615 </w:t>
            </w:r>
          </w:p>
        </w:tc>
        <w:tc>
          <w:tcPr>
            <w:tcW w:w="1172" w:type="dxa"/>
            <w:tcBorders>
              <w:top w:val="nil"/>
              <w:left w:val="nil"/>
              <w:bottom w:val="single" w:sz="8" w:space="0" w:color="auto"/>
              <w:right w:val="single" w:sz="8" w:space="0" w:color="auto"/>
            </w:tcBorders>
            <w:shd w:val="clear" w:color="auto" w:fill="auto"/>
            <w:noWrap/>
            <w:vAlign w:val="bottom"/>
            <w:hideMark/>
          </w:tcPr>
          <w:p w14:paraId="3165814C" w14:textId="77777777" w:rsidR="00341498" w:rsidRPr="00701F32" w:rsidRDefault="00341498">
            <w:pPr>
              <w:jc w:val="right"/>
              <w:rPr>
                <w:rFonts w:ascii="Arial" w:hAnsi="Arial" w:cs="Arial"/>
                <w:b/>
                <w:sz w:val="16"/>
              </w:rPr>
            </w:pPr>
            <w:r w:rsidRPr="00701F32">
              <w:rPr>
                <w:rFonts w:ascii="Arial" w:hAnsi="Arial" w:cs="Arial"/>
                <w:b/>
                <w:sz w:val="16"/>
              </w:rPr>
              <w:t xml:space="preserve">- </w:t>
            </w:r>
          </w:p>
        </w:tc>
        <w:tc>
          <w:tcPr>
            <w:tcW w:w="1612" w:type="dxa"/>
            <w:tcBorders>
              <w:top w:val="nil"/>
              <w:left w:val="nil"/>
              <w:bottom w:val="single" w:sz="8" w:space="0" w:color="auto"/>
              <w:right w:val="single" w:sz="8" w:space="0" w:color="auto"/>
            </w:tcBorders>
            <w:shd w:val="clear" w:color="auto" w:fill="auto"/>
            <w:noWrap/>
            <w:vAlign w:val="bottom"/>
            <w:hideMark/>
          </w:tcPr>
          <w:p w14:paraId="1E1E1F3F" w14:textId="77777777" w:rsidR="00341498" w:rsidRPr="00701F32" w:rsidRDefault="00341498">
            <w:pPr>
              <w:jc w:val="right"/>
              <w:rPr>
                <w:rFonts w:ascii="Arial" w:hAnsi="Arial" w:cs="Arial"/>
                <w:sz w:val="16"/>
              </w:rPr>
            </w:pPr>
            <w:r w:rsidRPr="00701F32">
              <w:rPr>
                <w:rFonts w:ascii="Arial" w:hAnsi="Arial" w:cs="Arial"/>
                <w:sz w:val="16"/>
              </w:rPr>
              <w:t xml:space="preserve"> 1.040.545 </w:t>
            </w:r>
          </w:p>
        </w:tc>
      </w:tr>
      <w:tr w:rsidR="00341498" w:rsidRPr="00701F32" w14:paraId="7ECB3202"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4165B12B"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Resultado por asociadas y negocios conjuntos </w:t>
            </w:r>
          </w:p>
        </w:tc>
        <w:tc>
          <w:tcPr>
            <w:tcW w:w="1466" w:type="dxa"/>
            <w:tcBorders>
              <w:top w:val="nil"/>
              <w:left w:val="nil"/>
              <w:bottom w:val="single" w:sz="8" w:space="0" w:color="auto"/>
              <w:right w:val="single" w:sz="8" w:space="0" w:color="auto"/>
            </w:tcBorders>
            <w:shd w:val="clear" w:color="auto" w:fill="auto"/>
            <w:noWrap/>
            <w:vAlign w:val="bottom"/>
          </w:tcPr>
          <w:p w14:paraId="754AA4D2"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318" w:type="dxa"/>
            <w:tcBorders>
              <w:top w:val="nil"/>
              <w:left w:val="nil"/>
              <w:bottom w:val="single" w:sz="8" w:space="0" w:color="auto"/>
              <w:right w:val="single" w:sz="8" w:space="0" w:color="auto"/>
            </w:tcBorders>
            <w:shd w:val="clear" w:color="auto" w:fill="auto"/>
            <w:noWrap/>
            <w:vAlign w:val="bottom"/>
          </w:tcPr>
          <w:p w14:paraId="4BA20333"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465" w:type="dxa"/>
            <w:tcBorders>
              <w:top w:val="nil"/>
              <w:left w:val="nil"/>
              <w:bottom w:val="single" w:sz="8" w:space="0" w:color="auto"/>
              <w:right w:val="single" w:sz="8" w:space="0" w:color="auto"/>
            </w:tcBorders>
            <w:shd w:val="clear" w:color="auto" w:fill="auto"/>
            <w:noWrap/>
            <w:vAlign w:val="bottom"/>
          </w:tcPr>
          <w:p w14:paraId="21619F8F"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172" w:type="dxa"/>
            <w:tcBorders>
              <w:top w:val="nil"/>
              <w:left w:val="nil"/>
              <w:bottom w:val="single" w:sz="8" w:space="0" w:color="auto"/>
              <w:right w:val="single" w:sz="8" w:space="0" w:color="auto"/>
            </w:tcBorders>
            <w:shd w:val="clear" w:color="auto" w:fill="auto"/>
            <w:noWrap/>
            <w:vAlign w:val="bottom"/>
          </w:tcPr>
          <w:p w14:paraId="3932F73C" w14:textId="77777777" w:rsidR="00341498" w:rsidRPr="00701F32" w:rsidRDefault="00341498">
            <w:pPr>
              <w:jc w:val="right"/>
              <w:rPr>
                <w:rFonts w:ascii="Arial" w:hAnsi="Arial" w:cs="Arial"/>
                <w:sz w:val="16"/>
              </w:rPr>
            </w:pPr>
            <w:r w:rsidRPr="00701F32">
              <w:rPr>
                <w:rFonts w:ascii="Arial" w:hAnsi="Arial" w:cs="Arial"/>
                <w:sz w:val="16"/>
              </w:rPr>
              <w:t>108.278</w:t>
            </w:r>
          </w:p>
        </w:tc>
        <w:tc>
          <w:tcPr>
            <w:tcW w:w="1612" w:type="dxa"/>
            <w:tcBorders>
              <w:top w:val="nil"/>
              <w:left w:val="nil"/>
              <w:bottom w:val="single" w:sz="8" w:space="0" w:color="auto"/>
              <w:right w:val="single" w:sz="8" w:space="0" w:color="auto"/>
            </w:tcBorders>
            <w:shd w:val="clear" w:color="auto" w:fill="auto"/>
            <w:noWrap/>
            <w:vAlign w:val="bottom"/>
          </w:tcPr>
          <w:p w14:paraId="73437ACE" w14:textId="77777777" w:rsidR="00341498" w:rsidRPr="00701F32" w:rsidRDefault="00341498">
            <w:pPr>
              <w:jc w:val="right"/>
              <w:rPr>
                <w:rFonts w:ascii="Arial" w:hAnsi="Arial" w:cs="Arial"/>
                <w:sz w:val="16"/>
              </w:rPr>
            </w:pPr>
            <w:r w:rsidRPr="00701F32">
              <w:rPr>
                <w:rFonts w:ascii="Arial" w:hAnsi="Arial" w:cs="Arial"/>
                <w:sz w:val="16"/>
              </w:rPr>
              <w:t xml:space="preserve"> 108.278 </w:t>
            </w:r>
          </w:p>
        </w:tc>
      </w:tr>
      <w:tr w:rsidR="00341498" w:rsidRPr="00701F32" w14:paraId="2BEF5422" w14:textId="77777777" w:rsidTr="00E311C9">
        <w:trPr>
          <w:trHeight w:val="214"/>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544A7C9F" w14:textId="77777777" w:rsidR="00341498" w:rsidRPr="00701F32" w:rsidRDefault="00341498" w:rsidP="00341498">
            <w:pPr>
              <w:ind w:left="20"/>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antes de impuesto de las actividades que continúan </w:t>
            </w:r>
          </w:p>
        </w:tc>
        <w:tc>
          <w:tcPr>
            <w:tcW w:w="1466" w:type="dxa"/>
            <w:tcBorders>
              <w:top w:val="nil"/>
              <w:left w:val="nil"/>
              <w:bottom w:val="single" w:sz="8" w:space="0" w:color="auto"/>
              <w:right w:val="single" w:sz="8" w:space="0" w:color="auto"/>
            </w:tcBorders>
            <w:shd w:val="clear" w:color="auto" w:fill="auto"/>
            <w:noWrap/>
            <w:vAlign w:val="bottom"/>
            <w:hideMark/>
          </w:tcPr>
          <w:p w14:paraId="489BD061" w14:textId="77777777" w:rsidR="00341498" w:rsidRPr="00701F32" w:rsidRDefault="00341498">
            <w:pPr>
              <w:jc w:val="right"/>
              <w:rPr>
                <w:rFonts w:ascii="Arial" w:hAnsi="Arial" w:cs="Arial"/>
                <w:b/>
                <w:sz w:val="16"/>
              </w:rPr>
            </w:pPr>
            <w:r w:rsidRPr="00701F32">
              <w:rPr>
                <w:rFonts w:ascii="Arial" w:hAnsi="Arial" w:cs="Arial"/>
                <w:b/>
                <w:sz w:val="16"/>
              </w:rPr>
              <w:t xml:space="preserve"> 253.283 </w:t>
            </w:r>
          </w:p>
        </w:tc>
        <w:tc>
          <w:tcPr>
            <w:tcW w:w="1318" w:type="dxa"/>
            <w:tcBorders>
              <w:top w:val="nil"/>
              <w:left w:val="nil"/>
              <w:bottom w:val="single" w:sz="8" w:space="0" w:color="auto"/>
              <w:right w:val="single" w:sz="8" w:space="0" w:color="auto"/>
            </w:tcBorders>
            <w:shd w:val="clear" w:color="auto" w:fill="auto"/>
            <w:noWrap/>
            <w:vAlign w:val="bottom"/>
            <w:hideMark/>
          </w:tcPr>
          <w:p w14:paraId="1C95F34E" w14:textId="77777777" w:rsidR="00341498" w:rsidRPr="00701F32" w:rsidRDefault="00341498">
            <w:pPr>
              <w:jc w:val="right"/>
              <w:rPr>
                <w:rFonts w:ascii="Arial" w:hAnsi="Arial" w:cs="Arial"/>
                <w:b/>
                <w:sz w:val="16"/>
              </w:rPr>
            </w:pPr>
            <w:r w:rsidRPr="00701F32">
              <w:rPr>
                <w:rFonts w:ascii="Arial" w:hAnsi="Arial" w:cs="Arial"/>
                <w:b/>
                <w:sz w:val="16"/>
              </w:rPr>
              <w:t xml:space="preserve"> 206.647 </w:t>
            </w:r>
          </w:p>
        </w:tc>
        <w:tc>
          <w:tcPr>
            <w:tcW w:w="1465" w:type="dxa"/>
            <w:tcBorders>
              <w:top w:val="nil"/>
              <w:left w:val="nil"/>
              <w:bottom w:val="single" w:sz="8" w:space="0" w:color="auto"/>
              <w:right w:val="single" w:sz="8" w:space="0" w:color="auto"/>
            </w:tcBorders>
            <w:shd w:val="clear" w:color="auto" w:fill="auto"/>
            <w:noWrap/>
            <w:vAlign w:val="bottom"/>
            <w:hideMark/>
          </w:tcPr>
          <w:p w14:paraId="3FA3B78D" w14:textId="77777777" w:rsidR="00341498" w:rsidRPr="00701F32" w:rsidRDefault="00341498">
            <w:pPr>
              <w:jc w:val="right"/>
              <w:rPr>
                <w:rFonts w:ascii="Arial" w:hAnsi="Arial" w:cs="Arial"/>
                <w:b/>
                <w:sz w:val="16"/>
              </w:rPr>
            </w:pPr>
            <w:r w:rsidRPr="00701F32">
              <w:rPr>
                <w:rFonts w:ascii="Arial" w:hAnsi="Arial" w:cs="Arial"/>
                <w:b/>
                <w:sz w:val="16"/>
              </w:rPr>
              <w:t xml:space="preserve"> 580.615 </w:t>
            </w:r>
          </w:p>
        </w:tc>
        <w:tc>
          <w:tcPr>
            <w:tcW w:w="1172" w:type="dxa"/>
            <w:tcBorders>
              <w:top w:val="nil"/>
              <w:left w:val="nil"/>
              <w:bottom w:val="single" w:sz="8" w:space="0" w:color="auto"/>
              <w:right w:val="single" w:sz="8" w:space="0" w:color="auto"/>
            </w:tcBorders>
            <w:shd w:val="clear" w:color="auto" w:fill="auto"/>
            <w:noWrap/>
            <w:vAlign w:val="bottom"/>
            <w:hideMark/>
          </w:tcPr>
          <w:p w14:paraId="06C56941" w14:textId="77777777" w:rsidR="00341498" w:rsidRPr="00701F32" w:rsidRDefault="00341498">
            <w:pPr>
              <w:jc w:val="right"/>
              <w:rPr>
                <w:rFonts w:ascii="Arial" w:hAnsi="Arial" w:cs="Arial"/>
                <w:b/>
                <w:sz w:val="16"/>
              </w:rPr>
            </w:pPr>
            <w:r w:rsidRPr="00701F32">
              <w:rPr>
                <w:rFonts w:ascii="Arial" w:hAnsi="Arial" w:cs="Arial"/>
                <w:b/>
                <w:sz w:val="16"/>
              </w:rPr>
              <w:t xml:space="preserve">  108.278</w:t>
            </w:r>
          </w:p>
        </w:tc>
        <w:tc>
          <w:tcPr>
            <w:tcW w:w="1612" w:type="dxa"/>
            <w:tcBorders>
              <w:top w:val="nil"/>
              <w:left w:val="nil"/>
              <w:bottom w:val="single" w:sz="8" w:space="0" w:color="auto"/>
              <w:right w:val="single" w:sz="8" w:space="0" w:color="auto"/>
            </w:tcBorders>
            <w:shd w:val="clear" w:color="auto" w:fill="auto"/>
            <w:noWrap/>
            <w:vAlign w:val="bottom"/>
            <w:hideMark/>
          </w:tcPr>
          <w:p w14:paraId="5E638B99" w14:textId="77777777" w:rsidR="00341498" w:rsidRPr="00701F32" w:rsidRDefault="00341498">
            <w:pPr>
              <w:jc w:val="right"/>
              <w:rPr>
                <w:rFonts w:ascii="Arial" w:hAnsi="Arial" w:cs="Arial"/>
                <w:b/>
                <w:sz w:val="16"/>
              </w:rPr>
            </w:pPr>
            <w:r w:rsidRPr="00701F32">
              <w:rPr>
                <w:rFonts w:ascii="Arial" w:hAnsi="Arial" w:cs="Arial"/>
                <w:b/>
                <w:sz w:val="16"/>
              </w:rPr>
              <w:t xml:space="preserve"> 1.148.823 </w:t>
            </w:r>
          </w:p>
        </w:tc>
      </w:tr>
      <w:tr w:rsidR="00341498" w:rsidRPr="00701F32" w14:paraId="78CD3565" w14:textId="77777777" w:rsidTr="00E311C9">
        <w:trPr>
          <w:trHeight w:val="55"/>
        </w:trPr>
        <w:tc>
          <w:tcPr>
            <w:tcW w:w="4052" w:type="dxa"/>
            <w:tcBorders>
              <w:top w:val="nil"/>
              <w:left w:val="single" w:sz="8" w:space="0" w:color="auto"/>
              <w:bottom w:val="single" w:sz="4" w:space="0" w:color="auto"/>
              <w:right w:val="single" w:sz="8" w:space="0" w:color="auto"/>
            </w:tcBorders>
            <w:shd w:val="clear" w:color="auto" w:fill="auto"/>
            <w:noWrap/>
            <w:vAlign w:val="center"/>
            <w:hideMark/>
          </w:tcPr>
          <w:p w14:paraId="177B773E" w14:textId="77777777" w:rsidR="00341498" w:rsidRPr="00701F32" w:rsidRDefault="00341498" w:rsidP="00341498">
            <w:pPr>
              <w:ind w:left="20"/>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Impuesto a las ganancias de las actividades que continúan </w:t>
            </w:r>
          </w:p>
        </w:tc>
        <w:tc>
          <w:tcPr>
            <w:tcW w:w="1466" w:type="dxa"/>
            <w:tcBorders>
              <w:top w:val="nil"/>
              <w:left w:val="nil"/>
              <w:bottom w:val="single" w:sz="4" w:space="0" w:color="auto"/>
              <w:right w:val="single" w:sz="8" w:space="0" w:color="auto"/>
            </w:tcBorders>
            <w:shd w:val="clear" w:color="auto" w:fill="auto"/>
            <w:noWrap/>
            <w:vAlign w:val="bottom"/>
            <w:hideMark/>
          </w:tcPr>
          <w:p w14:paraId="769A45A9" w14:textId="77777777" w:rsidR="00341498" w:rsidRPr="00701F32" w:rsidRDefault="00341498">
            <w:pPr>
              <w:jc w:val="right"/>
              <w:rPr>
                <w:rFonts w:ascii="Arial" w:hAnsi="Arial" w:cs="Arial"/>
                <w:sz w:val="16"/>
              </w:rPr>
            </w:pPr>
            <w:r w:rsidRPr="00701F32">
              <w:rPr>
                <w:rFonts w:ascii="Arial" w:hAnsi="Arial" w:cs="Arial"/>
                <w:sz w:val="16"/>
              </w:rPr>
              <w:t xml:space="preserve"> 83.549 </w:t>
            </w:r>
          </w:p>
        </w:tc>
        <w:tc>
          <w:tcPr>
            <w:tcW w:w="1318" w:type="dxa"/>
            <w:tcBorders>
              <w:top w:val="nil"/>
              <w:left w:val="nil"/>
              <w:bottom w:val="single" w:sz="4" w:space="0" w:color="auto"/>
              <w:right w:val="single" w:sz="8" w:space="0" w:color="auto"/>
            </w:tcBorders>
            <w:shd w:val="clear" w:color="auto" w:fill="auto"/>
            <w:noWrap/>
            <w:vAlign w:val="bottom"/>
            <w:hideMark/>
          </w:tcPr>
          <w:p w14:paraId="176F50D2" w14:textId="77777777" w:rsidR="00341498" w:rsidRPr="00701F32" w:rsidRDefault="00341498">
            <w:pPr>
              <w:jc w:val="right"/>
              <w:rPr>
                <w:rFonts w:ascii="Arial" w:hAnsi="Arial" w:cs="Arial"/>
                <w:sz w:val="16"/>
              </w:rPr>
            </w:pPr>
            <w:r w:rsidRPr="00701F32">
              <w:rPr>
                <w:rFonts w:ascii="Arial" w:hAnsi="Arial" w:cs="Arial"/>
                <w:sz w:val="16"/>
              </w:rPr>
              <w:t xml:space="preserve"> 49.892 </w:t>
            </w:r>
          </w:p>
        </w:tc>
        <w:tc>
          <w:tcPr>
            <w:tcW w:w="1465" w:type="dxa"/>
            <w:tcBorders>
              <w:top w:val="nil"/>
              <w:left w:val="nil"/>
              <w:bottom w:val="single" w:sz="4" w:space="0" w:color="auto"/>
              <w:right w:val="single" w:sz="8" w:space="0" w:color="auto"/>
            </w:tcBorders>
            <w:shd w:val="clear" w:color="auto" w:fill="auto"/>
            <w:noWrap/>
            <w:vAlign w:val="bottom"/>
            <w:hideMark/>
          </w:tcPr>
          <w:p w14:paraId="247C3579" w14:textId="77777777" w:rsidR="00341498" w:rsidRPr="00701F32" w:rsidRDefault="00341498">
            <w:pPr>
              <w:jc w:val="right"/>
              <w:rPr>
                <w:rFonts w:ascii="Arial" w:hAnsi="Arial" w:cs="Arial"/>
                <w:sz w:val="16"/>
              </w:rPr>
            </w:pPr>
            <w:r w:rsidRPr="00701F32">
              <w:rPr>
                <w:rFonts w:ascii="Arial" w:hAnsi="Arial" w:cs="Arial"/>
                <w:sz w:val="16"/>
              </w:rPr>
              <w:t xml:space="preserve"> 218.583 </w:t>
            </w:r>
          </w:p>
        </w:tc>
        <w:tc>
          <w:tcPr>
            <w:tcW w:w="1172" w:type="dxa"/>
            <w:tcBorders>
              <w:top w:val="nil"/>
              <w:left w:val="nil"/>
              <w:bottom w:val="single" w:sz="4" w:space="0" w:color="auto"/>
              <w:right w:val="single" w:sz="8" w:space="0" w:color="auto"/>
            </w:tcBorders>
            <w:shd w:val="clear" w:color="auto" w:fill="auto"/>
            <w:noWrap/>
            <w:vAlign w:val="bottom"/>
            <w:hideMark/>
          </w:tcPr>
          <w:p w14:paraId="4C1C2ABD"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single" w:sz="4" w:space="0" w:color="auto"/>
              <w:right w:val="single" w:sz="8" w:space="0" w:color="auto"/>
            </w:tcBorders>
            <w:shd w:val="clear" w:color="auto" w:fill="auto"/>
            <w:noWrap/>
            <w:vAlign w:val="bottom"/>
            <w:hideMark/>
          </w:tcPr>
          <w:p w14:paraId="6FA06EF2" w14:textId="77777777" w:rsidR="00341498" w:rsidRPr="00701F32" w:rsidRDefault="00341498">
            <w:pPr>
              <w:jc w:val="right"/>
              <w:rPr>
                <w:rFonts w:ascii="Arial" w:hAnsi="Arial" w:cs="Arial"/>
                <w:sz w:val="16"/>
              </w:rPr>
            </w:pPr>
            <w:r w:rsidRPr="00701F32">
              <w:rPr>
                <w:rFonts w:ascii="Arial" w:hAnsi="Arial" w:cs="Arial"/>
                <w:sz w:val="16"/>
              </w:rPr>
              <w:t xml:space="preserve"> 352.024 </w:t>
            </w:r>
          </w:p>
        </w:tc>
      </w:tr>
      <w:tr w:rsidR="00341498" w:rsidRPr="00701F32" w14:paraId="7B87DB3B" w14:textId="77777777" w:rsidTr="00E311C9">
        <w:trPr>
          <w:trHeight w:val="214"/>
        </w:trPr>
        <w:tc>
          <w:tcPr>
            <w:tcW w:w="405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3864AB7" w14:textId="77777777" w:rsidR="00341498" w:rsidRPr="00701F32" w:rsidRDefault="00341498" w:rsidP="00341498">
            <w:pPr>
              <w:ind w:left="20"/>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neto de las actividades que continúan </w:t>
            </w:r>
          </w:p>
        </w:tc>
        <w:tc>
          <w:tcPr>
            <w:tcW w:w="1466" w:type="dxa"/>
            <w:tcBorders>
              <w:top w:val="single" w:sz="4" w:space="0" w:color="auto"/>
              <w:left w:val="nil"/>
              <w:bottom w:val="single" w:sz="4" w:space="0" w:color="auto"/>
              <w:right w:val="single" w:sz="8" w:space="0" w:color="auto"/>
            </w:tcBorders>
            <w:shd w:val="clear" w:color="auto" w:fill="auto"/>
            <w:noWrap/>
            <w:vAlign w:val="bottom"/>
            <w:hideMark/>
          </w:tcPr>
          <w:p w14:paraId="01ED4565" w14:textId="77777777" w:rsidR="00341498" w:rsidRPr="00701F32" w:rsidRDefault="00341498">
            <w:pPr>
              <w:jc w:val="right"/>
              <w:rPr>
                <w:rFonts w:ascii="Arial" w:hAnsi="Arial" w:cs="Arial"/>
                <w:b/>
                <w:sz w:val="16"/>
              </w:rPr>
            </w:pPr>
            <w:r w:rsidRPr="00701F32">
              <w:rPr>
                <w:rFonts w:ascii="Arial" w:hAnsi="Arial" w:cs="Arial"/>
                <w:b/>
                <w:sz w:val="16"/>
              </w:rPr>
              <w:t xml:space="preserve"> 169.734 </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14:paraId="068BF15C" w14:textId="77777777" w:rsidR="00341498" w:rsidRPr="00701F32" w:rsidRDefault="00341498">
            <w:pPr>
              <w:jc w:val="right"/>
              <w:rPr>
                <w:rFonts w:ascii="Arial" w:hAnsi="Arial" w:cs="Arial"/>
                <w:b/>
                <w:sz w:val="16"/>
              </w:rPr>
            </w:pPr>
            <w:r w:rsidRPr="00701F32">
              <w:rPr>
                <w:rFonts w:ascii="Arial" w:hAnsi="Arial" w:cs="Arial"/>
                <w:b/>
                <w:sz w:val="16"/>
              </w:rPr>
              <w:t xml:space="preserve"> 156.755 </w:t>
            </w:r>
          </w:p>
        </w:tc>
        <w:tc>
          <w:tcPr>
            <w:tcW w:w="1465" w:type="dxa"/>
            <w:tcBorders>
              <w:top w:val="single" w:sz="4" w:space="0" w:color="auto"/>
              <w:left w:val="nil"/>
              <w:bottom w:val="single" w:sz="4" w:space="0" w:color="auto"/>
              <w:right w:val="single" w:sz="8" w:space="0" w:color="auto"/>
            </w:tcBorders>
            <w:shd w:val="clear" w:color="auto" w:fill="auto"/>
            <w:noWrap/>
            <w:vAlign w:val="bottom"/>
            <w:hideMark/>
          </w:tcPr>
          <w:p w14:paraId="41B71CB5" w14:textId="77777777" w:rsidR="00341498" w:rsidRPr="00701F32" w:rsidRDefault="00341498">
            <w:pPr>
              <w:jc w:val="right"/>
              <w:rPr>
                <w:rFonts w:ascii="Arial" w:hAnsi="Arial" w:cs="Arial"/>
                <w:b/>
                <w:sz w:val="16"/>
              </w:rPr>
            </w:pPr>
            <w:r w:rsidRPr="00701F32">
              <w:rPr>
                <w:rFonts w:ascii="Arial" w:hAnsi="Arial" w:cs="Arial"/>
                <w:b/>
                <w:sz w:val="16"/>
              </w:rPr>
              <w:t xml:space="preserve"> 362.032 </w:t>
            </w:r>
          </w:p>
        </w:tc>
        <w:tc>
          <w:tcPr>
            <w:tcW w:w="1172" w:type="dxa"/>
            <w:tcBorders>
              <w:top w:val="single" w:sz="4" w:space="0" w:color="auto"/>
              <w:left w:val="nil"/>
              <w:bottom w:val="single" w:sz="4" w:space="0" w:color="auto"/>
              <w:right w:val="single" w:sz="8" w:space="0" w:color="auto"/>
            </w:tcBorders>
            <w:shd w:val="clear" w:color="auto" w:fill="auto"/>
            <w:noWrap/>
            <w:vAlign w:val="bottom"/>
            <w:hideMark/>
          </w:tcPr>
          <w:p w14:paraId="28D524C3" w14:textId="77777777" w:rsidR="00341498" w:rsidRPr="00701F32" w:rsidRDefault="00341498">
            <w:pPr>
              <w:jc w:val="right"/>
              <w:rPr>
                <w:rFonts w:ascii="Arial" w:hAnsi="Arial" w:cs="Arial"/>
                <w:b/>
                <w:sz w:val="16"/>
              </w:rPr>
            </w:pPr>
            <w:r w:rsidRPr="00701F32">
              <w:rPr>
                <w:rFonts w:ascii="Arial" w:hAnsi="Arial" w:cs="Arial"/>
                <w:b/>
                <w:sz w:val="16"/>
              </w:rPr>
              <w:t>108.278</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14:paraId="13F00F4E" w14:textId="77777777" w:rsidR="00341498" w:rsidRPr="00701F32" w:rsidRDefault="00341498">
            <w:pPr>
              <w:jc w:val="right"/>
              <w:rPr>
                <w:rFonts w:ascii="Arial" w:hAnsi="Arial" w:cs="Arial"/>
                <w:b/>
                <w:sz w:val="16"/>
              </w:rPr>
            </w:pPr>
            <w:r w:rsidRPr="00701F32">
              <w:rPr>
                <w:rFonts w:ascii="Arial" w:hAnsi="Arial" w:cs="Arial"/>
                <w:b/>
                <w:sz w:val="16"/>
              </w:rPr>
              <w:t xml:space="preserve"> 796.799 </w:t>
            </w:r>
          </w:p>
        </w:tc>
      </w:tr>
      <w:tr w:rsidR="00341498" w:rsidRPr="00701F32" w14:paraId="22A883BB" w14:textId="77777777" w:rsidTr="00E311C9">
        <w:trPr>
          <w:trHeight w:val="64"/>
        </w:trPr>
        <w:tc>
          <w:tcPr>
            <w:tcW w:w="405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5F2539B"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 xml:space="preserve"> Resultado neto del periodo </w:t>
            </w:r>
          </w:p>
        </w:tc>
        <w:tc>
          <w:tcPr>
            <w:tcW w:w="1466" w:type="dxa"/>
            <w:tcBorders>
              <w:top w:val="single" w:sz="4" w:space="0" w:color="auto"/>
              <w:left w:val="nil"/>
              <w:bottom w:val="single" w:sz="8" w:space="0" w:color="auto"/>
              <w:right w:val="single" w:sz="8" w:space="0" w:color="auto"/>
            </w:tcBorders>
            <w:shd w:val="clear" w:color="auto" w:fill="auto"/>
            <w:noWrap/>
            <w:vAlign w:val="bottom"/>
            <w:hideMark/>
          </w:tcPr>
          <w:p w14:paraId="5C7E2DCF" w14:textId="77777777" w:rsidR="00341498" w:rsidRPr="00701F32" w:rsidRDefault="00341498">
            <w:pPr>
              <w:jc w:val="right"/>
              <w:rPr>
                <w:rFonts w:ascii="Arial" w:hAnsi="Arial" w:cs="Arial"/>
                <w:b/>
                <w:sz w:val="16"/>
              </w:rPr>
            </w:pPr>
            <w:r w:rsidRPr="00701F32">
              <w:rPr>
                <w:rFonts w:ascii="Arial" w:hAnsi="Arial" w:cs="Arial"/>
                <w:b/>
                <w:sz w:val="16"/>
              </w:rPr>
              <w:t xml:space="preserve"> 169.734 </w:t>
            </w:r>
          </w:p>
        </w:tc>
        <w:tc>
          <w:tcPr>
            <w:tcW w:w="1318" w:type="dxa"/>
            <w:tcBorders>
              <w:top w:val="single" w:sz="4" w:space="0" w:color="auto"/>
              <w:left w:val="nil"/>
              <w:bottom w:val="single" w:sz="8" w:space="0" w:color="auto"/>
              <w:right w:val="single" w:sz="8" w:space="0" w:color="auto"/>
            </w:tcBorders>
            <w:shd w:val="clear" w:color="auto" w:fill="auto"/>
            <w:noWrap/>
            <w:vAlign w:val="bottom"/>
            <w:hideMark/>
          </w:tcPr>
          <w:p w14:paraId="6FB0497E" w14:textId="77777777" w:rsidR="00341498" w:rsidRPr="00701F32" w:rsidRDefault="00341498">
            <w:pPr>
              <w:jc w:val="right"/>
              <w:rPr>
                <w:rFonts w:ascii="Arial" w:hAnsi="Arial" w:cs="Arial"/>
                <w:b/>
                <w:sz w:val="16"/>
              </w:rPr>
            </w:pPr>
            <w:r w:rsidRPr="00701F32">
              <w:rPr>
                <w:rFonts w:ascii="Arial" w:hAnsi="Arial" w:cs="Arial"/>
                <w:b/>
                <w:sz w:val="16"/>
              </w:rPr>
              <w:t xml:space="preserve"> 156.755 </w:t>
            </w:r>
          </w:p>
        </w:tc>
        <w:tc>
          <w:tcPr>
            <w:tcW w:w="1465" w:type="dxa"/>
            <w:tcBorders>
              <w:top w:val="single" w:sz="4" w:space="0" w:color="auto"/>
              <w:left w:val="nil"/>
              <w:bottom w:val="single" w:sz="8" w:space="0" w:color="auto"/>
              <w:right w:val="single" w:sz="8" w:space="0" w:color="auto"/>
            </w:tcBorders>
            <w:shd w:val="clear" w:color="auto" w:fill="auto"/>
            <w:noWrap/>
            <w:vAlign w:val="bottom"/>
            <w:hideMark/>
          </w:tcPr>
          <w:p w14:paraId="59006B2C" w14:textId="77777777" w:rsidR="00341498" w:rsidRPr="00701F32" w:rsidRDefault="00341498">
            <w:pPr>
              <w:jc w:val="right"/>
              <w:rPr>
                <w:rFonts w:ascii="Arial" w:hAnsi="Arial" w:cs="Arial"/>
                <w:b/>
                <w:sz w:val="16"/>
              </w:rPr>
            </w:pPr>
            <w:r w:rsidRPr="00701F32">
              <w:rPr>
                <w:rFonts w:ascii="Arial" w:hAnsi="Arial" w:cs="Arial"/>
                <w:b/>
                <w:sz w:val="16"/>
              </w:rPr>
              <w:t xml:space="preserve"> 362.032 </w:t>
            </w:r>
          </w:p>
        </w:tc>
        <w:tc>
          <w:tcPr>
            <w:tcW w:w="1172" w:type="dxa"/>
            <w:tcBorders>
              <w:top w:val="single" w:sz="4" w:space="0" w:color="auto"/>
              <w:left w:val="nil"/>
              <w:bottom w:val="single" w:sz="8" w:space="0" w:color="auto"/>
              <w:right w:val="single" w:sz="8" w:space="0" w:color="auto"/>
            </w:tcBorders>
            <w:shd w:val="clear" w:color="auto" w:fill="auto"/>
            <w:noWrap/>
            <w:vAlign w:val="bottom"/>
            <w:hideMark/>
          </w:tcPr>
          <w:p w14:paraId="001C4F54" w14:textId="77777777" w:rsidR="00341498" w:rsidRPr="00701F32" w:rsidRDefault="00341498">
            <w:pPr>
              <w:jc w:val="right"/>
              <w:rPr>
                <w:rFonts w:ascii="Arial" w:hAnsi="Arial" w:cs="Arial"/>
                <w:b/>
                <w:sz w:val="16"/>
              </w:rPr>
            </w:pPr>
            <w:r w:rsidRPr="00701F32">
              <w:rPr>
                <w:rFonts w:ascii="Arial" w:hAnsi="Arial" w:cs="Arial"/>
                <w:b/>
                <w:sz w:val="16"/>
              </w:rPr>
              <w:t>108.278</w:t>
            </w:r>
          </w:p>
        </w:tc>
        <w:tc>
          <w:tcPr>
            <w:tcW w:w="1612" w:type="dxa"/>
            <w:tcBorders>
              <w:top w:val="single" w:sz="4" w:space="0" w:color="auto"/>
              <w:left w:val="nil"/>
              <w:bottom w:val="single" w:sz="8" w:space="0" w:color="auto"/>
              <w:right w:val="single" w:sz="8" w:space="0" w:color="auto"/>
            </w:tcBorders>
            <w:shd w:val="clear" w:color="auto" w:fill="auto"/>
            <w:noWrap/>
            <w:vAlign w:val="bottom"/>
            <w:hideMark/>
          </w:tcPr>
          <w:p w14:paraId="591C02E9" w14:textId="77777777" w:rsidR="00341498" w:rsidRPr="00701F32" w:rsidRDefault="00341498">
            <w:pPr>
              <w:jc w:val="right"/>
              <w:rPr>
                <w:rFonts w:ascii="Arial" w:hAnsi="Arial" w:cs="Arial"/>
                <w:b/>
                <w:sz w:val="16"/>
              </w:rPr>
            </w:pPr>
            <w:r w:rsidRPr="00701F32">
              <w:rPr>
                <w:rFonts w:ascii="Arial" w:hAnsi="Arial" w:cs="Arial"/>
                <w:b/>
                <w:sz w:val="16"/>
              </w:rPr>
              <w:t xml:space="preserve"> 796.799 </w:t>
            </w:r>
          </w:p>
        </w:tc>
      </w:tr>
      <w:tr w:rsidR="00341498" w:rsidRPr="00701F32" w14:paraId="20A437DA" w14:textId="77777777" w:rsidTr="00E311C9">
        <w:trPr>
          <w:trHeight w:val="145"/>
        </w:trPr>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35D2720E" w14:textId="77777777" w:rsidR="00341498" w:rsidRPr="00701F32" w:rsidRDefault="00341498" w:rsidP="00341498">
            <w:pPr>
              <w:ind w:left="497" w:hanging="497"/>
              <w:jc w:val="both"/>
              <w:rPr>
                <w:rFonts w:ascii="Arial" w:hAnsi="Arial" w:cs="Arial"/>
                <w:color w:val="000000"/>
                <w:sz w:val="18"/>
                <w:szCs w:val="18"/>
                <w:lang w:eastAsia="es-AR"/>
              </w:rPr>
            </w:pPr>
            <w:r w:rsidRPr="00701F32">
              <w:rPr>
                <w:rFonts w:ascii="Arial" w:hAnsi="Arial" w:cs="Arial"/>
                <w:color w:val="000000"/>
                <w:sz w:val="18"/>
                <w:szCs w:val="18"/>
                <w:lang w:eastAsia="es-AR"/>
              </w:rPr>
              <w:t xml:space="preserve"> ORI </w:t>
            </w:r>
          </w:p>
        </w:tc>
        <w:tc>
          <w:tcPr>
            <w:tcW w:w="1466" w:type="dxa"/>
            <w:tcBorders>
              <w:top w:val="nil"/>
              <w:left w:val="nil"/>
              <w:bottom w:val="single" w:sz="8" w:space="0" w:color="auto"/>
              <w:right w:val="single" w:sz="8" w:space="0" w:color="auto"/>
            </w:tcBorders>
            <w:shd w:val="clear" w:color="auto" w:fill="auto"/>
            <w:noWrap/>
            <w:vAlign w:val="bottom"/>
            <w:hideMark/>
          </w:tcPr>
          <w:p w14:paraId="656E43BF" w14:textId="77777777" w:rsidR="00341498" w:rsidRPr="00701F32" w:rsidRDefault="00341498">
            <w:pPr>
              <w:jc w:val="right"/>
              <w:rPr>
                <w:rFonts w:ascii="Arial" w:hAnsi="Arial" w:cs="Arial"/>
                <w:sz w:val="16"/>
              </w:rPr>
            </w:pPr>
            <w:r w:rsidRPr="00701F32">
              <w:rPr>
                <w:rFonts w:ascii="Arial" w:hAnsi="Arial" w:cs="Arial"/>
                <w:sz w:val="16"/>
              </w:rPr>
              <w:t xml:space="preserve"> 30.846 </w:t>
            </w:r>
          </w:p>
        </w:tc>
        <w:tc>
          <w:tcPr>
            <w:tcW w:w="1318" w:type="dxa"/>
            <w:tcBorders>
              <w:top w:val="nil"/>
              <w:left w:val="nil"/>
              <w:bottom w:val="single" w:sz="8" w:space="0" w:color="auto"/>
              <w:right w:val="single" w:sz="8" w:space="0" w:color="auto"/>
            </w:tcBorders>
            <w:shd w:val="clear" w:color="auto" w:fill="auto"/>
            <w:noWrap/>
            <w:vAlign w:val="bottom"/>
            <w:hideMark/>
          </w:tcPr>
          <w:p w14:paraId="5229ED39" w14:textId="77777777" w:rsidR="00341498" w:rsidRPr="00701F32" w:rsidRDefault="00341498">
            <w:pPr>
              <w:jc w:val="right"/>
              <w:rPr>
                <w:rFonts w:ascii="Arial" w:hAnsi="Arial" w:cs="Arial"/>
                <w:sz w:val="16"/>
              </w:rPr>
            </w:pPr>
            <w:r w:rsidRPr="00701F32">
              <w:rPr>
                <w:rFonts w:ascii="Arial" w:hAnsi="Arial" w:cs="Arial"/>
                <w:sz w:val="16"/>
              </w:rPr>
              <w:t xml:space="preserve"> 27.401 </w:t>
            </w:r>
          </w:p>
        </w:tc>
        <w:tc>
          <w:tcPr>
            <w:tcW w:w="1465" w:type="dxa"/>
            <w:tcBorders>
              <w:top w:val="nil"/>
              <w:left w:val="nil"/>
              <w:bottom w:val="single" w:sz="8" w:space="0" w:color="auto"/>
              <w:right w:val="single" w:sz="8" w:space="0" w:color="auto"/>
            </w:tcBorders>
            <w:shd w:val="clear" w:color="auto" w:fill="auto"/>
            <w:noWrap/>
            <w:vAlign w:val="bottom"/>
            <w:hideMark/>
          </w:tcPr>
          <w:p w14:paraId="2D7E80B2" w14:textId="77777777" w:rsidR="00341498" w:rsidRPr="00701F32" w:rsidRDefault="00341498">
            <w:pPr>
              <w:jc w:val="right"/>
              <w:rPr>
                <w:rFonts w:ascii="Arial" w:hAnsi="Arial" w:cs="Arial"/>
                <w:sz w:val="16"/>
              </w:rPr>
            </w:pPr>
            <w:r w:rsidRPr="00701F32">
              <w:rPr>
                <w:rFonts w:ascii="Arial" w:hAnsi="Arial" w:cs="Arial"/>
                <w:sz w:val="16"/>
              </w:rPr>
              <w:t xml:space="preserve"> 11.314 </w:t>
            </w:r>
          </w:p>
        </w:tc>
        <w:tc>
          <w:tcPr>
            <w:tcW w:w="1172" w:type="dxa"/>
            <w:tcBorders>
              <w:top w:val="nil"/>
              <w:left w:val="nil"/>
              <w:bottom w:val="single" w:sz="8" w:space="0" w:color="auto"/>
              <w:right w:val="single" w:sz="8" w:space="0" w:color="auto"/>
            </w:tcBorders>
            <w:shd w:val="clear" w:color="auto" w:fill="auto"/>
            <w:noWrap/>
            <w:vAlign w:val="bottom"/>
            <w:hideMark/>
          </w:tcPr>
          <w:p w14:paraId="691BF019" w14:textId="77777777" w:rsidR="00341498" w:rsidRPr="00701F32" w:rsidRDefault="00341498">
            <w:pPr>
              <w:jc w:val="right"/>
              <w:rPr>
                <w:rFonts w:ascii="Arial" w:hAnsi="Arial" w:cs="Arial"/>
                <w:sz w:val="16"/>
              </w:rPr>
            </w:pPr>
            <w:r w:rsidRPr="00701F32">
              <w:rPr>
                <w:rFonts w:ascii="Arial" w:hAnsi="Arial" w:cs="Arial"/>
                <w:sz w:val="16"/>
              </w:rPr>
              <w:t xml:space="preserve"> -   </w:t>
            </w:r>
          </w:p>
        </w:tc>
        <w:tc>
          <w:tcPr>
            <w:tcW w:w="1612" w:type="dxa"/>
            <w:tcBorders>
              <w:top w:val="nil"/>
              <w:left w:val="nil"/>
              <w:bottom w:val="single" w:sz="8" w:space="0" w:color="auto"/>
              <w:right w:val="single" w:sz="8" w:space="0" w:color="auto"/>
            </w:tcBorders>
            <w:shd w:val="clear" w:color="auto" w:fill="auto"/>
            <w:noWrap/>
            <w:vAlign w:val="bottom"/>
            <w:hideMark/>
          </w:tcPr>
          <w:p w14:paraId="6FD6DB33" w14:textId="77777777" w:rsidR="00341498" w:rsidRPr="00701F32" w:rsidRDefault="00341498">
            <w:pPr>
              <w:jc w:val="right"/>
              <w:rPr>
                <w:rFonts w:ascii="Arial" w:hAnsi="Arial" w:cs="Arial"/>
                <w:sz w:val="16"/>
              </w:rPr>
            </w:pPr>
            <w:r w:rsidRPr="00701F32">
              <w:rPr>
                <w:rFonts w:ascii="Arial" w:hAnsi="Arial" w:cs="Arial"/>
                <w:sz w:val="16"/>
              </w:rPr>
              <w:t xml:space="preserve"> 69.561 </w:t>
            </w:r>
          </w:p>
        </w:tc>
      </w:tr>
      <w:tr w:rsidR="00341498" w:rsidRPr="00701F32" w14:paraId="1A66C7D4" w14:textId="77777777" w:rsidTr="00E311C9">
        <w:trPr>
          <w:trHeight w:val="43"/>
        </w:trPr>
        <w:tc>
          <w:tcPr>
            <w:tcW w:w="4052" w:type="dxa"/>
            <w:tcBorders>
              <w:top w:val="nil"/>
              <w:left w:val="single" w:sz="8" w:space="0" w:color="auto"/>
              <w:bottom w:val="single" w:sz="8" w:space="0" w:color="auto"/>
              <w:right w:val="single" w:sz="8" w:space="0" w:color="auto"/>
            </w:tcBorders>
            <w:shd w:val="clear" w:color="auto" w:fill="auto"/>
            <w:noWrap/>
            <w:vAlign w:val="center"/>
          </w:tcPr>
          <w:p w14:paraId="56FF77A4" w14:textId="77777777" w:rsidR="00341498" w:rsidRPr="00701F32" w:rsidRDefault="00341498" w:rsidP="00341498">
            <w:pPr>
              <w:ind w:left="497" w:hanging="497"/>
              <w:jc w:val="both"/>
              <w:rPr>
                <w:rFonts w:ascii="Arial" w:hAnsi="Arial" w:cs="Arial"/>
                <w:b/>
                <w:bCs/>
                <w:color w:val="000000"/>
                <w:sz w:val="18"/>
                <w:szCs w:val="18"/>
                <w:lang w:eastAsia="es-AR"/>
              </w:rPr>
            </w:pPr>
            <w:r w:rsidRPr="00701F32">
              <w:rPr>
                <w:rFonts w:ascii="Arial" w:hAnsi="Arial" w:cs="Arial"/>
                <w:b/>
                <w:bCs/>
                <w:color w:val="000000"/>
                <w:sz w:val="18"/>
                <w:szCs w:val="18"/>
                <w:lang w:eastAsia="es-AR"/>
              </w:rPr>
              <w:t>Resultado Integral del periodo</w:t>
            </w:r>
          </w:p>
        </w:tc>
        <w:tc>
          <w:tcPr>
            <w:tcW w:w="1466" w:type="dxa"/>
            <w:tcBorders>
              <w:top w:val="nil"/>
              <w:left w:val="nil"/>
              <w:bottom w:val="single" w:sz="8" w:space="0" w:color="auto"/>
              <w:right w:val="single" w:sz="8" w:space="0" w:color="auto"/>
            </w:tcBorders>
            <w:shd w:val="clear" w:color="auto" w:fill="auto"/>
            <w:noWrap/>
            <w:vAlign w:val="bottom"/>
          </w:tcPr>
          <w:p w14:paraId="219DB96E" w14:textId="77777777" w:rsidR="00341498" w:rsidRPr="00701F32" w:rsidRDefault="00341498">
            <w:pPr>
              <w:jc w:val="right"/>
              <w:rPr>
                <w:rFonts w:ascii="Arial" w:hAnsi="Arial" w:cs="Arial"/>
                <w:b/>
                <w:sz w:val="16"/>
              </w:rPr>
            </w:pPr>
            <w:r w:rsidRPr="00701F32">
              <w:rPr>
                <w:rFonts w:ascii="Arial" w:hAnsi="Arial" w:cs="Arial"/>
                <w:b/>
                <w:sz w:val="16"/>
              </w:rPr>
              <w:t xml:space="preserve"> 200.580 </w:t>
            </w:r>
          </w:p>
        </w:tc>
        <w:tc>
          <w:tcPr>
            <w:tcW w:w="1318" w:type="dxa"/>
            <w:tcBorders>
              <w:top w:val="nil"/>
              <w:left w:val="nil"/>
              <w:bottom w:val="single" w:sz="8" w:space="0" w:color="auto"/>
              <w:right w:val="single" w:sz="8" w:space="0" w:color="auto"/>
            </w:tcBorders>
            <w:shd w:val="clear" w:color="auto" w:fill="auto"/>
            <w:noWrap/>
            <w:vAlign w:val="bottom"/>
          </w:tcPr>
          <w:p w14:paraId="3ADF6530" w14:textId="77777777" w:rsidR="00341498" w:rsidRPr="00701F32" w:rsidRDefault="00341498">
            <w:pPr>
              <w:jc w:val="right"/>
              <w:rPr>
                <w:rFonts w:ascii="Arial" w:hAnsi="Arial" w:cs="Arial"/>
                <w:b/>
                <w:sz w:val="16"/>
              </w:rPr>
            </w:pPr>
            <w:r w:rsidRPr="00701F32">
              <w:rPr>
                <w:rFonts w:ascii="Arial" w:hAnsi="Arial" w:cs="Arial"/>
                <w:b/>
                <w:sz w:val="16"/>
              </w:rPr>
              <w:t xml:space="preserve"> 184.156 </w:t>
            </w:r>
          </w:p>
        </w:tc>
        <w:tc>
          <w:tcPr>
            <w:tcW w:w="1465" w:type="dxa"/>
            <w:tcBorders>
              <w:top w:val="nil"/>
              <w:left w:val="nil"/>
              <w:bottom w:val="single" w:sz="8" w:space="0" w:color="auto"/>
              <w:right w:val="single" w:sz="8" w:space="0" w:color="auto"/>
            </w:tcBorders>
            <w:shd w:val="clear" w:color="auto" w:fill="auto"/>
            <w:noWrap/>
            <w:vAlign w:val="bottom"/>
          </w:tcPr>
          <w:p w14:paraId="2739AD11" w14:textId="77777777" w:rsidR="00341498" w:rsidRPr="00701F32" w:rsidRDefault="00341498">
            <w:pPr>
              <w:jc w:val="right"/>
              <w:rPr>
                <w:rFonts w:ascii="Arial" w:hAnsi="Arial" w:cs="Arial"/>
                <w:b/>
                <w:sz w:val="16"/>
              </w:rPr>
            </w:pPr>
            <w:r w:rsidRPr="00701F32">
              <w:rPr>
                <w:rFonts w:ascii="Arial" w:hAnsi="Arial" w:cs="Arial"/>
                <w:b/>
                <w:sz w:val="16"/>
              </w:rPr>
              <w:t xml:space="preserve"> 373.346 </w:t>
            </w:r>
          </w:p>
        </w:tc>
        <w:tc>
          <w:tcPr>
            <w:tcW w:w="1172" w:type="dxa"/>
            <w:tcBorders>
              <w:top w:val="nil"/>
              <w:left w:val="nil"/>
              <w:bottom w:val="single" w:sz="8" w:space="0" w:color="auto"/>
              <w:right w:val="single" w:sz="8" w:space="0" w:color="auto"/>
            </w:tcBorders>
            <w:shd w:val="clear" w:color="auto" w:fill="auto"/>
            <w:noWrap/>
            <w:vAlign w:val="bottom"/>
          </w:tcPr>
          <w:p w14:paraId="6AB13BB7" w14:textId="77777777" w:rsidR="00341498" w:rsidRPr="00701F32" w:rsidRDefault="00341498">
            <w:pPr>
              <w:jc w:val="right"/>
              <w:rPr>
                <w:rFonts w:ascii="Arial" w:hAnsi="Arial" w:cs="Arial"/>
                <w:b/>
                <w:sz w:val="16"/>
              </w:rPr>
            </w:pPr>
            <w:r w:rsidRPr="00701F32">
              <w:rPr>
                <w:rFonts w:ascii="Arial" w:hAnsi="Arial" w:cs="Arial"/>
                <w:b/>
                <w:sz w:val="16"/>
              </w:rPr>
              <w:t>108.278</w:t>
            </w:r>
          </w:p>
        </w:tc>
        <w:tc>
          <w:tcPr>
            <w:tcW w:w="1612" w:type="dxa"/>
            <w:tcBorders>
              <w:top w:val="nil"/>
              <w:left w:val="nil"/>
              <w:bottom w:val="single" w:sz="8" w:space="0" w:color="auto"/>
              <w:right w:val="single" w:sz="8" w:space="0" w:color="auto"/>
            </w:tcBorders>
            <w:shd w:val="clear" w:color="auto" w:fill="auto"/>
            <w:noWrap/>
            <w:vAlign w:val="bottom"/>
          </w:tcPr>
          <w:p w14:paraId="2C4CD3D1" w14:textId="77777777" w:rsidR="00341498" w:rsidRPr="00701F32" w:rsidRDefault="00341498">
            <w:pPr>
              <w:jc w:val="right"/>
              <w:rPr>
                <w:rFonts w:ascii="Arial" w:hAnsi="Arial" w:cs="Arial"/>
                <w:b/>
                <w:sz w:val="16"/>
              </w:rPr>
            </w:pPr>
            <w:r w:rsidRPr="00701F32">
              <w:rPr>
                <w:rFonts w:ascii="Arial" w:hAnsi="Arial" w:cs="Arial"/>
                <w:b/>
                <w:sz w:val="16"/>
              </w:rPr>
              <w:t xml:space="preserve"> 866.360 </w:t>
            </w:r>
          </w:p>
        </w:tc>
      </w:tr>
    </w:tbl>
    <w:p w14:paraId="2A3E58BB" w14:textId="77777777" w:rsidR="00B16471" w:rsidRPr="00701F32" w:rsidRDefault="00B16471" w:rsidP="00656E62">
      <w:pPr>
        <w:spacing w:after="160" w:line="259" w:lineRule="auto"/>
        <w:jc w:val="both"/>
        <w:rPr>
          <w:rFonts w:ascii="Arial" w:eastAsia="Arial" w:hAnsi="Arial" w:cs="Arial"/>
          <w:b/>
          <w:sz w:val="20"/>
        </w:rPr>
      </w:pPr>
    </w:p>
    <w:p w14:paraId="34DEBBE6" w14:textId="77777777" w:rsidR="00656E62" w:rsidRPr="00701F32" w:rsidRDefault="00D57127" w:rsidP="00656E62">
      <w:pPr>
        <w:spacing w:after="160" w:line="259" w:lineRule="auto"/>
        <w:jc w:val="both"/>
        <w:rPr>
          <w:rFonts w:ascii="Arial" w:eastAsia="Arial" w:hAnsi="Arial" w:cs="Arial"/>
          <w:b/>
          <w:sz w:val="20"/>
        </w:rPr>
      </w:pPr>
      <w:r w:rsidRPr="00701F32">
        <w:rPr>
          <w:rFonts w:ascii="Arial" w:eastAsia="Arial" w:hAnsi="Arial" w:cs="Arial"/>
          <w:b/>
          <w:sz w:val="20"/>
        </w:rPr>
        <w:t>17</w:t>
      </w:r>
      <w:r w:rsidR="00656E62" w:rsidRPr="00701F32">
        <w:rPr>
          <w:rFonts w:ascii="Arial" w:eastAsia="Arial" w:hAnsi="Arial" w:cs="Arial"/>
          <w:b/>
          <w:sz w:val="20"/>
        </w:rPr>
        <w:t>.</w:t>
      </w:r>
      <w:r w:rsidR="00930CF9" w:rsidRPr="00701F32">
        <w:rPr>
          <w:rFonts w:ascii="Arial" w:eastAsia="Arial" w:hAnsi="Arial" w:cs="Arial"/>
          <w:b/>
          <w:sz w:val="20"/>
        </w:rPr>
        <w:t xml:space="preserve">20 </w:t>
      </w:r>
      <w:r w:rsidR="00656E62" w:rsidRPr="00701F32">
        <w:rPr>
          <w:rFonts w:ascii="Arial" w:eastAsia="Arial" w:hAnsi="Arial" w:cs="Arial"/>
          <w:b/>
          <w:sz w:val="20"/>
        </w:rPr>
        <w:t xml:space="preserve">Factores de riesgos financieros </w:t>
      </w:r>
    </w:p>
    <w:p w14:paraId="5FDB48B6"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crédito</w:t>
      </w:r>
    </w:p>
    <w:p w14:paraId="7A814601"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p>
    <w:p w14:paraId="4C67970A" w14:textId="77777777" w:rsidR="003A13FB" w:rsidRPr="00701F32" w:rsidRDefault="003A13FB" w:rsidP="003A13FB">
      <w:pPr>
        <w:autoSpaceDE w:val="0"/>
        <w:autoSpaceDN w:val="0"/>
        <w:spacing w:after="240"/>
        <w:jc w:val="both"/>
        <w:rPr>
          <w:rFonts w:ascii="Arial" w:hAnsi="Arial" w:cs="Arial"/>
          <w:sz w:val="20"/>
          <w:lang w:val="es-ES_tradnl"/>
        </w:rPr>
      </w:pPr>
      <w:r w:rsidRPr="00701F32">
        <w:rPr>
          <w:rFonts w:ascii="Arial" w:hAnsi="Arial" w:cs="Arial"/>
          <w:sz w:val="20"/>
          <w:lang w:val="es-ES_tradnl"/>
        </w:rPr>
        <w:t xml:space="preserve">El Comité de Riesgos Integrales aprueba las estrategias y políticas de riesgo de crédito elevadas en base al asesoramiento de la Gerencia Corporativa de Riesgos Integrales, la Gerencia Corporativa de Créditos y las bancas comerciales y en cumplimiento con las reglamentaciones del BCRA. La estrategia y política crediticia apunta al desarrollo de oportunidades comerciales dentro del ámbito y las condiciones del plan de negocios del Banco, manteniendo al mismo tiempo adecuados niveles de prudencia frente al riesgo. </w:t>
      </w:r>
    </w:p>
    <w:p w14:paraId="3D1A2C15" w14:textId="77777777" w:rsidR="003A13FB" w:rsidRPr="00701F32" w:rsidRDefault="003A13FB" w:rsidP="003A13FB">
      <w:pPr>
        <w:autoSpaceDE w:val="0"/>
        <w:autoSpaceDN w:val="0"/>
        <w:spacing w:after="240"/>
        <w:jc w:val="both"/>
        <w:rPr>
          <w:rFonts w:ascii="Arial" w:hAnsi="Arial" w:cs="Arial"/>
          <w:sz w:val="20"/>
          <w:lang w:val="es-ES_tradnl"/>
        </w:rPr>
      </w:pPr>
      <w:r w:rsidRPr="00701F32">
        <w:rPr>
          <w:rFonts w:ascii="Arial" w:hAnsi="Arial" w:cs="Arial"/>
          <w:sz w:val="20"/>
        </w:rPr>
        <w:t>Por medio de políticas y procedimientos, son definidos los aspectos detallados para llevar a cabo la Estrategia del Banco vinculada a la gestión del riesgo de crédito; entre ellos los criterios del Banco para otorgar crédito, atribuciones y facultades crediticias, tipos de productos y la forma en que organiza su estructura, entre otros aspectos. Asimismo, el Banco posee por un lado una política de riesgos integrales donde se detallan aspectos vinculados al gobierno de riesgos fundamentales generales para su gestión y por otro, manuales y procedimientos especifico que contemplan entre otros las normas señaladas en las materias emanadas del BCRA.</w:t>
      </w:r>
    </w:p>
    <w:p w14:paraId="3019E61D"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hAnsi="Arial" w:cs="Arial"/>
          <w:sz w:val="20"/>
          <w:lang w:val="es-ES_tradnl"/>
        </w:rPr>
        <w:t>La política para la gestión de riesgo de crédito de la Entidad está abierta a los mercados de empresas e individuos. Para ello, se ha definido una segmentación</w:t>
      </w:r>
      <w:r w:rsidRPr="00701F32">
        <w:rPr>
          <w:rFonts w:ascii="Arial" w:eastAsia="Calibri" w:hAnsi="Arial" w:cs="Arial"/>
          <w:sz w:val="20"/>
        </w:rPr>
        <w:t xml:space="preserve"> de clientela para la banca empresas, banca minorista y finanzas.</w:t>
      </w:r>
    </w:p>
    <w:p w14:paraId="6C9DC11F"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eastAsia="Calibri" w:hAnsi="Arial" w:cs="Arial"/>
          <w:sz w:val="20"/>
        </w:rPr>
        <w:t>El Banco se focaliza en el apoyo a empresas pertenecientes a sectores con potencial, y, exitosas en su actividad. Dentro de la gama de productos crediticios ofrecidos para el segmento de empresas, el Banco apunta a desarrollar y liderar el mercado de factoring y leasing, como así también ser referente en comercio exterior.</w:t>
      </w:r>
    </w:p>
    <w:p w14:paraId="7B06B340" w14:textId="77777777" w:rsidR="003A13FB" w:rsidRPr="00701F32" w:rsidRDefault="003A13FB" w:rsidP="003A13FB">
      <w:pPr>
        <w:autoSpaceDE w:val="0"/>
        <w:autoSpaceDN w:val="0"/>
        <w:adjustRightInd w:val="0"/>
        <w:spacing w:after="240"/>
        <w:jc w:val="both"/>
        <w:rPr>
          <w:rFonts w:ascii="Arial" w:eastAsia="Calibri" w:hAnsi="Arial" w:cs="Arial"/>
          <w:sz w:val="20"/>
        </w:rPr>
      </w:pPr>
      <w:r w:rsidRPr="00701F32">
        <w:rPr>
          <w:rFonts w:ascii="Arial" w:eastAsia="Calibri" w:hAnsi="Arial" w:cs="Arial"/>
          <w:sz w:val="20"/>
        </w:rPr>
        <w:t>Dentro de la banca empresas se busca tener una propuesta sólida para el mercado de PyMES y Megras buscando mantener la proximidad con los clientes a través de los centros de atención, acuerdos con clientes a lo largo de su cadena de valor y brindando respuestas ágiles mediante los procesos crediticios existentes.</w:t>
      </w:r>
    </w:p>
    <w:p w14:paraId="4B179B28"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En lo que se refiere a individuos, la banca minorista busca mantener el liderazgo en el negocio previsional y orientarse a la financiación para el consumo mediante sus dos redes de distribución: red de sucursales y red de atención para jubilados.</w:t>
      </w:r>
    </w:p>
    <w:p w14:paraId="63A81F93"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Por su parte, finanzas apunta al segmento de negocios fiduciarios; colocación de activos en el mercado de capitales a través de fideicomisos financieros y obligaciones negociables, propios y de terceros; y mesa de dinero. Entre los productos negociados encontramos: call interbancario, pases REPO, call corporate, títulos públicos e instrumentos de política monetaria del Banco Central, Compra cartera de consumo, fideicomisos financieros de terceros, negociación de derivados financieros (futuros, swaps de tasas, etc.), entre otros.</w:t>
      </w:r>
    </w:p>
    <w:p w14:paraId="43D046A2" w14:textId="77777777" w:rsidR="003A13FB" w:rsidRPr="00701F32" w:rsidRDefault="003A13FB" w:rsidP="003A13FB">
      <w:pPr>
        <w:autoSpaceDE w:val="0"/>
        <w:autoSpaceDN w:val="0"/>
        <w:adjustRightInd w:val="0"/>
        <w:spacing w:after="240"/>
        <w:jc w:val="both"/>
        <w:rPr>
          <w:rFonts w:ascii="Arial" w:eastAsia="Calibri" w:hAnsi="Arial" w:cs="Arial"/>
          <w:bCs/>
          <w:sz w:val="20"/>
        </w:rPr>
      </w:pPr>
      <w:r w:rsidRPr="00701F32">
        <w:rPr>
          <w:rFonts w:ascii="Arial" w:eastAsia="Calibri" w:hAnsi="Arial" w:cs="Arial"/>
          <w:bCs/>
          <w:sz w:val="20"/>
        </w:rPr>
        <w:t>Es voluntad de la Entidad llevar a cabo una estrategia que permita atender sus compromisos contractuales, tanto en condiciones normales de mercado como en situaciones adversas. En relación a ello, la entidad cuenta con modelos de scoring y rating con el objetivo de estimar la probabilidad de default (PD) de las distintas carteras de clientes. Vinculado al marco de apetito de riesgo, la Entidad posee cut offs para cada segmento que reflejan el riesgo máximo que están dispuesta a asumir en términos de probabilidad de default.</w:t>
      </w:r>
    </w:p>
    <w:p w14:paraId="283294D6" w14:textId="77777777" w:rsidR="003A13FB" w:rsidRPr="00701F32" w:rsidRDefault="003A13FB" w:rsidP="003A13FB">
      <w:pPr>
        <w:tabs>
          <w:tab w:val="left" w:pos="0"/>
        </w:tabs>
        <w:spacing w:before="240"/>
        <w:jc w:val="both"/>
        <w:rPr>
          <w:rFonts w:ascii="Arial" w:hAnsi="Arial" w:cs="Arial"/>
          <w:bCs/>
          <w:sz w:val="20"/>
        </w:rPr>
      </w:pPr>
      <w:r w:rsidRPr="00701F32">
        <w:rPr>
          <w:rFonts w:ascii="Arial" w:hAnsi="Arial" w:cs="Arial"/>
          <w:bCs/>
          <w:sz w:val="20"/>
        </w:rPr>
        <w:t>Adicionalmente a los parámetros de PD, se cuenta con estimaciones de los parámetros exposición al default (EAD) y la pérdida dado el default (LGD) con el objetivo de poder estimar las previsiones estadísticas de la cartera del Banco y el capital económico necesario para afrontar las pérdidas inesperadas que puedan ocurrir en materia de riesgo crediticio.</w:t>
      </w:r>
    </w:p>
    <w:p w14:paraId="3784A35E" w14:textId="77777777" w:rsidR="003A13FB" w:rsidRPr="00701F32" w:rsidRDefault="003A13FB" w:rsidP="003A13FB">
      <w:pPr>
        <w:tabs>
          <w:tab w:val="left" w:pos="0"/>
        </w:tabs>
        <w:spacing w:before="240"/>
        <w:jc w:val="both"/>
        <w:rPr>
          <w:rFonts w:ascii="Arial" w:hAnsi="Arial" w:cs="Arial"/>
          <w:bCs/>
          <w:sz w:val="20"/>
        </w:rPr>
      </w:pPr>
      <w:r w:rsidRPr="00701F32">
        <w:rPr>
          <w:rFonts w:ascii="Arial" w:hAnsi="Arial" w:cs="Arial"/>
          <w:bCs/>
          <w:sz w:val="20"/>
        </w:rPr>
        <w:t>El Banco tiene como pauta mantener una cartera diversificada y atomizada para minimizar la concentración de riesgos, para lo cual se orienta el otorgamiento del crédito y perfil de cartera objetivo, todo ello ajustado a las circunstancias del momento en que correspondan las mismas.</w:t>
      </w:r>
    </w:p>
    <w:p w14:paraId="767C2DE1" w14:textId="77777777" w:rsidR="003A13FB" w:rsidRPr="00701F32" w:rsidRDefault="003A13FB" w:rsidP="003A13FB">
      <w:pPr>
        <w:keepNext/>
        <w:tabs>
          <w:tab w:val="left" w:pos="1843"/>
        </w:tabs>
        <w:spacing w:before="240" w:after="60"/>
        <w:jc w:val="both"/>
        <w:outlineLvl w:val="2"/>
        <w:rPr>
          <w:rFonts w:ascii="Arial" w:hAnsi="Arial" w:cs="Arial"/>
          <w:b/>
          <w:sz w:val="20"/>
        </w:rPr>
      </w:pPr>
      <w:r w:rsidRPr="00701F32">
        <w:rPr>
          <w:rFonts w:ascii="Arial" w:hAnsi="Arial" w:cs="Arial"/>
          <w:bCs/>
          <w:sz w:val="20"/>
          <w:szCs w:val="22"/>
        </w:rPr>
        <w:t>Modelos de medición del riesgo de crédito</w:t>
      </w:r>
    </w:p>
    <w:p w14:paraId="14F8FDB0" w14:textId="77777777" w:rsidR="003A13FB" w:rsidRPr="00701F32" w:rsidRDefault="003A13FB" w:rsidP="003A13FB">
      <w:pPr>
        <w:spacing w:before="240"/>
        <w:jc w:val="both"/>
        <w:rPr>
          <w:rFonts w:ascii="Arial" w:hAnsi="Arial" w:cs="Arial"/>
          <w:bCs/>
          <w:sz w:val="20"/>
        </w:rPr>
      </w:pPr>
      <w:r w:rsidRPr="00701F32">
        <w:rPr>
          <w:rFonts w:ascii="Arial" w:hAnsi="Arial" w:cs="Arial"/>
          <w:bCs/>
          <w:sz w:val="20"/>
        </w:rPr>
        <w:t xml:space="preserve">La Entidad cuenta con modelos para estimar la distribución de posibles pérdidas de la cartera crediticia, las cuales dependen de la realización de incumplimientos por parte de las contrapartes (PD – probabilidad de incumplimiento), así como de la exposición asumida con ellos (EAD – exposición al momento del incumplimiento) y de la proporción de cada préstamo incumplido que la Entidad sea capaz de recuperar (LGD – pérdida en caso de impago). </w:t>
      </w:r>
    </w:p>
    <w:p w14:paraId="2F29009C" w14:textId="136B61B7" w:rsidR="003A13FB" w:rsidRDefault="003A13FB" w:rsidP="003A13FB">
      <w:pPr>
        <w:spacing w:before="240"/>
        <w:jc w:val="both"/>
        <w:rPr>
          <w:rFonts w:ascii="Arial" w:hAnsi="Arial" w:cs="Arial"/>
          <w:bCs/>
          <w:sz w:val="20"/>
        </w:rPr>
      </w:pPr>
      <w:r w:rsidRPr="00701F32">
        <w:rPr>
          <w:rFonts w:ascii="Arial" w:hAnsi="Arial" w:cs="Arial"/>
          <w:bCs/>
          <w:sz w:val="20"/>
        </w:rPr>
        <w:t>A partir de ello, se desarrollaron en el Banco sistemas que calculan las previsiones estadísticas, capital económico y modelos de Rentabilidad Ajustada al Riesgo (RAROC) con el fin de optimizar la gestión y la toma de decisiones.</w:t>
      </w:r>
    </w:p>
    <w:p w14:paraId="19905CBC" w14:textId="77777777" w:rsidR="00841E78" w:rsidRPr="00701F32" w:rsidRDefault="00841E78" w:rsidP="003A13FB">
      <w:pPr>
        <w:spacing w:before="240"/>
        <w:jc w:val="both"/>
        <w:rPr>
          <w:rFonts w:ascii="Arial" w:hAnsi="Arial" w:cs="Arial"/>
          <w:bCs/>
          <w:sz w:val="20"/>
        </w:rPr>
      </w:pPr>
    </w:p>
    <w:p w14:paraId="530938F0" w14:textId="77777777" w:rsidR="003A13FB" w:rsidRPr="00701F32" w:rsidRDefault="003A13FB" w:rsidP="003A13FB">
      <w:pPr>
        <w:autoSpaceDE w:val="0"/>
        <w:autoSpaceDN w:val="0"/>
        <w:adjustRightInd w:val="0"/>
        <w:spacing w:before="240"/>
        <w:jc w:val="both"/>
        <w:rPr>
          <w:rFonts w:ascii="Arial" w:hAnsi="Arial" w:cs="Arial"/>
          <w:bCs/>
          <w:sz w:val="20"/>
          <w:u w:val="single"/>
        </w:rPr>
      </w:pPr>
      <w:r w:rsidRPr="00701F32">
        <w:rPr>
          <w:rFonts w:ascii="Arial" w:hAnsi="Arial" w:cs="Arial"/>
          <w:bCs/>
          <w:sz w:val="20"/>
          <w:u w:val="single"/>
        </w:rPr>
        <w:t>Cálculo de previsiones estadísticas</w:t>
      </w:r>
    </w:p>
    <w:p w14:paraId="23DA27FB" w14:textId="77777777" w:rsidR="003A13FB"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Los ejercicios para la estimación de las previsiones estadísticas son estudios que tienen por objetivo analizar la información propia de cartera de la Entidad de manera de estimar, en términos globales, el valor medio de la función de distribución de pérdidas para un horizonte de tiempo anual (pérdida esperada). En función a los resultados de las estimaciones de PD, EAD y LGD, se calcula la pérdida esperada asociada.</w:t>
      </w:r>
    </w:p>
    <w:p w14:paraId="033C8508" w14:textId="77777777" w:rsidR="003A13FB" w:rsidRPr="00701F32" w:rsidRDefault="003A13FB" w:rsidP="003A13FB">
      <w:pPr>
        <w:autoSpaceDE w:val="0"/>
        <w:autoSpaceDN w:val="0"/>
        <w:adjustRightInd w:val="0"/>
        <w:spacing w:before="240"/>
        <w:jc w:val="both"/>
        <w:rPr>
          <w:rFonts w:ascii="Arial" w:hAnsi="Arial" w:cs="Arial"/>
          <w:bCs/>
          <w:sz w:val="20"/>
          <w:u w:val="single"/>
        </w:rPr>
      </w:pPr>
      <w:r w:rsidRPr="00701F32">
        <w:rPr>
          <w:rFonts w:ascii="Arial" w:hAnsi="Arial" w:cs="Arial"/>
          <w:bCs/>
          <w:sz w:val="20"/>
          <w:u w:val="single"/>
        </w:rPr>
        <w:t>Cálculo de capital económico</w:t>
      </w:r>
    </w:p>
    <w:p w14:paraId="43C823E7" w14:textId="77777777" w:rsidR="003A13FB"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 xml:space="preserve">El capital económico por riesgo de crédito representa la diferencia entre el valor a riesgo del portafolio (según el nivel de confianza establecido del 99,9% para individuos y 99% para empresas) y las pérdidas esperadas. </w:t>
      </w:r>
    </w:p>
    <w:p w14:paraId="79F876E0" w14:textId="73775449" w:rsidR="006E2762" w:rsidRPr="00701F32" w:rsidRDefault="003A13FB" w:rsidP="003A13FB">
      <w:pPr>
        <w:autoSpaceDE w:val="0"/>
        <w:autoSpaceDN w:val="0"/>
        <w:adjustRightInd w:val="0"/>
        <w:spacing w:before="240"/>
        <w:jc w:val="both"/>
        <w:rPr>
          <w:rFonts w:ascii="Arial" w:hAnsi="Arial" w:cs="Arial"/>
          <w:bCs/>
          <w:sz w:val="20"/>
        </w:rPr>
      </w:pPr>
      <w:r w:rsidRPr="00701F32">
        <w:rPr>
          <w:rFonts w:ascii="Arial" w:hAnsi="Arial" w:cs="Arial"/>
          <w:bCs/>
          <w:sz w:val="20"/>
        </w:rPr>
        <w:t xml:space="preserve">La Entidad cuenta con dos modelos de capital económico por riesgo de crédito (uno para individuos y otro para empresas). En dichos modelos cuantitativos se incluye la exacerbación del capital por riesgo de concentración, así como la correspondiente por riesgo de titulización. El holding period utilizado en los modelos de capital económico para el presente riesgo es de un año, con excepción de las exposiciones vinculadas con factoring. Para dichas exposiciones se utiliza un holding period de seis meses. </w:t>
      </w:r>
    </w:p>
    <w:p w14:paraId="67CC8613" w14:textId="77777777" w:rsidR="00AA2A28" w:rsidRDefault="00AA2A28" w:rsidP="003A13FB">
      <w:pPr>
        <w:autoSpaceDE w:val="0"/>
        <w:autoSpaceDN w:val="0"/>
        <w:spacing w:after="240"/>
        <w:jc w:val="both"/>
        <w:rPr>
          <w:rFonts w:ascii="Arial" w:hAnsi="Arial" w:cs="Arial"/>
          <w:b/>
          <w:bCs/>
          <w:sz w:val="20"/>
          <w:lang w:val="es-ES_tradnl"/>
        </w:rPr>
      </w:pPr>
    </w:p>
    <w:p w14:paraId="7C11E417" w14:textId="168AD9A6" w:rsidR="003A13FB" w:rsidRPr="00701F32" w:rsidRDefault="003A13FB" w:rsidP="003A13FB">
      <w:pPr>
        <w:autoSpaceDE w:val="0"/>
        <w:autoSpaceDN w:val="0"/>
        <w:spacing w:after="240"/>
        <w:jc w:val="both"/>
        <w:rPr>
          <w:rFonts w:ascii="Arial" w:eastAsia="Arial" w:hAnsi="Arial" w:cs="Arial"/>
          <w:b/>
          <w:bCs/>
          <w:sz w:val="20"/>
          <w:lang w:val="es-ES_tradnl"/>
        </w:rPr>
      </w:pPr>
      <w:r w:rsidRPr="00701F32">
        <w:rPr>
          <w:rFonts w:ascii="Arial" w:hAnsi="Arial" w:cs="Arial"/>
          <w:b/>
          <w:bCs/>
          <w:sz w:val="20"/>
          <w:lang w:val="es-ES_tradnl"/>
        </w:rPr>
        <w:t>Gestión del riesgo de contrapartes</w:t>
      </w:r>
    </w:p>
    <w:p w14:paraId="55683433" w14:textId="77777777" w:rsidR="003A13FB" w:rsidRPr="00701F32" w:rsidRDefault="003A13FB" w:rsidP="003A13FB">
      <w:pPr>
        <w:pBdr>
          <w:top w:val="nil"/>
          <w:left w:val="nil"/>
          <w:bottom w:val="nil"/>
          <w:right w:val="nil"/>
          <w:between w:val="nil"/>
          <w:bar w:val="nil"/>
        </w:pBdr>
        <w:spacing w:before="240"/>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cuenta con un mapa de riesgos de contraparte donde se define por cada contraparte en función al apetito de riesgo de la Entidad: límites de exposición crediticia y liquidación (Settlement), riesgo liquidación (Settlement) en cambios, títulos, operaciones de pases entre otros aspectos que la Entidad aprueba en el Comité de Créditos y definiendo un marco de acción para finanzas.</w:t>
      </w:r>
    </w:p>
    <w:p w14:paraId="19A76D75" w14:textId="77777777" w:rsidR="003A13FB" w:rsidRPr="00701F32" w:rsidRDefault="003A13FB" w:rsidP="003A13FB">
      <w:pPr>
        <w:pBdr>
          <w:top w:val="nil"/>
          <w:left w:val="nil"/>
          <w:bottom w:val="nil"/>
          <w:right w:val="nil"/>
          <w:between w:val="nil"/>
          <w:bar w:val="nil"/>
        </w:pBdr>
        <w:spacing w:before="240"/>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En lo que se refiere al capital económico por el riesgo de contraparte se encuentra incluido en el modelo cuantitativo de capital económico por riesgo de crédito.</w:t>
      </w:r>
    </w:p>
    <w:p w14:paraId="471EEEAE" w14:textId="77777777" w:rsidR="003A13FB" w:rsidRPr="00701F32" w:rsidRDefault="003A13FB" w:rsidP="003A13FB">
      <w:pPr>
        <w:pBdr>
          <w:top w:val="nil"/>
          <w:left w:val="nil"/>
          <w:bottom w:val="nil"/>
          <w:right w:val="nil"/>
          <w:between w:val="nil"/>
          <w:bar w:val="nil"/>
        </w:pBdr>
        <w:jc w:val="both"/>
        <w:rPr>
          <w:rFonts w:ascii="Arial" w:eastAsia="Arial Unicode MS" w:hAnsi="Arial" w:cs="Arial"/>
          <w:sz w:val="20"/>
          <w:u w:color="000000"/>
          <w:bdr w:val="nil"/>
          <w:lang w:val="es-ES_tradnl" w:eastAsia="es-AR"/>
        </w:rPr>
      </w:pPr>
    </w:p>
    <w:p w14:paraId="08B76680" w14:textId="77777777" w:rsidR="003A13FB" w:rsidRPr="00701F32" w:rsidRDefault="003A13FB" w:rsidP="003A13FB">
      <w:pPr>
        <w:spacing w:after="160" w:line="259" w:lineRule="auto"/>
        <w:jc w:val="both"/>
        <w:rPr>
          <w:rFonts w:ascii="Arial" w:eastAsia="Arial" w:hAnsi="Arial" w:cs="Arial"/>
          <w:b/>
          <w:sz w:val="20"/>
        </w:rPr>
      </w:pPr>
      <w:r w:rsidRPr="00701F32">
        <w:rPr>
          <w:rFonts w:ascii="Arial" w:eastAsia="Arial" w:hAnsi="Arial" w:cs="Arial"/>
          <w:b/>
          <w:sz w:val="20"/>
        </w:rPr>
        <w:t>Deterioro de Instrumentos Financieros</w:t>
      </w:r>
    </w:p>
    <w:p w14:paraId="7EE3F571" w14:textId="77777777" w:rsidR="003A13FB" w:rsidRPr="00701F32" w:rsidRDefault="003A13FB" w:rsidP="003A13FB">
      <w:pPr>
        <w:spacing w:after="160" w:line="259" w:lineRule="auto"/>
        <w:jc w:val="both"/>
        <w:rPr>
          <w:rFonts w:ascii="Arial" w:eastAsia="Arial" w:hAnsi="Arial" w:cs="Arial"/>
          <w:sz w:val="20"/>
        </w:rPr>
      </w:pPr>
      <w:r w:rsidRPr="00701F32">
        <w:rPr>
          <w:rFonts w:ascii="Arial" w:eastAsia="Arial" w:hAnsi="Arial" w:cs="Arial"/>
          <w:sz w:val="20"/>
        </w:rPr>
        <w:t>La Entidad previsiona los préstamos de acuerdo al tipo de cartera del préstamo, realizando un análisis individual para cada cliente en el caso de aquellos clasificados como “Cartera Comercial” o “Cartera Asimilable a Consumo” y un análisis masivo en base a los días de mora para aquellos clientes clasificados como “Cartera de Consumo”. Ver en Nota 1.12 los criterios de previsionamiento seguidos.</w:t>
      </w:r>
    </w:p>
    <w:p w14:paraId="0A4BF20E" w14:textId="77777777" w:rsidR="003A13FB" w:rsidRPr="00701F32" w:rsidRDefault="003A13FB" w:rsidP="003A13FB">
      <w:pPr>
        <w:spacing w:after="160" w:line="259" w:lineRule="auto"/>
        <w:jc w:val="both"/>
        <w:rPr>
          <w:rFonts w:ascii="Arial" w:eastAsia="Arial" w:hAnsi="Arial" w:cs="Arial"/>
          <w:sz w:val="20"/>
        </w:rPr>
      </w:pPr>
      <w:r w:rsidRPr="00701F32">
        <w:rPr>
          <w:rFonts w:ascii="Arial" w:eastAsia="Arial" w:hAnsi="Arial" w:cs="Arial"/>
          <w:sz w:val="20"/>
        </w:rPr>
        <w:t>A continuación, se detallan los movimientos de las provisiones por deterioro del ejercicio 2017:</w:t>
      </w:r>
    </w:p>
    <w:tbl>
      <w:tblPr>
        <w:tblW w:w="2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268"/>
      </w:tblGrid>
      <w:tr w:rsidR="003A13FB" w:rsidRPr="00701F32" w14:paraId="2C5CA3A1" w14:textId="77777777" w:rsidTr="0086282C">
        <w:trPr>
          <w:trHeight w:val="254"/>
          <w:jc w:val="center"/>
        </w:trPr>
        <w:tc>
          <w:tcPr>
            <w:tcW w:w="2746" w:type="pct"/>
            <w:shd w:val="clear" w:color="auto" w:fill="auto"/>
            <w:noWrap/>
            <w:vAlign w:val="bottom"/>
            <w:hideMark/>
          </w:tcPr>
          <w:p w14:paraId="1E91BC42" w14:textId="77777777" w:rsidR="003A13FB" w:rsidRPr="00701F32" w:rsidRDefault="003A13FB"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Saldo inicial</w:t>
            </w:r>
          </w:p>
        </w:tc>
        <w:tc>
          <w:tcPr>
            <w:tcW w:w="2254" w:type="pct"/>
            <w:shd w:val="clear" w:color="auto" w:fill="auto"/>
            <w:noWrap/>
            <w:vAlign w:val="bottom"/>
            <w:hideMark/>
          </w:tcPr>
          <w:p w14:paraId="57EFFA28"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654.029</w:t>
            </w:r>
          </w:p>
        </w:tc>
      </w:tr>
      <w:tr w:rsidR="003A13FB" w:rsidRPr="00701F32" w14:paraId="508F9548" w14:textId="77777777" w:rsidTr="0086282C">
        <w:trPr>
          <w:trHeight w:val="254"/>
          <w:jc w:val="center"/>
        </w:trPr>
        <w:tc>
          <w:tcPr>
            <w:tcW w:w="2746" w:type="pct"/>
            <w:shd w:val="clear" w:color="auto" w:fill="auto"/>
            <w:noWrap/>
            <w:vAlign w:val="bottom"/>
            <w:hideMark/>
          </w:tcPr>
          <w:p w14:paraId="78FE1BD2" w14:textId="77777777" w:rsidR="003A13FB" w:rsidRPr="00701F32" w:rsidRDefault="001934D5"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 xml:space="preserve">Deterioros </w:t>
            </w:r>
            <w:r w:rsidR="003A13FB" w:rsidRPr="00701F32">
              <w:rPr>
                <w:rFonts w:ascii="Arial" w:hAnsi="Arial" w:cs="Arial"/>
                <w:color w:val="000000"/>
                <w:sz w:val="20"/>
                <w:lang w:eastAsia="es-AR"/>
              </w:rPr>
              <w:t>del período</w:t>
            </w:r>
          </w:p>
        </w:tc>
        <w:tc>
          <w:tcPr>
            <w:tcW w:w="2254" w:type="pct"/>
            <w:shd w:val="clear" w:color="auto" w:fill="auto"/>
            <w:noWrap/>
            <w:vAlign w:val="bottom"/>
            <w:hideMark/>
          </w:tcPr>
          <w:p w14:paraId="477E3A4E"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793.314</w:t>
            </w:r>
          </w:p>
        </w:tc>
      </w:tr>
      <w:tr w:rsidR="003A13FB" w:rsidRPr="00701F32" w14:paraId="40A89DD3" w14:textId="77777777" w:rsidTr="0086282C">
        <w:trPr>
          <w:trHeight w:val="254"/>
          <w:jc w:val="center"/>
        </w:trPr>
        <w:tc>
          <w:tcPr>
            <w:tcW w:w="2746" w:type="pct"/>
            <w:shd w:val="clear" w:color="auto" w:fill="auto"/>
            <w:noWrap/>
            <w:vAlign w:val="bottom"/>
            <w:hideMark/>
          </w:tcPr>
          <w:p w14:paraId="2F5EC7EB" w14:textId="77777777" w:rsidR="003A13FB" w:rsidRPr="00701F32" w:rsidRDefault="003A13FB"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Write Off</w:t>
            </w:r>
          </w:p>
        </w:tc>
        <w:tc>
          <w:tcPr>
            <w:tcW w:w="2254" w:type="pct"/>
            <w:shd w:val="clear" w:color="auto" w:fill="auto"/>
            <w:noWrap/>
            <w:vAlign w:val="bottom"/>
            <w:hideMark/>
          </w:tcPr>
          <w:p w14:paraId="62285743"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(562.782)</w:t>
            </w:r>
          </w:p>
        </w:tc>
      </w:tr>
      <w:tr w:rsidR="003A13FB" w:rsidRPr="00701F32" w14:paraId="7CA9CA6D" w14:textId="77777777" w:rsidTr="0086282C">
        <w:trPr>
          <w:trHeight w:val="254"/>
          <w:jc w:val="center"/>
        </w:trPr>
        <w:tc>
          <w:tcPr>
            <w:tcW w:w="2746" w:type="pct"/>
            <w:shd w:val="clear" w:color="auto" w:fill="auto"/>
            <w:noWrap/>
            <w:vAlign w:val="bottom"/>
            <w:hideMark/>
          </w:tcPr>
          <w:p w14:paraId="1FBB847E" w14:textId="77777777" w:rsidR="003A13FB" w:rsidRPr="00701F32" w:rsidRDefault="003A13FB" w:rsidP="00BA3C16">
            <w:pPr>
              <w:spacing w:line="259" w:lineRule="auto"/>
              <w:jc w:val="both"/>
              <w:rPr>
                <w:rFonts w:ascii="Arial" w:hAnsi="Arial" w:cs="Arial"/>
                <w:color w:val="000000"/>
                <w:sz w:val="20"/>
                <w:lang w:eastAsia="es-AR"/>
              </w:rPr>
            </w:pPr>
            <w:r w:rsidRPr="00701F32">
              <w:rPr>
                <w:rFonts w:ascii="Arial" w:hAnsi="Arial" w:cs="Arial"/>
                <w:color w:val="000000"/>
                <w:sz w:val="20"/>
                <w:lang w:eastAsia="es-AR"/>
              </w:rPr>
              <w:t>Recupero del período</w:t>
            </w:r>
          </w:p>
        </w:tc>
        <w:tc>
          <w:tcPr>
            <w:tcW w:w="2254" w:type="pct"/>
            <w:shd w:val="clear" w:color="auto" w:fill="auto"/>
            <w:noWrap/>
            <w:vAlign w:val="bottom"/>
            <w:hideMark/>
          </w:tcPr>
          <w:p w14:paraId="77D68B45" w14:textId="77777777" w:rsidR="003A13FB" w:rsidRPr="00701F32" w:rsidRDefault="003A13FB" w:rsidP="00BA3C16">
            <w:pPr>
              <w:spacing w:line="259" w:lineRule="auto"/>
              <w:jc w:val="right"/>
              <w:rPr>
                <w:rFonts w:ascii="Arial" w:hAnsi="Arial" w:cs="Arial"/>
                <w:color w:val="000000"/>
                <w:sz w:val="20"/>
                <w:lang w:eastAsia="es-AR"/>
              </w:rPr>
            </w:pPr>
            <w:r w:rsidRPr="00701F32">
              <w:rPr>
                <w:rFonts w:ascii="Arial" w:hAnsi="Arial" w:cs="Arial"/>
                <w:color w:val="000000"/>
                <w:sz w:val="20"/>
                <w:lang w:eastAsia="es-AR"/>
              </w:rPr>
              <w:t> (790)</w:t>
            </w:r>
          </w:p>
        </w:tc>
      </w:tr>
      <w:tr w:rsidR="003A13FB" w:rsidRPr="00701F32" w14:paraId="30F31CAC" w14:textId="77777777" w:rsidTr="0086282C">
        <w:trPr>
          <w:trHeight w:val="254"/>
          <w:jc w:val="center"/>
        </w:trPr>
        <w:tc>
          <w:tcPr>
            <w:tcW w:w="2746" w:type="pct"/>
            <w:shd w:val="clear" w:color="auto" w:fill="auto"/>
            <w:noWrap/>
            <w:vAlign w:val="bottom"/>
            <w:hideMark/>
          </w:tcPr>
          <w:p w14:paraId="18C7BB40" w14:textId="77777777" w:rsidR="003A13FB" w:rsidRPr="00701F32" w:rsidRDefault="003A13FB" w:rsidP="00BA3C16">
            <w:pPr>
              <w:spacing w:line="259" w:lineRule="auto"/>
              <w:jc w:val="both"/>
              <w:rPr>
                <w:rFonts w:ascii="Arial" w:hAnsi="Arial" w:cs="Arial"/>
                <w:b/>
                <w:bCs/>
                <w:color w:val="000000"/>
                <w:sz w:val="20"/>
                <w:lang w:eastAsia="es-AR"/>
              </w:rPr>
            </w:pPr>
            <w:r w:rsidRPr="00701F32">
              <w:rPr>
                <w:rFonts w:ascii="Arial" w:hAnsi="Arial" w:cs="Arial"/>
                <w:b/>
                <w:bCs/>
                <w:color w:val="000000"/>
                <w:sz w:val="20"/>
                <w:lang w:eastAsia="es-AR"/>
              </w:rPr>
              <w:t>Saldo final</w:t>
            </w:r>
          </w:p>
        </w:tc>
        <w:tc>
          <w:tcPr>
            <w:tcW w:w="2254" w:type="pct"/>
            <w:shd w:val="clear" w:color="auto" w:fill="auto"/>
            <w:noWrap/>
            <w:vAlign w:val="bottom"/>
            <w:hideMark/>
          </w:tcPr>
          <w:p w14:paraId="41673F45" w14:textId="77777777" w:rsidR="003A13FB" w:rsidRPr="00701F32" w:rsidRDefault="003A13FB" w:rsidP="00BA3C16">
            <w:pPr>
              <w:spacing w:line="259" w:lineRule="auto"/>
              <w:jc w:val="right"/>
              <w:rPr>
                <w:rFonts w:ascii="Arial" w:hAnsi="Arial" w:cs="Arial"/>
                <w:b/>
                <w:bCs/>
                <w:color w:val="000000"/>
                <w:sz w:val="20"/>
                <w:lang w:eastAsia="es-AR"/>
              </w:rPr>
            </w:pPr>
            <w:r w:rsidRPr="00701F32">
              <w:rPr>
                <w:rFonts w:ascii="Arial" w:hAnsi="Arial" w:cs="Arial"/>
                <w:b/>
                <w:bCs/>
                <w:color w:val="000000"/>
                <w:sz w:val="20"/>
                <w:lang w:eastAsia="es-AR"/>
              </w:rPr>
              <w:t> 883.771</w:t>
            </w:r>
          </w:p>
        </w:tc>
      </w:tr>
    </w:tbl>
    <w:p w14:paraId="799FCDD2" w14:textId="77777777" w:rsidR="003A13FB" w:rsidRPr="00701F32" w:rsidRDefault="003A13FB" w:rsidP="003A13FB">
      <w:pPr>
        <w:jc w:val="both"/>
        <w:rPr>
          <w:rFonts w:ascii="Arial" w:eastAsia="Calibri" w:hAnsi="Arial" w:cs="Arial"/>
          <w:sz w:val="20"/>
          <w:lang w:eastAsia="es-PE"/>
        </w:rPr>
      </w:pPr>
    </w:p>
    <w:p w14:paraId="02A7DB3E" w14:textId="77777777" w:rsidR="003A13FB" w:rsidRPr="00701F32" w:rsidRDefault="003A13FB" w:rsidP="003A13FB">
      <w:pPr>
        <w:jc w:val="both"/>
        <w:rPr>
          <w:rFonts w:ascii="Arial" w:eastAsia="Calibri" w:hAnsi="Arial" w:cs="Arial"/>
          <w:sz w:val="20"/>
          <w:lang w:eastAsia="es-PE"/>
        </w:rPr>
      </w:pPr>
      <w:r w:rsidRPr="00701F32">
        <w:rPr>
          <w:rFonts w:ascii="Arial" w:eastAsia="Calibri" w:hAnsi="Arial" w:cs="Arial"/>
          <w:sz w:val="20"/>
          <w:lang w:eastAsia="es-PE"/>
        </w:rPr>
        <w:t>De acuerdo a las normas de previsionamiento, los préstamos al sector financiero y las responsabilidades eventuales en situación normal no deben generar pérdidas por deterioro. El valor de los mencionados saldos asciende a 22.227 y 1.017 respectivamente.</w:t>
      </w:r>
    </w:p>
    <w:p w14:paraId="7C928700" w14:textId="77777777" w:rsidR="003A13FB" w:rsidRPr="00701F32" w:rsidRDefault="003A13FB" w:rsidP="003A13FB">
      <w:pPr>
        <w:jc w:val="both"/>
        <w:rPr>
          <w:rFonts w:ascii="Arial" w:eastAsia="Calibri" w:hAnsi="Arial" w:cs="Arial"/>
          <w:sz w:val="20"/>
          <w:lang w:eastAsia="es-PE"/>
        </w:rPr>
      </w:pPr>
    </w:p>
    <w:p w14:paraId="1C521506" w14:textId="77777777" w:rsidR="003A13FB" w:rsidRPr="00701F32" w:rsidRDefault="003A13FB" w:rsidP="003A13FB">
      <w:pPr>
        <w:jc w:val="both"/>
        <w:rPr>
          <w:rFonts w:ascii="Arial" w:eastAsia="Calibri" w:hAnsi="Arial" w:cs="Arial"/>
          <w:sz w:val="20"/>
          <w:u w:val="single"/>
          <w:lang w:eastAsia="es-PE"/>
        </w:rPr>
      </w:pPr>
      <w:r w:rsidRPr="00701F32">
        <w:rPr>
          <w:rFonts w:ascii="Arial" w:eastAsia="Calibri" w:hAnsi="Arial" w:cs="Arial"/>
          <w:sz w:val="20"/>
          <w:u w:val="single"/>
          <w:lang w:eastAsia="es-PE"/>
        </w:rPr>
        <w:t>Préstamos dados de baja</w:t>
      </w:r>
    </w:p>
    <w:p w14:paraId="13FD41B4" w14:textId="77777777" w:rsidR="003A13FB" w:rsidRPr="00701F32" w:rsidRDefault="003A13FB" w:rsidP="003A13FB">
      <w:pPr>
        <w:jc w:val="both"/>
        <w:rPr>
          <w:rFonts w:ascii="Arial" w:eastAsia="Calibri" w:hAnsi="Arial" w:cs="Arial"/>
          <w:sz w:val="20"/>
          <w:u w:val="single"/>
          <w:lang w:eastAsia="es-PE"/>
        </w:rPr>
      </w:pPr>
    </w:p>
    <w:p w14:paraId="75CE448B" w14:textId="77777777" w:rsidR="003A13FB" w:rsidRPr="00701F32" w:rsidRDefault="003A13FB" w:rsidP="003A13FB">
      <w:pPr>
        <w:spacing w:after="160" w:line="259" w:lineRule="auto"/>
        <w:jc w:val="both"/>
        <w:rPr>
          <w:rFonts w:ascii="Arial" w:eastAsia="Arial" w:hAnsi="Arial" w:cs="Arial"/>
          <w:sz w:val="20"/>
        </w:rPr>
      </w:pPr>
      <w:r w:rsidRPr="00701F32">
        <w:rPr>
          <w:rFonts w:ascii="Arial" w:eastAsia="Arial" w:hAnsi="Arial" w:cs="Arial"/>
          <w:sz w:val="20"/>
        </w:rPr>
        <w:t>Aquellos créditos clasificados como irrecuperables durante 7 meses, son eliminados del activo reconociéndose los mismos en cuentas fuera de balance.  El saldo de los mismos al 31 de diciembre de 2017 asciende a 601.583.</w:t>
      </w:r>
    </w:p>
    <w:p w14:paraId="05288482"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mercado</w:t>
      </w:r>
    </w:p>
    <w:p w14:paraId="7E701403"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2CBCBE69" w14:textId="77777777" w:rsidR="003A13FB" w:rsidRPr="00701F32" w:rsidRDefault="003A13FB" w:rsidP="003A13FB">
      <w:pPr>
        <w:tabs>
          <w:tab w:val="left" w:pos="142"/>
        </w:tabs>
        <w:spacing w:after="200"/>
        <w:jc w:val="both"/>
        <w:rPr>
          <w:rFonts w:ascii="Arial" w:hAnsi="Arial" w:cs="Arial"/>
          <w:sz w:val="20"/>
          <w:lang w:eastAsia="es-AR"/>
        </w:rPr>
      </w:pPr>
      <w:r w:rsidRPr="00701F32">
        <w:rPr>
          <w:rFonts w:ascii="Arial" w:hAnsi="Arial" w:cs="Arial"/>
          <w:sz w:val="20"/>
          <w:lang w:eastAsia="es-AR"/>
        </w:rPr>
        <w:t xml:space="preserve">Banco Supervielle define al Riesgo de Mercado como el riesgo que surge de las desviaciones que se producen en el valor de la cartera de negociación, como consecuencia de las fluctuaciones en los mercados durante el período de tiempo requerido para liquidar las posiciones de la cartera. </w:t>
      </w:r>
    </w:p>
    <w:p w14:paraId="5FE19DC8" w14:textId="77777777" w:rsidR="003A13FB" w:rsidRPr="00701F32" w:rsidRDefault="003A13FB" w:rsidP="003A13FB">
      <w:pPr>
        <w:tabs>
          <w:tab w:val="left" w:pos="142"/>
        </w:tabs>
        <w:spacing w:after="200"/>
        <w:jc w:val="both"/>
        <w:rPr>
          <w:rFonts w:ascii="Arial" w:hAnsi="Arial" w:cs="Arial"/>
          <w:sz w:val="20"/>
          <w:lang w:eastAsia="es-AR"/>
        </w:rPr>
      </w:pPr>
      <w:r w:rsidRPr="00701F32">
        <w:rPr>
          <w:rFonts w:ascii="Arial" w:hAnsi="Arial" w:cs="Arial"/>
          <w:sz w:val="20"/>
          <w:lang w:eastAsia="es-AR"/>
        </w:rPr>
        <w:t>El perímetro de medición, control y seguimiento de la Gerencia de Riesgos Financieros abarca aquellas operaciones donde se asume riesgo de pérdida en el valor patrimonial de la Entidad, a nivel consolidado e individual en cada una de las entidades con las que consolida, como consecuencia de cambios en los factores de mercado. Este riesgo proviene de la variación de los factores de riesgo considerados (tasa de interés, tipo de cambio, precio de activos de renta variable y opciones), así como del riesgo de liquidez de los distintos productos y mercados en los que opera la Entidad.</w:t>
      </w:r>
    </w:p>
    <w:p w14:paraId="6D6EE11D" w14:textId="77777777" w:rsidR="003A13FB" w:rsidRPr="00701F32" w:rsidRDefault="003A13FB" w:rsidP="003A13FB">
      <w:pPr>
        <w:tabs>
          <w:tab w:val="left" w:pos="142"/>
        </w:tabs>
        <w:spacing w:after="200"/>
        <w:jc w:val="both"/>
        <w:rPr>
          <w:rFonts w:ascii="Arial" w:hAnsi="Arial" w:cs="Arial"/>
          <w:sz w:val="20"/>
          <w:lang w:val="es-ES_tradnl" w:eastAsia="es-AR"/>
        </w:rPr>
      </w:pPr>
      <w:r w:rsidRPr="00701F32">
        <w:rPr>
          <w:rFonts w:ascii="Arial" w:hAnsi="Arial" w:cs="Arial"/>
          <w:sz w:val="20"/>
          <w:lang w:val="es-ES_tradnl" w:eastAsia="es-AR"/>
        </w:rPr>
        <w:t xml:space="preserve">A efectos de medir el riesgo de las posiciones en forma homogénea y en base a ello establecer una estructura de límites y umbrales a los efectos de gestión y esquemas de control, Banco Supervielle utiliza el modelo VaR (valor a riesgo), el que se define como la máxima pérdida esperada que puede registrar una cartera de activos financieros en situaciones normales de mercado, dentro de un horizonte de tiempo determinado y con un nivel de confianza preestablecido. Los indicadores elaborados en base a ello permiten detectar el nivel a partir del cual se identifica un riesgo potencial de mercado para, de esta forma, tomar las acciones preventivas correspondientes. </w:t>
      </w:r>
    </w:p>
    <w:p w14:paraId="51BEFF1C" w14:textId="7DE54D93" w:rsidR="003A13FB" w:rsidRDefault="003A13FB" w:rsidP="003A13FB">
      <w:pPr>
        <w:tabs>
          <w:tab w:val="left" w:pos="142"/>
        </w:tabs>
        <w:spacing w:after="200"/>
        <w:jc w:val="both"/>
        <w:rPr>
          <w:rFonts w:ascii="Arial" w:hAnsi="Arial" w:cs="Arial"/>
          <w:sz w:val="20"/>
          <w:lang w:val="es-ES_tradnl" w:eastAsia="es-AR"/>
        </w:rPr>
      </w:pPr>
      <w:r w:rsidRPr="00701F32">
        <w:rPr>
          <w:rFonts w:ascii="Arial" w:hAnsi="Arial" w:cs="Arial"/>
          <w:sz w:val="20"/>
          <w:lang w:val="es-ES_tradnl" w:eastAsia="es-AR"/>
        </w:rPr>
        <w:t xml:space="preserve">Las estrategias y políticas aprobadas se reflejan en un instrumento denominado mapa de riesgos unificado, donde se explican detalladamente las operaciones habilitadas que puede realizar la Mesa de Dinero definiendo los funcionarios autorizados a aprobar esas operaciones. En el mismo documento figura el plazo máximo de las operaciones, los montos máximos de posición por producto y monto máximo de pérdida involucrado (“stop loss”). </w:t>
      </w:r>
    </w:p>
    <w:p w14:paraId="60DDECBF" w14:textId="2842C3AC" w:rsidR="00841E78" w:rsidRDefault="00841E78" w:rsidP="003A13FB">
      <w:pPr>
        <w:tabs>
          <w:tab w:val="left" w:pos="142"/>
        </w:tabs>
        <w:spacing w:after="200"/>
        <w:jc w:val="both"/>
        <w:rPr>
          <w:rFonts w:ascii="Arial" w:hAnsi="Arial" w:cs="Arial"/>
          <w:sz w:val="20"/>
          <w:lang w:val="es-ES_tradnl" w:eastAsia="es-AR"/>
        </w:rPr>
      </w:pPr>
    </w:p>
    <w:p w14:paraId="24596961" w14:textId="77777777" w:rsidR="00841E78" w:rsidRPr="00701F32" w:rsidRDefault="00841E78" w:rsidP="003A13FB">
      <w:pPr>
        <w:tabs>
          <w:tab w:val="left" w:pos="142"/>
        </w:tabs>
        <w:spacing w:after="200"/>
        <w:jc w:val="both"/>
        <w:rPr>
          <w:rFonts w:ascii="Arial" w:hAnsi="Arial" w:cs="Arial"/>
          <w:sz w:val="20"/>
          <w:lang w:val="es-ES_tradnl" w:eastAsia="es-AR"/>
        </w:rPr>
      </w:pPr>
    </w:p>
    <w:p w14:paraId="08EB1CF3" w14:textId="77777777" w:rsidR="003A13FB" w:rsidRPr="00701F32" w:rsidRDefault="003A13FB" w:rsidP="003A13FB">
      <w:pPr>
        <w:contextualSpacing/>
        <w:jc w:val="both"/>
        <w:rPr>
          <w:rFonts w:ascii="Arial" w:hAnsi="Arial" w:cs="Arial"/>
          <w:sz w:val="20"/>
          <w:u w:val="single"/>
          <w:lang w:val="es-ES_tradnl" w:eastAsia="es-AR"/>
        </w:rPr>
      </w:pPr>
      <w:r w:rsidRPr="00701F32">
        <w:rPr>
          <w:rFonts w:ascii="Arial" w:hAnsi="Arial" w:cs="Arial"/>
          <w:sz w:val="20"/>
          <w:u w:val="single"/>
          <w:lang w:val="es-ES_tradnl" w:eastAsia="es-AR"/>
        </w:rPr>
        <w:t>Cálculo de capital económico</w:t>
      </w:r>
    </w:p>
    <w:p w14:paraId="3EC257C4" w14:textId="77777777" w:rsidR="003A13FB" w:rsidRPr="00701F32" w:rsidRDefault="003A13FB" w:rsidP="003A13FB">
      <w:pPr>
        <w:contextualSpacing/>
        <w:jc w:val="both"/>
        <w:rPr>
          <w:rFonts w:ascii="Arial" w:hAnsi="Arial" w:cs="Arial"/>
          <w:b/>
          <w:sz w:val="22"/>
          <w:szCs w:val="22"/>
          <w:lang w:val="es-ES_tradnl" w:eastAsia="es-AR"/>
        </w:rPr>
      </w:pPr>
    </w:p>
    <w:p w14:paraId="40ADCA9A"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Unicode MS" w:hAnsi="Arial" w:cs="Arial"/>
          <w:sz w:val="20"/>
          <w:u w:color="000000"/>
          <w:bdr w:val="nil"/>
          <w:lang w:val="es-ES_tradnl" w:eastAsia="es-AR"/>
        </w:rPr>
      </w:pPr>
      <w:r w:rsidRPr="00701F32">
        <w:rPr>
          <w:rFonts w:ascii="Arial" w:hAnsi="Arial" w:cs="Arial"/>
          <w:bCs/>
          <w:sz w:val="20"/>
          <w:lang w:eastAsia="es-AR"/>
        </w:rPr>
        <w:t>Banco Supervielle adopta la metodología de VaR Paramétrico para el cálculo del capital económico por riesgo de mercado, tanto a nivel consolidado como individual en cada una de las entidades reguladas que integran esta consolidación.</w:t>
      </w:r>
    </w:p>
    <w:p w14:paraId="66424BF6"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p>
    <w:p w14:paraId="18690A4A"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tasa de interés</w:t>
      </w:r>
    </w:p>
    <w:p w14:paraId="10BC7E45"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2A44D830"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Se define al riesgo de tasa de interés como el riesgo que se basa en la posibilidad de que se produzcan cambios en la condición financiera de la Entidad como consecuencia de fluctuaciones en las tasas de interés del mercado, teniendo efecto sobre los ingresos financieros de la Entidad así como también en su valor económico. Se reconocen los siguientes factores de riesgo:</w:t>
      </w:r>
    </w:p>
    <w:p w14:paraId="2E2668FA"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129619DC"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Diferentes plazos de vencimiento y fechas de reajustes de tasa para activos, pasivos y tenencias fuera de balance.</w:t>
      </w:r>
    </w:p>
    <w:p w14:paraId="236ADB00"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Tasa local, tasa extranjera y CER en cuanto a su proyección, evolución y volatilidad.</w:t>
      </w:r>
    </w:p>
    <w:p w14:paraId="55604CD1"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El riesgo de base que surge como consecuencia de una correlación imperfecta en el ajuste de las tasas activas y pasivas para instrumentos que poseen características similares de revaluación;</w:t>
      </w:r>
    </w:p>
    <w:p w14:paraId="6A6FC225" w14:textId="77777777" w:rsidR="003A13FB" w:rsidRPr="00701F32" w:rsidRDefault="003A13FB" w:rsidP="003A13FB">
      <w:pPr>
        <w:numPr>
          <w:ilvl w:val="0"/>
          <w:numId w:val="64"/>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Las opciones implícitas en determinados activos, pasivos y conceptos fuera de balance de la Entidad</w:t>
      </w:r>
    </w:p>
    <w:p w14:paraId="5C77E593"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7EAF13F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Unicode MS"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 xml:space="preserve">Banco Supervielle encara el modelo de gestión del riesgo de tasa de interés incorporando el análisis de gaps de tasas de interés. Este análisis facilita una representación básica de la estructura del balance y permite detectar concentraciones de riesgo de interés en los distintos plazos. </w:t>
      </w:r>
    </w:p>
    <w:p w14:paraId="1D9DC339"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4857291D" w14:textId="77777777" w:rsidR="003A13FB" w:rsidRPr="00701F32" w:rsidRDefault="003A13FB" w:rsidP="003A13FB">
      <w:pPr>
        <w:ind w:right="-1"/>
        <w:jc w:val="both"/>
        <w:rPr>
          <w:rFonts w:ascii="Arial" w:hAnsi="Arial" w:cs="Arial"/>
          <w:sz w:val="20"/>
        </w:rPr>
      </w:pPr>
      <w:r w:rsidRPr="00701F32">
        <w:rPr>
          <w:rFonts w:ascii="Arial" w:hAnsi="Arial" w:cs="Arial"/>
          <w:sz w:val="20"/>
        </w:rPr>
        <w:t>La gestión del riesgo de tasa de interés del balance busca mantener la exposición del Banco en niveles acordes con el perfil de apetito al riesgo validado por el Directorio ante variaciones en los tipos de interés del mercado.</w:t>
      </w:r>
    </w:p>
    <w:p w14:paraId="52D11B58" w14:textId="77777777" w:rsidR="003A13FB" w:rsidRPr="00701F32" w:rsidRDefault="003A13FB" w:rsidP="003A13FB">
      <w:pPr>
        <w:ind w:right="-1"/>
        <w:jc w:val="both"/>
        <w:rPr>
          <w:rFonts w:ascii="Arial" w:hAnsi="Arial" w:cs="Arial"/>
          <w:sz w:val="20"/>
        </w:rPr>
      </w:pPr>
    </w:p>
    <w:p w14:paraId="3B12E8B1" w14:textId="77777777" w:rsidR="003A13FB" w:rsidRPr="00701F32" w:rsidRDefault="003A13FB" w:rsidP="003A13FB">
      <w:pPr>
        <w:ind w:right="-1"/>
        <w:jc w:val="both"/>
        <w:rPr>
          <w:rFonts w:ascii="Arial" w:hAnsi="Arial" w:cs="Arial"/>
          <w:sz w:val="20"/>
        </w:rPr>
      </w:pPr>
      <w:r w:rsidRPr="00701F32">
        <w:rPr>
          <w:rFonts w:ascii="Arial" w:hAnsi="Arial" w:cs="Arial"/>
          <w:sz w:val="20"/>
        </w:rPr>
        <w:t>Con ese objetivo, la gestión del riesgo de tasa de interés descansa en el monitoreo de dos métricas:</w:t>
      </w:r>
    </w:p>
    <w:p w14:paraId="5F75B374" w14:textId="77777777" w:rsidR="003A13FB" w:rsidRPr="00701F32" w:rsidRDefault="003A13FB" w:rsidP="003A13FB">
      <w:pPr>
        <w:ind w:right="-1"/>
        <w:jc w:val="both"/>
        <w:rPr>
          <w:rFonts w:ascii="Arial" w:hAnsi="Arial" w:cs="Arial"/>
          <w:sz w:val="20"/>
        </w:rPr>
      </w:pPr>
    </w:p>
    <w:p w14:paraId="41724B39" w14:textId="77777777" w:rsidR="003A13FB" w:rsidRPr="00701F32" w:rsidRDefault="003A13FB" w:rsidP="003A13FB">
      <w:pPr>
        <w:numPr>
          <w:ilvl w:val="0"/>
          <w:numId w:val="72"/>
        </w:numPr>
        <w:ind w:right="-1"/>
        <w:jc w:val="both"/>
        <w:rPr>
          <w:rFonts w:ascii="Arial" w:hAnsi="Arial" w:cs="Arial"/>
          <w:sz w:val="20"/>
        </w:rPr>
      </w:pPr>
      <w:r w:rsidRPr="00701F32">
        <w:rPr>
          <w:rFonts w:ascii="Arial" w:hAnsi="Arial" w:cs="Arial"/>
          <w:b/>
          <w:i/>
          <w:sz w:val="20"/>
        </w:rPr>
        <w:t>Enfoque MVE – VaR</w:t>
      </w:r>
      <w:r w:rsidRPr="00701F32">
        <w:rPr>
          <w:rFonts w:ascii="Arial" w:hAnsi="Arial" w:cs="Arial"/>
          <w:sz w:val="20"/>
        </w:rPr>
        <w:t>: mide la diferencia entre el valor económico estimado con la curva de interés de mercado y el mismo considerando la curva de tasas de interés que surge de la simulación de distintos escenarios de estrés. Este es el enfoque empleado por la entidad para calcular capital económico por este riesgo.</w:t>
      </w:r>
    </w:p>
    <w:p w14:paraId="58BC9AA1" w14:textId="1A6AC35F" w:rsidR="003A13FB" w:rsidRPr="00841E78" w:rsidRDefault="003A13FB" w:rsidP="005819B2">
      <w:pPr>
        <w:numPr>
          <w:ilvl w:val="0"/>
          <w:numId w:val="72"/>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b/>
          <w:i/>
          <w:sz w:val="20"/>
          <w:u w:color="000000"/>
          <w:bdr w:val="nil"/>
          <w:lang w:val="es-ES_tradnl" w:eastAsia="es-AR"/>
        </w:rPr>
        <w:t>Enfoque NIM – EaR</w:t>
      </w:r>
      <w:r w:rsidRPr="00701F32">
        <w:rPr>
          <w:rFonts w:ascii="Arial" w:eastAsia="Arial Unicode MS" w:hAnsi="Arial" w:cs="Arial"/>
          <w:sz w:val="20"/>
          <w:u w:color="000000"/>
          <w:bdr w:val="nil"/>
          <w:lang w:val="es-ES_tradnl" w:eastAsia="es-AR"/>
        </w:rPr>
        <w:t>: mide el cambio en los devengos esperados para un plazo determinado (12 meses) ante un desplazamiento de la curva de interés originado en un ejercicio de simulación de distintos escenarios de estrés.</w:t>
      </w:r>
    </w:p>
    <w:p w14:paraId="0CD5E27D" w14:textId="06F2F049" w:rsidR="00841E78" w:rsidRDefault="00841E78" w:rsidP="00841E78">
      <w:pPr>
        <w:pBdr>
          <w:top w:val="nil"/>
          <w:left w:val="nil"/>
          <w:bottom w:val="nil"/>
          <w:right w:val="nil"/>
          <w:between w:val="nil"/>
          <w:bar w:val="nil"/>
        </w:pBdr>
        <w:ind w:left="720"/>
        <w:jc w:val="both"/>
        <w:rPr>
          <w:rFonts w:ascii="Arial" w:eastAsia="Arial Unicode MS" w:hAnsi="Arial" w:cs="Arial"/>
          <w:b/>
          <w:i/>
          <w:sz w:val="20"/>
          <w:u w:color="000000"/>
          <w:bdr w:val="nil"/>
          <w:lang w:val="es-ES_tradnl" w:eastAsia="es-AR"/>
        </w:rPr>
      </w:pPr>
    </w:p>
    <w:p w14:paraId="30F8DD5D" w14:textId="11EBA727" w:rsidR="00841E78" w:rsidRDefault="00841E78" w:rsidP="00841E78">
      <w:pPr>
        <w:pBdr>
          <w:top w:val="nil"/>
          <w:left w:val="nil"/>
          <w:bottom w:val="nil"/>
          <w:right w:val="nil"/>
          <w:between w:val="nil"/>
          <w:bar w:val="nil"/>
        </w:pBdr>
        <w:ind w:left="720"/>
        <w:jc w:val="both"/>
        <w:rPr>
          <w:rFonts w:ascii="Arial" w:eastAsia="Arial Unicode MS" w:hAnsi="Arial" w:cs="Arial"/>
          <w:b/>
          <w:i/>
          <w:sz w:val="20"/>
          <w:u w:color="000000"/>
          <w:bdr w:val="nil"/>
          <w:lang w:val="es-ES_tradnl" w:eastAsia="es-AR"/>
        </w:rPr>
      </w:pPr>
    </w:p>
    <w:p w14:paraId="18783BF7" w14:textId="77777777" w:rsidR="00841E78" w:rsidRPr="00701F32" w:rsidRDefault="00841E78" w:rsidP="00841E78">
      <w:pPr>
        <w:pBdr>
          <w:top w:val="nil"/>
          <w:left w:val="nil"/>
          <w:bottom w:val="nil"/>
          <w:right w:val="nil"/>
          <w:between w:val="nil"/>
          <w:bar w:val="nil"/>
        </w:pBdr>
        <w:ind w:left="720"/>
        <w:jc w:val="both"/>
        <w:rPr>
          <w:rFonts w:ascii="Arial" w:eastAsia="Arial" w:hAnsi="Arial" w:cs="Arial"/>
          <w:sz w:val="20"/>
          <w:u w:color="000000"/>
          <w:bdr w:val="nil"/>
          <w:lang w:val="es-ES_tradnl" w:eastAsia="es-AR"/>
        </w:rPr>
      </w:pPr>
    </w:p>
    <w:p w14:paraId="458C8535" w14:textId="77777777" w:rsidR="003A13FB" w:rsidRPr="00701F32" w:rsidRDefault="003A13FB" w:rsidP="003A13FB">
      <w:pPr>
        <w:spacing w:before="240"/>
        <w:jc w:val="both"/>
        <w:rPr>
          <w:rFonts w:ascii="Arial" w:eastAsia="Arial" w:hAnsi="Arial" w:cs="Arial"/>
          <w:iCs/>
          <w:sz w:val="20"/>
          <w:u w:val="single"/>
          <w:shd w:val="clear" w:color="auto" w:fill="FFFF00"/>
          <w:lang w:val="es-ES_tradnl"/>
        </w:rPr>
      </w:pPr>
      <w:r w:rsidRPr="00701F32">
        <w:rPr>
          <w:rFonts w:ascii="Arial" w:hAnsi="Arial" w:cs="Arial"/>
          <w:b/>
          <w:bCs/>
          <w:iCs/>
          <w:sz w:val="20"/>
          <w:lang w:val="es-ES_tradnl"/>
        </w:rPr>
        <w:t>Cálculo de capital económico</w:t>
      </w:r>
    </w:p>
    <w:p w14:paraId="3ADF0B16"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19B913C0" w14:textId="6002AE59"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r w:rsidRPr="00701F32">
        <w:rPr>
          <w:rFonts w:ascii="Arial" w:eastAsia="Arial Unicode MS" w:hAnsi="Arial" w:cs="Arial"/>
          <w:sz w:val="20"/>
          <w:u w:color="000000"/>
          <w:bdr w:val="nil"/>
          <w:lang w:val="es-ES_tradnl" w:eastAsia="es-AR"/>
        </w:rPr>
        <w:t>La Entidad calcula el capital económico por riesgo de tasa de interés a partir del enfoque MVE-EaR, utilizando para ello un holding period de tres meses y un nivel de confianza del 99%. Este modelo cuantitativo incluye la exacerbación del capital por riesgo de titulización.</w:t>
      </w:r>
    </w:p>
    <w:p w14:paraId="6C376E89"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Unicode MS" w:hAnsi="Arial" w:cs="Arial"/>
          <w:b/>
          <w:bCs/>
          <w:sz w:val="20"/>
          <w:u w:val="single" w:color="000000"/>
          <w:bdr w:val="nil"/>
          <w:lang w:val="es-ES_tradnl" w:eastAsia="es-AR"/>
        </w:rPr>
      </w:pPr>
    </w:p>
    <w:p w14:paraId="25986A0B" w14:textId="77777777" w:rsidR="003A13FB" w:rsidRPr="00701F32" w:rsidRDefault="003A13FB" w:rsidP="003A13FB">
      <w:pPr>
        <w:pBdr>
          <w:top w:val="nil"/>
          <w:left w:val="nil"/>
          <w:bottom w:val="nil"/>
          <w:right w:val="nil"/>
          <w:between w:val="nil"/>
          <w:bar w:val="nil"/>
        </w:pBdr>
        <w:tabs>
          <w:tab w:val="left" w:pos="142"/>
          <w:tab w:val="left" w:pos="993"/>
        </w:tabs>
        <w:jc w:val="both"/>
        <w:rPr>
          <w:rFonts w:ascii="Arial" w:eastAsia="Arial" w:hAnsi="Arial" w:cs="Arial"/>
          <w:b/>
          <w:bCs/>
          <w:sz w:val="20"/>
          <w:u w:val="single" w:color="000000"/>
          <w:bdr w:val="nil"/>
          <w:lang w:val="es-ES_tradnl" w:eastAsia="es-AR"/>
        </w:rPr>
      </w:pPr>
      <w:r w:rsidRPr="00701F32">
        <w:rPr>
          <w:rFonts w:ascii="Arial" w:eastAsia="Arial Unicode MS" w:hAnsi="Arial" w:cs="Arial"/>
          <w:b/>
          <w:bCs/>
          <w:sz w:val="20"/>
          <w:u w:val="single" w:color="000000"/>
          <w:bdr w:val="nil"/>
          <w:lang w:val="es-ES_tradnl" w:eastAsia="es-AR"/>
        </w:rPr>
        <w:t>Riesgo de Liquidez</w:t>
      </w:r>
    </w:p>
    <w:p w14:paraId="6328ED9A"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b/>
          <w:bCs/>
          <w:sz w:val="20"/>
          <w:u w:val="single" w:color="000000"/>
          <w:bdr w:val="nil"/>
          <w:lang w:val="es-ES_tradnl" w:eastAsia="es-AR"/>
        </w:rPr>
      </w:pPr>
    </w:p>
    <w:p w14:paraId="34302355"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define al riesgo de liquidez como el riesgo de afrontar costos de financiación adicionales cuando se producen necesidades de liquidez inesperadas. Este riesgo surge debido a la diferencia de tamaños y de vencimientos entre los activos y pasivos de la Entidad. Se reconocen:</w:t>
      </w:r>
    </w:p>
    <w:p w14:paraId="35C84D6B"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604EDE08" w14:textId="77777777" w:rsidR="003A13FB" w:rsidRPr="00701F32" w:rsidRDefault="003A13FB" w:rsidP="003A13FB">
      <w:pPr>
        <w:numPr>
          <w:ilvl w:val="0"/>
          <w:numId w:val="61"/>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 xml:space="preserve">Riesgo liquidez de fondeo; es el riesgo que surge de la imposibilidad de conseguir fondos a costo normal de mercado cuando son requeridos, teniendo como fundamento la percepción que el mercado posea sobre la Entidad. </w:t>
      </w:r>
    </w:p>
    <w:p w14:paraId="4CA8C2C8" w14:textId="77777777" w:rsidR="003A13FB" w:rsidRPr="00701F32" w:rsidRDefault="003A13FB" w:rsidP="003A13FB">
      <w:pPr>
        <w:numPr>
          <w:ilvl w:val="0"/>
          <w:numId w:val="61"/>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Riesgo de liquidez de mercado; es el riesgo que nace cuando la Entidad no puede deshacer una posición a precio de mercado en uno o varios activos para la obtención de fondos, como consecuencia de dos factores clave:</w:t>
      </w:r>
    </w:p>
    <w:p w14:paraId="01453F63" w14:textId="77777777" w:rsidR="003A13FB" w:rsidRPr="00701F32" w:rsidRDefault="003A13FB" w:rsidP="003A13FB">
      <w:pPr>
        <w:pBdr>
          <w:top w:val="nil"/>
          <w:left w:val="nil"/>
          <w:bottom w:val="nil"/>
          <w:right w:val="nil"/>
          <w:between w:val="nil"/>
          <w:bar w:val="nil"/>
        </w:pBdr>
        <w:tabs>
          <w:tab w:val="left" w:pos="142"/>
        </w:tabs>
        <w:ind w:left="720"/>
        <w:jc w:val="both"/>
        <w:rPr>
          <w:rFonts w:ascii="Arial" w:eastAsia="Arial" w:hAnsi="Arial" w:cs="Arial"/>
          <w:sz w:val="20"/>
          <w:u w:color="000000"/>
          <w:bdr w:val="nil"/>
          <w:lang w:val="es-ES_tradnl" w:eastAsia="es-AR"/>
        </w:rPr>
      </w:pPr>
    </w:p>
    <w:p w14:paraId="589D6C70" w14:textId="77777777" w:rsidR="003A13FB" w:rsidRPr="00701F32" w:rsidRDefault="003A13FB" w:rsidP="003A13FB">
      <w:pPr>
        <w:numPr>
          <w:ilvl w:val="3"/>
          <w:numId w:val="62"/>
        </w:numPr>
        <w:pBdr>
          <w:top w:val="nil"/>
          <w:left w:val="nil"/>
          <w:bottom w:val="nil"/>
          <w:right w:val="nil"/>
          <w:between w:val="nil"/>
          <w:bar w:val="nil"/>
        </w:pBdr>
        <w:ind w:left="1134"/>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los activos no son lo suficientemente líquidos, es decir, no cuentan con el mercado secundario necesario.</w:t>
      </w:r>
    </w:p>
    <w:p w14:paraId="2A55FCBA" w14:textId="77777777" w:rsidR="003A13FB" w:rsidRPr="00701F32" w:rsidRDefault="003A13FB" w:rsidP="003A13FB">
      <w:pPr>
        <w:numPr>
          <w:ilvl w:val="3"/>
          <w:numId w:val="62"/>
        </w:numPr>
        <w:pBdr>
          <w:top w:val="nil"/>
          <w:left w:val="nil"/>
          <w:bottom w:val="nil"/>
          <w:right w:val="nil"/>
          <w:between w:val="nil"/>
          <w:bar w:val="nil"/>
        </w:pBdr>
        <w:ind w:left="1134"/>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las alteraciones que puedan producirse en los mercados donde cotizan</w:t>
      </w:r>
    </w:p>
    <w:p w14:paraId="3FCD2A10"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3CD36E05" w14:textId="77777777" w:rsidR="003A13FB" w:rsidRPr="00701F32" w:rsidRDefault="003A13FB" w:rsidP="003A13FB">
      <w:pPr>
        <w:jc w:val="both"/>
        <w:rPr>
          <w:rFonts w:ascii="Arial" w:hAnsi="Arial" w:cs="Arial"/>
          <w:sz w:val="20"/>
        </w:rPr>
      </w:pPr>
      <w:r w:rsidRPr="00701F32">
        <w:rPr>
          <w:rFonts w:ascii="Arial" w:hAnsi="Arial" w:cs="Arial"/>
          <w:sz w:val="20"/>
        </w:rPr>
        <w:t>Los indicadores de liquidez y concentración de fuentes de fondeo permiten cuantificar la tolerancia a este riesgo, partiendo desde las definiciones más ácidas o restrictivas del concepto de liquidez hasta aquellas más abarcativas y que incluyen particularidades propias del modelo de negocios de la Entidad.</w:t>
      </w:r>
    </w:p>
    <w:p w14:paraId="1630973A" w14:textId="77777777" w:rsidR="003A13FB" w:rsidRPr="00701F32" w:rsidRDefault="003A13FB" w:rsidP="003A13FB">
      <w:pPr>
        <w:jc w:val="both"/>
        <w:rPr>
          <w:rFonts w:ascii="Arial" w:hAnsi="Arial" w:cs="Arial"/>
          <w:sz w:val="20"/>
        </w:rPr>
      </w:pPr>
    </w:p>
    <w:p w14:paraId="612644A4" w14:textId="77777777" w:rsidR="003A13FB" w:rsidRPr="00701F32" w:rsidRDefault="003A13FB" w:rsidP="003A13FB">
      <w:pPr>
        <w:tabs>
          <w:tab w:val="left" w:pos="7938"/>
        </w:tabs>
        <w:ind w:right="-1"/>
        <w:jc w:val="both"/>
        <w:rPr>
          <w:rFonts w:ascii="Arial" w:hAnsi="Arial" w:cs="Arial"/>
          <w:sz w:val="20"/>
        </w:rPr>
      </w:pPr>
      <w:r w:rsidRPr="00701F32">
        <w:rPr>
          <w:rFonts w:ascii="Arial" w:hAnsi="Arial" w:cs="Arial"/>
          <w:sz w:val="20"/>
        </w:rPr>
        <w:t>Entre las métricas fundamentales (core metrics) utilizadas para la gestión del riesgo de liquidez se destacan:</w:t>
      </w:r>
    </w:p>
    <w:p w14:paraId="142426BD" w14:textId="77777777" w:rsidR="003A13FB" w:rsidRPr="00701F32" w:rsidRDefault="003A13FB" w:rsidP="003A13FB">
      <w:pPr>
        <w:tabs>
          <w:tab w:val="left" w:pos="7938"/>
        </w:tabs>
        <w:ind w:right="-1"/>
        <w:jc w:val="both"/>
        <w:rPr>
          <w:rFonts w:ascii="Arial" w:hAnsi="Arial" w:cs="Arial"/>
          <w:sz w:val="20"/>
        </w:rPr>
      </w:pPr>
    </w:p>
    <w:p w14:paraId="49EEEE5C" w14:textId="77777777" w:rsidR="003A13FB" w:rsidRPr="00701F32" w:rsidRDefault="003A13FB" w:rsidP="003A13FB">
      <w:pPr>
        <w:numPr>
          <w:ilvl w:val="0"/>
          <w:numId w:val="71"/>
        </w:numPr>
        <w:tabs>
          <w:tab w:val="left" w:pos="7938"/>
        </w:tabs>
        <w:ind w:left="709" w:right="-1"/>
        <w:jc w:val="both"/>
        <w:rPr>
          <w:rFonts w:ascii="Arial" w:hAnsi="Arial" w:cs="Arial"/>
          <w:sz w:val="20"/>
        </w:rPr>
      </w:pPr>
      <w:r w:rsidRPr="00701F32">
        <w:rPr>
          <w:rFonts w:ascii="Arial" w:hAnsi="Arial" w:cs="Arial"/>
          <w:b/>
          <w:i/>
          <w:sz w:val="20"/>
        </w:rPr>
        <w:t>LCR (Liquidity Coverage Ratio)</w:t>
      </w:r>
      <w:r w:rsidRPr="00701F32">
        <w:rPr>
          <w:rFonts w:ascii="Arial" w:hAnsi="Arial" w:cs="Arial"/>
          <w:sz w:val="20"/>
        </w:rPr>
        <w:t>: mide la relación entre activos líquidos de alta calidad y las salidas de efectivo netas totales durante un período de 30 días. Banco Supervielle calcula diariamente este indicador, habiéndose cumplido durante 2017 el valor mínimo previsto.</w:t>
      </w:r>
    </w:p>
    <w:p w14:paraId="6E3B271F" w14:textId="77777777" w:rsidR="003A13FB" w:rsidRPr="00701F32" w:rsidRDefault="003A13FB" w:rsidP="003A13FB">
      <w:pPr>
        <w:numPr>
          <w:ilvl w:val="0"/>
          <w:numId w:val="71"/>
        </w:numPr>
        <w:tabs>
          <w:tab w:val="left" w:pos="7938"/>
        </w:tabs>
        <w:ind w:left="709" w:right="-1"/>
        <w:jc w:val="both"/>
        <w:rPr>
          <w:rFonts w:ascii="Arial" w:hAnsi="Arial" w:cs="Arial"/>
          <w:sz w:val="20"/>
        </w:rPr>
      </w:pPr>
      <w:r w:rsidRPr="00701F32">
        <w:rPr>
          <w:rFonts w:ascii="Arial" w:hAnsi="Arial" w:cs="Arial"/>
          <w:b/>
          <w:i/>
          <w:sz w:val="20"/>
        </w:rPr>
        <w:t>Cobertura de Cuentas Remuneradas y PF Precancelables</w:t>
      </w:r>
      <w:r w:rsidRPr="00701F32">
        <w:rPr>
          <w:rFonts w:ascii="Arial" w:hAnsi="Arial" w:cs="Arial"/>
          <w:sz w:val="20"/>
        </w:rPr>
        <w:t xml:space="preserve">: este indicador busca limitar la dependencia del fondeo de fuentes más inestables en escenarios ilíquidos, ya sean de características idiosincráticas o sistémicas. </w:t>
      </w:r>
    </w:p>
    <w:p w14:paraId="6E58B915" w14:textId="77777777" w:rsidR="003A13FB" w:rsidRPr="00701F32" w:rsidRDefault="003A13FB" w:rsidP="003A13FB">
      <w:pPr>
        <w:tabs>
          <w:tab w:val="left" w:pos="7938"/>
        </w:tabs>
        <w:ind w:right="-1"/>
        <w:jc w:val="both"/>
        <w:rPr>
          <w:rFonts w:ascii="Arial" w:hAnsi="Arial" w:cs="Arial"/>
          <w:sz w:val="20"/>
        </w:rPr>
      </w:pPr>
    </w:p>
    <w:p w14:paraId="5CC15F53" w14:textId="77777777" w:rsidR="003A13FB" w:rsidRPr="00701F32" w:rsidRDefault="003A13FB" w:rsidP="003A13FB">
      <w:pPr>
        <w:tabs>
          <w:tab w:val="left" w:pos="7938"/>
        </w:tabs>
        <w:ind w:right="-1"/>
        <w:jc w:val="both"/>
        <w:rPr>
          <w:rFonts w:ascii="Arial" w:hAnsi="Arial" w:cs="Arial"/>
          <w:sz w:val="20"/>
        </w:rPr>
      </w:pPr>
      <w:r w:rsidRPr="00701F32">
        <w:rPr>
          <w:rFonts w:ascii="Arial" w:hAnsi="Arial" w:cs="Arial"/>
          <w:sz w:val="20"/>
        </w:rPr>
        <w:t>Adicionalmente, la gestión se complementa con el monitoreo diario de una serie de métricas de seguimiento en el ámbito del Comité de Activos y Pasivos (ALCO). Estos indicadores procuran desagregar los principales componentes del LCR, ofreciendo una evaluación de la situación de liquidez en la entidad y alertando ante eventuales cambios de tendencia que puedan poner en juego los lineamientos establecidos en la política de apetito de riesgo.</w:t>
      </w:r>
    </w:p>
    <w:p w14:paraId="0172E75F" w14:textId="77777777" w:rsidR="003A13FB" w:rsidRPr="00701F32" w:rsidRDefault="003A13FB" w:rsidP="003A13FB">
      <w:pPr>
        <w:ind w:right="474"/>
        <w:jc w:val="both"/>
        <w:rPr>
          <w:rFonts w:ascii="Arial" w:hAnsi="Arial" w:cs="Arial"/>
          <w:sz w:val="20"/>
        </w:rPr>
      </w:pPr>
    </w:p>
    <w:p w14:paraId="3022D06D" w14:textId="77777777" w:rsidR="003A13FB" w:rsidRPr="00701F32" w:rsidRDefault="003A13FB" w:rsidP="003A13FB">
      <w:pPr>
        <w:jc w:val="both"/>
        <w:rPr>
          <w:rFonts w:ascii="Arial" w:hAnsi="Arial" w:cs="Arial"/>
          <w:sz w:val="20"/>
        </w:rPr>
      </w:pPr>
      <w:r w:rsidRPr="00701F32">
        <w:rPr>
          <w:rFonts w:ascii="Arial" w:hAnsi="Arial" w:cs="Arial"/>
          <w:sz w:val="20"/>
        </w:rPr>
        <w:t>Finalmente, apropiados controles sobre la liquidez intradiaria y el cumplimiento con la normativa de efectivo mínimo constituyen los restantes pilares en los que se sustenta la política de liquidez de la entidad.</w:t>
      </w:r>
    </w:p>
    <w:p w14:paraId="42A29FD1" w14:textId="77777777" w:rsidR="003A13FB" w:rsidRPr="00701F32" w:rsidRDefault="003A13FB" w:rsidP="003A13FB">
      <w:pPr>
        <w:jc w:val="both"/>
        <w:rPr>
          <w:rFonts w:ascii="Arial" w:hAnsi="Arial" w:cs="Arial"/>
          <w:sz w:val="20"/>
        </w:rPr>
      </w:pPr>
    </w:p>
    <w:p w14:paraId="73D9FF6F" w14:textId="77777777" w:rsidR="003A13FB" w:rsidRPr="00701F32" w:rsidRDefault="003A13FB" w:rsidP="003A13FB">
      <w:pPr>
        <w:jc w:val="both"/>
        <w:rPr>
          <w:rFonts w:ascii="Arial" w:hAnsi="Arial" w:cs="Arial"/>
          <w:sz w:val="20"/>
        </w:rPr>
      </w:pPr>
      <w:r w:rsidRPr="00701F32">
        <w:rPr>
          <w:rFonts w:ascii="Arial" w:hAnsi="Arial" w:cs="Arial"/>
          <w:sz w:val="20"/>
        </w:rPr>
        <w:t>La gestión del riesgo de liquidez se caracteriza por un estricto control diario del ratio de cobertura de liquidez (LCR), procurando una correcta proyección de las necesidades de fondeo y de activos líquidos de libre disponibilidad para mantener el LCR dentro de los niveles establecidos en la política de apetito de riesgo. A partir de 2018 se incorpora el seguimiento del ratio de fondeo estable (NSFR), de acuerdo a lo establecido por normativa del BCRA y alineándose a los criterios de Basilea III.</w:t>
      </w:r>
    </w:p>
    <w:p w14:paraId="0D293A11" w14:textId="77777777" w:rsidR="003A13FB" w:rsidRPr="00701F32" w:rsidRDefault="003A13FB" w:rsidP="003A13FB">
      <w:pPr>
        <w:spacing w:before="240"/>
        <w:jc w:val="both"/>
        <w:rPr>
          <w:rFonts w:ascii="Arial" w:eastAsia="Arial" w:hAnsi="Arial" w:cs="Arial"/>
          <w:b/>
          <w:bCs/>
          <w:i/>
          <w:iCs/>
          <w:sz w:val="20"/>
          <w:lang w:val="es-ES_tradnl"/>
        </w:rPr>
      </w:pPr>
      <w:r w:rsidRPr="00701F32">
        <w:rPr>
          <w:rFonts w:ascii="Arial" w:hAnsi="Arial" w:cs="Arial"/>
          <w:b/>
          <w:bCs/>
          <w:i/>
          <w:iCs/>
          <w:sz w:val="20"/>
          <w:lang w:val="es-ES_tradnl"/>
        </w:rPr>
        <w:t>Cálculo de Capital Económico</w:t>
      </w:r>
    </w:p>
    <w:p w14:paraId="01A551A8"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3E3A4557"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La Entidad cuenta con elementos que aseguran una adecuada gestión de este riesgo, a saber:</w:t>
      </w:r>
    </w:p>
    <w:p w14:paraId="5C82F3FF"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26D75754" w14:textId="77777777" w:rsidR="003A13FB" w:rsidRPr="00701F32" w:rsidRDefault="003A13FB" w:rsidP="003A13FB">
      <w:pPr>
        <w:numPr>
          <w:ilvl w:val="0"/>
          <w:numId w:val="63"/>
        </w:num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Tablero de indicadores de liquidez abarcativo, a través del cual se monitorea un abanico de niveles de liquidez. Cada indicador cuenta con su correspondiente umbral y límite, los cuales son monitoreados con una frecuencia diaria dentro de la Gerencia de Riesgos Financieros (dando la debida alerta en caso de vulneración), quincenal en el ámbito del Comité de Activos y Pasivos (ALCO) y mensual en el Comité de Dirección de Riesgos Integrales. Asimismo, se realiza un reporte semanal destinado a miembros del Comité de Dirección de Riesgos Integrales, ALCO y otros miembros del Directorio.</w:t>
      </w:r>
    </w:p>
    <w:p w14:paraId="2E3DF541" w14:textId="77777777" w:rsidR="003A13FB" w:rsidRPr="00701F32" w:rsidRDefault="003A13FB" w:rsidP="003A13FB">
      <w:pPr>
        <w:pBdr>
          <w:top w:val="nil"/>
          <w:left w:val="nil"/>
          <w:bottom w:val="nil"/>
          <w:right w:val="nil"/>
          <w:between w:val="nil"/>
          <w:bar w:val="nil"/>
        </w:pBdr>
        <w:tabs>
          <w:tab w:val="left" w:pos="709"/>
        </w:tabs>
        <w:ind w:left="709" w:hanging="425"/>
        <w:jc w:val="both"/>
        <w:rPr>
          <w:rFonts w:ascii="Arial" w:eastAsia="Arial" w:hAnsi="Arial" w:cs="Arial"/>
          <w:sz w:val="20"/>
          <w:u w:color="000000"/>
          <w:bdr w:val="nil"/>
          <w:lang w:val="es-ES_tradnl" w:eastAsia="es-AR"/>
        </w:rPr>
      </w:pPr>
    </w:p>
    <w:p w14:paraId="19F679E2" w14:textId="77777777" w:rsidR="003A13FB" w:rsidRPr="00701F32" w:rsidRDefault="003A13FB" w:rsidP="003A13FB">
      <w:pPr>
        <w:numPr>
          <w:ilvl w:val="0"/>
          <w:numId w:val="63"/>
        </w:num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Indicadores que miden la concentración de las fuentes de fondeo, estableciendo el apetito de la Entidad a este riesgo.</w:t>
      </w:r>
    </w:p>
    <w:p w14:paraId="1FAEA094" w14:textId="77777777" w:rsidR="003A13FB" w:rsidRPr="00701F32" w:rsidRDefault="003A13FB" w:rsidP="003A13FB">
      <w:pPr>
        <w:pBdr>
          <w:top w:val="nil"/>
          <w:left w:val="nil"/>
          <w:bottom w:val="nil"/>
          <w:right w:val="nil"/>
          <w:between w:val="nil"/>
          <w:bar w:val="nil"/>
        </w:pBdr>
        <w:tabs>
          <w:tab w:val="left" w:pos="709"/>
        </w:tabs>
        <w:jc w:val="both"/>
        <w:rPr>
          <w:rFonts w:ascii="Arial" w:eastAsia="Arial" w:hAnsi="Arial" w:cs="Arial"/>
          <w:sz w:val="20"/>
          <w:u w:color="000000"/>
          <w:bdr w:val="nil"/>
          <w:lang w:val="es-ES_tradnl" w:eastAsia="es-AR"/>
        </w:rPr>
      </w:pPr>
    </w:p>
    <w:p w14:paraId="09532091" w14:textId="77777777" w:rsidR="003A13FB" w:rsidRPr="00701F32" w:rsidRDefault="003A13FB" w:rsidP="003A13FB">
      <w:pPr>
        <w:numPr>
          <w:ilvl w:val="0"/>
          <w:numId w:val="63"/>
        </w:numPr>
        <w:spacing w:after="200"/>
        <w:contextualSpacing/>
        <w:jc w:val="both"/>
        <w:rPr>
          <w:rFonts w:ascii="Arial" w:hAnsi="Arial" w:cs="Arial"/>
          <w:sz w:val="20"/>
          <w:lang w:val="es-ES_tradnl"/>
        </w:rPr>
      </w:pPr>
      <w:r w:rsidRPr="00701F32">
        <w:rPr>
          <w:rFonts w:ascii="Arial" w:hAnsi="Arial" w:cs="Arial"/>
          <w:sz w:val="20"/>
          <w:lang w:val="es-ES_tradnl"/>
        </w:rPr>
        <w:t>Elaboración y monitoreo de los nuevos indicadores de cobertura de liquidez y apalancamiento requeridos por el BCRA en el marco del cumplimiento de la hoja de ruta hacia Basilea III.</w:t>
      </w:r>
    </w:p>
    <w:p w14:paraId="55150323" w14:textId="77777777" w:rsidR="003A13FB" w:rsidRPr="00701F32" w:rsidRDefault="003A13FB" w:rsidP="003A13FB">
      <w:pPr>
        <w:ind w:left="709"/>
        <w:jc w:val="both"/>
        <w:rPr>
          <w:rFonts w:ascii="Arial" w:hAnsi="Arial" w:cs="Arial"/>
          <w:sz w:val="20"/>
          <w:lang w:val="es-ES_tradnl"/>
        </w:rPr>
      </w:pPr>
    </w:p>
    <w:p w14:paraId="222632DA" w14:textId="77777777" w:rsidR="003A13FB" w:rsidRPr="00701F32" w:rsidRDefault="003A13FB" w:rsidP="003A13FB">
      <w:pPr>
        <w:numPr>
          <w:ilvl w:val="0"/>
          <w:numId w:val="63"/>
        </w:numPr>
        <w:spacing w:after="200"/>
        <w:contextualSpacing/>
        <w:jc w:val="both"/>
        <w:rPr>
          <w:rFonts w:ascii="Arial" w:hAnsi="Arial" w:cs="Arial"/>
          <w:sz w:val="20"/>
          <w:lang w:val="es-ES_tradnl"/>
        </w:rPr>
      </w:pPr>
      <w:r w:rsidRPr="00701F32">
        <w:rPr>
          <w:rFonts w:ascii="Arial" w:hAnsi="Arial" w:cs="Arial"/>
          <w:sz w:val="20"/>
          <w:lang w:val="es-ES_tradnl"/>
        </w:rPr>
        <w:t xml:space="preserve">Se incorporaron a la gestión diversas herramientas de seguimiento del riesgo de liquidez, incluyendo un desagregado análisis de los desfases de plazos contractuales e informes de concentración del fondeo captado por la Entidad, por contraparte, producto y moneda significativa. La granularidad de la información requerida para la elaboración de estos reportes contribuyó significativamente a la mejora del MIS (Management Information System) de riesgos. </w:t>
      </w:r>
    </w:p>
    <w:p w14:paraId="2E79A692" w14:textId="77777777" w:rsidR="003A13FB" w:rsidRPr="00701F32" w:rsidRDefault="003A13FB" w:rsidP="003A13FB">
      <w:pPr>
        <w:ind w:left="709"/>
        <w:jc w:val="both"/>
        <w:rPr>
          <w:rFonts w:ascii="Arial" w:hAnsi="Arial" w:cs="Arial"/>
          <w:sz w:val="20"/>
          <w:lang w:val="es-ES_tradnl"/>
        </w:rPr>
      </w:pPr>
    </w:p>
    <w:p w14:paraId="0BF7EC8F" w14:textId="77777777" w:rsidR="003A13FB" w:rsidRPr="00701F32" w:rsidRDefault="003A13FB" w:rsidP="003A13FB">
      <w:pPr>
        <w:numPr>
          <w:ilvl w:val="0"/>
          <w:numId w:val="63"/>
        </w:numPr>
        <w:contextualSpacing/>
        <w:jc w:val="both"/>
        <w:rPr>
          <w:rFonts w:ascii="Arial" w:hAnsi="Arial" w:cs="Arial"/>
          <w:sz w:val="20"/>
          <w:lang w:val="es-ES_tradnl"/>
        </w:rPr>
      </w:pPr>
      <w:r w:rsidRPr="00701F32">
        <w:rPr>
          <w:rFonts w:ascii="Arial" w:hAnsi="Arial" w:cs="Arial"/>
          <w:sz w:val="20"/>
          <w:lang w:val="es-ES_tradnl"/>
        </w:rPr>
        <w:t xml:space="preserve">La propia definición del ratio de cobertura de liquidez supone evaluar la capacidad de la Entidad de cubrir sus necesidades de liquidez durante un período de 30 días en el escenario de estrés descripto por el BCRA. El seguimiento de este indicador se realiza en forma diaria, manteniéndose informados semanalmente sobre su evolución al director y a los funcionarios responsables de la liquidez de la Entidad. </w:t>
      </w:r>
    </w:p>
    <w:p w14:paraId="413AE24C" w14:textId="77777777" w:rsidR="003A13FB" w:rsidRPr="00701F32" w:rsidRDefault="003A13FB" w:rsidP="003A13FB">
      <w:pPr>
        <w:numPr>
          <w:ilvl w:val="0"/>
          <w:numId w:val="63"/>
        </w:numPr>
        <w:pBdr>
          <w:top w:val="nil"/>
          <w:left w:val="nil"/>
          <w:bottom w:val="nil"/>
          <w:right w:val="nil"/>
          <w:between w:val="nil"/>
          <w:bar w:val="nil"/>
        </w:pBdr>
        <w:spacing w:before="240" w:after="200"/>
        <w:jc w:val="both"/>
        <w:rPr>
          <w:rFonts w:ascii="Arial" w:eastAsia="Verdana" w:hAnsi="Arial" w:cs="Arial"/>
          <w:sz w:val="20"/>
          <w:lang w:val="es-ES_tradnl"/>
        </w:rPr>
      </w:pPr>
      <w:r w:rsidRPr="00701F32">
        <w:rPr>
          <w:rFonts w:ascii="Arial" w:eastAsia="Verdana" w:hAnsi="Arial" w:cs="Arial"/>
          <w:sz w:val="20"/>
          <w:lang w:val="es-ES_tradnl"/>
        </w:rPr>
        <w:t>Observancia en todo momento del cumplimiento con los límites y umbrales establecidos para el ratio de fondeo estable (NSFR).</w:t>
      </w:r>
    </w:p>
    <w:p w14:paraId="0B0847DE" w14:textId="77777777" w:rsidR="003A13FB" w:rsidRPr="00701F32" w:rsidRDefault="003A13FB" w:rsidP="003A13FB">
      <w:pPr>
        <w:numPr>
          <w:ilvl w:val="0"/>
          <w:numId w:val="63"/>
        </w:numPr>
        <w:pBdr>
          <w:top w:val="nil"/>
          <w:left w:val="nil"/>
          <w:bottom w:val="nil"/>
          <w:right w:val="nil"/>
          <w:between w:val="nil"/>
          <w:bar w:val="nil"/>
        </w:pBdr>
        <w:spacing w:before="240" w:after="200"/>
        <w:jc w:val="both"/>
        <w:rPr>
          <w:rFonts w:ascii="Arial" w:eastAsia="Arial" w:hAnsi="Arial" w:cs="Arial"/>
          <w:sz w:val="20"/>
          <w:lang w:val="es-ES_tradnl"/>
        </w:rPr>
      </w:pPr>
      <w:r w:rsidRPr="00701F32">
        <w:rPr>
          <w:rFonts w:ascii="Arial" w:hAnsi="Arial" w:cs="Arial"/>
          <w:sz w:val="20"/>
          <w:lang w:val="es-ES_tradnl"/>
        </w:rPr>
        <w:t>Pruebas de estrés individuales ejecutadas diariamente a partir del planteo de un escenario crítico de fuerte salida de depósitos y su efecto sobre la posición de efectivo mínimo y sobre el LCR.</w:t>
      </w:r>
    </w:p>
    <w:p w14:paraId="57B9C359" w14:textId="77777777" w:rsidR="003A13FB" w:rsidRPr="00701F32" w:rsidRDefault="003A13FB" w:rsidP="003A13FB">
      <w:pPr>
        <w:numPr>
          <w:ilvl w:val="0"/>
          <w:numId w:val="63"/>
        </w:numPr>
        <w:pBdr>
          <w:top w:val="nil"/>
          <w:left w:val="nil"/>
          <w:bottom w:val="nil"/>
          <w:right w:val="nil"/>
          <w:between w:val="nil"/>
          <w:bar w:val="nil"/>
        </w:pBdr>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En cuanto a los planes de contingencia, la Entidad adopta la política de aplicar sus lineamientos en ejercicios de pruebas de estrés, así como en situaciones en las que la vulneración de umbrales y/o límites así lo ameriten, de acuerdo a la decisión adoptada por el Comité ALCO y validada por el Comité de Dirección de Riesgos Integrales.</w:t>
      </w:r>
    </w:p>
    <w:p w14:paraId="0C8813EA"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p>
    <w:p w14:paraId="5B709EAB" w14:textId="77777777" w:rsidR="003A13FB" w:rsidRPr="00701F32" w:rsidRDefault="003A13FB" w:rsidP="003A13FB">
      <w:pPr>
        <w:pBdr>
          <w:top w:val="nil"/>
          <w:left w:val="nil"/>
          <w:bottom w:val="nil"/>
          <w:right w:val="nil"/>
          <w:between w:val="nil"/>
          <w:bar w:val="nil"/>
        </w:pBdr>
        <w:tabs>
          <w:tab w:val="left" w:pos="142"/>
        </w:tabs>
        <w:jc w:val="both"/>
        <w:rPr>
          <w:rFonts w:ascii="Arial" w:eastAsia="Arial" w:hAnsi="Arial" w:cs="Arial"/>
          <w:sz w:val="20"/>
          <w:u w:color="000000"/>
          <w:bdr w:val="nil"/>
          <w:lang w:val="es-ES_tradnl" w:eastAsia="es-AR"/>
        </w:rPr>
      </w:pPr>
      <w:r w:rsidRPr="00701F32">
        <w:rPr>
          <w:rFonts w:ascii="Arial" w:eastAsia="Arial Unicode MS" w:hAnsi="Arial" w:cs="Arial"/>
          <w:sz w:val="20"/>
          <w:u w:color="000000"/>
          <w:bdr w:val="nil"/>
          <w:lang w:val="es-ES_tradnl" w:eastAsia="es-AR"/>
        </w:rPr>
        <w:t>El esquema de gestión de riesgo aquí descripto permite justificar una adecuada situación de liquidez, por lo que la Entidad no considera necesaria la estimación de capital económico para cubrir este riesgo, en la medida en que la solvencia de la Entidad no se vea afectada una vez aplicadas las medidas establecidas en el plan de contingencia de las pruebas de estrés.</w:t>
      </w:r>
    </w:p>
    <w:p w14:paraId="0A83FBD6" w14:textId="77777777" w:rsidR="003A13FB" w:rsidRPr="00701F32" w:rsidRDefault="003A13FB" w:rsidP="00656E62">
      <w:pPr>
        <w:tabs>
          <w:tab w:val="left" w:pos="142"/>
        </w:tabs>
        <w:jc w:val="both"/>
        <w:rPr>
          <w:rFonts w:ascii="Arial" w:hAnsi="Arial" w:cs="Arial"/>
          <w:b/>
          <w:sz w:val="20"/>
        </w:rPr>
      </w:pPr>
    </w:p>
    <w:p w14:paraId="046101EF" w14:textId="77777777" w:rsidR="003A13FB" w:rsidRPr="00701F32" w:rsidRDefault="003A13FB" w:rsidP="00656E62">
      <w:pPr>
        <w:tabs>
          <w:tab w:val="left" w:pos="142"/>
        </w:tabs>
        <w:jc w:val="both"/>
        <w:rPr>
          <w:rFonts w:ascii="Arial" w:hAnsi="Arial" w:cs="Arial"/>
          <w:b/>
          <w:sz w:val="20"/>
        </w:rPr>
      </w:pPr>
    </w:p>
    <w:p w14:paraId="1893E25A" w14:textId="77777777" w:rsidR="00656E62" w:rsidRPr="00701F32" w:rsidRDefault="00656E62" w:rsidP="00656E62">
      <w:pPr>
        <w:tabs>
          <w:tab w:val="left" w:pos="142"/>
        </w:tabs>
        <w:jc w:val="both"/>
        <w:rPr>
          <w:rFonts w:ascii="Arial" w:hAnsi="Arial" w:cs="Arial"/>
          <w:b/>
          <w:sz w:val="20"/>
        </w:rPr>
      </w:pPr>
      <w:r w:rsidRPr="00701F32">
        <w:rPr>
          <w:rFonts w:ascii="Arial" w:hAnsi="Arial" w:cs="Arial"/>
          <w:b/>
          <w:sz w:val="20"/>
        </w:rPr>
        <w:t>1</w:t>
      </w:r>
      <w:r w:rsidR="004E6017" w:rsidRPr="00701F32">
        <w:rPr>
          <w:rFonts w:ascii="Arial" w:hAnsi="Arial" w:cs="Arial"/>
          <w:b/>
          <w:sz w:val="20"/>
        </w:rPr>
        <w:t>7</w:t>
      </w:r>
      <w:r w:rsidRPr="00701F32">
        <w:rPr>
          <w:rFonts w:ascii="Arial" w:hAnsi="Arial" w:cs="Arial"/>
          <w:b/>
          <w:sz w:val="20"/>
        </w:rPr>
        <w:t>.</w:t>
      </w:r>
      <w:r w:rsidR="00930CF9" w:rsidRPr="00701F32">
        <w:rPr>
          <w:rFonts w:ascii="Arial" w:hAnsi="Arial" w:cs="Arial"/>
          <w:b/>
          <w:sz w:val="20"/>
        </w:rPr>
        <w:t xml:space="preserve">21 </w:t>
      </w:r>
      <w:r w:rsidRPr="00701F32">
        <w:rPr>
          <w:rFonts w:ascii="Arial" w:hAnsi="Arial" w:cs="Arial"/>
          <w:b/>
          <w:sz w:val="20"/>
        </w:rPr>
        <w:t>Administración del capital</w:t>
      </w:r>
    </w:p>
    <w:p w14:paraId="7C5F56D5" w14:textId="77777777" w:rsidR="00656E62" w:rsidRPr="00701F32" w:rsidRDefault="00656E62" w:rsidP="00656E62">
      <w:pPr>
        <w:tabs>
          <w:tab w:val="left" w:pos="142"/>
        </w:tabs>
        <w:jc w:val="both"/>
        <w:rPr>
          <w:rFonts w:ascii="Arial" w:hAnsi="Arial" w:cs="Arial"/>
          <w:sz w:val="20"/>
        </w:rPr>
      </w:pPr>
    </w:p>
    <w:p w14:paraId="709315CC" w14:textId="77777777" w:rsidR="003A13FB" w:rsidRPr="00701F32" w:rsidRDefault="003A13FB" w:rsidP="003A13FB">
      <w:pPr>
        <w:tabs>
          <w:tab w:val="left" w:pos="142"/>
        </w:tabs>
        <w:jc w:val="both"/>
        <w:rPr>
          <w:rFonts w:ascii="Arial" w:hAnsi="Arial" w:cs="Arial"/>
          <w:sz w:val="20"/>
        </w:rPr>
      </w:pPr>
      <w:r w:rsidRPr="00701F32">
        <w:rPr>
          <w:rFonts w:ascii="Arial" w:hAnsi="Arial" w:cs="Arial"/>
          <w:sz w:val="20"/>
        </w:rPr>
        <w:t>Los objetivos del Banco en cuanto a la administración del capital se establecen a continuación:</w:t>
      </w:r>
    </w:p>
    <w:p w14:paraId="55B82D04" w14:textId="5C200B77" w:rsidR="003A13FB" w:rsidRPr="00701F32" w:rsidRDefault="003A13FB" w:rsidP="003A13FB">
      <w:pPr>
        <w:pStyle w:val="Prrafodelista"/>
        <w:numPr>
          <w:ilvl w:val="0"/>
          <w:numId w:val="97"/>
        </w:numPr>
        <w:tabs>
          <w:tab w:val="left" w:pos="142"/>
        </w:tabs>
        <w:contextualSpacing/>
        <w:jc w:val="both"/>
        <w:rPr>
          <w:rFonts w:ascii="Arial" w:hAnsi="Arial" w:cs="Arial"/>
          <w:sz w:val="20"/>
        </w:rPr>
      </w:pPr>
      <w:r w:rsidRPr="00701F32">
        <w:rPr>
          <w:rFonts w:ascii="Arial" w:hAnsi="Arial" w:cs="Arial"/>
          <w:sz w:val="20"/>
        </w:rPr>
        <w:t>Cumplimiento de</w:t>
      </w:r>
      <w:r w:rsidR="004D7093">
        <w:rPr>
          <w:rFonts w:ascii="Arial" w:hAnsi="Arial" w:cs="Arial"/>
          <w:sz w:val="20"/>
        </w:rPr>
        <w:t xml:space="preserve"> </w:t>
      </w:r>
      <w:r w:rsidRPr="00701F32">
        <w:rPr>
          <w:rFonts w:ascii="Arial" w:hAnsi="Arial" w:cs="Arial"/>
          <w:sz w:val="20"/>
        </w:rPr>
        <w:t>los requerimiento</w:t>
      </w:r>
      <w:r w:rsidR="004D7093">
        <w:rPr>
          <w:rFonts w:ascii="Arial" w:hAnsi="Arial" w:cs="Arial"/>
          <w:sz w:val="20"/>
        </w:rPr>
        <w:t>s</w:t>
      </w:r>
      <w:r w:rsidRPr="00701F32">
        <w:rPr>
          <w:rFonts w:ascii="Arial" w:hAnsi="Arial" w:cs="Arial"/>
          <w:sz w:val="20"/>
        </w:rPr>
        <w:t xml:space="preserve"> establecidos por el BCRA en su comunicación “A” 6260 y modificatorias</w:t>
      </w:r>
    </w:p>
    <w:p w14:paraId="15A3E0AD" w14:textId="77777777" w:rsidR="003A13FB" w:rsidRPr="00701F32" w:rsidRDefault="003A13FB" w:rsidP="003A13FB">
      <w:pPr>
        <w:pStyle w:val="Prrafodelista"/>
        <w:numPr>
          <w:ilvl w:val="0"/>
          <w:numId w:val="97"/>
        </w:numPr>
        <w:tabs>
          <w:tab w:val="left" w:pos="142"/>
        </w:tabs>
        <w:contextualSpacing/>
        <w:jc w:val="both"/>
        <w:rPr>
          <w:rFonts w:ascii="Arial" w:hAnsi="Arial" w:cs="Arial"/>
          <w:sz w:val="20"/>
        </w:rPr>
      </w:pPr>
      <w:r w:rsidRPr="00701F32">
        <w:rPr>
          <w:rFonts w:ascii="Arial" w:hAnsi="Arial" w:cs="Arial"/>
          <w:sz w:val="20"/>
        </w:rPr>
        <w:t>Respaldar las operaciones del Banco para evita cualquier situación que ponga en riesgo la operatoria de la Entidad</w:t>
      </w:r>
    </w:p>
    <w:p w14:paraId="4AEF07BE" w14:textId="77777777" w:rsidR="003A13FB" w:rsidRPr="00701F32" w:rsidRDefault="003A13FB" w:rsidP="003A13FB">
      <w:pPr>
        <w:tabs>
          <w:tab w:val="left" w:pos="142"/>
        </w:tabs>
        <w:jc w:val="both"/>
        <w:rPr>
          <w:rFonts w:ascii="Arial" w:hAnsi="Arial" w:cs="Arial"/>
          <w:color w:val="3333FF"/>
          <w:sz w:val="20"/>
        </w:rPr>
      </w:pPr>
    </w:p>
    <w:p w14:paraId="4F08D505" w14:textId="77777777" w:rsidR="003A13FB" w:rsidRPr="00701F32" w:rsidRDefault="003A13FB" w:rsidP="00656E62">
      <w:pPr>
        <w:tabs>
          <w:tab w:val="left" w:pos="142"/>
        </w:tabs>
        <w:jc w:val="both"/>
        <w:rPr>
          <w:rFonts w:ascii="Arial" w:hAnsi="Arial" w:cs="Arial"/>
          <w:sz w:val="20"/>
        </w:rPr>
      </w:pPr>
      <w:r w:rsidRPr="00701F32">
        <w:rPr>
          <w:rFonts w:ascii="Arial" w:hAnsi="Arial" w:cs="Arial"/>
          <w:sz w:val="20"/>
        </w:rPr>
        <w:t>El total de capital bajo administración y regulación al 31 de diciembre de 2017 está compuesto de la siguiente manera (valor de libros)</w:t>
      </w:r>
      <w:r w:rsidR="00A0527A" w:rsidRPr="00701F32">
        <w:rPr>
          <w:rFonts w:ascii="Arial" w:hAnsi="Arial" w:cs="Arial"/>
          <w:sz w:val="20"/>
        </w:rPr>
        <w:t>:</w:t>
      </w:r>
    </w:p>
    <w:p w14:paraId="20E10838" w14:textId="77777777" w:rsidR="00E355DE" w:rsidRPr="00701F32" w:rsidRDefault="00E355DE" w:rsidP="00656E62">
      <w:pPr>
        <w:tabs>
          <w:tab w:val="left" w:pos="142"/>
        </w:tabs>
        <w:jc w:val="both"/>
        <w:rPr>
          <w:rFonts w:ascii="Arial" w:hAnsi="Arial" w:cs="Arial"/>
          <w:sz w:val="20"/>
        </w:rPr>
      </w:pPr>
    </w:p>
    <w:p w14:paraId="7405194B" w14:textId="77777777" w:rsidR="00656E62" w:rsidRPr="00701F32" w:rsidRDefault="00656E62" w:rsidP="00656E62">
      <w:pPr>
        <w:tabs>
          <w:tab w:val="left" w:pos="142"/>
        </w:tabs>
        <w:jc w:val="both"/>
        <w:rPr>
          <w:rFonts w:ascii="Arial" w:hAnsi="Arial" w:cs="Arial"/>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602"/>
      </w:tblGrid>
      <w:tr w:rsidR="00656E62" w:rsidRPr="00701F32" w14:paraId="15988F64" w14:textId="77777777" w:rsidTr="00C23045">
        <w:trPr>
          <w:trHeight w:val="205"/>
          <w:tblHeader/>
        </w:trPr>
        <w:tc>
          <w:tcPr>
            <w:tcW w:w="5028" w:type="dxa"/>
            <w:vAlign w:val="center"/>
          </w:tcPr>
          <w:p w14:paraId="02A840FF" w14:textId="77777777" w:rsidR="00656E62" w:rsidRPr="00701F32" w:rsidRDefault="00656E62" w:rsidP="00464C0F">
            <w:pPr>
              <w:widowControl w:val="0"/>
              <w:autoSpaceDE w:val="0"/>
              <w:autoSpaceDN w:val="0"/>
              <w:adjustRightInd w:val="0"/>
              <w:jc w:val="both"/>
              <w:rPr>
                <w:rFonts w:ascii="Arial" w:hAnsi="Arial" w:cs="Arial"/>
                <w:b/>
                <w:noProof/>
                <w:sz w:val="20"/>
              </w:rPr>
            </w:pPr>
          </w:p>
        </w:tc>
        <w:tc>
          <w:tcPr>
            <w:tcW w:w="2602" w:type="dxa"/>
          </w:tcPr>
          <w:p w14:paraId="0BD215BC" w14:textId="77777777" w:rsidR="00656E62" w:rsidRPr="00701F32" w:rsidRDefault="00656E62" w:rsidP="00464C0F">
            <w:pPr>
              <w:jc w:val="right"/>
              <w:rPr>
                <w:rFonts w:ascii="Arial" w:hAnsi="Arial" w:cs="Arial"/>
                <w:b/>
                <w:sz w:val="20"/>
              </w:rPr>
            </w:pPr>
            <w:r w:rsidRPr="00701F32">
              <w:rPr>
                <w:rFonts w:ascii="Arial" w:hAnsi="Arial" w:cs="Arial"/>
                <w:b/>
                <w:sz w:val="20"/>
              </w:rPr>
              <w:t>31/12/2017</w:t>
            </w:r>
          </w:p>
        </w:tc>
      </w:tr>
      <w:tr w:rsidR="00656E62" w:rsidRPr="00701F32" w14:paraId="05BE1231" w14:textId="77777777" w:rsidTr="00C23045">
        <w:trPr>
          <w:trHeight w:val="205"/>
        </w:trPr>
        <w:tc>
          <w:tcPr>
            <w:tcW w:w="5028" w:type="dxa"/>
            <w:vAlign w:val="center"/>
          </w:tcPr>
          <w:p w14:paraId="18C19B61" w14:textId="77777777" w:rsidR="00656E62" w:rsidRPr="00701F32" w:rsidRDefault="00656E62" w:rsidP="00464C0F">
            <w:pPr>
              <w:widowControl w:val="0"/>
              <w:autoSpaceDE w:val="0"/>
              <w:autoSpaceDN w:val="0"/>
              <w:adjustRightInd w:val="0"/>
              <w:jc w:val="both"/>
              <w:rPr>
                <w:rFonts w:ascii="Arial" w:hAnsi="Arial" w:cs="Arial"/>
                <w:noProof/>
                <w:sz w:val="20"/>
              </w:rPr>
            </w:pPr>
            <w:r w:rsidRPr="00701F32">
              <w:rPr>
                <w:rFonts w:ascii="Arial" w:hAnsi="Arial" w:cs="Arial"/>
                <w:noProof/>
                <w:sz w:val="20"/>
              </w:rPr>
              <w:t>- Capital social</w:t>
            </w:r>
          </w:p>
        </w:tc>
        <w:tc>
          <w:tcPr>
            <w:tcW w:w="2602" w:type="dxa"/>
            <w:vAlign w:val="bottom"/>
          </w:tcPr>
          <w:p w14:paraId="56729B56" w14:textId="77777777" w:rsidR="00656E62" w:rsidRPr="00701F32" w:rsidRDefault="00656E62" w:rsidP="00E355DE">
            <w:pPr>
              <w:jc w:val="right"/>
              <w:rPr>
                <w:rFonts w:ascii="Arial" w:hAnsi="Arial" w:cs="Arial"/>
                <w:sz w:val="20"/>
              </w:rPr>
            </w:pPr>
            <w:r w:rsidRPr="00701F32">
              <w:rPr>
                <w:rFonts w:ascii="Arial" w:hAnsi="Arial" w:cs="Arial"/>
                <w:sz w:val="20"/>
              </w:rPr>
              <w:t xml:space="preserve">  </w:t>
            </w:r>
            <w:r w:rsidR="00E355DE" w:rsidRPr="00701F32">
              <w:rPr>
                <w:rFonts w:ascii="Arial" w:hAnsi="Arial" w:cs="Arial"/>
                <w:sz w:val="20"/>
              </w:rPr>
              <w:t>744.386</w:t>
            </w:r>
          </w:p>
        </w:tc>
      </w:tr>
      <w:tr w:rsidR="00656E62" w:rsidRPr="00701F32" w14:paraId="61919D7B" w14:textId="77777777" w:rsidTr="00C23045">
        <w:trPr>
          <w:trHeight w:val="205"/>
        </w:trPr>
        <w:tc>
          <w:tcPr>
            <w:tcW w:w="5028" w:type="dxa"/>
            <w:vAlign w:val="center"/>
          </w:tcPr>
          <w:p w14:paraId="67CC98CC" w14:textId="77777777" w:rsidR="00656E62" w:rsidRPr="00701F32" w:rsidRDefault="00656E62" w:rsidP="00464C0F">
            <w:pPr>
              <w:widowControl w:val="0"/>
              <w:autoSpaceDE w:val="0"/>
              <w:autoSpaceDN w:val="0"/>
              <w:adjustRightInd w:val="0"/>
              <w:jc w:val="both"/>
              <w:rPr>
                <w:rFonts w:ascii="Arial" w:hAnsi="Arial" w:cs="Arial"/>
                <w:noProof/>
                <w:sz w:val="20"/>
              </w:rPr>
            </w:pPr>
            <w:r w:rsidRPr="00701F32">
              <w:rPr>
                <w:rFonts w:ascii="Arial" w:hAnsi="Arial" w:cs="Arial"/>
                <w:noProof/>
                <w:sz w:val="20"/>
              </w:rPr>
              <w:t>- Primas de emisión</w:t>
            </w:r>
          </w:p>
        </w:tc>
        <w:tc>
          <w:tcPr>
            <w:tcW w:w="2602" w:type="dxa"/>
            <w:vAlign w:val="bottom"/>
          </w:tcPr>
          <w:p w14:paraId="2F0EB063" w14:textId="77777777" w:rsidR="00656E62" w:rsidRPr="00701F32" w:rsidRDefault="00656E62" w:rsidP="00E355DE">
            <w:pPr>
              <w:jc w:val="right"/>
              <w:rPr>
                <w:rFonts w:ascii="Arial" w:hAnsi="Arial" w:cs="Arial"/>
                <w:sz w:val="20"/>
              </w:rPr>
            </w:pPr>
            <w:r w:rsidRPr="00701F32">
              <w:rPr>
                <w:rFonts w:ascii="Arial" w:hAnsi="Arial" w:cs="Arial"/>
                <w:sz w:val="20"/>
              </w:rPr>
              <w:t>4.</w:t>
            </w:r>
            <w:r w:rsidR="00E355DE" w:rsidRPr="00701F32">
              <w:rPr>
                <w:rFonts w:ascii="Arial" w:hAnsi="Arial" w:cs="Arial"/>
                <w:sz w:val="20"/>
              </w:rPr>
              <w:t>647.818</w:t>
            </w:r>
          </w:p>
        </w:tc>
      </w:tr>
      <w:tr w:rsidR="00656E62" w:rsidRPr="00701F32" w14:paraId="7B6A9456" w14:textId="77777777" w:rsidTr="00C23045">
        <w:trPr>
          <w:trHeight w:val="205"/>
        </w:trPr>
        <w:tc>
          <w:tcPr>
            <w:tcW w:w="5028" w:type="dxa"/>
            <w:vAlign w:val="center"/>
          </w:tcPr>
          <w:p w14:paraId="2A535785" w14:textId="77777777" w:rsidR="00656E62" w:rsidRPr="00701F32" w:rsidRDefault="00656E62" w:rsidP="00464C0F">
            <w:pPr>
              <w:widowControl w:val="0"/>
              <w:autoSpaceDE w:val="0"/>
              <w:autoSpaceDN w:val="0"/>
              <w:adjustRightInd w:val="0"/>
              <w:jc w:val="both"/>
              <w:rPr>
                <w:rFonts w:ascii="Arial" w:hAnsi="Arial" w:cs="Arial"/>
                <w:noProof/>
                <w:sz w:val="20"/>
              </w:rPr>
            </w:pPr>
            <w:r w:rsidRPr="00701F32">
              <w:rPr>
                <w:rFonts w:ascii="Arial" w:hAnsi="Arial" w:cs="Arial"/>
                <w:noProof/>
                <w:sz w:val="20"/>
              </w:rPr>
              <w:t>- Reservas</w:t>
            </w:r>
          </w:p>
        </w:tc>
        <w:tc>
          <w:tcPr>
            <w:tcW w:w="2602" w:type="dxa"/>
            <w:vAlign w:val="bottom"/>
          </w:tcPr>
          <w:p w14:paraId="5A514901" w14:textId="77777777" w:rsidR="00656E62" w:rsidRPr="00701F32" w:rsidRDefault="00656E62" w:rsidP="00E355DE">
            <w:pPr>
              <w:jc w:val="right"/>
              <w:rPr>
                <w:rFonts w:ascii="Arial" w:hAnsi="Arial" w:cs="Arial"/>
                <w:sz w:val="20"/>
              </w:rPr>
            </w:pPr>
            <w:r w:rsidRPr="00701F32">
              <w:rPr>
                <w:rFonts w:ascii="Arial" w:hAnsi="Arial" w:cs="Arial"/>
                <w:sz w:val="20"/>
              </w:rPr>
              <w:t>3.</w:t>
            </w:r>
            <w:r w:rsidR="00E355DE" w:rsidRPr="00701F32">
              <w:rPr>
                <w:rFonts w:ascii="Arial" w:hAnsi="Arial" w:cs="Arial"/>
                <w:sz w:val="20"/>
              </w:rPr>
              <w:t>173.755</w:t>
            </w:r>
          </w:p>
        </w:tc>
      </w:tr>
      <w:tr w:rsidR="003A13FB" w:rsidRPr="00701F32" w14:paraId="4B65BE93" w14:textId="77777777" w:rsidTr="00C23045">
        <w:trPr>
          <w:trHeight w:val="205"/>
        </w:trPr>
        <w:tc>
          <w:tcPr>
            <w:tcW w:w="5028" w:type="dxa"/>
            <w:vAlign w:val="center"/>
          </w:tcPr>
          <w:p w14:paraId="42C99370" w14:textId="77777777" w:rsidR="003A13FB" w:rsidRPr="00701F32" w:rsidRDefault="003A13FB">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 Resultados no asignados </w:t>
            </w:r>
          </w:p>
        </w:tc>
        <w:tc>
          <w:tcPr>
            <w:tcW w:w="2602" w:type="dxa"/>
            <w:vAlign w:val="bottom"/>
          </w:tcPr>
          <w:p w14:paraId="4A2A149E" w14:textId="77777777" w:rsidR="003A13FB" w:rsidRPr="00701F32" w:rsidDel="00872814" w:rsidRDefault="00E65F5C">
            <w:pPr>
              <w:jc w:val="right"/>
              <w:rPr>
                <w:rFonts w:ascii="Arial" w:hAnsi="Arial" w:cs="Arial"/>
                <w:sz w:val="20"/>
              </w:rPr>
            </w:pPr>
            <w:r w:rsidRPr="00701F32">
              <w:rPr>
                <w:rFonts w:ascii="Arial" w:hAnsi="Arial" w:cs="Arial"/>
                <w:sz w:val="20"/>
              </w:rPr>
              <w:t>498.</w:t>
            </w:r>
            <w:r w:rsidR="00424B87" w:rsidRPr="00701F32">
              <w:rPr>
                <w:rFonts w:ascii="Arial" w:hAnsi="Arial" w:cs="Arial"/>
                <w:sz w:val="20"/>
              </w:rPr>
              <w:t>503</w:t>
            </w:r>
          </w:p>
        </w:tc>
      </w:tr>
      <w:tr w:rsidR="00E65F5C" w:rsidRPr="00701F32" w14:paraId="07D7E987" w14:textId="77777777" w:rsidTr="00C23045">
        <w:trPr>
          <w:trHeight w:val="205"/>
        </w:trPr>
        <w:tc>
          <w:tcPr>
            <w:tcW w:w="5028" w:type="dxa"/>
            <w:vAlign w:val="center"/>
          </w:tcPr>
          <w:p w14:paraId="194CEAB1" w14:textId="77777777" w:rsidR="00E65F5C" w:rsidRPr="00701F32" w:rsidRDefault="00E65F5C">
            <w:pPr>
              <w:widowControl w:val="0"/>
              <w:autoSpaceDE w:val="0"/>
              <w:autoSpaceDN w:val="0"/>
              <w:adjustRightInd w:val="0"/>
              <w:jc w:val="both"/>
              <w:rPr>
                <w:rFonts w:ascii="Arial" w:hAnsi="Arial" w:cs="Arial"/>
                <w:noProof/>
                <w:sz w:val="20"/>
              </w:rPr>
            </w:pPr>
            <w:r w:rsidRPr="00701F32">
              <w:rPr>
                <w:rFonts w:ascii="Arial" w:hAnsi="Arial" w:cs="Arial"/>
                <w:noProof/>
                <w:sz w:val="20"/>
              </w:rPr>
              <w:t>- Otros resultados integrales acumulados</w:t>
            </w:r>
          </w:p>
        </w:tc>
        <w:tc>
          <w:tcPr>
            <w:tcW w:w="2602" w:type="dxa"/>
            <w:vAlign w:val="bottom"/>
          </w:tcPr>
          <w:p w14:paraId="36D4413F" w14:textId="77777777" w:rsidR="00E65F5C" w:rsidRPr="00701F32" w:rsidRDefault="00E65F5C" w:rsidP="00E65F5C">
            <w:pPr>
              <w:jc w:val="right"/>
              <w:rPr>
                <w:rFonts w:ascii="Arial" w:hAnsi="Arial" w:cs="Arial"/>
                <w:sz w:val="20"/>
              </w:rPr>
            </w:pPr>
            <w:r w:rsidRPr="00701F32">
              <w:rPr>
                <w:rFonts w:ascii="Arial" w:hAnsi="Arial" w:cs="Arial"/>
                <w:sz w:val="20"/>
              </w:rPr>
              <w:t>147.358</w:t>
            </w:r>
          </w:p>
        </w:tc>
      </w:tr>
      <w:tr w:rsidR="00E65F5C" w:rsidRPr="00701F32" w14:paraId="2FE3971A" w14:textId="77777777" w:rsidTr="00C23045">
        <w:trPr>
          <w:trHeight w:val="442"/>
        </w:trPr>
        <w:tc>
          <w:tcPr>
            <w:tcW w:w="5028" w:type="dxa"/>
            <w:vAlign w:val="center"/>
          </w:tcPr>
          <w:p w14:paraId="01269924" w14:textId="77777777" w:rsidR="00E65F5C" w:rsidRPr="00701F32" w:rsidRDefault="00E65F5C" w:rsidP="00E65F5C">
            <w:pPr>
              <w:widowControl w:val="0"/>
              <w:autoSpaceDE w:val="0"/>
              <w:autoSpaceDN w:val="0"/>
              <w:adjustRightInd w:val="0"/>
              <w:jc w:val="both"/>
              <w:rPr>
                <w:rFonts w:ascii="Arial" w:hAnsi="Arial" w:cs="Arial"/>
                <w:b/>
                <w:noProof/>
                <w:sz w:val="20"/>
              </w:rPr>
            </w:pPr>
            <w:r w:rsidRPr="00701F32">
              <w:rPr>
                <w:rFonts w:ascii="Arial" w:hAnsi="Arial" w:cs="Arial"/>
                <w:b/>
                <w:noProof/>
                <w:sz w:val="20"/>
              </w:rPr>
              <w:t>Total del patrimonio neto</w:t>
            </w:r>
          </w:p>
        </w:tc>
        <w:tc>
          <w:tcPr>
            <w:tcW w:w="2602" w:type="dxa"/>
            <w:vAlign w:val="center"/>
          </w:tcPr>
          <w:p w14:paraId="40CDBD4A" w14:textId="77777777" w:rsidR="00E65F5C" w:rsidRPr="00701F32" w:rsidRDefault="00E65F5C">
            <w:pPr>
              <w:jc w:val="right"/>
              <w:rPr>
                <w:rFonts w:ascii="Arial" w:hAnsi="Arial" w:cs="Arial"/>
                <w:b/>
                <w:sz w:val="20"/>
              </w:rPr>
            </w:pPr>
            <w:r w:rsidRPr="00701F32">
              <w:rPr>
                <w:rFonts w:ascii="Arial" w:hAnsi="Arial" w:cs="Arial"/>
                <w:b/>
                <w:sz w:val="20"/>
              </w:rPr>
              <w:t>9.211.</w:t>
            </w:r>
            <w:r w:rsidR="00424B87" w:rsidRPr="00701F32">
              <w:rPr>
                <w:rFonts w:ascii="Arial" w:hAnsi="Arial" w:cs="Arial"/>
                <w:b/>
                <w:sz w:val="20"/>
              </w:rPr>
              <w:t>820</w:t>
            </w:r>
          </w:p>
        </w:tc>
      </w:tr>
    </w:tbl>
    <w:p w14:paraId="49288FDE" w14:textId="77777777" w:rsidR="00424B87" w:rsidRPr="00701F32" w:rsidRDefault="00424B87" w:rsidP="007532DD">
      <w:pPr>
        <w:tabs>
          <w:tab w:val="left" w:pos="709"/>
          <w:tab w:val="left" w:pos="851"/>
        </w:tabs>
        <w:ind w:left="284" w:right="51"/>
        <w:contextualSpacing/>
        <w:jc w:val="both"/>
        <w:rPr>
          <w:rFonts w:ascii="Arial" w:hAnsi="Arial" w:cs="Arial"/>
          <w:b/>
          <w:sz w:val="20"/>
        </w:rPr>
      </w:pPr>
    </w:p>
    <w:p w14:paraId="5BB712EA" w14:textId="77777777" w:rsidR="003E58B4" w:rsidRPr="00701F32" w:rsidRDefault="003E58B4" w:rsidP="003E58B4">
      <w:pPr>
        <w:tabs>
          <w:tab w:val="left" w:pos="142"/>
        </w:tabs>
        <w:jc w:val="both"/>
        <w:rPr>
          <w:rFonts w:ascii="Arial" w:hAnsi="Arial" w:cs="Arial"/>
          <w:b/>
          <w:sz w:val="20"/>
        </w:rPr>
      </w:pPr>
    </w:p>
    <w:p w14:paraId="21467DD2" w14:textId="77777777" w:rsidR="003E58B4" w:rsidRPr="00701F32" w:rsidRDefault="003E58B4">
      <w:pPr>
        <w:tabs>
          <w:tab w:val="left" w:pos="142"/>
        </w:tabs>
        <w:jc w:val="both"/>
        <w:rPr>
          <w:rFonts w:ascii="Arial" w:hAnsi="Arial" w:cs="Arial"/>
          <w:b/>
          <w:sz w:val="20"/>
        </w:rPr>
      </w:pPr>
      <w:r w:rsidRPr="00701F32">
        <w:rPr>
          <w:rFonts w:ascii="Arial" w:hAnsi="Arial" w:cs="Arial"/>
          <w:b/>
          <w:sz w:val="20"/>
        </w:rPr>
        <w:t xml:space="preserve">18. </w:t>
      </w:r>
      <w:r w:rsidRPr="00701F32">
        <w:rPr>
          <w:rFonts w:ascii="Arial" w:hAnsi="Arial" w:cs="Arial"/>
          <w:b/>
          <w:caps/>
          <w:sz w:val="20"/>
        </w:rPr>
        <w:t>Programa de Facilitación de Financiamiento al Comercio Exterior</w:t>
      </w:r>
    </w:p>
    <w:p w14:paraId="2855979D" w14:textId="77777777" w:rsidR="003E58B4" w:rsidRPr="00701F32" w:rsidRDefault="003E58B4" w:rsidP="003E58B4">
      <w:pPr>
        <w:widowControl w:val="0"/>
        <w:autoSpaceDE w:val="0"/>
        <w:autoSpaceDN w:val="0"/>
        <w:adjustRightInd w:val="0"/>
        <w:jc w:val="both"/>
        <w:rPr>
          <w:rFonts w:ascii="Arial" w:hAnsi="Arial" w:cs="Arial"/>
          <w:noProof/>
          <w:sz w:val="20"/>
        </w:rPr>
      </w:pPr>
    </w:p>
    <w:p w14:paraId="76A62FF5" w14:textId="029CD016"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El Banco mantiene activos los siguientes convenios: 1) Programa de Facilitación de Financiamiento al Comercio Exterior del Banco Interamericano de Desarrollo (BID), cuya línea asciende a USD 20.000.000 (dólares estadounidenses veinte millones) y 2)  el Global Trade Finance Program de la Corporación Financiera Internacional (IFC), cuya línea asciende a USD 30.000.000 (dólares estadounidenses treinta millones). </w:t>
      </w:r>
    </w:p>
    <w:p w14:paraId="608AC69C" w14:textId="77777777" w:rsidR="003E58B4" w:rsidRPr="00701F32" w:rsidRDefault="003E58B4" w:rsidP="003E58B4">
      <w:pPr>
        <w:widowControl w:val="0"/>
        <w:autoSpaceDE w:val="0"/>
        <w:autoSpaceDN w:val="0"/>
        <w:adjustRightInd w:val="0"/>
        <w:jc w:val="both"/>
        <w:rPr>
          <w:rFonts w:ascii="Arial" w:hAnsi="Arial" w:cs="Arial"/>
          <w:noProof/>
          <w:sz w:val="20"/>
        </w:rPr>
      </w:pPr>
    </w:p>
    <w:p w14:paraId="46F22B35" w14:textId="54E791CA"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 xml:space="preserve">Por otra parte, el Banco instrumentó con BID un préstamo en dos tramos totalizando USD 133.500.000. Los desembolsados fueron los siguientes: tramo A por USD 40 Millones en Diciembre del 2017 (USD 35 MM son a un plazo de 3 años y USD 5 Millones a un plazo de 5 años) y el tramo B, por USD 93.5 Millones en Junio del 2018 a un plazo de dos años y medio. </w:t>
      </w:r>
    </w:p>
    <w:p w14:paraId="5370769B" w14:textId="77777777" w:rsidR="003E58B4" w:rsidRPr="00701F32" w:rsidRDefault="003E58B4" w:rsidP="003E58B4">
      <w:pPr>
        <w:widowControl w:val="0"/>
        <w:autoSpaceDE w:val="0"/>
        <w:autoSpaceDN w:val="0"/>
        <w:adjustRightInd w:val="0"/>
        <w:jc w:val="both"/>
        <w:rPr>
          <w:rFonts w:ascii="Arial" w:hAnsi="Arial" w:cs="Arial"/>
          <w:noProof/>
          <w:sz w:val="20"/>
        </w:rPr>
      </w:pPr>
    </w:p>
    <w:p w14:paraId="1C82F6CC" w14:textId="77777777"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Corresponde señalar que dicho convenio se encuentra subordinado al cumplimiento de determinados covenants financieros, ciertas obligaciones de hacer y no hacer, como así también ciertos requerimientos de información.</w:t>
      </w:r>
    </w:p>
    <w:p w14:paraId="6742A575" w14:textId="77777777" w:rsidR="003E58B4" w:rsidRPr="00701F32" w:rsidRDefault="003E58B4" w:rsidP="003E58B4">
      <w:pPr>
        <w:widowControl w:val="0"/>
        <w:autoSpaceDE w:val="0"/>
        <w:autoSpaceDN w:val="0"/>
        <w:adjustRightInd w:val="0"/>
        <w:jc w:val="both"/>
        <w:rPr>
          <w:rFonts w:ascii="Arial" w:hAnsi="Arial" w:cs="Arial"/>
          <w:noProof/>
          <w:sz w:val="20"/>
        </w:rPr>
      </w:pPr>
    </w:p>
    <w:p w14:paraId="02D25FEF" w14:textId="77777777" w:rsidR="003E58B4" w:rsidRPr="00701F32" w:rsidRDefault="003E58B4" w:rsidP="003E58B4">
      <w:pPr>
        <w:widowControl w:val="0"/>
        <w:autoSpaceDE w:val="0"/>
        <w:autoSpaceDN w:val="0"/>
        <w:adjustRightInd w:val="0"/>
        <w:jc w:val="both"/>
        <w:rPr>
          <w:rFonts w:ascii="Arial" w:hAnsi="Arial" w:cs="Arial"/>
          <w:noProof/>
          <w:sz w:val="20"/>
        </w:rPr>
      </w:pPr>
      <w:r w:rsidRPr="00701F32">
        <w:rPr>
          <w:rFonts w:ascii="Arial" w:hAnsi="Arial" w:cs="Arial"/>
          <w:noProof/>
          <w:sz w:val="20"/>
        </w:rPr>
        <w:t>A la fecha de los presentes estados financieros, la entidad se encuentra encuadrada en el cumplimiento de las obligaciones mencionadas.</w:t>
      </w:r>
    </w:p>
    <w:p w14:paraId="4D1D2696" w14:textId="77777777" w:rsidR="003E58B4" w:rsidRPr="00701F32" w:rsidRDefault="003E58B4" w:rsidP="007532DD">
      <w:pPr>
        <w:tabs>
          <w:tab w:val="left" w:pos="709"/>
          <w:tab w:val="left" w:pos="851"/>
        </w:tabs>
        <w:ind w:left="284" w:right="51"/>
        <w:contextualSpacing/>
        <w:jc w:val="both"/>
        <w:rPr>
          <w:rFonts w:ascii="Arial" w:hAnsi="Arial" w:cs="Arial"/>
          <w:b/>
          <w:sz w:val="20"/>
        </w:rPr>
      </w:pPr>
    </w:p>
    <w:p w14:paraId="725E288C" w14:textId="77777777" w:rsidR="003E58B4" w:rsidRPr="00701F32" w:rsidRDefault="003E58B4" w:rsidP="007532DD">
      <w:pPr>
        <w:tabs>
          <w:tab w:val="left" w:pos="709"/>
          <w:tab w:val="left" w:pos="851"/>
        </w:tabs>
        <w:ind w:left="284" w:right="51"/>
        <w:contextualSpacing/>
        <w:jc w:val="both"/>
        <w:rPr>
          <w:rFonts w:ascii="Arial" w:hAnsi="Arial" w:cs="Arial"/>
          <w:b/>
          <w:sz w:val="20"/>
        </w:rPr>
      </w:pPr>
    </w:p>
    <w:p w14:paraId="3424262B" w14:textId="4BF56A8F" w:rsidR="00D26299" w:rsidRPr="00701F32" w:rsidRDefault="00D26299" w:rsidP="007532DD">
      <w:pPr>
        <w:tabs>
          <w:tab w:val="left" w:pos="709"/>
          <w:tab w:val="left" w:pos="851"/>
        </w:tabs>
        <w:ind w:left="284" w:right="51"/>
        <w:contextualSpacing/>
        <w:jc w:val="both"/>
        <w:rPr>
          <w:rFonts w:ascii="Arial" w:hAnsi="Arial" w:cs="Arial"/>
          <w:b/>
          <w:sz w:val="20"/>
        </w:rPr>
        <w:sectPr w:rsidR="00D26299" w:rsidRPr="00701F32" w:rsidSect="007045C3">
          <w:headerReference w:type="default" r:id="rId78"/>
          <w:pgSz w:w="11907" w:h="16839" w:code="9"/>
          <w:pgMar w:top="1418" w:right="1701" w:bottom="1418" w:left="1701" w:header="567" w:footer="0" w:gutter="0"/>
          <w:paperSrc w:first="256" w:other="256"/>
          <w:cols w:space="720"/>
          <w:docGrid w:linePitch="326"/>
        </w:sectPr>
      </w:pPr>
    </w:p>
    <w:p w14:paraId="69D91663" w14:textId="2EB0C1D0" w:rsidR="007532DD" w:rsidRPr="00701F32" w:rsidRDefault="00EA0E87" w:rsidP="007532DD">
      <w:pPr>
        <w:tabs>
          <w:tab w:val="left" w:pos="709"/>
          <w:tab w:val="left" w:pos="851"/>
        </w:tabs>
        <w:ind w:left="284" w:right="51"/>
        <w:contextualSpacing/>
        <w:jc w:val="both"/>
        <w:rPr>
          <w:rFonts w:ascii="Arial" w:hAnsi="Arial" w:cs="Arial"/>
          <w:sz w:val="20"/>
        </w:rPr>
      </w:pPr>
      <w:r w:rsidRPr="00701F32">
        <w:rPr>
          <w:noProof/>
          <w:lang w:eastAsia="es-AR"/>
        </w:rPr>
        <w:drawing>
          <wp:anchor distT="0" distB="0" distL="114300" distR="114300" simplePos="0" relativeHeight="251643392" behindDoc="0" locked="0" layoutInCell="1" allowOverlap="1" wp14:anchorId="635334D0" wp14:editId="4DF74151">
            <wp:simplePos x="0" y="0"/>
            <wp:positionH relativeFrom="column">
              <wp:posOffset>-191614</wp:posOffset>
            </wp:positionH>
            <wp:positionV relativeFrom="paragraph">
              <wp:posOffset>-75325</wp:posOffset>
            </wp:positionV>
            <wp:extent cx="5831456" cy="7034087"/>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31456" cy="7034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CBAD7" w14:textId="77777777" w:rsidR="00D26299" w:rsidRPr="00701F32" w:rsidRDefault="00D26299" w:rsidP="007532DD">
      <w:pPr>
        <w:tabs>
          <w:tab w:val="left" w:pos="709"/>
          <w:tab w:val="left" w:pos="851"/>
        </w:tabs>
        <w:ind w:left="284" w:right="51"/>
        <w:contextualSpacing/>
        <w:jc w:val="both"/>
        <w:rPr>
          <w:rFonts w:ascii="Arial" w:hAnsi="Arial" w:cs="Arial"/>
          <w:sz w:val="20"/>
        </w:rPr>
      </w:pPr>
    </w:p>
    <w:p w14:paraId="5CD8B30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058129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DCE13E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5DE781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2B1ACD2"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53FE369"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F03F502"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5DB1A9A"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1986DB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FB61BB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851F64E"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B62B214"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456756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3E26C26"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05BBA1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9FE8E06"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559B403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FFB551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7FD699E"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FC9A6B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60CBB6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17E35DD"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1E511CA"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BE8363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673DE6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627F5C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60C9D6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CFF1E2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5235B98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21B62AE"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FA5A9F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1765334"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362D00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0D26F3C"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402257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16429D0"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AA4D36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04ECAC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9C6A650"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4E7195D"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0C4D78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A8C5E1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6022CF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C83B156"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336ED2A" w14:textId="02024BED" w:rsidR="00871CAF" w:rsidRPr="00701F32" w:rsidRDefault="00EA0E87" w:rsidP="007532DD">
      <w:pPr>
        <w:tabs>
          <w:tab w:val="left" w:pos="709"/>
          <w:tab w:val="left" w:pos="851"/>
        </w:tabs>
        <w:ind w:left="284" w:right="51"/>
        <w:contextualSpacing/>
        <w:jc w:val="both"/>
        <w:rPr>
          <w:rFonts w:ascii="Arial" w:hAnsi="Arial" w:cs="Arial"/>
          <w:sz w:val="20"/>
        </w:rPr>
      </w:pPr>
      <w:r w:rsidRPr="00701F32">
        <w:rPr>
          <w:noProof/>
          <w:lang w:eastAsia="es-AR"/>
        </w:rPr>
        <w:drawing>
          <wp:anchor distT="0" distB="0" distL="114300" distR="114300" simplePos="0" relativeHeight="251645440" behindDoc="0" locked="0" layoutInCell="1" allowOverlap="1" wp14:anchorId="4C647FC8" wp14:editId="3A4A9B06">
            <wp:simplePos x="0" y="0"/>
            <wp:positionH relativeFrom="column">
              <wp:posOffset>-303757</wp:posOffset>
            </wp:positionH>
            <wp:positionV relativeFrom="paragraph">
              <wp:posOffset>62697</wp:posOffset>
            </wp:positionV>
            <wp:extent cx="6064370" cy="6470087"/>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4975" cy="6470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0B38" w14:textId="765FEEF8" w:rsidR="00871CAF" w:rsidRPr="00701F32" w:rsidRDefault="00871CAF" w:rsidP="007532DD">
      <w:pPr>
        <w:tabs>
          <w:tab w:val="left" w:pos="709"/>
          <w:tab w:val="left" w:pos="851"/>
        </w:tabs>
        <w:ind w:left="284" w:right="51"/>
        <w:contextualSpacing/>
        <w:jc w:val="both"/>
        <w:rPr>
          <w:rFonts w:ascii="Arial" w:hAnsi="Arial" w:cs="Arial"/>
          <w:sz w:val="20"/>
        </w:rPr>
      </w:pPr>
    </w:p>
    <w:p w14:paraId="26FC4E92"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85EFEB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F5FB8B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63DD0F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C8786EE"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6500618"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70691F3"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219D8D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54A08779"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2D79FED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C32DF7E"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6B4A6A4"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5B698817"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A96C221"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4A25BC9"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63A7E1C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A8E164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7FA0426"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D7E1BE4"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A00DDD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E4C073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5BD3E6B"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8105143"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50A2845"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1B7A9F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6E0167B0"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6F3B2CA"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0E1EBFE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4CB5F16A"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AFB552F"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16FFD893"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7024337A"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37D7B260" w14:textId="77777777" w:rsidR="00871CAF" w:rsidRPr="00701F32" w:rsidRDefault="00871CAF" w:rsidP="007532DD">
      <w:pPr>
        <w:tabs>
          <w:tab w:val="left" w:pos="709"/>
          <w:tab w:val="left" w:pos="851"/>
        </w:tabs>
        <w:ind w:left="284" w:right="51"/>
        <w:contextualSpacing/>
        <w:jc w:val="both"/>
        <w:rPr>
          <w:rFonts w:ascii="Arial" w:hAnsi="Arial" w:cs="Arial"/>
          <w:sz w:val="20"/>
        </w:rPr>
      </w:pPr>
    </w:p>
    <w:p w14:paraId="68E2EBCF" w14:textId="77777777" w:rsidR="00871CAF" w:rsidRPr="00701F32" w:rsidRDefault="00871CAF" w:rsidP="007532DD">
      <w:pPr>
        <w:tabs>
          <w:tab w:val="left" w:pos="709"/>
          <w:tab w:val="left" w:pos="851"/>
        </w:tabs>
        <w:ind w:left="284" w:right="51"/>
        <w:contextualSpacing/>
        <w:jc w:val="both"/>
        <w:rPr>
          <w:rFonts w:ascii="Arial" w:hAnsi="Arial" w:cs="Arial"/>
          <w:sz w:val="20"/>
        </w:rPr>
        <w:sectPr w:rsidR="00871CAF" w:rsidRPr="00701F32" w:rsidSect="007045C3">
          <w:headerReference w:type="default" r:id="rId81"/>
          <w:pgSz w:w="11907" w:h="16839" w:code="9"/>
          <w:pgMar w:top="1418" w:right="1701" w:bottom="1418" w:left="1701" w:header="567" w:footer="0" w:gutter="0"/>
          <w:paperSrc w:first="256" w:other="256"/>
          <w:cols w:space="720"/>
          <w:docGrid w:linePitch="326"/>
        </w:sectPr>
      </w:pPr>
    </w:p>
    <w:p w14:paraId="647D435B" w14:textId="7EBF4C9F" w:rsidR="00D26299" w:rsidRPr="00701F32" w:rsidRDefault="00B239EA" w:rsidP="007532DD">
      <w:pPr>
        <w:tabs>
          <w:tab w:val="left" w:pos="709"/>
          <w:tab w:val="left" w:pos="851"/>
        </w:tabs>
        <w:ind w:left="284" w:right="51"/>
        <w:contextualSpacing/>
        <w:jc w:val="both"/>
        <w:rPr>
          <w:rFonts w:ascii="Arial" w:hAnsi="Arial" w:cs="Arial"/>
          <w:sz w:val="20"/>
        </w:rPr>
      </w:pPr>
      <w:r w:rsidRPr="00701F32">
        <w:rPr>
          <w:noProof/>
          <w:lang w:eastAsia="es-AR"/>
        </w:rPr>
        <w:drawing>
          <wp:inline distT="0" distB="0" distL="0" distR="0" wp14:anchorId="5DBE334C" wp14:editId="349D255C">
            <wp:extent cx="5245301" cy="6251944"/>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48921" cy="6256259"/>
                    </a:xfrm>
                    <a:prstGeom prst="rect">
                      <a:avLst/>
                    </a:prstGeom>
                    <a:noFill/>
                    <a:ln>
                      <a:noFill/>
                    </a:ln>
                  </pic:spPr>
                </pic:pic>
              </a:graphicData>
            </a:graphic>
          </wp:inline>
        </w:drawing>
      </w:r>
    </w:p>
    <w:p w14:paraId="0BAF0906" w14:textId="77777777" w:rsidR="009F7A13" w:rsidRPr="00701F32" w:rsidRDefault="009F7A13" w:rsidP="007532DD">
      <w:pPr>
        <w:tabs>
          <w:tab w:val="left" w:pos="709"/>
          <w:tab w:val="left" w:pos="851"/>
        </w:tabs>
        <w:ind w:left="284" w:right="51"/>
        <w:contextualSpacing/>
        <w:jc w:val="both"/>
        <w:rPr>
          <w:rFonts w:ascii="Arial" w:hAnsi="Arial" w:cs="Arial"/>
          <w:sz w:val="20"/>
        </w:rPr>
      </w:pPr>
    </w:p>
    <w:p w14:paraId="348DEE20" w14:textId="1DCE4128" w:rsidR="00871CAF" w:rsidRPr="00701F32" w:rsidRDefault="009F7A13" w:rsidP="007532DD">
      <w:pPr>
        <w:tabs>
          <w:tab w:val="left" w:pos="709"/>
          <w:tab w:val="left" w:pos="851"/>
        </w:tabs>
        <w:ind w:left="284" w:right="51"/>
        <w:contextualSpacing/>
        <w:jc w:val="both"/>
        <w:rPr>
          <w:rFonts w:ascii="Arial" w:hAnsi="Arial" w:cs="Arial"/>
          <w:sz w:val="20"/>
        </w:rPr>
      </w:pPr>
      <w:r w:rsidRPr="00701F32">
        <w:rPr>
          <w:noProof/>
          <w:lang w:eastAsia="es-AR"/>
        </w:rPr>
        <w:drawing>
          <wp:anchor distT="0" distB="0" distL="114300" distR="114300" simplePos="0" relativeHeight="251665920" behindDoc="0" locked="0" layoutInCell="1" allowOverlap="1" wp14:anchorId="2FF3455A" wp14:editId="185EBE0D">
            <wp:simplePos x="0" y="0"/>
            <wp:positionH relativeFrom="column">
              <wp:posOffset>163874</wp:posOffset>
            </wp:positionH>
            <wp:positionV relativeFrom="paragraph">
              <wp:posOffset>-215560</wp:posOffset>
            </wp:positionV>
            <wp:extent cx="4932658" cy="5018567"/>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34040" cy="5019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CED05" w14:textId="77777777" w:rsidR="00601EBA" w:rsidRPr="00701F32" w:rsidRDefault="00601EBA" w:rsidP="007532DD">
      <w:pPr>
        <w:tabs>
          <w:tab w:val="left" w:pos="709"/>
          <w:tab w:val="left" w:pos="851"/>
        </w:tabs>
        <w:ind w:left="284" w:right="51"/>
        <w:contextualSpacing/>
        <w:jc w:val="both"/>
        <w:rPr>
          <w:rFonts w:ascii="Arial" w:hAnsi="Arial" w:cs="Arial"/>
          <w:sz w:val="20"/>
        </w:rPr>
      </w:pPr>
    </w:p>
    <w:p w14:paraId="642D9BCD" w14:textId="77777777" w:rsidR="00601EBA" w:rsidRPr="00701F32" w:rsidRDefault="00601EBA" w:rsidP="007532DD">
      <w:pPr>
        <w:tabs>
          <w:tab w:val="left" w:pos="709"/>
          <w:tab w:val="left" w:pos="851"/>
        </w:tabs>
        <w:ind w:left="284" w:right="51"/>
        <w:contextualSpacing/>
        <w:jc w:val="both"/>
        <w:rPr>
          <w:rFonts w:ascii="Arial" w:hAnsi="Arial" w:cs="Arial"/>
          <w:sz w:val="20"/>
        </w:rPr>
      </w:pPr>
    </w:p>
    <w:p w14:paraId="43F502F6" w14:textId="77777777" w:rsidR="00F879F9" w:rsidRPr="00701F32" w:rsidRDefault="00F879F9" w:rsidP="00F879F9">
      <w:pPr>
        <w:rPr>
          <w:sz w:val="20"/>
        </w:rPr>
      </w:pPr>
    </w:p>
    <w:p w14:paraId="297F8032" w14:textId="77777777" w:rsidR="007C794F" w:rsidRPr="00701F32" w:rsidRDefault="007C794F" w:rsidP="008962C9"/>
    <w:p w14:paraId="70410CF6" w14:textId="77777777" w:rsidR="009F7A13" w:rsidRPr="00701F32" w:rsidRDefault="009F7A13" w:rsidP="008962C9"/>
    <w:p w14:paraId="7E9DB78F" w14:textId="6F267104" w:rsidR="009F7A13" w:rsidRPr="00701F32" w:rsidRDefault="00C003E8" w:rsidP="008962C9">
      <w:pPr>
        <w:sectPr w:rsidR="009F7A13" w:rsidRPr="00701F32" w:rsidSect="007045C3">
          <w:headerReference w:type="default" r:id="rId84"/>
          <w:pgSz w:w="11907" w:h="16839" w:code="9"/>
          <w:pgMar w:top="1418" w:right="1701" w:bottom="1418" w:left="1701" w:header="567" w:footer="0" w:gutter="0"/>
          <w:paperSrc w:first="256" w:other="256"/>
          <w:cols w:space="720"/>
          <w:docGrid w:linePitch="326"/>
        </w:sectPr>
      </w:pPr>
      <w:r w:rsidRPr="00701F32">
        <w:rPr>
          <w:noProof/>
          <w:lang w:eastAsia="es-AR"/>
        </w:rPr>
        <w:drawing>
          <wp:anchor distT="0" distB="0" distL="114300" distR="114300" simplePos="0" relativeHeight="251670016" behindDoc="0" locked="0" layoutInCell="1" allowOverlap="1" wp14:anchorId="044D12F0" wp14:editId="24C4D708">
            <wp:simplePos x="0" y="0"/>
            <wp:positionH relativeFrom="column">
              <wp:posOffset>148590</wp:posOffset>
            </wp:positionH>
            <wp:positionV relativeFrom="paragraph">
              <wp:posOffset>4247515</wp:posOffset>
            </wp:positionV>
            <wp:extent cx="4686300" cy="1149469"/>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6300" cy="1149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5B610" w14:textId="2576E5F4" w:rsidR="007C794F" w:rsidRPr="00701F32" w:rsidRDefault="00162495" w:rsidP="008962C9">
      <w:r w:rsidRPr="00701F32">
        <w:t xml:space="preserve"> </w:t>
      </w:r>
      <w:r w:rsidR="00B239EA" w:rsidRPr="00701F32">
        <w:rPr>
          <w:noProof/>
          <w:lang w:eastAsia="es-AR"/>
        </w:rPr>
        <w:drawing>
          <wp:inline distT="0" distB="0" distL="0" distR="0" wp14:anchorId="15229666" wp14:editId="63406E28">
            <wp:extent cx="5628491" cy="2794958"/>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9053" cy="2795237"/>
                    </a:xfrm>
                    <a:prstGeom prst="rect">
                      <a:avLst/>
                    </a:prstGeom>
                    <a:noFill/>
                    <a:ln>
                      <a:noFill/>
                    </a:ln>
                  </pic:spPr>
                </pic:pic>
              </a:graphicData>
            </a:graphic>
          </wp:inline>
        </w:drawing>
      </w:r>
    </w:p>
    <w:p w14:paraId="28064A9F" w14:textId="77777777" w:rsidR="00425F99" w:rsidRPr="00701F32" w:rsidRDefault="00425F99" w:rsidP="008962C9">
      <w:pPr>
        <w:rPr>
          <w:lang w:val="en-US"/>
        </w:rPr>
      </w:pPr>
    </w:p>
    <w:p w14:paraId="14698231" w14:textId="77777777" w:rsidR="00425F99" w:rsidRPr="00701F32" w:rsidRDefault="00425F99" w:rsidP="008962C9">
      <w:pPr>
        <w:rPr>
          <w:lang w:val="en-US"/>
        </w:rPr>
      </w:pPr>
    </w:p>
    <w:p w14:paraId="2EB44FC5" w14:textId="77777777" w:rsidR="00425F99" w:rsidRPr="00701F32" w:rsidRDefault="00425F99" w:rsidP="008962C9">
      <w:pPr>
        <w:rPr>
          <w:lang w:val="en-US"/>
        </w:rPr>
        <w:sectPr w:rsidR="00425F99" w:rsidRPr="00701F32" w:rsidSect="007045C3">
          <w:headerReference w:type="default" r:id="rId87"/>
          <w:pgSz w:w="11907" w:h="16839" w:code="9"/>
          <w:pgMar w:top="1418" w:right="1701" w:bottom="1418" w:left="1701" w:header="567" w:footer="0" w:gutter="0"/>
          <w:paperSrc w:first="256" w:other="256"/>
          <w:cols w:space="720"/>
          <w:docGrid w:linePitch="326"/>
        </w:sectPr>
      </w:pPr>
    </w:p>
    <w:p w14:paraId="5664F45C" w14:textId="5BCE89EF" w:rsidR="007C794F" w:rsidRPr="00701F32" w:rsidRDefault="007C794F" w:rsidP="008962C9">
      <w:pPr>
        <w:rPr>
          <w:lang w:val="en-US"/>
        </w:rPr>
      </w:pPr>
    </w:p>
    <w:p w14:paraId="79FF454F" w14:textId="1D8E8026" w:rsidR="00425F99" w:rsidRPr="00701F32" w:rsidRDefault="0036361E" w:rsidP="008962C9">
      <w:pPr>
        <w:rPr>
          <w:lang w:val="en-US"/>
        </w:rPr>
      </w:pPr>
      <w:r w:rsidRPr="00701F32">
        <w:rPr>
          <w:noProof/>
          <w:lang w:eastAsia="es-AR"/>
        </w:rPr>
        <w:drawing>
          <wp:anchor distT="0" distB="0" distL="114300" distR="114300" simplePos="0" relativeHeight="251659776" behindDoc="0" locked="0" layoutInCell="1" allowOverlap="1" wp14:anchorId="6BF899BB" wp14:editId="7ED701F9">
            <wp:simplePos x="0" y="0"/>
            <wp:positionH relativeFrom="column">
              <wp:posOffset>-410210</wp:posOffset>
            </wp:positionH>
            <wp:positionV relativeFrom="paragraph">
              <wp:posOffset>150495</wp:posOffset>
            </wp:positionV>
            <wp:extent cx="6195695" cy="2392045"/>
            <wp:effectExtent l="0" t="0" r="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56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2EA60" w14:textId="120A090A" w:rsidR="00425F99" w:rsidRPr="00701F32" w:rsidRDefault="007251AB" w:rsidP="008962C9">
      <w:pPr>
        <w:rPr>
          <w:lang w:val="en-US"/>
        </w:rPr>
      </w:pPr>
      <w:r w:rsidRPr="00701F32">
        <w:rPr>
          <w:lang w:val="en-US"/>
        </w:rPr>
        <w:t xml:space="preserve"> </w:t>
      </w:r>
    </w:p>
    <w:p w14:paraId="5DB63652" w14:textId="77777777" w:rsidR="00425F99" w:rsidRPr="00701F32" w:rsidRDefault="00425F99" w:rsidP="008962C9">
      <w:pPr>
        <w:rPr>
          <w:lang w:val="en-US"/>
        </w:rPr>
        <w:sectPr w:rsidR="00425F99" w:rsidRPr="00701F32" w:rsidSect="007045C3">
          <w:headerReference w:type="default" r:id="rId89"/>
          <w:pgSz w:w="11907" w:h="16839" w:code="9"/>
          <w:pgMar w:top="1418" w:right="1701" w:bottom="1418" w:left="1701" w:header="567" w:footer="0" w:gutter="0"/>
          <w:paperSrc w:first="256" w:other="256"/>
          <w:cols w:space="720"/>
          <w:docGrid w:linePitch="326"/>
        </w:sectPr>
      </w:pPr>
    </w:p>
    <w:p w14:paraId="324ED2A3" w14:textId="2D5E2793" w:rsidR="00425F99" w:rsidRPr="00701F32" w:rsidRDefault="00B239EA" w:rsidP="008962C9">
      <w:pPr>
        <w:rPr>
          <w:lang w:val="en-US"/>
        </w:rPr>
      </w:pPr>
      <w:r w:rsidRPr="00701F32">
        <w:rPr>
          <w:noProof/>
          <w:lang w:eastAsia="es-AR"/>
        </w:rPr>
        <w:drawing>
          <wp:anchor distT="0" distB="0" distL="114300" distR="114300" simplePos="0" relativeHeight="251647488" behindDoc="0" locked="0" layoutInCell="1" allowOverlap="1" wp14:anchorId="594FBCFC" wp14:editId="24AFAE2B">
            <wp:simplePos x="0" y="0"/>
            <wp:positionH relativeFrom="column">
              <wp:posOffset>-210317</wp:posOffset>
            </wp:positionH>
            <wp:positionV relativeFrom="paragraph">
              <wp:posOffset>-255282</wp:posOffset>
            </wp:positionV>
            <wp:extent cx="9530451" cy="3096883"/>
            <wp:effectExtent l="0" t="0" r="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9805" cy="3096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391CE" w14:textId="77777777" w:rsidR="00425F99" w:rsidRPr="00701F32" w:rsidRDefault="00425F99" w:rsidP="008962C9">
      <w:pPr>
        <w:rPr>
          <w:lang w:val="en-US"/>
        </w:rPr>
      </w:pPr>
    </w:p>
    <w:p w14:paraId="5F2D5677" w14:textId="77777777" w:rsidR="00425F99" w:rsidRPr="00701F32" w:rsidRDefault="00425F99" w:rsidP="008962C9">
      <w:pPr>
        <w:rPr>
          <w:lang w:val="en-US"/>
        </w:rPr>
        <w:sectPr w:rsidR="00425F99" w:rsidRPr="00701F32" w:rsidSect="00425F99">
          <w:headerReference w:type="default" r:id="rId91"/>
          <w:pgSz w:w="16839" w:h="11907" w:orient="landscape" w:code="9"/>
          <w:pgMar w:top="1701" w:right="1418" w:bottom="1701" w:left="1418" w:header="567" w:footer="0" w:gutter="0"/>
          <w:paperSrc w:first="256" w:other="256"/>
          <w:cols w:space="720"/>
          <w:docGrid w:linePitch="326"/>
        </w:sectPr>
      </w:pPr>
    </w:p>
    <w:p w14:paraId="695AE9C5" w14:textId="18581C77" w:rsidR="00425F99" w:rsidRPr="00701F32" w:rsidRDefault="00C03436" w:rsidP="008962C9">
      <w:pPr>
        <w:rPr>
          <w:lang w:val="en-US"/>
        </w:rPr>
      </w:pPr>
      <w:r w:rsidRPr="00701F32">
        <w:rPr>
          <w:noProof/>
          <w:lang w:eastAsia="es-AR"/>
        </w:rPr>
        <w:drawing>
          <wp:inline distT="0" distB="0" distL="0" distR="0" wp14:anchorId="6BA9FDB4" wp14:editId="0B5BE6F9">
            <wp:extent cx="8891905" cy="2663708"/>
            <wp:effectExtent l="0" t="0" r="444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91905" cy="2663708"/>
                    </a:xfrm>
                    <a:prstGeom prst="rect">
                      <a:avLst/>
                    </a:prstGeom>
                    <a:noFill/>
                    <a:ln>
                      <a:noFill/>
                    </a:ln>
                  </pic:spPr>
                </pic:pic>
              </a:graphicData>
            </a:graphic>
          </wp:inline>
        </w:drawing>
      </w:r>
    </w:p>
    <w:p w14:paraId="5FC722E6" w14:textId="77777777" w:rsidR="00425F99" w:rsidRPr="00701F32" w:rsidRDefault="00425F99" w:rsidP="008962C9">
      <w:pPr>
        <w:rPr>
          <w:lang w:val="en-US"/>
        </w:rPr>
      </w:pPr>
    </w:p>
    <w:p w14:paraId="7592C6D1" w14:textId="77777777" w:rsidR="00425F99" w:rsidRPr="00701F32" w:rsidRDefault="00425F99" w:rsidP="008962C9">
      <w:pPr>
        <w:rPr>
          <w:lang w:val="en-US"/>
        </w:rPr>
      </w:pPr>
    </w:p>
    <w:p w14:paraId="1AE22408" w14:textId="77777777" w:rsidR="00F55C3D" w:rsidRPr="00701F32" w:rsidRDefault="00F55C3D" w:rsidP="008962C9">
      <w:pPr>
        <w:rPr>
          <w:lang w:val="en-US"/>
        </w:rPr>
      </w:pPr>
    </w:p>
    <w:p w14:paraId="708D1428" w14:textId="77777777" w:rsidR="00F55C3D" w:rsidRPr="00701F32" w:rsidRDefault="00F55C3D" w:rsidP="008962C9">
      <w:pPr>
        <w:rPr>
          <w:lang w:val="en-US"/>
        </w:rPr>
      </w:pPr>
    </w:p>
    <w:p w14:paraId="6F4B26C8" w14:textId="52D0DC42" w:rsidR="00F55C3D" w:rsidRPr="00701F32" w:rsidRDefault="00A8221E" w:rsidP="00831174">
      <w:pPr>
        <w:jc w:val="center"/>
        <w:rPr>
          <w:lang w:val="en-US"/>
        </w:rPr>
        <w:sectPr w:rsidR="00F55C3D" w:rsidRPr="00701F32" w:rsidSect="00F55C3D">
          <w:headerReference w:type="default" r:id="rId93"/>
          <w:pgSz w:w="16839" w:h="11907" w:orient="landscape" w:code="9"/>
          <w:pgMar w:top="1701" w:right="1418" w:bottom="1701" w:left="1418" w:header="567" w:footer="0" w:gutter="0"/>
          <w:paperSrc w:first="256" w:other="256"/>
          <w:cols w:space="720"/>
          <w:docGrid w:linePitch="326"/>
        </w:sectPr>
      </w:pPr>
      <w:r w:rsidRPr="00701F32">
        <w:rPr>
          <w:noProof/>
          <w:lang w:eastAsia="es-AR"/>
        </w:rPr>
        <w:drawing>
          <wp:inline distT="0" distB="0" distL="0" distR="0" wp14:anchorId="7FDDB6DB" wp14:editId="797E3BFD">
            <wp:extent cx="7108190" cy="191516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08190" cy="1915160"/>
                    </a:xfrm>
                    <a:prstGeom prst="rect">
                      <a:avLst/>
                    </a:prstGeom>
                    <a:noFill/>
                    <a:ln>
                      <a:noFill/>
                    </a:ln>
                  </pic:spPr>
                </pic:pic>
              </a:graphicData>
            </a:graphic>
          </wp:inline>
        </w:drawing>
      </w:r>
    </w:p>
    <w:p w14:paraId="311BC85C" w14:textId="4C7BC68E" w:rsidR="00425F99" w:rsidRPr="00701F32" w:rsidRDefault="00C34A4D" w:rsidP="00831174">
      <w:pPr>
        <w:jc w:val="center"/>
        <w:rPr>
          <w:lang w:val="en-US"/>
        </w:rPr>
      </w:pPr>
      <w:r w:rsidRPr="00701F32">
        <w:rPr>
          <w:noProof/>
          <w:lang w:eastAsia="es-AR"/>
        </w:rPr>
        <w:drawing>
          <wp:inline distT="0" distB="0" distL="0" distR="0" wp14:anchorId="7D20A659" wp14:editId="5AE215E2">
            <wp:extent cx="7708900" cy="18288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08900" cy="1828800"/>
                    </a:xfrm>
                    <a:prstGeom prst="rect">
                      <a:avLst/>
                    </a:prstGeom>
                    <a:noFill/>
                    <a:ln>
                      <a:noFill/>
                    </a:ln>
                  </pic:spPr>
                </pic:pic>
              </a:graphicData>
            </a:graphic>
          </wp:inline>
        </w:drawing>
      </w:r>
    </w:p>
    <w:p w14:paraId="11E23516" w14:textId="77777777" w:rsidR="00425F99" w:rsidRPr="00701F32" w:rsidRDefault="00425F99" w:rsidP="008962C9">
      <w:pPr>
        <w:rPr>
          <w:lang w:val="en-US"/>
        </w:rPr>
      </w:pPr>
    </w:p>
    <w:p w14:paraId="2E1B414B" w14:textId="77777777" w:rsidR="00860C48" w:rsidRPr="00701F32" w:rsidRDefault="00860C48" w:rsidP="008962C9">
      <w:pPr>
        <w:rPr>
          <w:lang w:val="en-US"/>
        </w:rPr>
        <w:sectPr w:rsidR="00860C48" w:rsidRPr="00701F32" w:rsidSect="00F55C3D">
          <w:headerReference w:type="default" r:id="rId96"/>
          <w:pgSz w:w="16839" w:h="11907" w:orient="landscape" w:code="9"/>
          <w:pgMar w:top="1701" w:right="1418" w:bottom="1701" w:left="1418" w:header="567" w:footer="0" w:gutter="0"/>
          <w:paperSrc w:first="256" w:other="256"/>
          <w:cols w:space="720"/>
          <w:docGrid w:linePitch="326"/>
        </w:sectPr>
      </w:pPr>
    </w:p>
    <w:p w14:paraId="66A4ABD7" w14:textId="4E518AE8" w:rsidR="00860C48" w:rsidRPr="00701F32" w:rsidRDefault="00C03436" w:rsidP="008962C9">
      <w:pPr>
        <w:rPr>
          <w:lang w:val="en-US"/>
        </w:rPr>
      </w:pPr>
      <w:r w:rsidRPr="00701F32">
        <w:rPr>
          <w:noProof/>
          <w:lang w:eastAsia="es-AR"/>
        </w:rPr>
        <w:drawing>
          <wp:inline distT="0" distB="0" distL="0" distR="0" wp14:anchorId="396D1146" wp14:editId="64418BE9">
            <wp:extent cx="8462645" cy="2286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62645" cy="2286000"/>
                    </a:xfrm>
                    <a:prstGeom prst="rect">
                      <a:avLst/>
                    </a:prstGeom>
                    <a:noFill/>
                    <a:ln>
                      <a:noFill/>
                    </a:ln>
                  </pic:spPr>
                </pic:pic>
              </a:graphicData>
            </a:graphic>
          </wp:inline>
        </w:drawing>
      </w:r>
    </w:p>
    <w:p w14:paraId="56614FE4" w14:textId="77777777" w:rsidR="00860C48" w:rsidRPr="00701F32" w:rsidRDefault="00860C48" w:rsidP="008962C9">
      <w:pPr>
        <w:rPr>
          <w:lang w:val="en-US"/>
        </w:rPr>
      </w:pPr>
    </w:p>
    <w:p w14:paraId="6E42B02C" w14:textId="77777777" w:rsidR="00860C48" w:rsidRPr="00701F32" w:rsidRDefault="00860C48" w:rsidP="008962C9">
      <w:pPr>
        <w:rPr>
          <w:lang w:val="en-US"/>
        </w:rPr>
      </w:pPr>
    </w:p>
    <w:p w14:paraId="0F6D79BB" w14:textId="77777777" w:rsidR="00860C48" w:rsidRPr="00701F32" w:rsidRDefault="00860C48" w:rsidP="008962C9">
      <w:pPr>
        <w:rPr>
          <w:lang w:val="en-US"/>
        </w:rPr>
        <w:sectPr w:rsidR="00860C48" w:rsidRPr="00701F32" w:rsidSect="00F55C3D">
          <w:headerReference w:type="default" r:id="rId98"/>
          <w:pgSz w:w="16839" w:h="11907" w:orient="landscape" w:code="9"/>
          <w:pgMar w:top="1701" w:right="1418" w:bottom="1701" w:left="1418" w:header="567" w:footer="0" w:gutter="0"/>
          <w:paperSrc w:first="256" w:other="256"/>
          <w:cols w:space="720"/>
          <w:docGrid w:linePitch="326"/>
        </w:sectPr>
      </w:pPr>
    </w:p>
    <w:p w14:paraId="75E3A437" w14:textId="77777777" w:rsidR="00860C48" w:rsidRPr="00701F32" w:rsidRDefault="00860C48" w:rsidP="008962C9">
      <w:pPr>
        <w:rPr>
          <w:lang w:val="en-US"/>
        </w:rPr>
      </w:pPr>
    </w:p>
    <w:p w14:paraId="391FD568" w14:textId="2BF49767" w:rsidR="00860C48" w:rsidRPr="00701F32" w:rsidRDefault="000614BA" w:rsidP="008962C9">
      <w:pPr>
        <w:rPr>
          <w:lang w:val="en-US"/>
        </w:rPr>
      </w:pPr>
      <w:r w:rsidRPr="00701F32">
        <w:rPr>
          <w:noProof/>
          <w:lang w:eastAsia="es-AR"/>
        </w:rPr>
        <w:tab/>
      </w:r>
      <w:r w:rsidR="00C03436" w:rsidRPr="00701F32">
        <w:rPr>
          <w:noProof/>
          <w:lang w:eastAsia="es-AR"/>
        </w:rPr>
        <w:drawing>
          <wp:inline distT="0" distB="0" distL="0" distR="0" wp14:anchorId="467DAB28" wp14:editId="138A9BDA">
            <wp:extent cx="5400675" cy="2894504"/>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675" cy="2894504"/>
                    </a:xfrm>
                    <a:prstGeom prst="rect">
                      <a:avLst/>
                    </a:prstGeom>
                    <a:noFill/>
                    <a:ln>
                      <a:noFill/>
                    </a:ln>
                  </pic:spPr>
                </pic:pic>
              </a:graphicData>
            </a:graphic>
          </wp:inline>
        </w:drawing>
      </w:r>
    </w:p>
    <w:p w14:paraId="154AC156" w14:textId="77777777" w:rsidR="00860C48" w:rsidRPr="00701F32" w:rsidRDefault="00860C48" w:rsidP="008962C9">
      <w:pPr>
        <w:rPr>
          <w:lang w:val="en-US"/>
        </w:rPr>
      </w:pPr>
    </w:p>
    <w:p w14:paraId="6FE7CFD0" w14:textId="77777777" w:rsidR="00860C48" w:rsidRPr="00701F32" w:rsidRDefault="00860C48" w:rsidP="008962C9">
      <w:pPr>
        <w:rPr>
          <w:lang w:val="en-US"/>
        </w:rPr>
        <w:sectPr w:rsidR="00860C48" w:rsidRPr="00701F32" w:rsidSect="00425F99">
          <w:headerReference w:type="default" r:id="rId100"/>
          <w:pgSz w:w="11907" w:h="16839" w:code="9"/>
          <w:pgMar w:top="1418" w:right="1701" w:bottom="1418" w:left="1701" w:header="567" w:footer="0" w:gutter="0"/>
          <w:paperSrc w:first="256" w:other="256"/>
          <w:cols w:space="720"/>
          <w:docGrid w:linePitch="326"/>
        </w:sectPr>
      </w:pPr>
    </w:p>
    <w:p w14:paraId="2B1C5B05" w14:textId="0FEDFBAE" w:rsidR="00860C48" w:rsidRPr="00701F32" w:rsidRDefault="00C03436" w:rsidP="008962C9">
      <w:pPr>
        <w:rPr>
          <w:lang w:val="en-US"/>
        </w:rPr>
      </w:pPr>
      <w:r w:rsidRPr="00701F32">
        <w:rPr>
          <w:noProof/>
          <w:lang w:eastAsia="es-AR"/>
        </w:rPr>
        <w:drawing>
          <wp:anchor distT="0" distB="0" distL="114300" distR="114300" simplePos="0" relativeHeight="251649536" behindDoc="0" locked="0" layoutInCell="1" allowOverlap="1" wp14:anchorId="1BD2FA65" wp14:editId="441D41A1">
            <wp:simplePos x="0" y="0"/>
            <wp:positionH relativeFrom="column">
              <wp:posOffset>-157480</wp:posOffset>
            </wp:positionH>
            <wp:positionV relativeFrom="paragraph">
              <wp:posOffset>3175</wp:posOffset>
            </wp:positionV>
            <wp:extent cx="5859780" cy="3303905"/>
            <wp:effectExtent l="0" t="0" r="762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9780" cy="330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C17" w:rsidRPr="00701F32">
        <w:rPr>
          <w:lang w:val="en-US"/>
        </w:rPr>
        <w:t xml:space="preserve"> </w:t>
      </w:r>
    </w:p>
    <w:p w14:paraId="79DC9D6A" w14:textId="77777777" w:rsidR="00860C48" w:rsidRPr="00701F32" w:rsidRDefault="00860C48" w:rsidP="008962C9">
      <w:pPr>
        <w:rPr>
          <w:lang w:val="en-US"/>
        </w:rPr>
      </w:pPr>
    </w:p>
    <w:p w14:paraId="1F8FDA1B" w14:textId="77777777" w:rsidR="007A7EC4" w:rsidRPr="00701F32" w:rsidRDefault="007A7EC4" w:rsidP="008962C9">
      <w:pPr>
        <w:rPr>
          <w:lang w:val="en-US"/>
        </w:rPr>
        <w:sectPr w:rsidR="007A7EC4" w:rsidRPr="00701F32" w:rsidSect="00425F99">
          <w:headerReference w:type="default" r:id="rId102"/>
          <w:pgSz w:w="11907" w:h="16839" w:code="9"/>
          <w:pgMar w:top="1418" w:right="1701" w:bottom="1418" w:left="1701" w:header="567" w:footer="0" w:gutter="0"/>
          <w:paperSrc w:first="256" w:other="256"/>
          <w:cols w:space="720"/>
          <w:docGrid w:linePitch="326"/>
        </w:sectPr>
      </w:pPr>
    </w:p>
    <w:p w14:paraId="6CAEF52E" w14:textId="77777777" w:rsidR="00860C48" w:rsidRPr="00701F32" w:rsidRDefault="00860C48" w:rsidP="008962C9">
      <w:pPr>
        <w:rPr>
          <w:lang w:val="en-US"/>
        </w:rPr>
      </w:pPr>
    </w:p>
    <w:p w14:paraId="0F00C878" w14:textId="1269E02F" w:rsidR="007A7EC4" w:rsidRPr="00701F32" w:rsidRDefault="00C03436" w:rsidP="003233E9">
      <w:pPr>
        <w:jc w:val="center"/>
        <w:rPr>
          <w:lang w:val="en-US"/>
        </w:rPr>
      </w:pPr>
      <w:r w:rsidRPr="00701F32">
        <w:rPr>
          <w:noProof/>
          <w:lang w:eastAsia="es-AR"/>
        </w:rPr>
        <w:drawing>
          <wp:anchor distT="0" distB="0" distL="114300" distR="114300" simplePos="0" relativeHeight="251651584" behindDoc="0" locked="0" layoutInCell="1" allowOverlap="1" wp14:anchorId="4EEA11F6" wp14:editId="35A43475">
            <wp:simplePos x="0" y="0"/>
            <wp:positionH relativeFrom="column">
              <wp:posOffset>-433154</wp:posOffset>
            </wp:positionH>
            <wp:positionV relativeFrom="paragraph">
              <wp:posOffset>129576</wp:posOffset>
            </wp:positionV>
            <wp:extent cx="6271404" cy="1531449"/>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0457" cy="1531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766A8" w14:textId="77777777" w:rsidR="007A7EC4" w:rsidRPr="00701F32" w:rsidRDefault="007A7EC4" w:rsidP="008962C9">
      <w:pPr>
        <w:rPr>
          <w:lang w:val="en-US"/>
        </w:rPr>
      </w:pPr>
    </w:p>
    <w:p w14:paraId="18CA0450" w14:textId="77777777" w:rsidR="007A7EC4" w:rsidRPr="00701F32" w:rsidRDefault="007A7EC4" w:rsidP="008962C9">
      <w:pPr>
        <w:rPr>
          <w:lang w:val="en-US"/>
        </w:rPr>
        <w:sectPr w:rsidR="007A7EC4" w:rsidRPr="00701F32" w:rsidSect="00425F99">
          <w:headerReference w:type="default" r:id="rId104"/>
          <w:pgSz w:w="11907" w:h="16839" w:code="9"/>
          <w:pgMar w:top="1418" w:right="1701" w:bottom="1418" w:left="1701" w:header="567" w:footer="0" w:gutter="0"/>
          <w:paperSrc w:first="256" w:other="256"/>
          <w:cols w:space="720"/>
          <w:docGrid w:linePitch="326"/>
        </w:sectPr>
      </w:pPr>
    </w:p>
    <w:p w14:paraId="19143D44" w14:textId="77777777" w:rsidR="007A7EC4" w:rsidRPr="00701F32" w:rsidRDefault="007A7EC4" w:rsidP="008962C9">
      <w:pPr>
        <w:rPr>
          <w:lang w:val="en-US"/>
        </w:rPr>
      </w:pPr>
    </w:p>
    <w:p w14:paraId="387F2921" w14:textId="5A5ECA4B" w:rsidR="00640200" w:rsidRPr="00701F32" w:rsidRDefault="000D4C17" w:rsidP="008962C9">
      <w:pPr>
        <w:rPr>
          <w:lang w:val="en-US"/>
        </w:rPr>
      </w:pPr>
      <w:r w:rsidRPr="00701F32">
        <w:rPr>
          <w:lang w:val="en-US"/>
        </w:rPr>
        <w:t xml:space="preserve"> </w:t>
      </w:r>
      <w:r w:rsidR="00C03436" w:rsidRPr="00701F32">
        <w:rPr>
          <w:noProof/>
          <w:lang w:eastAsia="es-AR"/>
        </w:rPr>
        <w:drawing>
          <wp:inline distT="0" distB="0" distL="0" distR="0" wp14:anchorId="51A9A721" wp14:editId="513BA8A0">
            <wp:extent cx="5400675" cy="286003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2860035"/>
                    </a:xfrm>
                    <a:prstGeom prst="rect">
                      <a:avLst/>
                    </a:prstGeom>
                    <a:noFill/>
                    <a:ln>
                      <a:noFill/>
                    </a:ln>
                  </pic:spPr>
                </pic:pic>
              </a:graphicData>
            </a:graphic>
          </wp:inline>
        </w:drawing>
      </w:r>
    </w:p>
    <w:p w14:paraId="01599F26" w14:textId="77777777" w:rsidR="007A7EC4" w:rsidRPr="00701F32" w:rsidRDefault="007A7EC4" w:rsidP="008962C9">
      <w:pPr>
        <w:rPr>
          <w:lang w:val="en-US"/>
        </w:rPr>
      </w:pPr>
    </w:p>
    <w:p w14:paraId="663B2535" w14:textId="77777777" w:rsidR="007A7EC4" w:rsidRPr="00701F32" w:rsidRDefault="007A7EC4" w:rsidP="008962C9">
      <w:pPr>
        <w:rPr>
          <w:lang w:val="en-US"/>
        </w:rPr>
        <w:sectPr w:rsidR="007A7EC4" w:rsidRPr="00701F32" w:rsidSect="00425F99">
          <w:headerReference w:type="default" r:id="rId106"/>
          <w:pgSz w:w="11907" w:h="16839" w:code="9"/>
          <w:pgMar w:top="1418" w:right="1701" w:bottom="1418" w:left="1701" w:header="567" w:footer="0" w:gutter="0"/>
          <w:paperSrc w:first="256" w:other="256"/>
          <w:cols w:space="720"/>
          <w:docGrid w:linePitch="326"/>
        </w:sectPr>
      </w:pPr>
    </w:p>
    <w:p w14:paraId="060F4923" w14:textId="525F08F5" w:rsidR="007A7EC4" w:rsidRPr="00701F32" w:rsidRDefault="007A7EC4" w:rsidP="008962C9">
      <w:pPr>
        <w:rPr>
          <w:lang w:val="en-US"/>
        </w:rPr>
      </w:pPr>
    </w:p>
    <w:p w14:paraId="13756B5B" w14:textId="716F53D1" w:rsidR="007A7EC4" w:rsidRPr="00701F32" w:rsidRDefault="00C03436" w:rsidP="008962C9">
      <w:pPr>
        <w:rPr>
          <w:lang w:val="en-US"/>
        </w:rPr>
      </w:pPr>
      <w:r w:rsidRPr="00701F32">
        <w:rPr>
          <w:noProof/>
          <w:lang w:eastAsia="es-AR"/>
        </w:rPr>
        <w:drawing>
          <wp:anchor distT="0" distB="0" distL="114300" distR="114300" simplePos="0" relativeHeight="251653632" behindDoc="0" locked="0" layoutInCell="1" allowOverlap="1" wp14:anchorId="7BC99AAA" wp14:editId="447B34BC">
            <wp:simplePos x="0" y="0"/>
            <wp:positionH relativeFrom="column">
              <wp:posOffset>-666068</wp:posOffset>
            </wp:positionH>
            <wp:positionV relativeFrom="paragraph">
              <wp:posOffset>59966</wp:posOffset>
            </wp:positionV>
            <wp:extent cx="6641643" cy="5046452"/>
            <wp:effectExtent l="0" t="0" r="698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1643" cy="5046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438E9" w14:textId="77777777" w:rsidR="007A7EC4" w:rsidRPr="00701F32" w:rsidRDefault="007A7EC4" w:rsidP="008962C9">
      <w:pPr>
        <w:rPr>
          <w:lang w:val="en-US"/>
        </w:rPr>
      </w:pPr>
    </w:p>
    <w:p w14:paraId="2927F4A0" w14:textId="77777777" w:rsidR="007A7EC4" w:rsidRPr="00701F32" w:rsidRDefault="007A7EC4" w:rsidP="008962C9">
      <w:pPr>
        <w:rPr>
          <w:lang w:val="en-US"/>
        </w:rPr>
        <w:sectPr w:rsidR="007A7EC4" w:rsidRPr="00701F32" w:rsidSect="00425F99">
          <w:headerReference w:type="default" r:id="rId108"/>
          <w:pgSz w:w="11907" w:h="16839" w:code="9"/>
          <w:pgMar w:top="1418" w:right="1701" w:bottom="1418" w:left="1701" w:header="567" w:footer="0" w:gutter="0"/>
          <w:paperSrc w:first="256" w:other="256"/>
          <w:cols w:space="720"/>
          <w:docGrid w:linePitch="326"/>
        </w:sectPr>
      </w:pPr>
    </w:p>
    <w:p w14:paraId="7CE05784" w14:textId="77777777" w:rsidR="007C794F" w:rsidRPr="00701F32" w:rsidRDefault="007C794F" w:rsidP="008962C9">
      <w:pPr>
        <w:rPr>
          <w:lang w:val="en-US"/>
        </w:rPr>
      </w:pPr>
    </w:p>
    <w:p w14:paraId="458A6867" w14:textId="29BE53E2" w:rsidR="007A7EC4" w:rsidRPr="00701F32" w:rsidRDefault="00792B1A" w:rsidP="008962C9">
      <w:pPr>
        <w:rPr>
          <w:lang w:val="en-US"/>
        </w:rPr>
      </w:pPr>
      <w:r w:rsidRPr="00701F32">
        <w:rPr>
          <w:noProof/>
          <w:lang w:eastAsia="es-AR"/>
        </w:rPr>
        <w:drawing>
          <wp:inline distT="0" distB="0" distL="0" distR="0" wp14:anchorId="6F10310B" wp14:editId="1988A75F">
            <wp:extent cx="5400675" cy="5444307"/>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675" cy="5444307"/>
                    </a:xfrm>
                    <a:prstGeom prst="rect">
                      <a:avLst/>
                    </a:prstGeom>
                    <a:noFill/>
                    <a:ln>
                      <a:noFill/>
                    </a:ln>
                  </pic:spPr>
                </pic:pic>
              </a:graphicData>
            </a:graphic>
          </wp:inline>
        </w:drawing>
      </w:r>
    </w:p>
    <w:p w14:paraId="69D3FE39" w14:textId="77777777" w:rsidR="007A7EC4" w:rsidRPr="00701F32" w:rsidRDefault="007A7EC4" w:rsidP="008962C9">
      <w:pPr>
        <w:rPr>
          <w:lang w:val="en-US"/>
        </w:rPr>
      </w:pPr>
    </w:p>
    <w:p w14:paraId="04CCC380" w14:textId="77777777" w:rsidR="00AF16A0" w:rsidRPr="00701F32" w:rsidRDefault="00AF16A0" w:rsidP="008962C9">
      <w:pPr>
        <w:rPr>
          <w:lang w:val="en-US"/>
        </w:rPr>
        <w:sectPr w:rsidR="00AF16A0" w:rsidRPr="00701F32" w:rsidSect="00425F99">
          <w:headerReference w:type="default" r:id="rId110"/>
          <w:pgSz w:w="11907" w:h="16839" w:code="9"/>
          <w:pgMar w:top="1418" w:right="1701" w:bottom="1418" w:left="1701" w:header="567" w:footer="0" w:gutter="0"/>
          <w:paperSrc w:first="256" w:other="256"/>
          <w:cols w:space="720"/>
          <w:docGrid w:linePitch="326"/>
        </w:sectPr>
      </w:pPr>
    </w:p>
    <w:p w14:paraId="3E74C377" w14:textId="2D41BBE7" w:rsidR="00AF16A0" w:rsidRPr="00701F32" w:rsidRDefault="00AF16A0" w:rsidP="008962C9">
      <w:pPr>
        <w:rPr>
          <w:lang w:val="en-US"/>
        </w:rPr>
      </w:pPr>
    </w:p>
    <w:p w14:paraId="207B8E64" w14:textId="407FE3E6" w:rsidR="00AB31E0" w:rsidRPr="00701F32" w:rsidRDefault="008545A9" w:rsidP="008962C9">
      <w:pPr>
        <w:rPr>
          <w:lang w:val="en-US"/>
        </w:rPr>
      </w:pPr>
      <w:r w:rsidRPr="00701F32">
        <w:rPr>
          <w:noProof/>
          <w:lang w:eastAsia="es-AR"/>
        </w:rPr>
        <w:drawing>
          <wp:anchor distT="0" distB="0" distL="114300" distR="114300" simplePos="0" relativeHeight="251657728" behindDoc="0" locked="0" layoutInCell="1" allowOverlap="1" wp14:anchorId="009EDDEE" wp14:editId="417D7F23">
            <wp:simplePos x="0" y="0"/>
            <wp:positionH relativeFrom="column">
              <wp:posOffset>-388620</wp:posOffset>
            </wp:positionH>
            <wp:positionV relativeFrom="paragraph">
              <wp:posOffset>148428</wp:posOffset>
            </wp:positionV>
            <wp:extent cx="9679940" cy="2402840"/>
            <wp:effectExtent l="0" t="0" r="0"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7994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9B2" w:rsidRPr="00701F32">
        <w:rPr>
          <w:lang w:val="en-US"/>
        </w:rPr>
        <w:t xml:space="preserve"> </w:t>
      </w:r>
    </w:p>
    <w:p w14:paraId="3F1243DB" w14:textId="77777777" w:rsidR="00AF16A0" w:rsidRPr="00701F32" w:rsidRDefault="00AF16A0" w:rsidP="008962C9">
      <w:pPr>
        <w:rPr>
          <w:lang w:val="en-US"/>
        </w:rPr>
      </w:pPr>
    </w:p>
    <w:p w14:paraId="3AC204DF" w14:textId="77777777" w:rsidR="00AF16A0" w:rsidRPr="00701F32" w:rsidRDefault="00AF16A0" w:rsidP="008962C9">
      <w:pPr>
        <w:rPr>
          <w:lang w:val="en-US"/>
        </w:rPr>
      </w:pPr>
    </w:p>
    <w:p w14:paraId="4041B076" w14:textId="77777777" w:rsidR="004C6D19" w:rsidRPr="00701F32" w:rsidRDefault="004C6D19" w:rsidP="008962C9">
      <w:pPr>
        <w:rPr>
          <w:lang w:val="en-US"/>
        </w:rPr>
        <w:sectPr w:rsidR="004C6D19" w:rsidRPr="00701F32" w:rsidSect="00AF16A0">
          <w:headerReference w:type="default" r:id="rId112"/>
          <w:pgSz w:w="16839" w:h="11907" w:orient="landscape" w:code="9"/>
          <w:pgMar w:top="1701" w:right="1418" w:bottom="1701" w:left="1418" w:header="567" w:footer="0" w:gutter="0"/>
          <w:paperSrc w:first="256" w:other="256"/>
          <w:cols w:space="720"/>
          <w:docGrid w:linePitch="326"/>
        </w:sectPr>
      </w:pPr>
    </w:p>
    <w:p w14:paraId="26789FBD" w14:textId="37351DA7" w:rsidR="009F4F62" w:rsidRPr="00701F32" w:rsidRDefault="00792B1A" w:rsidP="008962C9">
      <w:pPr>
        <w:rPr>
          <w:lang w:val="en-US"/>
        </w:rPr>
      </w:pPr>
      <w:r w:rsidRPr="00701F32">
        <w:rPr>
          <w:noProof/>
          <w:lang w:eastAsia="es-AR"/>
        </w:rPr>
        <w:drawing>
          <wp:inline distT="0" distB="0" distL="0" distR="0" wp14:anchorId="2BD827B8" wp14:editId="17655E1A">
            <wp:extent cx="5400675" cy="6284929"/>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6284929"/>
                    </a:xfrm>
                    <a:prstGeom prst="rect">
                      <a:avLst/>
                    </a:prstGeom>
                    <a:noFill/>
                    <a:ln>
                      <a:noFill/>
                    </a:ln>
                  </pic:spPr>
                </pic:pic>
              </a:graphicData>
            </a:graphic>
          </wp:inline>
        </w:drawing>
      </w:r>
    </w:p>
    <w:p w14:paraId="7C94E442" w14:textId="1A328E8A" w:rsidR="009F4F62" w:rsidRPr="00701F32" w:rsidRDefault="00792B1A" w:rsidP="008962C9">
      <w:pPr>
        <w:rPr>
          <w:lang w:val="en-US"/>
        </w:rPr>
      </w:pPr>
      <w:r w:rsidRPr="00701F32">
        <w:rPr>
          <w:noProof/>
          <w:lang w:eastAsia="es-AR"/>
        </w:rPr>
        <w:drawing>
          <wp:inline distT="0" distB="0" distL="0" distR="0" wp14:anchorId="3446187E" wp14:editId="5B0829C3">
            <wp:extent cx="5400675" cy="6017133"/>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6017133"/>
                    </a:xfrm>
                    <a:prstGeom prst="rect">
                      <a:avLst/>
                    </a:prstGeom>
                    <a:noFill/>
                    <a:ln>
                      <a:noFill/>
                    </a:ln>
                  </pic:spPr>
                </pic:pic>
              </a:graphicData>
            </a:graphic>
          </wp:inline>
        </w:drawing>
      </w:r>
      <w:r w:rsidRPr="00701F32">
        <w:rPr>
          <w:noProof/>
          <w:lang w:eastAsia="es-AR"/>
        </w:rPr>
        <w:drawing>
          <wp:inline distT="0" distB="0" distL="0" distR="0" wp14:anchorId="06CFF187" wp14:editId="5A832A0A">
            <wp:extent cx="5400675" cy="3543927"/>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3543927"/>
                    </a:xfrm>
                    <a:prstGeom prst="rect">
                      <a:avLst/>
                    </a:prstGeom>
                    <a:noFill/>
                    <a:ln>
                      <a:noFill/>
                    </a:ln>
                  </pic:spPr>
                </pic:pic>
              </a:graphicData>
            </a:graphic>
          </wp:inline>
        </w:drawing>
      </w:r>
    </w:p>
    <w:p w14:paraId="7705A691" w14:textId="77777777" w:rsidR="004C6D19" w:rsidRPr="00701F32" w:rsidRDefault="0056611A" w:rsidP="008962C9">
      <w:pPr>
        <w:rPr>
          <w:lang w:val="en-US"/>
        </w:rPr>
      </w:pPr>
      <w:r w:rsidRPr="00701F32">
        <w:rPr>
          <w:lang w:val="en-US"/>
        </w:rPr>
        <w:tab/>
      </w:r>
    </w:p>
    <w:p w14:paraId="2ED40CC7" w14:textId="77777777" w:rsidR="004C6D19" w:rsidRPr="00701F32" w:rsidRDefault="004C6D19" w:rsidP="008962C9">
      <w:pPr>
        <w:rPr>
          <w:lang w:val="en-US"/>
        </w:rPr>
      </w:pPr>
    </w:p>
    <w:p w14:paraId="17FAEAC3" w14:textId="77777777" w:rsidR="004C6D19" w:rsidRPr="00701F32" w:rsidRDefault="004C6D19" w:rsidP="008962C9">
      <w:pPr>
        <w:rPr>
          <w:lang w:val="en-US"/>
        </w:rPr>
      </w:pPr>
    </w:p>
    <w:p w14:paraId="100D04B9" w14:textId="77777777" w:rsidR="004C6D19" w:rsidRPr="00701F32" w:rsidRDefault="004C6D19" w:rsidP="008962C9">
      <w:pPr>
        <w:rPr>
          <w:lang w:val="en-US"/>
        </w:rPr>
        <w:sectPr w:rsidR="004C6D19" w:rsidRPr="00701F32" w:rsidSect="004C6D19">
          <w:headerReference w:type="default" r:id="rId116"/>
          <w:pgSz w:w="11907" w:h="16839" w:code="9"/>
          <w:pgMar w:top="1418" w:right="1701" w:bottom="1418" w:left="1701" w:header="567" w:footer="0" w:gutter="0"/>
          <w:paperSrc w:first="256" w:other="256"/>
          <w:cols w:space="720"/>
          <w:docGrid w:linePitch="326"/>
        </w:sectPr>
      </w:pPr>
    </w:p>
    <w:p w14:paraId="5E7AE46D" w14:textId="77777777" w:rsidR="004C6D19" w:rsidRPr="00701F32" w:rsidRDefault="004C6D19" w:rsidP="008962C9">
      <w:pPr>
        <w:rPr>
          <w:lang w:val="en-US"/>
        </w:rPr>
      </w:pPr>
    </w:p>
    <w:p w14:paraId="2B9A24C8" w14:textId="2082C6F4" w:rsidR="004C6D19" w:rsidRPr="00701F32" w:rsidRDefault="006D48B0" w:rsidP="008962C9">
      <w:pPr>
        <w:rPr>
          <w:lang w:val="en-US"/>
        </w:rPr>
      </w:pPr>
      <w:r w:rsidRPr="00701F32">
        <w:rPr>
          <w:noProof/>
          <w:lang w:eastAsia="es-AR"/>
        </w:rPr>
        <w:drawing>
          <wp:inline distT="0" distB="0" distL="0" distR="0" wp14:anchorId="371337DE" wp14:editId="36F49EAF">
            <wp:extent cx="5563225" cy="373523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67839" cy="3738336"/>
                    </a:xfrm>
                    <a:prstGeom prst="rect">
                      <a:avLst/>
                    </a:prstGeom>
                    <a:noFill/>
                    <a:ln>
                      <a:noFill/>
                    </a:ln>
                  </pic:spPr>
                </pic:pic>
              </a:graphicData>
            </a:graphic>
          </wp:inline>
        </w:drawing>
      </w:r>
    </w:p>
    <w:p w14:paraId="5381D7CF" w14:textId="6CC01102" w:rsidR="004C6D19" w:rsidRPr="00701F32" w:rsidRDefault="004C6D19" w:rsidP="008962C9"/>
    <w:p w14:paraId="37410128" w14:textId="77777777" w:rsidR="007C794F" w:rsidRPr="00701F32" w:rsidRDefault="007C794F" w:rsidP="008962C9"/>
    <w:p w14:paraId="53D63705" w14:textId="77777777" w:rsidR="007A7EC4" w:rsidRPr="00701F32" w:rsidRDefault="007A7EC4" w:rsidP="008962C9"/>
    <w:p w14:paraId="5C098C56" w14:textId="77777777" w:rsidR="00C47021" w:rsidRPr="00701F32" w:rsidRDefault="00C47021" w:rsidP="008962C9"/>
    <w:p w14:paraId="7559B10E" w14:textId="77777777" w:rsidR="00C47021" w:rsidRPr="00701F32" w:rsidRDefault="00C47021" w:rsidP="008962C9">
      <w:pPr>
        <w:sectPr w:rsidR="00C47021" w:rsidRPr="00701F32" w:rsidSect="004C6D19">
          <w:headerReference w:type="default" r:id="rId118"/>
          <w:pgSz w:w="11907" w:h="16839" w:code="9"/>
          <w:pgMar w:top="1418" w:right="1701" w:bottom="1418" w:left="1701" w:header="567" w:footer="0" w:gutter="0"/>
          <w:paperSrc w:first="256" w:other="256"/>
          <w:cols w:space="720"/>
          <w:docGrid w:linePitch="326"/>
        </w:sectPr>
      </w:pPr>
    </w:p>
    <w:p w14:paraId="16E19C87" w14:textId="77777777" w:rsidR="00865685" w:rsidRPr="00701F32" w:rsidRDefault="00865685" w:rsidP="00B0586C">
      <w:pPr>
        <w:tabs>
          <w:tab w:val="left" w:pos="1365"/>
        </w:tabs>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Breve descripción del Negocio y Evolución de las Operaciones</w:t>
      </w:r>
    </w:p>
    <w:p w14:paraId="683EA1A3" w14:textId="77777777" w:rsidR="00CA188D" w:rsidRPr="00701F32" w:rsidRDefault="00CA188D" w:rsidP="00B0586C">
      <w:pPr>
        <w:tabs>
          <w:tab w:val="left" w:pos="1365"/>
        </w:tabs>
        <w:rPr>
          <w:rFonts w:ascii="Arial" w:hAnsi="Arial" w:cs="Arial"/>
          <w:sz w:val="20"/>
          <w:u w:val="single"/>
        </w:rPr>
      </w:pPr>
    </w:p>
    <w:p w14:paraId="45CBC5B4"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Banco Supervielle S.A. es un banco argentino cuyos orígenes se remontan a 1887. Su actividad se concentra principalmente en la provisión de servicios bancarios y financieros a individuos y pequeñas y medianas empresas. Su larga presencia en el sector financiero le ha permitido establecer una robusta relación con sus clientes y una marca reconocida en la industria bancaria local. Ha desarrollado un modelo de negocios multimarca para diferenciar los productos y servicios financieros que ofrece a un amplio espectro de individuos, pequeñas y medianas empresas y grandes empresas del país. A través de su red bancaria tiene presencia en la Ciudad Autónoma de Buenos Aires y en las provincias de Buenos Aires, Mendoza, San Luis, San Juan, Córdoba, Tucumán</w:t>
      </w:r>
      <w:r w:rsidR="00863313" w:rsidRPr="00701F32">
        <w:rPr>
          <w:rFonts w:ascii="Arial" w:hAnsi="Arial" w:cs="Arial"/>
          <w:sz w:val="20"/>
        </w:rPr>
        <w:t>.</w:t>
      </w:r>
      <w:r w:rsidRPr="00701F32">
        <w:rPr>
          <w:rFonts w:ascii="Arial" w:hAnsi="Arial" w:cs="Arial"/>
          <w:sz w:val="20"/>
        </w:rPr>
        <w:t xml:space="preserve"> Santa Fe</w:t>
      </w:r>
      <w:r w:rsidR="00863313" w:rsidRPr="00701F32">
        <w:rPr>
          <w:rFonts w:ascii="Arial" w:hAnsi="Arial" w:cs="Arial"/>
          <w:sz w:val="20"/>
        </w:rPr>
        <w:t xml:space="preserve"> y Neuquén</w:t>
      </w:r>
      <w:r w:rsidRPr="00701F32">
        <w:rPr>
          <w:rFonts w:ascii="Arial" w:hAnsi="Arial" w:cs="Arial"/>
          <w:sz w:val="20"/>
        </w:rPr>
        <w:t xml:space="preserve">. </w:t>
      </w:r>
    </w:p>
    <w:p w14:paraId="356C5BEA" w14:textId="77777777" w:rsidR="00CA188D" w:rsidRPr="00701F32" w:rsidRDefault="00CA188D" w:rsidP="00CA188D">
      <w:pPr>
        <w:tabs>
          <w:tab w:val="left" w:pos="142"/>
        </w:tabs>
        <w:jc w:val="both"/>
        <w:rPr>
          <w:rFonts w:ascii="Arial" w:hAnsi="Arial" w:cs="Arial"/>
          <w:sz w:val="20"/>
        </w:rPr>
      </w:pPr>
    </w:p>
    <w:p w14:paraId="190EEB77" w14:textId="7BBA59E5" w:rsidR="00CA188D" w:rsidRPr="00701F32" w:rsidRDefault="00CA188D" w:rsidP="00CA188D">
      <w:pPr>
        <w:tabs>
          <w:tab w:val="left" w:pos="142"/>
        </w:tabs>
        <w:jc w:val="both"/>
        <w:rPr>
          <w:rFonts w:ascii="Arial" w:hAnsi="Arial" w:cs="Arial"/>
          <w:sz w:val="20"/>
        </w:rPr>
      </w:pPr>
      <w:r w:rsidRPr="00701F32">
        <w:rPr>
          <w:rFonts w:ascii="Arial" w:hAnsi="Arial" w:cs="Arial"/>
          <w:sz w:val="20"/>
        </w:rPr>
        <w:t xml:space="preserve">El resultado del período finalizado el </w:t>
      </w:r>
      <w:r w:rsidR="00695F25" w:rsidRPr="00701F32">
        <w:rPr>
          <w:rFonts w:ascii="Arial" w:hAnsi="Arial" w:cs="Arial"/>
          <w:sz w:val="20"/>
        </w:rPr>
        <w:t xml:space="preserve">30 </w:t>
      </w:r>
      <w:r w:rsidRPr="00701F32">
        <w:rPr>
          <w:rFonts w:ascii="Arial" w:hAnsi="Arial" w:cs="Arial"/>
          <w:sz w:val="20"/>
        </w:rPr>
        <w:t xml:space="preserve">de </w:t>
      </w:r>
      <w:r w:rsidR="00A0527A" w:rsidRPr="00701F32">
        <w:rPr>
          <w:rFonts w:ascii="Arial" w:hAnsi="Arial" w:cs="Arial"/>
          <w:sz w:val="20"/>
        </w:rPr>
        <w:t>septiembre</w:t>
      </w:r>
      <w:r w:rsidRPr="00701F32">
        <w:rPr>
          <w:rFonts w:ascii="Arial" w:hAnsi="Arial" w:cs="Arial"/>
          <w:sz w:val="20"/>
        </w:rPr>
        <w:t xml:space="preserve"> de 2018 arroja una ganancia de </w:t>
      </w:r>
      <w:r w:rsidR="00C221C7" w:rsidRPr="00701F32">
        <w:rPr>
          <w:rFonts w:ascii="Arial" w:hAnsi="Arial" w:cs="Arial"/>
          <w:sz w:val="20"/>
        </w:rPr>
        <w:t>1.138.509</w:t>
      </w:r>
      <w:r w:rsidR="004E54CB" w:rsidRPr="00701F32">
        <w:rPr>
          <w:rFonts w:ascii="Arial" w:hAnsi="Arial" w:cs="Arial"/>
          <w:sz w:val="20"/>
        </w:rPr>
        <w:t xml:space="preserve"> </w:t>
      </w:r>
      <w:r w:rsidRPr="00701F32">
        <w:rPr>
          <w:rFonts w:ascii="Arial" w:hAnsi="Arial" w:cs="Arial"/>
          <w:sz w:val="20"/>
        </w:rPr>
        <w:t xml:space="preserve">lo que representa un retorno sobre el patrimonio neto promedio de </w:t>
      </w:r>
      <w:r w:rsidR="005D17EB" w:rsidRPr="00701F32">
        <w:rPr>
          <w:rFonts w:ascii="Arial" w:hAnsi="Arial" w:cs="Arial"/>
          <w:sz w:val="20"/>
        </w:rPr>
        <w:t>14.45 %</w:t>
      </w:r>
      <w:r w:rsidRPr="00701F32">
        <w:rPr>
          <w:rFonts w:ascii="Arial" w:hAnsi="Arial" w:cs="Arial"/>
          <w:sz w:val="20"/>
        </w:rPr>
        <w:t>. Dicho resultado se originó principalmente por el margen financiero y el margen de servicios.</w:t>
      </w:r>
    </w:p>
    <w:p w14:paraId="6C6BE455" w14:textId="77777777" w:rsidR="00CA188D" w:rsidRPr="00701F32" w:rsidRDefault="00CA188D" w:rsidP="00CA188D">
      <w:pPr>
        <w:tabs>
          <w:tab w:val="left" w:pos="142"/>
        </w:tabs>
        <w:jc w:val="both"/>
        <w:rPr>
          <w:rFonts w:ascii="Arial" w:hAnsi="Arial" w:cs="Arial"/>
          <w:sz w:val="20"/>
        </w:rPr>
      </w:pPr>
    </w:p>
    <w:p w14:paraId="02238240"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La actividad de negocios desarrollada por la Entidad durante el presente período abarcó el otorgamiento de préstamos en sus distintas líneas (adelantos, personales, documentos descontados, hipotecarios, tarjetas de crédito, leasing, Pymes, comercio exterior, entre otros) como así también la inversión en instrumentos de deuda emitidos por el BCRA.</w:t>
      </w:r>
    </w:p>
    <w:p w14:paraId="27487DFC" w14:textId="77777777" w:rsidR="00CA188D" w:rsidRPr="00701F32" w:rsidRDefault="00CA188D" w:rsidP="00CA188D">
      <w:pPr>
        <w:tabs>
          <w:tab w:val="left" w:pos="142"/>
        </w:tabs>
        <w:jc w:val="both"/>
        <w:rPr>
          <w:rFonts w:ascii="Arial" w:hAnsi="Arial" w:cs="Arial"/>
          <w:sz w:val="20"/>
        </w:rPr>
      </w:pPr>
    </w:p>
    <w:p w14:paraId="2315F0E3"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 xml:space="preserve">En lo relativo al fondeo, en fecha 8 de febrero de 2018 se emitieron obligaciones negociables no subordinadas a tasa flotante Badlar por 748.888 y 1.607.667 con vencimiento final para el 14 de agosto de 2019 y 14 de febrero de 2023 respectivamente. </w:t>
      </w:r>
    </w:p>
    <w:p w14:paraId="1BC6F1C2" w14:textId="77777777" w:rsidR="00CA188D" w:rsidRPr="00701F32" w:rsidRDefault="00CA188D" w:rsidP="00CA188D">
      <w:pPr>
        <w:tabs>
          <w:tab w:val="left" w:pos="142"/>
        </w:tabs>
        <w:jc w:val="both"/>
        <w:rPr>
          <w:rFonts w:ascii="Arial" w:hAnsi="Arial" w:cs="Arial"/>
          <w:sz w:val="20"/>
        </w:rPr>
      </w:pPr>
    </w:p>
    <w:p w14:paraId="3A356948" w14:textId="77777777" w:rsidR="00CA188D" w:rsidRPr="00701F32" w:rsidRDefault="00CA188D" w:rsidP="00CA188D">
      <w:pPr>
        <w:tabs>
          <w:tab w:val="left" w:pos="142"/>
          <w:tab w:val="left" w:pos="426"/>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Breve descripción de las sociedades vinculadas</w:t>
      </w:r>
    </w:p>
    <w:p w14:paraId="2E14C5C6" w14:textId="77777777" w:rsidR="00CA188D" w:rsidRPr="00701F32" w:rsidRDefault="00CA188D" w:rsidP="00CA188D">
      <w:pPr>
        <w:tabs>
          <w:tab w:val="left" w:pos="142"/>
        </w:tabs>
        <w:jc w:val="both"/>
        <w:rPr>
          <w:rFonts w:ascii="Arial" w:hAnsi="Arial" w:cs="Arial"/>
          <w:sz w:val="20"/>
        </w:rPr>
      </w:pPr>
    </w:p>
    <w:p w14:paraId="6DF415DE"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Banco Supervielle S.A. controla el 95% de Cordial Compañía Financiera S.A., una compañía financiera que se concentra principalmente en la financiación al consumo. El 5% restante fue adquirido por el accionista controlante, Grupo Supervielle S.A. La sociedad controlante de Banco Supervielle S.A. es Grupo Supervielle S.A.  Dicha sociedad posee el 96,</w:t>
      </w:r>
      <w:r w:rsidR="00BE1DCC" w:rsidRPr="00701F32">
        <w:rPr>
          <w:rFonts w:ascii="Arial" w:hAnsi="Arial" w:cs="Arial"/>
          <w:sz w:val="20"/>
        </w:rPr>
        <w:t>89</w:t>
      </w:r>
      <w:r w:rsidRPr="00701F32">
        <w:rPr>
          <w:rFonts w:ascii="Arial" w:hAnsi="Arial" w:cs="Arial"/>
          <w:sz w:val="20"/>
        </w:rPr>
        <w:t>% de las acciones y el 96,</w:t>
      </w:r>
      <w:r w:rsidR="00BE1DCC" w:rsidRPr="00701F32">
        <w:rPr>
          <w:rFonts w:ascii="Arial" w:hAnsi="Arial" w:cs="Arial"/>
          <w:sz w:val="20"/>
        </w:rPr>
        <w:t>85</w:t>
      </w:r>
      <w:r w:rsidRPr="00701F32">
        <w:rPr>
          <w:rFonts w:ascii="Arial" w:hAnsi="Arial" w:cs="Arial"/>
          <w:sz w:val="20"/>
        </w:rPr>
        <w:t>% de los votos al 3</w:t>
      </w:r>
      <w:r w:rsidR="00695F25" w:rsidRPr="00701F32">
        <w:rPr>
          <w:rFonts w:ascii="Arial" w:hAnsi="Arial" w:cs="Arial"/>
          <w:sz w:val="20"/>
        </w:rPr>
        <w:t>0</w:t>
      </w:r>
      <w:r w:rsidRPr="00701F32">
        <w:rPr>
          <w:rFonts w:ascii="Arial" w:hAnsi="Arial" w:cs="Arial"/>
          <w:sz w:val="20"/>
        </w:rPr>
        <w:t xml:space="preserve"> de </w:t>
      </w:r>
      <w:r w:rsidR="00A0527A" w:rsidRPr="00701F32">
        <w:rPr>
          <w:rFonts w:ascii="Arial" w:hAnsi="Arial" w:cs="Arial"/>
          <w:sz w:val="20"/>
        </w:rPr>
        <w:t>septiembre</w:t>
      </w:r>
      <w:r w:rsidRPr="00701F32">
        <w:rPr>
          <w:rFonts w:ascii="Arial" w:hAnsi="Arial" w:cs="Arial"/>
          <w:sz w:val="20"/>
        </w:rPr>
        <w:t xml:space="preserve"> de 2018.</w:t>
      </w:r>
    </w:p>
    <w:p w14:paraId="47F7D6CA" w14:textId="77777777" w:rsidR="00CA188D" w:rsidRPr="00701F32" w:rsidRDefault="00CA188D" w:rsidP="00CA188D">
      <w:pPr>
        <w:tabs>
          <w:tab w:val="left" w:pos="142"/>
        </w:tabs>
        <w:jc w:val="both"/>
        <w:rPr>
          <w:rFonts w:ascii="Arial" w:hAnsi="Arial" w:cs="Arial"/>
          <w:sz w:val="20"/>
        </w:rPr>
      </w:pPr>
    </w:p>
    <w:p w14:paraId="09F7E804" w14:textId="371798E8" w:rsidR="00CA188D" w:rsidRPr="00701F32" w:rsidRDefault="00CA188D" w:rsidP="00CA188D">
      <w:pPr>
        <w:tabs>
          <w:tab w:val="left" w:pos="142"/>
        </w:tabs>
        <w:jc w:val="both"/>
        <w:rPr>
          <w:rFonts w:ascii="Arial" w:hAnsi="Arial" w:cs="Arial"/>
          <w:sz w:val="20"/>
        </w:rPr>
      </w:pPr>
      <w:r w:rsidRPr="00701F32">
        <w:rPr>
          <w:rFonts w:ascii="Arial" w:hAnsi="Arial" w:cs="Arial"/>
          <w:sz w:val="20"/>
        </w:rPr>
        <w:t>Cordial Compañía Financiera S.A. es una empresa de servicios financieros sujeta a las regulaciones del Banco Central de la República Argentina, cuyo negocio principal es el otorgamiento de tarjetas de crédito y préstamos destinados al consumo. Su modelo de negocios se basa en proporcionar soluciones de financiamiento principalmente a los segmentos de clientes de ingresos medios y medios-bajos. Al 3</w:t>
      </w:r>
      <w:r w:rsidR="00695F25" w:rsidRPr="00701F32">
        <w:rPr>
          <w:rFonts w:ascii="Arial" w:hAnsi="Arial" w:cs="Arial"/>
          <w:sz w:val="20"/>
        </w:rPr>
        <w:t>0</w:t>
      </w:r>
      <w:r w:rsidRPr="00701F32">
        <w:rPr>
          <w:rFonts w:ascii="Arial" w:hAnsi="Arial" w:cs="Arial"/>
          <w:sz w:val="20"/>
        </w:rPr>
        <w:t xml:space="preserve"> de </w:t>
      </w:r>
      <w:r w:rsidR="00A0527A" w:rsidRPr="00701F32">
        <w:rPr>
          <w:rFonts w:ascii="Arial" w:hAnsi="Arial" w:cs="Arial"/>
          <w:sz w:val="20"/>
        </w:rPr>
        <w:t>septiembre</w:t>
      </w:r>
      <w:r w:rsidR="00695F25" w:rsidRPr="00701F32">
        <w:rPr>
          <w:rFonts w:ascii="Arial" w:hAnsi="Arial" w:cs="Arial"/>
          <w:sz w:val="20"/>
        </w:rPr>
        <w:t xml:space="preserve"> </w:t>
      </w:r>
      <w:r w:rsidRPr="00701F32">
        <w:rPr>
          <w:rFonts w:ascii="Arial" w:hAnsi="Arial" w:cs="Arial"/>
          <w:sz w:val="20"/>
        </w:rPr>
        <w:t xml:space="preserve">de 2018 obtuvo un resultado </w:t>
      </w:r>
      <w:r w:rsidR="005840E3" w:rsidRPr="00701F32">
        <w:rPr>
          <w:rFonts w:ascii="Arial" w:hAnsi="Arial" w:cs="Arial"/>
          <w:sz w:val="20"/>
        </w:rPr>
        <w:t xml:space="preserve">negativo </w:t>
      </w:r>
      <w:r w:rsidRPr="00701F32">
        <w:rPr>
          <w:rFonts w:ascii="Arial" w:hAnsi="Arial" w:cs="Arial"/>
          <w:sz w:val="20"/>
        </w:rPr>
        <w:t xml:space="preserve">de </w:t>
      </w:r>
      <w:r w:rsidR="005D17EB" w:rsidRPr="00701F32">
        <w:rPr>
          <w:rFonts w:ascii="Arial" w:hAnsi="Arial" w:cs="Arial"/>
          <w:sz w:val="20"/>
        </w:rPr>
        <w:t>189.934</w:t>
      </w:r>
      <w:r w:rsidRPr="00701F32">
        <w:rPr>
          <w:rFonts w:ascii="Arial" w:hAnsi="Arial" w:cs="Arial"/>
          <w:sz w:val="20"/>
        </w:rPr>
        <w:t>.</w:t>
      </w:r>
    </w:p>
    <w:p w14:paraId="068C92C3" w14:textId="77777777" w:rsidR="00CA188D" w:rsidRPr="00701F32" w:rsidRDefault="00CA188D" w:rsidP="00CA188D">
      <w:pPr>
        <w:tabs>
          <w:tab w:val="left" w:pos="142"/>
        </w:tabs>
        <w:jc w:val="both"/>
        <w:rPr>
          <w:rFonts w:ascii="Arial" w:hAnsi="Arial" w:cs="Arial"/>
          <w:sz w:val="20"/>
        </w:rPr>
      </w:pPr>
    </w:p>
    <w:p w14:paraId="59E6E3E2"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Banco Supervielle S.A. tiene participación del 10% del capital accionario de Tarjeta Automática S.A. Esta participación ha sido efectuada dentro del marco de las normas sobre servicios complementarios de la actividad financiera establecido por el BCRA.</w:t>
      </w:r>
    </w:p>
    <w:p w14:paraId="09C132EA" w14:textId="77777777" w:rsidR="00CA188D" w:rsidRPr="00701F32" w:rsidRDefault="00CA188D" w:rsidP="00CA188D">
      <w:pPr>
        <w:tabs>
          <w:tab w:val="left" w:pos="142"/>
        </w:tabs>
        <w:jc w:val="both"/>
        <w:rPr>
          <w:rFonts w:ascii="Arial" w:hAnsi="Arial" w:cs="Arial"/>
          <w:sz w:val="20"/>
        </w:rPr>
      </w:pPr>
    </w:p>
    <w:p w14:paraId="53CAFE5E"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 xml:space="preserve">Banco Supervielle está vinculado a Sofital S.A.F.e I.I. Al </w:t>
      </w:r>
      <w:r w:rsidR="005840E3" w:rsidRPr="00701F32">
        <w:rPr>
          <w:rFonts w:ascii="Arial" w:hAnsi="Arial" w:cs="Arial"/>
          <w:sz w:val="20"/>
        </w:rPr>
        <w:t xml:space="preserve">30 </w:t>
      </w:r>
      <w:r w:rsidRPr="00701F32">
        <w:rPr>
          <w:rFonts w:ascii="Arial" w:hAnsi="Arial" w:cs="Arial"/>
          <w:sz w:val="20"/>
        </w:rPr>
        <w:t xml:space="preserve">de </w:t>
      </w:r>
      <w:r w:rsidR="00A0527A" w:rsidRPr="00701F32">
        <w:rPr>
          <w:rFonts w:ascii="Arial" w:hAnsi="Arial" w:cs="Arial"/>
          <w:sz w:val="20"/>
        </w:rPr>
        <w:t xml:space="preserve">septiembre </w:t>
      </w:r>
      <w:r w:rsidRPr="00701F32">
        <w:rPr>
          <w:rFonts w:ascii="Arial" w:hAnsi="Arial" w:cs="Arial"/>
          <w:sz w:val="20"/>
        </w:rPr>
        <w:t>de 2018 la participación accionaria de Sofital S.A.F.e I.I. en Banco Supervielle S.A. representa el 3,11% del capital social y el 3,13% de los votos.</w:t>
      </w:r>
    </w:p>
    <w:p w14:paraId="2D8D414E" w14:textId="77777777" w:rsidR="00CA188D" w:rsidRPr="00701F32" w:rsidRDefault="00CA188D" w:rsidP="00CA188D">
      <w:pPr>
        <w:tabs>
          <w:tab w:val="left" w:pos="142"/>
        </w:tabs>
        <w:jc w:val="both"/>
        <w:rPr>
          <w:rFonts w:ascii="Arial" w:hAnsi="Arial" w:cs="Arial"/>
          <w:sz w:val="20"/>
        </w:rPr>
      </w:pPr>
    </w:p>
    <w:p w14:paraId="1F0F090E"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Adicionalmente, la Entidad se encuentra vinculada a las empresas Supervielle Asset Management S.A., Espacio Cordial de Servicios S.A., Supervielle Seguros S.A.</w:t>
      </w:r>
      <w:r w:rsidR="00B103B6" w:rsidRPr="00701F32">
        <w:rPr>
          <w:rFonts w:ascii="Arial" w:hAnsi="Arial" w:cs="Arial"/>
          <w:sz w:val="20"/>
        </w:rPr>
        <w:t>, Invertir On</w:t>
      </w:r>
      <w:r w:rsidR="000E4D44" w:rsidRPr="00701F32">
        <w:rPr>
          <w:rFonts w:ascii="Arial" w:hAnsi="Arial" w:cs="Arial"/>
          <w:sz w:val="20"/>
        </w:rPr>
        <w:t>l</w:t>
      </w:r>
      <w:r w:rsidR="00B103B6" w:rsidRPr="00701F32">
        <w:rPr>
          <w:rFonts w:ascii="Arial" w:hAnsi="Arial" w:cs="Arial"/>
          <w:sz w:val="20"/>
        </w:rPr>
        <w:t>ine S.A.</w:t>
      </w:r>
      <w:r w:rsidR="000E4D44" w:rsidRPr="00701F32">
        <w:rPr>
          <w:rFonts w:ascii="Arial" w:hAnsi="Arial" w:cs="Arial"/>
          <w:sz w:val="20"/>
        </w:rPr>
        <w:t>, InvertirOnline.Com</w:t>
      </w:r>
      <w:r w:rsidR="00B103B6" w:rsidRPr="00701F32">
        <w:rPr>
          <w:rFonts w:ascii="Arial" w:hAnsi="Arial" w:cs="Arial"/>
          <w:sz w:val="20"/>
        </w:rPr>
        <w:t xml:space="preserve"> </w:t>
      </w:r>
      <w:r w:rsidR="00114557" w:rsidRPr="00701F32">
        <w:rPr>
          <w:rFonts w:ascii="Arial" w:hAnsi="Arial" w:cs="Arial"/>
          <w:sz w:val="20"/>
        </w:rPr>
        <w:t xml:space="preserve">Argentina S.A. </w:t>
      </w:r>
      <w:r w:rsidR="00B103B6" w:rsidRPr="00701F32">
        <w:rPr>
          <w:rFonts w:ascii="Arial" w:hAnsi="Arial" w:cs="Arial"/>
          <w:sz w:val="20"/>
        </w:rPr>
        <w:t xml:space="preserve">y Micro Lending S.A. </w:t>
      </w:r>
      <w:r w:rsidRPr="00701F32">
        <w:rPr>
          <w:rFonts w:ascii="Arial" w:hAnsi="Arial" w:cs="Arial"/>
          <w:sz w:val="20"/>
        </w:rPr>
        <w:t>por ser sociedades controladas por Grupo Supervielle S.A.</w:t>
      </w:r>
    </w:p>
    <w:p w14:paraId="1EDB2F03" w14:textId="77777777" w:rsidR="00CA188D" w:rsidRPr="00701F32" w:rsidRDefault="00CA188D" w:rsidP="00CA188D">
      <w:pPr>
        <w:tabs>
          <w:tab w:val="left" w:pos="142"/>
        </w:tabs>
        <w:jc w:val="both"/>
        <w:rPr>
          <w:rFonts w:ascii="Arial" w:hAnsi="Arial" w:cs="Arial"/>
          <w:sz w:val="20"/>
        </w:rPr>
      </w:pPr>
    </w:p>
    <w:p w14:paraId="59A74028" w14:textId="77777777" w:rsidR="00CA188D" w:rsidRPr="00701F32" w:rsidRDefault="00CA188D" w:rsidP="00CA188D">
      <w:pPr>
        <w:tabs>
          <w:tab w:val="left" w:pos="142"/>
        </w:tabs>
        <w:jc w:val="both"/>
        <w:rPr>
          <w:rFonts w:ascii="Arial" w:hAnsi="Arial" w:cs="Arial"/>
          <w:sz w:val="20"/>
        </w:rPr>
      </w:pPr>
      <w:r w:rsidRPr="00701F32">
        <w:rPr>
          <w:rFonts w:ascii="Arial" w:hAnsi="Arial" w:cs="Arial"/>
          <w:sz w:val="20"/>
        </w:rPr>
        <w:t xml:space="preserve">Acontinuación se detallan cuadros con información consolidada con Cordial Compañía Financiera S.A., comparativo con </w:t>
      </w:r>
      <w:r w:rsidR="00A562A0" w:rsidRPr="00701F32">
        <w:rPr>
          <w:rFonts w:ascii="Arial" w:hAnsi="Arial" w:cs="Arial"/>
          <w:sz w:val="20"/>
        </w:rPr>
        <w:t xml:space="preserve">el </w:t>
      </w:r>
      <w:r w:rsidRPr="00701F32">
        <w:rPr>
          <w:rFonts w:ascii="Arial" w:hAnsi="Arial" w:cs="Arial"/>
          <w:sz w:val="20"/>
        </w:rPr>
        <w:t>ejercicio anterior, referidos a la estructura patrimonial, estructura de resultados, estructura de flujo de efectivo e índices financieros y patrimoniales:</w:t>
      </w:r>
    </w:p>
    <w:p w14:paraId="005535F9" w14:textId="77777777" w:rsidR="00CA188D" w:rsidRPr="00701F32" w:rsidRDefault="00CA188D" w:rsidP="00CA188D">
      <w:pPr>
        <w:tabs>
          <w:tab w:val="left" w:pos="142"/>
        </w:tabs>
        <w:jc w:val="both"/>
        <w:rPr>
          <w:rFonts w:ascii="Arial" w:hAnsi="Arial" w:cs="Arial"/>
          <w:sz w:val="20"/>
        </w:rPr>
      </w:pPr>
    </w:p>
    <w:p w14:paraId="60043319" w14:textId="77777777" w:rsidR="00CA188D" w:rsidRPr="00701F32" w:rsidRDefault="00CA188D" w:rsidP="00CA188D">
      <w:pPr>
        <w:tabs>
          <w:tab w:val="left" w:pos="142"/>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Estructura Patrimonial</w:t>
      </w:r>
    </w:p>
    <w:p w14:paraId="1C293548" w14:textId="77777777" w:rsidR="00CA188D" w:rsidRPr="00701F32" w:rsidRDefault="00CA188D" w:rsidP="00CA188D">
      <w:pPr>
        <w:tabs>
          <w:tab w:val="left" w:pos="142"/>
        </w:tabs>
        <w:jc w:val="both"/>
        <w:rPr>
          <w:rFonts w:ascii="Arial" w:hAnsi="Arial" w:cs="Arial"/>
          <w:sz w:val="20"/>
          <w:u w:val="single"/>
        </w:rPr>
      </w:pPr>
    </w:p>
    <w:tbl>
      <w:tblPr>
        <w:tblW w:w="442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409"/>
        <w:gridCol w:w="1732"/>
        <w:gridCol w:w="1508"/>
      </w:tblGrid>
      <w:tr w:rsidR="00CA188D" w:rsidRPr="00701F32" w14:paraId="1790FD36" w14:textId="77777777" w:rsidTr="0086282C">
        <w:trPr>
          <w:trHeight w:val="358"/>
          <w:tblHeader/>
        </w:trPr>
        <w:tc>
          <w:tcPr>
            <w:tcW w:w="2882" w:type="pct"/>
            <w:tcBorders>
              <w:top w:val="single" w:sz="12" w:space="0" w:color="auto"/>
              <w:bottom w:val="single" w:sz="12" w:space="0" w:color="auto"/>
            </w:tcBorders>
            <w:tcMar>
              <w:left w:w="108" w:type="dxa"/>
              <w:right w:w="108" w:type="dxa"/>
            </w:tcMar>
            <w:vAlign w:val="center"/>
          </w:tcPr>
          <w:p w14:paraId="73EDBBEF" w14:textId="77777777" w:rsidR="00CA188D" w:rsidRPr="00701F32" w:rsidRDefault="00CA188D" w:rsidP="00CA188D">
            <w:pPr>
              <w:tabs>
                <w:tab w:val="left" w:pos="142"/>
              </w:tabs>
              <w:jc w:val="both"/>
              <w:rPr>
                <w:rFonts w:ascii="Arial" w:hAnsi="Arial" w:cs="Arial"/>
                <w:b/>
                <w:sz w:val="20"/>
              </w:rPr>
            </w:pPr>
            <w:r w:rsidRPr="00701F32">
              <w:rPr>
                <w:rFonts w:ascii="Arial" w:hAnsi="Arial" w:cs="Arial"/>
                <w:b/>
                <w:sz w:val="20"/>
              </w:rPr>
              <w:t>Concepto</w:t>
            </w:r>
          </w:p>
        </w:tc>
        <w:tc>
          <w:tcPr>
            <w:tcW w:w="1132" w:type="pct"/>
            <w:tcBorders>
              <w:top w:val="single" w:sz="12" w:space="0" w:color="auto"/>
              <w:bottom w:val="single" w:sz="12" w:space="0" w:color="auto"/>
            </w:tcBorders>
            <w:tcMar>
              <w:left w:w="108" w:type="dxa"/>
              <w:right w:w="108" w:type="dxa"/>
            </w:tcMar>
            <w:vAlign w:val="center"/>
          </w:tcPr>
          <w:p w14:paraId="024FA32F" w14:textId="77777777" w:rsidR="00CA188D" w:rsidRPr="00701F32" w:rsidRDefault="00CA188D" w:rsidP="000E4D44">
            <w:pPr>
              <w:tabs>
                <w:tab w:val="left" w:pos="142"/>
              </w:tabs>
              <w:jc w:val="center"/>
              <w:rPr>
                <w:rFonts w:ascii="Arial" w:hAnsi="Arial" w:cs="Arial"/>
                <w:b/>
                <w:sz w:val="20"/>
              </w:rPr>
            </w:pPr>
            <w:r w:rsidRPr="00701F32">
              <w:rPr>
                <w:rFonts w:ascii="Arial" w:hAnsi="Arial" w:cs="Arial"/>
                <w:b/>
                <w:sz w:val="20"/>
              </w:rPr>
              <w:t>3</w:t>
            </w:r>
            <w:r w:rsidR="000E4D44"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/2018</w:t>
            </w:r>
          </w:p>
        </w:tc>
        <w:tc>
          <w:tcPr>
            <w:tcW w:w="986" w:type="pct"/>
            <w:tcBorders>
              <w:top w:val="single" w:sz="12" w:space="0" w:color="auto"/>
              <w:bottom w:val="single" w:sz="12" w:space="0" w:color="auto"/>
            </w:tcBorders>
            <w:vAlign w:val="center"/>
          </w:tcPr>
          <w:p w14:paraId="4433F028" w14:textId="77777777" w:rsidR="00CA188D" w:rsidRPr="00701F32" w:rsidRDefault="00CA188D" w:rsidP="000E4D44">
            <w:pPr>
              <w:jc w:val="center"/>
              <w:rPr>
                <w:rFonts w:ascii="Arial" w:hAnsi="Arial" w:cs="Arial"/>
                <w:sz w:val="20"/>
                <w:lang w:val="es-ES" w:eastAsia="es-ES"/>
              </w:rPr>
            </w:pPr>
            <w:r w:rsidRPr="00701F32">
              <w:rPr>
                <w:rFonts w:ascii="Arial" w:hAnsi="Arial" w:cs="Arial"/>
                <w:b/>
                <w:sz w:val="20"/>
              </w:rPr>
              <w:t>3</w:t>
            </w:r>
            <w:r w:rsidR="000E4D44"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/2017</w:t>
            </w:r>
          </w:p>
        </w:tc>
      </w:tr>
      <w:tr w:rsidR="00AF52CE" w:rsidRPr="00701F32" w14:paraId="74613186" w14:textId="77777777" w:rsidTr="0086282C">
        <w:trPr>
          <w:trHeight w:val="358"/>
        </w:trPr>
        <w:tc>
          <w:tcPr>
            <w:tcW w:w="2882" w:type="pct"/>
            <w:tcBorders>
              <w:top w:val="single" w:sz="12" w:space="0" w:color="auto"/>
            </w:tcBorders>
            <w:tcMar>
              <w:left w:w="108" w:type="dxa"/>
              <w:right w:w="108" w:type="dxa"/>
            </w:tcMar>
            <w:vAlign w:val="bottom"/>
          </w:tcPr>
          <w:p w14:paraId="304EC075" w14:textId="77777777" w:rsidR="00AF52CE" w:rsidRPr="00701F32" w:rsidRDefault="00AF52CE" w:rsidP="00CA188D">
            <w:pPr>
              <w:tabs>
                <w:tab w:val="left" w:pos="142"/>
              </w:tabs>
              <w:rPr>
                <w:rFonts w:ascii="Arial" w:hAnsi="Arial" w:cs="Arial"/>
                <w:sz w:val="20"/>
              </w:rPr>
            </w:pPr>
            <w:r w:rsidRPr="00701F32">
              <w:rPr>
                <w:rFonts w:ascii="Arial" w:hAnsi="Arial" w:cs="Arial"/>
                <w:sz w:val="20"/>
              </w:rPr>
              <w:t>Total del Activo</w:t>
            </w:r>
          </w:p>
        </w:tc>
        <w:tc>
          <w:tcPr>
            <w:tcW w:w="1132" w:type="pct"/>
            <w:tcBorders>
              <w:top w:val="single" w:sz="12" w:space="0" w:color="auto"/>
            </w:tcBorders>
            <w:tcMar>
              <w:left w:w="108" w:type="dxa"/>
              <w:right w:w="108" w:type="dxa"/>
            </w:tcMar>
            <w:vAlign w:val="bottom"/>
          </w:tcPr>
          <w:p w14:paraId="583A190D" w14:textId="1367EC3E"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139.679.971</w:t>
            </w:r>
          </w:p>
        </w:tc>
        <w:tc>
          <w:tcPr>
            <w:tcW w:w="986" w:type="pct"/>
            <w:tcBorders>
              <w:top w:val="single" w:sz="12" w:space="0" w:color="auto"/>
            </w:tcBorders>
            <w:vAlign w:val="bottom"/>
          </w:tcPr>
          <w:p w14:paraId="47DFEBAD" w14:textId="2D09A3E4"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74.398.718</w:t>
            </w:r>
          </w:p>
        </w:tc>
      </w:tr>
      <w:tr w:rsidR="00AF52CE" w:rsidRPr="00701F32" w14:paraId="5F12CFAF" w14:textId="77777777" w:rsidTr="0086282C">
        <w:trPr>
          <w:trHeight w:val="358"/>
        </w:trPr>
        <w:tc>
          <w:tcPr>
            <w:tcW w:w="2882" w:type="pct"/>
            <w:tcMar>
              <w:left w:w="108" w:type="dxa"/>
              <w:right w:w="108" w:type="dxa"/>
            </w:tcMar>
            <w:vAlign w:val="bottom"/>
          </w:tcPr>
          <w:p w14:paraId="4FB5CE2D" w14:textId="77777777" w:rsidR="00AF52CE" w:rsidRPr="00701F32" w:rsidRDefault="00AF52CE" w:rsidP="00CA188D">
            <w:pPr>
              <w:tabs>
                <w:tab w:val="left" w:pos="142"/>
              </w:tabs>
              <w:rPr>
                <w:rFonts w:ascii="Arial" w:hAnsi="Arial" w:cs="Arial"/>
                <w:sz w:val="20"/>
              </w:rPr>
            </w:pPr>
            <w:r w:rsidRPr="00701F32">
              <w:rPr>
                <w:rFonts w:ascii="Arial" w:hAnsi="Arial" w:cs="Arial"/>
                <w:sz w:val="20"/>
              </w:rPr>
              <w:t>Pasivo</w:t>
            </w:r>
          </w:p>
        </w:tc>
        <w:tc>
          <w:tcPr>
            <w:tcW w:w="1132" w:type="pct"/>
            <w:tcMar>
              <w:left w:w="108" w:type="dxa"/>
              <w:right w:w="108" w:type="dxa"/>
            </w:tcMar>
            <w:vAlign w:val="bottom"/>
          </w:tcPr>
          <w:p w14:paraId="0CB36ECA" w14:textId="768A045E"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128.189.141</w:t>
            </w:r>
          </w:p>
        </w:tc>
        <w:tc>
          <w:tcPr>
            <w:tcW w:w="986" w:type="pct"/>
            <w:vAlign w:val="bottom"/>
          </w:tcPr>
          <w:p w14:paraId="5AADF813" w14:textId="356E0F5C"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67.620.987</w:t>
            </w:r>
          </w:p>
        </w:tc>
      </w:tr>
      <w:tr w:rsidR="00AF52CE" w:rsidRPr="00701F32" w14:paraId="0A78AC0B" w14:textId="77777777" w:rsidTr="0086282C">
        <w:trPr>
          <w:trHeight w:val="358"/>
        </w:trPr>
        <w:tc>
          <w:tcPr>
            <w:tcW w:w="2882" w:type="pct"/>
            <w:tcBorders>
              <w:bottom w:val="single" w:sz="6" w:space="0" w:color="auto"/>
            </w:tcBorders>
            <w:tcMar>
              <w:left w:w="108" w:type="dxa"/>
              <w:right w:w="108" w:type="dxa"/>
            </w:tcMar>
            <w:vAlign w:val="bottom"/>
          </w:tcPr>
          <w:p w14:paraId="6FB66428" w14:textId="77777777" w:rsidR="00AF52CE" w:rsidRPr="00701F32" w:rsidRDefault="00AF52CE" w:rsidP="00CA188D">
            <w:pPr>
              <w:tabs>
                <w:tab w:val="left" w:pos="142"/>
              </w:tabs>
              <w:rPr>
                <w:rFonts w:ascii="Arial" w:hAnsi="Arial" w:cs="Arial"/>
                <w:sz w:val="20"/>
              </w:rPr>
            </w:pPr>
            <w:r w:rsidRPr="00701F32">
              <w:rPr>
                <w:rFonts w:ascii="Arial" w:hAnsi="Arial" w:cs="Arial"/>
                <w:sz w:val="20"/>
              </w:rPr>
              <w:t>Part. Neto atribuible a partip.  controladora</w:t>
            </w:r>
          </w:p>
        </w:tc>
        <w:tc>
          <w:tcPr>
            <w:tcW w:w="1132" w:type="pct"/>
            <w:tcBorders>
              <w:bottom w:val="single" w:sz="6" w:space="0" w:color="auto"/>
            </w:tcBorders>
            <w:tcMar>
              <w:left w:w="108" w:type="dxa"/>
              <w:right w:w="108" w:type="dxa"/>
            </w:tcMar>
            <w:vAlign w:val="bottom"/>
          </w:tcPr>
          <w:p w14:paraId="432D4ED6" w14:textId="56EE24A5"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11.384.159</w:t>
            </w:r>
          </w:p>
        </w:tc>
        <w:tc>
          <w:tcPr>
            <w:tcW w:w="986" w:type="pct"/>
            <w:tcBorders>
              <w:bottom w:val="single" w:sz="6" w:space="0" w:color="auto"/>
            </w:tcBorders>
            <w:vAlign w:val="bottom"/>
          </w:tcPr>
          <w:p w14:paraId="3C364EC5" w14:textId="5F7C33F0"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6.578.311</w:t>
            </w:r>
          </w:p>
        </w:tc>
      </w:tr>
      <w:tr w:rsidR="00AF52CE" w:rsidRPr="00701F32" w14:paraId="2254177B" w14:textId="77777777" w:rsidTr="0086282C">
        <w:trPr>
          <w:trHeight w:val="358"/>
        </w:trPr>
        <w:tc>
          <w:tcPr>
            <w:tcW w:w="2882" w:type="pct"/>
            <w:tcBorders>
              <w:top w:val="single" w:sz="6" w:space="0" w:color="auto"/>
              <w:bottom w:val="single" w:sz="6" w:space="0" w:color="auto"/>
            </w:tcBorders>
            <w:tcMar>
              <w:left w:w="108" w:type="dxa"/>
              <w:right w:w="108" w:type="dxa"/>
            </w:tcMar>
            <w:vAlign w:val="bottom"/>
          </w:tcPr>
          <w:p w14:paraId="526CD89E" w14:textId="77777777" w:rsidR="00AF52CE" w:rsidRPr="00701F32" w:rsidRDefault="00AF52CE" w:rsidP="00CA188D">
            <w:pPr>
              <w:tabs>
                <w:tab w:val="left" w:pos="142"/>
              </w:tabs>
              <w:rPr>
                <w:rFonts w:ascii="Arial" w:hAnsi="Arial" w:cs="Arial"/>
                <w:sz w:val="20"/>
              </w:rPr>
            </w:pPr>
            <w:r w:rsidRPr="00701F32">
              <w:rPr>
                <w:rFonts w:ascii="Arial" w:hAnsi="Arial" w:cs="Arial"/>
                <w:sz w:val="20"/>
              </w:rPr>
              <w:t>Part. Neto atribuible a partip. no controladora</w:t>
            </w:r>
          </w:p>
        </w:tc>
        <w:tc>
          <w:tcPr>
            <w:tcW w:w="1132" w:type="pct"/>
            <w:tcBorders>
              <w:top w:val="single" w:sz="6" w:space="0" w:color="auto"/>
              <w:bottom w:val="single" w:sz="6" w:space="0" w:color="auto"/>
            </w:tcBorders>
            <w:tcMar>
              <w:left w:w="108" w:type="dxa"/>
              <w:right w:w="108" w:type="dxa"/>
            </w:tcMar>
            <w:vAlign w:val="bottom"/>
          </w:tcPr>
          <w:p w14:paraId="34BF0F33" w14:textId="75A98853"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106.671</w:t>
            </w:r>
          </w:p>
        </w:tc>
        <w:tc>
          <w:tcPr>
            <w:tcW w:w="986" w:type="pct"/>
            <w:tcBorders>
              <w:top w:val="single" w:sz="6" w:space="0" w:color="auto"/>
              <w:bottom w:val="single" w:sz="6" w:space="0" w:color="auto"/>
            </w:tcBorders>
            <w:vAlign w:val="bottom"/>
          </w:tcPr>
          <w:p w14:paraId="20B6DD4A" w14:textId="4538603D"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199.420</w:t>
            </w:r>
          </w:p>
        </w:tc>
      </w:tr>
      <w:tr w:rsidR="00AF52CE" w:rsidRPr="00701F32" w14:paraId="20D0661B" w14:textId="77777777" w:rsidTr="0086282C">
        <w:trPr>
          <w:trHeight w:val="358"/>
        </w:trPr>
        <w:tc>
          <w:tcPr>
            <w:tcW w:w="2882" w:type="pct"/>
            <w:tcBorders>
              <w:top w:val="single" w:sz="6" w:space="0" w:color="auto"/>
              <w:bottom w:val="single" w:sz="6" w:space="0" w:color="auto"/>
            </w:tcBorders>
            <w:tcMar>
              <w:left w:w="108" w:type="dxa"/>
              <w:right w:w="108" w:type="dxa"/>
            </w:tcMar>
            <w:vAlign w:val="bottom"/>
          </w:tcPr>
          <w:p w14:paraId="0F159AFC" w14:textId="77777777" w:rsidR="00AF52CE" w:rsidRPr="00701F32" w:rsidRDefault="00AF52CE" w:rsidP="00CA188D">
            <w:pPr>
              <w:tabs>
                <w:tab w:val="left" w:pos="142"/>
              </w:tabs>
              <w:rPr>
                <w:rFonts w:ascii="Arial" w:hAnsi="Arial" w:cs="Arial"/>
                <w:sz w:val="20"/>
              </w:rPr>
            </w:pPr>
            <w:r w:rsidRPr="00701F32">
              <w:rPr>
                <w:rFonts w:ascii="Arial" w:hAnsi="Arial" w:cs="Arial"/>
                <w:sz w:val="20"/>
              </w:rPr>
              <w:t>Patrimonio Neto</w:t>
            </w:r>
          </w:p>
        </w:tc>
        <w:tc>
          <w:tcPr>
            <w:tcW w:w="1132" w:type="pct"/>
            <w:tcBorders>
              <w:top w:val="single" w:sz="6" w:space="0" w:color="auto"/>
              <w:bottom w:val="single" w:sz="6" w:space="0" w:color="auto"/>
            </w:tcBorders>
            <w:tcMar>
              <w:left w:w="108" w:type="dxa"/>
              <w:right w:w="108" w:type="dxa"/>
            </w:tcMar>
            <w:vAlign w:val="bottom"/>
          </w:tcPr>
          <w:p w14:paraId="4AE76C18" w14:textId="6AB7C229"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11.490.830</w:t>
            </w:r>
          </w:p>
        </w:tc>
        <w:tc>
          <w:tcPr>
            <w:tcW w:w="986" w:type="pct"/>
            <w:tcBorders>
              <w:top w:val="single" w:sz="6" w:space="0" w:color="auto"/>
              <w:bottom w:val="single" w:sz="6" w:space="0" w:color="auto"/>
            </w:tcBorders>
            <w:vAlign w:val="bottom"/>
          </w:tcPr>
          <w:p w14:paraId="2B2AB78D" w14:textId="400C380B"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6.777.731</w:t>
            </w:r>
          </w:p>
        </w:tc>
      </w:tr>
      <w:tr w:rsidR="00AF52CE" w:rsidRPr="00701F32" w14:paraId="1031F02B" w14:textId="77777777" w:rsidTr="0086282C">
        <w:trPr>
          <w:trHeight w:val="358"/>
        </w:trPr>
        <w:tc>
          <w:tcPr>
            <w:tcW w:w="2882" w:type="pct"/>
            <w:tcBorders>
              <w:top w:val="single" w:sz="6" w:space="0" w:color="auto"/>
              <w:bottom w:val="single" w:sz="12" w:space="0" w:color="auto"/>
            </w:tcBorders>
            <w:tcMar>
              <w:left w:w="108" w:type="dxa"/>
              <w:right w:w="108" w:type="dxa"/>
            </w:tcMar>
            <w:vAlign w:val="bottom"/>
          </w:tcPr>
          <w:p w14:paraId="75E9D107" w14:textId="77777777" w:rsidR="00AF52CE" w:rsidRPr="00701F32" w:rsidRDefault="00AF52CE" w:rsidP="00CA188D">
            <w:pPr>
              <w:tabs>
                <w:tab w:val="left" w:pos="142"/>
              </w:tabs>
              <w:rPr>
                <w:rFonts w:ascii="Arial" w:hAnsi="Arial" w:cs="Arial"/>
                <w:b/>
                <w:sz w:val="20"/>
              </w:rPr>
            </w:pPr>
            <w:r w:rsidRPr="00701F32">
              <w:rPr>
                <w:rFonts w:ascii="Arial" w:hAnsi="Arial" w:cs="Arial"/>
                <w:sz w:val="20"/>
              </w:rPr>
              <w:t>Total del Pasivo más Patrimonio Neto</w:t>
            </w:r>
          </w:p>
        </w:tc>
        <w:tc>
          <w:tcPr>
            <w:tcW w:w="1132" w:type="pct"/>
            <w:tcBorders>
              <w:top w:val="single" w:sz="6" w:space="0" w:color="auto"/>
              <w:bottom w:val="single" w:sz="12" w:space="0" w:color="auto"/>
            </w:tcBorders>
            <w:tcMar>
              <w:left w:w="108" w:type="dxa"/>
              <w:right w:w="108" w:type="dxa"/>
            </w:tcMar>
            <w:vAlign w:val="bottom"/>
          </w:tcPr>
          <w:p w14:paraId="2604F4BA" w14:textId="170742EA"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139.679.971</w:t>
            </w:r>
          </w:p>
        </w:tc>
        <w:tc>
          <w:tcPr>
            <w:tcW w:w="986" w:type="pct"/>
            <w:tcBorders>
              <w:top w:val="single" w:sz="6" w:space="0" w:color="auto"/>
              <w:bottom w:val="single" w:sz="12" w:space="0" w:color="auto"/>
            </w:tcBorders>
            <w:vAlign w:val="bottom"/>
          </w:tcPr>
          <w:p w14:paraId="272D4EBA" w14:textId="673ADBA8" w:rsidR="00AF52CE" w:rsidRPr="00701F32" w:rsidRDefault="000345FA" w:rsidP="004E6017">
            <w:pPr>
              <w:tabs>
                <w:tab w:val="left" w:pos="142"/>
              </w:tabs>
              <w:jc w:val="right"/>
              <w:rPr>
                <w:rFonts w:ascii="Arial" w:hAnsi="Arial" w:cs="Arial"/>
                <w:sz w:val="20"/>
                <w:lang w:val="es-MX"/>
              </w:rPr>
            </w:pPr>
            <w:r w:rsidRPr="00701F32">
              <w:rPr>
                <w:rFonts w:ascii="Arial" w:hAnsi="Arial" w:cs="Arial"/>
                <w:sz w:val="20"/>
                <w:lang w:val="es-MX"/>
              </w:rPr>
              <w:t>74.398.718</w:t>
            </w:r>
          </w:p>
        </w:tc>
      </w:tr>
    </w:tbl>
    <w:p w14:paraId="66D756BE" w14:textId="77777777" w:rsidR="00CA188D" w:rsidRPr="00701F32" w:rsidRDefault="00CA188D" w:rsidP="00CA188D">
      <w:pPr>
        <w:tabs>
          <w:tab w:val="left" w:pos="142"/>
        </w:tabs>
        <w:jc w:val="both"/>
        <w:rPr>
          <w:rFonts w:ascii="Arial" w:hAnsi="Arial" w:cs="Arial"/>
          <w:sz w:val="20"/>
          <w:u w:val="single"/>
        </w:rPr>
      </w:pPr>
    </w:p>
    <w:p w14:paraId="6E27AEE8" w14:textId="77777777" w:rsidR="00CA188D" w:rsidRPr="00701F32" w:rsidRDefault="00CA188D" w:rsidP="00CA188D">
      <w:pPr>
        <w:tabs>
          <w:tab w:val="left" w:pos="142"/>
          <w:tab w:val="left" w:pos="426"/>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Estructura de Resultados</w:t>
      </w:r>
    </w:p>
    <w:p w14:paraId="036DEC1A" w14:textId="77777777" w:rsidR="00CA188D" w:rsidRPr="00701F32" w:rsidRDefault="00CA188D" w:rsidP="00CA188D">
      <w:pPr>
        <w:tabs>
          <w:tab w:val="left" w:pos="142"/>
          <w:tab w:val="left" w:pos="426"/>
        </w:tabs>
        <w:jc w:val="both"/>
        <w:rPr>
          <w:rFonts w:ascii="Arial" w:hAnsi="Arial" w:cs="Arial"/>
          <w:sz w:val="20"/>
          <w:u w:val="single"/>
        </w:rPr>
      </w:pPr>
    </w:p>
    <w:tbl>
      <w:tblPr>
        <w:tblW w:w="44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363"/>
        <w:gridCol w:w="1766"/>
        <w:gridCol w:w="1544"/>
      </w:tblGrid>
      <w:tr w:rsidR="002E010E" w:rsidRPr="00701F32" w14:paraId="65107B49" w14:textId="77777777" w:rsidTr="0086282C">
        <w:trPr>
          <w:trHeight w:val="343"/>
          <w:tblHeader/>
        </w:trPr>
        <w:tc>
          <w:tcPr>
            <w:tcW w:w="2843" w:type="pct"/>
            <w:tcBorders>
              <w:top w:val="single" w:sz="12" w:space="0" w:color="auto"/>
              <w:bottom w:val="single" w:sz="12" w:space="0" w:color="auto"/>
            </w:tcBorders>
            <w:tcMar>
              <w:left w:w="108" w:type="dxa"/>
              <w:right w:w="108" w:type="dxa"/>
            </w:tcMar>
            <w:vAlign w:val="center"/>
          </w:tcPr>
          <w:p w14:paraId="2B0751A0" w14:textId="77777777" w:rsidR="002E010E" w:rsidRPr="00701F32" w:rsidRDefault="002E010E" w:rsidP="00CA188D">
            <w:pPr>
              <w:tabs>
                <w:tab w:val="left" w:pos="142"/>
              </w:tabs>
              <w:jc w:val="both"/>
              <w:rPr>
                <w:rFonts w:ascii="Arial" w:hAnsi="Arial" w:cs="Arial"/>
                <w:b/>
                <w:sz w:val="20"/>
              </w:rPr>
            </w:pPr>
            <w:r w:rsidRPr="00701F32">
              <w:rPr>
                <w:rFonts w:ascii="Arial" w:hAnsi="Arial" w:cs="Arial"/>
                <w:b/>
                <w:sz w:val="20"/>
              </w:rPr>
              <w:t>Concepto</w:t>
            </w:r>
          </w:p>
        </w:tc>
        <w:tc>
          <w:tcPr>
            <w:tcW w:w="1151" w:type="pct"/>
            <w:tcBorders>
              <w:top w:val="single" w:sz="12" w:space="0" w:color="auto"/>
              <w:bottom w:val="single" w:sz="12" w:space="0" w:color="auto"/>
            </w:tcBorders>
            <w:tcMar>
              <w:left w:w="108" w:type="dxa"/>
              <w:right w:w="108" w:type="dxa"/>
            </w:tcMar>
            <w:vAlign w:val="center"/>
          </w:tcPr>
          <w:p w14:paraId="52D33919" w14:textId="77777777" w:rsidR="002E010E" w:rsidRPr="00701F32" w:rsidRDefault="002E010E" w:rsidP="00A7531D">
            <w:pPr>
              <w:tabs>
                <w:tab w:val="left" w:pos="142"/>
              </w:tabs>
              <w:jc w:val="center"/>
              <w:rPr>
                <w:rFonts w:ascii="Arial" w:hAnsi="Arial" w:cs="Arial"/>
                <w:b/>
                <w:sz w:val="20"/>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/2018</w:t>
            </w:r>
          </w:p>
        </w:tc>
        <w:tc>
          <w:tcPr>
            <w:tcW w:w="1006" w:type="pct"/>
            <w:tcBorders>
              <w:top w:val="single" w:sz="12" w:space="0" w:color="auto"/>
              <w:bottom w:val="single" w:sz="12" w:space="0" w:color="auto"/>
            </w:tcBorders>
            <w:vAlign w:val="center"/>
          </w:tcPr>
          <w:p w14:paraId="0C4242FC" w14:textId="77777777" w:rsidR="002E010E" w:rsidRPr="00701F32" w:rsidRDefault="002E010E" w:rsidP="00A7531D">
            <w:pPr>
              <w:jc w:val="center"/>
              <w:rPr>
                <w:rFonts w:ascii="Arial" w:hAnsi="Arial" w:cs="Arial"/>
                <w:sz w:val="20"/>
                <w:lang w:val="es-ES" w:eastAsia="es-ES"/>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/2017</w:t>
            </w:r>
          </w:p>
        </w:tc>
      </w:tr>
      <w:tr w:rsidR="002E010E" w:rsidRPr="00701F32" w14:paraId="000D4027" w14:textId="77777777" w:rsidTr="0086282C">
        <w:trPr>
          <w:trHeight w:val="343"/>
        </w:trPr>
        <w:tc>
          <w:tcPr>
            <w:tcW w:w="2843" w:type="pct"/>
            <w:tcBorders>
              <w:top w:val="single" w:sz="12" w:space="0" w:color="auto"/>
            </w:tcBorders>
            <w:tcMar>
              <w:left w:w="108" w:type="dxa"/>
              <w:right w:w="108" w:type="dxa"/>
            </w:tcMar>
            <w:vAlign w:val="center"/>
          </w:tcPr>
          <w:p w14:paraId="44569322" w14:textId="77777777" w:rsidR="002E010E" w:rsidRPr="00701F32" w:rsidRDefault="002E010E" w:rsidP="00CA188D">
            <w:pPr>
              <w:tabs>
                <w:tab w:val="left" w:pos="142"/>
              </w:tabs>
              <w:rPr>
                <w:rFonts w:ascii="Arial" w:hAnsi="Arial" w:cs="Arial"/>
                <w:sz w:val="20"/>
              </w:rPr>
            </w:pPr>
            <w:r w:rsidRPr="00701F32">
              <w:rPr>
                <w:rFonts w:ascii="Arial" w:hAnsi="Arial" w:cs="Arial"/>
                <w:sz w:val="20"/>
                <w:lang w:val="es-MX"/>
              </w:rPr>
              <w:t>Ganancia Neta por Intereses y Comisiones</w:t>
            </w:r>
          </w:p>
        </w:tc>
        <w:tc>
          <w:tcPr>
            <w:tcW w:w="1151" w:type="pct"/>
            <w:tcBorders>
              <w:top w:val="single" w:sz="12" w:space="0" w:color="auto"/>
            </w:tcBorders>
            <w:tcMar>
              <w:left w:w="108" w:type="dxa"/>
              <w:right w:w="108" w:type="dxa"/>
            </w:tcMar>
            <w:vAlign w:val="center"/>
          </w:tcPr>
          <w:p w14:paraId="4857639B" w14:textId="0B07440C" w:rsidR="002E010E"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10.182.993</w:t>
            </w:r>
          </w:p>
        </w:tc>
        <w:tc>
          <w:tcPr>
            <w:tcW w:w="1006" w:type="pct"/>
            <w:tcBorders>
              <w:top w:val="single" w:sz="12" w:space="0" w:color="auto"/>
            </w:tcBorders>
            <w:vAlign w:val="center"/>
          </w:tcPr>
          <w:p w14:paraId="5B950C7F" w14:textId="1555C27E" w:rsidR="002E010E" w:rsidRPr="00701F32" w:rsidRDefault="000345FA" w:rsidP="00CA188D">
            <w:pPr>
              <w:tabs>
                <w:tab w:val="left" w:pos="142"/>
              </w:tabs>
              <w:jc w:val="right"/>
              <w:rPr>
                <w:rFonts w:ascii="Arial" w:hAnsi="Arial" w:cs="Arial"/>
                <w:sz w:val="20"/>
                <w:lang w:val="es-MX" w:eastAsia="es-ES"/>
              </w:rPr>
            </w:pPr>
            <w:r w:rsidRPr="00701F32">
              <w:rPr>
                <w:rFonts w:ascii="Arial" w:hAnsi="Arial" w:cs="Arial"/>
                <w:sz w:val="20"/>
                <w:lang w:val="es-MX" w:eastAsia="es-ES"/>
              </w:rPr>
              <w:t>7.578.387</w:t>
            </w:r>
          </w:p>
        </w:tc>
      </w:tr>
      <w:tr w:rsidR="002E010E" w:rsidRPr="00701F32" w14:paraId="6D97C3E9" w14:textId="77777777" w:rsidTr="0086282C">
        <w:trPr>
          <w:trHeight w:val="343"/>
        </w:trPr>
        <w:tc>
          <w:tcPr>
            <w:tcW w:w="2843" w:type="pct"/>
            <w:tcMar>
              <w:left w:w="108" w:type="dxa"/>
              <w:right w:w="108" w:type="dxa"/>
            </w:tcMar>
            <w:vAlign w:val="center"/>
          </w:tcPr>
          <w:p w14:paraId="1762CDBF" w14:textId="4D168126" w:rsidR="002E010E" w:rsidRPr="00701F32" w:rsidRDefault="002E010E" w:rsidP="00CA188D">
            <w:pPr>
              <w:tabs>
                <w:tab w:val="left" w:pos="142"/>
              </w:tabs>
              <w:rPr>
                <w:rFonts w:ascii="Arial" w:hAnsi="Arial" w:cs="Arial"/>
                <w:sz w:val="20"/>
              </w:rPr>
            </w:pPr>
            <w:r w:rsidRPr="00701F32">
              <w:rPr>
                <w:rFonts w:ascii="Arial" w:hAnsi="Arial" w:cs="Arial"/>
                <w:sz w:val="20"/>
              </w:rPr>
              <w:t>Otros Resultados Netos y Otros Ingresos Operativos</w:t>
            </w:r>
            <w:r w:rsidR="000345FA" w:rsidRPr="00701F32">
              <w:rPr>
                <w:rFonts w:ascii="Arial" w:hAnsi="Arial" w:cs="Arial"/>
                <w:sz w:val="20"/>
              </w:rPr>
              <w:t xml:space="preserve"> Netos</w:t>
            </w:r>
          </w:p>
        </w:tc>
        <w:tc>
          <w:tcPr>
            <w:tcW w:w="1151" w:type="pct"/>
            <w:tcMar>
              <w:left w:w="108" w:type="dxa"/>
              <w:right w:w="108" w:type="dxa"/>
            </w:tcMar>
            <w:vAlign w:val="center"/>
          </w:tcPr>
          <w:p w14:paraId="447BC6FE" w14:textId="38214C3F" w:rsidR="002E010E"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1.099.635</w:t>
            </w:r>
          </w:p>
        </w:tc>
        <w:tc>
          <w:tcPr>
            <w:tcW w:w="1006" w:type="pct"/>
            <w:vAlign w:val="center"/>
          </w:tcPr>
          <w:p w14:paraId="5B8DE504" w14:textId="2F9F538A" w:rsidR="002E010E" w:rsidRPr="00701F32" w:rsidRDefault="000345FA" w:rsidP="00CA188D">
            <w:pPr>
              <w:tabs>
                <w:tab w:val="left" w:pos="142"/>
              </w:tabs>
              <w:jc w:val="right"/>
              <w:rPr>
                <w:rFonts w:ascii="Arial" w:hAnsi="Arial" w:cs="Arial"/>
                <w:sz w:val="20"/>
                <w:lang w:val="es-MX" w:eastAsia="es-ES"/>
              </w:rPr>
            </w:pPr>
            <w:r w:rsidRPr="00701F32">
              <w:rPr>
                <w:rFonts w:ascii="Arial" w:hAnsi="Arial" w:cs="Arial"/>
                <w:sz w:val="20"/>
                <w:lang w:val="es-MX" w:eastAsia="es-ES"/>
              </w:rPr>
              <w:t>1.040.386</w:t>
            </w:r>
          </w:p>
        </w:tc>
      </w:tr>
      <w:tr w:rsidR="002E010E" w:rsidRPr="00701F32" w14:paraId="40418284" w14:textId="77777777" w:rsidTr="0086282C">
        <w:trPr>
          <w:trHeight w:val="343"/>
        </w:trPr>
        <w:tc>
          <w:tcPr>
            <w:tcW w:w="2843" w:type="pct"/>
            <w:tcMar>
              <w:left w:w="108" w:type="dxa"/>
              <w:right w:w="108" w:type="dxa"/>
            </w:tcMar>
            <w:vAlign w:val="center"/>
          </w:tcPr>
          <w:p w14:paraId="7243AC57" w14:textId="77777777" w:rsidR="002E010E" w:rsidRPr="00701F32" w:rsidRDefault="002E010E" w:rsidP="00CA188D">
            <w:pPr>
              <w:tabs>
                <w:tab w:val="left" w:pos="142"/>
              </w:tabs>
              <w:rPr>
                <w:rFonts w:ascii="Arial" w:hAnsi="Arial" w:cs="Arial"/>
                <w:sz w:val="20"/>
              </w:rPr>
            </w:pPr>
            <w:r w:rsidRPr="00701F32">
              <w:rPr>
                <w:rFonts w:ascii="Arial" w:hAnsi="Arial" w:cs="Arial"/>
                <w:sz w:val="20"/>
              </w:rPr>
              <w:t>Otras Pérdidas y Otros Gastos Operativos</w:t>
            </w:r>
          </w:p>
        </w:tc>
        <w:tc>
          <w:tcPr>
            <w:tcW w:w="1151" w:type="pct"/>
            <w:tcMar>
              <w:left w:w="108" w:type="dxa"/>
              <w:right w:w="108" w:type="dxa"/>
            </w:tcMar>
            <w:vAlign w:val="center"/>
          </w:tcPr>
          <w:p w14:paraId="2937789F" w14:textId="12375FFF" w:rsidR="002E010E" w:rsidRPr="00701F32" w:rsidRDefault="000345FA" w:rsidP="00C96811">
            <w:pPr>
              <w:tabs>
                <w:tab w:val="left" w:pos="142"/>
              </w:tabs>
              <w:jc w:val="right"/>
              <w:rPr>
                <w:rFonts w:ascii="Arial" w:hAnsi="Arial" w:cs="Arial"/>
                <w:sz w:val="20"/>
                <w:lang w:val="es-MX"/>
              </w:rPr>
            </w:pPr>
            <w:r w:rsidRPr="00701F32">
              <w:rPr>
                <w:rFonts w:ascii="Arial" w:hAnsi="Arial" w:cs="Arial"/>
                <w:sz w:val="20"/>
                <w:lang w:val="es-MX"/>
              </w:rPr>
              <w:t>(9.869.482)</w:t>
            </w:r>
          </w:p>
        </w:tc>
        <w:tc>
          <w:tcPr>
            <w:tcW w:w="1006" w:type="pct"/>
            <w:vAlign w:val="center"/>
          </w:tcPr>
          <w:p w14:paraId="501B3EB5" w14:textId="3FD5CE7D" w:rsidR="002E010E" w:rsidRPr="00701F32" w:rsidRDefault="000345FA" w:rsidP="00C96811">
            <w:pPr>
              <w:tabs>
                <w:tab w:val="left" w:pos="142"/>
              </w:tabs>
              <w:jc w:val="right"/>
              <w:rPr>
                <w:rFonts w:ascii="Arial" w:hAnsi="Arial" w:cs="Arial"/>
                <w:sz w:val="20"/>
                <w:lang w:val="es-MX" w:eastAsia="es-ES"/>
              </w:rPr>
            </w:pPr>
            <w:r w:rsidRPr="00701F32">
              <w:rPr>
                <w:rFonts w:ascii="Arial" w:hAnsi="Arial" w:cs="Arial"/>
                <w:sz w:val="20"/>
                <w:lang w:val="es-MX" w:eastAsia="es-ES"/>
              </w:rPr>
              <w:t>(7.468.928)</w:t>
            </w:r>
          </w:p>
        </w:tc>
      </w:tr>
      <w:tr w:rsidR="002E010E" w:rsidRPr="00701F32" w14:paraId="71A4712E" w14:textId="77777777" w:rsidTr="0086282C">
        <w:trPr>
          <w:trHeight w:val="343"/>
        </w:trPr>
        <w:tc>
          <w:tcPr>
            <w:tcW w:w="2843" w:type="pct"/>
            <w:tcMar>
              <w:left w:w="108" w:type="dxa"/>
              <w:right w:w="108" w:type="dxa"/>
            </w:tcMar>
            <w:vAlign w:val="center"/>
          </w:tcPr>
          <w:p w14:paraId="2C38D6D9" w14:textId="77777777" w:rsidR="002E010E" w:rsidRPr="00701F32" w:rsidRDefault="002E010E" w:rsidP="00CA188D">
            <w:pPr>
              <w:tabs>
                <w:tab w:val="left" w:pos="142"/>
              </w:tabs>
              <w:rPr>
                <w:rFonts w:ascii="Arial" w:hAnsi="Arial" w:cs="Arial"/>
                <w:sz w:val="20"/>
              </w:rPr>
            </w:pPr>
            <w:r w:rsidRPr="00701F32">
              <w:rPr>
                <w:rFonts w:ascii="Arial" w:hAnsi="Arial" w:cs="Arial"/>
                <w:sz w:val="20"/>
              </w:rPr>
              <w:t xml:space="preserve">Resultado por asociadas </w:t>
            </w:r>
          </w:p>
        </w:tc>
        <w:tc>
          <w:tcPr>
            <w:tcW w:w="1151" w:type="pct"/>
            <w:tcMar>
              <w:left w:w="108" w:type="dxa"/>
              <w:right w:w="108" w:type="dxa"/>
            </w:tcMar>
            <w:vAlign w:val="center"/>
          </w:tcPr>
          <w:p w14:paraId="1B9714F5" w14:textId="785745DC" w:rsidR="002E010E" w:rsidRPr="00701F32" w:rsidRDefault="000345FA" w:rsidP="00C96811">
            <w:pPr>
              <w:tabs>
                <w:tab w:val="left" w:pos="142"/>
              </w:tabs>
              <w:jc w:val="right"/>
              <w:rPr>
                <w:rFonts w:ascii="Arial" w:hAnsi="Arial" w:cs="Arial"/>
                <w:sz w:val="20"/>
                <w:lang w:val="es-MX"/>
              </w:rPr>
            </w:pPr>
            <w:r w:rsidRPr="00701F32">
              <w:rPr>
                <w:rFonts w:ascii="Arial" w:hAnsi="Arial" w:cs="Arial"/>
                <w:sz w:val="20"/>
                <w:lang w:val="es-MX"/>
              </w:rPr>
              <w:t>(8.038)</w:t>
            </w:r>
          </w:p>
        </w:tc>
        <w:tc>
          <w:tcPr>
            <w:tcW w:w="1006" w:type="pct"/>
            <w:vAlign w:val="center"/>
          </w:tcPr>
          <w:p w14:paraId="0E0BB17B" w14:textId="68B6A681" w:rsidR="002E010E" w:rsidRPr="00701F32" w:rsidRDefault="000345FA" w:rsidP="00CA188D">
            <w:pPr>
              <w:tabs>
                <w:tab w:val="left" w:pos="142"/>
              </w:tabs>
              <w:jc w:val="right"/>
              <w:rPr>
                <w:rFonts w:ascii="Arial" w:hAnsi="Arial" w:cs="Arial"/>
                <w:sz w:val="20"/>
                <w:lang w:val="es-MX" w:eastAsia="es-ES"/>
              </w:rPr>
            </w:pPr>
            <w:r w:rsidRPr="00701F32">
              <w:rPr>
                <w:rFonts w:ascii="Arial" w:hAnsi="Arial" w:cs="Arial"/>
                <w:sz w:val="20"/>
                <w:lang w:val="es-MX" w:eastAsia="es-ES"/>
              </w:rPr>
              <w:t>3.669</w:t>
            </w:r>
          </w:p>
        </w:tc>
      </w:tr>
      <w:tr w:rsidR="002E010E" w:rsidRPr="00701F32" w14:paraId="0329AF07" w14:textId="77777777" w:rsidTr="0086282C">
        <w:trPr>
          <w:trHeight w:val="343"/>
        </w:trPr>
        <w:tc>
          <w:tcPr>
            <w:tcW w:w="2843" w:type="pct"/>
            <w:tcBorders>
              <w:bottom w:val="single" w:sz="6" w:space="0" w:color="auto"/>
            </w:tcBorders>
            <w:tcMar>
              <w:left w:w="108" w:type="dxa"/>
              <w:right w:w="108" w:type="dxa"/>
            </w:tcMar>
            <w:vAlign w:val="center"/>
          </w:tcPr>
          <w:p w14:paraId="4C96E613" w14:textId="77777777" w:rsidR="002E010E" w:rsidRPr="00701F32" w:rsidRDefault="002E010E" w:rsidP="00CA188D">
            <w:pPr>
              <w:tabs>
                <w:tab w:val="left" w:pos="142"/>
              </w:tabs>
              <w:rPr>
                <w:rFonts w:ascii="Arial" w:hAnsi="Arial" w:cs="Arial"/>
                <w:sz w:val="20"/>
              </w:rPr>
            </w:pPr>
            <w:r w:rsidRPr="00701F32">
              <w:rPr>
                <w:rFonts w:ascii="Arial" w:hAnsi="Arial" w:cs="Arial"/>
                <w:sz w:val="20"/>
              </w:rPr>
              <w:t>Subtotal – Ganancia antes de impuesto a las ganancias</w:t>
            </w:r>
          </w:p>
        </w:tc>
        <w:tc>
          <w:tcPr>
            <w:tcW w:w="1151" w:type="pct"/>
            <w:tcBorders>
              <w:bottom w:val="single" w:sz="6" w:space="0" w:color="auto"/>
            </w:tcBorders>
            <w:tcMar>
              <w:left w:w="108" w:type="dxa"/>
              <w:right w:w="108" w:type="dxa"/>
            </w:tcMar>
            <w:vAlign w:val="center"/>
          </w:tcPr>
          <w:p w14:paraId="54054430" w14:textId="401FEFE4" w:rsidR="002E010E"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1.405.108</w:t>
            </w:r>
          </w:p>
        </w:tc>
        <w:tc>
          <w:tcPr>
            <w:tcW w:w="1006" w:type="pct"/>
            <w:tcBorders>
              <w:bottom w:val="single" w:sz="6" w:space="0" w:color="auto"/>
            </w:tcBorders>
            <w:vAlign w:val="center"/>
          </w:tcPr>
          <w:p w14:paraId="6915C4BE" w14:textId="127B627B" w:rsidR="002E010E" w:rsidRPr="00701F32" w:rsidRDefault="000345FA" w:rsidP="00CA188D">
            <w:pPr>
              <w:tabs>
                <w:tab w:val="left" w:pos="142"/>
              </w:tabs>
              <w:jc w:val="right"/>
              <w:rPr>
                <w:rFonts w:ascii="Arial" w:hAnsi="Arial" w:cs="Arial"/>
                <w:sz w:val="20"/>
                <w:lang w:val="es-MX" w:eastAsia="es-ES"/>
              </w:rPr>
            </w:pPr>
            <w:r w:rsidRPr="00701F32">
              <w:rPr>
                <w:rFonts w:ascii="Arial" w:hAnsi="Arial" w:cs="Arial"/>
                <w:sz w:val="20"/>
                <w:lang w:val="es-MX" w:eastAsia="es-ES"/>
              </w:rPr>
              <w:t>1.153.514</w:t>
            </w:r>
          </w:p>
        </w:tc>
      </w:tr>
      <w:tr w:rsidR="002E010E" w:rsidRPr="00701F32" w14:paraId="50D3BA34" w14:textId="77777777" w:rsidTr="0086282C">
        <w:trPr>
          <w:trHeight w:val="343"/>
        </w:trPr>
        <w:tc>
          <w:tcPr>
            <w:tcW w:w="2843" w:type="pct"/>
            <w:tcBorders>
              <w:top w:val="single" w:sz="6" w:space="0" w:color="auto"/>
              <w:bottom w:val="single" w:sz="6" w:space="0" w:color="auto"/>
            </w:tcBorders>
            <w:tcMar>
              <w:left w:w="108" w:type="dxa"/>
              <w:right w:w="108" w:type="dxa"/>
            </w:tcMar>
            <w:vAlign w:val="center"/>
          </w:tcPr>
          <w:p w14:paraId="712C58A3" w14:textId="77777777" w:rsidR="002E010E" w:rsidRPr="00701F32" w:rsidRDefault="002E010E" w:rsidP="00CA188D">
            <w:pPr>
              <w:tabs>
                <w:tab w:val="left" w:pos="142"/>
              </w:tabs>
              <w:rPr>
                <w:rFonts w:ascii="Arial" w:hAnsi="Arial" w:cs="Arial"/>
                <w:sz w:val="20"/>
              </w:rPr>
            </w:pPr>
            <w:r w:rsidRPr="00701F32">
              <w:rPr>
                <w:rFonts w:ascii="Arial" w:hAnsi="Arial" w:cs="Arial"/>
                <w:sz w:val="20"/>
              </w:rPr>
              <w:t>Impuesto a las Ganancias</w:t>
            </w:r>
          </w:p>
        </w:tc>
        <w:tc>
          <w:tcPr>
            <w:tcW w:w="1151" w:type="pct"/>
            <w:tcBorders>
              <w:top w:val="single" w:sz="6" w:space="0" w:color="auto"/>
              <w:bottom w:val="single" w:sz="6" w:space="0" w:color="auto"/>
            </w:tcBorders>
            <w:tcMar>
              <w:left w:w="108" w:type="dxa"/>
              <w:right w:w="108" w:type="dxa"/>
            </w:tcMar>
            <w:vAlign w:val="center"/>
          </w:tcPr>
          <w:p w14:paraId="4D514ECA" w14:textId="1C507452" w:rsidR="002E010E" w:rsidRPr="00701F32" w:rsidRDefault="000345FA" w:rsidP="00C96811">
            <w:pPr>
              <w:tabs>
                <w:tab w:val="left" w:pos="142"/>
              </w:tabs>
              <w:jc w:val="right"/>
              <w:rPr>
                <w:rFonts w:ascii="Arial" w:hAnsi="Arial" w:cs="Arial"/>
                <w:sz w:val="20"/>
                <w:lang w:val="es-MX"/>
              </w:rPr>
            </w:pPr>
            <w:r w:rsidRPr="00701F32">
              <w:rPr>
                <w:rFonts w:ascii="Arial" w:hAnsi="Arial" w:cs="Arial"/>
                <w:sz w:val="20"/>
                <w:lang w:val="es-MX"/>
              </w:rPr>
              <w:t>266.599</w:t>
            </w:r>
          </w:p>
        </w:tc>
        <w:tc>
          <w:tcPr>
            <w:tcW w:w="1006" w:type="pct"/>
            <w:tcBorders>
              <w:top w:val="single" w:sz="6" w:space="0" w:color="auto"/>
              <w:bottom w:val="single" w:sz="6" w:space="0" w:color="auto"/>
            </w:tcBorders>
            <w:vAlign w:val="center"/>
          </w:tcPr>
          <w:p w14:paraId="4348899A" w14:textId="37D4356D" w:rsidR="002E010E" w:rsidRPr="00701F32" w:rsidRDefault="000345FA" w:rsidP="00C96811">
            <w:pPr>
              <w:tabs>
                <w:tab w:val="left" w:pos="142"/>
              </w:tabs>
              <w:jc w:val="right"/>
              <w:rPr>
                <w:rFonts w:ascii="Arial" w:hAnsi="Arial" w:cs="Arial"/>
                <w:sz w:val="20"/>
                <w:lang w:val="es-MX" w:eastAsia="es-ES"/>
              </w:rPr>
            </w:pPr>
            <w:r w:rsidRPr="00701F32">
              <w:rPr>
                <w:rFonts w:ascii="Arial" w:hAnsi="Arial" w:cs="Arial"/>
                <w:sz w:val="20"/>
                <w:lang w:val="es-MX" w:eastAsia="es-ES"/>
              </w:rPr>
              <w:t>325.298</w:t>
            </w:r>
          </w:p>
        </w:tc>
      </w:tr>
      <w:tr w:rsidR="002E010E" w:rsidRPr="00701F32" w14:paraId="6FEB6D53" w14:textId="77777777" w:rsidTr="0086282C">
        <w:trPr>
          <w:trHeight w:val="343"/>
        </w:trPr>
        <w:tc>
          <w:tcPr>
            <w:tcW w:w="2843" w:type="pct"/>
            <w:tcBorders>
              <w:top w:val="single" w:sz="6" w:space="0" w:color="auto"/>
              <w:bottom w:val="single" w:sz="12" w:space="0" w:color="auto"/>
            </w:tcBorders>
            <w:tcMar>
              <w:left w:w="108" w:type="dxa"/>
              <w:right w:w="108" w:type="dxa"/>
            </w:tcMar>
            <w:vAlign w:val="center"/>
          </w:tcPr>
          <w:p w14:paraId="659B2DE3" w14:textId="77777777" w:rsidR="002E010E" w:rsidRPr="00701F32" w:rsidRDefault="002E010E" w:rsidP="00CA188D">
            <w:pPr>
              <w:tabs>
                <w:tab w:val="left" w:pos="142"/>
              </w:tabs>
              <w:rPr>
                <w:rFonts w:ascii="Arial" w:hAnsi="Arial" w:cs="Arial"/>
                <w:b/>
                <w:sz w:val="20"/>
              </w:rPr>
            </w:pPr>
            <w:r w:rsidRPr="00701F32">
              <w:rPr>
                <w:rFonts w:ascii="Arial" w:hAnsi="Arial" w:cs="Arial"/>
                <w:sz w:val="20"/>
              </w:rPr>
              <w:t>Ganancia Neta</w:t>
            </w:r>
          </w:p>
        </w:tc>
        <w:tc>
          <w:tcPr>
            <w:tcW w:w="1151" w:type="pct"/>
            <w:tcBorders>
              <w:top w:val="single" w:sz="6" w:space="0" w:color="auto"/>
              <w:bottom w:val="single" w:sz="12" w:space="0" w:color="auto"/>
            </w:tcBorders>
            <w:tcMar>
              <w:left w:w="108" w:type="dxa"/>
              <w:right w:w="108" w:type="dxa"/>
            </w:tcMar>
            <w:vAlign w:val="bottom"/>
          </w:tcPr>
          <w:p w14:paraId="0D3C44DF" w14:textId="701ABFBB" w:rsidR="002E010E"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1.138.509</w:t>
            </w:r>
          </w:p>
        </w:tc>
        <w:tc>
          <w:tcPr>
            <w:tcW w:w="1006" w:type="pct"/>
            <w:tcBorders>
              <w:top w:val="single" w:sz="6" w:space="0" w:color="auto"/>
              <w:bottom w:val="single" w:sz="12" w:space="0" w:color="auto"/>
            </w:tcBorders>
            <w:vAlign w:val="bottom"/>
          </w:tcPr>
          <w:p w14:paraId="5C2AC599" w14:textId="359D3069" w:rsidR="002E010E" w:rsidRPr="00701F32" w:rsidRDefault="000345FA" w:rsidP="00CA188D">
            <w:pPr>
              <w:tabs>
                <w:tab w:val="left" w:pos="142"/>
              </w:tabs>
              <w:jc w:val="right"/>
              <w:rPr>
                <w:rFonts w:ascii="Arial" w:hAnsi="Arial" w:cs="Arial"/>
                <w:sz w:val="20"/>
                <w:lang w:val="es-MX" w:eastAsia="es-ES"/>
              </w:rPr>
            </w:pPr>
            <w:r w:rsidRPr="00701F32">
              <w:rPr>
                <w:rFonts w:ascii="Arial" w:hAnsi="Arial" w:cs="Arial"/>
                <w:sz w:val="20"/>
                <w:lang w:val="es-MX" w:eastAsia="es-ES"/>
              </w:rPr>
              <w:t>828.216</w:t>
            </w:r>
          </w:p>
        </w:tc>
      </w:tr>
    </w:tbl>
    <w:p w14:paraId="35CDF4D3" w14:textId="77777777" w:rsidR="00CA188D" w:rsidRPr="00701F32" w:rsidRDefault="00CA188D" w:rsidP="00CA188D">
      <w:pPr>
        <w:tabs>
          <w:tab w:val="left" w:pos="142"/>
          <w:tab w:val="left" w:pos="426"/>
        </w:tabs>
        <w:jc w:val="both"/>
        <w:rPr>
          <w:rFonts w:ascii="Arial" w:hAnsi="Arial" w:cs="Arial"/>
          <w:sz w:val="20"/>
        </w:rPr>
      </w:pPr>
    </w:p>
    <w:p w14:paraId="6C0C9E26" w14:textId="77777777" w:rsidR="00CA188D" w:rsidRPr="00701F32" w:rsidRDefault="00CA188D" w:rsidP="00CA188D">
      <w:pPr>
        <w:tabs>
          <w:tab w:val="left" w:pos="142"/>
          <w:tab w:val="left" w:pos="426"/>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Estructura del Flujo de Efectivo</w:t>
      </w:r>
    </w:p>
    <w:p w14:paraId="3B1C14B6" w14:textId="77777777" w:rsidR="00CA188D" w:rsidRPr="00701F32" w:rsidRDefault="00CA188D" w:rsidP="00CA188D">
      <w:pPr>
        <w:tabs>
          <w:tab w:val="left" w:pos="142"/>
          <w:tab w:val="left" w:pos="426"/>
        </w:tabs>
        <w:jc w:val="both"/>
        <w:rPr>
          <w:rFonts w:ascii="Arial" w:hAnsi="Arial" w:cs="Arial"/>
          <w:sz w:val="20"/>
          <w:u w:val="single"/>
        </w:rPr>
      </w:pPr>
    </w:p>
    <w:tbl>
      <w:tblPr>
        <w:tblW w:w="44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381"/>
        <w:gridCol w:w="1787"/>
        <w:gridCol w:w="1561"/>
      </w:tblGrid>
      <w:tr w:rsidR="002E010E" w:rsidRPr="00701F32" w14:paraId="40D4025F" w14:textId="77777777" w:rsidTr="0086282C">
        <w:trPr>
          <w:trHeight w:val="351"/>
          <w:tblHeader/>
        </w:trPr>
        <w:tc>
          <w:tcPr>
            <w:tcW w:w="2834" w:type="pct"/>
            <w:tcBorders>
              <w:top w:val="single" w:sz="12" w:space="0" w:color="auto"/>
              <w:bottom w:val="single" w:sz="12" w:space="0" w:color="auto"/>
            </w:tcBorders>
            <w:tcMar>
              <w:left w:w="108" w:type="dxa"/>
              <w:right w:w="108" w:type="dxa"/>
            </w:tcMar>
            <w:vAlign w:val="center"/>
          </w:tcPr>
          <w:p w14:paraId="3F535C2A" w14:textId="77777777" w:rsidR="002E010E" w:rsidRPr="00701F32" w:rsidRDefault="002E010E" w:rsidP="00CA188D">
            <w:pPr>
              <w:tabs>
                <w:tab w:val="left" w:pos="142"/>
              </w:tabs>
              <w:jc w:val="both"/>
              <w:rPr>
                <w:rFonts w:ascii="Arial" w:hAnsi="Arial" w:cs="Arial"/>
                <w:b/>
                <w:sz w:val="20"/>
              </w:rPr>
            </w:pPr>
            <w:r w:rsidRPr="00701F32">
              <w:rPr>
                <w:rFonts w:ascii="Arial" w:hAnsi="Arial" w:cs="Arial"/>
                <w:b/>
                <w:sz w:val="20"/>
              </w:rPr>
              <w:t>Concepto</w:t>
            </w:r>
          </w:p>
        </w:tc>
        <w:tc>
          <w:tcPr>
            <w:tcW w:w="1156" w:type="pct"/>
            <w:tcBorders>
              <w:top w:val="single" w:sz="12" w:space="0" w:color="auto"/>
              <w:bottom w:val="single" w:sz="12" w:space="0" w:color="auto"/>
            </w:tcBorders>
            <w:tcMar>
              <w:left w:w="108" w:type="dxa"/>
              <w:right w:w="108" w:type="dxa"/>
            </w:tcMar>
            <w:vAlign w:val="center"/>
          </w:tcPr>
          <w:p w14:paraId="7C038D1F" w14:textId="77777777" w:rsidR="002E010E" w:rsidRPr="00701F32" w:rsidRDefault="002E010E" w:rsidP="00A7531D">
            <w:pPr>
              <w:tabs>
                <w:tab w:val="left" w:pos="142"/>
              </w:tabs>
              <w:jc w:val="center"/>
              <w:rPr>
                <w:rFonts w:ascii="Arial" w:hAnsi="Arial" w:cs="Arial"/>
                <w:b/>
                <w:sz w:val="20"/>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/2018</w:t>
            </w:r>
          </w:p>
        </w:tc>
        <w:tc>
          <w:tcPr>
            <w:tcW w:w="1010" w:type="pct"/>
            <w:tcBorders>
              <w:top w:val="single" w:sz="12" w:space="0" w:color="auto"/>
              <w:bottom w:val="single" w:sz="12" w:space="0" w:color="auto"/>
            </w:tcBorders>
            <w:vAlign w:val="center"/>
          </w:tcPr>
          <w:p w14:paraId="2F49E49C" w14:textId="77777777" w:rsidR="002E010E" w:rsidRPr="00701F32" w:rsidRDefault="002E010E" w:rsidP="00A7531D">
            <w:pPr>
              <w:jc w:val="center"/>
              <w:rPr>
                <w:rFonts w:ascii="Arial" w:hAnsi="Arial" w:cs="Arial"/>
                <w:sz w:val="20"/>
                <w:lang w:val="es-ES" w:eastAsia="es-ES"/>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/2017</w:t>
            </w:r>
          </w:p>
        </w:tc>
      </w:tr>
      <w:tr w:rsidR="000A5AFF" w:rsidRPr="00701F32" w14:paraId="076292E0" w14:textId="77777777" w:rsidTr="0086282C">
        <w:trPr>
          <w:trHeight w:val="351"/>
        </w:trPr>
        <w:tc>
          <w:tcPr>
            <w:tcW w:w="2834" w:type="pct"/>
            <w:tcBorders>
              <w:top w:val="single" w:sz="12" w:space="0" w:color="auto"/>
            </w:tcBorders>
            <w:tcMar>
              <w:left w:w="108" w:type="dxa"/>
              <w:right w:w="108" w:type="dxa"/>
            </w:tcMar>
            <w:vAlign w:val="center"/>
          </w:tcPr>
          <w:p w14:paraId="206BDE37" w14:textId="77777777" w:rsidR="000A5AFF" w:rsidRPr="00701F32" w:rsidRDefault="000A5AFF" w:rsidP="00CA188D">
            <w:pPr>
              <w:tabs>
                <w:tab w:val="left" w:pos="142"/>
              </w:tabs>
              <w:rPr>
                <w:rFonts w:ascii="Arial" w:hAnsi="Arial" w:cs="Arial"/>
                <w:sz w:val="20"/>
              </w:rPr>
            </w:pPr>
            <w:r w:rsidRPr="00701F32">
              <w:rPr>
                <w:rFonts w:ascii="Arial" w:hAnsi="Arial" w:cs="Arial"/>
                <w:sz w:val="20"/>
                <w:lang w:val="es-MX"/>
              </w:rPr>
              <w:t xml:space="preserve">Flujo Neto de Efectivo </w:t>
            </w:r>
            <w:r w:rsidR="00B16471" w:rsidRPr="00701F32">
              <w:rPr>
                <w:rFonts w:ascii="Arial" w:hAnsi="Arial" w:cs="Arial"/>
                <w:sz w:val="20"/>
                <w:lang w:val="es-MX"/>
              </w:rPr>
              <w:t>Generado / (</w:t>
            </w:r>
            <w:r w:rsidRPr="00701F32">
              <w:rPr>
                <w:rFonts w:ascii="Arial" w:hAnsi="Arial" w:cs="Arial"/>
                <w:sz w:val="20"/>
                <w:lang w:val="es-MX"/>
              </w:rPr>
              <w:t>Utilizado</w:t>
            </w:r>
            <w:r w:rsidR="00B16471" w:rsidRPr="00701F32">
              <w:rPr>
                <w:rFonts w:ascii="Arial" w:hAnsi="Arial" w:cs="Arial"/>
                <w:sz w:val="20"/>
                <w:lang w:val="es-MX"/>
              </w:rPr>
              <w:t>)</w:t>
            </w:r>
            <w:r w:rsidRPr="00701F32">
              <w:rPr>
                <w:rFonts w:ascii="Arial" w:hAnsi="Arial" w:cs="Arial"/>
                <w:sz w:val="20"/>
                <w:lang w:val="es-MX"/>
              </w:rPr>
              <w:t xml:space="preserve"> por las Actividades Operativas</w:t>
            </w:r>
          </w:p>
        </w:tc>
        <w:tc>
          <w:tcPr>
            <w:tcW w:w="1156" w:type="pct"/>
            <w:tcBorders>
              <w:top w:val="single" w:sz="12" w:space="0" w:color="auto"/>
            </w:tcBorders>
            <w:tcMar>
              <w:left w:w="108" w:type="dxa"/>
              <w:right w:w="108" w:type="dxa"/>
            </w:tcMar>
            <w:vAlign w:val="center"/>
          </w:tcPr>
          <w:p w14:paraId="6538A671" w14:textId="4CC239B3" w:rsidR="000A5AFF"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13.920.180</w:t>
            </w:r>
          </w:p>
        </w:tc>
        <w:tc>
          <w:tcPr>
            <w:tcW w:w="1010" w:type="pct"/>
            <w:tcBorders>
              <w:top w:val="single" w:sz="12" w:space="0" w:color="auto"/>
            </w:tcBorders>
            <w:vAlign w:val="center"/>
          </w:tcPr>
          <w:p w14:paraId="49561B4F" w14:textId="7C787F15" w:rsidR="000A5AFF" w:rsidRPr="00701F32" w:rsidRDefault="000345FA" w:rsidP="00040D9D">
            <w:pPr>
              <w:tabs>
                <w:tab w:val="left" w:pos="142"/>
              </w:tabs>
              <w:jc w:val="right"/>
              <w:rPr>
                <w:rFonts w:ascii="Arial" w:hAnsi="Arial" w:cs="Arial"/>
                <w:sz w:val="20"/>
                <w:lang w:val="es-MX" w:eastAsia="es-ES"/>
              </w:rPr>
            </w:pPr>
            <w:r w:rsidRPr="00701F32">
              <w:rPr>
                <w:rFonts w:ascii="Arial" w:hAnsi="Arial" w:cs="Arial"/>
                <w:sz w:val="20"/>
                <w:lang w:val="es-MX" w:eastAsia="es-ES"/>
              </w:rPr>
              <w:t>(4.461.709</w:t>
            </w:r>
            <w:r w:rsidR="00C221C7" w:rsidRPr="00701F32">
              <w:rPr>
                <w:rFonts w:ascii="Arial" w:hAnsi="Arial" w:cs="Arial"/>
                <w:sz w:val="20"/>
                <w:lang w:val="es-MX" w:eastAsia="es-ES"/>
              </w:rPr>
              <w:t>)</w:t>
            </w:r>
          </w:p>
        </w:tc>
      </w:tr>
      <w:tr w:rsidR="000A5AFF" w:rsidRPr="00701F32" w14:paraId="1D6AE170" w14:textId="77777777" w:rsidTr="0086282C">
        <w:trPr>
          <w:trHeight w:val="351"/>
        </w:trPr>
        <w:tc>
          <w:tcPr>
            <w:tcW w:w="2834" w:type="pct"/>
            <w:tcMar>
              <w:left w:w="108" w:type="dxa"/>
              <w:right w:w="108" w:type="dxa"/>
            </w:tcMar>
            <w:vAlign w:val="center"/>
          </w:tcPr>
          <w:p w14:paraId="6BA94170" w14:textId="77777777" w:rsidR="000A5AFF" w:rsidRPr="00701F32" w:rsidRDefault="000A5AFF" w:rsidP="00CA188D">
            <w:pPr>
              <w:tabs>
                <w:tab w:val="left" w:pos="142"/>
              </w:tabs>
              <w:rPr>
                <w:rFonts w:ascii="Arial" w:hAnsi="Arial" w:cs="Arial"/>
                <w:sz w:val="20"/>
              </w:rPr>
            </w:pPr>
            <w:r w:rsidRPr="00701F32">
              <w:rPr>
                <w:rFonts w:ascii="Arial" w:hAnsi="Arial" w:cs="Arial"/>
                <w:sz w:val="20"/>
              </w:rPr>
              <w:t>Flujo Neto de Efectivo Utilizado en las Actividades de Inversión</w:t>
            </w:r>
          </w:p>
        </w:tc>
        <w:tc>
          <w:tcPr>
            <w:tcW w:w="1156" w:type="pct"/>
            <w:tcMar>
              <w:left w:w="108" w:type="dxa"/>
              <w:right w:w="108" w:type="dxa"/>
            </w:tcMar>
            <w:vAlign w:val="center"/>
          </w:tcPr>
          <w:p w14:paraId="57404A04" w14:textId="6C8EF09A" w:rsidR="000A5AFF" w:rsidRPr="00701F32" w:rsidRDefault="000345FA" w:rsidP="0009356E">
            <w:pPr>
              <w:tabs>
                <w:tab w:val="left" w:pos="142"/>
              </w:tabs>
              <w:jc w:val="right"/>
              <w:rPr>
                <w:rFonts w:ascii="Arial" w:hAnsi="Arial" w:cs="Arial"/>
                <w:sz w:val="20"/>
                <w:lang w:val="es-MX"/>
              </w:rPr>
            </w:pPr>
            <w:r w:rsidRPr="00701F32">
              <w:rPr>
                <w:rFonts w:ascii="Arial" w:hAnsi="Arial" w:cs="Arial"/>
                <w:sz w:val="20"/>
                <w:lang w:val="es-MX"/>
              </w:rPr>
              <w:t>(290.418)</w:t>
            </w:r>
          </w:p>
        </w:tc>
        <w:tc>
          <w:tcPr>
            <w:tcW w:w="1010" w:type="pct"/>
            <w:vAlign w:val="center"/>
          </w:tcPr>
          <w:p w14:paraId="58645DAF" w14:textId="46122EB2" w:rsidR="000A5AFF" w:rsidRPr="00701F32" w:rsidRDefault="00C221C7" w:rsidP="00040D9D">
            <w:pPr>
              <w:tabs>
                <w:tab w:val="left" w:pos="142"/>
              </w:tabs>
              <w:jc w:val="right"/>
              <w:rPr>
                <w:rFonts w:ascii="Arial" w:hAnsi="Arial" w:cs="Arial"/>
                <w:sz w:val="20"/>
                <w:lang w:val="es-MX" w:eastAsia="es-ES"/>
              </w:rPr>
            </w:pPr>
            <w:r w:rsidRPr="00701F32">
              <w:rPr>
                <w:rFonts w:ascii="Arial" w:hAnsi="Arial" w:cs="Arial"/>
                <w:sz w:val="20"/>
                <w:lang w:val="es-MX" w:eastAsia="es-ES"/>
              </w:rPr>
              <w:t>(179.969)</w:t>
            </w:r>
          </w:p>
        </w:tc>
      </w:tr>
      <w:tr w:rsidR="000A5AFF" w:rsidRPr="00701F32" w14:paraId="119944F6" w14:textId="77777777" w:rsidTr="0086282C">
        <w:trPr>
          <w:trHeight w:val="351"/>
        </w:trPr>
        <w:tc>
          <w:tcPr>
            <w:tcW w:w="2834" w:type="pct"/>
            <w:tcBorders>
              <w:bottom w:val="single" w:sz="6" w:space="0" w:color="auto"/>
            </w:tcBorders>
            <w:tcMar>
              <w:left w:w="108" w:type="dxa"/>
              <w:right w:w="108" w:type="dxa"/>
            </w:tcMar>
            <w:vAlign w:val="center"/>
          </w:tcPr>
          <w:p w14:paraId="28573784" w14:textId="77777777" w:rsidR="000A5AFF" w:rsidRPr="00701F32" w:rsidRDefault="000A5AFF" w:rsidP="00CA188D">
            <w:pPr>
              <w:tabs>
                <w:tab w:val="left" w:pos="142"/>
              </w:tabs>
              <w:rPr>
                <w:rFonts w:ascii="Arial" w:hAnsi="Arial" w:cs="Arial"/>
                <w:sz w:val="20"/>
              </w:rPr>
            </w:pPr>
            <w:r w:rsidRPr="00701F32">
              <w:rPr>
                <w:rFonts w:ascii="Arial" w:hAnsi="Arial" w:cs="Arial"/>
                <w:sz w:val="20"/>
              </w:rPr>
              <w:t>Flujo Neto de  Efectivo Generado por las Actividades de Financiación</w:t>
            </w:r>
          </w:p>
        </w:tc>
        <w:tc>
          <w:tcPr>
            <w:tcW w:w="1156" w:type="pct"/>
            <w:tcBorders>
              <w:bottom w:val="single" w:sz="6" w:space="0" w:color="auto"/>
            </w:tcBorders>
            <w:tcMar>
              <w:left w:w="108" w:type="dxa"/>
              <w:right w:w="108" w:type="dxa"/>
            </w:tcMar>
            <w:vAlign w:val="center"/>
          </w:tcPr>
          <w:p w14:paraId="34F994C7" w14:textId="3A2BF81E" w:rsidR="000A5AFF"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8.810.904</w:t>
            </w:r>
          </w:p>
        </w:tc>
        <w:tc>
          <w:tcPr>
            <w:tcW w:w="1010" w:type="pct"/>
            <w:tcBorders>
              <w:bottom w:val="single" w:sz="6" w:space="0" w:color="auto"/>
            </w:tcBorders>
            <w:vAlign w:val="center"/>
          </w:tcPr>
          <w:p w14:paraId="65CD5741" w14:textId="0E332277" w:rsidR="000A5AFF" w:rsidRPr="00701F32" w:rsidRDefault="00C221C7" w:rsidP="00CA188D">
            <w:pPr>
              <w:tabs>
                <w:tab w:val="left" w:pos="142"/>
              </w:tabs>
              <w:jc w:val="right"/>
              <w:rPr>
                <w:rFonts w:ascii="Arial" w:hAnsi="Arial" w:cs="Arial"/>
                <w:sz w:val="20"/>
                <w:lang w:val="es-MX" w:eastAsia="es-ES"/>
              </w:rPr>
            </w:pPr>
            <w:r w:rsidRPr="00701F32">
              <w:rPr>
                <w:rFonts w:ascii="Arial" w:hAnsi="Arial" w:cs="Arial"/>
                <w:sz w:val="20"/>
                <w:lang w:val="es-MX" w:eastAsia="es-ES"/>
              </w:rPr>
              <w:t>5.315.124</w:t>
            </w:r>
          </w:p>
        </w:tc>
      </w:tr>
      <w:tr w:rsidR="000A5AFF" w:rsidRPr="00701F32" w14:paraId="6F62F78A" w14:textId="77777777" w:rsidTr="0086282C">
        <w:trPr>
          <w:trHeight w:val="351"/>
        </w:trPr>
        <w:tc>
          <w:tcPr>
            <w:tcW w:w="2834" w:type="pct"/>
            <w:tcBorders>
              <w:top w:val="single" w:sz="6" w:space="0" w:color="auto"/>
              <w:bottom w:val="single" w:sz="6" w:space="0" w:color="auto"/>
            </w:tcBorders>
            <w:tcMar>
              <w:left w:w="108" w:type="dxa"/>
              <w:right w:w="108" w:type="dxa"/>
            </w:tcMar>
            <w:vAlign w:val="center"/>
          </w:tcPr>
          <w:p w14:paraId="3FF75DDF" w14:textId="77777777" w:rsidR="000A5AFF" w:rsidRPr="00701F32" w:rsidRDefault="000A5AFF" w:rsidP="00CA188D">
            <w:pPr>
              <w:tabs>
                <w:tab w:val="left" w:pos="142"/>
              </w:tabs>
              <w:rPr>
                <w:rFonts w:ascii="Arial" w:hAnsi="Arial" w:cs="Arial"/>
                <w:sz w:val="20"/>
              </w:rPr>
            </w:pPr>
            <w:r w:rsidRPr="00701F32">
              <w:rPr>
                <w:rFonts w:ascii="Arial" w:hAnsi="Arial" w:cs="Arial"/>
                <w:sz w:val="20"/>
              </w:rPr>
              <w:t>Efecto de las variaciones del tipo de cambio s/ el efectivo</w:t>
            </w:r>
          </w:p>
        </w:tc>
        <w:tc>
          <w:tcPr>
            <w:tcW w:w="1156" w:type="pct"/>
            <w:tcBorders>
              <w:top w:val="single" w:sz="6" w:space="0" w:color="auto"/>
              <w:bottom w:val="single" w:sz="6" w:space="0" w:color="auto"/>
            </w:tcBorders>
            <w:tcMar>
              <w:left w:w="108" w:type="dxa"/>
              <w:right w:w="108" w:type="dxa"/>
            </w:tcMar>
            <w:vAlign w:val="center"/>
          </w:tcPr>
          <w:p w14:paraId="0FD8F8F3" w14:textId="26226028" w:rsidR="000A5AFF"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2.203.277</w:t>
            </w:r>
          </w:p>
        </w:tc>
        <w:tc>
          <w:tcPr>
            <w:tcW w:w="1010" w:type="pct"/>
            <w:tcBorders>
              <w:top w:val="single" w:sz="6" w:space="0" w:color="auto"/>
              <w:bottom w:val="single" w:sz="6" w:space="0" w:color="auto"/>
            </w:tcBorders>
            <w:vAlign w:val="center"/>
          </w:tcPr>
          <w:p w14:paraId="11D339F4" w14:textId="00BDCE82" w:rsidR="000A5AFF" w:rsidRPr="00701F32" w:rsidRDefault="00C221C7" w:rsidP="00CA188D">
            <w:pPr>
              <w:tabs>
                <w:tab w:val="left" w:pos="142"/>
              </w:tabs>
              <w:jc w:val="right"/>
              <w:rPr>
                <w:rFonts w:ascii="Arial" w:hAnsi="Arial" w:cs="Arial"/>
                <w:sz w:val="20"/>
                <w:lang w:val="es-MX" w:eastAsia="es-ES"/>
              </w:rPr>
            </w:pPr>
            <w:r w:rsidRPr="00701F32">
              <w:rPr>
                <w:rFonts w:ascii="Arial" w:hAnsi="Arial" w:cs="Arial"/>
                <w:sz w:val="20"/>
                <w:lang w:val="es-MX" w:eastAsia="es-ES"/>
              </w:rPr>
              <w:t>414.777</w:t>
            </w:r>
          </w:p>
        </w:tc>
      </w:tr>
      <w:tr w:rsidR="000A5AFF" w:rsidRPr="00701F32" w14:paraId="48318155" w14:textId="77777777" w:rsidTr="0086282C">
        <w:trPr>
          <w:trHeight w:val="351"/>
        </w:trPr>
        <w:tc>
          <w:tcPr>
            <w:tcW w:w="2834" w:type="pct"/>
            <w:tcBorders>
              <w:top w:val="single" w:sz="6" w:space="0" w:color="auto"/>
              <w:bottom w:val="single" w:sz="12" w:space="0" w:color="auto"/>
            </w:tcBorders>
            <w:tcMar>
              <w:left w:w="108" w:type="dxa"/>
              <w:right w:w="108" w:type="dxa"/>
            </w:tcMar>
            <w:vAlign w:val="center"/>
          </w:tcPr>
          <w:p w14:paraId="42BF6849" w14:textId="77777777" w:rsidR="000A5AFF" w:rsidRPr="00701F32" w:rsidRDefault="000A5AFF">
            <w:pPr>
              <w:tabs>
                <w:tab w:val="left" w:pos="142"/>
              </w:tabs>
              <w:rPr>
                <w:rFonts w:ascii="Arial" w:hAnsi="Arial" w:cs="Arial"/>
                <w:b/>
                <w:sz w:val="20"/>
              </w:rPr>
            </w:pPr>
            <w:r w:rsidRPr="00701F32">
              <w:rPr>
                <w:rFonts w:ascii="Arial" w:hAnsi="Arial" w:cs="Arial"/>
                <w:sz w:val="20"/>
              </w:rPr>
              <w:t>Total de Fondos Generados durante el período</w:t>
            </w:r>
          </w:p>
        </w:tc>
        <w:tc>
          <w:tcPr>
            <w:tcW w:w="1156" w:type="pct"/>
            <w:tcBorders>
              <w:top w:val="single" w:sz="6" w:space="0" w:color="auto"/>
              <w:bottom w:val="single" w:sz="12" w:space="0" w:color="auto"/>
            </w:tcBorders>
            <w:tcMar>
              <w:left w:w="108" w:type="dxa"/>
              <w:right w:w="108" w:type="dxa"/>
            </w:tcMar>
            <w:vAlign w:val="center"/>
          </w:tcPr>
          <w:p w14:paraId="44109BCD" w14:textId="3D17A162" w:rsidR="000A5AFF" w:rsidRPr="00701F32" w:rsidRDefault="000345FA" w:rsidP="00CA188D">
            <w:pPr>
              <w:tabs>
                <w:tab w:val="left" w:pos="142"/>
              </w:tabs>
              <w:jc w:val="right"/>
              <w:rPr>
                <w:rFonts w:ascii="Arial" w:hAnsi="Arial" w:cs="Arial"/>
                <w:sz w:val="20"/>
                <w:lang w:val="es-MX"/>
              </w:rPr>
            </w:pPr>
            <w:r w:rsidRPr="00701F32">
              <w:rPr>
                <w:rFonts w:ascii="Arial" w:hAnsi="Arial" w:cs="Arial"/>
                <w:sz w:val="20"/>
                <w:lang w:val="es-MX"/>
              </w:rPr>
              <w:t>24.643.943</w:t>
            </w:r>
          </w:p>
        </w:tc>
        <w:tc>
          <w:tcPr>
            <w:tcW w:w="1010" w:type="pct"/>
            <w:tcBorders>
              <w:top w:val="single" w:sz="6" w:space="0" w:color="auto"/>
              <w:bottom w:val="single" w:sz="12" w:space="0" w:color="auto"/>
            </w:tcBorders>
            <w:vAlign w:val="center"/>
          </w:tcPr>
          <w:p w14:paraId="4C35D4CC" w14:textId="69512987" w:rsidR="000A5AFF" w:rsidRPr="00701F32" w:rsidRDefault="00C221C7" w:rsidP="00040D9D">
            <w:pPr>
              <w:tabs>
                <w:tab w:val="left" w:pos="142"/>
              </w:tabs>
              <w:jc w:val="right"/>
              <w:rPr>
                <w:rFonts w:ascii="Arial" w:hAnsi="Arial" w:cs="Arial"/>
                <w:sz w:val="20"/>
                <w:lang w:val="es-MX" w:eastAsia="es-ES"/>
              </w:rPr>
            </w:pPr>
            <w:r w:rsidRPr="00701F32">
              <w:rPr>
                <w:rFonts w:ascii="Arial" w:hAnsi="Arial" w:cs="Arial"/>
                <w:sz w:val="20"/>
                <w:lang w:val="es-MX" w:eastAsia="es-ES"/>
              </w:rPr>
              <w:t>1.088.223</w:t>
            </w:r>
          </w:p>
        </w:tc>
      </w:tr>
    </w:tbl>
    <w:p w14:paraId="2E3B70F2" w14:textId="77777777" w:rsidR="00CA188D" w:rsidRPr="00701F32" w:rsidRDefault="00CA188D" w:rsidP="00CA188D">
      <w:pPr>
        <w:tabs>
          <w:tab w:val="left" w:pos="142"/>
        </w:tabs>
        <w:jc w:val="both"/>
        <w:rPr>
          <w:rFonts w:ascii="Arial" w:hAnsi="Arial" w:cs="Arial"/>
          <w:sz w:val="20"/>
        </w:rPr>
      </w:pPr>
    </w:p>
    <w:p w14:paraId="3968D04D" w14:textId="77777777" w:rsidR="00CA188D" w:rsidRPr="00701F32" w:rsidRDefault="00CA188D" w:rsidP="00CA188D">
      <w:pPr>
        <w:tabs>
          <w:tab w:val="left" w:pos="142"/>
        </w:tabs>
        <w:jc w:val="both"/>
        <w:rPr>
          <w:rFonts w:ascii="Arial" w:hAnsi="Arial" w:cs="Arial"/>
          <w:sz w:val="20"/>
        </w:rPr>
      </w:pPr>
    </w:p>
    <w:p w14:paraId="050BF264" w14:textId="77777777" w:rsidR="00CA188D" w:rsidRPr="00701F32" w:rsidRDefault="00CA188D" w:rsidP="00CA188D">
      <w:pPr>
        <w:tabs>
          <w:tab w:val="left" w:pos="142"/>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Datos estadísticos</w:t>
      </w:r>
    </w:p>
    <w:p w14:paraId="365EA6B1" w14:textId="77777777" w:rsidR="00CA188D" w:rsidRPr="00701F32" w:rsidRDefault="00CA188D" w:rsidP="00CA188D">
      <w:pPr>
        <w:tabs>
          <w:tab w:val="left" w:pos="142"/>
        </w:tabs>
        <w:jc w:val="both"/>
        <w:rPr>
          <w:rFonts w:ascii="Arial" w:hAnsi="Arial" w:cs="Arial"/>
          <w:sz w:val="20"/>
        </w:rPr>
      </w:pPr>
    </w:p>
    <w:tbl>
      <w:tblPr>
        <w:tblW w:w="445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439"/>
        <w:gridCol w:w="1742"/>
        <w:gridCol w:w="1518"/>
      </w:tblGrid>
      <w:tr w:rsidR="00AF52CE" w:rsidRPr="00701F32" w14:paraId="78427557" w14:textId="77777777" w:rsidTr="0086282C">
        <w:trPr>
          <w:trHeight w:val="326"/>
          <w:tblHeader/>
        </w:trPr>
        <w:tc>
          <w:tcPr>
            <w:tcW w:w="2883" w:type="pct"/>
            <w:tcBorders>
              <w:top w:val="single" w:sz="12" w:space="0" w:color="auto"/>
              <w:bottom w:val="single" w:sz="12" w:space="0" w:color="auto"/>
            </w:tcBorders>
            <w:tcMar>
              <w:left w:w="108" w:type="dxa"/>
              <w:right w:w="108" w:type="dxa"/>
            </w:tcMar>
            <w:vAlign w:val="center"/>
          </w:tcPr>
          <w:p w14:paraId="682DAF43" w14:textId="77777777" w:rsidR="00AF52CE" w:rsidRPr="00701F32" w:rsidRDefault="00AF52CE" w:rsidP="00CA188D">
            <w:pPr>
              <w:tabs>
                <w:tab w:val="left" w:pos="142"/>
              </w:tabs>
              <w:jc w:val="both"/>
              <w:rPr>
                <w:rFonts w:ascii="Arial" w:hAnsi="Arial" w:cs="Arial"/>
                <w:b/>
                <w:sz w:val="20"/>
              </w:rPr>
            </w:pPr>
            <w:r w:rsidRPr="00701F32">
              <w:rPr>
                <w:rFonts w:ascii="Arial" w:hAnsi="Arial" w:cs="Arial"/>
                <w:b/>
                <w:sz w:val="20"/>
              </w:rPr>
              <w:t xml:space="preserve">Cantidades de préstamos otorgados </w:t>
            </w:r>
          </w:p>
        </w:tc>
        <w:tc>
          <w:tcPr>
            <w:tcW w:w="1131" w:type="pct"/>
            <w:tcBorders>
              <w:top w:val="single" w:sz="12" w:space="0" w:color="auto"/>
              <w:bottom w:val="single" w:sz="12" w:space="0" w:color="auto"/>
            </w:tcBorders>
            <w:tcMar>
              <w:left w:w="108" w:type="dxa"/>
              <w:right w:w="108" w:type="dxa"/>
            </w:tcMar>
            <w:vAlign w:val="center"/>
          </w:tcPr>
          <w:p w14:paraId="3BA98AD0" w14:textId="77777777" w:rsidR="00AF52CE" w:rsidRPr="00701F32" w:rsidRDefault="00AF52CE" w:rsidP="00A7531D">
            <w:pPr>
              <w:tabs>
                <w:tab w:val="left" w:pos="142"/>
              </w:tabs>
              <w:jc w:val="center"/>
              <w:rPr>
                <w:rFonts w:ascii="Arial" w:hAnsi="Arial" w:cs="Arial"/>
                <w:b/>
                <w:sz w:val="20"/>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/2018</w:t>
            </w:r>
          </w:p>
        </w:tc>
        <w:tc>
          <w:tcPr>
            <w:tcW w:w="986" w:type="pct"/>
            <w:tcBorders>
              <w:top w:val="single" w:sz="12" w:space="0" w:color="auto"/>
              <w:bottom w:val="single" w:sz="12" w:space="0" w:color="auto"/>
            </w:tcBorders>
            <w:vAlign w:val="center"/>
          </w:tcPr>
          <w:p w14:paraId="723F0F7F" w14:textId="77777777" w:rsidR="00AF52CE" w:rsidRPr="00701F32" w:rsidRDefault="00AF52CE" w:rsidP="00A7531D">
            <w:pPr>
              <w:jc w:val="center"/>
              <w:rPr>
                <w:rFonts w:ascii="Arial" w:hAnsi="Arial" w:cs="Arial"/>
                <w:sz w:val="20"/>
                <w:lang w:val="es-ES" w:eastAsia="es-ES"/>
              </w:rPr>
            </w:pPr>
            <w:r w:rsidRPr="00701F32">
              <w:rPr>
                <w:rFonts w:ascii="Arial" w:hAnsi="Arial" w:cs="Arial"/>
                <w:b/>
                <w:sz w:val="20"/>
              </w:rPr>
              <w:t>3</w:t>
            </w:r>
            <w:r w:rsidR="00A7531D"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/2017</w:t>
            </w:r>
          </w:p>
        </w:tc>
      </w:tr>
      <w:tr w:rsidR="00AF52CE" w:rsidRPr="00701F32" w14:paraId="2BEA6E4D" w14:textId="77777777" w:rsidTr="0086282C">
        <w:trPr>
          <w:trHeight w:val="326"/>
        </w:trPr>
        <w:tc>
          <w:tcPr>
            <w:tcW w:w="2883" w:type="pct"/>
            <w:tcBorders>
              <w:top w:val="single" w:sz="12" w:space="0" w:color="auto"/>
            </w:tcBorders>
            <w:tcMar>
              <w:left w:w="108" w:type="dxa"/>
              <w:right w:w="108" w:type="dxa"/>
            </w:tcMar>
            <w:vAlign w:val="bottom"/>
          </w:tcPr>
          <w:p w14:paraId="289C94B3" w14:textId="77777777" w:rsidR="00AF52CE" w:rsidRPr="00701F32" w:rsidRDefault="00AF52CE" w:rsidP="00CA188D">
            <w:pPr>
              <w:tabs>
                <w:tab w:val="left" w:pos="142"/>
              </w:tabs>
              <w:rPr>
                <w:rFonts w:ascii="Arial" w:hAnsi="Arial" w:cs="Arial"/>
                <w:sz w:val="20"/>
              </w:rPr>
            </w:pPr>
            <w:r w:rsidRPr="00701F32">
              <w:rPr>
                <w:rFonts w:ascii="Arial" w:hAnsi="Arial" w:cs="Arial"/>
                <w:sz w:val="20"/>
              </w:rPr>
              <w:t xml:space="preserve">Préstamos Personales </w:t>
            </w:r>
          </w:p>
        </w:tc>
        <w:tc>
          <w:tcPr>
            <w:tcW w:w="1131" w:type="pct"/>
            <w:tcBorders>
              <w:top w:val="single" w:sz="12" w:space="0" w:color="auto"/>
            </w:tcBorders>
            <w:tcMar>
              <w:left w:w="108" w:type="dxa"/>
              <w:right w:w="108" w:type="dxa"/>
            </w:tcMar>
            <w:vAlign w:val="bottom"/>
          </w:tcPr>
          <w:p w14:paraId="1A0167E1" w14:textId="2A02D01C" w:rsidR="00AF52CE" w:rsidRPr="00701F32" w:rsidRDefault="00682968" w:rsidP="00CA188D">
            <w:pPr>
              <w:jc w:val="right"/>
              <w:rPr>
                <w:rFonts w:ascii="Arial" w:hAnsi="Arial" w:cs="Arial"/>
                <w:sz w:val="20"/>
              </w:rPr>
            </w:pPr>
            <w:r w:rsidRPr="00701F32">
              <w:rPr>
                <w:rFonts w:ascii="Arial" w:hAnsi="Arial" w:cs="Arial"/>
                <w:sz w:val="20"/>
              </w:rPr>
              <w:t>419.921</w:t>
            </w:r>
          </w:p>
        </w:tc>
        <w:tc>
          <w:tcPr>
            <w:tcW w:w="986" w:type="pct"/>
            <w:tcBorders>
              <w:top w:val="single" w:sz="12" w:space="0" w:color="auto"/>
            </w:tcBorders>
            <w:vAlign w:val="bottom"/>
          </w:tcPr>
          <w:p w14:paraId="42FAD5D7" w14:textId="675BD029" w:rsidR="00AF52CE" w:rsidRPr="00701F32" w:rsidRDefault="00682968" w:rsidP="00CA188D">
            <w:pPr>
              <w:tabs>
                <w:tab w:val="left" w:pos="142"/>
              </w:tabs>
              <w:jc w:val="right"/>
              <w:rPr>
                <w:rFonts w:ascii="Arial" w:hAnsi="Arial" w:cs="Arial"/>
                <w:sz w:val="20"/>
                <w:lang w:val="es-MX" w:eastAsia="es-ES"/>
              </w:rPr>
            </w:pPr>
            <w:r w:rsidRPr="00701F32">
              <w:rPr>
                <w:rFonts w:ascii="Arial" w:hAnsi="Arial" w:cs="Arial"/>
                <w:sz w:val="20"/>
                <w:lang w:val="es-MX" w:eastAsia="es-ES"/>
              </w:rPr>
              <w:t>461.857</w:t>
            </w:r>
          </w:p>
        </w:tc>
      </w:tr>
      <w:tr w:rsidR="00AF52CE" w:rsidRPr="00701F32" w14:paraId="3B475B64" w14:textId="77777777" w:rsidTr="0086282C">
        <w:trPr>
          <w:trHeight w:val="326"/>
        </w:trPr>
        <w:tc>
          <w:tcPr>
            <w:tcW w:w="2883" w:type="pct"/>
            <w:tcBorders>
              <w:top w:val="single" w:sz="6" w:space="0" w:color="auto"/>
              <w:bottom w:val="single" w:sz="12" w:space="0" w:color="auto"/>
            </w:tcBorders>
            <w:tcMar>
              <w:left w:w="108" w:type="dxa"/>
              <w:right w:w="108" w:type="dxa"/>
            </w:tcMar>
            <w:vAlign w:val="bottom"/>
          </w:tcPr>
          <w:p w14:paraId="5B96479A" w14:textId="77777777" w:rsidR="00AF52CE" w:rsidRPr="00701F32" w:rsidRDefault="00AF52CE" w:rsidP="00CA188D">
            <w:pPr>
              <w:tabs>
                <w:tab w:val="left" w:pos="142"/>
              </w:tabs>
              <w:jc w:val="both"/>
              <w:rPr>
                <w:rFonts w:ascii="Arial" w:hAnsi="Arial" w:cs="Arial"/>
                <w:sz w:val="20"/>
              </w:rPr>
            </w:pPr>
            <w:r w:rsidRPr="00701F32">
              <w:rPr>
                <w:rFonts w:ascii="Arial" w:hAnsi="Arial" w:cs="Arial"/>
                <w:sz w:val="20"/>
              </w:rPr>
              <w:t>Tarjetas de Crédito (Titulares)</w:t>
            </w:r>
          </w:p>
        </w:tc>
        <w:tc>
          <w:tcPr>
            <w:tcW w:w="1131" w:type="pct"/>
            <w:tcBorders>
              <w:top w:val="single" w:sz="6" w:space="0" w:color="auto"/>
              <w:bottom w:val="single" w:sz="12" w:space="0" w:color="auto"/>
            </w:tcBorders>
            <w:tcMar>
              <w:left w:w="108" w:type="dxa"/>
              <w:right w:w="108" w:type="dxa"/>
            </w:tcMar>
            <w:vAlign w:val="bottom"/>
          </w:tcPr>
          <w:p w14:paraId="2F45D1A9" w14:textId="262AC045" w:rsidR="00AF52CE" w:rsidRPr="00701F32" w:rsidRDefault="00682968" w:rsidP="00CA188D">
            <w:pPr>
              <w:jc w:val="right"/>
              <w:rPr>
                <w:rFonts w:ascii="Arial" w:hAnsi="Arial" w:cs="Arial"/>
                <w:sz w:val="20"/>
              </w:rPr>
            </w:pPr>
            <w:r w:rsidRPr="00701F32">
              <w:rPr>
                <w:rFonts w:ascii="Arial" w:hAnsi="Arial" w:cs="Arial"/>
                <w:sz w:val="20"/>
              </w:rPr>
              <w:t>201.296</w:t>
            </w:r>
          </w:p>
        </w:tc>
        <w:tc>
          <w:tcPr>
            <w:tcW w:w="986" w:type="pct"/>
            <w:tcBorders>
              <w:top w:val="single" w:sz="6" w:space="0" w:color="auto"/>
              <w:bottom w:val="single" w:sz="12" w:space="0" w:color="auto"/>
            </w:tcBorders>
            <w:vAlign w:val="bottom"/>
          </w:tcPr>
          <w:p w14:paraId="24891DC2" w14:textId="6222428C" w:rsidR="00AF52CE" w:rsidRPr="00701F32" w:rsidRDefault="00682968" w:rsidP="00CA188D">
            <w:pPr>
              <w:tabs>
                <w:tab w:val="left" w:pos="142"/>
              </w:tabs>
              <w:jc w:val="right"/>
              <w:rPr>
                <w:rFonts w:ascii="Arial" w:hAnsi="Arial" w:cs="Arial"/>
                <w:sz w:val="20"/>
                <w:lang w:val="es-MX" w:eastAsia="es-ES"/>
              </w:rPr>
            </w:pPr>
            <w:r w:rsidRPr="00701F32">
              <w:rPr>
                <w:rFonts w:ascii="Arial" w:hAnsi="Arial" w:cs="Arial"/>
                <w:sz w:val="20"/>
                <w:lang w:val="es-MX" w:eastAsia="es-ES"/>
              </w:rPr>
              <w:t>204.012</w:t>
            </w:r>
          </w:p>
        </w:tc>
      </w:tr>
    </w:tbl>
    <w:p w14:paraId="3B89E2D8" w14:textId="77777777" w:rsidR="00CA188D" w:rsidRPr="00701F32" w:rsidRDefault="00CA188D" w:rsidP="00CA188D">
      <w:pPr>
        <w:tabs>
          <w:tab w:val="left" w:pos="142"/>
          <w:tab w:val="left" w:pos="426"/>
        </w:tabs>
        <w:jc w:val="both"/>
        <w:rPr>
          <w:rFonts w:ascii="Arial" w:hAnsi="Arial" w:cs="Arial"/>
          <w:sz w:val="20"/>
          <w:u w:val="single"/>
        </w:rPr>
      </w:pPr>
    </w:p>
    <w:p w14:paraId="33D0584E" w14:textId="77777777" w:rsidR="00CA188D" w:rsidRPr="00701F32" w:rsidRDefault="00CA188D" w:rsidP="00CA188D">
      <w:pPr>
        <w:tabs>
          <w:tab w:val="left" w:pos="142"/>
        </w:tabs>
        <w:jc w:val="both"/>
        <w:rPr>
          <w:rFonts w:ascii="Arial" w:hAnsi="Arial" w:cs="Arial"/>
          <w:sz w:val="20"/>
        </w:rPr>
      </w:pPr>
    </w:p>
    <w:p w14:paraId="5AD86806" w14:textId="77777777" w:rsidR="00CA188D" w:rsidRPr="00701F32" w:rsidRDefault="00CA188D" w:rsidP="00CA188D">
      <w:pPr>
        <w:tabs>
          <w:tab w:val="left" w:pos="142"/>
          <w:tab w:val="left" w:pos="284"/>
          <w:tab w:val="left" w:pos="567"/>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Indices financieros y patrimoniales (en porcentaje)</w:t>
      </w:r>
    </w:p>
    <w:p w14:paraId="3B1B9728" w14:textId="77777777" w:rsidR="00CA188D" w:rsidRPr="00701F32" w:rsidRDefault="00CA188D" w:rsidP="00CA188D">
      <w:pPr>
        <w:tabs>
          <w:tab w:val="left" w:pos="142"/>
        </w:tabs>
        <w:jc w:val="both"/>
        <w:rPr>
          <w:rFonts w:ascii="Arial" w:hAnsi="Arial" w:cs="Arial"/>
          <w:sz w:val="20"/>
        </w:rPr>
      </w:pPr>
    </w:p>
    <w:tbl>
      <w:tblPr>
        <w:tblW w:w="76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67"/>
        <w:gridCol w:w="1988"/>
        <w:gridCol w:w="1733"/>
      </w:tblGrid>
      <w:tr w:rsidR="00AF52CE" w:rsidRPr="00701F32" w14:paraId="2B924E52" w14:textId="77777777" w:rsidTr="00701F32">
        <w:trPr>
          <w:trHeight w:val="333"/>
          <w:tblHeader/>
        </w:trPr>
        <w:tc>
          <w:tcPr>
            <w:tcW w:w="0" w:type="auto"/>
            <w:tcBorders>
              <w:top w:val="single" w:sz="12" w:space="0" w:color="auto"/>
              <w:bottom w:val="single" w:sz="12" w:space="0" w:color="auto"/>
            </w:tcBorders>
            <w:tcMar>
              <w:left w:w="108" w:type="dxa"/>
              <w:right w:w="108" w:type="dxa"/>
            </w:tcMar>
            <w:vAlign w:val="center"/>
          </w:tcPr>
          <w:p w14:paraId="2C829F5E" w14:textId="77777777" w:rsidR="00AF52CE" w:rsidRPr="00701F32" w:rsidRDefault="00AF52CE" w:rsidP="00CA188D">
            <w:pPr>
              <w:tabs>
                <w:tab w:val="left" w:pos="142"/>
              </w:tabs>
              <w:jc w:val="both"/>
              <w:rPr>
                <w:rFonts w:ascii="Arial" w:hAnsi="Arial" w:cs="Arial"/>
                <w:b/>
                <w:sz w:val="20"/>
              </w:rPr>
            </w:pPr>
            <w:r w:rsidRPr="00701F32">
              <w:rPr>
                <w:rFonts w:ascii="Arial" w:hAnsi="Arial" w:cs="Arial"/>
                <w:b/>
                <w:sz w:val="20"/>
              </w:rPr>
              <w:t>Ratio</w:t>
            </w:r>
          </w:p>
        </w:tc>
        <w:tc>
          <w:tcPr>
            <w:tcW w:w="0" w:type="auto"/>
            <w:tcBorders>
              <w:top w:val="single" w:sz="12" w:space="0" w:color="auto"/>
              <w:bottom w:val="single" w:sz="12" w:space="0" w:color="auto"/>
            </w:tcBorders>
            <w:tcMar>
              <w:left w:w="108" w:type="dxa"/>
              <w:right w:w="108" w:type="dxa"/>
            </w:tcMar>
            <w:vAlign w:val="center"/>
          </w:tcPr>
          <w:p w14:paraId="2A2897B7" w14:textId="77777777" w:rsidR="00AF52CE" w:rsidRPr="00701F32" w:rsidRDefault="005840E3" w:rsidP="005840E3">
            <w:pPr>
              <w:tabs>
                <w:tab w:val="left" w:pos="142"/>
              </w:tabs>
              <w:jc w:val="center"/>
              <w:rPr>
                <w:rFonts w:ascii="Arial" w:hAnsi="Arial" w:cs="Arial"/>
                <w:b/>
                <w:sz w:val="20"/>
              </w:rPr>
            </w:pPr>
            <w:r w:rsidRPr="00701F32">
              <w:rPr>
                <w:rFonts w:ascii="Arial" w:hAnsi="Arial" w:cs="Arial"/>
                <w:b/>
                <w:sz w:val="20"/>
              </w:rPr>
              <w:t>30</w:t>
            </w:r>
            <w:r w:rsidR="00AF52CE" w:rsidRPr="00701F32">
              <w:rPr>
                <w:rFonts w:ascii="Arial" w:hAnsi="Arial" w:cs="Arial"/>
                <w:b/>
                <w:sz w:val="20"/>
              </w:rPr>
              <w:t>/</w:t>
            </w:r>
            <w:r w:rsidRPr="00701F32">
              <w:rPr>
                <w:rFonts w:ascii="Arial" w:hAnsi="Arial" w:cs="Arial"/>
                <w:b/>
                <w:sz w:val="20"/>
              </w:rPr>
              <w:t>0</w:t>
            </w:r>
            <w:r w:rsidR="00A0527A" w:rsidRPr="00701F32">
              <w:rPr>
                <w:rFonts w:ascii="Arial" w:hAnsi="Arial" w:cs="Arial"/>
                <w:b/>
                <w:sz w:val="20"/>
              </w:rPr>
              <w:t>9</w:t>
            </w:r>
            <w:r w:rsidR="00AF52CE" w:rsidRPr="00701F32">
              <w:rPr>
                <w:rFonts w:ascii="Arial" w:hAnsi="Arial" w:cs="Arial"/>
                <w:b/>
                <w:sz w:val="20"/>
              </w:rPr>
              <w:t>/2018</w:t>
            </w:r>
          </w:p>
        </w:tc>
        <w:tc>
          <w:tcPr>
            <w:tcW w:w="0" w:type="auto"/>
            <w:tcBorders>
              <w:top w:val="single" w:sz="12" w:space="0" w:color="auto"/>
              <w:bottom w:val="single" w:sz="12" w:space="0" w:color="auto"/>
            </w:tcBorders>
            <w:vAlign w:val="center"/>
          </w:tcPr>
          <w:p w14:paraId="725114A7" w14:textId="77777777" w:rsidR="00AF52CE" w:rsidRPr="00701F32" w:rsidRDefault="00AF52CE" w:rsidP="005840E3">
            <w:pPr>
              <w:jc w:val="center"/>
              <w:rPr>
                <w:rFonts w:ascii="Arial" w:hAnsi="Arial" w:cs="Arial"/>
                <w:sz w:val="20"/>
                <w:lang w:val="es-ES" w:eastAsia="es-ES"/>
              </w:rPr>
            </w:pPr>
            <w:r w:rsidRPr="00701F32">
              <w:rPr>
                <w:rFonts w:ascii="Arial" w:hAnsi="Arial" w:cs="Arial"/>
                <w:b/>
                <w:sz w:val="20"/>
              </w:rPr>
              <w:t>3</w:t>
            </w:r>
            <w:r w:rsidR="005840E3" w:rsidRPr="00701F32">
              <w:rPr>
                <w:rFonts w:ascii="Arial" w:hAnsi="Arial" w:cs="Arial"/>
                <w:b/>
                <w:sz w:val="20"/>
              </w:rPr>
              <w:t>0</w:t>
            </w:r>
            <w:r w:rsidRPr="00701F32">
              <w:rPr>
                <w:rFonts w:ascii="Arial" w:hAnsi="Arial" w:cs="Arial"/>
                <w:b/>
                <w:sz w:val="20"/>
              </w:rPr>
              <w:t>/0</w:t>
            </w:r>
            <w:r w:rsidR="00A0527A" w:rsidRPr="00701F32">
              <w:rPr>
                <w:rFonts w:ascii="Arial" w:hAnsi="Arial" w:cs="Arial"/>
                <w:b/>
                <w:sz w:val="20"/>
              </w:rPr>
              <w:t>9</w:t>
            </w:r>
            <w:r w:rsidRPr="00701F32">
              <w:rPr>
                <w:rFonts w:ascii="Arial" w:hAnsi="Arial" w:cs="Arial"/>
                <w:b/>
                <w:sz w:val="20"/>
              </w:rPr>
              <w:t>/2017</w:t>
            </w:r>
          </w:p>
        </w:tc>
      </w:tr>
      <w:tr w:rsidR="005E0D3C" w:rsidRPr="00701F32" w14:paraId="76762AEE" w14:textId="77777777" w:rsidTr="00701F32">
        <w:trPr>
          <w:trHeight w:val="333"/>
        </w:trPr>
        <w:tc>
          <w:tcPr>
            <w:tcW w:w="0" w:type="auto"/>
            <w:tcBorders>
              <w:top w:val="single" w:sz="12" w:space="0" w:color="auto"/>
              <w:bottom w:val="single" w:sz="6" w:space="0" w:color="auto"/>
            </w:tcBorders>
            <w:tcMar>
              <w:left w:w="108" w:type="dxa"/>
              <w:right w:w="108" w:type="dxa"/>
            </w:tcMar>
            <w:vAlign w:val="bottom"/>
          </w:tcPr>
          <w:p w14:paraId="26D358D0" w14:textId="77777777" w:rsidR="005E0D3C" w:rsidRPr="00701F32" w:rsidRDefault="005E0D3C" w:rsidP="00CA188D">
            <w:pPr>
              <w:tabs>
                <w:tab w:val="left" w:pos="142"/>
              </w:tabs>
              <w:rPr>
                <w:rFonts w:ascii="Arial" w:hAnsi="Arial" w:cs="Arial"/>
                <w:sz w:val="20"/>
              </w:rPr>
            </w:pPr>
            <w:r w:rsidRPr="00701F32">
              <w:rPr>
                <w:rFonts w:ascii="Arial" w:hAnsi="Arial" w:cs="Arial"/>
                <w:sz w:val="20"/>
              </w:rPr>
              <w:t>Liquidez (1)</w:t>
            </w:r>
          </w:p>
        </w:tc>
        <w:tc>
          <w:tcPr>
            <w:tcW w:w="0" w:type="auto"/>
            <w:tcBorders>
              <w:top w:val="single" w:sz="12" w:space="0" w:color="auto"/>
              <w:bottom w:val="single" w:sz="6" w:space="0" w:color="auto"/>
            </w:tcBorders>
            <w:tcMar>
              <w:left w:w="108" w:type="dxa"/>
              <w:right w:w="108" w:type="dxa"/>
            </w:tcMar>
            <w:vAlign w:val="center"/>
          </w:tcPr>
          <w:p w14:paraId="1502DFCF" w14:textId="6CD5A574" w:rsidR="005E0D3C" w:rsidRPr="00701F32" w:rsidRDefault="00576023">
            <w:pPr>
              <w:jc w:val="right"/>
              <w:rPr>
                <w:rFonts w:ascii="Arial" w:hAnsi="Arial" w:cs="Arial"/>
                <w:sz w:val="20"/>
              </w:rPr>
            </w:pPr>
            <w:r w:rsidRPr="00701F32">
              <w:rPr>
                <w:rFonts w:ascii="Arial" w:hAnsi="Arial" w:cs="Arial"/>
                <w:sz w:val="20"/>
              </w:rPr>
              <w:t>128,69%</w:t>
            </w:r>
          </w:p>
        </w:tc>
        <w:tc>
          <w:tcPr>
            <w:tcW w:w="0" w:type="auto"/>
            <w:tcBorders>
              <w:top w:val="single" w:sz="12" w:space="0" w:color="auto"/>
              <w:bottom w:val="single" w:sz="6" w:space="0" w:color="auto"/>
            </w:tcBorders>
            <w:vAlign w:val="center"/>
          </w:tcPr>
          <w:p w14:paraId="2A50BD2D" w14:textId="2EAAC748" w:rsidR="005E0D3C" w:rsidRPr="00701F32" w:rsidRDefault="00682968" w:rsidP="005840E3">
            <w:pPr>
              <w:jc w:val="right"/>
              <w:rPr>
                <w:rFonts w:ascii="Arial" w:hAnsi="Arial" w:cs="Arial"/>
                <w:sz w:val="20"/>
                <w:lang w:val="es-ES_tradnl" w:eastAsia="es-ES"/>
              </w:rPr>
            </w:pPr>
            <w:r w:rsidRPr="00701F32">
              <w:rPr>
                <w:rFonts w:ascii="Arial" w:hAnsi="Arial" w:cs="Arial"/>
                <w:sz w:val="20"/>
                <w:lang w:val="es-ES_tradnl" w:eastAsia="es-ES"/>
              </w:rPr>
              <w:t>94,66%</w:t>
            </w:r>
          </w:p>
        </w:tc>
      </w:tr>
      <w:tr w:rsidR="005E0D3C" w:rsidRPr="00701F32" w14:paraId="66C6642F" w14:textId="77777777" w:rsidTr="00701F32">
        <w:trPr>
          <w:trHeight w:val="333"/>
        </w:trPr>
        <w:tc>
          <w:tcPr>
            <w:tcW w:w="0" w:type="auto"/>
            <w:tcBorders>
              <w:top w:val="single" w:sz="6" w:space="0" w:color="auto"/>
              <w:bottom w:val="single" w:sz="6" w:space="0" w:color="auto"/>
            </w:tcBorders>
            <w:tcMar>
              <w:left w:w="108" w:type="dxa"/>
              <w:right w:w="108" w:type="dxa"/>
            </w:tcMar>
            <w:vAlign w:val="bottom"/>
          </w:tcPr>
          <w:p w14:paraId="2E59E685" w14:textId="77777777" w:rsidR="005E0D3C" w:rsidRPr="00701F32" w:rsidRDefault="005E0D3C" w:rsidP="00CA188D">
            <w:pPr>
              <w:tabs>
                <w:tab w:val="left" w:pos="142"/>
              </w:tabs>
              <w:jc w:val="both"/>
              <w:rPr>
                <w:rFonts w:ascii="Arial" w:hAnsi="Arial" w:cs="Arial"/>
                <w:sz w:val="20"/>
              </w:rPr>
            </w:pPr>
            <w:r w:rsidRPr="00701F32">
              <w:rPr>
                <w:rFonts w:ascii="Arial" w:hAnsi="Arial" w:cs="Arial"/>
                <w:sz w:val="20"/>
              </w:rPr>
              <w:t>Solvencia (2)</w:t>
            </w:r>
          </w:p>
        </w:tc>
        <w:tc>
          <w:tcPr>
            <w:tcW w:w="0" w:type="auto"/>
            <w:tcBorders>
              <w:top w:val="single" w:sz="6" w:space="0" w:color="auto"/>
              <w:bottom w:val="single" w:sz="6" w:space="0" w:color="auto"/>
            </w:tcBorders>
            <w:tcMar>
              <w:left w:w="108" w:type="dxa"/>
              <w:right w:w="108" w:type="dxa"/>
            </w:tcMar>
            <w:vAlign w:val="center"/>
          </w:tcPr>
          <w:p w14:paraId="49ED521C" w14:textId="35B3B37B" w:rsidR="005E0D3C" w:rsidRPr="00701F32" w:rsidRDefault="00682968" w:rsidP="00CA188D">
            <w:pPr>
              <w:jc w:val="right"/>
              <w:rPr>
                <w:rFonts w:ascii="Arial" w:hAnsi="Arial" w:cs="Arial"/>
                <w:sz w:val="20"/>
              </w:rPr>
            </w:pPr>
            <w:r w:rsidRPr="00701F32">
              <w:rPr>
                <w:rFonts w:ascii="Arial" w:hAnsi="Arial" w:cs="Arial"/>
                <w:sz w:val="20"/>
              </w:rPr>
              <w:t>8,96%</w:t>
            </w:r>
          </w:p>
        </w:tc>
        <w:tc>
          <w:tcPr>
            <w:tcW w:w="0" w:type="auto"/>
            <w:tcBorders>
              <w:top w:val="single" w:sz="6" w:space="0" w:color="auto"/>
              <w:bottom w:val="single" w:sz="6" w:space="0" w:color="auto"/>
            </w:tcBorders>
            <w:vAlign w:val="center"/>
          </w:tcPr>
          <w:p w14:paraId="3073D530" w14:textId="34CFADCB" w:rsidR="005E0D3C" w:rsidRPr="00701F32" w:rsidRDefault="00682968" w:rsidP="00CA188D">
            <w:pPr>
              <w:jc w:val="right"/>
              <w:rPr>
                <w:rFonts w:ascii="Arial" w:hAnsi="Arial" w:cs="Arial"/>
                <w:sz w:val="20"/>
                <w:lang w:val="es-ES_tradnl" w:eastAsia="es-ES"/>
              </w:rPr>
            </w:pPr>
            <w:r w:rsidRPr="00701F32">
              <w:rPr>
                <w:rFonts w:ascii="Arial" w:hAnsi="Arial" w:cs="Arial"/>
                <w:sz w:val="20"/>
                <w:lang w:val="es-ES_tradnl" w:eastAsia="es-ES"/>
              </w:rPr>
              <w:t>10,60%</w:t>
            </w:r>
          </w:p>
        </w:tc>
      </w:tr>
      <w:tr w:rsidR="005E0D3C" w:rsidRPr="00701F32" w14:paraId="666869CF" w14:textId="77777777" w:rsidTr="00701F32">
        <w:trPr>
          <w:trHeight w:val="333"/>
        </w:trPr>
        <w:tc>
          <w:tcPr>
            <w:tcW w:w="0" w:type="auto"/>
            <w:tcBorders>
              <w:top w:val="single" w:sz="6" w:space="0" w:color="auto"/>
              <w:bottom w:val="single" w:sz="12" w:space="0" w:color="auto"/>
            </w:tcBorders>
            <w:tcMar>
              <w:left w:w="108" w:type="dxa"/>
              <w:right w:w="108" w:type="dxa"/>
            </w:tcMar>
            <w:vAlign w:val="bottom"/>
          </w:tcPr>
          <w:p w14:paraId="63FE3F6E" w14:textId="77777777" w:rsidR="005E0D3C" w:rsidRPr="00701F32" w:rsidRDefault="005E0D3C" w:rsidP="00CA188D">
            <w:pPr>
              <w:tabs>
                <w:tab w:val="left" w:pos="142"/>
              </w:tabs>
              <w:jc w:val="both"/>
              <w:rPr>
                <w:rFonts w:ascii="Arial" w:hAnsi="Arial" w:cs="Arial"/>
                <w:sz w:val="20"/>
              </w:rPr>
            </w:pPr>
            <w:r w:rsidRPr="00701F32">
              <w:rPr>
                <w:rFonts w:ascii="Arial" w:hAnsi="Arial" w:cs="Arial"/>
                <w:sz w:val="20"/>
              </w:rPr>
              <w:t>Activos Inmovilizados (3)</w:t>
            </w:r>
          </w:p>
        </w:tc>
        <w:tc>
          <w:tcPr>
            <w:tcW w:w="0" w:type="auto"/>
            <w:tcBorders>
              <w:top w:val="single" w:sz="6" w:space="0" w:color="auto"/>
              <w:bottom w:val="single" w:sz="12" w:space="0" w:color="auto"/>
            </w:tcBorders>
            <w:tcMar>
              <w:left w:w="108" w:type="dxa"/>
              <w:right w:w="108" w:type="dxa"/>
            </w:tcMar>
            <w:vAlign w:val="center"/>
          </w:tcPr>
          <w:p w14:paraId="2BD44F6E" w14:textId="3447F376" w:rsidR="005E0D3C" w:rsidRPr="00701F32" w:rsidRDefault="00682968" w:rsidP="00CA188D">
            <w:pPr>
              <w:jc w:val="right"/>
              <w:rPr>
                <w:rFonts w:ascii="Arial" w:hAnsi="Arial" w:cs="Arial"/>
                <w:sz w:val="20"/>
              </w:rPr>
            </w:pPr>
            <w:r w:rsidRPr="00701F32">
              <w:rPr>
                <w:rFonts w:ascii="Arial" w:hAnsi="Arial" w:cs="Arial"/>
                <w:sz w:val="20"/>
              </w:rPr>
              <w:t>4,08%</w:t>
            </w:r>
          </w:p>
        </w:tc>
        <w:tc>
          <w:tcPr>
            <w:tcW w:w="0" w:type="auto"/>
            <w:tcBorders>
              <w:top w:val="single" w:sz="6" w:space="0" w:color="auto"/>
              <w:bottom w:val="single" w:sz="12" w:space="0" w:color="auto"/>
            </w:tcBorders>
            <w:vAlign w:val="center"/>
          </w:tcPr>
          <w:p w14:paraId="0AF7FB17" w14:textId="0261FDB9" w:rsidR="005E0D3C" w:rsidRPr="00701F32" w:rsidRDefault="00682968" w:rsidP="008369B8">
            <w:pPr>
              <w:jc w:val="right"/>
              <w:rPr>
                <w:rFonts w:ascii="Arial" w:hAnsi="Arial" w:cs="Arial"/>
                <w:sz w:val="20"/>
                <w:lang w:val="es-ES_tradnl" w:eastAsia="es-ES"/>
              </w:rPr>
            </w:pPr>
            <w:r w:rsidRPr="00701F32">
              <w:rPr>
                <w:rFonts w:ascii="Arial" w:hAnsi="Arial" w:cs="Arial"/>
                <w:sz w:val="20"/>
                <w:lang w:val="es-ES_tradnl" w:eastAsia="es-ES"/>
              </w:rPr>
              <w:t>9,98%</w:t>
            </w:r>
          </w:p>
        </w:tc>
      </w:tr>
    </w:tbl>
    <w:p w14:paraId="37DE1800" w14:textId="77777777" w:rsidR="00CA188D" w:rsidRPr="00701F32" w:rsidRDefault="00CA188D" w:rsidP="00CA188D">
      <w:pPr>
        <w:tabs>
          <w:tab w:val="left" w:pos="142"/>
        </w:tabs>
        <w:jc w:val="both"/>
        <w:rPr>
          <w:rFonts w:ascii="Arial" w:hAnsi="Arial" w:cs="Arial"/>
          <w:sz w:val="20"/>
        </w:rPr>
      </w:pPr>
    </w:p>
    <w:p w14:paraId="5E4B8C71" w14:textId="77777777" w:rsidR="00CA188D" w:rsidRPr="00701F32" w:rsidRDefault="00CA188D" w:rsidP="00CA188D">
      <w:pPr>
        <w:numPr>
          <w:ilvl w:val="0"/>
          <w:numId w:val="93"/>
        </w:numPr>
        <w:tabs>
          <w:tab w:val="left" w:pos="142"/>
        </w:tabs>
        <w:ind w:left="786"/>
        <w:contextualSpacing/>
        <w:jc w:val="both"/>
        <w:rPr>
          <w:rFonts w:ascii="Arial" w:hAnsi="Arial" w:cs="Arial"/>
          <w:sz w:val="20"/>
          <w:lang w:eastAsia="es-AR"/>
        </w:rPr>
      </w:pPr>
      <w:r w:rsidRPr="00701F32">
        <w:rPr>
          <w:rFonts w:ascii="Arial" w:hAnsi="Arial" w:cs="Arial"/>
          <w:sz w:val="20"/>
          <w:lang w:eastAsia="es-AR"/>
        </w:rPr>
        <w:t>Ratio de Cobertura de Liquidez</w:t>
      </w:r>
    </w:p>
    <w:p w14:paraId="1357C018" w14:textId="77777777" w:rsidR="00CA188D" w:rsidRPr="00701F32" w:rsidRDefault="00A2015D" w:rsidP="00CA188D">
      <w:pPr>
        <w:numPr>
          <w:ilvl w:val="0"/>
          <w:numId w:val="93"/>
        </w:numPr>
        <w:tabs>
          <w:tab w:val="left" w:pos="142"/>
        </w:tabs>
        <w:ind w:left="786"/>
        <w:contextualSpacing/>
        <w:jc w:val="both"/>
        <w:rPr>
          <w:rFonts w:ascii="Arial" w:hAnsi="Arial" w:cs="Arial"/>
          <w:sz w:val="20"/>
          <w:lang w:eastAsia="es-AR"/>
        </w:rPr>
      </w:pPr>
      <w:r w:rsidRPr="00701F32">
        <w:rPr>
          <w:rFonts w:ascii="Arial" w:hAnsi="Arial" w:cs="Arial"/>
          <w:sz w:val="20"/>
          <w:lang w:eastAsia="es-AR"/>
        </w:rPr>
        <w:t>Patrimonio neto atribuible a controladora</w:t>
      </w:r>
      <w:r w:rsidR="005E0D3C" w:rsidRPr="00701F32">
        <w:rPr>
          <w:rFonts w:ascii="Arial" w:hAnsi="Arial" w:cs="Arial"/>
          <w:sz w:val="20"/>
          <w:lang w:eastAsia="es-AR"/>
        </w:rPr>
        <w:t xml:space="preserve"> /</w:t>
      </w:r>
      <w:r w:rsidRPr="00701F32">
        <w:rPr>
          <w:rFonts w:ascii="Arial" w:hAnsi="Arial" w:cs="Arial"/>
          <w:sz w:val="20"/>
          <w:lang w:eastAsia="es-AR"/>
        </w:rPr>
        <w:t xml:space="preserve"> </w:t>
      </w:r>
      <w:r w:rsidR="00CA188D" w:rsidRPr="00701F32">
        <w:rPr>
          <w:rFonts w:ascii="Arial" w:hAnsi="Arial" w:cs="Arial"/>
          <w:sz w:val="20"/>
          <w:lang w:eastAsia="es-AR"/>
        </w:rPr>
        <w:t>Pasivo</w:t>
      </w:r>
      <w:r w:rsidRPr="00701F32">
        <w:rPr>
          <w:rFonts w:ascii="Arial" w:hAnsi="Arial" w:cs="Arial"/>
          <w:sz w:val="20"/>
          <w:lang w:eastAsia="es-AR"/>
        </w:rPr>
        <w:t xml:space="preserve"> total</w:t>
      </w:r>
    </w:p>
    <w:p w14:paraId="2871018E" w14:textId="77777777" w:rsidR="00CA188D" w:rsidRPr="00701F32" w:rsidRDefault="00CA188D" w:rsidP="00CA188D">
      <w:pPr>
        <w:numPr>
          <w:ilvl w:val="0"/>
          <w:numId w:val="93"/>
        </w:numPr>
        <w:tabs>
          <w:tab w:val="left" w:pos="142"/>
        </w:tabs>
        <w:ind w:left="786"/>
        <w:contextualSpacing/>
        <w:jc w:val="both"/>
        <w:rPr>
          <w:rFonts w:ascii="Arial" w:hAnsi="Arial" w:cs="Arial"/>
          <w:sz w:val="20"/>
        </w:rPr>
      </w:pPr>
      <w:r w:rsidRPr="00701F32">
        <w:rPr>
          <w:rFonts w:ascii="Arial" w:hAnsi="Arial" w:cs="Arial"/>
          <w:sz w:val="20"/>
          <w:lang w:eastAsia="es-AR"/>
        </w:rPr>
        <w:t>Activos Inmovilizados /</w:t>
      </w:r>
      <w:r w:rsidR="005E0D3C" w:rsidRPr="00701F32">
        <w:rPr>
          <w:rFonts w:ascii="Arial" w:hAnsi="Arial" w:cs="Arial"/>
          <w:sz w:val="20"/>
          <w:lang w:eastAsia="es-AR"/>
        </w:rPr>
        <w:t xml:space="preserve"> </w:t>
      </w:r>
      <w:r w:rsidRPr="00701F32">
        <w:rPr>
          <w:rFonts w:ascii="Arial" w:hAnsi="Arial" w:cs="Arial"/>
          <w:sz w:val="20"/>
          <w:lang w:eastAsia="es-AR"/>
        </w:rPr>
        <w:t>Activos totales</w:t>
      </w:r>
    </w:p>
    <w:p w14:paraId="4C2B0F0D" w14:textId="77777777" w:rsidR="00682968" w:rsidRPr="00701F32" w:rsidRDefault="00682968" w:rsidP="00CA188D">
      <w:pPr>
        <w:tabs>
          <w:tab w:val="left" w:pos="142"/>
          <w:tab w:val="left" w:pos="426"/>
        </w:tabs>
        <w:ind w:left="786"/>
        <w:contextualSpacing/>
        <w:jc w:val="both"/>
        <w:rPr>
          <w:rFonts w:ascii="Arial" w:hAnsi="Arial" w:cs="Arial"/>
          <w:sz w:val="20"/>
          <w:lang w:eastAsia="es-AR"/>
        </w:rPr>
      </w:pPr>
    </w:p>
    <w:p w14:paraId="2AED3838" w14:textId="77777777" w:rsidR="00682968" w:rsidRPr="00701F32" w:rsidRDefault="00682968" w:rsidP="00CA188D">
      <w:pPr>
        <w:tabs>
          <w:tab w:val="left" w:pos="142"/>
          <w:tab w:val="left" w:pos="426"/>
        </w:tabs>
        <w:ind w:left="786"/>
        <w:contextualSpacing/>
        <w:jc w:val="both"/>
        <w:rPr>
          <w:rFonts w:ascii="Arial" w:hAnsi="Arial" w:cs="Arial"/>
          <w:sz w:val="20"/>
          <w:lang w:eastAsia="es-AR"/>
        </w:rPr>
      </w:pPr>
    </w:p>
    <w:p w14:paraId="74D74DA8" w14:textId="77777777" w:rsidR="00CA188D" w:rsidRPr="00701F32" w:rsidRDefault="00CA188D" w:rsidP="00CA188D">
      <w:pPr>
        <w:tabs>
          <w:tab w:val="left" w:pos="142"/>
          <w:tab w:val="left" w:pos="426"/>
        </w:tabs>
        <w:ind w:left="786"/>
        <w:contextualSpacing/>
        <w:jc w:val="both"/>
        <w:rPr>
          <w:rFonts w:ascii="Arial" w:hAnsi="Arial" w:cs="Arial"/>
          <w:sz w:val="20"/>
        </w:rPr>
      </w:pPr>
    </w:p>
    <w:p w14:paraId="428FEB45" w14:textId="77777777" w:rsidR="00CA188D" w:rsidRPr="00701F32" w:rsidRDefault="00CA188D" w:rsidP="00CA188D">
      <w:pPr>
        <w:tabs>
          <w:tab w:val="left" w:pos="142"/>
          <w:tab w:val="left" w:pos="426"/>
        </w:tabs>
        <w:ind w:left="786"/>
        <w:contextualSpacing/>
        <w:jc w:val="both"/>
        <w:rPr>
          <w:rFonts w:ascii="Arial" w:hAnsi="Arial" w:cs="Arial"/>
          <w:sz w:val="20"/>
        </w:rPr>
      </w:pPr>
    </w:p>
    <w:p w14:paraId="44C9B765" w14:textId="77777777" w:rsidR="00F4204E" w:rsidRPr="00701F32" w:rsidRDefault="00F4204E" w:rsidP="00CA188D">
      <w:pPr>
        <w:tabs>
          <w:tab w:val="left" w:pos="142"/>
          <w:tab w:val="left" w:pos="426"/>
        </w:tabs>
        <w:ind w:left="786"/>
        <w:contextualSpacing/>
        <w:jc w:val="both"/>
        <w:rPr>
          <w:rFonts w:ascii="Arial" w:hAnsi="Arial" w:cs="Arial"/>
          <w:sz w:val="20"/>
        </w:rPr>
      </w:pPr>
    </w:p>
    <w:p w14:paraId="098D7FC7" w14:textId="77777777" w:rsidR="00F4204E" w:rsidRPr="00701F32" w:rsidRDefault="00F4204E" w:rsidP="00CA188D">
      <w:pPr>
        <w:tabs>
          <w:tab w:val="left" w:pos="142"/>
          <w:tab w:val="left" w:pos="426"/>
        </w:tabs>
        <w:ind w:left="786"/>
        <w:contextualSpacing/>
        <w:jc w:val="both"/>
        <w:rPr>
          <w:rFonts w:ascii="Arial" w:hAnsi="Arial" w:cs="Arial"/>
          <w:sz w:val="20"/>
        </w:rPr>
      </w:pPr>
    </w:p>
    <w:p w14:paraId="146B9FDB" w14:textId="77777777" w:rsidR="00F4204E" w:rsidRPr="00701F32" w:rsidRDefault="00F4204E" w:rsidP="00CA188D">
      <w:pPr>
        <w:tabs>
          <w:tab w:val="left" w:pos="142"/>
          <w:tab w:val="left" w:pos="426"/>
        </w:tabs>
        <w:ind w:left="786"/>
        <w:contextualSpacing/>
        <w:jc w:val="both"/>
        <w:rPr>
          <w:rFonts w:ascii="Arial" w:hAnsi="Arial" w:cs="Arial"/>
          <w:sz w:val="20"/>
        </w:rPr>
      </w:pPr>
    </w:p>
    <w:p w14:paraId="26419A53" w14:textId="77777777" w:rsidR="00CA188D" w:rsidRPr="00701F32" w:rsidRDefault="00CA188D" w:rsidP="00CA188D">
      <w:pPr>
        <w:tabs>
          <w:tab w:val="left" w:pos="142"/>
          <w:tab w:val="left" w:pos="284"/>
          <w:tab w:val="left" w:pos="426"/>
        </w:tabs>
        <w:jc w:val="both"/>
        <w:rPr>
          <w:rFonts w:ascii="Arial" w:hAnsi="Arial" w:cs="Arial"/>
          <w:sz w:val="20"/>
          <w:u w:val="single"/>
        </w:rPr>
      </w:pPr>
      <w:r w:rsidRPr="00701F32">
        <w:rPr>
          <w:rFonts w:ascii="Arial" w:hAnsi="Arial" w:cs="Arial"/>
          <w:sz w:val="20"/>
        </w:rPr>
        <w:t xml:space="preserve">      </w:t>
      </w:r>
      <w:r w:rsidRPr="00701F32">
        <w:rPr>
          <w:rFonts w:ascii="Arial" w:hAnsi="Arial" w:cs="Arial"/>
          <w:sz w:val="20"/>
          <w:u w:val="single"/>
        </w:rPr>
        <w:t>Perspectivas para el ejercicio 2018</w:t>
      </w:r>
    </w:p>
    <w:p w14:paraId="3DCA2DFB" w14:textId="77777777" w:rsidR="00CA188D" w:rsidRPr="00701F32" w:rsidRDefault="00CA188D" w:rsidP="00CA188D">
      <w:pPr>
        <w:tabs>
          <w:tab w:val="left" w:pos="142"/>
        </w:tabs>
        <w:jc w:val="both"/>
        <w:rPr>
          <w:rFonts w:ascii="Arial" w:hAnsi="Arial" w:cs="Arial"/>
          <w:sz w:val="20"/>
        </w:rPr>
      </w:pPr>
    </w:p>
    <w:p w14:paraId="1052C922" w14:textId="1B4D2FED" w:rsidR="00CA188D" w:rsidRPr="00701F32" w:rsidRDefault="00CA188D" w:rsidP="00CA188D">
      <w:pPr>
        <w:tabs>
          <w:tab w:val="left" w:pos="142"/>
          <w:tab w:val="left" w:pos="284"/>
          <w:tab w:val="left" w:pos="426"/>
        </w:tabs>
        <w:jc w:val="both"/>
        <w:rPr>
          <w:rFonts w:ascii="Arial" w:hAnsi="Arial" w:cs="Arial"/>
          <w:sz w:val="20"/>
          <w:lang w:val="es-ES_tradnl"/>
        </w:rPr>
      </w:pPr>
      <w:r w:rsidRPr="00701F32">
        <w:rPr>
          <w:rFonts w:ascii="Arial" w:hAnsi="Arial" w:cs="Arial"/>
          <w:sz w:val="20"/>
        </w:rPr>
        <w:t>La Entidad cuenta con planes estratégicos</w:t>
      </w:r>
      <w:r w:rsidRPr="00701F32">
        <w:rPr>
          <w:rFonts w:ascii="Arial" w:hAnsi="Arial" w:cs="Arial"/>
          <w:sz w:val="20"/>
          <w:lang w:val="es-ES_tradnl"/>
        </w:rPr>
        <w:t xml:space="preserve"> para alcanzar los objetivos fijados. De cara al 2018, continuará con la expansión del negocio a través de inversiones permanentes tanto en infraestructura como en la plataforma tecnológica, potenciando sus negocios</w:t>
      </w:r>
      <w:r w:rsidR="008A0152">
        <w:rPr>
          <w:rFonts w:ascii="Arial" w:hAnsi="Arial" w:cs="Arial"/>
          <w:sz w:val="20"/>
          <w:lang w:val="es-ES_tradnl"/>
        </w:rPr>
        <w:t xml:space="preserve"> mediante el incremento de los </w:t>
      </w:r>
      <w:r w:rsidRPr="00701F32">
        <w:rPr>
          <w:rFonts w:ascii="Arial" w:hAnsi="Arial" w:cs="Arial"/>
          <w:sz w:val="20"/>
          <w:lang w:val="es-ES_tradnl"/>
        </w:rPr>
        <w:t>niveles de transaccionalidad, de automatización y de productos en línea con las normativas vigentes.</w:t>
      </w:r>
    </w:p>
    <w:p w14:paraId="52FAD3C0" w14:textId="77777777" w:rsidR="00CA188D" w:rsidRPr="00701F32" w:rsidRDefault="00CA188D" w:rsidP="00CA188D">
      <w:pPr>
        <w:tabs>
          <w:tab w:val="left" w:pos="142"/>
          <w:tab w:val="left" w:pos="284"/>
          <w:tab w:val="left" w:pos="426"/>
        </w:tabs>
        <w:jc w:val="both"/>
        <w:rPr>
          <w:rFonts w:ascii="Arial" w:hAnsi="Arial" w:cs="Arial"/>
          <w:sz w:val="20"/>
          <w:lang w:val="es-ES_tradnl"/>
        </w:rPr>
      </w:pPr>
    </w:p>
    <w:p w14:paraId="7B9A41A4" w14:textId="77777777" w:rsidR="00CA188D" w:rsidRPr="00701F32" w:rsidRDefault="00CA188D" w:rsidP="00CA188D">
      <w:pPr>
        <w:tabs>
          <w:tab w:val="left" w:pos="142"/>
          <w:tab w:val="left" w:pos="284"/>
          <w:tab w:val="left" w:pos="426"/>
        </w:tabs>
        <w:jc w:val="both"/>
        <w:rPr>
          <w:rFonts w:ascii="Arial" w:hAnsi="Arial" w:cs="Arial"/>
          <w:sz w:val="20"/>
          <w:lang w:val="es-ES_tradnl"/>
        </w:rPr>
      </w:pPr>
      <w:r w:rsidRPr="00701F32">
        <w:rPr>
          <w:rFonts w:ascii="Arial" w:hAnsi="Arial" w:cs="Arial"/>
          <w:sz w:val="20"/>
          <w:lang w:val="es-ES_tradnl"/>
        </w:rPr>
        <w:t xml:space="preserve">El Plan Estratégico 2018-2019 está basado en ocho ideas rectoras, que actúan como columna vertebral de la organización: </w:t>
      </w:r>
    </w:p>
    <w:p w14:paraId="67D52910" w14:textId="77777777" w:rsidR="00CA188D" w:rsidRPr="00701F32" w:rsidRDefault="00CA188D" w:rsidP="00CA188D">
      <w:pPr>
        <w:tabs>
          <w:tab w:val="left" w:pos="142"/>
          <w:tab w:val="left" w:pos="284"/>
          <w:tab w:val="left" w:pos="426"/>
        </w:tabs>
        <w:jc w:val="both"/>
        <w:rPr>
          <w:rFonts w:ascii="Arial" w:hAnsi="Arial" w:cs="Arial"/>
          <w:sz w:val="20"/>
          <w:lang w:val="es-ES_tradnl"/>
        </w:rPr>
      </w:pPr>
    </w:p>
    <w:p w14:paraId="779527A5"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 xml:space="preserve">Fortalecer y dar relevancia a la comercialización por canales alternativos a las redes. </w:t>
      </w:r>
    </w:p>
    <w:p w14:paraId="301EE72B"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Implementar la transformación del negocio Jubilados.</w:t>
      </w:r>
    </w:p>
    <w:p w14:paraId="2C972AC6"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 xml:space="preserve">Transformar la Banca Empresas hacia un negocio relacional enfocado en Pyme, con énfasis en: Cash Management, Depósitos Vista y Planes Sueldo. </w:t>
      </w:r>
    </w:p>
    <w:p w14:paraId="3E50B2B7"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Desarrollar los procesos crediticios para crecer en Pyme e individuos afianzando los procesos de cobranzas.</w:t>
      </w:r>
    </w:p>
    <w:p w14:paraId="38E4E694"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Soportar la estrategia con un modelo operativo y procesos eficientes.</w:t>
      </w:r>
    </w:p>
    <w:p w14:paraId="406E9C46"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Desarrollar e implementar un plan de reconversión del área de Tecnología.</w:t>
      </w:r>
    </w:p>
    <w:p w14:paraId="6E6E0178"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Incorporar la experiencia de cliente como palanca de mejora de principalidad y generación de ingresos</w:t>
      </w:r>
    </w:p>
    <w:p w14:paraId="0D3B42D8" w14:textId="77777777" w:rsidR="00CA188D" w:rsidRPr="00701F32" w:rsidRDefault="00CA188D" w:rsidP="00CA188D">
      <w:pPr>
        <w:numPr>
          <w:ilvl w:val="0"/>
          <w:numId w:val="94"/>
        </w:numPr>
        <w:tabs>
          <w:tab w:val="left" w:pos="142"/>
          <w:tab w:val="left" w:pos="284"/>
          <w:tab w:val="left" w:pos="426"/>
        </w:tabs>
        <w:jc w:val="both"/>
        <w:rPr>
          <w:rFonts w:ascii="Arial" w:hAnsi="Arial" w:cs="Arial"/>
          <w:sz w:val="20"/>
          <w:lang w:val="es-ES_tradnl"/>
        </w:rPr>
      </w:pPr>
      <w:r w:rsidRPr="00701F32">
        <w:rPr>
          <w:rFonts w:ascii="Arial" w:hAnsi="Arial" w:cs="Arial"/>
          <w:bCs/>
          <w:sz w:val="20"/>
          <w:lang w:val="es-ES_tradnl"/>
        </w:rPr>
        <w:t>Alinear la estrategia digital a los clientes dentro y fuera del Banco, aumentando la usabilidad de las funcionalidades y mejorado la experiencia.</w:t>
      </w:r>
    </w:p>
    <w:p w14:paraId="358021D3" w14:textId="77777777" w:rsidR="00CA188D" w:rsidRPr="00701F32" w:rsidRDefault="00CA188D" w:rsidP="00CA188D">
      <w:pPr>
        <w:jc w:val="both"/>
        <w:rPr>
          <w:rFonts w:ascii="Arial" w:hAnsi="Arial" w:cs="Arial"/>
          <w:sz w:val="20"/>
        </w:rPr>
      </w:pPr>
    </w:p>
    <w:p w14:paraId="0F9E6ED3" w14:textId="465476F1" w:rsidR="00CA188D" w:rsidRPr="00701F32" w:rsidRDefault="00CA188D" w:rsidP="00CA188D">
      <w:pPr>
        <w:jc w:val="both"/>
        <w:rPr>
          <w:rFonts w:ascii="Arial" w:hAnsi="Arial" w:cs="Arial"/>
          <w:sz w:val="20"/>
        </w:rPr>
      </w:pPr>
      <w:r w:rsidRPr="00701F32">
        <w:rPr>
          <w:rFonts w:ascii="Arial" w:hAnsi="Arial" w:cs="Arial"/>
          <w:sz w:val="20"/>
        </w:rPr>
        <w:t xml:space="preserve">Transformación del Negocio asociado a Empresas: se está implementando el Proyecto Escalar, con el objetivo de consolidar en la banca la estrategia relacional. Se continuará con los desarrollos tecnológicos sobre la plataforma electrónica y se profundizará el proyecto de Mejora Continua de Procesos. Todo esto permitirá consolidar la estrategia para lograr un significativo crecimiento del volumen de negocio, afianzar su liderazgo en la región de Cuyo e incrementar su presencia en el segmento Pyme. Se buscarán mejores sinergias con la Banca Minorista en los segmentos Planes Sueldo y Renta Alta con el fin de promover soluciones integrales que permitan satisfacer las necesidades de inversión, capital de trabajo y el manejo de flujos de caja de sus clientes.  </w:t>
      </w:r>
    </w:p>
    <w:p w14:paraId="4C0E5FF4" w14:textId="06B50A67" w:rsidR="00CA188D" w:rsidRPr="00701F32" w:rsidRDefault="00CA188D" w:rsidP="00CA188D">
      <w:pPr>
        <w:spacing w:before="240"/>
        <w:jc w:val="both"/>
        <w:rPr>
          <w:rFonts w:ascii="Arial" w:hAnsi="Arial" w:cs="Arial"/>
          <w:sz w:val="20"/>
        </w:rPr>
      </w:pPr>
      <w:r w:rsidRPr="00701F32">
        <w:rPr>
          <w:rFonts w:ascii="Arial" w:hAnsi="Arial" w:cs="Arial"/>
          <w:sz w:val="20"/>
        </w:rPr>
        <w:t xml:space="preserve">Negocio Minorista: el principal objetivo de esta unidad es generar una oferta de productos y servicios financieros que permitan cubrir las necesidades de nuestros clientes con altos estándares de calidad y servicio. El Banco ya se encuentra comercializando una nueva línea de Préstamos Hipotecarios con gran foco estratégico, se buscará posicionar a la Entidad como la mayor otorgante en monto y la mayor diversidad de destinos. </w:t>
      </w:r>
    </w:p>
    <w:p w14:paraId="5E840288" w14:textId="77777777" w:rsidR="00CA188D" w:rsidRPr="00701F32" w:rsidRDefault="00CA188D" w:rsidP="00CA188D">
      <w:pPr>
        <w:tabs>
          <w:tab w:val="left" w:pos="142"/>
        </w:tabs>
        <w:spacing w:after="200"/>
        <w:contextualSpacing/>
        <w:jc w:val="both"/>
        <w:rPr>
          <w:rFonts w:ascii="Arial" w:hAnsi="Arial" w:cs="Arial"/>
          <w:bCs/>
          <w:sz w:val="20"/>
          <w:lang w:val="es-MX"/>
        </w:rPr>
      </w:pPr>
    </w:p>
    <w:p w14:paraId="09621505" w14:textId="6EFB9D43" w:rsidR="00CA188D" w:rsidRDefault="00CA188D" w:rsidP="005819B2">
      <w:pPr>
        <w:tabs>
          <w:tab w:val="left" w:pos="1365"/>
        </w:tabs>
        <w:jc w:val="both"/>
        <w:rPr>
          <w:rFonts w:ascii="Arial" w:hAnsi="Arial" w:cs="Arial"/>
          <w:bCs/>
          <w:sz w:val="20"/>
          <w:lang w:val="es-MX"/>
        </w:rPr>
      </w:pPr>
      <w:r w:rsidRPr="00701F32">
        <w:rPr>
          <w:rFonts w:ascii="Arial" w:hAnsi="Arial" w:cs="Arial"/>
          <w:bCs/>
          <w:sz w:val="20"/>
          <w:lang w:val="es-MX"/>
        </w:rPr>
        <w:t>Respecto a la actividad habitual de la entidad, la misma continuará ofreciendo y comercializando todas sus líneas de productos activos, tales como Adelantos en Cuenta Corriente, Préstamos a Sola Firma y Descuento de Documentos, Préstamos Personales, Tarjetas de Crédito, Anticipos de Haberes, Préstamos Prendarios y Leasing. Respecto los productos pasivos, la Entidad continuará con la oferta de toda su gama clásica de productos pasivos y de inversión que incluirán los depósitos en Cajas de Ahorro, Tarjetas de Débito, Depósitos a Plazo Fijo y Cuentas Corrientes, además de servicios financieros e inversiones tales como Fondos Comunes de Inversión de terceros, cobertura de Seguros, servicios de Cash Management y Comercio Exterior, Garantías y Pagos de Beneficios a Jubilados y Pensionados.</w:t>
      </w:r>
    </w:p>
    <w:p w14:paraId="0F016763" w14:textId="77777777" w:rsidR="0073058D" w:rsidRDefault="0073058D" w:rsidP="005819B2">
      <w:pPr>
        <w:tabs>
          <w:tab w:val="left" w:pos="1365"/>
        </w:tabs>
        <w:jc w:val="both"/>
        <w:rPr>
          <w:rFonts w:ascii="Arial" w:hAnsi="Arial" w:cs="Arial"/>
          <w:bCs/>
          <w:sz w:val="20"/>
          <w:lang w:val="es-MX"/>
        </w:rPr>
      </w:pPr>
    </w:p>
    <w:p w14:paraId="55685520" w14:textId="77777777" w:rsidR="0073058D" w:rsidRDefault="0073058D" w:rsidP="005819B2">
      <w:pPr>
        <w:tabs>
          <w:tab w:val="left" w:pos="1365"/>
        </w:tabs>
        <w:jc w:val="both"/>
        <w:rPr>
          <w:rFonts w:ascii="Arial" w:hAnsi="Arial" w:cs="Arial"/>
          <w:sz w:val="20"/>
          <w:u w:val="single"/>
        </w:rPr>
        <w:sectPr w:rsidR="0073058D" w:rsidSect="0056039F">
          <w:headerReference w:type="default" r:id="rId119"/>
          <w:pgSz w:w="11907" w:h="16840" w:code="9"/>
          <w:pgMar w:top="1417" w:right="1701" w:bottom="1417" w:left="1701" w:header="567" w:footer="0" w:gutter="0"/>
          <w:cols w:space="720"/>
          <w:docGrid w:linePitch="272"/>
        </w:sectPr>
      </w:pPr>
    </w:p>
    <w:p w14:paraId="6A0AF899" w14:textId="77777777" w:rsidR="0073058D" w:rsidRPr="00914DCD" w:rsidRDefault="0073058D" w:rsidP="0073058D">
      <w:pPr>
        <w:ind w:right="-2"/>
        <w:outlineLvl w:val="0"/>
        <w:rPr>
          <w:rFonts w:ascii="Georgia" w:hAnsi="Georgia"/>
          <w:b/>
          <w:sz w:val="20"/>
        </w:rPr>
      </w:pPr>
      <w:r w:rsidRPr="00914DCD">
        <w:rPr>
          <w:rFonts w:ascii="Georgia" w:hAnsi="Georgia"/>
          <w:b/>
          <w:sz w:val="20"/>
        </w:rPr>
        <w:t>INFORME DE REVISIÓN LIMITADA DEL AUDITOR INDEPENDIENTE</w:t>
      </w:r>
    </w:p>
    <w:p w14:paraId="41EFF659" w14:textId="77777777" w:rsidR="0073058D" w:rsidRPr="00914DCD" w:rsidRDefault="0073058D" w:rsidP="0073058D">
      <w:pPr>
        <w:ind w:right="-2"/>
        <w:rPr>
          <w:rFonts w:ascii="Georgia" w:hAnsi="Georgia"/>
          <w:sz w:val="20"/>
        </w:rPr>
      </w:pPr>
    </w:p>
    <w:p w14:paraId="2DCA9C55" w14:textId="77777777" w:rsidR="0073058D" w:rsidRPr="007F1F78" w:rsidRDefault="0073058D" w:rsidP="0073058D">
      <w:pPr>
        <w:ind w:right="-2"/>
        <w:rPr>
          <w:rFonts w:ascii="Georgia" w:hAnsi="Georgia"/>
          <w:sz w:val="20"/>
        </w:rPr>
      </w:pPr>
      <w:r w:rsidRPr="007F1F78">
        <w:rPr>
          <w:rFonts w:ascii="Georgia" w:hAnsi="Georgia"/>
          <w:sz w:val="20"/>
        </w:rPr>
        <w:t>A los Señores Presidente y Directores de</w:t>
      </w:r>
    </w:p>
    <w:p w14:paraId="50DC4737" w14:textId="77777777" w:rsidR="0073058D" w:rsidRPr="007F1F78" w:rsidRDefault="0073058D" w:rsidP="0073058D">
      <w:pPr>
        <w:ind w:right="-2"/>
        <w:rPr>
          <w:rFonts w:ascii="Georgia" w:hAnsi="Georgia"/>
          <w:sz w:val="20"/>
        </w:rPr>
      </w:pPr>
      <w:r w:rsidRPr="007F1F78">
        <w:rPr>
          <w:rFonts w:ascii="Georgia" w:hAnsi="Georgia"/>
          <w:sz w:val="20"/>
        </w:rPr>
        <w:t>Banco Supervielle S.A.</w:t>
      </w:r>
    </w:p>
    <w:p w14:paraId="2DA4D6C2" w14:textId="77777777" w:rsidR="0073058D" w:rsidRPr="007F1F78" w:rsidRDefault="0073058D" w:rsidP="0073058D">
      <w:pPr>
        <w:ind w:right="-2"/>
        <w:rPr>
          <w:rFonts w:ascii="Georgia" w:hAnsi="Georgia"/>
          <w:sz w:val="20"/>
        </w:rPr>
      </w:pPr>
      <w:r w:rsidRPr="007F1F78">
        <w:rPr>
          <w:rFonts w:ascii="Georgia" w:hAnsi="Georgia"/>
          <w:sz w:val="20"/>
        </w:rPr>
        <w:t>Domicilio legal: Bartolomé Mitre 434</w:t>
      </w:r>
    </w:p>
    <w:p w14:paraId="27CF98C9" w14:textId="77777777" w:rsidR="0073058D" w:rsidRPr="007F1F78" w:rsidRDefault="0073058D" w:rsidP="0073058D">
      <w:pPr>
        <w:ind w:right="-2"/>
        <w:rPr>
          <w:rFonts w:ascii="Georgia" w:hAnsi="Georgia"/>
          <w:sz w:val="20"/>
        </w:rPr>
      </w:pPr>
      <w:r w:rsidRPr="007F1F78">
        <w:rPr>
          <w:rFonts w:ascii="Georgia" w:hAnsi="Georgia"/>
          <w:sz w:val="20"/>
        </w:rPr>
        <w:t>Ciudad Autónoma de Buenos Aires</w:t>
      </w:r>
    </w:p>
    <w:p w14:paraId="6225155C" w14:textId="77777777" w:rsidR="0073058D" w:rsidRPr="00914DCD" w:rsidRDefault="0073058D" w:rsidP="0073058D">
      <w:pPr>
        <w:ind w:right="-2"/>
        <w:rPr>
          <w:rFonts w:ascii="Georgia" w:hAnsi="Georgia"/>
          <w:sz w:val="20"/>
        </w:rPr>
      </w:pPr>
      <w:r w:rsidRPr="007F1F78">
        <w:rPr>
          <w:rFonts w:ascii="Georgia" w:hAnsi="Georgia"/>
          <w:sz w:val="20"/>
        </w:rPr>
        <w:t>C.U.I.T. N°: 33-50000517-9</w:t>
      </w:r>
    </w:p>
    <w:p w14:paraId="43B1490E" w14:textId="77777777" w:rsidR="0073058D" w:rsidRPr="0042484D" w:rsidRDefault="0073058D" w:rsidP="0073058D">
      <w:pPr>
        <w:ind w:right="-2"/>
        <w:rPr>
          <w:rFonts w:ascii="Georgia" w:hAnsi="Georgia"/>
          <w:sz w:val="12"/>
          <w:szCs w:val="12"/>
        </w:rPr>
      </w:pPr>
    </w:p>
    <w:p w14:paraId="034C87BD" w14:textId="77777777" w:rsidR="0073058D" w:rsidRPr="0042484D" w:rsidRDefault="0073058D" w:rsidP="0073058D">
      <w:pPr>
        <w:ind w:right="-2"/>
        <w:rPr>
          <w:rFonts w:ascii="Georgia" w:hAnsi="Georgia"/>
          <w:sz w:val="12"/>
          <w:szCs w:val="12"/>
        </w:rPr>
      </w:pPr>
    </w:p>
    <w:p w14:paraId="2A00157C" w14:textId="77777777" w:rsidR="0073058D" w:rsidRPr="00914DCD" w:rsidRDefault="0073058D" w:rsidP="0073058D">
      <w:pPr>
        <w:ind w:right="-2"/>
        <w:rPr>
          <w:rFonts w:ascii="Georgia" w:hAnsi="Georgia"/>
          <w:b/>
          <w:sz w:val="20"/>
        </w:rPr>
      </w:pPr>
      <w:r w:rsidRPr="00914DCD">
        <w:rPr>
          <w:rFonts w:ascii="Georgia" w:hAnsi="Georgia"/>
          <w:b/>
          <w:sz w:val="20"/>
        </w:rPr>
        <w:t>Introducción</w:t>
      </w:r>
    </w:p>
    <w:p w14:paraId="6044F5E3" w14:textId="77777777" w:rsidR="0073058D" w:rsidRPr="00914DCD" w:rsidRDefault="0073058D" w:rsidP="0073058D">
      <w:pPr>
        <w:ind w:right="-2"/>
        <w:rPr>
          <w:rFonts w:ascii="Georgia" w:hAnsi="Georgia"/>
          <w:sz w:val="20"/>
        </w:rPr>
      </w:pPr>
    </w:p>
    <w:p w14:paraId="5099ED04" w14:textId="77777777" w:rsidR="0073058D" w:rsidRDefault="0073058D" w:rsidP="0073058D">
      <w:pPr>
        <w:tabs>
          <w:tab w:val="left" w:pos="851"/>
        </w:tabs>
        <w:ind w:right="-2"/>
        <w:rPr>
          <w:rFonts w:ascii="Georgia" w:hAnsi="Georgia"/>
          <w:color w:val="0070C0"/>
          <w:sz w:val="20"/>
        </w:rPr>
      </w:pPr>
      <w:r w:rsidRPr="00332715">
        <w:rPr>
          <w:rFonts w:ascii="Georgia" w:hAnsi="Georgia"/>
          <w:sz w:val="20"/>
        </w:rPr>
        <w:t xml:space="preserve">Hemos revisado los estados financieros condensados consolidados intermedios adjuntos de Banco Supervielle S.A. (en adelante “la Entidad”), </w:t>
      </w:r>
      <w:r w:rsidRPr="008B677E">
        <w:rPr>
          <w:rFonts w:ascii="Georgia" w:hAnsi="Georgia"/>
          <w:sz w:val="20"/>
        </w:rPr>
        <w:t>que comprenden el estado de situación financiera</w:t>
      </w:r>
      <w:r>
        <w:rPr>
          <w:rFonts w:ascii="Georgia" w:hAnsi="Georgia"/>
          <w:sz w:val="20"/>
        </w:rPr>
        <w:t xml:space="preserve"> consolidado</w:t>
      </w:r>
      <w:r w:rsidRPr="008B677E">
        <w:rPr>
          <w:rFonts w:ascii="Georgia" w:hAnsi="Georgia"/>
          <w:sz w:val="20"/>
        </w:rPr>
        <w:t xml:space="preserve"> al</w:t>
      </w:r>
      <w:r>
        <w:rPr>
          <w:rFonts w:ascii="Georgia" w:hAnsi="Georgia"/>
          <w:sz w:val="20"/>
        </w:rPr>
        <w:t xml:space="preserve"> 30</w:t>
      </w:r>
      <w:r w:rsidRPr="008B677E">
        <w:rPr>
          <w:rFonts w:ascii="Georgia" w:hAnsi="Georgia"/>
          <w:sz w:val="20"/>
        </w:rPr>
        <w:t xml:space="preserve"> de </w:t>
      </w:r>
      <w:r>
        <w:rPr>
          <w:rFonts w:ascii="Georgia" w:hAnsi="Georgia"/>
          <w:sz w:val="20"/>
        </w:rPr>
        <w:t xml:space="preserve">septiembre </w:t>
      </w:r>
      <w:r w:rsidRPr="008B677E">
        <w:rPr>
          <w:rFonts w:ascii="Georgia" w:hAnsi="Georgia"/>
          <w:sz w:val="20"/>
        </w:rPr>
        <w:t>de 20</w:t>
      </w:r>
      <w:r>
        <w:rPr>
          <w:rFonts w:ascii="Georgia" w:hAnsi="Georgia"/>
          <w:sz w:val="20"/>
        </w:rPr>
        <w:t>18</w:t>
      </w:r>
      <w:r w:rsidRPr="008B677E">
        <w:rPr>
          <w:rFonts w:ascii="Georgia" w:hAnsi="Georgia"/>
          <w:sz w:val="20"/>
        </w:rPr>
        <w:t xml:space="preserve">, los correspondientes estados </w:t>
      </w:r>
      <w:r>
        <w:rPr>
          <w:rFonts w:ascii="Georgia" w:hAnsi="Georgia"/>
          <w:sz w:val="20"/>
        </w:rPr>
        <w:t xml:space="preserve">consolidados </w:t>
      </w:r>
      <w:r w:rsidRPr="008B677E">
        <w:rPr>
          <w:rFonts w:ascii="Georgia" w:hAnsi="Georgia"/>
          <w:sz w:val="20"/>
        </w:rPr>
        <w:t xml:space="preserve">de resultados y otros resultados integrales por los períodos de </w:t>
      </w:r>
      <w:r>
        <w:rPr>
          <w:rFonts w:ascii="Georgia" w:hAnsi="Georgia"/>
          <w:sz w:val="20"/>
        </w:rPr>
        <w:t xml:space="preserve">nueve </w:t>
      </w:r>
      <w:r w:rsidRPr="008B677E">
        <w:rPr>
          <w:rFonts w:ascii="Georgia" w:hAnsi="Georgia"/>
          <w:sz w:val="20"/>
        </w:rPr>
        <w:t>y tres meses finalizados el</w:t>
      </w:r>
      <w:r>
        <w:rPr>
          <w:rFonts w:ascii="Georgia" w:hAnsi="Georgia"/>
          <w:sz w:val="20"/>
        </w:rPr>
        <w:t xml:space="preserve"> 30 </w:t>
      </w:r>
      <w:r w:rsidRPr="008B677E">
        <w:rPr>
          <w:rFonts w:ascii="Georgia" w:hAnsi="Georgia"/>
          <w:sz w:val="20"/>
        </w:rPr>
        <w:t>de</w:t>
      </w:r>
      <w:r>
        <w:rPr>
          <w:rFonts w:ascii="Georgia" w:hAnsi="Georgia"/>
          <w:sz w:val="20"/>
        </w:rPr>
        <w:t xml:space="preserve"> septiembre de 2018</w:t>
      </w:r>
      <w:r w:rsidRPr="008B677E">
        <w:rPr>
          <w:rFonts w:ascii="Georgia" w:hAnsi="Georgia"/>
          <w:sz w:val="20"/>
        </w:rPr>
        <w:t xml:space="preserve"> y los estados </w:t>
      </w:r>
      <w:r>
        <w:rPr>
          <w:rFonts w:ascii="Georgia" w:hAnsi="Georgia"/>
          <w:sz w:val="20"/>
        </w:rPr>
        <w:t>consolidados</w:t>
      </w:r>
      <w:r w:rsidRPr="008B677E">
        <w:rPr>
          <w:rFonts w:ascii="Georgia" w:hAnsi="Georgia"/>
          <w:color w:val="0070C0"/>
          <w:sz w:val="20"/>
        </w:rPr>
        <w:t xml:space="preserve"> </w:t>
      </w:r>
      <w:r w:rsidRPr="008B677E">
        <w:rPr>
          <w:rFonts w:ascii="Georgia" w:hAnsi="Georgia"/>
          <w:sz w:val="20"/>
        </w:rPr>
        <w:t xml:space="preserve">de cambios en el patrimonio y de flujos de efectivo por el período de </w:t>
      </w:r>
      <w:r>
        <w:rPr>
          <w:rFonts w:ascii="Georgia" w:hAnsi="Georgia"/>
          <w:sz w:val="20"/>
        </w:rPr>
        <w:t xml:space="preserve">nueve </w:t>
      </w:r>
      <w:r w:rsidRPr="008B677E">
        <w:rPr>
          <w:rFonts w:ascii="Georgia" w:hAnsi="Georgia"/>
          <w:sz w:val="20"/>
        </w:rPr>
        <w:t>meses finalizado en esa misma fecha, así como un resumen de las políticas contables significativas y otra información explicativa incluida en las notas y</w:t>
      </w:r>
      <w:r>
        <w:rPr>
          <w:rFonts w:ascii="Georgia" w:hAnsi="Georgia"/>
          <w:sz w:val="20"/>
        </w:rPr>
        <w:t xml:space="preserve"> los anexos que los complementan.</w:t>
      </w:r>
    </w:p>
    <w:p w14:paraId="3C268D57" w14:textId="77777777" w:rsidR="0073058D" w:rsidRDefault="0073058D" w:rsidP="0073058D">
      <w:pPr>
        <w:tabs>
          <w:tab w:val="left" w:pos="851"/>
        </w:tabs>
        <w:ind w:right="-2"/>
        <w:rPr>
          <w:rFonts w:ascii="Georgia" w:hAnsi="Georgia"/>
          <w:sz w:val="20"/>
        </w:rPr>
      </w:pPr>
    </w:p>
    <w:p w14:paraId="2E09291C" w14:textId="77777777" w:rsidR="0073058D" w:rsidRPr="00332715" w:rsidRDefault="0073058D" w:rsidP="0073058D">
      <w:pPr>
        <w:tabs>
          <w:tab w:val="left" w:pos="851"/>
        </w:tabs>
        <w:ind w:right="-2"/>
        <w:rPr>
          <w:rFonts w:ascii="Georgia" w:hAnsi="Georgia"/>
          <w:sz w:val="20"/>
        </w:rPr>
      </w:pPr>
      <w:r w:rsidRPr="00332715">
        <w:rPr>
          <w:rFonts w:ascii="Georgia" w:hAnsi="Georgia"/>
          <w:sz w:val="20"/>
        </w:rPr>
        <w:t xml:space="preserve">Los saldos y otra información correspondientes al ejercicio 2017 y a sus períodos intermedios, son parte integrante de los estados contables mencionados precedentemente y por lo tanto deberán ser considerados en relación con esos estados contables. </w:t>
      </w:r>
    </w:p>
    <w:p w14:paraId="307ADD3B" w14:textId="77777777" w:rsidR="0073058D" w:rsidRPr="00914DCD" w:rsidRDefault="0073058D" w:rsidP="0073058D">
      <w:pPr>
        <w:pStyle w:val="Prrafodelista"/>
        <w:tabs>
          <w:tab w:val="left" w:pos="851"/>
        </w:tabs>
        <w:ind w:left="0" w:right="-2"/>
        <w:rPr>
          <w:rFonts w:ascii="Georgia" w:hAnsi="Georgia"/>
          <w:sz w:val="20"/>
        </w:rPr>
      </w:pPr>
    </w:p>
    <w:p w14:paraId="7485F3E7" w14:textId="77777777" w:rsidR="0073058D" w:rsidRPr="00914DCD" w:rsidRDefault="0073058D" w:rsidP="0073058D">
      <w:pPr>
        <w:pStyle w:val="Prrafodelista"/>
        <w:tabs>
          <w:tab w:val="left" w:pos="567"/>
        </w:tabs>
        <w:ind w:left="0" w:right="-2"/>
        <w:rPr>
          <w:rFonts w:ascii="Georgia" w:hAnsi="Georgia"/>
          <w:b/>
          <w:sz w:val="20"/>
        </w:rPr>
      </w:pPr>
      <w:r w:rsidRPr="00914DCD">
        <w:rPr>
          <w:rFonts w:ascii="Georgia" w:hAnsi="Georgia"/>
          <w:b/>
          <w:sz w:val="20"/>
        </w:rPr>
        <w:t>Responsabilidad de la Dirección</w:t>
      </w:r>
    </w:p>
    <w:p w14:paraId="51EACC18" w14:textId="77777777" w:rsidR="0073058D" w:rsidRPr="00B82C28" w:rsidRDefault="0073058D" w:rsidP="0073058D">
      <w:pPr>
        <w:tabs>
          <w:tab w:val="left" w:pos="851"/>
        </w:tabs>
        <w:ind w:right="-2"/>
        <w:rPr>
          <w:rFonts w:ascii="Georgia" w:hAnsi="Georgia"/>
          <w:sz w:val="14"/>
        </w:rPr>
      </w:pPr>
    </w:p>
    <w:p w14:paraId="37A49334" w14:textId="77777777" w:rsidR="0073058D" w:rsidRPr="00332715" w:rsidRDefault="0073058D" w:rsidP="0073058D">
      <w:pPr>
        <w:tabs>
          <w:tab w:val="left" w:pos="851"/>
        </w:tabs>
        <w:ind w:right="-2"/>
        <w:rPr>
          <w:rFonts w:ascii="Georgia" w:hAnsi="Georgia"/>
          <w:sz w:val="20"/>
        </w:rPr>
      </w:pPr>
      <w:r w:rsidRPr="00332715">
        <w:rPr>
          <w:rFonts w:ascii="Georgia" w:hAnsi="Georgia"/>
          <w:sz w:val="20"/>
        </w:rPr>
        <w:t>El Directorio de la Entidad es responsable de la preparación y presentación de los estados financieros de acuerdo con el marco contable establecido por el Banco Central de la República Argentina (B</w:t>
      </w:r>
      <w:r>
        <w:rPr>
          <w:rFonts w:ascii="Georgia" w:hAnsi="Georgia"/>
          <w:sz w:val="20"/>
        </w:rPr>
        <w:t>.</w:t>
      </w:r>
      <w:r w:rsidRPr="00332715">
        <w:rPr>
          <w:rFonts w:ascii="Georgia" w:hAnsi="Georgia"/>
          <w:sz w:val="20"/>
        </w:rPr>
        <w:t>C</w:t>
      </w:r>
      <w:r>
        <w:rPr>
          <w:rFonts w:ascii="Georgia" w:hAnsi="Georgia"/>
          <w:sz w:val="20"/>
        </w:rPr>
        <w:t>.</w:t>
      </w:r>
      <w:r w:rsidRPr="00332715">
        <w:rPr>
          <w:rFonts w:ascii="Georgia" w:hAnsi="Georgia"/>
          <w:sz w:val="20"/>
        </w:rPr>
        <w:t>R</w:t>
      </w:r>
      <w:r>
        <w:rPr>
          <w:rFonts w:ascii="Georgia" w:hAnsi="Georgia"/>
          <w:sz w:val="20"/>
        </w:rPr>
        <w:t>.</w:t>
      </w:r>
      <w:r w:rsidRPr="00332715">
        <w:rPr>
          <w:rFonts w:ascii="Georgia" w:hAnsi="Georgia"/>
          <w:sz w:val="20"/>
        </w:rPr>
        <w:t>A</w:t>
      </w:r>
      <w:r>
        <w:rPr>
          <w:rFonts w:ascii="Georgia" w:hAnsi="Georgia"/>
          <w:sz w:val="20"/>
        </w:rPr>
        <w:t>.</w:t>
      </w:r>
      <w:r w:rsidRPr="00332715">
        <w:rPr>
          <w:rFonts w:ascii="Georgia" w:hAnsi="Georgia"/>
          <w:sz w:val="20"/>
        </w:rPr>
        <w:t>). Tal como se indica en la nota 1.1 a los estados financieros condensados consolidados intermedios adjuntos, dicho marco contable se basa en la aplicación de las Normas Internacionales de Información Financiera (N</w:t>
      </w:r>
      <w:r>
        <w:rPr>
          <w:rFonts w:ascii="Georgia" w:hAnsi="Georgia"/>
          <w:sz w:val="20"/>
        </w:rPr>
        <w:t>.</w:t>
      </w:r>
      <w:r w:rsidRPr="00332715">
        <w:rPr>
          <w:rFonts w:ascii="Georgia" w:hAnsi="Georgia"/>
          <w:sz w:val="20"/>
        </w:rPr>
        <w:t>I</w:t>
      </w:r>
      <w:r>
        <w:rPr>
          <w:rFonts w:ascii="Georgia" w:hAnsi="Georgia"/>
          <w:sz w:val="20"/>
        </w:rPr>
        <w:t>.</w:t>
      </w:r>
      <w:r w:rsidRPr="00332715">
        <w:rPr>
          <w:rFonts w:ascii="Georgia" w:hAnsi="Georgia"/>
          <w:sz w:val="20"/>
        </w:rPr>
        <w:t>I</w:t>
      </w:r>
      <w:r>
        <w:rPr>
          <w:rFonts w:ascii="Georgia" w:hAnsi="Georgia"/>
          <w:sz w:val="20"/>
        </w:rPr>
        <w:t>.</w:t>
      </w:r>
      <w:r w:rsidRPr="00332715">
        <w:rPr>
          <w:rFonts w:ascii="Georgia" w:hAnsi="Georgia"/>
          <w:sz w:val="20"/>
        </w:rPr>
        <w:t>F</w:t>
      </w:r>
      <w:r>
        <w:rPr>
          <w:rFonts w:ascii="Georgia" w:hAnsi="Georgia"/>
          <w:sz w:val="20"/>
        </w:rPr>
        <w:t>.</w:t>
      </w:r>
      <w:r w:rsidRPr="00332715">
        <w:rPr>
          <w:rFonts w:ascii="Georgia" w:hAnsi="Georgia"/>
          <w:sz w:val="20"/>
        </w:rPr>
        <w:t>) y, en particular, de la Norma Internacional de Contabilidad 34 “Información Financiera Intermedia” (N</w:t>
      </w:r>
      <w:r>
        <w:rPr>
          <w:rFonts w:ascii="Georgia" w:hAnsi="Georgia"/>
          <w:sz w:val="20"/>
        </w:rPr>
        <w:t>.</w:t>
      </w:r>
      <w:r w:rsidRPr="00332715">
        <w:rPr>
          <w:rFonts w:ascii="Georgia" w:hAnsi="Georgia"/>
          <w:sz w:val="20"/>
        </w:rPr>
        <w:t>I</w:t>
      </w:r>
      <w:r>
        <w:rPr>
          <w:rFonts w:ascii="Georgia" w:hAnsi="Georgia"/>
          <w:sz w:val="20"/>
        </w:rPr>
        <w:t>.</w:t>
      </w:r>
      <w:r w:rsidRPr="00332715">
        <w:rPr>
          <w:rFonts w:ascii="Georgia" w:hAnsi="Georgia"/>
          <w:sz w:val="20"/>
        </w:rPr>
        <w:t>C</w:t>
      </w:r>
      <w:r>
        <w:rPr>
          <w:rFonts w:ascii="Georgia" w:hAnsi="Georgia"/>
          <w:sz w:val="20"/>
        </w:rPr>
        <w:t>.</w:t>
      </w:r>
      <w:r w:rsidRPr="00332715">
        <w:rPr>
          <w:rFonts w:ascii="Georgia" w:hAnsi="Georgia"/>
          <w:sz w:val="20"/>
        </w:rPr>
        <w:t xml:space="preserve"> 34), aprobadas por el Consejo de Normas Internacionales de Contabilidad (IASB por sus siglas en inglés). Dichas normas fueron adoptadas por la Federación Argentina de Consejos Profesionales de Ciencias Económicas (F</w:t>
      </w:r>
      <w:r>
        <w:rPr>
          <w:rFonts w:ascii="Georgia" w:hAnsi="Georgia"/>
          <w:sz w:val="20"/>
        </w:rPr>
        <w:t>.</w:t>
      </w:r>
      <w:r w:rsidRPr="00332715">
        <w:rPr>
          <w:rFonts w:ascii="Georgia" w:hAnsi="Georgia"/>
          <w:sz w:val="20"/>
        </w:rPr>
        <w:t>A</w:t>
      </w:r>
      <w:r>
        <w:rPr>
          <w:rFonts w:ascii="Georgia" w:hAnsi="Georgia"/>
          <w:sz w:val="20"/>
        </w:rPr>
        <w:t>.</w:t>
      </w:r>
      <w:r w:rsidRPr="00332715">
        <w:rPr>
          <w:rFonts w:ascii="Georgia" w:hAnsi="Georgia"/>
          <w:sz w:val="20"/>
        </w:rPr>
        <w:t>C</w:t>
      </w:r>
      <w:r>
        <w:rPr>
          <w:rFonts w:ascii="Georgia" w:hAnsi="Georgia"/>
          <w:sz w:val="20"/>
        </w:rPr>
        <w:t>.</w:t>
      </w:r>
      <w:r w:rsidRPr="00332715">
        <w:rPr>
          <w:rFonts w:ascii="Georgia" w:hAnsi="Georgia"/>
          <w:sz w:val="20"/>
        </w:rPr>
        <w:t>P</w:t>
      </w:r>
      <w:r>
        <w:rPr>
          <w:rFonts w:ascii="Georgia" w:hAnsi="Georgia"/>
          <w:sz w:val="20"/>
        </w:rPr>
        <w:t>.</w:t>
      </w:r>
      <w:r w:rsidRPr="00332715">
        <w:rPr>
          <w:rFonts w:ascii="Georgia" w:hAnsi="Georgia"/>
          <w:sz w:val="20"/>
        </w:rPr>
        <w:t>C</w:t>
      </w:r>
      <w:r>
        <w:rPr>
          <w:rFonts w:ascii="Georgia" w:hAnsi="Georgia"/>
          <w:sz w:val="20"/>
        </w:rPr>
        <w:t>.</w:t>
      </w:r>
      <w:r w:rsidRPr="00332715">
        <w:rPr>
          <w:rFonts w:ascii="Georgia" w:hAnsi="Georgia"/>
          <w:sz w:val="20"/>
        </w:rPr>
        <w:t>E</w:t>
      </w:r>
      <w:r>
        <w:rPr>
          <w:rFonts w:ascii="Georgia" w:hAnsi="Georgia"/>
          <w:sz w:val="20"/>
        </w:rPr>
        <w:t>.</w:t>
      </w:r>
      <w:r w:rsidRPr="00332715">
        <w:rPr>
          <w:rFonts w:ascii="Georgia" w:hAnsi="Georgia"/>
          <w:sz w:val="20"/>
        </w:rPr>
        <w:t>), y por el B</w:t>
      </w:r>
      <w:r>
        <w:rPr>
          <w:rFonts w:ascii="Georgia" w:hAnsi="Georgia"/>
          <w:sz w:val="20"/>
        </w:rPr>
        <w:t>.</w:t>
      </w:r>
      <w:r w:rsidRPr="00332715">
        <w:rPr>
          <w:rFonts w:ascii="Georgia" w:hAnsi="Georgia"/>
          <w:sz w:val="20"/>
        </w:rPr>
        <w:t>C</w:t>
      </w:r>
      <w:r>
        <w:rPr>
          <w:rFonts w:ascii="Georgia" w:hAnsi="Georgia"/>
          <w:sz w:val="20"/>
        </w:rPr>
        <w:t>.</w:t>
      </w:r>
      <w:r w:rsidRPr="00332715">
        <w:rPr>
          <w:rFonts w:ascii="Georgia" w:hAnsi="Georgia"/>
          <w:sz w:val="20"/>
        </w:rPr>
        <w:t>R</w:t>
      </w:r>
      <w:r>
        <w:rPr>
          <w:rFonts w:ascii="Georgia" w:hAnsi="Georgia"/>
          <w:sz w:val="20"/>
        </w:rPr>
        <w:t>.</w:t>
      </w:r>
      <w:r w:rsidRPr="00332715">
        <w:rPr>
          <w:rFonts w:ascii="Georgia" w:hAnsi="Georgia"/>
          <w:sz w:val="20"/>
        </w:rPr>
        <w:t>A</w:t>
      </w:r>
      <w:r>
        <w:rPr>
          <w:rFonts w:ascii="Georgia" w:hAnsi="Georgia"/>
          <w:sz w:val="20"/>
        </w:rPr>
        <w:t>.</w:t>
      </w:r>
      <w:r w:rsidRPr="00332715">
        <w:rPr>
          <w:rFonts w:ascii="Georgia" w:hAnsi="Georgia"/>
          <w:sz w:val="20"/>
        </w:rPr>
        <w:t xml:space="preserve">, y </w:t>
      </w:r>
      <w:r w:rsidRPr="00914DCD">
        <w:rPr>
          <w:rFonts w:ascii="Georgia" w:hAnsi="Georgia"/>
          <w:sz w:val="20"/>
        </w:rPr>
        <w:t>fueron utilizadas en la preparación de los estados financieros con la excepción del punto 5.5 “Deterioro de Valor” de la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F</w:t>
      </w:r>
      <w:r>
        <w:rPr>
          <w:rFonts w:ascii="Georgia" w:hAnsi="Georgia"/>
          <w:sz w:val="20"/>
        </w:rPr>
        <w:t>.</w:t>
      </w:r>
      <w:r w:rsidRPr="00914DCD">
        <w:rPr>
          <w:rFonts w:ascii="Georgia" w:hAnsi="Georgia"/>
          <w:sz w:val="20"/>
        </w:rPr>
        <w:t xml:space="preserve"> N° 9</w:t>
      </w:r>
      <w:r>
        <w:rPr>
          <w:rFonts w:ascii="Georgia" w:hAnsi="Georgia"/>
          <w:sz w:val="20"/>
        </w:rPr>
        <w:t xml:space="preserve"> y de la Norma Internacional de Contabilidad 29 (N.I.C. 29)</w:t>
      </w:r>
      <w:r w:rsidRPr="00914DCD">
        <w:rPr>
          <w:rFonts w:ascii="Georgia" w:hAnsi="Georgia"/>
          <w:sz w:val="20"/>
        </w:rPr>
        <w:t>.</w:t>
      </w:r>
    </w:p>
    <w:p w14:paraId="3FB00D9A" w14:textId="77777777" w:rsidR="0073058D" w:rsidRPr="00B82C28" w:rsidRDefault="0073058D" w:rsidP="0073058D">
      <w:pPr>
        <w:spacing w:line="240" w:lineRule="atLeast"/>
        <w:ind w:right="-2"/>
        <w:rPr>
          <w:rFonts w:ascii="Georgia" w:hAnsi="Georgia"/>
          <w:b/>
          <w:sz w:val="14"/>
        </w:rPr>
      </w:pPr>
    </w:p>
    <w:p w14:paraId="6006B35F" w14:textId="77777777" w:rsidR="0073058D" w:rsidRDefault="0073058D" w:rsidP="0073058D">
      <w:pPr>
        <w:tabs>
          <w:tab w:val="left" w:pos="851"/>
        </w:tabs>
        <w:ind w:right="-2"/>
        <w:rPr>
          <w:rFonts w:ascii="Georgia" w:hAnsi="Georgia"/>
          <w:b/>
          <w:sz w:val="20"/>
        </w:rPr>
      </w:pPr>
      <w:r w:rsidRPr="00914DCD">
        <w:rPr>
          <w:rFonts w:ascii="Georgia" w:hAnsi="Georgia"/>
          <w:b/>
          <w:sz w:val="20"/>
        </w:rPr>
        <w:t>Alcance de nuestra revisión</w:t>
      </w:r>
    </w:p>
    <w:p w14:paraId="7C1C28F6" w14:textId="77777777" w:rsidR="0073058D" w:rsidRPr="00914DCD" w:rsidRDefault="0073058D" w:rsidP="0073058D">
      <w:pPr>
        <w:tabs>
          <w:tab w:val="left" w:pos="851"/>
        </w:tabs>
        <w:ind w:right="-2"/>
        <w:rPr>
          <w:rFonts w:ascii="Georgia" w:hAnsi="Georgia"/>
          <w:b/>
          <w:sz w:val="20"/>
        </w:rPr>
      </w:pPr>
    </w:p>
    <w:p w14:paraId="5F5C6352" w14:textId="77777777" w:rsidR="0073058D" w:rsidRPr="00B82C28" w:rsidRDefault="0073058D" w:rsidP="0073058D">
      <w:pPr>
        <w:tabs>
          <w:tab w:val="left" w:pos="851"/>
        </w:tabs>
        <w:ind w:right="-2"/>
        <w:rPr>
          <w:rFonts w:ascii="Georgia" w:hAnsi="Georgia"/>
          <w:color w:val="FF0000"/>
          <w:sz w:val="2"/>
        </w:rPr>
      </w:pPr>
    </w:p>
    <w:p w14:paraId="765B27AA" w14:textId="77777777" w:rsidR="0073058D" w:rsidRPr="00212C48" w:rsidRDefault="0073058D" w:rsidP="0073058D">
      <w:pPr>
        <w:tabs>
          <w:tab w:val="left" w:pos="851"/>
        </w:tabs>
        <w:ind w:right="-2"/>
        <w:rPr>
          <w:rFonts w:ascii="Georgia" w:hAnsi="Georgia"/>
          <w:sz w:val="20"/>
        </w:rPr>
      </w:pPr>
      <w:r w:rsidRPr="00914DCD">
        <w:rPr>
          <w:rFonts w:ascii="Georgia" w:hAnsi="Georgia"/>
          <w:sz w:val="20"/>
        </w:rPr>
        <w:t>Nuestra revisión se limitó a la aplicación de los procedimientos de revisión establecidos en la Resolución Técnica N° 37 de la F</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P</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E</w:t>
      </w:r>
      <w:r>
        <w:rPr>
          <w:rFonts w:ascii="Georgia" w:hAnsi="Georgia"/>
          <w:sz w:val="20"/>
        </w:rPr>
        <w:t>.</w:t>
      </w:r>
      <w:r w:rsidRPr="00914DCD">
        <w:rPr>
          <w:rFonts w:ascii="Georgia" w:hAnsi="Georgia"/>
          <w:sz w:val="20"/>
        </w:rPr>
        <w:t xml:space="preserve"> para la revisión de estados financieros intermedios y con las normas de auditoría emitidas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 xml:space="preserve"> para revisiones limitadas. Una revisión de estados financieros intermedios consiste en la realización de indagaciones al personal de la Entidad responsable de la preparación de la información incluida en los estados financieros condensados </w:t>
      </w:r>
      <w:r>
        <w:rPr>
          <w:rFonts w:ascii="Georgia" w:hAnsi="Georgia"/>
          <w:sz w:val="20"/>
        </w:rPr>
        <w:t xml:space="preserve">consolidados </w:t>
      </w:r>
      <w:r w:rsidRPr="00914DCD">
        <w:rPr>
          <w:rFonts w:ascii="Georgia" w:hAnsi="Georgia"/>
          <w:sz w:val="20"/>
        </w:rPr>
        <w:t>intermedios y en la realización de procedimientos analíticos y otros procedimientos de revisión. El alcance de esta revisión es sustancialmente inferior al de un examen de auditoría realizado de acuerdo con las normas argentinas de auditoría, en consecuencia, una revisión no nos permite obtener seguridad de que tomaremos conocimiento sobre todos los temas significativos que podrían identificarse en una auditoría. Por lo tanto, no expresamos una opinión de auditoría sobre la situación financiera</w:t>
      </w:r>
      <w:r>
        <w:rPr>
          <w:rFonts w:ascii="Georgia" w:hAnsi="Georgia"/>
          <w:sz w:val="20"/>
        </w:rPr>
        <w:t xml:space="preserve"> consolidada, </w:t>
      </w:r>
      <w:r w:rsidRPr="00914DCD">
        <w:rPr>
          <w:rFonts w:ascii="Georgia" w:hAnsi="Georgia"/>
          <w:sz w:val="20"/>
        </w:rPr>
        <w:t>el resultado integral</w:t>
      </w:r>
      <w:r>
        <w:rPr>
          <w:rFonts w:ascii="Georgia" w:hAnsi="Georgia"/>
          <w:sz w:val="20"/>
        </w:rPr>
        <w:t xml:space="preserve"> consolidado y el flujo de efectivo consolidado </w:t>
      </w:r>
      <w:r w:rsidRPr="00914DCD">
        <w:rPr>
          <w:rFonts w:ascii="Georgia" w:hAnsi="Georgia"/>
          <w:sz w:val="20"/>
        </w:rPr>
        <w:t>de la Entidad.</w:t>
      </w:r>
    </w:p>
    <w:p w14:paraId="220D8DA9" w14:textId="77777777" w:rsidR="0073058D" w:rsidRPr="00914DCD" w:rsidRDefault="0073058D" w:rsidP="0073058D">
      <w:pPr>
        <w:pStyle w:val="Prrafodelista"/>
        <w:tabs>
          <w:tab w:val="left" w:pos="567"/>
        </w:tabs>
        <w:ind w:left="0" w:right="-2"/>
        <w:rPr>
          <w:rFonts w:ascii="Georgia" w:hAnsi="Georgia"/>
          <w:b/>
          <w:sz w:val="20"/>
        </w:rPr>
      </w:pPr>
      <w:r w:rsidRPr="00914DCD">
        <w:rPr>
          <w:rFonts w:ascii="Georgia" w:hAnsi="Georgia"/>
          <w:b/>
          <w:sz w:val="20"/>
        </w:rPr>
        <w:t>Conclusión</w:t>
      </w:r>
    </w:p>
    <w:p w14:paraId="7D004B42" w14:textId="77777777" w:rsidR="0073058D" w:rsidRPr="00914DCD" w:rsidRDefault="0073058D" w:rsidP="0073058D">
      <w:pPr>
        <w:tabs>
          <w:tab w:val="left" w:pos="851"/>
        </w:tabs>
        <w:ind w:right="-2"/>
        <w:rPr>
          <w:rFonts w:ascii="Georgia" w:hAnsi="Georgia"/>
          <w:sz w:val="20"/>
        </w:rPr>
      </w:pPr>
    </w:p>
    <w:p w14:paraId="0F540C08"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Sobre la base de nuestra revisión,</w:t>
      </w:r>
      <w:r w:rsidRPr="00914DCD">
        <w:rPr>
          <w:rFonts w:ascii="Georgia" w:hAnsi="Georgia"/>
          <w:snapToGrid w:val="0"/>
          <w:color w:val="000000"/>
          <w:sz w:val="20"/>
        </w:rPr>
        <w:t xml:space="preserve"> </w:t>
      </w:r>
      <w:r w:rsidRPr="00914DCD">
        <w:rPr>
          <w:rFonts w:ascii="Georgia" w:hAnsi="Georgia"/>
          <w:sz w:val="20"/>
        </w:rPr>
        <w:t xml:space="preserve">nada ha llamado nuestra atención que nos hiciera pensar que los estados financieros condensados </w:t>
      </w:r>
      <w:r>
        <w:rPr>
          <w:rFonts w:ascii="Georgia" w:hAnsi="Georgia"/>
          <w:sz w:val="20"/>
        </w:rPr>
        <w:t xml:space="preserve">consolidados </w:t>
      </w:r>
      <w:r w:rsidRPr="00914DCD">
        <w:rPr>
          <w:rFonts w:ascii="Georgia" w:hAnsi="Georgia"/>
          <w:sz w:val="20"/>
        </w:rPr>
        <w:t>intermedios, mencionados en el primer párrafo del presente informe, no están preparados, en todos sus aspectos significativos, de conformidad con el marco contable establecido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p>
    <w:p w14:paraId="265E3559"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 xml:space="preserve"> </w:t>
      </w:r>
    </w:p>
    <w:p w14:paraId="073151C8" w14:textId="77777777" w:rsidR="0073058D" w:rsidRPr="00914DCD" w:rsidRDefault="0073058D" w:rsidP="0073058D">
      <w:pPr>
        <w:tabs>
          <w:tab w:val="left" w:pos="851"/>
        </w:tabs>
        <w:ind w:right="-2"/>
        <w:rPr>
          <w:rFonts w:ascii="Georgia" w:hAnsi="Georgia"/>
          <w:b/>
          <w:color w:val="FBCAA2" w:themeColor="accent6" w:themeTint="80"/>
          <w:sz w:val="20"/>
        </w:rPr>
      </w:pPr>
      <w:r w:rsidRPr="00914DCD">
        <w:rPr>
          <w:rFonts w:ascii="Georgia" w:hAnsi="Georgia"/>
          <w:b/>
          <w:sz w:val="20"/>
        </w:rPr>
        <w:t>Párrafos de énfasis</w:t>
      </w:r>
      <w:r w:rsidRPr="00914DCD">
        <w:rPr>
          <w:rFonts w:ascii="Georgia" w:hAnsi="Georgia"/>
          <w:b/>
          <w:color w:val="FBCAA2" w:themeColor="accent6" w:themeTint="80"/>
          <w:sz w:val="20"/>
        </w:rPr>
        <w:t xml:space="preserve"> </w:t>
      </w:r>
    </w:p>
    <w:p w14:paraId="0A1B0CD9" w14:textId="77777777" w:rsidR="0073058D" w:rsidRPr="00914DCD" w:rsidRDefault="0073058D" w:rsidP="0073058D">
      <w:pPr>
        <w:tabs>
          <w:tab w:val="left" w:pos="851"/>
        </w:tabs>
        <w:ind w:right="-2"/>
        <w:rPr>
          <w:rFonts w:ascii="Georgia" w:hAnsi="Georgia"/>
          <w:b/>
          <w:color w:val="FBCAA2" w:themeColor="accent6" w:themeTint="80"/>
          <w:sz w:val="20"/>
        </w:rPr>
      </w:pPr>
    </w:p>
    <w:p w14:paraId="4AC8943C" w14:textId="77777777" w:rsidR="0073058D" w:rsidRPr="004B78BA" w:rsidRDefault="0073058D" w:rsidP="0073058D">
      <w:pPr>
        <w:pStyle w:val="Prrafodelista"/>
        <w:tabs>
          <w:tab w:val="left" w:pos="567"/>
        </w:tabs>
        <w:ind w:left="0" w:right="-2"/>
        <w:rPr>
          <w:rFonts w:ascii="Georgia" w:hAnsi="Georgia"/>
          <w:color w:val="FBCAA2" w:themeColor="accent6" w:themeTint="80"/>
          <w:sz w:val="20"/>
          <w:u w:val="single"/>
        </w:rPr>
      </w:pPr>
      <w:r w:rsidRPr="004B78BA">
        <w:rPr>
          <w:rFonts w:ascii="Georgia" w:hAnsi="Georgia"/>
          <w:sz w:val="20"/>
          <w:u w:val="single"/>
        </w:rPr>
        <w:t>Diferencia entre el marco de información contable del B.C.R.A. y las N.I.I.F.</w:t>
      </w:r>
      <w:r w:rsidRPr="004B78BA">
        <w:rPr>
          <w:rFonts w:ascii="Georgia" w:hAnsi="Georgia"/>
          <w:color w:val="FBCAA2" w:themeColor="accent6" w:themeTint="80"/>
          <w:sz w:val="20"/>
          <w:u w:val="single"/>
        </w:rPr>
        <w:t xml:space="preserve"> </w:t>
      </w:r>
    </w:p>
    <w:p w14:paraId="0BEB8C81" w14:textId="77777777" w:rsidR="0073058D" w:rsidRPr="00914DCD" w:rsidRDefault="0073058D" w:rsidP="0073058D">
      <w:pPr>
        <w:pStyle w:val="Prrafodelista"/>
        <w:tabs>
          <w:tab w:val="left" w:pos="567"/>
        </w:tabs>
        <w:ind w:left="0" w:right="-2"/>
        <w:rPr>
          <w:rFonts w:ascii="Georgia" w:hAnsi="Georgia"/>
          <w:b/>
          <w:color w:val="FBCAA2" w:themeColor="accent6" w:themeTint="80"/>
          <w:sz w:val="20"/>
        </w:rPr>
      </w:pPr>
    </w:p>
    <w:p w14:paraId="6679E802" w14:textId="77777777" w:rsidR="0073058D" w:rsidRDefault="0073058D" w:rsidP="0073058D">
      <w:pPr>
        <w:pStyle w:val="Prrafodelista"/>
        <w:tabs>
          <w:tab w:val="left" w:pos="567"/>
        </w:tabs>
        <w:ind w:left="0" w:right="-2"/>
        <w:rPr>
          <w:rFonts w:ascii="Georgia" w:hAnsi="Georgia"/>
          <w:sz w:val="20"/>
        </w:rPr>
      </w:pPr>
      <w:r w:rsidRPr="00914DCD">
        <w:rPr>
          <w:rFonts w:ascii="Georgia" w:hAnsi="Georgia"/>
          <w:sz w:val="20"/>
        </w:rPr>
        <w:t xml:space="preserve">Sin modificar nuestra conclusión, llamamos la atención sobre la nota </w:t>
      </w:r>
      <w:r>
        <w:rPr>
          <w:rFonts w:ascii="Georgia" w:hAnsi="Georgia"/>
          <w:sz w:val="20"/>
        </w:rPr>
        <w:t>1.1</w:t>
      </w:r>
      <w:r w:rsidRPr="00914DCD">
        <w:rPr>
          <w:rFonts w:ascii="Georgia" w:hAnsi="Georgia"/>
          <w:sz w:val="20"/>
        </w:rPr>
        <w:t xml:space="preserve"> a los estados financieros condensados</w:t>
      </w:r>
      <w:r>
        <w:rPr>
          <w:rFonts w:ascii="Georgia" w:hAnsi="Georgia"/>
          <w:sz w:val="20"/>
        </w:rPr>
        <w:t xml:space="preserve"> consolidados</w:t>
      </w:r>
      <w:r w:rsidRPr="00914DCD">
        <w:rPr>
          <w:rFonts w:ascii="Georgia" w:hAnsi="Georgia"/>
          <w:sz w:val="20"/>
        </w:rPr>
        <w:t xml:space="preserve"> intermedios adjuntos, </w:t>
      </w:r>
      <w:r w:rsidRPr="008B677E">
        <w:rPr>
          <w:rFonts w:ascii="Georgia" w:hAnsi="Georgia"/>
          <w:sz w:val="20"/>
        </w:rPr>
        <w:t xml:space="preserve">en la que se </w:t>
      </w:r>
      <w:r>
        <w:rPr>
          <w:rFonts w:ascii="Georgia" w:hAnsi="Georgia"/>
          <w:sz w:val="20"/>
        </w:rPr>
        <w:t>describen</w:t>
      </w:r>
      <w:r w:rsidRPr="008B677E">
        <w:rPr>
          <w:rFonts w:ascii="Georgia" w:hAnsi="Georgia"/>
          <w:sz w:val="20"/>
        </w:rPr>
        <w:t xml:space="preserve"> </w:t>
      </w:r>
      <w:r>
        <w:rPr>
          <w:rFonts w:ascii="Georgia" w:hAnsi="Georgia"/>
          <w:sz w:val="20"/>
        </w:rPr>
        <w:t>las diferencias entre el marco de información contable del B.C.R.A. y las N.I.I.F.</w:t>
      </w:r>
      <w:r w:rsidRPr="008B677E">
        <w:rPr>
          <w:rFonts w:ascii="Georgia" w:hAnsi="Georgia"/>
          <w:sz w:val="20"/>
        </w:rPr>
        <w:t>,</w:t>
      </w:r>
      <w:r>
        <w:rPr>
          <w:rFonts w:ascii="Georgia" w:hAnsi="Georgia"/>
          <w:sz w:val="20"/>
        </w:rPr>
        <w:t xml:space="preserve"> considerando que </w:t>
      </w:r>
      <w:r w:rsidRPr="008B677E">
        <w:rPr>
          <w:rFonts w:ascii="Georgia" w:hAnsi="Georgia"/>
          <w:sz w:val="20"/>
        </w:rPr>
        <w:t>la aplicación de la sección 5.5 “Deterioro de valor” de la N</w:t>
      </w:r>
      <w:r>
        <w:rPr>
          <w:rFonts w:ascii="Georgia" w:hAnsi="Georgia"/>
          <w:sz w:val="20"/>
        </w:rPr>
        <w:t>.</w:t>
      </w:r>
      <w:r w:rsidRPr="008B677E">
        <w:rPr>
          <w:rFonts w:ascii="Georgia" w:hAnsi="Georgia"/>
          <w:sz w:val="20"/>
        </w:rPr>
        <w:t>I</w:t>
      </w:r>
      <w:r>
        <w:rPr>
          <w:rFonts w:ascii="Georgia" w:hAnsi="Georgia"/>
          <w:sz w:val="20"/>
        </w:rPr>
        <w:t>.</w:t>
      </w:r>
      <w:r w:rsidRPr="008B677E">
        <w:rPr>
          <w:rFonts w:ascii="Georgia" w:hAnsi="Georgia"/>
          <w:sz w:val="20"/>
        </w:rPr>
        <w:t>I</w:t>
      </w:r>
      <w:r>
        <w:rPr>
          <w:rFonts w:ascii="Georgia" w:hAnsi="Georgia"/>
          <w:sz w:val="20"/>
        </w:rPr>
        <w:t>.</w:t>
      </w:r>
      <w:r w:rsidRPr="008B677E">
        <w:rPr>
          <w:rFonts w:ascii="Georgia" w:hAnsi="Georgia"/>
          <w:sz w:val="20"/>
        </w:rPr>
        <w:t>F</w:t>
      </w:r>
      <w:r>
        <w:rPr>
          <w:rFonts w:ascii="Georgia" w:hAnsi="Georgia"/>
          <w:sz w:val="20"/>
        </w:rPr>
        <w:t>.</w:t>
      </w:r>
      <w:r w:rsidRPr="008B677E">
        <w:rPr>
          <w:rFonts w:ascii="Georgia" w:hAnsi="Georgia"/>
          <w:sz w:val="20"/>
        </w:rPr>
        <w:t xml:space="preserve"> 9 “Instrumentos Financieros”</w:t>
      </w:r>
      <w:r>
        <w:rPr>
          <w:rFonts w:ascii="Georgia" w:hAnsi="Georgia"/>
          <w:sz w:val="20"/>
        </w:rPr>
        <w:t xml:space="preserve"> y la N.I.C. 29, fueron excluidas</w:t>
      </w:r>
      <w:r w:rsidRPr="008B677E">
        <w:rPr>
          <w:rFonts w:ascii="Georgia" w:hAnsi="Georgia"/>
          <w:sz w:val="20"/>
        </w:rPr>
        <w:t xml:space="preserve"> por el B</w:t>
      </w:r>
      <w:r>
        <w:rPr>
          <w:rFonts w:ascii="Georgia" w:hAnsi="Georgia"/>
          <w:sz w:val="20"/>
        </w:rPr>
        <w:t>.</w:t>
      </w:r>
      <w:r w:rsidRPr="008B677E">
        <w:rPr>
          <w:rFonts w:ascii="Georgia" w:hAnsi="Georgia"/>
          <w:sz w:val="20"/>
        </w:rPr>
        <w:t>C</w:t>
      </w:r>
      <w:r>
        <w:rPr>
          <w:rFonts w:ascii="Georgia" w:hAnsi="Georgia"/>
          <w:sz w:val="20"/>
        </w:rPr>
        <w:t>.</w:t>
      </w:r>
      <w:r w:rsidRPr="008B677E">
        <w:rPr>
          <w:rFonts w:ascii="Georgia" w:hAnsi="Georgia"/>
          <w:sz w:val="20"/>
        </w:rPr>
        <w:t>R</w:t>
      </w:r>
      <w:r>
        <w:rPr>
          <w:rFonts w:ascii="Georgia" w:hAnsi="Georgia"/>
          <w:sz w:val="20"/>
        </w:rPr>
        <w:t>.</w:t>
      </w:r>
      <w:r w:rsidRPr="008B677E">
        <w:rPr>
          <w:rFonts w:ascii="Georgia" w:hAnsi="Georgia"/>
          <w:sz w:val="20"/>
        </w:rPr>
        <w:t>A</w:t>
      </w:r>
      <w:r>
        <w:rPr>
          <w:rFonts w:ascii="Georgia" w:hAnsi="Georgia"/>
          <w:sz w:val="20"/>
        </w:rPr>
        <w:t xml:space="preserve">. </w:t>
      </w:r>
      <w:r w:rsidRPr="008B677E">
        <w:rPr>
          <w:rFonts w:ascii="Georgia" w:hAnsi="Georgia"/>
          <w:sz w:val="20"/>
        </w:rPr>
        <w:t>del marco contable aplicable a las entidades financieras</w:t>
      </w:r>
      <w:r w:rsidRPr="00914DCD">
        <w:rPr>
          <w:rFonts w:ascii="Georgia" w:hAnsi="Georgia"/>
          <w:sz w:val="20"/>
        </w:rPr>
        <w:t>.</w:t>
      </w:r>
    </w:p>
    <w:p w14:paraId="6DC688F0" w14:textId="77777777" w:rsidR="0073058D" w:rsidRPr="00914DCD" w:rsidRDefault="0073058D" w:rsidP="0073058D">
      <w:pPr>
        <w:pStyle w:val="Prrafodelista"/>
        <w:tabs>
          <w:tab w:val="left" w:pos="567"/>
        </w:tabs>
        <w:ind w:left="0" w:right="-2"/>
        <w:rPr>
          <w:rFonts w:ascii="Georgia" w:hAnsi="Georgia"/>
          <w:b/>
          <w:color w:val="FBCAA2" w:themeColor="accent6" w:themeTint="80"/>
          <w:sz w:val="20"/>
        </w:rPr>
      </w:pPr>
    </w:p>
    <w:p w14:paraId="748054D2" w14:textId="77777777" w:rsidR="0073058D" w:rsidRPr="004B78BA" w:rsidRDefault="0073058D" w:rsidP="0073058D">
      <w:pPr>
        <w:tabs>
          <w:tab w:val="left" w:pos="851"/>
        </w:tabs>
        <w:ind w:right="-2"/>
        <w:rPr>
          <w:rFonts w:ascii="Georgia" w:hAnsi="Georgia"/>
          <w:sz w:val="20"/>
          <w:u w:val="single"/>
        </w:rPr>
      </w:pPr>
      <w:r w:rsidRPr="004B78BA">
        <w:rPr>
          <w:rFonts w:ascii="Georgia" w:hAnsi="Georgia"/>
          <w:sz w:val="20"/>
          <w:u w:val="single"/>
        </w:rPr>
        <w:t>Primer ejercicio de aplicación de la N.I.C. 34</w:t>
      </w:r>
    </w:p>
    <w:p w14:paraId="7A43033B" w14:textId="77777777" w:rsidR="0073058D" w:rsidRPr="00914DCD" w:rsidRDefault="0073058D" w:rsidP="0073058D">
      <w:pPr>
        <w:tabs>
          <w:tab w:val="left" w:pos="851"/>
        </w:tabs>
        <w:ind w:right="-2"/>
        <w:rPr>
          <w:rFonts w:ascii="Georgia" w:hAnsi="Georgia"/>
          <w:b/>
          <w:sz w:val="20"/>
          <w:u w:val="single"/>
        </w:rPr>
      </w:pPr>
    </w:p>
    <w:p w14:paraId="77DFF3E1"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 xml:space="preserve">Sin modificar nuestra conclusión, llamamos la atención sobre la </w:t>
      </w:r>
      <w:r>
        <w:rPr>
          <w:rFonts w:ascii="Georgia" w:hAnsi="Georgia"/>
          <w:sz w:val="20"/>
        </w:rPr>
        <w:t>nota 1.1</w:t>
      </w:r>
      <w:r w:rsidRPr="00914DCD">
        <w:rPr>
          <w:rFonts w:ascii="Georgia" w:hAnsi="Georgia"/>
          <w:sz w:val="20"/>
        </w:rPr>
        <w:t xml:space="preserve">, en la que se indica que los estados financieros condensados </w:t>
      </w:r>
      <w:r>
        <w:rPr>
          <w:rFonts w:ascii="Georgia" w:hAnsi="Georgia"/>
          <w:sz w:val="20"/>
        </w:rPr>
        <w:t xml:space="preserve">consolidados </w:t>
      </w:r>
      <w:r w:rsidRPr="00914DCD">
        <w:rPr>
          <w:rFonts w:ascii="Georgia" w:hAnsi="Georgia"/>
          <w:sz w:val="20"/>
        </w:rPr>
        <w:t>intermedios, mencionados en el primer párrafo, han sido preparados en el marco contable establecido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w:t>
      </w:r>
      <w:r>
        <w:rPr>
          <w:rFonts w:ascii="Georgia" w:hAnsi="Georgia"/>
          <w:sz w:val="20"/>
        </w:rPr>
        <w:t xml:space="preserve"> </w:t>
      </w:r>
      <w:r w:rsidRPr="00914DCD">
        <w:rPr>
          <w:rFonts w:ascii="Georgia" w:hAnsi="Georgia"/>
          <w:sz w:val="20"/>
        </w:rPr>
        <w:t>conforme 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 xml:space="preserve"> 34 (con </w:t>
      </w:r>
      <w:r>
        <w:rPr>
          <w:rFonts w:ascii="Georgia" w:hAnsi="Georgia"/>
          <w:sz w:val="20"/>
        </w:rPr>
        <w:t xml:space="preserve">la </w:t>
      </w:r>
      <w:r w:rsidRPr="00914DCD">
        <w:rPr>
          <w:rFonts w:ascii="Georgia" w:hAnsi="Georgia"/>
          <w:sz w:val="20"/>
        </w:rPr>
        <w:t>excepción descripta en la mencionada nota</w:t>
      </w:r>
      <w:r>
        <w:rPr>
          <w:rFonts w:ascii="Georgia" w:hAnsi="Georgia"/>
          <w:sz w:val="20"/>
        </w:rPr>
        <w:t>)</w:t>
      </w:r>
      <w:r w:rsidRPr="00914DCD">
        <w:rPr>
          <w:rFonts w:ascii="Georgia" w:hAnsi="Georgia"/>
          <w:sz w:val="20"/>
        </w:rPr>
        <w:t xml:space="preserve">, siendo éste el primer ejercicio económico en que la Entidad aplica dichas normas. Los efectos de los cambios originados por la aplicación de esta nueva base contable se presentan en nota </w:t>
      </w:r>
      <w:r>
        <w:rPr>
          <w:rFonts w:ascii="Georgia" w:hAnsi="Georgia"/>
          <w:sz w:val="20"/>
        </w:rPr>
        <w:t>2</w:t>
      </w:r>
      <w:r w:rsidRPr="00914DCD">
        <w:rPr>
          <w:rFonts w:ascii="Georgia" w:hAnsi="Georgia"/>
          <w:sz w:val="20"/>
        </w:rPr>
        <w:t>.  Las partidas y cifras, contenidas en las conciliaciones incluidas en dicha nota, están sujetas a los cambios que pudieran producirse como consecuencia de variaciones en las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F</w:t>
      </w:r>
      <w:r>
        <w:rPr>
          <w:rFonts w:ascii="Georgia" w:hAnsi="Georgia"/>
          <w:sz w:val="20"/>
        </w:rPr>
        <w:t>.</w:t>
      </w:r>
      <w:r w:rsidRPr="00914DCD">
        <w:rPr>
          <w:rFonts w:ascii="Georgia" w:hAnsi="Georgia"/>
          <w:sz w:val="20"/>
        </w:rPr>
        <w:t xml:space="preserve"> que finalmente se apliquen y sólo podrán considerarse definitivas cuando se preparen los estados financieros anuales correspondientes al presente ejercicio.</w:t>
      </w:r>
    </w:p>
    <w:p w14:paraId="659BEBE8" w14:textId="77777777" w:rsidR="0073058D" w:rsidRPr="00914DCD" w:rsidRDefault="0073058D" w:rsidP="0073058D">
      <w:pPr>
        <w:tabs>
          <w:tab w:val="left" w:pos="851"/>
        </w:tabs>
        <w:ind w:right="-2"/>
        <w:rPr>
          <w:rFonts w:ascii="Georgia" w:hAnsi="Georgia"/>
          <w:b/>
          <w:color w:val="FBCAA2" w:themeColor="accent6" w:themeTint="80"/>
          <w:sz w:val="20"/>
        </w:rPr>
      </w:pPr>
    </w:p>
    <w:p w14:paraId="29B61626" w14:textId="77777777" w:rsidR="0073058D" w:rsidRPr="002630F0" w:rsidRDefault="0073058D" w:rsidP="0073058D">
      <w:pPr>
        <w:pStyle w:val="Prrafodelista"/>
        <w:tabs>
          <w:tab w:val="left" w:pos="567"/>
        </w:tabs>
        <w:ind w:left="0" w:right="-2"/>
        <w:rPr>
          <w:rFonts w:ascii="Georgia" w:hAnsi="Georgia"/>
          <w:b/>
          <w:sz w:val="20"/>
        </w:rPr>
      </w:pPr>
      <w:r>
        <w:rPr>
          <w:rFonts w:ascii="Georgia" w:hAnsi="Georgia"/>
          <w:b/>
          <w:sz w:val="20"/>
        </w:rPr>
        <w:t xml:space="preserve">Informe sobre </w:t>
      </w:r>
      <w:r w:rsidRPr="002630F0">
        <w:rPr>
          <w:rFonts w:ascii="Georgia" w:hAnsi="Georgia"/>
          <w:b/>
          <w:sz w:val="20"/>
        </w:rPr>
        <w:t>cumplimiento de disposiciones vigentes</w:t>
      </w:r>
    </w:p>
    <w:p w14:paraId="497C74BD" w14:textId="77777777" w:rsidR="0073058D" w:rsidRPr="00216DB3" w:rsidRDefault="0073058D" w:rsidP="0073058D">
      <w:pPr>
        <w:pStyle w:val="Prrafodelista"/>
        <w:ind w:left="0" w:right="-2"/>
        <w:rPr>
          <w:rFonts w:ascii="Georgia" w:hAnsi="Georgia"/>
          <w:i/>
          <w:sz w:val="20"/>
        </w:rPr>
      </w:pPr>
    </w:p>
    <w:p w14:paraId="469754B2" w14:textId="77777777" w:rsidR="0073058D" w:rsidRPr="004565CA" w:rsidRDefault="0073058D" w:rsidP="0073058D">
      <w:pPr>
        <w:tabs>
          <w:tab w:val="left" w:pos="851"/>
        </w:tabs>
        <w:ind w:right="-2"/>
        <w:rPr>
          <w:rFonts w:ascii="Georgia" w:hAnsi="Georgia"/>
          <w:b/>
          <w:sz w:val="20"/>
        </w:rPr>
      </w:pPr>
      <w:r w:rsidRPr="004565CA">
        <w:rPr>
          <w:rFonts w:ascii="Georgia" w:hAnsi="Georgia"/>
          <w:sz w:val="20"/>
        </w:rPr>
        <w:t>En cumplimiento de disposiciones vigentes informamos que:</w:t>
      </w:r>
    </w:p>
    <w:p w14:paraId="369908EE" w14:textId="77777777" w:rsidR="0073058D" w:rsidRDefault="0073058D" w:rsidP="0073058D">
      <w:pPr>
        <w:ind w:right="-2"/>
        <w:rPr>
          <w:rFonts w:ascii="Georgia" w:hAnsi="Georgia"/>
          <w:sz w:val="20"/>
        </w:rPr>
      </w:pPr>
    </w:p>
    <w:p w14:paraId="27F86B41" w14:textId="77777777" w:rsidR="0073058D" w:rsidRDefault="0073058D" w:rsidP="0073058D">
      <w:pPr>
        <w:numPr>
          <w:ilvl w:val="0"/>
          <w:numId w:val="111"/>
        </w:numPr>
        <w:ind w:left="0" w:right="-2" w:hanging="284"/>
        <w:rPr>
          <w:rFonts w:ascii="Georgia" w:hAnsi="Georgia"/>
          <w:sz w:val="20"/>
        </w:rPr>
      </w:pPr>
      <w:r>
        <w:rPr>
          <w:rFonts w:ascii="Georgia" w:hAnsi="Georgia"/>
          <w:sz w:val="20"/>
        </w:rPr>
        <w:t xml:space="preserve">los </w:t>
      </w:r>
      <w:r w:rsidRPr="00BF47C0">
        <w:rPr>
          <w:rFonts w:ascii="Georgia" w:hAnsi="Georgia"/>
          <w:sz w:val="20"/>
        </w:rPr>
        <w:t xml:space="preserve">estados </w:t>
      </w:r>
      <w:r>
        <w:rPr>
          <w:rFonts w:ascii="Georgia" w:hAnsi="Georgia"/>
          <w:sz w:val="20"/>
        </w:rPr>
        <w:t xml:space="preserve">financieros </w:t>
      </w:r>
      <w:r w:rsidRPr="00A0176A">
        <w:rPr>
          <w:rFonts w:ascii="Georgia" w:hAnsi="Georgia"/>
          <w:sz w:val="20"/>
        </w:rPr>
        <w:t>condensados</w:t>
      </w:r>
      <w:r>
        <w:rPr>
          <w:rFonts w:ascii="Georgia" w:hAnsi="Georgia"/>
          <w:sz w:val="20"/>
        </w:rPr>
        <w:t xml:space="preserve"> consolidados</w:t>
      </w:r>
      <w:r w:rsidRPr="00A0176A">
        <w:rPr>
          <w:rFonts w:ascii="Georgia" w:hAnsi="Georgia"/>
          <w:sz w:val="20"/>
        </w:rPr>
        <w:t xml:space="preserve"> intermedios</w:t>
      </w:r>
      <w:r>
        <w:rPr>
          <w:rFonts w:ascii="Georgia" w:hAnsi="Georgia"/>
          <w:sz w:val="20"/>
        </w:rPr>
        <w:t xml:space="preserve"> de Banco Supervielle S.A. </w:t>
      </w:r>
      <w:r w:rsidRPr="009812EE">
        <w:rPr>
          <w:rFonts w:ascii="Georgia" w:hAnsi="Georgia"/>
          <w:sz w:val="20"/>
        </w:rPr>
        <w:t>al</w:t>
      </w:r>
      <w:r>
        <w:rPr>
          <w:rFonts w:ascii="Georgia" w:hAnsi="Georgia"/>
          <w:sz w:val="20"/>
        </w:rPr>
        <w:t xml:space="preserve"> 30 </w:t>
      </w:r>
      <w:r w:rsidRPr="009812EE">
        <w:rPr>
          <w:rFonts w:ascii="Georgia" w:hAnsi="Georgia"/>
          <w:sz w:val="20"/>
        </w:rPr>
        <w:t xml:space="preserve">de </w:t>
      </w:r>
      <w:r>
        <w:rPr>
          <w:rFonts w:ascii="Georgia" w:hAnsi="Georgia"/>
          <w:sz w:val="20"/>
        </w:rPr>
        <w:t>septiembre de 2018</w:t>
      </w:r>
      <w:r w:rsidRPr="009812EE">
        <w:rPr>
          <w:rFonts w:ascii="Georgia" w:hAnsi="Georgia"/>
          <w:sz w:val="20"/>
        </w:rPr>
        <w:t xml:space="preserve"> se encuentran asent</w:t>
      </w:r>
      <w:r>
        <w:rPr>
          <w:rFonts w:ascii="Georgia" w:hAnsi="Georgia"/>
          <w:sz w:val="20"/>
        </w:rPr>
        <w:t>ados en el libro "</w:t>
      </w:r>
      <w:r w:rsidRPr="009812EE">
        <w:rPr>
          <w:rFonts w:ascii="Georgia" w:hAnsi="Georgia"/>
          <w:sz w:val="20"/>
        </w:rPr>
        <w:t xml:space="preserve">Balances" y cumplen, en lo que es materia de nuestra competencia, con lo dispuesto en la Ley </w:t>
      </w:r>
      <w:r>
        <w:rPr>
          <w:rFonts w:ascii="Georgia" w:hAnsi="Georgia"/>
          <w:sz w:val="20"/>
        </w:rPr>
        <w:t xml:space="preserve">General </w:t>
      </w:r>
      <w:r w:rsidRPr="009812EE">
        <w:rPr>
          <w:rFonts w:ascii="Georgia" w:hAnsi="Georgia"/>
          <w:sz w:val="20"/>
        </w:rPr>
        <w:t>de Sociedades y en las resoluciones pertinentes del BCRA y la Comisión Nacional de Valores;</w:t>
      </w:r>
    </w:p>
    <w:p w14:paraId="00375976" w14:textId="77777777" w:rsidR="0073058D" w:rsidRDefault="0073058D" w:rsidP="0073058D">
      <w:pPr>
        <w:pStyle w:val="Prrafodelista"/>
        <w:ind w:left="0" w:right="-2"/>
        <w:rPr>
          <w:rFonts w:ascii="Georgia" w:hAnsi="Georgia"/>
          <w:color w:val="FBCAA2" w:themeColor="accent6" w:themeTint="80"/>
          <w:sz w:val="20"/>
        </w:rPr>
      </w:pPr>
    </w:p>
    <w:p w14:paraId="666FA3DC" w14:textId="77777777" w:rsidR="0073058D" w:rsidRPr="009812EE" w:rsidRDefault="0073058D" w:rsidP="0073058D">
      <w:pPr>
        <w:numPr>
          <w:ilvl w:val="0"/>
          <w:numId w:val="111"/>
        </w:numPr>
        <w:ind w:left="0" w:right="-2" w:hanging="284"/>
        <w:rPr>
          <w:rFonts w:ascii="Georgia" w:hAnsi="Georgia"/>
          <w:sz w:val="20"/>
        </w:rPr>
      </w:pPr>
      <w:r>
        <w:rPr>
          <w:rFonts w:ascii="Georgia" w:hAnsi="Georgia"/>
          <w:sz w:val="20"/>
        </w:rPr>
        <w:t>los estados financieros</w:t>
      </w:r>
      <w:r w:rsidRPr="000D7F3F">
        <w:rPr>
          <w:rFonts w:ascii="Georgia" w:hAnsi="Georgia"/>
          <w:sz w:val="20"/>
        </w:rPr>
        <w:t xml:space="preserve"> </w:t>
      </w:r>
      <w:r>
        <w:rPr>
          <w:rFonts w:ascii="Georgia" w:hAnsi="Georgia"/>
          <w:sz w:val="20"/>
        </w:rPr>
        <w:t>condensados separados intermedios de Banco Supervielle S.A.</w:t>
      </w:r>
      <w:r w:rsidRPr="009812EE">
        <w:rPr>
          <w:rFonts w:ascii="Georgia" w:hAnsi="Georgia"/>
          <w:color w:val="FBCAA2" w:themeColor="accent6" w:themeTint="80"/>
          <w:sz w:val="20"/>
        </w:rPr>
        <w:t xml:space="preserve"> </w:t>
      </w:r>
      <w:r w:rsidRPr="009812EE">
        <w:rPr>
          <w:rFonts w:ascii="Georgia" w:hAnsi="Georgia"/>
          <w:sz w:val="20"/>
        </w:rPr>
        <w:t>surgen de registros contables llevados en sus aspectos formales de conformidad con normas legales;</w:t>
      </w:r>
    </w:p>
    <w:p w14:paraId="63EE1E44" w14:textId="77777777" w:rsidR="0073058D" w:rsidRPr="005B3567" w:rsidRDefault="0073058D" w:rsidP="0073058D">
      <w:pPr>
        <w:ind w:right="-2"/>
        <w:outlineLvl w:val="0"/>
        <w:rPr>
          <w:rFonts w:ascii="Georgia" w:hAnsi="Georgia"/>
          <w:sz w:val="20"/>
        </w:rPr>
      </w:pPr>
    </w:p>
    <w:p w14:paraId="410BFBC8" w14:textId="77777777" w:rsidR="0073058D" w:rsidRDefault="0073058D" w:rsidP="0073058D">
      <w:pPr>
        <w:pStyle w:val="Prrafodelista"/>
        <w:numPr>
          <w:ilvl w:val="0"/>
          <w:numId w:val="111"/>
        </w:numPr>
        <w:ind w:left="0" w:right="-2"/>
        <w:contextualSpacing/>
        <w:rPr>
          <w:rFonts w:ascii="Georgia" w:hAnsi="Georgia"/>
          <w:sz w:val="20"/>
        </w:rPr>
      </w:pPr>
      <w:r w:rsidRPr="00BF69C8">
        <w:rPr>
          <w:rFonts w:ascii="Georgia" w:hAnsi="Georgia"/>
          <w:sz w:val="20"/>
        </w:rPr>
        <w:t>hemos leído la reseña informativa y la información adicional a las notas a los estados contables requerida por el artículo 12°, Capítulo III, Título IV de la normativa de la Comisión Nacional de Valores, sobre la cual, en lo que es materia de nuestra competencia, no tenemos observaciones que formular</w:t>
      </w:r>
      <w:r>
        <w:rPr>
          <w:rFonts w:ascii="Georgia" w:hAnsi="Georgia"/>
          <w:sz w:val="20"/>
        </w:rPr>
        <w:t>;</w:t>
      </w:r>
    </w:p>
    <w:p w14:paraId="03C702C6" w14:textId="77777777" w:rsidR="0073058D" w:rsidRPr="00BF69C8" w:rsidRDefault="0073058D" w:rsidP="0073058D">
      <w:pPr>
        <w:ind w:right="-2"/>
        <w:rPr>
          <w:rFonts w:ascii="Georgia" w:hAnsi="Georgia"/>
          <w:sz w:val="20"/>
        </w:rPr>
      </w:pPr>
    </w:p>
    <w:p w14:paraId="04C2149D" w14:textId="77777777" w:rsidR="0073058D" w:rsidRDefault="0073058D" w:rsidP="0073058D">
      <w:pPr>
        <w:numPr>
          <w:ilvl w:val="0"/>
          <w:numId w:val="111"/>
        </w:numPr>
        <w:ind w:left="0" w:right="-2" w:hanging="284"/>
        <w:rPr>
          <w:rFonts w:ascii="Georgia" w:hAnsi="Georgia"/>
          <w:sz w:val="20"/>
        </w:rPr>
      </w:pPr>
      <w:r>
        <w:rPr>
          <w:rFonts w:ascii="Georgia" w:hAnsi="Georgia"/>
          <w:sz w:val="20"/>
        </w:rPr>
        <w:t xml:space="preserve">al 30 de septiembre de 2018 </w:t>
      </w:r>
      <w:r w:rsidRPr="00BF47C0">
        <w:rPr>
          <w:rFonts w:ascii="Georgia" w:hAnsi="Georgia"/>
          <w:sz w:val="20"/>
        </w:rPr>
        <w:t xml:space="preserve">la deuda devengada a favor del Sistema Integrado Previsional Argentino </w:t>
      </w:r>
      <w:r>
        <w:rPr>
          <w:rFonts w:ascii="Georgia" w:hAnsi="Georgia"/>
          <w:sz w:val="20"/>
        </w:rPr>
        <w:t xml:space="preserve">de Banco Supervielle S.A. </w:t>
      </w:r>
      <w:r w:rsidRPr="00BF47C0">
        <w:rPr>
          <w:rFonts w:ascii="Georgia" w:hAnsi="Georgia"/>
          <w:sz w:val="20"/>
        </w:rPr>
        <w:t>que surge de los regist</w:t>
      </w:r>
      <w:r>
        <w:rPr>
          <w:rFonts w:ascii="Georgia" w:hAnsi="Georgia"/>
          <w:sz w:val="20"/>
        </w:rPr>
        <w:t>ros contables de la Entidad ascendía a $ 90.616.336,56</w:t>
      </w:r>
      <w:r w:rsidRPr="00BF47C0">
        <w:rPr>
          <w:rFonts w:ascii="Georgia" w:hAnsi="Georgia"/>
          <w:sz w:val="20"/>
        </w:rPr>
        <w:t xml:space="preserve">, </w:t>
      </w:r>
      <w:r w:rsidRPr="00BF69C8">
        <w:rPr>
          <w:rFonts w:ascii="Georgia" w:hAnsi="Georgia"/>
          <w:sz w:val="20"/>
        </w:rPr>
        <w:t>no siendo exigible a dicha fecha</w:t>
      </w:r>
      <w:r>
        <w:rPr>
          <w:rFonts w:ascii="Georgia" w:hAnsi="Georgia"/>
          <w:sz w:val="20"/>
        </w:rPr>
        <w:t>;</w:t>
      </w:r>
    </w:p>
    <w:p w14:paraId="249D84BB" w14:textId="77777777" w:rsidR="0073058D" w:rsidRDefault="0073058D" w:rsidP="0073058D">
      <w:pPr>
        <w:pStyle w:val="Prrafodelista"/>
        <w:ind w:left="0" w:right="-2"/>
        <w:rPr>
          <w:rFonts w:ascii="Georgia" w:hAnsi="Georgia"/>
          <w:sz w:val="20"/>
        </w:rPr>
      </w:pPr>
    </w:p>
    <w:p w14:paraId="49F9CE87" w14:textId="77777777" w:rsidR="0073058D" w:rsidRPr="00C066D5" w:rsidRDefault="0073058D" w:rsidP="0073058D">
      <w:pPr>
        <w:numPr>
          <w:ilvl w:val="0"/>
          <w:numId w:val="111"/>
        </w:numPr>
        <w:ind w:left="0" w:right="-2" w:hanging="284"/>
        <w:rPr>
          <w:rFonts w:ascii="Georgia" w:hAnsi="Georgia"/>
          <w:sz w:val="20"/>
        </w:rPr>
      </w:pPr>
      <w:r>
        <w:rPr>
          <w:rFonts w:ascii="Georgia" w:hAnsi="Georgia"/>
          <w:sz w:val="20"/>
        </w:rPr>
        <w:t xml:space="preserve"> </w:t>
      </w:r>
      <w:r w:rsidRPr="00C066D5">
        <w:rPr>
          <w:rFonts w:ascii="Georgia" w:hAnsi="Georgia"/>
          <w:sz w:val="20"/>
        </w:rPr>
        <w:t xml:space="preserve">hemos leído la </w:t>
      </w:r>
      <w:r>
        <w:rPr>
          <w:rFonts w:ascii="Georgia" w:hAnsi="Georgia"/>
          <w:sz w:val="20"/>
        </w:rPr>
        <w:t xml:space="preserve">información incluida en la nota 15.5.1. a los estados financieros condensados consolidados intermedios </w:t>
      </w:r>
      <w:r w:rsidRPr="00C066D5">
        <w:rPr>
          <w:rFonts w:ascii="Georgia" w:hAnsi="Georgia"/>
          <w:sz w:val="20"/>
        </w:rPr>
        <w:t xml:space="preserve">al </w:t>
      </w:r>
      <w:r>
        <w:rPr>
          <w:rFonts w:ascii="Georgia" w:hAnsi="Georgia"/>
          <w:sz w:val="20"/>
        </w:rPr>
        <w:t xml:space="preserve">30 </w:t>
      </w:r>
      <w:r w:rsidRPr="00C066D5">
        <w:rPr>
          <w:rFonts w:ascii="Georgia" w:hAnsi="Georgia"/>
          <w:sz w:val="20"/>
        </w:rPr>
        <w:t xml:space="preserve">de </w:t>
      </w:r>
      <w:r>
        <w:rPr>
          <w:rFonts w:ascii="Georgia" w:hAnsi="Georgia"/>
          <w:sz w:val="20"/>
        </w:rPr>
        <w:t>septiembre</w:t>
      </w:r>
      <w:r w:rsidRPr="00C066D5">
        <w:rPr>
          <w:rFonts w:ascii="Georgia" w:hAnsi="Georgia"/>
          <w:sz w:val="20"/>
        </w:rPr>
        <w:t xml:space="preserve"> de 20</w:t>
      </w:r>
      <w:r>
        <w:rPr>
          <w:rFonts w:ascii="Georgia" w:hAnsi="Georgia"/>
          <w:sz w:val="20"/>
        </w:rPr>
        <w:t>18</w:t>
      </w:r>
      <w:r w:rsidRPr="00C066D5">
        <w:rPr>
          <w:rFonts w:ascii="Georgia" w:hAnsi="Georgia"/>
          <w:sz w:val="20"/>
        </w:rPr>
        <w:t xml:space="preserve"> en relación con las exigencias establecidas por la Comisión Nacionales de Valores respecto a Patrimonio Neto Mínimo y Contrapartida, sobre la cual, en lo que es materia de </w:t>
      </w:r>
      <w:r>
        <w:rPr>
          <w:rFonts w:ascii="Georgia" w:hAnsi="Georgia"/>
          <w:sz w:val="20"/>
        </w:rPr>
        <w:t xml:space="preserve">nuestra </w:t>
      </w:r>
      <w:r w:rsidRPr="00C066D5">
        <w:rPr>
          <w:rFonts w:ascii="Georgia" w:hAnsi="Georgia"/>
          <w:sz w:val="20"/>
        </w:rPr>
        <w:t xml:space="preserve">competencia, no tenemos </w:t>
      </w:r>
      <w:r>
        <w:rPr>
          <w:rFonts w:ascii="Georgia" w:hAnsi="Georgia"/>
          <w:sz w:val="20"/>
        </w:rPr>
        <w:t>observacio</w:t>
      </w:r>
      <w:r w:rsidRPr="00C066D5">
        <w:rPr>
          <w:rFonts w:ascii="Georgia" w:hAnsi="Georgia"/>
          <w:sz w:val="20"/>
        </w:rPr>
        <w:t>n</w:t>
      </w:r>
      <w:r>
        <w:rPr>
          <w:rFonts w:ascii="Georgia" w:hAnsi="Georgia"/>
          <w:sz w:val="20"/>
        </w:rPr>
        <w:t>es que formular.</w:t>
      </w:r>
      <w:r w:rsidRPr="00C066D5">
        <w:rPr>
          <w:rFonts w:ascii="Georgia" w:hAnsi="Georgia"/>
          <w:sz w:val="20"/>
        </w:rPr>
        <w:t xml:space="preserve"> </w:t>
      </w:r>
    </w:p>
    <w:p w14:paraId="0F74EDA8" w14:textId="77777777" w:rsidR="0073058D" w:rsidRPr="00F57BA3" w:rsidRDefault="0073058D" w:rsidP="0073058D">
      <w:pPr>
        <w:ind w:right="-2"/>
        <w:outlineLvl w:val="0"/>
        <w:rPr>
          <w:rFonts w:ascii="Georgia" w:hAnsi="Georgia"/>
          <w:sz w:val="20"/>
        </w:rPr>
      </w:pPr>
    </w:p>
    <w:p w14:paraId="13CE0CFE" w14:textId="77777777" w:rsidR="0073058D" w:rsidRPr="00243FD7" w:rsidRDefault="0073058D" w:rsidP="0073058D">
      <w:pPr>
        <w:ind w:right="-2"/>
        <w:outlineLvl w:val="0"/>
        <w:rPr>
          <w:rFonts w:ascii="Georgia" w:hAnsi="Georgia"/>
          <w:sz w:val="20"/>
        </w:rPr>
      </w:pPr>
      <w:r w:rsidRPr="00243FD7">
        <w:rPr>
          <w:rFonts w:ascii="Georgia" w:hAnsi="Georgia"/>
          <w:sz w:val="20"/>
        </w:rPr>
        <w:t>Ciudad Autónoma de Bueno</w:t>
      </w:r>
      <w:r>
        <w:rPr>
          <w:rFonts w:ascii="Georgia" w:hAnsi="Georgia"/>
          <w:sz w:val="20"/>
        </w:rPr>
        <w:t>s Aires, 15 de noviembre de 2018.</w:t>
      </w:r>
    </w:p>
    <w:p w14:paraId="62D52046" w14:textId="77777777" w:rsidR="0073058D" w:rsidRDefault="0073058D" w:rsidP="0073058D">
      <w:pPr>
        <w:ind w:right="-2"/>
        <w:rPr>
          <w:highlight w:val="yellow"/>
        </w:rPr>
      </w:pPr>
    </w:p>
    <w:p w14:paraId="2543F985" w14:textId="77777777" w:rsidR="0073058D" w:rsidRPr="00CA6547" w:rsidRDefault="0073058D" w:rsidP="0073058D">
      <w:pPr>
        <w:ind w:right="-2"/>
        <w:rPr>
          <w:highlight w:val="yellow"/>
        </w:rPr>
      </w:pPr>
    </w:p>
    <w:tbl>
      <w:tblPr>
        <w:tblW w:w="0" w:type="auto"/>
        <w:tblInd w:w="746" w:type="dxa"/>
        <w:tblLayout w:type="fixed"/>
        <w:tblCellMar>
          <w:left w:w="0" w:type="dxa"/>
          <w:right w:w="0" w:type="dxa"/>
        </w:tblCellMar>
        <w:tblLook w:val="0000" w:firstRow="0" w:lastRow="0" w:firstColumn="0" w:lastColumn="0" w:noHBand="0" w:noVBand="0"/>
      </w:tblPr>
      <w:tblGrid>
        <w:gridCol w:w="3119"/>
      </w:tblGrid>
      <w:tr w:rsidR="0073058D" w:rsidRPr="00CA6547" w14:paraId="2F472E1A" w14:textId="77777777" w:rsidTr="00CB727C">
        <w:tc>
          <w:tcPr>
            <w:tcW w:w="3119" w:type="dxa"/>
            <w:tcBorders>
              <w:bottom w:val="single" w:sz="6" w:space="0" w:color="auto"/>
            </w:tcBorders>
          </w:tcPr>
          <w:p w14:paraId="3BC81FDC" w14:textId="77777777" w:rsidR="0073058D" w:rsidRPr="00B42485" w:rsidRDefault="0073058D" w:rsidP="00CB727C">
            <w:pPr>
              <w:tabs>
                <w:tab w:val="left" w:pos="0"/>
                <w:tab w:val="left" w:pos="3223"/>
              </w:tabs>
              <w:ind w:right="-2"/>
              <w:rPr>
                <w:sz w:val="20"/>
                <w:lang w:val="en-US"/>
              </w:rPr>
            </w:pPr>
            <w:r w:rsidRPr="00B42485">
              <w:rPr>
                <w:sz w:val="20"/>
                <w:lang w:val="en-US"/>
              </w:rPr>
              <w:t>PRICE WATERHOUSE &amp; CO.S.R.L.</w:t>
            </w:r>
          </w:p>
          <w:p w14:paraId="077B0BC6" w14:textId="77777777" w:rsidR="0073058D" w:rsidRPr="00B42485" w:rsidRDefault="0073058D" w:rsidP="00CB727C">
            <w:pPr>
              <w:ind w:right="-2"/>
              <w:rPr>
                <w:sz w:val="20"/>
                <w:lang w:val="en-US"/>
              </w:rPr>
            </w:pPr>
          </w:p>
          <w:p w14:paraId="167F5E09" w14:textId="77777777" w:rsidR="0073058D" w:rsidRPr="00BF47C0" w:rsidRDefault="0073058D" w:rsidP="00CB727C">
            <w:pPr>
              <w:tabs>
                <w:tab w:val="right" w:pos="3082"/>
              </w:tabs>
              <w:ind w:right="-2"/>
              <w:jc w:val="right"/>
              <w:rPr>
                <w:sz w:val="20"/>
              </w:rPr>
            </w:pPr>
            <w:r w:rsidRPr="00BF47C0">
              <w:rPr>
                <w:sz w:val="20"/>
              </w:rPr>
              <w:t>(Socio)</w:t>
            </w:r>
          </w:p>
        </w:tc>
      </w:tr>
      <w:tr w:rsidR="0073058D" w:rsidRPr="00CA6547" w14:paraId="67A5C29E" w14:textId="77777777" w:rsidTr="00CB727C">
        <w:trPr>
          <w:cantSplit/>
          <w:trHeight w:hRule="exact" w:val="180"/>
        </w:trPr>
        <w:tc>
          <w:tcPr>
            <w:tcW w:w="3119" w:type="dxa"/>
          </w:tcPr>
          <w:p w14:paraId="58C06313" w14:textId="77777777" w:rsidR="0073058D" w:rsidRPr="00276585" w:rsidRDefault="0073058D" w:rsidP="00CB727C">
            <w:pPr>
              <w:ind w:right="-2"/>
              <w:jc w:val="center"/>
            </w:pPr>
            <w:r w:rsidRPr="00276585">
              <w:rPr>
                <w:sz w:val="14"/>
              </w:rPr>
              <w:t>C.P.C.E.C.A.B.A. Tº 1 Fº 17</w:t>
            </w:r>
          </w:p>
        </w:tc>
      </w:tr>
      <w:tr w:rsidR="0073058D" w:rsidRPr="008C445D" w14:paraId="6536A352" w14:textId="77777777" w:rsidTr="00CB727C">
        <w:trPr>
          <w:cantSplit/>
          <w:trHeight w:val="686"/>
        </w:trPr>
        <w:tc>
          <w:tcPr>
            <w:tcW w:w="3119" w:type="dxa"/>
          </w:tcPr>
          <w:p w14:paraId="5D2804C2" w14:textId="77777777" w:rsidR="0073058D" w:rsidRPr="004162FD" w:rsidRDefault="0073058D" w:rsidP="00CB727C">
            <w:pPr>
              <w:tabs>
                <w:tab w:val="left" w:pos="-1440"/>
                <w:tab w:val="left" w:pos="-720"/>
                <w:tab w:val="left" w:pos="0"/>
                <w:tab w:val="left" w:pos="432"/>
                <w:tab w:val="left" w:pos="720"/>
              </w:tabs>
              <w:ind w:right="-2"/>
              <w:jc w:val="center"/>
              <w:rPr>
                <w:rFonts w:ascii="Georgia" w:hAnsi="Georgia"/>
                <w:sz w:val="18"/>
                <w:szCs w:val="18"/>
              </w:rPr>
            </w:pPr>
            <w:r>
              <w:rPr>
                <w:rFonts w:ascii="Georgia" w:hAnsi="Georgia"/>
                <w:sz w:val="18"/>
                <w:szCs w:val="18"/>
              </w:rPr>
              <w:t>Sebastián Morazzo</w:t>
            </w:r>
          </w:p>
          <w:p w14:paraId="634B6CC0" w14:textId="77777777" w:rsidR="0073058D" w:rsidRPr="004162FD" w:rsidRDefault="0073058D" w:rsidP="00CB727C">
            <w:pPr>
              <w:tabs>
                <w:tab w:val="left" w:pos="-1440"/>
                <w:tab w:val="left" w:pos="-720"/>
                <w:tab w:val="left" w:pos="0"/>
                <w:tab w:val="left" w:pos="432"/>
                <w:tab w:val="left" w:pos="720"/>
              </w:tabs>
              <w:ind w:right="-2"/>
              <w:jc w:val="center"/>
              <w:rPr>
                <w:rFonts w:ascii="Georgia" w:hAnsi="Georgia"/>
                <w:sz w:val="14"/>
                <w:szCs w:val="14"/>
              </w:rPr>
            </w:pPr>
            <w:r>
              <w:rPr>
                <w:rFonts w:ascii="Georgia" w:hAnsi="Georgia"/>
                <w:sz w:val="14"/>
                <w:szCs w:val="14"/>
              </w:rPr>
              <w:t>Contador Público (U.M</w:t>
            </w:r>
            <w:r w:rsidRPr="004162FD">
              <w:rPr>
                <w:rFonts w:ascii="Georgia" w:hAnsi="Georgia"/>
                <w:sz w:val="14"/>
                <w:szCs w:val="14"/>
              </w:rPr>
              <w:t>.)</w:t>
            </w:r>
          </w:p>
          <w:p w14:paraId="5F97FFA1" w14:textId="77777777" w:rsidR="0073058D" w:rsidRPr="003A6F36" w:rsidRDefault="0073058D" w:rsidP="00CB727C">
            <w:pPr>
              <w:tabs>
                <w:tab w:val="left" w:pos="-1440"/>
                <w:tab w:val="left" w:pos="-720"/>
                <w:tab w:val="left" w:pos="0"/>
                <w:tab w:val="left" w:pos="432"/>
                <w:tab w:val="left" w:pos="720"/>
              </w:tabs>
              <w:ind w:right="-2"/>
              <w:jc w:val="center"/>
            </w:pPr>
            <w:r>
              <w:rPr>
                <w:rFonts w:ascii="Georgia" w:hAnsi="Georgia"/>
                <w:sz w:val="14"/>
                <w:szCs w:val="14"/>
              </w:rPr>
              <w:t>C.P.C.E.C.A.B.A. T° 347</w:t>
            </w:r>
            <w:r w:rsidRPr="004162FD">
              <w:rPr>
                <w:rFonts w:ascii="Georgia" w:hAnsi="Georgia"/>
                <w:sz w:val="14"/>
                <w:szCs w:val="14"/>
              </w:rPr>
              <w:t xml:space="preserve"> F° 159</w:t>
            </w:r>
          </w:p>
        </w:tc>
      </w:tr>
    </w:tbl>
    <w:p w14:paraId="7C2466D7" w14:textId="77777777" w:rsidR="0073058D" w:rsidRPr="00BB070A" w:rsidRDefault="0073058D" w:rsidP="0073058D">
      <w:pPr>
        <w:pStyle w:val="Prrafodelista"/>
        <w:tabs>
          <w:tab w:val="left" w:pos="-720"/>
          <w:tab w:val="left" w:pos="0"/>
          <w:tab w:val="left" w:pos="284"/>
          <w:tab w:val="left" w:pos="487"/>
          <w:tab w:val="left" w:pos="567"/>
          <w:tab w:val="left" w:pos="862"/>
        </w:tabs>
        <w:ind w:left="0" w:right="-2"/>
        <w:rPr>
          <w:rFonts w:ascii="Georgia" w:hAnsi="Georgia"/>
          <w:color w:val="FBCAA2" w:themeColor="accent6" w:themeTint="80"/>
          <w:spacing w:val="-3"/>
          <w:sz w:val="20"/>
        </w:rPr>
      </w:pPr>
      <w:r w:rsidRPr="00BB070A">
        <w:rPr>
          <w:rFonts w:ascii="Georgia" w:hAnsi="Georgia"/>
          <w:color w:val="FBCAA2" w:themeColor="accent6" w:themeTint="80"/>
          <w:spacing w:val="-3"/>
          <w:sz w:val="20"/>
        </w:rPr>
        <w:tab/>
        <w:t xml:space="preserve">  </w:t>
      </w:r>
    </w:p>
    <w:p w14:paraId="1B8A2F15" w14:textId="77777777" w:rsidR="0073058D" w:rsidRPr="00EC4B93" w:rsidRDefault="0073058D" w:rsidP="0073058D">
      <w:pPr>
        <w:pStyle w:val="Textoindependiente"/>
        <w:tabs>
          <w:tab w:val="left" w:pos="851"/>
        </w:tabs>
        <w:ind w:right="-2"/>
        <w:rPr>
          <w:rFonts w:ascii="Georgia" w:hAnsi="Georgia"/>
          <w:color w:val="FF0000"/>
          <w:sz w:val="20"/>
        </w:rPr>
      </w:pPr>
    </w:p>
    <w:p w14:paraId="43E7ECCC" w14:textId="0BABB5C1" w:rsidR="0073058D" w:rsidRDefault="0073058D" w:rsidP="005819B2">
      <w:pPr>
        <w:tabs>
          <w:tab w:val="left" w:pos="1365"/>
        </w:tabs>
        <w:jc w:val="both"/>
        <w:rPr>
          <w:rFonts w:ascii="Arial" w:hAnsi="Arial" w:cs="Arial"/>
          <w:sz w:val="20"/>
          <w:u w:val="single"/>
          <w:lang w:val="es-ES_tradnl"/>
        </w:rPr>
      </w:pPr>
    </w:p>
    <w:p w14:paraId="1F8485EC" w14:textId="77777777" w:rsidR="0073058D" w:rsidRDefault="0073058D" w:rsidP="005819B2">
      <w:pPr>
        <w:tabs>
          <w:tab w:val="left" w:pos="1365"/>
        </w:tabs>
        <w:jc w:val="both"/>
        <w:rPr>
          <w:rFonts w:ascii="Arial" w:hAnsi="Arial" w:cs="Arial"/>
          <w:sz w:val="20"/>
          <w:u w:val="single"/>
          <w:lang w:val="es-ES_tradnl"/>
        </w:rPr>
        <w:sectPr w:rsidR="0073058D" w:rsidSect="0024455D">
          <w:headerReference w:type="even" r:id="rId120"/>
          <w:headerReference w:type="default" r:id="rId121"/>
          <w:footerReference w:type="even" r:id="rId122"/>
          <w:footerReference w:type="default" r:id="rId123"/>
          <w:headerReference w:type="first" r:id="rId124"/>
          <w:footerReference w:type="first" r:id="rId125"/>
          <w:pgSz w:w="11906" w:h="16838"/>
          <w:pgMar w:top="2835" w:right="851" w:bottom="2835" w:left="1985" w:header="544" w:footer="544" w:gutter="0"/>
          <w:cols w:space="708"/>
          <w:docGrid w:linePitch="360"/>
        </w:sectPr>
      </w:pPr>
    </w:p>
    <w:p w14:paraId="6CF788B9" w14:textId="77777777" w:rsidR="0073058D" w:rsidRPr="00914DCD" w:rsidRDefault="0073058D" w:rsidP="0073058D">
      <w:pPr>
        <w:ind w:right="-2"/>
        <w:outlineLvl w:val="0"/>
        <w:rPr>
          <w:rFonts w:ascii="Georgia" w:hAnsi="Georgia"/>
          <w:b/>
          <w:sz w:val="20"/>
        </w:rPr>
      </w:pPr>
      <w:r w:rsidRPr="00914DCD">
        <w:rPr>
          <w:rFonts w:ascii="Georgia" w:hAnsi="Georgia"/>
          <w:b/>
          <w:sz w:val="20"/>
        </w:rPr>
        <w:t>INFORME DE REVISIÓN LIMITADA DEL AUDITOR INDEPENDIENTE</w:t>
      </w:r>
    </w:p>
    <w:p w14:paraId="6F4509CE" w14:textId="77777777" w:rsidR="0073058D" w:rsidRPr="00914DCD" w:rsidRDefault="0073058D" w:rsidP="0073058D">
      <w:pPr>
        <w:ind w:right="-2"/>
        <w:rPr>
          <w:rFonts w:ascii="Georgia" w:hAnsi="Georgia"/>
          <w:sz w:val="20"/>
        </w:rPr>
      </w:pPr>
    </w:p>
    <w:p w14:paraId="46961F18" w14:textId="77777777" w:rsidR="0073058D" w:rsidRPr="007F1F78" w:rsidRDefault="0073058D" w:rsidP="0073058D">
      <w:pPr>
        <w:ind w:right="-2"/>
        <w:rPr>
          <w:rFonts w:ascii="Georgia" w:hAnsi="Georgia"/>
          <w:sz w:val="20"/>
        </w:rPr>
      </w:pPr>
      <w:r w:rsidRPr="007F1F78">
        <w:rPr>
          <w:rFonts w:ascii="Georgia" w:hAnsi="Georgia"/>
          <w:sz w:val="20"/>
        </w:rPr>
        <w:t>A los Señores Presidente y Directores de</w:t>
      </w:r>
    </w:p>
    <w:p w14:paraId="0833ADEB" w14:textId="77777777" w:rsidR="0073058D" w:rsidRPr="007F1F78" w:rsidRDefault="0073058D" w:rsidP="0073058D">
      <w:pPr>
        <w:ind w:right="-2"/>
        <w:rPr>
          <w:rFonts w:ascii="Georgia" w:hAnsi="Georgia"/>
          <w:sz w:val="20"/>
        </w:rPr>
      </w:pPr>
      <w:r w:rsidRPr="007F1F78">
        <w:rPr>
          <w:rFonts w:ascii="Georgia" w:hAnsi="Georgia"/>
          <w:sz w:val="20"/>
        </w:rPr>
        <w:t>Banco Supervielle S.A.</w:t>
      </w:r>
    </w:p>
    <w:p w14:paraId="41A3CDD0" w14:textId="77777777" w:rsidR="0073058D" w:rsidRPr="007F1F78" w:rsidRDefault="0073058D" w:rsidP="0073058D">
      <w:pPr>
        <w:ind w:right="-2"/>
        <w:rPr>
          <w:rFonts w:ascii="Georgia" w:hAnsi="Georgia"/>
          <w:sz w:val="20"/>
        </w:rPr>
      </w:pPr>
      <w:r w:rsidRPr="007F1F78">
        <w:rPr>
          <w:rFonts w:ascii="Georgia" w:hAnsi="Georgia"/>
          <w:sz w:val="20"/>
        </w:rPr>
        <w:t>Domicilio legal: Bartolomé Mitre 434</w:t>
      </w:r>
    </w:p>
    <w:p w14:paraId="441B7C4E" w14:textId="77777777" w:rsidR="0073058D" w:rsidRPr="007F1F78" w:rsidRDefault="0073058D" w:rsidP="0073058D">
      <w:pPr>
        <w:ind w:right="-2"/>
        <w:rPr>
          <w:rFonts w:ascii="Georgia" w:hAnsi="Georgia"/>
          <w:sz w:val="20"/>
        </w:rPr>
      </w:pPr>
      <w:r w:rsidRPr="007F1F78">
        <w:rPr>
          <w:rFonts w:ascii="Georgia" w:hAnsi="Georgia"/>
          <w:sz w:val="20"/>
        </w:rPr>
        <w:t>Ciudad Autónoma de Buenos Aires</w:t>
      </w:r>
    </w:p>
    <w:p w14:paraId="6D7C8AB5" w14:textId="77777777" w:rsidR="0073058D" w:rsidRPr="00914DCD" w:rsidRDefault="0073058D" w:rsidP="0073058D">
      <w:pPr>
        <w:ind w:right="-2"/>
        <w:rPr>
          <w:rFonts w:ascii="Georgia" w:hAnsi="Georgia"/>
          <w:sz w:val="20"/>
        </w:rPr>
      </w:pPr>
      <w:r w:rsidRPr="007F1F78">
        <w:rPr>
          <w:rFonts w:ascii="Georgia" w:hAnsi="Georgia"/>
          <w:sz w:val="20"/>
        </w:rPr>
        <w:t>C.U.I.T. N°: 33-50000517-9</w:t>
      </w:r>
    </w:p>
    <w:p w14:paraId="5DE241CE" w14:textId="77777777" w:rsidR="0073058D" w:rsidRDefault="0073058D" w:rsidP="0073058D">
      <w:pPr>
        <w:ind w:right="-2"/>
        <w:rPr>
          <w:rFonts w:ascii="Georgia" w:hAnsi="Georgia"/>
          <w:sz w:val="20"/>
        </w:rPr>
      </w:pPr>
    </w:p>
    <w:p w14:paraId="4C036602" w14:textId="77777777" w:rsidR="0073058D" w:rsidRPr="00914DCD" w:rsidRDefault="0073058D" w:rsidP="0073058D">
      <w:pPr>
        <w:ind w:right="-2"/>
        <w:rPr>
          <w:rFonts w:ascii="Georgia" w:hAnsi="Georgia"/>
          <w:sz w:val="20"/>
        </w:rPr>
      </w:pPr>
    </w:p>
    <w:p w14:paraId="396D4354" w14:textId="77777777" w:rsidR="0073058D" w:rsidRPr="00914DCD" w:rsidRDefault="0073058D" w:rsidP="0073058D">
      <w:pPr>
        <w:ind w:right="-2"/>
        <w:rPr>
          <w:rFonts w:ascii="Georgia" w:hAnsi="Georgia"/>
          <w:b/>
          <w:sz w:val="20"/>
        </w:rPr>
      </w:pPr>
      <w:r w:rsidRPr="00914DCD">
        <w:rPr>
          <w:rFonts w:ascii="Georgia" w:hAnsi="Georgia"/>
          <w:b/>
          <w:sz w:val="20"/>
        </w:rPr>
        <w:t>Introducción</w:t>
      </w:r>
    </w:p>
    <w:p w14:paraId="2FBCB6DF" w14:textId="77777777" w:rsidR="0073058D" w:rsidRPr="00914DCD" w:rsidRDefault="0073058D" w:rsidP="0073058D">
      <w:pPr>
        <w:ind w:right="-2"/>
        <w:rPr>
          <w:rFonts w:ascii="Georgia" w:hAnsi="Georgia"/>
          <w:sz w:val="20"/>
        </w:rPr>
      </w:pPr>
    </w:p>
    <w:p w14:paraId="75C05C2E" w14:textId="77777777" w:rsidR="0073058D" w:rsidRPr="004868A3" w:rsidRDefault="0073058D" w:rsidP="0073058D">
      <w:pPr>
        <w:tabs>
          <w:tab w:val="left" w:pos="851"/>
        </w:tabs>
        <w:ind w:right="-2"/>
        <w:rPr>
          <w:rFonts w:ascii="Georgia" w:hAnsi="Georgia"/>
          <w:sz w:val="20"/>
        </w:rPr>
      </w:pPr>
      <w:r w:rsidRPr="004868A3">
        <w:rPr>
          <w:rFonts w:ascii="Georgia" w:hAnsi="Georgia"/>
          <w:sz w:val="20"/>
        </w:rPr>
        <w:t xml:space="preserve">Hemos revisado los estados financieros condensados separados intermedios adjuntos de Banco Supervielle S.A. (en adelante “la Entidad”), </w:t>
      </w:r>
      <w:r w:rsidRPr="00914DCD">
        <w:rPr>
          <w:rFonts w:ascii="Georgia" w:hAnsi="Georgia"/>
          <w:sz w:val="20"/>
        </w:rPr>
        <w:t xml:space="preserve">que comprenden el estado </w:t>
      </w:r>
      <w:r>
        <w:rPr>
          <w:rFonts w:ascii="Georgia" w:hAnsi="Georgia"/>
          <w:sz w:val="20"/>
        </w:rPr>
        <w:t xml:space="preserve">separado </w:t>
      </w:r>
      <w:r w:rsidRPr="00914DCD">
        <w:rPr>
          <w:rFonts w:ascii="Georgia" w:hAnsi="Georgia"/>
          <w:sz w:val="20"/>
        </w:rPr>
        <w:t xml:space="preserve">de situación financiera al </w:t>
      </w:r>
      <w:r>
        <w:rPr>
          <w:rFonts w:ascii="Georgia" w:hAnsi="Georgia"/>
          <w:sz w:val="20"/>
        </w:rPr>
        <w:t>30 de septiembre de 2018</w:t>
      </w:r>
      <w:r w:rsidRPr="00914DCD">
        <w:rPr>
          <w:rFonts w:ascii="Georgia" w:hAnsi="Georgia"/>
          <w:sz w:val="20"/>
        </w:rPr>
        <w:t>, los correspondientes estados</w:t>
      </w:r>
      <w:r>
        <w:rPr>
          <w:rFonts w:ascii="Georgia" w:hAnsi="Georgia"/>
          <w:sz w:val="20"/>
        </w:rPr>
        <w:t xml:space="preserve"> separados</w:t>
      </w:r>
      <w:r w:rsidRPr="00914DCD">
        <w:rPr>
          <w:rFonts w:ascii="Georgia" w:hAnsi="Georgia"/>
          <w:sz w:val="20"/>
        </w:rPr>
        <w:t xml:space="preserve"> de resultados y </w:t>
      </w:r>
      <w:r>
        <w:rPr>
          <w:rFonts w:ascii="Georgia" w:hAnsi="Georgia"/>
          <w:sz w:val="20"/>
        </w:rPr>
        <w:t>otros</w:t>
      </w:r>
      <w:r w:rsidRPr="00914DCD">
        <w:rPr>
          <w:rFonts w:ascii="Georgia" w:hAnsi="Georgia"/>
          <w:sz w:val="20"/>
        </w:rPr>
        <w:t xml:space="preserve"> resultado</w:t>
      </w:r>
      <w:r>
        <w:rPr>
          <w:rFonts w:ascii="Georgia" w:hAnsi="Georgia"/>
          <w:sz w:val="20"/>
        </w:rPr>
        <w:t>s</w:t>
      </w:r>
      <w:r w:rsidRPr="00914DCD">
        <w:rPr>
          <w:rFonts w:ascii="Georgia" w:hAnsi="Georgia"/>
          <w:sz w:val="20"/>
        </w:rPr>
        <w:t xml:space="preserve"> integral</w:t>
      </w:r>
      <w:r>
        <w:rPr>
          <w:rFonts w:ascii="Georgia" w:hAnsi="Georgia"/>
          <w:sz w:val="20"/>
        </w:rPr>
        <w:t>es</w:t>
      </w:r>
      <w:r w:rsidRPr="00914DCD">
        <w:rPr>
          <w:rFonts w:ascii="Georgia" w:hAnsi="Georgia"/>
          <w:sz w:val="20"/>
        </w:rPr>
        <w:t xml:space="preserve"> por los períodos de </w:t>
      </w:r>
      <w:r>
        <w:rPr>
          <w:rFonts w:ascii="Georgia" w:hAnsi="Georgia"/>
          <w:sz w:val="20"/>
        </w:rPr>
        <w:t xml:space="preserve">nueve </w:t>
      </w:r>
      <w:r w:rsidRPr="00914DCD">
        <w:rPr>
          <w:rFonts w:ascii="Georgia" w:hAnsi="Georgia"/>
          <w:sz w:val="20"/>
        </w:rPr>
        <w:t>y tres meses finalizados el</w:t>
      </w:r>
      <w:r>
        <w:rPr>
          <w:rFonts w:ascii="Georgia" w:hAnsi="Georgia"/>
          <w:sz w:val="20"/>
        </w:rPr>
        <w:t xml:space="preserve"> 30 </w:t>
      </w:r>
      <w:r w:rsidRPr="00914DCD">
        <w:rPr>
          <w:rFonts w:ascii="Georgia" w:hAnsi="Georgia"/>
          <w:sz w:val="20"/>
        </w:rPr>
        <w:t>de</w:t>
      </w:r>
      <w:r>
        <w:rPr>
          <w:rFonts w:ascii="Georgia" w:hAnsi="Georgia"/>
          <w:sz w:val="20"/>
        </w:rPr>
        <w:t xml:space="preserve"> septiembre de 2018</w:t>
      </w:r>
      <w:r w:rsidRPr="00914DCD">
        <w:rPr>
          <w:rFonts w:ascii="Georgia" w:hAnsi="Georgia"/>
          <w:sz w:val="20"/>
        </w:rPr>
        <w:t xml:space="preserve"> y los estados </w:t>
      </w:r>
      <w:r>
        <w:rPr>
          <w:rFonts w:ascii="Georgia" w:hAnsi="Georgia"/>
          <w:sz w:val="20"/>
        </w:rPr>
        <w:t>separados</w:t>
      </w:r>
      <w:r w:rsidRPr="00914DCD">
        <w:rPr>
          <w:rFonts w:ascii="Georgia" w:hAnsi="Georgia"/>
          <w:color w:val="0070C0"/>
          <w:sz w:val="20"/>
        </w:rPr>
        <w:t xml:space="preserve"> </w:t>
      </w:r>
      <w:r w:rsidRPr="00914DCD">
        <w:rPr>
          <w:rFonts w:ascii="Georgia" w:hAnsi="Georgia"/>
          <w:sz w:val="20"/>
        </w:rPr>
        <w:t xml:space="preserve">de cambios en el patrimonio y de flujos de efectivo por el período de </w:t>
      </w:r>
      <w:r>
        <w:rPr>
          <w:rFonts w:ascii="Georgia" w:hAnsi="Georgia"/>
          <w:sz w:val="20"/>
        </w:rPr>
        <w:t xml:space="preserve">nueve </w:t>
      </w:r>
      <w:r w:rsidRPr="00914DCD">
        <w:rPr>
          <w:rFonts w:ascii="Georgia" w:hAnsi="Georgia"/>
          <w:sz w:val="20"/>
        </w:rPr>
        <w:t>meses finalizado en esa misma fecha, así como un resumen de las políticas contables significativas y otra información explicativa incluida en las notas y</w:t>
      </w:r>
      <w:r>
        <w:rPr>
          <w:rFonts w:ascii="Georgia" w:hAnsi="Georgia"/>
          <w:sz w:val="20"/>
        </w:rPr>
        <w:t xml:space="preserve"> los anexos que los complementan.</w:t>
      </w:r>
      <w:r w:rsidRPr="004868A3">
        <w:rPr>
          <w:rFonts w:ascii="Georgia" w:hAnsi="Georgia"/>
          <w:sz w:val="20"/>
        </w:rPr>
        <w:t xml:space="preserve"> </w:t>
      </w:r>
    </w:p>
    <w:p w14:paraId="6F9D4260" w14:textId="77777777" w:rsidR="0073058D" w:rsidRDefault="0073058D" w:rsidP="0073058D">
      <w:pPr>
        <w:tabs>
          <w:tab w:val="left" w:pos="851"/>
        </w:tabs>
        <w:ind w:right="-2"/>
        <w:rPr>
          <w:rFonts w:ascii="Georgia" w:hAnsi="Georgia"/>
          <w:sz w:val="20"/>
        </w:rPr>
      </w:pPr>
    </w:p>
    <w:p w14:paraId="7F084BD7" w14:textId="77777777" w:rsidR="0073058D" w:rsidRPr="004868A3" w:rsidRDefault="0073058D" w:rsidP="0073058D">
      <w:pPr>
        <w:tabs>
          <w:tab w:val="left" w:pos="851"/>
        </w:tabs>
        <w:ind w:right="-2"/>
        <w:rPr>
          <w:rFonts w:ascii="Georgia" w:hAnsi="Georgia"/>
          <w:sz w:val="20"/>
        </w:rPr>
      </w:pPr>
      <w:r w:rsidRPr="004868A3">
        <w:rPr>
          <w:rFonts w:ascii="Georgia" w:hAnsi="Georgia"/>
          <w:sz w:val="20"/>
        </w:rPr>
        <w:t xml:space="preserve">Los saldos y otra información correspondientes al ejercicio 2017 y a sus períodos intermedios, son parte integrante de los estados contables mencionados precedentemente y por lo tanto deberán ser considerados en relación con esos estados contables. </w:t>
      </w:r>
    </w:p>
    <w:p w14:paraId="7C5277C1" w14:textId="77777777" w:rsidR="0073058D" w:rsidRPr="00914DCD" w:rsidRDefault="0073058D" w:rsidP="0073058D">
      <w:pPr>
        <w:pStyle w:val="Prrafodelista"/>
        <w:tabs>
          <w:tab w:val="left" w:pos="851"/>
        </w:tabs>
        <w:ind w:left="0" w:right="-2"/>
        <w:rPr>
          <w:rFonts w:ascii="Georgia" w:hAnsi="Georgia"/>
          <w:sz w:val="20"/>
        </w:rPr>
      </w:pPr>
    </w:p>
    <w:p w14:paraId="02C922AD" w14:textId="77777777" w:rsidR="0073058D" w:rsidRPr="00914DCD" w:rsidRDefault="0073058D" w:rsidP="0073058D">
      <w:pPr>
        <w:pStyle w:val="Prrafodelista"/>
        <w:tabs>
          <w:tab w:val="left" w:pos="567"/>
        </w:tabs>
        <w:ind w:left="0" w:right="-2"/>
        <w:rPr>
          <w:rFonts w:ascii="Georgia" w:hAnsi="Georgia"/>
          <w:b/>
          <w:sz w:val="20"/>
        </w:rPr>
      </w:pPr>
      <w:r w:rsidRPr="00914DCD">
        <w:rPr>
          <w:rFonts w:ascii="Georgia" w:hAnsi="Georgia"/>
          <w:b/>
          <w:sz w:val="20"/>
        </w:rPr>
        <w:t>Responsabilidad de la Dirección</w:t>
      </w:r>
    </w:p>
    <w:p w14:paraId="7943E830" w14:textId="77777777" w:rsidR="0073058D" w:rsidRPr="00914DCD" w:rsidRDefault="0073058D" w:rsidP="0073058D">
      <w:pPr>
        <w:tabs>
          <w:tab w:val="left" w:pos="851"/>
        </w:tabs>
        <w:ind w:right="-2"/>
        <w:rPr>
          <w:rFonts w:ascii="Georgia" w:hAnsi="Georgia"/>
          <w:sz w:val="20"/>
        </w:rPr>
      </w:pPr>
    </w:p>
    <w:p w14:paraId="3D2F7320"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El Directorio de la Entidad es responsable de la preparación y presentación de los estados financieros de acuerdo con el marco contable establecido por el Banco Central de la República Argentina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 xml:space="preserve">). Tal como se indica en la nota </w:t>
      </w:r>
      <w:r>
        <w:rPr>
          <w:rFonts w:ascii="Georgia" w:hAnsi="Georgia"/>
          <w:sz w:val="20"/>
        </w:rPr>
        <w:t xml:space="preserve">1.1 </w:t>
      </w:r>
      <w:r w:rsidRPr="00914DCD">
        <w:rPr>
          <w:rFonts w:ascii="Georgia" w:hAnsi="Georgia"/>
          <w:sz w:val="20"/>
        </w:rPr>
        <w:t xml:space="preserve">a los estados financieros </w:t>
      </w:r>
      <w:r>
        <w:rPr>
          <w:rFonts w:ascii="Georgia" w:hAnsi="Georgia"/>
          <w:sz w:val="20"/>
        </w:rPr>
        <w:t xml:space="preserve">condensados separados intermedios </w:t>
      </w:r>
      <w:r w:rsidRPr="00914DCD">
        <w:rPr>
          <w:rFonts w:ascii="Georgia" w:hAnsi="Georgia"/>
          <w:sz w:val="20"/>
        </w:rPr>
        <w:t xml:space="preserve">adjuntos, dicho marco contable </w:t>
      </w:r>
      <w:r>
        <w:rPr>
          <w:rFonts w:ascii="Georgia" w:hAnsi="Georgia"/>
          <w:sz w:val="20"/>
        </w:rPr>
        <w:t>se basa en la aplicación de las</w:t>
      </w:r>
      <w:r w:rsidRPr="00914DCD">
        <w:rPr>
          <w:rFonts w:ascii="Georgia" w:hAnsi="Georgia"/>
          <w:sz w:val="20"/>
        </w:rPr>
        <w:t xml:space="preserve"> Normas Internacionales de Información Financiera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F</w:t>
      </w:r>
      <w:r>
        <w:rPr>
          <w:rFonts w:ascii="Georgia" w:hAnsi="Georgia"/>
          <w:sz w:val="20"/>
        </w:rPr>
        <w:t>.</w:t>
      </w:r>
      <w:r w:rsidRPr="00914DCD">
        <w:rPr>
          <w:rFonts w:ascii="Georgia" w:hAnsi="Georgia"/>
          <w:sz w:val="20"/>
        </w:rPr>
        <w:t>) y, en particular, de la Norma Internacional de Contabilidad 34 “Información Financiera Intermedia”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 xml:space="preserve"> 34), aprobadas por el Consejo de Normas Internacionales de Contabilidad (I</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S</w:t>
      </w:r>
      <w:r>
        <w:rPr>
          <w:rFonts w:ascii="Georgia" w:hAnsi="Georgia"/>
          <w:sz w:val="20"/>
        </w:rPr>
        <w:t>.</w:t>
      </w:r>
      <w:r w:rsidRPr="00914DCD">
        <w:rPr>
          <w:rFonts w:ascii="Georgia" w:hAnsi="Georgia"/>
          <w:sz w:val="20"/>
        </w:rPr>
        <w:t>B</w:t>
      </w:r>
      <w:r>
        <w:rPr>
          <w:rFonts w:ascii="Georgia" w:hAnsi="Georgia"/>
          <w:sz w:val="20"/>
        </w:rPr>
        <w:t>.</w:t>
      </w:r>
      <w:r w:rsidRPr="00914DCD">
        <w:rPr>
          <w:rFonts w:ascii="Georgia" w:hAnsi="Georgia"/>
          <w:sz w:val="20"/>
        </w:rPr>
        <w:t xml:space="preserve"> por sus siglas en inglés). Dichas normas fueron adoptadas por la Federación Argentina de Consejos Profesionales de Ciencias Económicas (F</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P</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E</w:t>
      </w:r>
      <w:r>
        <w:rPr>
          <w:rFonts w:ascii="Georgia" w:hAnsi="Georgia"/>
          <w:sz w:val="20"/>
        </w:rPr>
        <w:t>.</w:t>
      </w:r>
      <w:r w:rsidRPr="00914DCD">
        <w:rPr>
          <w:rFonts w:ascii="Georgia" w:hAnsi="Georgia"/>
          <w:sz w:val="20"/>
        </w:rPr>
        <w:t>), y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 y fueron utilizadas en la preparación de</w:t>
      </w:r>
      <w:r>
        <w:rPr>
          <w:rFonts w:ascii="Georgia" w:hAnsi="Georgia"/>
          <w:sz w:val="20"/>
        </w:rPr>
        <w:t xml:space="preserve"> los estados financieros con la </w:t>
      </w:r>
      <w:r w:rsidRPr="00914DCD">
        <w:rPr>
          <w:rFonts w:ascii="Georgia" w:hAnsi="Georgia"/>
          <w:sz w:val="20"/>
        </w:rPr>
        <w:t>excepción del punto 5.5 “Deterioro de Valor” de la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F</w:t>
      </w:r>
      <w:r>
        <w:rPr>
          <w:rFonts w:ascii="Georgia" w:hAnsi="Georgia"/>
          <w:sz w:val="20"/>
        </w:rPr>
        <w:t>.</w:t>
      </w:r>
      <w:r w:rsidRPr="00914DCD">
        <w:rPr>
          <w:rFonts w:ascii="Georgia" w:hAnsi="Georgia"/>
          <w:sz w:val="20"/>
        </w:rPr>
        <w:t xml:space="preserve"> N° 9</w:t>
      </w:r>
      <w:r>
        <w:rPr>
          <w:rFonts w:ascii="Georgia" w:hAnsi="Georgia"/>
          <w:sz w:val="20"/>
        </w:rPr>
        <w:t xml:space="preserve"> y de la Norma Internacional de Contabilidad 29 (N.I.C. 29)</w:t>
      </w:r>
      <w:r w:rsidRPr="00914DCD">
        <w:rPr>
          <w:rFonts w:ascii="Georgia" w:hAnsi="Georgia"/>
          <w:sz w:val="20"/>
        </w:rPr>
        <w:t>.</w:t>
      </w:r>
    </w:p>
    <w:p w14:paraId="60605C6D" w14:textId="77777777" w:rsidR="0073058D" w:rsidRDefault="0073058D" w:rsidP="0073058D">
      <w:pPr>
        <w:tabs>
          <w:tab w:val="left" w:pos="851"/>
        </w:tabs>
        <w:ind w:right="-2"/>
        <w:rPr>
          <w:rFonts w:ascii="Georgia" w:hAnsi="Georgia"/>
          <w:b/>
          <w:sz w:val="20"/>
        </w:rPr>
      </w:pPr>
    </w:p>
    <w:p w14:paraId="6BC6BE93" w14:textId="77777777" w:rsidR="0073058D" w:rsidRPr="00914DCD" w:rsidRDefault="0073058D" w:rsidP="0073058D">
      <w:pPr>
        <w:tabs>
          <w:tab w:val="left" w:pos="851"/>
        </w:tabs>
        <w:ind w:right="-2"/>
        <w:rPr>
          <w:rFonts w:ascii="Georgia" w:hAnsi="Georgia"/>
          <w:b/>
          <w:sz w:val="20"/>
        </w:rPr>
      </w:pPr>
      <w:r w:rsidRPr="00914DCD">
        <w:rPr>
          <w:rFonts w:ascii="Georgia" w:hAnsi="Georgia"/>
          <w:b/>
          <w:sz w:val="20"/>
        </w:rPr>
        <w:t>Alcance de nuestra revisión</w:t>
      </w:r>
    </w:p>
    <w:p w14:paraId="428A0CB5" w14:textId="77777777" w:rsidR="0073058D" w:rsidRPr="00914DCD" w:rsidRDefault="0073058D" w:rsidP="0073058D">
      <w:pPr>
        <w:tabs>
          <w:tab w:val="left" w:pos="851"/>
        </w:tabs>
        <w:ind w:right="-2"/>
        <w:rPr>
          <w:rFonts w:ascii="Georgia" w:hAnsi="Georgia"/>
          <w:color w:val="FF0000"/>
          <w:sz w:val="20"/>
        </w:rPr>
      </w:pPr>
    </w:p>
    <w:p w14:paraId="4516469B" w14:textId="77777777" w:rsidR="0073058D" w:rsidRDefault="0073058D" w:rsidP="0073058D">
      <w:pPr>
        <w:tabs>
          <w:tab w:val="left" w:pos="851"/>
        </w:tabs>
        <w:ind w:right="-2"/>
        <w:rPr>
          <w:rFonts w:ascii="Georgia" w:hAnsi="Georgia"/>
          <w:sz w:val="20"/>
        </w:rPr>
      </w:pPr>
      <w:r w:rsidRPr="00914DCD">
        <w:rPr>
          <w:rFonts w:ascii="Georgia" w:hAnsi="Georgia"/>
          <w:sz w:val="20"/>
        </w:rPr>
        <w:t>Nuestra revisión se limitó a la aplicación de los procedimientos de revisión establecidos en la Resolución Técnica N° 37 de la F</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P</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E</w:t>
      </w:r>
      <w:r>
        <w:rPr>
          <w:rFonts w:ascii="Georgia" w:hAnsi="Georgia"/>
          <w:sz w:val="20"/>
        </w:rPr>
        <w:t>.</w:t>
      </w:r>
      <w:r w:rsidRPr="00914DCD">
        <w:rPr>
          <w:rFonts w:ascii="Georgia" w:hAnsi="Georgia"/>
          <w:sz w:val="20"/>
        </w:rPr>
        <w:t xml:space="preserve"> para la revisión de estados financieros intermedios y con las normas de auditoría emitidas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 xml:space="preserve">A para revisiones limitadas. Una revisión de estados financieros intermedios consiste en la realización de indagaciones al personal de la Entidad responsable de la preparación de la información incluida en los estados financieros condensados </w:t>
      </w:r>
      <w:r>
        <w:rPr>
          <w:rFonts w:ascii="Georgia" w:hAnsi="Georgia"/>
          <w:sz w:val="20"/>
        </w:rPr>
        <w:t xml:space="preserve">separados </w:t>
      </w:r>
      <w:r w:rsidRPr="00914DCD">
        <w:rPr>
          <w:rFonts w:ascii="Georgia" w:hAnsi="Georgia"/>
          <w:sz w:val="20"/>
        </w:rPr>
        <w:t>intermedios y en la realización de procedimientos analíticos y otros procedimientos de revisión. El alcance de esta revisión es sustancialmente inferior al de un examen de auditoría realizado de acuerdo con las normas argentinas de auditoría, en consecuencia, una revisión no nos permite obtener seguridad de que tomaremos conocimiento sobre todos los temas significativos que podrían identificarse en una auditoría. Por lo tanto, no expresamos una opinión de auditoría sobre la situación financiera</w:t>
      </w:r>
      <w:r>
        <w:rPr>
          <w:rFonts w:ascii="Georgia" w:hAnsi="Georgia"/>
          <w:sz w:val="20"/>
        </w:rPr>
        <w:t xml:space="preserve"> separada, </w:t>
      </w:r>
      <w:r w:rsidRPr="00914DCD">
        <w:rPr>
          <w:rFonts w:ascii="Georgia" w:hAnsi="Georgia"/>
          <w:sz w:val="20"/>
        </w:rPr>
        <w:t>el resultado integral</w:t>
      </w:r>
      <w:r>
        <w:rPr>
          <w:rFonts w:ascii="Georgia" w:hAnsi="Georgia"/>
          <w:sz w:val="20"/>
        </w:rPr>
        <w:t xml:space="preserve"> separado y el flujo de efectivo separado </w:t>
      </w:r>
      <w:r w:rsidRPr="00914DCD">
        <w:rPr>
          <w:rFonts w:ascii="Georgia" w:hAnsi="Georgia"/>
          <w:sz w:val="20"/>
        </w:rPr>
        <w:t>de la Entidad.</w:t>
      </w:r>
      <w:r>
        <w:rPr>
          <w:rFonts w:ascii="Georgia" w:hAnsi="Georgia"/>
          <w:sz w:val="20"/>
        </w:rPr>
        <w:br w:type="page"/>
      </w:r>
    </w:p>
    <w:p w14:paraId="029F93C3" w14:textId="77777777" w:rsidR="0073058D" w:rsidRPr="00914DCD" w:rsidRDefault="0073058D" w:rsidP="0073058D">
      <w:pPr>
        <w:pStyle w:val="Prrafodelista"/>
        <w:tabs>
          <w:tab w:val="left" w:pos="567"/>
        </w:tabs>
        <w:ind w:left="0" w:right="-2"/>
        <w:rPr>
          <w:rFonts w:ascii="Georgia" w:hAnsi="Georgia"/>
          <w:b/>
          <w:sz w:val="20"/>
        </w:rPr>
      </w:pPr>
      <w:r w:rsidRPr="00914DCD">
        <w:rPr>
          <w:rFonts w:ascii="Georgia" w:hAnsi="Georgia"/>
          <w:b/>
          <w:sz w:val="20"/>
        </w:rPr>
        <w:t>Conclusión</w:t>
      </w:r>
    </w:p>
    <w:p w14:paraId="3EF43F16" w14:textId="77777777" w:rsidR="0073058D" w:rsidRPr="00914DCD" w:rsidRDefault="0073058D" w:rsidP="0073058D">
      <w:pPr>
        <w:tabs>
          <w:tab w:val="left" w:pos="851"/>
        </w:tabs>
        <w:ind w:right="-2"/>
        <w:rPr>
          <w:rFonts w:ascii="Georgia" w:hAnsi="Georgia"/>
          <w:sz w:val="20"/>
        </w:rPr>
      </w:pPr>
    </w:p>
    <w:p w14:paraId="3B24FF05"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Sobre la base de nuestra revisión,</w:t>
      </w:r>
      <w:r w:rsidRPr="00914DCD">
        <w:rPr>
          <w:rFonts w:ascii="Georgia" w:hAnsi="Georgia"/>
          <w:snapToGrid w:val="0"/>
          <w:color w:val="000000"/>
          <w:sz w:val="20"/>
        </w:rPr>
        <w:t xml:space="preserve"> </w:t>
      </w:r>
      <w:r w:rsidRPr="00914DCD">
        <w:rPr>
          <w:rFonts w:ascii="Georgia" w:hAnsi="Georgia"/>
          <w:sz w:val="20"/>
        </w:rPr>
        <w:t xml:space="preserve">nada ha llamado nuestra atención que nos hiciera pensar que los estados financieros condensados </w:t>
      </w:r>
      <w:r>
        <w:rPr>
          <w:rFonts w:ascii="Georgia" w:hAnsi="Georgia"/>
          <w:sz w:val="20"/>
        </w:rPr>
        <w:t xml:space="preserve">separados </w:t>
      </w:r>
      <w:r w:rsidRPr="00914DCD">
        <w:rPr>
          <w:rFonts w:ascii="Georgia" w:hAnsi="Georgia"/>
          <w:sz w:val="20"/>
        </w:rPr>
        <w:t>intermedios, mencionados en el primer párrafo del presente informe, no están preparados, en todos sus aspectos significativos, de conformidad con el marco contable establecido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p>
    <w:p w14:paraId="15582D00"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 xml:space="preserve"> </w:t>
      </w:r>
    </w:p>
    <w:p w14:paraId="72C305BB" w14:textId="77777777" w:rsidR="0073058D" w:rsidRPr="00914DCD" w:rsidRDefault="0073058D" w:rsidP="0073058D">
      <w:pPr>
        <w:tabs>
          <w:tab w:val="left" w:pos="851"/>
        </w:tabs>
        <w:ind w:right="-2"/>
        <w:rPr>
          <w:rFonts w:ascii="Georgia" w:hAnsi="Georgia"/>
          <w:b/>
          <w:color w:val="FBCAA2" w:themeColor="accent6" w:themeTint="80"/>
          <w:sz w:val="20"/>
        </w:rPr>
      </w:pPr>
      <w:r w:rsidRPr="00914DCD">
        <w:rPr>
          <w:rFonts w:ascii="Georgia" w:hAnsi="Georgia"/>
          <w:b/>
          <w:sz w:val="20"/>
        </w:rPr>
        <w:t>Párrafos de énfasis</w:t>
      </w:r>
      <w:r w:rsidRPr="00914DCD">
        <w:rPr>
          <w:rFonts w:ascii="Georgia" w:hAnsi="Georgia"/>
          <w:b/>
          <w:color w:val="FBCAA2" w:themeColor="accent6" w:themeTint="80"/>
          <w:sz w:val="20"/>
        </w:rPr>
        <w:t xml:space="preserve"> </w:t>
      </w:r>
    </w:p>
    <w:p w14:paraId="3EBFC1A2" w14:textId="77777777" w:rsidR="0073058D" w:rsidRPr="00914DCD" w:rsidRDefault="0073058D" w:rsidP="0073058D">
      <w:pPr>
        <w:tabs>
          <w:tab w:val="left" w:pos="851"/>
        </w:tabs>
        <w:ind w:right="-2"/>
        <w:rPr>
          <w:rFonts w:ascii="Georgia" w:hAnsi="Georgia"/>
          <w:b/>
          <w:color w:val="FBCAA2" w:themeColor="accent6" w:themeTint="80"/>
          <w:sz w:val="20"/>
        </w:rPr>
      </w:pPr>
    </w:p>
    <w:p w14:paraId="5D743080" w14:textId="77777777" w:rsidR="0073058D" w:rsidRPr="00F513EB" w:rsidRDefault="0073058D" w:rsidP="0073058D">
      <w:pPr>
        <w:pStyle w:val="Prrafodelista"/>
        <w:tabs>
          <w:tab w:val="left" w:pos="567"/>
        </w:tabs>
        <w:ind w:left="0" w:right="-2"/>
        <w:rPr>
          <w:rFonts w:ascii="Georgia" w:hAnsi="Georgia"/>
          <w:color w:val="FBCAA2" w:themeColor="accent6" w:themeTint="80"/>
          <w:sz w:val="20"/>
          <w:u w:val="single"/>
        </w:rPr>
      </w:pPr>
      <w:r w:rsidRPr="00F513EB">
        <w:rPr>
          <w:rFonts w:ascii="Georgia" w:hAnsi="Georgia"/>
          <w:sz w:val="20"/>
          <w:u w:val="single"/>
        </w:rPr>
        <w:t>Diferencia entre el marco de información contable del B.C.R.A. y las N.I.I.F.</w:t>
      </w:r>
      <w:r w:rsidRPr="00F513EB">
        <w:rPr>
          <w:rFonts w:ascii="Georgia" w:hAnsi="Georgia"/>
          <w:color w:val="FBCAA2" w:themeColor="accent6" w:themeTint="80"/>
          <w:sz w:val="20"/>
          <w:u w:val="single"/>
        </w:rPr>
        <w:t xml:space="preserve"> </w:t>
      </w:r>
    </w:p>
    <w:p w14:paraId="4D7597BC" w14:textId="77777777" w:rsidR="0073058D" w:rsidRPr="00914DCD" w:rsidRDefault="0073058D" w:rsidP="0073058D">
      <w:pPr>
        <w:pStyle w:val="Prrafodelista"/>
        <w:tabs>
          <w:tab w:val="left" w:pos="567"/>
        </w:tabs>
        <w:ind w:left="0" w:right="-2"/>
        <w:rPr>
          <w:rFonts w:ascii="Georgia" w:hAnsi="Georgia"/>
          <w:b/>
          <w:color w:val="FBCAA2" w:themeColor="accent6" w:themeTint="80"/>
          <w:sz w:val="20"/>
        </w:rPr>
      </w:pPr>
    </w:p>
    <w:p w14:paraId="334ADD17" w14:textId="77777777" w:rsidR="0073058D" w:rsidRPr="00914DCD" w:rsidRDefault="0073058D" w:rsidP="0073058D">
      <w:pPr>
        <w:pStyle w:val="Prrafodelista"/>
        <w:tabs>
          <w:tab w:val="left" w:pos="567"/>
        </w:tabs>
        <w:ind w:left="0" w:right="-2"/>
        <w:rPr>
          <w:rFonts w:ascii="Georgia" w:hAnsi="Georgia"/>
          <w:b/>
          <w:i/>
          <w:sz w:val="20"/>
          <w:u w:val="single"/>
        </w:rPr>
      </w:pPr>
      <w:r w:rsidRPr="00914DCD">
        <w:rPr>
          <w:rFonts w:ascii="Georgia" w:hAnsi="Georgia"/>
          <w:sz w:val="20"/>
        </w:rPr>
        <w:t xml:space="preserve">Sin modificar nuestra conclusión, llamamos la atención sobre la nota </w:t>
      </w:r>
      <w:r>
        <w:rPr>
          <w:rFonts w:ascii="Georgia" w:hAnsi="Georgia"/>
          <w:sz w:val="20"/>
        </w:rPr>
        <w:t>1.1</w:t>
      </w:r>
      <w:r w:rsidRPr="00914DCD">
        <w:rPr>
          <w:rFonts w:ascii="Georgia" w:hAnsi="Georgia"/>
          <w:sz w:val="20"/>
        </w:rPr>
        <w:t xml:space="preserve"> a los estados financieros condensados</w:t>
      </w:r>
      <w:r>
        <w:rPr>
          <w:rFonts w:ascii="Georgia" w:hAnsi="Georgia"/>
          <w:sz w:val="20"/>
        </w:rPr>
        <w:t xml:space="preserve"> separados</w:t>
      </w:r>
      <w:r w:rsidRPr="00914DCD">
        <w:rPr>
          <w:rFonts w:ascii="Georgia" w:hAnsi="Georgia"/>
          <w:sz w:val="20"/>
        </w:rPr>
        <w:t xml:space="preserve"> intermedios adjuntos, </w:t>
      </w:r>
      <w:r w:rsidRPr="008B677E">
        <w:rPr>
          <w:rFonts w:ascii="Georgia" w:hAnsi="Georgia"/>
          <w:sz w:val="20"/>
        </w:rPr>
        <w:t xml:space="preserve">en la que se </w:t>
      </w:r>
      <w:r>
        <w:rPr>
          <w:rFonts w:ascii="Georgia" w:hAnsi="Georgia"/>
          <w:sz w:val="20"/>
        </w:rPr>
        <w:t>describen</w:t>
      </w:r>
      <w:r w:rsidRPr="008B677E">
        <w:rPr>
          <w:rFonts w:ascii="Georgia" w:hAnsi="Georgia"/>
          <w:sz w:val="20"/>
        </w:rPr>
        <w:t xml:space="preserve"> </w:t>
      </w:r>
      <w:r>
        <w:rPr>
          <w:rFonts w:ascii="Georgia" w:hAnsi="Georgia"/>
          <w:sz w:val="20"/>
        </w:rPr>
        <w:t>las diferencias entre el marco de información contable del B.C.R.A. y las N.I.I.F.</w:t>
      </w:r>
      <w:r w:rsidRPr="008B677E">
        <w:rPr>
          <w:rFonts w:ascii="Georgia" w:hAnsi="Georgia"/>
          <w:sz w:val="20"/>
        </w:rPr>
        <w:t>,</w:t>
      </w:r>
      <w:r>
        <w:rPr>
          <w:rFonts w:ascii="Georgia" w:hAnsi="Georgia"/>
          <w:sz w:val="20"/>
        </w:rPr>
        <w:t xml:space="preserve"> considerando que </w:t>
      </w:r>
      <w:r w:rsidRPr="008B677E">
        <w:rPr>
          <w:rFonts w:ascii="Georgia" w:hAnsi="Georgia"/>
          <w:sz w:val="20"/>
        </w:rPr>
        <w:t>la aplicación de la sección 5.5 “Deterioro de valor” de la N</w:t>
      </w:r>
      <w:r>
        <w:rPr>
          <w:rFonts w:ascii="Georgia" w:hAnsi="Georgia"/>
          <w:sz w:val="20"/>
        </w:rPr>
        <w:t>.</w:t>
      </w:r>
      <w:r w:rsidRPr="008B677E">
        <w:rPr>
          <w:rFonts w:ascii="Georgia" w:hAnsi="Georgia"/>
          <w:sz w:val="20"/>
        </w:rPr>
        <w:t>I</w:t>
      </w:r>
      <w:r>
        <w:rPr>
          <w:rFonts w:ascii="Georgia" w:hAnsi="Georgia"/>
          <w:sz w:val="20"/>
        </w:rPr>
        <w:t>.</w:t>
      </w:r>
      <w:r w:rsidRPr="008B677E">
        <w:rPr>
          <w:rFonts w:ascii="Georgia" w:hAnsi="Georgia"/>
          <w:sz w:val="20"/>
        </w:rPr>
        <w:t>I</w:t>
      </w:r>
      <w:r>
        <w:rPr>
          <w:rFonts w:ascii="Georgia" w:hAnsi="Georgia"/>
          <w:sz w:val="20"/>
        </w:rPr>
        <w:t>.</w:t>
      </w:r>
      <w:r w:rsidRPr="008B677E">
        <w:rPr>
          <w:rFonts w:ascii="Georgia" w:hAnsi="Georgia"/>
          <w:sz w:val="20"/>
        </w:rPr>
        <w:t>F</w:t>
      </w:r>
      <w:r>
        <w:rPr>
          <w:rFonts w:ascii="Georgia" w:hAnsi="Georgia"/>
          <w:sz w:val="20"/>
        </w:rPr>
        <w:t>.</w:t>
      </w:r>
      <w:r w:rsidRPr="008B677E">
        <w:rPr>
          <w:rFonts w:ascii="Georgia" w:hAnsi="Georgia"/>
          <w:sz w:val="20"/>
        </w:rPr>
        <w:t xml:space="preserve"> 9 “Instrumentos Financieros”</w:t>
      </w:r>
      <w:r>
        <w:rPr>
          <w:rFonts w:ascii="Georgia" w:hAnsi="Georgia"/>
          <w:sz w:val="20"/>
        </w:rPr>
        <w:t xml:space="preserve"> y la N.I.C. 29, fueron excluidas</w:t>
      </w:r>
      <w:r w:rsidRPr="008B677E">
        <w:rPr>
          <w:rFonts w:ascii="Georgia" w:hAnsi="Georgia"/>
          <w:sz w:val="20"/>
        </w:rPr>
        <w:t xml:space="preserve"> por el B</w:t>
      </w:r>
      <w:r>
        <w:rPr>
          <w:rFonts w:ascii="Georgia" w:hAnsi="Georgia"/>
          <w:sz w:val="20"/>
        </w:rPr>
        <w:t>.</w:t>
      </w:r>
      <w:r w:rsidRPr="008B677E">
        <w:rPr>
          <w:rFonts w:ascii="Georgia" w:hAnsi="Georgia"/>
          <w:sz w:val="20"/>
        </w:rPr>
        <w:t>C</w:t>
      </w:r>
      <w:r>
        <w:rPr>
          <w:rFonts w:ascii="Georgia" w:hAnsi="Georgia"/>
          <w:sz w:val="20"/>
        </w:rPr>
        <w:t>.</w:t>
      </w:r>
      <w:r w:rsidRPr="008B677E">
        <w:rPr>
          <w:rFonts w:ascii="Georgia" w:hAnsi="Georgia"/>
          <w:sz w:val="20"/>
        </w:rPr>
        <w:t>R</w:t>
      </w:r>
      <w:r>
        <w:rPr>
          <w:rFonts w:ascii="Georgia" w:hAnsi="Georgia"/>
          <w:sz w:val="20"/>
        </w:rPr>
        <w:t xml:space="preserve">.A. </w:t>
      </w:r>
      <w:r w:rsidRPr="008B677E">
        <w:rPr>
          <w:rFonts w:ascii="Georgia" w:hAnsi="Georgia"/>
          <w:sz w:val="20"/>
        </w:rPr>
        <w:t>del marco contable aplicable a las entidades financieras</w:t>
      </w:r>
      <w:r w:rsidRPr="00914DCD">
        <w:rPr>
          <w:rFonts w:ascii="Georgia" w:hAnsi="Georgia"/>
          <w:sz w:val="20"/>
        </w:rPr>
        <w:t xml:space="preserve">. </w:t>
      </w:r>
    </w:p>
    <w:p w14:paraId="5A10945E" w14:textId="77777777" w:rsidR="0073058D" w:rsidRPr="00914DCD" w:rsidRDefault="0073058D" w:rsidP="0073058D">
      <w:pPr>
        <w:tabs>
          <w:tab w:val="left" w:pos="851"/>
        </w:tabs>
        <w:ind w:right="-2"/>
        <w:rPr>
          <w:rFonts w:ascii="Georgia" w:hAnsi="Georgia"/>
          <w:b/>
          <w:color w:val="FBCAA2" w:themeColor="accent6" w:themeTint="80"/>
          <w:sz w:val="20"/>
        </w:rPr>
      </w:pPr>
    </w:p>
    <w:p w14:paraId="4918D242" w14:textId="77777777" w:rsidR="0073058D" w:rsidRPr="00F513EB" w:rsidRDefault="0073058D" w:rsidP="0073058D">
      <w:pPr>
        <w:tabs>
          <w:tab w:val="left" w:pos="851"/>
        </w:tabs>
        <w:ind w:right="-2"/>
        <w:rPr>
          <w:rFonts w:ascii="Georgia" w:hAnsi="Georgia"/>
          <w:sz w:val="20"/>
          <w:u w:val="single"/>
        </w:rPr>
      </w:pPr>
      <w:r w:rsidRPr="00F513EB">
        <w:rPr>
          <w:rFonts w:ascii="Georgia" w:hAnsi="Georgia"/>
          <w:sz w:val="20"/>
          <w:u w:val="single"/>
        </w:rPr>
        <w:t>Primer ejercicio de aplicación de la N.I.C. 34</w:t>
      </w:r>
    </w:p>
    <w:p w14:paraId="58470E55" w14:textId="77777777" w:rsidR="0073058D" w:rsidRPr="00914DCD" w:rsidRDefault="0073058D" w:rsidP="0073058D">
      <w:pPr>
        <w:tabs>
          <w:tab w:val="left" w:pos="851"/>
        </w:tabs>
        <w:ind w:right="-2"/>
        <w:rPr>
          <w:rFonts w:ascii="Georgia" w:hAnsi="Georgia"/>
          <w:b/>
          <w:sz w:val="20"/>
          <w:u w:val="single"/>
        </w:rPr>
      </w:pPr>
    </w:p>
    <w:p w14:paraId="38FDC359" w14:textId="77777777" w:rsidR="0073058D" w:rsidRPr="00914DCD" w:rsidRDefault="0073058D" w:rsidP="0073058D">
      <w:pPr>
        <w:tabs>
          <w:tab w:val="left" w:pos="851"/>
        </w:tabs>
        <w:ind w:right="-2"/>
        <w:rPr>
          <w:rFonts w:ascii="Georgia" w:hAnsi="Georgia"/>
          <w:sz w:val="20"/>
        </w:rPr>
      </w:pPr>
      <w:r w:rsidRPr="00914DCD">
        <w:rPr>
          <w:rFonts w:ascii="Georgia" w:hAnsi="Georgia"/>
          <w:sz w:val="20"/>
        </w:rPr>
        <w:t xml:space="preserve">Sin modificar nuestra conclusión, llamamos la atención sobre la </w:t>
      </w:r>
      <w:r>
        <w:rPr>
          <w:rFonts w:ascii="Georgia" w:hAnsi="Georgia"/>
          <w:sz w:val="20"/>
        </w:rPr>
        <w:t>nota 1.1</w:t>
      </w:r>
      <w:r w:rsidRPr="00914DCD">
        <w:rPr>
          <w:rFonts w:ascii="Georgia" w:hAnsi="Georgia"/>
          <w:sz w:val="20"/>
        </w:rPr>
        <w:t xml:space="preserve">, en la que se indica que los estados financieros condensados </w:t>
      </w:r>
      <w:r>
        <w:rPr>
          <w:rFonts w:ascii="Georgia" w:hAnsi="Georgia"/>
          <w:sz w:val="20"/>
        </w:rPr>
        <w:t xml:space="preserve">separados </w:t>
      </w:r>
      <w:r w:rsidRPr="00914DCD">
        <w:rPr>
          <w:rFonts w:ascii="Georgia" w:hAnsi="Georgia"/>
          <w:sz w:val="20"/>
        </w:rPr>
        <w:t>intermedios, mencionados en el primer párrafo, han sido preparados en el marco contable establecido por el B</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R</w:t>
      </w:r>
      <w:r>
        <w:rPr>
          <w:rFonts w:ascii="Georgia" w:hAnsi="Georgia"/>
          <w:sz w:val="20"/>
        </w:rPr>
        <w:t>.</w:t>
      </w:r>
      <w:r w:rsidRPr="00914DCD">
        <w:rPr>
          <w:rFonts w:ascii="Georgia" w:hAnsi="Georgia"/>
          <w:sz w:val="20"/>
        </w:rPr>
        <w:t>A</w:t>
      </w:r>
      <w:r>
        <w:rPr>
          <w:rFonts w:ascii="Georgia" w:hAnsi="Georgia"/>
          <w:sz w:val="20"/>
        </w:rPr>
        <w:t>.</w:t>
      </w:r>
      <w:r w:rsidRPr="00914DCD">
        <w:rPr>
          <w:rFonts w:ascii="Georgia" w:hAnsi="Georgia"/>
          <w:sz w:val="20"/>
        </w:rPr>
        <w:t>, conforme a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C</w:t>
      </w:r>
      <w:r>
        <w:rPr>
          <w:rFonts w:ascii="Georgia" w:hAnsi="Georgia"/>
          <w:sz w:val="20"/>
        </w:rPr>
        <w:t>.</w:t>
      </w:r>
      <w:r w:rsidRPr="00914DCD">
        <w:rPr>
          <w:rFonts w:ascii="Georgia" w:hAnsi="Georgia"/>
          <w:sz w:val="20"/>
        </w:rPr>
        <w:t xml:space="preserve"> 34 (con </w:t>
      </w:r>
      <w:r>
        <w:rPr>
          <w:rFonts w:ascii="Georgia" w:hAnsi="Georgia"/>
          <w:sz w:val="20"/>
        </w:rPr>
        <w:t xml:space="preserve">la </w:t>
      </w:r>
      <w:r w:rsidRPr="00914DCD">
        <w:rPr>
          <w:rFonts w:ascii="Georgia" w:hAnsi="Georgia"/>
          <w:sz w:val="20"/>
        </w:rPr>
        <w:t>excepción descripta en la mencionada nota</w:t>
      </w:r>
      <w:r>
        <w:rPr>
          <w:rFonts w:ascii="Georgia" w:hAnsi="Georgia"/>
          <w:sz w:val="20"/>
        </w:rPr>
        <w:t>)</w:t>
      </w:r>
      <w:r w:rsidRPr="00914DCD">
        <w:rPr>
          <w:rFonts w:ascii="Georgia" w:hAnsi="Georgia"/>
          <w:sz w:val="20"/>
        </w:rPr>
        <w:t xml:space="preserve">, siendo éste el primer ejercicio económico en que la Entidad aplica dichas normas. Los efectos de los cambios originados por la aplicación de esta nueva base contable se presentan en nota </w:t>
      </w:r>
      <w:r>
        <w:rPr>
          <w:rFonts w:ascii="Georgia" w:hAnsi="Georgia"/>
          <w:sz w:val="20"/>
        </w:rPr>
        <w:t>2</w:t>
      </w:r>
      <w:r w:rsidRPr="00914DCD">
        <w:rPr>
          <w:rFonts w:ascii="Georgia" w:hAnsi="Georgia"/>
          <w:sz w:val="20"/>
        </w:rPr>
        <w:t>.  Las partidas y cifras, contenidas en las conciliaciones incluidas en dicha nota, están sujetas a los cambios que pudieran producirse como consecuencia de variaciones en las N</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I</w:t>
      </w:r>
      <w:r>
        <w:rPr>
          <w:rFonts w:ascii="Georgia" w:hAnsi="Georgia"/>
          <w:sz w:val="20"/>
        </w:rPr>
        <w:t>.</w:t>
      </w:r>
      <w:r w:rsidRPr="00914DCD">
        <w:rPr>
          <w:rFonts w:ascii="Georgia" w:hAnsi="Georgia"/>
          <w:sz w:val="20"/>
        </w:rPr>
        <w:t>F</w:t>
      </w:r>
      <w:r>
        <w:rPr>
          <w:rFonts w:ascii="Georgia" w:hAnsi="Georgia"/>
          <w:sz w:val="20"/>
        </w:rPr>
        <w:t>.</w:t>
      </w:r>
      <w:r w:rsidRPr="00914DCD">
        <w:rPr>
          <w:rFonts w:ascii="Georgia" w:hAnsi="Georgia"/>
          <w:sz w:val="20"/>
        </w:rPr>
        <w:t xml:space="preserve"> que finalmente se apliquen y sólo podrán considerarse definitivas cuando se preparen los estados financieros anuales correspondientes al presente ejercicio.</w:t>
      </w:r>
    </w:p>
    <w:p w14:paraId="7A3BF975" w14:textId="77777777" w:rsidR="0073058D" w:rsidRPr="00914DCD" w:rsidRDefault="0073058D" w:rsidP="0073058D">
      <w:pPr>
        <w:tabs>
          <w:tab w:val="left" w:pos="851"/>
        </w:tabs>
        <w:ind w:right="-2"/>
        <w:rPr>
          <w:rFonts w:ascii="Georgia" w:hAnsi="Georgia"/>
          <w:b/>
          <w:color w:val="FBCAA2" w:themeColor="accent6" w:themeTint="80"/>
          <w:sz w:val="20"/>
        </w:rPr>
      </w:pPr>
    </w:p>
    <w:p w14:paraId="69DDEC52" w14:textId="77777777" w:rsidR="0073058D" w:rsidRPr="002630F0" w:rsidRDefault="0073058D" w:rsidP="0073058D">
      <w:pPr>
        <w:pStyle w:val="Prrafodelista"/>
        <w:tabs>
          <w:tab w:val="left" w:pos="567"/>
        </w:tabs>
        <w:ind w:left="0" w:right="-2"/>
        <w:rPr>
          <w:rFonts w:ascii="Georgia" w:hAnsi="Georgia"/>
          <w:b/>
          <w:sz w:val="20"/>
        </w:rPr>
      </w:pPr>
      <w:r>
        <w:rPr>
          <w:rFonts w:ascii="Georgia" w:hAnsi="Georgia"/>
          <w:b/>
          <w:sz w:val="20"/>
        </w:rPr>
        <w:t xml:space="preserve">Informe sobre </w:t>
      </w:r>
      <w:r w:rsidRPr="002630F0">
        <w:rPr>
          <w:rFonts w:ascii="Georgia" w:hAnsi="Georgia"/>
          <w:b/>
          <w:sz w:val="20"/>
        </w:rPr>
        <w:t>cumplimiento de disposiciones vigentes</w:t>
      </w:r>
    </w:p>
    <w:p w14:paraId="01BFF882" w14:textId="77777777" w:rsidR="0073058D" w:rsidRPr="00216DB3" w:rsidRDefault="0073058D" w:rsidP="0073058D">
      <w:pPr>
        <w:pStyle w:val="Prrafodelista"/>
        <w:ind w:left="0" w:right="-2"/>
        <w:rPr>
          <w:rFonts w:ascii="Georgia" w:hAnsi="Georgia"/>
          <w:i/>
          <w:sz w:val="20"/>
        </w:rPr>
      </w:pPr>
    </w:p>
    <w:p w14:paraId="3CAD4A39" w14:textId="77777777" w:rsidR="0073058D" w:rsidRPr="004565CA" w:rsidRDefault="0073058D" w:rsidP="0073058D">
      <w:pPr>
        <w:tabs>
          <w:tab w:val="left" w:pos="851"/>
        </w:tabs>
        <w:ind w:right="-2"/>
        <w:rPr>
          <w:rFonts w:ascii="Georgia" w:hAnsi="Georgia"/>
          <w:b/>
          <w:sz w:val="20"/>
        </w:rPr>
      </w:pPr>
      <w:r w:rsidRPr="004565CA">
        <w:rPr>
          <w:rFonts w:ascii="Georgia" w:hAnsi="Georgia"/>
          <w:sz w:val="20"/>
        </w:rPr>
        <w:t>En cumplimiento de disposiciones vigentes informamos que:</w:t>
      </w:r>
    </w:p>
    <w:p w14:paraId="5F0552FC" w14:textId="77777777" w:rsidR="0073058D" w:rsidRDefault="0073058D" w:rsidP="0073058D">
      <w:pPr>
        <w:ind w:right="-2"/>
        <w:rPr>
          <w:rFonts w:ascii="Georgia" w:hAnsi="Georgia"/>
          <w:sz w:val="20"/>
        </w:rPr>
      </w:pPr>
    </w:p>
    <w:p w14:paraId="6A4D7C10" w14:textId="77777777" w:rsidR="0073058D" w:rsidRDefault="0073058D" w:rsidP="0073058D">
      <w:pPr>
        <w:numPr>
          <w:ilvl w:val="0"/>
          <w:numId w:val="111"/>
        </w:numPr>
        <w:ind w:left="0" w:right="-2" w:hanging="284"/>
        <w:rPr>
          <w:rFonts w:ascii="Georgia" w:hAnsi="Georgia"/>
          <w:sz w:val="20"/>
        </w:rPr>
      </w:pPr>
      <w:r w:rsidRPr="000D7F3F">
        <w:rPr>
          <w:rFonts w:ascii="Georgia" w:hAnsi="Georgia"/>
          <w:sz w:val="20"/>
        </w:rPr>
        <w:t xml:space="preserve">los estados </w:t>
      </w:r>
      <w:r>
        <w:rPr>
          <w:rFonts w:ascii="Georgia" w:hAnsi="Georgia"/>
          <w:sz w:val="20"/>
        </w:rPr>
        <w:t xml:space="preserve">financieros </w:t>
      </w:r>
      <w:r w:rsidRPr="00A0176A">
        <w:rPr>
          <w:rFonts w:ascii="Georgia" w:hAnsi="Georgia"/>
          <w:sz w:val="20"/>
        </w:rPr>
        <w:t>condensados</w:t>
      </w:r>
      <w:r>
        <w:rPr>
          <w:rFonts w:ascii="Georgia" w:hAnsi="Georgia"/>
          <w:sz w:val="20"/>
        </w:rPr>
        <w:t xml:space="preserve"> separados </w:t>
      </w:r>
      <w:r w:rsidRPr="00A0176A">
        <w:rPr>
          <w:rFonts w:ascii="Georgia" w:hAnsi="Georgia"/>
          <w:sz w:val="20"/>
        </w:rPr>
        <w:t>intermedios</w:t>
      </w:r>
      <w:r>
        <w:rPr>
          <w:rFonts w:ascii="Georgia" w:hAnsi="Georgia"/>
          <w:sz w:val="20"/>
        </w:rPr>
        <w:t xml:space="preserve"> de Banco Supervielle S.A. </w:t>
      </w:r>
      <w:r w:rsidRPr="009812EE">
        <w:rPr>
          <w:rFonts w:ascii="Georgia" w:hAnsi="Georgia"/>
          <w:sz w:val="20"/>
        </w:rPr>
        <w:t>al</w:t>
      </w:r>
      <w:r>
        <w:rPr>
          <w:rFonts w:ascii="Georgia" w:hAnsi="Georgia"/>
          <w:sz w:val="20"/>
        </w:rPr>
        <w:t xml:space="preserve"> 30 </w:t>
      </w:r>
      <w:r w:rsidRPr="009812EE">
        <w:rPr>
          <w:rFonts w:ascii="Georgia" w:hAnsi="Georgia"/>
          <w:sz w:val="20"/>
        </w:rPr>
        <w:t xml:space="preserve">de </w:t>
      </w:r>
      <w:r>
        <w:rPr>
          <w:rFonts w:ascii="Georgia" w:hAnsi="Georgia"/>
          <w:sz w:val="20"/>
        </w:rPr>
        <w:t>septiembre de 2018</w:t>
      </w:r>
      <w:r w:rsidRPr="009812EE">
        <w:rPr>
          <w:rFonts w:ascii="Georgia" w:hAnsi="Georgia"/>
          <w:sz w:val="20"/>
        </w:rPr>
        <w:t xml:space="preserve"> se encuentran asent</w:t>
      </w:r>
      <w:r>
        <w:rPr>
          <w:rFonts w:ascii="Georgia" w:hAnsi="Georgia"/>
          <w:sz w:val="20"/>
        </w:rPr>
        <w:t>ados en el libro "</w:t>
      </w:r>
      <w:r w:rsidRPr="009812EE">
        <w:rPr>
          <w:rFonts w:ascii="Georgia" w:hAnsi="Georgia"/>
          <w:sz w:val="20"/>
        </w:rPr>
        <w:t xml:space="preserve">Balances" y cumplen, en lo que es materia de nuestra competencia, con lo dispuesto en la Ley </w:t>
      </w:r>
      <w:r>
        <w:rPr>
          <w:rFonts w:ascii="Georgia" w:hAnsi="Georgia"/>
          <w:sz w:val="20"/>
        </w:rPr>
        <w:t xml:space="preserve">General </w:t>
      </w:r>
      <w:r w:rsidRPr="009812EE">
        <w:rPr>
          <w:rFonts w:ascii="Georgia" w:hAnsi="Georgia"/>
          <w:sz w:val="20"/>
        </w:rPr>
        <w:t>de Sociedades y en las resoluciones pertinentes del B</w:t>
      </w:r>
      <w:r>
        <w:rPr>
          <w:rFonts w:ascii="Georgia" w:hAnsi="Georgia"/>
          <w:sz w:val="20"/>
        </w:rPr>
        <w:t>.</w:t>
      </w:r>
      <w:r w:rsidRPr="009812EE">
        <w:rPr>
          <w:rFonts w:ascii="Georgia" w:hAnsi="Georgia"/>
          <w:sz w:val="20"/>
        </w:rPr>
        <w:t>C</w:t>
      </w:r>
      <w:r>
        <w:rPr>
          <w:rFonts w:ascii="Georgia" w:hAnsi="Georgia"/>
          <w:sz w:val="20"/>
        </w:rPr>
        <w:t>.</w:t>
      </w:r>
      <w:r w:rsidRPr="009812EE">
        <w:rPr>
          <w:rFonts w:ascii="Georgia" w:hAnsi="Georgia"/>
          <w:sz w:val="20"/>
        </w:rPr>
        <w:t>R</w:t>
      </w:r>
      <w:r>
        <w:rPr>
          <w:rFonts w:ascii="Georgia" w:hAnsi="Georgia"/>
          <w:sz w:val="20"/>
        </w:rPr>
        <w:t>.</w:t>
      </w:r>
      <w:r w:rsidRPr="009812EE">
        <w:rPr>
          <w:rFonts w:ascii="Georgia" w:hAnsi="Georgia"/>
          <w:sz w:val="20"/>
        </w:rPr>
        <w:t>A</w:t>
      </w:r>
      <w:r>
        <w:rPr>
          <w:rFonts w:ascii="Georgia" w:hAnsi="Georgia"/>
          <w:sz w:val="20"/>
        </w:rPr>
        <w:t>.</w:t>
      </w:r>
      <w:r w:rsidRPr="009812EE">
        <w:rPr>
          <w:rFonts w:ascii="Georgia" w:hAnsi="Georgia"/>
          <w:sz w:val="20"/>
        </w:rPr>
        <w:t xml:space="preserve"> y la Comisión Nacional de Valores;</w:t>
      </w:r>
    </w:p>
    <w:p w14:paraId="399D6EF2" w14:textId="77777777" w:rsidR="0073058D" w:rsidRDefault="0073058D" w:rsidP="0073058D">
      <w:pPr>
        <w:pStyle w:val="Prrafodelista"/>
        <w:ind w:left="0" w:right="-2"/>
        <w:rPr>
          <w:rFonts w:ascii="Georgia" w:hAnsi="Georgia"/>
          <w:color w:val="FBCAA2" w:themeColor="accent6" w:themeTint="80"/>
          <w:sz w:val="20"/>
        </w:rPr>
      </w:pPr>
    </w:p>
    <w:p w14:paraId="67B5FA6D" w14:textId="77777777" w:rsidR="0073058D" w:rsidRPr="009812EE" w:rsidRDefault="0073058D" w:rsidP="0073058D">
      <w:pPr>
        <w:numPr>
          <w:ilvl w:val="0"/>
          <w:numId w:val="111"/>
        </w:numPr>
        <w:ind w:left="0" w:right="-2" w:hanging="284"/>
        <w:rPr>
          <w:rFonts w:ascii="Georgia" w:hAnsi="Georgia"/>
          <w:sz w:val="20"/>
        </w:rPr>
      </w:pPr>
      <w:r>
        <w:rPr>
          <w:rFonts w:ascii="Georgia" w:hAnsi="Georgia"/>
          <w:sz w:val="20"/>
        </w:rPr>
        <w:t>los estados financieros</w:t>
      </w:r>
      <w:r w:rsidRPr="000D7F3F">
        <w:rPr>
          <w:rFonts w:ascii="Georgia" w:hAnsi="Georgia"/>
          <w:sz w:val="20"/>
        </w:rPr>
        <w:t xml:space="preserve"> </w:t>
      </w:r>
      <w:r>
        <w:rPr>
          <w:rFonts w:ascii="Georgia" w:hAnsi="Georgia"/>
          <w:sz w:val="20"/>
        </w:rPr>
        <w:t>condensados separados intermedios de Banco Supervielle S.A.</w:t>
      </w:r>
      <w:r w:rsidRPr="009812EE">
        <w:rPr>
          <w:rFonts w:ascii="Georgia" w:hAnsi="Georgia"/>
          <w:color w:val="FBCAA2" w:themeColor="accent6" w:themeTint="80"/>
          <w:sz w:val="20"/>
        </w:rPr>
        <w:t xml:space="preserve"> </w:t>
      </w:r>
      <w:r w:rsidRPr="009812EE">
        <w:rPr>
          <w:rFonts w:ascii="Georgia" w:hAnsi="Georgia"/>
          <w:sz w:val="20"/>
        </w:rPr>
        <w:t>surgen de registros contables llevados en sus aspectos formales de conformidad con normas legales;</w:t>
      </w:r>
    </w:p>
    <w:p w14:paraId="4B55107F" w14:textId="77777777" w:rsidR="0073058D" w:rsidRPr="005B3567" w:rsidRDefault="0073058D" w:rsidP="0073058D">
      <w:pPr>
        <w:ind w:right="-2"/>
        <w:outlineLvl w:val="0"/>
        <w:rPr>
          <w:rFonts w:ascii="Georgia" w:hAnsi="Georgia"/>
          <w:sz w:val="20"/>
        </w:rPr>
      </w:pPr>
    </w:p>
    <w:p w14:paraId="1966BD5E" w14:textId="77777777" w:rsidR="0073058D" w:rsidRDefault="0073058D" w:rsidP="0073058D">
      <w:pPr>
        <w:pStyle w:val="Prrafodelista"/>
        <w:numPr>
          <w:ilvl w:val="0"/>
          <w:numId w:val="111"/>
        </w:numPr>
        <w:ind w:left="0" w:right="-2"/>
        <w:contextualSpacing/>
        <w:rPr>
          <w:rFonts w:ascii="Georgia" w:hAnsi="Georgia"/>
          <w:sz w:val="20"/>
        </w:rPr>
      </w:pPr>
      <w:r w:rsidRPr="00BF69C8">
        <w:rPr>
          <w:rFonts w:ascii="Georgia" w:hAnsi="Georgia"/>
          <w:sz w:val="20"/>
        </w:rPr>
        <w:t>hemos leído la reseña informativa y la información adicional a las notas a los estados contables requerida por el artículo 12°, Capítulo III, Título IV de la normativa de la Comisión Nacional de Valores, sobre la cual, en lo que es materia de nuestra competencia, no tenemos observaciones que formular</w:t>
      </w:r>
      <w:r>
        <w:rPr>
          <w:rFonts w:ascii="Georgia" w:hAnsi="Georgia"/>
          <w:sz w:val="20"/>
        </w:rPr>
        <w:t>;</w:t>
      </w:r>
    </w:p>
    <w:p w14:paraId="157B81D6" w14:textId="77777777" w:rsidR="0073058D" w:rsidRDefault="0073058D" w:rsidP="0073058D">
      <w:pPr>
        <w:ind w:right="-2"/>
        <w:rPr>
          <w:rFonts w:ascii="Georgia" w:hAnsi="Georgia"/>
          <w:sz w:val="20"/>
        </w:rPr>
      </w:pPr>
    </w:p>
    <w:p w14:paraId="3E30BB8B" w14:textId="77777777" w:rsidR="0073058D" w:rsidRPr="00BF69C8" w:rsidRDefault="0073058D" w:rsidP="0073058D">
      <w:pPr>
        <w:ind w:right="-2"/>
        <w:rPr>
          <w:rFonts w:ascii="Georgia" w:hAnsi="Georgia"/>
          <w:sz w:val="20"/>
        </w:rPr>
      </w:pPr>
    </w:p>
    <w:p w14:paraId="6E97A44D" w14:textId="77777777" w:rsidR="0073058D" w:rsidRDefault="0073058D" w:rsidP="0073058D">
      <w:pPr>
        <w:numPr>
          <w:ilvl w:val="0"/>
          <w:numId w:val="111"/>
        </w:numPr>
        <w:ind w:left="0" w:right="-2" w:hanging="284"/>
        <w:rPr>
          <w:rFonts w:ascii="Georgia" w:hAnsi="Georgia"/>
          <w:sz w:val="20"/>
        </w:rPr>
      </w:pPr>
      <w:r>
        <w:rPr>
          <w:rFonts w:ascii="Georgia" w:hAnsi="Georgia"/>
          <w:sz w:val="20"/>
        </w:rPr>
        <w:t xml:space="preserve">al 30 de septiembre de 2018 </w:t>
      </w:r>
      <w:r w:rsidRPr="00BF47C0">
        <w:rPr>
          <w:rFonts w:ascii="Georgia" w:hAnsi="Georgia"/>
          <w:sz w:val="20"/>
        </w:rPr>
        <w:t xml:space="preserve">la deuda devengada a favor del Sistema Integrado Previsional Argentino </w:t>
      </w:r>
      <w:r>
        <w:rPr>
          <w:rFonts w:ascii="Georgia" w:hAnsi="Georgia"/>
          <w:sz w:val="20"/>
        </w:rPr>
        <w:t xml:space="preserve">de Banco Supervielle S.A. </w:t>
      </w:r>
      <w:r w:rsidRPr="00BF47C0">
        <w:rPr>
          <w:rFonts w:ascii="Georgia" w:hAnsi="Georgia"/>
          <w:sz w:val="20"/>
        </w:rPr>
        <w:t>que surge de los regist</w:t>
      </w:r>
      <w:r>
        <w:rPr>
          <w:rFonts w:ascii="Georgia" w:hAnsi="Georgia"/>
          <w:sz w:val="20"/>
        </w:rPr>
        <w:t xml:space="preserve">ros contables de la Entidad </w:t>
      </w:r>
      <w:r w:rsidRPr="00BF47C0">
        <w:rPr>
          <w:rFonts w:ascii="Georgia" w:hAnsi="Georgia"/>
          <w:sz w:val="20"/>
        </w:rPr>
        <w:t>ascendía a $</w:t>
      </w:r>
      <w:r>
        <w:rPr>
          <w:rFonts w:ascii="Georgia" w:hAnsi="Georgia"/>
          <w:sz w:val="20"/>
        </w:rPr>
        <w:t xml:space="preserve"> 90.616.336,56</w:t>
      </w:r>
      <w:r w:rsidRPr="00BF47C0">
        <w:rPr>
          <w:rFonts w:ascii="Georgia" w:hAnsi="Georgia"/>
          <w:sz w:val="20"/>
        </w:rPr>
        <w:t xml:space="preserve">, </w:t>
      </w:r>
      <w:r w:rsidRPr="00BF69C8">
        <w:rPr>
          <w:rFonts w:ascii="Georgia" w:hAnsi="Georgia"/>
          <w:sz w:val="20"/>
        </w:rPr>
        <w:t>no siendo exigible a dicha fecha</w:t>
      </w:r>
      <w:r>
        <w:rPr>
          <w:rFonts w:ascii="Georgia" w:hAnsi="Georgia"/>
          <w:sz w:val="20"/>
        </w:rPr>
        <w:t>;</w:t>
      </w:r>
    </w:p>
    <w:p w14:paraId="4A8711E3" w14:textId="77777777" w:rsidR="0073058D" w:rsidRDefault="0073058D" w:rsidP="0073058D">
      <w:pPr>
        <w:pStyle w:val="Prrafodelista"/>
        <w:ind w:left="0" w:right="-2"/>
        <w:rPr>
          <w:rFonts w:ascii="Georgia" w:hAnsi="Georgia"/>
          <w:sz w:val="20"/>
        </w:rPr>
      </w:pPr>
    </w:p>
    <w:p w14:paraId="3AC60B4E" w14:textId="77777777" w:rsidR="0073058D" w:rsidRPr="00C066D5" w:rsidRDefault="0073058D" w:rsidP="0073058D">
      <w:pPr>
        <w:numPr>
          <w:ilvl w:val="0"/>
          <w:numId w:val="111"/>
        </w:numPr>
        <w:ind w:left="0" w:right="-2" w:hanging="284"/>
        <w:rPr>
          <w:rFonts w:ascii="Georgia" w:hAnsi="Georgia"/>
          <w:sz w:val="20"/>
        </w:rPr>
      </w:pPr>
      <w:r>
        <w:rPr>
          <w:rFonts w:ascii="Georgia" w:hAnsi="Georgia"/>
          <w:sz w:val="20"/>
        </w:rPr>
        <w:t xml:space="preserve"> </w:t>
      </w:r>
      <w:r w:rsidRPr="00C066D5">
        <w:rPr>
          <w:rFonts w:ascii="Georgia" w:hAnsi="Georgia"/>
          <w:sz w:val="20"/>
        </w:rPr>
        <w:t xml:space="preserve">hemos leído la </w:t>
      </w:r>
      <w:r>
        <w:rPr>
          <w:rFonts w:ascii="Georgia" w:hAnsi="Georgia"/>
          <w:sz w:val="20"/>
        </w:rPr>
        <w:t xml:space="preserve">información incluida en la nota 15.5.1. a los estados financieros condensados separados intermedios </w:t>
      </w:r>
      <w:r w:rsidRPr="00C066D5">
        <w:rPr>
          <w:rFonts w:ascii="Georgia" w:hAnsi="Georgia"/>
          <w:sz w:val="20"/>
        </w:rPr>
        <w:t xml:space="preserve">al </w:t>
      </w:r>
      <w:r>
        <w:rPr>
          <w:rFonts w:ascii="Georgia" w:hAnsi="Georgia"/>
          <w:sz w:val="20"/>
        </w:rPr>
        <w:t xml:space="preserve">30 </w:t>
      </w:r>
      <w:r w:rsidRPr="00C066D5">
        <w:rPr>
          <w:rFonts w:ascii="Georgia" w:hAnsi="Georgia"/>
          <w:sz w:val="20"/>
        </w:rPr>
        <w:t xml:space="preserve">de </w:t>
      </w:r>
      <w:r>
        <w:rPr>
          <w:rFonts w:ascii="Georgia" w:hAnsi="Georgia"/>
          <w:sz w:val="20"/>
        </w:rPr>
        <w:t>septiembre</w:t>
      </w:r>
      <w:r w:rsidRPr="00C066D5">
        <w:rPr>
          <w:rFonts w:ascii="Georgia" w:hAnsi="Georgia"/>
          <w:sz w:val="20"/>
        </w:rPr>
        <w:t xml:space="preserve"> de 20</w:t>
      </w:r>
      <w:r>
        <w:rPr>
          <w:rFonts w:ascii="Georgia" w:hAnsi="Georgia"/>
          <w:sz w:val="20"/>
        </w:rPr>
        <w:t>18</w:t>
      </w:r>
      <w:r w:rsidRPr="00C066D5">
        <w:rPr>
          <w:rFonts w:ascii="Georgia" w:hAnsi="Georgia"/>
          <w:sz w:val="20"/>
        </w:rPr>
        <w:t xml:space="preserve"> en relación con las exigencias establecidas por la Comisión Nacionales de Valores respecto a Patrimonio Neto Mínimo y Contrapartida, sobre la cual, en lo que es materia de </w:t>
      </w:r>
      <w:r>
        <w:rPr>
          <w:rFonts w:ascii="Georgia" w:hAnsi="Georgia"/>
          <w:sz w:val="20"/>
        </w:rPr>
        <w:t xml:space="preserve">nuestra </w:t>
      </w:r>
      <w:r w:rsidRPr="00C066D5">
        <w:rPr>
          <w:rFonts w:ascii="Georgia" w:hAnsi="Georgia"/>
          <w:sz w:val="20"/>
        </w:rPr>
        <w:t xml:space="preserve">competencia, no tenemos </w:t>
      </w:r>
      <w:r>
        <w:rPr>
          <w:rFonts w:ascii="Georgia" w:hAnsi="Georgia"/>
          <w:sz w:val="20"/>
        </w:rPr>
        <w:t>observacio</w:t>
      </w:r>
      <w:r w:rsidRPr="00C066D5">
        <w:rPr>
          <w:rFonts w:ascii="Georgia" w:hAnsi="Georgia"/>
          <w:sz w:val="20"/>
        </w:rPr>
        <w:t>n</w:t>
      </w:r>
      <w:r>
        <w:rPr>
          <w:rFonts w:ascii="Georgia" w:hAnsi="Georgia"/>
          <w:sz w:val="20"/>
        </w:rPr>
        <w:t>es que formular.</w:t>
      </w:r>
      <w:r w:rsidRPr="00C066D5">
        <w:rPr>
          <w:rFonts w:ascii="Georgia" w:hAnsi="Georgia"/>
          <w:sz w:val="20"/>
        </w:rPr>
        <w:t xml:space="preserve"> </w:t>
      </w:r>
    </w:p>
    <w:p w14:paraId="5AAC8102" w14:textId="77777777" w:rsidR="0073058D" w:rsidRPr="00F57BA3" w:rsidRDefault="0073058D" w:rsidP="0073058D">
      <w:pPr>
        <w:ind w:right="-2"/>
        <w:outlineLvl w:val="0"/>
        <w:rPr>
          <w:rFonts w:ascii="Georgia" w:hAnsi="Georgia"/>
          <w:sz w:val="20"/>
        </w:rPr>
      </w:pPr>
    </w:p>
    <w:p w14:paraId="26DE031E" w14:textId="77777777" w:rsidR="0073058D" w:rsidRPr="00243FD7" w:rsidRDefault="0073058D" w:rsidP="0073058D">
      <w:pPr>
        <w:ind w:right="-2"/>
        <w:outlineLvl w:val="0"/>
        <w:rPr>
          <w:rFonts w:ascii="Georgia" w:hAnsi="Georgia"/>
          <w:sz w:val="20"/>
        </w:rPr>
      </w:pPr>
      <w:r w:rsidRPr="00243FD7">
        <w:rPr>
          <w:rFonts w:ascii="Georgia" w:hAnsi="Georgia"/>
          <w:sz w:val="20"/>
        </w:rPr>
        <w:t>Ciudad Autónoma de Bueno</w:t>
      </w:r>
      <w:r>
        <w:rPr>
          <w:rFonts w:ascii="Georgia" w:hAnsi="Georgia"/>
          <w:sz w:val="20"/>
        </w:rPr>
        <w:t>s Aires, 15 de noviembre de 2018.</w:t>
      </w:r>
    </w:p>
    <w:p w14:paraId="2E2A6420" w14:textId="77777777" w:rsidR="0073058D" w:rsidRDefault="0073058D" w:rsidP="0073058D">
      <w:pPr>
        <w:ind w:right="-2"/>
        <w:rPr>
          <w:highlight w:val="yellow"/>
        </w:rPr>
      </w:pPr>
    </w:p>
    <w:p w14:paraId="2B4FEB61" w14:textId="77777777" w:rsidR="0073058D" w:rsidRPr="00CA6547" w:rsidRDefault="0073058D" w:rsidP="0073058D">
      <w:pPr>
        <w:ind w:right="-2"/>
        <w:rPr>
          <w:highlight w:val="yellow"/>
        </w:rPr>
      </w:pPr>
    </w:p>
    <w:tbl>
      <w:tblPr>
        <w:tblW w:w="0" w:type="auto"/>
        <w:tblInd w:w="746" w:type="dxa"/>
        <w:tblLayout w:type="fixed"/>
        <w:tblCellMar>
          <w:left w:w="0" w:type="dxa"/>
          <w:right w:w="0" w:type="dxa"/>
        </w:tblCellMar>
        <w:tblLook w:val="0000" w:firstRow="0" w:lastRow="0" w:firstColumn="0" w:lastColumn="0" w:noHBand="0" w:noVBand="0"/>
      </w:tblPr>
      <w:tblGrid>
        <w:gridCol w:w="3119"/>
      </w:tblGrid>
      <w:tr w:rsidR="0073058D" w:rsidRPr="00CA6547" w14:paraId="5E3FB07A" w14:textId="77777777" w:rsidTr="00CB727C">
        <w:tc>
          <w:tcPr>
            <w:tcW w:w="3119" w:type="dxa"/>
            <w:tcBorders>
              <w:bottom w:val="single" w:sz="6" w:space="0" w:color="auto"/>
            </w:tcBorders>
          </w:tcPr>
          <w:p w14:paraId="3405B437" w14:textId="77777777" w:rsidR="0073058D" w:rsidRPr="00B42485" w:rsidRDefault="0073058D" w:rsidP="00CB727C">
            <w:pPr>
              <w:tabs>
                <w:tab w:val="left" w:pos="0"/>
                <w:tab w:val="left" w:pos="3223"/>
              </w:tabs>
              <w:ind w:right="-2"/>
              <w:rPr>
                <w:sz w:val="20"/>
                <w:lang w:val="en-US"/>
              </w:rPr>
            </w:pPr>
            <w:r w:rsidRPr="00B42485">
              <w:rPr>
                <w:sz w:val="20"/>
                <w:lang w:val="en-US"/>
              </w:rPr>
              <w:t>PRICE WATERHOUSE &amp; CO.S.R.L.</w:t>
            </w:r>
          </w:p>
          <w:p w14:paraId="59DF82DD" w14:textId="77777777" w:rsidR="0073058D" w:rsidRPr="00B42485" w:rsidRDefault="0073058D" w:rsidP="00CB727C">
            <w:pPr>
              <w:ind w:right="-2"/>
              <w:rPr>
                <w:sz w:val="20"/>
                <w:lang w:val="en-US"/>
              </w:rPr>
            </w:pPr>
          </w:p>
          <w:p w14:paraId="6EAC2CCD" w14:textId="77777777" w:rsidR="0073058D" w:rsidRPr="00BF47C0" w:rsidRDefault="0073058D" w:rsidP="00CB727C">
            <w:pPr>
              <w:tabs>
                <w:tab w:val="right" w:pos="3082"/>
              </w:tabs>
              <w:ind w:right="-2"/>
              <w:jc w:val="right"/>
              <w:rPr>
                <w:sz w:val="20"/>
              </w:rPr>
            </w:pPr>
            <w:r w:rsidRPr="00BF47C0">
              <w:rPr>
                <w:sz w:val="20"/>
              </w:rPr>
              <w:t>(Socio)</w:t>
            </w:r>
          </w:p>
        </w:tc>
      </w:tr>
      <w:tr w:rsidR="0073058D" w:rsidRPr="00CA6547" w14:paraId="6CEBD7B2" w14:textId="77777777" w:rsidTr="00CB727C">
        <w:trPr>
          <w:cantSplit/>
          <w:trHeight w:hRule="exact" w:val="180"/>
        </w:trPr>
        <w:tc>
          <w:tcPr>
            <w:tcW w:w="3119" w:type="dxa"/>
          </w:tcPr>
          <w:p w14:paraId="4C6229D6" w14:textId="77777777" w:rsidR="0073058D" w:rsidRPr="00276585" w:rsidRDefault="0073058D" w:rsidP="00CB727C">
            <w:pPr>
              <w:ind w:right="-2"/>
              <w:jc w:val="center"/>
            </w:pPr>
            <w:r w:rsidRPr="00276585">
              <w:rPr>
                <w:sz w:val="14"/>
              </w:rPr>
              <w:t>C.P.C.E.C.A.B.A. Tº 1 Fº 17</w:t>
            </w:r>
          </w:p>
        </w:tc>
      </w:tr>
      <w:tr w:rsidR="0073058D" w:rsidRPr="008C445D" w14:paraId="26DBE14A" w14:textId="77777777" w:rsidTr="00CB727C">
        <w:trPr>
          <w:cantSplit/>
          <w:trHeight w:val="686"/>
        </w:trPr>
        <w:tc>
          <w:tcPr>
            <w:tcW w:w="3119" w:type="dxa"/>
          </w:tcPr>
          <w:p w14:paraId="2EBEC984" w14:textId="77777777" w:rsidR="0073058D" w:rsidRPr="004162FD" w:rsidRDefault="0073058D" w:rsidP="00CB727C">
            <w:pPr>
              <w:tabs>
                <w:tab w:val="left" w:pos="-1440"/>
                <w:tab w:val="left" w:pos="-720"/>
                <w:tab w:val="left" w:pos="0"/>
                <w:tab w:val="left" w:pos="432"/>
                <w:tab w:val="left" w:pos="720"/>
              </w:tabs>
              <w:ind w:right="-2"/>
              <w:jc w:val="center"/>
              <w:rPr>
                <w:rFonts w:ascii="Georgia" w:hAnsi="Georgia"/>
                <w:sz w:val="18"/>
                <w:szCs w:val="18"/>
              </w:rPr>
            </w:pPr>
            <w:r>
              <w:rPr>
                <w:rFonts w:ascii="Georgia" w:hAnsi="Georgia"/>
                <w:sz w:val="18"/>
                <w:szCs w:val="18"/>
              </w:rPr>
              <w:t>Sebastián Morazzo</w:t>
            </w:r>
          </w:p>
          <w:p w14:paraId="68459E8C" w14:textId="77777777" w:rsidR="0073058D" w:rsidRPr="004162FD" w:rsidRDefault="0073058D" w:rsidP="00CB727C">
            <w:pPr>
              <w:tabs>
                <w:tab w:val="left" w:pos="-1440"/>
                <w:tab w:val="left" w:pos="-720"/>
                <w:tab w:val="left" w:pos="0"/>
                <w:tab w:val="left" w:pos="432"/>
                <w:tab w:val="left" w:pos="720"/>
              </w:tabs>
              <w:ind w:right="-2"/>
              <w:jc w:val="center"/>
              <w:rPr>
                <w:rFonts w:ascii="Georgia" w:hAnsi="Georgia"/>
                <w:sz w:val="14"/>
                <w:szCs w:val="14"/>
              </w:rPr>
            </w:pPr>
            <w:r w:rsidRPr="004162FD">
              <w:rPr>
                <w:rFonts w:ascii="Georgia" w:hAnsi="Georgia"/>
                <w:sz w:val="14"/>
                <w:szCs w:val="14"/>
              </w:rPr>
              <w:t>Contador Público (U.</w:t>
            </w:r>
            <w:r>
              <w:rPr>
                <w:rFonts w:ascii="Georgia" w:hAnsi="Georgia"/>
                <w:sz w:val="14"/>
                <w:szCs w:val="14"/>
              </w:rPr>
              <w:t>M</w:t>
            </w:r>
            <w:r w:rsidRPr="004162FD">
              <w:rPr>
                <w:rFonts w:ascii="Georgia" w:hAnsi="Georgia"/>
                <w:sz w:val="14"/>
                <w:szCs w:val="14"/>
              </w:rPr>
              <w:t>.)</w:t>
            </w:r>
          </w:p>
          <w:p w14:paraId="51E059A5" w14:textId="77777777" w:rsidR="0073058D" w:rsidRPr="003A6F36" w:rsidRDefault="0073058D" w:rsidP="00CB727C">
            <w:pPr>
              <w:tabs>
                <w:tab w:val="left" w:pos="-1440"/>
                <w:tab w:val="left" w:pos="-720"/>
                <w:tab w:val="left" w:pos="0"/>
                <w:tab w:val="left" w:pos="432"/>
                <w:tab w:val="left" w:pos="720"/>
              </w:tabs>
              <w:ind w:right="-2"/>
              <w:jc w:val="center"/>
            </w:pPr>
            <w:r>
              <w:rPr>
                <w:rFonts w:ascii="Georgia" w:hAnsi="Georgia"/>
                <w:sz w:val="14"/>
                <w:szCs w:val="14"/>
              </w:rPr>
              <w:t>C.P.C.E.C.A.B.A. T° 347</w:t>
            </w:r>
            <w:r w:rsidRPr="004162FD">
              <w:rPr>
                <w:rFonts w:ascii="Georgia" w:hAnsi="Georgia"/>
                <w:sz w:val="14"/>
                <w:szCs w:val="14"/>
              </w:rPr>
              <w:t xml:space="preserve"> F° 159</w:t>
            </w:r>
          </w:p>
        </w:tc>
      </w:tr>
    </w:tbl>
    <w:p w14:paraId="5C5E9F42" w14:textId="77777777" w:rsidR="0073058D" w:rsidRPr="00BB070A" w:rsidRDefault="0073058D" w:rsidP="0073058D">
      <w:pPr>
        <w:pStyle w:val="Prrafodelista"/>
        <w:tabs>
          <w:tab w:val="left" w:pos="-720"/>
          <w:tab w:val="left" w:pos="0"/>
          <w:tab w:val="left" w:pos="284"/>
          <w:tab w:val="left" w:pos="487"/>
          <w:tab w:val="left" w:pos="567"/>
          <w:tab w:val="left" w:pos="862"/>
        </w:tabs>
        <w:ind w:left="0" w:right="-2"/>
        <w:rPr>
          <w:rFonts w:ascii="Georgia" w:hAnsi="Georgia"/>
          <w:color w:val="FBCAA2" w:themeColor="accent6" w:themeTint="80"/>
          <w:spacing w:val="-3"/>
          <w:sz w:val="20"/>
        </w:rPr>
      </w:pPr>
      <w:r w:rsidRPr="00BB070A">
        <w:rPr>
          <w:rFonts w:ascii="Georgia" w:hAnsi="Georgia"/>
          <w:color w:val="FBCAA2" w:themeColor="accent6" w:themeTint="80"/>
          <w:spacing w:val="-3"/>
          <w:sz w:val="20"/>
        </w:rPr>
        <w:tab/>
        <w:t xml:space="preserve">  </w:t>
      </w:r>
    </w:p>
    <w:p w14:paraId="35109CD7" w14:textId="77777777" w:rsidR="0073058D" w:rsidRPr="00EC4B93" w:rsidRDefault="0073058D" w:rsidP="0073058D">
      <w:pPr>
        <w:pStyle w:val="Textoindependiente"/>
        <w:tabs>
          <w:tab w:val="left" w:pos="851"/>
        </w:tabs>
        <w:ind w:right="-2"/>
        <w:rPr>
          <w:rFonts w:ascii="Georgia" w:hAnsi="Georgia"/>
          <w:color w:val="FF0000"/>
          <w:sz w:val="20"/>
        </w:rPr>
      </w:pPr>
    </w:p>
    <w:p w14:paraId="330A035D" w14:textId="222FD17E" w:rsidR="0073058D" w:rsidRDefault="0073058D" w:rsidP="005819B2">
      <w:pPr>
        <w:tabs>
          <w:tab w:val="left" w:pos="1365"/>
        </w:tabs>
        <w:jc w:val="both"/>
        <w:rPr>
          <w:rFonts w:ascii="Arial" w:hAnsi="Arial" w:cs="Arial"/>
          <w:sz w:val="20"/>
          <w:u w:val="single"/>
          <w:lang w:val="es-ES_tradnl"/>
        </w:rPr>
      </w:pPr>
    </w:p>
    <w:p w14:paraId="59C9706F" w14:textId="77777777" w:rsidR="00393CB2" w:rsidRDefault="00393CB2" w:rsidP="005819B2">
      <w:pPr>
        <w:tabs>
          <w:tab w:val="left" w:pos="1365"/>
        </w:tabs>
        <w:jc w:val="both"/>
        <w:rPr>
          <w:rFonts w:ascii="Arial" w:hAnsi="Arial" w:cs="Arial"/>
          <w:sz w:val="20"/>
          <w:u w:val="single"/>
          <w:lang w:val="es-ES_tradnl"/>
        </w:rPr>
        <w:sectPr w:rsidR="00393CB2" w:rsidSect="0024455D">
          <w:headerReference w:type="even" r:id="rId126"/>
          <w:headerReference w:type="default" r:id="rId127"/>
          <w:footerReference w:type="even" r:id="rId128"/>
          <w:footerReference w:type="default" r:id="rId129"/>
          <w:headerReference w:type="first" r:id="rId130"/>
          <w:footerReference w:type="first" r:id="rId131"/>
          <w:pgSz w:w="11906" w:h="16838"/>
          <w:pgMar w:top="2835" w:right="851" w:bottom="2835" w:left="1985" w:header="544" w:footer="544" w:gutter="0"/>
          <w:cols w:space="708"/>
          <w:docGrid w:linePitch="360"/>
        </w:sectPr>
      </w:pPr>
    </w:p>
    <w:p w14:paraId="058B3C8C" w14:textId="77777777" w:rsidR="00393CB2" w:rsidRPr="00B451E6" w:rsidRDefault="00393CB2" w:rsidP="00393CB2">
      <w:pPr>
        <w:jc w:val="both"/>
        <w:rPr>
          <w:rFonts w:ascii="Garamond" w:hAnsi="Garamond"/>
          <w:b/>
          <w:sz w:val="22"/>
          <w:szCs w:val="22"/>
          <w:u w:val="single"/>
        </w:rPr>
      </w:pPr>
    </w:p>
    <w:p w14:paraId="499E710B" w14:textId="77777777" w:rsidR="00393CB2" w:rsidRPr="00B451E6" w:rsidRDefault="00393CB2" w:rsidP="00393CB2">
      <w:pPr>
        <w:pStyle w:val="Ttulo1"/>
        <w:jc w:val="both"/>
        <w:rPr>
          <w:rFonts w:ascii="Garamond" w:hAnsi="Garamond"/>
          <w:sz w:val="22"/>
          <w:szCs w:val="22"/>
        </w:rPr>
      </w:pPr>
      <w:r w:rsidRPr="00B451E6">
        <w:rPr>
          <w:rFonts w:ascii="Garamond" w:hAnsi="Garamond"/>
          <w:sz w:val="22"/>
          <w:szCs w:val="22"/>
        </w:rPr>
        <w:t xml:space="preserve">INFORME  DE LA COMISION FISCALIZADORA </w:t>
      </w:r>
    </w:p>
    <w:p w14:paraId="5E6396F3" w14:textId="77777777" w:rsidR="00393CB2" w:rsidRPr="00B451E6" w:rsidRDefault="00393CB2" w:rsidP="00393CB2">
      <w:pPr>
        <w:jc w:val="both"/>
        <w:rPr>
          <w:rFonts w:ascii="Garamond" w:hAnsi="Garamond"/>
          <w:sz w:val="18"/>
          <w:szCs w:val="18"/>
          <w:lang w:val="es-ES"/>
        </w:rPr>
      </w:pPr>
    </w:p>
    <w:p w14:paraId="2DA2CDF5"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A los señores Accionistas de</w:t>
      </w:r>
    </w:p>
    <w:p w14:paraId="59C3F623"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Banco Supervielle S.A.</w:t>
      </w:r>
    </w:p>
    <w:p w14:paraId="4DC67727" w14:textId="77777777" w:rsidR="00393CB2" w:rsidRPr="00B451E6" w:rsidRDefault="00393CB2" w:rsidP="00393CB2">
      <w:pPr>
        <w:jc w:val="both"/>
        <w:rPr>
          <w:rFonts w:ascii="Garamond" w:hAnsi="Garamond"/>
          <w:sz w:val="22"/>
          <w:szCs w:val="22"/>
        </w:rPr>
      </w:pPr>
      <w:r w:rsidRPr="00B451E6">
        <w:rPr>
          <w:rFonts w:ascii="Garamond" w:hAnsi="Garamond"/>
          <w:sz w:val="22"/>
          <w:szCs w:val="22"/>
        </w:rPr>
        <w:t>C.U.I.T  33-50000517-9</w:t>
      </w:r>
    </w:p>
    <w:p w14:paraId="51D5F639"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Bartolomé Mitre 434</w:t>
      </w:r>
    </w:p>
    <w:p w14:paraId="1853C77E"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Ciudad Autónoma de Buenos Aires</w:t>
      </w:r>
    </w:p>
    <w:p w14:paraId="6118FDFE" w14:textId="77777777" w:rsidR="00393CB2" w:rsidRPr="00B451E6" w:rsidRDefault="00393CB2" w:rsidP="00393CB2">
      <w:pPr>
        <w:jc w:val="both"/>
        <w:rPr>
          <w:rFonts w:ascii="Garamond" w:hAnsi="Garamond"/>
          <w:sz w:val="18"/>
          <w:szCs w:val="18"/>
          <w:lang w:val="es-ES"/>
        </w:rPr>
      </w:pPr>
    </w:p>
    <w:p w14:paraId="16D4F595" w14:textId="77777777" w:rsidR="00393CB2" w:rsidRPr="00B451E6" w:rsidRDefault="00393CB2" w:rsidP="00393CB2">
      <w:pPr>
        <w:jc w:val="both"/>
        <w:rPr>
          <w:rFonts w:ascii="Garamond" w:hAnsi="Garamond"/>
          <w:sz w:val="18"/>
          <w:szCs w:val="18"/>
          <w:lang w:val="es-ES"/>
        </w:rPr>
      </w:pPr>
    </w:p>
    <w:p w14:paraId="02DE15B9" w14:textId="77777777" w:rsidR="00393CB2" w:rsidRPr="00393CB2" w:rsidRDefault="00393CB2" w:rsidP="00393CB2">
      <w:pPr>
        <w:pStyle w:val="Textoindependiente"/>
        <w:ind w:right="-496"/>
        <w:rPr>
          <w:rFonts w:ascii="Garamond" w:hAnsi="Garamond"/>
          <w:bCs/>
          <w:sz w:val="22"/>
          <w:szCs w:val="22"/>
        </w:rPr>
      </w:pPr>
      <w:r w:rsidRPr="00393CB2">
        <w:rPr>
          <w:rFonts w:ascii="Garamond" w:hAnsi="Garamond"/>
          <w:bCs/>
          <w:sz w:val="22"/>
          <w:szCs w:val="22"/>
        </w:rPr>
        <w:t xml:space="preserve">En nuestro carácter de integrantes de </w:t>
      </w:r>
      <w:smartTag w:uri="urn:schemas-microsoft-com:office:smarttags" w:element="PersonName">
        <w:smartTagPr>
          <w:attr w:name="ProductID" w:val="la Comisi￳n Fiscalizadora"/>
        </w:smartTagPr>
        <w:r w:rsidRPr="00393CB2">
          <w:rPr>
            <w:rFonts w:ascii="Garamond" w:hAnsi="Garamond"/>
            <w:bCs/>
            <w:sz w:val="22"/>
            <w:szCs w:val="22"/>
          </w:rPr>
          <w:t>la Comisión Fiscalizadora</w:t>
        </w:r>
      </w:smartTag>
      <w:r w:rsidRPr="00393CB2">
        <w:rPr>
          <w:rFonts w:ascii="Garamond" w:hAnsi="Garamond"/>
          <w:bCs/>
          <w:sz w:val="22"/>
          <w:szCs w:val="22"/>
        </w:rPr>
        <w:t xml:space="preserve"> de Banco Supervielle S.A., hemos efectuado una revisión de los documentos detallados en el capítulo I siguiente. Los documentos  citados constituyen información  preparada y emitida  por el Directorio de </w:t>
      </w:r>
      <w:smartTag w:uri="urn:schemas-microsoft-com:office:smarttags" w:element="PersonName">
        <w:smartTagPr>
          <w:attr w:name="ProductID" w:val="la Entidad"/>
        </w:smartTagPr>
        <w:r w:rsidRPr="00393CB2">
          <w:rPr>
            <w:rFonts w:ascii="Garamond" w:hAnsi="Garamond"/>
            <w:bCs/>
            <w:sz w:val="22"/>
            <w:szCs w:val="22"/>
          </w:rPr>
          <w:t>la Entidad</w:t>
        </w:r>
      </w:smartTag>
      <w:r w:rsidRPr="00393CB2">
        <w:rPr>
          <w:rFonts w:ascii="Garamond" w:hAnsi="Garamond"/>
          <w:bCs/>
          <w:sz w:val="22"/>
          <w:szCs w:val="22"/>
        </w:rPr>
        <w:t>, en ejercicio de sus funciones exclusivas. Nuestra responsabilidad consiste en emitir un informe sobre dichos documentos basados en la revisión efectuada con el alcance descripto en el capítulo  III.</w:t>
      </w:r>
    </w:p>
    <w:p w14:paraId="1CF3FD5A" w14:textId="77777777" w:rsidR="00393CB2" w:rsidRPr="00B451E6" w:rsidRDefault="00393CB2" w:rsidP="00393CB2">
      <w:pPr>
        <w:ind w:right="-496"/>
        <w:jc w:val="both"/>
        <w:rPr>
          <w:rFonts w:ascii="Garamond" w:hAnsi="Garamond"/>
          <w:b/>
          <w:sz w:val="18"/>
          <w:szCs w:val="18"/>
          <w:lang w:val="es-ES"/>
        </w:rPr>
      </w:pPr>
    </w:p>
    <w:p w14:paraId="574B2071"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w:t>
      </w:r>
      <w:r w:rsidRPr="00B451E6">
        <w:rPr>
          <w:rFonts w:ascii="Garamond" w:hAnsi="Garamond"/>
          <w:b/>
          <w:sz w:val="22"/>
          <w:szCs w:val="22"/>
          <w:lang w:val="es-ES"/>
        </w:rPr>
        <w:tab/>
        <w:t xml:space="preserve">DOCUMENTOS  OBJETO DE LA REVISIÓN    </w:t>
      </w:r>
    </w:p>
    <w:p w14:paraId="7828691D" w14:textId="77777777" w:rsidR="00393CB2" w:rsidRPr="00B451E6" w:rsidRDefault="00393CB2" w:rsidP="00393CB2">
      <w:pPr>
        <w:ind w:right="-496"/>
        <w:jc w:val="both"/>
        <w:rPr>
          <w:rFonts w:ascii="Garamond" w:hAnsi="Garamond"/>
          <w:sz w:val="18"/>
          <w:szCs w:val="18"/>
          <w:lang w:val="es-ES"/>
        </w:rPr>
      </w:pPr>
    </w:p>
    <w:p w14:paraId="4155641D" w14:textId="77777777" w:rsidR="00393CB2" w:rsidRPr="00B451E6" w:rsidRDefault="00393CB2" w:rsidP="00393CB2">
      <w:pPr>
        <w:ind w:left="708" w:right="-496"/>
        <w:jc w:val="both"/>
        <w:rPr>
          <w:rFonts w:ascii="Garamond" w:hAnsi="Garamond"/>
          <w:bCs/>
          <w:color w:val="000000"/>
          <w:sz w:val="22"/>
          <w:szCs w:val="22"/>
          <w:lang w:val="es-ES" w:eastAsia="es-ES"/>
        </w:rPr>
      </w:pPr>
      <w:r w:rsidRPr="00B451E6">
        <w:rPr>
          <w:rFonts w:ascii="Garamond" w:hAnsi="Garamond"/>
          <w:bCs/>
          <w:color w:val="000000"/>
          <w:sz w:val="22"/>
          <w:szCs w:val="22"/>
          <w:lang w:val="es-ES" w:eastAsia="es-ES"/>
        </w:rPr>
        <w:t xml:space="preserve">Hemos revisado los estados financieros condensados consolidados intermedios adjuntos de Banco Supervielle S.A. (en adelante “la Entidad”), que comprenden el estado de situación financiera consolidado al 30 de septiembre de 2018, los correspondientes estados </w:t>
      </w:r>
      <w:r w:rsidRPr="00B451E6">
        <w:rPr>
          <w:rFonts w:ascii="Garamond" w:hAnsi="Garamond"/>
          <w:sz w:val="22"/>
          <w:szCs w:val="22"/>
        </w:rPr>
        <w:t>consolidados</w:t>
      </w:r>
      <w:r w:rsidRPr="00B451E6">
        <w:rPr>
          <w:rFonts w:ascii="Garamond" w:hAnsi="Garamond"/>
          <w:bCs/>
          <w:color w:val="000000"/>
          <w:sz w:val="22"/>
          <w:szCs w:val="22"/>
          <w:lang w:val="es-ES" w:eastAsia="es-ES"/>
        </w:rPr>
        <w:t xml:space="preserve"> de resultados y  otros resultados integrales  </w:t>
      </w:r>
      <w:r w:rsidRPr="00B451E6">
        <w:rPr>
          <w:rFonts w:ascii="Garamond" w:hAnsi="Garamond"/>
          <w:sz w:val="22"/>
          <w:szCs w:val="22"/>
        </w:rPr>
        <w:t>por los períodos de nueve y tres meses finalizados el 30 de septiembre de 2018 y los estados consolidados de cambios en el patrimonio y de flujos de efectivo por el período de nueve meses finalizado en esa misma fecha, así como un resumen de las políticas contables significativas y otra información explicativa incluida en las notas y los anexos que los complementan</w:t>
      </w:r>
      <w:r w:rsidRPr="00B451E6">
        <w:rPr>
          <w:rFonts w:ascii="Georgia" w:hAnsi="Georgia"/>
          <w:color w:val="0070C0"/>
          <w:sz w:val="20"/>
        </w:rPr>
        <w:t>.</w:t>
      </w:r>
      <w:r w:rsidRPr="00B451E6">
        <w:rPr>
          <w:rFonts w:ascii="Garamond" w:hAnsi="Garamond"/>
          <w:bCs/>
          <w:color w:val="000000"/>
          <w:sz w:val="22"/>
          <w:szCs w:val="22"/>
          <w:lang w:val="es-ES" w:eastAsia="es-ES"/>
        </w:rPr>
        <w:t xml:space="preserve"> </w:t>
      </w:r>
    </w:p>
    <w:p w14:paraId="03EE79A4" w14:textId="77777777" w:rsidR="00393CB2" w:rsidRPr="00B451E6" w:rsidRDefault="00393CB2" w:rsidP="00393CB2">
      <w:pPr>
        <w:ind w:left="708" w:right="-496"/>
        <w:jc w:val="both"/>
        <w:rPr>
          <w:rFonts w:ascii="Garamond" w:hAnsi="Garamond"/>
          <w:sz w:val="22"/>
          <w:szCs w:val="22"/>
        </w:rPr>
      </w:pPr>
    </w:p>
    <w:p w14:paraId="6EBD3888" w14:textId="77777777" w:rsidR="00393CB2" w:rsidRPr="00393CB2" w:rsidRDefault="00393CB2" w:rsidP="00393CB2">
      <w:pPr>
        <w:pStyle w:val="Textoindependiente"/>
        <w:ind w:left="709" w:right="-496" w:hanging="1"/>
        <w:rPr>
          <w:rFonts w:ascii="Garamond" w:hAnsi="Garamond"/>
          <w:sz w:val="22"/>
          <w:szCs w:val="22"/>
        </w:rPr>
      </w:pPr>
      <w:r w:rsidRPr="00393CB2">
        <w:rPr>
          <w:rFonts w:ascii="Garamond" w:hAnsi="Garamond"/>
          <w:sz w:val="22"/>
          <w:szCs w:val="22"/>
        </w:rPr>
        <w:t xml:space="preserve">Los saldos y otra información correspondientes al ejercicio 2017 y a sus períodos intermedios, son parte integrante de los estados contables mencionados precedentemente y por lo tanto deberán ser considerados en relación con esos estados contables. </w:t>
      </w:r>
    </w:p>
    <w:p w14:paraId="6C2E9CD5" w14:textId="77777777" w:rsidR="00393CB2" w:rsidRPr="00B451E6" w:rsidRDefault="00393CB2" w:rsidP="00393CB2">
      <w:pPr>
        <w:ind w:left="720" w:right="-496"/>
        <w:jc w:val="both"/>
        <w:rPr>
          <w:rFonts w:ascii="Garamond" w:hAnsi="Garamond"/>
          <w:b/>
          <w:sz w:val="18"/>
          <w:szCs w:val="18"/>
        </w:rPr>
      </w:pPr>
    </w:p>
    <w:p w14:paraId="53439914"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II.</w:t>
      </w:r>
      <w:r w:rsidRPr="00B451E6">
        <w:rPr>
          <w:rFonts w:ascii="Garamond" w:hAnsi="Garamond"/>
          <w:b/>
          <w:sz w:val="22"/>
          <w:szCs w:val="22"/>
          <w:lang w:val="es-ES"/>
        </w:rPr>
        <w:tab/>
        <w:t>RESPONSABILIDAD DE LA DIRECCIÓN</w:t>
      </w:r>
    </w:p>
    <w:p w14:paraId="63547E4A" w14:textId="77777777" w:rsidR="00393CB2" w:rsidRPr="00B451E6" w:rsidRDefault="00393CB2" w:rsidP="00393CB2">
      <w:pPr>
        <w:ind w:right="-496"/>
        <w:jc w:val="both"/>
        <w:rPr>
          <w:rFonts w:ascii="Garamond" w:hAnsi="Garamond"/>
          <w:sz w:val="18"/>
          <w:szCs w:val="18"/>
          <w:lang w:val="es-ES"/>
        </w:rPr>
      </w:pPr>
    </w:p>
    <w:p w14:paraId="3B7DB78C" w14:textId="3A0AB64E" w:rsidR="00393CB2" w:rsidRDefault="00393CB2" w:rsidP="00393CB2">
      <w:pPr>
        <w:ind w:left="708" w:right="-496"/>
        <w:jc w:val="both"/>
        <w:rPr>
          <w:rFonts w:ascii="Garamond" w:hAnsi="Garamond"/>
          <w:bCs/>
          <w:color w:val="000000"/>
          <w:sz w:val="22"/>
          <w:szCs w:val="22"/>
          <w:lang w:val="es-ES" w:eastAsia="es-ES"/>
        </w:rPr>
      </w:pPr>
      <w:r w:rsidRPr="00B451E6">
        <w:rPr>
          <w:rFonts w:ascii="Garamond" w:hAnsi="Garamond"/>
          <w:bCs/>
          <w:color w:val="000000"/>
          <w:sz w:val="22"/>
          <w:szCs w:val="22"/>
          <w:lang w:val="es-ES" w:eastAsia="es-ES"/>
        </w:rPr>
        <w:t>El Directorio de la Entidad es responsable de la preparación y presentación de los estados financieros de acuerdo con el marco contable establecido por el Banco Central de la República Argentina (B.C.R.A.). Tal como se indica en la nota 1.1 a los estados financieros condensados consolidados intermedios adjuntos, dicho marco contable se basa en la aplicación de las Normas Internacionales de Información Financiera (N.I.I.F.) y, en particular, de la Norma Internacional de Contabilidad 34 “Información Financiera Intermedia” (N.I.C. 34), aprobadas por el Consejo de Normas Internacionales de Contabilidad (I.A.S.B. por sus siglas en inglés). Dichas normas fueron adoptadas por la Federación Argentina de Consejos Profesionales de Ciencias Económicas (F.A.C.P.C.E.), y por el B.C.R.A., y fueron utilizadas en la preparación de los estados financieros con la excepción  del punto 5.5 “Deterioro de Valor” de la N.I.I.F. N° 9 y de la Norma Internacional de Contabilidad 29 (N.I.C. 29).</w:t>
      </w:r>
    </w:p>
    <w:p w14:paraId="4800954B" w14:textId="596C389C" w:rsidR="00635684" w:rsidRDefault="00635684" w:rsidP="00393CB2">
      <w:pPr>
        <w:ind w:left="708" w:right="-496"/>
        <w:jc w:val="both"/>
        <w:rPr>
          <w:rFonts w:ascii="Garamond" w:hAnsi="Garamond"/>
          <w:bCs/>
          <w:color w:val="000000"/>
          <w:sz w:val="22"/>
          <w:szCs w:val="22"/>
          <w:lang w:val="es-ES" w:eastAsia="es-ES"/>
        </w:rPr>
      </w:pPr>
    </w:p>
    <w:p w14:paraId="27C494C3" w14:textId="3B8BB962" w:rsidR="00635684" w:rsidRDefault="00635684" w:rsidP="00393CB2">
      <w:pPr>
        <w:ind w:left="708" w:right="-496"/>
        <w:jc w:val="both"/>
        <w:rPr>
          <w:rFonts w:ascii="Garamond" w:hAnsi="Garamond"/>
          <w:bCs/>
          <w:color w:val="000000"/>
          <w:sz w:val="22"/>
          <w:szCs w:val="22"/>
          <w:lang w:val="es-ES" w:eastAsia="es-ES"/>
        </w:rPr>
      </w:pPr>
    </w:p>
    <w:p w14:paraId="7A53B572" w14:textId="77777777" w:rsidR="00635684" w:rsidRPr="00B451E6" w:rsidRDefault="00635684" w:rsidP="00393CB2">
      <w:pPr>
        <w:ind w:left="708" w:right="-496"/>
        <w:jc w:val="both"/>
        <w:rPr>
          <w:rFonts w:ascii="Garamond" w:hAnsi="Garamond"/>
          <w:bCs/>
          <w:color w:val="000000"/>
          <w:sz w:val="22"/>
          <w:szCs w:val="22"/>
          <w:lang w:val="es-ES" w:eastAsia="es-ES"/>
        </w:rPr>
      </w:pPr>
    </w:p>
    <w:p w14:paraId="60F74774" w14:textId="77777777" w:rsidR="00393CB2" w:rsidRPr="00B451E6" w:rsidRDefault="00393CB2" w:rsidP="00393CB2">
      <w:pPr>
        <w:ind w:right="-496"/>
        <w:jc w:val="both"/>
        <w:rPr>
          <w:rFonts w:ascii="Garamond" w:hAnsi="Garamond"/>
          <w:sz w:val="18"/>
          <w:szCs w:val="18"/>
          <w:lang w:val="es-ES"/>
        </w:rPr>
      </w:pPr>
    </w:p>
    <w:p w14:paraId="097D25EE"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III.</w:t>
      </w:r>
      <w:r w:rsidRPr="00B451E6">
        <w:rPr>
          <w:rFonts w:ascii="Garamond" w:hAnsi="Garamond"/>
          <w:b/>
          <w:sz w:val="22"/>
          <w:szCs w:val="22"/>
          <w:lang w:val="es-ES"/>
        </w:rPr>
        <w:tab/>
        <w:t xml:space="preserve">ALCANCE DE LA REVISION </w:t>
      </w:r>
    </w:p>
    <w:p w14:paraId="2124C772" w14:textId="77777777" w:rsidR="00393CB2" w:rsidRPr="00393CB2" w:rsidRDefault="00393CB2" w:rsidP="00393CB2">
      <w:pPr>
        <w:ind w:right="-496"/>
        <w:jc w:val="both"/>
        <w:rPr>
          <w:rFonts w:ascii="Garamond" w:hAnsi="Garamond"/>
          <w:sz w:val="18"/>
          <w:szCs w:val="18"/>
          <w:lang w:val="es-ES"/>
        </w:rPr>
      </w:pPr>
    </w:p>
    <w:p w14:paraId="1B042BCB" w14:textId="77777777" w:rsidR="00393CB2" w:rsidRPr="00393CB2" w:rsidRDefault="00393CB2" w:rsidP="00393CB2">
      <w:pPr>
        <w:pStyle w:val="Textoindependiente"/>
        <w:ind w:left="709" w:right="-496" w:hanging="1"/>
        <w:rPr>
          <w:rFonts w:ascii="Garamond" w:hAnsi="Garamond"/>
          <w:sz w:val="22"/>
          <w:szCs w:val="22"/>
          <w:lang w:val="es-AR"/>
        </w:rPr>
      </w:pPr>
      <w:r w:rsidRPr="00393CB2">
        <w:rPr>
          <w:rFonts w:ascii="Garamond" w:hAnsi="Garamond"/>
          <w:sz w:val="22"/>
          <w:szCs w:val="22"/>
        </w:rPr>
        <w:t xml:space="preserve">Nuestra revisión fue realizada de acuerdo con las normas de sindicatura vigentes en la República Argentina. Dichas normas requieren que la revisión  de los documentos  detallados en el capítulo I. se  efectúe de acuerdo con las normas de auditoría vigentes para la revisión de estados financieros de períodos intermedios, e incluya la verificación  de la razonabilidad de la información significativa de los documentos examinados, y su congruencia con la restante información sobre las decisiones societarias expuestas en actas, y la adecuación de dichas decisiones a la ley y a los estatutos, en lo relativo a sus aspectos formales y documentales. Para realizar nuestra tarea profesional sobre los documentos detallados en el capítulo I, hemos revisado la labor efectuada  por los auditores externos, Price Waterhouse  &amp; Co. S.R.L., quienes emitieron su informe  con fecha  15 de noviembre de 2018, de acuerdo con las  normas establecidas en  la Resolución  Técnica N° 37 de la Federación Argentina de Consejos Profesionales de Ciencias Económicas (F.A.C.P.C.E.) para la revisión de estados financieros de períodos intermedios y con las normas de auditoría emitidas por el Banco Central de la República Argentina (B.C.R.A.) para revisiones limitadas. Dicha revisión  incluyó  la verificación de la planificación  del trabajo, de la naturaleza, alcance y oportunidad  de los procedimientos  aplicados y de los resultados  de la revisión efectuada por dichos profesionales. Se efectuaron indagaciones a los responsables de la preparación de la información incluida en los estados financieros condensados </w:t>
      </w:r>
      <w:r w:rsidRPr="00393CB2">
        <w:rPr>
          <w:rFonts w:ascii="Garamond" w:hAnsi="Garamond"/>
          <w:bCs/>
          <w:sz w:val="22"/>
          <w:szCs w:val="22"/>
        </w:rPr>
        <w:t>consolidados</w:t>
      </w:r>
      <w:r w:rsidRPr="00393CB2">
        <w:rPr>
          <w:rFonts w:ascii="Garamond" w:hAnsi="Garamond"/>
          <w:sz w:val="22"/>
          <w:szCs w:val="22"/>
        </w:rPr>
        <w:t xml:space="preserve"> intermedios. El alcance de esta revisión es sustancialmente menor al de un examen de auditoría realizado de acuerdo con las normas argentinas de auditoría, en consecuencia, una revisión no nos permite obtener seguridad de que tomemos conocimiento sobre todos los temas significativos que podrían identificarse en una auditoría, cuyo objetivo es la expresión de una opinión de los estados financieros, tomados en su conjunto. Por lo tanto, no expresamos una opinión de auditoría sobre la situación financiera consolidada, el resultado integral consolidado y el flujo de efectivo consolidado de la Entidad. Dado que no es responsabilidad  de </w:t>
      </w:r>
      <w:smartTag w:uri="urn:schemas-microsoft-com:office:smarttags" w:element="PersonName">
        <w:smartTagPr>
          <w:attr w:name="ProductID" w:val="la Comisi￳n Fiscalizadora"/>
        </w:smartTagPr>
        <w:r w:rsidRPr="00393CB2">
          <w:rPr>
            <w:rFonts w:ascii="Garamond" w:hAnsi="Garamond"/>
            <w:sz w:val="22"/>
            <w:szCs w:val="22"/>
          </w:rPr>
          <w:t>la Comisión Fiscalizadora</w:t>
        </w:r>
      </w:smartTag>
      <w:r w:rsidRPr="00393CB2">
        <w:rPr>
          <w:rFonts w:ascii="Garamond" w:hAnsi="Garamond"/>
          <w:sz w:val="22"/>
          <w:szCs w:val="22"/>
        </w:rPr>
        <w:t xml:space="preserve">  efectuar un control de gestión, la revisión no se extendió a los criterios  y decisiones  empresarias de las diversas áreas  de </w:t>
      </w:r>
      <w:smartTag w:uri="urn:schemas-microsoft-com:office:smarttags" w:element="PersonName">
        <w:smartTagPr>
          <w:attr w:name="ProductID" w:val="la Entidad"/>
        </w:smartTagPr>
        <w:r w:rsidRPr="00393CB2">
          <w:rPr>
            <w:rFonts w:ascii="Garamond" w:hAnsi="Garamond"/>
            <w:sz w:val="22"/>
            <w:szCs w:val="22"/>
          </w:rPr>
          <w:t>la Entidad</w:t>
        </w:r>
      </w:smartTag>
      <w:r w:rsidRPr="00393CB2">
        <w:rPr>
          <w:rFonts w:ascii="Garamond" w:hAnsi="Garamond"/>
          <w:sz w:val="22"/>
          <w:szCs w:val="22"/>
        </w:rPr>
        <w:t>, cuestiones que son responsabilidad exclusiva del Directorio.</w:t>
      </w:r>
    </w:p>
    <w:p w14:paraId="0A10DA40" w14:textId="77777777" w:rsidR="00393CB2" w:rsidRPr="00B451E6" w:rsidRDefault="00393CB2" w:rsidP="00393CB2">
      <w:pPr>
        <w:tabs>
          <w:tab w:val="num" w:pos="360"/>
        </w:tabs>
        <w:ind w:left="720" w:right="-496" w:hanging="360"/>
        <w:jc w:val="both"/>
        <w:rPr>
          <w:rFonts w:ascii="Garamond" w:hAnsi="Garamond"/>
          <w:b/>
          <w:sz w:val="18"/>
          <w:szCs w:val="18"/>
          <w:lang w:val="es-ES"/>
        </w:rPr>
      </w:pPr>
    </w:p>
    <w:p w14:paraId="43917203"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IV.</w:t>
      </w:r>
      <w:r w:rsidRPr="00B451E6">
        <w:rPr>
          <w:rFonts w:ascii="Garamond" w:hAnsi="Garamond"/>
          <w:b/>
          <w:bCs/>
          <w:sz w:val="22"/>
          <w:szCs w:val="22"/>
          <w:lang w:val="es-ES"/>
        </w:rPr>
        <w:tab/>
        <w:t xml:space="preserve">CONCLUSIÓN </w:t>
      </w:r>
    </w:p>
    <w:p w14:paraId="3DCFAFBC" w14:textId="77777777" w:rsidR="00393CB2" w:rsidRPr="00393CB2" w:rsidRDefault="00393CB2" w:rsidP="00393CB2">
      <w:pPr>
        <w:ind w:right="-496"/>
        <w:jc w:val="both"/>
        <w:rPr>
          <w:rFonts w:ascii="Garamond" w:hAnsi="Garamond"/>
          <w:bCs/>
          <w:sz w:val="18"/>
          <w:szCs w:val="18"/>
          <w:lang w:val="es-ES"/>
        </w:rPr>
      </w:pPr>
    </w:p>
    <w:p w14:paraId="6395A68C" w14:textId="77777777" w:rsidR="00393CB2" w:rsidRPr="00393CB2" w:rsidRDefault="00393CB2" w:rsidP="00393CB2">
      <w:pPr>
        <w:pStyle w:val="Textoindependiente"/>
        <w:ind w:left="709" w:right="-496" w:hanging="1"/>
        <w:rPr>
          <w:rFonts w:ascii="Garamond" w:hAnsi="Garamond"/>
          <w:sz w:val="22"/>
          <w:szCs w:val="22"/>
        </w:rPr>
      </w:pPr>
      <w:r w:rsidRPr="00393CB2">
        <w:rPr>
          <w:rFonts w:ascii="Garamond" w:hAnsi="Garamond"/>
          <w:sz w:val="22"/>
          <w:szCs w:val="22"/>
        </w:rPr>
        <w:t xml:space="preserve">Basados en la labor realizada, y en el informe de los Auditores Externos mencionado en el capítulo III., nada ha llamado nuestra atención que nos hiciera pensar que los estados financieros condensados </w:t>
      </w:r>
      <w:r w:rsidRPr="00393CB2">
        <w:rPr>
          <w:rFonts w:ascii="Garamond" w:hAnsi="Garamond"/>
          <w:bCs/>
          <w:sz w:val="22"/>
          <w:szCs w:val="22"/>
        </w:rPr>
        <w:t>consolidados</w:t>
      </w:r>
      <w:r w:rsidRPr="00393CB2">
        <w:rPr>
          <w:rFonts w:ascii="Garamond" w:hAnsi="Garamond"/>
          <w:sz w:val="22"/>
          <w:szCs w:val="22"/>
        </w:rPr>
        <w:t xml:space="preserve"> intermedios mencionados en el capítulo I. del presente informe no están preparados, en todos sus aspectos significativos, de conformidad con el marco contable establecido por el  Banco Central de la República Argentina. </w:t>
      </w:r>
    </w:p>
    <w:p w14:paraId="7F232E3C" w14:textId="77777777" w:rsidR="00393CB2" w:rsidRPr="00B451E6" w:rsidRDefault="00393CB2" w:rsidP="00393CB2">
      <w:pPr>
        <w:ind w:left="720" w:right="-496"/>
        <w:jc w:val="both"/>
        <w:rPr>
          <w:rFonts w:ascii="Garamond" w:hAnsi="Garamond"/>
          <w:b/>
          <w:sz w:val="18"/>
          <w:szCs w:val="18"/>
        </w:rPr>
      </w:pPr>
    </w:p>
    <w:p w14:paraId="03B1AAC9"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 xml:space="preserve"> V.</w:t>
      </w:r>
      <w:r w:rsidRPr="00B451E6">
        <w:rPr>
          <w:rFonts w:ascii="Garamond" w:hAnsi="Garamond"/>
          <w:b/>
          <w:sz w:val="22"/>
          <w:szCs w:val="22"/>
          <w:lang w:val="es-ES"/>
        </w:rPr>
        <w:tab/>
        <w:t>PÁRRAFOS DE ÉNFASIS</w:t>
      </w:r>
    </w:p>
    <w:p w14:paraId="51F1A594" w14:textId="77777777" w:rsidR="00393CB2" w:rsidRPr="00B451E6" w:rsidRDefault="00393CB2" w:rsidP="00393CB2">
      <w:pPr>
        <w:ind w:right="-496"/>
        <w:jc w:val="both"/>
        <w:rPr>
          <w:rFonts w:ascii="Garamond" w:hAnsi="Garamond"/>
          <w:b/>
          <w:sz w:val="22"/>
          <w:szCs w:val="22"/>
          <w:lang w:val="es-ES"/>
        </w:rPr>
      </w:pPr>
    </w:p>
    <w:p w14:paraId="3E6A0053" w14:textId="77777777" w:rsidR="00393CB2" w:rsidRPr="00B451E6" w:rsidRDefault="00393CB2" w:rsidP="00393CB2">
      <w:pPr>
        <w:ind w:right="-496"/>
        <w:jc w:val="both"/>
        <w:rPr>
          <w:rFonts w:ascii="Garamond" w:hAnsi="Garamond"/>
          <w:sz w:val="22"/>
          <w:szCs w:val="22"/>
          <w:u w:val="single"/>
          <w:lang w:val="es-ES"/>
        </w:rPr>
      </w:pPr>
      <w:r w:rsidRPr="00B451E6">
        <w:rPr>
          <w:rFonts w:ascii="Garamond" w:hAnsi="Garamond"/>
          <w:b/>
          <w:sz w:val="22"/>
          <w:szCs w:val="22"/>
        </w:rPr>
        <w:t xml:space="preserve">            </w:t>
      </w:r>
      <w:r w:rsidRPr="00B451E6">
        <w:rPr>
          <w:rFonts w:ascii="Georgia" w:hAnsi="Georgia"/>
          <w:sz w:val="20"/>
          <w:u w:val="single"/>
        </w:rPr>
        <w:t>Diferencia entre el marco de información contable del B.C.R.A. y las N.I.I.F.</w:t>
      </w:r>
    </w:p>
    <w:p w14:paraId="039B36AA" w14:textId="77777777" w:rsidR="00393CB2" w:rsidRPr="00B451E6" w:rsidRDefault="00393CB2" w:rsidP="00393CB2">
      <w:pPr>
        <w:ind w:right="-496"/>
        <w:jc w:val="both"/>
        <w:rPr>
          <w:rFonts w:ascii="Garamond" w:hAnsi="Garamond"/>
          <w:sz w:val="18"/>
          <w:szCs w:val="18"/>
          <w:u w:val="single"/>
          <w:lang w:val="es-ES"/>
        </w:rPr>
      </w:pPr>
    </w:p>
    <w:p w14:paraId="748CC84F" w14:textId="77777777" w:rsidR="00393CB2" w:rsidRPr="00393CB2" w:rsidRDefault="00393CB2" w:rsidP="00393CB2">
      <w:pPr>
        <w:pStyle w:val="Textoindependiente"/>
        <w:ind w:left="720" w:right="-496"/>
        <w:rPr>
          <w:rFonts w:ascii="Garamond" w:hAnsi="Garamond"/>
          <w:sz w:val="22"/>
          <w:szCs w:val="22"/>
        </w:rPr>
      </w:pPr>
      <w:r w:rsidRPr="00393CB2">
        <w:rPr>
          <w:rFonts w:ascii="Garamond" w:hAnsi="Garamond"/>
          <w:sz w:val="22"/>
          <w:szCs w:val="22"/>
        </w:rPr>
        <w:t>Sin modificar nuestra conclusión, llamamos la atención sobre la nota 1.1 a los estados financieros condensados consolidados intermedios adjuntos, en la que se describen las diferencias entre el marco de información contable del B.C.R.A. y las N.I.I.F., considerando que la aplicación de la sección 5.5 “Deterioro de valor” de la N.I.I.F. 9 “Instrumentos Financieros” y la N.I.C. 29, fueron excluidas por el B.C.R.A. del marco contable aplicable a las entidades financieras.</w:t>
      </w:r>
    </w:p>
    <w:p w14:paraId="57ED7383" w14:textId="77777777" w:rsidR="00393CB2" w:rsidRPr="00B451E6" w:rsidRDefault="00393CB2" w:rsidP="00393CB2">
      <w:pPr>
        <w:ind w:right="-496"/>
        <w:jc w:val="both"/>
        <w:rPr>
          <w:rFonts w:ascii="Garamond" w:hAnsi="Garamond"/>
          <w:sz w:val="22"/>
          <w:szCs w:val="22"/>
          <w:u w:val="single"/>
          <w:lang w:val="es-ES"/>
        </w:rPr>
      </w:pPr>
      <w:r w:rsidRPr="00B451E6">
        <w:rPr>
          <w:rFonts w:ascii="Garamond" w:hAnsi="Garamond"/>
          <w:sz w:val="22"/>
          <w:szCs w:val="22"/>
          <w:u w:val="single"/>
        </w:rPr>
        <w:t xml:space="preserve">           </w:t>
      </w:r>
    </w:p>
    <w:p w14:paraId="4B754952" w14:textId="77777777" w:rsidR="00393CB2" w:rsidRPr="00B451E6" w:rsidRDefault="00393CB2" w:rsidP="00393CB2">
      <w:pPr>
        <w:ind w:right="-496"/>
        <w:jc w:val="both"/>
        <w:rPr>
          <w:rFonts w:ascii="Garamond" w:hAnsi="Garamond"/>
          <w:sz w:val="22"/>
          <w:szCs w:val="22"/>
          <w:u w:val="single"/>
        </w:rPr>
      </w:pPr>
      <w:r w:rsidRPr="00B451E6">
        <w:rPr>
          <w:rFonts w:ascii="Garamond" w:hAnsi="Garamond"/>
          <w:sz w:val="18"/>
          <w:szCs w:val="18"/>
          <w:lang w:val="es-ES"/>
        </w:rPr>
        <w:t xml:space="preserve">                </w:t>
      </w:r>
      <w:r w:rsidRPr="00B451E6">
        <w:rPr>
          <w:rFonts w:ascii="Georgia" w:hAnsi="Georgia"/>
          <w:sz w:val="20"/>
          <w:u w:val="single"/>
        </w:rPr>
        <w:t xml:space="preserve">Primer ejercicio de aplicación de la N.I.C. </w:t>
      </w:r>
      <w:r w:rsidRPr="00B451E6">
        <w:rPr>
          <w:rFonts w:ascii="Garamond" w:hAnsi="Garamond"/>
          <w:bCs/>
          <w:color w:val="000000"/>
          <w:sz w:val="22"/>
          <w:szCs w:val="22"/>
          <w:u w:val="single"/>
          <w:lang w:val="es-ES" w:eastAsia="es-ES"/>
        </w:rPr>
        <w:t>34</w:t>
      </w:r>
    </w:p>
    <w:p w14:paraId="6D8ABBBB" w14:textId="77777777" w:rsidR="00393CB2" w:rsidRPr="00393CB2" w:rsidRDefault="00393CB2" w:rsidP="00393CB2">
      <w:pPr>
        <w:pStyle w:val="Textoindependiente"/>
        <w:ind w:left="720" w:right="-496"/>
        <w:rPr>
          <w:rFonts w:ascii="Garamond" w:hAnsi="Garamond"/>
          <w:sz w:val="22"/>
          <w:szCs w:val="22"/>
          <w:lang w:val="es-AR"/>
        </w:rPr>
      </w:pPr>
    </w:p>
    <w:p w14:paraId="7E50F92E" w14:textId="77777777" w:rsidR="00393CB2" w:rsidRPr="00393CB2" w:rsidRDefault="00393CB2" w:rsidP="00393CB2">
      <w:pPr>
        <w:pStyle w:val="Textoindependiente"/>
        <w:ind w:left="720" w:right="-496"/>
        <w:rPr>
          <w:rFonts w:ascii="Garamond" w:hAnsi="Garamond"/>
          <w:sz w:val="22"/>
          <w:szCs w:val="22"/>
        </w:rPr>
      </w:pPr>
      <w:r w:rsidRPr="00393CB2">
        <w:rPr>
          <w:rFonts w:ascii="Garamond" w:hAnsi="Garamond"/>
          <w:sz w:val="22"/>
          <w:szCs w:val="22"/>
        </w:rPr>
        <w:t>Sin modificar nuestra conclusión, llamamos la atención sobre la nota 1.1, en la que se indica que los estados financieros condensados consolidados intermedios, mencionados en el primer párrafo, han sido preparados en el marco contable establecido por el B.C.R.A., conforme a N.I.C. 34 (con la excepción descripta en la mencionada nota), siendo éste el primer ejercicio económico en que la Entidad aplica dichas normas. Los efectos de los cambios originados por la aplicación de esta nueva base contable se presentan en nota 2. Las partidas y cifras, contenidas en las conciliaciones incluidas en dicha nota, están sujetas a los cambios que pudieran producirse como consecuencia de variaciones en las N.I.I.F. que finalmente se apliquen y sólo podrán considerarse definitivas cuando se preparen los estados financieros anuales correspondientes al presente ejercicio.</w:t>
      </w:r>
    </w:p>
    <w:p w14:paraId="03744A7B" w14:textId="77777777" w:rsidR="00393CB2" w:rsidRPr="00B451E6" w:rsidRDefault="00393CB2" w:rsidP="00393CB2">
      <w:pPr>
        <w:pStyle w:val="Textoindependiente"/>
        <w:ind w:left="720" w:right="-496"/>
        <w:rPr>
          <w:rFonts w:ascii="Garamond" w:hAnsi="Garamond"/>
          <w:b/>
          <w:sz w:val="22"/>
          <w:szCs w:val="22"/>
        </w:rPr>
      </w:pPr>
    </w:p>
    <w:p w14:paraId="1F5A1266"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VI.</w:t>
      </w:r>
      <w:r w:rsidRPr="00B451E6">
        <w:rPr>
          <w:rFonts w:ascii="Garamond" w:hAnsi="Garamond"/>
          <w:b/>
          <w:bCs/>
          <w:sz w:val="22"/>
          <w:szCs w:val="22"/>
          <w:lang w:val="es-ES"/>
        </w:rPr>
        <w:tab/>
        <w:t>INFORMACIÓN  SOBRE CUMPLIMIENTO DE DISPOSICIONES VIGENTES</w:t>
      </w:r>
    </w:p>
    <w:p w14:paraId="5D8091FE"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 xml:space="preserve">            </w:t>
      </w:r>
    </w:p>
    <w:p w14:paraId="286DAD4B" w14:textId="77777777" w:rsidR="00393CB2" w:rsidRPr="00393CB2" w:rsidRDefault="00393CB2" w:rsidP="00393CB2">
      <w:pPr>
        <w:ind w:right="-496"/>
        <w:jc w:val="both"/>
        <w:rPr>
          <w:rFonts w:ascii="Garamond" w:hAnsi="Garamond"/>
          <w:sz w:val="22"/>
          <w:szCs w:val="22"/>
        </w:rPr>
      </w:pPr>
      <w:r w:rsidRPr="00B451E6">
        <w:rPr>
          <w:rFonts w:ascii="Garamond" w:hAnsi="Garamond"/>
          <w:bCs/>
          <w:sz w:val="22"/>
          <w:szCs w:val="22"/>
          <w:lang w:val="es-ES"/>
        </w:rPr>
        <w:t xml:space="preserve">            En </w:t>
      </w:r>
      <w:r w:rsidRPr="00393CB2">
        <w:rPr>
          <w:rFonts w:ascii="Garamond" w:hAnsi="Garamond"/>
          <w:bCs/>
          <w:sz w:val="22"/>
          <w:szCs w:val="22"/>
          <w:lang w:val="es-ES"/>
        </w:rPr>
        <w:t>cumplimiento de disposiciones vigentes, informamos que:</w:t>
      </w:r>
    </w:p>
    <w:p w14:paraId="129DDEEE" w14:textId="77777777" w:rsidR="00393CB2" w:rsidRPr="00393CB2" w:rsidRDefault="00393CB2" w:rsidP="00393CB2">
      <w:pPr>
        <w:pStyle w:val="Textoindependiente"/>
        <w:ind w:left="720" w:right="-496"/>
        <w:rPr>
          <w:rFonts w:ascii="Garamond" w:hAnsi="Garamond"/>
          <w:sz w:val="18"/>
          <w:szCs w:val="18"/>
        </w:rPr>
      </w:pPr>
    </w:p>
    <w:p w14:paraId="4D7E0B47" w14:textId="77777777" w:rsidR="00393CB2" w:rsidRPr="00393CB2" w:rsidRDefault="00393CB2" w:rsidP="00393CB2">
      <w:pPr>
        <w:pStyle w:val="Textoindependiente"/>
        <w:numPr>
          <w:ilvl w:val="0"/>
          <w:numId w:val="112"/>
        </w:numPr>
        <w:ind w:right="-496"/>
        <w:rPr>
          <w:rFonts w:ascii="Garamond" w:hAnsi="Garamond"/>
          <w:sz w:val="22"/>
          <w:szCs w:val="22"/>
        </w:rPr>
      </w:pPr>
      <w:r w:rsidRPr="00393CB2">
        <w:rPr>
          <w:rFonts w:ascii="Garamond" w:hAnsi="Garamond"/>
          <w:sz w:val="22"/>
          <w:szCs w:val="22"/>
        </w:rPr>
        <w:t xml:space="preserve">Los estados financieros condensados consolidados  intermedios de </w:t>
      </w:r>
      <w:r w:rsidRPr="00393CB2">
        <w:rPr>
          <w:rFonts w:ascii="Garamond" w:hAnsi="Garamond"/>
          <w:bCs/>
          <w:sz w:val="22"/>
          <w:szCs w:val="22"/>
        </w:rPr>
        <w:t>Banco Supervielle S.A.</w:t>
      </w:r>
      <w:r w:rsidRPr="00393CB2">
        <w:rPr>
          <w:rFonts w:ascii="Garamond" w:hAnsi="Garamond"/>
          <w:sz w:val="22"/>
          <w:szCs w:val="22"/>
        </w:rPr>
        <w:t xml:space="preserve"> al 30 de septiembre de 2018 se encuentran asentados en el libro "Balances" y cumplen, en lo que es materia de nuestra competencia, con lo dispuesto en la Ley General de Sociedades y en las resoluciones pertinentes del B.C.R.A. y la Comisión Nacional de Valores. </w:t>
      </w:r>
    </w:p>
    <w:p w14:paraId="7783932F" w14:textId="77777777" w:rsidR="00393CB2" w:rsidRPr="00393CB2" w:rsidRDefault="00393CB2" w:rsidP="00393CB2">
      <w:pPr>
        <w:pStyle w:val="Textoindependiente"/>
        <w:ind w:left="708" w:right="-496"/>
        <w:rPr>
          <w:rFonts w:ascii="Garamond" w:hAnsi="Garamond"/>
          <w:sz w:val="22"/>
          <w:szCs w:val="22"/>
        </w:rPr>
      </w:pPr>
    </w:p>
    <w:p w14:paraId="0DB25D9A" w14:textId="77777777" w:rsidR="00393CB2" w:rsidRPr="00393CB2" w:rsidRDefault="00393CB2" w:rsidP="00393CB2">
      <w:pPr>
        <w:pStyle w:val="Textoindependiente"/>
        <w:numPr>
          <w:ilvl w:val="0"/>
          <w:numId w:val="112"/>
        </w:numPr>
        <w:ind w:right="-496"/>
        <w:rPr>
          <w:rFonts w:ascii="Garamond" w:hAnsi="Garamond"/>
          <w:sz w:val="22"/>
          <w:szCs w:val="22"/>
        </w:rPr>
      </w:pPr>
      <w:r w:rsidRPr="00393CB2">
        <w:rPr>
          <w:rFonts w:ascii="Garamond" w:hAnsi="Garamond"/>
          <w:sz w:val="22"/>
          <w:szCs w:val="22"/>
        </w:rPr>
        <w:t xml:space="preserve">Los estados financieros condensados separados  intermedios de </w:t>
      </w:r>
      <w:r w:rsidRPr="00393CB2">
        <w:rPr>
          <w:rFonts w:ascii="Garamond" w:hAnsi="Garamond"/>
          <w:bCs/>
          <w:sz w:val="22"/>
          <w:szCs w:val="22"/>
        </w:rPr>
        <w:t>Banco Supervielle S.A.</w:t>
      </w:r>
      <w:r w:rsidRPr="00393CB2">
        <w:rPr>
          <w:rFonts w:ascii="Garamond" w:hAnsi="Garamond"/>
          <w:sz w:val="22"/>
          <w:szCs w:val="22"/>
        </w:rPr>
        <w:t xml:space="preserve"> surgen de registros contables llevados en sus aspectos formales de conformidad con normas legales. </w:t>
      </w:r>
    </w:p>
    <w:p w14:paraId="0EBD833D" w14:textId="77777777" w:rsidR="00393CB2" w:rsidRPr="00393CB2" w:rsidRDefault="00393CB2" w:rsidP="00393CB2">
      <w:pPr>
        <w:pStyle w:val="Textoindependiente"/>
        <w:ind w:right="-496"/>
        <w:rPr>
          <w:rFonts w:ascii="Garamond" w:hAnsi="Garamond"/>
          <w:sz w:val="22"/>
          <w:szCs w:val="22"/>
        </w:rPr>
      </w:pPr>
    </w:p>
    <w:p w14:paraId="176067AC" w14:textId="77777777" w:rsidR="00393CB2" w:rsidRPr="00393CB2" w:rsidRDefault="00393CB2" w:rsidP="00393CB2">
      <w:pPr>
        <w:pStyle w:val="Textoindependiente"/>
        <w:numPr>
          <w:ilvl w:val="0"/>
          <w:numId w:val="112"/>
        </w:numPr>
        <w:ind w:right="-496"/>
        <w:rPr>
          <w:rFonts w:ascii="Garamond" w:hAnsi="Garamond"/>
          <w:sz w:val="22"/>
          <w:szCs w:val="22"/>
        </w:rPr>
      </w:pPr>
      <w:r w:rsidRPr="00393CB2">
        <w:rPr>
          <w:rFonts w:ascii="Garamond" w:hAnsi="Garamond"/>
          <w:sz w:val="22"/>
          <w:szCs w:val="22"/>
        </w:rPr>
        <w:t xml:space="preserve">Hemos leído la reseña informativa y la información adicional a las notas a los estados contables requerida por el artículo 12 °, Capítulo III, Título IV, de la normativa de la Comisión Nacional de Valores, sobre la cual, en lo que es materia de nuestra competencia, no tenemos  observaciones que formular. </w:t>
      </w:r>
    </w:p>
    <w:p w14:paraId="6875E0E9" w14:textId="77777777" w:rsidR="00393CB2" w:rsidRPr="00393CB2" w:rsidRDefault="00393CB2" w:rsidP="00393CB2">
      <w:pPr>
        <w:pStyle w:val="Textoindependiente"/>
        <w:ind w:left="720" w:right="-496"/>
        <w:rPr>
          <w:rFonts w:ascii="Garamond" w:hAnsi="Garamond"/>
          <w:sz w:val="22"/>
          <w:szCs w:val="22"/>
        </w:rPr>
      </w:pPr>
      <w:r w:rsidRPr="00393CB2">
        <w:rPr>
          <w:rFonts w:ascii="Garamond" w:hAnsi="Garamond"/>
          <w:sz w:val="22"/>
          <w:szCs w:val="22"/>
        </w:rPr>
        <w:t xml:space="preserve"> </w:t>
      </w:r>
    </w:p>
    <w:p w14:paraId="0D424A07" w14:textId="77777777" w:rsidR="00393CB2" w:rsidRPr="00393CB2" w:rsidRDefault="00393CB2" w:rsidP="00393CB2">
      <w:pPr>
        <w:pStyle w:val="Textoindependiente"/>
        <w:numPr>
          <w:ilvl w:val="0"/>
          <w:numId w:val="112"/>
        </w:numPr>
        <w:ind w:right="-496"/>
        <w:rPr>
          <w:rFonts w:ascii="Garamond" w:hAnsi="Garamond"/>
          <w:sz w:val="22"/>
          <w:szCs w:val="22"/>
        </w:rPr>
      </w:pPr>
      <w:r w:rsidRPr="00393CB2">
        <w:rPr>
          <w:rFonts w:ascii="Garamond" w:hAnsi="Garamond"/>
          <w:sz w:val="22"/>
          <w:szCs w:val="22"/>
        </w:rPr>
        <w:t>No tenemos observaciones  que formular en lo que es materia de nuestra competencia, sobre la información incluida en la nota 15.5.1. a los estados financieros condensados consolidados intermedios al 30 de septiembre de 2018 en relación con las exigencias establecidas por la Comisión Nacional de Valores respecto al Patrimonio Neto Mínimo y Contrapartida..</w:t>
      </w:r>
    </w:p>
    <w:p w14:paraId="431E99ED" w14:textId="77777777" w:rsidR="00393CB2" w:rsidRPr="00393CB2" w:rsidRDefault="00393CB2" w:rsidP="00393CB2">
      <w:pPr>
        <w:pStyle w:val="Textoindependiente"/>
        <w:ind w:left="720" w:right="-496"/>
        <w:rPr>
          <w:rFonts w:ascii="Garamond" w:hAnsi="Garamond"/>
          <w:sz w:val="22"/>
          <w:szCs w:val="22"/>
        </w:rPr>
      </w:pPr>
    </w:p>
    <w:p w14:paraId="0803F976" w14:textId="77777777" w:rsidR="00393CB2" w:rsidRPr="00393CB2" w:rsidRDefault="00393CB2" w:rsidP="00393CB2">
      <w:pPr>
        <w:pStyle w:val="Textoindependiente"/>
        <w:numPr>
          <w:ilvl w:val="0"/>
          <w:numId w:val="112"/>
        </w:numPr>
        <w:ind w:right="-496"/>
        <w:rPr>
          <w:rFonts w:ascii="Garamond" w:hAnsi="Garamond"/>
          <w:sz w:val="22"/>
          <w:szCs w:val="22"/>
        </w:rPr>
      </w:pPr>
      <w:r w:rsidRPr="00393CB2">
        <w:rPr>
          <w:rFonts w:ascii="Garamond" w:hAnsi="Garamond"/>
          <w:sz w:val="22"/>
          <w:szCs w:val="22"/>
        </w:rPr>
        <w:t xml:space="preserve">Manifestamos que se ha dado cumplimiento a lo dispuesto por el artículo 294 de </w:t>
      </w:r>
      <w:smartTag w:uri="urn:schemas-microsoft-com:office:smarttags" w:element="PersonName">
        <w:smartTagPr>
          <w:attr w:name="ProductID" w:val="la Ley"/>
        </w:smartTagPr>
        <w:r w:rsidRPr="00393CB2">
          <w:rPr>
            <w:rFonts w:ascii="Garamond" w:hAnsi="Garamond"/>
            <w:sz w:val="22"/>
            <w:szCs w:val="22"/>
          </w:rPr>
          <w:t>la Ley</w:t>
        </w:r>
      </w:smartTag>
      <w:r w:rsidRPr="00393CB2">
        <w:rPr>
          <w:rFonts w:ascii="Garamond" w:hAnsi="Garamond"/>
          <w:sz w:val="22"/>
          <w:szCs w:val="22"/>
        </w:rPr>
        <w:t xml:space="preserve"> General de Sociedades.</w:t>
      </w:r>
    </w:p>
    <w:p w14:paraId="1B85C79C" w14:textId="77777777" w:rsidR="00393CB2" w:rsidRPr="00393CB2" w:rsidRDefault="00393CB2" w:rsidP="00393CB2">
      <w:pPr>
        <w:pStyle w:val="Textoindependiente"/>
        <w:ind w:left="720" w:right="-496"/>
        <w:rPr>
          <w:rFonts w:ascii="Garamond" w:hAnsi="Garamond"/>
          <w:sz w:val="22"/>
          <w:szCs w:val="22"/>
        </w:rPr>
      </w:pPr>
    </w:p>
    <w:p w14:paraId="764777CC" w14:textId="77777777" w:rsidR="00393CB2" w:rsidRPr="00393CB2" w:rsidRDefault="00393CB2" w:rsidP="00393CB2">
      <w:pPr>
        <w:pStyle w:val="Textoindependiente"/>
        <w:ind w:right="-496"/>
        <w:rPr>
          <w:rFonts w:ascii="Garamond" w:hAnsi="Garamond"/>
          <w:sz w:val="22"/>
          <w:szCs w:val="22"/>
        </w:rPr>
      </w:pPr>
    </w:p>
    <w:p w14:paraId="2ECBBBEE"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Ciudad Autónoma de Buenos Aires, 15 de noviembre de 2018.</w:t>
      </w:r>
    </w:p>
    <w:p w14:paraId="58F565D0" w14:textId="77777777" w:rsidR="00393CB2" w:rsidRPr="00B451E6" w:rsidRDefault="00393CB2" w:rsidP="00393CB2">
      <w:pPr>
        <w:jc w:val="both"/>
        <w:rPr>
          <w:rFonts w:ascii="Garamond" w:hAnsi="Garamond"/>
          <w:sz w:val="22"/>
          <w:szCs w:val="22"/>
          <w:lang w:val="es-ES"/>
        </w:rPr>
      </w:pPr>
    </w:p>
    <w:tbl>
      <w:tblPr>
        <w:tblW w:w="0" w:type="auto"/>
        <w:tblInd w:w="40" w:type="dxa"/>
        <w:tblLayout w:type="fixed"/>
        <w:tblCellMar>
          <w:left w:w="40" w:type="dxa"/>
          <w:right w:w="40" w:type="dxa"/>
        </w:tblCellMar>
        <w:tblLook w:val="0000" w:firstRow="0" w:lastRow="0" w:firstColumn="0" w:lastColumn="0" w:noHBand="0" w:noVBand="0"/>
      </w:tblPr>
      <w:tblGrid>
        <w:gridCol w:w="3160"/>
      </w:tblGrid>
      <w:tr w:rsidR="00393CB2" w:rsidRPr="00B451E6" w14:paraId="27DB3F9C" w14:textId="77777777" w:rsidTr="00CB727C">
        <w:tc>
          <w:tcPr>
            <w:tcW w:w="3160" w:type="dxa"/>
            <w:tcBorders>
              <w:top w:val="nil"/>
              <w:left w:val="nil"/>
              <w:bottom w:val="nil"/>
              <w:right w:val="nil"/>
            </w:tcBorders>
          </w:tcPr>
          <w:p w14:paraId="629C7902"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lang w:val="es-ES"/>
              </w:rPr>
            </w:pPr>
            <w:r w:rsidRPr="00B451E6">
              <w:rPr>
                <w:rFonts w:ascii="Garamond" w:hAnsi="Garamond"/>
                <w:color w:val="000000"/>
                <w:lang w:val="es-ES"/>
              </w:rPr>
              <w:t>Enrique José Barreiro</w:t>
            </w:r>
          </w:p>
        </w:tc>
      </w:tr>
      <w:tr w:rsidR="00393CB2" w:rsidRPr="00B451E6" w14:paraId="7CB33421" w14:textId="77777777" w:rsidTr="00CB727C">
        <w:tc>
          <w:tcPr>
            <w:tcW w:w="3160" w:type="dxa"/>
            <w:tcBorders>
              <w:top w:val="nil"/>
              <w:left w:val="nil"/>
              <w:bottom w:val="nil"/>
              <w:right w:val="nil"/>
            </w:tcBorders>
          </w:tcPr>
          <w:p w14:paraId="2123FD25"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Síndico</w:t>
            </w:r>
          </w:p>
        </w:tc>
      </w:tr>
      <w:tr w:rsidR="00393CB2" w:rsidRPr="00B451E6" w14:paraId="1921CFA4" w14:textId="77777777" w:rsidTr="00CB727C">
        <w:tc>
          <w:tcPr>
            <w:tcW w:w="3160" w:type="dxa"/>
            <w:tcBorders>
              <w:top w:val="nil"/>
              <w:left w:val="nil"/>
              <w:bottom w:val="nil"/>
              <w:right w:val="nil"/>
            </w:tcBorders>
          </w:tcPr>
          <w:p w14:paraId="01E3BEF8"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Por Comisión Fiscalizadora</w:t>
            </w:r>
          </w:p>
        </w:tc>
      </w:tr>
      <w:tr w:rsidR="00393CB2" w:rsidRPr="00B451E6" w14:paraId="25371498" w14:textId="77777777" w:rsidTr="00CB727C">
        <w:tc>
          <w:tcPr>
            <w:tcW w:w="3160" w:type="dxa"/>
            <w:tcBorders>
              <w:top w:val="nil"/>
              <w:left w:val="nil"/>
              <w:bottom w:val="nil"/>
              <w:right w:val="nil"/>
            </w:tcBorders>
          </w:tcPr>
          <w:p w14:paraId="41278C1D"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Contador  Público (U.N.L.Z.)</w:t>
            </w:r>
          </w:p>
        </w:tc>
      </w:tr>
      <w:tr w:rsidR="00393CB2" w:rsidRPr="00B451E6" w14:paraId="0E200B2D" w14:textId="77777777" w:rsidTr="00CB727C">
        <w:tc>
          <w:tcPr>
            <w:tcW w:w="3160" w:type="dxa"/>
            <w:tcBorders>
              <w:top w:val="nil"/>
              <w:left w:val="nil"/>
              <w:bottom w:val="nil"/>
              <w:right w:val="nil"/>
            </w:tcBorders>
          </w:tcPr>
          <w:p w14:paraId="4D1DDFD0"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fr-FR"/>
              </w:rPr>
            </w:pPr>
            <w:r w:rsidRPr="00B451E6">
              <w:rPr>
                <w:rFonts w:ascii="Garamond" w:hAnsi="Garamond"/>
                <w:color w:val="000000"/>
                <w:sz w:val="20"/>
                <w:lang w:val="fr-FR"/>
              </w:rPr>
              <w:t>C. P. C. E. C.A.B.A. T°108 -  F° 233</w:t>
            </w:r>
          </w:p>
        </w:tc>
      </w:tr>
      <w:tr w:rsidR="00393CB2" w:rsidRPr="00B451E6" w14:paraId="4B357EB3" w14:textId="77777777" w:rsidTr="00CB727C">
        <w:tc>
          <w:tcPr>
            <w:tcW w:w="3160" w:type="dxa"/>
            <w:tcBorders>
              <w:top w:val="nil"/>
              <w:left w:val="nil"/>
              <w:bottom w:val="nil"/>
              <w:right w:val="nil"/>
            </w:tcBorders>
          </w:tcPr>
          <w:p w14:paraId="7E59844D"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fr-FR"/>
              </w:rPr>
            </w:pPr>
          </w:p>
        </w:tc>
      </w:tr>
    </w:tbl>
    <w:p w14:paraId="132DEA2F" w14:textId="6D9DCCDF" w:rsidR="00393CB2" w:rsidRPr="00393CB2" w:rsidRDefault="00393CB2" w:rsidP="005819B2">
      <w:pPr>
        <w:tabs>
          <w:tab w:val="left" w:pos="1365"/>
        </w:tabs>
        <w:jc w:val="both"/>
        <w:rPr>
          <w:rFonts w:ascii="Arial" w:hAnsi="Arial" w:cs="Arial"/>
          <w:sz w:val="20"/>
          <w:u w:val="single"/>
          <w:lang w:val="fr-FR"/>
        </w:rPr>
      </w:pPr>
    </w:p>
    <w:p w14:paraId="1FEB420B" w14:textId="77777777" w:rsidR="00393CB2" w:rsidRDefault="00393CB2" w:rsidP="005819B2">
      <w:pPr>
        <w:tabs>
          <w:tab w:val="left" w:pos="1365"/>
        </w:tabs>
        <w:jc w:val="both"/>
        <w:rPr>
          <w:rFonts w:ascii="Arial" w:hAnsi="Arial" w:cs="Arial"/>
          <w:sz w:val="20"/>
          <w:u w:val="single"/>
          <w:lang w:val="es-ES_tradnl"/>
        </w:rPr>
      </w:pPr>
    </w:p>
    <w:p w14:paraId="1F51732B" w14:textId="77777777" w:rsidR="00393CB2" w:rsidRDefault="00393CB2" w:rsidP="005819B2">
      <w:pPr>
        <w:tabs>
          <w:tab w:val="left" w:pos="1365"/>
        </w:tabs>
        <w:jc w:val="both"/>
        <w:rPr>
          <w:rFonts w:ascii="Arial" w:hAnsi="Arial" w:cs="Arial"/>
          <w:sz w:val="20"/>
          <w:u w:val="single"/>
          <w:lang w:val="es-ES_tradnl"/>
        </w:rPr>
      </w:pPr>
    </w:p>
    <w:p w14:paraId="6031248F" w14:textId="77777777" w:rsidR="00393CB2" w:rsidRDefault="00393CB2" w:rsidP="005819B2">
      <w:pPr>
        <w:tabs>
          <w:tab w:val="left" w:pos="1365"/>
        </w:tabs>
        <w:jc w:val="both"/>
        <w:rPr>
          <w:rFonts w:ascii="Arial" w:hAnsi="Arial" w:cs="Arial"/>
          <w:sz w:val="20"/>
          <w:u w:val="single"/>
          <w:lang w:val="es-ES_tradnl"/>
        </w:rPr>
        <w:sectPr w:rsidR="00393CB2" w:rsidSect="0024455D">
          <w:pgSz w:w="11906" w:h="16838"/>
          <w:pgMar w:top="2835" w:right="851" w:bottom="2835" w:left="1985" w:header="544" w:footer="544" w:gutter="0"/>
          <w:cols w:space="708"/>
          <w:docGrid w:linePitch="360"/>
        </w:sectPr>
      </w:pPr>
    </w:p>
    <w:p w14:paraId="70ECA502" w14:textId="41832BB9" w:rsidR="00393CB2" w:rsidRDefault="00393CB2" w:rsidP="005819B2">
      <w:pPr>
        <w:tabs>
          <w:tab w:val="left" w:pos="1365"/>
        </w:tabs>
        <w:jc w:val="both"/>
        <w:rPr>
          <w:rFonts w:ascii="Arial" w:hAnsi="Arial" w:cs="Arial"/>
          <w:sz w:val="20"/>
          <w:u w:val="single"/>
          <w:lang w:val="es-ES_tradnl"/>
        </w:rPr>
      </w:pPr>
    </w:p>
    <w:p w14:paraId="64FC09F8" w14:textId="77777777" w:rsidR="00393CB2" w:rsidRPr="00B451E6" w:rsidRDefault="00393CB2" w:rsidP="00393CB2">
      <w:pPr>
        <w:pStyle w:val="Ttulo1"/>
        <w:jc w:val="both"/>
        <w:rPr>
          <w:rFonts w:ascii="Garamond" w:hAnsi="Garamond"/>
          <w:sz w:val="22"/>
          <w:szCs w:val="22"/>
        </w:rPr>
      </w:pPr>
      <w:r w:rsidRPr="00B451E6">
        <w:rPr>
          <w:rFonts w:ascii="Garamond" w:hAnsi="Garamond"/>
          <w:sz w:val="22"/>
          <w:szCs w:val="22"/>
        </w:rPr>
        <w:t xml:space="preserve">INFORME  DE LA COMISION FISCALIZADORA </w:t>
      </w:r>
    </w:p>
    <w:p w14:paraId="34176BED" w14:textId="77777777" w:rsidR="00393CB2" w:rsidRPr="00B451E6" w:rsidRDefault="00393CB2" w:rsidP="00393CB2">
      <w:pPr>
        <w:jc w:val="both"/>
        <w:rPr>
          <w:rFonts w:ascii="Garamond" w:hAnsi="Garamond"/>
          <w:sz w:val="18"/>
          <w:szCs w:val="18"/>
          <w:lang w:val="es-ES"/>
        </w:rPr>
      </w:pPr>
    </w:p>
    <w:p w14:paraId="01942E1B"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A los señores Accionistas de</w:t>
      </w:r>
    </w:p>
    <w:p w14:paraId="2CB96E78"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Banco Supervielle S.A.</w:t>
      </w:r>
    </w:p>
    <w:p w14:paraId="60CFAEF6" w14:textId="77777777" w:rsidR="00393CB2" w:rsidRPr="00B451E6" w:rsidRDefault="00393CB2" w:rsidP="00393CB2">
      <w:pPr>
        <w:jc w:val="both"/>
        <w:rPr>
          <w:rFonts w:ascii="Garamond" w:hAnsi="Garamond"/>
          <w:sz w:val="22"/>
          <w:szCs w:val="22"/>
        </w:rPr>
      </w:pPr>
      <w:r w:rsidRPr="00B451E6">
        <w:rPr>
          <w:rFonts w:ascii="Garamond" w:hAnsi="Garamond"/>
          <w:sz w:val="22"/>
          <w:szCs w:val="22"/>
        </w:rPr>
        <w:t>C.U.I.T  33-50000517-9</w:t>
      </w:r>
    </w:p>
    <w:p w14:paraId="1A77EFA5"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Bartolomé Mitre 434</w:t>
      </w:r>
    </w:p>
    <w:p w14:paraId="063147C4"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Ciudad Autónoma de Buenos Aires</w:t>
      </w:r>
    </w:p>
    <w:p w14:paraId="2B9ACDDF" w14:textId="77777777" w:rsidR="00393CB2" w:rsidRPr="00B451E6" w:rsidRDefault="00393CB2" w:rsidP="00393CB2">
      <w:pPr>
        <w:jc w:val="both"/>
        <w:rPr>
          <w:rFonts w:ascii="Garamond" w:hAnsi="Garamond"/>
          <w:sz w:val="18"/>
          <w:szCs w:val="18"/>
          <w:lang w:val="es-ES"/>
        </w:rPr>
      </w:pPr>
    </w:p>
    <w:p w14:paraId="6CD8A92B" w14:textId="77777777" w:rsidR="00393CB2" w:rsidRPr="00393CB2" w:rsidRDefault="00393CB2" w:rsidP="00393CB2">
      <w:pPr>
        <w:pStyle w:val="Textoindependiente"/>
        <w:ind w:right="-496"/>
        <w:rPr>
          <w:rFonts w:ascii="Garamond" w:hAnsi="Garamond"/>
          <w:bCs/>
          <w:sz w:val="22"/>
          <w:szCs w:val="22"/>
        </w:rPr>
      </w:pPr>
      <w:r w:rsidRPr="00393CB2">
        <w:rPr>
          <w:rFonts w:ascii="Garamond" w:hAnsi="Garamond"/>
          <w:bCs/>
          <w:sz w:val="22"/>
          <w:szCs w:val="22"/>
        </w:rPr>
        <w:t xml:space="preserve">En nuestro carácter de integrantes de </w:t>
      </w:r>
      <w:smartTag w:uri="urn:schemas-microsoft-com:office:smarttags" w:element="PersonName">
        <w:smartTagPr>
          <w:attr w:name="ProductID" w:val="la Comisi￳n Fiscalizadora"/>
        </w:smartTagPr>
        <w:r w:rsidRPr="00393CB2">
          <w:rPr>
            <w:rFonts w:ascii="Garamond" w:hAnsi="Garamond"/>
            <w:bCs/>
            <w:sz w:val="22"/>
            <w:szCs w:val="22"/>
          </w:rPr>
          <w:t>la Comisión Fiscalizadora</w:t>
        </w:r>
      </w:smartTag>
      <w:r w:rsidRPr="00393CB2">
        <w:rPr>
          <w:rFonts w:ascii="Garamond" w:hAnsi="Garamond"/>
          <w:bCs/>
          <w:sz w:val="22"/>
          <w:szCs w:val="22"/>
        </w:rPr>
        <w:t xml:space="preserve"> de Banco Supervielle S.A., hemos efectuado una revisión de los documentos detallados en el capítulo I siguiente. Los documentos  citados constituyen información  preparada y emitida  por el Directorio de </w:t>
      </w:r>
      <w:smartTag w:uri="urn:schemas-microsoft-com:office:smarttags" w:element="PersonName">
        <w:smartTagPr>
          <w:attr w:name="ProductID" w:val="la Entidad"/>
        </w:smartTagPr>
        <w:r w:rsidRPr="00393CB2">
          <w:rPr>
            <w:rFonts w:ascii="Garamond" w:hAnsi="Garamond"/>
            <w:bCs/>
            <w:sz w:val="22"/>
            <w:szCs w:val="22"/>
          </w:rPr>
          <w:t>la Entidad</w:t>
        </w:r>
      </w:smartTag>
      <w:r w:rsidRPr="00393CB2">
        <w:rPr>
          <w:rFonts w:ascii="Garamond" w:hAnsi="Garamond"/>
          <w:bCs/>
          <w:sz w:val="22"/>
          <w:szCs w:val="22"/>
        </w:rPr>
        <w:t>, en ejercicio de sus funciones exclusivas. Nuestra responsabilidad consiste en emitir un informe sobre dichos documentos basados en la revisión efectuada con el alcance descripto en el capítulo  III.</w:t>
      </w:r>
    </w:p>
    <w:p w14:paraId="4EDEC98F" w14:textId="77777777" w:rsidR="00393CB2" w:rsidRPr="00B451E6" w:rsidRDefault="00393CB2" w:rsidP="00393CB2">
      <w:pPr>
        <w:ind w:right="-496"/>
        <w:jc w:val="both"/>
        <w:rPr>
          <w:rFonts w:ascii="Garamond" w:hAnsi="Garamond"/>
          <w:b/>
          <w:sz w:val="18"/>
          <w:szCs w:val="18"/>
          <w:lang w:val="es-ES"/>
        </w:rPr>
      </w:pPr>
    </w:p>
    <w:p w14:paraId="53E76537"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w:t>
      </w:r>
      <w:r w:rsidRPr="00B451E6">
        <w:rPr>
          <w:rFonts w:ascii="Garamond" w:hAnsi="Garamond"/>
          <w:b/>
          <w:sz w:val="22"/>
          <w:szCs w:val="22"/>
          <w:lang w:val="es-ES"/>
        </w:rPr>
        <w:tab/>
        <w:t xml:space="preserve">DOCUMENTOS  OBJETO DE LA REVISIÓN  </w:t>
      </w:r>
    </w:p>
    <w:p w14:paraId="6F22C8E4" w14:textId="77777777" w:rsidR="00393CB2" w:rsidRPr="00B451E6" w:rsidRDefault="00393CB2" w:rsidP="00393CB2">
      <w:pPr>
        <w:ind w:right="-496"/>
        <w:jc w:val="both"/>
        <w:rPr>
          <w:rFonts w:ascii="Garamond" w:hAnsi="Garamond"/>
          <w:sz w:val="18"/>
          <w:szCs w:val="18"/>
          <w:lang w:val="es-ES"/>
        </w:rPr>
      </w:pPr>
    </w:p>
    <w:p w14:paraId="2481D1D5" w14:textId="77777777" w:rsidR="00393CB2" w:rsidRPr="00B451E6" w:rsidRDefault="00393CB2" w:rsidP="00393CB2">
      <w:pPr>
        <w:ind w:left="708" w:right="-496"/>
        <w:jc w:val="both"/>
        <w:rPr>
          <w:rFonts w:ascii="Garamond" w:hAnsi="Garamond"/>
          <w:sz w:val="22"/>
          <w:szCs w:val="22"/>
        </w:rPr>
      </w:pPr>
      <w:r w:rsidRPr="00B451E6">
        <w:rPr>
          <w:rFonts w:ascii="Garamond" w:hAnsi="Garamond"/>
          <w:sz w:val="22"/>
          <w:szCs w:val="22"/>
        </w:rPr>
        <w:t xml:space="preserve">Hemos revisado los estados financieros condensados separados intermedios adjuntos de </w:t>
      </w:r>
      <w:r w:rsidRPr="00B451E6">
        <w:rPr>
          <w:rFonts w:ascii="Garamond" w:hAnsi="Garamond"/>
          <w:color w:val="000000"/>
          <w:sz w:val="22"/>
          <w:szCs w:val="22"/>
          <w:lang w:val="es-ES" w:eastAsia="es-ES"/>
        </w:rPr>
        <w:t>Banco Supervielle S.A.</w:t>
      </w:r>
      <w:r w:rsidRPr="00B451E6">
        <w:rPr>
          <w:rFonts w:ascii="Garamond" w:hAnsi="Garamond"/>
          <w:sz w:val="22"/>
          <w:szCs w:val="22"/>
        </w:rPr>
        <w:t xml:space="preserve"> (en adelante “la Entidad”), que comprenden el estado separado de situación financiera al 30 de septiembre de 2018, los correspondientes estados separados de resultados y otros resultados integrales  por los períodos de nueve y tres meses finalizados el 30 de septiembre de 2018 y los estados separados de cambios en el patrimonio y de flujos de efectivo por el período de nueve meses finalizado en esa misma fecha, así como un resumen de las políticas contables significativas y otra información explicativa incluida en las notas y los anexos que los complementan</w:t>
      </w:r>
      <w:r w:rsidRPr="00B451E6">
        <w:rPr>
          <w:rFonts w:ascii="Georgia" w:hAnsi="Georgia"/>
          <w:color w:val="0070C0"/>
          <w:sz w:val="20"/>
        </w:rPr>
        <w:t>.</w:t>
      </w:r>
      <w:r w:rsidRPr="00B451E6">
        <w:rPr>
          <w:rFonts w:ascii="Garamond" w:hAnsi="Garamond"/>
          <w:bCs/>
          <w:color w:val="000000"/>
          <w:sz w:val="22"/>
          <w:szCs w:val="22"/>
          <w:lang w:val="es-ES" w:eastAsia="es-ES"/>
        </w:rPr>
        <w:t xml:space="preserve"> </w:t>
      </w:r>
    </w:p>
    <w:p w14:paraId="235BADB9" w14:textId="77777777" w:rsidR="00393CB2" w:rsidRPr="00B451E6" w:rsidRDefault="00393CB2" w:rsidP="00393CB2">
      <w:pPr>
        <w:ind w:left="708" w:right="-496"/>
        <w:jc w:val="both"/>
        <w:rPr>
          <w:rFonts w:ascii="Garamond" w:hAnsi="Garamond"/>
          <w:sz w:val="22"/>
          <w:szCs w:val="22"/>
        </w:rPr>
      </w:pPr>
    </w:p>
    <w:p w14:paraId="0F2467C7" w14:textId="77777777" w:rsidR="00393CB2" w:rsidRPr="00393CB2" w:rsidRDefault="00393CB2" w:rsidP="00393CB2">
      <w:pPr>
        <w:pStyle w:val="Textoindependiente"/>
        <w:ind w:left="709" w:right="-496" w:hanging="1"/>
        <w:rPr>
          <w:rFonts w:ascii="Garamond" w:hAnsi="Garamond"/>
          <w:sz w:val="22"/>
          <w:szCs w:val="22"/>
        </w:rPr>
      </w:pPr>
      <w:r w:rsidRPr="00393CB2">
        <w:rPr>
          <w:rFonts w:ascii="Garamond" w:hAnsi="Garamond"/>
          <w:sz w:val="22"/>
          <w:szCs w:val="22"/>
        </w:rPr>
        <w:t xml:space="preserve">Los saldos y otra información correspondientes al ejercicio 2017 y a sus períodos intermedios, son parte integrante de los estados contables mencionados precedentemente y por lo tanto deberán ser considerados en relación con esos estados contables. </w:t>
      </w:r>
    </w:p>
    <w:p w14:paraId="02AE0168" w14:textId="77777777" w:rsidR="00393CB2" w:rsidRPr="00B451E6" w:rsidRDefault="00393CB2" w:rsidP="00393CB2">
      <w:pPr>
        <w:ind w:left="720" w:right="-496"/>
        <w:jc w:val="both"/>
        <w:rPr>
          <w:rFonts w:ascii="Garamond" w:hAnsi="Garamond"/>
          <w:b/>
          <w:sz w:val="18"/>
          <w:szCs w:val="18"/>
        </w:rPr>
      </w:pPr>
    </w:p>
    <w:p w14:paraId="6878AA87"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II.</w:t>
      </w:r>
      <w:r w:rsidRPr="00B451E6">
        <w:rPr>
          <w:rFonts w:ascii="Garamond" w:hAnsi="Garamond"/>
          <w:b/>
          <w:sz w:val="22"/>
          <w:szCs w:val="22"/>
          <w:lang w:val="es-ES"/>
        </w:rPr>
        <w:tab/>
        <w:t>RESPONSABILIDAD DE LA DIRECCIÓN</w:t>
      </w:r>
    </w:p>
    <w:p w14:paraId="7832DC47" w14:textId="77777777" w:rsidR="00393CB2" w:rsidRPr="00B451E6" w:rsidRDefault="00393CB2" w:rsidP="00393CB2">
      <w:pPr>
        <w:ind w:right="-496"/>
        <w:jc w:val="both"/>
        <w:rPr>
          <w:rFonts w:ascii="Garamond" w:hAnsi="Garamond"/>
          <w:sz w:val="18"/>
          <w:szCs w:val="18"/>
          <w:lang w:val="es-ES"/>
        </w:rPr>
      </w:pPr>
    </w:p>
    <w:p w14:paraId="52397B77" w14:textId="77777777" w:rsidR="00393CB2" w:rsidRPr="00B451E6" w:rsidRDefault="00393CB2" w:rsidP="00393CB2">
      <w:pPr>
        <w:ind w:left="708" w:right="-496"/>
        <w:jc w:val="both"/>
        <w:rPr>
          <w:rFonts w:ascii="Garamond" w:hAnsi="Garamond"/>
          <w:bCs/>
          <w:color w:val="000000"/>
          <w:sz w:val="22"/>
          <w:szCs w:val="22"/>
          <w:lang w:val="es-ES" w:eastAsia="es-ES"/>
        </w:rPr>
      </w:pPr>
      <w:r w:rsidRPr="00B451E6">
        <w:rPr>
          <w:rFonts w:ascii="Garamond" w:hAnsi="Garamond"/>
          <w:bCs/>
          <w:color w:val="000000"/>
          <w:sz w:val="22"/>
          <w:szCs w:val="22"/>
          <w:lang w:val="es-ES" w:eastAsia="es-ES"/>
        </w:rPr>
        <w:t>El Directorio de la Entidad es responsable de la preparación y presentación de los estados financieros de acuerdo con el marco contable establecido por el Banco Central de la República Argentina (B.C.R.A.). Tal como se indica en la nota 1.1 a los estados financieros condensados separados intermedios adjuntos, dicho marco contable se basa en la aplicación de las Normas Internacionales de Información Financiera (N.I.I.F.) y, en particular, de la Norma Internacional de Contabilidad 34 “Información Financiera Intermedia” (N.I.C. 34), aprobadas por el Consejo de Normas Internacionales de Contabilidad (I.A.S.B. por sus siglas en inglés). Dichas normas fueron adoptadas por la Federación Argentina de Consejos Profesionales de Ciencias Económicas (F.A.C.P.C.E.), y por el B.C.R.A., y fueron utilizadas en la preparación de los estados financieros con la excepción  del punto 5.5 “Deterioro de Valor” de la N.I.I.F. N° 9  y de la Norma Internacional de Contabilidad 29 (N.I.C. 29).</w:t>
      </w:r>
    </w:p>
    <w:p w14:paraId="02425ED3" w14:textId="77777777" w:rsidR="00393CB2" w:rsidRPr="00B451E6" w:rsidRDefault="00393CB2" w:rsidP="00393CB2">
      <w:pPr>
        <w:ind w:right="-496"/>
        <w:jc w:val="both"/>
        <w:rPr>
          <w:rFonts w:ascii="Garamond" w:hAnsi="Garamond"/>
          <w:sz w:val="18"/>
          <w:szCs w:val="18"/>
          <w:lang w:val="es-ES"/>
        </w:rPr>
      </w:pPr>
    </w:p>
    <w:p w14:paraId="473C68EB"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III.</w:t>
      </w:r>
      <w:r w:rsidRPr="00B451E6">
        <w:rPr>
          <w:rFonts w:ascii="Garamond" w:hAnsi="Garamond"/>
          <w:b/>
          <w:sz w:val="22"/>
          <w:szCs w:val="22"/>
          <w:lang w:val="es-ES"/>
        </w:rPr>
        <w:tab/>
        <w:t xml:space="preserve">ALCANCE DE LA REVISION </w:t>
      </w:r>
    </w:p>
    <w:p w14:paraId="7391D5EA" w14:textId="77777777" w:rsidR="00393CB2" w:rsidRPr="00B451E6" w:rsidRDefault="00393CB2" w:rsidP="00393CB2">
      <w:pPr>
        <w:ind w:right="-496"/>
        <w:jc w:val="both"/>
        <w:rPr>
          <w:rFonts w:ascii="Garamond" w:hAnsi="Garamond"/>
          <w:sz w:val="18"/>
          <w:szCs w:val="18"/>
          <w:lang w:val="es-ES"/>
        </w:rPr>
      </w:pPr>
    </w:p>
    <w:p w14:paraId="3CC85AFC" w14:textId="77777777" w:rsidR="00393CB2" w:rsidRPr="00393CB2" w:rsidRDefault="00393CB2" w:rsidP="00393CB2">
      <w:pPr>
        <w:pStyle w:val="Textoindependiente"/>
        <w:ind w:left="709" w:right="-496" w:hanging="1"/>
        <w:rPr>
          <w:rFonts w:ascii="Garamond" w:hAnsi="Garamond"/>
          <w:sz w:val="22"/>
          <w:szCs w:val="22"/>
          <w:lang w:val="es-AR"/>
        </w:rPr>
      </w:pPr>
      <w:r w:rsidRPr="00393CB2">
        <w:rPr>
          <w:rFonts w:ascii="Garamond" w:hAnsi="Garamond"/>
          <w:sz w:val="22"/>
          <w:szCs w:val="22"/>
        </w:rPr>
        <w:t>Nuestra revisión fue realizada de acuerdo con las normas de sindicatura vigentes en la República Argentina. Dichas normas requieren que la revisión  de los documentos  detallados en el capítulo I. se  efectúe de acuerdo con las normas de auditoría vigentes para la revisión de estados financieros de períodos intermedios, e incluya la verificación  de la razonabilidad de la información significativa de los documentos examinados, y su congruencia con la restante información sobre las decisiones societarias expuestas en actas, y la adecuación de dichas decisiones a la ley y a los estatutos, en lo relativo a sus aspectos formales y documentales. Para realizar nuestra tarea profesional sobre los documentos detallados en el capítulo I, hemos revisado la labor efectuada  por los auditores externos, Price Waterhouse  &amp; Co. S.R.L., quienes emitieron su informe  con fecha  15 de noviembre de 2018, de acuerdo con las  normas establecidas en  la Resolución  Técnica N° 37 de la Federación Argentina de Consejos Profesionales de Ciencias Económicas (F.A.C.P.C.E.) para la revisión de estados financieros de períodos intermedios y con las normas de auditoría emitidas por el Banco Central de la República Argentina (B.C.R.A.) para revisiones limitadas. Dicha revisión  incluyó  la verificación de la planificación  del trabajo, de la naturaleza, alcance y oportunidad  de los procedimientos  aplicados y de los resultados  de la revisión efectuada por dichos profesionales. Se efectuaron indagaciones a los responsables de la preparación de la información incluida en los estados financieros condensados separados intermedios. El alcance de esta revisión es sustancialmente menor al de un examen de auditoría realizado de acuerdo con las normas argentinas de auditoría, en consecuencia, una revisión no nos permite obtener seguridad de que tomemos conocimiento sobre todos los temas significativos que podrían identificarse en una auditoría, cuyo objetivo es la expresión de una opinión de los estados financieros, tomados en su conjunto. Por  lo tanto, no expresamos una opinión de auditoría sobre la situación financiera separada, el resultado integral separado y el flujo de efectivo separado de la Entidad</w:t>
      </w:r>
      <w:r w:rsidRPr="00393CB2">
        <w:rPr>
          <w:rFonts w:ascii="Georgia" w:hAnsi="Georgia"/>
          <w:sz w:val="20"/>
        </w:rPr>
        <w:t>.</w:t>
      </w:r>
      <w:r w:rsidRPr="00393CB2">
        <w:rPr>
          <w:rFonts w:ascii="Garamond" w:hAnsi="Garamond"/>
          <w:sz w:val="22"/>
          <w:szCs w:val="22"/>
        </w:rPr>
        <w:t xml:space="preserve">  Dado que no es responsabilidad  de </w:t>
      </w:r>
      <w:smartTag w:uri="urn:schemas-microsoft-com:office:smarttags" w:element="PersonName">
        <w:smartTagPr>
          <w:attr w:name="ProductID" w:val="la Comisi￳n Fiscalizadora"/>
        </w:smartTagPr>
        <w:r w:rsidRPr="00393CB2">
          <w:rPr>
            <w:rFonts w:ascii="Garamond" w:hAnsi="Garamond"/>
            <w:sz w:val="22"/>
            <w:szCs w:val="22"/>
          </w:rPr>
          <w:t>la Comisión Fiscalizadora</w:t>
        </w:r>
      </w:smartTag>
      <w:r w:rsidRPr="00393CB2">
        <w:rPr>
          <w:rFonts w:ascii="Garamond" w:hAnsi="Garamond"/>
          <w:sz w:val="22"/>
          <w:szCs w:val="22"/>
        </w:rPr>
        <w:t xml:space="preserve">  efectuar un control de gestión, la revisión no se extendió a los criterios  y decisiones  empresarias de las diversas áreas  de </w:t>
      </w:r>
      <w:smartTag w:uri="urn:schemas-microsoft-com:office:smarttags" w:element="PersonName">
        <w:smartTagPr>
          <w:attr w:name="ProductID" w:val="la Entidad"/>
        </w:smartTagPr>
        <w:r w:rsidRPr="00393CB2">
          <w:rPr>
            <w:rFonts w:ascii="Garamond" w:hAnsi="Garamond"/>
            <w:sz w:val="22"/>
            <w:szCs w:val="22"/>
          </w:rPr>
          <w:t>la Entidad</w:t>
        </w:r>
      </w:smartTag>
      <w:r w:rsidRPr="00393CB2">
        <w:rPr>
          <w:rFonts w:ascii="Garamond" w:hAnsi="Garamond"/>
          <w:sz w:val="22"/>
          <w:szCs w:val="22"/>
        </w:rPr>
        <w:t>, cuestiones que son responsabilidad exclusiva del Directorio.</w:t>
      </w:r>
    </w:p>
    <w:p w14:paraId="6D573B74" w14:textId="77777777" w:rsidR="00393CB2" w:rsidRPr="00393CB2" w:rsidRDefault="00393CB2" w:rsidP="00393CB2">
      <w:pPr>
        <w:tabs>
          <w:tab w:val="num" w:pos="360"/>
        </w:tabs>
        <w:ind w:left="720" w:right="-496" w:hanging="360"/>
        <w:jc w:val="both"/>
        <w:rPr>
          <w:rFonts w:ascii="Garamond" w:hAnsi="Garamond"/>
          <w:sz w:val="18"/>
          <w:szCs w:val="18"/>
          <w:lang w:val="es-ES"/>
        </w:rPr>
      </w:pPr>
    </w:p>
    <w:p w14:paraId="4690BD0A"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IV.</w:t>
      </w:r>
      <w:r w:rsidRPr="00B451E6">
        <w:rPr>
          <w:rFonts w:ascii="Garamond" w:hAnsi="Garamond"/>
          <w:b/>
          <w:bCs/>
          <w:sz w:val="22"/>
          <w:szCs w:val="22"/>
          <w:lang w:val="es-ES"/>
        </w:rPr>
        <w:tab/>
        <w:t xml:space="preserve">CONCLUSIÓN </w:t>
      </w:r>
    </w:p>
    <w:p w14:paraId="39B0F1B0" w14:textId="77777777" w:rsidR="00393CB2" w:rsidRPr="00B451E6" w:rsidRDefault="00393CB2" w:rsidP="00393CB2">
      <w:pPr>
        <w:ind w:right="-496"/>
        <w:jc w:val="both"/>
        <w:rPr>
          <w:rFonts w:ascii="Garamond" w:hAnsi="Garamond"/>
          <w:bCs/>
          <w:sz w:val="18"/>
          <w:szCs w:val="18"/>
          <w:lang w:val="es-ES"/>
        </w:rPr>
      </w:pPr>
    </w:p>
    <w:p w14:paraId="5434CA99" w14:textId="77777777" w:rsidR="00393CB2" w:rsidRPr="00393CB2" w:rsidRDefault="00393CB2" w:rsidP="00393CB2">
      <w:pPr>
        <w:pStyle w:val="Textoindependiente"/>
        <w:ind w:left="709" w:right="-496" w:hanging="1"/>
        <w:rPr>
          <w:rFonts w:ascii="Garamond" w:hAnsi="Garamond"/>
          <w:sz w:val="22"/>
          <w:szCs w:val="22"/>
        </w:rPr>
      </w:pPr>
      <w:r w:rsidRPr="00393CB2">
        <w:rPr>
          <w:rFonts w:ascii="Garamond" w:hAnsi="Garamond"/>
          <w:sz w:val="22"/>
          <w:szCs w:val="22"/>
        </w:rPr>
        <w:t xml:space="preserve">Basados en la labor realizada, y en el informe de los Auditores Externos mencionado en el capítulo III., nada ha llamado nuestra atención que nos hiciera pensar que los estados financieros condensados separados intermedios mencionados en el capítulo I. del presente informe no están preparados, en todos sus aspectos significativos, de conformidad con el marco contable establecido por el  Banco Central de la República Argentina. </w:t>
      </w:r>
    </w:p>
    <w:p w14:paraId="084D2B5F" w14:textId="77777777" w:rsidR="00393CB2" w:rsidRPr="00B451E6" w:rsidRDefault="00393CB2" w:rsidP="00393CB2">
      <w:pPr>
        <w:ind w:left="720" w:right="-496"/>
        <w:jc w:val="both"/>
        <w:rPr>
          <w:rFonts w:ascii="Garamond" w:hAnsi="Garamond"/>
          <w:b/>
          <w:sz w:val="18"/>
          <w:szCs w:val="18"/>
        </w:rPr>
      </w:pPr>
    </w:p>
    <w:p w14:paraId="1385A28C" w14:textId="77777777" w:rsidR="00393CB2" w:rsidRPr="00B451E6" w:rsidRDefault="00393CB2" w:rsidP="00393CB2">
      <w:pPr>
        <w:ind w:right="-496"/>
        <w:jc w:val="both"/>
        <w:rPr>
          <w:rFonts w:ascii="Garamond" w:hAnsi="Garamond"/>
          <w:b/>
          <w:sz w:val="22"/>
          <w:szCs w:val="22"/>
          <w:lang w:val="es-ES"/>
        </w:rPr>
      </w:pPr>
      <w:r w:rsidRPr="00B451E6">
        <w:rPr>
          <w:rFonts w:ascii="Garamond" w:hAnsi="Garamond"/>
          <w:b/>
          <w:sz w:val="22"/>
          <w:szCs w:val="22"/>
          <w:lang w:val="es-ES"/>
        </w:rPr>
        <w:t xml:space="preserve"> V.</w:t>
      </w:r>
      <w:r w:rsidRPr="00B451E6">
        <w:rPr>
          <w:rFonts w:ascii="Garamond" w:hAnsi="Garamond"/>
          <w:b/>
          <w:sz w:val="22"/>
          <w:szCs w:val="22"/>
          <w:lang w:val="es-ES"/>
        </w:rPr>
        <w:tab/>
        <w:t>PÁRRAFOS DE ÉNFASIS</w:t>
      </w:r>
    </w:p>
    <w:p w14:paraId="08B98FD5" w14:textId="77777777" w:rsidR="00393CB2" w:rsidRPr="00B451E6" w:rsidRDefault="00393CB2" w:rsidP="00393CB2">
      <w:pPr>
        <w:ind w:right="-496"/>
        <w:jc w:val="both"/>
        <w:rPr>
          <w:rFonts w:ascii="Garamond" w:hAnsi="Garamond"/>
          <w:b/>
          <w:sz w:val="22"/>
          <w:szCs w:val="22"/>
          <w:lang w:val="es-ES"/>
        </w:rPr>
      </w:pPr>
    </w:p>
    <w:p w14:paraId="51CF8FFB" w14:textId="77777777" w:rsidR="00393CB2" w:rsidRPr="00B451E6" w:rsidRDefault="00393CB2" w:rsidP="00393CB2">
      <w:pPr>
        <w:ind w:right="-496"/>
        <w:jc w:val="both"/>
        <w:rPr>
          <w:rFonts w:ascii="Garamond" w:hAnsi="Garamond"/>
          <w:sz w:val="22"/>
          <w:szCs w:val="22"/>
          <w:u w:val="single"/>
          <w:lang w:val="es-ES"/>
        </w:rPr>
      </w:pPr>
      <w:r w:rsidRPr="00B451E6">
        <w:rPr>
          <w:rFonts w:ascii="Garamond" w:hAnsi="Garamond"/>
          <w:b/>
          <w:sz w:val="22"/>
          <w:szCs w:val="22"/>
        </w:rPr>
        <w:t xml:space="preserve">            </w:t>
      </w:r>
      <w:r w:rsidRPr="00B451E6">
        <w:rPr>
          <w:rFonts w:ascii="Georgia" w:hAnsi="Georgia"/>
          <w:sz w:val="20"/>
          <w:u w:val="single"/>
        </w:rPr>
        <w:t>Diferencia entre el marco de información contable del B.C.R.A. y las N.I.I.F.</w:t>
      </w:r>
    </w:p>
    <w:p w14:paraId="22D37377" w14:textId="77777777" w:rsidR="00393CB2" w:rsidRPr="00B451E6" w:rsidRDefault="00393CB2" w:rsidP="00393CB2">
      <w:pPr>
        <w:ind w:right="-496"/>
        <w:jc w:val="both"/>
        <w:rPr>
          <w:rFonts w:ascii="Garamond" w:hAnsi="Garamond"/>
          <w:sz w:val="18"/>
          <w:szCs w:val="18"/>
          <w:u w:val="single"/>
          <w:lang w:val="es-ES"/>
        </w:rPr>
      </w:pPr>
    </w:p>
    <w:p w14:paraId="2501698F" w14:textId="77046EE1" w:rsidR="00393CB2" w:rsidRDefault="00393CB2" w:rsidP="00393CB2">
      <w:pPr>
        <w:pStyle w:val="Textoindependiente"/>
        <w:ind w:left="720" w:right="-496"/>
        <w:rPr>
          <w:rFonts w:ascii="Garamond" w:hAnsi="Garamond"/>
          <w:sz w:val="22"/>
          <w:szCs w:val="22"/>
        </w:rPr>
      </w:pPr>
      <w:r w:rsidRPr="00393CB2">
        <w:rPr>
          <w:rFonts w:ascii="Garamond" w:hAnsi="Garamond"/>
          <w:sz w:val="22"/>
          <w:szCs w:val="22"/>
        </w:rPr>
        <w:t>Sin modificar nuestra conclusión, llamamos la atención sobre la nota 1.1 a los estados financieros condensados separados intermedios adjuntos</w:t>
      </w:r>
      <w:r w:rsidRPr="00393CB2">
        <w:rPr>
          <w:rFonts w:ascii="Georgia" w:hAnsi="Georgia"/>
          <w:sz w:val="20"/>
        </w:rPr>
        <w:t xml:space="preserve">, </w:t>
      </w:r>
      <w:r w:rsidRPr="00393CB2">
        <w:rPr>
          <w:rFonts w:ascii="Garamond" w:hAnsi="Garamond"/>
          <w:sz w:val="22"/>
          <w:szCs w:val="22"/>
        </w:rPr>
        <w:t xml:space="preserve">en la que se describen las diferencias entre el marco de información contable del B.C.R.A. y las N.I.I.F., considerando que la aplicación de la sección 5.5 “Deterioro de valor” de la N.I.I.F. 9 “Instrumentos Financieros” y la N.I.C. 29, fueron excluidas por el B.C.R.A. del marco contable aplicable a las entidades financieras. </w:t>
      </w:r>
    </w:p>
    <w:p w14:paraId="001E9D76" w14:textId="2E486222" w:rsidR="00635684" w:rsidRDefault="00635684" w:rsidP="00393CB2">
      <w:pPr>
        <w:pStyle w:val="Textoindependiente"/>
        <w:ind w:left="720" w:right="-496"/>
        <w:rPr>
          <w:rFonts w:ascii="Garamond" w:hAnsi="Garamond"/>
          <w:sz w:val="22"/>
          <w:szCs w:val="22"/>
        </w:rPr>
      </w:pPr>
    </w:p>
    <w:p w14:paraId="29E98D04" w14:textId="2E378D71" w:rsidR="00635684" w:rsidRDefault="00635684" w:rsidP="00393CB2">
      <w:pPr>
        <w:pStyle w:val="Textoindependiente"/>
        <w:ind w:left="720" w:right="-496"/>
        <w:rPr>
          <w:rFonts w:ascii="Garamond" w:hAnsi="Garamond"/>
          <w:sz w:val="22"/>
          <w:szCs w:val="22"/>
        </w:rPr>
      </w:pPr>
    </w:p>
    <w:p w14:paraId="243A04BD" w14:textId="77777777" w:rsidR="00635684" w:rsidRPr="00393CB2" w:rsidRDefault="00635684" w:rsidP="00393CB2">
      <w:pPr>
        <w:pStyle w:val="Textoindependiente"/>
        <w:ind w:left="720" w:right="-496"/>
        <w:rPr>
          <w:rFonts w:ascii="Garamond" w:hAnsi="Garamond"/>
          <w:sz w:val="22"/>
          <w:szCs w:val="22"/>
        </w:rPr>
      </w:pPr>
    </w:p>
    <w:p w14:paraId="423B57CF" w14:textId="77777777" w:rsidR="00393CB2" w:rsidRPr="00B451E6" w:rsidRDefault="00393CB2" w:rsidP="00393CB2">
      <w:pPr>
        <w:ind w:right="-496"/>
        <w:jc w:val="both"/>
        <w:rPr>
          <w:rFonts w:ascii="Garamond" w:hAnsi="Garamond"/>
          <w:sz w:val="22"/>
          <w:szCs w:val="22"/>
          <w:u w:val="single"/>
          <w:lang w:val="es-ES"/>
        </w:rPr>
      </w:pPr>
      <w:r w:rsidRPr="00B451E6">
        <w:rPr>
          <w:rFonts w:ascii="Garamond" w:hAnsi="Garamond"/>
          <w:sz w:val="22"/>
          <w:szCs w:val="22"/>
          <w:u w:val="single"/>
        </w:rPr>
        <w:t xml:space="preserve">           </w:t>
      </w:r>
    </w:p>
    <w:p w14:paraId="79A47743" w14:textId="77777777" w:rsidR="00393CB2" w:rsidRPr="00B451E6" w:rsidRDefault="00393CB2" w:rsidP="00393CB2">
      <w:pPr>
        <w:ind w:right="-496"/>
        <w:jc w:val="both"/>
        <w:rPr>
          <w:rFonts w:ascii="Garamond" w:hAnsi="Garamond"/>
          <w:sz w:val="22"/>
          <w:szCs w:val="22"/>
          <w:u w:val="single"/>
        </w:rPr>
      </w:pPr>
      <w:r w:rsidRPr="00B451E6">
        <w:rPr>
          <w:rFonts w:ascii="Garamond" w:hAnsi="Garamond"/>
          <w:sz w:val="18"/>
          <w:szCs w:val="18"/>
          <w:lang w:val="es-ES"/>
        </w:rPr>
        <w:t xml:space="preserve">                </w:t>
      </w:r>
      <w:r w:rsidRPr="00B451E6">
        <w:rPr>
          <w:rFonts w:ascii="Georgia" w:hAnsi="Georgia"/>
          <w:sz w:val="20"/>
          <w:u w:val="single"/>
        </w:rPr>
        <w:t xml:space="preserve">Primer ejercicio de aplicación de la N.I.C. </w:t>
      </w:r>
      <w:r w:rsidRPr="00B451E6">
        <w:rPr>
          <w:rFonts w:ascii="Garamond" w:hAnsi="Garamond"/>
          <w:bCs/>
          <w:color w:val="000000"/>
          <w:sz w:val="22"/>
          <w:szCs w:val="22"/>
          <w:u w:val="single"/>
          <w:lang w:val="es-ES" w:eastAsia="es-ES"/>
        </w:rPr>
        <w:t>34</w:t>
      </w:r>
    </w:p>
    <w:p w14:paraId="35804817" w14:textId="77777777" w:rsidR="00393CB2" w:rsidRPr="00B451E6" w:rsidRDefault="00393CB2" w:rsidP="00393CB2">
      <w:pPr>
        <w:pStyle w:val="Textoindependiente"/>
        <w:ind w:left="720" w:right="-496"/>
        <w:rPr>
          <w:rFonts w:ascii="Garamond" w:hAnsi="Garamond"/>
          <w:b/>
          <w:sz w:val="22"/>
          <w:szCs w:val="22"/>
          <w:lang w:val="es-AR"/>
        </w:rPr>
      </w:pPr>
    </w:p>
    <w:p w14:paraId="155A72D9" w14:textId="77777777" w:rsidR="00393CB2" w:rsidRPr="00393CB2" w:rsidRDefault="00393CB2" w:rsidP="00393CB2">
      <w:pPr>
        <w:pStyle w:val="Textoindependiente"/>
        <w:ind w:left="720" w:right="-496"/>
        <w:rPr>
          <w:rFonts w:ascii="Garamond" w:hAnsi="Garamond"/>
          <w:sz w:val="22"/>
          <w:szCs w:val="22"/>
        </w:rPr>
      </w:pPr>
      <w:r w:rsidRPr="00393CB2">
        <w:rPr>
          <w:rFonts w:ascii="Garamond" w:hAnsi="Garamond"/>
          <w:sz w:val="22"/>
          <w:szCs w:val="22"/>
        </w:rPr>
        <w:t>Sin modificar nuestra conclusión, llamamos la atención sobre la nota 1.1, en la que se indica que los estados financieros condensados separados intermedios, mencionados en el primer párrafo, han sido preparados en el marco contable establecido por el B.C.R.A., conforme a N.I.C. 34 (con la excepción descripta en la mencionada nota), siendo éste el primer ejercicio económico en que la Entidad aplica dichas normas. Los efectos de los cambios originados por la aplicación de esta nueva base contable se presentan en nota 2. Las partidas y cifras, contenidas en las conciliaciones incluidas en dicha nota, están sujetas a los cambios que pudieran producirse como consecuencia de variaciones en las N.I.I.F. que finalmente se apliquen y sólo podrán considerarse definitivas cuando se preparen los estados financieros anuales correspondientes al presente ejercicio.</w:t>
      </w:r>
    </w:p>
    <w:p w14:paraId="49F4B62A" w14:textId="77777777" w:rsidR="00393CB2" w:rsidRPr="00B451E6" w:rsidRDefault="00393CB2" w:rsidP="00393CB2">
      <w:pPr>
        <w:pStyle w:val="Textoindependiente"/>
        <w:ind w:left="720" w:right="-496"/>
        <w:rPr>
          <w:rFonts w:ascii="Garamond" w:hAnsi="Garamond"/>
          <w:b/>
          <w:sz w:val="22"/>
          <w:szCs w:val="22"/>
        </w:rPr>
      </w:pPr>
    </w:p>
    <w:p w14:paraId="4BFD4019"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VI.</w:t>
      </w:r>
      <w:r w:rsidRPr="00B451E6">
        <w:rPr>
          <w:rFonts w:ascii="Garamond" w:hAnsi="Garamond"/>
          <w:b/>
          <w:bCs/>
          <w:sz w:val="22"/>
          <w:szCs w:val="22"/>
          <w:lang w:val="es-ES"/>
        </w:rPr>
        <w:tab/>
        <w:t>INFORMACIÓN  SOBRE CUMPLIMIENTO DE DISPOSICIONES VIGENTES</w:t>
      </w:r>
    </w:p>
    <w:p w14:paraId="4D90ECED" w14:textId="77777777" w:rsidR="00393CB2" w:rsidRPr="00B451E6" w:rsidRDefault="00393CB2" w:rsidP="00393CB2">
      <w:pPr>
        <w:ind w:right="-496"/>
        <w:jc w:val="both"/>
        <w:rPr>
          <w:rFonts w:ascii="Garamond" w:hAnsi="Garamond"/>
          <w:b/>
          <w:bCs/>
          <w:sz w:val="22"/>
          <w:szCs w:val="22"/>
          <w:lang w:val="es-ES"/>
        </w:rPr>
      </w:pPr>
      <w:r w:rsidRPr="00B451E6">
        <w:rPr>
          <w:rFonts w:ascii="Garamond" w:hAnsi="Garamond"/>
          <w:b/>
          <w:bCs/>
          <w:sz w:val="22"/>
          <w:szCs w:val="22"/>
          <w:lang w:val="es-ES"/>
        </w:rPr>
        <w:t xml:space="preserve">            </w:t>
      </w:r>
    </w:p>
    <w:p w14:paraId="4BDE24E0" w14:textId="77777777" w:rsidR="00393CB2" w:rsidRPr="00B451E6" w:rsidRDefault="00393CB2" w:rsidP="00393CB2">
      <w:pPr>
        <w:ind w:right="-496"/>
        <w:jc w:val="both"/>
        <w:rPr>
          <w:rFonts w:ascii="Garamond" w:hAnsi="Garamond"/>
          <w:sz w:val="22"/>
          <w:szCs w:val="22"/>
        </w:rPr>
      </w:pPr>
      <w:r w:rsidRPr="00B451E6">
        <w:rPr>
          <w:rFonts w:ascii="Garamond" w:hAnsi="Garamond"/>
          <w:bCs/>
          <w:sz w:val="22"/>
          <w:szCs w:val="22"/>
          <w:lang w:val="es-ES"/>
        </w:rPr>
        <w:t xml:space="preserve">            En cumplimiento de disposiciones vigentes, informamos que:</w:t>
      </w:r>
    </w:p>
    <w:p w14:paraId="24398AFB" w14:textId="77777777" w:rsidR="00393CB2" w:rsidRPr="00B451E6" w:rsidRDefault="00393CB2" w:rsidP="00393CB2">
      <w:pPr>
        <w:pStyle w:val="Textoindependiente"/>
        <w:ind w:left="720" w:right="-496"/>
        <w:rPr>
          <w:rFonts w:ascii="Garamond" w:hAnsi="Garamond"/>
          <w:b/>
          <w:sz w:val="18"/>
          <w:szCs w:val="18"/>
        </w:rPr>
      </w:pPr>
    </w:p>
    <w:p w14:paraId="4E957E59" w14:textId="77777777" w:rsidR="00393CB2" w:rsidRPr="00393CB2" w:rsidRDefault="00393CB2" w:rsidP="00393CB2">
      <w:pPr>
        <w:pStyle w:val="Textoindependiente"/>
        <w:numPr>
          <w:ilvl w:val="0"/>
          <w:numId w:val="113"/>
        </w:numPr>
        <w:ind w:right="-496"/>
        <w:rPr>
          <w:rFonts w:ascii="Garamond" w:hAnsi="Garamond"/>
          <w:sz w:val="22"/>
          <w:szCs w:val="22"/>
        </w:rPr>
      </w:pPr>
      <w:r w:rsidRPr="00393CB2">
        <w:rPr>
          <w:rFonts w:ascii="Garamond" w:hAnsi="Garamond"/>
          <w:sz w:val="22"/>
          <w:szCs w:val="22"/>
        </w:rPr>
        <w:t xml:space="preserve">Los estados financieros condensados separados intermedios de </w:t>
      </w:r>
      <w:r w:rsidRPr="00393CB2">
        <w:rPr>
          <w:rFonts w:ascii="Garamond" w:hAnsi="Garamond"/>
          <w:bCs/>
          <w:sz w:val="22"/>
          <w:szCs w:val="22"/>
        </w:rPr>
        <w:t>Banco Supervielle S.A.</w:t>
      </w:r>
      <w:r w:rsidRPr="00393CB2">
        <w:rPr>
          <w:rFonts w:ascii="Garamond" w:hAnsi="Garamond"/>
          <w:sz w:val="22"/>
          <w:szCs w:val="22"/>
        </w:rPr>
        <w:t xml:space="preserve"> al 30 de septiembre de 2018 se encuentran asentados en el libro "Balances" y cumplen, en lo que es materia de nuestra competencia, con lo dispuesto en la Ley General de Sociedades y en las resoluciones pertinentes del B.C.R.A. y la Comisión Nacional de Valores. </w:t>
      </w:r>
    </w:p>
    <w:p w14:paraId="581CFAE4" w14:textId="77777777" w:rsidR="00393CB2" w:rsidRPr="00393CB2" w:rsidRDefault="00393CB2" w:rsidP="00393CB2">
      <w:pPr>
        <w:pStyle w:val="Textoindependiente"/>
        <w:ind w:left="708" w:right="-496"/>
        <w:rPr>
          <w:rFonts w:ascii="Garamond" w:hAnsi="Garamond"/>
          <w:sz w:val="22"/>
          <w:szCs w:val="22"/>
        </w:rPr>
      </w:pPr>
    </w:p>
    <w:p w14:paraId="6AD1DF82" w14:textId="77777777" w:rsidR="00393CB2" w:rsidRPr="00393CB2" w:rsidRDefault="00393CB2" w:rsidP="00393CB2">
      <w:pPr>
        <w:pStyle w:val="Textoindependiente"/>
        <w:numPr>
          <w:ilvl w:val="0"/>
          <w:numId w:val="113"/>
        </w:numPr>
        <w:ind w:right="-496"/>
        <w:rPr>
          <w:rFonts w:ascii="Garamond" w:hAnsi="Garamond"/>
          <w:sz w:val="22"/>
          <w:szCs w:val="22"/>
        </w:rPr>
      </w:pPr>
      <w:r w:rsidRPr="00393CB2">
        <w:rPr>
          <w:rFonts w:ascii="Garamond" w:hAnsi="Garamond"/>
          <w:sz w:val="22"/>
          <w:szCs w:val="22"/>
        </w:rPr>
        <w:t xml:space="preserve">Los estados financieros condensados separados intermedios de </w:t>
      </w:r>
      <w:r w:rsidRPr="00393CB2">
        <w:rPr>
          <w:rFonts w:ascii="Garamond" w:hAnsi="Garamond"/>
          <w:bCs/>
          <w:sz w:val="22"/>
          <w:szCs w:val="22"/>
        </w:rPr>
        <w:t>Banco Supervielle S.A.</w:t>
      </w:r>
      <w:r w:rsidRPr="00393CB2">
        <w:rPr>
          <w:rFonts w:ascii="Garamond" w:hAnsi="Garamond"/>
          <w:sz w:val="22"/>
          <w:szCs w:val="22"/>
        </w:rPr>
        <w:t xml:space="preserve"> surgen de registros contables llevados en sus aspectos formales de conformidad con normas legales</w:t>
      </w:r>
    </w:p>
    <w:p w14:paraId="10786089" w14:textId="77777777" w:rsidR="00393CB2" w:rsidRPr="00393CB2" w:rsidRDefault="00393CB2" w:rsidP="00393CB2">
      <w:pPr>
        <w:pStyle w:val="Prrafodelista"/>
        <w:rPr>
          <w:rFonts w:ascii="Garamond" w:hAnsi="Garamond"/>
          <w:sz w:val="22"/>
          <w:szCs w:val="22"/>
        </w:rPr>
      </w:pPr>
    </w:p>
    <w:p w14:paraId="751C273B" w14:textId="77777777" w:rsidR="00393CB2" w:rsidRPr="00393CB2" w:rsidRDefault="00393CB2" w:rsidP="00393CB2">
      <w:pPr>
        <w:pStyle w:val="Textoindependiente"/>
        <w:numPr>
          <w:ilvl w:val="0"/>
          <w:numId w:val="113"/>
        </w:numPr>
        <w:ind w:right="-496"/>
        <w:rPr>
          <w:rFonts w:ascii="Garamond" w:hAnsi="Garamond"/>
          <w:sz w:val="22"/>
          <w:szCs w:val="22"/>
        </w:rPr>
      </w:pPr>
      <w:r w:rsidRPr="00393CB2">
        <w:rPr>
          <w:rFonts w:ascii="Garamond" w:hAnsi="Garamond"/>
          <w:sz w:val="22"/>
          <w:szCs w:val="22"/>
        </w:rPr>
        <w:t xml:space="preserve">Hemos leído la reseña informativa y la información adicional a las notas a los estados contables requerida por el artículo 12 °, Capítulo III, Título IV, de la normativa de la Comisión Nacional de Valores, sobre la cual, en lo que es materia de nuestra competencia, no tenemos  observaciones que formular. </w:t>
      </w:r>
    </w:p>
    <w:p w14:paraId="5419FCDE" w14:textId="77777777" w:rsidR="00393CB2" w:rsidRPr="00393CB2" w:rsidRDefault="00393CB2" w:rsidP="00393CB2">
      <w:pPr>
        <w:pStyle w:val="Textoindependiente"/>
        <w:ind w:left="720" w:right="-496"/>
        <w:rPr>
          <w:rFonts w:ascii="Garamond" w:hAnsi="Garamond"/>
          <w:sz w:val="22"/>
          <w:szCs w:val="22"/>
        </w:rPr>
      </w:pPr>
    </w:p>
    <w:p w14:paraId="0406A2D9" w14:textId="77777777" w:rsidR="00393CB2" w:rsidRPr="00393CB2" w:rsidRDefault="00393CB2" w:rsidP="00393CB2">
      <w:pPr>
        <w:pStyle w:val="Textoindependiente"/>
        <w:numPr>
          <w:ilvl w:val="0"/>
          <w:numId w:val="113"/>
        </w:numPr>
        <w:ind w:right="-496"/>
        <w:rPr>
          <w:rFonts w:ascii="Garamond" w:hAnsi="Garamond"/>
          <w:sz w:val="22"/>
          <w:szCs w:val="22"/>
        </w:rPr>
      </w:pPr>
      <w:r w:rsidRPr="00393CB2">
        <w:rPr>
          <w:rFonts w:ascii="Garamond" w:hAnsi="Garamond"/>
          <w:sz w:val="22"/>
          <w:szCs w:val="22"/>
        </w:rPr>
        <w:t>No tenemos observaciones  que formular en lo que es materia de nuestra competencia, sobre la información incluida en la nota 15.5.1. a los estados financieros condensados separados intermedios al 30 de septiembre de 2018 en relación con las exigencias establecidas por la Comisión Nacional de Valores respecto al Patrimonio Neto Mínimo y Contrapartida.</w:t>
      </w:r>
    </w:p>
    <w:p w14:paraId="0DA21C47" w14:textId="77777777" w:rsidR="00393CB2" w:rsidRPr="00393CB2" w:rsidRDefault="00393CB2" w:rsidP="00393CB2">
      <w:pPr>
        <w:pStyle w:val="Textoindependiente"/>
        <w:ind w:left="720" w:right="-496"/>
        <w:rPr>
          <w:rFonts w:ascii="Garamond" w:hAnsi="Garamond"/>
          <w:sz w:val="22"/>
          <w:szCs w:val="22"/>
        </w:rPr>
      </w:pPr>
      <w:r w:rsidRPr="00393CB2">
        <w:rPr>
          <w:rFonts w:ascii="Garamond" w:hAnsi="Garamond"/>
          <w:sz w:val="22"/>
          <w:szCs w:val="22"/>
        </w:rPr>
        <w:t xml:space="preserve"> </w:t>
      </w:r>
    </w:p>
    <w:p w14:paraId="1F23812C" w14:textId="77777777" w:rsidR="00393CB2" w:rsidRPr="00393CB2" w:rsidRDefault="00393CB2" w:rsidP="00393CB2">
      <w:pPr>
        <w:pStyle w:val="Textoindependiente"/>
        <w:numPr>
          <w:ilvl w:val="0"/>
          <w:numId w:val="113"/>
        </w:numPr>
        <w:ind w:right="-496"/>
        <w:rPr>
          <w:rFonts w:ascii="Garamond" w:hAnsi="Garamond"/>
          <w:sz w:val="22"/>
          <w:szCs w:val="22"/>
        </w:rPr>
      </w:pPr>
      <w:r w:rsidRPr="00393CB2">
        <w:rPr>
          <w:rFonts w:ascii="Garamond" w:hAnsi="Garamond"/>
          <w:sz w:val="22"/>
          <w:szCs w:val="22"/>
        </w:rPr>
        <w:t xml:space="preserve">Manifestamos que se ha dado cumplimiento a lo dispuesto por el artículo 294 de </w:t>
      </w:r>
      <w:smartTag w:uri="urn:schemas-microsoft-com:office:smarttags" w:element="PersonName">
        <w:smartTagPr>
          <w:attr w:name="ProductID" w:val="la Ley"/>
        </w:smartTagPr>
        <w:r w:rsidRPr="00393CB2">
          <w:rPr>
            <w:rFonts w:ascii="Garamond" w:hAnsi="Garamond"/>
            <w:sz w:val="22"/>
            <w:szCs w:val="22"/>
          </w:rPr>
          <w:t>la Ley</w:t>
        </w:r>
      </w:smartTag>
      <w:r w:rsidRPr="00393CB2">
        <w:rPr>
          <w:rFonts w:ascii="Garamond" w:hAnsi="Garamond"/>
          <w:sz w:val="22"/>
          <w:szCs w:val="22"/>
        </w:rPr>
        <w:t xml:space="preserve"> General de Sociedades. </w:t>
      </w:r>
    </w:p>
    <w:p w14:paraId="301F435C" w14:textId="77777777" w:rsidR="00393CB2" w:rsidRPr="00393CB2" w:rsidRDefault="00393CB2" w:rsidP="00393CB2">
      <w:pPr>
        <w:pStyle w:val="Textoindependiente"/>
        <w:ind w:left="720" w:right="-496"/>
        <w:rPr>
          <w:rFonts w:ascii="Garamond" w:hAnsi="Garamond"/>
          <w:sz w:val="22"/>
          <w:szCs w:val="22"/>
        </w:rPr>
      </w:pPr>
    </w:p>
    <w:p w14:paraId="3A67FA1D" w14:textId="77777777" w:rsidR="00393CB2" w:rsidRPr="00B451E6" w:rsidRDefault="00393CB2" w:rsidP="00393CB2">
      <w:pPr>
        <w:pStyle w:val="Textoindependiente"/>
        <w:ind w:left="720" w:right="-496"/>
        <w:rPr>
          <w:rFonts w:ascii="Garamond" w:hAnsi="Garamond"/>
          <w:b/>
          <w:sz w:val="22"/>
          <w:szCs w:val="22"/>
        </w:rPr>
      </w:pPr>
    </w:p>
    <w:p w14:paraId="41F2EE45" w14:textId="77777777" w:rsidR="00393CB2" w:rsidRPr="00B451E6" w:rsidRDefault="00393CB2" w:rsidP="00393CB2">
      <w:pPr>
        <w:jc w:val="both"/>
        <w:rPr>
          <w:rFonts w:ascii="Garamond" w:hAnsi="Garamond"/>
          <w:sz w:val="22"/>
          <w:szCs w:val="22"/>
          <w:lang w:val="es-ES"/>
        </w:rPr>
      </w:pPr>
      <w:r w:rsidRPr="00B451E6">
        <w:rPr>
          <w:rFonts w:ascii="Garamond" w:hAnsi="Garamond"/>
          <w:sz w:val="22"/>
          <w:szCs w:val="22"/>
          <w:lang w:val="es-ES"/>
        </w:rPr>
        <w:t>Ciudad Autónoma de Buenos Aires, 15 de noviembre de 2018.</w:t>
      </w:r>
    </w:p>
    <w:p w14:paraId="1FABAEB3" w14:textId="77777777" w:rsidR="00393CB2" w:rsidRPr="00B451E6" w:rsidRDefault="00393CB2" w:rsidP="00393CB2">
      <w:pPr>
        <w:jc w:val="both"/>
        <w:rPr>
          <w:rFonts w:ascii="Garamond" w:hAnsi="Garamond"/>
          <w:sz w:val="22"/>
          <w:szCs w:val="22"/>
          <w:lang w:val="es-ES"/>
        </w:rPr>
      </w:pPr>
    </w:p>
    <w:p w14:paraId="1859D682" w14:textId="77777777" w:rsidR="00393CB2" w:rsidRPr="00B451E6" w:rsidRDefault="00393CB2" w:rsidP="00393CB2">
      <w:pPr>
        <w:jc w:val="both"/>
        <w:rPr>
          <w:rFonts w:ascii="Garamond" w:hAnsi="Garamond"/>
          <w:sz w:val="22"/>
          <w:szCs w:val="22"/>
          <w:lang w:val="es-ES"/>
        </w:rPr>
      </w:pPr>
    </w:p>
    <w:tbl>
      <w:tblPr>
        <w:tblW w:w="0" w:type="auto"/>
        <w:tblInd w:w="40" w:type="dxa"/>
        <w:tblLayout w:type="fixed"/>
        <w:tblCellMar>
          <w:left w:w="40" w:type="dxa"/>
          <w:right w:w="40" w:type="dxa"/>
        </w:tblCellMar>
        <w:tblLook w:val="0000" w:firstRow="0" w:lastRow="0" w:firstColumn="0" w:lastColumn="0" w:noHBand="0" w:noVBand="0"/>
      </w:tblPr>
      <w:tblGrid>
        <w:gridCol w:w="3160"/>
      </w:tblGrid>
      <w:tr w:rsidR="00393CB2" w:rsidRPr="00B451E6" w14:paraId="57255338" w14:textId="77777777" w:rsidTr="00CB727C">
        <w:tc>
          <w:tcPr>
            <w:tcW w:w="3160" w:type="dxa"/>
            <w:tcBorders>
              <w:top w:val="nil"/>
              <w:left w:val="nil"/>
              <w:bottom w:val="nil"/>
              <w:right w:val="nil"/>
            </w:tcBorders>
          </w:tcPr>
          <w:p w14:paraId="4986E5A9"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lang w:val="es-ES"/>
              </w:rPr>
            </w:pPr>
            <w:r w:rsidRPr="00B451E6">
              <w:rPr>
                <w:rFonts w:ascii="Garamond" w:hAnsi="Garamond"/>
                <w:color w:val="000000"/>
                <w:lang w:val="es-ES"/>
              </w:rPr>
              <w:t>Enrique José Barreiro</w:t>
            </w:r>
          </w:p>
        </w:tc>
      </w:tr>
      <w:tr w:rsidR="00393CB2" w:rsidRPr="00B451E6" w14:paraId="0113080F" w14:textId="77777777" w:rsidTr="00CB727C">
        <w:tc>
          <w:tcPr>
            <w:tcW w:w="3160" w:type="dxa"/>
            <w:tcBorders>
              <w:top w:val="nil"/>
              <w:left w:val="nil"/>
              <w:bottom w:val="nil"/>
              <w:right w:val="nil"/>
            </w:tcBorders>
          </w:tcPr>
          <w:p w14:paraId="4DF6687B"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Síndico</w:t>
            </w:r>
          </w:p>
        </w:tc>
      </w:tr>
      <w:tr w:rsidR="00393CB2" w:rsidRPr="00B451E6" w14:paraId="05E4B672" w14:textId="77777777" w:rsidTr="00CB727C">
        <w:tc>
          <w:tcPr>
            <w:tcW w:w="3160" w:type="dxa"/>
            <w:tcBorders>
              <w:top w:val="nil"/>
              <w:left w:val="nil"/>
              <w:bottom w:val="nil"/>
              <w:right w:val="nil"/>
            </w:tcBorders>
          </w:tcPr>
          <w:p w14:paraId="5228E4F7"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Por Comisión Fiscalizadora</w:t>
            </w:r>
          </w:p>
        </w:tc>
      </w:tr>
      <w:tr w:rsidR="00393CB2" w:rsidRPr="00B451E6" w14:paraId="2503719D" w14:textId="77777777" w:rsidTr="00CB727C">
        <w:tc>
          <w:tcPr>
            <w:tcW w:w="3160" w:type="dxa"/>
            <w:tcBorders>
              <w:top w:val="nil"/>
              <w:left w:val="nil"/>
              <w:bottom w:val="nil"/>
              <w:right w:val="nil"/>
            </w:tcBorders>
          </w:tcPr>
          <w:p w14:paraId="3237E2C5"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es-ES"/>
              </w:rPr>
            </w:pPr>
            <w:r w:rsidRPr="00B451E6">
              <w:rPr>
                <w:rFonts w:ascii="Garamond" w:hAnsi="Garamond"/>
                <w:color w:val="000000"/>
                <w:sz w:val="20"/>
                <w:lang w:val="es-ES"/>
              </w:rPr>
              <w:t>Contador  Público (U.N.L.Z.)</w:t>
            </w:r>
          </w:p>
        </w:tc>
      </w:tr>
      <w:tr w:rsidR="00393CB2" w:rsidRPr="00B451E6" w14:paraId="462DA2E7" w14:textId="77777777" w:rsidTr="00CB727C">
        <w:tc>
          <w:tcPr>
            <w:tcW w:w="3160" w:type="dxa"/>
            <w:tcBorders>
              <w:top w:val="nil"/>
              <w:left w:val="nil"/>
              <w:bottom w:val="nil"/>
              <w:right w:val="nil"/>
            </w:tcBorders>
          </w:tcPr>
          <w:p w14:paraId="102A69E8" w14:textId="77777777" w:rsidR="00393CB2" w:rsidRPr="00B451E6" w:rsidRDefault="00393CB2" w:rsidP="00CB727C">
            <w:pPr>
              <w:keepNext/>
              <w:keepLines/>
              <w:autoSpaceDE w:val="0"/>
              <w:autoSpaceDN w:val="0"/>
              <w:adjustRightInd w:val="0"/>
              <w:spacing w:line="240" w:lineRule="atLeast"/>
              <w:jc w:val="center"/>
              <w:rPr>
                <w:rFonts w:ascii="Garamond" w:hAnsi="Garamond"/>
                <w:color w:val="000000"/>
                <w:sz w:val="20"/>
                <w:lang w:val="fr-FR"/>
              </w:rPr>
            </w:pPr>
            <w:r w:rsidRPr="00B451E6">
              <w:rPr>
                <w:rFonts w:ascii="Garamond" w:hAnsi="Garamond"/>
                <w:color w:val="000000"/>
                <w:sz w:val="20"/>
                <w:lang w:val="fr-FR"/>
              </w:rPr>
              <w:t>C. P. C. E. C.A.B.A. T°108 -  F° 233</w:t>
            </w:r>
          </w:p>
        </w:tc>
      </w:tr>
    </w:tbl>
    <w:p w14:paraId="5FCF458B" w14:textId="77777777" w:rsidR="00393CB2" w:rsidRPr="00B451E6" w:rsidRDefault="00393CB2" w:rsidP="00393CB2">
      <w:pPr>
        <w:rPr>
          <w:rFonts w:ascii="Garamond" w:hAnsi="Garamond"/>
          <w:sz w:val="22"/>
          <w:szCs w:val="22"/>
        </w:rPr>
      </w:pPr>
    </w:p>
    <w:sectPr w:rsidR="00393CB2" w:rsidRPr="00B451E6" w:rsidSect="0024455D">
      <w:pgSz w:w="11906" w:h="16838"/>
      <w:pgMar w:top="2835" w:right="851" w:bottom="2835" w:left="1985" w:header="544" w:footer="54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7EBB3" w14:textId="77777777" w:rsidR="008A0152" w:rsidRDefault="008A0152">
      <w:pPr>
        <w:rPr>
          <w:sz w:val="23"/>
          <w:szCs w:val="23"/>
        </w:rPr>
      </w:pPr>
      <w:r>
        <w:rPr>
          <w:sz w:val="23"/>
          <w:szCs w:val="23"/>
        </w:rPr>
        <w:separator/>
      </w:r>
    </w:p>
  </w:endnote>
  <w:endnote w:type="continuationSeparator" w:id="0">
    <w:p w14:paraId="4F0FEFE8" w14:textId="77777777" w:rsidR="008A0152" w:rsidRDefault="008A0152">
      <w:pPr>
        <w:rPr>
          <w:sz w:val="23"/>
          <w:szCs w:val="23"/>
        </w:rPr>
      </w:pPr>
      <w:r>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8" w:type="pct"/>
      <w:tblCellMar>
        <w:left w:w="70" w:type="dxa"/>
        <w:right w:w="70" w:type="dxa"/>
      </w:tblCellMar>
      <w:tblLook w:val="04A0" w:firstRow="1" w:lastRow="0" w:firstColumn="1" w:lastColumn="0" w:noHBand="0" w:noVBand="1"/>
    </w:tblPr>
    <w:tblGrid>
      <w:gridCol w:w="2789"/>
      <w:gridCol w:w="1075"/>
      <w:gridCol w:w="1600"/>
      <w:gridCol w:w="699"/>
      <w:gridCol w:w="2675"/>
      <w:gridCol w:w="616"/>
    </w:tblGrid>
    <w:tr w:rsidR="008A0152" w:rsidRPr="00DA23BA" w14:paraId="18FA4E47" w14:textId="77777777" w:rsidTr="00CC7B81">
      <w:trPr>
        <w:trHeight w:val="180"/>
      </w:trPr>
      <w:tc>
        <w:tcPr>
          <w:tcW w:w="1483" w:type="pct"/>
          <w:tcBorders>
            <w:top w:val="nil"/>
            <w:left w:val="nil"/>
            <w:bottom w:val="nil"/>
            <w:right w:val="nil"/>
          </w:tcBorders>
          <w:shd w:val="clear" w:color="auto" w:fill="auto"/>
          <w:noWrap/>
          <w:vAlign w:val="bottom"/>
        </w:tcPr>
        <w:p w14:paraId="692C4915" w14:textId="77777777" w:rsidR="008A0152" w:rsidRPr="00DA23BA"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62FCA1EA"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10DC6E72"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7385B61F"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6BA8B1A1" w14:textId="77777777" w:rsidR="008A0152" w:rsidRPr="00DA23BA" w:rsidRDefault="008A0152" w:rsidP="00CC7B81">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41B35CC2"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7F05E75A" w14:textId="77777777" w:rsidTr="00CC7B81">
      <w:trPr>
        <w:trHeight w:val="180"/>
      </w:trPr>
      <w:tc>
        <w:tcPr>
          <w:tcW w:w="1483" w:type="pct"/>
          <w:tcBorders>
            <w:top w:val="nil"/>
            <w:left w:val="nil"/>
            <w:bottom w:val="nil"/>
            <w:right w:val="nil"/>
          </w:tcBorders>
          <w:shd w:val="clear" w:color="auto" w:fill="auto"/>
          <w:noWrap/>
          <w:vAlign w:val="bottom"/>
        </w:tcPr>
        <w:p w14:paraId="5599BE6D" w14:textId="77777777" w:rsidR="008A0152" w:rsidRPr="00DA23BA"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062B4420"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44E14203"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10AE4462"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08822E89" w14:textId="77777777" w:rsidR="008A0152" w:rsidRPr="00DA23BA" w:rsidRDefault="008A0152" w:rsidP="00CC7B81">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053FE376"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7456BD26" w14:textId="77777777" w:rsidTr="00CC7B81">
      <w:trPr>
        <w:trHeight w:val="180"/>
      </w:trPr>
      <w:tc>
        <w:tcPr>
          <w:tcW w:w="1483" w:type="pct"/>
          <w:tcBorders>
            <w:top w:val="nil"/>
            <w:left w:val="nil"/>
            <w:bottom w:val="nil"/>
            <w:right w:val="nil"/>
          </w:tcBorders>
          <w:shd w:val="clear" w:color="auto" w:fill="auto"/>
          <w:noWrap/>
          <w:vAlign w:val="bottom"/>
        </w:tcPr>
        <w:p w14:paraId="20895E75" w14:textId="77777777" w:rsidR="008A0152" w:rsidRPr="00DA23BA"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50F98499"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F60B01C"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0B50E370"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3931FB2E" w14:textId="77777777" w:rsidR="008A0152" w:rsidRPr="00DA23BA" w:rsidRDefault="008A0152" w:rsidP="00CC7B81">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4D7DF617"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3575B9F6" w14:textId="77777777" w:rsidTr="00CC7B81">
      <w:trPr>
        <w:trHeight w:val="180"/>
      </w:trPr>
      <w:tc>
        <w:tcPr>
          <w:tcW w:w="1483" w:type="pct"/>
          <w:tcBorders>
            <w:top w:val="nil"/>
            <w:left w:val="nil"/>
            <w:bottom w:val="nil"/>
            <w:right w:val="nil"/>
          </w:tcBorders>
          <w:shd w:val="clear" w:color="auto" w:fill="auto"/>
          <w:noWrap/>
          <w:vAlign w:val="bottom"/>
        </w:tcPr>
        <w:p w14:paraId="3EA3511E" w14:textId="77777777" w:rsidR="008A0152" w:rsidRPr="00DA23BA" w:rsidRDefault="008A0152" w:rsidP="00CC7B81">
          <w:pPr>
            <w:jc w:val="center"/>
            <w:rPr>
              <w:rFonts w:ascii="Arial" w:hAnsi="Arial" w:cs="Arial"/>
              <w:sz w:val="15"/>
              <w:szCs w:val="15"/>
              <w:lang w:eastAsia="es-AR"/>
            </w:rPr>
          </w:pPr>
          <w:r>
            <w:rPr>
              <w:rFonts w:ascii="Arial" w:hAnsi="Arial" w:cs="Arial"/>
              <w:sz w:val="15"/>
              <w:szCs w:val="15"/>
              <w:lang w:eastAsia="es-AR"/>
            </w:rPr>
            <w:t>Mariano Andrés Biglia</w:t>
          </w:r>
        </w:p>
      </w:tc>
      <w:tc>
        <w:tcPr>
          <w:tcW w:w="576" w:type="pct"/>
          <w:tcBorders>
            <w:top w:val="nil"/>
            <w:left w:val="nil"/>
            <w:bottom w:val="nil"/>
            <w:right w:val="nil"/>
          </w:tcBorders>
          <w:shd w:val="clear" w:color="auto" w:fill="auto"/>
          <w:noWrap/>
          <w:vAlign w:val="bottom"/>
        </w:tcPr>
        <w:p w14:paraId="1A6BBE8C"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3279C1C0" w14:textId="77777777" w:rsidR="008A0152" w:rsidRPr="00DA23BA" w:rsidRDefault="008A0152" w:rsidP="00CC7B81">
          <w:pPr>
            <w:jc w:val="center"/>
            <w:rPr>
              <w:rFonts w:ascii="Arial" w:hAnsi="Arial" w:cs="Arial"/>
              <w:sz w:val="15"/>
              <w:szCs w:val="15"/>
              <w:lang w:eastAsia="es-AR"/>
            </w:rPr>
          </w:pPr>
          <w:r>
            <w:rPr>
              <w:rFonts w:ascii="Arial" w:hAnsi="Arial" w:cs="Arial"/>
              <w:sz w:val="15"/>
              <w:szCs w:val="15"/>
              <w:lang w:eastAsia="es-AR"/>
            </w:rPr>
            <w:t>Nerio Alfredo Peitiado</w:t>
          </w:r>
        </w:p>
      </w:tc>
      <w:tc>
        <w:tcPr>
          <w:tcW w:w="377" w:type="pct"/>
          <w:tcBorders>
            <w:top w:val="nil"/>
            <w:left w:val="nil"/>
            <w:bottom w:val="nil"/>
            <w:right w:val="nil"/>
          </w:tcBorders>
          <w:shd w:val="clear" w:color="auto" w:fill="auto"/>
          <w:noWrap/>
          <w:vAlign w:val="bottom"/>
        </w:tcPr>
        <w:p w14:paraId="040AA1C5"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6ECACD4" w14:textId="77777777" w:rsidR="008A0152" w:rsidRPr="00662E02" w:rsidRDefault="008A0152" w:rsidP="00CC7B81">
          <w:pPr>
            <w:ind w:left="210" w:hanging="210"/>
            <w:jc w:val="center"/>
            <w:rPr>
              <w:rFonts w:ascii="Arial" w:hAnsi="Arial" w:cs="Arial"/>
              <w:sz w:val="15"/>
              <w:szCs w:val="15"/>
              <w:lang w:eastAsia="es-AR"/>
            </w:rPr>
          </w:pPr>
          <w:r>
            <w:rPr>
              <w:rFonts w:ascii="Arial" w:hAnsi="Arial" w:cs="Arial"/>
              <w:sz w:val="15"/>
              <w:szCs w:val="15"/>
            </w:rPr>
            <w:t>Jorge Oscar Ramírez</w:t>
          </w:r>
        </w:p>
      </w:tc>
      <w:tc>
        <w:tcPr>
          <w:tcW w:w="326" w:type="pct"/>
          <w:tcBorders>
            <w:top w:val="nil"/>
            <w:left w:val="nil"/>
            <w:bottom w:val="nil"/>
            <w:right w:val="nil"/>
          </w:tcBorders>
          <w:shd w:val="clear" w:color="auto" w:fill="auto"/>
          <w:noWrap/>
          <w:vAlign w:val="bottom"/>
        </w:tcPr>
        <w:p w14:paraId="60AF0593"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35C9E5F3" w14:textId="77777777" w:rsidTr="00CC7B81">
      <w:trPr>
        <w:trHeight w:val="180"/>
      </w:trPr>
      <w:tc>
        <w:tcPr>
          <w:tcW w:w="1483" w:type="pct"/>
          <w:tcBorders>
            <w:top w:val="nil"/>
            <w:left w:val="nil"/>
            <w:bottom w:val="nil"/>
            <w:right w:val="nil"/>
          </w:tcBorders>
          <w:shd w:val="clear" w:color="auto" w:fill="auto"/>
          <w:noWrap/>
          <w:vAlign w:val="bottom"/>
        </w:tcPr>
        <w:p w14:paraId="006BD8E1"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Responsable del Área Contable</w:t>
          </w:r>
        </w:p>
      </w:tc>
      <w:tc>
        <w:tcPr>
          <w:tcW w:w="576" w:type="pct"/>
          <w:tcBorders>
            <w:top w:val="nil"/>
            <w:left w:val="nil"/>
            <w:bottom w:val="nil"/>
            <w:right w:val="nil"/>
          </w:tcBorders>
          <w:shd w:val="clear" w:color="auto" w:fill="auto"/>
          <w:noWrap/>
          <w:vAlign w:val="bottom"/>
        </w:tcPr>
        <w:p w14:paraId="446BE04B"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79886BB2"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Gerente General</w:t>
          </w:r>
        </w:p>
      </w:tc>
      <w:tc>
        <w:tcPr>
          <w:tcW w:w="377" w:type="pct"/>
          <w:tcBorders>
            <w:top w:val="nil"/>
            <w:left w:val="nil"/>
            <w:bottom w:val="nil"/>
            <w:right w:val="nil"/>
          </w:tcBorders>
          <w:shd w:val="clear" w:color="auto" w:fill="auto"/>
          <w:noWrap/>
          <w:vAlign w:val="bottom"/>
        </w:tcPr>
        <w:p w14:paraId="019877CA"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138380E" w14:textId="77777777" w:rsidR="008A0152" w:rsidRPr="00DA23BA" w:rsidRDefault="008A0152" w:rsidP="00CC7B81">
          <w:pPr>
            <w:ind w:left="210" w:hanging="210"/>
            <w:jc w:val="center"/>
            <w:rPr>
              <w:rFonts w:ascii="Arial" w:hAnsi="Arial" w:cs="Arial"/>
              <w:sz w:val="15"/>
              <w:szCs w:val="15"/>
              <w:lang w:eastAsia="es-AR"/>
            </w:rPr>
          </w:pPr>
          <w:r>
            <w:rPr>
              <w:rFonts w:ascii="Arial" w:hAnsi="Arial" w:cs="Arial"/>
              <w:sz w:val="15"/>
              <w:szCs w:val="15"/>
              <w:lang w:eastAsia="es-AR"/>
            </w:rPr>
            <w:t>Vicep</w:t>
          </w:r>
          <w:r w:rsidRPr="00DA23BA">
            <w:rPr>
              <w:rFonts w:ascii="Arial" w:hAnsi="Arial" w:cs="Arial"/>
              <w:sz w:val="15"/>
              <w:szCs w:val="15"/>
              <w:lang w:eastAsia="es-AR"/>
            </w:rPr>
            <w:t>residente</w:t>
          </w:r>
        </w:p>
      </w:tc>
      <w:tc>
        <w:tcPr>
          <w:tcW w:w="326" w:type="pct"/>
          <w:tcBorders>
            <w:top w:val="nil"/>
            <w:left w:val="nil"/>
            <w:bottom w:val="nil"/>
            <w:right w:val="nil"/>
          </w:tcBorders>
          <w:shd w:val="clear" w:color="auto" w:fill="auto"/>
          <w:noWrap/>
          <w:vAlign w:val="bottom"/>
        </w:tcPr>
        <w:p w14:paraId="74CB495A"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7EB72B77" w14:textId="77777777" w:rsidTr="00CC7B81">
      <w:trPr>
        <w:trHeight w:val="180"/>
      </w:trPr>
      <w:tc>
        <w:tcPr>
          <w:tcW w:w="1483" w:type="pct"/>
          <w:tcBorders>
            <w:top w:val="nil"/>
            <w:left w:val="nil"/>
            <w:bottom w:val="nil"/>
            <w:right w:val="nil"/>
          </w:tcBorders>
          <w:shd w:val="clear" w:color="auto" w:fill="auto"/>
          <w:noWrap/>
          <w:vAlign w:val="bottom"/>
        </w:tcPr>
        <w:p w14:paraId="1D87769E" w14:textId="77777777" w:rsidR="008A0152" w:rsidRPr="00DA23BA"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70DE4EFB"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1B88ED3F"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6F023950"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435DB171" w14:textId="77777777" w:rsidR="008A0152" w:rsidRPr="00DA23BA" w:rsidRDefault="008A0152" w:rsidP="00CC7B81">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7C6D0DCB" w14:textId="77777777" w:rsidR="008A0152" w:rsidRPr="00DA23BA" w:rsidRDefault="008A0152" w:rsidP="00CC7B81">
          <w:pPr>
            <w:jc w:val="center"/>
            <w:rPr>
              <w:rFonts w:ascii="Arial" w:hAnsi="Arial" w:cs="Arial"/>
              <w:sz w:val="15"/>
              <w:szCs w:val="15"/>
              <w:lang w:eastAsia="es-AR"/>
            </w:rPr>
          </w:pPr>
        </w:p>
      </w:tc>
    </w:tr>
    <w:tr w:rsidR="008A0152" w:rsidRPr="00DA23BA" w14:paraId="68C0B9DD" w14:textId="77777777" w:rsidTr="00CC7B81">
      <w:trPr>
        <w:trHeight w:val="180"/>
      </w:trPr>
      <w:tc>
        <w:tcPr>
          <w:tcW w:w="1483" w:type="pct"/>
          <w:tcBorders>
            <w:top w:val="nil"/>
            <w:left w:val="nil"/>
            <w:bottom w:val="nil"/>
            <w:right w:val="nil"/>
          </w:tcBorders>
          <w:shd w:val="clear" w:color="auto" w:fill="auto"/>
          <w:noWrap/>
          <w:vAlign w:val="bottom"/>
        </w:tcPr>
        <w:p w14:paraId="540B64D9"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Véase nuestro informe de fecha</w:t>
          </w:r>
        </w:p>
      </w:tc>
      <w:tc>
        <w:tcPr>
          <w:tcW w:w="576" w:type="pct"/>
          <w:tcBorders>
            <w:top w:val="nil"/>
            <w:left w:val="nil"/>
            <w:bottom w:val="nil"/>
            <w:right w:val="nil"/>
          </w:tcBorders>
          <w:shd w:val="clear" w:color="auto" w:fill="auto"/>
          <w:noWrap/>
          <w:vAlign w:val="bottom"/>
        </w:tcPr>
        <w:p w14:paraId="5428B2F8"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3866C1A4"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591F797B"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78459C6" w14:textId="77777777" w:rsidR="008A0152" w:rsidRPr="00DA23BA" w:rsidRDefault="008A0152" w:rsidP="00CC7B81">
          <w:pPr>
            <w:ind w:left="210" w:hanging="210"/>
            <w:jc w:val="center"/>
            <w:rPr>
              <w:rFonts w:ascii="Arial" w:hAnsi="Arial" w:cs="Arial"/>
              <w:sz w:val="15"/>
              <w:szCs w:val="15"/>
              <w:lang w:eastAsia="es-AR"/>
            </w:rPr>
          </w:pPr>
          <w:r w:rsidRPr="00DA23BA">
            <w:rPr>
              <w:rFonts w:ascii="Arial" w:hAnsi="Arial" w:cs="Arial"/>
              <w:sz w:val="15"/>
              <w:szCs w:val="15"/>
              <w:lang w:eastAsia="es-AR"/>
            </w:rPr>
            <w:t>Véase nuestro informe de fecha</w:t>
          </w:r>
        </w:p>
      </w:tc>
      <w:tc>
        <w:tcPr>
          <w:tcW w:w="326" w:type="pct"/>
          <w:tcBorders>
            <w:top w:val="nil"/>
            <w:left w:val="nil"/>
            <w:bottom w:val="nil"/>
            <w:right w:val="nil"/>
          </w:tcBorders>
          <w:shd w:val="clear" w:color="auto" w:fill="auto"/>
          <w:noWrap/>
          <w:vAlign w:val="bottom"/>
        </w:tcPr>
        <w:p w14:paraId="1B74BE99" w14:textId="77777777" w:rsidR="008A0152" w:rsidRPr="00DA23BA" w:rsidRDefault="008A0152" w:rsidP="00CC7B81">
          <w:pPr>
            <w:jc w:val="center"/>
            <w:rPr>
              <w:rFonts w:ascii="Arial" w:hAnsi="Arial" w:cs="Arial"/>
              <w:color w:val="000000"/>
              <w:sz w:val="15"/>
              <w:szCs w:val="15"/>
              <w:lang w:eastAsia="es-AR"/>
            </w:rPr>
          </w:pPr>
        </w:p>
      </w:tc>
    </w:tr>
    <w:tr w:rsidR="008A0152" w:rsidRPr="00DA23BA" w14:paraId="6C2CEE34" w14:textId="77777777" w:rsidTr="00CC7B81">
      <w:trPr>
        <w:trHeight w:val="180"/>
      </w:trPr>
      <w:tc>
        <w:tcPr>
          <w:tcW w:w="1483" w:type="pct"/>
          <w:tcBorders>
            <w:top w:val="nil"/>
            <w:left w:val="nil"/>
            <w:bottom w:val="nil"/>
            <w:right w:val="nil"/>
          </w:tcBorders>
          <w:shd w:val="clear" w:color="auto" w:fill="auto"/>
          <w:noWrap/>
          <w:vAlign w:val="bottom"/>
        </w:tcPr>
        <w:p w14:paraId="44A73BA9" w14:textId="77777777" w:rsidR="008A0152" w:rsidRPr="00DA23BA" w:rsidRDefault="008A0152" w:rsidP="00941382">
          <w:pPr>
            <w:jc w:val="center"/>
            <w:rPr>
              <w:rFonts w:ascii="Arial" w:hAnsi="Arial" w:cs="Arial"/>
              <w:sz w:val="15"/>
              <w:szCs w:val="15"/>
              <w:lang w:eastAsia="es-AR"/>
            </w:rPr>
          </w:pPr>
          <w:r>
            <w:rPr>
              <w:rFonts w:ascii="Arial" w:hAnsi="Arial" w:cs="Arial"/>
              <w:sz w:val="15"/>
              <w:szCs w:val="15"/>
              <w:lang w:eastAsia="es-AR"/>
            </w:rPr>
            <w:t>15 de noviembre de 2018</w:t>
          </w:r>
        </w:p>
      </w:tc>
      <w:tc>
        <w:tcPr>
          <w:tcW w:w="576" w:type="pct"/>
          <w:tcBorders>
            <w:top w:val="nil"/>
            <w:left w:val="nil"/>
            <w:bottom w:val="nil"/>
            <w:right w:val="nil"/>
          </w:tcBorders>
          <w:shd w:val="clear" w:color="auto" w:fill="auto"/>
          <w:noWrap/>
          <w:vAlign w:val="bottom"/>
        </w:tcPr>
        <w:p w14:paraId="5EA89D35"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5A3D9CB"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79E6E48F"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9DB3B69" w14:textId="77777777" w:rsidR="008A0152" w:rsidRPr="00DA23BA" w:rsidRDefault="008A0152" w:rsidP="00941382">
          <w:pPr>
            <w:ind w:left="210" w:hanging="210"/>
            <w:jc w:val="center"/>
            <w:rPr>
              <w:rFonts w:ascii="Arial" w:hAnsi="Arial" w:cs="Arial"/>
              <w:sz w:val="15"/>
              <w:szCs w:val="15"/>
              <w:lang w:eastAsia="es-AR"/>
            </w:rPr>
          </w:pPr>
          <w:r>
            <w:rPr>
              <w:rFonts w:ascii="Arial" w:hAnsi="Arial" w:cs="Arial"/>
              <w:sz w:val="15"/>
              <w:szCs w:val="15"/>
              <w:lang w:eastAsia="es-AR"/>
            </w:rPr>
            <w:t>15 de noviembre de 2018</w:t>
          </w:r>
        </w:p>
      </w:tc>
      <w:tc>
        <w:tcPr>
          <w:tcW w:w="326" w:type="pct"/>
          <w:tcBorders>
            <w:top w:val="nil"/>
            <w:left w:val="nil"/>
            <w:bottom w:val="nil"/>
            <w:right w:val="nil"/>
          </w:tcBorders>
          <w:shd w:val="clear" w:color="auto" w:fill="auto"/>
          <w:noWrap/>
          <w:vAlign w:val="bottom"/>
        </w:tcPr>
        <w:p w14:paraId="5A82EF8E" w14:textId="77777777" w:rsidR="008A0152" w:rsidRPr="00DA23BA" w:rsidRDefault="008A0152" w:rsidP="00CC7B81">
          <w:pPr>
            <w:jc w:val="center"/>
            <w:rPr>
              <w:rFonts w:ascii="Arial" w:hAnsi="Arial" w:cs="Arial"/>
              <w:color w:val="000000"/>
              <w:sz w:val="15"/>
              <w:szCs w:val="15"/>
              <w:lang w:eastAsia="es-AR"/>
            </w:rPr>
          </w:pPr>
        </w:p>
      </w:tc>
    </w:tr>
    <w:tr w:rsidR="008A0152" w:rsidRPr="00635684" w14:paraId="36DF0FA3" w14:textId="77777777" w:rsidTr="00CC7B81">
      <w:trPr>
        <w:trHeight w:val="180"/>
      </w:trPr>
      <w:tc>
        <w:tcPr>
          <w:tcW w:w="1483" w:type="pct"/>
          <w:tcBorders>
            <w:top w:val="nil"/>
            <w:left w:val="nil"/>
            <w:bottom w:val="nil"/>
            <w:right w:val="nil"/>
          </w:tcBorders>
          <w:shd w:val="clear" w:color="auto" w:fill="auto"/>
          <w:noWrap/>
          <w:vAlign w:val="center"/>
        </w:tcPr>
        <w:p w14:paraId="12BB3602"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Por Comisión Fiscalizadora</w:t>
          </w:r>
        </w:p>
      </w:tc>
      <w:tc>
        <w:tcPr>
          <w:tcW w:w="576" w:type="pct"/>
          <w:tcBorders>
            <w:top w:val="nil"/>
            <w:left w:val="nil"/>
            <w:bottom w:val="nil"/>
            <w:right w:val="nil"/>
          </w:tcBorders>
          <w:shd w:val="clear" w:color="auto" w:fill="auto"/>
          <w:noWrap/>
          <w:vAlign w:val="bottom"/>
        </w:tcPr>
        <w:p w14:paraId="33139A9B" w14:textId="77777777" w:rsidR="008A0152" w:rsidRPr="00DA23BA"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121F08C6" w14:textId="77777777" w:rsidR="008A0152" w:rsidRPr="00DA23BA"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4BA04CF3"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FB4E8E2" w14:textId="77777777" w:rsidR="008A0152" w:rsidRPr="00DA23BA" w:rsidRDefault="008A0152" w:rsidP="00CC7B81">
          <w:pPr>
            <w:ind w:left="210" w:hanging="210"/>
            <w:jc w:val="center"/>
            <w:rPr>
              <w:rFonts w:ascii="Arial" w:hAnsi="Arial" w:cs="Arial"/>
              <w:sz w:val="15"/>
              <w:szCs w:val="15"/>
              <w:lang w:val="en-US" w:eastAsia="es-AR"/>
            </w:rPr>
          </w:pPr>
          <w:r w:rsidRPr="00DA23BA">
            <w:rPr>
              <w:rFonts w:ascii="Arial" w:hAnsi="Arial" w:cs="Arial"/>
              <w:sz w:val="15"/>
              <w:szCs w:val="15"/>
              <w:lang w:val="en-US" w:eastAsia="es-AR"/>
            </w:rPr>
            <w:t>PRICE WATERHOUSE &amp; CO. S.R.L.</w:t>
          </w:r>
        </w:p>
      </w:tc>
      <w:tc>
        <w:tcPr>
          <w:tcW w:w="326" w:type="pct"/>
          <w:tcBorders>
            <w:top w:val="nil"/>
            <w:left w:val="nil"/>
            <w:bottom w:val="nil"/>
            <w:right w:val="nil"/>
          </w:tcBorders>
          <w:shd w:val="clear" w:color="auto" w:fill="auto"/>
          <w:noWrap/>
          <w:vAlign w:val="bottom"/>
        </w:tcPr>
        <w:p w14:paraId="3A570171" w14:textId="77777777" w:rsidR="008A0152" w:rsidRPr="00DA23BA" w:rsidRDefault="008A0152" w:rsidP="00CC7B81">
          <w:pPr>
            <w:jc w:val="center"/>
            <w:rPr>
              <w:rFonts w:ascii="Arial" w:hAnsi="Arial" w:cs="Arial"/>
              <w:color w:val="000000"/>
              <w:sz w:val="15"/>
              <w:szCs w:val="15"/>
              <w:lang w:val="en-US" w:eastAsia="es-AR"/>
            </w:rPr>
          </w:pPr>
        </w:p>
      </w:tc>
    </w:tr>
    <w:tr w:rsidR="008A0152" w:rsidRPr="00635684" w14:paraId="1B0C5727" w14:textId="77777777" w:rsidTr="00CC7B81">
      <w:trPr>
        <w:trHeight w:val="180"/>
      </w:trPr>
      <w:tc>
        <w:tcPr>
          <w:tcW w:w="1483" w:type="pct"/>
          <w:tcBorders>
            <w:top w:val="nil"/>
            <w:left w:val="nil"/>
            <w:bottom w:val="nil"/>
            <w:right w:val="nil"/>
          </w:tcBorders>
          <w:shd w:val="clear" w:color="auto" w:fill="auto"/>
          <w:noWrap/>
          <w:vAlign w:val="bottom"/>
        </w:tcPr>
        <w:p w14:paraId="2667B3E9" w14:textId="77777777" w:rsidR="008A0152" w:rsidRPr="00DA23BA" w:rsidRDefault="008A0152" w:rsidP="00CC7B81">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736DC75C" w14:textId="77777777" w:rsidR="008A0152" w:rsidRPr="008A6403" w:rsidRDefault="008A0152" w:rsidP="00CC7B81">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55860CD5" w14:textId="77777777" w:rsidR="008A0152" w:rsidRPr="008A6403" w:rsidRDefault="008A0152" w:rsidP="00CC7B81">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12A71D53" w14:textId="77777777" w:rsidR="008A0152" w:rsidRPr="008A6403" w:rsidRDefault="008A0152" w:rsidP="00CC7B81">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301CB9BE" w14:textId="77777777" w:rsidR="008A0152" w:rsidRPr="00DA23BA" w:rsidRDefault="008A0152" w:rsidP="00CC7B81">
          <w:pPr>
            <w:ind w:left="352" w:hanging="352"/>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590E7787" w14:textId="77777777" w:rsidR="008A0152" w:rsidRPr="00DA23BA" w:rsidRDefault="008A0152" w:rsidP="00CC7B81">
          <w:pPr>
            <w:jc w:val="center"/>
            <w:rPr>
              <w:rFonts w:ascii="Arial" w:hAnsi="Arial" w:cs="Arial"/>
              <w:color w:val="000000"/>
              <w:sz w:val="15"/>
              <w:szCs w:val="15"/>
              <w:lang w:val="en-US" w:eastAsia="es-AR"/>
            </w:rPr>
          </w:pPr>
        </w:p>
      </w:tc>
    </w:tr>
    <w:tr w:rsidR="008A0152" w:rsidRPr="00635684" w14:paraId="75D64EB0" w14:textId="77777777" w:rsidTr="00CC7B81">
      <w:trPr>
        <w:trHeight w:val="180"/>
      </w:trPr>
      <w:tc>
        <w:tcPr>
          <w:tcW w:w="1483" w:type="pct"/>
          <w:tcBorders>
            <w:top w:val="nil"/>
            <w:left w:val="nil"/>
            <w:bottom w:val="nil"/>
            <w:right w:val="nil"/>
          </w:tcBorders>
          <w:shd w:val="clear" w:color="auto" w:fill="auto"/>
          <w:noWrap/>
          <w:vAlign w:val="bottom"/>
        </w:tcPr>
        <w:p w14:paraId="4378363B" w14:textId="77777777" w:rsidR="008A0152" w:rsidRPr="00DA23BA" w:rsidRDefault="008A0152" w:rsidP="00CC7B81">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75C53EB6" w14:textId="77777777" w:rsidR="008A0152" w:rsidRPr="008A6403" w:rsidRDefault="008A0152" w:rsidP="00CC7B81">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2B03BEAF" w14:textId="77777777" w:rsidR="008A0152" w:rsidRPr="008A6403" w:rsidRDefault="008A0152" w:rsidP="00CC7B81">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49B70F13" w14:textId="77777777" w:rsidR="008A0152" w:rsidRPr="008A6403" w:rsidRDefault="008A0152" w:rsidP="00CC7B81">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0ECA1B08" w14:textId="77777777" w:rsidR="008A0152" w:rsidRPr="00DA23BA" w:rsidRDefault="008A0152" w:rsidP="00CC7B81">
          <w:pPr>
            <w:ind w:left="498" w:hanging="498"/>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7A7BAE30" w14:textId="77777777" w:rsidR="008A0152" w:rsidRPr="00DA23BA" w:rsidRDefault="008A0152" w:rsidP="00CC7B81">
          <w:pPr>
            <w:jc w:val="center"/>
            <w:rPr>
              <w:rFonts w:ascii="Arial" w:hAnsi="Arial" w:cs="Arial"/>
              <w:color w:val="000000"/>
              <w:sz w:val="15"/>
              <w:szCs w:val="15"/>
              <w:lang w:val="en-US" w:eastAsia="es-AR"/>
            </w:rPr>
          </w:pPr>
        </w:p>
      </w:tc>
    </w:tr>
    <w:tr w:rsidR="008A0152" w:rsidRPr="00DA23BA" w14:paraId="5FAE1DAE" w14:textId="77777777" w:rsidTr="00CC7B81">
      <w:trPr>
        <w:trHeight w:val="180"/>
      </w:trPr>
      <w:tc>
        <w:tcPr>
          <w:tcW w:w="1483" w:type="pct"/>
          <w:tcBorders>
            <w:top w:val="nil"/>
            <w:left w:val="nil"/>
            <w:bottom w:val="nil"/>
            <w:right w:val="nil"/>
          </w:tcBorders>
          <w:shd w:val="clear" w:color="auto" w:fill="auto"/>
          <w:noWrap/>
          <w:vAlign w:val="bottom"/>
        </w:tcPr>
        <w:p w14:paraId="39959B77" w14:textId="77777777" w:rsidR="008A0152" w:rsidRPr="00DA23BA" w:rsidRDefault="008A0152" w:rsidP="00CC7B81">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3B7A02DE" w14:textId="77777777" w:rsidR="008A0152" w:rsidRPr="00DA23BA" w:rsidRDefault="008A0152" w:rsidP="00CC7B81">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52CCC1EF" w14:textId="77777777" w:rsidR="008A0152" w:rsidRPr="00DA23BA" w:rsidRDefault="008A0152" w:rsidP="00CC7B81">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1438CC03" w14:textId="77777777" w:rsidR="008A0152" w:rsidRPr="00DA23BA" w:rsidRDefault="008A0152" w:rsidP="00CC7B81">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61F74EED" w14:textId="77777777" w:rsidR="008A0152" w:rsidRPr="00DA23BA" w:rsidRDefault="008A0152" w:rsidP="00CC7B81">
          <w:pPr>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679BD102"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(Socio)</w:t>
          </w:r>
        </w:p>
      </w:tc>
    </w:tr>
    <w:tr w:rsidR="008A0152" w:rsidRPr="008A6403" w14:paraId="0205B7EC" w14:textId="77777777" w:rsidTr="00CC7B81">
      <w:trPr>
        <w:trHeight w:val="180"/>
      </w:trPr>
      <w:tc>
        <w:tcPr>
          <w:tcW w:w="1483" w:type="pct"/>
          <w:tcBorders>
            <w:top w:val="nil"/>
            <w:left w:val="nil"/>
            <w:bottom w:val="nil"/>
            <w:right w:val="nil"/>
          </w:tcBorders>
          <w:shd w:val="clear" w:color="auto" w:fill="auto"/>
          <w:noWrap/>
          <w:vAlign w:val="bottom"/>
        </w:tcPr>
        <w:p w14:paraId="35B581E4"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Enrique José Barreiro</w:t>
          </w:r>
        </w:p>
      </w:tc>
      <w:tc>
        <w:tcPr>
          <w:tcW w:w="576" w:type="pct"/>
          <w:tcBorders>
            <w:top w:val="nil"/>
            <w:left w:val="nil"/>
            <w:bottom w:val="nil"/>
            <w:right w:val="nil"/>
          </w:tcBorders>
          <w:shd w:val="clear" w:color="auto" w:fill="auto"/>
          <w:noWrap/>
          <w:vAlign w:val="bottom"/>
        </w:tcPr>
        <w:p w14:paraId="0F44CDF7" w14:textId="77777777" w:rsidR="008A0152" w:rsidRPr="00DA23BA" w:rsidRDefault="008A0152" w:rsidP="00CC7B81">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5D9E30CE" w14:textId="77777777" w:rsidR="008A0152" w:rsidRPr="00DA23BA" w:rsidRDefault="008A0152" w:rsidP="00CC7B81">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18C331E5" w14:textId="77777777" w:rsidR="008A0152" w:rsidRPr="00DA23BA" w:rsidRDefault="008A0152" w:rsidP="00CC7B81">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135DD69E" w14:textId="77777777" w:rsidR="008A0152" w:rsidRPr="00000EDD" w:rsidRDefault="008A0152" w:rsidP="00CC7B81">
          <w:pPr>
            <w:jc w:val="center"/>
            <w:rPr>
              <w:rFonts w:ascii="Arial" w:hAnsi="Arial" w:cs="Arial"/>
              <w:color w:val="FF0000"/>
              <w:sz w:val="15"/>
              <w:szCs w:val="15"/>
              <w:lang w:val="en-US" w:eastAsia="es-AR"/>
            </w:rPr>
          </w:pPr>
        </w:p>
      </w:tc>
      <w:tc>
        <w:tcPr>
          <w:tcW w:w="326" w:type="pct"/>
          <w:tcBorders>
            <w:top w:val="nil"/>
            <w:left w:val="nil"/>
            <w:bottom w:val="nil"/>
            <w:right w:val="nil"/>
          </w:tcBorders>
          <w:shd w:val="clear" w:color="auto" w:fill="auto"/>
          <w:noWrap/>
          <w:vAlign w:val="bottom"/>
        </w:tcPr>
        <w:p w14:paraId="11FF1643" w14:textId="77777777" w:rsidR="008A0152" w:rsidRPr="008A6403" w:rsidRDefault="008A0152" w:rsidP="00CC7B81">
          <w:pPr>
            <w:jc w:val="center"/>
            <w:rPr>
              <w:rFonts w:ascii="Arial" w:hAnsi="Arial" w:cs="Arial"/>
              <w:color w:val="000000"/>
              <w:sz w:val="15"/>
              <w:szCs w:val="15"/>
              <w:lang w:val="en-US" w:eastAsia="es-AR"/>
            </w:rPr>
          </w:pPr>
        </w:p>
      </w:tc>
    </w:tr>
    <w:tr w:rsidR="008A0152" w:rsidRPr="005F797B" w14:paraId="61DD8B08" w14:textId="77777777" w:rsidTr="00CC7B81">
      <w:trPr>
        <w:trHeight w:val="180"/>
      </w:trPr>
      <w:tc>
        <w:tcPr>
          <w:tcW w:w="1483" w:type="pct"/>
          <w:tcBorders>
            <w:top w:val="nil"/>
            <w:left w:val="nil"/>
            <w:bottom w:val="nil"/>
            <w:right w:val="nil"/>
          </w:tcBorders>
          <w:shd w:val="clear" w:color="auto" w:fill="auto"/>
          <w:noWrap/>
          <w:vAlign w:val="bottom"/>
        </w:tcPr>
        <w:p w14:paraId="306D9953" w14:textId="77777777" w:rsidR="008A0152" w:rsidRPr="00DA23BA" w:rsidRDefault="008A0152" w:rsidP="00CC7B81">
          <w:pPr>
            <w:jc w:val="center"/>
            <w:rPr>
              <w:rFonts w:ascii="Arial" w:hAnsi="Arial" w:cs="Arial"/>
              <w:sz w:val="15"/>
              <w:szCs w:val="15"/>
              <w:lang w:eastAsia="es-AR"/>
            </w:rPr>
          </w:pPr>
          <w:r w:rsidRPr="00DA23BA">
            <w:rPr>
              <w:rFonts w:ascii="Arial" w:hAnsi="Arial" w:cs="Arial"/>
              <w:sz w:val="15"/>
              <w:szCs w:val="15"/>
              <w:lang w:eastAsia="es-AR"/>
            </w:rPr>
            <w:t>Síndico</w:t>
          </w:r>
        </w:p>
      </w:tc>
      <w:tc>
        <w:tcPr>
          <w:tcW w:w="576" w:type="pct"/>
          <w:tcBorders>
            <w:top w:val="nil"/>
            <w:left w:val="nil"/>
            <w:bottom w:val="nil"/>
            <w:right w:val="nil"/>
          </w:tcBorders>
          <w:shd w:val="clear" w:color="auto" w:fill="auto"/>
          <w:noWrap/>
          <w:vAlign w:val="bottom"/>
        </w:tcPr>
        <w:p w14:paraId="779FCEA8" w14:textId="77777777" w:rsidR="008A0152" w:rsidRPr="00DA23BA" w:rsidRDefault="008A0152" w:rsidP="00CC7B81">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48C7FB24" w14:textId="77777777" w:rsidR="008A0152" w:rsidRPr="00DA23BA" w:rsidRDefault="008A0152" w:rsidP="00CC7B81">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3AFA7483" w14:textId="77777777" w:rsidR="008A0152" w:rsidRPr="00DA23BA" w:rsidRDefault="008A0152" w:rsidP="00CC7B81">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355496AA" w14:textId="77777777" w:rsidR="008A0152" w:rsidRPr="005F797B" w:rsidRDefault="008A0152" w:rsidP="00CC7B81">
          <w:pPr>
            <w:jc w:val="center"/>
            <w:rPr>
              <w:rFonts w:ascii="Arial" w:hAnsi="Arial" w:cs="Arial"/>
              <w:sz w:val="15"/>
              <w:szCs w:val="15"/>
              <w:lang w:val="en-US" w:eastAsia="es-AR"/>
            </w:rPr>
          </w:pPr>
          <w:r w:rsidRPr="00C9122B">
            <w:rPr>
              <w:rFonts w:ascii="Arial" w:hAnsi="Arial" w:cs="Arial"/>
              <w:sz w:val="15"/>
              <w:szCs w:val="15"/>
              <w:lang w:val="en-US" w:eastAsia="es-AR"/>
            </w:rPr>
            <w:t>Dr. Sebastián Morazzo</w:t>
          </w:r>
        </w:p>
      </w:tc>
      <w:tc>
        <w:tcPr>
          <w:tcW w:w="326" w:type="pct"/>
          <w:tcBorders>
            <w:top w:val="nil"/>
            <w:left w:val="nil"/>
            <w:bottom w:val="nil"/>
            <w:right w:val="nil"/>
          </w:tcBorders>
          <w:shd w:val="clear" w:color="auto" w:fill="auto"/>
          <w:noWrap/>
          <w:vAlign w:val="bottom"/>
        </w:tcPr>
        <w:p w14:paraId="0924BFC4" w14:textId="77777777" w:rsidR="008A0152" w:rsidRPr="005F797B" w:rsidRDefault="008A0152" w:rsidP="00CC7B81">
          <w:pPr>
            <w:jc w:val="center"/>
            <w:rPr>
              <w:rFonts w:ascii="Arial" w:hAnsi="Arial" w:cs="Arial"/>
              <w:color w:val="000000"/>
              <w:sz w:val="15"/>
              <w:szCs w:val="15"/>
              <w:lang w:val="en-US" w:eastAsia="es-AR"/>
            </w:rPr>
          </w:pPr>
        </w:p>
      </w:tc>
    </w:tr>
    <w:tr w:rsidR="008A0152" w:rsidRPr="005F797B" w14:paraId="7DDF09C3" w14:textId="77777777" w:rsidTr="00CC7B81">
      <w:trPr>
        <w:trHeight w:val="180"/>
      </w:trPr>
      <w:tc>
        <w:tcPr>
          <w:tcW w:w="1483" w:type="pct"/>
          <w:tcBorders>
            <w:top w:val="nil"/>
            <w:left w:val="nil"/>
            <w:bottom w:val="nil"/>
            <w:right w:val="nil"/>
          </w:tcBorders>
          <w:shd w:val="clear" w:color="auto" w:fill="auto"/>
          <w:noWrap/>
          <w:vAlign w:val="bottom"/>
        </w:tcPr>
        <w:p w14:paraId="0B2BA107" w14:textId="77777777" w:rsidR="008A0152" w:rsidRPr="00FE608C" w:rsidRDefault="008A0152" w:rsidP="00CC7B81">
          <w:pPr>
            <w:jc w:val="center"/>
            <w:rPr>
              <w:rFonts w:ascii="Arial" w:hAnsi="Arial" w:cs="Arial"/>
              <w:sz w:val="15"/>
              <w:szCs w:val="15"/>
              <w:lang w:eastAsia="es-AR"/>
            </w:rPr>
          </w:pPr>
          <w:r w:rsidRPr="00FE608C">
            <w:rPr>
              <w:rFonts w:ascii="Arial" w:hAnsi="Arial" w:cs="Arial"/>
              <w:sz w:val="15"/>
              <w:szCs w:val="15"/>
              <w:lang w:eastAsia="es-AR"/>
            </w:rPr>
            <w:t>Contador Público (U.N.L.Z)</w:t>
          </w:r>
        </w:p>
      </w:tc>
      <w:tc>
        <w:tcPr>
          <w:tcW w:w="576" w:type="pct"/>
          <w:tcBorders>
            <w:top w:val="nil"/>
            <w:left w:val="nil"/>
            <w:bottom w:val="nil"/>
            <w:right w:val="nil"/>
          </w:tcBorders>
          <w:shd w:val="clear" w:color="auto" w:fill="auto"/>
          <w:noWrap/>
          <w:vAlign w:val="bottom"/>
        </w:tcPr>
        <w:p w14:paraId="23CD4B55" w14:textId="77777777" w:rsidR="008A0152" w:rsidRPr="00FE608C"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15CFC1CA" w14:textId="77777777" w:rsidR="008A0152" w:rsidRPr="00FE608C"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5E4A27EA" w14:textId="77777777" w:rsidR="008A0152" w:rsidRPr="00FE608C"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DEA2B6D" w14:textId="77777777" w:rsidR="008A0152" w:rsidRPr="005F797B" w:rsidRDefault="008A0152" w:rsidP="00CC7B81">
          <w:pPr>
            <w:jc w:val="center"/>
            <w:rPr>
              <w:rFonts w:ascii="Arial" w:hAnsi="Arial" w:cs="Arial"/>
              <w:sz w:val="15"/>
              <w:szCs w:val="15"/>
              <w:lang w:eastAsia="es-AR"/>
            </w:rPr>
          </w:pPr>
          <w:r w:rsidRPr="00C9122B">
            <w:rPr>
              <w:rFonts w:ascii="Arial" w:hAnsi="Arial" w:cs="Arial"/>
              <w:sz w:val="15"/>
              <w:szCs w:val="15"/>
              <w:lang w:eastAsia="es-AR"/>
            </w:rPr>
            <w:t>Contador Público (U.M.)</w:t>
          </w:r>
        </w:p>
      </w:tc>
      <w:tc>
        <w:tcPr>
          <w:tcW w:w="326" w:type="pct"/>
          <w:tcBorders>
            <w:top w:val="nil"/>
            <w:left w:val="nil"/>
            <w:bottom w:val="nil"/>
            <w:right w:val="nil"/>
          </w:tcBorders>
          <w:shd w:val="clear" w:color="auto" w:fill="auto"/>
          <w:noWrap/>
          <w:vAlign w:val="bottom"/>
        </w:tcPr>
        <w:p w14:paraId="7B90D241" w14:textId="77777777" w:rsidR="008A0152" w:rsidRPr="005F797B" w:rsidRDefault="008A0152" w:rsidP="00CC7B81">
          <w:pPr>
            <w:jc w:val="center"/>
            <w:rPr>
              <w:rFonts w:ascii="Arial" w:hAnsi="Arial" w:cs="Arial"/>
              <w:color w:val="000000"/>
              <w:sz w:val="15"/>
              <w:szCs w:val="15"/>
              <w:lang w:eastAsia="es-AR"/>
            </w:rPr>
          </w:pPr>
        </w:p>
      </w:tc>
    </w:tr>
    <w:tr w:rsidR="008A0152" w:rsidRPr="00FE608C" w14:paraId="4F250B2F" w14:textId="77777777" w:rsidTr="00CC7B81">
      <w:trPr>
        <w:trHeight w:val="180"/>
      </w:trPr>
      <w:tc>
        <w:tcPr>
          <w:tcW w:w="1483" w:type="pct"/>
          <w:tcBorders>
            <w:top w:val="nil"/>
            <w:left w:val="nil"/>
            <w:bottom w:val="nil"/>
            <w:right w:val="nil"/>
          </w:tcBorders>
          <w:shd w:val="clear" w:color="auto" w:fill="auto"/>
          <w:noWrap/>
          <w:vAlign w:val="bottom"/>
        </w:tcPr>
        <w:p w14:paraId="70866B4F" w14:textId="77777777" w:rsidR="008A0152" w:rsidRPr="00FE608C" w:rsidRDefault="008A0152" w:rsidP="00CC7B81">
          <w:pPr>
            <w:jc w:val="center"/>
            <w:rPr>
              <w:rFonts w:ascii="Arial" w:hAnsi="Arial" w:cs="Arial"/>
              <w:sz w:val="15"/>
              <w:szCs w:val="15"/>
              <w:lang w:eastAsia="es-AR"/>
            </w:rPr>
          </w:pPr>
          <w:r w:rsidRPr="00FE608C">
            <w:rPr>
              <w:rFonts w:ascii="Arial" w:hAnsi="Arial" w:cs="Arial"/>
              <w:sz w:val="15"/>
              <w:szCs w:val="15"/>
              <w:lang w:eastAsia="es-AR"/>
            </w:rPr>
            <w:t>C.P.C.E.C.A.B.A. T°108 -F° 233</w:t>
          </w:r>
        </w:p>
      </w:tc>
      <w:tc>
        <w:tcPr>
          <w:tcW w:w="576" w:type="pct"/>
          <w:tcBorders>
            <w:top w:val="nil"/>
            <w:left w:val="nil"/>
            <w:bottom w:val="nil"/>
            <w:right w:val="nil"/>
          </w:tcBorders>
          <w:shd w:val="clear" w:color="auto" w:fill="auto"/>
          <w:noWrap/>
          <w:vAlign w:val="bottom"/>
        </w:tcPr>
        <w:p w14:paraId="6FCF9E12" w14:textId="77777777" w:rsidR="008A0152" w:rsidRPr="00FE608C"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AF019CB" w14:textId="77777777" w:rsidR="008A0152" w:rsidRPr="00FE608C"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381A40F6" w14:textId="77777777" w:rsidR="008A0152" w:rsidRPr="00FE608C"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623AEA64" w14:textId="77777777" w:rsidR="008A0152" w:rsidRPr="00FE608C" w:rsidRDefault="008A0152" w:rsidP="00CC7B81">
          <w:pPr>
            <w:jc w:val="center"/>
            <w:rPr>
              <w:rFonts w:ascii="Arial" w:hAnsi="Arial" w:cs="Arial"/>
              <w:sz w:val="15"/>
              <w:szCs w:val="15"/>
              <w:lang w:eastAsia="es-AR"/>
            </w:rPr>
          </w:pPr>
          <w:r w:rsidRPr="00C9122B">
            <w:rPr>
              <w:rFonts w:ascii="Arial" w:hAnsi="Arial" w:cs="Arial"/>
              <w:sz w:val="15"/>
              <w:szCs w:val="15"/>
              <w:lang w:eastAsia="es-AR"/>
            </w:rPr>
            <w:t>C.P.C.E.C.A.B.A.  T° 347  F° 159</w:t>
          </w:r>
        </w:p>
      </w:tc>
      <w:tc>
        <w:tcPr>
          <w:tcW w:w="326" w:type="pct"/>
          <w:tcBorders>
            <w:top w:val="nil"/>
            <w:left w:val="nil"/>
            <w:bottom w:val="nil"/>
            <w:right w:val="nil"/>
          </w:tcBorders>
          <w:shd w:val="clear" w:color="auto" w:fill="auto"/>
          <w:noWrap/>
          <w:vAlign w:val="bottom"/>
        </w:tcPr>
        <w:p w14:paraId="093EF40B" w14:textId="77777777" w:rsidR="008A0152" w:rsidRPr="00FE608C" w:rsidRDefault="008A0152" w:rsidP="00CC7B81">
          <w:pPr>
            <w:jc w:val="center"/>
            <w:rPr>
              <w:rFonts w:ascii="Arial" w:hAnsi="Arial" w:cs="Arial"/>
              <w:color w:val="000000"/>
              <w:sz w:val="15"/>
              <w:szCs w:val="15"/>
              <w:lang w:eastAsia="es-AR"/>
            </w:rPr>
          </w:pPr>
        </w:p>
      </w:tc>
    </w:tr>
    <w:tr w:rsidR="008A0152" w:rsidRPr="00FE608C" w14:paraId="07E5EC43" w14:textId="77777777" w:rsidTr="00CC7B81">
      <w:trPr>
        <w:trHeight w:val="180"/>
      </w:trPr>
      <w:tc>
        <w:tcPr>
          <w:tcW w:w="1483" w:type="pct"/>
          <w:tcBorders>
            <w:top w:val="nil"/>
            <w:left w:val="nil"/>
            <w:bottom w:val="nil"/>
            <w:right w:val="nil"/>
          </w:tcBorders>
          <w:shd w:val="clear" w:color="auto" w:fill="auto"/>
          <w:noWrap/>
          <w:vAlign w:val="bottom"/>
        </w:tcPr>
        <w:p w14:paraId="5B2AE4F6" w14:textId="77777777" w:rsidR="008A0152" w:rsidRPr="00FE608C"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179E97DF" w14:textId="77777777" w:rsidR="008A0152" w:rsidRPr="00FE608C"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3A350C12" w14:textId="77777777" w:rsidR="008A0152" w:rsidRPr="00FE608C"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201CE203" w14:textId="77777777" w:rsidR="008A0152" w:rsidRPr="00FE608C"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0F174DE8" w14:textId="77777777" w:rsidR="008A0152" w:rsidRPr="00FE608C" w:rsidRDefault="008A0152" w:rsidP="00CC7B81">
          <w:pPr>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0C147555" w14:textId="77777777" w:rsidR="008A0152" w:rsidRPr="00FE608C" w:rsidRDefault="008A0152" w:rsidP="00CC7B81">
          <w:pPr>
            <w:jc w:val="center"/>
            <w:rPr>
              <w:rFonts w:ascii="Arial" w:hAnsi="Arial" w:cs="Arial"/>
              <w:color w:val="000000"/>
              <w:sz w:val="15"/>
              <w:szCs w:val="15"/>
              <w:lang w:eastAsia="es-AR"/>
            </w:rPr>
          </w:pPr>
        </w:p>
      </w:tc>
    </w:tr>
    <w:tr w:rsidR="008A0152" w:rsidRPr="00FE608C" w14:paraId="33E48A24" w14:textId="77777777" w:rsidTr="00CC7B81">
      <w:trPr>
        <w:trHeight w:val="180"/>
      </w:trPr>
      <w:tc>
        <w:tcPr>
          <w:tcW w:w="1483" w:type="pct"/>
          <w:tcBorders>
            <w:top w:val="nil"/>
            <w:left w:val="nil"/>
            <w:bottom w:val="nil"/>
            <w:right w:val="nil"/>
          </w:tcBorders>
          <w:shd w:val="clear" w:color="auto" w:fill="auto"/>
          <w:noWrap/>
          <w:vAlign w:val="bottom"/>
        </w:tcPr>
        <w:p w14:paraId="1AA58A87" w14:textId="77777777" w:rsidR="008A0152" w:rsidRPr="00FE608C"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5BC01BC2" w14:textId="77777777" w:rsidR="008A0152" w:rsidRPr="00FE608C"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73F5BC96" w14:textId="77777777" w:rsidR="008A0152" w:rsidRPr="00FE608C" w:rsidRDefault="008A0152" w:rsidP="00CC7B81">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3550C1E6" w14:textId="77777777" w:rsidR="008A0152" w:rsidRPr="00FE608C"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762B74AF" w14:textId="77777777" w:rsidR="008A0152" w:rsidRPr="00FE608C" w:rsidRDefault="008A0152" w:rsidP="00CC7B81">
          <w:pPr>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7C285F7F" w14:textId="77777777" w:rsidR="008A0152" w:rsidRPr="00FE608C" w:rsidRDefault="008A0152" w:rsidP="00CC7B81">
          <w:pPr>
            <w:jc w:val="center"/>
            <w:rPr>
              <w:rFonts w:ascii="Arial" w:hAnsi="Arial" w:cs="Arial"/>
              <w:color w:val="000000"/>
              <w:sz w:val="15"/>
              <w:szCs w:val="15"/>
              <w:lang w:eastAsia="es-AR"/>
            </w:rPr>
          </w:pPr>
        </w:p>
      </w:tc>
    </w:tr>
    <w:tr w:rsidR="008A0152" w:rsidRPr="00DA23BA" w14:paraId="074965EE" w14:textId="77777777" w:rsidTr="00CC7B81">
      <w:trPr>
        <w:trHeight w:val="180"/>
      </w:trPr>
      <w:tc>
        <w:tcPr>
          <w:tcW w:w="1483" w:type="pct"/>
          <w:tcBorders>
            <w:top w:val="nil"/>
            <w:left w:val="nil"/>
            <w:bottom w:val="nil"/>
            <w:right w:val="nil"/>
          </w:tcBorders>
          <w:shd w:val="clear" w:color="auto" w:fill="auto"/>
          <w:noWrap/>
          <w:vAlign w:val="bottom"/>
        </w:tcPr>
        <w:p w14:paraId="61945C6B" w14:textId="77777777" w:rsidR="008A0152" w:rsidRPr="00FE608C" w:rsidRDefault="008A0152" w:rsidP="00CC7B81">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13AA70CE" w14:textId="77777777" w:rsidR="008A0152" w:rsidRPr="00FE608C" w:rsidRDefault="008A0152" w:rsidP="00CC7B81">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CB652F3" w14:textId="62AF2E32" w:rsidR="008A0152" w:rsidRPr="00DA23BA" w:rsidRDefault="008A0152" w:rsidP="00CC7B81">
          <w:pPr>
            <w:jc w:val="center"/>
            <w:rPr>
              <w:rFonts w:ascii="Arial" w:hAnsi="Arial" w:cs="Arial"/>
              <w:sz w:val="15"/>
              <w:szCs w:val="15"/>
              <w:lang w:eastAsia="es-AR"/>
            </w:rPr>
          </w:pPr>
          <w:r>
            <w:rPr>
              <w:rFonts w:ascii="Arial" w:hAnsi="Arial" w:cs="Arial"/>
              <w:sz w:val="15"/>
              <w:szCs w:val="15"/>
              <w:lang w:eastAsia="es-AR"/>
            </w:rPr>
            <w:t xml:space="preserve">- </w:t>
          </w:r>
          <w:r w:rsidRPr="00A76E3D">
            <w:rPr>
              <w:rFonts w:ascii="Arial" w:hAnsi="Arial" w:cs="Arial"/>
              <w:sz w:val="15"/>
              <w:szCs w:val="15"/>
              <w:lang w:eastAsia="es-AR"/>
            </w:rPr>
            <w:fldChar w:fldCharType="begin"/>
          </w:r>
          <w:r w:rsidRPr="00A76E3D">
            <w:rPr>
              <w:rFonts w:ascii="Arial" w:hAnsi="Arial" w:cs="Arial"/>
              <w:sz w:val="15"/>
              <w:szCs w:val="15"/>
              <w:lang w:eastAsia="es-AR"/>
            </w:rPr>
            <w:instrText xml:space="preserve"> PAGE   \* MERGEFORMAT </w:instrText>
          </w:r>
          <w:r w:rsidRPr="00A76E3D">
            <w:rPr>
              <w:rFonts w:ascii="Arial" w:hAnsi="Arial" w:cs="Arial"/>
              <w:sz w:val="15"/>
              <w:szCs w:val="15"/>
              <w:lang w:eastAsia="es-AR"/>
            </w:rPr>
            <w:fldChar w:fldCharType="separate"/>
          </w:r>
          <w:r w:rsidR="00635684">
            <w:rPr>
              <w:rFonts w:ascii="Arial" w:hAnsi="Arial" w:cs="Arial"/>
              <w:noProof/>
              <w:sz w:val="15"/>
              <w:szCs w:val="15"/>
              <w:lang w:eastAsia="es-AR"/>
            </w:rPr>
            <w:t>5</w:t>
          </w:r>
          <w:r w:rsidRPr="00A76E3D">
            <w:rPr>
              <w:rFonts w:ascii="Arial" w:hAnsi="Arial" w:cs="Arial"/>
              <w:sz w:val="15"/>
              <w:szCs w:val="15"/>
              <w:lang w:eastAsia="es-AR"/>
            </w:rPr>
            <w:fldChar w:fldCharType="end"/>
          </w:r>
          <w:r>
            <w:rPr>
              <w:rFonts w:ascii="Arial" w:hAnsi="Arial" w:cs="Arial"/>
              <w:sz w:val="15"/>
              <w:szCs w:val="15"/>
              <w:lang w:eastAsia="es-AR"/>
            </w:rPr>
            <w:t xml:space="preserve"> - </w:t>
          </w:r>
        </w:p>
      </w:tc>
      <w:tc>
        <w:tcPr>
          <w:tcW w:w="377" w:type="pct"/>
          <w:tcBorders>
            <w:top w:val="nil"/>
            <w:left w:val="nil"/>
            <w:bottom w:val="nil"/>
            <w:right w:val="nil"/>
          </w:tcBorders>
          <w:shd w:val="clear" w:color="auto" w:fill="auto"/>
          <w:noWrap/>
          <w:vAlign w:val="bottom"/>
        </w:tcPr>
        <w:p w14:paraId="4998EC06" w14:textId="77777777" w:rsidR="008A0152" w:rsidRPr="00DA23BA" w:rsidRDefault="008A0152" w:rsidP="00CC7B81">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0AA3816B" w14:textId="77777777" w:rsidR="008A0152" w:rsidRPr="00DA23BA" w:rsidRDefault="008A0152" w:rsidP="00CC7B81">
          <w:pPr>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3DA8942D" w14:textId="77777777" w:rsidR="008A0152" w:rsidRPr="00DA23BA" w:rsidRDefault="008A0152" w:rsidP="00CC7B81">
          <w:pPr>
            <w:jc w:val="center"/>
            <w:rPr>
              <w:rFonts w:ascii="Arial" w:hAnsi="Arial" w:cs="Arial"/>
              <w:color w:val="000000"/>
              <w:sz w:val="15"/>
              <w:szCs w:val="15"/>
              <w:lang w:eastAsia="es-AR"/>
            </w:rPr>
          </w:pPr>
        </w:p>
      </w:tc>
    </w:tr>
  </w:tbl>
  <w:p w14:paraId="25D81E4D" w14:textId="77777777" w:rsidR="008A0152" w:rsidRDefault="008A01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8" w:type="pct"/>
      <w:tblCellMar>
        <w:left w:w="70" w:type="dxa"/>
        <w:right w:w="70" w:type="dxa"/>
      </w:tblCellMar>
      <w:tblLook w:val="04A0" w:firstRow="1" w:lastRow="0" w:firstColumn="1" w:lastColumn="0" w:noHBand="0" w:noVBand="1"/>
    </w:tblPr>
    <w:tblGrid>
      <w:gridCol w:w="2804"/>
      <w:gridCol w:w="1089"/>
      <w:gridCol w:w="1543"/>
      <w:gridCol w:w="713"/>
      <w:gridCol w:w="2689"/>
      <w:gridCol w:w="616"/>
    </w:tblGrid>
    <w:tr w:rsidR="008A0152" w:rsidRPr="00D24C22" w14:paraId="147428EF" w14:textId="77777777" w:rsidTr="00D24C22">
      <w:trPr>
        <w:trHeight w:val="180"/>
      </w:trPr>
      <w:tc>
        <w:tcPr>
          <w:tcW w:w="1483" w:type="pct"/>
          <w:tcBorders>
            <w:top w:val="nil"/>
            <w:left w:val="nil"/>
            <w:bottom w:val="nil"/>
            <w:right w:val="nil"/>
          </w:tcBorders>
          <w:shd w:val="clear" w:color="auto" w:fill="auto"/>
          <w:noWrap/>
          <w:vAlign w:val="bottom"/>
        </w:tcPr>
        <w:tbl>
          <w:tblPr>
            <w:tblW w:w="5468" w:type="pct"/>
            <w:tblCellMar>
              <w:left w:w="70" w:type="dxa"/>
              <w:right w:w="70" w:type="dxa"/>
            </w:tblCellMar>
            <w:tblLook w:val="04A0" w:firstRow="1" w:lastRow="0" w:firstColumn="1" w:lastColumn="0" w:noHBand="0" w:noVBand="1"/>
          </w:tblPr>
          <w:tblGrid>
            <w:gridCol w:w="867"/>
            <w:gridCol w:w="338"/>
            <w:gridCol w:w="477"/>
            <w:gridCol w:w="221"/>
            <w:gridCol w:w="830"/>
            <w:gridCol w:w="180"/>
          </w:tblGrid>
          <w:tr w:rsidR="008A0152" w:rsidRPr="00DA23BA" w14:paraId="488A7DB9" w14:textId="77777777" w:rsidTr="00D24C22">
            <w:trPr>
              <w:trHeight w:val="180"/>
            </w:trPr>
            <w:tc>
              <w:tcPr>
                <w:tcW w:w="1487" w:type="pct"/>
                <w:tcBorders>
                  <w:top w:val="nil"/>
                  <w:left w:val="nil"/>
                  <w:bottom w:val="nil"/>
                  <w:right w:val="nil"/>
                </w:tcBorders>
                <w:shd w:val="clear" w:color="auto" w:fill="auto"/>
                <w:noWrap/>
                <w:vAlign w:val="bottom"/>
              </w:tcPr>
              <w:p w14:paraId="158E0B8C"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055DB2CF"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76A16478"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2898556B"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7711AD3B"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7C2F9595"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12842A04" w14:textId="77777777" w:rsidTr="00D24C22">
            <w:trPr>
              <w:trHeight w:val="180"/>
            </w:trPr>
            <w:tc>
              <w:tcPr>
                <w:tcW w:w="1487" w:type="pct"/>
                <w:tcBorders>
                  <w:top w:val="nil"/>
                  <w:left w:val="nil"/>
                  <w:bottom w:val="nil"/>
                  <w:right w:val="nil"/>
                </w:tcBorders>
                <w:shd w:val="clear" w:color="auto" w:fill="auto"/>
                <w:noWrap/>
                <w:vAlign w:val="bottom"/>
              </w:tcPr>
              <w:p w14:paraId="04060125"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7566A13C"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7D446EDB"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455DD5B3"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3BDBFD88"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019A2B84"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67ED2BA0" w14:textId="77777777" w:rsidTr="00D24C22">
            <w:trPr>
              <w:trHeight w:val="180"/>
            </w:trPr>
            <w:tc>
              <w:tcPr>
                <w:tcW w:w="1487" w:type="pct"/>
                <w:tcBorders>
                  <w:top w:val="nil"/>
                  <w:left w:val="nil"/>
                  <w:bottom w:val="nil"/>
                  <w:right w:val="nil"/>
                </w:tcBorders>
                <w:shd w:val="clear" w:color="auto" w:fill="auto"/>
                <w:noWrap/>
                <w:vAlign w:val="bottom"/>
              </w:tcPr>
              <w:p w14:paraId="734CA4BB"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5E589800"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07CC1630"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3B7BEF47"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1C974758"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7298B88F"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1AF498FC" w14:textId="77777777" w:rsidTr="00D24C22">
            <w:trPr>
              <w:trHeight w:val="180"/>
            </w:trPr>
            <w:tc>
              <w:tcPr>
                <w:tcW w:w="1487" w:type="pct"/>
                <w:tcBorders>
                  <w:top w:val="nil"/>
                  <w:left w:val="nil"/>
                  <w:bottom w:val="nil"/>
                  <w:right w:val="nil"/>
                </w:tcBorders>
                <w:shd w:val="clear" w:color="auto" w:fill="auto"/>
                <w:noWrap/>
                <w:vAlign w:val="bottom"/>
              </w:tcPr>
              <w:p w14:paraId="10AF85B3"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38A8DF12"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41829479"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4986C51E"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5244DD99"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36F61E49"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015448F3" w14:textId="77777777" w:rsidTr="00D24C22">
            <w:trPr>
              <w:trHeight w:val="180"/>
            </w:trPr>
            <w:tc>
              <w:tcPr>
                <w:tcW w:w="1487" w:type="pct"/>
                <w:tcBorders>
                  <w:top w:val="nil"/>
                  <w:left w:val="nil"/>
                  <w:bottom w:val="nil"/>
                  <w:right w:val="nil"/>
                </w:tcBorders>
                <w:shd w:val="clear" w:color="auto" w:fill="auto"/>
                <w:noWrap/>
                <w:vAlign w:val="bottom"/>
              </w:tcPr>
              <w:p w14:paraId="349DB372"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20F9E339"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2D8ECE23"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5A86D2AE"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014D3F5F"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0B84D10B"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0BF369F2" w14:textId="77777777" w:rsidTr="00D24C22">
            <w:trPr>
              <w:trHeight w:val="180"/>
            </w:trPr>
            <w:tc>
              <w:tcPr>
                <w:tcW w:w="1487" w:type="pct"/>
                <w:tcBorders>
                  <w:top w:val="nil"/>
                  <w:left w:val="nil"/>
                  <w:bottom w:val="nil"/>
                  <w:right w:val="nil"/>
                </w:tcBorders>
                <w:shd w:val="clear" w:color="auto" w:fill="auto"/>
                <w:noWrap/>
                <w:vAlign w:val="bottom"/>
              </w:tcPr>
              <w:p w14:paraId="197F48DE"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431B196B"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01AB0461"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18D39CF0"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0938504D"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506D4B6D"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04504536" w14:textId="77777777" w:rsidTr="00D24C22">
            <w:trPr>
              <w:trHeight w:val="180"/>
            </w:trPr>
            <w:tc>
              <w:tcPr>
                <w:tcW w:w="1487" w:type="pct"/>
                <w:tcBorders>
                  <w:top w:val="nil"/>
                  <w:left w:val="nil"/>
                  <w:bottom w:val="nil"/>
                  <w:right w:val="nil"/>
                </w:tcBorders>
                <w:shd w:val="clear" w:color="auto" w:fill="auto"/>
                <w:noWrap/>
                <w:vAlign w:val="bottom"/>
              </w:tcPr>
              <w:p w14:paraId="1434181F"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2D8E215F"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40A3179F"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4BCE0DFF"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3AFBC44E"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67A6C7EA" w14:textId="77777777" w:rsidR="008A0152" w:rsidRPr="00DA23BA" w:rsidRDefault="008A0152" w:rsidP="00D24C22">
                <w:pPr>
                  <w:jc w:val="center"/>
                  <w:rPr>
                    <w:rFonts w:ascii="Arial" w:hAnsi="Arial" w:cs="Arial"/>
                    <w:sz w:val="15"/>
                    <w:szCs w:val="15"/>
                    <w:lang w:eastAsia="es-AR"/>
                  </w:rPr>
                </w:pPr>
              </w:p>
            </w:tc>
          </w:tr>
          <w:tr w:rsidR="008A0152" w:rsidRPr="00D24C22" w14:paraId="3E300898" w14:textId="77777777" w:rsidTr="00D24C22">
            <w:trPr>
              <w:trHeight w:val="180"/>
            </w:trPr>
            <w:tc>
              <w:tcPr>
                <w:tcW w:w="1487" w:type="pct"/>
                <w:tcBorders>
                  <w:top w:val="nil"/>
                  <w:left w:val="nil"/>
                  <w:bottom w:val="nil"/>
                  <w:right w:val="nil"/>
                </w:tcBorders>
                <w:shd w:val="clear" w:color="auto" w:fill="auto"/>
                <w:noWrap/>
                <w:vAlign w:val="bottom"/>
              </w:tcPr>
              <w:p w14:paraId="167BDCFF"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28D9D4D7"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47C70A68"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39E70A81"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6F8ABEB8"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38C37A1A"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03B20D97" w14:textId="77777777" w:rsidTr="00D24C22">
            <w:trPr>
              <w:trHeight w:val="180"/>
            </w:trPr>
            <w:tc>
              <w:tcPr>
                <w:tcW w:w="1487" w:type="pct"/>
                <w:tcBorders>
                  <w:top w:val="nil"/>
                  <w:left w:val="nil"/>
                  <w:bottom w:val="nil"/>
                  <w:right w:val="nil"/>
                </w:tcBorders>
                <w:shd w:val="clear" w:color="auto" w:fill="auto"/>
                <w:noWrap/>
                <w:vAlign w:val="bottom"/>
              </w:tcPr>
              <w:p w14:paraId="53C67E31"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00E408E1"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47354281"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6145337E"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36D54BE8" w14:textId="77777777" w:rsidR="008A0152" w:rsidRPr="00DA23BA" w:rsidRDefault="008A0152" w:rsidP="00D24C22">
                <w:pPr>
                  <w:ind w:left="210" w:hanging="210"/>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2FCDC2AC"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2809882E" w14:textId="77777777" w:rsidTr="00D24C22">
            <w:trPr>
              <w:trHeight w:val="180"/>
            </w:trPr>
            <w:tc>
              <w:tcPr>
                <w:tcW w:w="1487" w:type="pct"/>
                <w:tcBorders>
                  <w:top w:val="nil"/>
                  <w:left w:val="nil"/>
                  <w:bottom w:val="nil"/>
                  <w:right w:val="nil"/>
                </w:tcBorders>
                <w:shd w:val="clear" w:color="auto" w:fill="auto"/>
                <w:noWrap/>
                <w:vAlign w:val="center"/>
              </w:tcPr>
              <w:p w14:paraId="60C009CF"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42452DA1"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72F454C0"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22642CBB"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7814D9D2" w14:textId="77777777" w:rsidR="008A0152" w:rsidRPr="00DA23BA" w:rsidRDefault="008A0152" w:rsidP="00D24C22">
                <w:pPr>
                  <w:ind w:left="210" w:hanging="210"/>
                  <w:jc w:val="center"/>
                  <w:rPr>
                    <w:rFonts w:ascii="Arial" w:hAnsi="Arial" w:cs="Arial"/>
                    <w:sz w:val="15"/>
                    <w:szCs w:val="15"/>
                    <w:lang w:val="en-US" w:eastAsia="es-AR"/>
                  </w:rPr>
                </w:pPr>
              </w:p>
            </w:tc>
            <w:tc>
              <w:tcPr>
                <w:tcW w:w="309" w:type="pct"/>
                <w:tcBorders>
                  <w:top w:val="nil"/>
                  <w:left w:val="nil"/>
                  <w:bottom w:val="nil"/>
                  <w:right w:val="nil"/>
                </w:tcBorders>
                <w:shd w:val="clear" w:color="auto" w:fill="auto"/>
                <w:noWrap/>
                <w:vAlign w:val="bottom"/>
              </w:tcPr>
              <w:p w14:paraId="52F54FF7" w14:textId="77777777" w:rsidR="008A0152" w:rsidRPr="00DA23BA" w:rsidRDefault="008A0152" w:rsidP="00D24C22">
                <w:pPr>
                  <w:jc w:val="center"/>
                  <w:rPr>
                    <w:rFonts w:ascii="Arial" w:hAnsi="Arial" w:cs="Arial"/>
                    <w:color w:val="000000"/>
                    <w:sz w:val="15"/>
                    <w:szCs w:val="15"/>
                    <w:lang w:val="en-US" w:eastAsia="es-AR"/>
                  </w:rPr>
                </w:pPr>
              </w:p>
            </w:tc>
          </w:tr>
          <w:tr w:rsidR="008A0152" w:rsidRPr="00DA23BA" w14:paraId="6A7A6FFE" w14:textId="77777777" w:rsidTr="00D24C22">
            <w:trPr>
              <w:trHeight w:val="180"/>
            </w:trPr>
            <w:tc>
              <w:tcPr>
                <w:tcW w:w="1487" w:type="pct"/>
                <w:tcBorders>
                  <w:top w:val="nil"/>
                  <w:left w:val="nil"/>
                  <w:bottom w:val="nil"/>
                  <w:right w:val="nil"/>
                </w:tcBorders>
                <w:shd w:val="clear" w:color="auto" w:fill="auto"/>
                <w:noWrap/>
                <w:vAlign w:val="bottom"/>
              </w:tcPr>
              <w:p w14:paraId="10BA1133" w14:textId="77777777" w:rsidR="008A0152" w:rsidRPr="00DA23BA" w:rsidRDefault="008A0152" w:rsidP="00D24C22">
                <w:pPr>
                  <w:jc w:val="center"/>
                  <w:rPr>
                    <w:rFonts w:ascii="Arial" w:hAnsi="Arial" w:cs="Arial"/>
                    <w:sz w:val="15"/>
                    <w:szCs w:val="15"/>
                    <w:lang w:val="en-US" w:eastAsia="es-AR"/>
                  </w:rPr>
                </w:pPr>
              </w:p>
            </w:tc>
            <w:tc>
              <w:tcPr>
                <w:tcW w:w="580" w:type="pct"/>
                <w:tcBorders>
                  <w:top w:val="nil"/>
                  <w:left w:val="nil"/>
                  <w:bottom w:val="nil"/>
                  <w:right w:val="nil"/>
                </w:tcBorders>
                <w:shd w:val="clear" w:color="auto" w:fill="auto"/>
                <w:noWrap/>
                <w:vAlign w:val="bottom"/>
              </w:tcPr>
              <w:p w14:paraId="4D3285C0" w14:textId="77777777" w:rsidR="008A0152" w:rsidRPr="00DA23BA" w:rsidRDefault="008A0152" w:rsidP="00D24C22">
                <w:pPr>
                  <w:jc w:val="center"/>
                  <w:rPr>
                    <w:rFonts w:ascii="Arial" w:hAnsi="Arial" w:cs="Arial"/>
                    <w:sz w:val="15"/>
                    <w:szCs w:val="15"/>
                    <w:lang w:val="en-US" w:eastAsia="es-AR"/>
                  </w:rPr>
                </w:pPr>
              </w:p>
            </w:tc>
            <w:tc>
              <w:tcPr>
                <w:tcW w:w="819" w:type="pct"/>
                <w:tcBorders>
                  <w:top w:val="nil"/>
                  <w:left w:val="nil"/>
                  <w:bottom w:val="nil"/>
                  <w:right w:val="nil"/>
                </w:tcBorders>
                <w:shd w:val="clear" w:color="auto" w:fill="auto"/>
                <w:noWrap/>
                <w:vAlign w:val="bottom"/>
              </w:tcPr>
              <w:p w14:paraId="264207BE" w14:textId="77777777" w:rsidR="008A0152" w:rsidRPr="00DA23BA" w:rsidRDefault="008A0152" w:rsidP="00D24C22">
                <w:pPr>
                  <w:jc w:val="center"/>
                  <w:rPr>
                    <w:rFonts w:ascii="Arial" w:hAnsi="Arial" w:cs="Arial"/>
                    <w:sz w:val="15"/>
                    <w:szCs w:val="15"/>
                    <w:lang w:val="en-US" w:eastAsia="es-AR"/>
                  </w:rPr>
                </w:pPr>
              </w:p>
            </w:tc>
            <w:tc>
              <w:tcPr>
                <w:tcW w:w="380" w:type="pct"/>
                <w:tcBorders>
                  <w:top w:val="nil"/>
                  <w:left w:val="nil"/>
                  <w:bottom w:val="nil"/>
                  <w:right w:val="nil"/>
                </w:tcBorders>
                <w:shd w:val="clear" w:color="auto" w:fill="auto"/>
                <w:noWrap/>
                <w:vAlign w:val="bottom"/>
              </w:tcPr>
              <w:p w14:paraId="4E2FDA91" w14:textId="77777777" w:rsidR="008A0152" w:rsidRPr="00DA23BA" w:rsidRDefault="008A0152" w:rsidP="00D24C22">
                <w:pPr>
                  <w:jc w:val="center"/>
                  <w:rPr>
                    <w:rFonts w:ascii="Arial" w:hAnsi="Arial" w:cs="Arial"/>
                    <w:sz w:val="15"/>
                    <w:szCs w:val="15"/>
                    <w:lang w:val="en-US" w:eastAsia="es-AR"/>
                  </w:rPr>
                </w:pPr>
              </w:p>
            </w:tc>
            <w:tc>
              <w:tcPr>
                <w:tcW w:w="1425" w:type="pct"/>
                <w:tcBorders>
                  <w:top w:val="nil"/>
                  <w:left w:val="nil"/>
                  <w:bottom w:val="nil"/>
                  <w:right w:val="nil"/>
                </w:tcBorders>
                <w:shd w:val="clear" w:color="auto" w:fill="auto"/>
                <w:noWrap/>
                <w:vAlign w:val="bottom"/>
              </w:tcPr>
              <w:p w14:paraId="1CE0BEA6" w14:textId="77777777" w:rsidR="008A0152" w:rsidRPr="00DA23BA" w:rsidRDefault="008A0152" w:rsidP="00D24C22">
                <w:pPr>
                  <w:ind w:left="352" w:hanging="352"/>
                  <w:jc w:val="center"/>
                  <w:rPr>
                    <w:rFonts w:ascii="Arial" w:hAnsi="Arial" w:cs="Arial"/>
                    <w:sz w:val="15"/>
                    <w:szCs w:val="15"/>
                    <w:lang w:val="en-US" w:eastAsia="es-AR"/>
                  </w:rPr>
                </w:pPr>
              </w:p>
            </w:tc>
            <w:tc>
              <w:tcPr>
                <w:tcW w:w="309" w:type="pct"/>
                <w:tcBorders>
                  <w:top w:val="nil"/>
                  <w:left w:val="nil"/>
                  <w:bottom w:val="nil"/>
                  <w:right w:val="nil"/>
                </w:tcBorders>
                <w:shd w:val="clear" w:color="auto" w:fill="auto"/>
                <w:noWrap/>
                <w:vAlign w:val="bottom"/>
              </w:tcPr>
              <w:p w14:paraId="74FEB534" w14:textId="77777777" w:rsidR="008A0152" w:rsidRPr="00DA23BA" w:rsidRDefault="008A0152" w:rsidP="00D24C22">
                <w:pPr>
                  <w:jc w:val="center"/>
                  <w:rPr>
                    <w:rFonts w:ascii="Arial" w:hAnsi="Arial" w:cs="Arial"/>
                    <w:color w:val="000000"/>
                    <w:sz w:val="15"/>
                    <w:szCs w:val="15"/>
                    <w:lang w:val="en-US" w:eastAsia="es-AR"/>
                  </w:rPr>
                </w:pPr>
              </w:p>
            </w:tc>
          </w:tr>
          <w:tr w:rsidR="008A0152" w:rsidRPr="00DA23BA" w14:paraId="4114279A" w14:textId="77777777" w:rsidTr="00D24C22">
            <w:trPr>
              <w:trHeight w:val="180"/>
            </w:trPr>
            <w:tc>
              <w:tcPr>
                <w:tcW w:w="1487" w:type="pct"/>
                <w:tcBorders>
                  <w:top w:val="nil"/>
                  <w:left w:val="nil"/>
                  <w:bottom w:val="nil"/>
                  <w:right w:val="nil"/>
                </w:tcBorders>
                <w:shd w:val="clear" w:color="auto" w:fill="auto"/>
                <w:noWrap/>
                <w:vAlign w:val="bottom"/>
              </w:tcPr>
              <w:p w14:paraId="762756E3" w14:textId="77777777" w:rsidR="008A0152" w:rsidRPr="00DA23BA" w:rsidRDefault="008A0152" w:rsidP="00D24C22">
                <w:pPr>
                  <w:jc w:val="center"/>
                  <w:rPr>
                    <w:rFonts w:ascii="Arial" w:hAnsi="Arial" w:cs="Arial"/>
                    <w:sz w:val="15"/>
                    <w:szCs w:val="15"/>
                    <w:lang w:val="en-US" w:eastAsia="es-AR"/>
                  </w:rPr>
                </w:pPr>
              </w:p>
            </w:tc>
            <w:tc>
              <w:tcPr>
                <w:tcW w:w="580" w:type="pct"/>
                <w:tcBorders>
                  <w:top w:val="nil"/>
                  <w:left w:val="nil"/>
                  <w:bottom w:val="nil"/>
                  <w:right w:val="nil"/>
                </w:tcBorders>
                <w:shd w:val="clear" w:color="auto" w:fill="auto"/>
                <w:noWrap/>
                <w:vAlign w:val="bottom"/>
              </w:tcPr>
              <w:p w14:paraId="5E3D26B8" w14:textId="77777777" w:rsidR="008A0152" w:rsidRPr="00DA23BA" w:rsidRDefault="008A0152" w:rsidP="00D24C22">
                <w:pPr>
                  <w:jc w:val="center"/>
                  <w:rPr>
                    <w:rFonts w:ascii="Arial" w:hAnsi="Arial" w:cs="Arial"/>
                    <w:sz w:val="15"/>
                    <w:szCs w:val="15"/>
                    <w:lang w:val="en-US" w:eastAsia="es-AR"/>
                  </w:rPr>
                </w:pPr>
              </w:p>
            </w:tc>
            <w:tc>
              <w:tcPr>
                <w:tcW w:w="819" w:type="pct"/>
                <w:tcBorders>
                  <w:top w:val="nil"/>
                  <w:left w:val="nil"/>
                  <w:bottom w:val="nil"/>
                  <w:right w:val="nil"/>
                </w:tcBorders>
                <w:shd w:val="clear" w:color="auto" w:fill="auto"/>
                <w:noWrap/>
                <w:vAlign w:val="bottom"/>
              </w:tcPr>
              <w:p w14:paraId="6B033C2E" w14:textId="77777777" w:rsidR="008A0152" w:rsidRPr="00DA23BA" w:rsidRDefault="008A0152" w:rsidP="00D24C22">
                <w:pPr>
                  <w:jc w:val="center"/>
                  <w:rPr>
                    <w:rFonts w:ascii="Arial" w:hAnsi="Arial" w:cs="Arial"/>
                    <w:sz w:val="15"/>
                    <w:szCs w:val="15"/>
                    <w:lang w:val="en-US" w:eastAsia="es-AR"/>
                  </w:rPr>
                </w:pPr>
              </w:p>
            </w:tc>
            <w:tc>
              <w:tcPr>
                <w:tcW w:w="380" w:type="pct"/>
                <w:tcBorders>
                  <w:top w:val="nil"/>
                  <w:left w:val="nil"/>
                  <w:bottom w:val="nil"/>
                  <w:right w:val="nil"/>
                </w:tcBorders>
                <w:shd w:val="clear" w:color="auto" w:fill="auto"/>
                <w:noWrap/>
                <w:vAlign w:val="bottom"/>
              </w:tcPr>
              <w:p w14:paraId="76289AA8" w14:textId="77777777" w:rsidR="008A0152" w:rsidRPr="00DA23BA" w:rsidRDefault="008A0152" w:rsidP="00D24C22">
                <w:pPr>
                  <w:jc w:val="center"/>
                  <w:rPr>
                    <w:rFonts w:ascii="Arial" w:hAnsi="Arial" w:cs="Arial"/>
                    <w:sz w:val="15"/>
                    <w:szCs w:val="15"/>
                    <w:lang w:val="en-US" w:eastAsia="es-AR"/>
                  </w:rPr>
                </w:pPr>
              </w:p>
            </w:tc>
            <w:tc>
              <w:tcPr>
                <w:tcW w:w="1425" w:type="pct"/>
                <w:tcBorders>
                  <w:top w:val="nil"/>
                  <w:left w:val="nil"/>
                  <w:bottom w:val="nil"/>
                  <w:right w:val="nil"/>
                </w:tcBorders>
                <w:shd w:val="clear" w:color="auto" w:fill="auto"/>
                <w:noWrap/>
                <w:vAlign w:val="bottom"/>
              </w:tcPr>
              <w:p w14:paraId="0EC2193E" w14:textId="77777777" w:rsidR="008A0152" w:rsidRPr="00DA23BA" w:rsidRDefault="008A0152" w:rsidP="00D24C22">
                <w:pPr>
                  <w:ind w:left="498" w:hanging="498"/>
                  <w:jc w:val="center"/>
                  <w:rPr>
                    <w:rFonts w:ascii="Arial" w:hAnsi="Arial" w:cs="Arial"/>
                    <w:sz w:val="15"/>
                    <w:szCs w:val="15"/>
                    <w:lang w:val="en-US" w:eastAsia="es-AR"/>
                  </w:rPr>
                </w:pPr>
              </w:p>
            </w:tc>
            <w:tc>
              <w:tcPr>
                <w:tcW w:w="309" w:type="pct"/>
                <w:tcBorders>
                  <w:top w:val="nil"/>
                  <w:left w:val="nil"/>
                  <w:bottom w:val="nil"/>
                  <w:right w:val="nil"/>
                </w:tcBorders>
                <w:shd w:val="clear" w:color="auto" w:fill="auto"/>
                <w:noWrap/>
                <w:vAlign w:val="bottom"/>
              </w:tcPr>
              <w:p w14:paraId="474F1CE4" w14:textId="77777777" w:rsidR="008A0152" w:rsidRPr="00DA23BA" w:rsidRDefault="008A0152" w:rsidP="00D24C22">
                <w:pPr>
                  <w:jc w:val="center"/>
                  <w:rPr>
                    <w:rFonts w:ascii="Arial" w:hAnsi="Arial" w:cs="Arial"/>
                    <w:color w:val="000000"/>
                    <w:sz w:val="15"/>
                    <w:szCs w:val="15"/>
                    <w:lang w:val="en-US" w:eastAsia="es-AR"/>
                  </w:rPr>
                </w:pPr>
              </w:p>
            </w:tc>
          </w:tr>
          <w:tr w:rsidR="008A0152" w:rsidRPr="00DA23BA" w14:paraId="06410886" w14:textId="77777777" w:rsidTr="00D24C22">
            <w:trPr>
              <w:trHeight w:val="180"/>
            </w:trPr>
            <w:tc>
              <w:tcPr>
                <w:tcW w:w="1487" w:type="pct"/>
                <w:tcBorders>
                  <w:top w:val="nil"/>
                  <w:left w:val="nil"/>
                  <w:bottom w:val="nil"/>
                  <w:right w:val="nil"/>
                </w:tcBorders>
                <w:shd w:val="clear" w:color="auto" w:fill="auto"/>
                <w:noWrap/>
                <w:vAlign w:val="bottom"/>
              </w:tcPr>
              <w:p w14:paraId="3D401171" w14:textId="77777777" w:rsidR="008A0152" w:rsidRPr="00DA23BA" w:rsidRDefault="008A0152" w:rsidP="00D24C22">
                <w:pPr>
                  <w:jc w:val="center"/>
                  <w:rPr>
                    <w:rFonts w:ascii="Arial" w:hAnsi="Arial" w:cs="Arial"/>
                    <w:sz w:val="15"/>
                    <w:szCs w:val="15"/>
                    <w:lang w:val="en-US" w:eastAsia="es-AR"/>
                  </w:rPr>
                </w:pPr>
              </w:p>
            </w:tc>
            <w:tc>
              <w:tcPr>
                <w:tcW w:w="580" w:type="pct"/>
                <w:tcBorders>
                  <w:top w:val="nil"/>
                  <w:left w:val="nil"/>
                  <w:bottom w:val="nil"/>
                  <w:right w:val="nil"/>
                </w:tcBorders>
                <w:shd w:val="clear" w:color="auto" w:fill="auto"/>
                <w:noWrap/>
                <w:vAlign w:val="bottom"/>
              </w:tcPr>
              <w:p w14:paraId="5DE9F55D" w14:textId="77777777" w:rsidR="008A0152" w:rsidRPr="00DA23BA" w:rsidRDefault="008A0152" w:rsidP="00D24C22">
                <w:pPr>
                  <w:jc w:val="center"/>
                  <w:rPr>
                    <w:rFonts w:ascii="Arial" w:hAnsi="Arial" w:cs="Arial"/>
                    <w:sz w:val="15"/>
                    <w:szCs w:val="15"/>
                    <w:lang w:val="en-US" w:eastAsia="es-AR"/>
                  </w:rPr>
                </w:pPr>
              </w:p>
            </w:tc>
            <w:tc>
              <w:tcPr>
                <w:tcW w:w="819" w:type="pct"/>
                <w:tcBorders>
                  <w:top w:val="nil"/>
                  <w:left w:val="nil"/>
                  <w:bottom w:val="nil"/>
                  <w:right w:val="nil"/>
                </w:tcBorders>
                <w:shd w:val="clear" w:color="auto" w:fill="auto"/>
                <w:noWrap/>
                <w:vAlign w:val="bottom"/>
              </w:tcPr>
              <w:p w14:paraId="7376DE67" w14:textId="77777777" w:rsidR="008A0152" w:rsidRPr="00DA23BA" w:rsidRDefault="008A0152" w:rsidP="00D24C22">
                <w:pPr>
                  <w:jc w:val="center"/>
                  <w:rPr>
                    <w:rFonts w:ascii="Arial" w:hAnsi="Arial" w:cs="Arial"/>
                    <w:sz w:val="15"/>
                    <w:szCs w:val="15"/>
                    <w:lang w:val="en-US" w:eastAsia="es-AR"/>
                  </w:rPr>
                </w:pPr>
              </w:p>
            </w:tc>
            <w:tc>
              <w:tcPr>
                <w:tcW w:w="380" w:type="pct"/>
                <w:tcBorders>
                  <w:top w:val="nil"/>
                  <w:left w:val="nil"/>
                  <w:bottom w:val="nil"/>
                  <w:right w:val="nil"/>
                </w:tcBorders>
                <w:shd w:val="clear" w:color="auto" w:fill="auto"/>
                <w:noWrap/>
                <w:vAlign w:val="bottom"/>
              </w:tcPr>
              <w:p w14:paraId="323F0BA8" w14:textId="77777777" w:rsidR="008A0152" w:rsidRPr="00DA23BA" w:rsidRDefault="008A0152" w:rsidP="00D24C22">
                <w:pPr>
                  <w:jc w:val="center"/>
                  <w:rPr>
                    <w:rFonts w:ascii="Arial" w:hAnsi="Arial" w:cs="Arial"/>
                    <w:sz w:val="15"/>
                    <w:szCs w:val="15"/>
                    <w:lang w:val="en-US" w:eastAsia="es-AR"/>
                  </w:rPr>
                </w:pPr>
              </w:p>
            </w:tc>
            <w:tc>
              <w:tcPr>
                <w:tcW w:w="1425" w:type="pct"/>
                <w:tcBorders>
                  <w:top w:val="nil"/>
                  <w:left w:val="nil"/>
                  <w:bottom w:val="nil"/>
                  <w:right w:val="nil"/>
                </w:tcBorders>
                <w:shd w:val="clear" w:color="auto" w:fill="auto"/>
                <w:noWrap/>
                <w:vAlign w:val="bottom"/>
              </w:tcPr>
              <w:p w14:paraId="37AEF7C9" w14:textId="77777777" w:rsidR="008A0152" w:rsidRPr="00DA23BA" w:rsidRDefault="008A0152" w:rsidP="00D24C22">
                <w:pPr>
                  <w:jc w:val="center"/>
                  <w:rPr>
                    <w:rFonts w:ascii="Arial" w:hAnsi="Arial" w:cs="Arial"/>
                    <w:sz w:val="15"/>
                    <w:szCs w:val="15"/>
                    <w:lang w:val="en-US" w:eastAsia="es-AR"/>
                  </w:rPr>
                </w:pPr>
              </w:p>
            </w:tc>
            <w:tc>
              <w:tcPr>
                <w:tcW w:w="309" w:type="pct"/>
                <w:tcBorders>
                  <w:top w:val="nil"/>
                  <w:left w:val="nil"/>
                  <w:bottom w:val="nil"/>
                  <w:right w:val="nil"/>
                </w:tcBorders>
                <w:shd w:val="clear" w:color="auto" w:fill="auto"/>
                <w:noWrap/>
                <w:vAlign w:val="bottom"/>
              </w:tcPr>
              <w:p w14:paraId="4E64A5FF" w14:textId="77777777" w:rsidR="008A0152" w:rsidRPr="00DA23BA" w:rsidRDefault="008A0152" w:rsidP="00D24C22">
                <w:pPr>
                  <w:jc w:val="center"/>
                  <w:rPr>
                    <w:rFonts w:ascii="Arial" w:hAnsi="Arial" w:cs="Arial"/>
                    <w:sz w:val="15"/>
                    <w:szCs w:val="15"/>
                    <w:lang w:eastAsia="es-AR"/>
                  </w:rPr>
                </w:pPr>
              </w:p>
            </w:tc>
          </w:tr>
          <w:tr w:rsidR="008A0152" w:rsidRPr="00D24C22" w14:paraId="437B7143" w14:textId="77777777" w:rsidTr="00D24C22">
            <w:trPr>
              <w:trHeight w:val="180"/>
            </w:trPr>
            <w:tc>
              <w:tcPr>
                <w:tcW w:w="1487" w:type="pct"/>
                <w:tcBorders>
                  <w:top w:val="nil"/>
                  <w:left w:val="nil"/>
                  <w:bottom w:val="nil"/>
                  <w:right w:val="nil"/>
                </w:tcBorders>
                <w:shd w:val="clear" w:color="auto" w:fill="auto"/>
                <w:noWrap/>
                <w:vAlign w:val="bottom"/>
              </w:tcPr>
              <w:p w14:paraId="07F0AAD7"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36D6A963"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642D060B"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2E4DADFD"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75187C27" w14:textId="77777777" w:rsidR="008A0152" w:rsidRPr="00DA23BA" w:rsidRDefault="008A0152" w:rsidP="00D24C22">
                <w:pPr>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475FDBAE" w14:textId="77777777" w:rsidR="008A0152" w:rsidRPr="00DA23BA" w:rsidRDefault="008A0152" w:rsidP="00D24C22">
                <w:pPr>
                  <w:jc w:val="center"/>
                  <w:rPr>
                    <w:rFonts w:ascii="Arial" w:hAnsi="Arial" w:cs="Arial"/>
                    <w:color w:val="000000"/>
                    <w:sz w:val="15"/>
                    <w:szCs w:val="15"/>
                    <w:lang w:eastAsia="es-AR"/>
                  </w:rPr>
                </w:pPr>
              </w:p>
            </w:tc>
          </w:tr>
          <w:tr w:rsidR="008A0152" w:rsidRPr="00DA23BA" w14:paraId="67ABCFC8" w14:textId="77777777" w:rsidTr="00D24C22">
            <w:trPr>
              <w:trHeight w:val="180"/>
            </w:trPr>
            <w:tc>
              <w:tcPr>
                <w:tcW w:w="1487" w:type="pct"/>
                <w:tcBorders>
                  <w:top w:val="nil"/>
                  <w:left w:val="nil"/>
                  <w:bottom w:val="nil"/>
                  <w:right w:val="nil"/>
                </w:tcBorders>
                <w:shd w:val="clear" w:color="auto" w:fill="auto"/>
                <w:noWrap/>
                <w:vAlign w:val="bottom"/>
              </w:tcPr>
              <w:p w14:paraId="71B4E304"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4375FBD3"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204AB2BC"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6CB78B0B"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585E2067" w14:textId="77777777" w:rsidR="008A0152" w:rsidRPr="00DA23BA" w:rsidRDefault="008A0152" w:rsidP="00D24C22">
                <w:pPr>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2E0DEF8D" w14:textId="77777777" w:rsidR="008A0152" w:rsidRPr="00DA23BA" w:rsidRDefault="008A0152" w:rsidP="00D24C22">
                <w:pPr>
                  <w:jc w:val="center"/>
                  <w:rPr>
                    <w:rFonts w:ascii="Arial" w:hAnsi="Arial" w:cs="Arial"/>
                    <w:color w:val="000000"/>
                    <w:sz w:val="15"/>
                    <w:szCs w:val="15"/>
                    <w:lang w:eastAsia="es-AR"/>
                  </w:rPr>
                </w:pPr>
              </w:p>
            </w:tc>
          </w:tr>
          <w:tr w:rsidR="008A0152" w:rsidRPr="00D24C22" w14:paraId="129461BC" w14:textId="77777777" w:rsidTr="00D24C22">
            <w:trPr>
              <w:trHeight w:val="180"/>
            </w:trPr>
            <w:tc>
              <w:tcPr>
                <w:tcW w:w="1487" w:type="pct"/>
                <w:tcBorders>
                  <w:top w:val="nil"/>
                  <w:left w:val="nil"/>
                  <w:bottom w:val="nil"/>
                  <w:right w:val="nil"/>
                </w:tcBorders>
                <w:shd w:val="clear" w:color="auto" w:fill="auto"/>
                <w:noWrap/>
                <w:vAlign w:val="bottom"/>
              </w:tcPr>
              <w:p w14:paraId="454F2A83"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091EAAED"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788FF693"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45F3533F"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22CD7CD1" w14:textId="77777777" w:rsidR="008A0152" w:rsidRPr="00DA23BA" w:rsidRDefault="008A0152" w:rsidP="00D24C22">
                <w:pPr>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403A2B1A" w14:textId="77777777" w:rsidR="008A0152" w:rsidRPr="00DA23BA" w:rsidRDefault="008A0152" w:rsidP="00D24C22">
                <w:pPr>
                  <w:jc w:val="center"/>
                  <w:rPr>
                    <w:rFonts w:ascii="Arial" w:hAnsi="Arial" w:cs="Arial"/>
                    <w:color w:val="000000"/>
                    <w:sz w:val="15"/>
                    <w:szCs w:val="15"/>
                    <w:lang w:eastAsia="es-AR"/>
                  </w:rPr>
                </w:pPr>
              </w:p>
            </w:tc>
          </w:tr>
          <w:tr w:rsidR="008A0152" w:rsidRPr="00D24C22" w14:paraId="7B8582DB" w14:textId="77777777" w:rsidTr="00D24C22">
            <w:trPr>
              <w:trHeight w:val="180"/>
            </w:trPr>
            <w:tc>
              <w:tcPr>
                <w:tcW w:w="1487" w:type="pct"/>
                <w:tcBorders>
                  <w:top w:val="nil"/>
                  <w:left w:val="nil"/>
                  <w:bottom w:val="nil"/>
                  <w:right w:val="nil"/>
                </w:tcBorders>
                <w:shd w:val="clear" w:color="auto" w:fill="auto"/>
                <w:noWrap/>
                <w:vAlign w:val="bottom"/>
              </w:tcPr>
              <w:p w14:paraId="6176223E" w14:textId="77777777" w:rsidR="008A0152" w:rsidRPr="00DA23BA" w:rsidRDefault="008A0152" w:rsidP="00D24C22">
                <w:pPr>
                  <w:jc w:val="center"/>
                  <w:rPr>
                    <w:rFonts w:ascii="Arial" w:hAnsi="Arial" w:cs="Arial"/>
                    <w:sz w:val="15"/>
                    <w:szCs w:val="15"/>
                    <w:lang w:eastAsia="es-AR"/>
                  </w:rPr>
                </w:pPr>
              </w:p>
            </w:tc>
            <w:tc>
              <w:tcPr>
                <w:tcW w:w="580" w:type="pct"/>
                <w:tcBorders>
                  <w:top w:val="nil"/>
                  <w:left w:val="nil"/>
                  <w:bottom w:val="nil"/>
                  <w:right w:val="nil"/>
                </w:tcBorders>
                <w:shd w:val="clear" w:color="auto" w:fill="auto"/>
                <w:noWrap/>
                <w:vAlign w:val="bottom"/>
              </w:tcPr>
              <w:p w14:paraId="0C0C802A" w14:textId="77777777" w:rsidR="008A0152" w:rsidRPr="00DA23BA" w:rsidRDefault="008A0152" w:rsidP="00D24C22">
                <w:pPr>
                  <w:jc w:val="center"/>
                  <w:rPr>
                    <w:rFonts w:ascii="Arial" w:hAnsi="Arial" w:cs="Arial"/>
                    <w:sz w:val="15"/>
                    <w:szCs w:val="15"/>
                    <w:lang w:eastAsia="es-AR"/>
                  </w:rPr>
                </w:pPr>
              </w:p>
            </w:tc>
            <w:tc>
              <w:tcPr>
                <w:tcW w:w="819" w:type="pct"/>
                <w:tcBorders>
                  <w:top w:val="nil"/>
                  <w:left w:val="nil"/>
                  <w:bottom w:val="nil"/>
                  <w:right w:val="nil"/>
                </w:tcBorders>
                <w:shd w:val="clear" w:color="auto" w:fill="auto"/>
                <w:noWrap/>
                <w:vAlign w:val="bottom"/>
              </w:tcPr>
              <w:p w14:paraId="569D845A" w14:textId="77777777" w:rsidR="008A0152" w:rsidRPr="00DA23BA" w:rsidRDefault="008A0152" w:rsidP="00D24C22">
                <w:pPr>
                  <w:jc w:val="center"/>
                  <w:rPr>
                    <w:rFonts w:ascii="Arial" w:hAnsi="Arial" w:cs="Arial"/>
                    <w:sz w:val="15"/>
                    <w:szCs w:val="15"/>
                    <w:lang w:eastAsia="es-AR"/>
                  </w:rPr>
                </w:pPr>
              </w:p>
            </w:tc>
            <w:tc>
              <w:tcPr>
                <w:tcW w:w="380" w:type="pct"/>
                <w:tcBorders>
                  <w:top w:val="nil"/>
                  <w:left w:val="nil"/>
                  <w:bottom w:val="nil"/>
                  <w:right w:val="nil"/>
                </w:tcBorders>
                <w:shd w:val="clear" w:color="auto" w:fill="auto"/>
                <w:noWrap/>
                <w:vAlign w:val="bottom"/>
              </w:tcPr>
              <w:p w14:paraId="73EB5A44" w14:textId="77777777" w:rsidR="008A0152" w:rsidRPr="00DA23BA" w:rsidRDefault="008A0152" w:rsidP="00D24C22">
                <w:pPr>
                  <w:jc w:val="center"/>
                  <w:rPr>
                    <w:rFonts w:ascii="Arial" w:hAnsi="Arial" w:cs="Arial"/>
                    <w:sz w:val="15"/>
                    <w:szCs w:val="15"/>
                    <w:lang w:eastAsia="es-AR"/>
                  </w:rPr>
                </w:pPr>
              </w:p>
            </w:tc>
            <w:tc>
              <w:tcPr>
                <w:tcW w:w="1425" w:type="pct"/>
                <w:tcBorders>
                  <w:top w:val="nil"/>
                  <w:left w:val="nil"/>
                  <w:bottom w:val="nil"/>
                  <w:right w:val="nil"/>
                </w:tcBorders>
                <w:shd w:val="clear" w:color="auto" w:fill="auto"/>
                <w:noWrap/>
                <w:vAlign w:val="bottom"/>
              </w:tcPr>
              <w:p w14:paraId="26F2E049" w14:textId="77777777" w:rsidR="008A0152" w:rsidRPr="00DA23BA" w:rsidRDefault="008A0152" w:rsidP="00D24C22">
                <w:pPr>
                  <w:jc w:val="center"/>
                  <w:rPr>
                    <w:rFonts w:ascii="Arial" w:hAnsi="Arial" w:cs="Arial"/>
                    <w:sz w:val="15"/>
                    <w:szCs w:val="15"/>
                    <w:lang w:eastAsia="es-AR"/>
                  </w:rPr>
                </w:pPr>
              </w:p>
            </w:tc>
            <w:tc>
              <w:tcPr>
                <w:tcW w:w="309" w:type="pct"/>
                <w:tcBorders>
                  <w:top w:val="nil"/>
                  <w:left w:val="nil"/>
                  <w:bottom w:val="nil"/>
                  <w:right w:val="nil"/>
                </w:tcBorders>
                <w:shd w:val="clear" w:color="auto" w:fill="auto"/>
                <w:noWrap/>
                <w:vAlign w:val="bottom"/>
              </w:tcPr>
              <w:p w14:paraId="4E93147B" w14:textId="77777777" w:rsidR="008A0152" w:rsidRPr="00DA23BA" w:rsidRDefault="008A0152" w:rsidP="00D24C22">
                <w:pPr>
                  <w:jc w:val="center"/>
                  <w:rPr>
                    <w:rFonts w:ascii="Arial" w:hAnsi="Arial" w:cs="Arial"/>
                    <w:color w:val="000000"/>
                    <w:sz w:val="15"/>
                    <w:szCs w:val="15"/>
                    <w:lang w:eastAsia="es-AR"/>
                  </w:rPr>
                </w:pPr>
              </w:p>
            </w:tc>
          </w:tr>
        </w:tbl>
        <w:p w14:paraId="4BF9F309" w14:textId="77777777" w:rsidR="008A0152" w:rsidRPr="0017062B" w:rsidRDefault="008A0152" w:rsidP="00D24C22">
          <w:pPr>
            <w:pStyle w:val="Piedepgina"/>
          </w:pPr>
        </w:p>
        <w:p w14:paraId="4EED7443" w14:textId="77777777" w:rsidR="008A0152" w:rsidRPr="00D24C22" w:rsidRDefault="008A0152" w:rsidP="00D24C22">
          <w:pPr>
            <w:jc w:val="center"/>
            <w:rPr>
              <w:rFonts w:ascii="Arial" w:hAnsi="Arial" w:cs="Arial"/>
              <w:sz w:val="15"/>
              <w:szCs w:val="15"/>
              <w:lang w:val="it-IT" w:eastAsia="es-AR"/>
            </w:rPr>
          </w:pPr>
        </w:p>
      </w:tc>
      <w:tc>
        <w:tcPr>
          <w:tcW w:w="576" w:type="pct"/>
          <w:tcBorders>
            <w:top w:val="nil"/>
            <w:left w:val="nil"/>
            <w:bottom w:val="nil"/>
            <w:right w:val="nil"/>
          </w:tcBorders>
          <w:shd w:val="clear" w:color="auto" w:fill="auto"/>
          <w:noWrap/>
          <w:vAlign w:val="bottom"/>
        </w:tcPr>
        <w:p w14:paraId="06921FEF" w14:textId="77777777" w:rsidR="008A0152" w:rsidRPr="00DA23BA" w:rsidRDefault="008A0152" w:rsidP="00D24C22">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2EDFD563" w14:textId="77777777" w:rsidR="008A0152" w:rsidRPr="00DA23BA" w:rsidRDefault="008A0152" w:rsidP="00D24C22">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5C0A0E54" w14:textId="77777777" w:rsidR="008A0152" w:rsidRPr="00DA23BA" w:rsidRDefault="008A0152" w:rsidP="00D24C22">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08D4A4C7" w14:textId="77777777" w:rsidR="008A0152" w:rsidRPr="00DA23BA" w:rsidRDefault="008A0152" w:rsidP="00D24C22">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60C22E39" w14:textId="77777777" w:rsidR="008A0152" w:rsidRPr="00DA23BA" w:rsidRDefault="008A0152" w:rsidP="00D24C22">
          <w:pPr>
            <w:jc w:val="center"/>
            <w:rPr>
              <w:rFonts w:ascii="Arial" w:hAnsi="Arial" w:cs="Arial"/>
              <w:color w:val="000000"/>
              <w:sz w:val="15"/>
              <w:szCs w:val="15"/>
              <w:lang w:eastAsia="es-AR"/>
            </w:rPr>
          </w:pPr>
        </w:p>
      </w:tc>
    </w:tr>
  </w:tbl>
  <w:p w14:paraId="475325B3" w14:textId="77777777" w:rsidR="008A0152" w:rsidRPr="00BA218C" w:rsidRDefault="008A0152" w:rsidP="00E05C6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8" w:type="pct"/>
      <w:tblCellMar>
        <w:left w:w="70" w:type="dxa"/>
        <w:right w:w="70" w:type="dxa"/>
      </w:tblCellMar>
      <w:tblLook w:val="04A0" w:firstRow="1" w:lastRow="0" w:firstColumn="1" w:lastColumn="0" w:noHBand="0" w:noVBand="1"/>
    </w:tblPr>
    <w:tblGrid>
      <w:gridCol w:w="2789"/>
      <w:gridCol w:w="1075"/>
      <w:gridCol w:w="1600"/>
      <w:gridCol w:w="699"/>
      <w:gridCol w:w="2675"/>
      <w:gridCol w:w="616"/>
    </w:tblGrid>
    <w:tr w:rsidR="008A0152" w:rsidRPr="00DA23BA" w14:paraId="23B1E2F4" w14:textId="77777777" w:rsidTr="00A316B5">
      <w:trPr>
        <w:trHeight w:val="180"/>
      </w:trPr>
      <w:tc>
        <w:tcPr>
          <w:tcW w:w="1483" w:type="pct"/>
          <w:tcBorders>
            <w:top w:val="nil"/>
            <w:left w:val="nil"/>
            <w:bottom w:val="nil"/>
            <w:right w:val="nil"/>
          </w:tcBorders>
          <w:shd w:val="clear" w:color="auto" w:fill="auto"/>
          <w:noWrap/>
          <w:vAlign w:val="bottom"/>
        </w:tcPr>
        <w:p w14:paraId="7047E2CB" w14:textId="77777777" w:rsidR="008A0152" w:rsidRPr="00DA23BA" w:rsidRDefault="008A0152" w:rsidP="00B51CA4">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10D47C83"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42B968DC"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5DF88D65"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35554DA" w14:textId="77777777" w:rsidR="008A0152" w:rsidRPr="00DA23BA" w:rsidRDefault="008A0152" w:rsidP="00B51CA4">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1BA4FE06" w14:textId="77777777" w:rsidR="008A0152" w:rsidRPr="00DA23BA" w:rsidRDefault="008A0152" w:rsidP="00B51CA4">
          <w:pPr>
            <w:jc w:val="center"/>
            <w:rPr>
              <w:rFonts w:ascii="Arial" w:hAnsi="Arial" w:cs="Arial"/>
              <w:color w:val="000000"/>
              <w:sz w:val="15"/>
              <w:szCs w:val="15"/>
              <w:lang w:eastAsia="es-AR"/>
            </w:rPr>
          </w:pPr>
        </w:p>
      </w:tc>
    </w:tr>
    <w:tr w:rsidR="008A0152" w:rsidRPr="00DA23BA" w14:paraId="54DF052D" w14:textId="77777777" w:rsidTr="00A316B5">
      <w:trPr>
        <w:trHeight w:val="180"/>
      </w:trPr>
      <w:tc>
        <w:tcPr>
          <w:tcW w:w="1483" w:type="pct"/>
          <w:tcBorders>
            <w:top w:val="nil"/>
            <w:left w:val="nil"/>
            <w:bottom w:val="nil"/>
            <w:right w:val="nil"/>
          </w:tcBorders>
          <w:shd w:val="clear" w:color="auto" w:fill="auto"/>
          <w:noWrap/>
          <w:vAlign w:val="bottom"/>
        </w:tcPr>
        <w:p w14:paraId="7A5C7C02" w14:textId="77777777" w:rsidR="008A0152" w:rsidRPr="00DA23BA" w:rsidRDefault="008A0152" w:rsidP="00B51CA4">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490E62F8"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47F7A2E1"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023062F7"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15514D50" w14:textId="77777777" w:rsidR="008A0152" w:rsidRPr="00DA23BA" w:rsidRDefault="008A0152" w:rsidP="00B51CA4">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6B0FB6A7" w14:textId="77777777" w:rsidR="008A0152" w:rsidRPr="00DA23BA" w:rsidRDefault="008A0152" w:rsidP="00B51CA4">
          <w:pPr>
            <w:jc w:val="center"/>
            <w:rPr>
              <w:rFonts w:ascii="Arial" w:hAnsi="Arial" w:cs="Arial"/>
              <w:color w:val="000000"/>
              <w:sz w:val="15"/>
              <w:szCs w:val="15"/>
              <w:lang w:eastAsia="es-AR"/>
            </w:rPr>
          </w:pPr>
        </w:p>
      </w:tc>
    </w:tr>
    <w:tr w:rsidR="008A0152" w:rsidRPr="00DA23BA" w14:paraId="4C384A3A" w14:textId="77777777" w:rsidTr="00D801D9">
      <w:trPr>
        <w:trHeight w:val="87"/>
      </w:trPr>
      <w:tc>
        <w:tcPr>
          <w:tcW w:w="1483" w:type="pct"/>
          <w:tcBorders>
            <w:top w:val="nil"/>
            <w:left w:val="nil"/>
            <w:bottom w:val="nil"/>
            <w:right w:val="nil"/>
          </w:tcBorders>
          <w:shd w:val="clear" w:color="auto" w:fill="auto"/>
          <w:noWrap/>
          <w:vAlign w:val="bottom"/>
        </w:tcPr>
        <w:p w14:paraId="0AD66764" w14:textId="77777777" w:rsidR="008A0152" w:rsidRPr="00DA23BA" w:rsidRDefault="008A0152" w:rsidP="00B51CA4">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5E492B36"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380BA630"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31F344AC"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C9E4E07" w14:textId="77777777" w:rsidR="008A0152" w:rsidRPr="00DA23BA" w:rsidRDefault="008A0152" w:rsidP="00B51CA4">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402450B0" w14:textId="77777777" w:rsidR="008A0152" w:rsidRPr="00DA23BA" w:rsidRDefault="008A0152" w:rsidP="00B51CA4">
          <w:pPr>
            <w:jc w:val="center"/>
            <w:rPr>
              <w:rFonts w:ascii="Arial" w:hAnsi="Arial" w:cs="Arial"/>
              <w:color w:val="000000"/>
              <w:sz w:val="15"/>
              <w:szCs w:val="15"/>
              <w:lang w:eastAsia="es-AR"/>
            </w:rPr>
          </w:pPr>
        </w:p>
      </w:tc>
    </w:tr>
    <w:tr w:rsidR="008A0152" w:rsidRPr="00DA23BA" w14:paraId="7E30B144" w14:textId="77777777" w:rsidTr="00A316B5">
      <w:trPr>
        <w:trHeight w:val="180"/>
      </w:trPr>
      <w:tc>
        <w:tcPr>
          <w:tcW w:w="1483" w:type="pct"/>
          <w:tcBorders>
            <w:top w:val="nil"/>
            <w:left w:val="nil"/>
            <w:bottom w:val="nil"/>
            <w:right w:val="nil"/>
          </w:tcBorders>
          <w:shd w:val="clear" w:color="auto" w:fill="auto"/>
          <w:noWrap/>
          <w:vAlign w:val="bottom"/>
        </w:tcPr>
        <w:p w14:paraId="26846831" w14:textId="77777777" w:rsidR="008A0152" w:rsidRPr="00DA23BA" w:rsidRDefault="008A0152" w:rsidP="005B01F3">
          <w:pPr>
            <w:jc w:val="center"/>
            <w:rPr>
              <w:rFonts w:ascii="Arial" w:hAnsi="Arial" w:cs="Arial"/>
              <w:sz w:val="15"/>
              <w:szCs w:val="15"/>
              <w:lang w:eastAsia="es-AR"/>
            </w:rPr>
          </w:pPr>
          <w:r>
            <w:rPr>
              <w:rFonts w:ascii="Arial" w:hAnsi="Arial" w:cs="Arial"/>
              <w:sz w:val="15"/>
              <w:szCs w:val="15"/>
              <w:lang w:eastAsia="es-AR"/>
            </w:rPr>
            <w:t>Mariano Andrés Biglia</w:t>
          </w:r>
        </w:p>
      </w:tc>
      <w:tc>
        <w:tcPr>
          <w:tcW w:w="576" w:type="pct"/>
          <w:tcBorders>
            <w:top w:val="nil"/>
            <w:left w:val="nil"/>
            <w:bottom w:val="nil"/>
            <w:right w:val="nil"/>
          </w:tcBorders>
          <w:shd w:val="clear" w:color="auto" w:fill="auto"/>
          <w:noWrap/>
          <w:vAlign w:val="bottom"/>
        </w:tcPr>
        <w:p w14:paraId="409DE077"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3B905B5" w14:textId="77777777" w:rsidR="008A0152" w:rsidRPr="00DA23BA" w:rsidRDefault="008A0152" w:rsidP="00E6398C">
          <w:pPr>
            <w:jc w:val="center"/>
            <w:rPr>
              <w:rFonts w:ascii="Arial" w:hAnsi="Arial" w:cs="Arial"/>
              <w:sz w:val="15"/>
              <w:szCs w:val="15"/>
              <w:lang w:eastAsia="es-AR"/>
            </w:rPr>
          </w:pPr>
          <w:r>
            <w:rPr>
              <w:rFonts w:ascii="Arial" w:hAnsi="Arial" w:cs="Arial"/>
              <w:sz w:val="15"/>
              <w:szCs w:val="15"/>
              <w:lang w:eastAsia="es-AR"/>
            </w:rPr>
            <w:t>Nerio Alfredo Peitiado</w:t>
          </w:r>
        </w:p>
      </w:tc>
      <w:tc>
        <w:tcPr>
          <w:tcW w:w="377" w:type="pct"/>
          <w:tcBorders>
            <w:top w:val="nil"/>
            <w:left w:val="nil"/>
            <w:bottom w:val="nil"/>
            <w:right w:val="nil"/>
          </w:tcBorders>
          <w:shd w:val="clear" w:color="auto" w:fill="auto"/>
          <w:noWrap/>
          <w:vAlign w:val="bottom"/>
        </w:tcPr>
        <w:p w14:paraId="6C1CA760"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24DF7AD" w14:textId="77777777" w:rsidR="008A0152" w:rsidRPr="00DA23BA" w:rsidRDefault="008A0152" w:rsidP="005B01F3">
          <w:pPr>
            <w:ind w:left="210" w:hanging="210"/>
            <w:jc w:val="center"/>
            <w:rPr>
              <w:rFonts w:ascii="Arial" w:hAnsi="Arial" w:cs="Arial"/>
              <w:sz w:val="15"/>
              <w:szCs w:val="15"/>
              <w:lang w:eastAsia="es-AR"/>
            </w:rPr>
          </w:pPr>
          <w:r>
            <w:rPr>
              <w:rFonts w:ascii="Arial" w:hAnsi="Arial" w:cs="Arial"/>
              <w:sz w:val="15"/>
              <w:szCs w:val="15"/>
            </w:rPr>
            <w:t>Jorge Oscar Ramírez</w:t>
          </w:r>
        </w:p>
      </w:tc>
      <w:tc>
        <w:tcPr>
          <w:tcW w:w="326" w:type="pct"/>
          <w:tcBorders>
            <w:top w:val="nil"/>
            <w:left w:val="nil"/>
            <w:bottom w:val="nil"/>
            <w:right w:val="nil"/>
          </w:tcBorders>
          <w:shd w:val="clear" w:color="auto" w:fill="auto"/>
          <w:noWrap/>
          <w:vAlign w:val="bottom"/>
        </w:tcPr>
        <w:p w14:paraId="24236D9C" w14:textId="77777777" w:rsidR="008A0152" w:rsidRPr="00DA23BA" w:rsidRDefault="008A0152" w:rsidP="005B01F3">
          <w:pPr>
            <w:jc w:val="center"/>
            <w:rPr>
              <w:rFonts w:ascii="Arial" w:hAnsi="Arial" w:cs="Arial"/>
              <w:color w:val="000000"/>
              <w:sz w:val="15"/>
              <w:szCs w:val="15"/>
              <w:lang w:eastAsia="es-AR"/>
            </w:rPr>
          </w:pPr>
        </w:p>
      </w:tc>
    </w:tr>
    <w:tr w:rsidR="008A0152" w:rsidRPr="00DA23BA" w14:paraId="4B218533" w14:textId="77777777" w:rsidTr="00A316B5">
      <w:trPr>
        <w:trHeight w:val="180"/>
      </w:trPr>
      <w:tc>
        <w:tcPr>
          <w:tcW w:w="1483" w:type="pct"/>
          <w:tcBorders>
            <w:top w:val="nil"/>
            <w:left w:val="nil"/>
            <w:bottom w:val="nil"/>
            <w:right w:val="nil"/>
          </w:tcBorders>
          <w:shd w:val="clear" w:color="auto" w:fill="auto"/>
          <w:noWrap/>
          <w:vAlign w:val="bottom"/>
        </w:tcPr>
        <w:p w14:paraId="2D0D755D"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Responsable del Área Contable</w:t>
          </w:r>
        </w:p>
      </w:tc>
      <w:tc>
        <w:tcPr>
          <w:tcW w:w="576" w:type="pct"/>
          <w:tcBorders>
            <w:top w:val="nil"/>
            <w:left w:val="nil"/>
            <w:bottom w:val="nil"/>
            <w:right w:val="nil"/>
          </w:tcBorders>
          <w:shd w:val="clear" w:color="auto" w:fill="auto"/>
          <w:noWrap/>
          <w:vAlign w:val="bottom"/>
        </w:tcPr>
        <w:p w14:paraId="785C4DC5"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820685E"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Gerente General</w:t>
          </w:r>
        </w:p>
      </w:tc>
      <w:tc>
        <w:tcPr>
          <w:tcW w:w="377" w:type="pct"/>
          <w:tcBorders>
            <w:top w:val="nil"/>
            <w:left w:val="nil"/>
            <w:bottom w:val="nil"/>
            <w:right w:val="nil"/>
          </w:tcBorders>
          <w:shd w:val="clear" w:color="auto" w:fill="auto"/>
          <w:noWrap/>
          <w:vAlign w:val="bottom"/>
        </w:tcPr>
        <w:p w14:paraId="5E50A3E8"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6ACD93E" w14:textId="77777777" w:rsidR="008A0152" w:rsidRPr="00DA23BA" w:rsidRDefault="008A0152" w:rsidP="005B01F3">
          <w:pPr>
            <w:ind w:left="210" w:hanging="210"/>
            <w:jc w:val="center"/>
            <w:rPr>
              <w:rFonts w:ascii="Arial" w:hAnsi="Arial" w:cs="Arial"/>
              <w:sz w:val="15"/>
              <w:szCs w:val="15"/>
              <w:lang w:eastAsia="es-AR"/>
            </w:rPr>
          </w:pPr>
          <w:r>
            <w:rPr>
              <w:rFonts w:ascii="Arial" w:hAnsi="Arial" w:cs="Arial"/>
              <w:sz w:val="15"/>
              <w:szCs w:val="15"/>
              <w:lang w:eastAsia="es-AR"/>
            </w:rPr>
            <w:t>Vicep</w:t>
          </w:r>
          <w:r w:rsidRPr="00DA23BA">
            <w:rPr>
              <w:rFonts w:ascii="Arial" w:hAnsi="Arial" w:cs="Arial"/>
              <w:sz w:val="15"/>
              <w:szCs w:val="15"/>
              <w:lang w:eastAsia="es-AR"/>
            </w:rPr>
            <w:t>residente</w:t>
          </w:r>
        </w:p>
      </w:tc>
      <w:tc>
        <w:tcPr>
          <w:tcW w:w="326" w:type="pct"/>
          <w:tcBorders>
            <w:top w:val="nil"/>
            <w:left w:val="nil"/>
            <w:bottom w:val="nil"/>
            <w:right w:val="nil"/>
          </w:tcBorders>
          <w:shd w:val="clear" w:color="auto" w:fill="auto"/>
          <w:noWrap/>
          <w:vAlign w:val="bottom"/>
        </w:tcPr>
        <w:p w14:paraId="4016F0D2" w14:textId="77777777" w:rsidR="008A0152" w:rsidRPr="00DA23BA" w:rsidRDefault="008A0152" w:rsidP="005B01F3">
          <w:pPr>
            <w:jc w:val="center"/>
            <w:rPr>
              <w:rFonts w:ascii="Arial" w:hAnsi="Arial" w:cs="Arial"/>
              <w:color w:val="000000"/>
              <w:sz w:val="15"/>
              <w:szCs w:val="15"/>
              <w:lang w:eastAsia="es-AR"/>
            </w:rPr>
          </w:pPr>
        </w:p>
      </w:tc>
    </w:tr>
    <w:tr w:rsidR="008A0152" w:rsidRPr="00DA23BA" w14:paraId="3D270B3D" w14:textId="77777777" w:rsidTr="00A316B5">
      <w:trPr>
        <w:trHeight w:val="180"/>
      </w:trPr>
      <w:tc>
        <w:tcPr>
          <w:tcW w:w="1483" w:type="pct"/>
          <w:tcBorders>
            <w:top w:val="nil"/>
            <w:left w:val="nil"/>
            <w:bottom w:val="nil"/>
            <w:right w:val="nil"/>
          </w:tcBorders>
          <w:shd w:val="clear" w:color="auto" w:fill="auto"/>
          <w:noWrap/>
          <w:vAlign w:val="bottom"/>
        </w:tcPr>
        <w:p w14:paraId="5FFFD85B" w14:textId="77777777" w:rsidR="008A0152" w:rsidRPr="00DA23BA" w:rsidRDefault="008A0152" w:rsidP="005B01F3">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751C0B4C"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4FEA668F"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6E6D50D7"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72C34096" w14:textId="77777777" w:rsidR="008A0152" w:rsidRPr="00DA23BA" w:rsidRDefault="008A0152" w:rsidP="005B01F3">
          <w:pPr>
            <w:ind w:left="210" w:hanging="210"/>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4791BDB1" w14:textId="77777777" w:rsidR="008A0152" w:rsidRPr="00DA23BA" w:rsidRDefault="008A0152" w:rsidP="005B01F3">
          <w:pPr>
            <w:jc w:val="center"/>
            <w:rPr>
              <w:rFonts w:ascii="Arial" w:hAnsi="Arial" w:cs="Arial"/>
              <w:sz w:val="15"/>
              <w:szCs w:val="15"/>
              <w:lang w:eastAsia="es-AR"/>
            </w:rPr>
          </w:pPr>
        </w:p>
      </w:tc>
    </w:tr>
    <w:tr w:rsidR="008A0152" w:rsidRPr="00707D83" w14:paraId="75ACF347" w14:textId="77777777" w:rsidTr="00A316B5">
      <w:trPr>
        <w:trHeight w:val="180"/>
      </w:trPr>
      <w:tc>
        <w:tcPr>
          <w:tcW w:w="1483" w:type="pct"/>
          <w:tcBorders>
            <w:top w:val="nil"/>
            <w:left w:val="nil"/>
            <w:bottom w:val="nil"/>
            <w:right w:val="nil"/>
          </w:tcBorders>
          <w:shd w:val="clear" w:color="auto" w:fill="auto"/>
          <w:noWrap/>
          <w:vAlign w:val="bottom"/>
        </w:tcPr>
        <w:p w14:paraId="1DE6F822"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Véase nuestro informe de fecha</w:t>
          </w:r>
        </w:p>
      </w:tc>
      <w:tc>
        <w:tcPr>
          <w:tcW w:w="576" w:type="pct"/>
          <w:tcBorders>
            <w:top w:val="nil"/>
            <w:left w:val="nil"/>
            <w:bottom w:val="nil"/>
            <w:right w:val="nil"/>
          </w:tcBorders>
          <w:shd w:val="clear" w:color="auto" w:fill="auto"/>
          <w:noWrap/>
          <w:vAlign w:val="bottom"/>
        </w:tcPr>
        <w:p w14:paraId="40C9E314"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1C194EFC"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11F7CF6C"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6ADD2CB6" w14:textId="77777777" w:rsidR="008A0152" w:rsidRPr="00DA23BA" w:rsidRDefault="008A0152" w:rsidP="005B01F3">
          <w:pPr>
            <w:ind w:left="210" w:hanging="210"/>
            <w:jc w:val="center"/>
            <w:rPr>
              <w:rFonts w:ascii="Arial" w:hAnsi="Arial" w:cs="Arial"/>
              <w:sz w:val="15"/>
              <w:szCs w:val="15"/>
              <w:lang w:eastAsia="es-AR"/>
            </w:rPr>
          </w:pPr>
          <w:r w:rsidRPr="00DA23BA">
            <w:rPr>
              <w:rFonts w:ascii="Arial" w:hAnsi="Arial" w:cs="Arial"/>
              <w:sz w:val="15"/>
              <w:szCs w:val="15"/>
              <w:lang w:eastAsia="es-AR"/>
            </w:rPr>
            <w:t>Véase nuestro informe de fecha</w:t>
          </w:r>
        </w:p>
      </w:tc>
      <w:tc>
        <w:tcPr>
          <w:tcW w:w="326" w:type="pct"/>
          <w:tcBorders>
            <w:top w:val="nil"/>
            <w:left w:val="nil"/>
            <w:bottom w:val="nil"/>
            <w:right w:val="nil"/>
          </w:tcBorders>
          <w:shd w:val="clear" w:color="auto" w:fill="auto"/>
          <w:noWrap/>
          <w:vAlign w:val="bottom"/>
        </w:tcPr>
        <w:p w14:paraId="42093116" w14:textId="77777777" w:rsidR="008A0152" w:rsidRPr="00DA23BA" w:rsidRDefault="008A0152" w:rsidP="005B01F3">
          <w:pPr>
            <w:jc w:val="center"/>
            <w:rPr>
              <w:rFonts w:ascii="Arial" w:hAnsi="Arial" w:cs="Arial"/>
              <w:color w:val="000000"/>
              <w:sz w:val="15"/>
              <w:szCs w:val="15"/>
              <w:lang w:eastAsia="es-AR"/>
            </w:rPr>
          </w:pPr>
        </w:p>
      </w:tc>
    </w:tr>
    <w:tr w:rsidR="008A0152" w:rsidRPr="00DA23BA" w14:paraId="18344B4F" w14:textId="77777777" w:rsidTr="00A316B5">
      <w:trPr>
        <w:trHeight w:val="180"/>
      </w:trPr>
      <w:tc>
        <w:tcPr>
          <w:tcW w:w="1483" w:type="pct"/>
          <w:tcBorders>
            <w:top w:val="nil"/>
            <w:left w:val="nil"/>
            <w:bottom w:val="nil"/>
            <w:right w:val="nil"/>
          </w:tcBorders>
          <w:shd w:val="clear" w:color="auto" w:fill="auto"/>
          <w:noWrap/>
          <w:vAlign w:val="bottom"/>
        </w:tcPr>
        <w:p w14:paraId="06FDE647" w14:textId="77777777" w:rsidR="008A0152" w:rsidRPr="00DA23BA" w:rsidRDefault="008A0152">
          <w:pPr>
            <w:jc w:val="center"/>
            <w:rPr>
              <w:rFonts w:ascii="Arial" w:hAnsi="Arial" w:cs="Arial"/>
              <w:sz w:val="15"/>
              <w:szCs w:val="15"/>
              <w:lang w:eastAsia="es-AR"/>
            </w:rPr>
          </w:pPr>
          <w:r>
            <w:rPr>
              <w:rFonts w:ascii="Arial" w:hAnsi="Arial" w:cs="Arial"/>
              <w:sz w:val="15"/>
              <w:szCs w:val="15"/>
              <w:lang w:eastAsia="es-AR"/>
            </w:rPr>
            <w:t>15 de noviembre de 2018</w:t>
          </w:r>
        </w:p>
      </w:tc>
      <w:tc>
        <w:tcPr>
          <w:tcW w:w="576" w:type="pct"/>
          <w:tcBorders>
            <w:top w:val="nil"/>
            <w:left w:val="nil"/>
            <w:bottom w:val="nil"/>
            <w:right w:val="nil"/>
          </w:tcBorders>
          <w:shd w:val="clear" w:color="auto" w:fill="auto"/>
          <w:noWrap/>
          <w:vAlign w:val="bottom"/>
        </w:tcPr>
        <w:p w14:paraId="5577F275"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759D42F9"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2D1F4DCF"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24F8C1B6" w14:textId="77777777" w:rsidR="008A0152" w:rsidRPr="00DA23BA" w:rsidRDefault="008A0152">
          <w:pPr>
            <w:ind w:left="210" w:hanging="210"/>
            <w:jc w:val="center"/>
            <w:rPr>
              <w:rFonts w:ascii="Arial" w:hAnsi="Arial" w:cs="Arial"/>
              <w:sz w:val="15"/>
              <w:szCs w:val="15"/>
              <w:lang w:eastAsia="es-AR"/>
            </w:rPr>
          </w:pPr>
          <w:r>
            <w:rPr>
              <w:rFonts w:ascii="Arial" w:hAnsi="Arial" w:cs="Arial"/>
              <w:sz w:val="15"/>
              <w:szCs w:val="15"/>
              <w:lang w:eastAsia="es-AR"/>
            </w:rPr>
            <w:t>15 e noviembre de 2018</w:t>
          </w:r>
        </w:p>
      </w:tc>
      <w:tc>
        <w:tcPr>
          <w:tcW w:w="326" w:type="pct"/>
          <w:tcBorders>
            <w:top w:val="nil"/>
            <w:left w:val="nil"/>
            <w:bottom w:val="nil"/>
            <w:right w:val="nil"/>
          </w:tcBorders>
          <w:shd w:val="clear" w:color="auto" w:fill="auto"/>
          <w:noWrap/>
          <w:vAlign w:val="bottom"/>
        </w:tcPr>
        <w:p w14:paraId="762C2FD7" w14:textId="77777777" w:rsidR="008A0152" w:rsidRPr="00DA23BA" w:rsidRDefault="008A0152" w:rsidP="005B01F3">
          <w:pPr>
            <w:jc w:val="center"/>
            <w:rPr>
              <w:rFonts w:ascii="Arial" w:hAnsi="Arial" w:cs="Arial"/>
              <w:color w:val="000000"/>
              <w:sz w:val="15"/>
              <w:szCs w:val="15"/>
              <w:lang w:eastAsia="es-AR"/>
            </w:rPr>
          </w:pPr>
        </w:p>
      </w:tc>
    </w:tr>
    <w:tr w:rsidR="008A0152" w:rsidRPr="00635684" w14:paraId="430C7C31" w14:textId="77777777" w:rsidTr="005B01F3">
      <w:trPr>
        <w:trHeight w:val="180"/>
      </w:trPr>
      <w:tc>
        <w:tcPr>
          <w:tcW w:w="1483" w:type="pct"/>
          <w:tcBorders>
            <w:top w:val="nil"/>
            <w:left w:val="nil"/>
            <w:bottom w:val="nil"/>
            <w:right w:val="nil"/>
          </w:tcBorders>
          <w:shd w:val="clear" w:color="auto" w:fill="auto"/>
          <w:noWrap/>
          <w:vAlign w:val="center"/>
        </w:tcPr>
        <w:p w14:paraId="2939E773"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Por Comisión Fiscalizadora</w:t>
          </w:r>
        </w:p>
      </w:tc>
      <w:tc>
        <w:tcPr>
          <w:tcW w:w="576" w:type="pct"/>
          <w:tcBorders>
            <w:top w:val="nil"/>
            <w:left w:val="nil"/>
            <w:bottom w:val="nil"/>
            <w:right w:val="nil"/>
          </w:tcBorders>
          <w:shd w:val="clear" w:color="auto" w:fill="auto"/>
          <w:noWrap/>
          <w:vAlign w:val="bottom"/>
        </w:tcPr>
        <w:p w14:paraId="2D70E0C6"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5E6BD608"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69FEE365"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72668882" w14:textId="77777777" w:rsidR="008A0152" w:rsidRPr="00DA23BA" w:rsidRDefault="008A0152" w:rsidP="005B01F3">
          <w:pPr>
            <w:ind w:left="210" w:hanging="210"/>
            <w:jc w:val="center"/>
            <w:rPr>
              <w:rFonts w:ascii="Arial" w:hAnsi="Arial" w:cs="Arial"/>
              <w:sz w:val="15"/>
              <w:szCs w:val="15"/>
              <w:lang w:val="en-US" w:eastAsia="es-AR"/>
            </w:rPr>
          </w:pPr>
          <w:r w:rsidRPr="00DA23BA">
            <w:rPr>
              <w:rFonts w:ascii="Arial" w:hAnsi="Arial" w:cs="Arial"/>
              <w:sz w:val="15"/>
              <w:szCs w:val="15"/>
              <w:lang w:val="en-US" w:eastAsia="es-AR"/>
            </w:rPr>
            <w:t>PRICE WATERHOUSE &amp; CO. S.R.L.</w:t>
          </w:r>
        </w:p>
      </w:tc>
      <w:tc>
        <w:tcPr>
          <w:tcW w:w="326" w:type="pct"/>
          <w:tcBorders>
            <w:top w:val="nil"/>
            <w:left w:val="nil"/>
            <w:bottom w:val="nil"/>
            <w:right w:val="nil"/>
          </w:tcBorders>
          <w:shd w:val="clear" w:color="auto" w:fill="auto"/>
          <w:noWrap/>
          <w:vAlign w:val="bottom"/>
        </w:tcPr>
        <w:p w14:paraId="628FD5DD" w14:textId="77777777" w:rsidR="008A0152" w:rsidRPr="00DA23BA" w:rsidRDefault="008A0152" w:rsidP="005B01F3">
          <w:pPr>
            <w:jc w:val="center"/>
            <w:rPr>
              <w:rFonts w:ascii="Arial" w:hAnsi="Arial" w:cs="Arial"/>
              <w:color w:val="000000"/>
              <w:sz w:val="15"/>
              <w:szCs w:val="15"/>
              <w:lang w:val="en-US" w:eastAsia="es-AR"/>
            </w:rPr>
          </w:pPr>
        </w:p>
      </w:tc>
    </w:tr>
    <w:tr w:rsidR="008A0152" w:rsidRPr="00635684" w14:paraId="121C7D0C" w14:textId="77777777" w:rsidTr="00A316B5">
      <w:trPr>
        <w:trHeight w:val="180"/>
      </w:trPr>
      <w:tc>
        <w:tcPr>
          <w:tcW w:w="1483" w:type="pct"/>
          <w:tcBorders>
            <w:top w:val="nil"/>
            <w:left w:val="nil"/>
            <w:bottom w:val="nil"/>
            <w:right w:val="nil"/>
          </w:tcBorders>
          <w:shd w:val="clear" w:color="auto" w:fill="auto"/>
          <w:noWrap/>
          <w:vAlign w:val="bottom"/>
        </w:tcPr>
        <w:p w14:paraId="510535C6" w14:textId="77777777" w:rsidR="008A0152" w:rsidRPr="00DA23BA" w:rsidRDefault="008A0152" w:rsidP="005B01F3">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4FECBBD4" w14:textId="77777777" w:rsidR="008A0152" w:rsidRPr="008A6403" w:rsidRDefault="008A0152" w:rsidP="00B51CA4">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47EE981F" w14:textId="77777777" w:rsidR="008A0152" w:rsidRPr="008A6403" w:rsidRDefault="008A0152" w:rsidP="00B51CA4">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274EAA84" w14:textId="77777777" w:rsidR="008A0152" w:rsidRPr="008A6403" w:rsidRDefault="008A0152" w:rsidP="00B51CA4">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0FF047D9" w14:textId="77777777" w:rsidR="008A0152" w:rsidRPr="00DA23BA" w:rsidRDefault="008A0152" w:rsidP="005B01F3">
          <w:pPr>
            <w:ind w:left="352" w:hanging="352"/>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100104A9" w14:textId="77777777" w:rsidR="008A0152" w:rsidRPr="00DA23BA" w:rsidRDefault="008A0152" w:rsidP="005B01F3">
          <w:pPr>
            <w:jc w:val="center"/>
            <w:rPr>
              <w:rFonts w:ascii="Arial" w:hAnsi="Arial" w:cs="Arial"/>
              <w:color w:val="000000"/>
              <w:sz w:val="15"/>
              <w:szCs w:val="15"/>
              <w:lang w:val="en-US" w:eastAsia="es-AR"/>
            </w:rPr>
          </w:pPr>
        </w:p>
      </w:tc>
    </w:tr>
    <w:tr w:rsidR="008A0152" w:rsidRPr="00635684" w14:paraId="4777A978" w14:textId="77777777" w:rsidTr="005B01F3">
      <w:trPr>
        <w:trHeight w:val="180"/>
      </w:trPr>
      <w:tc>
        <w:tcPr>
          <w:tcW w:w="1483" w:type="pct"/>
          <w:tcBorders>
            <w:top w:val="nil"/>
            <w:left w:val="nil"/>
            <w:bottom w:val="nil"/>
            <w:right w:val="nil"/>
          </w:tcBorders>
          <w:shd w:val="clear" w:color="auto" w:fill="auto"/>
          <w:noWrap/>
          <w:vAlign w:val="bottom"/>
        </w:tcPr>
        <w:p w14:paraId="69F5EAEE" w14:textId="77777777" w:rsidR="008A0152" w:rsidRPr="00DA23BA" w:rsidRDefault="008A0152" w:rsidP="005B01F3">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1A42A7CC" w14:textId="77777777" w:rsidR="008A0152" w:rsidRPr="008A6403" w:rsidRDefault="008A0152" w:rsidP="00B51CA4">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0A2BEFD7" w14:textId="77777777" w:rsidR="008A0152" w:rsidRPr="008A6403" w:rsidRDefault="008A0152" w:rsidP="00B51CA4">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529CBD75" w14:textId="77777777" w:rsidR="008A0152" w:rsidRPr="008A6403" w:rsidRDefault="008A0152" w:rsidP="00B51CA4">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621D0DBD" w14:textId="77777777" w:rsidR="008A0152" w:rsidRPr="00DA23BA" w:rsidRDefault="008A0152" w:rsidP="005B01F3">
          <w:pPr>
            <w:ind w:left="498" w:hanging="498"/>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0FA4FC81" w14:textId="77777777" w:rsidR="008A0152" w:rsidRPr="00DA23BA" w:rsidRDefault="008A0152" w:rsidP="005B01F3">
          <w:pPr>
            <w:jc w:val="center"/>
            <w:rPr>
              <w:rFonts w:ascii="Arial" w:hAnsi="Arial" w:cs="Arial"/>
              <w:color w:val="000000"/>
              <w:sz w:val="15"/>
              <w:szCs w:val="15"/>
              <w:lang w:val="en-US" w:eastAsia="es-AR"/>
            </w:rPr>
          </w:pPr>
        </w:p>
      </w:tc>
    </w:tr>
    <w:tr w:rsidR="008A0152" w:rsidRPr="00DA23BA" w14:paraId="674AADDC" w14:textId="77777777" w:rsidTr="00A316B5">
      <w:trPr>
        <w:trHeight w:val="180"/>
      </w:trPr>
      <w:tc>
        <w:tcPr>
          <w:tcW w:w="1483" w:type="pct"/>
          <w:tcBorders>
            <w:top w:val="nil"/>
            <w:left w:val="nil"/>
            <w:bottom w:val="nil"/>
            <w:right w:val="nil"/>
          </w:tcBorders>
          <w:shd w:val="clear" w:color="auto" w:fill="auto"/>
          <w:noWrap/>
          <w:vAlign w:val="bottom"/>
        </w:tcPr>
        <w:p w14:paraId="54AD3ACE" w14:textId="77777777" w:rsidR="008A0152" w:rsidRPr="00DA23BA" w:rsidRDefault="008A0152" w:rsidP="005B01F3">
          <w:pPr>
            <w:jc w:val="center"/>
            <w:rPr>
              <w:rFonts w:ascii="Arial" w:hAnsi="Arial" w:cs="Arial"/>
              <w:sz w:val="15"/>
              <w:szCs w:val="15"/>
              <w:lang w:val="en-US" w:eastAsia="es-AR"/>
            </w:rPr>
          </w:pPr>
        </w:p>
      </w:tc>
      <w:tc>
        <w:tcPr>
          <w:tcW w:w="576" w:type="pct"/>
          <w:tcBorders>
            <w:top w:val="nil"/>
            <w:left w:val="nil"/>
            <w:bottom w:val="nil"/>
            <w:right w:val="nil"/>
          </w:tcBorders>
          <w:shd w:val="clear" w:color="auto" w:fill="auto"/>
          <w:noWrap/>
          <w:vAlign w:val="bottom"/>
        </w:tcPr>
        <w:p w14:paraId="14B5E55A" w14:textId="77777777" w:rsidR="008A0152" w:rsidRPr="00DA23BA" w:rsidRDefault="008A0152" w:rsidP="00B51CA4">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212C727B" w14:textId="77777777" w:rsidR="008A0152" w:rsidRPr="00DA23BA" w:rsidRDefault="008A0152" w:rsidP="00B51CA4">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4130A8C8" w14:textId="77777777" w:rsidR="008A0152" w:rsidRPr="00DA23BA" w:rsidRDefault="008A0152" w:rsidP="00B51CA4">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02C7E12B" w14:textId="77777777" w:rsidR="008A0152" w:rsidRPr="00DA23BA" w:rsidRDefault="008A0152" w:rsidP="005B01F3">
          <w:pPr>
            <w:jc w:val="center"/>
            <w:rPr>
              <w:rFonts w:ascii="Arial" w:hAnsi="Arial" w:cs="Arial"/>
              <w:sz w:val="15"/>
              <w:szCs w:val="15"/>
              <w:lang w:val="en-US" w:eastAsia="es-AR"/>
            </w:rPr>
          </w:pPr>
        </w:p>
      </w:tc>
      <w:tc>
        <w:tcPr>
          <w:tcW w:w="326" w:type="pct"/>
          <w:tcBorders>
            <w:top w:val="nil"/>
            <w:left w:val="nil"/>
            <w:bottom w:val="nil"/>
            <w:right w:val="nil"/>
          </w:tcBorders>
          <w:shd w:val="clear" w:color="auto" w:fill="auto"/>
          <w:noWrap/>
          <w:vAlign w:val="bottom"/>
        </w:tcPr>
        <w:p w14:paraId="4915E04C"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(Socio)</w:t>
          </w:r>
        </w:p>
      </w:tc>
    </w:tr>
    <w:tr w:rsidR="008A0152" w:rsidRPr="00000EDD" w14:paraId="4E70F26B" w14:textId="77777777" w:rsidTr="00A316B5">
      <w:trPr>
        <w:trHeight w:val="180"/>
      </w:trPr>
      <w:tc>
        <w:tcPr>
          <w:tcW w:w="1483" w:type="pct"/>
          <w:tcBorders>
            <w:top w:val="nil"/>
            <w:left w:val="nil"/>
            <w:bottom w:val="nil"/>
            <w:right w:val="nil"/>
          </w:tcBorders>
          <w:shd w:val="clear" w:color="auto" w:fill="auto"/>
          <w:noWrap/>
          <w:vAlign w:val="bottom"/>
        </w:tcPr>
        <w:p w14:paraId="36FCB121"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Enrique José Barreiro</w:t>
          </w:r>
        </w:p>
      </w:tc>
      <w:tc>
        <w:tcPr>
          <w:tcW w:w="576" w:type="pct"/>
          <w:tcBorders>
            <w:top w:val="nil"/>
            <w:left w:val="nil"/>
            <w:bottom w:val="nil"/>
            <w:right w:val="nil"/>
          </w:tcBorders>
          <w:shd w:val="clear" w:color="auto" w:fill="auto"/>
          <w:noWrap/>
          <w:vAlign w:val="bottom"/>
        </w:tcPr>
        <w:p w14:paraId="17242186" w14:textId="77777777" w:rsidR="008A0152" w:rsidRPr="00DA23BA" w:rsidRDefault="008A0152" w:rsidP="00B51CA4">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6026BFAF" w14:textId="77777777" w:rsidR="008A0152" w:rsidRPr="00DA23BA" w:rsidRDefault="008A0152" w:rsidP="00B51CA4">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49948AA5" w14:textId="77777777" w:rsidR="008A0152" w:rsidRPr="00DA23BA" w:rsidRDefault="008A0152" w:rsidP="00B51CA4">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6297AF43" w14:textId="77777777" w:rsidR="008A0152" w:rsidRPr="00000EDD" w:rsidRDefault="008A0152" w:rsidP="005B01F3">
          <w:pPr>
            <w:jc w:val="center"/>
            <w:rPr>
              <w:rFonts w:ascii="Arial" w:hAnsi="Arial" w:cs="Arial"/>
              <w:color w:val="FF0000"/>
              <w:sz w:val="15"/>
              <w:szCs w:val="15"/>
              <w:lang w:val="en-US" w:eastAsia="es-AR"/>
            </w:rPr>
          </w:pPr>
        </w:p>
      </w:tc>
      <w:tc>
        <w:tcPr>
          <w:tcW w:w="326" w:type="pct"/>
          <w:tcBorders>
            <w:top w:val="nil"/>
            <w:left w:val="nil"/>
            <w:bottom w:val="nil"/>
            <w:right w:val="nil"/>
          </w:tcBorders>
          <w:shd w:val="clear" w:color="auto" w:fill="auto"/>
          <w:noWrap/>
          <w:vAlign w:val="bottom"/>
        </w:tcPr>
        <w:p w14:paraId="702B7694" w14:textId="77777777" w:rsidR="008A0152" w:rsidRPr="00000EDD" w:rsidRDefault="008A0152" w:rsidP="005B01F3">
          <w:pPr>
            <w:jc w:val="center"/>
            <w:rPr>
              <w:rFonts w:ascii="Arial" w:hAnsi="Arial" w:cs="Arial"/>
              <w:color w:val="FF0000"/>
              <w:sz w:val="15"/>
              <w:szCs w:val="15"/>
              <w:lang w:val="en-US" w:eastAsia="es-AR"/>
            </w:rPr>
          </w:pPr>
        </w:p>
      </w:tc>
    </w:tr>
    <w:tr w:rsidR="008A0152" w:rsidRPr="00000EDD" w14:paraId="5A2FDA47" w14:textId="77777777" w:rsidTr="00A316B5">
      <w:trPr>
        <w:trHeight w:val="180"/>
      </w:trPr>
      <w:tc>
        <w:tcPr>
          <w:tcW w:w="1483" w:type="pct"/>
          <w:tcBorders>
            <w:top w:val="nil"/>
            <w:left w:val="nil"/>
            <w:bottom w:val="nil"/>
            <w:right w:val="nil"/>
          </w:tcBorders>
          <w:shd w:val="clear" w:color="auto" w:fill="auto"/>
          <w:noWrap/>
          <w:vAlign w:val="bottom"/>
        </w:tcPr>
        <w:p w14:paraId="5E10C704"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Síndico</w:t>
          </w:r>
        </w:p>
      </w:tc>
      <w:tc>
        <w:tcPr>
          <w:tcW w:w="576" w:type="pct"/>
          <w:tcBorders>
            <w:top w:val="nil"/>
            <w:left w:val="nil"/>
            <w:bottom w:val="nil"/>
            <w:right w:val="nil"/>
          </w:tcBorders>
          <w:shd w:val="clear" w:color="auto" w:fill="auto"/>
          <w:noWrap/>
          <w:vAlign w:val="bottom"/>
        </w:tcPr>
        <w:p w14:paraId="44AFBD9E" w14:textId="77777777" w:rsidR="008A0152" w:rsidRPr="00DA23BA" w:rsidRDefault="008A0152" w:rsidP="00B51CA4">
          <w:pPr>
            <w:jc w:val="center"/>
            <w:rPr>
              <w:rFonts w:ascii="Arial" w:hAnsi="Arial" w:cs="Arial"/>
              <w:sz w:val="15"/>
              <w:szCs w:val="15"/>
              <w:lang w:val="en-US" w:eastAsia="es-AR"/>
            </w:rPr>
          </w:pPr>
        </w:p>
      </w:tc>
      <w:tc>
        <w:tcPr>
          <w:tcW w:w="816" w:type="pct"/>
          <w:tcBorders>
            <w:top w:val="nil"/>
            <w:left w:val="nil"/>
            <w:bottom w:val="nil"/>
            <w:right w:val="nil"/>
          </w:tcBorders>
          <w:shd w:val="clear" w:color="auto" w:fill="auto"/>
          <w:noWrap/>
          <w:vAlign w:val="bottom"/>
        </w:tcPr>
        <w:p w14:paraId="250A3615" w14:textId="77777777" w:rsidR="008A0152" w:rsidRPr="00DA23BA" w:rsidRDefault="008A0152" w:rsidP="00B51CA4">
          <w:pPr>
            <w:jc w:val="center"/>
            <w:rPr>
              <w:rFonts w:ascii="Arial" w:hAnsi="Arial" w:cs="Arial"/>
              <w:sz w:val="15"/>
              <w:szCs w:val="15"/>
              <w:lang w:val="en-US" w:eastAsia="es-AR"/>
            </w:rPr>
          </w:pPr>
        </w:p>
      </w:tc>
      <w:tc>
        <w:tcPr>
          <w:tcW w:w="377" w:type="pct"/>
          <w:tcBorders>
            <w:top w:val="nil"/>
            <w:left w:val="nil"/>
            <w:bottom w:val="nil"/>
            <w:right w:val="nil"/>
          </w:tcBorders>
          <w:shd w:val="clear" w:color="auto" w:fill="auto"/>
          <w:noWrap/>
          <w:vAlign w:val="bottom"/>
        </w:tcPr>
        <w:p w14:paraId="13C99BBF" w14:textId="77777777" w:rsidR="008A0152" w:rsidRPr="00DA23BA" w:rsidRDefault="008A0152" w:rsidP="00B51CA4">
          <w:pPr>
            <w:jc w:val="center"/>
            <w:rPr>
              <w:rFonts w:ascii="Arial" w:hAnsi="Arial" w:cs="Arial"/>
              <w:sz w:val="15"/>
              <w:szCs w:val="15"/>
              <w:lang w:val="en-US" w:eastAsia="es-AR"/>
            </w:rPr>
          </w:pPr>
        </w:p>
      </w:tc>
      <w:tc>
        <w:tcPr>
          <w:tcW w:w="1422" w:type="pct"/>
          <w:tcBorders>
            <w:top w:val="nil"/>
            <w:left w:val="nil"/>
            <w:bottom w:val="nil"/>
            <w:right w:val="nil"/>
          </w:tcBorders>
          <w:shd w:val="clear" w:color="auto" w:fill="auto"/>
          <w:noWrap/>
          <w:vAlign w:val="bottom"/>
        </w:tcPr>
        <w:p w14:paraId="3868B93E" w14:textId="77777777" w:rsidR="008A0152" w:rsidRPr="002530BD" w:rsidRDefault="008A0152" w:rsidP="005B01F3">
          <w:pPr>
            <w:jc w:val="center"/>
            <w:rPr>
              <w:rFonts w:ascii="Arial" w:hAnsi="Arial" w:cs="Arial"/>
              <w:sz w:val="15"/>
              <w:szCs w:val="15"/>
              <w:lang w:eastAsia="es-AR"/>
            </w:rPr>
          </w:pPr>
          <w:r w:rsidRPr="00C9122B">
            <w:rPr>
              <w:rFonts w:ascii="Arial" w:hAnsi="Arial" w:cs="Arial"/>
              <w:sz w:val="15"/>
              <w:szCs w:val="15"/>
              <w:lang w:val="en-US" w:eastAsia="es-AR"/>
            </w:rPr>
            <w:t>Dr. Sebastián Morazzo</w:t>
          </w:r>
        </w:p>
      </w:tc>
      <w:tc>
        <w:tcPr>
          <w:tcW w:w="326" w:type="pct"/>
          <w:tcBorders>
            <w:top w:val="nil"/>
            <w:left w:val="nil"/>
            <w:bottom w:val="nil"/>
            <w:right w:val="nil"/>
          </w:tcBorders>
          <w:shd w:val="clear" w:color="auto" w:fill="auto"/>
          <w:noWrap/>
          <w:vAlign w:val="bottom"/>
        </w:tcPr>
        <w:p w14:paraId="2497449C" w14:textId="77777777" w:rsidR="008A0152" w:rsidRPr="00000EDD" w:rsidRDefault="008A0152" w:rsidP="005B01F3">
          <w:pPr>
            <w:jc w:val="center"/>
            <w:rPr>
              <w:rFonts w:ascii="Arial" w:hAnsi="Arial" w:cs="Arial"/>
              <w:color w:val="FF0000"/>
              <w:sz w:val="15"/>
              <w:szCs w:val="15"/>
              <w:lang w:eastAsia="es-AR"/>
            </w:rPr>
          </w:pPr>
        </w:p>
      </w:tc>
    </w:tr>
    <w:tr w:rsidR="008A0152" w:rsidRPr="00707D83" w14:paraId="2311A149" w14:textId="77777777" w:rsidTr="00A316B5">
      <w:trPr>
        <w:trHeight w:val="180"/>
      </w:trPr>
      <w:tc>
        <w:tcPr>
          <w:tcW w:w="1483" w:type="pct"/>
          <w:tcBorders>
            <w:top w:val="nil"/>
            <w:left w:val="nil"/>
            <w:bottom w:val="nil"/>
            <w:right w:val="nil"/>
          </w:tcBorders>
          <w:shd w:val="clear" w:color="auto" w:fill="auto"/>
          <w:noWrap/>
          <w:vAlign w:val="bottom"/>
        </w:tcPr>
        <w:p w14:paraId="78D5CC2D"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Contador Público (U.N.L.Z)</w:t>
          </w:r>
        </w:p>
      </w:tc>
      <w:tc>
        <w:tcPr>
          <w:tcW w:w="576" w:type="pct"/>
          <w:tcBorders>
            <w:top w:val="nil"/>
            <w:left w:val="nil"/>
            <w:bottom w:val="nil"/>
            <w:right w:val="nil"/>
          </w:tcBorders>
          <w:shd w:val="clear" w:color="auto" w:fill="auto"/>
          <w:noWrap/>
          <w:vAlign w:val="bottom"/>
        </w:tcPr>
        <w:p w14:paraId="3D06DA40"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4AEFA57D"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66AC76E3"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0159D170" w14:textId="77777777" w:rsidR="008A0152" w:rsidRPr="002530BD" w:rsidRDefault="008A0152" w:rsidP="005B01F3">
          <w:pPr>
            <w:jc w:val="center"/>
            <w:rPr>
              <w:rFonts w:ascii="Arial" w:hAnsi="Arial" w:cs="Arial"/>
              <w:sz w:val="15"/>
              <w:szCs w:val="15"/>
              <w:lang w:eastAsia="es-AR"/>
            </w:rPr>
          </w:pPr>
          <w:r w:rsidRPr="00C9122B">
            <w:rPr>
              <w:rFonts w:ascii="Arial" w:hAnsi="Arial" w:cs="Arial"/>
              <w:sz w:val="15"/>
              <w:szCs w:val="15"/>
              <w:lang w:eastAsia="es-AR"/>
            </w:rPr>
            <w:t>Contador Público (U.M.)</w:t>
          </w:r>
        </w:p>
      </w:tc>
      <w:tc>
        <w:tcPr>
          <w:tcW w:w="326" w:type="pct"/>
          <w:tcBorders>
            <w:top w:val="nil"/>
            <w:left w:val="nil"/>
            <w:bottom w:val="nil"/>
            <w:right w:val="nil"/>
          </w:tcBorders>
          <w:shd w:val="clear" w:color="auto" w:fill="auto"/>
          <w:noWrap/>
          <w:vAlign w:val="bottom"/>
        </w:tcPr>
        <w:p w14:paraId="6DC46989" w14:textId="77777777" w:rsidR="008A0152" w:rsidRPr="00000EDD" w:rsidRDefault="008A0152" w:rsidP="005B01F3">
          <w:pPr>
            <w:jc w:val="center"/>
            <w:rPr>
              <w:rFonts w:ascii="Arial" w:hAnsi="Arial" w:cs="Arial"/>
              <w:color w:val="FF0000"/>
              <w:sz w:val="15"/>
              <w:szCs w:val="15"/>
              <w:lang w:eastAsia="es-AR"/>
            </w:rPr>
          </w:pPr>
        </w:p>
      </w:tc>
    </w:tr>
    <w:tr w:rsidR="008A0152" w:rsidRPr="00707D83" w14:paraId="54472CC4" w14:textId="77777777" w:rsidTr="00A316B5">
      <w:trPr>
        <w:trHeight w:val="180"/>
      </w:trPr>
      <w:tc>
        <w:tcPr>
          <w:tcW w:w="1483" w:type="pct"/>
          <w:tcBorders>
            <w:top w:val="nil"/>
            <w:left w:val="nil"/>
            <w:bottom w:val="nil"/>
            <w:right w:val="nil"/>
          </w:tcBorders>
          <w:shd w:val="clear" w:color="auto" w:fill="auto"/>
          <w:noWrap/>
          <w:vAlign w:val="bottom"/>
        </w:tcPr>
        <w:p w14:paraId="76653DEA" w14:textId="77777777" w:rsidR="008A0152" w:rsidRPr="00DA23BA" w:rsidRDefault="008A0152" w:rsidP="005B01F3">
          <w:pPr>
            <w:jc w:val="center"/>
            <w:rPr>
              <w:rFonts w:ascii="Arial" w:hAnsi="Arial" w:cs="Arial"/>
              <w:sz w:val="15"/>
              <w:szCs w:val="15"/>
              <w:lang w:eastAsia="es-AR"/>
            </w:rPr>
          </w:pPr>
          <w:r w:rsidRPr="00DA23BA">
            <w:rPr>
              <w:rFonts w:ascii="Arial" w:hAnsi="Arial" w:cs="Arial"/>
              <w:sz w:val="15"/>
              <w:szCs w:val="15"/>
              <w:lang w:eastAsia="es-AR"/>
            </w:rPr>
            <w:t>C.P.C.E.C.A.B.A. T°</w:t>
          </w:r>
          <w:r>
            <w:rPr>
              <w:rFonts w:ascii="Arial" w:hAnsi="Arial" w:cs="Arial"/>
              <w:sz w:val="15"/>
              <w:szCs w:val="15"/>
              <w:lang w:eastAsia="es-AR"/>
            </w:rPr>
            <w:t>108 -</w:t>
          </w:r>
          <w:r w:rsidRPr="00DA23BA">
            <w:rPr>
              <w:rFonts w:ascii="Arial" w:hAnsi="Arial" w:cs="Arial"/>
              <w:sz w:val="15"/>
              <w:szCs w:val="15"/>
              <w:lang w:eastAsia="es-AR"/>
            </w:rPr>
            <w:t>F° 233</w:t>
          </w:r>
        </w:p>
      </w:tc>
      <w:tc>
        <w:tcPr>
          <w:tcW w:w="576" w:type="pct"/>
          <w:tcBorders>
            <w:top w:val="nil"/>
            <w:left w:val="nil"/>
            <w:bottom w:val="nil"/>
            <w:right w:val="nil"/>
          </w:tcBorders>
          <w:shd w:val="clear" w:color="auto" w:fill="auto"/>
          <w:noWrap/>
          <w:vAlign w:val="bottom"/>
        </w:tcPr>
        <w:p w14:paraId="25053664"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540461E2"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472C06D9"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7F0F944F" w14:textId="77777777" w:rsidR="008A0152" w:rsidRPr="002530BD" w:rsidRDefault="008A0152" w:rsidP="005B01F3">
          <w:pPr>
            <w:jc w:val="center"/>
            <w:rPr>
              <w:rFonts w:ascii="Arial" w:hAnsi="Arial" w:cs="Arial"/>
              <w:sz w:val="15"/>
              <w:szCs w:val="15"/>
              <w:lang w:eastAsia="es-AR"/>
            </w:rPr>
          </w:pPr>
          <w:r w:rsidRPr="00C9122B">
            <w:rPr>
              <w:rFonts w:ascii="Arial" w:hAnsi="Arial" w:cs="Arial"/>
              <w:sz w:val="15"/>
              <w:szCs w:val="15"/>
              <w:lang w:eastAsia="es-AR"/>
            </w:rPr>
            <w:t>C.P.C.E.C.A.B.A.  T° 347  F° 159</w:t>
          </w:r>
        </w:p>
      </w:tc>
      <w:tc>
        <w:tcPr>
          <w:tcW w:w="326" w:type="pct"/>
          <w:tcBorders>
            <w:top w:val="nil"/>
            <w:left w:val="nil"/>
            <w:bottom w:val="nil"/>
            <w:right w:val="nil"/>
          </w:tcBorders>
          <w:shd w:val="clear" w:color="auto" w:fill="auto"/>
          <w:noWrap/>
          <w:vAlign w:val="bottom"/>
        </w:tcPr>
        <w:p w14:paraId="13B9A6F8" w14:textId="77777777" w:rsidR="008A0152" w:rsidRPr="00000EDD" w:rsidRDefault="008A0152" w:rsidP="005B01F3">
          <w:pPr>
            <w:jc w:val="center"/>
            <w:rPr>
              <w:rFonts w:ascii="Arial" w:hAnsi="Arial" w:cs="Arial"/>
              <w:color w:val="FF0000"/>
              <w:sz w:val="15"/>
              <w:szCs w:val="15"/>
              <w:lang w:eastAsia="es-AR"/>
            </w:rPr>
          </w:pPr>
        </w:p>
      </w:tc>
    </w:tr>
    <w:tr w:rsidR="008A0152" w:rsidRPr="00707D83" w14:paraId="16339D28" w14:textId="77777777" w:rsidTr="00A316B5">
      <w:trPr>
        <w:trHeight w:val="180"/>
      </w:trPr>
      <w:tc>
        <w:tcPr>
          <w:tcW w:w="1483" w:type="pct"/>
          <w:tcBorders>
            <w:top w:val="nil"/>
            <w:left w:val="nil"/>
            <w:bottom w:val="nil"/>
            <w:right w:val="nil"/>
          </w:tcBorders>
          <w:shd w:val="clear" w:color="auto" w:fill="auto"/>
          <w:noWrap/>
          <w:vAlign w:val="bottom"/>
        </w:tcPr>
        <w:p w14:paraId="498D4FA4" w14:textId="77777777" w:rsidR="008A0152" w:rsidRPr="00DA23BA" w:rsidRDefault="008A0152" w:rsidP="00B51CA4">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4D352AC2"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0BB628B3" w14:textId="77777777" w:rsidR="008A0152" w:rsidRPr="00DA23BA" w:rsidRDefault="008A0152" w:rsidP="00B51CA4">
          <w:pPr>
            <w:jc w:val="center"/>
            <w:rPr>
              <w:rFonts w:ascii="Arial" w:hAnsi="Arial" w:cs="Arial"/>
              <w:sz w:val="15"/>
              <w:szCs w:val="15"/>
              <w:lang w:eastAsia="es-AR"/>
            </w:rPr>
          </w:pPr>
        </w:p>
      </w:tc>
      <w:tc>
        <w:tcPr>
          <w:tcW w:w="377" w:type="pct"/>
          <w:tcBorders>
            <w:top w:val="nil"/>
            <w:left w:val="nil"/>
            <w:bottom w:val="nil"/>
            <w:right w:val="nil"/>
          </w:tcBorders>
          <w:shd w:val="clear" w:color="auto" w:fill="auto"/>
          <w:noWrap/>
          <w:vAlign w:val="bottom"/>
        </w:tcPr>
        <w:p w14:paraId="664414CC"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CDEB1AC" w14:textId="77777777" w:rsidR="008A0152" w:rsidRPr="00000EDD" w:rsidRDefault="008A0152" w:rsidP="00B51CA4">
          <w:pPr>
            <w:jc w:val="center"/>
            <w:rPr>
              <w:rFonts w:ascii="Arial" w:hAnsi="Arial" w:cs="Arial"/>
              <w:color w:val="FF0000"/>
              <w:sz w:val="15"/>
              <w:szCs w:val="15"/>
              <w:lang w:eastAsia="es-AR"/>
            </w:rPr>
          </w:pPr>
        </w:p>
      </w:tc>
      <w:tc>
        <w:tcPr>
          <w:tcW w:w="326" w:type="pct"/>
          <w:tcBorders>
            <w:top w:val="nil"/>
            <w:left w:val="nil"/>
            <w:bottom w:val="nil"/>
            <w:right w:val="nil"/>
          </w:tcBorders>
          <w:shd w:val="clear" w:color="auto" w:fill="auto"/>
          <w:noWrap/>
          <w:vAlign w:val="bottom"/>
        </w:tcPr>
        <w:p w14:paraId="6652EBF9" w14:textId="77777777" w:rsidR="008A0152" w:rsidRPr="00000EDD" w:rsidRDefault="008A0152" w:rsidP="00B51CA4">
          <w:pPr>
            <w:jc w:val="center"/>
            <w:rPr>
              <w:rFonts w:ascii="Arial" w:hAnsi="Arial" w:cs="Arial"/>
              <w:color w:val="FF0000"/>
              <w:sz w:val="15"/>
              <w:szCs w:val="15"/>
              <w:lang w:eastAsia="es-AR"/>
            </w:rPr>
          </w:pPr>
        </w:p>
      </w:tc>
    </w:tr>
    <w:tr w:rsidR="008A0152" w:rsidRPr="002648BD" w14:paraId="18C2E544" w14:textId="77777777" w:rsidTr="00A316B5">
      <w:trPr>
        <w:trHeight w:val="180"/>
      </w:trPr>
      <w:tc>
        <w:tcPr>
          <w:tcW w:w="1483" w:type="pct"/>
          <w:tcBorders>
            <w:top w:val="nil"/>
            <w:left w:val="nil"/>
            <w:bottom w:val="nil"/>
            <w:right w:val="nil"/>
          </w:tcBorders>
          <w:shd w:val="clear" w:color="auto" w:fill="auto"/>
          <w:noWrap/>
          <w:vAlign w:val="bottom"/>
        </w:tcPr>
        <w:p w14:paraId="5520B802" w14:textId="77777777" w:rsidR="008A0152" w:rsidRPr="00DA23BA" w:rsidRDefault="008A0152" w:rsidP="00B51CA4">
          <w:pPr>
            <w:jc w:val="center"/>
            <w:rPr>
              <w:rFonts w:ascii="Arial" w:hAnsi="Arial" w:cs="Arial"/>
              <w:sz w:val="15"/>
              <w:szCs w:val="15"/>
              <w:lang w:eastAsia="es-AR"/>
            </w:rPr>
          </w:pPr>
        </w:p>
      </w:tc>
      <w:tc>
        <w:tcPr>
          <w:tcW w:w="576" w:type="pct"/>
          <w:tcBorders>
            <w:top w:val="nil"/>
            <w:left w:val="nil"/>
            <w:bottom w:val="nil"/>
            <w:right w:val="nil"/>
          </w:tcBorders>
          <w:shd w:val="clear" w:color="auto" w:fill="auto"/>
          <w:noWrap/>
          <w:vAlign w:val="bottom"/>
        </w:tcPr>
        <w:p w14:paraId="63401292" w14:textId="77777777" w:rsidR="008A0152" w:rsidRPr="00DA23BA" w:rsidRDefault="008A0152" w:rsidP="00B51CA4">
          <w:pPr>
            <w:jc w:val="center"/>
            <w:rPr>
              <w:rFonts w:ascii="Arial" w:hAnsi="Arial" w:cs="Arial"/>
              <w:sz w:val="15"/>
              <w:szCs w:val="15"/>
              <w:lang w:eastAsia="es-AR"/>
            </w:rPr>
          </w:pPr>
        </w:p>
      </w:tc>
      <w:tc>
        <w:tcPr>
          <w:tcW w:w="816" w:type="pct"/>
          <w:tcBorders>
            <w:top w:val="nil"/>
            <w:left w:val="nil"/>
            <w:bottom w:val="nil"/>
            <w:right w:val="nil"/>
          </w:tcBorders>
          <w:shd w:val="clear" w:color="auto" w:fill="auto"/>
          <w:noWrap/>
          <w:vAlign w:val="bottom"/>
        </w:tcPr>
        <w:p w14:paraId="2C154FD2" w14:textId="6131D2CD" w:rsidR="008A0152" w:rsidRPr="00DA23BA" w:rsidRDefault="008A0152" w:rsidP="00B51CA4">
          <w:pPr>
            <w:jc w:val="center"/>
            <w:rPr>
              <w:rFonts w:ascii="Arial" w:hAnsi="Arial" w:cs="Arial"/>
              <w:sz w:val="15"/>
              <w:szCs w:val="15"/>
              <w:lang w:eastAsia="es-AR"/>
            </w:rPr>
          </w:pPr>
          <w:r>
            <w:rPr>
              <w:rFonts w:ascii="Arial" w:hAnsi="Arial" w:cs="Arial"/>
              <w:sz w:val="15"/>
              <w:szCs w:val="15"/>
              <w:lang w:eastAsia="es-AR"/>
            </w:rPr>
            <w:t xml:space="preserve">- </w:t>
          </w:r>
          <w:r w:rsidRPr="00A76E3D">
            <w:rPr>
              <w:rFonts w:ascii="Arial" w:hAnsi="Arial" w:cs="Arial"/>
              <w:sz w:val="15"/>
              <w:szCs w:val="15"/>
              <w:lang w:eastAsia="es-AR"/>
            </w:rPr>
            <w:fldChar w:fldCharType="begin"/>
          </w:r>
          <w:r w:rsidRPr="00A76E3D">
            <w:rPr>
              <w:rFonts w:ascii="Arial" w:hAnsi="Arial" w:cs="Arial"/>
              <w:sz w:val="15"/>
              <w:szCs w:val="15"/>
              <w:lang w:eastAsia="es-AR"/>
            </w:rPr>
            <w:instrText xml:space="preserve"> PAGE   \* MERGEFORMAT </w:instrText>
          </w:r>
          <w:r w:rsidRPr="00A76E3D">
            <w:rPr>
              <w:rFonts w:ascii="Arial" w:hAnsi="Arial" w:cs="Arial"/>
              <w:sz w:val="15"/>
              <w:szCs w:val="15"/>
              <w:lang w:eastAsia="es-AR"/>
            </w:rPr>
            <w:fldChar w:fldCharType="separate"/>
          </w:r>
          <w:r w:rsidR="00635684">
            <w:rPr>
              <w:rFonts w:ascii="Arial" w:hAnsi="Arial" w:cs="Arial"/>
              <w:noProof/>
              <w:sz w:val="15"/>
              <w:szCs w:val="15"/>
              <w:lang w:eastAsia="es-AR"/>
            </w:rPr>
            <w:t>275</w:t>
          </w:r>
          <w:r w:rsidRPr="00A76E3D">
            <w:rPr>
              <w:rFonts w:ascii="Arial" w:hAnsi="Arial" w:cs="Arial"/>
              <w:sz w:val="15"/>
              <w:szCs w:val="15"/>
              <w:lang w:eastAsia="es-AR"/>
            </w:rPr>
            <w:fldChar w:fldCharType="end"/>
          </w:r>
          <w:r>
            <w:rPr>
              <w:rFonts w:ascii="Arial" w:hAnsi="Arial" w:cs="Arial"/>
              <w:sz w:val="15"/>
              <w:szCs w:val="15"/>
              <w:lang w:eastAsia="es-AR"/>
            </w:rPr>
            <w:t xml:space="preserve"> - </w:t>
          </w:r>
        </w:p>
      </w:tc>
      <w:tc>
        <w:tcPr>
          <w:tcW w:w="377" w:type="pct"/>
          <w:tcBorders>
            <w:top w:val="nil"/>
            <w:left w:val="nil"/>
            <w:bottom w:val="nil"/>
            <w:right w:val="nil"/>
          </w:tcBorders>
          <w:shd w:val="clear" w:color="auto" w:fill="auto"/>
          <w:noWrap/>
          <w:vAlign w:val="bottom"/>
        </w:tcPr>
        <w:p w14:paraId="48A3EA87" w14:textId="77777777" w:rsidR="008A0152" w:rsidRPr="00DA23BA" w:rsidRDefault="008A0152" w:rsidP="00B51CA4">
          <w:pPr>
            <w:jc w:val="center"/>
            <w:rPr>
              <w:rFonts w:ascii="Arial" w:hAnsi="Arial" w:cs="Arial"/>
              <w:sz w:val="15"/>
              <w:szCs w:val="15"/>
              <w:lang w:eastAsia="es-AR"/>
            </w:rPr>
          </w:pPr>
        </w:p>
      </w:tc>
      <w:tc>
        <w:tcPr>
          <w:tcW w:w="1422" w:type="pct"/>
          <w:tcBorders>
            <w:top w:val="nil"/>
            <w:left w:val="nil"/>
            <w:bottom w:val="nil"/>
            <w:right w:val="nil"/>
          </w:tcBorders>
          <w:shd w:val="clear" w:color="auto" w:fill="auto"/>
          <w:noWrap/>
          <w:vAlign w:val="bottom"/>
        </w:tcPr>
        <w:p w14:paraId="53692292" w14:textId="77777777" w:rsidR="008A0152" w:rsidRPr="00DA23BA" w:rsidRDefault="008A0152" w:rsidP="00B51CA4">
          <w:pPr>
            <w:jc w:val="center"/>
            <w:rPr>
              <w:rFonts w:ascii="Arial" w:hAnsi="Arial" w:cs="Arial"/>
              <w:sz w:val="15"/>
              <w:szCs w:val="15"/>
              <w:lang w:eastAsia="es-AR"/>
            </w:rPr>
          </w:pPr>
        </w:p>
      </w:tc>
      <w:tc>
        <w:tcPr>
          <w:tcW w:w="326" w:type="pct"/>
          <w:tcBorders>
            <w:top w:val="nil"/>
            <w:left w:val="nil"/>
            <w:bottom w:val="nil"/>
            <w:right w:val="nil"/>
          </w:tcBorders>
          <w:shd w:val="clear" w:color="auto" w:fill="auto"/>
          <w:noWrap/>
          <w:vAlign w:val="bottom"/>
        </w:tcPr>
        <w:p w14:paraId="0360199A" w14:textId="77777777" w:rsidR="008A0152" w:rsidRPr="00DA23BA" w:rsidRDefault="008A0152" w:rsidP="00B51CA4">
          <w:pPr>
            <w:jc w:val="center"/>
            <w:rPr>
              <w:rFonts w:ascii="Arial" w:hAnsi="Arial" w:cs="Arial"/>
              <w:color w:val="000000"/>
              <w:sz w:val="15"/>
              <w:szCs w:val="15"/>
              <w:lang w:eastAsia="es-AR"/>
            </w:rPr>
          </w:pPr>
        </w:p>
      </w:tc>
    </w:tr>
  </w:tbl>
  <w:p w14:paraId="07E21DA6" w14:textId="77777777" w:rsidR="008A0152" w:rsidRPr="00BA218C" w:rsidRDefault="008A0152" w:rsidP="00E05C63">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F972" w14:textId="77777777" w:rsidR="000C2EDB" w:rsidRDefault="00635684">
    <w:pPr>
      <w:pStyle w:val="Piedepgina"/>
    </w:pPr>
  </w:p>
  <w:p w14:paraId="71344169" w14:textId="77777777" w:rsidR="008751B4" w:rsidRDefault="00635684" w:rsidP="008751B4">
    <w:pPr>
      <w:pStyle w:val="DSLxStyl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3E9D4" w14:textId="77777777" w:rsidR="000C2EDB" w:rsidRDefault="00635684">
    <w:pPr>
      <w:pStyle w:val="Piedepgina"/>
    </w:pPr>
  </w:p>
  <w:p w14:paraId="2A7E2A88" w14:textId="77777777" w:rsidR="008751B4" w:rsidRDefault="00635684" w:rsidP="008751B4">
    <w:pPr>
      <w:pStyle w:val="DSLxStyl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76C5" w14:textId="77777777" w:rsidR="000C2EDB" w:rsidRDefault="00635684">
    <w:pPr>
      <w:pStyle w:val="Piedepgina"/>
    </w:pPr>
  </w:p>
  <w:p w14:paraId="10EB4461" w14:textId="77777777" w:rsidR="008751B4" w:rsidRDefault="00635684" w:rsidP="008751B4">
    <w:pPr>
      <w:pStyle w:val="DSLxStyl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07182" w14:textId="77777777" w:rsidR="000C2EDB" w:rsidRDefault="00635684">
    <w:pPr>
      <w:pStyle w:val="Piedepgina"/>
    </w:pPr>
  </w:p>
  <w:p w14:paraId="0BFF266D" w14:textId="77777777" w:rsidR="008751B4" w:rsidRDefault="00635684" w:rsidP="008751B4">
    <w:pPr>
      <w:pStyle w:val="DSLxStyl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CE3C1" w14:textId="77777777" w:rsidR="000C2EDB" w:rsidRDefault="00635684">
    <w:pPr>
      <w:pStyle w:val="Piedepgina"/>
    </w:pPr>
  </w:p>
  <w:p w14:paraId="773A48B7" w14:textId="77777777" w:rsidR="008751B4" w:rsidRDefault="00635684" w:rsidP="008751B4">
    <w:pPr>
      <w:pStyle w:val="DSLxStyl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BCB9" w14:textId="77777777" w:rsidR="000C2EDB" w:rsidRDefault="00635684">
    <w:pPr>
      <w:pStyle w:val="Piedepgina"/>
    </w:pPr>
  </w:p>
  <w:p w14:paraId="4EE4EB69" w14:textId="77777777" w:rsidR="008751B4" w:rsidRDefault="00635684" w:rsidP="008751B4">
    <w:pPr>
      <w:pStyle w:val="DSLxSty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C5F90" w14:textId="77777777" w:rsidR="008A0152" w:rsidRDefault="008A0152">
      <w:pPr>
        <w:rPr>
          <w:sz w:val="23"/>
          <w:szCs w:val="23"/>
        </w:rPr>
      </w:pPr>
      <w:r>
        <w:rPr>
          <w:sz w:val="23"/>
          <w:szCs w:val="23"/>
        </w:rPr>
        <w:separator/>
      </w:r>
    </w:p>
  </w:footnote>
  <w:footnote w:type="continuationSeparator" w:id="0">
    <w:p w14:paraId="738DAA18" w14:textId="77777777" w:rsidR="008A0152" w:rsidRDefault="008A0152">
      <w:pPr>
        <w:rPr>
          <w:sz w:val="23"/>
          <w:szCs w:val="23"/>
        </w:rPr>
      </w:pPr>
      <w:r>
        <w:rPr>
          <w:sz w:val="23"/>
          <w:szCs w:val="23"/>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FB16" w14:textId="77777777" w:rsidR="008A0152" w:rsidRDefault="008A0152" w:rsidP="00C80859">
    <w:pPr>
      <w:pStyle w:val="Encabezado"/>
      <w:jc w:val="right"/>
      <w:rPr>
        <w:rFonts w:ascii="Arial" w:hAnsi="Arial" w:cs="Arial"/>
        <w:sz w:val="20"/>
      </w:rPr>
    </w:pPr>
    <w:r w:rsidRPr="009042A8">
      <w:rPr>
        <w:rFonts w:ascii="Arial" w:hAnsi="Arial" w:cs="Arial"/>
        <w:noProof/>
        <w:sz w:val="20"/>
        <w:lang w:eastAsia="es-AR"/>
      </w:rPr>
      <w:drawing>
        <wp:inline distT="0" distB="0" distL="0" distR="0" wp14:anchorId="23C51B95" wp14:editId="5BBFDA80">
          <wp:extent cx="1027130" cy="452633"/>
          <wp:effectExtent l="19050" t="0" r="157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9E136C9" w14:textId="77777777" w:rsidR="008A0152" w:rsidRDefault="008A0152">
    <w:pPr>
      <w:pStyle w:val="Encabezado"/>
      <w:rPr>
        <w:rFonts w:ascii="Arial" w:hAnsi="Arial" w:cs="Arial"/>
        <w:sz w:val="20"/>
      </w:rPr>
    </w:pPr>
  </w:p>
  <w:p w14:paraId="5FFF94E9" w14:textId="77777777" w:rsidR="008A0152" w:rsidRDefault="008A0152">
    <w:pPr>
      <w:pStyle w:val="Encabezado"/>
      <w:rPr>
        <w:rFonts w:ascii="Arial" w:hAnsi="Arial" w:cs="Arial"/>
        <w:sz w:val="20"/>
      </w:rPr>
    </w:pPr>
  </w:p>
  <w:p w14:paraId="6B008AF4" w14:textId="77777777" w:rsidR="008A0152" w:rsidRDefault="008A0152">
    <w:pPr>
      <w:pStyle w:val="Encabezado"/>
      <w:rPr>
        <w:rFonts w:ascii="Arial" w:hAnsi="Arial" w:cs="Arial"/>
        <w:sz w:val="20"/>
      </w:rPr>
    </w:pPr>
  </w:p>
  <w:p w14:paraId="0EDFAA74" w14:textId="77777777" w:rsidR="008A0152" w:rsidRDefault="008A0152">
    <w:pPr>
      <w:pStyle w:val="Encabezado"/>
      <w:rPr>
        <w:rFonts w:ascii="Arial" w:hAnsi="Arial" w:cs="Arial"/>
        <w:sz w:val="20"/>
      </w:rPr>
    </w:pPr>
  </w:p>
  <w:p w14:paraId="359AE8B3" w14:textId="77777777" w:rsidR="008A0152" w:rsidRPr="00A97183" w:rsidRDefault="008A0152">
    <w:pPr>
      <w:pStyle w:val="Encabezado"/>
      <w:rPr>
        <w:rFonts w:ascii="Arial" w:hAnsi="Arial" w:cs="Arial"/>
        <w:sz w:val="20"/>
      </w:rPr>
    </w:pPr>
  </w:p>
  <w:p w14:paraId="12DDFC96" w14:textId="77777777" w:rsidR="008A0152" w:rsidRPr="00A97183" w:rsidRDefault="008A0152">
    <w:pPr>
      <w:pStyle w:val="Encabezado"/>
      <w:rPr>
        <w:rFonts w:ascii="Arial" w:hAnsi="Arial" w:cs="Arial"/>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AAE0" w14:textId="77777777" w:rsidR="008A0152" w:rsidRDefault="008A0152">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BA8E" w14:textId="77777777" w:rsidR="008A0152" w:rsidRDefault="008A0152" w:rsidP="00CE18EC">
    <w:pPr>
      <w:tabs>
        <w:tab w:val="right" w:pos="9214"/>
      </w:tabs>
      <w:ind w:left="142" w:hanging="142"/>
      <w:jc w:val="right"/>
      <w:rPr>
        <w:rFonts w:ascii="Arial" w:hAnsi="Arial" w:cs="Arial"/>
        <w:b/>
        <w:sz w:val="20"/>
        <w:lang w:val="pt-BR"/>
      </w:rPr>
    </w:pPr>
    <w:r w:rsidRPr="0086282C">
      <w:rPr>
        <w:rFonts w:ascii="Arial" w:hAnsi="Arial" w:cs="Arial"/>
        <w:b/>
        <w:noProof/>
        <w:sz w:val="20"/>
        <w:lang w:eastAsia="es-AR"/>
      </w:rPr>
      <w:drawing>
        <wp:inline distT="0" distB="0" distL="0" distR="0" wp14:anchorId="6C2BDBC1" wp14:editId="699A6236">
          <wp:extent cx="1027130" cy="452633"/>
          <wp:effectExtent l="19050" t="0" r="157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6152BE23" w14:textId="77777777" w:rsidR="008A0152" w:rsidRDefault="008A0152" w:rsidP="00CE18EC">
    <w:pPr>
      <w:pStyle w:val="2Ttulo"/>
      <w:rPr>
        <w:rFonts w:ascii="Arial" w:hAnsi="Arial" w:cs="Arial"/>
        <w:sz w:val="20"/>
      </w:rPr>
    </w:pPr>
  </w:p>
  <w:p w14:paraId="3E553BED" w14:textId="77777777" w:rsidR="008A0152" w:rsidRDefault="008A0152" w:rsidP="00CE18EC">
    <w:pPr>
      <w:pStyle w:val="2Ttulo"/>
      <w:rPr>
        <w:rFonts w:ascii="Arial" w:hAnsi="Arial" w:cs="Arial"/>
        <w:sz w:val="20"/>
      </w:rPr>
    </w:pPr>
  </w:p>
  <w:p w14:paraId="66E8CC8F" w14:textId="77777777" w:rsidR="008A0152" w:rsidRDefault="008A0152" w:rsidP="00CE18EC">
    <w:pPr>
      <w:pStyle w:val="2Ttulo"/>
      <w:rPr>
        <w:rFonts w:ascii="Arial" w:hAnsi="Arial" w:cs="Arial"/>
        <w:sz w:val="20"/>
      </w:rPr>
    </w:pPr>
    <w:r w:rsidRPr="000C455E">
      <w:rPr>
        <w:rFonts w:ascii="Arial" w:hAnsi="Arial" w:cs="Arial"/>
        <w:sz w:val="20"/>
      </w:rPr>
      <w:t xml:space="preserve">NOTAS A LOS ESTADOS </w:t>
    </w:r>
    <w:r>
      <w:rPr>
        <w:rFonts w:ascii="Arial" w:hAnsi="Arial" w:cs="Arial"/>
        <w:sz w:val="20"/>
      </w:rPr>
      <w:t>FINANCIEROS CONDENSADOS CONSOLIDADOS INTERMEDIOS</w:t>
    </w:r>
  </w:p>
  <w:p w14:paraId="0BFC8582" w14:textId="77777777" w:rsidR="008A0152" w:rsidRPr="000C455E" w:rsidRDefault="008A0152" w:rsidP="00CE18EC">
    <w:pPr>
      <w:pStyle w:val="2Ttulo"/>
      <w:rPr>
        <w:rFonts w:ascii="Arial" w:hAnsi="Arial" w:cs="Arial"/>
        <w:b w:val="0"/>
        <w:sz w:val="20"/>
      </w:rPr>
    </w:pPr>
    <w:r>
      <w:rPr>
        <w:rFonts w:ascii="Arial" w:hAnsi="Arial" w:cs="Arial"/>
        <w:sz w:val="20"/>
      </w:rPr>
      <w:t xml:space="preserve"> AL 30</w:t>
    </w:r>
    <w:r w:rsidRPr="000C455E">
      <w:rPr>
        <w:rFonts w:ascii="Arial" w:hAnsi="Arial" w:cs="Arial"/>
        <w:sz w:val="20"/>
      </w:rPr>
      <w:t xml:space="preserve"> DE </w:t>
    </w:r>
    <w:r>
      <w:rPr>
        <w:rFonts w:ascii="Arial" w:hAnsi="Arial" w:cs="Arial"/>
        <w:sz w:val="20"/>
      </w:rPr>
      <w:t>SEPTIEMBRE DE 2018</w:t>
    </w:r>
  </w:p>
  <w:p w14:paraId="719A93DB" w14:textId="77777777" w:rsidR="008A0152" w:rsidRPr="006426AF" w:rsidRDefault="008A0152" w:rsidP="00CE18EC">
    <w:pPr>
      <w:pStyle w:val="2Ttulo"/>
      <w:rPr>
        <w:rFonts w:ascii="Arial" w:hAnsi="Arial" w:cs="Arial"/>
        <w:b w:val="0"/>
        <w:sz w:val="16"/>
        <w:szCs w:val="16"/>
        <w:lang w:val="es-ES_tradnl"/>
      </w:rPr>
    </w:pPr>
    <w:r w:rsidRPr="006426AF">
      <w:rPr>
        <w:rFonts w:ascii="Arial" w:hAnsi="Arial" w:cs="Arial"/>
        <w:b w:val="0"/>
        <w:sz w:val="16"/>
        <w:szCs w:val="16"/>
        <w:lang w:val="es-ES_tradnl"/>
      </w:rPr>
      <w:t>Presentadas en forma comparativa</w:t>
    </w:r>
  </w:p>
  <w:p w14:paraId="52272B46" w14:textId="77777777" w:rsidR="008A0152" w:rsidRDefault="008A0152" w:rsidP="00CE18EC">
    <w:pPr>
      <w:pStyle w:val="2Ttulo"/>
      <w:rPr>
        <w:rFonts w:ascii="Arial" w:hAnsi="Arial" w:cs="Arial"/>
        <w:b w:val="0"/>
        <w:sz w:val="16"/>
        <w:szCs w:val="16"/>
      </w:rPr>
    </w:pPr>
    <w:r w:rsidRPr="006426AF">
      <w:rPr>
        <w:rFonts w:ascii="Arial" w:hAnsi="Arial" w:cs="Arial"/>
        <w:b w:val="0"/>
        <w:sz w:val="16"/>
        <w:szCs w:val="16"/>
      </w:rPr>
      <w:t xml:space="preserve"> (Cifras expresadas en miles de pesos)</w:t>
    </w:r>
  </w:p>
  <w:p w14:paraId="43B3F9DE" w14:textId="77777777" w:rsidR="008A0152" w:rsidRPr="002F4872" w:rsidRDefault="008A0152" w:rsidP="00CE18EC">
    <w:pPr>
      <w:pStyle w:val="Encabezado"/>
      <w:jc w:val="center"/>
      <w:rPr>
        <w:rFonts w:ascii="Arial" w:hAnsi="Arial" w:cs="Arial"/>
        <w:sz w:val="20"/>
      </w:rPr>
    </w:pPr>
  </w:p>
  <w:p w14:paraId="6A858087" w14:textId="77777777" w:rsidR="008A0152" w:rsidRPr="002F4872" w:rsidRDefault="008A0152" w:rsidP="00CE18EC">
    <w:pPr>
      <w:pStyle w:val="Encabezado"/>
      <w:jc w:val="center"/>
      <w:rPr>
        <w:rFonts w:ascii="Arial" w:hAnsi="Arial" w:cs="Arial"/>
        <w:sz w:val="20"/>
        <w:lang w:val="es-ES"/>
      </w:rPr>
    </w:pPr>
  </w:p>
  <w:p w14:paraId="1EA0B4CE" w14:textId="77777777" w:rsidR="008A0152" w:rsidRPr="005E5441" w:rsidRDefault="008A0152" w:rsidP="002374F8">
    <w:pPr>
      <w:pStyle w:val="2Ttulo"/>
      <w:jc w:val="left"/>
      <w:rPr>
        <w:rFonts w:ascii="Arial" w:hAnsi="Arial" w:cs="Arial"/>
        <w:b w:val="0"/>
        <w:sz w:val="16"/>
        <w:szCs w:val="16"/>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42A65" w14:textId="77777777" w:rsidR="008A0152" w:rsidRDefault="008A0152">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8D81E" w14:textId="77777777" w:rsidR="008A0152" w:rsidRDefault="008A0152" w:rsidP="002F2E04">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62B6AF6C" wp14:editId="15749B1A">
          <wp:extent cx="1027130" cy="452633"/>
          <wp:effectExtent l="19050" t="0" r="157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0F7C7E6" w14:textId="77777777" w:rsidR="008A0152" w:rsidRDefault="008A0152" w:rsidP="00326935">
    <w:pPr>
      <w:tabs>
        <w:tab w:val="right" w:pos="9214"/>
      </w:tabs>
      <w:rPr>
        <w:rFonts w:ascii="Arial" w:hAnsi="Arial" w:cs="Arial"/>
        <w:b/>
        <w:sz w:val="20"/>
        <w:lang w:val="es-ES_tradnl"/>
      </w:rPr>
    </w:pPr>
    <w:r w:rsidRPr="000C455E">
      <w:rPr>
        <w:rFonts w:ascii="Arial" w:hAnsi="Arial" w:cs="Arial"/>
        <w:b/>
        <w:sz w:val="20"/>
        <w:lang w:val="es-ES_tradnl"/>
      </w:rPr>
      <w:t>ANEXO B</w:t>
    </w:r>
  </w:p>
  <w:p w14:paraId="7CBC9A98" w14:textId="77777777" w:rsidR="008A0152" w:rsidRPr="00CC5C97" w:rsidRDefault="008A0152" w:rsidP="00326935">
    <w:pPr>
      <w:tabs>
        <w:tab w:val="right" w:pos="9214"/>
      </w:tabs>
      <w:rPr>
        <w:rFonts w:ascii="Arial" w:hAnsi="Arial" w:cs="Arial"/>
        <w:sz w:val="20"/>
        <w:lang w:val="pt-BR"/>
      </w:rPr>
    </w:pPr>
  </w:p>
  <w:p w14:paraId="6A83A377" w14:textId="77777777" w:rsidR="008A0152" w:rsidRPr="000342AE" w:rsidRDefault="008A0152" w:rsidP="000342AE">
    <w:pPr>
      <w:pStyle w:val="Encabezado"/>
      <w:jc w:val="center"/>
      <w:rPr>
        <w:rFonts w:ascii="Arial" w:hAnsi="Arial" w:cs="Arial"/>
        <w:b/>
        <w:sz w:val="20"/>
        <w:lang w:val="es-ES_tradnl"/>
      </w:rPr>
    </w:pPr>
    <w:r w:rsidRPr="000342AE">
      <w:rPr>
        <w:rFonts w:ascii="Arial" w:hAnsi="Arial" w:cs="Arial"/>
        <w:b/>
        <w:sz w:val="20"/>
        <w:lang w:val="es-ES_tradnl"/>
      </w:rPr>
      <w:t>C</w:t>
    </w:r>
    <w:r>
      <w:rPr>
        <w:rFonts w:ascii="Arial" w:hAnsi="Arial" w:cs="Arial"/>
        <w:b/>
        <w:sz w:val="20"/>
        <w:lang w:val="es-ES_tradnl"/>
      </w:rPr>
      <w:t>LASIFICACION</w:t>
    </w:r>
    <w:r w:rsidRPr="000342AE">
      <w:rPr>
        <w:rFonts w:ascii="Arial" w:hAnsi="Arial" w:cs="Arial"/>
        <w:b/>
        <w:sz w:val="20"/>
        <w:lang w:val="es-ES_tradnl"/>
      </w:rPr>
      <w:t xml:space="preserve"> </w:t>
    </w:r>
    <w:r>
      <w:rPr>
        <w:rFonts w:ascii="Arial" w:hAnsi="Arial" w:cs="Arial"/>
        <w:b/>
        <w:sz w:val="20"/>
        <w:lang w:val="es-ES_tradnl"/>
      </w:rPr>
      <w:t>DE</w:t>
    </w:r>
    <w:r w:rsidRPr="000342AE">
      <w:rPr>
        <w:rFonts w:ascii="Arial" w:hAnsi="Arial" w:cs="Arial"/>
        <w:b/>
        <w:sz w:val="20"/>
        <w:lang w:val="es-ES_tradnl"/>
      </w:rPr>
      <w:t xml:space="preserve"> </w:t>
    </w:r>
    <w:r>
      <w:rPr>
        <w:rFonts w:ascii="Arial" w:hAnsi="Arial" w:cs="Arial"/>
        <w:b/>
        <w:sz w:val="20"/>
        <w:lang w:val="es-ES_tradnl"/>
      </w:rPr>
      <w:t>PRESTAMOS</w:t>
    </w:r>
    <w:r w:rsidRPr="000342AE">
      <w:rPr>
        <w:rFonts w:ascii="Arial" w:hAnsi="Arial" w:cs="Arial"/>
        <w:b/>
        <w:sz w:val="20"/>
        <w:lang w:val="es-ES_tradnl"/>
      </w:rPr>
      <w:t xml:space="preserve"> </w:t>
    </w:r>
    <w:r>
      <w:rPr>
        <w:rFonts w:ascii="Arial" w:hAnsi="Arial" w:cs="Arial"/>
        <w:b/>
        <w:sz w:val="20"/>
        <w:lang w:val="es-ES_tradnl"/>
      </w:rPr>
      <w:t>Y</w:t>
    </w:r>
    <w:r w:rsidRPr="000342AE">
      <w:rPr>
        <w:rFonts w:ascii="Arial" w:hAnsi="Arial" w:cs="Arial"/>
        <w:b/>
        <w:sz w:val="20"/>
        <w:lang w:val="es-ES_tradnl"/>
      </w:rPr>
      <w:t xml:space="preserve"> </w:t>
    </w:r>
    <w:r>
      <w:rPr>
        <w:rFonts w:ascii="Arial" w:hAnsi="Arial" w:cs="Arial"/>
        <w:b/>
        <w:sz w:val="20"/>
        <w:lang w:val="es-ES_tradnl"/>
      </w:rPr>
      <w:t>OTRAS</w:t>
    </w:r>
    <w:r w:rsidRPr="000342AE">
      <w:rPr>
        <w:rFonts w:ascii="Arial" w:hAnsi="Arial" w:cs="Arial"/>
        <w:b/>
        <w:sz w:val="20"/>
        <w:lang w:val="es-ES_tradnl"/>
      </w:rPr>
      <w:t xml:space="preserve"> </w:t>
    </w:r>
    <w:r>
      <w:rPr>
        <w:rFonts w:ascii="Arial" w:hAnsi="Arial" w:cs="Arial"/>
        <w:b/>
        <w:sz w:val="20"/>
        <w:lang w:val="es-ES_tradnl"/>
      </w:rPr>
      <w:t>FINANCIACIONES</w:t>
    </w:r>
    <w:r w:rsidRPr="000342AE">
      <w:rPr>
        <w:rFonts w:ascii="Arial" w:hAnsi="Arial" w:cs="Arial"/>
        <w:b/>
        <w:sz w:val="20"/>
        <w:lang w:val="es-ES_tradnl"/>
      </w:rPr>
      <w:t xml:space="preserve"> </w:t>
    </w:r>
    <w:r>
      <w:rPr>
        <w:rFonts w:ascii="Arial" w:hAnsi="Arial" w:cs="Arial"/>
        <w:b/>
        <w:sz w:val="20"/>
        <w:lang w:val="es-ES_tradnl"/>
      </w:rPr>
      <w:t>POR</w:t>
    </w:r>
    <w:r w:rsidRPr="000342AE">
      <w:rPr>
        <w:rFonts w:ascii="Arial" w:hAnsi="Arial" w:cs="Arial"/>
        <w:b/>
        <w:sz w:val="20"/>
        <w:lang w:val="es-ES_tradnl"/>
      </w:rPr>
      <w:t xml:space="preserve"> </w:t>
    </w:r>
    <w:r>
      <w:rPr>
        <w:rFonts w:ascii="Arial" w:hAnsi="Arial" w:cs="Arial"/>
        <w:b/>
        <w:sz w:val="20"/>
        <w:lang w:val="es-ES_tradnl"/>
      </w:rPr>
      <w:t>SITUACION</w:t>
    </w:r>
    <w:r w:rsidRPr="000342AE">
      <w:rPr>
        <w:rFonts w:ascii="Arial" w:hAnsi="Arial" w:cs="Arial"/>
        <w:b/>
        <w:sz w:val="20"/>
        <w:lang w:val="es-ES_tradnl"/>
      </w:rPr>
      <w:t xml:space="preserve"> </w:t>
    </w:r>
    <w:r>
      <w:rPr>
        <w:rFonts w:ascii="Arial" w:hAnsi="Arial" w:cs="Arial"/>
        <w:b/>
        <w:sz w:val="20"/>
        <w:lang w:val="es-ES_tradnl"/>
      </w:rPr>
      <w:t>Y</w:t>
    </w:r>
    <w:r w:rsidRPr="000342AE">
      <w:rPr>
        <w:rFonts w:ascii="Arial" w:hAnsi="Arial" w:cs="Arial"/>
        <w:b/>
        <w:sz w:val="20"/>
        <w:lang w:val="es-ES_tradnl"/>
      </w:rPr>
      <w:t xml:space="preserve"> </w:t>
    </w:r>
  </w:p>
  <w:p w14:paraId="5722FBF3" w14:textId="77777777" w:rsidR="008A0152" w:rsidRPr="000C455E" w:rsidRDefault="008A0152" w:rsidP="000342AE">
    <w:pPr>
      <w:pStyle w:val="Encabezado"/>
      <w:jc w:val="center"/>
      <w:rPr>
        <w:rFonts w:ascii="Arial" w:hAnsi="Arial" w:cs="Arial"/>
        <w:b/>
        <w:sz w:val="20"/>
        <w:lang w:val="es-ES_tradnl"/>
      </w:rPr>
    </w:pPr>
    <w:r>
      <w:rPr>
        <w:rFonts w:ascii="Arial" w:hAnsi="Arial" w:cs="Arial"/>
        <w:b/>
        <w:sz w:val="20"/>
        <w:lang w:val="es-ES_tradnl"/>
      </w:rPr>
      <w:t>GARANTIAS RECIBIDAS CONSOLIDADO</w:t>
    </w:r>
  </w:p>
  <w:p w14:paraId="74286C72" w14:textId="77777777" w:rsidR="008A0152" w:rsidRPr="00CC5C97" w:rsidRDefault="008A0152" w:rsidP="00CC5C97">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4DD54314" w14:textId="77777777" w:rsidR="008A0152" w:rsidRPr="00CC5C97" w:rsidRDefault="008A0152" w:rsidP="00CC5C97">
    <w:pPr>
      <w:pStyle w:val="Encabezado"/>
      <w:jc w:val="center"/>
      <w:rPr>
        <w:rFonts w:ascii="Arial" w:hAnsi="Arial" w:cs="Arial"/>
        <w:sz w:val="16"/>
        <w:szCs w:val="16"/>
        <w:lang w:val="es-ES"/>
      </w:rPr>
    </w:pPr>
    <w:r w:rsidRPr="00CC5C97">
      <w:rPr>
        <w:rFonts w:ascii="Arial" w:hAnsi="Arial" w:cs="Arial"/>
        <w:sz w:val="16"/>
        <w:szCs w:val="16"/>
        <w:lang w:val="es-ES"/>
      </w:rPr>
      <w:t>(Cifra</w:t>
    </w:r>
    <w:r>
      <w:rPr>
        <w:rFonts w:ascii="Arial" w:hAnsi="Arial" w:cs="Arial"/>
        <w:sz w:val="16"/>
        <w:szCs w:val="16"/>
        <w:lang w:val="es-ES"/>
      </w:rPr>
      <w:t>s expresadas en miles de pesos</w:t>
    </w:r>
    <w:r w:rsidRPr="00CC5C97">
      <w:rPr>
        <w:rFonts w:ascii="Arial" w:hAnsi="Arial" w:cs="Arial"/>
        <w:sz w:val="16"/>
        <w:szCs w:val="16"/>
        <w:lang w:val="es-ES"/>
      </w:rPr>
      <w:t>)</w:t>
    </w:r>
  </w:p>
  <w:p w14:paraId="097B453D" w14:textId="77777777" w:rsidR="008A0152" w:rsidRPr="00CC5C97" w:rsidRDefault="008A0152" w:rsidP="00CC5C97">
    <w:pPr>
      <w:pStyle w:val="Encabezado"/>
      <w:rPr>
        <w:rFonts w:ascii="Arial" w:hAnsi="Arial" w:cs="Arial"/>
        <w:sz w:val="20"/>
        <w:lang w:val="es-ES"/>
      </w:rPr>
    </w:pPr>
  </w:p>
  <w:p w14:paraId="591BE902" w14:textId="77777777" w:rsidR="008A0152" w:rsidRPr="00CC5C97" w:rsidRDefault="008A0152" w:rsidP="00CC5C97">
    <w:pPr>
      <w:pStyle w:val="2Ttulo"/>
      <w:jc w:val="left"/>
      <w:rPr>
        <w:rFonts w:ascii="Arial" w:hAnsi="Arial" w:cs="Arial"/>
        <w:sz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9D4F" w14:textId="77777777" w:rsidR="008A0152" w:rsidRDefault="008A0152" w:rsidP="00D458EF">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56EF842" wp14:editId="7D36BE36">
          <wp:extent cx="1027130" cy="452633"/>
          <wp:effectExtent l="19050" t="0" r="1570"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544EAFCC" w14:textId="77777777" w:rsidR="008A0152" w:rsidRDefault="008A0152" w:rsidP="00326935">
    <w:pPr>
      <w:tabs>
        <w:tab w:val="right" w:pos="9214"/>
      </w:tabs>
      <w:rPr>
        <w:rFonts w:ascii="Arial" w:hAnsi="Arial" w:cs="Arial"/>
        <w:b/>
        <w:sz w:val="20"/>
        <w:lang w:val="es-ES_tradnl"/>
      </w:rPr>
    </w:pPr>
    <w:r>
      <w:rPr>
        <w:rFonts w:ascii="Arial" w:hAnsi="Arial" w:cs="Arial"/>
        <w:b/>
        <w:sz w:val="20"/>
        <w:lang w:val="es-ES_tradnl"/>
      </w:rPr>
      <w:t>ANEXO C</w:t>
    </w:r>
  </w:p>
  <w:p w14:paraId="69BB059D" w14:textId="77777777" w:rsidR="008A0152" w:rsidRDefault="008A0152" w:rsidP="00D458EF">
    <w:pPr>
      <w:tabs>
        <w:tab w:val="right" w:pos="9214"/>
      </w:tabs>
      <w:jc w:val="right"/>
      <w:rPr>
        <w:rFonts w:ascii="Arial" w:hAnsi="Arial" w:cs="Arial"/>
        <w:b/>
        <w:sz w:val="20"/>
        <w:lang w:val="es-ES_tradnl"/>
      </w:rPr>
    </w:pPr>
  </w:p>
  <w:p w14:paraId="46D35670" w14:textId="77777777" w:rsidR="008A0152" w:rsidRPr="009040E3" w:rsidRDefault="008A0152" w:rsidP="00326935">
    <w:pPr>
      <w:pStyle w:val="Encabezado"/>
      <w:jc w:val="center"/>
      <w:rPr>
        <w:rFonts w:ascii="Arial" w:hAnsi="Arial" w:cs="Arial"/>
        <w:b/>
        <w:sz w:val="20"/>
        <w:lang w:val="es-ES_tradnl"/>
      </w:rPr>
    </w:pPr>
    <w:r w:rsidRPr="009040E3">
      <w:rPr>
        <w:rFonts w:ascii="Arial" w:hAnsi="Arial" w:cs="Arial"/>
        <w:b/>
        <w:sz w:val="20"/>
        <w:lang w:val="es-ES_tradnl"/>
      </w:rPr>
      <w:t xml:space="preserve">CONCENTRACION DE </w:t>
    </w:r>
    <w:r>
      <w:rPr>
        <w:rFonts w:ascii="Arial" w:hAnsi="Arial" w:cs="Arial"/>
        <w:b/>
        <w:sz w:val="20"/>
        <w:lang w:val="es-ES_tradnl"/>
      </w:rPr>
      <w:t>PRESTAMOS Y OTRAS FINANCIACIONES CONSOLIDADOS</w:t>
    </w:r>
  </w:p>
  <w:p w14:paraId="34A7F0F0" w14:textId="77777777" w:rsidR="008A0152" w:rsidRPr="009040E3" w:rsidRDefault="008A0152" w:rsidP="00326935">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29D2F065" w14:textId="77777777" w:rsidR="008A0152" w:rsidRPr="009040E3" w:rsidRDefault="008A0152" w:rsidP="00326935">
    <w:pPr>
      <w:pStyle w:val="Encabezado"/>
      <w:jc w:val="center"/>
      <w:rPr>
        <w:rFonts w:ascii="Arial" w:hAnsi="Arial" w:cs="Arial"/>
        <w:sz w:val="16"/>
        <w:szCs w:val="16"/>
        <w:lang w:val="es-ES"/>
      </w:rPr>
    </w:pPr>
    <w:r w:rsidRPr="009040E3">
      <w:rPr>
        <w:rFonts w:ascii="Arial" w:hAnsi="Arial" w:cs="Arial"/>
        <w:sz w:val="16"/>
        <w:szCs w:val="16"/>
        <w:lang w:val="es-ES"/>
      </w:rPr>
      <w:t>(Cifras expresadas en miles de pesos)</w:t>
    </w:r>
  </w:p>
  <w:p w14:paraId="1C5D17ED" w14:textId="77777777" w:rsidR="008A0152" w:rsidRPr="00F941DB" w:rsidRDefault="008A0152" w:rsidP="00326935">
    <w:pPr>
      <w:pStyle w:val="Encabezado"/>
      <w:jc w:val="center"/>
      <w:rPr>
        <w:rFonts w:ascii="Arial" w:hAnsi="Arial" w:cs="Arial"/>
        <w:sz w:val="20"/>
        <w:lang w:val="es-ES"/>
      </w:rPr>
    </w:pPr>
  </w:p>
  <w:p w14:paraId="3A6BB2A5" w14:textId="77777777" w:rsidR="008A0152" w:rsidRPr="00F941DB" w:rsidRDefault="008A0152" w:rsidP="00F941DB">
    <w:pPr>
      <w:pStyle w:val="2Ttulo"/>
      <w:jc w:val="left"/>
      <w:rPr>
        <w:rFonts w:ascii="Arial" w:hAnsi="Arial" w:cs="Arial"/>
        <w:sz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7327F" w14:textId="77777777" w:rsidR="008A0152" w:rsidRDefault="008A0152" w:rsidP="00D458EF">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82C0D56" wp14:editId="0D086F7E">
          <wp:extent cx="1027130" cy="452633"/>
          <wp:effectExtent l="19050" t="0" r="157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B890741" w14:textId="77777777" w:rsidR="008A0152" w:rsidRDefault="008A0152" w:rsidP="00326935">
    <w:pPr>
      <w:tabs>
        <w:tab w:val="right" w:pos="9214"/>
      </w:tabs>
      <w:rPr>
        <w:rFonts w:ascii="Arial" w:hAnsi="Arial" w:cs="Arial"/>
        <w:b/>
        <w:sz w:val="20"/>
        <w:lang w:val="es-ES_tradnl"/>
      </w:rPr>
    </w:pPr>
    <w:r>
      <w:rPr>
        <w:rFonts w:ascii="Arial" w:hAnsi="Arial" w:cs="Arial"/>
        <w:b/>
        <w:sz w:val="20"/>
        <w:lang w:val="es-ES_tradnl"/>
      </w:rPr>
      <w:t>ANEXO D</w:t>
    </w:r>
  </w:p>
  <w:p w14:paraId="12E82FA5" w14:textId="77777777" w:rsidR="008A0152" w:rsidRDefault="008A0152" w:rsidP="00D458EF">
    <w:pPr>
      <w:tabs>
        <w:tab w:val="right" w:pos="9214"/>
      </w:tabs>
      <w:jc w:val="right"/>
      <w:rPr>
        <w:rFonts w:ascii="Arial" w:hAnsi="Arial" w:cs="Arial"/>
        <w:b/>
        <w:sz w:val="20"/>
        <w:lang w:val="es-ES_tradnl"/>
      </w:rPr>
    </w:pPr>
  </w:p>
  <w:p w14:paraId="7078770C" w14:textId="77777777" w:rsidR="008A0152" w:rsidRPr="009040E3" w:rsidRDefault="008A0152" w:rsidP="00326935">
    <w:pPr>
      <w:pStyle w:val="Encabezado"/>
      <w:jc w:val="center"/>
      <w:rPr>
        <w:rFonts w:ascii="Arial" w:hAnsi="Arial" w:cs="Arial"/>
        <w:b/>
        <w:sz w:val="20"/>
        <w:lang w:val="es-ES_tradnl"/>
      </w:rPr>
    </w:pPr>
    <w:r w:rsidRPr="009040E3">
      <w:rPr>
        <w:rFonts w:ascii="Arial" w:hAnsi="Arial" w:cs="Arial"/>
        <w:b/>
        <w:sz w:val="20"/>
        <w:lang w:val="es-ES_tradnl"/>
      </w:rPr>
      <w:t>APERTURA POR PLAZO</w:t>
    </w:r>
    <w:r>
      <w:rPr>
        <w:rFonts w:ascii="Arial" w:hAnsi="Arial" w:cs="Arial"/>
        <w:b/>
        <w:sz w:val="20"/>
        <w:lang w:val="es-ES_tradnl"/>
      </w:rPr>
      <w:t>S</w:t>
    </w:r>
    <w:r w:rsidRPr="009040E3">
      <w:rPr>
        <w:rFonts w:ascii="Arial" w:hAnsi="Arial" w:cs="Arial"/>
        <w:b/>
        <w:sz w:val="20"/>
        <w:lang w:val="es-ES_tradnl"/>
      </w:rPr>
      <w:t xml:space="preserve"> DE </w:t>
    </w:r>
    <w:r>
      <w:rPr>
        <w:rFonts w:ascii="Arial" w:hAnsi="Arial" w:cs="Arial"/>
        <w:b/>
        <w:sz w:val="20"/>
        <w:lang w:val="es-ES_tradnl"/>
      </w:rPr>
      <w:t>PRESTAMOS Y OTRAS</w:t>
    </w:r>
    <w:r w:rsidRPr="009040E3">
      <w:rPr>
        <w:rFonts w:ascii="Arial" w:hAnsi="Arial" w:cs="Arial"/>
        <w:b/>
        <w:sz w:val="20"/>
        <w:lang w:val="es-ES_tradnl"/>
      </w:rPr>
      <w:t xml:space="preserve"> FINANCIACIONES</w:t>
    </w:r>
    <w:r>
      <w:rPr>
        <w:rFonts w:ascii="Arial" w:hAnsi="Arial" w:cs="Arial"/>
        <w:b/>
        <w:sz w:val="20"/>
        <w:lang w:val="es-ES_tradnl"/>
      </w:rPr>
      <w:t xml:space="preserve"> CONSOLIDADO</w:t>
    </w:r>
  </w:p>
  <w:p w14:paraId="587C0AB5" w14:textId="77777777" w:rsidR="008A0152" w:rsidRPr="009040E3" w:rsidRDefault="008A0152" w:rsidP="00326935">
    <w:pPr>
      <w:pStyle w:val="Encabezado"/>
      <w:jc w:val="center"/>
      <w:rPr>
        <w:rFonts w:ascii="Arial" w:hAnsi="Arial" w:cs="Arial"/>
        <w:b/>
        <w:sz w:val="20"/>
        <w:lang w:val="es-ES_tradnl"/>
      </w:rPr>
    </w:pPr>
    <w:r>
      <w:rPr>
        <w:rFonts w:ascii="Arial" w:hAnsi="Arial" w:cs="Arial"/>
        <w:b/>
        <w:sz w:val="20"/>
        <w:lang w:val="es-ES_tradnl"/>
      </w:rPr>
      <w:t>Al 30 DE SEPTIEMBRE DE 2018</w:t>
    </w:r>
  </w:p>
  <w:p w14:paraId="29B3ABA1" w14:textId="77777777" w:rsidR="008A0152" w:rsidRPr="009040E3" w:rsidRDefault="008A0152" w:rsidP="00326935">
    <w:pPr>
      <w:pStyle w:val="Encabezado"/>
      <w:jc w:val="center"/>
      <w:rPr>
        <w:rFonts w:ascii="Arial" w:hAnsi="Arial" w:cs="Arial"/>
        <w:sz w:val="16"/>
        <w:szCs w:val="16"/>
        <w:lang w:val="es-ES"/>
      </w:rPr>
    </w:pPr>
    <w:r w:rsidRPr="009040E3">
      <w:rPr>
        <w:rFonts w:ascii="Arial" w:hAnsi="Arial" w:cs="Arial"/>
        <w:sz w:val="16"/>
        <w:szCs w:val="16"/>
        <w:lang w:val="es-ES"/>
      </w:rPr>
      <w:t>(Cifras expresadas en miles de pesos)</w:t>
    </w:r>
  </w:p>
  <w:p w14:paraId="6CCC0C36" w14:textId="77777777" w:rsidR="008A0152" w:rsidRPr="00F941DB" w:rsidRDefault="008A0152" w:rsidP="00326935">
    <w:pPr>
      <w:pStyle w:val="Encabezado"/>
      <w:jc w:val="center"/>
      <w:rPr>
        <w:rFonts w:ascii="Arial" w:hAnsi="Arial" w:cs="Arial"/>
        <w:sz w:val="20"/>
        <w:lang w:val="es-ES"/>
      </w:rPr>
    </w:pPr>
  </w:p>
  <w:p w14:paraId="6AFD73D1" w14:textId="77777777" w:rsidR="008A0152" w:rsidRPr="00F941DB" w:rsidRDefault="008A0152" w:rsidP="00F941DB">
    <w:pPr>
      <w:pStyle w:val="2Ttulo"/>
      <w:jc w:val="left"/>
      <w:rPr>
        <w:rFonts w:ascii="Arial" w:hAnsi="Arial" w:cs="Arial"/>
        <w:sz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766B3"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17A9E0AF" wp14:editId="6B1D5DFB">
          <wp:extent cx="1027130" cy="452633"/>
          <wp:effectExtent l="19050" t="0" r="157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BFBD877" w14:textId="77777777" w:rsidR="008A0152" w:rsidRDefault="008A0152" w:rsidP="00326935">
    <w:pPr>
      <w:tabs>
        <w:tab w:val="right" w:pos="9214"/>
      </w:tabs>
      <w:ind w:left="142" w:hanging="142"/>
      <w:rPr>
        <w:rFonts w:ascii="Arial" w:hAnsi="Arial" w:cs="Arial"/>
        <w:b/>
        <w:sz w:val="20"/>
        <w:lang w:val="es-ES_tradnl"/>
      </w:rPr>
    </w:pPr>
    <w:r w:rsidRPr="00F941DB">
      <w:rPr>
        <w:rFonts w:ascii="Arial" w:hAnsi="Arial" w:cs="Arial"/>
        <w:b/>
        <w:sz w:val="20"/>
        <w:lang w:val="es-ES_tradnl"/>
      </w:rPr>
      <w:t>ANEXO F</w:t>
    </w:r>
  </w:p>
  <w:p w14:paraId="77AC1562" w14:textId="77777777" w:rsidR="008A0152" w:rsidRPr="00F941DB" w:rsidRDefault="008A0152" w:rsidP="00F941DB">
    <w:pPr>
      <w:tabs>
        <w:tab w:val="right" w:pos="9214"/>
      </w:tabs>
      <w:ind w:left="142" w:hanging="142"/>
      <w:rPr>
        <w:rFonts w:ascii="Arial" w:hAnsi="Arial" w:cs="Arial"/>
        <w:sz w:val="20"/>
        <w:lang w:val="es-ES"/>
      </w:rPr>
    </w:pPr>
  </w:p>
  <w:p w14:paraId="1FBD4DBC" w14:textId="77777777" w:rsidR="008A0152" w:rsidRPr="00F941DB" w:rsidRDefault="008A0152" w:rsidP="00FB4E04">
    <w:pPr>
      <w:pStyle w:val="Encabezado"/>
      <w:jc w:val="center"/>
      <w:rPr>
        <w:rFonts w:ascii="Arial" w:hAnsi="Arial" w:cs="Arial"/>
        <w:b/>
        <w:sz w:val="20"/>
        <w:lang w:val="es-ES_tradnl"/>
      </w:rPr>
    </w:pPr>
    <w:r w:rsidRPr="00F941DB">
      <w:rPr>
        <w:rFonts w:ascii="Arial" w:hAnsi="Arial" w:cs="Arial"/>
        <w:b/>
        <w:sz w:val="20"/>
        <w:lang w:val="es-ES_tradnl"/>
      </w:rPr>
      <w:t xml:space="preserve">MOVIMIENTO DE </w:t>
    </w:r>
    <w:r>
      <w:rPr>
        <w:rFonts w:ascii="Arial" w:hAnsi="Arial" w:cs="Arial"/>
        <w:b/>
        <w:sz w:val="20"/>
        <w:lang w:val="es-ES_tradnl"/>
      </w:rPr>
      <w:t>PROPIEDAD, PLANTA Y EQUIPO CONSOLIDADO</w:t>
    </w:r>
  </w:p>
  <w:p w14:paraId="3C5BE5F6"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2C91DED7" w14:textId="77777777" w:rsidR="008A0152" w:rsidRDefault="008A0152" w:rsidP="00FB4E04">
    <w:pPr>
      <w:pStyle w:val="Encabezado"/>
      <w:jc w:val="center"/>
      <w:rPr>
        <w:rFonts w:ascii="Arial" w:hAnsi="Arial" w:cs="Arial"/>
        <w:sz w:val="16"/>
        <w:szCs w:val="16"/>
        <w:lang w:val="es-ES"/>
      </w:rPr>
    </w:pPr>
    <w:r w:rsidRPr="00F941DB">
      <w:rPr>
        <w:rFonts w:ascii="Arial" w:hAnsi="Arial" w:cs="Arial"/>
        <w:sz w:val="20"/>
        <w:lang w:val="es-ES"/>
      </w:rPr>
      <w:t>(</w:t>
    </w:r>
    <w:r>
      <w:rPr>
        <w:rFonts w:ascii="Arial" w:hAnsi="Arial" w:cs="Arial"/>
        <w:sz w:val="16"/>
        <w:szCs w:val="16"/>
        <w:lang w:val="es-ES"/>
      </w:rPr>
      <w:t>C</w:t>
    </w:r>
    <w:r w:rsidRPr="00F941DB">
      <w:rPr>
        <w:rFonts w:ascii="Arial" w:hAnsi="Arial" w:cs="Arial"/>
        <w:sz w:val="16"/>
        <w:szCs w:val="16"/>
        <w:lang w:val="es-ES"/>
      </w:rPr>
      <w:t>ifras expresadas en miles de pesos)</w:t>
    </w:r>
  </w:p>
  <w:p w14:paraId="731EBB17" w14:textId="77777777" w:rsidR="008A0152" w:rsidRDefault="008A0152" w:rsidP="00FB4E04">
    <w:pPr>
      <w:pStyle w:val="Encabezado"/>
      <w:jc w:val="center"/>
      <w:rPr>
        <w:rFonts w:ascii="Arial" w:hAnsi="Arial" w:cs="Arial"/>
        <w:sz w:val="20"/>
        <w:lang w:val="es-ES"/>
      </w:rPr>
    </w:pPr>
  </w:p>
  <w:p w14:paraId="7CFC4B27" w14:textId="77777777" w:rsidR="008A0152" w:rsidRPr="00D458EF" w:rsidRDefault="008A0152" w:rsidP="00F941DB">
    <w:pPr>
      <w:pStyle w:val="Encabezado"/>
      <w:rPr>
        <w:rFonts w:ascii="Arial" w:hAnsi="Arial" w:cs="Arial"/>
        <w:sz w:val="20"/>
        <w:lang w:val="es-ES_tradnl"/>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0BEC"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60AB602A" wp14:editId="2995205F">
          <wp:extent cx="1027130" cy="452633"/>
          <wp:effectExtent l="19050" t="0" r="15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6110EB6" w14:textId="77777777" w:rsidR="008A0152" w:rsidRDefault="008A0152" w:rsidP="00326935">
    <w:pPr>
      <w:tabs>
        <w:tab w:val="right" w:pos="9214"/>
      </w:tabs>
      <w:ind w:left="142" w:hanging="142"/>
      <w:rPr>
        <w:rFonts w:ascii="Arial" w:hAnsi="Arial" w:cs="Arial"/>
        <w:b/>
        <w:sz w:val="20"/>
        <w:lang w:val="es-ES_tradnl"/>
      </w:rPr>
    </w:pPr>
    <w:r w:rsidRPr="00F941DB">
      <w:rPr>
        <w:rFonts w:ascii="Arial" w:hAnsi="Arial" w:cs="Arial"/>
        <w:b/>
        <w:sz w:val="20"/>
        <w:lang w:val="es-ES_tradnl"/>
      </w:rPr>
      <w:t>ANEXO F</w:t>
    </w:r>
  </w:p>
  <w:p w14:paraId="476E3BE0" w14:textId="77777777" w:rsidR="008A0152" w:rsidRPr="00F941DB" w:rsidRDefault="008A0152" w:rsidP="00F941DB">
    <w:pPr>
      <w:tabs>
        <w:tab w:val="right" w:pos="9214"/>
      </w:tabs>
      <w:ind w:left="142" w:hanging="142"/>
      <w:rPr>
        <w:rFonts w:ascii="Arial" w:hAnsi="Arial" w:cs="Arial"/>
        <w:sz w:val="20"/>
        <w:lang w:val="es-ES"/>
      </w:rPr>
    </w:pPr>
  </w:p>
  <w:p w14:paraId="6AFBDF75" w14:textId="77777777" w:rsidR="008A0152" w:rsidRPr="00F941DB" w:rsidRDefault="008A0152" w:rsidP="00FB4E04">
    <w:pPr>
      <w:pStyle w:val="Encabezado"/>
      <w:jc w:val="center"/>
      <w:rPr>
        <w:rFonts w:ascii="Arial" w:hAnsi="Arial" w:cs="Arial"/>
        <w:b/>
        <w:sz w:val="20"/>
        <w:lang w:val="es-ES_tradnl"/>
      </w:rPr>
    </w:pPr>
    <w:r w:rsidRPr="00F941DB">
      <w:rPr>
        <w:rFonts w:ascii="Arial" w:hAnsi="Arial" w:cs="Arial"/>
        <w:b/>
        <w:sz w:val="20"/>
        <w:lang w:val="es-ES_tradnl"/>
      </w:rPr>
      <w:t xml:space="preserve">MOVIMIENTO DE </w:t>
    </w:r>
    <w:r>
      <w:rPr>
        <w:rFonts w:ascii="Arial" w:hAnsi="Arial" w:cs="Arial"/>
        <w:b/>
        <w:sz w:val="20"/>
        <w:lang w:val="es-ES_tradnl"/>
      </w:rPr>
      <w:t>PROPIEDADES DE INVERSION CONSOLIDADO</w:t>
    </w:r>
  </w:p>
  <w:p w14:paraId="5BB87899"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Y 31 DE DICIEMBRE DE 2017</w:t>
    </w:r>
  </w:p>
  <w:p w14:paraId="4EF77167" w14:textId="77777777" w:rsidR="008A0152" w:rsidRDefault="008A0152" w:rsidP="00FB4E04">
    <w:pPr>
      <w:pStyle w:val="Encabezado"/>
      <w:jc w:val="center"/>
      <w:rPr>
        <w:rFonts w:ascii="Arial" w:hAnsi="Arial" w:cs="Arial"/>
        <w:sz w:val="16"/>
        <w:szCs w:val="16"/>
        <w:lang w:val="es-ES"/>
      </w:rPr>
    </w:pPr>
    <w:r w:rsidRPr="00F941DB">
      <w:rPr>
        <w:rFonts w:ascii="Arial" w:hAnsi="Arial" w:cs="Arial"/>
        <w:sz w:val="20"/>
        <w:lang w:val="es-ES"/>
      </w:rPr>
      <w:t>(</w:t>
    </w:r>
    <w:r>
      <w:rPr>
        <w:rFonts w:ascii="Arial" w:hAnsi="Arial" w:cs="Arial"/>
        <w:sz w:val="16"/>
        <w:szCs w:val="16"/>
        <w:lang w:val="es-ES"/>
      </w:rPr>
      <w:t>C</w:t>
    </w:r>
    <w:r w:rsidRPr="00F941DB">
      <w:rPr>
        <w:rFonts w:ascii="Arial" w:hAnsi="Arial" w:cs="Arial"/>
        <w:sz w:val="16"/>
        <w:szCs w:val="16"/>
        <w:lang w:val="es-ES"/>
      </w:rPr>
      <w:t>ifras expresadas en miles de pesos)</w:t>
    </w:r>
  </w:p>
  <w:p w14:paraId="05C664DF" w14:textId="77777777" w:rsidR="008A0152" w:rsidRDefault="008A0152" w:rsidP="00FB4E04">
    <w:pPr>
      <w:pStyle w:val="Encabezado"/>
      <w:jc w:val="center"/>
      <w:rPr>
        <w:rFonts w:ascii="Arial" w:hAnsi="Arial" w:cs="Arial"/>
        <w:sz w:val="20"/>
        <w:lang w:val="es-ES"/>
      </w:rPr>
    </w:pPr>
  </w:p>
  <w:p w14:paraId="27187A6F" w14:textId="77777777" w:rsidR="008A0152" w:rsidRPr="00D458EF" w:rsidRDefault="008A0152" w:rsidP="00F941DB">
    <w:pPr>
      <w:pStyle w:val="Encabezado"/>
      <w:rPr>
        <w:rFonts w:ascii="Arial" w:hAnsi="Arial" w:cs="Arial"/>
        <w:sz w:val="20"/>
        <w:lang w:val="es-ES_tradnl"/>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926E"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5907B2AE" wp14:editId="175E92B5">
          <wp:extent cx="1027130" cy="452633"/>
          <wp:effectExtent l="19050" t="0" r="157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9B9559C" w14:textId="77777777" w:rsidR="008A0152" w:rsidRDefault="008A0152" w:rsidP="00326935">
    <w:pPr>
      <w:tabs>
        <w:tab w:val="right" w:pos="9214"/>
      </w:tabs>
      <w:ind w:left="142" w:hanging="142"/>
      <w:rPr>
        <w:rFonts w:ascii="Arial" w:hAnsi="Arial" w:cs="Arial"/>
        <w:b/>
        <w:sz w:val="20"/>
        <w:lang w:val="es-ES_tradnl"/>
      </w:rPr>
    </w:pPr>
    <w:r w:rsidRPr="00F941DB">
      <w:rPr>
        <w:rFonts w:ascii="Arial" w:hAnsi="Arial" w:cs="Arial"/>
        <w:b/>
        <w:sz w:val="20"/>
        <w:lang w:val="es-ES_tradnl"/>
      </w:rPr>
      <w:t>ANEXO G</w:t>
    </w:r>
  </w:p>
  <w:p w14:paraId="66161EBB" w14:textId="77777777" w:rsidR="008A0152" w:rsidRPr="00326935" w:rsidRDefault="008A0152" w:rsidP="00326935">
    <w:pPr>
      <w:tabs>
        <w:tab w:val="right" w:pos="9214"/>
      </w:tabs>
      <w:ind w:left="142" w:hanging="142"/>
      <w:jc w:val="right"/>
      <w:rPr>
        <w:rFonts w:ascii="Arial" w:hAnsi="Arial" w:cs="Arial"/>
        <w:b/>
        <w:sz w:val="20"/>
        <w:lang w:val="es-ES_tradnl"/>
      </w:rPr>
    </w:pPr>
  </w:p>
  <w:p w14:paraId="79A5DCB3" w14:textId="77777777" w:rsidR="008A0152" w:rsidRPr="00F941DB" w:rsidRDefault="008A0152" w:rsidP="00675A40">
    <w:pPr>
      <w:pStyle w:val="Encabezado"/>
      <w:jc w:val="center"/>
      <w:rPr>
        <w:rFonts w:ascii="Arial" w:hAnsi="Arial" w:cs="Arial"/>
        <w:b/>
        <w:sz w:val="20"/>
        <w:lang w:val="es-ES_tradnl"/>
      </w:rPr>
    </w:pPr>
    <w:r>
      <w:rPr>
        <w:rFonts w:ascii="Arial" w:hAnsi="Arial" w:cs="Arial"/>
        <w:b/>
        <w:sz w:val="20"/>
        <w:lang w:val="es-ES_tradnl"/>
      </w:rPr>
      <w:t>MOVIMIENTO</w:t>
    </w:r>
    <w:r w:rsidRPr="00F941DB">
      <w:rPr>
        <w:rFonts w:ascii="Arial" w:hAnsi="Arial" w:cs="Arial"/>
        <w:b/>
        <w:sz w:val="20"/>
        <w:lang w:val="es-ES_tradnl"/>
      </w:rPr>
      <w:t xml:space="preserve"> DE </w:t>
    </w:r>
    <w:r>
      <w:rPr>
        <w:rFonts w:ascii="Arial" w:hAnsi="Arial" w:cs="Arial"/>
        <w:b/>
        <w:sz w:val="20"/>
        <w:lang w:val="es-ES_tradnl"/>
      </w:rPr>
      <w:t>ACTIVOS</w:t>
    </w:r>
    <w:r w:rsidRPr="00F941DB">
      <w:rPr>
        <w:rFonts w:ascii="Arial" w:hAnsi="Arial" w:cs="Arial"/>
        <w:b/>
        <w:sz w:val="20"/>
        <w:lang w:val="es-ES_tradnl"/>
      </w:rPr>
      <w:t xml:space="preserve"> INTANGIBLES</w:t>
    </w:r>
    <w:r>
      <w:rPr>
        <w:rFonts w:ascii="Arial" w:hAnsi="Arial" w:cs="Arial"/>
        <w:b/>
        <w:sz w:val="20"/>
        <w:lang w:val="es-ES_tradnl"/>
      </w:rPr>
      <w:t xml:space="preserve"> CONSOLIDADO</w:t>
    </w:r>
  </w:p>
  <w:p w14:paraId="6B10A707"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Y 31 DE DICIEMBRE DE 2017 y 2016</w:t>
    </w:r>
  </w:p>
  <w:p w14:paraId="78E495E0" w14:textId="77777777" w:rsidR="008A0152" w:rsidRDefault="008A0152" w:rsidP="00083C78">
    <w:pPr>
      <w:pStyle w:val="Encabezado"/>
      <w:jc w:val="center"/>
      <w:rPr>
        <w:rFonts w:ascii="Arial" w:hAnsi="Arial" w:cs="Arial"/>
        <w:sz w:val="16"/>
        <w:szCs w:val="16"/>
        <w:lang w:val="es-ES"/>
      </w:rPr>
    </w:pPr>
    <w:r>
      <w:rPr>
        <w:rFonts w:ascii="Arial" w:hAnsi="Arial" w:cs="Arial"/>
        <w:sz w:val="16"/>
        <w:szCs w:val="16"/>
        <w:lang w:val="es-ES"/>
      </w:rPr>
      <w:t>(C</w:t>
    </w:r>
    <w:r w:rsidRPr="00F941DB">
      <w:rPr>
        <w:rFonts w:ascii="Arial" w:hAnsi="Arial" w:cs="Arial"/>
        <w:sz w:val="16"/>
        <w:szCs w:val="16"/>
        <w:lang w:val="es-ES"/>
      </w:rPr>
      <w:t>ifras expresadas en miles de pesos)</w:t>
    </w:r>
  </w:p>
  <w:p w14:paraId="7456A696" w14:textId="77777777" w:rsidR="008A0152" w:rsidRDefault="008A0152" w:rsidP="00F941DB">
    <w:pPr>
      <w:pStyle w:val="Encabezado"/>
      <w:rPr>
        <w:rFonts w:ascii="Arial" w:hAnsi="Arial" w:cs="Arial"/>
        <w:sz w:val="20"/>
        <w:lang w:val="es-ES"/>
      </w:rPr>
    </w:pPr>
  </w:p>
  <w:p w14:paraId="3B41BE35" w14:textId="77777777" w:rsidR="008A0152" w:rsidRPr="00D458EF" w:rsidRDefault="008A0152" w:rsidP="00F941DB">
    <w:pPr>
      <w:pStyle w:val="Encabezado"/>
      <w:rPr>
        <w:rFonts w:ascii="Arial" w:hAnsi="Arial" w:cs="Arial"/>
        <w:sz w:val="20"/>
        <w:lang w:val="es-ES_tradnl"/>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581CF"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222EE6E6" wp14:editId="7C5CC16B">
          <wp:extent cx="1027130" cy="452633"/>
          <wp:effectExtent l="19050" t="0" r="157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681C494" w14:textId="77777777" w:rsidR="008A0152" w:rsidRDefault="008A0152" w:rsidP="00326935">
    <w:pPr>
      <w:tabs>
        <w:tab w:val="right" w:pos="9214"/>
      </w:tabs>
      <w:ind w:left="142" w:hanging="142"/>
      <w:rPr>
        <w:rFonts w:ascii="Arial" w:hAnsi="Arial" w:cs="Arial"/>
        <w:b/>
        <w:sz w:val="20"/>
        <w:lang w:val="es-ES_tradnl"/>
      </w:rPr>
    </w:pPr>
    <w:r w:rsidRPr="00F941DB">
      <w:rPr>
        <w:rFonts w:ascii="Arial" w:hAnsi="Arial" w:cs="Arial"/>
        <w:b/>
        <w:sz w:val="20"/>
        <w:lang w:val="es-ES_tradnl"/>
      </w:rPr>
      <w:t>ANEXO H</w:t>
    </w:r>
  </w:p>
  <w:p w14:paraId="7B5F4E8F" w14:textId="77777777" w:rsidR="008A0152" w:rsidRPr="002C6517" w:rsidRDefault="008A0152" w:rsidP="00326935">
    <w:pPr>
      <w:tabs>
        <w:tab w:val="right" w:pos="9214"/>
      </w:tabs>
      <w:rPr>
        <w:rFonts w:ascii="Arial" w:hAnsi="Arial" w:cs="Arial"/>
        <w:sz w:val="20"/>
        <w:lang w:val="es-ES"/>
      </w:rPr>
    </w:pPr>
  </w:p>
  <w:p w14:paraId="1255BA44" w14:textId="77777777" w:rsidR="008A0152" w:rsidRPr="00F941DB" w:rsidRDefault="008A0152" w:rsidP="00675A40">
    <w:pPr>
      <w:pStyle w:val="Encabezado"/>
      <w:jc w:val="center"/>
      <w:rPr>
        <w:rFonts w:ascii="Arial" w:hAnsi="Arial" w:cs="Arial"/>
        <w:b/>
        <w:sz w:val="20"/>
        <w:lang w:val="es-ES_tradnl"/>
      </w:rPr>
    </w:pPr>
    <w:r w:rsidRPr="00F941DB">
      <w:rPr>
        <w:rFonts w:ascii="Arial" w:hAnsi="Arial" w:cs="Arial"/>
        <w:b/>
        <w:sz w:val="20"/>
        <w:lang w:val="es-ES_tradnl"/>
      </w:rPr>
      <w:t>CONCENTRACION DE LOS DEPOSITOS</w:t>
    </w:r>
    <w:r>
      <w:rPr>
        <w:rFonts w:ascii="Arial" w:hAnsi="Arial" w:cs="Arial"/>
        <w:b/>
        <w:sz w:val="20"/>
        <w:lang w:val="es-ES_tradnl"/>
      </w:rPr>
      <w:t xml:space="preserve"> CONSOLIDADO</w:t>
    </w:r>
  </w:p>
  <w:p w14:paraId="7DD76EFB"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Y 31 DE DICIEMBRE DE 2017 y 2016</w:t>
    </w:r>
  </w:p>
  <w:p w14:paraId="4CC9A0CC" w14:textId="77777777" w:rsidR="008A0152" w:rsidRDefault="008A0152" w:rsidP="007F3B1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6E2A97A2" w14:textId="77777777" w:rsidR="008A0152" w:rsidRPr="002C6517" w:rsidRDefault="008A0152" w:rsidP="002C6517">
    <w:pPr>
      <w:pStyle w:val="Encabezado"/>
      <w:rPr>
        <w:rFonts w:ascii="Arial" w:hAnsi="Arial" w:cs="Arial"/>
        <w:sz w:val="20"/>
        <w:lang w:val="es-ES"/>
      </w:rPr>
    </w:pPr>
  </w:p>
  <w:p w14:paraId="730826C6" w14:textId="77777777" w:rsidR="008A0152" w:rsidRPr="00F941DB" w:rsidRDefault="008A0152" w:rsidP="002C6517">
    <w:pPr>
      <w:pStyle w:val="Encabezado"/>
      <w:rPr>
        <w:rFonts w:ascii="Arial" w:hAnsi="Arial" w:cs="Arial"/>
        <w:sz w:val="20"/>
        <w:lang w:val="es-ES_tradn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84FEA" w14:textId="77777777" w:rsidR="008A0152" w:rsidRPr="00333643" w:rsidRDefault="008A0152" w:rsidP="00286343">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6A2E4341" wp14:editId="0BD6FDE4">
          <wp:extent cx="1027130" cy="452633"/>
          <wp:effectExtent l="19050" t="0" r="157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A7EB8D3" w14:textId="77777777" w:rsidR="008A0152" w:rsidRPr="00333643" w:rsidRDefault="008A0152" w:rsidP="00286343">
    <w:pPr>
      <w:tabs>
        <w:tab w:val="right" w:pos="9214"/>
      </w:tabs>
      <w:ind w:left="142" w:hanging="142"/>
      <w:jc w:val="center"/>
      <w:rPr>
        <w:rFonts w:ascii="Arial" w:hAnsi="Arial" w:cs="Arial"/>
        <w:b/>
        <w:sz w:val="20"/>
        <w:lang w:val="es-ES_tradnl"/>
      </w:rPr>
    </w:pPr>
  </w:p>
  <w:p w14:paraId="5A8530F2" w14:textId="77777777" w:rsidR="008A0152" w:rsidRPr="0056456F" w:rsidRDefault="008A0152" w:rsidP="00286343">
    <w:pPr>
      <w:tabs>
        <w:tab w:val="right" w:pos="9214"/>
      </w:tabs>
      <w:rPr>
        <w:rFonts w:ascii="Arial" w:hAnsi="Arial" w:cs="Arial"/>
        <w:b/>
        <w:sz w:val="20"/>
        <w:lang w:val="es-ES_tradnl"/>
      </w:rPr>
    </w:pPr>
  </w:p>
  <w:p w14:paraId="42B399E4" w14:textId="77777777" w:rsidR="008A0152" w:rsidRPr="0017062B" w:rsidRDefault="008A0152" w:rsidP="00286343">
    <w:pPr>
      <w:pStyle w:val="2Ttulo"/>
      <w:rPr>
        <w:rFonts w:ascii="Arial" w:hAnsi="Arial" w:cs="Arial"/>
        <w:sz w:val="20"/>
      </w:rPr>
    </w:pPr>
    <w:r w:rsidRPr="0017062B">
      <w:rPr>
        <w:rFonts w:ascii="Arial" w:hAnsi="Arial" w:cs="Arial"/>
        <w:sz w:val="20"/>
      </w:rPr>
      <w:t xml:space="preserve">ESTADO </w:t>
    </w:r>
    <w:r>
      <w:rPr>
        <w:rFonts w:ascii="Arial" w:hAnsi="Arial" w:cs="Arial"/>
        <w:sz w:val="20"/>
      </w:rPr>
      <w:t>CONSOLIDADO</w:t>
    </w:r>
    <w:r w:rsidRPr="0017062B">
      <w:rPr>
        <w:rFonts w:ascii="Arial" w:hAnsi="Arial" w:cs="Arial"/>
        <w:sz w:val="20"/>
      </w:rPr>
      <w:t xml:space="preserve"> DE SITUACION </w:t>
    </w:r>
    <w:r>
      <w:rPr>
        <w:rFonts w:ascii="Arial" w:hAnsi="Arial" w:cs="Arial"/>
        <w:sz w:val="20"/>
      </w:rPr>
      <w:t>FINANCIERA</w:t>
    </w:r>
  </w:p>
  <w:p w14:paraId="7F23A1D5" w14:textId="77777777" w:rsidR="008A0152" w:rsidRPr="0017062B" w:rsidRDefault="008A0152" w:rsidP="00286343">
    <w:pPr>
      <w:pStyle w:val="2Ttulo"/>
      <w:rPr>
        <w:rFonts w:ascii="Arial" w:hAnsi="Arial" w:cs="Arial"/>
        <w:sz w:val="20"/>
      </w:rPr>
    </w:pPr>
    <w:r>
      <w:rPr>
        <w:rFonts w:ascii="Arial" w:hAnsi="Arial" w:cs="Arial"/>
        <w:sz w:val="20"/>
      </w:rPr>
      <w:t xml:space="preserve"> AL 30 DE SEPTIEMBRE DE 2018</w:t>
    </w:r>
  </w:p>
  <w:p w14:paraId="150458B3" w14:textId="77777777" w:rsidR="008A0152" w:rsidRDefault="008A0152" w:rsidP="00286343">
    <w:pPr>
      <w:pStyle w:val="2Ttulo"/>
      <w:rPr>
        <w:rFonts w:ascii="Arial" w:hAnsi="Arial" w:cs="Arial"/>
        <w:b w:val="0"/>
        <w:sz w:val="16"/>
        <w:szCs w:val="16"/>
        <w:lang w:val="es-ES_tradnl"/>
      </w:rPr>
    </w:pPr>
    <w:r w:rsidRPr="00905E24">
      <w:rPr>
        <w:rFonts w:ascii="Arial" w:hAnsi="Arial" w:cs="Arial"/>
        <w:b w:val="0"/>
        <w:sz w:val="16"/>
        <w:szCs w:val="16"/>
        <w:lang w:val="es-ES_tradnl"/>
      </w:rPr>
      <w:t>Presentado en forma comparativa con el ejercicio económico final</w:t>
    </w:r>
    <w:r>
      <w:rPr>
        <w:rFonts w:ascii="Arial" w:hAnsi="Arial" w:cs="Arial"/>
        <w:b w:val="0"/>
        <w:sz w:val="16"/>
        <w:szCs w:val="16"/>
        <w:lang w:val="es-ES_tradnl"/>
      </w:rPr>
      <w:t xml:space="preserve">izado el 31 de diciembre de 2017 </w:t>
    </w:r>
  </w:p>
  <w:p w14:paraId="62CB894A" w14:textId="77777777" w:rsidR="008A0152" w:rsidRPr="00905E24" w:rsidRDefault="008A0152" w:rsidP="00286343">
    <w:pPr>
      <w:pStyle w:val="2Ttulo"/>
      <w:rPr>
        <w:rFonts w:ascii="Arial" w:hAnsi="Arial" w:cs="Arial"/>
        <w:b w:val="0"/>
        <w:sz w:val="16"/>
        <w:szCs w:val="16"/>
        <w:lang w:val="es-ES_tradnl"/>
      </w:rPr>
    </w:pPr>
    <w:r>
      <w:rPr>
        <w:rFonts w:ascii="Arial" w:hAnsi="Arial" w:cs="Arial"/>
        <w:b w:val="0"/>
        <w:sz w:val="16"/>
        <w:szCs w:val="16"/>
        <w:lang w:val="es-ES_tradnl"/>
      </w:rPr>
      <w:t>y 1 de enero de 2017</w:t>
    </w:r>
  </w:p>
  <w:p w14:paraId="355ED9EA" w14:textId="77777777" w:rsidR="008A0152" w:rsidRDefault="008A0152" w:rsidP="00286343">
    <w:pPr>
      <w:pStyle w:val="2Ttulo"/>
      <w:rPr>
        <w:rFonts w:ascii="Arial" w:hAnsi="Arial" w:cs="Arial"/>
        <w:b w:val="0"/>
        <w:sz w:val="16"/>
        <w:szCs w:val="16"/>
      </w:rPr>
    </w:pPr>
    <w:r w:rsidRPr="00905E24">
      <w:rPr>
        <w:rFonts w:ascii="Arial" w:hAnsi="Arial" w:cs="Arial"/>
        <w:b w:val="0"/>
        <w:sz w:val="16"/>
        <w:szCs w:val="16"/>
      </w:rPr>
      <w:t>(Cifras expresadas en miles de pesos)</w:t>
    </w:r>
  </w:p>
  <w:p w14:paraId="12DAAD6B" w14:textId="77777777" w:rsidR="008A0152" w:rsidRPr="00333643" w:rsidRDefault="008A0152" w:rsidP="00286343">
    <w:pPr>
      <w:pStyle w:val="2Ttulo"/>
      <w:jc w:val="left"/>
      <w:rPr>
        <w:rFonts w:ascii="Arial" w:hAnsi="Arial" w:cs="Arial"/>
        <w:b w:val="0"/>
        <w:sz w:val="20"/>
      </w:rPr>
    </w:pPr>
  </w:p>
  <w:p w14:paraId="6A3B9951" w14:textId="77777777" w:rsidR="008A0152" w:rsidRPr="00333643" w:rsidRDefault="008A0152" w:rsidP="00286343">
    <w:pPr>
      <w:jc w:val="both"/>
      <w:rPr>
        <w:rFonts w:ascii="Arial" w:hAnsi="Arial" w:cs="Arial"/>
        <w:sz w:val="20"/>
      </w:rPr>
    </w:pPr>
  </w:p>
  <w:p w14:paraId="0B75A227" w14:textId="77777777" w:rsidR="008A0152" w:rsidRPr="00286343" w:rsidRDefault="008A0152" w:rsidP="00286343">
    <w:pPr>
      <w:pStyle w:val="Encabezado"/>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76ECA"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0D752B19" wp14:editId="6303100F">
          <wp:extent cx="1027130" cy="452633"/>
          <wp:effectExtent l="19050" t="0" r="157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55D2464D" w14:textId="77777777" w:rsidR="008A0152" w:rsidRDefault="008A0152" w:rsidP="00326935">
    <w:pPr>
      <w:tabs>
        <w:tab w:val="right" w:pos="9214"/>
      </w:tabs>
      <w:ind w:left="142" w:hanging="142"/>
      <w:rPr>
        <w:rFonts w:ascii="Arial" w:hAnsi="Arial" w:cs="Arial"/>
        <w:b/>
        <w:sz w:val="20"/>
        <w:lang w:val="es-ES_tradnl"/>
      </w:rPr>
    </w:pPr>
    <w:r w:rsidRPr="002C6517">
      <w:rPr>
        <w:rFonts w:ascii="Arial" w:hAnsi="Arial" w:cs="Arial"/>
        <w:b/>
        <w:sz w:val="20"/>
        <w:lang w:val="es-ES_tradnl"/>
      </w:rPr>
      <w:t>ANEXO I</w:t>
    </w:r>
  </w:p>
  <w:p w14:paraId="7EDFC8D1" w14:textId="77777777" w:rsidR="008A0152" w:rsidRPr="002C6517" w:rsidRDefault="008A0152" w:rsidP="002C6517">
    <w:pPr>
      <w:tabs>
        <w:tab w:val="right" w:pos="9214"/>
      </w:tabs>
      <w:ind w:left="142" w:hanging="142"/>
      <w:rPr>
        <w:rFonts w:ascii="Arial" w:hAnsi="Arial" w:cs="Arial"/>
        <w:b/>
        <w:sz w:val="20"/>
        <w:lang w:val="es-ES"/>
      </w:rPr>
    </w:pPr>
  </w:p>
  <w:p w14:paraId="6A27F9C0" w14:textId="77777777" w:rsidR="008A0152" w:rsidRPr="002C6517" w:rsidRDefault="008A0152" w:rsidP="00944CB2">
    <w:pPr>
      <w:pStyle w:val="Encabezado"/>
      <w:jc w:val="center"/>
      <w:rPr>
        <w:rFonts w:ascii="Arial" w:hAnsi="Arial" w:cs="Arial"/>
        <w:b/>
        <w:sz w:val="20"/>
        <w:lang w:val="es-ES_tradnl"/>
      </w:rPr>
    </w:pPr>
    <w:r w:rsidRPr="002C6517">
      <w:rPr>
        <w:rFonts w:ascii="Arial" w:hAnsi="Arial" w:cs="Arial"/>
        <w:b/>
        <w:sz w:val="20"/>
        <w:lang w:val="es-ES_tradnl"/>
      </w:rPr>
      <w:t xml:space="preserve">APERTURA </w:t>
    </w:r>
    <w:r>
      <w:rPr>
        <w:rFonts w:ascii="Arial" w:hAnsi="Arial" w:cs="Arial"/>
        <w:b/>
        <w:sz w:val="20"/>
        <w:lang w:val="es-ES_tradnl"/>
      </w:rPr>
      <w:t>DE PASIVOS FINANCIEROS POR PL</w:t>
    </w:r>
    <w:r w:rsidRPr="002C6517">
      <w:rPr>
        <w:rFonts w:ascii="Arial" w:hAnsi="Arial" w:cs="Arial"/>
        <w:b/>
        <w:sz w:val="20"/>
        <w:lang w:val="es-ES_tradnl"/>
      </w:rPr>
      <w:t>A</w:t>
    </w:r>
    <w:r>
      <w:rPr>
        <w:rFonts w:ascii="Arial" w:hAnsi="Arial" w:cs="Arial"/>
        <w:b/>
        <w:sz w:val="20"/>
        <w:lang w:val="es-ES_tradnl"/>
      </w:rPr>
      <w:t>ZOS REMANENTES CONSOLIDADO</w:t>
    </w:r>
  </w:p>
  <w:p w14:paraId="1AA53676" w14:textId="77777777" w:rsidR="008A0152" w:rsidRPr="002C6517" w:rsidRDefault="008A0152" w:rsidP="00083C78">
    <w:pPr>
      <w:pStyle w:val="Encabezado"/>
      <w:jc w:val="center"/>
      <w:rPr>
        <w:rFonts w:ascii="Arial" w:hAnsi="Arial" w:cs="Arial"/>
        <w:b/>
        <w:sz w:val="20"/>
        <w:lang w:val="es-ES_tradnl"/>
      </w:rPr>
    </w:pPr>
    <w:r>
      <w:rPr>
        <w:rFonts w:ascii="Arial" w:hAnsi="Arial" w:cs="Arial"/>
        <w:b/>
        <w:sz w:val="20"/>
        <w:lang w:val="es-ES_tradnl"/>
      </w:rPr>
      <w:t>Al 30 DE SEPTIEMBRE DE 2018</w:t>
    </w:r>
  </w:p>
  <w:p w14:paraId="4F26FC12" w14:textId="77777777" w:rsidR="008A0152" w:rsidRDefault="008A0152" w:rsidP="00083C7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25A12904" w14:textId="77777777" w:rsidR="008A0152" w:rsidRPr="008C1D4C" w:rsidRDefault="008A0152" w:rsidP="002C6517">
    <w:pPr>
      <w:pStyle w:val="Encabezado"/>
      <w:rPr>
        <w:rFonts w:ascii="Arial" w:hAnsi="Arial" w:cs="Arial"/>
        <w:sz w:val="20"/>
        <w:lang w:val="es-ES_tradnl"/>
      </w:rPr>
    </w:pPr>
  </w:p>
  <w:p w14:paraId="32AF3633" w14:textId="77777777" w:rsidR="008A0152" w:rsidRPr="008C1D4C" w:rsidRDefault="008A0152" w:rsidP="008C1D4C">
    <w:pPr>
      <w:pStyle w:val="Encabezado"/>
      <w:rPr>
        <w:rFonts w:ascii="Arial" w:hAnsi="Arial" w:cs="Arial"/>
        <w:sz w:val="20"/>
        <w:lang w:val="es-ES_tradnl"/>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B420"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15DB0757" wp14:editId="0EB55A11">
          <wp:extent cx="1027130" cy="452633"/>
          <wp:effectExtent l="19050" t="0" r="157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62DF0E8F" w14:textId="77777777" w:rsidR="008A0152" w:rsidRDefault="008A0152" w:rsidP="00326935">
    <w:pPr>
      <w:tabs>
        <w:tab w:val="right" w:pos="9214"/>
      </w:tabs>
      <w:ind w:left="142" w:hanging="142"/>
      <w:rPr>
        <w:rFonts w:ascii="Arial" w:hAnsi="Arial" w:cs="Arial"/>
        <w:b/>
        <w:sz w:val="20"/>
        <w:lang w:val="es-ES_tradnl"/>
      </w:rPr>
    </w:pPr>
    <w:r w:rsidRPr="002C6517">
      <w:rPr>
        <w:rFonts w:ascii="Arial" w:hAnsi="Arial" w:cs="Arial"/>
        <w:b/>
        <w:sz w:val="20"/>
        <w:lang w:val="es-ES_tradnl"/>
      </w:rPr>
      <w:t xml:space="preserve">ANEXO </w:t>
    </w:r>
    <w:r>
      <w:rPr>
        <w:rFonts w:ascii="Arial" w:hAnsi="Arial" w:cs="Arial"/>
        <w:b/>
        <w:sz w:val="20"/>
        <w:lang w:val="es-ES_tradnl"/>
      </w:rPr>
      <w:t>Q</w:t>
    </w:r>
  </w:p>
  <w:p w14:paraId="223E632F" w14:textId="77777777" w:rsidR="008A0152" w:rsidRPr="002C6517" w:rsidRDefault="008A0152" w:rsidP="002C6517">
    <w:pPr>
      <w:tabs>
        <w:tab w:val="right" w:pos="9214"/>
      </w:tabs>
      <w:ind w:left="142" w:hanging="142"/>
      <w:rPr>
        <w:rFonts w:ascii="Arial" w:hAnsi="Arial" w:cs="Arial"/>
        <w:b/>
        <w:sz w:val="20"/>
        <w:lang w:val="es-ES"/>
      </w:rPr>
    </w:pPr>
  </w:p>
  <w:p w14:paraId="4E6FD6BE" w14:textId="77777777" w:rsidR="008A0152" w:rsidRPr="002C6517" w:rsidRDefault="008A0152" w:rsidP="00944CB2">
    <w:pPr>
      <w:pStyle w:val="Encabezado"/>
      <w:jc w:val="center"/>
      <w:rPr>
        <w:rFonts w:ascii="Arial" w:hAnsi="Arial" w:cs="Arial"/>
        <w:b/>
        <w:sz w:val="20"/>
        <w:lang w:val="es-ES_tradnl"/>
      </w:rPr>
    </w:pPr>
    <w:r>
      <w:rPr>
        <w:rFonts w:ascii="Arial" w:hAnsi="Arial" w:cs="Arial"/>
        <w:b/>
        <w:sz w:val="20"/>
        <w:lang w:val="es-ES_tradnl"/>
      </w:rPr>
      <w:t>APERTURA DE RESULTADOS CONSOLIDADOS</w:t>
    </w:r>
  </w:p>
  <w:p w14:paraId="338E1A9B" w14:textId="77777777" w:rsidR="008A0152" w:rsidRPr="002C6517" w:rsidRDefault="008A0152" w:rsidP="00083C78">
    <w:pPr>
      <w:pStyle w:val="Encabezado"/>
      <w:jc w:val="center"/>
      <w:rPr>
        <w:rFonts w:ascii="Arial" w:hAnsi="Arial" w:cs="Arial"/>
        <w:b/>
        <w:sz w:val="20"/>
        <w:lang w:val="es-ES_tradnl"/>
      </w:rPr>
    </w:pPr>
    <w:r>
      <w:rPr>
        <w:rFonts w:ascii="Arial" w:hAnsi="Arial" w:cs="Arial"/>
        <w:b/>
        <w:sz w:val="20"/>
        <w:lang w:val="es-ES_tradnl"/>
      </w:rPr>
      <w:t>Al 30 DE SEPTIEMBRE DE 2018</w:t>
    </w:r>
  </w:p>
  <w:p w14:paraId="6D9F6F24" w14:textId="77777777" w:rsidR="008A0152" w:rsidRDefault="008A0152" w:rsidP="00083C7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1877B92F" w14:textId="77777777" w:rsidR="008A0152" w:rsidRPr="008C1D4C" w:rsidRDefault="008A0152" w:rsidP="002C6517">
    <w:pPr>
      <w:pStyle w:val="Encabezado"/>
      <w:rPr>
        <w:rFonts w:ascii="Arial" w:hAnsi="Arial" w:cs="Arial"/>
        <w:sz w:val="20"/>
        <w:lang w:val="es-ES_tradnl"/>
      </w:rPr>
    </w:pPr>
  </w:p>
  <w:p w14:paraId="4407F25A" w14:textId="77777777" w:rsidR="008A0152" w:rsidRPr="008C1D4C" w:rsidRDefault="008A0152" w:rsidP="008C1D4C">
    <w:pPr>
      <w:pStyle w:val="Encabezado"/>
      <w:rPr>
        <w:rFonts w:ascii="Arial" w:hAnsi="Arial" w:cs="Arial"/>
        <w:sz w:val="20"/>
        <w:lang w:val="es-ES_tradnl"/>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E4155"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5E4D0043" wp14:editId="4B0FEC1F">
          <wp:extent cx="1027130" cy="452633"/>
          <wp:effectExtent l="19050" t="0" r="157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050D2230" w14:textId="77777777" w:rsidR="008A0152" w:rsidRDefault="008A0152" w:rsidP="00326935">
    <w:pPr>
      <w:tabs>
        <w:tab w:val="right" w:pos="9214"/>
      </w:tabs>
      <w:ind w:left="142" w:hanging="142"/>
      <w:rPr>
        <w:rFonts w:ascii="Arial" w:hAnsi="Arial" w:cs="Arial"/>
        <w:b/>
        <w:sz w:val="20"/>
        <w:lang w:val="es-ES_tradnl"/>
      </w:rPr>
    </w:pPr>
    <w:r w:rsidRPr="002C6517">
      <w:rPr>
        <w:rFonts w:ascii="Arial" w:hAnsi="Arial" w:cs="Arial"/>
        <w:b/>
        <w:sz w:val="20"/>
        <w:lang w:val="es-ES_tradnl"/>
      </w:rPr>
      <w:t xml:space="preserve">ANEXO </w:t>
    </w:r>
    <w:r>
      <w:rPr>
        <w:rFonts w:ascii="Arial" w:hAnsi="Arial" w:cs="Arial"/>
        <w:b/>
        <w:sz w:val="20"/>
        <w:lang w:val="es-ES_tradnl"/>
      </w:rPr>
      <w:t>R</w:t>
    </w:r>
  </w:p>
  <w:p w14:paraId="63E549C7" w14:textId="77777777" w:rsidR="008A0152" w:rsidRPr="002C6517" w:rsidRDefault="008A0152" w:rsidP="002C6517">
    <w:pPr>
      <w:tabs>
        <w:tab w:val="right" w:pos="9214"/>
      </w:tabs>
      <w:ind w:left="142" w:hanging="142"/>
      <w:rPr>
        <w:rFonts w:ascii="Arial" w:hAnsi="Arial" w:cs="Arial"/>
        <w:b/>
        <w:sz w:val="20"/>
        <w:lang w:val="es-ES"/>
      </w:rPr>
    </w:pPr>
  </w:p>
  <w:p w14:paraId="6E4C35ED" w14:textId="77777777" w:rsidR="008A0152" w:rsidRDefault="008A0152" w:rsidP="00944CB2">
    <w:pPr>
      <w:pStyle w:val="Encabezado"/>
      <w:jc w:val="center"/>
      <w:rPr>
        <w:rFonts w:ascii="Arial" w:hAnsi="Arial" w:cs="Arial"/>
        <w:b/>
        <w:sz w:val="20"/>
        <w:lang w:val="es-ES_tradnl"/>
      </w:rPr>
    </w:pPr>
    <w:r>
      <w:rPr>
        <w:rFonts w:ascii="Arial" w:hAnsi="Arial" w:cs="Arial"/>
        <w:b/>
        <w:sz w:val="20"/>
        <w:lang w:val="es-ES_tradnl"/>
      </w:rPr>
      <w:t>CORRECCION DE VALOR POR PERDIDAS CONSOLIDADAS</w:t>
    </w:r>
  </w:p>
  <w:p w14:paraId="7CBDAEBE" w14:textId="77777777" w:rsidR="008A0152" w:rsidRPr="002C6517" w:rsidRDefault="008A0152" w:rsidP="00944CB2">
    <w:pPr>
      <w:pStyle w:val="Encabezado"/>
      <w:jc w:val="center"/>
      <w:rPr>
        <w:rFonts w:ascii="Arial" w:hAnsi="Arial" w:cs="Arial"/>
        <w:b/>
        <w:sz w:val="20"/>
        <w:lang w:val="es-ES_tradnl"/>
      </w:rPr>
    </w:pPr>
    <w:r>
      <w:rPr>
        <w:rFonts w:ascii="Arial" w:hAnsi="Arial" w:cs="Arial"/>
        <w:b/>
        <w:sz w:val="20"/>
        <w:lang w:val="es-ES_tradnl"/>
      </w:rPr>
      <w:t>PREVISIONES POR RIESGO DE INCOBRABILIDAD</w:t>
    </w:r>
  </w:p>
  <w:p w14:paraId="13E5B3B9"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31 DE DICIEMBRE DE 2017 y 1 DE ENERO DE 2017</w:t>
    </w:r>
  </w:p>
  <w:p w14:paraId="6E2C8E0E" w14:textId="77777777" w:rsidR="008A0152" w:rsidRDefault="008A0152" w:rsidP="00083C7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3E52A4B9" w14:textId="77777777" w:rsidR="008A0152" w:rsidRPr="008C1D4C" w:rsidRDefault="008A0152" w:rsidP="002C6517">
    <w:pPr>
      <w:pStyle w:val="Encabezado"/>
      <w:rPr>
        <w:rFonts w:ascii="Arial" w:hAnsi="Arial" w:cs="Arial"/>
        <w:sz w:val="20"/>
        <w:lang w:val="es-ES_tradnl"/>
      </w:rPr>
    </w:pPr>
  </w:p>
  <w:p w14:paraId="03862DF2" w14:textId="77777777" w:rsidR="008A0152" w:rsidRPr="008C1D4C" w:rsidRDefault="008A0152" w:rsidP="008C1D4C">
    <w:pPr>
      <w:pStyle w:val="Encabezado"/>
      <w:rPr>
        <w:rFonts w:ascii="Arial" w:hAnsi="Arial" w:cs="Arial"/>
        <w:sz w:val="20"/>
        <w:lang w:val="es-ES_tradnl"/>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F1F3D" w14:textId="77777777" w:rsidR="008A0152" w:rsidRDefault="008A0152">
    <w:pPr>
      <w:pStyle w:val="Encabezado"/>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D6971" w14:textId="77777777" w:rsidR="008A0152" w:rsidRDefault="008A0152" w:rsidP="00D458EF">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CE23CAD" wp14:editId="4E3E8367">
          <wp:extent cx="1027130" cy="452633"/>
          <wp:effectExtent l="19050" t="0" r="157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022F682" w14:textId="77777777" w:rsidR="008A0152" w:rsidRDefault="008A0152" w:rsidP="00A97183">
    <w:pPr>
      <w:tabs>
        <w:tab w:val="right" w:pos="9214"/>
      </w:tabs>
      <w:ind w:left="142" w:hanging="142"/>
      <w:rPr>
        <w:rFonts w:ascii="Arial" w:hAnsi="Arial" w:cs="Arial"/>
        <w:b/>
        <w:sz w:val="20"/>
        <w:lang w:val="es-ES_tradnl"/>
      </w:rPr>
    </w:pPr>
  </w:p>
  <w:p w14:paraId="1857A6A1" w14:textId="77777777" w:rsidR="008A0152" w:rsidRDefault="008A0152" w:rsidP="00A97183">
    <w:pPr>
      <w:tabs>
        <w:tab w:val="right" w:pos="9214"/>
      </w:tabs>
      <w:ind w:left="142" w:hanging="142"/>
      <w:rPr>
        <w:rFonts w:ascii="Arial" w:hAnsi="Arial" w:cs="Arial"/>
        <w:b/>
        <w:sz w:val="20"/>
        <w:lang w:val="es-ES_tradnl"/>
      </w:rPr>
    </w:pPr>
  </w:p>
  <w:p w14:paraId="75A03A50" w14:textId="77777777" w:rsidR="008A0152" w:rsidRDefault="008A0152" w:rsidP="00A97183">
    <w:pPr>
      <w:tabs>
        <w:tab w:val="right" w:pos="9214"/>
      </w:tabs>
      <w:ind w:left="142" w:hanging="142"/>
      <w:rPr>
        <w:rFonts w:ascii="Arial" w:hAnsi="Arial" w:cs="Arial"/>
        <w:b/>
        <w:sz w:val="20"/>
        <w:lang w:val="es-ES_tradnl"/>
      </w:rPr>
    </w:pPr>
  </w:p>
  <w:p w14:paraId="1EEA0860" w14:textId="77777777" w:rsidR="008A0152" w:rsidRDefault="008A0152" w:rsidP="00A97183">
    <w:pPr>
      <w:tabs>
        <w:tab w:val="right" w:pos="9214"/>
      </w:tabs>
      <w:ind w:left="142" w:hanging="142"/>
      <w:rPr>
        <w:rFonts w:ascii="Arial" w:hAnsi="Arial" w:cs="Arial"/>
        <w:b/>
        <w:sz w:val="20"/>
        <w:lang w:val="es-ES_tradnl"/>
      </w:rPr>
    </w:pPr>
  </w:p>
  <w:p w14:paraId="1350015A" w14:textId="77777777" w:rsidR="008A0152" w:rsidRPr="00A97183" w:rsidRDefault="008A0152" w:rsidP="00A97183">
    <w:pPr>
      <w:tabs>
        <w:tab w:val="right" w:pos="9214"/>
      </w:tabs>
      <w:ind w:left="142" w:hanging="142"/>
      <w:rPr>
        <w:rFonts w:ascii="Arial" w:hAnsi="Arial" w:cs="Arial"/>
        <w:b/>
        <w:sz w:val="20"/>
        <w:lang w:val="es-ES_tradnl"/>
      </w:rPr>
    </w:pPr>
  </w:p>
  <w:p w14:paraId="7F508F31" w14:textId="77777777" w:rsidR="008A0152" w:rsidRDefault="008A0152"/>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4744" w14:textId="77777777" w:rsidR="008A0152" w:rsidRDefault="008A0152">
    <w:pPr>
      <w:pStyle w:val="Encabezado"/>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86A6" w14:textId="77777777" w:rsidR="008A0152" w:rsidRDefault="008A0152" w:rsidP="00452D9D">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4F43D5FE" wp14:editId="7875475D">
          <wp:extent cx="1027130" cy="452633"/>
          <wp:effectExtent l="19050" t="0" r="157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B077D93" w14:textId="77777777" w:rsidR="008A0152" w:rsidRPr="0056456F" w:rsidRDefault="008A0152" w:rsidP="00452D9D">
    <w:pPr>
      <w:tabs>
        <w:tab w:val="right" w:pos="9214"/>
      </w:tabs>
      <w:ind w:left="142" w:hanging="142"/>
      <w:jc w:val="right"/>
      <w:rPr>
        <w:rFonts w:ascii="Arial" w:hAnsi="Arial" w:cs="Arial"/>
        <w:b/>
        <w:sz w:val="20"/>
        <w:lang w:val="es-ES_tradnl"/>
      </w:rPr>
    </w:pPr>
  </w:p>
  <w:p w14:paraId="59694033" w14:textId="77777777" w:rsidR="008A0152" w:rsidRDefault="008A0152" w:rsidP="00343F2B">
    <w:pPr>
      <w:pStyle w:val="2Ttulo"/>
      <w:rPr>
        <w:rFonts w:ascii="Arial" w:hAnsi="Arial" w:cs="Arial"/>
        <w:sz w:val="20"/>
      </w:rPr>
    </w:pPr>
    <w:r w:rsidRPr="0017062B">
      <w:rPr>
        <w:rFonts w:ascii="Arial" w:hAnsi="Arial" w:cs="Arial"/>
        <w:sz w:val="20"/>
      </w:rPr>
      <w:t xml:space="preserve">ESTADO </w:t>
    </w:r>
    <w:r>
      <w:rPr>
        <w:rFonts w:ascii="Arial" w:hAnsi="Arial" w:cs="Arial"/>
        <w:sz w:val="20"/>
      </w:rPr>
      <w:t xml:space="preserve">SEPARADO </w:t>
    </w:r>
    <w:r w:rsidRPr="0017062B">
      <w:rPr>
        <w:rFonts w:ascii="Arial" w:hAnsi="Arial" w:cs="Arial"/>
        <w:sz w:val="20"/>
      </w:rPr>
      <w:t xml:space="preserve">DE SITUACION </w:t>
    </w:r>
    <w:r>
      <w:rPr>
        <w:rFonts w:ascii="Arial" w:hAnsi="Arial" w:cs="Arial"/>
        <w:sz w:val="20"/>
      </w:rPr>
      <w:t>FINANCIERA</w:t>
    </w:r>
  </w:p>
  <w:p w14:paraId="35D0CF87" w14:textId="77777777" w:rsidR="008A0152" w:rsidRPr="0017062B" w:rsidRDefault="008A0152" w:rsidP="00343F2B">
    <w:pPr>
      <w:pStyle w:val="2Ttulo"/>
      <w:rPr>
        <w:rFonts w:ascii="Arial" w:hAnsi="Arial" w:cs="Arial"/>
        <w:sz w:val="20"/>
      </w:rPr>
    </w:pPr>
    <w:r>
      <w:rPr>
        <w:rFonts w:ascii="Arial" w:hAnsi="Arial" w:cs="Arial"/>
        <w:sz w:val="20"/>
      </w:rPr>
      <w:t>AL 30 DE SEPTIEMRBE DE 2018</w:t>
    </w:r>
  </w:p>
  <w:p w14:paraId="26B63035" w14:textId="77777777" w:rsidR="008A0152" w:rsidRPr="00905E24" w:rsidRDefault="008A0152" w:rsidP="005C2DE7">
    <w:pPr>
      <w:pStyle w:val="2Ttulo"/>
      <w:rPr>
        <w:rFonts w:ascii="Arial" w:hAnsi="Arial" w:cs="Arial"/>
        <w:b w:val="0"/>
        <w:sz w:val="16"/>
        <w:szCs w:val="16"/>
        <w:lang w:val="es-ES_tradnl"/>
      </w:rPr>
    </w:pPr>
    <w:r w:rsidRPr="00905E24">
      <w:rPr>
        <w:rFonts w:ascii="Arial" w:hAnsi="Arial" w:cs="Arial"/>
        <w:b w:val="0"/>
        <w:sz w:val="16"/>
        <w:szCs w:val="16"/>
        <w:lang w:val="es-ES_tradnl"/>
      </w:rPr>
      <w:t>Presentado en forma comparativa con el ejercicio económico final</w:t>
    </w:r>
    <w:r>
      <w:rPr>
        <w:rFonts w:ascii="Arial" w:hAnsi="Arial" w:cs="Arial"/>
        <w:b w:val="0"/>
        <w:sz w:val="16"/>
        <w:szCs w:val="16"/>
        <w:lang w:val="es-ES_tradnl"/>
      </w:rPr>
      <w:t>izado el 31 de diciembre de 2017 y 1 enero 2017</w:t>
    </w:r>
  </w:p>
  <w:p w14:paraId="366423A4" w14:textId="77777777" w:rsidR="008A0152" w:rsidRDefault="008A0152" w:rsidP="005C2DE7">
    <w:pPr>
      <w:pStyle w:val="2Ttulo"/>
      <w:rPr>
        <w:rFonts w:ascii="Arial" w:hAnsi="Arial" w:cs="Arial"/>
        <w:b w:val="0"/>
        <w:sz w:val="16"/>
        <w:szCs w:val="16"/>
      </w:rPr>
    </w:pPr>
    <w:r w:rsidRPr="00905E24">
      <w:rPr>
        <w:rFonts w:ascii="Arial" w:hAnsi="Arial" w:cs="Arial"/>
        <w:b w:val="0"/>
        <w:sz w:val="16"/>
        <w:szCs w:val="16"/>
      </w:rPr>
      <w:t>(Cifras expresa</w:t>
    </w:r>
    <w:r>
      <w:rPr>
        <w:rFonts w:ascii="Arial" w:hAnsi="Arial" w:cs="Arial"/>
        <w:b w:val="0"/>
        <w:sz w:val="16"/>
        <w:szCs w:val="16"/>
      </w:rPr>
      <w:t>das en miles de pesos – Nota 1.1</w:t>
    </w:r>
    <w:r w:rsidRPr="00905E24">
      <w:rPr>
        <w:rFonts w:ascii="Arial" w:hAnsi="Arial" w:cs="Arial"/>
        <w:b w:val="0"/>
        <w:sz w:val="16"/>
        <w:szCs w:val="16"/>
      </w:rPr>
      <w:t>.</w:t>
    </w:r>
    <w:r>
      <w:rPr>
        <w:rFonts w:ascii="Arial" w:hAnsi="Arial" w:cs="Arial"/>
        <w:b w:val="0"/>
        <w:sz w:val="16"/>
        <w:szCs w:val="16"/>
      </w:rPr>
      <w:t xml:space="preserve"> in fine</w:t>
    </w:r>
    <w:r w:rsidRPr="00905E24">
      <w:rPr>
        <w:rFonts w:ascii="Arial" w:hAnsi="Arial" w:cs="Arial"/>
        <w:b w:val="0"/>
        <w:sz w:val="16"/>
        <w:szCs w:val="16"/>
      </w:rPr>
      <w:t>)</w:t>
    </w:r>
  </w:p>
  <w:p w14:paraId="3AB821DF" w14:textId="77777777" w:rsidR="008A0152" w:rsidRPr="00333643" w:rsidRDefault="008A0152" w:rsidP="005C2DE7">
    <w:pPr>
      <w:pStyle w:val="2Ttulo"/>
      <w:jc w:val="left"/>
      <w:rPr>
        <w:rFonts w:ascii="Arial" w:hAnsi="Arial" w:cs="Arial"/>
        <w:b w:val="0"/>
        <w:sz w:val="20"/>
      </w:rPr>
    </w:pPr>
  </w:p>
  <w:p w14:paraId="44F832F1" w14:textId="77777777" w:rsidR="008A0152" w:rsidRPr="00452D9D" w:rsidRDefault="008A0152" w:rsidP="005C2DE7">
    <w:pPr>
      <w:rPr>
        <w:rFonts w:ascii="Arial" w:hAnsi="Arial" w:cs="Arial"/>
        <w:b/>
        <w:sz w:val="20"/>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E1A3" w14:textId="77777777" w:rsidR="008A0152" w:rsidRDefault="008A0152" w:rsidP="00452D9D">
    <w:pPr>
      <w:tabs>
        <w:tab w:val="right" w:pos="9214"/>
      </w:tabs>
      <w:ind w:left="142" w:hanging="142"/>
      <w:jc w:val="right"/>
      <w:rPr>
        <w:rFonts w:ascii="Arial" w:hAnsi="Arial" w:cs="Arial"/>
        <w:sz w:val="20"/>
        <w:lang w:val="es-ES"/>
      </w:rPr>
    </w:pPr>
    <w:r w:rsidRPr="009042A8">
      <w:rPr>
        <w:rFonts w:ascii="Arial" w:hAnsi="Arial" w:cs="Arial"/>
        <w:noProof/>
        <w:sz w:val="20"/>
        <w:lang w:eastAsia="es-AR"/>
      </w:rPr>
      <w:drawing>
        <wp:inline distT="0" distB="0" distL="0" distR="0" wp14:anchorId="463FAFAC" wp14:editId="1443411D">
          <wp:extent cx="1027130" cy="452633"/>
          <wp:effectExtent l="19050" t="0" r="157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FBCFC6A" w14:textId="77777777" w:rsidR="008A0152" w:rsidRPr="0017062B" w:rsidRDefault="008A0152" w:rsidP="00452D9D">
    <w:pPr>
      <w:tabs>
        <w:tab w:val="right" w:pos="9214"/>
      </w:tabs>
      <w:ind w:left="142" w:hanging="142"/>
      <w:jc w:val="right"/>
      <w:rPr>
        <w:rFonts w:ascii="Arial" w:hAnsi="Arial" w:cs="Arial"/>
        <w:sz w:val="20"/>
        <w:lang w:val="es-ES"/>
      </w:rPr>
    </w:pPr>
  </w:p>
  <w:p w14:paraId="002C2BF4" w14:textId="77777777" w:rsidR="008A0152" w:rsidRPr="00D90995" w:rsidRDefault="008A0152" w:rsidP="00316445">
    <w:pPr>
      <w:pStyle w:val="2Ttulo"/>
      <w:rPr>
        <w:rFonts w:ascii="Arial" w:hAnsi="Arial" w:cs="Arial"/>
        <w:sz w:val="20"/>
        <w:lang w:val="es-ES_tradnl"/>
      </w:rPr>
    </w:pPr>
    <w:r>
      <w:rPr>
        <w:rFonts w:ascii="Arial" w:hAnsi="Arial" w:cs="Arial"/>
        <w:sz w:val="20"/>
      </w:rPr>
      <w:t xml:space="preserve">ESTADO SEPARADO DE RESULTADOS </w:t>
    </w:r>
  </w:p>
  <w:p w14:paraId="399EE105" w14:textId="77777777" w:rsidR="008A0152" w:rsidRDefault="008A0152" w:rsidP="00B511FF">
    <w:pPr>
      <w:pStyle w:val="2Ttulo"/>
      <w:rPr>
        <w:rFonts w:ascii="Arial" w:hAnsi="Arial" w:cs="Arial"/>
        <w:sz w:val="20"/>
        <w:lang w:val="es-ES_tradnl"/>
      </w:rPr>
    </w:pPr>
    <w:r w:rsidRPr="00D90995">
      <w:rPr>
        <w:rFonts w:ascii="Arial" w:hAnsi="Arial" w:cs="Arial"/>
        <w:sz w:val="20"/>
        <w:lang w:val="es-ES_tradnl"/>
      </w:rPr>
      <w:t xml:space="preserve">CORRESPONDIENTE AL </w:t>
    </w:r>
    <w:r>
      <w:rPr>
        <w:rFonts w:ascii="Arial" w:hAnsi="Arial" w:cs="Arial"/>
        <w:sz w:val="20"/>
        <w:lang w:val="es-ES_tradnl"/>
      </w:rPr>
      <w:t>PERIODO DE NUEVE MESES FINALIZADO</w:t>
    </w:r>
  </w:p>
  <w:p w14:paraId="1F2B4B32" w14:textId="77777777" w:rsidR="008A0152" w:rsidRPr="00B511FF" w:rsidRDefault="008A0152" w:rsidP="00B511FF">
    <w:pPr>
      <w:pStyle w:val="2Ttulo"/>
      <w:rPr>
        <w:rFonts w:ascii="Arial" w:hAnsi="Arial" w:cs="Arial"/>
        <w:b w:val="0"/>
        <w:sz w:val="20"/>
      </w:rPr>
    </w:pPr>
    <w:r>
      <w:rPr>
        <w:rFonts w:ascii="Arial" w:hAnsi="Arial" w:cs="Arial"/>
        <w:sz w:val="20"/>
        <w:lang w:val="es-ES_tradnl"/>
      </w:rPr>
      <w:t>EL 30</w:t>
    </w:r>
    <w:r w:rsidRPr="00D90995">
      <w:rPr>
        <w:rFonts w:ascii="Arial" w:hAnsi="Arial" w:cs="Arial"/>
        <w:sz w:val="20"/>
        <w:lang w:val="es-ES_tradnl"/>
      </w:rPr>
      <w:t xml:space="preserve"> DE</w:t>
    </w:r>
    <w:r>
      <w:rPr>
        <w:rFonts w:ascii="Arial" w:hAnsi="Arial" w:cs="Arial"/>
        <w:sz w:val="20"/>
        <w:lang w:val="es-ES_tradnl"/>
      </w:rPr>
      <w:t xml:space="preserve"> SEPTIEMBRE DE 2018</w:t>
    </w:r>
  </w:p>
  <w:p w14:paraId="5AF07EE0" w14:textId="77777777" w:rsidR="008A0152" w:rsidRPr="005E5441" w:rsidRDefault="008A0152" w:rsidP="00174CCB">
    <w:pPr>
      <w:pStyle w:val="2Ttulo"/>
      <w:rPr>
        <w:rFonts w:ascii="Arial" w:hAnsi="Arial" w:cs="Arial"/>
        <w:b w:val="0"/>
        <w:sz w:val="16"/>
        <w:szCs w:val="16"/>
        <w:lang w:val="es-ES_tradnl"/>
      </w:rPr>
    </w:pPr>
    <w:r w:rsidRPr="005E5441">
      <w:rPr>
        <w:rFonts w:ascii="Arial" w:hAnsi="Arial" w:cs="Arial"/>
        <w:b w:val="0"/>
        <w:sz w:val="16"/>
        <w:szCs w:val="16"/>
        <w:lang w:val="es-ES_tradnl"/>
      </w:rPr>
      <w:t>Presentado en</w:t>
    </w:r>
    <w:r>
      <w:rPr>
        <w:rFonts w:ascii="Arial" w:hAnsi="Arial" w:cs="Arial"/>
        <w:b w:val="0"/>
        <w:sz w:val="16"/>
        <w:szCs w:val="16"/>
        <w:lang w:val="es-ES_tradnl"/>
      </w:rPr>
      <w:t xml:space="preserve"> forma comparativa con igual períod</w:t>
    </w:r>
    <w:r w:rsidRPr="005E5441">
      <w:rPr>
        <w:rFonts w:ascii="Arial" w:hAnsi="Arial" w:cs="Arial"/>
        <w:b w:val="0"/>
        <w:sz w:val="16"/>
        <w:szCs w:val="16"/>
        <w:lang w:val="es-ES_tradnl"/>
      </w:rPr>
      <w:t>o</w:t>
    </w:r>
    <w:r>
      <w:rPr>
        <w:rFonts w:ascii="Arial" w:hAnsi="Arial" w:cs="Arial"/>
        <w:b w:val="0"/>
        <w:sz w:val="16"/>
        <w:szCs w:val="16"/>
        <w:lang w:val="es-ES_tradnl"/>
      </w:rPr>
      <w:t xml:space="preserve"> del ejercicio</w:t>
    </w:r>
    <w:r w:rsidRPr="005E5441">
      <w:rPr>
        <w:rFonts w:ascii="Arial" w:hAnsi="Arial" w:cs="Arial"/>
        <w:b w:val="0"/>
        <w:sz w:val="16"/>
        <w:szCs w:val="16"/>
        <w:lang w:val="es-ES_tradnl"/>
      </w:rPr>
      <w:t xml:space="preserve"> anterior</w:t>
    </w:r>
  </w:p>
  <w:p w14:paraId="57403CAD" w14:textId="77777777" w:rsidR="008A0152" w:rsidRDefault="008A0152" w:rsidP="00174CCB">
    <w:pPr>
      <w:pStyle w:val="2Ttulo"/>
      <w:rPr>
        <w:rFonts w:ascii="Arial" w:hAnsi="Arial" w:cs="Arial"/>
        <w:b w:val="0"/>
        <w:sz w:val="16"/>
        <w:szCs w:val="16"/>
      </w:rPr>
    </w:pPr>
    <w:r w:rsidRPr="005E5441">
      <w:rPr>
        <w:rFonts w:ascii="Arial" w:hAnsi="Arial" w:cs="Arial"/>
        <w:b w:val="0"/>
        <w:sz w:val="16"/>
        <w:szCs w:val="16"/>
      </w:rPr>
      <w:t>(Cifras expresadas en miles de pesos – Nota</w:t>
    </w:r>
    <w:r>
      <w:rPr>
        <w:rFonts w:ascii="Arial" w:hAnsi="Arial" w:cs="Arial"/>
        <w:b w:val="0"/>
        <w:sz w:val="16"/>
        <w:szCs w:val="16"/>
      </w:rPr>
      <w:t xml:space="preserve"> 1.1</w:t>
    </w:r>
    <w:r w:rsidRPr="005E5441">
      <w:rPr>
        <w:rFonts w:ascii="Arial" w:hAnsi="Arial" w:cs="Arial"/>
        <w:b w:val="0"/>
        <w:sz w:val="16"/>
        <w:szCs w:val="16"/>
      </w:rPr>
      <w:t>.</w:t>
    </w:r>
    <w:r>
      <w:rPr>
        <w:rFonts w:ascii="Arial" w:hAnsi="Arial" w:cs="Arial"/>
        <w:b w:val="0"/>
        <w:sz w:val="16"/>
        <w:szCs w:val="16"/>
      </w:rPr>
      <w:t>in fine</w:t>
    </w:r>
    <w:r w:rsidRPr="005E5441">
      <w:rPr>
        <w:rFonts w:ascii="Arial" w:hAnsi="Arial" w:cs="Arial"/>
        <w:b w:val="0"/>
        <w:sz w:val="16"/>
        <w:szCs w:val="16"/>
      </w:rPr>
      <w:t>)</w:t>
    </w:r>
  </w:p>
  <w:p w14:paraId="5664A8DD" w14:textId="77777777" w:rsidR="008A0152" w:rsidRPr="00050353" w:rsidRDefault="008A0152" w:rsidP="00174CCB">
    <w:pPr>
      <w:pStyle w:val="2Ttulo"/>
      <w:jc w:val="left"/>
      <w:rPr>
        <w:rFonts w:ascii="Arial" w:hAnsi="Arial" w:cs="Arial"/>
        <w:b w:val="0"/>
        <w:sz w:val="20"/>
      </w:rPr>
    </w:pPr>
  </w:p>
  <w:p w14:paraId="6EAF1554" w14:textId="77777777" w:rsidR="008A0152" w:rsidRPr="00174CCB" w:rsidRDefault="008A0152" w:rsidP="005C2DE7">
    <w:pPr>
      <w:rPr>
        <w:rFonts w:ascii="Arial" w:hAnsi="Arial" w:cs="Arial"/>
        <w:b/>
        <w:sz w:val="20"/>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A5522" w14:textId="77777777" w:rsidR="008A0152" w:rsidRDefault="008A0152" w:rsidP="00452D9D">
    <w:pPr>
      <w:tabs>
        <w:tab w:val="right" w:pos="9214"/>
      </w:tabs>
      <w:ind w:left="142" w:hanging="142"/>
      <w:jc w:val="right"/>
      <w:rPr>
        <w:rFonts w:ascii="Arial" w:hAnsi="Arial" w:cs="Arial"/>
        <w:sz w:val="20"/>
        <w:lang w:val="es-ES"/>
      </w:rPr>
    </w:pPr>
    <w:r w:rsidRPr="009042A8">
      <w:rPr>
        <w:rFonts w:ascii="Arial" w:hAnsi="Arial" w:cs="Arial"/>
        <w:noProof/>
        <w:sz w:val="20"/>
        <w:lang w:eastAsia="es-AR"/>
      </w:rPr>
      <w:drawing>
        <wp:inline distT="0" distB="0" distL="0" distR="0" wp14:anchorId="7325B107" wp14:editId="08053BED">
          <wp:extent cx="1027130" cy="452633"/>
          <wp:effectExtent l="19050" t="0" r="157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7770C57A" w14:textId="77777777" w:rsidR="008A0152" w:rsidRPr="0017062B" w:rsidRDefault="008A0152" w:rsidP="00452D9D">
    <w:pPr>
      <w:tabs>
        <w:tab w:val="right" w:pos="9214"/>
      </w:tabs>
      <w:ind w:left="142" w:hanging="142"/>
      <w:jc w:val="right"/>
      <w:rPr>
        <w:rFonts w:ascii="Arial" w:hAnsi="Arial" w:cs="Arial"/>
        <w:sz w:val="20"/>
        <w:lang w:val="es-ES"/>
      </w:rPr>
    </w:pPr>
  </w:p>
  <w:p w14:paraId="3C54C824" w14:textId="77777777" w:rsidR="008A0152" w:rsidRPr="00D90995" w:rsidRDefault="008A0152" w:rsidP="00316445">
    <w:pPr>
      <w:pStyle w:val="2Ttulo"/>
      <w:rPr>
        <w:rFonts w:ascii="Arial" w:hAnsi="Arial" w:cs="Arial"/>
        <w:sz w:val="20"/>
        <w:lang w:val="es-ES_tradnl"/>
      </w:rPr>
    </w:pPr>
    <w:r>
      <w:rPr>
        <w:rFonts w:ascii="Arial" w:hAnsi="Arial" w:cs="Arial"/>
        <w:sz w:val="20"/>
      </w:rPr>
      <w:t>ESTADO SEPARADO DE RESULTADOS – GANANCIA POR ACCION</w:t>
    </w:r>
  </w:p>
  <w:p w14:paraId="1B8ED96F" w14:textId="77777777" w:rsidR="008A0152" w:rsidRDefault="008A0152" w:rsidP="00B511FF">
    <w:pPr>
      <w:pStyle w:val="2Ttulo"/>
      <w:rPr>
        <w:rFonts w:ascii="Arial" w:hAnsi="Arial" w:cs="Arial"/>
        <w:sz w:val="20"/>
        <w:lang w:val="es-ES_tradnl"/>
      </w:rPr>
    </w:pPr>
    <w:r w:rsidRPr="00D90995">
      <w:rPr>
        <w:rFonts w:ascii="Arial" w:hAnsi="Arial" w:cs="Arial"/>
        <w:sz w:val="20"/>
        <w:lang w:val="es-ES_tradnl"/>
      </w:rPr>
      <w:t xml:space="preserve">CORRESPONDIENTE AL </w:t>
    </w:r>
    <w:r>
      <w:rPr>
        <w:rFonts w:ascii="Arial" w:hAnsi="Arial" w:cs="Arial"/>
        <w:sz w:val="20"/>
        <w:lang w:val="es-ES_tradnl"/>
      </w:rPr>
      <w:t>PERIODO DE NUEVE MESES FINALIZADO</w:t>
    </w:r>
  </w:p>
  <w:p w14:paraId="52382E52" w14:textId="77777777" w:rsidR="008A0152" w:rsidRDefault="008A0152" w:rsidP="00B511FF">
    <w:pPr>
      <w:pStyle w:val="2Ttulo"/>
      <w:rPr>
        <w:rFonts w:ascii="Arial" w:hAnsi="Arial" w:cs="Arial"/>
        <w:sz w:val="20"/>
        <w:lang w:val="es-ES_tradnl"/>
      </w:rPr>
    </w:pPr>
    <w:r>
      <w:rPr>
        <w:rFonts w:ascii="Arial" w:hAnsi="Arial" w:cs="Arial"/>
        <w:sz w:val="20"/>
        <w:lang w:val="es-ES_tradnl"/>
      </w:rPr>
      <w:t>EL 30</w:t>
    </w:r>
    <w:r w:rsidRPr="00D90995">
      <w:rPr>
        <w:rFonts w:ascii="Arial" w:hAnsi="Arial" w:cs="Arial"/>
        <w:sz w:val="20"/>
        <w:lang w:val="es-ES_tradnl"/>
      </w:rPr>
      <w:t xml:space="preserve"> DE</w:t>
    </w:r>
    <w:r>
      <w:rPr>
        <w:rFonts w:ascii="Arial" w:hAnsi="Arial" w:cs="Arial"/>
        <w:sz w:val="20"/>
        <w:lang w:val="es-ES_tradnl"/>
      </w:rPr>
      <w:t xml:space="preserve"> SEPTIEMBRE DE 2018</w:t>
    </w:r>
  </w:p>
  <w:p w14:paraId="5055E611" w14:textId="77777777" w:rsidR="008A0152" w:rsidRPr="00B511FF" w:rsidRDefault="008A0152" w:rsidP="00B511FF">
    <w:pPr>
      <w:pStyle w:val="2Ttulo"/>
      <w:rPr>
        <w:rFonts w:ascii="Arial" w:hAnsi="Arial" w:cs="Arial"/>
        <w:b w:val="0"/>
        <w:sz w:val="20"/>
      </w:rPr>
    </w:pPr>
  </w:p>
  <w:p w14:paraId="0A67F1B2" w14:textId="77777777" w:rsidR="008A0152" w:rsidRPr="005E5441" w:rsidRDefault="008A0152" w:rsidP="00174CCB">
    <w:pPr>
      <w:pStyle w:val="2Ttulo"/>
      <w:rPr>
        <w:rFonts w:ascii="Arial" w:hAnsi="Arial" w:cs="Arial"/>
        <w:b w:val="0"/>
        <w:sz w:val="16"/>
        <w:szCs w:val="16"/>
        <w:lang w:val="es-ES_tradnl"/>
      </w:rPr>
    </w:pPr>
    <w:r w:rsidRPr="005E5441">
      <w:rPr>
        <w:rFonts w:ascii="Arial" w:hAnsi="Arial" w:cs="Arial"/>
        <w:b w:val="0"/>
        <w:sz w:val="16"/>
        <w:szCs w:val="16"/>
        <w:lang w:val="es-ES_tradnl"/>
      </w:rPr>
      <w:t>Presentado en</w:t>
    </w:r>
    <w:r>
      <w:rPr>
        <w:rFonts w:ascii="Arial" w:hAnsi="Arial" w:cs="Arial"/>
        <w:b w:val="0"/>
        <w:sz w:val="16"/>
        <w:szCs w:val="16"/>
        <w:lang w:val="es-ES_tradnl"/>
      </w:rPr>
      <w:t xml:space="preserve"> forma comparativa con igual períod</w:t>
    </w:r>
    <w:r w:rsidRPr="005E5441">
      <w:rPr>
        <w:rFonts w:ascii="Arial" w:hAnsi="Arial" w:cs="Arial"/>
        <w:b w:val="0"/>
        <w:sz w:val="16"/>
        <w:szCs w:val="16"/>
        <w:lang w:val="es-ES_tradnl"/>
      </w:rPr>
      <w:t>o</w:t>
    </w:r>
    <w:r>
      <w:rPr>
        <w:rFonts w:ascii="Arial" w:hAnsi="Arial" w:cs="Arial"/>
        <w:b w:val="0"/>
        <w:sz w:val="16"/>
        <w:szCs w:val="16"/>
        <w:lang w:val="es-ES_tradnl"/>
      </w:rPr>
      <w:t xml:space="preserve"> del ejercicio</w:t>
    </w:r>
    <w:r w:rsidRPr="005E5441">
      <w:rPr>
        <w:rFonts w:ascii="Arial" w:hAnsi="Arial" w:cs="Arial"/>
        <w:b w:val="0"/>
        <w:sz w:val="16"/>
        <w:szCs w:val="16"/>
        <w:lang w:val="es-ES_tradnl"/>
      </w:rPr>
      <w:t xml:space="preserve"> anterior</w:t>
    </w:r>
  </w:p>
  <w:p w14:paraId="50AFF322" w14:textId="77777777" w:rsidR="008A0152" w:rsidRDefault="008A0152" w:rsidP="00174CCB">
    <w:pPr>
      <w:pStyle w:val="2Ttulo"/>
      <w:rPr>
        <w:rFonts w:ascii="Arial" w:hAnsi="Arial" w:cs="Arial"/>
        <w:b w:val="0"/>
        <w:sz w:val="16"/>
        <w:szCs w:val="16"/>
      </w:rPr>
    </w:pPr>
    <w:r w:rsidRPr="005E5441">
      <w:rPr>
        <w:rFonts w:ascii="Arial" w:hAnsi="Arial" w:cs="Arial"/>
        <w:b w:val="0"/>
        <w:sz w:val="16"/>
        <w:szCs w:val="16"/>
      </w:rPr>
      <w:t>(Cifras expresadas en miles de pesos – Nota</w:t>
    </w:r>
    <w:r>
      <w:rPr>
        <w:rFonts w:ascii="Arial" w:hAnsi="Arial" w:cs="Arial"/>
        <w:b w:val="0"/>
        <w:sz w:val="16"/>
        <w:szCs w:val="16"/>
      </w:rPr>
      <w:t xml:space="preserve"> 1.1</w:t>
    </w:r>
    <w:r w:rsidRPr="005E5441">
      <w:rPr>
        <w:rFonts w:ascii="Arial" w:hAnsi="Arial" w:cs="Arial"/>
        <w:b w:val="0"/>
        <w:sz w:val="16"/>
        <w:szCs w:val="16"/>
      </w:rPr>
      <w:t>.</w:t>
    </w:r>
    <w:r>
      <w:rPr>
        <w:rFonts w:ascii="Arial" w:hAnsi="Arial" w:cs="Arial"/>
        <w:b w:val="0"/>
        <w:sz w:val="16"/>
        <w:szCs w:val="16"/>
      </w:rPr>
      <w:t>in fine</w:t>
    </w:r>
    <w:r w:rsidRPr="005E5441">
      <w:rPr>
        <w:rFonts w:ascii="Arial" w:hAnsi="Arial" w:cs="Arial"/>
        <w:b w:val="0"/>
        <w:sz w:val="16"/>
        <w:szCs w:val="16"/>
      </w:rPr>
      <w:t>)</w:t>
    </w:r>
  </w:p>
  <w:p w14:paraId="090F4568" w14:textId="77777777" w:rsidR="008A0152" w:rsidRPr="00050353" w:rsidRDefault="008A0152" w:rsidP="00174CCB">
    <w:pPr>
      <w:pStyle w:val="2Ttulo"/>
      <w:jc w:val="left"/>
      <w:rPr>
        <w:rFonts w:ascii="Arial" w:hAnsi="Arial" w:cs="Arial"/>
        <w:b w:val="0"/>
        <w:sz w:val="20"/>
      </w:rPr>
    </w:pPr>
  </w:p>
  <w:p w14:paraId="29E66965" w14:textId="77777777" w:rsidR="008A0152" w:rsidRPr="00174CCB" w:rsidRDefault="008A0152" w:rsidP="005C2DE7">
    <w:pPr>
      <w:rPr>
        <w:rFonts w:ascii="Arial" w:hAnsi="Arial" w:cs="Arial"/>
        <w:b/>
        <w:sz w:val="20"/>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B29B" w14:textId="77777777" w:rsidR="008A0152" w:rsidRDefault="008A0152" w:rsidP="00452D9D">
    <w:pPr>
      <w:tabs>
        <w:tab w:val="right" w:pos="9214"/>
      </w:tabs>
      <w:ind w:left="142" w:hanging="142"/>
      <w:jc w:val="right"/>
      <w:rPr>
        <w:rFonts w:ascii="Arial" w:hAnsi="Arial" w:cs="Arial"/>
        <w:sz w:val="20"/>
        <w:lang w:val="es-ES"/>
      </w:rPr>
    </w:pPr>
    <w:r w:rsidRPr="009042A8">
      <w:rPr>
        <w:rFonts w:ascii="Arial" w:hAnsi="Arial" w:cs="Arial"/>
        <w:noProof/>
        <w:sz w:val="20"/>
        <w:lang w:eastAsia="es-AR"/>
      </w:rPr>
      <w:drawing>
        <wp:inline distT="0" distB="0" distL="0" distR="0" wp14:anchorId="4BD8B99B" wp14:editId="54554639">
          <wp:extent cx="1027130" cy="452633"/>
          <wp:effectExtent l="19050" t="0" r="157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4CDD7D9" w14:textId="77777777" w:rsidR="008A0152" w:rsidRPr="0017062B" w:rsidRDefault="008A0152" w:rsidP="00452D9D">
    <w:pPr>
      <w:tabs>
        <w:tab w:val="right" w:pos="9214"/>
      </w:tabs>
      <w:ind w:left="142" w:hanging="142"/>
      <w:jc w:val="right"/>
      <w:rPr>
        <w:rFonts w:ascii="Arial" w:hAnsi="Arial" w:cs="Arial"/>
        <w:sz w:val="20"/>
        <w:lang w:val="es-ES"/>
      </w:rPr>
    </w:pPr>
  </w:p>
  <w:p w14:paraId="57DE7D44" w14:textId="77777777" w:rsidR="008A0152" w:rsidRDefault="008A0152" w:rsidP="002669F4">
    <w:pPr>
      <w:pStyle w:val="2Ttulo"/>
      <w:rPr>
        <w:rFonts w:ascii="Arial" w:hAnsi="Arial" w:cs="Arial"/>
        <w:sz w:val="20"/>
        <w:lang w:val="es-ES_tradnl"/>
      </w:rPr>
    </w:pPr>
    <w:r>
      <w:rPr>
        <w:rFonts w:ascii="Arial" w:hAnsi="Arial" w:cs="Arial"/>
        <w:sz w:val="20"/>
      </w:rPr>
      <w:t>ESTADO SEPARADO DE OTROS RESULTADOS INTEGRALES</w:t>
    </w:r>
  </w:p>
  <w:p w14:paraId="0D7886F4" w14:textId="77777777" w:rsidR="008A0152" w:rsidRPr="00B511FF" w:rsidRDefault="008A0152" w:rsidP="00B511FF">
    <w:pPr>
      <w:pStyle w:val="2Ttulo"/>
      <w:rPr>
        <w:rFonts w:ascii="Arial" w:hAnsi="Arial" w:cs="Arial"/>
        <w:b w:val="0"/>
        <w:sz w:val="20"/>
      </w:rPr>
    </w:pPr>
    <w:r>
      <w:rPr>
        <w:rFonts w:ascii="Arial" w:hAnsi="Arial" w:cs="Arial"/>
        <w:sz w:val="20"/>
        <w:lang w:val="es-ES_tradnl"/>
      </w:rPr>
      <w:t>AL 30</w:t>
    </w:r>
    <w:r w:rsidRPr="00D90995">
      <w:rPr>
        <w:rFonts w:ascii="Arial" w:hAnsi="Arial" w:cs="Arial"/>
        <w:sz w:val="20"/>
        <w:lang w:val="es-ES_tradnl"/>
      </w:rPr>
      <w:t xml:space="preserve"> DE</w:t>
    </w:r>
    <w:r>
      <w:rPr>
        <w:rFonts w:ascii="Arial" w:hAnsi="Arial" w:cs="Arial"/>
        <w:sz w:val="20"/>
        <w:lang w:val="es-ES_tradnl"/>
      </w:rPr>
      <w:t xml:space="preserve"> SEPTIEMBRE DE 2018</w:t>
    </w:r>
  </w:p>
  <w:p w14:paraId="63DDEBAC" w14:textId="77777777" w:rsidR="008A0152" w:rsidRPr="005E5441" w:rsidRDefault="008A0152" w:rsidP="00174CCB">
    <w:pPr>
      <w:pStyle w:val="2Ttulo"/>
      <w:rPr>
        <w:rFonts w:ascii="Arial" w:hAnsi="Arial" w:cs="Arial"/>
        <w:b w:val="0"/>
        <w:sz w:val="16"/>
        <w:szCs w:val="16"/>
        <w:lang w:val="es-ES_tradnl"/>
      </w:rPr>
    </w:pPr>
    <w:r w:rsidRPr="005E5441">
      <w:rPr>
        <w:rFonts w:ascii="Arial" w:hAnsi="Arial" w:cs="Arial"/>
        <w:b w:val="0"/>
        <w:sz w:val="16"/>
        <w:szCs w:val="16"/>
        <w:lang w:val="es-ES_tradnl"/>
      </w:rPr>
      <w:t>Presentado en</w:t>
    </w:r>
    <w:r>
      <w:rPr>
        <w:rFonts w:ascii="Arial" w:hAnsi="Arial" w:cs="Arial"/>
        <w:b w:val="0"/>
        <w:sz w:val="16"/>
        <w:szCs w:val="16"/>
        <w:lang w:val="es-ES_tradnl"/>
      </w:rPr>
      <w:t xml:space="preserve"> forma comparativa con igual períod</w:t>
    </w:r>
    <w:r w:rsidRPr="005E5441">
      <w:rPr>
        <w:rFonts w:ascii="Arial" w:hAnsi="Arial" w:cs="Arial"/>
        <w:b w:val="0"/>
        <w:sz w:val="16"/>
        <w:szCs w:val="16"/>
        <w:lang w:val="es-ES_tradnl"/>
      </w:rPr>
      <w:t>o</w:t>
    </w:r>
    <w:r>
      <w:rPr>
        <w:rFonts w:ascii="Arial" w:hAnsi="Arial" w:cs="Arial"/>
        <w:b w:val="0"/>
        <w:sz w:val="16"/>
        <w:szCs w:val="16"/>
        <w:lang w:val="es-ES_tradnl"/>
      </w:rPr>
      <w:t xml:space="preserve"> del ejercicio</w:t>
    </w:r>
    <w:r w:rsidRPr="005E5441">
      <w:rPr>
        <w:rFonts w:ascii="Arial" w:hAnsi="Arial" w:cs="Arial"/>
        <w:b w:val="0"/>
        <w:sz w:val="16"/>
        <w:szCs w:val="16"/>
        <w:lang w:val="es-ES_tradnl"/>
      </w:rPr>
      <w:t xml:space="preserve"> anterior</w:t>
    </w:r>
  </w:p>
  <w:p w14:paraId="53A705B1" w14:textId="77777777" w:rsidR="008A0152" w:rsidRDefault="008A0152" w:rsidP="00174CCB">
    <w:pPr>
      <w:pStyle w:val="2Ttulo"/>
      <w:rPr>
        <w:rFonts w:ascii="Arial" w:hAnsi="Arial" w:cs="Arial"/>
        <w:b w:val="0"/>
        <w:sz w:val="16"/>
        <w:szCs w:val="16"/>
      </w:rPr>
    </w:pPr>
    <w:r w:rsidRPr="005E5441">
      <w:rPr>
        <w:rFonts w:ascii="Arial" w:hAnsi="Arial" w:cs="Arial"/>
        <w:b w:val="0"/>
        <w:sz w:val="16"/>
        <w:szCs w:val="16"/>
      </w:rPr>
      <w:t>(Cifras expresadas en miles de pesos – Nota</w:t>
    </w:r>
    <w:r>
      <w:rPr>
        <w:rFonts w:ascii="Arial" w:hAnsi="Arial" w:cs="Arial"/>
        <w:b w:val="0"/>
        <w:sz w:val="16"/>
        <w:szCs w:val="16"/>
      </w:rPr>
      <w:t xml:space="preserve"> 1.1</w:t>
    </w:r>
    <w:r w:rsidRPr="005E5441">
      <w:rPr>
        <w:rFonts w:ascii="Arial" w:hAnsi="Arial" w:cs="Arial"/>
        <w:b w:val="0"/>
        <w:sz w:val="16"/>
        <w:szCs w:val="16"/>
      </w:rPr>
      <w:t>.</w:t>
    </w:r>
    <w:r>
      <w:rPr>
        <w:rFonts w:ascii="Arial" w:hAnsi="Arial" w:cs="Arial"/>
        <w:b w:val="0"/>
        <w:sz w:val="16"/>
        <w:szCs w:val="16"/>
      </w:rPr>
      <w:t>in fine</w:t>
    </w:r>
    <w:r w:rsidRPr="005E5441">
      <w:rPr>
        <w:rFonts w:ascii="Arial" w:hAnsi="Arial" w:cs="Arial"/>
        <w:b w:val="0"/>
        <w:sz w:val="16"/>
        <w:szCs w:val="16"/>
      </w:rPr>
      <w:t>)</w:t>
    </w:r>
  </w:p>
  <w:p w14:paraId="499239D5" w14:textId="77777777" w:rsidR="008A0152" w:rsidRPr="00050353" w:rsidRDefault="008A0152" w:rsidP="00174CCB">
    <w:pPr>
      <w:pStyle w:val="2Ttulo"/>
      <w:jc w:val="left"/>
      <w:rPr>
        <w:rFonts w:ascii="Arial" w:hAnsi="Arial" w:cs="Arial"/>
        <w:b w:val="0"/>
        <w:sz w:val="20"/>
      </w:rPr>
    </w:pPr>
  </w:p>
  <w:p w14:paraId="09C174C0" w14:textId="77777777" w:rsidR="008A0152" w:rsidRPr="00174CCB" w:rsidRDefault="008A0152" w:rsidP="005C2DE7">
    <w:pPr>
      <w:rPr>
        <w:rFonts w:ascii="Arial" w:hAnsi="Arial" w:cs="Arial"/>
        <w:b/>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42E6" w14:textId="77777777" w:rsidR="008A0152" w:rsidRDefault="008A0152" w:rsidP="00C80859">
    <w:pPr>
      <w:tabs>
        <w:tab w:val="right" w:pos="9214"/>
      </w:tabs>
      <w:ind w:left="142" w:hanging="142"/>
      <w:jc w:val="right"/>
      <w:rPr>
        <w:rFonts w:ascii="Arial" w:hAnsi="Arial" w:cs="Arial"/>
        <w:sz w:val="20"/>
        <w:lang w:val="es-ES"/>
      </w:rPr>
    </w:pPr>
    <w:r w:rsidRPr="009042A8">
      <w:rPr>
        <w:rFonts w:ascii="Arial" w:hAnsi="Arial" w:cs="Arial"/>
        <w:b/>
        <w:noProof/>
        <w:sz w:val="20"/>
        <w:lang w:eastAsia="es-AR"/>
      </w:rPr>
      <w:drawing>
        <wp:inline distT="0" distB="0" distL="0" distR="0" wp14:anchorId="51D6CF2C" wp14:editId="38D69F6E">
          <wp:extent cx="1027130" cy="452633"/>
          <wp:effectExtent l="19050" t="0" r="157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12FD4002" w14:textId="77777777" w:rsidR="008A0152" w:rsidRDefault="008A0152" w:rsidP="00C80859">
    <w:pPr>
      <w:tabs>
        <w:tab w:val="right" w:pos="9214"/>
      </w:tabs>
      <w:ind w:left="142" w:hanging="142"/>
      <w:jc w:val="right"/>
      <w:rPr>
        <w:rFonts w:ascii="Arial" w:hAnsi="Arial" w:cs="Arial"/>
        <w:sz w:val="20"/>
        <w:lang w:val="es-ES"/>
      </w:rPr>
    </w:pPr>
  </w:p>
  <w:p w14:paraId="188D4706" w14:textId="77777777" w:rsidR="008A0152" w:rsidRPr="0017062B" w:rsidRDefault="008A0152" w:rsidP="00C80859">
    <w:pPr>
      <w:tabs>
        <w:tab w:val="right" w:pos="9214"/>
      </w:tabs>
      <w:ind w:left="142" w:hanging="142"/>
      <w:jc w:val="center"/>
      <w:rPr>
        <w:rFonts w:ascii="Arial" w:hAnsi="Arial" w:cs="Arial"/>
        <w:sz w:val="20"/>
        <w:lang w:val="es-ES"/>
      </w:rPr>
    </w:pPr>
  </w:p>
  <w:p w14:paraId="7EEA70CA" w14:textId="77777777" w:rsidR="008A0152" w:rsidRPr="0017062B" w:rsidRDefault="008A0152" w:rsidP="009327FF">
    <w:pPr>
      <w:pStyle w:val="2Ttulo"/>
      <w:rPr>
        <w:rFonts w:ascii="Arial" w:hAnsi="Arial" w:cs="Arial"/>
        <w:sz w:val="20"/>
      </w:rPr>
    </w:pPr>
    <w:r w:rsidRPr="0017062B">
      <w:rPr>
        <w:rFonts w:ascii="Arial" w:hAnsi="Arial" w:cs="Arial"/>
        <w:sz w:val="20"/>
      </w:rPr>
      <w:t xml:space="preserve">ESTADO </w:t>
    </w:r>
    <w:r>
      <w:rPr>
        <w:rFonts w:ascii="Arial" w:hAnsi="Arial" w:cs="Arial"/>
        <w:sz w:val="20"/>
      </w:rPr>
      <w:t>CONSOLIDADO</w:t>
    </w:r>
    <w:r w:rsidRPr="0017062B">
      <w:rPr>
        <w:rFonts w:ascii="Arial" w:hAnsi="Arial" w:cs="Arial"/>
        <w:sz w:val="20"/>
      </w:rPr>
      <w:t xml:space="preserve"> </w:t>
    </w:r>
    <w:r>
      <w:rPr>
        <w:rFonts w:ascii="Arial" w:hAnsi="Arial" w:cs="Arial"/>
        <w:sz w:val="20"/>
      </w:rPr>
      <w:t xml:space="preserve">DE </w:t>
    </w:r>
    <w:r w:rsidRPr="0017062B">
      <w:rPr>
        <w:rFonts w:ascii="Arial" w:hAnsi="Arial" w:cs="Arial"/>
        <w:sz w:val="20"/>
      </w:rPr>
      <w:t>RESULTADOS</w:t>
    </w:r>
  </w:p>
  <w:p w14:paraId="02F5FDC2" w14:textId="77777777" w:rsidR="008A0152" w:rsidRDefault="008A0152" w:rsidP="00143CC8">
    <w:pPr>
      <w:pStyle w:val="2Ttulo"/>
      <w:rPr>
        <w:rFonts w:ascii="Arial" w:hAnsi="Arial" w:cs="Arial"/>
        <w:sz w:val="20"/>
        <w:lang w:val="es-ES_tradnl"/>
      </w:rPr>
    </w:pPr>
    <w:r w:rsidRPr="0017062B">
      <w:rPr>
        <w:rFonts w:ascii="Arial" w:hAnsi="Arial" w:cs="Arial"/>
        <w:sz w:val="20"/>
        <w:lang w:val="es-ES_tradnl"/>
      </w:rPr>
      <w:t>CO</w:t>
    </w:r>
    <w:r>
      <w:rPr>
        <w:rFonts w:ascii="Arial" w:hAnsi="Arial" w:cs="Arial"/>
        <w:sz w:val="20"/>
        <w:lang w:val="es-ES_tradnl"/>
      </w:rPr>
      <w:t xml:space="preserve">RRESPONDIENTE AL PERIODO DE NUEVE MESES FINALIZADO </w:t>
    </w:r>
  </w:p>
  <w:p w14:paraId="32149F12" w14:textId="77777777" w:rsidR="008A0152" w:rsidRDefault="008A0152" w:rsidP="007D0D3E">
    <w:pPr>
      <w:pStyle w:val="2Ttulo"/>
      <w:rPr>
        <w:rFonts w:ascii="Arial" w:hAnsi="Arial" w:cs="Arial"/>
        <w:sz w:val="20"/>
        <w:lang w:val="es-ES_tradnl"/>
      </w:rPr>
    </w:pPr>
    <w:r>
      <w:rPr>
        <w:rFonts w:ascii="Arial" w:hAnsi="Arial" w:cs="Arial"/>
        <w:sz w:val="20"/>
        <w:lang w:val="es-ES_tradnl"/>
      </w:rPr>
      <w:t>EL 30</w:t>
    </w:r>
    <w:r w:rsidRPr="0017062B">
      <w:rPr>
        <w:rFonts w:ascii="Arial" w:hAnsi="Arial" w:cs="Arial"/>
        <w:sz w:val="20"/>
        <w:lang w:val="es-ES_tradnl"/>
      </w:rPr>
      <w:t xml:space="preserve"> DE</w:t>
    </w:r>
    <w:r>
      <w:rPr>
        <w:rFonts w:ascii="Arial" w:hAnsi="Arial" w:cs="Arial"/>
        <w:sz w:val="20"/>
        <w:lang w:val="es-ES_tradnl"/>
      </w:rPr>
      <w:t xml:space="preserve"> SEPTIEMBRE DE 2018</w:t>
    </w:r>
  </w:p>
  <w:p w14:paraId="5C2733BB" w14:textId="77777777" w:rsidR="008A0152" w:rsidRDefault="008A0152" w:rsidP="007D0D3E">
    <w:pPr>
      <w:pStyle w:val="2Ttulo"/>
      <w:rPr>
        <w:rFonts w:ascii="Arial" w:hAnsi="Arial" w:cs="Arial"/>
        <w:sz w:val="20"/>
        <w:lang w:val="es-ES_tradnl"/>
      </w:rPr>
    </w:pPr>
  </w:p>
  <w:p w14:paraId="66F874A2" w14:textId="77777777" w:rsidR="008A0152" w:rsidRPr="005E5441" w:rsidRDefault="008A0152" w:rsidP="00143CC8">
    <w:pPr>
      <w:pStyle w:val="2Ttulo"/>
      <w:rPr>
        <w:rFonts w:ascii="Arial" w:hAnsi="Arial" w:cs="Arial"/>
        <w:b w:val="0"/>
        <w:sz w:val="16"/>
        <w:szCs w:val="16"/>
        <w:lang w:val="es-ES_tradnl"/>
      </w:rPr>
    </w:pPr>
    <w:r w:rsidRPr="005E5441">
      <w:rPr>
        <w:rFonts w:ascii="Arial" w:hAnsi="Arial" w:cs="Arial"/>
        <w:b w:val="0"/>
        <w:sz w:val="16"/>
        <w:szCs w:val="16"/>
        <w:lang w:val="es-ES_tradnl"/>
      </w:rPr>
      <w:t xml:space="preserve">Presentado </w:t>
    </w:r>
    <w:r>
      <w:rPr>
        <w:rFonts w:ascii="Arial" w:hAnsi="Arial" w:cs="Arial"/>
        <w:b w:val="0"/>
        <w:sz w:val="16"/>
        <w:szCs w:val="16"/>
        <w:lang w:val="es-ES_tradnl"/>
      </w:rPr>
      <w:t>en forma comparativa con igual período del ejercicio</w:t>
    </w:r>
    <w:r w:rsidRPr="005E5441">
      <w:rPr>
        <w:rFonts w:ascii="Arial" w:hAnsi="Arial" w:cs="Arial"/>
        <w:b w:val="0"/>
        <w:sz w:val="16"/>
        <w:szCs w:val="16"/>
        <w:lang w:val="es-ES_tradnl"/>
      </w:rPr>
      <w:t xml:space="preserve"> anterior</w:t>
    </w:r>
  </w:p>
  <w:p w14:paraId="649F53AD" w14:textId="77777777" w:rsidR="008A0152" w:rsidRDefault="008A0152" w:rsidP="00143CC8">
    <w:pPr>
      <w:pStyle w:val="2Ttulo"/>
      <w:rPr>
        <w:rFonts w:ascii="Arial" w:hAnsi="Arial" w:cs="Arial"/>
        <w:b w:val="0"/>
        <w:sz w:val="16"/>
        <w:szCs w:val="16"/>
      </w:rPr>
    </w:pPr>
    <w:r w:rsidRPr="005E5441">
      <w:rPr>
        <w:rFonts w:ascii="Arial" w:hAnsi="Arial" w:cs="Arial"/>
        <w:b w:val="0"/>
        <w:sz w:val="16"/>
        <w:szCs w:val="16"/>
      </w:rPr>
      <w:t>(Cifras expresadas en miles de pesos)</w:t>
    </w:r>
  </w:p>
  <w:p w14:paraId="4F59F21B" w14:textId="77777777" w:rsidR="008A0152" w:rsidRPr="00050353" w:rsidRDefault="008A0152" w:rsidP="00050353">
    <w:pPr>
      <w:pStyle w:val="2Ttulo"/>
      <w:jc w:val="left"/>
      <w:rPr>
        <w:rFonts w:ascii="Arial" w:hAnsi="Arial" w:cs="Arial"/>
        <w:b w:val="0"/>
        <w:sz w:val="20"/>
      </w:rPr>
    </w:pPr>
  </w:p>
  <w:p w14:paraId="48A9E2FB" w14:textId="77777777" w:rsidR="008A0152" w:rsidRPr="00B70E4F" w:rsidRDefault="008A0152" w:rsidP="00050353">
    <w:pPr>
      <w:pStyle w:val="2Ttulo"/>
      <w:jc w:val="left"/>
      <w:rPr>
        <w:rFonts w:ascii="Arial" w:hAnsi="Arial" w:cs="Arial"/>
        <w:sz w:val="16"/>
        <w:szCs w:val="16"/>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CA8D3" w14:textId="77777777" w:rsidR="008A0152" w:rsidRDefault="008A0152" w:rsidP="00452D9D">
    <w:pPr>
      <w:tabs>
        <w:tab w:val="right" w:pos="9214"/>
      </w:tabs>
      <w:ind w:left="142" w:hanging="142"/>
      <w:jc w:val="right"/>
      <w:rPr>
        <w:rFonts w:ascii="Arial" w:hAnsi="Arial" w:cs="Arial"/>
        <w:sz w:val="20"/>
        <w:lang w:val="es-ES"/>
      </w:rPr>
    </w:pPr>
    <w:r w:rsidRPr="009042A8">
      <w:rPr>
        <w:rFonts w:ascii="Arial" w:hAnsi="Arial" w:cs="Arial"/>
        <w:noProof/>
        <w:sz w:val="20"/>
        <w:lang w:eastAsia="es-AR"/>
      </w:rPr>
      <w:drawing>
        <wp:inline distT="0" distB="0" distL="0" distR="0" wp14:anchorId="6673ED85" wp14:editId="086BE7FA">
          <wp:extent cx="1027130" cy="452633"/>
          <wp:effectExtent l="19050" t="0" r="1570" b="0"/>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19D57FE5" w14:textId="77777777" w:rsidR="008A0152" w:rsidRPr="0017062B" w:rsidRDefault="008A0152" w:rsidP="00452D9D">
    <w:pPr>
      <w:tabs>
        <w:tab w:val="right" w:pos="9214"/>
      </w:tabs>
      <w:ind w:left="142" w:hanging="142"/>
      <w:jc w:val="right"/>
      <w:rPr>
        <w:rFonts w:ascii="Arial" w:hAnsi="Arial" w:cs="Arial"/>
        <w:sz w:val="20"/>
        <w:lang w:val="es-ES"/>
      </w:rPr>
    </w:pPr>
  </w:p>
  <w:p w14:paraId="2E98347B" w14:textId="77777777" w:rsidR="008A0152" w:rsidRDefault="008A0152" w:rsidP="002669F4">
    <w:pPr>
      <w:pStyle w:val="2Ttulo"/>
      <w:rPr>
        <w:rFonts w:ascii="Arial" w:hAnsi="Arial" w:cs="Arial"/>
        <w:sz w:val="20"/>
        <w:lang w:val="es-ES_tradnl"/>
      </w:rPr>
    </w:pPr>
    <w:r>
      <w:rPr>
        <w:rFonts w:ascii="Arial" w:hAnsi="Arial" w:cs="Arial"/>
        <w:sz w:val="20"/>
      </w:rPr>
      <w:t>ESTADO SEPARADO DE CAMBIOS EN EL PATRIMONIO</w:t>
    </w:r>
  </w:p>
  <w:p w14:paraId="202226AE" w14:textId="77777777" w:rsidR="008A0152" w:rsidRPr="00B511FF" w:rsidRDefault="008A0152" w:rsidP="00B511FF">
    <w:pPr>
      <w:pStyle w:val="2Ttulo"/>
      <w:rPr>
        <w:rFonts w:ascii="Arial" w:hAnsi="Arial" w:cs="Arial"/>
        <w:b w:val="0"/>
        <w:sz w:val="20"/>
      </w:rPr>
    </w:pPr>
    <w:r>
      <w:rPr>
        <w:rFonts w:ascii="Arial" w:hAnsi="Arial" w:cs="Arial"/>
        <w:sz w:val="20"/>
        <w:lang w:val="es-ES_tradnl"/>
      </w:rPr>
      <w:t>AL 30</w:t>
    </w:r>
    <w:r w:rsidRPr="00D90995">
      <w:rPr>
        <w:rFonts w:ascii="Arial" w:hAnsi="Arial" w:cs="Arial"/>
        <w:sz w:val="20"/>
        <w:lang w:val="es-ES_tradnl"/>
      </w:rPr>
      <w:t xml:space="preserve"> DE</w:t>
    </w:r>
    <w:r>
      <w:rPr>
        <w:rFonts w:ascii="Arial" w:hAnsi="Arial" w:cs="Arial"/>
        <w:sz w:val="20"/>
        <w:lang w:val="es-ES_tradnl"/>
      </w:rPr>
      <w:t xml:space="preserve"> SEPTIEMBRE DE 2018</w:t>
    </w:r>
  </w:p>
  <w:p w14:paraId="5932AC70" w14:textId="77777777" w:rsidR="008A0152" w:rsidRPr="005E5441" w:rsidRDefault="008A0152" w:rsidP="00174CCB">
    <w:pPr>
      <w:pStyle w:val="2Ttulo"/>
      <w:rPr>
        <w:rFonts w:ascii="Arial" w:hAnsi="Arial" w:cs="Arial"/>
        <w:b w:val="0"/>
        <w:sz w:val="16"/>
        <w:szCs w:val="16"/>
        <w:lang w:val="es-ES_tradnl"/>
      </w:rPr>
    </w:pPr>
    <w:r w:rsidRPr="005E5441">
      <w:rPr>
        <w:rFonts w:ascii="Arial" w:hAnsi="Arial" w:cs="Arial"/>
        <w:b w:val="0"/>
        <w:sz w:val="16"/>
        <w:szCs w:val="16"/>
        <w:lang w:val="es-ES_tradnl"/>
      </w:rPr>
      <w:t>Presentado en</w:t>
    </w:r>
    <w:r>
      <w:rPr>
        <w:rFonts w:ascii="Arial" w:hAnsi="Arial" w:cs="Arial"/>
        <w:b w:val="0"/>
        <w:sz w:val="16"/>
        <w:szCs w:val="16"/>
        <w:lang w:val="es-ES_tradnl"/>
      </w:rPr>
      <w:t xml:space="preserve"> forma comparativa con igual períod</w:t>
    </w:r>
    <w:r w:rsidRPr="005E5441">
      <w:rPr>
        <w:rFonts w:ascii="Arial" w:hAnsi="Arial" w:cs="Arial"/>
        <w:b w:val="0"/>
        <w:sz w:val="16"/>
        <w:szCs w:val="16"/>
        <w:lang w:val="es-ES_tradnl"/>
      </w:rPr>
      <w:t>o</w:t>
    </w:r>
    <w:r>
      <w:rPr>
        <w:rFonts w:ascii="Arial" w:hAnsi="Arial" w:cs="Arial"/>
        <w:b w:val="0"/>
        <w:sz w:val="16"/>
        <w:szCs w:val="16"/>
        <w:lang w:val="es-ES_tradnl"/>
      </w:rPr>
      <w:t xml:space="preserve"> del ejercicio</w:t>
    </w:r>
    <w:r w:rsidRPr="005E5441">
      <w:rPr>
        <w:rFonts w:ascii="Arial" w:hAnsi="Arial" w:cs="Arial"/>
        <w:b w:val="0"/>
        <w:sz w:val="16"/>
        <w:szCs w:val="16"/>
        <w:lang w:val="es-ES_tradnl"/>
      </w:rPr>
      <w:t xml:space="preserve"> anterior</w:t>
    </w:r>
  </w:p>
  <w:p w14:paraId="080E2C9E" w14:textId="77777777" w:rsidR="008A0152" w:rsidRDefault="008A0152" w:rsidP="00174CCB">
    <w:pPr>
      <w:pStyle w:val="2Ttulo"/>
      <w:rPr>
        <w:rFonts w:ascii="Arial" w:hAnsi="Arial" w:cs="Arial"/>
        <w:b w:val="0"/>
        <w:sz w:val="16"/>
        <w:szCs w:val="16"/>
      </w:rPr>
    </w:pPr>
    <w:r w:rsidRPr="005E5441">
      <w:rPr>
        <w:rFonts w:ascii="Arial" w:hAnsi="Arial" w:cs="Arial"/>
        <w:b w:val="0"/>
        <w:sz w:val="16"/>
        <w:szCs w:val="16"/>
      </w:rPr>
      <w:t>(Cifras expresadas en miles de pesos – Nota</w:t>
    </w:r>
    <w:r>
      <w:rPr>
        <w:rFonts w:ascii="Arial" w:hAnsi="Arial" w:cs="Arial"/>
        <w:b w:val="0"/>
        <w:sz w:val="16"/>
        <w:szCs w:val="16"/>
      </w:rPr>
      <w:t xml:space="preserve"> 1.1</w:t>
    </w:r>
    <w:r w:rsidRPr="005E5441">
      <w:rPr>
        <w:rFonts w:ascii="Arial" w:hAnsi="Arial" w:cs="Arial"/>
        <w:b w:val="0"/>
        <w:sz w:val="16"/>
        <w:szCs w:val="16"/>
      </w:rPr>
      <w:t>.</w:t>
    </w:r>
    <w:r>
      <w:rPr>
        <w:rFonts w:ascii="Arial" w:hAnsi="Arial" w:cs="Arial"/>
        <w:b w:val="0"/>
        <w:sz w:val="16"/>
        <w:szCs w:val="16"/>
      </w:rPr>
      <w:t>in fine</w:t>
    </w:r>
    <w:r w:rsidRPr="005E5441">
      <w:rPr>
        <w:rFonts w:ascii="Arial" w:hAnsi="Arial" w:cs="Arial"/>
        <w:b w:val="0"/>
        <w:sz w:val="16"/>
        <w:szCs w:val="16"/>
      </w:rPr>
      <w:t>)</w:t>
    </w:r>
  </w:p>
  <w:p w14:paraId="22D25A67" w14:textId="77777777" w:rsidR="008A0152" w:rsidRPr="00050353" w:rsidRDefault="008A0152" w:rsidP="00174CCB">
    <w:pPr>
      <w:pStyle w:val="2Ttulo"/>
      <w:jc w:val="left"/>
      <w:rPr>
        <w:rFonts w:ascii="Arial" w:hAnsi="Arial" w:cs="Arial"/>
        <w:b w:val="0"/>
        <w:sz w:val="20"/>
      </w:rPr>
    </w:pPr>
  </w:p>
  <w:p w14:paraId="7AE2F350" w14:textId="77777777" w:rsidR="008A0152" w:rsidRPr="00174CCB" w:rsidRDefault="008A0152" w:rsidP="005C2DE7">
    <w:pPr>
      <w:rPr>
        <w:rFonts w:ascii="Arial" w:hAnsi="Arial" w:cs="Arial"/>
        <w:b/>
        <w:sz w:val="20"/>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B548" w14:textId="77777777" w:rsidR="008A0152" w:rsidRDefault="008A0152" w:rsidP="00452D9D">
    <w:pPr>
      <w:pStyle w:val="2Ttulo"/>
      <w:jc w:val="right"/>
      <w:rPr>
        <w:rFonts w:ascii="Arial" w:hAnsi="Arial" w:cs="Arial"/>
        <w:sz w:val="20"/>
      </w:rPr>
    </w:pPr>
    <w:r w:rsidRPr="009042A8">
      <w:rPr>
        <w:rFonts w:ascii="Arial" w:hAnsi="Arial" w:cs="Arial"/>
        <w:noProof/>
        <w:sz w:val="20"/>
        <w:lang w:eastAsia="es-AR"/>
      </w:rPr>
      <w:drawing>
        <wp:inline distT="0" distB="0" distL="0" distR="0" wp14:anchorId="2EAF2170" wp14:editId="0FA28155">
          <wp:extent cx="1027130" cy="452633"/>
          <wp:effectExtent l="19050" t="0" r="1570" b="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62B47E78" w14:textId="77777777" w:rsidR="008A0152" w:rsidRPr="000C455E" w:rsidRDefault="008A0152" w:rsidP="00452D9D">
    <w:pPr>
      <w:pStyle w:val="2Ttulo"/>
      <w:jc w:val="right"/>
      <w:rPr>
        <w:rFonts w:ascii="Arial" w:hAnsi="Arial" w:cs="Arial"/>
        <w:sz w:val="20"/>
      </w:rPr>
    </w:pPr>
  </w:p>
  <w:p w14:paraId="4164B06A" w14:textId="77777777" w:rsidR="008A0152" w:rsidRPr="000C455E" w:rsidRDefault="008A0152" w:rsidP="00F50B2D">
    <w:pPr>
      <w:pStyle w:val="2Ttulo"/>
      <w:rPr>
        <w:rFonts w:ascii="Arial" w:hAnsi="Arial" w:cs="Arial"/>
        <w:sz w:val="20"/>
      </w:rPr>
    </w:pPr>
    <w:r w:rsidRPr="000C455E">
      <w:rPr>
        <w:rFonts w:ascii="Arial" w:hAnsi="Arial" w:cs="Arial"/>
        <w:sz w:val="20"/>
      </w:rPr>
      <w:t xml:space="preserve">ESTADO </w:t>
    </w:r>
    <w:r>
      <w:rPr>
        <w:rFonts w:ascii="Arial" w:hAnsi="Arial" w:cs="Arial"/>
        <w:sz w:val="20"/>
      </w:rPr>
      <w:t xml:space="preserve">SEPARADO </w:t>
    </w:r>
    <w:r w:rsidRPr="000C455E">
      <w:rPr>
        <w:rFonts w:ascii="Arial" w:hAnsi="Arial" w:cs="Arial"/>
        <w:sz w:val="20"/>
      </w:rPr>
      <w:t>DE FLUJO</w:t>
    </w:r>
    <w:r>
      <w:rPr>
        <w:rFonts w:ascii="Arial" w:hAnsi="Arial" w:cs="Arial"/>
        <w:sz w:val="20"/>
      </w:rPr>
      <w:t>S</w:t>
    </w:r>
    <w:r w:rsidRPr="000C455E">
      <w:rPr>
        <w:rFonts w:ascii="Arial" w:hAnsi="Arial" w:cs="Arial"/>
        <w:sz w:val="20"/>
      </w:rPr>
      <w:t xml:space="preserve"> DE EFECTIVO</w:t>
    </w:r>
    <w:r>
      <w:rPr>
        <w:rFonts w:ascii="Arial" w:hAnsi="Arial" w:cs="Arial"/>
        <w:sz w:val="20"/>
      </w:rPr>
      <w:t xml:space="preserve"> </w:t>
    </w:r>
  </w:p>
  <w:p w14:paraId="4ED09EC9" w14:textId="77777777" w:rsidR="008A0152" w:rsidRDefault="008A0152" w:rsidP="00F50B2D">
    <w:pPr>
      <w:pStyle w:val="2Ttulo"/>
      <w:rPr>
        <w:rFonts w:ascii="Arial" w:hAnsi="Arial" w:cs="Arial"/>
        <w:sz w:val="20"/>
        <w:lang w:val="es-ES_tradnl"/>
      </w:rPr>
    </w:pPr>
    <w:r w:rsidRPr="000C455E">
      <w:rPr>
        <w:rFonts w:ascii="Arial" w:hAnsi="Arial" w:cs="Arial"/>
        <w:sz w:val="20"/>
        <w:lang w:val="es-ES_tradnl"/>
      </w:rPr>
      <w:t xml:space="preserve">CORRESPONDIENTE AL </w:t>
    </w:r>
    <w:r>
      <w:rPr>
        <w:rFonts w:ascii="Arial" w:hAnsi="Arial" w:cs="Arial"/>
        <w:sz w:val="20"/>
        <w:lang w:val="es-ES_tradnl"/>
      </w:rPr>
      <w:t>PERIODO DE NUEVE MESES FINALIZADO</w:t>
    </w:r>
  </w:p>
  <w:p w14:paraId="34685B6A" w14:textId="77777777" w:rsidR="008A0152" w:rsidRPr="000C455E" w:rsidRDefault="008A0152" w:rsidP="00F50B2D">
    <w:pPr>
      <w:pStyle w:val="2Ttulo"/>
      <w:rPr>
        <w:rFonts w:ascii="Arial" w:hAnsi="Arial" w:cs="Arial"/>
        <w:sz w:val="20"/>
        <w:lang w:val="es-ES_tradnl"/>
      </w:rPr>
    </w:pPr>
    <w:r>
      <w:rPr>
        <w:rFonts w:ascii="Arial" w:hAnsi="Arial" w:cs="Arial"/>
        <w:sz w:val="20"/>
        <w:lang w:val="es-ES_tradnl"/>
      </w:rPr>
      <w:t>EL 30 DE SEPTIEMBRE DE 2018</w:t>
    </w:r>
  </w:p>
  <w:p w14:paraId="2287B58B" w14:textId="77777777" w:rsidR="008A0152" w:rsidRPr="005E5441" w:rsidRDefault="008A0152" w:rsidP="00F50B2D">
    <w:pPr>
      <w:pStyle w:val="2Ttulo"/>
      <w:rPr>
        <w:rFonts w:ascii="Arial" w:hAnsi="Arial" w:cs="Arial"/>
        <w:b w:val="0"/>
        <w:sz w:val="16"/>
        <w:szCs w:val="16"/>
        <w:lang w:val="es-ES_tradnl"/>
      </w:rPr>
    </w:pPr>
    <w:r w:rsidRPr="005E5441">
      <w:rPr>
        <w:rFonts w:ascii="Arial" w:hAnsi="Arial" w:cs="Arial"/>
        <w:b w:val="0"/>
        <w:sz w:val="16"/>
        <w:szCs w:val="16"/>
        <w:lang w:val="es-ES_tradnl"/>
      </w:rPr>
      <w:t xml:space="preserve">Presentado en forma comparativa con </w:t>
    </w:r>
    <w:r>
      <w:rPr>
        <w:rFonts w:ascii="Arial" w:hAnsi="Arial" w:cs="Arial"/>
        <w:b w:val="0"/>
        <w:sz w:val="16"/>
        <w:szCs w:val="16"/>
        <w:lang w:val="es-ES_tradnl"/>
      </w:rPr>
      <w:t>igual períod</w:t>
    </w:r>
    <w:r w:rsidRPr="005E5441">
      <w:rPr>
        <w:rFonts w:ascii="Arial" w:hAnsi="Arial" w:cs="Arial"/>
        <w:b w:val="0"/>
        <w:sz w:val="16"/>
        <w:szCs w:val="16"/>
        <w:lang w:val="es-ES_tradnl"/>
      </w:rPr>
      <w:t>o</w:t>
    </w:r>
    <w:r>
      <w:rPr>
        <w:rFonts w:ascii="Arial" w:hAnsi="Arial" w:cs="Arial"/>
        <w:b w:val="0"/>
        <w:sz w:val="16"/>
        <w:szCs w:val="16"/>
        <w:lang w:val="es-ES_tradnl"/>
      </w:rPr>
      <w:t xml:space="preserve"> del ejercicio</w:t>
    </w:r>
    <w:r w:rsidRPr="005E5441">
      <w:rPr>
        <w:rFonts w:ascii="Arial" w:hAnsi="Arial" w:cs="Arial"/>
        <w:b w:val="0"/>
        <w:sz w:val="16"/>
        <w:szCs w:val="16"/>
        <w:lang w:val="es-ES_tradnl"/>
      </w:rPr>
      <w:t xml:space="preserve"> anterior</w:t>
    </w:r>
  </w:p>
  <w:p w14:paraId="4B4C6CA3" w14:textId="77777777" w:rsidR="008A0152" w:rsidRDefault="008A0152" w:rsidP="00AD18AE">
    <w:pPr>
      <w:pStyle w:val="2Ttulo"/>
      <w:pageBreakBefore/>
      <w:rPr>
        <w:rFonts w:ascii="Arial" w:hAnsi="Arial" w:cs="Arial"/>
        <w:b w:val="0"/>
        <w:sz w:val="16"/>
        <w:szCs w:val="16"/>
      </w:rPr>
    </w:pPr>
    <w:r w:rsidRPr="005E5441">
      <w:rPr>
        <w:rFonts w:ascii="Arial" w:hAnsi="Arial" w:cs="Arial"/>
        <w:b w:val="0"/>
        <w:sz w:val="16"/>
        <w:szCs w:val="16"/>
      </w:rPr>
      <w:t>(Cifras expresad</w:t>
    </w:r>
    <w:r>
      <w:rPr>
        <w:rFonts w:ascii="Arial" w:hAnsi="Arial" w:cs="Arial"/>
        <w:b w:val="0"/>
        <w:sz w:val="16"/>
        <w:szCs w:val="16"/>
      </w:rPr>
      <w:t>as en miles de pesos – Notas 1.1 y 1.2.</w:t>
    </w:r>
    <w:r w:rsidRPr="005E5441">
      <w:rPr>
        <w:rFonts w:ascii="Arial" w:hAnsi="Arial" w:cs="Arial"/>
        <w:b w:val="0"/>
        <w:sz w:val="16"/>
        <w:szCs w:val="16"/>
      </w:rPr>
      <w:t>)</w:t>
    </w:r>
  </w:p>
  <w:p w14:paraId="4DF08C92" w14:textId="77777777" w:rsidR="008A0152" w:rsidRDefault="008A0152" w:rsidP="0080598B">
    <w:pPr>
      <w:pageBreakBefore/>
      <w:tabs>
        <w:tab w:val="right" w:pos="9214"/>
      </w:tabs>
      <w:ind w:left="142" w:hanging="142"/>
      <w:rPr>
        <w:rFonts w:ascii="Arial" w:hAnsi="Arial" w:cs="Arial"/>
        <w:b/>
        <w:sz w:val="20"/>
        <w:lang w:val="es-ES_tradnl"/>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6A53" w14:textId="77777777" w:rsidR="008A0152" w:rsidRDefault="008A0152" w:rsidP="00452D9D">
    <w:pPr>
      <w:pStyle w:val="2Ttulo"/>
      <w:jc w:val="right"/>
      <w:rPr>
        <w:rFonts w:ascii="Arial" w:hAnsi="Arial" w:cs="Arial"/>
        <w:sz w:val="20"/>
      </w:rPr>
    </w:pPr>
    <w:r w:rsidRPr="009042A8">
      <w:rPr>
        <w:rFonts w:ascii="Arial" w:hAnsi="Arial" w:cs="Arial"/>
        <w:noProof/>
        <w:sz w:val="20"/>
        <w:lang w:eastAsia="es-AR"/>
      </w:rPr>
      <w:drawing>
        <wp:inline distT="0" distB="0" distL="0" distR="0" wp14:anchorId="501E8F85" wp14:editId="3F74D335">
          <wp:extent cx="1027130" cy="452633"/>
          <wp:effectExtent l="19050" t="0" r="157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1AB3C4F3" w14:textId="77777777" w:rsidR="008A0152" w:rsidRPr="000C455E" w:rsidRDefault="008A0152" w:rsidP="00452D9D">
    <w:pPr>
      <w:pStyle w:val="2Ttulo"/>
      <w:jc w:val="right"/>
      <w:rPr>
        <w:rFonts w:ascii="Arial" w:hAnsi="Arial" w:cs="Arial"/>
        <w:sz w:val="20"/>
      </w:rPr>
    </w:pPr>
  </w:p>
  <w:p w14:paraId="7D976D19" w14:textId="77777777" w:rsidR="008A0152" w:rsidRPr="000C455E" w:rsidRDefault="008A0152" w:rsidP="00A84C27">
    <w:pPr>
      <w:pStyle w:val="2Ttulo"/>
      <w:rPr>
        <w:rFonts w:ascii="Arial" w:hAnsi="Arial" w:cs="Arial"/>
        <w:b w:val="0"/>
        <w:sz w:val="20"/>
      </w:rPr>
    </w:pPr>
    <w:r w:rsidRPr="000C455E">
      <w:rPr>
        <w:rFonts w:ascii="Arial" w:hAnsi="Arial" w:cs="Arial"/>
        <w:sz w:val="20"/>
      </w:rPr>
      <w:t xml:space="preserve">NOTAS A LOS ESTADOS </w:t>
    </w:r>
    <w:r>
      <w:rPr>
        <w:rFonts w:ascii="Arial" w:hAnsi="Arial" w:cs="Arial"/>
        <w:sz w:val="20"/>
      </w:rPr>
      <w:t xml:space="preserve">FINANCIEROS SEPARADOS CONDENSADOS INTERMEDIOS </w:t>
    </w:r>
    <w:r w:rsidRPr="000009EA">
      <w:rPr>
        <w:rFonts w:ascii="Arial" w:hAnsi="Arial" w:cs="Arial"/>
        <w:sz w:val="20"/>
      </w:rPr>
      <w:t>AL</w:t>
    </w:r>
    <w:r>
      <w:rPr>
        <w:rFonts w:ascii="Arial" w:hAnsi="Arial" w:cs="Arial"/>
        <w:sz w:val="20"/>
      </w:rPr>
      <w:t xml:space="preserve"> 30</w:t>
    </w:r>
    <w:r w:rsidRPr="000C455E">
      <w:rPr>
        <w:rFonts w:ascii="Arial" w:hAnsi="Arial" w:cs="Arial"/>
        <w:sz w:val="20"/>
      </w:rPr>
      <w:t xml:space="preserve"> DE</w:t>
    </w:r>
    <w:r>
      <w:rPr>
        <w:rFonts w:ascii="Arial" w:hAnsi="Arial" w:cs="Arial"/>
        <w:sz w:val="20"/>
      </w:rPr>
      <w:t xml:space="preserve"> SEPTIEMBRE DE 2018</w:t>
    </w:r>
  </w:p>
  <w:p w14:paraId="35415B95" w14:textId="77777777" w:rsidR="008A0152" w:rsidRPr="006426AF" w:rsidRDefault="008A0152" w:rsidP="00A84C27">
    <w:pPr>
      <w:pStyle w:val="2Ttulo"/>
      <w:rPr>
        <w:rFonts w:ascii="Arial" w:hAnsi="Arial" w:cs="Arial"/>
        <w:b w:val="0"/>
        <w:sz w:val="16"/>
        <w:szCs w:val="16"/>
        <w:lang w:val="es-ES_tradnl"/>
      </w:rPr>
    </w:pPr>
    <w:r w:rsidRPr="006426AF">
      <w:rPr>
        <w:rFonts w:ascii="Arial" w:hAnsi="Arial" w:cs="Arial"/>
        <w:b w:val="0"/>
        <w:sz w:val="16"/>
        <w:szCs w:val="16"/>
        <w:lang w:val="es-ES_tradnl"/>
      </w:rPr>
      <w:t xml:space="preserve">Presentadas en forma comparativa </w:t>
    </w:r>
  </w:p>
  <w:p w14:paraId="27633494" w14:textId="77777777" w:rsidR="008A0152" w:rsidRDefault="008A0152" w:rsidP="00A84C27">
    <w:pPr>
      <w:pStyle w:val="2Ttulo"/>
      <w:rPr>
        <w:rFonts w:ascii="Arial" w:hAnsi="Arial" w:cs="Arial"/>
        <w:b w:val="0"/>
        <w:sz w:val="16"/>
        <w:szCs w:val="16"/>
      </w:rPr>
    </w:pPr>
    <w:r w:rsidRPr="006426AF">
      <w:rPr>
        <w:rFonts w:ascii="Arial" w:hAnsi="Arial" w:cs="Arial"/>
        <w:b w:val="0"/>
        <w:sz w:val="16"/>
        <w:szCs w:val="16"/>
      </w:rPr>
      <w:t xml:space="preserve"> (Cifras expresadas en miles de pesos)</w:t>
    </w:r>
  </w:p>
  <w:p w14:paraId="23E4D641" w14:textId="77777777" w:rsidR="008A0152" w:rsidRPr="00A84C27" w:rsidRDefault="008A0152" w:rsidP="0080598B">
    <w:pPr>
      <w:pageBreakBefore/>
      <w:tabs>
        <w:tab w:val="right" w:pos="9214"/>
      </w:tabs>
      <w:ind w:left="142" w:hanging="142"/>
      <w:rPr>
        <w:rFonts w:ascii="Arial" w:hAnsi="Arial" w:cs="Arial"/>
        <w:b/>
        <w:sz w:val="20"/>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415BD" w14:textId="77777777" w:rsidR="008A0152" w:rsidRDefault="008A0152" w:rsidP="00D26299">
    <w:pPr>
      <w:tabs>
        <w:tab w:val="right" w:pos="9214"/>
      </w:tabs>
      <w:ind w:left="142" w:hanging="142"/>
      <w:jc w:val="right"/>
      <w:rPr>
        <w:rFonts w:ascii="Arial" w:hAnsi="Arial" w:cs="Arial"/>
        <w:b/>
        <w:sz w:val="20"/>
        <w:lang w:val="pt-BR"/>
      </w:rPr>
    </w:pPr>
    <w:r w:rsidRPr="009042A8">
      <w:rPr>
        <w:rFonts w:ascii="Arial" w:hAnsi="Arial" w:cs="Arial"/>
        <w:b/>
        <w:noProof/>
        <w:sz w:val="20"/>
        <w:lang w:eastAsia="es-AR"/>
      </w:rPr>
      <w:drawing>
        <wp:inline distT="0" distB="0" distL="0" distR="0" wp14:anchorId="7FD775B0" wp14:editId="07CACE30">
          <wp:extent cx="1027130" cy="452633"/>
          <wp:effectExtent l="19050" t="0" r="157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A82A3D7" w14:textId="77777777" w:rsidR="008A0152" w:rsidRDefault="008A0152" w:rsidP="00D26299">
    <w:pPr>
      <w:tabs>
        <w:tab w:val="right" w:pos="9214"/>
      </w:tabs>
      <w:ind w:left="142" w:hanging="142"/>
      <w:rPr>
        <w:rFonts w:ascii="Arial" w:hAnsi="Arial" w:cs="Arial"/>
        <w:b/>
        <w:sz w:val="20"/>
        <w:lang w:val="pt-BR"/>
      </w:rPr>
    </w:pPr>
    <w:r>
      <w:rPr>
        <w:rFonts w:ascii="Arial" w:hAnsi="Arial" w:cs="Arial"/>
        <w:b/>
        <w:sz w:val="20"/>
        <w:lang w:val="pt-BR"/>
      </w:rPr>
      <w:t xml:space="preserve">ANEXO A     </w:t>
    </w:r>
  </w:p>
  <w:p w14:paraId="70D44113" w14:textId="77777777" w:rsidR="008A0152" w:rsidRPr="00C80859" w:rsidRDefault="008A0152" w:rsidP="00D26299">
    <w:pPr>
      <w:tabs>
        <w:tab w:val="right" w:pos="9214"/>
      </w:tabs>
      <w:rPr>
        <w:rFonts w:ascii="Arial" w:hAnsi="Arial" w:cs="Arial"/>
        <w:sz w:val="20"/>
        <w:lang w:val="pt-BR"/>
      </w:rPr>
    </w:pPr>
  </w:p>
  <w:p w14:paraId="19D16B2B" w14:textId="77777777" w:rsidR="008A0152" w:rsidRPr="008147B1" w:rsidRDefault="008A0152" w:rsidP="00D26299">
    <w:pPr>
      <w:pStyle w:val="Encabezado"/>
      <w:jc w:val="center"/>
      <w:rPr>
        <w:rFonts w:ascii="Arial" w:hAnsi="Arial" w:cs="Arial"/>
        <w:b/>
        <w:sz w:val="20"/>
        <w:lang w:val="es-ES_tradnl"/>
      </w:rPr>
    </w:pPr>
    <w:r w:rsidRPr="008147B1">
      <w:rPr>
        <w:rFonts w:ascii="Arial" w:hAnsi="Arial" w:cs="Arial"/>
        <w:b/>
        <w:sz w:val="20"/>
        <w:lang w:val="es-ES_tradnl"/>
      </w:rPr>
      <w:t>DETALLE DE TITULOS PUBLICOS Y PRIVADOS</w:t>
    </w:r>
  </w:p>
  <w:p w14:paraId="12090E71"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Y 31 DE DICIEMBRE DE 2017 y 2016</w:t>
    </w:r>
  </w:p>
  <w:p w14:paraId="007BB2E9" w14:textId="77777777" w:rsidR="008A0152" w:rsidRDefault="008A0152" w:rsidP="00D26299">
    <w:pPr>
      <w:pStyle w:val="Encabezado"/>
      <w:jc w:val="center"/>
      <w:rPr>
        <w:rFonts w:ascii="Arial" w:hAnsi="Arial" w:cs="Arial"/>
        <w:sz w:val="16"/>
        <w:szCs w:val="16"/>
        <w:lang w:val="es-ES"/>
      </w:rPr>
    </w:pPr>
    <w:r w:rsidRPr="008147B1">
      <w:rPr>
        <w:rFonts w:ascii="Arial" w:hAnsi="Arial" w:cs="Arial"/>
        <w:sz w:val="16"/>
        <w:szCs w:val="16"/>
        <w:lang w:val="es-ES"/>
      </w:rPr>
      <w:t>(Cifras expresadas en miles de pesos)</w:t>
    </w:r>
  </w:p>
  <w:p w14:paraId="248B4E6B" w14:textId="77777777" w:rsidR="008A0152" w:rsidRPr="00D26299" w:rsidRDefault="008A0152" w:rsidP="00D26299">
    <w:pPr>
      <w:pStyle w:val="Encabezado"/>
      <w:rPr>
        <w:lang w:val="es-ES"/>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ADA87" w14:textId="77777777" w:rsidR="008A0152" w:rsidRDefault="008A0152" w:rsidP="009D3B80">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0A54B49F" wp14:editId="6EA1FF8A">
          <wp:extent cx="1027130" cy="452633"/>
          <wp:effectExtent l="19050" t="0" r="1570" b="0"/>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598E6963" w14:textId="77777777" w:rsidR="008A0152" w:rsidRDefault="008A0152" w:rsidP="009D3B80">
    <w:pPr>
      <w:tabs>
        <w:tab w:val="right" w:pos="9214"/>
      </w:tabs>
      <w:rPr>
        <w:rFonts w:ascii="Arial" w:hAnsi="Arial" w:cs="Arial"/>
        <w:b/>
        <w:sz w:val="20"/>
        <w:lang w:val="es-ES_tradnl"/>
      </w:rPr>
    </w:pPr>
    <w:r w:rsidRPr="000C455E">
      <w:rPr>
        <w:rFonts w:ascii="Arial" w:hAnsi="Arial" w:cs="Arial"/>
        <w:b/>
        <w:sz w:val="20"/>
        <w:lang w:val="es-ES_tradnl"/>
      </w:rPr>
      <w:t>ANEXO B</w:t>
    </w:r>
  </w:p>
  <w:p w14:paraId="476DD242" w14:textId="77777777" w:rsidR="008A0152" w:rsidRPr="00CC5C97" w:rsidRDefault="008A0152" w:rsidP="009D3B80">
    <w:pPr>
      <w:tabs>
        <w:tab w:val="right" w:pos="9214"/>
      </w:tabs>
      <w:rPr>
        <w:rFonts w:ascii="Arial" w:hAnsi="Arial" w:cs="Arial"/>
        <w:sz w:val="20"/>
        <w:lang w:val="pt-BR"/>
      </w:rPr>
    </w:pPr>
  </w:p>
  <w:p w14:paraId="5B27F8E7" w14:textId="77777777" w:rsidR="008A0152" w:rsidRDefault="008A0152" w:rsidP="009D3B80">
    <w:pPr>
      <w:pStyle w:val="Encabezado"/>
      <w:jc w:val="center"/>
      <w:rPr>
        <w:rFonts w:ascii="Arial" w:hAnsi="Arial" w:cs="Arial"/>
        <w:b/>
        <w:sz w:val="20"/>
        <w:lang w:val="es-ES_tradnl"/>
      </w:rPr>
    </w:pPr>
    <w:r w:rsidRPr="000342AE">
      <w:rPr>
        <w:rFonts w:ascii="Arial" w:hAnsi="Arial" w:cs="Arial"/>
        <w:b/>
        <w:sz w:val="20"/>
        <w:lang w:val="es-ES_tradnl"/>
      </w:rPr>
      <w:t>C</w:t>
    </w:r>
    <w:r>
      <w:rPr>
        <w:rFonts w:ascii="Arial" w:hAnsi="Arial" w:cs="Arial"/>
        <w:b/>
        <w:sz w:val="20"/>
        <w:lang w:val="es-ES_tradnl"/>
      </w:rPr>
      <w:t>LASIFICACION</w:t>
    </w:r>
    <w:r w:rsidRPr="000342AE">
      <w:rPr>
        <w:rFonts w:ascii="Arial" w:hAnsi="Arial" w:cs="Arial"/>
        <w:b/>
        <w:sz w:val="20"/>
        <w:lang w:val="es-ES_tradnl"/>
      </w:rPr>
      <w:t xml:space="preserve"> </w:t>
    </w:r>
    <w:r>
      <w:rPr>
        <w:rFonts w:ascii="Arial" w:hAnsi="Arial" w:cs="Arial"/>
        <w:b/>
        <w:sz w:val="20"/>
        <w:lang w:val="es-ES_tradnl"/>
      </w:rPr>
      <w:t>DE</w:t>
    </w:r>
    <w:r w:rsidRPr="000342AE">
      <w:rPr>
        <w:rFonts w:ascii="Arial" w:hAnsi="Arial" w:cs="Arial"/>
        <w:b/>
        <w:sz w:val="20"/>
        <w:lang w:val="es-ES_tradnl"/>
      </w:rPr>
      <w:t xml:space="preserve"> </w:t>
    </w:r>
    <w:r>
      <w:rPr>
        <w:rFonts w:ascii="Arial" w:hAnsi="Arial" w:cs="Arial"/>
        <w:b/>
        <w:sz w:val="20"/>
        <w:lang w:val="es-ES_tradnl"/>
      </w:rPr>
      <w:t>PRESTAMOS</w:t>
    </w:r>
    <w:r w:rsidRPr="000342AE">
      <w:rPr>
        <w:rFonts w:ascii="Arial" w:hAnsi="Arial" w:cs="Arial"/>
        <w:b/>
        <w:sz w:val="20"/>
        <w:lang w:val="es-ES_tradnl"/>
      </w:rPr>
      <w:t xml:space="preserve"> </w:t>
    </w:r>
    <w:r>
      <w:rPr>
        <w:rFonts w:ascii="Arial" w:hAnsi="Arial" w:cs="Arial"/>
        <w:b/>
        <w:sz w:val="20"/>
        <w:lang w:val="es-ES_tradnl"/>
      </w:rPr>
      <w:t>Y</w:t>
    </w:r>
    <w:r w:rsidRPr="000342AE">
      <w:rPr>
        <w:rFonts w:ascii="Arial" w:hAnsi="Arial" w:cs="Arial"/>
        <w:b/>
        <w:sz w:val="20"/>
        <w:lang w:val="es-ES_tradnl"/>
      </w:rPr>
      <w:t xml:space="preserve"> </w:t>
    </w:r>
    <w:r>
      <w:rPr>
        <w:rFonts w:ascii="Arial" w:hAnsi="Arial" w:cs="Arial"/>
        <w:b/>
        <w:sz w:val="20"/>
        <w:lang w:val="es-ES_tradnl"/>
      </w:rPr>
      <w:t>OTRAS</w:t>
    </w:r>
    <w:r w:rsidRPr="000342AE">
      <w:rPr>
        <w:rFonts w:ascii="Arial" w:hAnsi="Arial" w:cs="Arial"/>
        <w:b/>
        <w:sz w:val="20"/>
        <w:lang w:val="es-ES_tradnl"/>
      </w:rPr>
      <w:t xml:space="preserve"> </w:t>
    </w:r>
    <w:r>
      <w:rPr>
        <w:rFonts w:ascii="Arial" w:hAnsi="Arial" w:cs="Arial"/>
        <w:b/>
        <w:sz w:val="20"/>
        <w:lang w:val="es-ES_tradnl"/>
      </w:rPr>
      <w:t>FINANCIACIONES</w:t>
    </w:r>
    <w:r w:rsidRPr="000342AE">
      <w:rPr>
        <w:rFonts w:ascii="Arial" w:hAnsi="Arial" w:cs="Arial"/>
        <w:b/>
        <w:sz w:val="20"/>
        <w:lang w:val="es-ES_tradnl"/>
      </w:rPr>
      <w:t xml:space="preserve"> </w:t>
    </w:r>
  </w:p>
  <w:p w14:paraId="2784A856" w14:textId="77777777" w:rsidR="008A0152" w:rsidRPr="000C455E" w:rsidRDefault="008A0152" w:rsidP="009D3B80">
    <w:pPr>
      <w:pStyle w:val="Encabezado"/>
      <w:jc w:val="center"/>
      <w:rPr>
        <w:rFonts w:ascii="Arial" w:hAnsi="Arial" w:cs="Arial"/>
        <w:b/>
        <w:sz w:val="20"/>
        <w:lang w:val="es-ES_tradnl"/>
      </w:rPr>
    </w:pPr>
    <w:r>
      <w:rPr>
        <w:rFonts w:ascii="Arial" w:hAnsi="Arial" w:cs="Arial"/>
        <w:b/>
        <w:sz w:val="20"/>
        <w:lang w:val="es-ES_tradnl"/>
      </w:rPr>
      <w:t>POR</w:t>
    </w:r>
    <w:r w:rsidRPr="000342AE">
      <w:rPr>
        <w:rFonts w:ascii="Arial" w:hAnsi="Arial" w:cs="Arial"/>
        <w:b/>
        <w:sz w:val="20"/>
        <w:lang w:val="es-ES_tradnl"/>
      </w:rPr>
      <w:t xml:space="preserve"> </w:t>
    </w:r>
    <w:r>
      <w:rPr>
        <w:rFonts w:ascii="Arial" w:hAnsi="Arial" w:cs="Arial"/>
        <w:b/>
        <w:sz w:val="20"/>
        <w:lang w:val="es-ES_tradnl"/>
      </w:rPr>
      <w:t>SITUACION</w:t>
    </w:r>
    <w:r w:rsidRPr="000342AE">
      <w:rPr>
        <w:rFonts w:ascii="Arial" w:hAnsi="Arial" w:cs="Arial"/>
        <w:b/>
        <w:sz w:val="20"/>
        <w:lang w:val="es-ES_tradnl"/>
      </w:rPr>
      <w:t xml:space="preserve"> </w:t>
    </w:r>
    <w:r>
      <w:rPr>
        <w:rFonts w:ascii="Arial" w:hAnsi="Arial" w:cs="Arial"/>
        <w:b/>
        <w:sz w:val="20"/>
        <w:lang w:val="es-ES_tradnl"/>
      </w:rPr>
      <w:t>Y</w:t>
    </w:r>
    <w:r w:rsidRPr="000342AE">
      <w:rPr>
        <w:rFonts w:ascii="Arial" w:hAnsi="Arial" w:cs="Arial"/>
        <w:b/>
        <w:sz w:val="20"/>
        <w:lang w:val="es-ES_tradnl"/>
      </w:rPr>
      <w:t xml:space="preserve"> </w:t>
    </w:r>
    <w:r>
      <w:rPr>
        <w:rFonts w:ascii="Arial" w:hAnsi="Arial" w:cs="Arial"/>
        <w:b/>
        <w:sz w:val="20"/>
        <w:lang w:val="es-ES_tradnl"/>
      </w:rPr>
      <w:t>GARANTIAS RECIBIDAS</w:t>
    </w:r>
  </w:p>
  <w:p w14:paraId="273AACBB" w14:textId="77777777" w:rsidR="008A0152" w:rsidRPr="009040E3" w:rsidRDefault="008A0152" w:rsidP="00025107">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11015256" w14:textId="77777777" w:rsidR="008A0152" w:rsidRPr="00CC5C97" w:rsidRDefault="008A0152" w:rsidP="009D3B80">
    <w:pPr>
      <w:pStyle w:val="Encabezado"/>
      <w:jc w:val="center"/>
      <w:rPr>
        <w:rFonts w:ascii="Arial" w:hAnsi="Arial" w:cs="Arial"/>
        <w:sz w:val="16"/>
        <w:szCs w:val="16"/>
        <w:lang w:val="es-ES"/>
      </w:rPr>
    </w:pPr>
    <w:r w:rsidRPr="00CC5C97">
      <w:rPr>
        <w:rFonts w:ascii="Arial" w:hAnsi="Arial" w:cs="Arial"/>
        <w:sz w:val="16"/>
        <w:szCs w:val="16"/>
        <w:lang w:val="es-ES"/>
      </w:rPr>
      <w:t>(Cifras expresadas en miles de pesos)</w:t>
    </w:r>
  </w:p>
  <w:p w14:paraId="7AC05CE5" w14:textId="77777777" w:rsidR="008A0152" w:rsidRPr="00CC5C97" w:rsidRDefault="008A0152" w:rsidP="009D3B80">
    <w:pPr>
      <w:pStyle w:val="Encabezado"/>
      <w:rPr>
        <w:rFonts w:ascii="Arial" w:hAnsi="Arial" w:cs="Arial"/>
        <w:sz w:val="20"/>
        <w:lang w:val="es-ES"/>
      </w:rPr>
    </w:pPr>
  </w:p>
  <w:p w14:paraId="40B8AB1D" w14:textId="77777777" w:rsidR="008A0152" w:rsidRPr="009D3B80" w:rsidRDefault="008A0152" w:rsidP="009D3B80">
    <w:pPr>
      <w:pStyle w:val="Encabezado"/>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5C4B9" w14:textId="77777777" w:rsidR="008A0152" w:rsidRDefault="008A0152" w:rsidP="007C794F">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57D551C9" wp14:editId="2DAF6137">
          <wp:extent cx="1027130" cy="452633"/>
          <wp:effectExtent l="19050" t="0" r="1570" b="0"/>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0D88CEFE" w14:textId="77777777" w:rsidR="008A0152" w:rsidRDefault="008A0152" w:rsidP="007C794F">
    <w:pPr>
      <w:tabs>
        <w:tab w:val="right" w:pos="9214"/>
      </w:tabs>
      <w:rPr>
        <w:rFonts w:ascii="Arial" w:hAnsi="Arial" w:cs="Arial"/>
        <w:b/>
        <w:sz w:val="20"/>
        <w:lang w:val="es-ES_tradnl"/>
      </w:rPr>
    </w:pPr>
    <w:r>
      <w:rPr>
        <w:rFonts w:ascii="Arial" w:hAnsi="Arial" w:cs="Arial"/>
        <w:b/>
        <w:sz w:val="20"/>
        <w:lang w:val="es-ES_tradnl"/>
      </w:rPr>
      <w:t>ANEXO C</w:t>
    </w:r>
  </w:p>
  <w:p w14:paraId="54799B52" w14:textId="77777777" w:rsidR="008A0152" w:rsidRDefault="008A0152" w:rsidP="007C794F">
    <w:pPr>
      <w:tabs>
        <w:tab w:val="right" w:pos="9214"/>
      </w:tabs>
      <w:jc w:val="right"/>
      <w:rPr>
        <w:rFonts w:ascii="Arial" w:hAnsi="Arial" w:cs="Arial"/>
        <w:b/>
        <w:sz w:val="20"/>
        <w:lang w:val="es-ES_tradnl"/>
      </w:rPr>
    </w:pPr>
  </w:p>
  <w:p w14:paraId="584889B4" w14:textId="77777777" w:rsidR="008A0152" w:rsidRPr="009040E3" w:rsidRDefault="008A0152" w:rsidP="007C794F">
    <w:pPr>
      <w:pStyle w:val="Encabezado"/>
      <w:jc w:val="center"/>
      <w:rPr>
        <w:rFonts w:ascii="Arial" w:hAnsi="Arial" w:cs="Arial"/>
        <w:b/>
        <w:sz w:val="20"/>
        <w:lang w:val="es-ES_tradnl"/>
      </w:rPr>
    </w:pPr>
    <w:r w:rsidRPr="009040E3">
      <w:rPr>
        <w:rFonts w:ascii="Arial" w:hAnsi="Arial" w:cs="Arial"/>
        <w:b/>
        <w:sz w:val="20"/>
        <w:lang w:val="es-ES_tradnl"/>
      </w:rPr>
      <w:t xml:space="preserve">CONCENTRACION DE </w:t>
    </w:r>
    <w:r>
      <w:rPr>
        <w:rFonts w:ascii="Arial" w:hAnsi="Arial" w:cs="Arial"/>
        <w:b/>
        <w:sz w:val="20"/>
        <w:lang w:val="es-ES_tradnl"/>
      </w:rPr>
      <w:t>PRESTAMOS Y OTRAS FINANCIACIONES</w:t>
    </w:r>
  </w:p>
  <w:p w14:paraId="71D7B453"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7B2DD09B" w14:textId="77777777" w:rsidR="008A0152" w:rsidRPr="009040E3" w:rsidRDefault="008A0152" w:rsidP="007C794F">
    <w:pPr>
      <w:pStyle w:val="Encabezado"/>
      <w:jc w:val="center"/>
      <w:rPr>
        <w:rFonts w:ascii="Arial" w:hAnsi="Arial" w:cs="Arial"/>
        <w:sz w:val="16"/>
        <w:szCs w:val="16"/>
        <w:lang w:val="es-ES"/>
      </w:rPr>
    </w:pPr>
    <w:r w:rsidRPr="009040E3">
      <w:rPr>
        <w:rFonts w:ascii="Arial" w:hAnsi="Arial" w:cs="Arial"/>
        <w:sz w:val="16"/>
        <w:szCs w:val="16"/>
        <w:lang w:val="es-ES"/>
      </w:rPr>
      <w:t>(Cifras expresadas en miles de pesos)</w:t>
    </w:r>
  </w:p>
  <w:p w14:paraId="27A8BF46" w14:textId="77777777" w:rsidR="008A0152" w:rsidRPr="00F941DB" w:rsidRDefault="008A0152" w:rsidP="007C794F">
    <w:pPr>
      <w:pStyle w:val="Encabezado"/>
      <w:jc w:val="center"/>
      <w:rPr>
        <w:rFonts w:ascii="Arial" w:hAnsi="Arial" w:cs="Arial"/>
        <w:sz w:val="20"/>
        <w:lang w:val="es-ES"/>
      </w:rPr>
    </w:pPr>
  </w:p>
  <w:p w14:paraId="0FBEA8BD" w14:textId="77777777" w:rsidR="008A0152" w:rsidRPr="00F941DB" w:rsidRDefault="008A0152" w:rsidP="007C794F">
    <w:pPr>
      <w:pStyle w:val="2Ttulo"/>
      <w:jc w:val="left"/>
      <w:rPr>
        <w:rFonts w:ascii="Arial" w:hAnsi="Arial" w:cs="Arial"/>
        <w:sz w:val="20"/>
      </w:rPr>
    </w:pPr>
  </w:p>
  <w:p w14:paraId="205C1901" w14:textId="77777777" w:rsidR="008A0152" w:rsidRPr="00D26299" w:rsidRDefault="008A0152" w:rsidP="00D26299">
    <w:pPr>
      <w:pStyle w:val="Encabezado"/>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A7780" w14:textId="77777777" w:rsidR="008A0152" w:rsidRDefault="008A0152" w:rsidP="00425F99">
    <w:pPr>
      <w:tabs>
        <w:tab w:val="right" w:pos="9214"/>
      </w:tabs>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C31429D" wp14:editId="48D54D63">
          <wp:extent cx="1027130" cy="452633"/>
          <wp:effectExtent l="19050" t="0" r="157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0C1747B0" w14:textId="77777777" w:rsidR="008A0152" w:rsidRDefault="008A0152" w:rsidP="00425F99">
    <w:pPr>
      <w:tabs>
        <w:tab w:val="right" w:pos="9214"/>
      </w:tabs>
      <w:rPr>
        <w:rFonts w:ascii="Arial" w:hAnsi="Arial" w:cs="Arial"/>
        <w:b/>
        <w:sz w:val="20"/>
        <w:lang w:val="es-ES_tradnl"/>
      </w:rPr>
    </w:pPr>
    <w:r>
      <w:rPr>
        <w:rFonts w:ascii="Arial" w:hAnsi="Arial" w:cs="Arial"/>
        <w:b/>
        <w:sz w:val="20"/>
        <w:lang w:val="es-ES_tradnl"/>
      </w:rPr>
      <w:t>ANEXO D</w:t>
    </w:r>
  </w:p>
  <w:p w14:paraId="7425EAC6" w14:textId="77777777" w:rsidR="008A0152" w:rsidRDefault="008A0152" w:rsidP="00425F99">
    <w:pPr>
      <w:tabs>
        <w:tab w:val="right" w:pos="9214"/>
      </w:tabs>
      <w:jc w:val="right"/>
      <w:rPr>
        <w:rFonts w:ascii="Arial" w:hAnsi="Arial" w:cs="Arial"/>
        <w:b/>
        <w:sz w:val="20"/>
        <w:lang w:val="es-ES_tradnl"/>
      </w:rPr>
    </w:pPr>
  </w:p>
  <w:p w14:paraId="6DACA4D7" w14:textId="77777777" w:rsidR="008A0152" w:rsidRPr="009040E3" w:rsidRDefault="008A0152" w:rsidP="00425F99">
    <w:pPr>
      <w:pStyle w:val="Encabezado"/>
      <w:jc w:val="center"/>
      <w:rPr>
        <w:rFonts w:ascii="Arial" w:hAnsi="Arial" w:cs="Arial"/>
        <w:b/>
        <w:sz w:val="20"/>
        <w:lang w:val="es-ES_tradnl"/>
      </w:rPr>
    </w:pPr>
    <w:r w:rsidRPr="009040E3">
      <w:rPr>
        <w:rFonts w:ascii="Arial" w:hAnsi="Arial" w:cs="Arial"/>
        <w:b/>
        <w:sz w:val="20"/>
        <w:lang w:val="es-ES_tradnl"/>
      </w:rPr>
      <w:t>APERTURA POR PLAZO</w:t>
    </w:r>
    <w:r>
      <w:rPr>
        <w:rFonts w:ascii="Arial" w:hAnsi="Arial" w:cs="Arial"/>
        <w:b/>
        <w:sz w:val="20"/>
        <w:lang w:val="es-ES_tradnl"/>
      </w:rPr>
      <w:t>S</w:t>
    </w:r>
    <w:r w:rsidRPr="009040E3">
      <w:rPr>
        <w:rFonts w:ascii="Arial" w:hAnsi="Arial" w:cs="Arial"/>
        <w:b/>
        <w:sz w:val="20"/>
        <w:lang w:val="es-ES_tradnl"/>
      </w:rPr>
      <w:t xml:space="preserve"> DE </w:t>
    </w:r>
    <w:r>
      <w:rPr>
        <w:rFonts w:ascii="Arial" w:hAnsi="Arial" w:cs="Arial"/>
        <w:b/>
        <w:sz w:val="20"/>
        <w:lang w:val="es-ES_tradnl"/>
      </w:rPr>
      <w:t>PRESTAMOS Y OTRAS</w:t>
    </w:r>
    <w:r w:rsidRPr="009040E3">
      <w:rPr>
        <w:rFonts w:ascii="Arial" w:hAnsi="Arial" w:cs="Arial"/>
        <w:b/>
        <w:sz w:val="20"/>
        <w:lang w:val="es-ES_tradnl"/>
      </w:rPr>
      <w:t xml:space="preserve"> FINANCIACIONES</w:t>
    </w:r>
  </w:p>
  <w:p w14:paraId="133CB023" w14:textId="77777777" w:rsidR="008A0152" w:rsidRPr="009040E3" w:rsidRDefault="008A0152" w:rsidP="00425F99">
    <w:pPr>
      <w:pStyle w:val="Encabezado"/>
      <w:jc w:val="center"/>
      <w:rPr>
        <w:rFonts w:ascii="Arial" w:hAnsi="Arial" w:cs="Arial"/>
        <w:b/>
        <w:sz w:val="20"/>
        <w:lang w:val="es-ES_tradnl"/>
      </w:rPr>
    </w:pPr>
    <w:r>
      <w:rPr>
        <w:rFonts w:ascii="Arial" w:hAnsi="Arial" w:cs="Arial"/>
        <w:b/>
        <w:sz w:val="20"/>
        <w:lang w:val="es-ES_tradnl"/>
      </w:rPr>
      <w:t>Al 30 DE SEPTIEMBRE DE 2018</w:t>
    </w:r>
  </w:p>
  <w:p w14:paraId="1A3DF513" w14:textId="77777777" w:rsidR="008A0152" w:rsidRPr="009040E3" w:rsidRDefault="008A0152" w:rsidP="00425F99">
    <w:pPr>
      <w:pStyle w:val="Encabezado"/>
      <w:jc w:val="center"/>
      <w:rPr>
        <w:rFonts w:ascii="Arial" w:hAnsi="Arial" w:cs="Arial"/>
        <w:sz w:val="16"/>
        <w:szCs w:val="16"/>
        <w:lang w:val="es-ES"/>
      </w:rPr>
    </w:pPr>
    <w:r w:rsidRPr="009040E3">
      <w:rPr>
        <w:rFonts w:ascii="Arial" w:hAnsi="Arial" w:cs="Arial"/>
        <w:sz w:val="16"/>
        <w:szCs w:val="16"/>
        <w:lang w:val="es-ES"/>
      </w:rPr>
      <w:t>(Cifras expresadas en miles de pesos)</w:t>
    </w:r>
  </w:p>
  <w:p w14:paraId="55EFA2E2" w14:textId="77777777" w:rsidR="008A0152" w:rsidRPr="00F941DB" w:rsidRDefault="008A0152" w:rsidP="00425F99">
    <w:pPr>
      <w:pStyle w:val="Encabezado"/>
      <w:jc w:val="center"/>
      <w:rPr>
        <w:rFonts w:ascii="Arial" w:hAnsi="Arial" w:cs="Arial"/>
        <w:sz w:val="20"/>
        <w:lang w:val="es-ES"/>
      </w:rPr>
    </w:pPr>
  </w:p>
  <w:p w14:paraId="65488ECB" w14:textId="77777777" w:rsidR="008A0152" w:rsidRPr="00F941DB" w:rsidRDefault="008A0152" w:rsidP="00425F99">
    <w:pPr>
      <w:pStyle w:val="2Ttulo"/>
      <w:jc w:val="left"/>
      <w:rPr>
        <w:rFonts w:ascii="Arial" w:hAnsi="Arial" w:cs="Arial"/>
        <w:sz w:val="20"/>
      </w:rPr>
    </w:pPr>
  </w:p>
  <w:p w14:paraId="2B9AE1A8" w14:textId="77777777" w:rsidR="008A0152" w:rsidRPr="00D26299" w:rsidRDefault="008A0152" w:rsidP="00D26299">
    <w:pPr>
      <w:pStyle w:val="Encabezado"/>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34CB" w14:textId="77777777" w:rsidR="008A0152" w:rsidRDefault="008A0152" w:rsidP="00425F99">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A06AC54" wp14:editId="2D0DD26E">
          <wp:extent cx="1027130" cy="452633"/>
          <wp:effectExtent l="19050" t="0" r="1570"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B88161B" w14:textId="77777777" w:rsidR="008A0152" w:rsidRDefault="008A0152" w:rsidP="00425F99">
    <w:pPr>
      <w:tabs>
        <w:tab w:val="right" w:pos="9214"/>
      </w:tabs>
      <w:ind w:left="142" w:hanging="142"/>
      <w:rPr>
        <w:rFonts w:ascii="Arial" w:hAnsi="Arial" w:cs="Arial"/>
        <w:b/>
        <w:sz w:val="20"/>
        <w:lang w:val="es-ES_tradnl"/>
      </w:rPr>
    </w:pPr>
    <w:r w:rsidRPr="00F941DB">
      <w:rPr>
        <w:rFonts w:ascii="Arial" w:hAnsi="Arial" w:cs="Arial"/>
        <w:b/>
        <w:sz w:val="20"/>
        <w:lang w:val="es-ES_tradnl"/>
      </w:rPr>
      <w:t>ANEXO E</w:t>
    </w:r>
  </w:p>
  <w:p w14:paraId="6EC4D2C9" w14:textId="77777777" w:rsidR="008A0152" w:rsidRPr="00F941DB" w:rsidRDefault="008A0152" w:rsidP="00425F99">
    <w:pPr>
      <w:tabs>
        <w:tab w:val="right" w:pos="9214"/>
      </w:tabs>
      <w:ind w:left="142" w:hanging="142"/>
      <w:rPr>
        <w:rFonts w:ascii="Arial" w:hAnsi="Arial" w:cs="Arial"/>
        <w:b/>
        <w:sz w:val="20"/>
        <w:lang w:val="es-ES"/>
      </w:rPr>
    </w:pPr>
  </w:p>
  <w:p w14:paraId="0FD76614" w14:textId="77777777" w:rsidR="008A0152" w:rsidRPr="00F941DB" w:rsidRDefault="008A0152" w:rsidP="00425F99">
    <w:pPr>
      <w:pStyle w:val="Encabezado"/>
      <w:jc w:val="center"/>
      <w:rPr>
        <w:rFonts w:ascii="Arial" w:hAnsi="Arial" w:cs="Arial"/>
        <w:b/>
        <w:sz w:val="20"/>
        <w:lang w:val="es-ES_tradnl"/>
      </w:rPr>
    </w:pPr>
    <w:r w:rsidRPr="00F941DB">
      <w:rPr>
        <w:rFonts w:ascii="Arial" w:hAnsi="Arial" w:cs="Arial"/>
        <w:b/>
        <w:sz w:val="20"/>
        <w:lang w:val="es-ES_tradnl"/>
      </w:rPr>
      <w:t>DETALLE DE PARTICIPACIONES EN OTRAS SOCIEDADES</w:t>
    </w:r>
  </w:p>
  <w:p w14:paraId="5573C6E2"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55A1C017" w14:textId="77777777" w:rsidR="008A0152" w:rsidRDefault="008A0152" w:rsidP="00425F99">
    <w:pPr>
      <w:pStyle w:val="Encabezado"/>
      <w:jc w:val="center"/>
      <w:rPr>
        <w:rFonts w:ascii="Arial" w:hAnsi="Arial" w:cs="Arial"/>
        <w:sz w:val="16"/>
        <w:szCs w:val="16"/>
        <w:lang w:val="es-ES"/>
      </w:rPr>
    </w:pPr>
    <w:r>
      <w:rPr>
        <w:rFonts w:ascii="Arial" w:hAnsi="Arial" w:cs="Arial"/>
        <w:sz w:val="16"/>
        <w:szCs w:val="16"/>
        <w:lang w:val="es-ES"/>
      </w:rPr>
      <w:t>(C</w:t>
    </w:r>
    <w:r w:rsidRPr="00F941DB">
      <w:rPr>
        <w:rFonts w:ascii="Arial" w:hAnsi="Arial" w:cs="Arial"/>
        <w:sz w:val="16"/>
        <w:szCs w:val="16"/>
        <w:lang w:val="es-ES"/>
      </w:rPr>
      <w:t>ifras expresadas en miles de pesos)</w:t>
    </w:r>
  </w:p>
  <w:p w14:paraId="39531317" w14:textId="77777777" w:rsidR="008A0152" w:rsidRPr="00F941DB" w:rsidRDefault="008A0152" w:rsidP="00425F99">
    <w:pPr>
      <w:pStyle w:val="Encabezado"/>
      <w:rPr>
        <w:rFonts w:ascii="Arial" w:hAnsi="Arial" w:cs="Arial"/>
        <w:sz w:val="20"/>
        <w:lang w:val="es-ES"/>
      </w:rPr>
    </w:pPr>
  </w:p>
  <w:p w14:paraId="43101FF0" w14:textId="77777777" w:rsidR="008A0152" w:rsidRPr="00F941DB" w:rsidRDefault="008A0152" w:rsidP="00425F99">
    <w:pPr>
      <w:pStyle w:val="Encabezado"/>
      <w:rPr>
        <w:rFonts w:ascii="Arial" w:hAnsi="Arial" w:cs="Arial"/>
        <w:sz w:val="20"/>
        <w:lang w:val="es-ES_tradnl"/>
      </w:rPr>
    </w:pPr>
  </w:p>
  <w:p w14:paraId="5CA61812" w14:textId="77777777" w:rsidR="008A0152" w:rsidRPr="00425F99" w:rsidRDefault="008A0152" w:rsidP="00425F99">
    <w:pPr>
      <w:pStyle w:val="Encabezado"/>
      <w:rPr>
        <w:lang w:val="es-ES_tradnl"/>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6C778" w14:textId="77777777" w:rsidR="008A0152" w:rsidRDefault="008A0152" w:rsidP="00425F99">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064E9D7B" wp14:editId="10FC3128">
          <wp:extent cx="1027130" cy="452633"/>
          <wp:effectExtent l="19050" t="0" r="1570"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6CEF02C2" w14:textId="77777777" w:rsidR="008A0152" w:rsidRDefault="008A0152" w:rsidP="00425F99">
    <w:pPr>
      <w:tabs>
        <w:tab w:val="right" w:pos="9214"/>
      </w:tabs>
      <w:ind w:left="142" w:hanging="142"/>
      <w:rPr>
        <w:rFonts w:ascii="Arial" w:hAnsi="Arial" w:cs="Arial"/>
        <w:b/>
        <w:sz w:val="20"/>
        <w:lang w:val="es-ES_tradnl"/>
      </w:rPr>
    </w:pPr>
    <w:r w:rsidRPr="00F941DB">
      <w:rPr>
        <w:rFonts w:ascii="Arial" w:hAnsi="Arial" w:cs="Arial"/>
        <w:b/>
        <w:sz w:val="20"/>
        <w:lang w:val="es-ES_tradnl"/>
      </w:rPr>
      <w:t>ANEXO F</w:t>
    </w:r>
  </w:p>
  <w:p w14:paraId="2849C736" w14:textId="77777777" w:rsidR="008A0152" w:rsidRPr="00F941DB" w:rsidRDefault="008A0152" w:rsidP="00425F99">
    <w:pPr>
      <w:tabs>
        <w:tab w:val="right" w:pos="9214"/>
      </w:tabs>
      <w:ind w:left="142" w:hanging="142"/>
      <w:rPr>
        <w:rFonts w:ascii="Arial" w:hAnsi="Arial" w:cs="Arial"/>
        <w:sz w:val="20"/>
        <w:lang w:val="es-ES"/>
      </w:rPr>
    </w:pPr>
  </w:p>
  <w:p w14:paraId="316C2A7A" w14:textId="77777777" w:rsidR="008A0152" w:rsidRPr="00F941DB" w:rsidRDefault="008A0152" w:rsidP="00425F99">
    <w:pPr>
      <w:pStyle w:val="Encabezado"/>
      <w:jc w:val="center"/>
      <w:rPr>
        <w:rFonts w:ascii="Arial" w:hAnsi="Arial" w:cs="Arial"/>
        <w:b/>
        <w:sz w:val="20"/>
        <w:lang w:val="es-ES_tradnl"/>
      </w:rPr>
    </w:pPr>
    <w:r w:rsidRPr="00F941DB">
      <w:rPr>
        <w:rFonts w:ascii="Arial" w:hAnsi="Arial" w:cs="Arial"/>
        <w:b/>
        <w:sz w:val="20"/>
        <w:lang w:val="es-ES_tradnl"/>
      </w:rPr>
      <w:t xml:space="preserve">MOVIMIENTO DE </w:t>
    </w:r>
    <w:r>
      <w:rPr>
        <w:rFonts w:ascii="Arial" w:hAnsi="Arial" w:cs="Arial"/>
        <w:b/>
        <w:sz w:val="20"/>
        <w:lang w:val="es-ES_tradnl"/>
      </w:rPr>
      <w:t>PROPIEDAD, PLANTA Y EQUIPO</w:t>
    </w:r>
  </w:p>
  <w:p w14:paraId="1DA64537"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0EBA1FFB" w14:textId="77777777" w:rsidR="008A0152" w:rsidRDefault="008A0152" w:rsidP="00425F99">
    <w:pPr>
      <w:pStyle w:val="Encabezado"/>
      <w:jc w:val="center"/>
      <w:rPr>
        <w:rFonts w:ascii="Arial" w:hAnsi="Arial" w:cs="Arial"/>
        <w:sz w:val="16"/>
        <w:szCs w:val="16"/>
        <w:lang w:val="es-ES"/>
      </w:rPr>
    </w:pPr>
    <w:r w:rsidRPr="00F941DB">
      <w:rPr>
        <w:rFonts w:ascii="Arial" w:hAnsi="Arial" w:cs="Arial"/>
        <w:sz w:val="20"/>
        <w:lang w:val="es-ES"/>
      </w:rPr>
      <w:t>(</w:t>
    </w:r>
    <w:r>
      <w:rPr>
        <w:rFonts w:ascii="Arial" w:hAnsi="Arial" w:cs="Arial"/>
        <w:sz w:val="16"/>
        <w:szCs w:val="16"/>
        <w:lang w:val="es-ES"/>
      </w:rPr>
      <w:t>C</w:t>
    </w:r>
    <w:r w:rsidRPr="00F941DB">
      <w:rPr>
        <w:rFonts w:ascii="Arial" w:hAnsi="Arial" w:cs="Arial"/>
        <w:sz w:val="16"/>
        <w:szCs w:val="16"/>
        <w:lang w:val="es-ES"/>
      </w:rPr>
      <w:t>ifras expresadas en miles de pesos)</w:t>
    </w:r>
  </w:p>
  <w:p w14:paraId="1569A139" w14:textId="77777777" w:rsidR="008A0152" w:rsidRDefault="008A0152" w:rsidP="00425F99">
    <w:pPr>
      <w:pStyle w:val="Encabezado"/>
      <w:jc w:val="center"/>
      <w:rPr>
        <w:rFonts w:ascii="Arial" w:hAnsi="Arial" w:cs="Arial"/>
        <w:sz w:val="20"/>
        <w:lang w:val="es-ES"/>
      </w:rPr>
    </w:pPr>
  </w:p>
  <w:p w14:paraId="105AD4A9" w14:textId="77777777" w:rsidR="008A0152" w:rsidRPr="00D458EF" w:rsidRDefault="008A0152" w:rsidP="00425F99">
    <w:pPr>
      <w:pStyle w:val="Encabezado"/>
      <w:rPr>
        <w:rFonts w:ascii="Arial" w:hAnsi="Arial" w:cs="Arial"/>
        <w:sz w:val="20"/>
        <w:lang w:val="es-ES_tradnl"/>
      </w:rPr>
    </w:pPr>
  </w:p>
  <w:p w14:paraId="079D1FC7" w14:textId="77777777" w:rsidR="008A0152" w:rsidRPr="00425F99" w:rsidRDefault="008A0152" w:rsidP="00425F99">
    <w:pPr>
      <w:pStyle w:val="Encabezado"/>
      <w:rPr>
        <w:lang w:val="es-ES_tradnl"/>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2075" w14:textId="77777777" w:rsidR="008A0152" w:rsidRDefault="008A0152" w:rsidP="00425F99">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5F68B39" wp14:editId="4E47CC51">
          <wp:extent cx="1027130" cy="452633"/>
          <wp:effectExtent l="19050" t="0" r="157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EB51287" w14:textId="77777777" w:rsidR="008A0152" w:rsidRDefault="008A0152" w:rsidP="00425F99">
    <w:pPr>
      <w:tabs>
        <w:tab w:val="right" w:pos="9214"/>
      </w:tabs>
      <w:ind w:left="142" w:hanging="142"/>
      <w:rPr>
        <w:rFonts w:ascii="Arial" w:hAnsi="Arial" w:cs="Arial"/>
        <w:b/>
        <w:sz w:val="20"/>
        <w:lang w:val="es-ES_tradnl"/>
      </w:rPr>
    </w:pPr>
    <w:r w:rsidRPr="00F941DB">
      <w:rPr>
        <w:rFonts w:ascii="Arial" w:hAnsi="Arial" w:cs="Arial"/>
        <w:b/>
        <w:sz w:val="20"/>
        <w:lang w:val="es-ES_tradnl"/>
      </w:rPr>
      <w:t>ANEXO F</w:t>
    </w:r>
  </w:p>
  <w:p w14:paraId="73949FB4" w14:textId="77777777" w:rsidR="008A0152" w:rsidRPr="00F941DB" w:rsidRDefault="008A0152" w:rsidP="00425F99">
    <w:pPr>
      <w:tabs>
        <w:tab w:val="right" w:pos="9214"/>
      </w:tabs>
      <w:ind w:left="142" w:hanging="142"/>
      <w:rPr>
        <w:rFonts w:ascii="Arial" w:hAnsi="Arial" w:cs="Arial"/>
        <w:sz w:val="20"/>
        <w:lang w:val="es-ES"/>
      </w:rPr>
    </w:pPr>
  </w:p>
  <w:p w14:paraId="27BFB45A" w14:textId="77777777" w:rsidR="008A0152" w:rsidRPr="00F941DB" w:rsidRDefault="008A0152" w:rsidP="00425F99">
    <w:pPr>
      <w:pStyle w:val="Encabezado"/>
      <w:jc w:val="center"/>
      <w:rPr>
        <w:rFonts w:ascii="Arial" w:hAnsi="Arial" w:cs="Arial"/>
        <w:b/>
        <w:sz w:val="20"/>
        <w:lang w:val="es-ES_tradnl"/>
      </w:rPr>
    </w:pPr>
    <w:r w:rsidRPr="00F941DB">
      <w:rPr>
        <w:rFonts w:ascii="Arial" w:hAnsi="Arial" w:cs="Arial"/>
        <w:b/>
        <w:sz w:val="20"/>
        <w:lang w:val="es-ES_tradnl"/>
      </w:rPr>
      <w:t xml:space="preserve">MOVIMIENTO DE </w:t>
    </w:r>
    <w:r>
      <w:rPr>
        <w:rFonts w:ascii="Arial" w:hAnsi="Arial" w:cs="Arial"/>
        <w:b/>
        <w:sz w:val="20"/>
        <w:lang w:val="es-ES_tradnl"/>
      </w:rPr>
      <w:t>PROPIEDADES DE INVERSION</w:t>
    </w:r>
  </w:p>
  <w:p w14:paraId="0076B332"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Y 31 DE DICIEMBRE DE 2017</w:t>
    </w:r>
  </w:p>
  <w:p w14:paraId="64C5381D" w14:textId="77777777" w:rsidR="008A0152" w:rsidRDefault="008A0152" w:rsidP="00A261DE">
    <w:pPr>
      <w:pStyle w:val="Encabezado"/>
      <w:jc w:val="center"/>
      <w:rPr>
        <w:rFonts w:ascii="Arial" w:hAnsi="Arial" w:cs="Arial"/>
        <w:sz w:val="16"/>
        <w:szCs w:val="16"/>
        <w:lang w:val="es-ES"/>
      </w:rPr>
    </w:pPr>
    <w:r w:rsidRPr="00F941DB">
      <w:rPr>
        <w:rFonts w:ascii="Arial" w:hAnsi="Arial" w:cs="Arial"/>
        <w:sz w:val="20"/>
        <w:lang w:val="es-ES"/>
      </w:rPr>
      <w:t xml:space="preserve"> (</w:t>
    </w:r>
    <w:r>
      <w:rPr>
        <w:rFonts w:ascii="Arial" w:hAnsi="Arial" w:cs="Arial"/>
        <w:sz w:val="16"/>
        <w:szCs w:val="16"/>
        <w:lang w:val="es-ES"/>
      </w:rPr>
      <w:t>C</w:t>
    </w:r>
    <w:r w:rsidRPr="00F941DB">
      <w:rPr>
        <w:rFonts w:ascii="Arial" w:hAnsi="Arial" w:cs="Arial"/>
        <w:sz w:val="16"/>
        <w:szCs w:val="16"/>
        <w:lang w:val="es-ES"/>
      </w:rPr>
      <w:t>ifras expresadas en miles de pesos)</w:t>
    </w:r>
  </w:p>
  <w:p w14:paraId="7D069E27" w14:textId="77777777" w:rsidR="008A0152" w:rsidRDefault="008A0152" w:rsidP="00425F99">
    <w:pPr>
      <w:pStyle w:val="Encabezado"/>
      <w:jc w:val="center"/>
      <w:rPr>
        <w:rFonts w:ascii="Arial" w:hAnsi="Arial" w:cs="Arial"/>
        <w:sz w:val="20"/>
        <w:lang w:val="es-ES"/>
      </w:rPr>
    </w:pPr>
  </w:p>
  <w:p w14:paraId="01EE3FDF" w14:textId="77777777" w:rsidR="008A0152" w:rsidRPr="00D458EF" w:rsidRDefault="008A0152" w:rsidP="00425F99">
    <w:pPr>
      <w:pStyle w:val="Encabezado"/>
      <w:rPr>
        <w:rFonts w:ascii="Arial" w:hAnsi="Arial" w:cs="Arial"/>
        <w:sz w:val="20"/>
        <w:lang w:val="es-ES_tradnl"/>
      </w:rPr>
    </w:pPr>
  </w:p>
  <w:p w14:paraId="2C1511AC" w14:textId="77777777" w:rsidR="008A0152" w:rsidRPr="00425F99" w:rsidRDefault="008A0152" w:rsidP="00425F99">
    <w:pPr>
      <w:pStyle w:val="Encabezado"/>
      <w:rPr>
        <w:lang w:val="es-ES_tradn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6DC01" w14:textId="77777777" w:rsidR="008A0152" w:rsidRDefault="008A0152" w:rsidP="00C80859">
    <w:pPr>
      <w:tabs>
        <w:tab w:val="right" w:pos="9214"/>
      </w:tabs>
      <w:ind w:left="142" w:hanging="142"/>
      <w:jc w:val="right"/>
      <w:rPr>
        <w:rFonts w:ascii="Arial" w:hAnsi="Arial" w:cs="Arial"/>
        <w:sz w:val="20"/>
        <w:lang w:val="es-ES"/>
      </w:rPr>
    </w:pPr>
    <w:r w:rsidRPr="009042A8">
      <w:rPr>
        <w:rFonts w:ascii="Arial" w:hAnsi="Arial" w:cs="Arial"/>
        <w:b/>
        <w:noProof/>
        <w:sz w:val="20"/>
        <w:lang w:eastAsia="es-AR"/>
      </w:rPr>
      <w:drawing>
        <wp:inline distT="0" distB="0" distL="0" distR="0" wp14:anchorId="1CAF0DA3" wp14:editId="02AAF56B">
          <wp:extent cx="1027130" cy="452633"/>
          <wp:effectExtent l="19050" t="0" r="15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C72CE28" w14:textId="77777777" w:rsidR="008A0152" w:rsidRDefault="008A0152" w:rsidP="00C80859">
    <w:pPr>
      <w:tabs>
        <w:tab w:val="right" w:pos="9214"/>
      </w:tabs>
      <w:ind w:left="142" w:hanging="142"/>
      <w:jc w:val="right"/>
      <w:rPr>
        <w:rFonts w:ascii="Arial" w:hAnsi="Arial" w:cs="Arial"/>
        <w:sz w:val="20"/>
        <w:lang w:val="es-ES"/>
      </w:rPr>
    </w:pPr>
  </w:p>
  <w:p w14:paraId="4B5BAC6C" w14:textId="77777777" w:rsidR="008A0152" w:rsidRPr="0017062B" w:rsidRDefault="008A0152" w:rsidP="00C80859">
    <w:pPr>
      <w:tabs>
        <w:tab w:val="right" w:pos="9214"/>
      </w:tabs>
      <w:ind w:left="142" w:hanging="142"/>
      <w:jc w:val="center"/>
      <w:rPr>
        <w:rFonts w:ascii="Arial" w:hAnsi="Arial" w:cs="Arial"/>
        <w:sz w:val="20"/>
        <w:lang w:val="es-ES"/>
      </w:rPr>
    </w:pPr>
  </w:p>
  <w:p w14:paraId="16F2878D" w14:textId="77777777" w:rsidR="008A0152" w:rsidRPr="0017062B" w:rsidRDefault="008A0152" w:rsidP="009327FF">
    <w:pPr>
      <w:pStyle w:val="2Ttulo"/>
      <w:rPr>
        <w:rFonts w:ascii="Arial" w:hAnsi="Arial" w:cs="Arial"/>
        <w:sz w:val="20"/>
      </w:rPr>
    </w:pPr>
    <w:r w:rsidRPr="0017062B">
      <w:rPr>
        <w:rFonts w:ascii="Arial" w:hAnsi="Arial" w:cs="Arial"/>
        <w:sz w:val="20"/>
      </w:rPr>
      <w:t xml:space="preserve">ESTADO </w:t>
    </w:r>
    <w:r>
      <w:rPr>
        <w:rFonts w:ascii="Arial" w:hAnsi="Arial" w:cs="Arial"/>
        <w:sz w:val="20"/>
      </w:rPr>
      <w:t>CONSOLIDADO</w:t>
    </w:r>
    <w:r w:rsidRPr="0017062B">
      <w:rPr>
        <w:rFonts w:ascii="Arial" w:hAnsi="Arial" w:cs="Arial"/>
        <w:sz w:val="20"/>
      </w:rPr>
      <w:t xml:space="preserve"> </w:t>
    </w:r>
    <w:r>
      <w:rPr>
        <w:rFonts w:ascii="Arial" w:hAnsi="Arial" w:cs="Arial"/>
        <w:sz w:val="20"/>
      </w:rPr>
      <w:t xml:space="preserve">DE </w:t>
    </w:r>
    <w:r w:rsidRPr="0017062B">
      <w:rPr>
        <w:rFonts w:ascii="Arial" w:hAnsi="Arial" w:cs="Arial"/>
        <w:sz w:val="20"/>
      </w:rPr>
      <w:t>RESULTADOS</w:t>
    </w:r>
    <w:r>
      <w:rPr>
        <w:rFonts w:ascii="Arial" w:hAnsi="Arial" w:cs="Arial"/>
        <w:sz w:val="20"/>
      </w:rPr>
      <w:t xml:space="preserve"> – GANANCIA POR ACCION</w:t>
    </w:r>
  </w:p>
  <w:p w14:paraId="7146D74E" w14:textId="77777777" w:rsidR="008A0152" w:rsidRDefault="008A0152" w:rsidP="00143CC8">
    <w:pPr>
      <w:pStyle w:val="2Ttulo"/>
      <w:rPr>
        <w:rFonts w:ascii="Arial" w:hAnsi="Arial" w:cs="Arial"/>
        <w:sz w:val="20"/>
        <w:lang w:val="es-ES_tradnl"/>
      </w:rPr>
    </w:pPr>
    <w:r w:rsidRPr="0017062B">
      <w:rPr>
        <w:rFonts w:ascii="Arial" w:hAnsi="Arial" w:cs="Arial"/>
        <w:sz w:val="20"/>
        <w:lang w:val="es-ES_tradnl"/>
      </w:rPr>
      <w:t>CO</w:t>
    </w:r>
    <w:r>
      <w:rPr>
        <w:rFonts w:ascii="Arial" w:hAnsi="Arial" w:cs="Arial"/>
        <w:sz w:val="20"/>
        <w:lang w:val="es-ES_tradnl"/>
      </w:rPr>
      <w:t xml:space="preserve">RRESPONDIENTE AL PERIODO DE NUEVE MESES FINALIZADO </w:t>
    </w:r>
  </w:p>
  <w:p w14:paraId="45BEB62F" w14:textId="77777777" w:rsidR="008A0152" w:rsidRDefault="008A0152" w:rsidP="007D0D3E">
    <w:pPr>
      <w:pStyle w:val="2Ttulo"/>
      <w:rPr>
        <w:rFonts w:ascii="Arial" w:hAnsi="Arial" w:cs="Arial"/>
        <w:sz w:val="20"/>
        <w:lang w:val="es-ES_tradnl"/>
      </w:rPr>
    </w:pPr>
    <w:r>
      <w:rPr>
        <w:rFonts w:ascii="Arial" w:hAnsi="Arial" w:cs="Arial"/>
        <w:sz w:val="20"/>
        <w:lang w:val="es-ES_tradnl"/>
      </w:rPr>
      <w:t>EL 30</w:t>
    </w:r>
    <w:r w:rsidRPr="0017062B">
      <w:rPr>
        <w:rFonts w:ascii="Arial" w:hAnsi="Arial" w:cs="Arial"/>
        <w:sz w:val="20"/>
        <w:lang w:val="es-ES_tradnl"/>
      </w:rPr>
      <w:t xml:space="preserve"> DE</w:t>
    </w:r>
    <w:r>
      <w:rPr>
        <w:rFonts w:ascii="Arial" w:hAnsi="Arial" w:cs="Arial"/>
        <w:sz w:val="20"/>
        <w:lang w:val="es-ES_tradnl"/>
      </w:rPr>
      <w:t xml:space="preserve"> SEPTIEMBRE DE 2018</w:t>
    </w:r>
  </w:p>
  <w:p w14:paraId="406003D0" w14:textId="77777777" w:rsidR="008A0152" w:rsidRDefault="008A0152" w:rsidP="007D0D3E">
    <w:pPr>
      <w:pStyle w:val="2Ttulo"/>
      <w:rPr>
        <w:rFonts w:ascii="Arial" w:hAnsi="Arial" w:cs="Arial"/>
        <w:sz w:val="20"/>
        <w:lang w:val="es-ES_tradnl"/>
      </w:rPr>
    </w:pPr>
  </w:p>
  <w:p w14:paraId="3E7F1B21" w14:textId="77777777" w:rsidR="008A0152" w:rsidRPr="005E5441" w:rsidRDefault="008A0152" w:rsidP="00143CC8">
    <w:pPr>
      <w:pStyle w:val="2Ttulo"/>
      <w:rPr>
        <w:rFonts w:ascii="Arial" w:hAnsi="Arial" w:cs="Arial"/>
        <w:b w:val="0"/>
        <w:sz w:val="16"/>
        <w:szCs w:val="16"/>
        <w:lang w:val="es-ES_tradnl"/>
      </w:rPr>
    </w:pPr>
    <w:r w:rsidRPr="005E5441">
      <w:rPr>
        <w:rFonts w:ascii="Arial" w:hAnsi="Arial" w:cs="Arial"/>
        <w:b w:val="0"/>
        <w:sz w:val="16"/>
        <w:szCs w:val="16"/>
        <w:lang w:val="es-ES_tradnl"/>
      </w:rPr>
      <w:t xml:space="preserve">Presentado </w:t>
    </w:r>
    <w:r>
      <w:rPr>
        <w:rFonts w:ascii="Arial" w:hAnsi="Arial" w:cs="Arial"/>
        <w:b w:val="0"/>
        <w:sz w:val="16"/>
        <w:szCs w:val="16"/>
        <w:lang w:val="es-ES_tradnl"/>
      </w:rPr>
      <w:t>en forma comparativa con igual período del ejercicio</w:t>
    </w:r>
    <w:r w:rsidRPr="005E5441">
      <w:rPr>
        <w:rFonts w:ascii="Arial" w:hAnsi="Arial" w:cs="Arial"/>
        <w:b w:val="0"/>
        <w:sz w:val="16"/>
        <w:szCs w:val="16"/>
        <w:lang w:val="es-ES_tradnl"/>
      </w:rPr>
      <w:t xml:space="preserve"> anterior</w:t>
    </w:r>
  </w:p>
  <w:p w14:paraId="2D408F4A" w14:textId="77777777" w:rsidR="008A0152" w:rsidRDefault="008A0152" w:rsidP="00143CC8">
    <w:pPr>
      <w:pStyle w:val="2Ttulo"/>
      <w:rPr>
        <w:rFonts w:ascii="Arial" w:hAnsi="Arial" w:cs="Arial"/>
        <w:b w:val="0"/>
        <w:sz w:val="16"/>
        <w:szCs w:val="16"/>
      </w:rPr>
    </w:pPr>
    <w:r w:rsidRPr="005E5441">
      <w:rPr>
        <w:rFonts w:ascii="Arial" w:hAnsi="Arial" w:cs="Arial"/>
        <w:b w:val="0"/>
        <w:sz w:val="16"/>
        <w:szCs w:val="16"/>
      </w:rPr>
      <w:t>(Cifras expresadas en miles de pesos)</w:t>
    </w:r>
  </w:p>
  <w:p w14:paraId="20C5DC9B" w14:textId="77777777" w:rsidR="008A0152" w:rsidRPr="00050353" w:rsidRDefault="008A0152" w:rsidP="00050353">
    <w:pPr>
      <w:pStyle w:val="2Ttulo"/>
      <w:jc w:val="left"/>
      <w:rPr>
        <w:rFonts w:ascii="Arial" w:hAnsi="Arial" w:cs="Arial"/>
        <w:b w:val="0"/>
        <w:sz w:val="20"/>
      </w:rPr>
    </w:pPr>
  </w:p>
  <w:p w14:paraId="61ACEE2A" w14:textId="77777777" w:rsidR="008A0152" w:rsidRPr="00B70E4F" w:rsidRDefault="008A0152" w:rsidP="00050353">
    <w:pPr>
      <w:pStyle w:val="2Ttulo"/>
      <w:jc w:val="left"/>
      <w:rPr>
        <w:rFonts w:ascii="Arial" w:hAnsi="Arial" w:cs="Arial"/>
        <w:sz w:val="16"/>
        <w:szCs w:val="16"/>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87068" w14:textId="77777777" w:rsidR="008A0152" w:rsidRDefault="008A0152" w:rsidP="00860C48">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3762BA0" wp14:editId="577457B0">
          <wp:extent cx="1027130" cy="452633"/>
          <wp:effectExtent l="19050" t="0" r="157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7D9D0F22" w14:textId="77777777" w:rsidR="008A0152" w:rsidRDefault="008A0152" w:rsidP="00860C48">
    <w:pPr>
      <w:tabs>
        <w:tab w:val="right" w:pos="9214"/>
      </w:tabs>
      <w:ind w:left="142" w:hanging="142"/>
      <w:rPr>
        <w:rFonts w:ascii="Arial" w:hAnsi="Arial" w:cs="Arial"/>
        <w:b/>
        <w:sz w:val="20"/>
        <w:lang w:val="es-ES_tradnl"/>
      </w:rPr>
    </w:pPr>
    <w:r w:rsidRPr="00F941DB">
      <w:rPr>
        <w:rFonts w:ascii="Arial" w:hAnsi="Arial" w:cs="Arial"/>
        <w:b/>
        <w:sz w:val="20"/>
        <w:lang w:val="es-ES_tradnl"/>
      </w:rPr>
      <w:t>ANEXO G</w:t>
    </w:r>
  </w:p>
  <w:p w14:paraId="0D5A84E4" w14:textId="77777777" w:rsidR="008A0152" w:rsidRPr="00326935" w:rsidRDefault="008A0152" w:rsidP="00860C48">
    <w:pPr>
      <w:tabs>
        <w:tab w:val="right" w:pos="9214"/>
      </w:tabs>
      <w:ind w:left="142" w:hanging="142"/>
      <w:jc w:val="right"/>
      <w:rPr>
        <w:rFonts w:ascii="Arial" w:hAnsi="Arial" w:cs="Arial"/>
        <w:b/>
        <w:sz w:val="20"/>
        <w:lang w:val="es-ES_tradnl"/>
      </w:rPr>
    </w:pPr>
  </w:p>
  <w:p w14:paraId="64A8C3EA" w14:textId="77777777" w:rsidR="008A0152" w:rsidRPr="00F941DB" w:rsidRDefault="008A0152" w:rsidP="00860C48">
    <w:pPr>
      <w:pStyle w:val="Encabezado"/>
      <w:jc w:val="center"/>
      <w:rPr>
        <w:rFonts w:ascii="Arial" w:hAnsi="Arial" w:cs="Arial"/>
        <w:b/>
        <w:sz w:val="20"/>
        <w:lang w:val="es-ES_tradnl"/>
      </w:rPr>
    </w:pPr>
    <w:r>
      <w:rPr>
        <w:rFonts w:ascii="Arial" w:hAnsi="Arial" w:cs="Arial"/>
        <w:b/>
        <w:sz w:val="20"/>
        <w:lang w:val="es-ES_tradnl"/>
      </w:rPr>
      <w:t>MOVIMIENTO</w:t>
    </w:r>
    <w:r w:rsidRPr="00F941DB">
      <w:rPr>
        <w:rFonts w:ascii="Arial" w:hAnsi="Arial" w:cs="Arial"/>
        <w:b/>
        <w:sz w:val="20"/>
        <w:lang w:val="es-ES_tradnl"/>
      </w:rPr>
      <w:t xml:space="preserve"> DE </w:t>
    </w:r>
    <w:r>
      <w:rPr>
        <w:rFonts w:ascii="Arial" w:hAnsi="Arial" w:cs="Arial"/>
        <w:b/>
        <w:sz w:val="20"/>
        <w:lang w:val="es-ES_tradnl"/>
      </w:rPr>
      <w:t>ACTIVOS</w:t>
    </w:r>
    <w:r w:rsidRPr="00F941DB">
      <w:rPr>
        <w:rFonts w:ascii="Arial" w:hAnsi="Arial" w:cs="Arial"/>
        <w:b/>
        <w:sz w:val="20"/>
        <w:lang w:val="es-ES_tradnl"/>
      </w:rPr>
      <w:t xml:space="preserve"> INTANGIBLES</w:t>
    </w:r>
  </w:p>
  <w:p w14:paraId="3970E4D7"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3B07D71C" w14:textId="77777777" w:rsidR="008A0152" w:rsidRDefault="008A0152" w:rsidP="00860C48">
    <w:pPr>
      <w:pStyle w:val="Encabezado"/>
      <w:jc w:val="center"/>
      <w:rPr>
        <w:rFonts w:ascii="Arial" w:hAnsi="Arial" w:cs="Arial"/>
        <w:sz w:val="16"/>
        <w:szCs w:val="16"/>
        <w:lang w:val="es-ES"/>
      </w:rPr>
    </w:pPr>
    <w:r>
      <w:rPr>
        <w:rFonts w:ascii="Arial" w:hAnsi="Arial" w:cs="Arial"/>
        <w:sz w:val="16"/>
        <w:szCs w:val="16"/>
        <w:lang w:val="es-ES"/>
      </w:rPr>
      <w:t>(C</w:t>
    </w:r>
    <w:r w:rsidRPr="00F941DB">
      <w:rPr>
        <w:rFonts w:ascii="Arial" w:hAnsi="Arial" w:cs="Arial"/>
        <w:sz w:val="16"/>
        <w:szCs w:val="16"/>
        <w:lang w:val="es-ES"/>
      </w:rPr>
      <w:t>if</w:t>
    </w:r>
    <w:r>
      <w:rPr>
        <w:rFonts w:ascii="Arial" w:hAnsi="Arial" w:cs="Arial"/>
        <w:sz w:val="16"/>
        <w:szCs w:val="16"/>
        <w:lang w:val="es-ES"/>
      </w:rPr>
      <w:t>ras expresadas en miles de pesos</w:t>
    </w:r>
    <w:r w:rsidRPr="00F941DB">
      <w:rPr>
        <w:rFonts w:ascii="Arial" w:hAnsi="Arial" w:cs="Arial"/>
        <w:sz w:val="16"/>
        <w:szCs w:val="16"/>
        <w:lang w:val="es-ES"/>
      </w:rPr>
      <w:t>)</w:t>
    </w:r>
  </w:p>
  <w:p w14:paraId="36D42031" w14:textId="77777777" w:rsidR="008A0152" w:rsidRDefault="008A0152" w:rsidP="00860C48">
    <w:pPr>
      <w:pStyle w:val="Encabezado"/>
      <w:rPr>
        <w:rFonts w:ascii="Arial" w:hAnsi="Arial" w:cs="Arial"/>
        <w:sz w:val="20"/>
        <w:lang w:val="es-ES"/>
      </w:rPr>
    </w:pPr>
  </w:p>
  <w:p w14:paraId="02E3DB89" w14:textId="77777777" w:rsidR="008A0152" w:rsidRPr="00D458EF" w:rsidRDefault="008A0152" w:rsidP="00860C48">
    <w:pPr>
      <w:pStyle w:val="Encabezado"/>
      <w:rPr>
        <w:rFonts w:ascii="Arial" w:hAnsi="Arial" w:cs="Arial"/>
        <w:sz w:val="20"/>
        <w:lang w:val="es-ES_tradnl"/>
      </w:rPr>
    </w:pPr>
  </w:p>
  <w:p w14:paraId="7A69C12D" w14:textId="77777777" w:rsidR="008A0152" w:rsidRPr="00860C48" w:rsidRDefault="008A0152" w:rsidP="00860C48">
    <w:pPr>
      <w:pStyle w:val="Encabezado"/>
      <w:rPr>
        <w:lang w:val="es-ES_tradnl"/>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DE593" w14:textId="77777777" w:rsidR="008A0152" w:rsidRDefault="008A0152" w:rsidP="00860C48">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2554EE7B" wp14:editId="464D9B9B">
          <wp:extent cx="1027130" cy="452633"/>
          <wp:effectExtent l="19050" t="0" r="1570" b="0"/>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7A8CF697" w14:textId="77777777" w:rsidR="008A0152" w:rsidRDefault="008A0152" w:rsidP="00860C48">
    <w:pPr>
      <w:tabs>
        <w:tab w:val="right" w:pos="9214"/>
      </w:tabs>
      <w:ind w:left="142" w:hanging="142"/>
      <w:rPr>
        <w:rFonts w:ascii="Arial" w:hAnsi="Arial" w:cs="Arial"/>
        <w:b/>
        <w:sz w:val="20"/>
        <w:lang w:val="es-ES_tradnl"/>
      </w:rPr>
    </w:pPr>
    <w:r w:rsidRPr="00F941DB">
      <w:rPr>
        <w:rFonts w:ascii="Arial" w:hAnsi="Arial" w:cs="Arial"/>
        <w:b/>
        <w:sz w:val="20"/>
        <w:lang w:val="es-ES_tradnl"/>
      </w:rPr>
      <w:t>ANEXO H</w:t>
    </w:r>
  </w:p>
  <w:p w14:paraId="0CDCF5EC" w14:textId="77777777" w:rsidR="008A0152" w:rsidRPr="002C6517" w:rsidRDefault="008A0152" w:rsidP="00860C48">
    <w:pPr>
      <w:tabs>
        <w:tab w:val="right" w:pos="9214"/>
      </w:tabs>
      <w:rPr>
        <w:rFonts w:ascii="Arial" w:hAnsi="Arial" w:cs="Arial"/>
        <w:sz w:val="20"/>
        <w:lang w:val="es-ES"/>
      </w:rPr>
    </w:pPr>
  </w:p>
  <w:p w14:paraId="13D303FA" w14:textId="77777777" w:rsidR="008A0152" w:rsidRPr="00F941DB" w:rsidRDefault="008A0152" w:rsidP="00860C48">
    <w:pPr>
      <w:pStyle w:val="Encabezado"/>
      <w:jc w:val="center"/>
      <w:rPr>
        <w:rFonts w:ascii="Arial" w:hAnsi="Arial" w:cs="Arial"/>
        <w:b/>
        <w:sz w:val="20"/>
        <w:lang w:val="es-ES_tradnl"/>
      </w:rPr>
    </w:pPr>
    <w:r w:rsidRPr="00F941DB">
      <w:rPr>
        <w:rFonts w:ascii="Arial" w:hAnsi="Arial" w:cs="Arial"/>
        <w:b/>
        <w:sz w:val="20"/>
        <w:lang w:val="es-ES_tradnl"/>
      </w:rPr>
      <w:t>CONCENTRACION DE LOS DEPOSITOS</w:t>
    </w:r>
  </w:p>
  <w:p w14:paraId="214C4BDD"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0707200D" w14:textId="77777777" w:rsidR="008A0152" w:rsidRDefault="008A0152" w:rsidP="00860C4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37654021" w14:textId="77777777" w:rsidR="008A0152" w:rsidRPr="002C6517" w:rsidRDefault="008A0152" w:rsidP="00860C48">
    <w:pPr>
      <w:pStyle w:val="Encabezado"/>
      <w:rPr>
        <w:rFonts w:ascii="Arial" w:hAnsi="Arial" w:cs="Arial"/>
        <w:sz w:val="20"/>
        <w:lang w:val="es-ES"/>
      </w:rPr>
    </w:pPr>
  </w:p>
  <w:p w14:paraId="425A0EAD" w14:textId="77777777" w:rsidR="008A0152" w:rsidRPr="00F941DB" w:rsidRDefault="008A0152" w:rsidP="00860C48">
    <w:pPr>
      <w:pStyle w:val="Encabezado"/>
      <w:rPr>
        <w:rFonts w:ascii="Arial" w:hAnsi="Arial" w:cs="Arial"/>
        <w:sz w:val="20"/>
        <w:lang w:val="es-ES_tradnl"/>
      </w:rPr>
    </w:pPr>
  </w:p>
  <w:p w14:paraId="13F1D0C7" w14:textId="77777777" w:rsidR="008A0152" w:rsidRPr="00860C48" w:rsidRDefault="008A0152" w:rsidP="00860C48">
    <w:pPr>
      <w:pStyle w:val="Encabezado"/>
      <w:rPr>
        <w:lang w:val="es-ES_tradnl"/>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FE73" w14:textId="77777777" w:rsidR="008A0152" w:rsidRDefault="008A0152" w:rsidP="00860C48">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2A57689E" wp14:editId="76555108">
          <wp:extent cx="1027130" cy="452633"/>
          <wp:effectExtent l="19050" t="0" r="157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6FA3ACC" w14:textId="77777777" w:rsidR="008A0152" w:rsidRDefault="008A0152" w:rsidP="00860C48">
    <w:pPr>
      <w:tabs>
        <w:tab w:val="right" w:pos="9214"/>
      </w:tabs>
      <w:ind w:left="142" w:hanging="142"/>
      <w:rPr>
        <w:rFonts w:ascii="Arial" w:hAnsi="Arial" w:cs="Arial"/>
        <w:b/>
        <w:sz w:val="20"/>
        <w:lang w:val="es-ES_tradnl"/>
      </w:rPr>
    </w:pPr>
    <w:r w:rsidRPr="002C6517">
      <w:rPr>
        <w:rFonts w:ascii="Arial" w:hAnsi="Arial" w:cs="Arial"/>
        <w:b/>
        <w:sz w:val="20"/>
        <w:lang w:val="es-ES_tradnl"/>
      </w:rPr>
      <w:t>ANEXO I</w:t>
    </w:r>
  </w:p>
  <w:p w14:paraId="08AE86B8" w14:textId="77777777" w:rsidR="008A0152" w:rsidRPr="002C6517" w:rsidRDefault="008A0152" w:rsidP="00860C48">
    <w:pPr>
      <w:tabs>
        <w:tab w:val="right" w:pos="9214"/>
      </w:tabs>
      <w:ind w:left="142" w:hanging="142"/>
      <w:rPr>
        <w:rFonts w:ascii="Arial" w:hAnsi="Arial" w:cs="Arial"/>
        <w:b/>
        <w:sz w:val="20"/>
        <w:lang w:val="es-ES"/>
      </w:rPr>
    </w:pPr>
  </w:p>
  <w:p w14:paraId="2A72F5D2" w14:textId="77777777" w:rsidR="008A0152" w:rsidRPr="002C6517" w:rsidRDefault="008A0152" w:rsidP="00860C48">
    <w:pPr>
      <w:pStyle w:val="Encabezado"/>
      <w:jc w:val="center"/>
      <w:rPr>
        <w:rFonts w:ascii="Arial" w:hAnsi="Arial" w:cs="Arial"/>
        <w:b/>
        <w:sz w:val="20"/>
        <w:lang w:val="es-ES_tradnl"/>
      </w:rPr>
    </w:pPr>
    <w:r w:rsidRPr="002C6517">
      <w:rPr>
        <w:rFonts w:ascii="Arial" w:hAnsi="Arial" w:cs="Arial"/>
        <w:b/>
        <w:sz w:val="20"/>
        <w:lang w:val="es-ES_tradnl"/>
      </w:rPr>
      <w:t xml:space="preserve">APERTURA </w:t>
    </w:r>
    <w:r>
      <w:rPr>
        <w:rFonts w:ascii="Arial" w:hAnsi="Arial" w:cs="Arial"/>
        <w:b/>
        <w:sz w:val="20"/>
        <w:lang w:val="es-ES_tradnl"/>
      </w:rPr>
      <w:t>DE PASIVOS FINANCIEROS POR PL</w:t>
    </w:r>
    <w:r w:rsidRPr="002C6517">
      <w:rPr>
        <w:rFonts w:ascii="Arial" w:hAnsi="Arial" w:cs="Arial"/>
        <w:b/>
        <w:sz w:val="20"/>
        <w:lang w:val="es-ES_tradnl"/>
      </w:rPr>
      <w:t>A</w:t>
    </w:r>
    <w:r>
      <w:rPr>
        <w:rFonts w:ascii="Arial" w:hAnsi="Arial" w:cs="Arial"/>
        <w:b/>
        <w:sz w:val="20"/>
        <w:lang w:val="es-ES_tradnl"/>
      </w:rPr>
      <w:t>ZOS REMANENTES</w:t>
    </w:r>
  </w:p>
  <w:p w14:paraId="174D3CE1" w14:textId="77777777" w:rsidR="008A0152" w:rsidRPr="002C6517" w:rsidRDefault="008A0152" w:rsidP="00860C48">
    <w:pPr>
      <w:pStyle w:val="Encabezado"/>
      <w:jc w:val="center"/>
      <w:rPr>
        <w:rFonts w:ascii="Arial" w:hAnsi="Arial" w:cs="Arial"/>
        <w:b/>
        <w:sz w:val="20"/>
        <w:lang w:val="es-ES_tradnl"/>
      </w:rPr>
    </w:pPr>
    <w:r>
      <w:rPr>
        <w:rFonts w:ascii="Arial" w:hAnsi="Arial" w:cs="Arial"/>
        <w:b/>
        <w:sz w:val="20"/>
        <w:lang w:val="es-ES_tradnl"/>
      </w:rPr>
      <w:t>Al 30 DE SEPTIEMBRE DE 2018</w:t>
    </w:r>
  </w:p>
  <w:p w14:paraId="09253113" w14:textId="77777777" w:rsidR="008A0152" w:rsidRDefault="008A0152" w:rsidP="00860C48">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72D85541" w14:textId="77777777" w:rsidR="008A0152" w:rsidRPr="008C1D4C" w:rsidRDefault="008A0152" w:rsidP="00860C48">
    <w:pPr>
      <w:pStyle w:val="Encabezado"/>
      <w:rPr>
        <w:rFonts w:ascii="Arial" w:hAnsi="Arial" w:cs="Arial"/>
        <w:sz w:val="20"/>
        <w:lang w:val="es-ES_tradnl"/>
      </w:rPr>
    </w:pPr>
  </w:p>
  <w:p w14:paraId="704B9705" w14:textId="77777777" w:rsidR="008A0152" w:rsidRPr="008C1D4C" w:rsidRDefault="008A0152" w:rsidP="00860C48">
    <w:pPr>
      <w:pStyle w:val="Encabezado"/>
      <w:rPr>
        <w:rFonts w:ascii="Arial" w:hAnsi="Arial" w:cs="Arial"/>
        <w:sz w:val="20"/>
        <w:lang w:val="es-ES_tradnl"/>
      </w:rPr>
    </w:pPr>
  </w:p>
  <w:p w14:paraId="1EED9720" w14:textId="77777777" w:rsidR="008A0152" w:rsidRPr="00860C48" w:rsidRDefault="008A0152" w:rsidP="00860C48">
    <w:pPr>
      <w:pStyle w:val="Encabezado"/>
      <w:rPr>
        <w:lang w:val="es-ES_tradnl"/>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6525B" w14:textId="77777777" w:rsidR="008A0152" w:rsidRDefault="008A0152" w:rsidP="007A7EC4">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4212A5BA" wp14:editId="606CBA4B">
          <wp:extent cx="1027130" cy="452633"/>
          <wp:effectExtent l="19050" t="0" r="1570" b="0"/>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55D24A0B" w14:textId="77777777" w:rsidR="008A0152" w:rsidRDefault="008A0152" w:rsidP="007A7EC4">
    <w:pPr>
      <w:tabs>
        <w:tab w:val="right" w:pos="9214"/>
      </w:tabs>
      <w:rPr>
        <w:rFonts w:ascii="Arial" w:hAnsi="Arial" w:cs="Arial"/>
        <w:b/>
        <w:sz w:val="20"/>
        <w:lang w:val="es-ES_tradnl"/>
      </w:rPr>
    </w:pPr>
    <w:r w:rsidRPr="008C1D4C">
      <w:rPr>
        <w:rFonts w:ascii="Arial" w:hAnsi="Arial" w:cs="Arial"/>
        <w:b/>
        <w:sz w:val="20"/>
        <w:lang w:val="es-ES_tradnl"/>
      </w:rPr>
      <w:t>ANEXO J</w:t>
    </w:r>
  </w:p>
  <w:p w14:paraId="7F6F71CB" w14:textId="77777777" w:rsidR="008A0152" w:rsidRPr="00F52B7B" w:rsidRDefault="008A0152" w:rsidP="007A7EC4">
    <w:pPr>
      <w:tabs>
        <w:tab w:val="right" w:pos="9214"/>
      </w:tabs>
      <w:ind w:left="142" w:hanging="142"/>
      <w:rPr>
        <w:rFonts w:ascii="Arial" w:hAnsi="Arial" w:cs="Arial"/>
        <w:sz w:val="20"/>
        <w:lang w:val="es-ES"/>
      </w:rPr>
    </w:pPr>
  </w:p>
  <w:p w14:paraId="716D64DD" w14:textId="77777777" w:rsidR="008A0152" w:rsidRPr="008C1D4C" w:rsidRDefault="008A0152" w:rsidP="007A7EC4">
    <w:pPr>
      <w:pStyle w:val="Encabezado"/>
      <w:jc w:val="center"/>
      <w:rPr>
        <w:rFonts w:ascii="Arial" w:hAnsi="Arial" w:cs="Arial"/>
        <w:b/>
        <w:sz w:val="20"/>
        <w:lang w:val="es-ES_tradnl"/>
      </w:rPr>
    </w:pPr>
    <w:r w:rsidRPr="008C1D4C">
      <w:rPr>
        <w:rFonts w:ascii="Arial" w:hAnsi="Arial" w:cs="Arial"/>
        <w:b/>
        <w:sz w:val="20"/>
        <w:lang w:val="es-ES_tradnl"/>
      </w:rPr>
      <w:t>MOVIMIENTO DE PR</w:t>
    </w:r>
    <w:r>
      <w:rPr>
        <w:rFonts w:ascii="Arial" w:hAnsi="Arial" w:cs="Arial"/>
        <w:b/>
        <w:sz w:val="20"/>
        <w:lang w:val="es-ES_tradnl"/>
      </w:rPr>
      <w:t>O</w:t>
    </w:r>
    <w:r w:rsidRPr="008C1D4C">
      <w:rPr>
        <w:rFonts w:ascii="Arial" w:hAnsi="Arial" w:cs="Arial"/>
        <w:b/>
        <w:sz w:val="20"/>
        <w:lang w:val="es-ES_tradnl"/>
      </w:rPr>
      <w:t>VISIONES</w:t>
    </w:r>
  </w:p>
  <w:p w14:paraId="0CC376B0"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41ACEFEA" w14:textId="77777777" w:rsidR="008A0152" w:rsidRPr="00F52B7B" w:rsidRDefault="008A0152" w:rsidP="007A7EC4">
    <w:pPr>
      <w:pStyle w:val="Encabezado"/>
      <w:jc w:val="center"/>
      <w:rPr>
        <w:rFonts w:ascii="Arial" w:hAnsi="Arial" w:cs="Arial"/>
        <w:sz w:val="16"/>
        <w:szCs w:val="16"/>
        <w:lang w:val="es-ES"/>
      </w:rPr>
    </w:pPr>
    <w:r w:rsidRPr="00F52B7B">
      <w:rPr>
        <w:rFonts w:ascii="Arial" w:hAnsi="Arial" w:cs="Arial"/>
        <w:sz w:val="16"/>
        <w:szCs w:val="16"/>
        <w:lang w:val="es-ES"/>
      </w:rPr>
      <w:t>(Cifras expresadas en miles de pesos)</w:t>
    </w:r>
  </w:p>
  <w:p w14:paraId="227CC3C5" w14:textId="77777777" w:rsidR="008A0152" w:rsidRPr="00D458EF" w:rsidRDefault="008A0152" w:rsidP="007A7EC4">
    <w:pPr>
      <w:pStyle w:val="Encabezado"/>
      <w:rPr>
        <w:rFonts w:ascii="Arial" w:hAnsi="Arial" w:cs="Arial"/>
        <w:sz w:val="20"/>
        <w:lang w:val="es-ES_tradnl"/>
      </w:rPr>
    </w:pPr>
  </w:p>
  <w:p w14:paraId="276F154A" w14:textId="77777777" w:rsidR="008A0152" w:rsidRPr="007A7EC4" w:rsidRDefault="008A0152" w:rsidP="007A7EC4">
    <w:pPr>
      <w:pStyle w:val="Encabezado"/>
      <w:rPr>
        <w:lang w:val="es-ES_tradnl"/>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38DC" w14:textId="77777777" w:rsidR="008A0152" w:rsidRDefault="008A0152" w:rsidP="007A7EC4">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4633B466" wp14:editId="489C8F23">
          <wp:extent cx="1027130" cy="452633"/>
          <wp:effectExtent l="19050" t="0" r="1570"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03D01216" w14:textId="77777777" w:rsidR="008A0152" w:rsidRDefault="008A0152" w:rsidP="007A7EC4">
    <w:pPr>
      <w:tabs>
        <w:tab w:val="right" w:pos="9214"/>
      </w:tabs>
      <w:ind w:left="142" w:hanging="142"/>
      <w:rPr>
        <w:rFonts w:ascii="Arial" w:hAnsi="Arial" w:cs="Arial"/>
        <w:b/>
        <w:sz w:val="20"/>
        <w:lang w:val="es-ES_tradnl"/>
      </w:rPr>
    </w:pPr>
    <w:r w:rsidRPr="00F52B7B">
      <w:rPr>
        <w:rFonts w:ascii="Arial" w:hAnsi="Arial" w:cs="Arial"/>
        <w:b/>
        <w:sz w:val="20"/>
        <w:lang w:val="es-ES_tradnl"/>
      </w:rPr>
      <w:t>ANEXO K</w:t>
    </w:r>
  </w:p>
  <w:p w14:paraId="60529861" w14:textId="77777777" w:rsidR="008A0152" w:rsidRPr="00326935" w:rsidRDefault="008A0152" w:rsidP="007A7EC4">
    <w:pPr>
      <w:tabs>
        <w:tab w:val="right" w:pos="9214"/>
      </w:tabs>
      <w:ind w:left="142" w:hanging="142"/>
      <w:jc w:val="right"/>
      <w:rPr>
        <w:rFonts w:ascii="Arial" w:hAnsi="Arial" w:cs="Arial"/>
        <w:b/>
        <w:sz w:val="20"/>
        <w:lang w:val="es-ES_tradnl"/>
      </w:rPr>
    </w:pPr>
  </w:p>
  <w:p w14:paraId="5BAC9887" w14:textId="77777777" w:rsidR="008A0152" w:rsidRPr="00F52B7B" w:rsidRDefault="008A0152" w:rsidP="007A7EC4">
    <w:pPr>
      <w:pStyle w:val="Encabezado"/>
      <w:jc w:val="center"/>
      <w:rPr>
        <w:rFonts w:ascii="Arial" w:hAnsi="Arial" w:cs="Arial"/>
        <w:b/>
        <w:sz w:val="20"/>
        <w:lang w:val="es-ES_tradnl"/>
      </w:rPr>
    </w:pPr>
    <w:r w:rsidRPr="00F52B7B">
      <w:rPr>
        <w:rFonts w:ascii="Arial" w:hAnsi="Arial" w:cs="Arial"/>
        <w:b/>
        <w:sz w:val="20"/>
        <w:lang w:val="es-ES_tradnl"/>
      </w:rPr>
      <w:t>COMPOSICION DEL CAPITAL SOCIAL</w:t>
    </w:r>
  </w:p>
  <w:p w14:paraId="07646457" w14:textId="77777777" w:rsidR="008A0152" w:rsidRPr="00F52B7B" w:rsidRDefault="008A0152" w:rsidP="007A7EC4">
    <w:pPr>
      <w:pStyle w:val="Encabezado"/>
      <w:jc w:val="center"/>
      <w:rPr>
        <w:rFonts w:ascii="Arial" w:hAnsi="Arial" w:cs="Arial"/>
        <w:b/>
        <w:sz w:val="20"/>
        <w:lang w:val="es-ES_tradnl"/>
      </w:rPr>
    </w:pPr>
    <w:r>
      <w:rPr>
        <w:rFonts w:ascii="Arial" w:hAnsi="Arial" w:cs="Arial"/>
        <w:b/>
        <w:sz w:val="20"/>
        <w:lang w:val="es-ES_tradnl"/>
      </w:rPr>
      <w:t>Al 30 DE SEPTIEMBRE DE 2018</w:t>
    </w:r>
  </w:p>
  <w:p w14:paraId="316A034C" w14:textId="77777777" w:rsidR="008A0152" w:rsidRDefault="008A0152" w:rsidP="007A7EC4">
    <w:pPr>
      <w:pStyle w:val="Encabezado"/>
      <w:jc w:val="center"/>
      <w:rPr>
        <w:rFonts w:ascii="Arial" w:hAnsi="Arial" w:cs="Arial"/>
        <w:sz w:val="16"/>
        <w:szCs w:val="16"/>
        <w:lang w:val="es-ES"/>
      </w:rPr>
    </w:pPr>
    <w:r w:rsidRPr="00F52B7B">
      <w:rPr>
        <w:rFonts w:ascii="Arial" w:hAnsi="Arial" w:cs="Arial"/>
        <w:sz w:val="16"/>
        <w:szCs w:val="16"/>
        <w:lang w:val="es-ES"/>
      </w:rPr>
      <w:t>(Cifras expresadas en miles de pesos)</w:t>
    </w:r>
  </w:p>
  <w:p w14:paraId="4B0D3C19" w14:textId="77777777" w:rsidR="008A0152" w:rsidRPr="00F52B7B" w:rsidRDefault="008A0152" w:rsidP="007A7EC4">
    <w:pPr>
      <w:pStyle w:val="Encabezado"/>
      <w:rPr>
        <w:rFonts w:ascii="Arial" w:hAnsi="Arial" w:cs="Arial"/>
        <w:sz w:val="20"/>
        <w:lang w:val="es-ES_tradnl"/>
      </w:rPr>
    </w:pPr>
  </w:p>
  <w:p w14:paraId="55C75B7B" w14:textId="77777777" w:rsidR="008A0152" w:rsidRPr="007A7EC4" w:rsidRDefault="008A0152" w:rsidP="007A7EC4">
    <w:pPr>
      <w:pStyle w:val="Encabezado"/>
      <w:rPr>
        <w:lang w:val="es-ES_tradnl"/>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E7F3" w14:textId="77777777" w:rsidR="008A0152" w:rsidRDefault="008A0152" w:rsidP="007A7EC4">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92C02A3" wp14:editId="686E07A5">
          <wp:extent cx="1027130" cy="452633"/>
          <wp:effectExtent l="19050" t="0" r="1570" b="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68DF1AA9" w14:textId="77777777" w:rsidR="008A0152" w:rsidRDefault="008A0152" w:rsidP="007A7EC4">
    <w:pPr>
      <w:tabs>
        <w:tab w:val="right" w:pos="9214"/>
      </w:tabs>
      <w:ind w:left="142" w:hanging="142"/>
      <w:rPr>
        <w:rFonts w:ascii="Arial" w:hAnsi="Arial" w:cs="Arial"/>
        <w:b/>
        <w:sz w:val="20"/>
        <w:lang w:val="es-ES_tradnl"/>
      </w:rPr>
    </w:pPr>
    <w:r w:rsidRPr="00F52B7B">
      <w:rPr>
        <w:rFonts w:ascii="Arial" w:hAnsi="Arial" w:cs="Arial"/>
        <w:b/>
        <w:sz w:val="20"/>
        <w:lang w:val="es-ES_tradnl"/>
      </w:rPr>
      <w:t>ANEXO L</w:t>
    </w:r>
  </w:p>
  <w:p w14:paraId="520EA6E0" w14:textId="77777777" w:rsidR="008A0152" w:rsidRPr="00F52B7B" w:rsidRDefault="008A0152" w:rsidP="007A7EC4">
    <w:pPr>
      <w:tabs>
        <w:tab w:val="right" w:pos="9214"/>
      </w:tabs>
      <w:ind w:left="142" w:hanging="142"/>
      <w:rPr>
        <w:rFonts w:ascii="Arial" w:hAnsi="Arial" w:cs="Arial"/>
        <w:sz w:val="20"/>
        <w:lang w:val="es-ES"/>
      </w:rPr>
    </w:pPr>
  </w:p>
  <w:p w14:paraId="1724C548" w14:textId="77777777" w:rsidR="008A0152" w:rsidRPr="00F52B7B" w:rsidRDefault="008A0152" w:rsidP="007A7EC4">
    <w:pPr>
      <w:pStyle w:val="Encabezado"/>
      <w:jc w:val="center"/>
      <w:rPr>
        <w:rFonts w:ascii="Arial" w:hAnsi="Arial" w:cs="Arial"/>
        <w:b/>
        <w:sz w:val="20"/>
        <w:lang w:val="es-ES_tradnl"/>
      </w:rPr>
    </w:pPr>
    <w:r w:rsidRPr="00F52B7B">
      <w:rPr>
        <w:rFonts w:ascii="Arial" w:hAnsi="Arial" w:cs="Arial"/>
        <w:b/>
        <w:sz w:val="20"/>
        <w:lang w:val="es-ES_tradnl"/>
      </w:rPr>
      <w:t>SALDOS EN MONEDA EXTRANJERA</w:t>
    </w:r>
  </w:p>
  <w:p w14:paraId="78B10FD4" w14:textId="77777777" w:rsidR="008A0152" w:rsidRPr="00F52B7B"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3BB92C74" w14:textId="77777777" w:rsidR="008A0152" w:rsidRDefault="008A0152" w:rsidP="007A7EC4">
    <w:pPr>
      <w:pStyle w:val="Encabezado"/>
      <w:jc w:val="center"/>
      <w:rPr>
        <w:rFonts w:ascii="Arial" w:hAnsi="Arial" w:cs="Arial"/>
        <w:sz w:val="16"/>
        <w:szCs w:val="16"/>
        <w:lang w:val="es-ES"/>
      </w:rPr>
    </w:pPr>
    <w:r>
      <w:rPr>
        <w:rFonts w:ascii="Arial" w:hAnsi="Arial" w:cs="Arial"/>
        <w:sz w:val="16"/>
        <w:szCs w:val="16"/>
        <w:lang w:val="es-ES"/>
      </w:rPr>
      <w:t>(C</w:t>
    </w:r>
    <w:r w:rsidRPr="00F52B7B">
      <w:rPr>
        <w:rFonts w:ascii="Arial" w:hAnsi="Arial" w:cs="Arial"/>
        <w:sz w:val="16"/>
        <w:szCs w:val="16"/>
        <w:lang w:val="es-ES"/>
      </w:rPr>
      <w:t>ifras expresadas en miles de pesos)</w:t>
    </w:r>
  </w:p>
  <w:p w14:paraId="49EB4278" w14:textId="77777777" w:rsidR="008A0152" w:rsidRPr="007A7EC4" w:rsidRDefault="008A0152" w:rsidP="007A7EC4">
    <w:pPr>
      <w:pStyle w:val="Encabezado"/>
      <w:rPr>
        <w:lang w:val="es-ES"/>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B8A5" w14:textId="77777777" w:rsidR="008A0152" w:rsidRDefault="008A0152" w:rsidP="00AF16A0">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60283C60" wp14:editId="02A11D40">
          <wp:extent cx="1027130" cy="452633"/>
          <wp:effectExtent l="19050" t="0" r="1570" b="0"/>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11E47E4" w14:textId="77777777" w:rsidR="008A0152" w:rsidRDefault="008A0152" w:rsidP="00AF16A0">
    <w:pPr>
      <w:tabs>
        <w:tab w:val="right" w:pos="9214"/>
      </w:tabs>
      <w:ind w:left="142" w:hanging="142"/>
      <w:rPr>
        <w:rFonts w:ascii="Arial" w:hAnsi="Arial" w:cs="Arial"/>
        <w:b/>
        <w:sz w:val="20"/>
        <w:lang w:val="es-ES_tradnl"/>
      </w:rPr>
    </w:pPr>
    <w:r w:rsidRPr="00F52B7B">
      <w:rPr>
        <w:rFonts w:ascii="Arial" w:hAnsi="Arial" w:cs="Arial"/>
        <w:b/>
        <w:sz w:val="20"/>
        <w:lang w:val="es-ES_tradnl"/>
      </w:rPr>
      <w:t>ANEXO N</w:t>
    </w:r>
  </w:p>
  <w:p w14:paraId="41B8C747" w14:textId="77777777" w:rsidR="008A0152" w:rsidRPr="00F52B7B" w:rsidRDefault="008A0152" w:rsidP="00AF16A0">
    <w:pPr>
      <w:tabs>
        <w:tab w:val="right" w:pos="9214"/>
      </w:tabs>
      <w:ind w:left="142" w:hanging="142"/>
      <w:rPr>
        <w:rFonts w:ascii="Arial" w:hAnsi="Arial" w:cs="Arial"/>
        <w:sz w:val="20"/>
        <w:lang w:val="es-ES"/>
      </w:rPr>
    </w:pPr>
  </w:p>
  <w:p w14:paraId="68C1BEBD" w14:textId="77777777" w:rsidR="008A0152" w:rsidRPr="00F52B7B" w:rsidRDefault="008A0152" w:rsidP="00AF16A0">
    <w:pPr>
      <w:pStyle w:val="Encabezado"/>
      <w:jc w:val="center"/>
      <w:rPr>
        <w:rFonts w:ascii="Arial" w:hAnsi="Arial" w:cs="Arial"/>
        <w:b/>
        <w:sz w:val="20"/>
        <w:lang w:val="es-ES_tradnl"/>
      </w:rPr>
    </w:pPr>
    <w:r w:rsidRPr="00F52B7B">
      <w:rPr>
        <w:rFonts w:ascii="Arial" w:hAnsi="Arial" w:cs="Arial"/>
        <w:b/>
        <w:sz w:val="20"/>
        <w:lang w:val="es-ES_tradnl"/>
      </w:rPr>
      <w:t>ASISTENCIA A VINCULADOS</w:t>
    </w:r>
  </w:p>
  <w:p w14:paraId="6BBF5198"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25AA1481" w14:textId="77777777" w:rsidR="008A0152" w:rsidRDefault="008A0152" w:rsidP="00AF16A0">
    <w:pPr>
      <w:pStyle w:val="Encabezado"/>
      <w:jc w:val="center"/>
      <w:rPr>
        <w:rFonts w:ascii="Arial" w:hAnsi="Arial" w:cs="Arial"/>
        <w:sz w:val="16"/>
        <w:szCs w:val="16"/>
        <w:lang w:val="es-ES"/>
      </w:rPr>
    </w:pPr>
    <w:r>
      <w:rPr>
        <w:rFonts w:ascii="Arial" w:hAnsi="Arial" w:cs="Arial"/>
        <w:sz w:val="16"/>
        <w:szCs w:val="16"/>
        <w:lang w:val="es-ES"/>
      </w:rPr>
      <w:t>(C</w:t>
    </w:r>
    <w:r w:rsidRPr="00F52B7B">
      <w:rPr>
        <w:rFonts w:ascii="Arial" w:hAnsi="Arial" w:cs="Arial"/>
        <w:sz w:val="16"/>
        <w:szCs w:val="16"/>
        <w:lang w:val="es-ES"/>
      </w:rPr>
      <w:t>ifras expresadas en miles de pesos)</w:t>
    </w:r>
  </w:p>
  <w:p w14:paraId="08E15C14" w14:textId="77777777" w:rsidR="008A0152" w:rsidRPr="00A261DE" w:rsidRDefault="008A0152" w:rsidP="00AF16A0">
    <w:pPr>
      <w:pStyle w:val="Encabezado"/>
      <w:rPr>
        <w:rFonts w:ascii="Arial" w:hAnsi="Arial" w:cs="Arial"/>
        <w:sz w:val="20"/>
        <w:lang w:val="es-ES"/>
      </w:rPr>
    </w:pPr>
  </w:p>
  <w:p w14:paraId="48961C1E" w14:textId="77777777" w:rsidR="008A0152" w:rsidRPr="00AF16A0" w:rsidRDefault="008A0152" w:rsidP="00AF16A0">
    <w:pPr>
      <w:pStyle w:val="Encabezado"/>
      <w:rPr>
        <w:lang w:val="es-ES_tradnl"/>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7BE2" w14:textId="77777777" w:rsidR="008A0152" w:rsidRDefault="008A0152" w:rsidP="00AF16A0">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79EBC2B7" wp14:editId="6499D599">
          <wp:extent cx="1027130" cy="452633"/>
          <wp:effectExtent l="19050" t="0" r="1570" b="0"/>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544B4E37" w14:textId="77777777" w:rsidR="008A0152" w:rsidRDefault="008A0152" w:rsidP="00AF16A0">
    <w:pPr>
      <w:tabs>
        <w:tab w:val="right" w:pos="9214"/>
      </w:tabs>
      <w:ind w:left="142" w:hanging="142"/>
      <w:rPr>
        <w:rFonts w:ascii="Arial" w:hAnsi="Arial" w:cs="Arial"/>
        <w:b/>
        <w:sz w:val="20"/>
        <w:lang w:val="es-ES_tradnl"/>
      </w:rPr>
    </w:pPr>
    <w:r w:rsidRPr="00F52B7B">
      <w:rPr>
        <w:rFonts w:ascii="Arial" w:hAnsi="Arial" w:cs="Arial"/>
        <w:b/>
        <w:sz w:val="20"/>
        <w:lang w:val="es-ES_tradnl"/>
      </w:rPr>
      <w:t>ANEXO O</w:t>
    </w:r>
  </w:p>
  <w:p w14:paraId="680467E6" w14:textId="77777777" w:rsidR="008A0152" w:rsidRPr="00F52B7B" w:rsidRDefault="008A0152" w:rsidP="00AF16A0">
    <w:pPr>
      <w:tabs>
        <w:tab w:val="right" w:pos="9214"/>
      </w:tabs>
      <w:rPr>
        <w:rFonts w:ascii="Arial" w:hAnsi="Arial" w:cs="Arial"/>
        <w:sz w:val="20"/>
        <w:lang w:val="es-ES"/>
      </w:rPr>
    </w:pPr>
  </w:p>
  <w:p w14:paraId="0C12CD2E" w14:textId="77777777" w:rsidR="008A0152" w:rsidRPr="00F52B7B" w:rsidRDefault="008A0152" w:rsidP="00AF16A0">
    <w:pPr>
      <w:pStyle w:val="Encabezado"/>
      <w:jc w:val="center"/>
      <w:rPr>
        <w:rFonts w:ascii="Arial" w:hAnsi="Arial" w:cs="Arial"/>
        <w:b/>
        <w:sz w:val="20"/>
        <w:lang w:val="es-ES_tradnl"/>
      </w:rPr>
    </w:pPr>
    <w:r w:rsidRPr="00F52B7B">
      <w:rPr>
        <w:rFonts w:ascii="Arial" w:hAnsi="Arial" w:cs="Arial"/>
        <w:b/>
        <w:sz w:val="20"/>
        <w:lang w:val="es-ES_tradnl"/>
      </w:rPr>
      <w:t>INSTRUMENTOS FINANCIEROS DERIVADOS</w:t>
    </w:r>
  </w:p>
  <w:p w14:paraId="48562365" w14:textId="77777777" w:rsidR="008A0152" w:rsidRPr="00F52B7B" w:rsidRDefault="008A0152" w:rsidP="00AF16A0">
    <w:pPr>
      <w:pStyle w:val="Encabezado"/>
      <w:jc w:val="center"/>
      <w:rPr>
        <w:rFonts w:ascii="Arial" w:hAnsi="Arial" w:cs="Arial"/>
        <w:b/>
        <w:sz w:val="20"/>
        <w:lang w:val="es-ES_tradnl"/>
      </w:rPr>
    </w:pPr>
    <w:r>
      <w:rPr>
        <w:rFonts w:ascii="Arial" w:hAnsi="Arial" w:cs="Arial"/>
        <w:b/>
        <w:sz w:val="20"/>
        <w:lang w:val="es-ES_tradnl"/>
      </w:rPr>
      <w:t>Al 30 DE SEPTIEMBRE DE 2018</w:t>
    </w:r>
  </w:p>
  <w:p w14:paraId="2B98B0AF" w14:textId="77777777" w:rsidR="008A0152" w:rsidRDefault="008A0152" w:rsidP="00AF16A0">
    <w:pPr>
      <w:pStyle w:val="Encabezado"/>
      <w:jc w:val="center"/>
      <w:rPr>
        <w:rFonts w:ascii="Arial" w:hAnsi="Arial" w:cs="Arial"/>
        <w:sz w:val="16"/>
        <w:szCs w:val="16"/>
        <w:lang w:val="es-ES"/>
      </w:rPr>
    </w:pPr>
    <w:r w:rsidRPr="00F52B7B">
      <w:rPr>
        <w:rFonts w:ascii="Arial" w:hAnsi="Arial" w:cs="Arial"/>
        <w:sz w:val="16"/>
        <w:szCs w:val="16"/>
        <w:lang w:val="es-ES"/>
      </w:rPr>
      <w:t>(Cifras expresadas en miles de pesos)</w:t>
    </w:r>
  </w:p>
  <w:p w14:paraId="1BBEFEFF" w14:textId="77777777" w:rsidR="008A0152" w:rsidRPr="00F52B7B" w:rsidRDefault="008A0152" w:rsidP="00AF16A0">
    <w:pPr>
      <w:pStyle w:val="Encabezado"/>
      <w:rPr>
        <w:rFonts w:ascii="Arial" w:hAnsi="Arial" w:cs="Arial"/>
        <w:sz w:val="20"/>
        <w:lang w:val="es-ES_tradnl"/>
      </w:rPr>
    </w:pPr>
  </w:p>
  <w:p w14:paraId="094932D0" w14:textId="77777777" w:rsidR="008A0152" w:rsidRPr="00AF16A0" w:rsidRDefault="008A0152" w:rsidP="00AF16A0">
    <w:pPr>
      <w:pStyle w:val="Encabezado"/>
      <w:rPr>
        <w:lang w:val="es-ES_tradnl"/>
      </w:rP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37641" w14:textId="77777777" w:rsidR="008A0152" w:rsidRDefault="008A0152" w:rsidP="004C6D19">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2E1E0339" wp14:editId="506E6AB0">
          <wp:extent cx="1027130" cy="452633"/>
          <wp:effectExtent l="19050" t="0" r="1570" b="0"/>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0C4C9DC4" w14:textId="77777777" w:rsidR="008A0152" w:rsidRDefault="008A0152" w:rsidP="004C6D19">
    <w:pPr>
      <w:tabs>
        <w:tab w:val="right" w:pos="9214"/>
      </w:tabs>
      <w:ind w:left="142" w:hanging="142"/>
      <w:rPr>
        <w:rFonts w:ascii="Arial" w:hAnsi="Arial" w:cs="Arial"/>
        <w:b/>
        <w:sz w:val="20"/>
        <w:lang w:val="es-ES_tradnl"/>
      </w:rPr>
    </w:pPr>
    <w:r w:rsidRPr="002C6517">
      <w:rPr>
        <w:rFonts w:ascii="Arial" w:hAnsi="Arial" w:cs="Arial"/>
        <w:b/>
        <w:sz w:val="20"/>
        <w:lang w:val="es-ES_tradnl"/>
      </w:rPr>
      <w:t xml:space="preserve">ANEXO </w:t>
    </w:r>
    <w:r>
      <w:rPr>
        <w:rFonts w:ascii="Arial" w:hAnsi="Arial" w:cs="Arial"/>
        <w:b/>
        <w:sz w:val="20"/>
        <w:lang w:val="es-ES_tradnl"/>
      </w:rPr>
      <w:t>Q</w:t>
    </w:r>
  </w:p>
  <w:p w14:paraId="724D2F4F" w14:textId="77777777" w:rsidR="008A0152" w:rsidRPr="002C6517" w:rsidRDefault="008A0152" w:rsidP="004C6D19">
    <w:pPr>
      <w:tabs>
        <w:tab w:val="right" w:pos="9214"/>
      </w:tabs>
      <w:ind w:left="142" w:hanging="142"/>
      <w:rPr>
        <w:rFonts w:ascii="Arial" w:hAnsi="Arial" w:cs="Arial"/>
        <w:b/>
        <w:sz w:val="20"/>
        <w:lang w:val="es-ES"/>
      </w:rPr>
    </w:pPr>
  </w:p>
  <w:p w14:paraId="161CD201" w14:textId="77777777" w:rsidR="008A0152" w:rsidRPr="002C6517" w:rsidRDefault="008A0152" w:rsidP="004C6D19">
    <w:pPr>
      <w:pStyle w:val="Encabezado"/>
      <w:jc w:val="center"/>
      <w:rPr>
        <w:rFonts w:ascii="Arial" w:hAnsi="Arial" w:cs="Arial"/>
        <w:b/>
        <w:sz w:val="20"/>
        <w:lang w:val="es-ES_tradnl"/>
      </w:rPr>
    </w:pPr>
    <w:r>
      <w:rPr>
        <w:rFonts w:ascii="Arial" w:hAnsi="Arial" w:cs="Arial"/>
        <w:b/>
        <w:sz w:val="20"/>
        <w:lang w:val="es-ES_tradnl"/>
      </w:rPr>
      <w:t>APERTURA DE RESULTADOS</w:t>
    </w:r>
  </w:p>
  <w:p w14:paraId="6AB11DD8" w14:textId="77777777" w:rsidR="008A0152" w:rsidRPr="002C6517" w:rsidRDefault="008A0152" w:rsidP="004C6D19">
    <w:pPr>
      <w:pStyle w:val="Encabezado"/>
      <w:jc w:val="center"/>
      <w:rPr>
        <w:rFonts w:ascii="Arial" w:hAnsi="Arial" w:cs="Arial"/>
        <w:b/>
        <w:sz w:val="20"/>
        <w:lang w:val="es-ES_tradnl"/>
      </w:rPr>
    </w:pPr>
    <w:r>
      <w:rPr>
        <w:rFonts w:ascii="Arial" w:hAnsi="Arial" w:cs="Arial"/>
        <w:b/>
        <w:sz w:val="20"/>
        <w:lang w:val="es-ES_tradnl"/>
      </w:rPr>
      <w:t>Al 30 DE SEPTIEMBRE DE 2018</w:t>
    </w:r>
  </w:p>
  <w:p w14:paraId="27D2CB20" w14:textId="77777777" w:rsidR="008A0152" w:rsidRDefault="008A0152" w:rsidP="004C6D19">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5CC7546E" w14:textId="77777777" w:rsidR="008A0152" w:rsidRPr="008C1D4C" w:rsidRDefault="008A0152" w:rsidP="004C6D19">
    <w:pPr>
      <w:pStyle w:val="Encabezado"/>
      <w:rPr>
        <w:rFonts w:ascii="Arial" w:hAnsi="Arial" w:cs="Arial"/>
        <w:sz w:val="20"/>
        <w:lang w:val="es-ES_tradnl"/>
      </w:rPr>
    </w:pPr>
  </w:p>
  <w:p w14:paraId="65FED693" w14:textId="77777777" w:rsidR="008A0152" w:rsidRPr="008C1D4C" w:rsidRDefault="008A0152" w:rsidP="004C6D19">
    <w:pPr>
      <w:pStyle w:val="Encabezado"/>
      <w:rPr>
        <w:rFonts w:ascii="Arial" w:hAnsi="Arial" w:cs="Arial"/>
        <w:sz w:val="20"/>
        <w:lang w:val="es-ES_tradnl"/>
      </w:rPr>
    </w:pPr>
  </w:p>
  <w:p w14:paraId="7C7AC4B4" w14:textId="77777777" w:rsidR="008A0152" w:rsidRPr="004C6D19" w:rsidRDefault="008A0152" w:rsidP="004C6D19">
    <w:pPr>
      <w:pStyle w:val="Encabezado"/>
      <w:rPr>
        <w:lang w:val="es-ES_tradnl"/>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2C0A" w14:textId="77777777" w:rsidR="008A0152" w:rsidRDefault="008A0152" w:rsidP="004C6D19">
    <w:pPr>
      <w:tabs>
        <w:tab w:val="right" w:pos="9214"/>
      </w:tabs>
      <w:ind w:left="142" w:hanging="142"/>
      <w:jc w:val="right"/>
      <w:rPr>
        <w:rFonts w:ascii="Arial" w:hAnsi="Arial" w:cs="Arial"/>
        <w:b/>
        <w:sz w:val="20"/>
        <w:lang w:val="es-ES_tradnl"/>
      </w:rPr>
    </w:pPr>
    <w:r w:rsidRPr="009042A8">
      <w:rPr>
        <w:rFonts w:ascii="Arial" w:hAnsi="Arial" w:cs="Arial"/>
        <w:b/>
        <w:noProof/>
        <w:sz w:val="20"/>
        <w:lang w:eastAsia="es-AR"/>
      </w:rPr>
      <w:drawing>
        <wp:inline distT="0" distB="0" distL="0" distR="0" wp14:anchorId="36FFB8A1" wp14:editId="0B5AD866">
          <wp:extent cx="1027130" cy="452633"/>
          <wp:effectExtent l="19050" t="0" r="157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2A272CF0" w14:textId="77777777" w:rsidR="008A0152" w:rsidRDefault="008A0152" w:rsidP="004C6D19">
    <w:pPr>
      <w:tabs>
        <w:tab w:val="right" w:pos="9214"/>
      </w:tabs>
      <w:ind w:left="142" w:hanging="142"/>
      <w:rPr>
        <w:rFonts w:ascii="Arial" w:hAnsi="Arial" w:cs="Arial"/>
        <w:b/>
        <w:sz w:val="20"/>
        <w:lang w:val="es-ES_tradnl"/>
      </w:rPr>
    </w:pPr>
    <w:r w:rsidRPr="002C6517">
      <w:rPr>
        <w:rFonts w:ascii="Arial" w:hAnsi="Arial" w:cs="Arial"/>
        <w:b/>
        <w:sz w:val="20"/>
        <w:lang w:val="es-ES_tradnl"/>
      </w:rPr>
      <w:t xml:space="preserve">ANEXO </w:t>
    </w:r>
    <w:r>
      <w:rPr>
        <w:rFonts w:ascii="Arial" w:hAnsi="Arial" w:cs="Arial"/>
        <w:b/>
        <w:sz w:val="20"/>
        <w:lang w:val="es-ES_tradnl"/>
      </w:rPr>
      <w:t>R</w:t>
    </w:r>
  </w:p>
  <w:p w14:paraId="3BF3BA99" w14:textId="77777777" w:rsidR="008A0152" w:rsidRPr="002C6517" w:rsidRDefault="008A0152" w:rsidP="004C6D19">
    <w:pPr>
      <w:tabs>
        <w:tab w:val="right" w:pos="9214"/>
      </w:tabs>
      <w:ind w:left="142" w:hanging="142"/>
      <w:rPr>
        <w:rFonts w:ascii="Arial" w:hAnsi="Arial" w:cs="Arial"/>
        <w:b/>
        <w:sz w:val="20"/>
        <w:lang w:val="es-ES"/>
      </w:rPr>
    </w:pPr>
  </w:p>
  <w:p w14:paraId="104A4289" w14:textId="77777777" w:rsidR="008A0152" w:rsidRDefault="008A0152" w:rsidP="004C6D19">
    <w:pPr>
      <w:pStyle w:val="Encabezado"/>
      <w:jc w:val="center"/>
      <w:rPr>
        <w:rFonts w:ascii="Arial" w:hAnsi="Arial" w:cs="Arial"/>
        <w:b/>
        <w:sz w:val="20"/>
        <w:lang w:val="es-ES_tradnl"/>
      </w:rPr>
    </w:pPr>
    <w:r>
      <w:rPr>
        <w:rFonts w:ascii="Arial" w:hAnsi="Arial" w:cs="Arial"/>
        <w:b/>
        <w:sz w:val="20"/>
        <w:lang w:val="es-ES_tradnl"/>
      </w:rPr>
      <w:t>CORRECCION DE VALOR POR PERDIDAS</w:t>
    </w:r>
  </w:p>
  <w:p w14:paraId="0BE72D62" w14:textId="77777777" w:rsidR="008A0152" w:rsidRPr="002C6517" w:rsidRDefault="008A0152" w:rsidP="004C6D19">
    <w:pPr>
      <w:pStyle w:val="Encabezado"/>
      <w:jc w:val="center"/>
      <w:rPr>
        <w:rFonts w:ascii="Arial" w:hAnsi="Arial" w:cs="Arial"/>
        <w:b/>
        <w:sz w:val="20"/>
        <w:lang w:val="es-ES_tradnl"/>
      </w:rPr>
    </w:pPr>
    <w:r>
      <w:rPr>
        <w:rFonts w:ascii="Arial" w:hAnsi="Arial" w:cs="Arial"/>
        <w:b/>
        <w:sz w:val="20"/>
        <w:lang w:val="es-ES_tradnl"/>
      </w:rPr>
      <w:t>PREVISIONES POR RIESGO DE INCOBRABILIDAD</w:t>
    </w:r>
  </w:p>
  <w:p w14:paraId="3EC4B123" w14:textId="77777777" w:rsidR="008A0152" w:rsidRPr="009040E3" w:rsidRDefault="008A0152" w:rsidP="00A261DE">
    <w:pPr>
      <w:pStyle w:val="Encabezado"/>
      <w:jc w:val="center"/>
      <w:rPr>
        <w:rFonts w:ascii="Arial" w:hAnsi="Arial" w:cs="Arial"/>
        <w:b/>
        <w:sz w:val="20"/>
        <w:lang w:val="es-ES_tradnl"/>
      </w:rPr>
    </w:pPr>
    <w:r>
      <w:rPr>
        <w:rFonts w:ascii="Arial" w:hAnsi="Arial" w:cs="Arial"/>
        <w:b/>
        <w:sz w:val="20"/>
        <w:lang w:val="es-ES_tradnl"/>
      </w:rPr>
      <w:t>Al 30 DE SEPTIEMBRE DE 2018, 31 DE DICIEMBRE Y 1 DE ENERO DE 2017</w:t>
    </w:r>
  </w:p>
  <w:p w14:paraId="1ACC6FD2" w14:textId="77777777" w:rsidR="008A0152" w:rsidRDefault="008A0152" w:rsidP="004C6D19">
    <w:pPr>
      <w:pStyle w:val="Encabezado"/>
      <w:jc w:val="center"/>
      <w:rPr>
        <w:rFonts w:ascii="Arial" w:hAnsi="Arial" w:cs="Arial"/>
        <w:sz w:val="16"/>
        <w:szCs w:val="16"/>
        <w:lang w:val="es-ES"/>
      </w:rPr>
    </w:pPr>
    <w:r w:rsidRPr="002C6517">
      <w:rPr>
        <w:rFonts w:ascii="Arial" w:hAnsi="Arial" w:cs="Arial"/>
        <w:sz w:val="16"/>
        <w:szCs w:val="16"/>
        <w:lang w:val="es-ES"/>
      </w:rPr>
      <w:t>(Cifras expresadas en miles de pesos)</w:t>
    </w:r>
  </w:p>
  <w:p w14:paraId="2FEA988B" w14:textId="77777777" w:rsidR="008A0152" w:rsidRPr="008C1D4C" w:rsidRDefault="008A0152" w:rsidP="004C6D19">
    <w:pPr>
      <w:pStyle w:val="Encabezado"/>
      <w:rPr>
        <w:rFonts w:ascii="Arial" w:hAnsi="Arial" w:cs="Arial"/>
        <w:sz w:val="20"/>
        <w:lang w:val="es-ES_tradnl"/>
      </w:rPr>
    </w:pPr>
  </w:p>
  <w:p w14:paraId="55EACA63" w14:textId="77777777" w:rsidR="008A0152" w:rsidRPr="008C1D4C" w:rsidRDefault="008A0152" w:rsidP="004C6D19">
    <w:pPr>
      <w:pStyle w:val="Encabezado"/>
      <w:rPr>
        <w:rFonts w:ascii="Arial" w:hAnsi="Arial" w:cs="Arial"/>
        <w:sz w:val="20"/>
        <w:lang w:val="es-ES_tradnl"/>
      </w:rPr>
    </w:pPr>
  </w:p>
  <w:p w14:paraId="2B631327" w14:textId="77777777" w:rsidR="008A0152" w:rsidRPr="004C6D19" w:rsidRDefault="008A0152" w:rsidP="004C6D19">
    <w:pPr>
      <w:pStyle w:val="Encabezado"/>
      <w:rPr>
        <w:lang w:val="es-ES_tradnl"/>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72F4" w14:textId="77777777" w:rsidR="008A0152" w:rsidRDefault="008A0152" w:rsidP="00C80859">
    <w:pPr>
      <w:tabs>
        <w:tab w:val="right" w:pos="9214"/>
      </w:tabs>
      <w:ind w:left="142" w:hanging="142"/>
      <w:jc w:val="right"/>
      <w:rPr>
        <w:rFonts w:ascii="Arial" w:hAnsi="Arial" w:cs="Arial"/>
        <w:sz w:val="20"/>
        <w:lang w:val="es-ES"/>
      </w:rPr>
    </w:pPr>
    <w:r w:rsidRPr="009042A8">
      <w:rPr>
        <w:rFonts w:ascii="Arial" w:hAnsi="Arial" w:cs="Arial"/>
        <w:b/>
        <w:noProof/>
        <w:sz w:val="20"/>
        <w:lang w:eastAsia="es-AR"/>
      </w:rPr>
      <w:drawing>
        <wp:inline distT="0" distB="0" distL="0" distR="0" wp14:anchorId="7395BD1F" wp14:editId="52853165">
          <wp:extent cx="1027130" cy="452633"/>
          <wp:effectExtent l="19050" t="0" r="1570" b="0"/>
          <wp:docPr id="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672BBAE" w14:textId="77777777" w:rsidR="008A0152" w:rsidRDefault="008A0152" w:rsidP="00C80859">
    <w:pPr>
      <w:tabs>
        <w:tab w:val="right" w:pos="9214"/>
      </w:tabs>
      <w:ind w:left="142" w:hanging="142"/>
      <w:jc w:val="right"/>
      <w:rPr>
        <w:rFonts w:ascii="Arial" w:hAnsi="Arial" w:cs="Arial"/>
        <w:sz w:val="20"/>
        <w:lang w:val="es-ES"/>
      </w:rPr>
    </w:pPr>
  </w:p>
  <w:p w14:paraId="6A96CF29" w14:textId="77777777" w:rsidR="008A0152" w:rsidRPr="0017062B" w:rsidRDefault="008A0152" w:rsidP="00C80859">
    <w:pPr>
      <w:tabs>
        <w:tab w:val="right" w:pos="9214"/>
      </w:tabs>
      <w:ind w:left="142" w:hanging="142"/>
      <w:jc w:val="center"/>
      <w:rPr>
        <w:rFonts w:ascii="Arial" w:hAnsi="Arial" w:cs="Arial"/>
        <w:sz w:val="20"/>
        <w:lang w:val="es-ES"/>
      </w:rPr>
    </w:pPr>
  </w:p>
  <w:p w14:paraId="369646A4" w14:textId="77777777" w:rsidR="008A0152" w:rsidRPr="0017062B" w:rsidRDefault="008A0152" w:rsidP="009327FF">
    <w:pPr>
      <w:pStyle w:val="2Ttulo"/>
      <w:rPr>
        <w:rFonts w:ascii="Arial" w:hAnsi="Arial" w:cs="Arial"/>
        <w:sz w:val="20"/>
      </w:rPr>
    </w:pPr>
    <w:r w:rsidRPr="0017062B">
      <w:rPr>
        <w:rFonts w:ascii="Arial" w:hAnsi="Arial" w:cs="Arial"/>
        <w:sz w:val="20"/>
      </w:rPr>
      <w:t xml:space="preserve">ESTADO </w:t>
    </w:r>
    <w:r>
      <w:rPr>
        <w:rFonts w:ascii="Arial" w:hAnsi="Arial" w:cs="Arial"/>
        <w:sz w:val="20"/>
      </w:rPr>
      <w:t>CONSOLIDADO</w:t>
    </w:r>
    <w:r w:rsidRPr="0017062B">
      <w:rPr>
        <w:rFonts w:ascii="Arial" w:hAnsi="Arial" w:cs="Arial"/>
        <w:sz w:val="20"/>
      </w:rPr>
      <w:t xml:space="preserve"> DE </w:t>
    </w:r>
    <w:r>
      <w:rPr>
        <w:rFonts w:ascii="Arial" w:hAnsi="Arial" w:cs="Arial"/>
        <w:sz w:val="20"/>
      </w:rPr>
      <w:t xml:space="preserve">OTROS </w:t>
    </w:r>
    <w:r w:rsidRPr="0017062B">
      <w:rPr>
        <w:rFonts w:ascii="Arial" w:hAnsi="Arial" w:cs="Arial"/>
        <w:sz w:val="20"/>
      </w:rPr>
      <w:t xml:space="preserve">RESULTADOS </w:t>
    </w:r>
    <w:r>
      <w:rPr>
        <w:rFonts w:ascii="Arial" w:hAnsi="Arial" w:cs="Arial"/>
        <w:sz w:val="20"/>
      </w:rPr>
      <w:t xml:space="preserve">INTEGRALES </w:t>
    </w:r>
  </w:p>
  <w:p w14:paraId="3E20C6E3" w14:textId="77777777" w:rsidR="008A0152" w:rsidRDefault="008A0152" w:rsidP="00143CC8">
    <w:pPr>
      <w:pStyle w:val="2Ttulo"/>
      <w:rPr>
        <w:rFonts w:ascii="Arial" w:hAnsi="Arial" w:cs="Arial"/>
        <w:sz w:val="20"/>
        <w:lang w:val="es-ES_tradnl"/>
      </w:rPr>
    </w:pPr>
    <w:r w:rsidRPr="0017062B">
      <w:rPr>
        <w:rFonts w:ascii="Arial" w:hAnsi="Arial" w:cs="Arial"/>
        <w:sz w:val="20"/>
        <w:lang w:val="es-ES_tradnl"/>
      </w:rPr>
      <w:t>CO</w:t>
    </w:r>
    <w:r>
      <w:rPr>
        <w:rFonts w:ascii="Arial" w:hAnsi="Arial" w:cs="Arial"/>
        <w:sz w:val="20"/>
        <w:lang w:val="es-ES_tradnl"/>
      </w:rPr>
      <w:t xml:space="preserve">RRESPONDIENTE AL PERIODO DE NUEVE MESES FINALIZADO </w:t>
    </w:r>
  </w:p>
  <w:p w14:paraId="0A7ACCFB" w14:textId="77777777" w:rsidR="008A0152" w:rsidRPr="0017062B" w:rsidRDefault="008A0152" w:rsidP="007D0D3E">
    <w:pPr>
      <w:pStyle w:val="2Ttulo"/>
      <w:rPr>
        <w:rFonts w:ascii="Arial" w:hAnsi="Arial" w:cs="Arial"/>
        <w:sz w:val="20"/>
        <w:lang w:val="es-ES_tradnl"/>
      </w:rPr>
    </w:pPr>
    <w:r>
      <w:rPr>
        <w:rFonts w:ascii="Arial" w:hAnsi="Arial" w:cs="Arial"/>
        <w:sz w:val="20"/>
        <w:lang w:val="es-ES_tradnl"/>
      </w:rPr>
      <w:t>EL 30</w:t>
    </w:r>
    <w:r w:rsidRPr="0017062B">
      <w:rPr>
        <w:rFonts w:ascii="Arial" w:hAnsi="Arial" w:cs="Arial"/>
        <w:sz w:val="20"/>
        <w:lang w:val="es-ES_tradnl"/>
      </w:rPr>
      <w:t xml:space="preserve"> DE</w:t>
    </w:r>
    <w:r>
      <w:rPr>
        <w:rFonts w:ascii="Arial" w:hAnsi="Arial" w:cs="Arial"/>
        <w:sz w:val="20"/>
        <w:lang w:val="es-ES_tradnl"/>
      </w:rPr>
      <w:t xml:space="preserve"> SEPTIEMBRE DE 2018</w:t>
    </w:r>
  </w:p>
  <w:p w14:paraId="24167CD9" w14:textId="77777777" w:rsidR="008A0152" w:rsidRPr="005E5441" w:rsidRDefault="008A0152" w:rsidP="00143CC8">
    <w:pPr>
      <w:pStyle w:val="2Ttulo"/>
      <w:rPr>
        <w:rFonts w:ascii="Arial" w:hAnsi="Arial" w:cs="Arial"/>
        <w:b w:val="0"/>
        <w:sz w:val="16"/>
        <w:szCs w:val="16"/>
        <w:lang w:val="es-ES_tradnl"/>
      </w:rPr>
    </w:pPr>
    <w:r w:rsidRPr="005E5441">
      <w:rPr>
        <w:rFonts w:ascii="Arial" w:hAnsi="Arial" w:cs="Arial"/>
        <w:b w:val="0"/>
        <w:sz w:val="16"/>
        <w:szCs w:val="16"/>
        <w:lang w:val="es-ES_tradnl"/>
      </w:rPr>
      <w:t xml:space="preserve">Presentado </w:t>
    </w:r>
    <w:r>
      <w:rPr>
        <w:rFonts w:ascii="Arial" w:hAnsi="Arial" w:cs="Arial"/>
        <w:b w:val="0"/>
        <w:sz w:val="16"/>
        <w:szCs w:val="16"/>
        <w:lang w:val="es-ES_tradnl"/>
      </w:rPr>
      <w:t>en forma comparativa con igual período del ejercicio</w:t>
    </w:r>
    <w:r w:rsidRPr="005E5441">
      <w:rPr>
        <w:rFonts w:ascii="Arial" w:hAnsi="Arial" w:cs="Arial"/>
        <w:b w:val="0"/>
        <w:sz w:val="16"/>
        <w:szCs w:val="16"/>
        <w:lang w:val="es-ES_tradnl"/>
      </w:rPr>
      <w:t xml:space="preserve"> anterior</w:t>
    </w:r>
  </w:p>
  <w:p w14:paraId="0DC04523" w14:textId="77777777" w:rsidR="008A0152" w:rsidRDefault="008A0152" w:rsidP="00143CC8">
    <w:pPr>
      <w:pStyle w:val="2Ttulo"/>
      <w:rPr>
        <w:rFonts w:ascii="Arial" w:hAnsi="Arial" w:cs="Arial"/>
        <w:b w:val="0"/>
        <w:sz w:val="16"/>
        <w:szCs w:val="16"/>
      </w:rPr>
    </w:pPr>
    <w:r w:rsidRPr="005E5441">
      <w:rPr>
        <w:rFonts w:ascii="Arial" w:hAnsi="Arial" w:cs="Arial"/>
        <w:b w:val="0"/>
        <w:sz w:val="16"/>
        <w:szCs w:val="16"/>
      </w:rPr>
      <w:t>(Cifras expresadas en miles de pesos)</w:t>
    </w:r>
  </w:p>
  <w:p w14:paraId="2428FAF3" w14:textId="77777777" w:rsidR="008A0152" w:rsidRPr="00050353" w:rsidRDefault="008A0152" w:rsidP="00050353">
    <w:pPr>
      <w:pStyle w:val="2Ttulo"/>
      <w:jc w:val="left"/>
      <w:rPr>
        <w:rFonts w:ascii="Arial" w:hAnsi="Arial" w:cs="Arial"/>
        <w:b w:val="0"/>
        <w:sz w:val="20"/>
      </w:rPr>
    </w:pPr>
  </w:p>
  <w:p w14:paraId="53300EB3" w14:textId="77777777" w:rsidR="008A0152" w:rsidRPr="00B70E4F" w:rsidRDefault="008A0152" w:rsidP="00050353">
    <w:pPr>
      <w:pStyle w:val="2Ttulo"/>
      <w:jc w:val="left"/>
      <w:rPr>
        <w:rFonts w:ascii="Arial" w:hAnsi="Arial" w:cs="Arial"/>
        <w:sz w:val="16"/>
        <w:szCs w:val="16"/>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80FA7" w14:textId="77777777" w:rsidR="008A0152" w:rsidRDefault="008A0152" w:rsidP="00B726CF">
    <w:pPr>
      <w:tabs>
        <w:tab w:val="right" w:pos="9214"/>
      </w:tabs>
      <w:ind w:left="142" w:hanging="142"/>
      <w:jc w:val="right"/>
      <w:rPr>
        <w:rFonts w:ascii="Arial" w:hAnsi="Arial" w:cs="Arial"/>
        <w:b/>
      </w:rPr>
    </w:pPr>
    <w:r>
      <w:rPr>
        <w:noProof/>
        <w:color w:val="000000"/>
        <w:sz w:val="17"/>
        <w:szCs w:val="17"/>
        <w:lang w:eastAsia="es-AR"/>
      </w:rPr>
      <w:drawing>
        <wp:inline distT="0" distB="0" distL="0" distR="0" wp14:anchorId="372C87B7" wp14:editId="425F35F9">
          <wp:extent cx="962025" cy="481013"/>
          <wp:effectExtent l="19050" t="0" r="9525" b="0"/>
          <wp:docPr id="2" name="Imagen 1" descr="http://10.241.100.92/imagenes/supervielle.jpg">
            <a:hlinkClick xmlns:a="http://schemas.openxmlformats.org/drawingml/2006/main" r:id="rId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41.100.92/imagenes/supervielle.jpg">
                    <a:hlinkClick r:id="rId1" tgtFrame="_self"/>
                  </pic:cNvPr>
                  <pic:cNvPicPr>
                    <a:picLocks noChangeAspect="1" noChangeArrowheads="1"/>
                  </pic:cNvPicPr>
                </pic:nvPicPr>
                <pic:blipFill>
                  <a:blip r:embed="rId2"/>
                  <a:srcRect/>
                  <a:stretch>
                    <a:fillRect/>
                  </a:stretch>
                </pic:blipFill>
                <pic:spPr bwMode="auto">
                  <a:xfrm>
                    <a:off x="0" y="0"/>
                    <a:ext cx="962025" cy="481013"/>
                  </a:xfrm>
                  <a:prstGeom prst="rect">
                    <a:avLst/>
                  </a:prstGeom>
                  <a:noFill/>
                  <a:ln w="9525">
                    <a:noFill/>
                    <a:miter lim="800000"/>
                    <a:headEnd/>
                    <a:tailEnd/>
                  </a:ln>
                </pic:spPr>
              </pic:pic>
            </a:graphicData>
          </a:graphic>
        </wp:inline>
      </w:drawing>
    </w:r>
  </w:p>
  <w:p w14:paraId="252D2846" w14:textId="77777777" w:rsidR="008A0152" w:rsidRDefault="008A0152" w:rsidP="00B726CF">
    <w:pPr>
      <w:tabs>
        <w:tab w:val="right" w:pos="9214"/>
      </w:tabs>
      <w:ind w:left="142" w:hanging="142"/>
      <w:jc w:val="right"/>
      <w:rPr>
        <w:rStyle w:val="Nmerodepgina"/>
        <w:rFonts w:ascii="Arial" w:hAnsi="Arial" w:cs="Arial"/>
        <w:lang w:val="es-ES"/>
      </w:rPr>
    </w:pPr>
  </w:p>
  <w:p w14:paraId="506EDE85" w14:textId="77777777" w:rsidR="008A0152" w:rsidRPr="0038264E" w:rsidRDefault="008A0152" w:rsidP="00B726CF">
    <w:pPr>
      <w:tabs>
        <w:tab w:val="right" w:pos="9214"/>
      </w:tabs>
      <w:ind w:left="142" w:hanging="142"/>
      <w:jc w:val="center"/>
      <w:rPr>
        <w:rStyle w:val="Nmerodepgina"/>
        <w:rFonts w:ascii="Arial" w:hAnsi="Arial" w:cs="Arial"/>
        <w:b/>
        <w:lang w:val="es-ES"/>
      </w:rPr>
    </w:pPr>
    <w:r>
      <w:rPr>
        <w:rStyle w:val="Nmerodepgina"/>
        <w:rFonts w:ascii="Arial" w:hAnsi="Arial" w:cs="Arial"/>
        <w:b/>
        <w:lang w:val="es-ES"/>
      </w:rPr>
      <w:t>RESEÑA INFORMATIVA AL 30</w:t>
    </w:r>
    <w:r w:rsidRPr="0038264E">
      <w:rPr>
        <w:rStyle w:val="Nmerodepgina"/>
        <w:rFonts w:ascii="Arial" w:hAnsi="Arial" w:cs="Arial"/>
        <w:b/>
        <w:lang w:val="es-ES"/>
      </w:rPr>
      <w:t xml:space="preserve"> DE </w:t>
    </w:r>
    <w:r>
      <w:rPr>
        <w:rStyle w:val="Nmerodepgina"/>
        <w:rFonts w:ascii="Arial" w:hAnsi="Arial" w:cs="Arial"/>
        <w:b/>
        <w:lang w:val="es-ES"/>
      </w:rPr>
      <w:t>SEPTIEMBRE DE 2018</w:t>
    </w:r>
  </w:p>
  <w:p w14:paraId="485B6D08" w14:textId="77777777" w:rsidR="008A0152" w:rsidRPr="00013DEE" w:rsidRDefault="008A0152" w:rsidP="00B726CF">
    <w:pPr>
      <w:pStyle w:val="2Ttulo"/>
      <w:rPr>
        <w:rFonts w:ascii="Arial" w:hAnsi="Arial" w:cs="Arial"/>
        <w:b w:val="0"/>
        <w:color w:val="FFFFFF" w:themeColor="background1"/>
        <w:sz w:val="20"/>
      </w:rPr>
    </w:pPr>
    <w:r w:rsidRPr="00013DEE">
      <w:rPr>
        <w:rFonts w:ascii="Arial" w:hAnsi="Arial" w:cs="Arial"/>
        <w:color w:val="FFFFFF" w:themeColor="background1"/>
        <w:sz w:val="20"/>
      </w:rPr>
      <w:t>DE 2013</w:t>
    </w:r>
  </w:p>
  <w:p w14:paraId="7672A824" w14:textId="77777777" w:rsidR="008A0152" w:rsidRPr="00013DEE" w:rsidRDefault="008A0152" w:rsidP="00B726CF">
    <w:pPr>
      <w:pStyle w:val="2Ttulo"/>
      <w:rPr>
        <w:rFonts w:ascii="Arial" w:hAnsi="Arial" w:cs="Arial"/>
        <w:b w:val="0"/>
        <w:color w:val="FFFFFF" w:themeColor="background1"/>
        <w:sz w:val="16"/>
        <w:szCs w:val="16"/>
        <w:lang w:val="es-ES_tradnl"/>
      </w:rPr>
    </w:pPr>
    <w:r>
      <w:rPr>
        <w:rFonts w:ascii="Arial" w:hAnsi="Arial" w:cs="Arial"/>
        <w:b w:val="0"/>
        <w:color w:val="FFFFFF" w:themeColor="background1"/>
        <w:sz w:val="16"/>
        <w:szCs w:val="16"/>
        <w:lang w:val="es-ES_tradnl"/>
      </w:rPr>
      <w:t>RES</w:t>
    </w:r>
    <w:r w:rsidRPr="00013DEE">
      <w:rPr>
        <w:rFonts w:ascii="Arial" w:hAnsi="Arial" w:cs="Arial"/>
        <w:b w:val="0"/>
        <w:color w:val="FFFFFF" w:themeColor="background1"/>
        <w:sz w:val="16"/>
        <w:szCs w:val="16"/>
        <w:lang w:val="es-ES_tradnl"/>
      </w:rPr>
      <w:t xml:space="preserve"> forma comparativa con el ejercicio económico finalizado el 31 de diciembre de 2012</w:t>
    </w:r>
  </w:p>
  <w:p w14:paraId="27A95DEC" w14:textId="77777777" w:rsidR="008A0152" w:rsidRPr="00013DEE" w:rsidRDefault="008A0152" w:rsidP="00B726CF">
    <w:pPr>
      <w:pStyle w:val="2Ttulo"/>
      <w:rPr>
        <w:rFonts w:ascii="Arial" w:hAnsi="Arial" w:cs="Arial"/>
        <w:b w:val="0"/>
        <w:color w:val="FFFFFF" w:themeColor="background1"/>
        <w:sz w:val="16"/>
        <w:szCs w:val="16"/>
      </w:rPr>
    </w:pPr>
    <w:r w:rsidRPr="00013DEE">
      <w:rPr>
        <w:rFonts w:ascii="Arial" w:hAnsi="Arial" w:cs="Arial"/>
        <w:b w:val="0"/>
        <w:color w:val="FFFFFF" w:themeColor="background1"/>
        <w:sz w:val="16"/>
        <w:szCs w:val="16"/>
      </w:rPr>
      <w:t xml:space="preserve"> (Cifras expresadas en miles de pesos</w:t>
    </w:r>
  </w:p>
  <w:p w14:paraId="2784EF7E" w14:textId="77777777" w:rsidR="008A0152" w:rsidRDefault="008A0152" w:rsidP="00B726CF">
    <w:pPr>
      <w:tabs>
        <w:tab w:val="right" w:pos="9214"/>
      </w:tabs>
      <w:ind w:left="142" w:hanging="142"/>
      <w:jc w:val="both"/>
      <w:rPr>
        <w:rFonts w:ascii="Arial" w:hAnsi="Arial" w:cs="Arial"/>
        <w:b/>
        <w:color w:val="FFFFFF" w:themeColor="background1"/>
      </w:rPr>
    </w:pPr>
    <w:r>
      <w:rPr>
        <w:rFonts w:ascii="Arial" w:hAnsi="Arial" w:cs="Arial"/>
        <w:b/>
        <w:color w:val="FFFFFF" w:themeColor="background1"/>
      </w:rPr>
      <w:t xml:space="preserve">BANCO SUPERVIELLE </w:t>
    </w:r>
  </w:p>
  <w:p w14:paraId="31E47690" w14:textId="77777777" w:rsidR="008A0152" w:rsidRPr="00013DEE" w:rsidRDefault="008A0152" w:rsidP="00B726CF">
    <w:pPr>
      <w:tabs>
        <w:tab w:val="right" w:pos="9214"/>
      </w:tabs>
      <w:ind w:left="142" w:hanging="142"/>
      <w:jc w:val="both"/>
      <w:rPr>
        <w:rFonts w:ascii="Arial" w:hAnsi="Arial" w:cs="Arial"/>
        <w:color w:val="FFFFFF" w:themeColor="background1"/>
      </w:rP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CFE8A" w14:textId="77777777" w:rsidR="000C2EDB" w:rsidRDefault="00635684">
    <w:pPr>
      <w:pStyle w:val="Encabezado"/>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9E2C" w14:textId="77777777" w:rsidR="00127E60" w:rsidRDefault="00635684">
    <w:pPr>
      <w:pStyle w:val="Encabezado"/>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DB3C8" w14:textId="77777777" w:rsidR="000C2EDB" w:rsidRDefault="00635684">
    <w:pPr>
      <w:pStyle w:val="Encabezado"/>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DB33B" w14:textId="77777777" w:rsidR="000C2EDB" w:rsidRDefault="00635684">
    <w:pPr>
      <w:pStyle w:val="Encabezado"/>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33385" w14:textId="77777777" w:rsidR="00127E60" w:rsidRDefault="00635684">
    <w:pPr>
      <w:pStyle w:val="Encabezado"/>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97D5C" w14:textId="77777777" w:rsidR="000C2EDB" w:rsidRDefault="00635684">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1D41" w14:textId="77777777" w:rsidR="008A0152" w:rsidRDefault="008A0152">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E566" w14:textId="77777777" w:rsidR="008A0152" w:rsidRDefault="008A0152" w:rsidP="00C80859">
    <w:pPr>
      <w:jc w:val="right"/>
      <w:rPr>
        <w:rFonts w:ascii="Arial" w:hAnsi="Arial" w:cs="Arial"/>
        <w:sz w:val="20"/>
      </w:rPr>
    </w:pPr>
    <w:r w:rsidRPr="009042A8">
      <w:rPr>
        <w:rFonts w:ascii="Arial" w:hAnsi="Arial" w:cs="Arial"/>
        <w:noProof/>
        <w:sz w:val="20"/>
        <w:lang w:eastAsia="es-AR"/>
      </w:rPr>
      <w:drawing>
        <wp:inline distT="0" distB="0" distL="0" distR="0" wp14:anchorId="5AC4C615" wp14:editId="49EFFE07">
          <wp:extent cx="1027130" cy="452633"/>
          <wp:effectExtent l="19050" t="0" r="1570" b="0"/>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34836AD3" w14:textId="77777777" w:rsidR="008A0152" w:rsidRDefault="008A0152" w:rsidP="00C80859">
    <w:pPr>
      <w:jc w:val="right"/>
      <w:rPr>
        <w:rFonts w:ascii="Arial" w:hAnsi="Arial" w:cs="Arial"/>
        <w:sz w:val="20"/>
      </w:rPr>
    </w:pPr>
  </w:p>
  <w:p w14:paraId="30A5E25E" w14:textId="77777777" w:rsidR="008A0152" w:rsidRPr="0056456F" w:rsidRDefault="008A0152" w:rsidP="00C80859">
    <w:pPr>
      <w:jc w:val="right"/>
      <w:rPr>
        <w:rFonts w:ascii="Arial" w:hAnsi="Arial" w:cs="Arial"/>
        <w:sz w:val="20"/>
      </w:rPr>
    </w:pPr>
  </w:p>
  <w:p w14:paraId="66E9EF16" w14:textId="77777777" w:rsidR="008A0152" w:rsidRPr="000C455E" w:rsidRDefault="008A0152" w:rsidP="003302F5">
    <w:pPr>
      <w:pStyle w:val="2Ttulo"/>
      <w:rPr>
        <w:rFonts w:ascii="Arial" w:hAnsi="Arial" w:cs="Arial"/>
        <w:sz w:val="20"/>
      </w:rPr>
    </w:pPr>
    <w:r w:rsidRPr="000C455E">
      <w:rPr>
        <w:rFonts w:ascii="Arial" w:hAnsi="Arial" w:cs="Arial"/>
        <w:sz w:val="20"/>
      </w:rPr>
      <w:t xml:space="preserve">ESTADO </w:t>
    </w:r>
    <w:r>
      <w:rPr>
        <w:rFonts w:ascii="Arial" w:hAnsi="Arial" w:cs="Arial"/>
        <w:sz w:val="20"/>
      </w:rPr>
      <w:t>CONSOLIDADO</w:t>
    </w:r>
    <w:r w:rsidRPr="000C455E">
      <w:rPr>
        <w:rFonts w:ascii="Arial" w:hAnsi="Arial" w:cs="Arial"/>
        <w:sz w:val="20"/>
      </w:rPr>
      <w:t xml:space="preserve"> DE </w:t>
    </w:r>
    <w:r>
      <w:rPr>
        <w:rFonts w:ascii="Arial" w:hAnsi="Arial" w:cs="Arial"/>
        <w:sz w:val="20"/>
      </w:rPr>
      <w:t>CAMBIOS</w:t>
    </w:r>
    <w:r w:rsidRPr="000C455E">
      <w:rPr>
        <w:rFonts w:ascii="Arial" w:hAnsi="Arial" w:cs="Arial"/>
        <w:sz w:val="20"/>
      </w:rPr>
      <w:t xml:space="preserve"> </w:t>
    </w:r>
    <w:r>
      <w:rPr>
        <w:rFonts w:ascii="Arial" w:hAnsi="Arial" w:cs="Arial"/>
        <w:sz w:val="20"/>
      </w:rPr>
      <w:t>EN EL</w:t>
    </w:r>
    <w:r w:rsidRPr="000C455E">
      <w:rPr>
        <w:rFonts w:ascii="Arial" w:hAnsi="Arial" w:cs="Arial"/>
        <w:sz w:val="20"/>
      </w:rPr>
      <w:t xml:space="preserve"> PATRIMONIO</w:t>
    </w:r>
    <w:r>
      <w:rPr>
        <w:rFonts w:ascii="Arial" w:hAnsi="Arial" w:cs="Arial"/>
        <w:sz w:val="20"/>
      </w:rPr>
      <w:t xml:space="preserve"> </w:t>
    </w:r>
  </w:p>
  <w:p w14:paraId="37860F03" w14:textId="77777777" w:rsidR="008A0152" w:rsidRPr="000C455E" w:rsidRDefault="008A0152" w:rsidP="00E623C5">
    <w:pPr>
      <w:pStyle w:val="2Ttulo"/>
      <w:rPr>
        <w:rFonts w:ascii="Arial" w:hAnsi="Arial" w:cs="Arial"/>
        <w:sz w:val="20"/>
        <w:lang w:val="es-ES_tradnl"/>
      </w:rPr>
    </w:pPr>
    <w:r>
      <w:rPr>
        <w:rFonts w:ascii="Arial" w:hAnsi="Arial" w:cs="Arial"/>
        <w:sz w:val="20"/>
        <w:lang w:val="es-ES_tradnl"/>
      </w:rPr>
      <w:t>CORRESPONDIENTE AL PERIODO DE NUEVE MESES FINALIZADO EL 30</w:t>
    </w:r>
    <w:r w:rsidRPr="000C455E">
      <w:rPr>
        <w:rFonts w:ascii="Arial" w:hAnsi="Arial" w:cs="Arial"/>
        <w:sz w:val="20"/>
        <w:lang w:val="es-ES_tradnl"/>
      </w:rPr>
      <w:t xml:space="preserve"> DE </w:t>
    </w:r>
    <w:r>
      <w:rPr>
        <w:rFonts w:ascii="Arial" w:hAnsi="Arial" w:cs="Arial"/>
        <w:sz w:val="20"/>
        <w:lang w:val="es-ES_tradnl"/>
      </w:rPr>
      <w:t>SEPTIEMBRE DE 2018</w:t>
    </w:r>
  </w:p>
  <w:p w14:paraId="2CFAAEC6" w14:textId="77777777" w:rsidR="008A0152" w:rsidRPr="00503DEA" w:rsidRDefault="008A0152" w:rsidP="00E623C5">
    <w:pPr>
      <w:pStyle w:val="2Ttulo"/>
      <w:rPr>
        <w:rFonts w:ascii="Arial" w:hAnsi="Arial" w:cs="Arial"/>
        <w:b w:val="0"/>
        <w:sz w:val="16"/>
        <w:szCs w:val="16"/>
        <w:lang w:val="es-ES_tradnl"/>
      </w:rPr>
    </w:pPr>
    <w:r w:rsidRPr="00503DEA">
      <w:rPr>
        <w:rFonts w:ascii="Arial" w:hAnsi="Arial" w:cs="Arial"/>
        <w:b w:val="0"/>
        <w:sz w:val="16"/>
        <w:szCs w:val="16"/>
        <w:lang w:val="es-ES_tradnl"/>
      </w:rPr>
      <w:t xml:space="preserve">Presentado en forma comparativa con </w:t>
    </w:r>
    <w:r>
      <w:rPr>
        <w:rFonts w:ascii="Arial" w:hAnsi="Arial" w:cs="Arial"/>
        <w:b w:val="0"/>
        <w:sz w:val="16"/>
        <w:szCs w:val="16"/>
        <w:lang w:val="es-ES_tradnl"/>
      </w:rPr>
      <w:t>igual período del ejercicio</w:t>
    </w:r>
    <w:r w:rsidRPr="00503DEA">
      <w:rPr>
        <w:rFonts w:ascii="Arial" w:hAnsi="Arial" w:cs="Arial"/>
        <w:b w:val="0"/>
        <w:sz w:val="16"/>
        <w:szCs w:val="16"/>
        <w:lang w:val="es-ES_tradnl"/>
      </w:rPr>
      <w:t xml:space="preserve"> anterior</w:t>
    </w:r>
  </w:p>
  <w:p w14:paraId="280F9CC0" w14:textId="77777777" w:rsidR="008A0152" w:rsidRDefault="008A0152" w:rsidP="00E623C5">
    <w:pPr>
      <w:pStyle w:val="2Ttulo"/>
      <w:rPr>
        <w:rFonts w:ascii="Arial" w:hAnsi="Arial" w:cs="Arial"/>
        <w:b w:val="0"/>
        <w:sz w:val="16"/>
        <w:szCs w:val="16"/>
      </w:rPr>
    </w:pPr>
    <w:r w:rsidRPr="00503DEA">
      <w:rPr>
        <w:rFonts w:ascii="Arial" w:hAnsi="Arial" w:cs="Arial"/>
        <w:b w:val="0"/>
        <w:sz w:val="16"/>
        <w:szCs w:val="16"/>
      </w:rPr>
      <w:t>(Cifras expresadas en miles de pesos)</w:t>
    </w:r>
  </w:p>
  <w:p w14:paraId="79FD3BC7" w14:textId="77777777" w:rsidR="008A0152" w:rsidRDefault="008A0152" w:rsidP="00050353">
    <w:pPr>
      <w:pStyle w:val="2Ttulo"/>
      <w:jc w:val="left"/>
      <w:rPr>
        <w:rFonts w:ascii="Arial" w:hAnsi="Arial" w:cs="Arial"/>
        <w:b w:val="0"/>
        <w:sz w:val="20"/>
      </w:rPr>
    </w:pPr>
  </w:p>
  <w:p w14:paraId="02EB2CD2" w14:textId="77777777" w:rsidR="008A0152" w:rsidRPr="000C455E" w:rsidRDefault="008A0152" w:rsidP="00050353">
    <w:pPr>
      <w:pStyle w:val="2Ttulo"/>
      <w:jc w:val="left"/>
      <w:rPr>
        <w:rFonts w:ascii="Arial" w:hAnsi="Arial" w:cs="Arial"/>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F72A4" w14:textId="77777777" w:rsidR="008A0152" w:rsidRDefault="008A0152">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7709" w14:textId="77777777" w:rsidR="008A0152" w:rsidRDefault="008A0152" w:rsidP="00C80859">
    <w:pPr>
      <w:pStyle w:val="2Ttulo"/>
      <w:jc w:val="right"/>
      <w:rPr>
        <w:rFonts w:ascii="Arial" w:hAnsi="Arial" w:cs="Arial"/>
        <w:sz w:val="20"/>
      </w:rPr>
    </w:pPr>
    <w:r w:rsidRPr="009042A8">
      <w:rPr>
        <w:rFonts w:ascii="Arial" w:hAnsi="Arial" w:cs="Arial"/>
        <w:noProof/>
        <w:sz w:val="20"/>
        <w:lang w:eastAsia="es-AR"/>
      </w:rPr>
      <w:drawing>
        <wp:inline distT="0" distB="0" distL="0" distR="0" wp14:anchorId="16F129B0" wp14:editId="3CD901EE">
          <wp:extent cx="1027130" cy="452633"/>
          <wp:effectExtent l="19050" t="0" r="157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32692" cy="455084"/>
                  </a:xfrm>
                  <a:prstGeom prst="rect">
                    <a:avLst/>
                  </a:prstGeom>
                  <a:noFill/>
                  <a:ln w="9525">
                    <a:noFill/>
                    <a:miter lim="800000"/>
                    <a:headEnd/>
                    <a:tailEnd/>
                  </a:ln>
                </pic:spPr>
              </pic:pic>
            </a:graphicData>
          </a:graphic>
        </wp:inline>
      </w:drawing>
    </w:r>
  </w:p>
  <w:p w14:paraId="4F648D47" w14:textId="77777777" w:rsidR="008A0152" w:rsidRDefault="008A0152" w:rsidP="00C80859">
    <w:pPr>
      <w:pStyle w:val="2Ttulo"/>
      <w:jc w:val="right"/>
      <w:rPr>
        <w:rFonts w:ascii="Arial" w:hAnsi="Arial" w:cs="Arial"/>
        <w:sz w:val="20"/>
      </w:rPr>
    </w:pPr>
  </w:p>
  <w:p w14:paraId="5F8CC40B" w14:textId="77777777" w:rsidR="008A0152" w:rsidRPr="000C455E" w:rsidRDefault="008A0152" w:rsidP="00C80859">
    <w:pPr>
      <w:pStyle w:val="2Ttulo"/>
      <w:jc w:val="right"/>
      <w:rPr>
        <w:rFonts w:ascii="Arial" w:hAnsi="Arial" w:cs="Arial"/>
        <w:sz w:val="20"/>
      </w:rPr>
    </w:pPr>
  </w:p>
  <w:p w14:paraId="3649BF60" w14:textId="77777777" w:rsidR="008A0152" w:rsidRPr="000C455E" w:rsidRDefault="008A0152" w:rsidP="003827AA">
    <w:pPr>
      <w:pStyle w:val="2Ttulo"/>
      <w:rPr>
        <w:rFonts w:ascii="Arial" w:hAnsi="Arial" w:cs="Arial"/>
        <w:sz w:val="20"/>
      </w:rPr>
    </w:pPr>
    <w:r w:rsidRPr="000C455E">
      <w:rPr>
        <w:rFonts w:ascii="Arial" w:hAnsi="Arial" w:cs="Arial"/>
        <w:sz w:val="20"/>
      </w:rPr>
      <w:t xml:space="preserve">ESTADO </w:t>
    </w:r>
    <w:r>
      <w:rPr>
        <w:rFonts w:ascii="Arial" w:hAnsi="Arial" w:cs="Arial"/>
        <w:sz w:val="20"/>
      </w:rPr>
      <w:t>CONSOLIDADO</w:t>
    </w:r>
    <w:r w:rsidRPr="000C455E">
      <w:rPr>
        <w:rFonts w:ascii="Arial" w:hAnsi="Arial" w:cs="Arial"/>
        <w:sz w:val="20"/>
      </w:rPr>
      <w:t xml:space="preserve"> DE FLUJO</w:t>
    </w:r>
    <w:r>
      <w:rPr>
        <w:rFonts w:ascii="Arial" w:hAnsi="Arial" w:cs="Arial"/>
        <w:sz w:val="20"/>
      </w:rPr>
      <w:t>S</w:t>
    </w:r>
    <w:r w:rsidRPr="000C455E">
      <w:rPr>
        <w:rFonts w:ascii="Arial" w:hAnsi="Arial" w:cs="Arial"/>
        <w:sz w:val="20"/>
      </w:rPr>
      <w:t xml:space="preserve"> DE EFECTIVO </w:t>
    </w:r>
  </w:p>
  <w:p w14:paraId="463F967F" w14:textId="77777777" w:rsidR="008A0152" w:rsidRDefault="008A0152" w:rsidP="00E623C5">
    <w:pPr>
      <w:pStyle w:val="2Ttulo"/>
      <w:rPr>
        <w:rFonts w:ascii="Arial" w:hAnsi="Arial" w:cs="Arial"/>
        <w:sz w:val="20"/>
        <w:lang w:val="es-ES_tradnl"/>
      </w:rPr>
    </w:pPr>
    <w:r w:rsidRPr="000C455E">
      <w:rPr>
        <w:rFonts w:ascii="Arial" w:hAnsi="Arial" w:cs="Arial"/>
        <w:sz w:val="20"/>
        <w:lang w:val="es-ES_tradnl"/>
      </w:rPr>
      <w:t>COR</w:t>
    </w:r>
    <w:r>
      <w:rPr>
        <w:rFonts w:ascii="Arial" w:hAnsi="Arial" w:cs="Arial"/>
        <w:sz w:val="20"/>
        <w:lang w:val="es-ES_tradnl"/>
      </w:rPr>
      <w:t xml:space="preserve">RESPONDIENTE AL PERIODO DE NUEVE MESES FINALIZADO </w:t>
    </w:r>
  </w:p>
  <w:p w14:paraId="107D7110" w14:textId="77777777" w:rsidR="008A0152" w:rsidRPr="000C455E" w:rsidRDefault="008A0152" w:rsidP="00E623C5">
    <w:pPr>
      <w:pStyle w:val="2Ttulo"/>
      <w:rPr>
        <w:rFonts w:ascii="Arial" w:hAnsi="Arial" w:cs="Arial"/>
        <w:sz w:val="20"/>
        <w:lang w:val="es-ES_tradnl"/>
      </w:rPr>
    </w:pPr>
    <w:r>
      <w:rPr>
        <w:rFonts w:ascii="Arial" w:hAnsi="Arial" w:cs="Arial"/>
        <w:sz w:val="20"/>
        <w:lang w:val="es-ES_tradnl"/>
      </w:rPr>
      <w:t>EL 30 DE SEPTIEMBRE DE 2018</w:t>
    </w:r>
  </w:p>
  <w:p w14:paraId="37672E02" w14:textId="77777777" w:rsidR="008A0152" w:rsidRPr="005E5441" w:rsidRDefault="008A0152" w:rsidP="00E623C5">
    <w:pPr>
      <w:pStyle w:val="2Ttulo"/>
      <w:rPr>
        <w:rFonts w:ascii="Arial" w:hAnsi="Arial" w:cs="Arial"/>
        <w:b w:val="0"/>
        <w:sz w:val="16"/>
        <w:szCs w:val="16"/>
        <w:lang w:val="es-ES_tradnl"/>
      </w:rPr>
    </w:pPr>
    <w:r w:rsidRPr="005E5441">
      <w:rPr>
        <w:rFonts w:ascii="Arial" w:hAnsi="Arial" w:cs="Arial"/>
        <w:b w:val="0"/>
        <w:sz w:val="16"/>
        <w:szCs w:val="16"/>
        <w:lang w:val="es-ES_tradnl"/>
      </w:rPr>
      <w:t>Presentado en</w:t>
    </w:r>
    <w:r>
      <w:rPr>
        <w:rFonts w:ascii="Arial" w:hAnsi="Arial" w:cs="Arial"/>
        <w:b w:val="0"/>
        <w:sz w:val="16"/>
        <w:szCs w:val="16"/>
        <w:lang w:val="es-ES_tradnl"/>
      </w:rPr>
      <w:t xml:space="preserve"> forma comparativa con igual períod</w:t>
    </w:r>
    <w:r w:rsidRPr="005E5441">
      <w:rPr>
        <w:rFonts w:ascii="Arial" w:hAnsi="Arial" w:cs="Arial"/>
        <w:b w:val="0"/>
        <w:sz w:val="16"/>
        <w:szCs w:val="16"/>
        <w:lang w:val="es-ES_tradnl"/>
      </w:rPr>
      <w:t xml:space="preserve">o </w:t>
    </w:r>
    <w:r>
      <w:rPr>
        <w:rFonts w:ascii="Arial" w:hAnsi="Arial" w:cs="Arial"/>
        <w:b w:val="0"/>
        <w:sz w:val="16"/>
        <w:szCs w:val="16"/>
        <w:lang w:val="es-ES_tradnl"/>
      </w:rPr>
      <w:t xml:space="preserve">del ejercicio </w:t>
    </w:r>
    <w:r w:rsidRPr="005E5441">
      <w:rPr>
        <w:rFonts w:ascii="Arial" w:hAnsi="Arial" w:cs="Arial"/>
        <w:b w:val="0"/>
        <w:sz w:val="16"/>
        <w:szCs w:val="16"/>
        <w:lang w:val="es-ES_tradnl"/>
      </w:rPr>
      <w:t>anterior</w:t>
    </w:r>
  </w:p>
  <w:p w14:paraId="0C5CC93D" w14:textId="77777777" w:rsidR="008A0152" w:rsidRDefault="008A0152" w:rsidP="00524D84">
    <w:pPr>
      <w:pStyle w:val="2Ttulo"/>
      <w:rPr>
        <w:rFonts w:ascii="Arial" w:hAnsi="Arial" w:cs="Arial"/>
        <w:b w:val="0"/>
        <w:sz w:val="16"/>
        <w:szCs w:val="16"/>
      </w:rPr>
    </w:pPr>
    <w:r w:rsidRPr="005E5441">
      <w:rPr>
        <w:rFonts w:ascii="Arial" w:hAnsi="Arial" w:cs="Arial"/>
        <w:b w:val="0"/>
        <w:sz w:val="16"/>
        <w:szCs w:val="16"/>
      </w:rPr>
      <w:t>(Cifras expresadas en miles de pesos</w:t>
    </w:r>
    <w:r>
      <w:rPr>
        <w:rFonts w:ascii="Arial" w:hAnsi="Arial" w:cs="Arial"/>
        <w:b w:val="0"/>
        <w:sz w:val="16"/>
        <w:szCs w:val="16"/>
      </w:rPr>
      <w:t xml:space="preserve"> – Nota 1.8</w:t>
    </w:r>
    <w:r w:rsidRPr="005E5441">
      <w:rPr>
        <w:rFonts w:ascii="Arial" w:hAnsi="Arial" w:cs="Arial"/>
        <w:b w:val="0"/>
        <w:sz w:val="16"/>
        <w:szCs w:val="16"/>
      </w:rPr>
      <w:t>)</w:t>
    </w:r>
  </w:p>
  <w:p w14:paraId="5EA0D9B6" w14:textId="77777777" w:rsidR="008A0152" w:rsidRDefault="008A0152" w:rsidP="002374F8">
    <w:pPr>
      <w:pStyle w:val="2Ttulo"/>
      <w:jc w:val="left"/>
      <w:rPr>
        <w:rFonts w:ascii="Arial" w:hAnsi="Arial" w:cs="Arial"/>
        <w:b w:val="0"/>
        <w:sz w:val="20"/>
      </w:rPr>
    </w:pPr>
  </w:p>
  <w:p w14:paraId="5BCD0FEE" w14:textId="77777777" w:rsidR="008A0152" w:rsidRPr="005E5441" w:rsidRDefault="008A0152" w:rsidP="002374F8">
    <w:pPr>
      <w:pStyle w:val="2Ttulo"/>
      <w:jc w:val="left"/>
      <w:rPr>
        <w:rFonts w:ascii="Arial" w:hAnsi="Arial" w:cs="Arial"/>
        <w:b w:val="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6CA971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rFonts w:cs="Arial"/>
        <w:lang w:val="es-AR"/>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080" w:hanging="360"/>
      </w:pPr>
      <w:rPr>
        <w:rFonts w:cs="Arial"/>
      </w:rPr>
    </w:lvl>
    <w:lvl w:ilvl="1">
      <w:start w:val="1"/>
      <w:numFmt w:val="lowerLetter"/>
      <w:lvlText w:val="%2."/>
      <w:lvlJc w:val="left"/>
      <w:pPr>
        <w:tabs>
          <w:tab w:val="num" w:pos="0"/>
        </w:tabs>
        <w:ind w:left="180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lowerRoman"/>
      <w:lvlText w:val="%1."/>
      <w:lvlJc w:val="right"/>
      <w:pPr>
        <w:tabs>
          <w:tab w:val="num" w:pos="0"/>
        </w:tabs>
        <w:ind w:left="1080" w:hanging="360"/>
      </w:pPr>
    </w:lvl>
    <w:lvl w:ilvl="1">
      <w:start w:val="1"/>
      <w:numFmt w:val="lowerLetter"/>
      <w:lvlText w:val="%2."/>
      <w:lvlJc w:val="left"/>
      <w:pPr>
        <w:tabs>
          <w:tab w:val="num" w:pos="0"/>
        </w:tabs>
        <w:ind w:left="180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A"/>
    <w:multiLevelType w:val="multilevel"/>
    <w:tmpl w:val="0000000A"/>
    <w:name w:val="WW8Num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9D2C5E"/>
    <w:multiLevelType w:val="multilevel"/>
    <w:tmpl w:val="AE2A3636"/>
    <w:name w:val="WW8Num14"/>
    <w:lvl w:ilvl="0">
      <w:start w:val="23"/>
      <w:numFmt w:val="decimal"/>
      <w:lvlText w:val="%1."/>
      <w:lvlJc w:val="left"/>
      <w:pPr>
        <w:tabs>
          <w:tab w:val="num" w:pos="0"/>
        </w:tabs>
        <w:ind w:left="360" w:hanging="360"/>
      </w:pPr>
      <w:rPr>
        <w:rFonts w:hint="default"/>
      </w:rPr>
    </w:lvl>
    <w:lvl w:ilvl="1">
      <w:start w:val="3"/>
      <w:numFmt w:val="decimal"/>
      <w:lvlText w:val="%1.%2."/>
      <w:lvlJc w:val="left"/>
      <w:pPr>
        <w:tabs>
          <w:tab w:val="num" w:pos="0"/>
        </w:tabs>
        <w:ind w:left="792" w:hanging="432"/>
      </w:pPr>
      <w:rPr>
        <w:rFonts w:hint="default"/>
      </w:rPr>
    </w:lvl>
    <w:lvl w:ilvl="2">
      <w:start w:val="4"/>
      <w:numFmt w:val="decimal"/>
      <w:lvlText w:val="%1.%2.%3."/>
      <w:lvlJc w:val="left"/>
      <w:pPr>
        <w:tabs>
          <w:tab w:val="num" w:pos="0"/>
        </w:tabs>
        <w:ind w:left="1224" w:hanging="504"/>
      </w:pPr>
      <w:rPr>
        <w:rFonts w:cs="Arial"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00EC10B3"/>
    <w:multiLevelType w:val="hybridMultilevel"/>
    <w:tmpl w:val="B07AE2D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13D3FDF"/>
    <w:multiLevelType w:val="hybridMultilevel"/>
    <w:tmpl w:val="221AC3AE"/>
    <w:lvl w:ilvl="0" w:tplc="2C0A0017">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3" w15:restartNumberingAfterBreak="0">
    <w:nsid w:val="015550B6"/>
    <w:multiLevelType w:val="hybridMultilevel"/>
    <w:tmpl w:val="D616B03A"/>
    <w:lvl w:ilvl="0" w:tplc="0C0A0017">
      <w:start w:val="1"/>
      <w:numFmt w:val="lowerLetter"/>
      <w:lvlText w:val="%1)"/>
      <w:lvlJc w:val="left"/>
      <w:pPr>
        <w:ind w:left="720" w:hanging="360"/>
      </w:pPr>
    </w:lvl>
    <w:lvl w:ilvl="1" w:tplc="2C0A0011">
      <w:start w:val="1"/>
      <w:numFmt w:val="decimal"/>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01D9080D"/>
    <w:multiLevelType w:val="hybridMultilevel"/>
    <w:tmpl w:val="F516EEB0"/>
    <w:lvl w:ilvl="0" w:tplc="2C0A0001">
      <w:start w:val="1"/>
      <w:numFmt w:val="bullet"/>
      <w:lvlText w:val=""/>
      <w:lvlJc w:val="left"/>
      <w:pPr>
        <w:ind w:left="810" w:hanging="360"/>
      </w:pPr>
      <w:rPr>
        <w:rFonts w:ascii="Symbol" w:hAnsi="Symbol" w:hint="default"/>
      </w:rPr>
    </w:lvl>
    <w:lvl w:ilvl="1" w:tplc="2C0A0003">
      <w:start w:val="1"/>
      <w:numFmt w:val="bullet"/>
      <w:lvlText w:val="o"/>
      <w:lvlJc w:val="left"/>
      <w:pPr>
        <w:ind w:left="1530" w:hanging="360"/>
      </w:pPr>
      <w:rPr>
        <w:rFonts w:ascii="Courier New" w:hAnsi="Courier New" w:cs="Courier New" w:hint="default"/>
      </w:rPr>
    </w:lvl>
    <w:lvl w:ilvl="2" w:tplc="2C0A0005" w:tentative="1">
      <w:start w:val="1"/>
      <w:numFmt w:val="bullet"/>
      <w:lvlText w:val=""/>
      <w:lvlJc w:val="left"/>
      <w:pPr>
        <w:ind w:left="2250" w:hanging="360"/>
      </w:pPr>
      <w:rPr>
        <w:rFonts w:ascii="Wingdings" w:hAnsi="Wingdings" w:hint="default"/>
      </w:rPr>
    </w:lvl>
    <w:lvl w:ilvl="3" w:tplc="2C0A0001" w:tentative="1">
      <w:start w:val="1"/>
      <w:numFmt w:val="bullet"/>
      <w:lvlText w:val=""/>
      <w:lvlJc w:val="left"/>
      <w:pPr>
        <w:ind w:left="2970" w:hanging="360"/>
      </w:pPr>
      <w:rPr>
        <w:rFonts w:ascii="Symbol" w:hAnsi="Symbol" w:hint="default"/>
      </w:rPr>
    </w:lvl>
    <w:lvl w:ilvl="4" w:tplc="2C0A0003" w:tentative="1">
      <w:start w:val="1"/>
      <w:numFmt w:val="bullet"/>
      <w:lvlText w:val="o"/>
      <w:lvlJc w:val="left"/>
      <w:pPr>
        <w:ind w:left="3690" w:hanging="360"/>
      </w:pPr>
      <w:rPr>
        <w:rFonts w:ascii="Courier New" w:hAnsi="Courier New" w:cs="Courier New" w:hint="default"/>
      </w:rPr>
    </w:lvl>
    <w:lvl w:ilvl="5" w:tplc="2C0A0005" w:tentative="1">
      <w:start w:val="1"/>
      <w:numFmt w:val="bullet"/>
      <w:lvlText w:val=""/>
      <w:lvlJc w:val="left"/>
      <w:pPr>
        <w:ind w:left="4410" w:hanging="360"/>
      </w:pPr>
      <w:rPr>
        <w:rFonts w:ascii="Wingdings" w:hAnsi="Wingdings" w:hint="default"/>
      </w:rPr>
    </w:lvl>
    <w:lvl w:ilvl="6" w:tplc="2C0A0001" w:tentative="1">
      <w:start w:val="1"/>
      <w:numFmt w:val="bullet"/>
      <w:lvlText w:val=""/>
      <w:lvlJc w:val="left"/>
      <w:pPr>
        <w:ind w:left="5130" w:hanging="360"/>
      </w:pPr>
      <w:rPr>
        <w:rFonts w:ascii="Symbol" w:hAnsi="Symbol" w:hint="default"/>
      </w:rPr>
    </w:lvl>
    <w:lvl w:ilvl="7" w:tplc="2C0A0003" w:tentative="1">
      <w:start w:val="1"/>
      <w:numFmt w:val="bullet"/>
      <w:lvlText w:val="o"/>
      <w:lvlJc w:val="left"/>
      <w:pPr>
        <w:ind w:left="5850" w:hanging="360"/>
      </w:pPr>
      <w:rPr>
        <w:rFonts w:ascii="Courier New" w:hAnsi="Courier New" w:cs="Courier New" w:hint="default"/>
      </w:rPr>
    </w:lvl>
    <w:lvl w:ilvl="8" w:tplc="2C0A0005" w:tentative="1">
      <w:start w:val="1"/>
      <w:numFmt w:val="bullet"/>
      <w:lvlText w:val=""/>
      <w:lvlJc w:val="left"/>
      <w:pPr>
        <w:ind w:left="6570" w:hanging="360"/>
      </w:pPr>
      <w:rPr>
        <w:rFonts w:ascii="Wingdings" w:hAnsi="Wingdings" w:hint="default"/>
      </w:rPr>
    </w:lvl>
  </w:abstractNum>
  <w:abstractNum w:abstractNumId="15" w15:restartNumberingAfterBreak="0">
    <w:nsid w:val="02D145A9"/>
    <w:multiLevelType w:val="hybridMultilevel"/>
    <w:tmpl w:val="F6BA01D4"/>
    <w:lvl w:ilvl="0" w:tplc="2C0A0001">
      <w:start w:val="1"/>
      <w:numFmt w:val="bullet"/>
      <w:lvlText w:val=""/>
      <w:lvlJc w:val="left"/>
      <w:pPr>
        <w:ind w:left="720" w:hanging="360"/>
      </w:pPr>
      <w:rPr>
        <w:rFonts w:ascii="Symbol" w:hAnsi="Symbol" w:hint="default"/>
      </w:rPr>
    </w:lvl>
    <w:lvl w:ilvl="1" w:tplc="2C0A000D">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02FC3285"/>
    <w:multiLevelType w:val="hybridMultilevel"/>
    <w:tmpl w:val="EDFED466"/>
    <w:lvl w:ilvl="0" w:tplc="34EEFEC4">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9C7F49"/>
    <w:multiLevelType w:val="hybridMultilevel"/>
    <w:tmpl w:val="6B3EC274"/>
    <w:lvl w:ilvl="0" w:tplc="832EE056">
      <w:start w:val="1"/>
      <w:numFmt w:val="decimal"/>
      <w:lvlText w:val="(%1)"/>
      <w:lvlJc w:val="left"/>
      <w:pPr>
        <w:ind w:left="644" w:hanging="360"/>
      </w:pPr>
      <w:rPr>
        <w:rFonts w:hint="default"/>
        <w:sz w:val="18"/>
        <w:szCs w:val="18"/>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8" w15:restartNumberingAfterBreak="0">
    <w:nsid w:val="06006D8A"/>
    <w:multiLevelType w:val="hybridMultilevel"/>
    <w:tmpl w:val="36D28724"/>
    <w:lvl w:ilvl="0" w:tplc="2C0A000D">
      <w:start w:val="1"/>
      <w:numFmt w:val="bullet"/>
      <w:lvlText w:val=""/>
      <w:lvlJc w:val="left"/>
      <w:pPr>
        <w:tabs>
          <w:tab w:val="left" w:pos="14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82DE0184">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7426E36">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99EE556">
      <w:start w:val="1"/>
      <w:numFmt w:val="bullet"/>
      <w:lvlText w:val="•"/>
      <w:lvlJc w:val="left"/>
      <w:pPr>
        <w:tabs>
          <w:tab w:val="left" w:pos="14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8243F84">
      <w:start w:val="1"/>
      <w:numFmt w:val="bullet"/>
      <w:lvlText w:val="o"/>
      <w:lvlJc w:val="left"/>
      <w:pPr>
        <w:tabs>
          <w:tab w:val="left" w:pos="14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7E295BE">
      <w:start w:val="1"/>
      <w:numFmt w:val="bullet"/>
      <w:lvlText w:val="▪"/>
      <w:lvlJc w:val="left"/>
      <w:pPr>
        <w:tabs>
          <w:tab w:val="left" w:pos="14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03E5730">
      <w:start w:val="1"/>
      <w:numFmt w:val="bullet"/>
      <w:lvlText w:val="•"/>
      <w:lvlJc w:val="left"/>
      <w:pPr>
        <w:tabs>
          <w:tab w:val="left" w:pos="14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6AA31B2">
      <w:start w:val="1"/>
      <w:numFmt w:val="bullet"/>
      <w:lvlText w:val="o"/>
      <w:lvlJc w:val="left"/>
      <w:pPr>
        <w:tabs>
          <w:tab w:val="left" w:pos="14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B6209E0">
      <w:start w:val="1"/>
      <w:numFmt w:val="bullet"/>
      <w:lvlText w:val="▪"/>
      <w:lvlJc w:val="left"/>
      <w:pPr>
        <w:tabs>
          <w:tab w:val="left" w:pos="14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15:restartNumberingAfterBreak="0">
    <w:nsid w:val="064F344A"/>
    <w:multiLevelType w:val="hybridMultilevel"/>
    <w:tmpl w:val="B53AF1BC"/>
    <w:lvl w:ilvl="0" w:tplc="D248D3E0">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7A7D41"/>
    <w:multiLevelType w:val="hybridMultilevel"/>
    <w:tmpl w:val="EDBA9290"/>
    <w:styleLink w:val="Estiloimportado82"/>
    <w:lvl w:ilvl="0" w:tplc="370E75C4">
      <w:start w:val="1"/>
      <w:numFmt w:val="lowerLetter"/>
      <w:lvlText w:val="%1."/>
      <w:lvlJc w:val="left"/>
      <w:pPr>
        <w:ind w:left="1418" w:hanging="284"/>
      </w:pPr>
      <w:rPr>
        <w:rFonts w:hAnsi="Arial Unicode MS"/>
        <w:caps w:val="0"/>
        <w:smallCaps w:val="0"/>
        <w:strike w:val="0"/>
        <w:dstrike w:val="0"/>
        <w:color w:val="000000"/>
        <w:spacing w:val="0"/>
        <w:w w:val="100"/>
        <w:kern w:val="0"/>
        <w:position w:val="0"/>
        <w:highlight w:val="none"/>
        <w:vertAlign w:val="baseline"/>
      </w:rPr>
    </w:lvl>
    <w:lvl w:ilvl="1" w:tplc="3A068150">
      <w:start w:val="1"/>
      <w:numFmt w:val="lowerLetter"/>
      <w:lvlText w:val="%2."/>
      <w:lvlJc w:val="left"/>
      <w:pPr>
        <w:ind w:left="1024" w:hanging="284"/>
      </w:pPr>
      <w:rPr>
        <w:rFonts w:hAnsi="Arial Unicode MS"/>
        <w:caps w:val="0"/>
        <w:smallCaps w:val="0"/>
        <w:strike w:val="0"/>
        <w:dstrike w:val="0"/>
        <w:color w:val="000000"/>
        <w:spacing w:val="0"/>
        <w:w w:val="100"/>
        <w:kern w:val="0"/>
        <w:position w:val="0"/>
        <w:highlight w:val="none"/>
        <w:vertAlign w:val="baseline"/>
      </w:rPr>
    </w:lvl>
    <w:lvl w:ilvl="2" w:tplc="82CE8AD4">
      <w:start w:val="1"/>
      <w:numFmt w:val="lowerRoman"/>
      <w:lvlText w:val="%3."/>
      <w:lvlJc w:val="left"/>
      <w:pPr>
        <w:ind w:left="1744" w:hanging="199"/>
      </w:pPr>
      <w:rPr>
        <w:rFonts w:hAnsi="Arial Unicode MS"/>
        <w:caps w:val="0"/>
        <w:smallCaps w:val="0"/>
        <w:strike w:val="0"/>
        <w:dstrike w:val="0"/>
        <w:color w:val="000000"/>
        <w:spacing w:val="0"/>
        <w:w w:val="100"/>
        <w:kern w:val="0"/>
        <w:position w:val="0"/>
        <w:highlight w:val="none"/>
        <w:vertAlign w:val="baseline"/>
      </w:rPr>
    </w:lvl>
    <w:lvl w:ilvl="3" w:tplc="5770F584">
      <w:start w:val="1"/>
      <w:numFmt w:val="decimal"/>
      <w:lvlText w:val="%4."/>
      <w:lvlJc w:val="left"/>
      <w:pPr>
        <w:ind w:left="2464" w:hanging="284"/>
      </w:pPr>
      <w:rPr>
        <w:rFonts w:hAnsi="Arial Unicode MS"/>
        <w:caps w:val="0"/>
        <w:smallCaps w:val="0"/>
        <w:strike w:val="0"/>
        <w:dstrike w:val="0"/>
        <w:color w:val="000000"/>
        <w:spacing w:val="0"/>
        <w:w w:val="100"/>
        <w:kern w:val="0"/>
        <w:position w:val="0"/>
        <w:highlight w:val="none"/>
        <w:vertAlign w:val="baseline"/>
      </w:rPr>
    </w:lvl>
    <w:lvl w:ilvl="4" w:tplc="71B002CA">
      <w:start w:val="1"/>
      <w:numFmt w:val="lowerLetter"/>
      <w:lvlText w:val="%5."/>
      <w:lvlJc w:val="left"/>
      <w:pPr>
        <w:ind w:left="3184" w:hanging="284"/>
      </w:pPr>
      <w:rPr>
        <w:rFonts w:hAnsi="Arial Unicode MS"/>
        <w:caps w:val="0"/>
        <w:smallCaps w:val="0"/>
        <w:strike w:val="0"/>
        <w:dstrike w:val="0"/>
        <w:color w:val="000000"/>
        <w:spacing w:val="0"/>
        <w:w w:val="100"/>
        <w:kern w:val="0"/>
        <w:position w:val="0"/>
        <w:highlight w:val="none"/>
        <w:vertAlign w:val="baseline"/>
      </w:rPr>
    </w:lvl>
    <w:lvl w:ilvl="5" w:tplc="4348B770">
      <w:start w:val="1"/>
      <w:numFmt w:val="lowerRoman"/>
      <w:lvlText w:val="%6."/>
      <w:lvlJc w:val="left"/>
      <w:pPr>
        <w:ind w:left="3904" w:hanging="199"/>
      </w:pPr>
      <w:rPr>
        <w:rFonts w:hAnsi="Arial Unicode MS"/>
        <w:caps w:val="0"/>
        <w:smallCaps w:val="0"/>
        <w:strike w:val="0"/>
        <w:dstrike w:val="0"/>
        <w:color w:val="000000"/>
        <w:spacing w:val="0"/>
        <w:w w:val="100"/>
        <w:kern w:val="0"/>
        <w:position w:val="0"/>
        <w:highlight w:val="none"/>
        <w:vertAlign w:val="baseline"/>
      </w:rPr>
    </w:lvl>
    <w:lvl w:ilvl="6" w:tplc="FD763E8A">
      <w:start w:val="1"/>
      <w:numFmt w:val="decimal"/>
      <w:lvlText w:val="%7."/>
      <w:lvlJc w:val="left"/>
      <w:pPr>
        <w:ind w:left="4624" w:hanging="284"/>
      </w:pPr>
      <w:rPr>
        <w:rFonts w:hAnsi="Arial Unicode MS"/>
        <w:caps w:val="0"/>
        <w:smallCaps w:val="0"/>
        <w:strike w:val="0"/>
        <w:dstrike w:val="0"/>
        <w:color w:val="000000"/>
        <w:spacing w:val="0"/>
        <w:w w:val="100"/>
        <w:kern w:val="0"/>
        <w:position w:val="0"/>
        <w:highlight w:val="none"/>
        <w:vertAlign w:val="baseline"/>
      </w:rPr>
    </w:lvl>
    <w:lvl w:ilvl="7" w:tplc="97B6851E">
      <w:start w:val="1"/>
      <w:numFmt w:val="lowerLetter"/>
      <w:lvlText w:val="%8."/>
      <w:lvlJc w:val="left"/>
      <w:pPr>
        <w:ind w:left="5344" w:hanging="284"/>
      </w:pPr>
      <w:rPr>
        <w:rFonts w:hAnsi="Arial Unicode MS"/>
        <w:caps w:val="0"/>
        <w:smallCaps w:val="0"/>
        <w:strike w:val="0"/>
        <w:dstrike w:val="0"/>
        <w:color w:val="000000"/>
        <w:spacing w:val="0"/>
        <w:w w:val="100"/>
        <w:kern w:val="0"/>
        <w:position w:val="0"/>
        <w:highlight w:val="none"/>
        <w:vertAlign w:val="baseline"/>
      </w:rPr>
    </w:lvl>
    <w:lvl w:ilvl="8" w:tplc="311452A2">
      <w:start w:val="1"/>
      <w:numFmt w:val="lowerRoman"/>
      <w:lvlText w:val="%9."/>
      <w:lvlJc w:val="left"/>
      <w:pPr>
        <w:ind w:left="6064" w:hanging="199"/>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07E92597"/>
    <w:multiLevelType w:val="hybridMultilevel"/>
    <w:tmpl w:val="A066D302"/>
    <w:lvl w:ilvl="0" w:tplc="2C0A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FB5021"/>
    <w:multiLevelType w:val="hybridMultilevel"/>
    <w:tmpl w:val="25045C62"/>
    <w:lvl w:ilvl="0" w:tplc="9EB4F62C">
      <w:start w:val="1"/>
      <w:numFmt w:val="lowerLetter"/>
      <w:lvlText w:val="(%1)"/>
      <w:lvlJc w:val="left"/>
      <w:pPr>
        <w:ind w:left="360" w:hanging="360"/>
      </w:pPr>
      <w:rPr>
        <w:rFonts w:hint="default"/>
        <w:b/>
        <w:i w:val="0"/>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0B2C397D"/>
    <w:multiLevelType w:val="multilevel"/>
    <w:tmpl w:val="127CA6C8"/>
    <w:lvl w:ilvl="0">
      <w:start w:val="1"/>
      <w:numFmt w:val="decimal"/>
      <w:lvlText w:val="%1."/>
      <w:lvlJc w:val="left"/>
      <w:pPr>
        <w:ind w:left="357" w:hanging="357"/>
      </w:pPr>
      <w:rPr>
        <w:rFonts w:ascii="Arial" w:hAnsi="Arial" w:hint="default"/>
        <w:b/>
        <w:i w:val="0"/>
        <w:sz w:val="20"/>
      </w:rPr>
    </w:lvl>
    <w:lvl w:ilvl="1">
      <w:start w:val="1"/>
      <w:numFmt w:val="decimal"/>
      <w:lvlText w:val="%1.%2."/>
      <w:lvlJc w:val="left"/>
      <w:pPr>
        <w:tabs>
          <w:tab w:val="num" w:pos="357"/>
        </w:tabs>
        <w:ind w:left="284" w:firstLine="0"/>
      </w:pPr>
      <w:rPr>
        <w:rFonts w:hint="default"/>
        <w:b w:val="0"/>
        <w:i w:val="0"/>
      </w:rPr>
    </w:lvl>
    <w:lvl w:ilvl="2">
      <w:start w:val="1"/>
      <w:numFmt w:val="decimal"/>
      <w:lvlText w:val="%1.%2.%3."/>
      <w:lvlJc w:val="left"/>
      <w:pPr>
        <w:ind w:left="925" w:hanging="357"/>
      </w:pPr>
      <w:rPr>
        <w:rFonts w:hint="default"/>
      </w:rPr>
    </w:lvl>
    <w:lvl w:ilvl="3">
      <w:start w:val="1"/>
      <w:numFmt w:val="decimal"/>
      <w:lvlText w:val="%1.%2.%3.%4."/>
      <w:lvlJc w:val="left"/>
      <w:pPr>
        <w:ind w:left="1209" w:hanging="357"/>
      </w:pPr>
      <w:rPr>
        <w:rFonts w:hint="default"/>
      </w:rPr>
    </w:lvl>
    <w:lvl w:ilvl="4">
      <w:start w:val="1"/>
      <w:numFmt w:val="decimal"/>
      <w:lvlText w:val="%1.%2.%3.%4.%5."/>
      <w:lvlJc w:val="left"/>
      <w:pPr>
        <w:ind w:left="1493" w:hanging="357"/>
      </w:pPr>
      <w:rPr>
        <w:rFonts w:hint="default"/>
      </w:rPr>
    </w:lvl>
    <w:lvl w:ilvl="5">
      <w:start w:val="1"/>
      <w:numFmt w:val="decimal"/>
      <w:lvlText w:val="%1.%2.%3.%4.%5.%6."/>
      <w:lvlJc w:val="left"/>
      <w:pPr>
        <w:ind w:left="1777" w:hanging="357"/>
      </w:pPr>
      <w:rPr>
        <w:rFonts w:hint="default"/>
      </w:rPr>
    </w:lvl>
    <w:lvl w:ilvl="6">
      <w:start w:val="1"/>
      <w:numFmt w:val="decimal"/>
      <w:lvlText w:val="%1.%2.%3.%4.%5.%6.%7."/>
      <w:lvlJc w:val="left"/>
      <w:pPr>
        <w:ind w:left="2061" w:hanging="357"/>
      </w:pPr>
      <w:rPr>
        <w:rFonts w:hint="default"/>
      </w:rPr>
    </w:lvl>
    <w:lvl w:ilvl="7">
      <w:start w:val="1"/>
      <w:numFmt w:val="decimal"/>
      <w:lvlText w:val="%1.%2.%3.%4.%5.%6.%7.%8."/>
      <w:lvlJc w:val="left"/>
      <w:pPr>
        <w:ind w:left="2345" w:hanging="357"/>
      </w:pPr>
      <w:rPr>
        <w:rFonts w:hint="default"/>
      </w:rPr>
    </w:lvl>
    <w:lvl w:ilvl="8">
      <w:start w:val="1"/>
      <w:numFmt w:val="decimal"/>
      <w:lvlText w:val="%1.%2.%3.%4.%5.%6.%7.%8.%9."/>
      <w:lvlJc w:val="left"/>
      <w:pPr>
        <w:ind w:left="2629" w:hanging="357"/>
      </w:pPr>
      <w:rPr>
        <w:rFonts w:hint="default"/>
      </w:rPr>
    </w:lvl>
  </w:abstractNum>
  <w:abstractNum w:abstractNumId="24" w15:restartNumberingAfterBreak="0">
    <w:nsid w:val="0B766696"/>
    <w:multiLevelType w:val="hybridMultilevel"/>
    <w:tmpl w:val="F1E4748E"/>
    <w:lvl w:ilvl="0" w:tplc="D248D3E0">
      <w:start w:val="1"/>
      <w:numFmt w:val="lowerLetter"/>
      <w:lvlText w:val="(%1)"/>
      <w:lvlJc w:val="left"/>
      <w:pPr>
        <w:ind w:left="360" w:hanging="360"/>
      </w:pPr>
      <w:rPr>
        <w:rFonts w:hint="default"/>
        <w:b w:val="0"/>
        <w:i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5" w15:restartNumberingAfterBreak="0">
    <w:nsid w:val="0F8750E0"/>
    <w:multiLevelType w:val="hybridMultilevel"/>
    <w:tmpl w:val="28E8C0D0"/>
    <w:lvl w:ilvl="0" w:tplc="59347CCC">
      <w:start w:val="2"/>
      <w:numFmt w:val="bullet"/>
      <w:lvlText w:val="-"/>
      <w:lvlJc w:val="left"/>
      <w:pPr>
        <w:ind w:left="720" w:hanging="360"/>
      </w:pPr>
      <w:rPr>
        <w:rFonts w:ascii="Georgia" w:eastAsia="Calibri" w:hAnsi="Georgia"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0F891EE9"/>
    <w:multiLevelType w:val="hybridMultilevel"/>
    <w:tmpl w:val="D616B03A"/>
    <w:lvl w:ilvl="0" w:tplc="0C0A0017">
      <w:start w:val="1"/>
      <w:numFmt w:val="lowerLetter"/>
      <w:lvlText w:val="%1)"/>
      <w:lvlJc w:val="left"/>
      <w:pPr>
        <w:ind w:left="720" w:hanging="360"/>
      </w:pPr>
    </w:lvl>
    <w:lvl w:ilvl="1" w:tplc="2C0A0011">
      <w:start w:val="1"/>
      <w:numFmt w:val="decimal"/>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0FAD1C43"/>
    <w:multiLevelType w:val="hybridMultilevel"/>
    <w:tmpl w:val="B406C352"/>
    <w:lvl w:ilvl="0" w:tplc="2C0A000D">
      <w:start w:val="1"/>
      <w:numFmt w:val="bullet"/>
      <w:lvlText w:val=""/>
      <w:lvlJc w:val="left"/>
      <w:pPr>
        <w:ind w:left="795" w:hanging="360"/>
      </w:pPr>
      <w:rPr>
        <w:rFonts w:ascii="Wingdings" w:hAnsi="Wingdings"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8" w15:restartNumberingAfterBreak="0">
    <w:nsid w:val="12226101"/>
    <w:multiLevelType w:val="hybridMultilevel"/>
    <w:tmpl w:val="82209CFE"/>
    <w:lvl w:ilvl="0" w:tplc="2C0A000D">
      <w:start w:val="1"/>
      <w:numFmt w:val="bullet"/>
      <w:lvlText w:val=""/>
      <w:lvlJc w:val="left"/>
      <w:pPr>
        <w:tabs>
          <w:tab w:val="left" w:pos="14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EF0681E2">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0E05F3E">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54049DC">
      <w:start w:val="1"/>
      <w:numFmt w:val="bullet"/>
      <w:lvlText w:val="✓"/>
      <w:lvlJc w:val="left"/>
      <w:pPr>
        <w:tabs>
          <w:tab w:val="left" w:pos="142"/>
        </w:tabs>
        <w:ind w:left="170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F99A32D0">
      <w:start w:val="1"/>
      <w:numFmt w:val="bullet"/>
      <w:lvlText w:val="o"/>
      <w:lvlJc w:val="left"/>
      <w:pPr>
        <w:tabs>
          <w:tab w:val="left" w:pos="142"/>
        </w:tabs>
        <w:ind w:left="242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7D04A8A">
      <w:start w:val="1"/>
      <w:numFmt w:val="bullet"/>
      <w:lvlText w:val="▪"/>
      <w:lvlJc w:val="left"/>
      <w:pPr>
        <w:tabs>
          <w:tab w:val="left" w:pos="142"/>
        </w:tabs>
        <w:ind w:left="314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FDEFCFA">
      <w:start w:val="1"/>
      <w:numFmt w:val="bullet"/>
      <w:lvlText w:val="•"/>
      <w:lvlJc w:val="left"/>
      <w:pPr>
        <w:tabs>
          <w:tab w:val="left" w:pos="142"/>
        </w:tabs>
        <w:ind w:left="386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86BE9860">
      <w:start w:val="1"/>
      <w:numFmt w:val="bullet"/>
      <w:lvlText w:val="o"/>
      <w:lvlJc w:val="left"/>
      <w:pPr>
        <w:tabs>
          <w:tab w:val="left" w:pos="142"/>
        </w:tabs>
        <w:ind w:left="458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226A65E">
      <w:start w:val="1"/>
      <w:numFmt w:val="bullet"/>
      <w:lvlText w:val="▪"/>
      <w:lvlJc w:val="left"/>
      <w:pPr>
        <w:tabs>
          <w:tab w:val="left" w:pos="142"/>
        </w:tabs>
        <w:ind w:left="530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1291720A"/>
    <w:multiLevelType w:val="hybridMultilevel"/>
    <w:tmpl w:val="F1E4748E"/>
    <w:lvl w:ilvl="0" w:tplc="D248D3E0">
      <w:start w:val="1"/>
      <w:numFmt w:val="lowerLetter"/>
      <w:lvlText w:val="(%1)"/>
      <w:lvlJc w:val="left"/>
      <w:pPr>
        <w:ind w:left="360" w:hanging="360"/>
      </w:pPr>
      <w:rPr>
        <w:rFonts w:hint="default"/>
        <w:b w:val="0"/>
        <w:i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15:restartNumberingAfterBreak="0">
    <w:nsid w:val="13514EE8"/>
    <w:multiLevelType w:val="hybridMultilevel"/>
    <w:tmpl w:val="A3486BA4"/>
    <w:lvl w:ilvl="0" w:tplc="2C0A000D">
      <w:start w:val="1"/>
      <w:numFmt w:val="bullet"/>
      <w:lvlText w:val=""/>
      <w:lvlJc w:val="left"/>
      <w:pPr>
        <w:tabs>
          <w:tab w:val="left" w:pos="14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EF0681E2">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0E05F3E">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54049DC">
      <w:start w:val="1"/>
      <w:numFmt w:val="bullet"/>
      <w:lvlText w:val="✓"/>
      <w:lvlJc w:val="left"/>
      <w:pPr>
        <w:tabs>
          <w:tab w:val="left" w:pos="142"/>
        </w:tabs>
        <w:ind w:left="170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F99A32D0">
      <w:start w:val="1"/>
      <w:numFmt w:val="bullet"/>
      <w:lvlText w:val="o"/>
      <w:lvlJc w:val="left"/>
      <w:pPr>
        <w:tabs>
          <w:tab w:val="left" w:pos="142"/>
        </w:tabs>
        <w:ind w:left="242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7D04A8A">
      <w:start w:val="1"/>
      <w:numFmt w:val="bullet"/>
      <w:lvlText w:val="▪"/>
      <w:lvlJc w:val="left"/>
      <w:pPr>
        <w:tabs>
          <w:tab w:val="left" w:pos="142"/>
        </w:tabs>
        <w:ind w:left="314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FDEFCFA">
      <w:start w:val="1"/>
      <w:numFmt w:val="bullet"/>
      <w:lvlText w:val="•"/>
      <w:lvlJc w:val="left"/>
      <w:pPr>
        <w:tabs>
          <w:tab w:val="left" w:pos="142"/>
        </w:tabs>
        <w:ind w:left="386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86BE9860">
      <w:start w:val="1"/>
      <w:numFmt w:val="bullet"/>
      <w:lvlText w:val="o"/>
      <w:lvlJc w:val="left"/>
      <w:pPr>
        <w:tabs>
          <w:tab w:val="left" w:pos="142"/>
        </w:tabs>
        <w:ind w:left="458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226A65E">
      <w:start w:val="1"/>
      <w:numFmt w:val="bullet"/>
      <w:lvlText w:val="▪"/>
      <w:lvlJc w:val="left"/>
      <w:pPr>
        <w:tabs>
          <w:tab w:val="left" w:pos="142"/>
        </w:tabs>
        <w:ind w:left="530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1" w15:restartNumberingAfterBreak="0">
    <w:nsid w:val="1558104A"/>
    <w:multiLevelType w:val="hybridMultilevel"/>
    <w:tmpl w:val="179C38E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159818D8"/>
    <w:multiLevelType w:val="hybridMultilevel"/>
    <w:tmpl w:val="AC941C32"/>
    <w:lvl w:ilvl="0" w:tplc="2C0A000D">
      <w:start w:val="1"/>
      <w:numFmt w:val="bullet"/>
      <w:lvlText w:val=""/>
      <w:lvlJc w:val="left"/>
      <w:pPr>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6D5CE5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43EBE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E0E904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822C4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4C6FA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5A4DE2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DECB3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BD28F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 w15:restartNumberingAfterBreak="0">
    <w:nsid w:val="16852B9A"/>
    <w:multiLevelType w:val="multilevel"/>
    <w:tmpl w:val="EAB603C0"/>
    <w:lvl w:ilvl="0">
      <w:start w:val="1"/>
      <w:numFmt w:val="decimal"/>
      <w:lvlText w:val="%1."/>
      <w:lvlJc w:val="left"/>
      <w:pPr>
        <w:ind w:left="360" w:hanging="360"/>
      </w:p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1113DE"/>
    <w:multiLevelType w:val="hybridMultilevel"/>
    <w:tmpl w:val="D92CEB12"/>
    <w:lvl w:ilvl="0" w:tplc="E5AA62F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17E90127"/>
    <w:multiLevelType w:val="multilevel"/>
    <w:tmpl w:val="27288520"/>
    <w:styleLink w:val="Estiloimportado32"/>
    <w:lvl w:ilvl="0">
      <w:start w:val="1"/>
      <w:numFmt w:val="decimal"/>
      <w:lvlText w:val="%1."/>
      <w:lvlJc w:val="left"/>
      <w:pPr>
        <w:tabs>
          <w:tab w:val="num" w:pos="142"/>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left" w:pos="142"/>
          <w:tab w:val="num" w:pos="792"/>
        </w:tabs>
        <w:ind w:left="1010" w:hanging="65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left" w:pos="142"/>
          <w:tab w:val="num" w:pos="1224"/>
        </w:tabs>
        <w:ind w:left="1442" w:hanging="722"/>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left" w:pos="142"/>
          <w:tab w:val="num" w:pos="1728"/>
        </w:tabs>
        <w:ind w:left="1946" w:hanging="86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left" w:pos="142"/>
          <w:tab w:val="num" w:pos="2232"/>
        </w:tabs>
        <w:ind w:left="2450" w:hanging="101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left" w:pos="142"/>
          <w:tab w:val="num" w:pos="2736"/>
        </w:tabs>
        <w:ind w:left="2954" w:hanging="115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left" w:pos="142"/>
          <w:tab w:val="num" w:pos="3240"/>
        </w:tabs>
        <w:ind w:left="3458" w:hanging="129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left" w:pos="142"/>
          <w:tab w:val="num" w:pos="3744"/>
        </w:tabs>
        <w:ind w:left="3962" w:hanging="144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left" w:pos="142"/>
          <w:tab w:val="num" w:pos="4320"/>
        </w:tabs>
        <w:ind w:left="4538" w:hanging="1658"/>
      </w:pPr>
      <w:rPr>
        <w:rFonts w:hAnsi="Arial Unicode MS"/>
        <w:b/>
        <w:bCs/>
        <w:caps w:val="0"/>
        <w:smallCaps w:val="0"/>
        <w:strike w:val="0"/>
        <w:dstrike w:val="0"/>
        <w:color w:val="000000"/>
        <w:spacing w:val="0"/>
        <w:w w:val="100"/>
        <w:kern w:val="0"/>
        <w:position w:val="0"/>
        <w:highlight w:val="none"/>
        <w:vertAlign w:val="baseline"/>
      </w:rPr>
    </w:lvl>
  </w:abstractNum>
  <w:abstractNum w:abstractNumId="36" w15:restartNumberingAfterBreak="0">
    <w:nsid w:val="18757BCC"/>
    <w:multiLevelType w:val="hybridMultilevel"/>
    <w:tmpl w:val="86A84BC2"/>
    <w:lvl w:ilvl="0" w:tplc="30E645D2">
      <w:start w:val="1"/>
      <w:numFmt w:val="lowerLetter"/>
      <w:lvlText w:val="%1)"/>
      <w:lvlJc w:val="left"/>
      <w:pPr>
        <w:ind w:left="993" w:hanging="360"/>
      </w:pPr>
      <w:rPr>
        <w:rFonts w:ascii="Arial" w:eastAsia="Times New Roman" w:hAnsi="Arial" w:cs="Arial" w:hint="default"/>
      </w:rPr>
    </w:lvl>
    <w:lvl w:ilvl="1" w:tplc="2C0A0019">
      <w:start w:val="1"/>
      <w:numFmt w:val="lowerLetter"/>
      <w:lvlText w:val="%2."/>
      <w:lvlJc w:val="left"/>
      <w:pPr>
        <w:ind w:left="1713" w:hanging="360"/>
      </w:pPr>
      <w:rPr>
        <w:rFonts w:ascii="Times New Roman" w:hAnsi="Times New Roman" w:cs="Times New Roman"/>
      </w:rPr>
    </w:lvl>
    <w:lvl w:ilvl="2" w:tplc="2C0A001B">
      <w:start w:val="1"/>
      <w:numFmt w:val="lowerRoman"/>
      <w:lvlText w:val="%3."/>
      <w:lvlJc w:val="right"/>
      <w:pPr>
        <w:ind w:left="2433" w:hanging="180"/>
      </w:pPr>
      <w:rPr>
        <w:rFonts w:ascii="Times New Roman" w:hAnsi="Times New Roman" w:cs="Times New Roman"/>
      </w:rPr>
    </w:lvl>
    <w:lvl w:ilvl="3" w:tplc="C972D7B2">
      <w:start w:val="1"/>
      <w:numFmt w:val="decimal"/>
      <w:lvlText w:val="%4."/>
      <w:lvlJc w:val="left"/>
      <w:pPr>
        <w:ind w:left="3153" w:hanging="360"/>
      </w:pPr>
      <w:rPr>
        <w:rFonts w:ascii="Arial" w:hAnsi="Arial" w:cs="Arial" w:hint="default"/>
        <w:sz w:val="20"/>
        <w:szCs w:val="20"/>
      </w:rPr>
    </w:lvl>
    <w:lvl w:ilvl="4" w:tplc="2C0A0019">
      <w:start w:val="1"/>
      <w:numFmt w:val="lowerLetter"/>
      <w:lvlText w:val="%5."/>
      <w:lvlJc w:val="left"/>
      <w:pPr>
        <w:ind w:left="3873" w:hanging="360"/>
      </w:pPr>
      <w:rPr>
        <w:rFonts w:ascii="Times New Roman" w:hAnsi="Times New Roman" w:cs="Times New Roman"/>
      </w:rPr>
    </w:lvl>
    <w:lvl w:ilvl="5" w:tplc="2C0A001B">
      <w:start w:val="1"/>
      <w:numFmt w:val="lowerRoman"/>
      <w:lvlText w:val="%6."/>
      <w:lvlJc w:val="right"/>
      <w:pPr>
        <w:ind w:left="4593" w:hanging="180"/>
      </w:pPr>
      <w:rPr>
        <w:rFonts w:ascii="Times New Roman" w:hAnsi="Times New Roman" w:cs="Times New Roman"/>
      </w:rPr>
    </w:lvl>
    <w:lvl w:ilvl="6" w:tplc="2C0A000F">
      <w:start w:val="1"/>
      <w:numFmt w:val="decimal"/>
      <w:lvlText w:val="%7."/>
      <w:lvlJc w:val="left"/>
      <w:pPr>
        <w:ind w:left="5313" w:hanging="360"/>
      </w:pPr>
      <w:rPr>
        <w:rFonts w:ascii="Times New Roman" w:hAnsi="Times New Roman" w:cs="Times New Roman"/>
      </w:rPr>
    </w:lvl>
    <w:lvl w:ilvl="7" w:tplc="2C0A0019">
      <w:start w:val="1"/>
      <w:numFmt w:val="lowerLetter"/>
      <w:lvlText w:val="%8."/>
      <w:lvlJc w:val="left"/>
      <w:pPr>
        <w:ind w:left="6033" w:hanging="360"/>
      </w:pPr>
      <w:rPr>
        <w:rFonts w:ascii="Times New Roman" w:hAnsi="Times New Roman" w:cs="Times New Roman"/>
      </w:rPr>
    </w:lvl>
    <w:lvl w:ilvl="8" w:tplc="2C0A001B">
      <w:start w:val="1"/>
      <w:numFmt w:val="lowerRoman"/>
      <w:lvlText w:val="%9."/>
      <w:lvlJc w:val="right"/>
      <w:pPr>
        <w:ind w:left="6753" w:hanging="180"/>
      </w:pPr>
      <w:rPr>
        <w:rFonts w:ascii="Times New Roman" w:hAnsi="Times New Roman" w:cs="Times New Roman"/>
      </w:rPr>
    </w:lvl>
  </w:abstractNum>
  <w:abstractNum w:abstractNumId="37" w15:restartNumberingAfterBreak="0">
    <w:nsid w:val="1BE67D04"/>
    <w:multiLevelType w:val="hybridMultilevel"/>
    <w:tmpl w:val="2D5A2F3C"/>
    <w:lvl w:ilvl="0" w:tplc="5590ECC6">
      <w:numFmt w:val="bullet"/>
      <w:lvlText w:val="-"/>
      <w:lvlJc w:val="left"/>
      <w:pPr>
        <w:ind w:left="1572" w:hanging="360"/>
      </w:pPr>
      <w:rPr>
        <w:rFonts w:ascii="Calibri" w:eastAsia="Calibri" w:hAnsi="Calibri" w:cs="Times New Roman" w:hint="default"/>
      </w:rPr>
    </w:lvl>
    <w:lvl w:ilvl="1" w:tplc="2C0A0003" w:tentative="1">
      <w:start w:val="1"/>
      <w:numFmt w:val="bullet"/>
      <w:lvlText w:val="o"/>
      <w:lvlJc w:val="left"/>
      <w:pPr>
        <w:ind w:left="2292" w:hanging="360"/>
      </w:pPr>
      <w:rPr>
        <w:rFonts w:ascii="Courier New" w:hAnsi="Courier New" w:cs="Courier New" w:hint="default"/>
      </w:rPr>
    </w:lvl>
    <w:lvl w:ilvl="2" w:tplc="2C0A0005" w:tentative="1">
      <w:start w:val="1"/>
      <w:numFmt w:val="bullet"/>
      <w:lvlText w:val=""/>
      <w:lvlJc w:val="left"/>
      <w:pPr>
        <w:ind w:left="3012" w:hanging="360"/>
      </w:pPr>
      <w:rPr>
        <w:rFonts w:ascii="Wingdings" w:hAnsi="Wingdings" w:hint="default"/>
      </w:rPr>
    </w:lvl>
    <w:lvl w:ilvl="3" w:tplc="2C0A0001" w:tentative="1">
      <w:start w:val="1"/>
      <w:numFmt w:val="bullet"/>
      <w:lvlText w:val=""/>
      <w:lvlJc w:val="left"/>
      <w:pPr>
        <w:ind w:left="3732" w:hanging="360"/>
      </w:pPr>
      <w:rPr>
        <w:rFonts w:ascii="Symbol" w:hAnsi="Symbol" w:hint="default"/>
      </w:rPr>
    </w:lvl>
    <w:lvl w:ilvl="4" w:tplc="2C0A0003" w:tentative="1">
      <w:start w:val="1"/>
      <w:numFmt w:val="bullet"/>
      <w:lvlText w:val="o"/>
      <w:lvlJc w:val="left"/>
      <w:pPr>
        <w:ind w:left="4452" w:hanging="360"/>
      </w:pPr>
      <w:rPr>
        <w:rFonts w:ascii="Courier New" w:hAnsi="Courier New" w:cs="Courier New" w:hint="default"/>
      </w:rPr>
    </w:lvl>
    <w:lvl w:ilvl="5" w:tplc="2C0A0005" w:tentative="1">
      <w:start w:val="1"/>
      <w:numFmt w:val="bullet"/>
      <w:lvlText w:val=""/>
      <w:lvlJc w:val="left"/>
      <w:pPr>
        <w:ind w:left="5172" w:hanging="360"/>
      </w:pPr>
      <w:rPr>
        <w:rFonts w:ascii="Wingdings" w:hAnsi="Wingdings" w:hint="default"/>
      </w:rPr>
    </w:lvl>
    <w:lvl w:ilvl="6" w:tplc="2C0A0001" w:tentative="1">
      <w:start w:val="1"/>
      <w:numFmt w:val="bullet"/>
      <w:lvlText w:val=""/>
      <w:lvlJc w:val="left"/>
      <w:pPr>
        <w:ind w:left="5892" w:hanging="360"/>
      </w:pPr>
      <w:rPr>
        <w:rFonts w:ascii="Symbol" w:hAnsi="Symbol" w:hint="default"/>
      </w:rPr>
    </w:lvl>
    <w:lvl w:ilvl="7" w:tplc="2C0A0003" w:tentative="1">
      <w:start w:val="1"/>
      <w:numFmt w:val="bullet"/>
      <w:lvlText w:val="o"/>
      <w:lvlJc w:val="left"/>
      <w:pPr>
        <w:ind w:left="6612" w:hanging="360"/>
      </w:pPr>
      <w:rPr>
        <w:rFonts w:ascii="Courier New" w:hAnsi="Courier New" w:cs="Courier New" w:hint="default"/>
      </w:rPr>
    </w:lvl>
    <w:lvl w:ilvl="8" w:tplc="2C0A0005" w:tentative="1">
      <w:start w:val="1"/>
      <w:numFmt w:val="bullet"/>
      <w:lvlText w:val=""/>
      <w:lvlJc w:val="left"/>
      <w:pPr>
        <w:ind w:left="7332" w:hanging="360"/>
      </w:pPr>
      <w:rPr>
        <w:rFonts w:ascii="Wingdings" w:hAnsi="Wingdings" w:hint="default"/>
      </w:rPr>
    </w:lvl>
  </w:abstractNum>
  <w:abstractNum w:abstractNumId="38" w15:restartNumberingAfterBreak="0">
    <w:nsid w:val="1CD675E8"/>
    <w:multiLevelType w:val="hybridMultilevel"/>
    <w:tmpl w:val="182E06A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1DBF5755"/>
    <w:multiLevelType w:val="hybridMultilevel"/>
    <w:tmpl w:val="BB58B964"/>
    <w:lvl w:ilvl="0" w:tplc="2C0A0017">
      <w:start w:val="1"/>
      <w:numFmt w:val="lowerLetter"/>
      <w:lvlText w:val="%1)"/>
      <w:lvlJc w:val="left"/>
      <w:pPr>
        <w:ind w:left="720" w:hanging="360"/>
      </w:pPr>
      <w:rPr>
        <w:rFonts w:hint="default"/>
      </w:rPr>
    </w:lvl>
    <w:lvl w:ilvl="1" w:tplc="943EA56E">
      <w:start w:val="1"/>
      <w:numFmt w:val="lowerRoman"/>
      <w:lvlText w:val="(%2)"/>
      <w:lvlJc w:val="left"/>
      <w:pPr>
        <w:ind w:left="1800" w:hanging="72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1EF31016"/>
    <w:multiLevelType w:val="hybridMultilevel"/>
    <w:tmpl w:val="949475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20982E48"/>
    <w:multiLevelType w:val="hybridMultilevel"/>
    <w:tmpl w:val="99BEB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20D40BA2"/>
    <w:multiLevelType w:val="multilevel"/>
    <w:tmpl w:val="3BC42524"/>
    <w:styleLink w:val="Estiloimportado112"/>
    <w:lvl w:ilvl="0">
      <w:start w:val="7"/>
      <w:numFmt w:val="decimal"/>
      <w:lvlText w:val="%1."/>
      <w:lvlJc w:val="left"/>
      <w:pPr>
        <w:tabs>
          <w:tab w:val="num" w:pos="360"/>
        </w:tabs>
        <w:ind w:left="357" w:hanging="357"/>
      </w:pPr>
      <w:rPr>
        <w:rFonts w:hint="default"/>
        <w:b/>
        <w:u w:val="none"/>
      </w:rPr>
    </w:lvl>
    <w:lvl w:ilvl="1">
      <w:start w:val="1"/>
      <w:numFmt w:val="decimal"/>
      <w:lvlText w:val="%1.%2."/>
      <w:lvlJc w:val="left"/>
      <w:pPr>
        <w:tabs>
          <w:tab w:val="num" w:pos="359"/>
        </w:tabs>
        <w:ind w:left="284" w:firstLine="0"/>
      </w:pPr>
      <w:rPr>
        <w:rFonts w:ascii="Arial" w:hAnsi="Arial" w:hint="default"/>
        <w:b w:val="0"/>
        <w:i w:val="0"/>
        <w:sz w:val="20"/>
        <w:szCs w:val="20"/>
        <w:u w:val="none"/>
      </w:rPr>
    </w:lvl>
    <w:lvl w:ilvl="2">
      <w:start w:val="1"/>
      <w:numFmt w:val="decimal"/>
      <w:lvlText w:val="%1.%2.%3."/>
      <w:lvlJc w:val="left"/>
      <w:pPr>
        <w:tabs>
          <w:tab w:val="num" w:pos="1210"/>
        </w:tabs>
        <w:ind w:left="1207" w:hanging="357"/>
      </w:pPr>
      <w:rPr>
        <w:rFonts w:ascii="Arial" w:hAnsi="Arial" w:hint="default"/>
        <w:b w:val="0"/>
        <w:i w:val="0"/>
        <w:u w:val="none"/>
      </w:rPr>
    </w:lvl>
    <w:lvl w:ilvl="3">
      <w:start w:val="1"/>
      <w:numFmt w:val="decimal"/>
      <w:lvlText w:val="%1.%2.%3.%4."/>
      <w:lvlJc w:val="left"/>
      <w:pPr>
        <w:tabs>
          <w:tab w:val="num" w:pos="1635"/>
        </w:tabs>
        <w:ind w:left="1632" w:hanging="357"/>
      </w:pPr>
      <w:rPr>
        <w:rFonts w:hint="default"/>
        <w:b/>
        <w:u w:val="none"/>
      </w:rPr>
    </w:lvl>
    <w:lvl w:ilvl="4">
      <w:start w:val="1"/>
      <w:numFmt w:val="decimal"/>
      <w:lvlText w:val="%1.%2.%3.%4.%5."/>
      <w:lvlJc w:val="left"/>
      <w:pPr>
        <w:tabs>
          <w:tab w:val="num" w:pos="2060"/>
        </w:tabs>
        <w:ind w:left="2057" w:hanging="357"/>
      </w:pPr>
      <w:rPr>
        <w:rFonts w:hint="default"/>
        <w:b/>
        <w:u w:val="none"/>
      </w:rPr>
    </w:lvl>
    <w:lvl w:ilvl="5">
      <w:start w:val="1"/>
      <w:numFmt w:val="decimal"/>
      <w:lvlText w:val="%1.%2.%3.%4.%5.%6."/>
      <w:lvlJc w:val="left"/>
      <w:pPr>
        <w:tabs>
          <w:tab w:val="num" w:pos="2485"/>
        </w:tabs>
        <w:ind w:left="2482" w:hanging="357"/>
      </w:pPr>
      <w:rPr>
        <w:rFonts w:hint="default"/>
        <w:b/>
        <w:u w:val="none"/>
      </w:rPr>
    </w:lvl>
    <w:lvl w:ilvl="6">
      <w:start w:val="1"/>
      <w:numFmt w:val="decimal"/>
      <w:lvlText w:val="%1.%2.%3.%4.%5.%6.%7."/>
      <w:lvlJc w:val="left"/>
      <w:pPr>
        <w:tabs>
          <w:tab w:val="num" w:pos="2910"/>
        </w:tabs>
        <w:ind w:left="2907" w:hanging="357"/>
      </w:pPr>
      <w:rPr>
        <w:rFonts w:hint="default"/>
        <w:b/>
        <w:u w:val="none"/>
      </w:rPr>
    </w:lvl>
    <w:lvl w:ilvl="7">
      <w:start w:val="1"/>
      <w:numFmt w:val="decimal"/>
      <w:lvlText w:val="%1.%2.%3.%4.%5.%6.%7.%8."/>
      <w:lvlJc w:val="left"/>
      <w:pPr>
        <w:tabs>
          <w:tab w:val="num" w:pos="3335"/>
        </w:tabs>
        <w:ind w:left="3332" w:hanging="357"/>
      </w:pPr>
      <w:rPr>
        <w:rFonts w:hint="default"/>
        <w:b/>
        <w:u w:val="none"/>
      </w:rPr>
    </w:lvl>
    <w:lvl w:ilvl="8">
      <w:start w:val="1"/>
      <w:numFmt w:val="decimal"/>
      <w:lvlText w:val="%1.%2.%3.%4.%5.%6.%7.%8.%9."/>
      <w:lvlJc w:val="left"/>
      <w:pPr>
        <w:tabs>
          <w:tab w:val="num" w:pos="3760"/>
        </w:tabs>
        <w:ind w:left="3757" w:hanging="357"/>
      </w:pPr>
      <w:rPr>
        <w:rFonts w:hint="default"/>
        <w:b/>
        <w:u w:val="none"/>
      </w:rPr>
    </w:lvl>
  </w:abstractNum>
  <w:abstractNum w:abstractNumId="43" w15:restartNumberingAfterBreak="0">
    <w:nsid w:val="23EF5246"/>
    <w:multiLevelType w:val="hybridMultilevel"/>
    <w:tmpl w:val="30FA3FE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25F56928"/>
    <w:multiLevelType w:val="hybridMultilevel"/>
    <w:tmpl w:val="A066D302"/>
    <w:lvl w:ilvl="0" w:tplc="2C0A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513B95"/>
    <w:multiLevelType w:val="hybridMultilevel"/>
    <w:tmpl w:val="F13C3F28"/>
    <w:lvl w:ilvl="0" w:tplc="74E85474">
      <w:start w:val="180"/>
      <w:numFmt w:val="bullet"/>
      <w:lvlText w:val="-"/>
      <w:lvlJc w:val="left"/>
      <w:pPr>
        <w:ind w:left="709" w:hanging="360"/>
      </w:pPr>
      <w:rPr>
        <w:rFonts w:ascii="Georgia" w:eastAsiaTheme="minorHAnsi" w:hAnsi="Georgia" w:cstheme="minorBidi" w:hint="default"/>
      </w:rPr>
    </w:lvl>
    <w:lvl w:ilvl="1" w:tplc="2C0A0003" w:tentative="1">
      <w:start w:val="1"/>
      <w:numFmt w:val="bullet"/>
      <w:lvlText w:val="o"/>
      <w:lvlJc w:val="left"/>
      <w:pPr>
        <w:ind w:left="1429" w:hanging="360"/>
      </w:pPr>
      <w:rPr>
        <w:rFonts w:ascii="Courier New" w:hAnsi="Courier New" w:cs="Courier New" w:hint="default"/>
      </w:rPr>
    </w:lvl>
    <w:lvl w:ilvl="2" w:tplc="2C0A0005" w:tentative="1">
      <w:start w:val="1"/>
      <w:numFmt w:val="bullet"/>
      <w:lvlText w:val=""/>
      <w:lvlJc w:val="left"/>
      <w:pPr>
        <w:ind w:left="2149" w:hanging="360"/>
      </w:pPr>
      <w:rPr>
        <w:rFonts w:ascii="Wingdings" w:hAnsi="Wingdings" w:hint="default"/>
      </w:rPr>
    </w:lvl>
    <w:lvl w:ilvl="3" w:tplc="2C0A0001" w:tentative="1">
      <w:start w:val="1"/>
      <w:numFmt w:val="bullet"/>
      <w:lvlText w:val=""/>
      <w:lvlJc w:val="left"/>
      <w:pPr>
        <w:ind w:left="2869" w:hanging="360"/>
      </w:pPr>
      <w:rPr>
        <w:rFonts w:ascii="Symbol" w:hAnsi="Symbol" w:hint="default"/>
      </w:rPr>
    </w:lvl>
    <w:lvl w:ilvl="4" w:tplc="2C0A0003" w:tentative="1">
      <w:start w:val="1"/>
      <w:numFmt w:val="bullet"/>
      <w:lvlText w:val="o"/>
      <w:lvlJc w:val="left"/>
      <w:pPr>
        <w:ind w:left="3589" w:hanging="360"/>
      </w:pPr>
      <w:rPr>
        <w:rFonts w:ascii="Courier New" w:hAnsi="Courier New" w:cs="Courier New" w:hint="default"/>
      </w:rPr>
    </w:lvl>
    <w:lvl w:ilvl="5" w:tplc="2C0A0005" w:tentative="1">
      <w:start w:val="1"/>
      <w:numFmt w:val="bullet"/>
      <w:lvlText w:val=""/>
      <w:lvlJc w:val="left"/>
      <w:pPr>
        <w:ind w:left="4309" w:hanging="360"/>
      </w:pPr>
      <w:rPr>
        <w:rFonts w:ascii="Wingdings" w:hAnsi="Wingdings" w:hint="default"/>
      </w:rPr>
    </w:lvl>
    <w:lvl w:ilvl="6" w:tplc="2C0A0001" w:tentative="1">
      <w:start w:val="1"/>
      <w:numFmt w:val="bullet"/>
      <w:lvlText w:val=""/>
      <w:lvlJc w:val="left"/>
      <w:pPr>
        <w:ind w:left="5029" w:hanging="360"/>
      </w:pPr>
      <w:rPr>
        <w:rFonts w:ascii="Symbol" w:hAnsi="Symbol" w:hint="default"/>
      </w:rPr>
    </w:lvl>
    <w:lvl w:ilvl="7" w:tplc="2C0A0003" w:tentative="1">
      <w:start w:val="1"/>
      <w:numFmt w:val="bullet"/>
      <w:lvlText w:val="o"/>
      <w:lvlJc w:val="left"/>
      <w:pPr>
        <w:ind w:left="5749" w:hanging="360"/>
      </w:pPr>
      <w:rPr>
        <w:rFonts w:ascii="Courier New" w:hAnsi="Courier New" w:cs="Courier New" w:hint="default"/>
      </w:rPr>
    </w:lvl>
    <w:lvl w:ilvl="8" w:tplc="2C0A0005" w:tentative="1">
      <w:start w:val="1"/>
      <w:numFmt w:val="bullet"/>
      <w:lvlText w:val=""/>
      <w:lvlJc w:val="left"/>
      <w:pPr>
        <w:ind w:left="6469" w:hanging="360"/>
      </w:pPr>
      <w:rPr>
        <w:rFonts w:ascii="Wingdings" w:hAnsi="Wingdings" w:hint="default"/>
      </w:rPr>
    </w:lvl>
  </w:abstractNum>
  <w:abstractNum w:abstractNumId="46" w15:restartNumberingAfterBreak="0">
    <w:nsid w:val="271578D8"/>
    <w:multiLevelType w:val="hybridMultilevel"/>
    <w:tmpl w:val="B80073B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27BE675D"/>
    <w:multiLevelType w:val="hybridMultilevel"/>
    <w:tmpl w:val="CCDA76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97C3DE1"/>
    <w:multiLevelType w:val="hybridMultilevel"/>
    <w:tmpl w:val="FE361A3C"/>
    <w:lvl w:ilvl="0" w:tplc="6ED2D3F6">
      <w:start w:val="2"/>
      <w:numFmt w:val="bullet"/>
      <w:lvlText w:val="-"/>
      <w:lvlJc w:val="left"/>
      <w:pPr>
        <w:ind w:left="720" w:hanging="360"/>
      </w:pPr>
      <w:rPr>
        <w:rFonts w:ascii="Georgia" w:eastAsiaTheme="minorHAnsi" w:hAnsi="Georgi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2AB63B38"/>
    <w:multiLevelType w:val="hybridMultilevel"/>
    <w:tmpl w:val="15BE8056"/>
    <w:styleLink w:val="Estiloimportado92"/>
    <w:lvl w:ilvl="0" w:tplc="DE305630">
      <w:start w:val="1"/>
      <w:numFmt w:val="lowerLetter"/>
      <w:lvlText w:val="%1."/>
      <w:lvlJc w:val="left"/>
      <w:pPr>
        <w:ind w:left="1834" w:hanging="360"/>
      </w:pPr>
      <w:rPr>
        <w:rFonts w:hAnsi="Arial Unicode MS"/>
        <w:caps w:val="0"/>
        <w:smallCaps w:val="0"/>
        <w:strike w:val="0"/>
        <w:dstrike w:val="0"/>
        <w:color w:val="000000"/>
        <w:spacing w:val="0"/>
        <w:w w:val="100"/>
        <w:kern w:val="0"/>
        <w:position w:val="0"/>
        <w:highlight w:val="none"/>
        <w:vertAlign w:val="baseline"/>
      </w:rPr>
    </w:lvl>
    <w:lvl w:ilvl="1" w:tplc="FC70F47C">
      <w:start w:val="1"/>
      <w:numFmt w:val="lowerLetter"/>
      <w:lvlText w:val="%2."/>
      <w:lvlJc w:val="left"/>
      <w:pPr>
        <w:ind w:left="2554" w:hanging="360"/>
      </w:pPr>
      <w:rPr>
        <w:rFonts w:hAnsi="Arial Unicode MS"/>
        <w:caps w:val="0"/>
        <w:smallCaps w:val="0"/>
        <w:strike w:val="0"/>
        <w:dstrike w:val="0"/>
        <w:color w:val="000000"/>
        <w:spacing w:val="0"/>
        <w:w w:val="100"/>
        <w:kern w:val="0"/>
        <w:position w:val="0"/>
        <w:highlight w:val="none"/>
        <w:vertAlign w:val="baseline"/>
      </w:rPr>
    </w:lvl>
    <w:lvl w:ilvl="2" w:tplc="CE368BF2">
      <w:start w:val="1"/>
      <w:numFmt w:val="lowerRoman"/>
      <w:lvlText w:val="%3."/>
      <w:lvlJc w:val="left"/>
      <w:pPr>
        <w:ind w:left="3274" w:hanging="275"/>
      </w:pPr>
      <w:rPr>
        <w:rFonts w:hAnsi="Arial Unicode MS"/>
        <w:caps w:val="0"/>
        <w:smallCaps w:val="0"/>
        <w:strike w:val="0"/>
        <w:dstrike w:val="0"/>
        <w:color w:val="000000"/>
        <w:spacing w:val="0"/>
        <w:w w:val="100"/>
        <w:kern w:val="0"/>
        <w:position w:val="0"/>
        <w:highlight w:val="none"/>
        <w:vertAlign w:val="baseline"/>
      </w:rPr>
    </w:lvl>
    <w:lvl w:ilvl="3" w:tplc="61268616">
      <w:start w:val="1"/>
      <w:numFmt w:val="decimal"/>
      <w:lvlText w:val="%4."/>
      <w:lvlJc w:val="left"/>
      <w:pPr>
        <w:ind w:left="3994" w:hanging="360"/>
      </w:pPr>
      <w:rPr>
        <w:rFonts w:hAnsi="Arial Unicode MS"/>
        <w:caps w:val="0"/>
        <w:smallCaps w:val="0"/>
        <w:strike w:val="0"/>
        <w:dstrike w:val="0"/>
        <w:color w:val="000000"/>
        <w:spacing w:val="0"/>
        <w:w w:val="100"/>
        <w:kern w:val="0"/>
        <w:position w:val="0"/>
        <w:highlight w:val="none"/>
        <w:vertAlign w:val="baseline"/>
      </w:rPr>
    </w:lvl>
    <w:lvl w:ilvl="4" w:tplc="6A689290">
      <w:start w:val="1"/>
      <w:numFmt w:val="lowerLetter"/>
      <w:lvlText w:val="%5."/>
      <w:lvlJc w:val="left"/>
      <w:pPr>
        <w:ind w:left="4714" w:hanging="360"/>
      </w:pPr>
      <w:rPr>
        <w:rFonts w:hAnsi="Arial Unicode MS"/>
        <w:caps w:val="0"/>
        <w:smallCaps w:val="0"/>
        <w:strike w:val="0"/>
        <w:dstrike w:val="0"/>
        <w:color w:val="000000"/>
        <w:spacing w:val="0"/>
        <w:w w:val="100"/>
        <w:kern w:val="0"/>
        <w:position w:val="0"/>
        <w:highlight w:val="none"/>
        <w:vertAlign w:val="baseline"/>
      </w:rPr>
    </w:lvl>
    <w:lvl w:ilvl="5" w:tplc="29DC36C4">
      <w:start w:val="1"/>
      <w:numFmt w:val="lowerRoman"/>
      <w:lvlText w:val="%6."/>
      <w:lvlJc w:val="left"/>
      <w:pPr>
        <w:ind w:left="5434" w:hanging="275"/>
      </w:pPr>
      <w:rPr>
        <w:rFonts w:hAnsi="Arial Unicode MS"/>
        <w:caps w:val="0"/>
        <w:smallCaps w:val="0"/>
        <w:strike w:val="0"/>
        <w:dstrike w:val="0"/>
        <w:color w:val="000000"/>
        <w:spacing w:val="0"/>
        <w:w w:val="100"/>
        <w:kern w:val="0"/>
        <w:position w:val="0"/>
        <w:highlight w:val="none"/>
        <w:vertAlign w:val="baseline"/>
      </w:rPr>
    </w:lvl>
    <w:lvl w:ilvl="6" w:tplc="446AF6C0">
      <w:start w:val="1"/>
      <w:numFmt w:val="decimal"/>
      <w:lvlText w:val="%7."/>
      <w:lvlJc w:val="left"/>
      <w:pPr>
        <w:ind w:left="6154" w:hanging="360"/>
      </w:pPr>
      <w:rPr>
        <w:rFonts w:hAnsi="Arial Unicode MS"/>
        <w:caps w:val="0"/>
        <w:smallCaps w:val="0"/>
        <w:strike w:val="0"/>
        <w:dstrike w:val="0"/>
        <w:color w:val="000000"/>
        <w:spacing w:val="0"/>
        <w:w w:val="100"/>
        <w:kern w:val="0"/>
        <w:position w:val="0"/>
        <w:highlight w:val="none"/>
        <w:vertAlign w:val="baseline"/>
      </w:rPr>
    </w:lvl>
    <w:lvl w:ilvl="7" w:tplc="AF02703A">
      <w:start w:val="1"/>
      <w:numFmt w:val="lowerLetter"/>
      <w:lvlText w:val="%8."/>
      <w:lvlJc w:val="left"/>
      <w:pPr>
        <w:ind w:left="6874" w:hanging="360"/>
      </w:pPr>
      <w:rPr>
        <w:rFonts w:hAnsi="Arial Unicode MS"/>
        <w:caps w:val="0"/>
        <w:smallCaps w:val="0"/>
        <w:strike w:val="0"/>
        <w:dstrike w:val="0"/>
        <w:color w:val="000000"/>
        <w:spacing w:val="0"/>
        <w:w w:val="100"/>
        <w:kern w:val="0"/>
        <w:position w:val="0"/>
        <w:highlight w:val="none"/>
        <w:vertAlign w:val="baseline"/>
      </w:rPr>
    </w:lvl>
    <w:lvl w:ilvl="8" w:tplc="FF2E4676">
      <w:start w:val="1"/>
      <w:numFmt w:val="lowerRoman"/>
      <w:lvlText w:val="%9."/>
      <w:lvlJc w:val="left"/>
      <w:pPr>
        <w:ind w:left="7594" w:hanging="275"/>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2AC04080"/>
    <w:multiLevelType w:val="hybridMultilevel"/>
    <w:tmpl w:val="75305502"/>
    <w:styleLink w:val="Estiloimportado142"/>
    <w:lvl w:ilvl="0" w:tplc="97BA4E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1E0C0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7AAFA84">
      <w:start w:val="1"/>
      <w:numFmt w:val="upperRoman"/>
      <w:lvlText w:val="%3."/>
      <w:lvlJc w:val="left"/>
      <w:pPr>
        <w:ind w:left="2700" w:hanging="720"/>
      </w:pPr>
      <w:rPr>
        <w:rFonts w:hAnsi="Arial Unicode MS"/>
        <w:caps w:val="0"/>
        <w:smallCaps w:val="0"/>
        <w:strike w:val="0"/>
        <w:dstrike w:val="0"/>
        <w:color w:val="000000"/>
        <w:spacing w:val="0"/>
        <w:w w:val="100"/>
        <w:kern w:val="0"/>
        <w:position w:val="0"/>
        <w:highlight w:val="none"/>
        <w:vertAlign w:val="baseline"/>
      </w:rPr>
    </w:lvl>
    <w:lvl w:ilvl="3" w:tplc="290064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350CD56">
      <w:start w:val="1"/>
      <w:numFmt w:val="decimal"/>
      <w:lvlText w:val="%5."/>
      <w:lvlJc w:val="left"/>
      <w:pPr>
        <w:ind w:left="3600" w:hanging="317"/>
      </w:pPr>
      <w:rPr>
        <w:rFonts w:hAnsi="Arial Unicode MS"/>
        <w:caps w:val="0"/>
        <w:smallCaps w:val="0"/>
        <w:strike w:val="0"/>
        <w:dstrike w:val="0"/>
        <w:color w:val="000000"/>
        <w:spacing w:val="0"/>
        <w:w w:val="100"/>
        <w:kern w:val="0"/>
        <w:position w:val="0"/>
        <w:highlight w:val="none"/>
        <w:vertAlign w:val="baseline"/>
      </w:rPr>
    </w:lvl>
    <w:lvl w:ilvl="5" w:tplc="D77C69B6">
      <w:start w:val="1"/>
      <w:numFmt w:val="lowerRoman"/>
      <w:lvlText w:val="%6."/>
      <w:lvlJc w:val="left"/>
      <w:pPr>
        <w:ind w:left="4320" w:hanging="275"/>
      </w:pPr>
      <w:rPr>
        <w:rFonts w:hAnsi="Arial Unicode MS"/>
        <w:caps w:val="0"/>
        <w:smallCaps w:val="0"/>
        <w:strike w:val="0"/>
        <w:dstrike w:val="0"/>
        <w:color w:val="000000"/>
        <w:spacing w:val="0"/>
        <w:w w:val="100"/>
        <w:kern w:val="0"/>
        <w:position w:val="0"/>
        <w:highlight w:val="none"/>
        <w:vertAlign w:val="baseline"/>
      </w:rPr>
    </w:lvl>
    <w:lvl w:ilvl="6" w:tplc="C540AE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546CCA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6CA377A">
      <w:start w:val="1"/>
      <w:numFmt w:val="lowerRoman"/>
      <w:lvlText w:val="%9."/>
      <w:lvlJc w:val="left"/>
      <w:pPr>
        <w:ind w:left="6480" w:hanging="275"/>
      </w:pPr>
      <w:rPr>
        <w:rFonts w:hAnsi="Arial Unicode MS"/>
        <w:caps w:val="0"/>
        <w:smallCaps w:val="0"/>
        <w:strike w:val="0"/>
        <w:dstrike w:val="0"/>
        <w:color w:val="000000"/>
        <w:spacing w:val="0"/>
        <w:w w:val="100"/>
        <w:kern w:val="0"/>
        <w:position w:val="0"/>
        <w:highlight w:val="none"/>
        <w:vertAlign w:val="baseline"/>
      </w:rPr>
    </w:lvl>
  </w:abstractNum>
  <w:abstractNum w:abstractNumId="51" w15:restartNumberingAfterBreak="0">
    <w:nsid w:val="2B4B1045"/>
    <w:multiLevelType w:val="hybridMultilevel"/>
    <w:tmpl w:val="BACA5816"/>
    <w:styleLink w:val="Estiloimportado202"/>
    <w:lvl w:ilvl="0" w:tplc="DE88ACAC">
      <w:start w:val="1"/>
      <w:numFmt w:val="bullet"/>
      <w:lvlText w:val="•"/>
      <w:lvlJc w:val="left"/>
      <w:pPr>
        <w:tabs>
          <w:tab w:val="left" w:pos="14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12EF12">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B7834EC">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B06C1E">
      <w:start w:val="1"/>
      <w:numFmt w:val="bullet"/>
      <w:lvlText w:val="•"/>
      <w:lvlJc w:val="left"/>
      <w:pPr>
        <w:tabs>
          <w:tab w:val="left" w:pos="14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B4ECD5C">
      <w:start w:val="1"/>
      <w:numFmt w:val="bullet"/>
      <w:lvlText w:val="o"/>
      <w:lvlJc w:val="left"/>
      <w:pPr>
        <w:tabs>
          <w:tab w:val="left" w:pos="14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12EC88">
      <w:start w:val="1"/>
      <w:numFmt w:val="bullet"/>
      <w:lvlText w:val="▪"/>
      <w:lvlJc w:val="left"/>
      <w:pPr>
        <w:tabs>
          <w:tab w:val="left" w:pos="14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50377A">
      <w:start w:val="1"/>
      <w:numFmt w:val="bullet"/>
      <w:lvlText w:val="•"/>
      <w:lvlJc w:val="left"/>
      <w:pPr>
        <w:tabs>
          <w:tab w:val="left" w:pos="14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5C9FC6">
      <w:start w:val="1"/>
      <w:numFmt w:val="bullet"/>
      <w:lvlText w:val="o"/>
      <w:lvlJc w:val="left"/>
      <w:pPr>
        <w:tabs>
          <w:tab w:val="left" w:pos="14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80E6340">
      <w:start w:val="1"/>
      <w:numFmt w:val="bullet"/>
      <w:lvlText w:val="▪"/>
      <w:lvlJc w:val="left"/>
      <w:pPr>
        <w:tabs>
          <w:tab w:val="left" w:pos="14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2FBA3442"/>
    <w:multiLevelType w:val="hybridMultilevel"/>
    <w:tmpl w:val="2D8CADA2"/>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3" w15:restartNumberingAfterBreak="0">
    <w:nsid w:val="2FCD7F3F"/>
    <w:multiLevelType w:val="hybridMultilevel"/>
    <w:tmpl w:val="D48A67E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15:restartNumberingAfterBreak="0">
    <w:nsid w:val="368F3B95"/>
    <w:multiLevelType w:val="hybridMultilevel"/>
    <w:tmpl w:val="19702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7D04FD"/>
    <w:multiLevelType w:val="hybridMultilevel"/>
    <w:tmpl w:val="FA6E0F78"/>
    <w:styleLink w:val="Estiloimportado42"/>
    <w:lvl w:ilvl="0" w:tplc="CA8254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E025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8C2A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7A27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06FA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6340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C8A25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5AA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836F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37BD1432"/>
    <w:multiLevelType w:val="hybridMultilevel"/>
    <w:tmpl w:val="F81A85AC"/>
    <w:styleLink w:val="Estiloimportado182"/>
    <w:lvl w:ilvl="0" w:tplc="C14AEE1A">
      <w:start w:val="1"/>
      <w:numFmt w:val="bullet"/>
      <w:lvlText w:val="•"/>
      <w:lvlJc w:val="left"/>
      <w:pPr>
        <w:tabs>
          <w:tab w:val="left" w:pos="142"/>
          <w:tab w:val="num" w:pos="709"/>
          <w:tab w:val="left" w:pos="993"/>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E9C6F5FA">
      <w:start w:val="1"/>
      <w:numFmt w:val="bullet"/>
      <w:lvlText w:val="o"/>
      <w:lvlJc w:val="left"/>
      <w:pPr>
        <w:tabs>
          <w:tab w:val="left" w:pos="142"/>
          <w:tab w:val="left" w:pos="709"/>
          <w:tab w:val="left" w:pos="993"/>
          <w:tab w:val="num" w:pos="1440"/>
        </w:tabs>
        <w:ind w:left="145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30824CC0">
      <w:start w:val="1"/>
      <w:numFmt w:val="bullet"/>
      <w:lvlText w:val="▪"/>
      <w:lvlJc w:val="left"/>
      <w:pPr>
        <w:tabs>
          <w:tab w:val="left" w:pos="142"/>
          <w:tab w:val="left" w:pos="709"/>
          <w:tab w:val="left" w:pos="993"/>
          <w:tab w:val="num" w:pos="2160"/>
        </w:tabs>
        <w:ind w:left="217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DAF0E732">
      <w:start w:val="1"/>
      <w:numFmt w:val="bullet"/>
      <w:lvlText w:val="•"/>
      <w:lvlJc w:val="left"/>
      <w:pPr>
        <w:tabs>
          <w:tab w:val="left" w:pos="142"/>
          <w:tab w:val="left" w:pos="709"/>
          <w:tab w:val="left" w:pos="993"/>
          <w:tab w:val="num" w:pos="2880"/>
        </w:tabs>
        <w:ind w:left="289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2A068A8E">
      <w:start w:val="1"/>
      <w:numFmt w:val="bullet"/>
      <w:lvlText w:val="o"/>
      <w:lvlJc w:val="left"/>
      <w:pPr>
        <w:tabs>
          <w:tab w:val="left" w:pos="142"/>
          <w:tab w:val="left" w:pos="709"/>
          <w:tab w:val="left" w:pos="993"/>
          <w:tab w:val="num" w:pos="3600"/>
        </w:tabs>
        <w:ind w:left="361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FCD65E14">
      <w:start w:val="1"/>
      <w:numFmt w:val="bullet"/>
      <w:lvlText w:val="▪"/>
      <w:lvlJc w:val="left"/>
      <w:pPr>
        <w:tabs>
          <w:tab w:val="left" w:pos="142"/>
          <w:tab w:val="left" w:pos="709"/>
          <w:tab w:val="left" w:pos="993"/>
          <w:tab w:val="num" w:pos="4320"/>
        </w:tabs>
        <w:ind w:left="433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88523B90">
      <w:start w:val="1"/>
      <w:numFmt w:val="bullet"/>
      <w:lvlText w:val="•"/>
      <w:lvlJc w:val="left"/>
      <w:pPr>
        <w:tabs>
          <w:tab w:val="left" w:pos="142"/>
          <w:tab w:val="left" w:pos="709"/>
          <w:tab w:val="left" w:pos="993"/>
          <w:tab w:val="num" w:pos="5040"/>
        </w:tabs>
        <w:ind w:left="505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E12B250">
      <w:start w:val="1"/>
      <w:numFmt w:val="bullet"/>
      <w:lvlText w:val="o"/>
      <w:lvlJc w:val="left"/>
      <w:pPr>
        <w:tabs>
          <w:tab w:val="left" w:pos="142"/>
          <w:tab w:val="left" w:pos="709"/>
          <w:tab w:val="left" w:pos="993"/>
          <w:tab w:val="num" w:pos="5760"/>
        </w:tabs>
        <w:ind w:left="577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2EE0D6F8">
      <w:start w:val="1"/>
      <w:numFmt w:val="bullet"/>
      <w:lvlText w:val="▪"/>
      <w:lvlJc w:val="left"/>
      <w:pPr>
        <w:tabs>
          <w:tab w:val="left" w:pos="142"/>
          <w:tab w:val="left" w:pos="709"/>
          <w:tab w:val="left" w:pos="993"/>
          <w:tab w:val="num" w:pos="6480"/>
        </w:tabs>
        <w:ind w:left="6491" w:hanging="37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38B42326"/>
    <w:multiLevelType w:val="multilevel"/>
    <w:tmpl w:val="56F42C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975065B"/>
    <w:multiLevelType w:val="hybridMultilevel"/>
    <w:tmpl w:val="1B6C4238"/>
    <w:styleLink w:val="Estiloimportado152"/>
    <w:lvl w:ilvl="0" w:tplc="D0F4B92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4E204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AE88BF6">
      <w:start w:val="1"/>
      <w:numFmt w:val="lowerRoman"/>
      <w:lvlText w:val="%3."/>
      <w:lvlJc w:val="left"/>
      <w:pPr>
        <w:ind w:left="2160" w:hanging="275"/>
      </w:pPr>
      <w:rPr>
        <w:rFonts w:hAnsi="Arial Unicode MS"/>
        <w:caps w:val="0"/>
        <w:smallCaps w:val="0"/>
        <w:strike w:val="0"/>
        <w:dstrike w:val="0"/>
        <w:color w:val="000000"/>
        <w:spacing w:val="0"/>
        <w:w w:val="100"/>
        <w:kern w:val="0"/>
        <w:position w:val="0"/>
        <w:highlight w:val="none"/>
        <w:vertAlign w:val="baseline"/>
      </w:rPr>
    </w:lvl>
    <w:lvl w:ilvl="3" w:tplc="E19A4BE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F94919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8DF2F004">
      <w:start w:val="1"/>
      <w:numFmt w:val="lowerRoman"/>
      <w:lvlText w:val="%6."/>
      <w:lvlJc w:val="left"/>
      <w:pPr>
        <w:ind w:left="4320" w:hanging="275"/>
      </w:pPr>
      <w:rPr>
        <w:rFonts w:hAnsi="Arial Unicode MS"/>
        <w:caps w:val="0"/>
        <w:smallCaps w:val="0"/>
        <w:strike w:val="0"/>
        <w:dstrike w:val="0"/>
        <w:color w:val="000000"/>
        <w:spacing w:val="0"/>
        <w:w w:val="100"/>
        <w:kern w:val="0"/>
        <w:position w:val="0"/>
        <w:highlight w:val="none"/>
        <w:vertAlign w:val="baseline"/>
      </w:rPr>
    </w:lvl>
    <w:lvl w:ilvl="6" w:tplc="90A0B25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A6C8C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EAE4322">
      <w:start w:val="1"/>
      <w:numFmt w:val="lowerRoman"/>
      <w:lvlText w:val="%9."/>
      <w:lvlJc w:val="left"/>
      <w:pPr>
        <w:ind w:left="6480" w:hanging="275"/>
      </w:pPr>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397B5C03"/>
    <w:multiLevelType w:val="hybridMultilevel"/>
    <w:tmpl w:val="6262BD28"/>
    <w:styleLink w:val="Estiloimportado132"/>
    <w:lvl w:ilvl="0" w:tplc="494A32CA">
      <w:start w:val="1"/>
      <w:numFmt w:val="bullet"/>
      <w:lvlText w:val="✓"/>
      <w:lvlJc w:val="left"/>
      <w:pPr>
        <w:ind w:left="7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D31A24A4">
      <w:start w:val="1"/>
      <w:numFmt w:val="bullet"/>
      <w:lvlText w:val="o"/>
      <w:lvlJc w:val="left"/>
      <w:pPr>
        <w:ind w:left="14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C6F7FE">
      <w:start w:val="1"/>
      <w:numFmt w:val="bullet"/>
      <w:lvlText w:val="▪"/>
      <w:lvlJc w:val="left"/>
      <w:pPr>
        <w:ind w:left="22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0941BEA">
      <w:start w:val="1"/>
      <w:numFmt w:val="bullet"/>
      <w:lvlText w:val="•"/>
      <w:lvlJc w:val="left"/>
      <w:pPr>
        <w:ind w:left="29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253023F8">
      <w:start w:val="1"/>
      <w:numFmt w:val="bullet"/>
      <w:lvlText w:val="o"/>
      <w:lvlJc w:val="left"/>
      <w:pPr>
        <w:ind w:left="365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9649F6">
      <w:start w:val="1"/>
      <w:numFmt w:val="bullet"/>
      <w:lvlText w:val="▪"/>
      <w:lvlJc w:val="left"/>
      <w:pPr>
        <w:ind w:left="43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12137A">
      <w:start w:val="1"/>
      <w:numFmt w:val="bullet"/>
      <w:lvlText w:val="•"/>
      <w:lvlJc w:val="left"/>
      <w:pPr>
        <w:ind w:left="50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36A3242">
      <w:start w:val="1"/>
      <w:numFmt w:val="bullet"/>
      <w:lvlText w:val="o"/>
      <w:lvlJc w:val="left"/>
      <w:pPr>
        <w:ind w:left="58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8AF77C">
      <w:start w:val="1"/>
      <w:numFmt w:val="bullet"/>
      <w:lvlText w:val="▪"/>
      <w:lvlJc w:val="left"/>
      <w:pPr>
        <w:ind w:left="65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39CA4AFC"/>
    <w:multiLevelType w:val="hybridMultilevel"/>
    <w:tmpl w:val="2048C1E0"/>
    <w:lvl w:ilvl="0" w:tplc="D248D3E0">
      <w:start w:val="1"/>
      <w:numFmt w:val="lowerLetter"/>
      <w:lvlText w:val="(%1)"/>
      <w:lvlJc w:val="left"/>
      <w:pPr>
        <w:ind w:left="709" w:hanging="360"/>
      </w:pPr>
      <w:rPr>
        <w:rFonts w:hint="default"/>
        <w:b w:val="0"/>
        <w:i w:val="0"/>
      </w:rPr>
    </w:lvl>
    <w:lvl w:ilvl="1" w:tplc="2C0A0019" w:tentative="1">
      <w:start w:val="1"/>
      <w:numFmt w:val="lowerLetter"/>
      <w:lvlText w:val="%2."/>
      <w:lvlJc w:val="left"/>
      <w:pPr>
        <w:ind w:left="1429" w:hanging="360"/>
      </w:pPr>
    </w:lvl>
    <w:lvl w:ilvl="2" w:tplc="2C0A001B" w:tentative="1">
      <w:start w:val="1"/>
      <w:numFmt w:val="lowerRoman"/>
      <w:lvlText w:val="%3."/>
      <w:lvlJc w:val="right"/>
      <w:pPr>
        <w:ind w:left="2149" w:hanging="180"/>
      </w:pPr>
    </w:lvl>
    <w:lvl w:ilvl="3" w:tplc="2C0A000F" w:tentative="1">
      <w:start w:val="1"/>
      <w:numFmt w:val="decimal"/>
      <w:lvlText w:val="%4."/>
      <w:lvlJc w:val="left"/>
      <w:pPr>
        <w:ind w:left="2869" w:hanging="360"/>
      </w:pPr>
    </w:lvl>
    <w:lvl w:ilvl="4" w:tplc="2C0A0019" w:tentative="1">
      <w:start w:val="1"/>
      <w:numFmt w:val="lowerLetter"/>
      <w:lvlText w:val="%5."/>
      <w:lvlJc w:val="left"/>
      <w:pPr>
        <w:ind w:left="3589" w:hanging="360"/>
      </w:pPr>
    </w:lvl>
    <w:lvl w:ilvl="5" w:tplc="2C0A001B" w:tentative="1">
      <w:start w:val="1"/>
      <w:numFmt w:val="lowerRoman"/>
      <w:lvlText w:val="%6."/>
      <w:lvlJc w:val="right"/>
      <w:pPr>
        <w:ind w:left="4309" w:hanging="180"/>
      </w:pPr>
    </w:lvl>
    <w:lvl w:ilvl="6" w:tplc="2C0A000F">
      <w:start w:val="1"/>
      <w:numFmt w:val="decimal"/>
      <w:lvlText w:val="%7."/>
      <w:lvlJc w:val="left"/>
      <w:pPr>
        <w:ind w:left="5029" w:hanging="360"/>
      </w:pPr>
    </w:lvl>
    <w:lvl w:ilvl="7" w:tplc="2C0A0019" w:tentative="1">
      <w:start w:val="1"/>
      <w:numFmt w:val="lowerLetter"/>
      <w:lvlText w:val="%8."/>
      <w:lvlJc w:val="left"/>
      <w:pPr>
        <w:ind w:left="5749" w:hanging="360"/>
      </w:pPr>
    </w:lvl>
    <w:lvl w:ilvl="8" w:tplc="2C0A001B" w:tentative="1">
      <w:start w:val="1"/>
      <w:numFmt w:val="lowerRoman"/>
      <w:lvlText w:val="%9."/>
      <w:lvlJc w:val="right"/>
      <w:pPr>
        <w:ind w:left="6469" w:hanging="180"/>
      </w:pPr>
    </w:lvl>
  </w:abstractNum>
  <w:abstractNum w:abstractNumId="61" w15:restartNumberingAfterBreak="0">
    <w:nsid w:val="39F406B4"/>
    <w:multiLevelType w:val="hybridMultilevel"/>
    <w:tmpl w:val="8A7069DA"/>
    <w:styleLink w:val="Estiloimportado19"/>
    <w:lvl w:ilvl="0" w:tplc="55D09E04">
      <w:start w:val="1"/>
      <w:numFmt w:val="bullet"/>
      <w:lvlText w:val="-"/>
      <w:lvlJc w:val="left"/>
      <w:pPr>
        <w:ind w:left="7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1" w:tplc="9F3AE758">
      <w:start w:val="1"/>
      <w:numFmt w:val="bullet"/>
      <w:lvlText w:val="o"/>
      <w:lvlJc w:val="left"/>
      <w:pPr>
        <w:ind w:left="14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2" w:tplc="AB22DA44">
      <w:start w:val="1"/>
      <w:numFmt w:val="bullet"/>
      <w:lvlText w:val="▪"/>
      <w:lvlJc w:val="left"/>
      <w:pPr>
        <w:ind w:left="21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3" w:tplc="038A255A">
      <w:start w:val="1"/>
      <w:numFmt w:val="bullet"/>
      <w:lvlText w:val="•"/>
      <w:lvlJc w:val="left"/>
      <w:pPr>
        <w:ind w:left="28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4" w:tplc="5CCA336E">
      <w:start w:val="1"/>
      <w:numFmt w:val="bullet"/>
      <w:lvlText w:val="o"/>
      <w:lvlJc w:val="left"/>
      <w:pPr>
        <w:ind w:left="36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5" w:tplc="8480C342">
      <w:start w:val="1"/>
      <w:numFmt w:val="bullet"/>
      <w:lvlText w:val="▪"/>
      <w:lvlJc w:val="left"/>
      <w:pPr>
        <w:ind w:left="43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6" w:tplc="3E0019A6">
      <w:start w:val="1"/>
      <w:numFmt w:val="bullet"/>
      <w:lvlText w:val="•"/>
      <w:lvlJc w:val="left"/>
      <w:pPr>
        <w:ind w:left="50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7" w:tplc="33BC2198">
      <w:start w:val="1"/>
      <w:numFmt w:val="bullet"/>
      <w:lvlText w:val="o"/>
      <w:lvlJc w:val="left"/>
      <w:pPr>
        <w:ind w:left="57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lvl w:ilvl="8" w:tplc="424016C8">
      <w:start w:val="1"/>
      <w:numFmt w:val="bullet"/>
      <w:lvlText w:val="▪"/>
      <w:lvlJc w:val="left"/>
      <w:pPr>
        <w:ind w:left="64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3C48572A"/>
    <w:multiLevelType w:val="hybridMultilevel"/>
    <w:tmpl w:val="7062D0EE"/>
    <w:styleLink w:val="Estiloimportado192"/>
    <w:lvl w:ilvl="0" w:tplc="D400ABAA">
      <w:start w:val="1"/>
      <w:numFmt w:val="bullet"/>
      <w:lvlText w:val="•"/>
      <w:lvlJc w:val="left"/>
      <w:pPr>
        <w:tabs>
          <w:tab w:val="left" w:pos="14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8D2F718">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4CED26">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C1C0B06">
      <w:start w:val="1"/>
      <w:numFmt w:val="bullet"/>
      <w:lvlText w:val="•"/>
      <w:lvlJc w:val="left"/>
      <w:pPr>
        <w:tabs>
          <w:tab w:val="left" w:pos="14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A3E9E8E">
      <w:start w:val="1"/>
      <w:numFmt w:val="bullet"/>
      <w:lvlText w:val="o"/>
      <w:lvlJc w:val="left"/>
      <w:pPr>
        <w:tabs>
          <w:tab w:val="left" w:pos="14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B2C9E8A">
      <w:start w:val="1"/>
      <w:numFmt w:val="bullet"/>
      <w:lvlText w:val="▪"/>
      <w:lvlJc w:val="left"/>
      <w:pPr>
        <w:tabs>
          <w:tab w:val="left" w:pos="14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58DBD8">
      <w:start w:val="1"/>
      <w:numFmt w:val="bullet"/>
      <w:lvlText w:val="•"/>
      <w:lvlJc w:val="left"/>
      <w:pPr>
        <w:tabs>
          <w:tab w:val="left" w:pos="14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42C578">
      <w:start w:val="1"/>
      <w:numFmt w:val="bullet"/>
      <w:lvlText w:val="o"/>
      <w:lvlJc w:val="left"/>
      <w:pPr>
        <w:tabs>
          <w:tab w:val="left" w:pos="14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6221706">
      <w:start w:val="1"/>
      <w:numFmt w:val="bullet"/>
      <w:lvlText w:val="▪"/>
      <w:lvlJc w:val="left"/>
      <w:pPr>
        <w:tabs>
          <w:tab w:val="left" w:pos="14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3C90306E"/>
    <w:multiLevelType w:val="hybridMultilevel"/>
    <w:tmpl w:val="714CF22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3E864EAE"/>
    <w:multiLevelType w:val="hybridMultilevel"/>
    <w:tmpl w:val="BB58B964"/>
    <w:lvl w:ilvl="0" w:tplc="2C0A0017">
      <w:start w:val="1"/>
      <w:numFmt w:val="lowerLetter"/>
      <w:lvlText w:val="%1)"/>
      <w:lvlJc w:val="left"/>
      <w:pPr>
        <w:ind w:left="720" w:hanging="360"/>
      </w:pPr>
      <w:rPr>
        <w:rFonts w:hint="default"/>
      </w:rPr>
    </w:lvl>
    <w:lvl w:ilvl="1" w:tplc="943EA56E">
      <w:start w:val="1"/>
      <w:numFmt w:val="lowerRoman"/>
      <w:lvlText w:val="(%2)"/>
      <w:lvlJc w:val="left"/>
      <w:pPr>
        <w:ind w:left="1800" w:hanging="72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3F137FAA"/>
    <w:multiLevelType w:val="hybridMultilevel"/>
    <w:tmpl w:val="6E5A1448"/>
    <w:lvl w:ilvl="0" w:tplc="74E85474">
      <w:start w:val="180"/>
      <w:numFmt w:val="bullet"/>
      <w:lvlText w:val="-"/>
      <w:lvlJc w:val="left"/>
      <w:pPr>
        <w:ind w:left="720" w:hanging="360"/>
      </w:pPr>
      <w:rPr>
        <w:rFonts w:ascii="Georgia" w:eastAsiaTheme="minorHAnsi" w:hAnsi="Georgi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40D56035"/>
    <w:multiLevelType w:val="hybridMultilevel"/>
    <w:tmpl w:val="2048C1E0"/>
    <w:lvl w:ilvl="0" w:tplc="D248D3E0">
      <w:start w:val="1"/>
      <w:numFmt w:val="lowerLetter"/>
      <w:lvlText w:val="(%1)"/>
      <w:lvlJc w:val="left"/>
      <w:pPr>
        <w:ind w:left="709" w:hanging="360"/>
      </w:pPr>
      <w:rPr>
        <w:rFonts w:hint="default"/>
        <w:b w:val="0"/>
        <w:i w:val="0"/>
      </w:rPr>
    </w:lvl>
    <w:lvl w:ilvl="1" w:tplc="2C0A0019" w:tentative="1">
      <w:start w:val="1"/>
      <w:numFmt w:val="lowerLetter"/>
      <w:lvlText w:val="%2."/>
      <w:lvlJc w:val="left"/>
      <w:pPr>
        <w:ind w:left="1429" w:hanging="360"/>
      </w:pPr>
    </w:lvl>
    <w:lvl w:ilvl="2" w:tplc="2C0A001B" w:tentative="1">
      <w:start w:val="1"/>
      <w:numFmt w:val="lowerRoman"/>
      <w:lvlText w:val="%3."/>
      <w:lvlJc w:val="right"/>
      <w:pPr>
        <w:ind w:left="2149" w:hanging="180"/>
      </w:pPr>
    </w:lvl>
    <w:lvl w:ilvl="3" w:tplc="2C0A000F" w:tentative="1">
      <w:start w:val="1"/>
      <w:numFmt w:val="decimal"/>
      <w:lvlText w:val="%4."/>
      <w:lvlJc w:val="left"/>
      <w:pPr>
        <w:ind w:left="2869" w:hanging="360"/>
      </w:pPr>
    </w:lvl>
    <w:lvl w:ilvl="4" w:tplc="2C0A0019" w:tentative="1">
      <w:start w:val="1"/>
      <w:numFmt w:val="lowerLetter"/>
      <w:lvlText w:val="%5."/>
      <w:lvlJc w:val="left"/>
      <w:pPr>
        <w:ind w:left="3589" w:hanging="360"/>
      </w:pPr>
    </w:lvl>
    <w:lvl w:ilvl="5" w:tplc="2C0A001B" w:tentative="1">
      <w:start w:val="1"/>
      <w:numFmt w:val="lowerRoman"/>
      <w:lvlText w:val="%6."/>
      <w:lvlJc w:val="right"/>
      <w:pPr>
        <w:ind w:left="4309" w:hanging="180"/>
      </w:pPr>
    </w:lvl>
    <w:lvl w:ilvl="6" w:tplc="2C0A000F">
      <w:start w:val="1"/>
      <w:numFmt w:val="decimal"/>
      <w:lvlText w:val="%7."/>
      <w:lvlJc w:val="left"/>
      <w:pPr>
        <w:ind w:left="5029" w:hanging="360"/>
      </w:pPr>
    </w:lvl>
    <w:lvl w:ilvl="7" w:tplc="2C0A0019" w:tentative="1">
      <w:start w:val="1"/>
      <w:numFmt w:val="lowerLetter"/>
      <w:lvlText w:val="%8."/>
      <w:lvlJc w:val="left"/>
      <w:pPr>
        <w:ind w:left="5749" w:hanging="360"/>
      </w:pPr>
    </w:lvl>
    <w:lvl w:ilvl="8" w:tplc="2C0A001B" w:tentative="1">
      <w:start w:val="1"/>
      <w:numFmt w:val="lowerRoman"/>
      <w:lvlText w:val="%9."/>
      <w:lvlJc w:val="right"/>
      <w:pPr>
        <w:ind w:left="6469" w:hanging="180"/>
      </w:pPr>
    </w:lvl>
  </w:abstractNum>
  <w:abstractNum w:abstractNumId="67" w15:restartNumberingAfterBreak="0">
    <w:nsid w:val="42C71EFE"/>
    <w:multiLevelType w:val="hybridMultilevel"/>
    <w:tmpl w:val="343AF398"/>
    <w:lvl w:ilvl="0" w:tplc="1108A66E">
      <w:start w:val="1"/>
      <w:numFmt w:val="upperRoman"/>
      <w:lvlText w:val="%1)"/>
      <w:lvlJc w:val="left"/>
      <w:pPr>
        <w:ind w:left="1080" w:hanging="72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8" w15:restartNumberingAfterBreak="0">
    <w:nsid w:val="438A4CE5"/>
    <w:multiLevelType w:val="hybridMultilevel"/>
    <w:tmpl w:val="1EB0A7CE"/>
    <w:lvl w:ilvl="0" w:tplc="392CBB4A">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46660B24"/>
    <w:multiLevelType w:val="hybridMultilevel"/>
    <w:tmpl w:val="ACEEC676"/>
    <w:lvl w:ilvl="0" w:tplc="9FE454AC">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15:restartNumberingAfterBreak="0">
    <w:nsid w:val="46B8363C"/>
    <w:multiLevelType w:val="hybridMultilevel"/>
    <w:tmpl w:val="DD1C12AE"/>
    <w:lvl w:ilvl="0" w:tplc="8286F37C">
      <w:start w:val="1"/>
      <w:numFmt w:val="lowerLetter"/>
      <w:lvlText w:val="(%1)"/>
      <w:lvlJc w:val="left"/>
      <w:pPr>
        <w:ind w:left="360" w:hanging="360"/>
      </w:pPr>
      <w:rPr>
        <w:rFonts w:hint="default"/>
        <w:b/>
        <w:i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1" w15:restartNumberingAfterBreak="0">
    <w:nsid w:val="471115EE"/>
    <w:multiLevelType w:val="hybridMultilevel"/>
    <w:tmpl w:val="147C5E66"/>
    <w:lvl w:ilvl="0" w:tplc="2C0A000D">
      <w:start w:val="1"/>
      <w:numFmt w:val="bullet"/>
      <w:lvlText w:val=""/>
      <w:lvlJc w:val="left"/>
      <w:pPr>
        <w:ind w:left="644"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A7D4F502">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BFE377A">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04A68B6">
      <w:start w:val="1"/>
      <w:numFmt w:val="bullet"/>
      <w:lvlText w:val="•"/>
      <w:lvlJc w:val="left"/>
      <w:pPr>
        <w:ind w:left="2804"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4728446">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DEAFA4">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C36ED5A">
      <w:start w:val="1"/>
      <w:numFmt w:val="bullet"/>
      <w:lvlText w:val="•"/>
      <w:lvlJc w:val="left"/>
      <w:pPr>
        <w:ind w:left="4964"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5F8934A">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C16B962">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2" w15:restartNumberingAfterBreak="0">
    <w:nsid w:val="47221DD2"/>
    <w:multiLevelType w:val="hybridMultilevel"/>
    <w:tmpl w:val="CA08337C"/>
    <w:lvl w:ilvl="0" w:tplc="06C870B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3" w15:restartNumberingAfterBreak="0">
    <w:nsid w:val="47A41F2F"/>
    <w:multiLevelType w:val="hybridMultilevel"/>
    <w:tmpl w:val="1A269F0E"/>
    <w:lvl w:ilvl="0" w:tplc="2C0A000D">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4" w15:restartNumberingAfterBreak="0">
    <w:nsid w:val="484707EE"/>
    <w:multiLevelType w:val="hybridMultilevel"/>
    <w:tmpl w:val="C404782E"/>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5" w15:restartNumberingAfterBreak="0">
    <w:nsid w:val="49365D26"/>
    <w:multiLevelType w:val="hybridMultilevel"/>
    <w:tmpl w:val="AC3AE36A"/>
    <w:styleLink w:val="Estiloimportado162"/>
    <w:lvl w:ilvl="0" w:tplc="E460C2BA">
      <w:start w:val="1"/>
      <w:numFmt w:val="bullet"/>
      <w:lvlText w:val="•"/>
      <w:lvlJc w:val="left"/>
      <w:pPr>
        <w:tabs>
          <w:tab w:val="left" w:pos="14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E804E0">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1B6CB54">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AA3D28">
      <w:start w:val="1"/>
      <w:numFmt w:val="bullet"/>
      <w:lvlText w:val="✓"/>
      <w:lvlJc w:val="left"/>
      <w:pPr>
        <w:tabs>
          <w:tab w:val="left" w:pos="142"/>
        </w:tabs>
        <w:ind w:left="170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74D0BBEC">
      <w:start w:val="1"/>
      <w:numFmt w:val="bullet"/>
      <w:lvlText w:val="o"/>
      <w:lvlJc w:val="left"/>
      <w:pPr>
        <w:tabs>
          <w:tab w:val="left" w:pos="142"/>
        </w:tabs>
        <w:ind w:left="242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EB6CE60">
      <w:start w:val="1"/>
      <w:numFmt w:val="bullet"/>
      <w:lvlText w:val="▪"/>
      <w:lvlJc w:val="left"/>
      <w:pPr>
        <w:tabs>
          <w:tab w:val="left" w:pos="142"/>
        </w:tabs>
        <w:ind w:left="314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4E02F70">
      <w:start w:val="1"/>
      <w:numFmt w:val="bullet"/>
      <w:lvlText w:val="•"/>
      <w:lvlJc w:val="left"/>
      <w:pPr>
        <w:tabs>
          <w:tab w:val="left" w:pos="142"/>
        </w:tabs>
        <w:ind w:left="386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2B48AD02">
      <w:start w:val="1"/>
      <w:numFmt w:val="bullet"/>
      <w:lvlText w:val="o"/>
      <w:lvlJc w:val="left"/>
      <w:pPr>
        <w:tabs>
          <w:tab w:val="left" w:pos="142"/>
        </w:tabs>
        <w:ind w:left="458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C280298">
      <w:start w:val="1"/>
      <w:numFmt w:val="bullet"/>
      <w:lvlText w:val="▪"/>
      <w:lvlJc w:val="left"/>
      <w:pPr>
        <w:tabs>
          <w:tab w:val="left" w:pos="142"/>
        </w:tabs>
        <w:ind w:left="530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4E265EEC"/>
    <w:multiLevelType w:val="hybridMultilevel"/>
    <w:tmpl w:val="871CD930"/>
    <w:lvl w:ilvl="0" w:tplc="98FC669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7" w15:restartNumberingAfterBreak="0">
    <w:nsid w:val="4F6A5CEE"/>
    <w:multiLevelType w:val="hybridMultilevel"/>
    <w:tmpl w:val="9B988694"/>
    <w:lvl w:ilvl="0" w:tplc="2C0A0019">
      <w:start w:val="1"/>
      <w:numFmt w:val="bullet"/>
      <w:lvlText w:val="-"/>
      <w:lvlJc w:val="left"/>
      <w:pPr>
        <w:ind w:left="720" w:hanging="360"/>
      </w:p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15:restartNumberingAfterBreak="0">
    <w:nsid w:val="4F7F05B7"/>
    <w:multiLevelType w:val="hybridMultilevel"/>
    <w:tmpl w:val="25045C62"/>
    <w:lvl w:ilvl="0" w:tplc="9EB4F62C">
      <w:start w:val="1"/>
      <w:numFmt w:val="lowerLetter"/>
      <w:lvlText w:val="(%1)"/>
      <w:lvlJc w:val="left"/>
      <w:pPr>
        <w:ind w:left="360" w:hanging="360"/>
      </w:pPr>
      <w:rPr>
        <w:rFonts w:hint="default"/>
        <w:b/>
        <w:i w:val="0"/>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15:restartNumberingAfterBreak="0">
    <w:nsid w:val="4FFC4F08"/>
    <w:multiLevelType w:val="hybridMultilevel"/>
    <w:tmpl w:val="D48A67E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52F3791D"/>
    <w:multiLevelType w:val="hybridMultilevel"/>
    <w:tmpl w:val="6262BD28"/>
    <w:numStyleLink w:val="Estiloimportado132"/>
  </w:abstractNum>
  <w:abstractNum w:abstractNumId="81" w15:restartNumberingAfterBreak="0">
    <w:nsid w:val="539E0F20"/>
    <w:multiLevelType w:val="hybridMultilevel"/>
    <w:tmpl w:val="5552BE38"/>
    <w:numStyleLink w:val="Estiloimportado113"/>
  </w:abstractNum>
  <w:abstractNum w:abstractNumId="82" w15:restartNumberingAfterBreak="0">
    <w:nsid w:val="57953F3A"/>
    <w:multiLevelType w:val="hybridMultilevel"/>
    <w:tmpl w:val="65A85DD0"/>
    <w:lvl w:ilvl="0" w:tplc="34EEFEC4">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B8051F"/>
    <w:multiLevelType w:val="hybridMultilevel"/>
    <w:tmpl w:val="59FCA2C6"/>
    <w:lvl w:ilvl="0" w:tplc="2C0A000D">
      <w:start w:val="1"/>
      <w:numFmt w:val="bullet"/>
      <w:lvlText w:val=""/>
      <w:lvlJc w:val="left"/>
      <w:pPr>
        <w:tabs>
          <w:tab w:val="left" w:pos="142"/>
        </w:tabs>
        <w:ind w:left="1146"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DFE26CAC">
      <w:start w:val="1"/>
      <w:numFmt w:val="bullet"/>
      <w:lvlText w:val="o"/>
      <w:lvlJc w:val="left"/>
      <w:pPr>
        <w:tabs>
          <w:tab w:val="left" w:pos="142"/>
        </w:tabs>
        <w:ind w:left="18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292A274">
      <w:start w:val="1"/>
      <w:numFmt w:val="bullet"/>
      <w:lvlText w:val="▪"/>
      <w:lvlJc w:val="left"/>
      <w:pPr>
        <w:tabs>
          <w:tab w:val="left" w:pos="142"/>
        </w:tabs>
        <w:ind w:left="25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D987A54">
      <w:start w:val="1"/>
      <w:numFmt w:val="bullet"/>
      <w:lvlText w:val="•"/>
      <w:lvlJc w:val="left"/>
      <w:pPr>
        <w:tabs>
          <w:tab w:val="left" w:pos="142"/>
        </w:tabs>
        <w:ind w:left="33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7F2DD6A">
      <w:start w:val="1"/>
      <w:numFmt w:val="bullet"/>
      <w:lvlText w:val="o"/>
      <w:lvlJc w:val="left"/>
      <w:pPr>
        <w:tabs>
          <w:tab w:val="left" w:pos="142"/>
        </w:tabs>
        <w:ind w:left="40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1EAABCA">
      <w:start w:val="1"/>
      <w:numFmt w:val="bullet"/>
      <w:lvlText w:val="▪"/>
      <w:lvlJc w:val="left"/>
      <w:pPr>
        <w:tabs>
          <w:tab w:val="left" w:pos="142"/>
        </w:tabs>
        <w:ind w:left="47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0026C48">
      <w:start w:val="1"/>
      <w:numFmt w:val="bullet"/>
      <w:lvlText w:val="•"/>
      <w:lvlJc w:val="left"/>
      <w:pPr>
        <w:tabs>
          <w:tab w:val="left" w:pos="142"/>
        </w:tabs>
        <w:ind w:left="546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D2E5EFA">
      <w:start w:val="1"/>
      <w:numFmt w:val="bullet"/>
      <w:lvlText w:val="o"/>
      <w:lvlJc w:val="left"/>
      <w:pPr>
        <w:tabs>
          <w:tab w:val="left" w:pos="142"/>
        </w:tabs>
        <w:ind w:left="61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FB8CD2E">
      <w:start w:val="1"/>
      <w:numFmt w:val="bullet"/>
      <w:lvlText w:val="▪"/>
      <w:lvlJc w:val="left"/>
      <w:pPr>
        <w:tabs>
          <w:tab w:val="left" w:pos="142"/>
        </w:tabs>
        <w:ind w:left="69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4" w15:restartNumberingAfterBreak="0">
    <w:nsid w:val="589100CB"/>
    <w:multiLevelType w:val="hybridMultilevel"/>
    <w:tmpl w:val="18B671AA"/>
    <w:lvl w:ilvl="0" w:tplc="2C0A000D">
      <w:start w:val="1"/>
      <w:numFmt w:val="bullet"/>
      <w:lvlText w:val=""/>
      <w:lvlJc w:val="left"/>
      <w:pPr>
        <w:ind w:left="1005" w:hanging="360"/>
      </w:pPr>
      <w:rPr>
        <w:rFonts w:ascii="Wingdings" w:hAnsi="Wingdings" w:hint="default"/>
      </w:rPr>
    </w:lvl>
    <w:lvl w:ilvl="1" w:tplc="2C0A0003" w:tentative="1">
      <w:start w:val="1"/>
      <w:numFmt w:val="bullet"/>
      <w:lvlText w:val="o"/>
      <w:lvlJc w:val="left"/>
      <w:pPr>
        <w:ind w:left="1725" w:hanging="360"/>
      </w:pPr>
      <w:rPr>
        <w:rFonts w:ascii="Courier New" w:hAnsi="Courier New" w:cs="Courier New" w:hint="default"/>
      </w:rPr>
    </w:lvl>
    <w:lvl w:ilvl="2" w:tplc="2C0A0005" w:tentative="1">
      <w:start w:val="1"/>
      <w:numFmt w:val="bullet"/>
      <w:lvlText w:val=""/>
      <w:lvlJc w:val="left"/>
      <w:pPr>
        <w:ind w:left="2445" w:hanging="360"/>
      </w:pPr>
      <w:rPr>
        <w:rFonts w:ascii="Wingdings" w:hAnsi="Wingdings" w:hint="default"/>
      </w:rPr>
    </w:lvl>
    <w:lvl w:ilvl="3" w:tplc="2C0A0001" w:tentative="1">
      <w:start w:val="1"/>
      <w:numFmt w:val="bullet"/>
      <w:lvlText w:val=""/>
      <w:lvlJc w:val="left"/>
      <w:pPr>
        <w:ind w:left="3165" w:hanging="360"/>
      </w:pPr>
      <w:rPr>
        <w:rFonts w:ascii="Symbol" w:hAnsi="Symbol" w:hint="default"/>
      </w:rPr>
    </w:lvl>
    <w:lvl w:ilvl="4" w:tplc="2C0A0003" w:tentative="1">
      <w:start w:val="1"/>
      <w:numFmt w:val="bullet"/>
      <w:lvlText w:val="o"/>
      <w:lvlJc w:val="left"/>
      <w:pPr>
        <w:ind w:left="3885" w:hanging="360"/>
      </w:pPr>
      <w:rPr>
        <w:rFonts w:ascii="Courier New" w:hAnsi="Courier New" w:cs="Courier New" w:hint="default"/>
      </w:rPr>
    </w:lvl>
    <w:lvl w:ilvl="5" w:tplc="2C0A0005" w:tentative="1">
      <w:start w:val="1"/>
      <w:numFmt w:val="bullet"/>
      <w:lvlText w:val=""/>
      <w:lvlJc w:val="left"/>
      <w:pPr>
        <w:ind w:left="4605" w:hanging="360"/>
      </w:pPr>
      <w:rPr>
        <w:rFonts w:ascii="Wingdings" w:hAnsi="Wingdings" w:hint="default"/>
      </w:rPr>
    </w:lvl>
    <w:lvl w:ilvl="6" w:tplc="2C0A0001" w:tentative="1">
      <w:start w:val="1"/>
      <w:numFmt w:val="bullet"/>
      <w:lvlText w:val=""/>
      <w:lvlJc w:val="left"/>
      <w:pPr>
        <w:ind w:left="5325" w:hanging="360"/>
      </w:pPr>
      <w:rPr>
        <w:rFonts w:ascii="Symbol" w:hAnsi="Symbol" w:hint="default"/>
      </w:rPr>
    </w:lvl>
    <w:lvl w:ilvl="7" w:tplc="2C0A0003" w:tentative="1">
      <w:start w:val="1"/>
      <w:numFmt w:val="bullet"/>
      <w:lvlText w:val="o"/>
      <w:lvlJc w:val="left"/>
      <w:pPr>
        <w:ind w:left="6045" w:hanging="360"/>
      </w:pPr>
      <w:rPr>
        <w:rFonts w:ascii="Courier New" w:hAnsi="Courier New" w:cs="Courier New" w:hint="default"/>
      </w:rPr>
    </w:lvl>
    <w:lvl w:ilvl="8" w:tplc="2C0A0005" w:tentative="1">
      <w:start w:val="1"/>
      <w:numFmt w:val="bullet"/>
      <w:lvlText w:val=""/>
      <w:lvlJc w:val="left"/>
      <w:pPr>
        <w:ind w:left="6765" w:hanging="360"/>
      </w:pPr>
      <w:rPr>
        <w:rFonts w:ascii="Wingdings" w:hAnsi="Wingdings" w:hint="default"/>
      </w:rPr>
    </w:lvl>
  </w:abstractNum>
  <w:abstractNum w:abstractNumId="85" w15:restartNumberingAfterBreak="0">
    <w:nsid w:val="5A4601AF"/>
    <w:multiLevelType w:val="hybridMultilevel"/>
    <w:tmpl w:val="8656F220"/>
    <w:styleLink w:val="Estiloimportado52"/>
    <w:lvl w:ilvl="0" w:tplc="51CA3D5C">
      <w:start w:val="1"/>
      <w:numFmt w:val="bullet"/>
      <w:lvlText w:val="•"/>
      <w:lvlJc w:val="left"/>
      <w:pPr>
        <w:ind w:left="6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5F85F40">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EA2E36">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4364B52">
      <w:start w:val="1"/>
      <w:numFmt w:val="bullet"/>
      <w:lvlText w:val="•"/>
      <w:lvlJc w:val="left"/>
      <w:pPr>
        <w:ind w:left="28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E679EE">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B78EA50">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77CAFCE">
      <w:start w:val="1"/>
      <w:numFmt w:val="bullet"/>
      <w:lvlText w:val="•"/>
      <w:lvlJc w:val="left"/>
      <w:pPr>
        <w:ind w:left="496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60643A">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82CA1A">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5A5F341C"/>
    <w:multiLevelType w:val="hybridMultilevel"/>
    <w:tmpl w:val="3684C6F8"/>
    <w:lvl w:ilvl="0" w:tplc="2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B93726"/>
    <w:multiLevelType w:val="hybridMultilevel"/>
    <w:tmpl w:val="BCE66FB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15:restartNumberingAfterBreak="0">
    <w:nsid w:val="5BF6347D"/>
    <w:multiLevelType w:val="hybridMultilevel"/>
    <w:tmpl w:val="5F7CA782"/>
    <w:lvl w:ilvl="0" w:tplc="74E85474">
      <w:start w:val="180"/>
      <w:numFmt w:val="bullet"/>
      <w:lvlText w:val="-"/>
      <w:lvlJc w:val="left"/>
      <w:pPr>
        <w:ind w:left="720" w:hanging="360"/>
      </w:pPr>
      <w:rPr>
        <w:rFonts w:ascii="Georgia" w:eastAsiaTheme="minorHAnsi"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2118F4"/>
    <w:multiLevelType w:val="hybridMultilevel"/>
    <w:tmpl w:val="B80073B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0" w15:restartNumberingAfterBreak="0">
    <w:nsid w:val="5DCD40CE"/>
    <w:multiLevelType w:val="hybridMultilevel"/>
    <w:tmpl w:val="497A305A"/>
    <w:lvl w:ilvl="0" w:tplc="2C0A000D">
      <w:start w:val="1"/>
      <w:numFmt w:val="bullet"/>
      <w:lvlText w:val=""/>
      <w:lvlJc w:val="left"/>
      <w:pPr>
        <w:tabs>
          <w:tab w:val="left" w:pos="142"/>
          <w:tab w:val="num" w:pos="709"/>
          <w:tab w:val="left" w:pos="993"/>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2D00BAC6">
      <w:start w:val="1"/>
      <w:numFmt w:val="bullet"/>
      <w:lvlText w:val="o"/>
      <w:lvlJc w:val="left"/>
      <w:pPr>
        <w:tabs>
          <w:tab w:val="left" w:pos="142"/>
          <w:tab w:val="left" w:pos="709"/>
          <w:tab w:val="left" w:pos="993"/>
          <w:tab w:val="num" w:pos="1440"/>
        </w:tabs>
        <w:ind w:left="145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C464B278">
      <w:start w:val="1"/>
      <w:numFmt w:val="bullet"/>
      <w:lvlText w:val="▪"/>
      <w:lvlJc w:val="left"/>
      <w:pPr>
        <w:tabs>
          <w:tab w:val="left" w:pos="142"/>
          <w:tab w:val="left" w:pos="709"/>
          <w:tab w:val="left" w:pos="993"/>
          <w:tab w:val="num" w:pos="2160"/>
        </w:tabs>
        <w:ind w:left="217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4A1EF826">
      <w:start w:val="1"/>
      <w:numFmt w:val="bullet"/>
      <w:lvlText w:val="•"/>
      <w:lvlJc w:val="left"/>
      <w:pPr>
        <w:tabs>
          <w:tab w:val="left" w:pos="142"/>
          <w:tab w:val="left" w:pos="709"/>
          <w:tab w:val="left" w:pos="993"/>
          <w:tab w:val="num" w:pos="2880"/>
        </w:tabs>
        <w:ind w:left="289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531CDB2A">
      <w:start w:val="1"/>
      <w:numFmt w:val="bullet"/>
      <w:lvlText w:val="o"/>
      <w:lvlJc w:val="left"/>
      <w:pPr>
        <w:tabs>
          <w:tab w:val="left" w:pos="142"/>
          <w:tab w:val="left" w:pos="709"/>
          <w:tab w:val="left" w:pos="993"/>
          <w:tab w:val="num" w:pos="3600"/>
        </w:tabs>
        <w:ind w:left="361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9152716A">
      <w:start w:val="1"/>
      <w:numFmt w:val="bullet"/>
      <w:lvlText w:val="▪"/>
      <w:lvlJc w:val="left"/>
      <w:pPr>
        <w:tabs>
          <w:tab w:val="left" w:pos="142"/>
          <w:tab w:val="left" w:pos="709"/>
          <w:tab w:val="left" w:pos="993"/>
          <w:tab w:val="num" w:pos="4320"/>
        </w:tabs>
        <w:ind w:left="433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811206E2">
      <w:start w:val="1"/>
      <w:numFmt w:val="bullet"/>
      <w:lvlText w:val="•"/>
      <w:lvlJc w:val="left"/>
      <w:pPr>
        <w:tabs>
          <w:tab w:val="left" w:pos="142"/>
          <w:tab w:val="left" w:pos="709"/>
          <w:tab w:val="left" w:pos="993"/>
          <w:tab w:val="num" w:pos="5040"/>
        </w:tabs>
        <w:ind w:left="505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6BDC3E08">
      <w:start w:val="1"/>
      <w:numFmt w:val="bullet"/>
      <w:lvlText w:val="o"/>
      <w:lvlJc w:val="left"/>
      <w:pPr>
        <w:tabs>
          <w:tab w:val="left" w:pos="142"/>
          <w:tab w:val="left" w:pos="709"/>
          <w:tab w:val="left" w:pos="993"/>
          <w:tab w:val="num" w:pos="5760"/>
        </w:tabs>
        <w:ind w:left="577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32647D4A">
      <w:start w:val="1"/>
      <w:numFmt w:val="bullet"/>
      <w:lvlText w:val="▪"/>
      <w:lvlJc w:val="left"/>
      <w:pPr>
        <w:tabs>
          <w:tab w:val="left" w:pos="142"/>
          <w:tab w:val="left" w:pos="709"/>
          <w:tab w:val="left" w:pos="993"/>
          <w:tab w:val="num" w:pos="6480"/>
        </w:tabs>
        <w:ind w:left="6491" w:hanging="371"/>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91" w15:restartNumberingAfterBreak="0">
    <w:nsid w:val="5FD41985"/>
    <w:multiLevelType w:val="hybridMultilevel"/>
    <w:tmpl w:val="8D9C3C9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2" w15:restartNumberingAfterBreak="0">
    <w:nsid w:val="60CF3F28"/>
    <w:multiLevelType w:val="hybridMultilevel"/>
    <w:tmpl w:val="53960978"/>
    <w:styleLink w:val="Estiloimportado2032"/>
    <w:lvl w:ilvl="0" w:tplc="BF443B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3423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E88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02C77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CAB2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46CC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5CDA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08F7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62F8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15:restartNumberingAfterBreak="0">
    <w:nsid w:val="622F68BF"/>
    <w:multiLevelType w:val="hybridMultilevel"/>
    <w:tmpl w:val="46EE8838"/>
    <w:styleLink w:val="Estiloimportado122"/>
    <w:lvl w:ilvl="0" w:tplc="47842628">
      <w:start w:val="1"/>
      <w:numFmt w:val="lowerLetter"/>
      <w:lvlText w:val="%1."/>
      <w:lvlJc w:val="left"/>
      <w:pPr>
        <w:ind w:left="1834" w:hanging="360"/>
      </w:pPr>
      <w:rPr>
        <w:rFonts w:hAnsi="Arial Unicode MS"/>
        <w:caps w:val="0"/>
        <w:smallCaps w:val="0"/>
        <w:strike w:val="0"/>
        <w:dstrike w:val="0"/>
        <w:color w:val="000000"/>
        <w:spacing w:val="0"/>
        <w:w w:val="100"/>
        <w:kern w:val="0"/>
        <w:position w:val="0"/>
        <w:highlight w:val="none"/>
        <w:vertAlign w:val="baseline"/>
      </w:rPr>
    </w:lvl>
    <w:lvl w:ilvl="1" w:tplc="321CC0F6">
      <w:start w:val="1"/>
      <w:numFmt w:val="lowerLetter"/>
      <w:lvlText w:val="%2."/>
      <w:lvlJc w:val="left"/>
      <w:pPr>
        <w:ind w:left="2554" w:hanging="360"/>
      </w:pPr>
      <w:rPr>
        <w:rFonts w:hAnsi="Arial Unicode MS"/>
        <w:caps w:val="0"/>
        <w:smallCaps w:val="0"/>
        <w:strike w:val="0"/>
        <w:dstrike w:val="0"/>
        <w:color w:val="000000"/>
        <w:spacing w:val="0"/>
        <w:w w:val="100"/>
        <w:kern w:val="0"/>
        <w:position w:val="0"/>
        <w:highlight w:val="none"/>
        <w:vertAlign w:val="baseline"/>
      </w:rPr>
    </w:lvl>
    <w:lvl w:ilvl="2" w:tplc="251877B6">
      <w:start w:val="1"/>
      <w:numFmt w:val="lowerRoman"/>
      <w:lvlText w:val="%3."/>
      <w:lvlJc w:val="left"/>
      <w:pPr>
        <w:ind w:left="3274" w:hanging="275"/>
      </w:pPr>
      <w:rPr>
        <w:rFonts w:hAnsi="Arial Unicode MS"/>
        <w:caps w:val="0"/>
        <w:smallCaps w:val="0"/>
        <w:strike w:val="0"/>
        <w:dstrike w:val="0"/>
        <w:color w:val="000000"/>
        <w:spacing w:val="0"/>
        <w:w w:val="100"/>
        <w:kern w:val="0"/>
        <w:position w:val="0"/>
        <w:highlight w:val="none"/>
        <w:vertAlign w:val="baseline"/>
      </w:rPr>
    </w:lvl>
    <w:lvl w:ilvl="3" w:tplc="1986A35C">
      <w:start w:val="1"/>
      <w:numFmt w:val="decimal"/>
      <w:lvlText w:val="%4."/>
      <w:lvlJc w:val="left"/>
      <w:pPr>
        <w:ind w:left="3994" w:hanging="360"/>
      </w:pPr>
      <w:rPr>
        <w:rFonts w:hAnsi="Arial Unicode MS"/>
        <w:caps w:val="0"/>
        <w:smallCaps w:val="0"/>
        <w:strike w:val="0"/>
        <w:dstrike w:val="0"/>
        <w:color w:val="000000"/>
        <w:spacing w:val="0"/>
        <w:w w:val="100"/>
        <w:kern w:val="0"/>
        <w:position w:val="0"/>
        <w:highlight w:val="none"/>
        <w:vertAlign w:val="baseline"/>
      </w:rPr>
    </w:lvl>
    <w:lvl w:ilvl="4" w:tplc="717AF8E6">
      <w:start w:val="1"/>
      <w:numFmt w:val="lowerLetter"/>
      <w:lvlText w:val="%5."/>
      <w:lvlJc w:val="left"/>
      <w:pPr>
        <w:ind w:left="4714" w:hanging="360"/>
      </w:pPr>
      <w:rPr>
        <w:rFonts w:hAnsi="Arial Unicode MS"/>
        <w:caps w:val="0"/>
        <w:smallCaps w:val="0"/>
        <w:strike w:val="0"/>
        <w:dstrike w:val="0"/>
        <w:color w:val="000000"/>
        <w:spacing w:val="0"/>
        <w:w w:val="100"/>
        <w:kern w:val="0"/>
        <w:position w:val="0"/>
        <w:highlight w:val="none"/>
        <w:vertAlign w:val="baseline"/>
      </w:rPr>
    </w:lvl>
    <w:lvl w:ilvl="5" w:tplc="322AD582">
      <w:start w:val="1"/>
      <w:numFmt w:val="lowerRoman"/>
      <w:lvlText w:val="%6."/>
      <w:lvlJc w:val="left"/>
      <w:pPr>
        <w:ind w:left="5434" w:hanging="275"/>
      </w:pPr>
      <w:rPr>
        <w:rFonts w:hAnsi="Arial Unicode MS"/>
        <w:caps w:val="0"/>
        <w:smallCaps w:val="0"/>
        <w:strike w:val="0"/>
        <w:dstrike w:val="0"/>
        <w:color w:val="000000"/>
        <w:spacing w:val="0"/>
        <w:w w:val="100"/>
        <w:kern w:val="0"/>
        <w:position w:val="0"/>
        <w:highlight w:val="none"/>
        <w:vertAlign w:val="baseline"/>
      </w:rPr>
    </w:lvl>
    <w:lvl w:ilvl="6" w:tplc="94064F8E">
      <w:start w:val="1"/>
      <w:numFmt w:val="decimal"/>
      <w:lvlText w:val="%7."/>
      <w:lvlJc w:val="left"/>
      <w:pPr>
        <w:ind w:left="6154" w:hanging="360"/>
      </w:pPr>
      <w:rPr>
        <w:rFonts w:hAnsi="Arial Unicode MS"/>
        <w:caps w:val="0"/>
        <w:smallCaps w:val="0"/>
        <w:strike w:val="0"/>
        <w:dstrike w:val="0"/>
        <w:color w:val="000000"/>
        <w:spacing w:val="0"/>
        <w:w w:val="100"/>
        <w:kern w:val="0"/>
        <w:position w:val="0"/>
        <w:highlight w:val="none"/>
        <w:vertAlign w:val="baseline"/>
      </w:rPr>
    </w:lvl>
    <w:lvl w:ilvl="7" w:tplc="7C5C499A">
      <w:start w:val="1"/>
      <w:numFmt w:val="lowerLetter"/>
      <w:lvlText w:val="%8."/>
      <w:lvlJc w:val="left"/>
      <w:pPr>
        <w:ind w:left="6874" w:hanging="360"/>
      </w:pPr>
      <w:rPr>
        <w:rFonts w:hAnsi="Arial Unicode MS"/>
        <w:caps w:val="0"/>
        <w:smallCaps w:val="0"/>
        <w:strike w:val="0"/>
        <w:dstrike w:val="0"/>
        <w:color w:val="000000"/>
        <w:spacing w:val="0"/>
        <w:w w:val="100"/>
        <w:kern w:val="0"/>
        <w:position w:val="0"/>
        <w:highlight w:val="none"/>
        <w:vertAlign w:val="baseline"/>
      </w:rPr>
    </w:lvl>
    <w:lvl w:ilvl="8" w:tplc="237CCB60">
      <w:start w:val="1"/>
      <w:numFmt w:val="lowerRoman"/>
      <w:lvlText w:val="%9."/>
      <w:lvlJc w:val="left"/>
      <w:pPr>
        <w:ind w:left="7594" w:hanging="275"/>
      </w:pPr>
      <w:rPr>
        <w:rFonts w:hAnsi="Arial Unicode MS"/>
        <w:caps w:val="0"/>
        <w:smallCaps w:val="0"/>
        <w:strike w:val="0"/>
        <w:dstrike w:val="0"/>
        <w:color w:val="000000"/>
        <w:spacing w:val="0"/>
        <w:w w:val="100"/>
        <w:kern w:val="0"/>
        <w:position w:val="0"/>
        <w:highlight w:val="none"/>
        <w:vertAlign w:val="baseline"/>
      </w:rPr>
    </w:lvl>
  </w:abstractNum>
  <w:abstractNum w:abstractNumId="94" w15:restartNumberingAfterBreak="0">
    <w:nsid w:val="64850C35"/>
    <w:multiLevelType w:val="hybridMultilevel"/>
    <w:tmpl w:val="2292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1B0734"/>
    <w:multiLevelType w:val="hybridMultilevel"/>
    <w:tmpl w:val="19702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63B3148"/>
    <w:multiLevelType w:val="hybridMultilevel"/>
    <w:tmpl w:val="325C6A78"/>
    <w:lvl w:ilvl="0" w:tplc="E94C96C2">
      <w:start w:val="14"/>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97" w15:restartNumberingAfterBreak="0">
    <w:nsid w:val="675A42CE"/>
    <w:multiLevelType w:val="hybridMultilevel"/>
    <w:tmpl w:val="8ED27E9A"/>
    <w:lvl w:ilvl="0" w:tplc="FFFFFFFF">
      <w:start w:val="7"/>
      <w:numFmt w:val="bullet"/>
      <w:pStyle w:val="PrimerNivel"/>
      <w:lvlText w:val="-"/>
      <w:lvlJc w:val="left"/>
      <w:pPr>
        <w:ind w:left="2520" w:hanging="360"/>
      </w:pPr>
      <w:rPr>
        <w:rFonts w:ascii="Calibri" w:eastAsia="Calibri" w:hAnsi="Calibri" w:cs="Calibri"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98" w15:restartNumberingAfterBreak="0">
    <w:nsid w:val="68A83E9C"/>
    <w:multiLevelType w:val="hybridMultilevel"/>
    <w:tmpl w:val="86A84BC2"/>
    <w:lvl w:ilvl="0" w:tplc="30E645D2">
      <w:start w:val="1"/>
      <w:numFmt w:val="lowerLetter"/>
      <w:lvlText w:val="%1)"/>
      <w:lvlJc w:val="left"/>
      <w:pPr>
        <w:ind w:left="993" w:hanging="360"/>
      </w:pPr>
      <w:rPr>
        <w:rFonts w:ascii="Arial" w:eastAsia="Times New Roman" w:hAnsi="Arial" w:cs="Arial" w:hint="default"/>
      </w:rPr>
    </w:lvl>
    <w:lvl w:ilvl="1" w:tplc="2C0A0019">
      <w:start w:val="1"/>
      <w:numFmt w:val="lowerLetter"/>
      <w:lvlText w:val="%2."/>
      <w:lvlJc w:val="left"/>
      <w:pPr>
        <w:ind w:left="1713" w:hanging="360"/>
      </w:pPr>
      <w:rPr>
        <w:rFonts w:ascii="Times New Roman" w:hAnsi="Times New Roman" w:cs="Times New Roman"/>
      </w:rPr>
    </w:lvl>
    <w:lvl w:ilvl="2" w:tplc="2C0A001B">
      <w:start w:val="1"/>
      <w:numFmt w:val="lowerRoman"/>
      <w:lvlText w:val="%3."/>
      <w:lvlJc w:val="right"/>
      <w:pPr>
        <w:ind w:left="2433" w:hanging="180"/>
      </w:pPr>
      <w:rPr>
        <w:rFonts w:ascii="Times New Roman" w:hAnsi="Times New Roman" w:cs="Times New Roman"/>
      </w:rPr>
    </w:lvl>
    <w:lvl w:ilvl="3" w:tplc="C972D7B2">
      <w:start w:val="1"/>
      <w:numFmt w:val="decimal"/>
      <w:lvlText w:val="%4."/>
      <w:lvlJc w:val="left"/>
      <w:pPr>
        <w:ind w:left="3153" w:hanging="360"/>
      </w:pPr>
      <w:rPr>
        <w:rFonts w:ascii="Arial" w:hAnsi="Arial" w:cs="Arial" w:hint="default"/>
        <w:sz w:val="20"/>
        <w:szCs w:val="20"/>
      </w:rPr>
    </w:lvl>
    <w:lvl w:ilvl="4" w:tplc="2C0A0019">
      <w:start w:val="1"/>
      <w:numFmt w:val="lowerLetter"/>
      <w:lvlText w:val="%5."/>
      <w:lvlJc w:val="left"/>
      <w:pPr>
        <w:ind w:left="3873" w:hanging="360"/>
      </w:pPr>
      <w:rPr>
        <w:rFonts w:ascii="Times New Roman" w:hAnsi="Times New Roman" w:cs="Times New Roman"/>
      </w:rPr>
    </w:lvl>
    <w:lvl w:ilvl="5" w:tplc="2C0A001B">
      <w:start w:val="1"/>
      <w:numFmt w:val="lowerRoman"/>
      <w:lvlText w:val="%6."/>
      <w:lvlJc w:val="right"/>
      <w:pPr>
        <w:ind w:left="4593" w:hanging="180"/>
      </w:pPr>
      <w:rPr>
        <w:rFonts w:ascii="Times New Roman" w:hAnsi="Times New Roman" w:cs="Times New Roman"/>
      </w:rPr>
    </w:lvl>
    <w:lvl w:ilvl="6" w:tplc="2C0A000F">
      <w:start w:val="1"/>
      <w:numFmt w:val="decimal"/>
      <w:lvlText w:val="%7."/>
      <w:lvlJc w:val="left"/>
      <w:pPr>
        <w:ind w:left="5313" w:hanging="360"/>
      </w:pPr>
      <w:rPr>
        <w:rFonts w:ascii="Times New Roman" w:hAnsi="Times New Roman" w:cs="Times New Roman"/>
      </w:rPr>
    </w:lvl>
    <w:lvl w:ilvl="7" w:tplc="2C0A0019">
      <w:start w:val="1"/>
      <w:numFmt w:val="lowerLetter"/>
      <w:lvlText w:val="%8."/>
      <w:lvlJc w:val="left"/>
      <w:pPr>
        <w:ind w:left="6033" w:hanging="360"/>
      </w:pPr>
      <w:rPr>
        <w:rFonts w:ascii="Times New Roman" w:hAnsi="Times New Roman" w:cs="Times New Roman"/>
      </w:rPr>
    </w:lvl>
    <w:lvl w:ilvl="8" w:tplc="2C0A001B">
      <w:start w:val="1"/>
      <w:numFmt w:val="lowerRoman"/>
      <w:lvlText w:val="%9."/>
      <w:lvlJc w:val="right"/>
      <w:pPr>
        <w:ind w:left="6753" w:hanging="180"/>
      </w:pPr>
      <w:rPr>
        <w:rFonts w:ascii="Times New Roman" w:hAnsi="Times New Roman" w:cs="Times New Roman"/>
      </w:rPr>
    </w:lvl>
  </w:abstractNum>
  <w:abstractNum w:abstractNumId="99" w15:restartNumberingAfterBreak="0">
    <w:nsid w:val="68EE3026"/>
    <w:multiLevelType w:val="hybridMultilevel"/>
    <w:tmpl w:val="B7107386"/>
    <w:styleLink w:val="Estiloimportado72"/>
    <w:lvl w:ilvl="0" w:tplc="4E4290FA">
      <w:start w:val="1"/>
      <w:numFmt w:val="lowerLetter"/>
      <w:lvlText w:val="%1."/>
      <w:lvlJc w:val="left"/>
      <w:pPr>
        <w:ind w:left="1418" w:hanging="284"/>
      </w:pPr>
      <w:rPr>
        <w:rFonts w:hAnsi="Arial Unicode MS"/>
        <w:caps w:val="0"/>
        <w:smallCaps w:val="0"/>
        <w:strike w:val="0"/>
        <w:dstrike w:val="0"/>
        <w:color w:val="000000"/>
        <w:spacing w:val="0"/>
        <w:w w:val="100"/>
        <w:kern w:val="0"/>
        <w:position w:val="0"/>
        <w:highlight w:val="none"/>
        <w:vertAlign w:val="baseline"/>
      </w:rPr>
    </w:lvl>
    <w:lvl w:ilvl="1" w:tplc="587057AA">
      <w:start w:val="1"/>
      <w:numFmt w:val="lowerLetter"/>
      <w:lvlText w:val="%2."/>
      <w:lvlJc w:val="left"/>
      <w:pPr>
        <w:ind w:left="286" w:hanging="284"/>
      </w:pPr>
      <w:rPr>
        <w:rFonts w:hAnsi="Arial Unicode MS"/>
        <w:caps w:val="0"/>
        <w:smallCaps w:val="0"/>
        <w:strike w:val="0"/>
        <w:dstrike w:val="0"/>
        <w:color w:val="000000"/>
        <w:spacing w:val="0"/>
        <w:w w:val="100"/>
        <w:kern w:val="0"/>
        <w:position w:val="0"/>
        <w:highlight w:val="none"/>
        <w:vertAlign w:val="baseline"/>
      </w:rPr>
    </w:lvl>
    <w:lvl w:ilvl="2" w:tplc="A11E7B4C">
      <w:start w:val="1"/>
      <w:numFmt w:val="lowerRoman"/>
      <w:lvlText w:val="%3."/>
      <w:lvlJc w:val="left"/>
      <w:pPr>
        <w:ind w:left="1006" w:hanging="199"/>
      </w:pPr>
      <w:rPr>
        <w:rFonts w:hAnsi="Arial Unicode MS"/>
        <w:caps w:val="0"/>
        <w:smallCaps w:val="0"/>
        <w:strike w:val="0"/>
        <w:dstrike w:val="0"/>
        <w:color w:val="000000"/>
        <w:spacing w:val="0"/>
        <w:w w:val="100"/>
        <w:kern w:val="0"/>
        <w:position w:val="0"/>
        <w:highlight w:val="none"/>
        <w:vertAlign w:val="baseline"/>
      </w:rPr>
    </w:lvl>
    <w:lvl w:ilvl="3" w:tplc="9566EAEC">
      <w:start w:val="1"/>
      <w:numFmt w:val="decimal"/>
      <w:lvlText w:val="%4."/>
      <w:lvlJc w:val="left"/>
      <w:pPr>
        <w:ind w:left="1726" w:hanging="284"/>
      </w:pPr>
      <w:rPr>
        <w:rFonts w:hAnsi="Arial Unicode MS"/>
        <w:caps w:val="0"/>
        <w:smallCaps w:val="0"/>
        <w:strike w:val="0"/>
        <w:dstrike w:val="0"/>
        <w:color w:val="000000"/>
        <w:spacing w:val="0"/>
        <w:w w:val="100"/>
        <w:kern w:val="0"/>
        <w:position w:val="0"/>
        <w:highlight w:val="none"/>
        <w:vertAlign w:val="baseline"/>
      </w:rPr>
    </w:lvl>
    <w:lvl w:ilvl="4" w:tplc="E738DC46">
      <w:start w:val="1"/>
      <w:numFmt w:val="lowerLetter"/>
      <w:lvlText w:val="%5."/>
      <w:lvlJc w:val="left"/>
      <w:pPr>
        <w:ind w:left="2446" w:hanging="284"/>
      </w:pPr>
      <w:rPr>
        <w:rFonts w:hAnsi="Arial Unicode MS"/>
        <w:caps w:val="0"/>
        <w:smallCaps w:val="0"/>
        <w:strike w:val="0"/>
        <w:dstrike w:val="0"/>
        <w:color w:val="000000"/>
        <w:spacing w:val="0"/>
        <w:w w:val="100"/>
        <w:kern w:val="0"/>
        <w:position w:val="0"/>
        <w:highlight w:val="none"/>
        <w:vertAlign w:val="baseline"/>
      </w:rPr>
    </w:lvl>
    <w:lvl w:ilvl="5" w:tplc="FCDC3110">
      <w:start w:val="1"/>
      <w:numFmt w:val="lowerRoman"/>
      <w:lvlText w:val="%6."/>
      <w:lvlJc w:val="left"/>
      <w:pPr>
        <w:ind w:left="3166" w:hanging="199"/>
      </w:pPr>
      <w:rPr>
        <w:rFonts w:hAnsi="Arial Unicode MS"/>
        <w:caps w:val="0"/>
        <w:smallCaps w:val="0"/>
        <w:strike w:val="0"/>
        <w:dstrike w:val="0"/>
        <w:color w:val="000000"/>
        <w:spacing w:val="0"/>
        <w:w w:val="100"/>
        <w:kern w:val="0"/>
        <w:position w:val="0"/>
        <w:highlight w:val="none"/>
        <w:vertAlign w:val="baseline"/>
      </w:rPr>
    </w:lvl>
    <w:lvl w:ilvl="6" w:tplc="8B1295FC">
      <w:start w:val="1"/>
      <w:numFmt w:val="decimal"/>
      <w:lvlText w:val="%7."/>
      <w:lvlJc w:val="left"/>
      <w:pPr>
        <w:ind w:left="3886" w:hanging="284"/>
      </w:pPr>
      <w:rPr>
        <w:rFonts w:hAnsi="Arial Unicode MS"/>
        <w:caps w:val="0"/>
        <w:smallCaps w:val="0"/>
        <w:strike w:val="0"/>
        <w:dstrike w:val="0"/>
        <w:color w:val="000000"/>
        <w:spacing w:val="0"/>
        <w:w w:val="100"/>
        <w:kern w:val="0"/>
        <w:position w:val="0"/>
        <w:highlight w:val="none"/>
        <w:vertAlign w:val="baseline"/>
      </w:rPr>
    </w:lvl>
    <w:lvl w:ilvl="7" w:tplc="55A03BF2">
      <w:start w:val="1"/>
      <w:numFmt w:val="lowerLetter"/>
      <w:lvlText w:val="%8."/>
      <w:lvlJc w:val="left"/>
      <w:pPr>
        <w:ind w:left="4606" w:hanging="284"/>
      </w:pPr>
      <w:rPr>
        <w:rFonts w:hAnsi="Arial Unicode MS"/>
        <w:caps w:val="0"/>
        <w:smallCaps w:val="0"/>
        <w:strike w:val="0"/>
        <w:dstrike w:val="0"/>
        <w:color w:val="000000"/>
        <w:spacing w:val="0"/>
        <w:w w:val="100"/>
        <w:kern w:val="0"/>
        <w:position w:val="0"/>
        <w:highlight w:val="none"/>
        <w:vertAlign w:val="baseline"/>
      </w:rPr>
    </w:lvl>
    <w:lvl w:ilvl="8" w:tplc="3E6ACAAA">
      <w:start w:val="1"/>
      <w:numFmt w:val="lowerRoman"/>
      <w:lvlText w:val="%9."/>
      <w:lvlJc w:val="left"/>
      <w:pPr>
        <w:ind w:left="5326" w:hanging="199"/>
      </w:pPr>
      <w:rPr>
        <w:rFonts w:hAnsi="Arial Unicode MS"/>
        <w:caps w:val="0"/>
        <w:smallCaps w:val="0"/>
        <w:strike w:val="0"/>
        <w:dstrike w:val="0"/>
        <w:color w:val="000000"/>
        <w:spacing w:val="0"/>
        <w:w w:val="100"/>
        <w:kern w:val="0"/>
        <w:position w:val="0"/>
        <w:highlight w:val="none"/>
        <w:vertAlign w:val="baseline"/>
      </w:rPr>
    </w:lvl>
  </w:abstractNum>
  <w:abstractNum w:abstractNumId="100" w15:restartNumberingAfterBreak="0">
    <w:nsid w:val="694413EB"/>
    <w:multiLevelType w:val="hybridMultilevel"/>
    <w:tmpl w:val="1EB0A7CE"/>
    <w:lvl w:ilvl="0" w:tplc="392CBB4A">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1" w15:restartNumberingAfterBreak="0">
    <w:nsid w:val="69791BB2"/>
    <w:multiLevelType w:val="hybridMultilevel"/>
    <w:tmpl w:val="5552BE38"/>
    <w:styleLink w:val="Estiloimportado113"/>
    <w:lvl w:ilvl="0" w:tplc="FCFAAF26">
      <w:start w:val="1"/>
      <w:numFmt w:val="lowerLetter"/>
      <w:lvlText w:val="%1."/>
      <w:lvlJc w:val="left"/>
      <w:pPr>
        <w:ind w:left="1854" w:hanging="360"/>
      </w:pPr>
      <w:rPr>
        <w:rFonts w:hAnsi="Arial Unicode MS"/>
        <w:caps w:val="0"/>
        <w:smallCaps w:val="0"/>
        <w:strike w:val="0"/>
        <w:dstrike w:val="0"/>
        <w:color w:val="000000"/>
        <w:spacing w:val="0"/>
        <w:w w:val="100"/>
        <w:kern w:val="0"/>
        <w:position w:val="0"/>
        <w:highlight w:val="none"/>
        <w:vertAlign w:val="baseline"/>
      </w:rPr>
    </w:lvl>
    <w:lvl w:ilvl="1" w:tplc="F8B037DA">
      <w:start w:val="1"/>
      <w:numFmt w:val="lowerLetter"/>
      <w:lvlText w:val="%2."/>
      <w:lvlJc w:val="left"/>
      <w:pPr>
        <w:ind w:left="2574" w:hanging="360"/>
      </w:pPr>
      <w:rPr>
        <w:rFonts w:hAnsi="Arial Unicode MS"/>
        <w:caps w:val="0"/>
        <w:smallCaps w:val="0"/>
        <w:strike w:val="0"/>
        <w:dstrike w:val="0"/>
        <w:color w:val="000000"/>
        <w:spacing w:val="0"/>
        <w:w w:val="100"/>
        <w:kern w:val="0"/>
        <w:position w:val="0"/>
        <w:highlight w:val="none"/>
        <w:vertAlign w:val="baseline"/>
      </w:rPr>
    </w:lvl>
    <w:lvl w:ilvl="2" w:tplc="2818A1B0">
      <w:start w:val="1"/>
      <w:numFmt w:val="lowerRoman"/>
      <w:lvlText w:val="%3."/>
      <w:lvlJc w:val="left"/>
      <w:pPr>
        <w:ind w:left="3294" w:hanging="275"/>
      </w:pPr>
      <w:rPr>
        <w:rFonts w:hAnsi="Arial Unicode MS"/>
        <w:caps w:val="0"/>
        <w:smallCaps w:val="0"/>
        <w:strike w:val="0"/>
        <w:dstrike w:val="0"/>
        <w:color w:val="000000"/>
        <w:spacing w:val="0"/>
        <w:w w:val="100"/>
        <w:kern w:val="0"/>
        <w:position w:val="0"/>
        <w:highlight w:val="none"/>
        <w:vertAlign w:val="baseline"/>
      </w:rPr>
    </w:lvl>
    <w:lvl w:ilvl="3" w:tplc="521A3A66">
      <w:start w:val="1"/>
      <w:numFmt w:val="decimal"/>
      <w:lvlText w:val="%4."/>
      <w:lvlJc w:val="left"/>
      <w:pPr>
        <w:ind w:left="4014" w:hanging="360"/>
      </w:pPr>
      <w:rPr>
        <w:rFonts w:hAnsi="Arial Unicode MS"/>
        <w:caps w:val="0"/>
        <w:smallCaps w:val="0"/>
        <w:strike w:val="0"/>
        <w:dstrike w:val="0"/>
        <w:color w:val="000000"/>
        <w:spacing w:val="0"/>
        <w:w w:val="100"/>
        <w:kern w:val="0"/>
        <w:position w:val="0"/>
        <w:highlight w:val="none"/>
        <w:vertAlign w:val="baseline"/>
      </w:rPr>
    </w:lvl>
    <w:lvl w:ilvl="4" w:tplc="C8609DD6">
      <w:start w:val="1"/>
      <w:numFmt w:val="lowerLetter"/>
      <w:lvlText w:val="%5."/>
      <w:lvlJc w:val="left"/>
      <w:pPr>
        <w:ind w:left="4734" w:hanging="360"/>
      </w:pPr>
      <w:rPr>
        <w:rFonts w:hAnsi="Arial Unicode MS"/>
        <w:caps w:val="0"/>
        <w:smallCaps w:val="0"/>
        <w:strike w:val="0"/>
        <w:dstrike w:val="0"/>
        <w:color w:val="000000"/>
        <w:spacing w:val="0"/>
        <w:w w:val="100"/>
        <w:kern w:val="0"/>
        <w:position w:val="0"/>
        <w:highlight w:val="none"/>
        <w:vertAlign w:val="baseline"/>
      </w:rPr>
    </w:lvl>
    <w:lvl w:ilvl="5" w:tplc="AC0E1856">
      <w:start w:val="1"/>
      <w:numFmt w:val="lowerRoman"/>
      <w:lvlText w:val="%6."/>
      <w:lvlJc w:val="left"/>
      <w:pPr>
        <w:ind w:left="5454" w:hanging="275"/>
      </w:pPr>
      <w:rPr>
        <w:rFonts w:hAnsi="Arial Unicode MS"/>
        <w:caps w:val="0"/>
        <w:smallCaps w:val="0"/>
        <w:strike w:val="0"/>
        <w:dstrike w:val="0"/>
        <w:color w:val="000000"/>
        <w:spacing w:val="0"/>
        <w:w w:val="100"/>
        <w:kern w:val="0"/>
        <w:position w:val="0"/>
        <w:highlight w:val="none"/>
        <w:vertAlign w:val="baseline"/>
      </w:rPr>
    </w:lvl>
    <w:lvl w:ilvl="6" w:tplc="01D48D4E">
      <w:start w:val="1"/>
      <w:numFmt w:val="decimal"/>
      <w:lvlText w:val="%7."/>
      <w:lvlJc w:val="left"/>
      <w:pPr>
        <w:ind w:left="6174" w:hanging="360"/>
      </w:pPr>
      <w:rPr>
        <w:rFonts w:hAnsi="Arial Unicode MS"/>
        <w:caps w:val="0"/>
        <w:smallCaps w:val="0"/>
        <w:strike w:val="0"/>
        <w:dstrike w:val="0"/>
        <w:color w:val="000000"/>
        <w:spacing w:val="0"/>
        <w:w w:val="100"/>
        <w:kern w:val="0"/>
        <w:position w:val="0"/>
        <w:highlight w:val="none"/>
        <w:vertAlign w:val="baseline"/>
      </w:rPr>
    </w:lvl>
    <w:lvl w:ilvl="7" w:tplc="8A0678E4">
      <w:start w:val="1"/>
      <w:numFmt w:val="lowerLetter"/>
      <w:lvlText w:val="%8."/>
      <w:lvlJc w:val="left"/>
      <w:pPr>
        <w:ind w:left="6894" w:hanging="360"/>
      </w:pPr>
      <w:rPr>
        <w:rFonts w:hAnsi="Arial Unicode MS"/>
        <w:caps w:val="0"/>
        <w:smallCaps w:val="0"/>
        <w:strike w:val="0"/>
        <w:dstrike w:val="0"/>
        <w:color w:val="000000"/>
        <w:spacing w:val="0"/>
        <w:w w:val="100"/>
        <w:kern w:val="0"/>
        <w:position w:val="0"/>
        <w:highlight w:val="none"/>
        <w:vertAlign w:val="baseline"/>
      </w:rPr>
    </w:lvl>
    <w:lvl w:ilvl="8" w:tplc="38FEC51A">
      <w:start w:val="1"/>
      <w:numFmt w:val="lowerRoman"/>
      <w:lvlText w:val="%9."/>
      <w:lvlJc w:val="left"/>
      <w:pPr>
        <w:ind w:left="7614" w:hanging="275"/>
      </w:pPr>
      <w:rPr>
        <w:rFonts w:hAnsi="Arial Unicode MS"/>
        <w:caps w:val="0"/>
        <w:smallCaps w:val="0"/>
        <w:strike w:val="0"/>
        <w:dstrike w:val="0"/>
        <w:color w:val="000000"/>
        <w:spacing w:val="0"/>
        <w:w w:val="100"/>
        <w:kern w:val="0"/>
        <w:position w:val="0"/>
        <w:highlight w:val="none"/>
        <w:vertAlign w:val="baseline"/>
      </w:rPr>
    </w:lvl>
  </w:abstractNum>
  <w:abstractNum w:abstractNumId="102" w15:restartNumberingAfterBreak="0">
    <w:nsid w:val="6A005983"/>
    <w:multiLevelType w:val="hybridMultilevel"/>
    <w:tmpl w:val="9672082A"/>
    <w:styleLink w:val="Estiloimportado20"/>
    <w:lvl w:ilvl="0" w:tplc="9DA42D3A">
      <w:start w:val="1"/>
      <w:numFmt w:val="bullet"/>
      <w:lvlText w:val="•"/>
      <w:lvlJc w:val="left"/>
      <w:pPr>
        <w:tabs>
          <w:tab w:val="left" w:pos="142"/>
        </w:tabs>
        <w:ind w:left="11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A46B178">
      <w:start w:val="1"/>
      <w:numFmt w:val="bullet"/>
      <w:lvlText w:val="o"/>
      <w:lvlJc w:val="left"/>
      <w:pPr>
        <w:tabs>
          <w:tab w:val="left" w:pos="142"/>
        </w:tabs>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CFC710E">
      <w:start w:val="1"/>
      <w:numFmt w:val="bullet"/>
      <w:lvlText w:val="▪"/>
      <w:lvlJc w:val="left"/>
      <w:pPr>
        <w:tabs>
          <w:tab w:val="left" w:pos="142"/>
        </w:tabs>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D66346">
      <w:start w:val="1"/>
      <w:numFmt w:val="bullet"/>
      <w:lvlText w:val="•"/>
      <w:lvlJc w:val="left"/>
      <w:pPr>
        <w:tabs>
          <w:tab w:val="left" w:pos="142"/>
        </w:tabs>
        <w:ind w:left="330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943F98">
      <w:start w:val="1"/>
      <w:numFmt w:val="bullet"/>
      <w:lvlText w:val="o"/>
      <w:lvlJc w:val="left"/>
      <w:pPr>
        <w:tabs>
          <w:tab w:val="left" w:pos="142"/>
        </w:tabs>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E88EE2">
      <w:start w:val="1"/>
      <w:numFmt w:val="bullet"/>
      <w:lvlText w:val="▪"/>
      <w:lvlJc w:val="left"/>
      <w:pPr>
        <w:tabs>
          <w:tab w:val="left" w:pos="142"/>
        </w:tabs>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8EEAC80">
      <w:start w:val="1"/>
      <w:numFmt w:val="bullet"/>
      <w:lvlText w:val="•"/>
      <w:lvlJc w:val="left"/>
      <w:pPr>
        <w:tabs>
          <w:tab w:val="left" w:pos="142"/>
        </w:tabs>
        <w:ind w:left="546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DB6536C">
      <w:start w:val="1"/>
      <w:numFmt w:val="bullet"/>
      <w:lvlText w:val="o"/>
      <w:lvlJc w:val="left"/>
      <w:pPr>
        <w:tabs>
          <w:tab w:val="left" w:pos="142"/>
        </w:tabs>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21E2300">
      <w:start w:val="1"/>
      <w:numFmt w:val="bullet"/>
      <w:lvlText w:val="▪"/>
      <w:lvlJc w:val="left"/>
      <w:pPr>
        <w:tabs>
          <w:tab w:val="left" w:pos="142"/>
        </w:tabs>
        <w:ind w:left="69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6B2F42C0"/>
    <w:multiLevelType w:val="multilevel"/>
    <w:tmpl w:val="F8AEE4A2"/>
    <w:styleLink w:val="Estiloimportado22"/>
    <w:lvl w:ilvl="0">
      <w:start w:val="23"/>
      <w:numFmt w:val="decimal"/>
      <w:lvlText w:val="%1."/>
      <w:lvlJc w:val="left"/>
      <w:pPr>
        <w:ind w:left="600" w:hanging="600"/>
      </w:pPr>
      <w:rPr>
        <w:rFonts w:hint="default"/>
        <w:u w:val="none"/>
      </w:rPr>
    </w:lvl>
    <w:lvl w:ilvl="1">
      <w:start w:val="3"/>
      <w:numFmt w:val="decimal"/>
      <w:lvlText w:val="%1.%2."/>
      <w:lvlJc w:val="left"/>
      <w:pPr>
        <w:ind w:left="960" w:hanging="600"/>
      </w:pPr>
      <w:rPr>
        <w:rFonts w:hint="default"/>
        <w:u w:val="none"/>
      </w:rPr>
    </w:lvl>
    <w:lvl w:ilvl="2">
      <w:start w:val="2"/>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04" w15:restartNumberingAfterBreak="0">
    <w:nsid w:val="6B42165E"/>
    <w:multiLevelType w:val="hybridMultilevel"/>
    <w:tmpl w:val="949E19AC"/>
    <w:styleLink w:val="Estiloimportado102"/>
    <w:lvl w:ilvl="0" w:tplc="4274B438">
      <w:start w:val="1"/>
      <w:numFmt w:val="lowerLetter"/>
      <w:lvlText w:val="%1."/>
      <w:lvlJc w:val="left"/>
      <w:pPr>
        <w:ind w:left="1834" w:hanging="360"/>
      </w:pPr>
      <w:rPr>
        <w:rFonts w:hAnsi="Arial Unicode MS"/>
        <w:caps w:val="0"/>
        <w:smallCaps w:val="0"/>
        <w:strike w:val="0"/>
        <w:dstrike w:val="0"/>
        <w:color w:val="000000"/>
        <w:spacing w:val="0"/>
        <w:w w:val="100"/>
        <w:kern w:val="0"/>
        <w:position w:val="0"/>
        <w:highlight w:val="none"/>
        <w:vertAlign w:val="baseline"/>
      </w:rPr>
    </w:lvl>
    <w:lvl w:ilvl="1" w:tplc="7158C394">
      <w:start w:val="1"/>
      <w:numFmt w:val="lowerLetter"/>
      <w:lvlText w:val="%2."/>
      <w:lvlJc w:val="left"/>
      <w:pPr>
        <w:ind w:left="2554" w:hanging="360"/>
      </w:pPr>
      <w:rPr>
        <w:rFonts w:hAnsi="Arial Unicode MS"/>
        <w:caps w:val="0"/>
        <w:smallCaps w:val="0"/>
        <w:strike w:val="0"/>
        <w:dstrike w:val="0"/>
        <w:color w:val="000000"/>
        <w:spacing w:val="0"/>
        <w:w w:val="100"/>
        <w:kern w:val="0"/>
        <w:position w:val="0"/>
        <w:highlight w:val="none"/>
        <w:vertAlign w:val="baseline"/>
      </w:rPr>
    </w:lvl>
    <w:lvl w:ilvl="2" w:tplc="8E60A052">
      <w:start w:val="1"/>
      <w:numFmt w:val="lowerRoman"/>
      <w:lvlText w:val="%3."/>
      <w:lvlJc w:val="left"/>
      <w:pPr>
        <w:ind w:left="3274" w:hanging="275"/>
      </w:pPr>
      <w:rPr>
        <w:rFonts w:hAnsi="Arial Unicode MS"/>
        <w:caps w:val="0"/>
        <w:smallCaps w:val="0"/>
        <w:strike w:val="0"/>
        <w:dstrike w:val="0"/>
        <w:color w:val="000000"/>
        <w:spacing w:val="0"/>
        <w:w w:val="100"/>
        <w:kern w:val="0"/>
        <w:position w:val="0"/>
        <w:highlight w:val="none"/>
        <w:vertAlign w:val="baseline"/>
      </w:rPr>
    </w:lvl>
    <w:lvl w:ilvl="3" w:tplc="F80A551E">
      <w:start w:val="1"/>
      <w:numFmt w:val="decimal"/>
      <w:lvlText w:val="%4."/>
      <w:lvlJc w:val="left"/>
      <w:pPr>
        <w:ind w:left="3994" w:hanging="360"/>
      </w:pPr>
      <w:rPr>
        <w:rFonts w:hAnsi="Arial Unicode MS"/>
        <w:caps w:val="0"/>
        <w:smallCaps w:val="0"/>
        <w:strike w:val="0"/>
        <w:dstrike w:val="0"/>
        <w:color w:val="000000"/>
        <w:spacing w:val="0"/>
        <w:w w:val="100"/>
        <w:kern w:val="0"/>
        <w:position w:val="0"/>
        <w:highlight w:val="none"/>
        <w:vertAlign w:val="baseline"/>
      </w:rPr>
    </w:lvl>
    <w:lvl w:ilvl="4" w:tplc="EF262AEC">
      <w:start w:val="1"/>
      <w:numFmt w:val="lowerLetter"/>
      <w:lvlText w:val="%5."/>
      <w:lvlJc w:val="left"/>
      <w:pPr>
        <w:ind w:left="4714" w:hanging="360"/>
      </w:pPr>
      <w:rPr>
        <w:rFonts w:hAnsi="Arial Unicode MS"/>
        <w:caps w:val="0"/>
        <w:smallCaps w:val="0"/>
        <w:strike w:val="0"/>
        <w:dstrike w:val="0"/>
        <w:color w:val="000000"/>
        <w:spacing w:val="0"/>
        <w:w w:val="100"/>
        <w:kern w:val="0"/>
        <w:position w:val="0"/>
        <w:highlight w:val="none"/>
        <w:vertAlign w:val="baseline"/>
      </w:rPr>
    </w:lvl>
    <w:lvl w:ilvl="5" w:tplc="E9D050F0">
      <w:start w:val="1"/>
      <w:numFmt w:val="lowerRoman"/>
      <w:lvlText w:val="%6."/>
      <w:lvlJc w:val="left"/>
      <w:pPr>
        <w:ind w:left="5434" w:hanging="275"/>
      </w:pPr>
      <w:rPr>
        <w:rFonts w:hAnsi="Arial Unicode MS"/>
        <w:caps w:val="0"/>
        <w:smallCaps w:val="0"/>
        <w:strike w:val="0"/>
        <w:dstrike w:val="0"/>
        <w:color w:val="000000"/>
        <w:spacing w:val="0"/>
        <w:w w:val="100"/>
        <w:kern w:val="0"/>
        <w:position w:val="0"/>
        <w:highlight w:val="none"/>
        <w:vertAlign w:val="baseline"/>
      </w:rPr>
    </w:lvl>
    <w:lvl w:ilvl="6" w:tplc="692A037C">
      <w:start w:val="1"/>
      <w:numFmt w:val="decimal"/>
      <w:lvlText w:val="%7."/>
      <w:lvlJc w:val="left"/>
      <w:pPr>
        <w:ind w:left="6154" w:hanging="360"/>
      </w:pPr>
      <w:rPr>
        <w:rFonts w:hAnsi="Arial Unicode MS"/>
        <w:caps w:val="0"/>
        <w:smallCaps w:val="0"/>
        <w:strike w:val="0"/>
        <w:dstrike w:val="0"/>
        <w:color w:val="000000"/>
        <w:spacing w:val="0"/>
        <w:w w:val="100"/>
        <w:kern w:val="0"/>
        <w:position w:val="0"/>
        <w:highlight w:val="none"/>
        <w:vertAlign w:val="baseline"/>
      </w:rPr>
    </w:lvl>
    <w:lvl w:ilvl="7" w:tplc="21B0B51E">
      <w:start w:val="1"/>
      <w:numFmt w:val="lowerLetter"/>
      <w:lvlText w:val="%8."/>
      <w:lvlJc w:val="left"/>
      <w:pPr>
        <w:ind w:left="6874" w:hanging="360"/>
      </w:pPr>
      <w:rPr>
        <w:rFonts w:hAnsi="Arial Unicode MS"/>
        <w:caps w:val="0"/>
        <w:smallCaps w:val="0"/>
        <w:strike w:val="0"/>
        <w:dstrike w:val="0"/>
        <w:color w:val="000000"/>
        <w:spacing w:val="0"/>
        <w:w w:val="100"/>
        <w:kern w:val="0"/>
        <w:position w:val="0"/>
        <w:highlight w:val="none"/>
        <w:vertAlign w:val="baseline"/>
      </w:rPr>
    </w:lvl>
    <w:lvl w:ilvl="8" w:tplc="EEEC5B9C">
      <w:start w:val="1"/>
      <w:numFmt w:val="lowerRoman"/>
      <w:lvlText w:val="%9."/>
      <w:lvlJc w:val="left"/>
      <w:pPr>
        <w:ind w:left="7594" w:hanging="275"/>
      </w:pPr>
      <w:rPr>
        <w:rFonts w:hAnsi="Arial Unicode MS"/>
        <w:caps w:val="0"/>
        <w:smallCaps w:val="0"/>
        <w:strike w:val="0"/>
        <w:dstrike w:val="0"/>
        <w:color w:val="000000"/>
        <w:spacing w:val="0"/>
        <w:w w:val="100"/>
        <w:kern w:val="0"/>
        <w:position w:val="0"/>
        <w:highlight w:val="none"/>
        <w:vertAlign w:val="baseline"/>
      </w:rPr>
    </w:lvl>
  </w:abstractNum>
  <w:abstractNum w:abstractNumId="105" w15:restartNumberingAfterBreak="0">
    <w:nsid w:val="6DCC7348"/>
    <w:multiLevelType w:val="hybridMultilevel"/>
    <w:tmpl w:val="D5E44D70"/>
    <w:styleLink w:val="Estiloimportado62"/>
    <w:lvl w:ilvl="0" w:tplc="326604EE">
      <w:start w:val="1"/>
      <w:numFmt w:val="lowerLetter"/>
      <w:lvlText w:val="%1."/>
      <w:lvlJc w:val="left"/>
      <w:pPr>
        <w:ind w:left="1834" w:hanging="360"/>
      </w:pPr>
      <w:rPr>
        <w:rFonts w:hAnsi="Arial Unicode MS"/>
        <w:caps w:val="0"/>
        <w:smallCaps w:val="0"/>
        <w:strike w:val="0"/>
        <w:dstrike w:val="0"/>
        <w:color w:val="000000"/>
        <w:spacing w:val="0"/>
        <w:w w:val="100"/>
        <w:kern w:val="0"/>
        <w:position w:val="0"/>
        <w:highlight w:val="none"/>
        <w:vertAlign w:val="baseline"/>
      </w:rPr>
    </w:lvl>
    <w:lvl w:ilvl="1" w:tplc="8500F10E">
      <w:start w:val="1"/>
      <w:numFmt w:val="lowerLetter"/>
      <w:lvlText w:val="%2."/>
      <w:lvlJc w:val="left"/>
      <w:pPr>
        <w:ind w:left="2554" w:hanging="360"/>
      </w:pPr>
      <w:rPr>
        <w:rFonts w:hAnsi="Arial Unicode MS"/>
        <w:caps w:val="0"/>
        <w:smallCaps w:val="0"/>
        <w:strike w:val="0"/>
        <w:dstrike w:val="0"/>
        <w:color w:val="000000"/>
        <w:spacing w:val="0"/>
        <w:w w:val="100"/>
        <w:kern w:val="0"/>
        <w:position w:val="0"/>
        <w:highlight w:val="none"/>
        <w:vertAlign w:val="baseline"/>
      </w:rPr>
    </w:lvl>
    <w:lvl w:ilvl="2" w:tplc="409026E4">
      <w:start w:val="1"/>
      <w:numFmt w:val="lowerRoman"/>
      <w:lvlText w:val="%3."/>
      <w:lvlJc w:val="left"/>
      <w:pPr>
        <w:ind w:left="3274" w:hanging="275"/>
      </w:pPr>
      <w:rPr>
        <w:rFonts w:hAnsi="Arial Unicode MS"/>
        <w:caps w:val="0"/>
        <w:smallCaps w:val="0"/>
        <w:strike w:val="0"/>
        <w:dstrike w:val="0"/>
        <w:color w:val="000000"/>
        <w:spacing w:val="0"/>
        <w:w w:val="100"/>
        <w:kern w:val="0"/>
        <w:position w:val="0"/>
        <w:highlight w:val="none"/>
        <w:vertAlign w:val="baseline"/>
      </w:rPr>
    </w:lvl>
    <w:lvl w:ilvl="3" w:tplc="7C682D92">
      <w:start w:val="1"/>
      <w:numFmt w:val="decimal"/>
      <w:lvlText w:val="%4."/>
      <w:lvlJc w:val="left"/>
      <w:pPr>
        <w:ind w:left="3994" w:hanging="360"/>
      </w:pPr>
      <w:rPr>
        <w:rFonts w:hAnsi="Arial Unicode MS"/>
        <w:caps w:val="0"/>
        <w:smallCaps w:val="0"/>
        <w:strike w:val="0"/>
        <w:dstrike w:val="0"/>
        <w:color w:val="000000"/>
        <w:spacing w:val="0"/>
        <w:w w:val="100"/>
        <w:kern w:val="0"/>
        <w:position w:val="0"/>
        <w:highlight w:val="none"/>
        <w:vertAlign w:val="baseline"/>
      </w:rPr>
    </w:lvl>
    <w:lvl w:ilvl="4" w:tplc="C5A60534">
      <w:start w:val="1"/>
      <w:numFmt w:val="lowerLetter"/>
      <w:lvlText w:val="%5."/>
      <w:lvlJc w:val="left"/>
      <w:pPr>
        <w:ind w:left="4714" w:hanging="360"/>
      </w:pPr>
      <w:rPr>
        <w:rFonts w:hAnsi="Arial Unicode MS"/>
        <w:caps w:val="0"/>
        <w:smallCaps w:val="0"/>
        <w:strike w:val="0"/>
        <w:dstrike w:val="0"/>
        <w:color w:val="000000"/>
        <w:spacing w:val="0"/>
        <w:w w:val="100"/>
        <w:kern w:val="0"/>
        <w:position w:val="0"/>
        <w:highlight w:val="none"/>
        <w:vertAlign w:val="baseline"/>
      </w:rPr>
    </w:lvl>
    <w:lvl w:ilvl="5" w:tplc="ED88326C">
      <w:start w:val="1"/>
      <w:numFmt w:val="lowerRoman"/>
      <w:lvlText w:val="%6."/>
      <w:lvlJc w:val="left"/>
      <w:pPr>
        <w:ind w:left="5434" w:hanging="275"/>
      </w:pPr>
      <w:rPr>
        <w:rFonts w:hAnsi="Arial Unicode MS"/>
        <w:caps w:val="0"/>
        <w:smallCaps w:val="0"/>
        <w:strike w:val="0"/>
        <w:dstrike w:val="0"/>
        <w:color w:val="000000"/>
        <w:spacing w:val="0"/>
        <w:w w:val="100"/>
        <w:kern w:val="0"/>
        <w:position w:val="0"/>
        <w:highlight w:val="none"/>
        <w:vertAlign w:val="baseline"/>
      </w:rPr>
    </w:lvl>
    <w:lvl w:ilvl="6" w:tplc="E9FE7850">
      <w:start w:val="1"/>
      <w:numFmt w:val="decimal"/>
      <w:lvlText w:val="%7."/>
      <w:lvlJc w:val="left"/>
      <w:pPr>
        <w:ind w:left="6154" w:hanging="360"/>
      </w:pPr>
      <w:rPr>
        <w:rFonts w:hAnsi="Arial Unicode MS"/>
        <w:caps w:val="0"/>
        <w:smallCaps w:val="0"/>
        <w:strike w:val="0"/>
        <w:dstrike w:val="0"/>
        <w:color w:val="000000"/>
        <w:spacing w:val="0"/>
        <w:w w:val="100"/>
        <w:kern w:val="0"/>
        <w:position w:val="0"/>
        <w:highlight w:val="none"/>
        <w:vertAlign w:val="baseline"/>
      </w:rPr>
    </w:lvl>
    <w:lvl w:ilvl="7" w:tplc="1752069A">
      <w:start w:val="1"/>
      <w:numFmt w:val="lowerLetter"/>
      <w:lvlText w:val="%8."/>
      <w:lvlJc w:val="left"/>
      <w:pPr>
        <w:ind w:left="6874" w:hanging="360"/>
      </w:pPr>
      <w:rPr>
        <w:rFonts w:hAnsi="Arial Unicode MS"/>
        <w:caps w:val="0"/>
        <w:smallCaps w:val="0"/>
        <w:strike w:val="0"/>
        <w:dstrike w:val="0"/>
        <w:color w:val="000000"/>
        <w:spacing w:val="0"/>
        <w:w w:val="100"/>
        <w:kern w:val="0"/>
        <w:position w:val="0"/>
        <w:highlight w:val="none"/>
        <w:vertAlign w:val="baseline"/>
      </w:rPr>
    </w:lvl>
    <w:lvl w:ilvl="8" w:tplc="81CE1E02">
      <w:start w:val="1"/>
      <w:numFmt w:val="lowerRoman"/>
      <w:lvlText w:val="%9."/>
      <w:lvlJc w:val="left"/>
      <w:pPr>
        <w:ind w:left="7594" w:hanging="275"/>
      </w:pPr>
      <w:rPr>
        <w:rFonts w:hAnsi="Arial Unicode MS"/>
        <w:caps w:val="0"/>
        <w:smallCaps w:val="0"/>
        <w:strike w:val="0"/>
        <w:dstrike w:val="0"/>
        <w:color w:val="000000"/>
        <w:spacing w:val="0"/>
        <w:w w:val="100"/>
        <w:kern w:val="0"/>
        <w:position w:val="0"/>
        <w:highlight w:val="none"/>
        <w:vertAlign w:val="baseline"/>
      </w:rPr>
    </w:lvl>
  </w:abstractNum>
  <w:abstractNum w:abstractNumId="106" w15:restartNumberingAfterBreak="0">
    <w:nsid w:val="6E4B03CA"/>
    <w:multiLevelType w:val="hybridMultilevel"/>
    <w:tmpl w:val="3684C6F8"/>
    <w:lvl w:ilvl="0" w:tplc="2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5439EF"/>
    <w:multiLevelType w:val="hybridMultilevel"/>
    <w:tmpl w:val="93C68042"/>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8" w15:restartNumberingAfterBreak="0">
    <w:nsid w:val="713B3A4E"/>
    <w:multiLevelType w:val="singleLevel"/>
    <w:tmpl w:val="6B620E7A"/>
    <w:lvl w:ilvl="0">
      <w:start w:val="1"/>
      <w:numFmt w:val="lowerLetter"/>
      <w:lvlText w:val="%1)"/>
      <w:legacy w:legacy="1" w:legacySpace="0" w:legacyIndent="283"/>
      <w:lvlJc w:val="left"/>
      <w:pPr>
        <w:ind w:left="283" w:hanging="283"/>
      </w:pPr>
    </w:lvl>
  </w:abstractNum>
  <w:abstractNum w:abstractNumId="109" w15:restartNumberingAfterBreak="0">
    <w:nsid w:val="72950802"/>
    <w:multiLevelType w:val="hybridMultilevel"/>
    <w:tmpl w:val="AF4EC83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0" w15:restartNumberingAfterBreak="0">
    <w:nsid w:val="745246E6"/>
    <w:multiLevelType w:val="hybridMultilevel"/>
    <w:tmpl w:val="46EE8838"/>
    <w:numStyleLink w:val="Estiloimportado122"/>
  </w:abstractNum>
  <w:abstractNum w:abstractNumId="111" w15:restartNumberingAfterBreak="0">
    <w:nsid w:val="766C58DB"/>
    <w:multiLevelType w:val="hybridMultilevel"/>
    <w:tmpl w:val="3B50FA14"/>
    <w:styleLink w:val="Estiloimportado172"/>
    <w:lvl w:ilvl="0" w:tplc="636453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F25F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704DC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C5457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403D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EF63A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9E94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A64B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1E0F1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7795679A"/>
    <w:multiLevelType w:val="hybridMultilevel"/>
    <w:tmpl w:val="B53AF1BC"/>
    <w:lvl w:ilvl="0" w:tplc="D248D3E0">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057BDD"/>
    <w:multiLevelType w:val="hybridMultilevel"/>
    <w:tmpl w:val="ACEEC676"/>
    <w:lvl w:ilvl="0" w:tplc="9FE454AC">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4" w15:restartNumberingAfterBreak="0">
    <w:nsid w:val="79917227"/>
    <w:multiLevelType w:val="hybridMultilevel"/>
    <w:tmpl w:val="0AF47D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D">
      <w:start w:val="1"/>
      <w:numFmt w:val="bullet"/>
      <w:lvlText w:val=""/>
      <w:lvlJc w:val="left"/>
      <w:pPr>
        <w:ind w:left="2880" w:hanging="360"/>
      </w:pPr>
      <w:rPr>
        <w:rFonts w:ascii="Wingdings" w:hAnsi="Wingdings" w:hint="default"/>
      </w:r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15" w15:restartNumberingAfterBreak="0">
    <w:nsid w:val="79FD228C"/>
    <w:multiLevelType w:val="hybridMultilevel"/>
    <w:tmpl w:val="2E5A7C5E"/>
    <w:lvl w:ilvl="0" w:tplc="EFA8C4B6">
      <w:start w:val="1"/>
      <w:numFmt w:val="bullet"/>
      <w:lvlText w:val="•"/>
      <w:lvlJc w:val="left"/>
      <w:pPr>
        <w:tabs>
          <w:tab w:val="left" w:pos="142"/>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F0681E2">
      <w:start w:val="1"/>
      <w:numFmt w:val="bullet"/>
      <w:lvlText w:val="o"/>
      <w:lvlJc w:val="left"/>
      <w:pPr>
        <w:tabs>
          <w:tab w:val="left" w:pos="14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0E05F3E">
      <w:start w:val="1"/>
      <w:numFmt w:val="bullet"/>
      <w:lvlText w:val="▪"/>
      <w:lvlJc w:val="left"/>
      <w:pPr>
        <w:tabs>
          <w:tab w:val="left" w:pos="14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C0A0001">
      <w:start w:val="1"/>
      <w:numFmt w:val="bullet"/>
      <w:lvlText w:val=""/>
      <w:lvlJc w:val="left"/>
      <w:pPr>
        <w:tabs>
          <w:tab w:val="left" w:pos="142"/>
        </w:tabs>
        <w:ind w:left="1701" w:hanging="425"/>
      </w:pPr>
      <w:rPr>
        <w:rFonts w:ascii="Symbol" w:hAnsi="Symbol" w:hint="default"/>
        <w:b w:val="0"/>
        <w:bCs w:val="0"/>
        <w:i w:val="0"/>
        <w:iCs w:val="0"/>
        <w:caps w:val="0"/>
        <w:smallCaps w:val="0"/>
        <w:strike w:val="0"/>
        <w:dstrike w:val="0"/>
        <w:spacing w:val="0"/>
        <w:w w:val="100"/>
        <w:kern w:val="0"/>
        <w:position w:val="0"/>
        <w:highlight w:val="none"/>
        <w:vertAlign w:val="baseline"/>
      </w:rPr>
    </w:lvl>
    <w:lvl w:ilvl="4" w:tplc="F99A32D0">
      <w:start w:val="1"/>
      <w:numFmt w:val="bullet"/>
      <w:lvlText w:val="o"/>
      <w:lvlJc w:val="left"/>
      <w:pPr>
        <w:tabs>
          <w:tab w:val="left" w:pos="142"/>
        </w:tabs>
        <w:ind w:left="242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7D04A8A">
      <w:start w:val="1"/>
      <w:numFmt w:val="bullet"/>
      <w:lvlText w:val="▪"/>
      <w:lvlJc w:val="left"/>
      <w:pPr>
        <w:tabs>
          <w:tab w:val="left" w:pos="142"/>
        </w:tabs>
        <w:ind w:left="314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FDEFCFA">
      <w:start w:val="1"/>
      <w:numFmt w:val="bullet"/>
      <w:lvlText w:val="•"/>
      <w:lvlJc w:val="left"/>
      <w:pPr>
        <w:tabs>
          <w:tab w:val="left" w:pos="142"/>
        </w:tabs>
        <w:ind w:left="386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86BE9860">
      <w:start w:val="1"/>
      <w:numFmt w:val="bullet"/>
      <w:lvlText w:val="o"/>
      <w:lvlJc w:val="left"/>
      <w:pPr>
        <w:tabs>
          <w:tab w:val="left" w:pos="142"/>
        </w:tabs>
        <w:ind w:left="458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226A65E">
      <w:start w:val="1"/>
      <w:numFmt w:val="bullet"/>
      <w:lvlText w:val="▪"/>
      <w:lvlJc w:val="left"/>
      <w:pPr>
        <w:tabs>
          <w:tab w:val="left" w:pos="142"/>
        </w:tabs>
        <w:ind w:left="5301"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6" w15:restartNumberingAfterBreak="0">
    <w:nsid w:val="7A3A5950"/>
    <w:multiLevelType w:val="multilevel"/>
    <w:tmpl w:val="C35C3B08"/>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B5E1C51"/>
    <w:multiLevelType w:val="hybridMultilevel"/>
    <w:tmpl w:val="282226E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8" w15:restartNumberingAfterBreak="0">
    <w:nsid w:val="7CBF004A"/>
    <w:multiLevelType w:val="hybridMultilevel"/>
    <w:tmpl w:val="4176BC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9" w15:restartNumberingAfterBreak="0">
    <w:nsid w:val="7D381C8C"/>
    <w:multiLevelType w:val="hybridMultilevel"/>
    <w:tmpl w:val="CC545DCC"/>
    <w:lvl w:ilvl="0" w:tplc="FFFFFFFF">
      <w:start w:val="1"/>
      <w:numFmt w:val="bullet"/>
      <w:lvlText w:val="-"/>
      <w:lvlJc w:val="left"/>
      <w:pPr>
        <w:ind w:left="720" w:hanging="360"/>
      </w:p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19"/>
  </w:num>
  <w:num w:numId="3">
    <w:abstractNumId w:val="118"/>
  </w:num>
  <w:num w:numId="4">
    <w:abstractNumId w:val="42"/>
  </w:num>
  <w:num w:numId="5">
    <w:abstractNumId w:val="103"/>
  </w:num>
  <w:num w:numId="6">
    <w:abstractNumId w:val="35"/>
  </w:num>
  <w:num w:numId="7">
    <w:abstractNumId w:val="55"/>
  </w:num>
  <w:num w:numId="8">
    <w:abstractNumId w:val="85"/>
  </w:num>
  <w:num w:numId="9">
    <w:abstractNumId w:val="105"/>
  </w:num>
  <w:num w:numId="10">
    <w:abstractNumId w:val="99"/>
  </w:num>
  <w:num w:numId="11">
    <w:abstractNumId w:val="20"/>
  </w:num>
  <w:num w:numId="12">
    <w:abstractNumId w:val="49"/>
  </w:num>
  <w:num w:numId="13">
    <w:abstractNumId w:val="104"/>
  </w:num>
  <w:num w:numId="14">
    <w:abstractNumId w:val="101"/>
  </w:num>
  <w:num w:numId="15">
    <w:abstractNumId w:val="93"/>
  </w:num>
  <w:num w:numId="16">
    <w:abstractNumId w:val="59"/>
  </w:num>
  <w:num w:numId="17">
    <w:abstractNumId w:val="50"/>
  </w:num>
  <w:num w:numId="18">
    <w:abstractNumId w:val="58"/>
  </w:num>
  <w:num w:numId="19">
    <w:abstractNumId w:val="92"/>
  </w:num>
  <w:num w:numId="20">
    <w:abstractNumId w:val="75"/>
  </w:num>
  <w:num w:numId="21">
    <w:abstractNumId w:val="111"/>
  </w:num>
  <w:num w:numId="22">
    <w:abstractNumId w:val="56"/>
  </w:num>
  <w:num w:numId="23">
    <w:abstractNumId w:val="62"/>
  </w:num>
  <w:num w:numId="24">
    <w:abstractNumId w:val="51"/>
  </w:num>
  <w:num w:numId="25">
    <w:abstractNumId w:val="61"/>
  </w:num>
  <w:num w:numId="26">
    <w:abstractNumId w:val="102"/>
  </w:num>
  <w:num w:numId="27">
    <w:abstractNumId w:val="23"/>
  </w:num>
  <w:num w:numId="28">
    <w:abstractNumId w:val="78"/>
  </w:num>
  <w:num w:numId="29">
    <w:abstractNumId w:val="37"/>
  </w:num>
  <w:num w:numId="30">
    <w:abstractNumId w:val="24"/>
  </w:num>
  <w:num w:numId="31">
    <w:abstractNumId w:val="88"/>
  </w:num>
  <w:num w:numId="32">
    <w:abstractNumId w:val="14"/>
  </w:num>
  <w:num w:numId="33">
    <w:abstractNumId w:val="97"/>
  </w:num>
  <w:num w:numId="34">
    <w:abstractNumId w:val="89"/>
  </w:num>
  <w:num w:numId="35">
    <w:abstractNumId w:val="79"/>
  </w:num>
  <w:num w:numId="36">
    <w:abstractNumId w:val="70"/>
  </w:num>
  <w:num w:numId="37">
    <w:abstractNumId w:val="98"/>
  </w:num>
  <w:num w:numId="38">
    <w:abstractNumId w:val="82"/>
  </w:num>
  <w:num w:numId="39">
    <w:abstractNumId w:val="16"/>
  </w:num>
  <w:num w:numId="40">
    <w:abstractNumId w:val="95"/>
  </w:num>
  <w:num w:numId="41">
    <w:abstractNumId w:val="25"/>
  </w:num>
  <w:num w:numId="42">
    <w:abstractNumId w:val="76"/>
  </w:num>
  <w:num w:numId="43">
    <w:abstractNumId w:val="64"/>
  </w:num>
  <w:num w:numId="44">
    <w:abstractNumId w:val="113"/>
  </w:num>
  <w:num w:numId="45">
    <w:abstractNumId w:val="77"/>
  </w:num>
  <w:num w:numId="46">
    <w:abstractNumId w:val="48"/>
  </w:num>
  <w:num w:numId="47">
    <w:abstractNumId w:val="86"/>
  </w:num>
  <w:num w:numId="48">
    <w:abstractNumId w:val="100"/>
  </w:num>
  <w:num w:numId="49">
    <w:abstractNumId w:val="94"/>
  </w:num>
  <w:num w:numId="50">
    <w:abstractNumId w:val="65"/>
  </w:num>
  <w:num w:numId="51">
    <w:abstractNumId w:val="19"/>
  </w:num>
  <w:num w:numId="52">
    <w:abstractNumId w:val="45"/>
  </w:num>
  <w:num w:numId="53">
    <w:abstractNumId w:val="21"/>
  </w:num>
  <w:num w:numId="54">
    <w:abstractNumId w:val="66"/>
  </w:num>
  <w:num w:numId="55">
    <w:abstractNumId w:val="81"/>
  </w:num>
  <w:num w:numId="56">
    <w:abstractNumId w:val="110"/>
  </w:num>
  <w:num w:numId="57">
    <w:abstractNumId w:val="80"/>
  </w:num>
  <w:num w:numId="58">
    <w:abstractNumId w:val="32"/>
  </w:num>
  <w:num w:numId="59">
    <w:abstractNumId w:val="71"/>
  </w:num>
  <w:num w:numId="60">
    <w:abstractNumId w:val="74"/>
  </w:num>
  <w:num w:numId="61">
    <w:abstractNumId w:val="28"/>
  </w:num>
  <w:num w:numId="62">
    <w:abstractNumId w:val="115"/>
  </w:num>
  <w:num w:numId="63">
    <w:abstractNumId w:val="91"/>
  </w:num>
  <w:num w:numId="64">
    <w:abstractNumId w:val="30"/>
  </w:num>
  <w:num w:numId="65">
    <w:abstractNumId w:val="84"/>
  </w:num>
  <w:num w:numId="66">
    <w:abstractNumId w:val="90"/>
  </w:num>
  <w:num w:numId="67">
    <w:abstractNumId w:val="18"/>
  </w:num>
  <w:num w:numId="68">
    <w:abstractNumId w:val="52"/>
  </w:num>
  <w:num w:numId="69">
    <w:abstractNumId w:val="107"/>
  </w:num>
  <w:num w:numId="70">
    <w:abstractNumId w:val="83"/>
  </w:num>
  <w:num w:numId="71">
    <w:abstractNumId w:val="109"/>
  </w:num>
  <w:num w:numId="72">
    <w:abstractNumId w:val="43"/>
  </w:num>
  <w:num w:numId="73">
    <w:abstractNumId w:val="63"/>
  </w:num>
  <w:num w:numId="74">
    <w:abstractNumId w:val="38"/>
  </w:num>
  <w:num w:numId="75">
    <w:abstractNumId w:val="73"/>
  </w:num>
  <w:num w:numId="76">
    <w:abstractNumId w:val="87"/>
  </w:num>
  <w:num w:numId="77">
    <w:abstractNumId w:val="41"/>
  </w:num>
  <w:num w:numId="78">
    <w:abstractNumId w:val="11"/>
  </w:num>
  <w:num w:numId="79">
    <w:abstractNumId w:val="31"/>
  </w:num>
  <w:num w:numId="80">
    <w:abstractNumId w:val="1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num>
  <w:num w:numId="82">
    <w:abstractNumId w:val="15"/>
  </w:num>
  <w:num w:numId="83">
    <w:abstractNumId w:val="117"/>
  </w:num>
  <w:num w:numId="84">
    <w:abstractNumId w:val="67"/>
  </w:num>
  <w:num w:numId="85">
    <w:abstractNumId w:val="27"/>
  </w:num>
  <w:num w:numId="86">
    <w:abstractNumId w:val="72"/>
  </w:num>
  <w:num w:numId="87">
    <w:abstractNumId w:val="34"/>
  </w:num>
  <w:num w:numId="88">
    <w:abstractNumId w:val="57"/>
  </w:num>
  <w:num w:numId="8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num>
  <w:num w:numId="91">
    <w:abstractNumId w:val="116"/>
  </w:num>
  <w:num w:numId="92">
    <w:abstractNumId w:val="96"/>
  </w:num>
  <w:num w:numId="93">
    <w:abstractNumId w:val="17"/>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num>
  <w:num w:numId="96">
    <w:abstractNumId w:val="39"/>
  </w:num>
  <w:num w:numId="97">
    <w:abstractNumId w:val="40"/>
  </w:num>
  <w:num w:numId="98">
    <w:abstractNumId w:val="33"/>
  </w:num>
  <w:num w:numId="99">
    <w:abstractNumId w:val="68"/>
  </w:num>
  <w:num w:numId="100">
    <w:abstractNumId w:val="54"/>
  </w:num>
  <w:num w:numId="101">
    <w:abstractNumId w:val="46"/>
  </w:num>
  <w:num w:numId="102">
    <w:abstractNumId w:val="53"/>
  </w:num>
  <w:num w:numId="103">
    <w:abstractNumId w:val="44"/>
  </w:num>
  <w:num w:numId="104">
    <w:abstractNumId w:val="60"/>
  </w:num>
  <w:num w:numId="105">
    <w:abstractNumId w:val="112"/>
  </w:num>
  <w:num w:numId="106">
    <w:abstractNumId w:val="106"/>
  </w:num>
  <w:num w:numId="107">
    <w:abstractNumId w:val="29"/>
  </w:num>
  <w:num w:numId="108">
    <w:abstractNumId w:val="69"/>
  </w:num>
  <w:num w:numId="109">
    <w:abstractNumId w:val="36"/>
  </w:num>
  <w:num w:numId="110">
    <w:abstractNumId w:val="48"/>
  </w:num>
  <w:num w:numId="111">
    <w:abstractNumId w:val="108"/>
  </w:num>
  <w:num w:numId="112">
    <w:abstractNumId w:val="13"/>
  </w:num>
  <w:num w:numId="113">
    <w:abstractNumId w:val="2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s-PE"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441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S2DocOpenMode" w:val="AS2DocumentEdit"/>
  </w:docVars>
  <w:rsids>
    <w:rsidRoot w:val="00E97D94"/>
    <w:rsid w:val="00000013"/>
    <w:rsid w:val="000009EA"/>
    <w:rsid w:val="00000B6E"/>
    <w:rsid w:val="00000D07"/>
    <w:rsid w:val="00000EDD"/>
    <w:rsid w:val="00000F5A"/>
    <w:rsid w:val="000014C9"/>
    <w:rsid w:val="0000156B"/>
    <w:rsid w:val="00001795"/>
    <w:rsid w:val="00001BDB"/>
    <w:rsid w:val="00001CB1"/>
    <w:rsid w:val="00001EAB"/>
    <w:rsid w:val="000024BF"/>
    <w:rsid w:val="00002574"/>
    <w:rsid w:val="00002B37"/>
    <w:rsid w:val="00002E07"/>
    <w:rsid w:val="0000337E"/>
    <w:rsid w:val="00003CD1"/>
    <w:rsid w:val="000043A3"/>
    <w:rsid w:val="000045FD"/>
    <w:rsid w:val="00004B94"/>
    <w:rsid w:val="00004BD3"/>
    <w:rsid w:val="0000580C"/>
    <w:rsid w:val="00005E38"/>
    <w:rsid w:val="00005E87"/>
    <w:rsid w:val="0000600D"/>
    <w:rsid w:val="00006020"/>
    <w:rsid w:val="00006059"/>
    <w:rsid w:val="00006788"/>
    <w:rsid w:val="00006D32"/>
    <w:rsid w:val="00006F91"/>
    <w:rsid w:val="00006FA4"/>
    <w:rsid w:val="00007100"/>
    <w:rsid w:val="0000737F"/>
    <w:rsid w:val="00007A68"/>
    <w:rsid w:val="00007CBC"/>
    <w:rsid w:val="00007E89"/>
    <w:rsid w:val="00007F86"/>
    <w:rsid w:val="0001012B"/>
    <w:rsid w:val="00010ECB"/>
    <w:rsid w:val="00011283"/>
    <w:rsid w:val="00011657"/>
    <w:rsid w:val="0001172C"/>
    <w:rsid w:val="0001184A"/>
    <w:rsid w:val="00011B2F"/>
    <w:rsid w:val="00011B88"/>
    <w:rsid w:val="00011BC4"/>
    <w:rsid w:val="00011BEC"/>
    <w:rsid w:val="00011DDD"/>
    <w:rsid w:val="00011DED"/>
    <w:rsid w:val="0001214A"/>
    <w:rsid w:val="000121C8"/>
    <w:rsid w:val="000125A6"/>
    <w:rsid w:val="0001279A"/>
    <w:rsid w:val="00013198"/>
    <w:rsid w:val="000133DD"/>
    <w:rsid w:val="0001389E"/>
    <w:rsid w:val="00013B98"/>
    <w:rsid w:val="000140C0"/>
    <w:rsid w:val="0001502C"/>
    <w:rsid w:val="00015210"/>
    <w:rsid w:val="0001551F"/>
    <w:rsid w:val="00015672"/>
    <w:rsid w:val="000157FE"/>
    <w:rsid w:val="00015F83"/>
    <w:rsid w:val="000166F0"/>
    <w:rsid w:val="00016901"/>
    <w:rsid w:val="00016A77"/>
    <w:rsid w:val="00016F29"/>
    <w:rsid w:val="00017167"/>
    <w:rsid w:val="0001723B"/>
    <w:rsid w:val="00017580"/>
    <w:rsid w:val="00017652"/>
    <w:rsid w:val="00017BE0"/>
    <w:rsid w:val="00017D90"/>
    <w:rsid w:val="00017F56"/>
    <w:rsid w:val="0002038E"/>
    <w:rsid w:val="000203FB"/>
    <w:rsid w:val="0002042F"/>
    <w:rsid w:val="000205B6"/>
    <w:rsid w:val="000209D7"/>
    <w:rsid w:val="00021DEC"/>
    <w:rsid w:val="000225AF"/>
    <w:rsid w:val="00022876"/>
    <w:rsid w:val="000229EC"/>
    <w:rsid w:val="00022BA8"/>
    <w:rsid w:val="00022E83"/>
    <w:rsid w:val="000230EA"/>
    <w:rsid w:val="0002338A"/>
    <w:rsid w:val="00023941"/>
    <w:rsid w:val="00023BF6"/>
    <w:rsid w:val="0002403F"/>
    <w:rsid w:val="00024AFF"/>
    <w:rsid w:val="00024B39"/>
    <w:rsid w:val="00024F55"/>
    <w:rsid w:val="00024F74"/>
    <w:rsid w:val="0002505A"/>
    <w:rsid w:val="00025107"/>
    <w:rsid w:val="00025F6A"/>
    <w:rsid w:val="00026189"/>
    <w:rsid w:val="0002644C"/>
    <w:rsid w:val="0002679E"/>
    <w:rsid w:val="00026AEA"/>
    <w:rsid w:val="00027746"/>
    <w:rsid w:val="0002782C"/>
    <w:rsid w:val="00027D6E"/>
    <w:rsid w:val="00027D9E"/>
    <w:rsid w:val="00030691"/>
    <w:rsid w:val="000306BF"/>
    <w:rsid w:val="000306FC"/>
    <w:rsid w:val="00030B3C"/>
    <w:rsid w:val="00030DDA"/>
    <w:rsid w:val="00030E28"/>
    <w:rsid w:val="00030ECD"/>
    <w:rsid w:val="0003109F"/>
    <w:rsid w:val="00031FB6"/>
    <w:rsid w:val="00032AD1"/>
    <w:rsid w:val="00032C9C"/>
    <w:rsid w:val="00033420"/>
    <w:rsid w:val="000336ED"/>
    <w:rsid w:val="00033900"/>
    <w:rsid w:val="00033B43"/>
    <w:rsid w:val="0003421F"/>
    <w:rsid w:val="000342AE"/>
    <w:rsid w:val="000342F6"/>
    <w:rsid w:val="000345FA"/>
    <w:rsid w:val="000352BC"/>
    <w:rsid w:val="000357BB"/>
    <w:rsid w:val="00035F95"/>
    <w:rsid w:val="00036104"/>
    <w:rsid w:val="0003612C"/>
    <w:rsid w:val="000361D5"/>
    <w:rsid w:val="000361E0"/>
    <w:rsid w:val="000363F3"/>
    <w:rsid w:val="00036AFB"/>
    <w:rsid w:val="00036D5B"/>
    <w:rsid w:val="00037082"/>
    <w:rsid w:val="00037475"/>
    <w:rsid w:val="000376D9"/>
    <w:rsid w:val="00037FCA"/>
    <w:rsid w:val="00040001"/>
    <w:rsid w:val="00040018"/>
    <w:rsid w:val="00040217"/>
    <w:rsid w:val="000405BB"/>
    <w:rsid w:val="000409A6"/>
    <w:rsid w:val="00040B32"/>
    <w:rsid w:val="00040D9D"/>
    <w:rsid w:val="00040F3F"/>
    <w:rsid w:val="00041255"/>
    <w:rsid w:val="0004130F"/>
    <w:rsid w:val="00041537"/>
    <w:rsid w:val="000419BF"/>
    <w:rsid w:val="00041A94"/>
    <w:rsid w:val="00041B32"/>
    <w:rsid w:val="000425B0"/>
    <w:rsid w:val="0004288D"/>
    <w:rsid w:val="000428A1"/>
    <w:rsid w:val="00042C85"/>
    <w:rsid w:val="000432E6"/>
    <w:rsid w:val="00043457"/>
    <w:rsid w:val="000438B2"/>
    <w:rsid w:val="00043FC0"/>
    <w:rsid w:val="00044167"/>
    <w:rsid w:val="0004416B"/>
    <w:rsid w:val="0004474C"/>
    <w:rsid w:val="000449AE"/>
    <w:rsid w:val="00044E4D"/>
    <w:rsid w:val="000453F2"/>
    <w:rsid w:val="00045647"/>
    <w:rsid w:val="00045785"/>
    <w:rsid w:val="00045982"/>
    <w:rsid w:val="00045A0E"/>
    <w:rsid w:val="00046389"/>
    <w:rsid w:val="000464F1"/>
    <w:rsid w:val="0004687F"/>
    <w:rsid w:val="00046D1E"/>
    <w:rsid w:val="000501BB"/>
    <w:rsid w:val="00050353"/>
    <w:rsid w:val="0005038C"/>
    <w:rsid w:val="000504FA"/>
    <w:rsid w:val="00050CA0"/>
    <w:rsid w:val="00050E4C"/>
    <w:rsid w:val="000516EB"/>
    <w:rsid w:val="00052108"/>
    <w:rsid w:val="00052131"/>
    <w:rsid w:val="00052382"/>
    <w:rsid w:val="0005245A"/>
    <w:rsid w:val="0005273E"/>
    <w:rsid w:val="000532CC"/>
    <w:rsid w:val="000538A6"/>
    <w:rsid w:val="000541B9"/>
    <w:rsid w:val="00054423"/>
    <w:rsid w:val="000547B7"/>
    <w:rsid w:val="00054D3D"/>
    <w:rsid w:val="00054DE0"/>
    <w:rsid w:val="00054FDF"/>
    <w:rsid w:val="000556F0"/>
    <w:rsid w:val="00055871"/>
    <w:rsid w:val="0005645C"/>
    <w:rsid w:val="00056942"/>
    <w:rsid w:val="000574F1"/>
    <w:rsid w:val="00057690"/>
    <w:rsid w:val="000600EC"/>
    <w:rsid w:val="0006083D"/>
    <w:rsid w:val="00060954"/>
    <w:rsid w:val="000614BA"/>
    <w:rsid w:val="000618A3"/>
    <w:rsid w:val="000619F6"/>
    <w:rsid w:val="00061C1F"/>
    <w:rsid w:val="00061D27"/>
    <w:rsid w:val="00061FA8"/>
    <w:rsid w:val="00062385"/>
    <w:rsid w:val="0006290C"/>
    <w:rsid w:val="00062DA6"/>
    <w:rsid w:val="000633A4"/>
    <w:rsid w:val="00063C2D"/>
    <w:rsid w:val="00064581"/>
    <w:rsid w:val="00064730"/>
    <w:rsid w:val="00065647"/>
    <w:rsid w:val="00066D3E"/>
    <w:rsid w:val="00066EF6"/>
    <w:rsid w:val="000670C1"/>
    <w:rsid w:val="000670E1"/>
    <w:rsid w:val="00067378"/>
    <w:rsid w:val="000673B3"/>
    <w:rsid w:val="00067408"/>
    <w:rsid w:val="0006745A"/>
    <w:rsid w:val="000674A2"/>
    <w:rsid w:val="00067D5E"/>
    <w:rsid w:val="00067E7D"/>
    <w:rsid w:val="000705E8"/>
    <w:rsid w:val="00070877"/>
    <w:rsid w:val="00070EAA"/>
    <w:rsid w:val="0007120D"/>
    <w:rsid w:val="00071382"/>
    <w:rsid w:val="0007144E"/>
    <w:rsid w:val="00071D2E"/>
    <w:rsid w:val="00072AB7"/>
    <w:rsid w:val="00074580"/>
    <w:rsid w:val="0007462C"/>
    <w:rsid w:val="0007488A"/>
    <w:rsid w:val="00074B03"/>
    <w:rsid w:val="00074C00"/>
    <w:rsid w:val="00074D4E"/>
    <w:rsid w:val="000753DE"/>
    <w:rsid w:val="00075470"/>
    <w:rsid w:val="00075512"/>
    <w:rsid w:val="00075811"/>
    <w:rsid w:val="00075814"/>
    <w:rsid w:val="00075BC5"/>
    <w:rsid w:val="000761A8"/>
    <w:rsid w:val="00076229"/>
    <w:rsid w:val="0007631D"/>
    <w:rsid w:val="000768B1"/>
    <w:rsid w:val="00076B97"/>
    <w:rsid w:val="00076C98"/>
    <w:rsid w:val="00076DF1"/>
    <w:rsid w:val="00076EC8"/>
    <w:rsid w:val="00077414"/>
    <w:rsid w:val="000775DC"/>
    <w:rsid w:val="0007777C"/>
    <w:rsid w:val="0007793F"/>
    <w:rsid w:val="00077D4F"/>
    <w:rsid w:val="000800C5"/>
    <w:rsid w:val="00080285"/>
    <w:rsid w:val="00080295"/>
    <w:rsid w:val="0008162B"/>
    <w:rsid w:val="000818A9"/>
    <w:rsid w:val="0008204E"/>
    <w:rsid w:val="00082525"/>
    <w:rsid w:val="000825E5"/>
    <w:rsid w:val="00082CF7"/>
    <w:rsid w:val="000830A7"/>
    <w:rsid w:val="00083BCC"/>
    <w:rsid w:val="00083C78"/>
    <w:rsid w:val="0008442F"/>
    <w:rsid w:val="000846A2"/>
    <w:rsid w:val="000847B9"/>
    <w:rsid w:val="000849DA"/>
    <w:rsid w:val="00084E0C"/>
    <w:rsid w:val="00084E49"/>
    <w:rsid w:val="00085296"/>
    <w:rsid w:val="000855FC"/>
    <w:rsid w:val="0008703D"/>
    <w:rsid w:val="000871C9"/>
    <w:rsid w:val="00087A3A"/>
    <w:rsid w:val="0009024D"/>
    <w:rsid w:val="00090284"/>
    <w:rsid w:val="000902CB"/>
    <w:rsid w:val="00090422"/>
    <w:rsid w:val="0009081A"/>
    <w:rsid w:val="00090820"/>
    <w:rsid w:val="000908CC"/>
    <w:rsid w:val="000917C1"/>
    <w:rsid w:val="000922D3"/>
    <w:rsid w:val="000923D0"/>
    <w:rsid w:val="000923F5"/>
    <w:rsid w:val="00092479"/>
    <w:rsid w:val="000932A1"/>
    <w:rsid w:val="00093551"/>
    <w:rsid w:val="0009356E"/>
    <w:rsid w:val="00093606"/>
    <w:rsid w:val="00093C4A"/>
    <w:rsid w:val="0009414B"/>
    <w:rsid w:val="00094368"/>
    <w:rsid w:val="000943D6"/>
    <w:rsid w:val="00094651"/>
    <w:rsid w:val="00094A10"/>
    <w:rsid w:val="000950EE"/>
    <w:rsid w:val="00095288"/>
    <w:rsid w:val="00095612"/>
    <w:rsid w:val="00095647"/>
    <w:rsid w:val="00095C7C"/>
    <w:rsid w:val="00096D77"/>
    <w:rsid w:val="00097262"/>
    <w:rsid w:val="00097483"/>
    <w:rsid w:val="0009762A"/>
    <w:rsid w:val="00097BC1"/>
    <w:rsid w:val="00097E35"/>
    <w:rsid w:val="00097F8A"/>
    <w:rsid w:val="000A1085"/>
    <w:rsid w:val="000A11B9"/>
    <w:rsid w:val="000A1660"/>
    <w:rsid w:val="000A1889"/>
    <w:rsid w:val="000A1BEF"/>
    <w:rsid w:val="000A1F0D"/>
    <w:rsid w:val="000A200A"/>
    <w:rsid w:val="000A26AE"/>
    <w:rsid w:val="000A2B53"/>
    <w:rsid w:val="000A2F41"/>
    <w:rsid w:val="000A309A"/>
    <w:rsid w:val="000A3A9E"/>
    <w:rsid w:val="000A3B50"/>
    <w:rsid w:val="000A3C66"/>
    <w:rsid w:val="000A3C93"/>
    <w:rsid w:val="000A4D42"/>
    <w:rsid w:val="000A54B9"/>
    <w:rsid w:val="000A5AFF"/>
    <w:rsid w:val="000A5D8C"/>
    <w:rsid w:val="000A5D9E"/>
    <w:rsid w:val="000A5F70"/>
    <w:rsid w:val="000A705B"/>
    <w:rsid w:val="000A7489"/>
    <w:rsid w:val="000A7826"/>
    <w:rsid w:val="000A7C8B"/>
    <w:rsid w:val="000B0507"/>
    <w:rsid w:val="000B0A19"/>
    <w:rsid w:val="000B0ABB"/>
    <w:rsid w:val="000B0B64"/>
    <w:rsid w:val="000B0B86"/>
    <w:rsid w:val="000B0D4B"/>
    <w:rsid w:val="000B15A4"/>
    <w:rsid w:val="000B2ED3"/>
    <w:rsid w:val="000B31AF"/>
    <w:rsid w:val="000B35E1"/>
    <w:rsid w:val="000B362A"/>
    <w:rsid w:val="000B370A"/>
    <w:rsid w:val="000B3D9C"/>
    <w:rsid w:val="000B47F1"/>
    <w:rsid w:val="000B4B12"/>
    <w:rsid w:val="000B5477"/>
    <w:rsid w:val="000B64D6"/>
    <w:rsid w:val="000B6A0D"/>
    <w:rsid w:val="000B6D1A"/>
    <w:rsid w:val="000B702C"/>
    <w:rsid w:val="000B7623"/>
    <w:rsid w:val="000B781C"/>
    <w:rsid w:val="000B7CFB"/>
    <w:rsid w:val="000C016A"/>
    <w:rsid w:val="000C0352"/>
    <w:rsid w:val="000C0595"/>
    <w:rsid w:val="000C0C73"/>
    <w:rsid w:val="000C1076"/>
    <w:rsid w:val="000C117B"/>
    <w:rsid w:val="000C138F"/>
    <w:rsid w:val="000C1608"/>
    <w:rsid w:val="000C2569"/>
    <w:rsid w:val="000C258E"/>
    <w:rsid w:val="000C270B"/>
    <w:rsid w:val="000C2E74"/>
    <w:rsid w:val="000C3111"/>
    <w:rsid w:val="000C3311"/>
    <w:rsid w:val="000C333F"/>
    <w:rsid w:val="000C3C5D"/>
    <w:rsid w:val="000C447A"/>
    <w:rsid w:val="000C455E"/>
    <w:rsid w:val="000C48CF"/>
    <w:rsid w:val="000C4A69"/>
    <w:rsid w:val="000C4AED"/>
    <w:rsid w:val="000C4C71"/>
    <w:rsid w:val="000C4EC8"/>
    <w:rsid w:val="000C5391"/>
    <w:rsid w:val="000C5E2F"/>
    <w:rsid w:val="000C6432"/>
    <w:rsid w:val="000C69CB"/>
    <w:rsid w:val="000C71CD"/>
    <w:rsid w:val="000C735B"/>
    <w:rsid w:val="000C73E1"/>
    <w:rsid w:val="000C7610"/>
    <w:rsid w:val="000C7872"/>
    <w:rsid w:val="000C7C2D"/>
    <w:rsid w:val="000D0721"/>
    <w:rsid w:val="000D08CD"/>
    <w:rsid w:val="000D11CE"/>
    <w:rsid w:val="000D11F9"/>
    <w:rsid w:val="000D136E"/>
    <w:rsid w:val="000D19C8"/>
    <w:rsid w:val="000D1DF7"/>
    <w:rsid w:val="000D1F5D"/>
    <w:rsid w:val="000D21C8"/>
    <w:rsid w:val="000D2BB2"/>
    <w:rsid w:val="000D3103"/>
    <w:rsid w:val="000D33AF"/>
    <w:rsid w:val="000D41E8"/>
    <w:rsid w:val="000D48B0"/>
    <w:rsid w:val="000D4978"/>
    <w:rsid w:val="000D4C17"/>
    <w:rsid w:val="000D55DA"/>
    <w:rsid w:val="000D601B"/>
    <w:rsid w:val="000D6182"/>
    <w:rsid w:val="000D67DB"/>
    <w:rsid w:val="000D6D0C"/>
    <w:rsid w:val="000D6D60"/>
    <w:rsid w:val="000D73E0"/>
    <w:rsid w:val="000D7F34"/>
    <w:rsid w:val="000E0677"/>
    <w:rsid w:val="000E07F9"/>
    <w:rsid w:val="000E0F91"/>
    <w:rsid w:val="000E12C3"/>
    <w:rsid w:val="000E1551"/>
    <w:rsid w:val="000E1B85"/>
    <w:rsid w:val="000E1BAB"/>
    <w:rsid w:val="000E2187"/>
    <w:rsid w:val="000E230F"/>
    <w:rsid w:val="000E2535"/>
    <w:rsid w:val="000E2730"/>
    <w:rsid w:val="000E2B41"/>
    <w:rsid w:val="000E2DA5"/>
    <w:rsid w:val="000E2EFF"/>
    <w:rsid w:val="000E377A"/>
    <w:rsid w:val="000E37B9"/>
    <w:rsid w:val="000E391E"/>
    <w:rsid w:val="000E3A8C"/>
    <w:rsid w:val="000E3D97"/>
    <w:rsid w:val="000E43B8"/>
    <w:rsid w:val="000E47C0"/>
    <w:rsid w:val="000E48CB"/>
    <w:rsid w:val="000E4A84"/>
    <w:rsid w:val="000E4BD7"/>
    <w:rsid w:val="000E4C5B"/>
    <w:rsid w:val="000E4CB5"/>
    <w:rsid w:val="000E4D44"/>
    <w:rsid w:val="000E4E8F"/>
    <w:rsid w:val="000E50C2"/>
    <w:rsid w:val="000E50F4"/>
    <w:rsid w:val="000E5621"/>
    <w:rsid w:val="000E5C02"/>
    <w:rsid w:val="000E5CED"/>
    <w:rsid w:val="000E609D"/>
    <w:rsid w:val="000E6357"/>
    <w:rsid w:val="000E6670"/>
    <w:rsid w:val="000E6C95"/>
    <w:rsid w:val="000E707E"/>
    <w:rsid w:val="000E70D3"/>
    <w:rsid w:val="000F00E5"/>
    <w:rsid w:val="000F0139"/>
    <w:rsid w:val="000F0C38"/>
    <w:rsid w:val="000F0FA1"/>
    <w:rsid w:val="000F16B0"/>
    <w:rsid w:val="000F1A1B"/>
    <w:rsid w:val="000F22F5"/>
    <w:rsid w:val="000F254F"/>
    <w:rsid w:val="000F2910"/>
    <w:rsid w:val="000F2C66"/>
    <w:rsid w:val="000F3A63"/>
    <w:rsid w:val="000F3C06"/>
    <w:rsid w:val="000F3CBD"/>
    <w:rsid w:val="000F43E4"/>
    <w:rsid w:val="000F44A9"/>
    <w:rsid w:val="000F44D6"/>
    <w:rsid w:val="000F487C"/>
    <w:rsid w:val="000F492F"/>
    <w:rsid w:val="000F49E9"/>
    <w:rsid w:val="000F4BE9"/>
    <w:rsid w:val="000F4E24"/>
    <w:rsid w:val="000F4EC6"/>
    <w:rsid w:val="000F58AF"/>
    <w:rsid w:val="000F58EF"/>
    <w:rsid w:val="000F5BB9"/>
    <w:rsid w:val="000F61ED"/>
    <w:rsid w:val="000F63C2"/>
    <w:rsid w:val="000F63F5"/>
    <w:rsid w:val="000F6D1D"/>
    <w:rsid w:val="000F6EEB"/>
    <w:rsid w:val="000F6EF1"/>
    <w:rsid w:val="000F75B1"/>
    <w:rsid w:val="000F7B89"/>
    <w:rsid w:val="00100370"/>
    <w:rsid w:val="0010049C"/>
    <w:rsid w:val="001014DA"/>
    <w:rsid w:val="00101562"/>
    <w:rsid w:val="001015E3"/>
    <w:rsid w:val="00101654"/>
    <w:rsid w:val="00101AF1"/>
    <w:rsid w:val="00101C15"/>
    <w:rsid w:val="001021B5"/>
    <w:rsid w:val="00102455"/>
    <w:rsid w:val="00102BD7"/>
    <w:rsid w:val="00102D94"/>
    <w:rsid w:val="00103C3E"/>
    <w:rsid w:val="001040CA"/>
    <w:rsid w:val="001041AF"/>
    <w:rsid w:val="0010475E"/>
    <w:rsid w:val="001058C0"/>
    <w:rsid w:val="00105B2A"/>
    <w:rsid w:val="00106074"/>
    <w:rsid w:val="00106338"/>
    <w:rsid w:val="0010654A"/>
    <w:rsid w:val="0010660B"/>
    <w:rsid w:val="001066E5"/>
    <w:rsid w:val="00107AE8"/>
    <w:rsid w:val="00110108"/>
    <w:rsid w:val="0011036B"/>
    <w:rsid w:val="00110747"/>
    <w:rsid w:val="0011111A"/>
    <w:rsid w:val="001113E3"/>
    <w:rsid w:val="00112348"/>
    <w:rsid w:val="00112D26"/>
    <w:rsid w:val="00112DBE"/>
    <w:rsid w:val="00112DE5"/>
    <w:rsid w:val="00113AC5"/>
    <w:rsid w:val="00113BF6"/>
    <w:rsid w:val="00114557"/>
    <w:rsid w:val="001147E3"/>
    <w:rsid w:val="00114864"/>
    <w:rsid w:val="00114BD0"/>
    <w:rsid w:val="00114D6C"/>
    <w:rsid w:val="00114EAB"/>
    <w:rsid w:val="00114EFB"/>
    <w:rsid w:val="00115507"/>
    <w:rsid w:val="001156F6"/>
    <w:rsid w:val="00115BE7"/>
    <w:rsid w:val="00115F87"/>
    <w:rsid w:val="00116068"/>
    <w:rsid w:val="00116647"/>
    <w:rsid w:val="00116654"/>
    <w:rsid w:val="00116B10"/>
    <w:rsid w:val="00116CBA"/>
    <w:rsid w:val="00116DEA"/>
    <w:rsid w:val="00116EF0"/>
    <w:rsid w:val="00117BE6"/>
    <w:rsid w:val="00117EB9"/>
    <w:rsid w:val="00120755"/>
    <w:rsid w:val="00120861"/>
    <w:rsid w:val="00120C3C"/>
    <w:rsid w:val="0012218B"/>
    <w:rsid w:val="0012285E"/>
    <w:rsid w:val="001228EE"/>
    <w:rsid w:val="00122AD7"/>
    <w:rsid w:val="00122BCE"/>
    <w:rsid w:val="00122C0F"/>
    <w:rsid w:val="001230BF"/>
    <w:rsid w:val="0012326F"/>
    <w:rsid w:val="00123442"/>
    <w:rsid w:val="001234E6"/>
    <w:rsid w:val="0012419A"/>
    <w:rsid w:val="0012466C"/>
    <w:rsid w:val="0012493F"/>
    <w:rsid w:val="001249D4"/>
    <w:rsid w:val="0012516D"/>
    <w:rsid w:val="0012529C"/>
    <w:rsid w:val="0012537C"/>
    <w:rsid w:val="001256BC"/>
    <w:rsid w:val="00125792"/>
    <w:rsid w:val="00125A4A"/>
    <w:rsid w:val="00125C93"/>
    <w:rsid w:val="00125CAD"/>
    <w:rsid w:val="00125F5B"/>
    <w:rsid w:val="001264BE"/>
    <w:rsid w:val="00126C45"/>
    <w:rsid w:val="00126C71"/>
    <w:rsid w:val="00127158"/>
    <w:rsid w:val="00127162"/>
    <w:rsid w:val="00127703"/>
    <w:rsid w:val="00127ADE"/>
    <w:rsid w:val="00127D2E"/>
    <w:rsid w:val="0013012F"/>
    <w:rsid w:val="001307DF"/>
    <w:rsid w:val="00130B64"/>
    <w:rsid w:val="00131392"/>
    <w:rsid w:val="001314AB"/>
    <w:rsid w:val="001317E3"/>
    <w:rsid w:val="00131D95"/>
    <w:rsid w:val="00131DC3"/>
    <w:rsid w:val="00132227"/>
    <w:rsid w:val="00132B1D"/>
    <w:rsid w:val="001334DE"/>
    <w:rsid w:val="001336BD"/>
    <w:rsid w:val="001337F6"/>
    <w:rsid w:val="00133A88"/>
    <w:rsid w:val="00133DD5"/>
    <w:rsid w:val="00133ED0"/>
    <w:rsid w:val="00134175"/>
    <w:rsid w:val="00134341"/>
    <w:rsid w:val="00134E30"/>
    <w:rsid w:val="00135113"/>
    <w:rsid w:val="00135859"/>
    <w:rsid w:val="00135D4B"/>
    <w:rsid w:val="00136051"/>
    <w:rsid w:val="0013612E"/>
    <w:rsid w:val="00136660"/>
    <w:rsid w:val="00136895"/>
    <w:rsid w:val="00137843"/>
    <w:rsid w:val="00137863"/>
    <w:rsid w:val="00137A6E"/>
    <w:rsid w:val="00137BAB"/>
    <w:rsid w:val="0014030A"/>
    <w:rsid w:val="001408C0"/>
    <w:rsid w:val="00140A5D"/>
    <w:rsid w:val="00140C07"/>
    <w:rsid w:val="00140E64"/>
    <w:rsid w:val="001414E2"/>
    <w:rsid w:val="001421E1"/>
    <w:rsid w:val="0014267C"/>
    <w:rsid w:val="0014268F"/>
    <w:rsid w:val="001426FD"/>
    <w:rsid w:val="00142726"/>
    <w:rsid w:val="0014284F"/>
    <w:rsid w:val="001429F3"/>
    <w:rsid w:val="00142D79"/>
    <w:rsid w:val="00143270"/>
    <w:rsid w:val="00143834"/>
    <w:rsid w:val="00143CC8"/>
    <w:rsid w:val="00144135"/>
    <w:rsid w:val="0014420D"/>
    <w:rsid w:val="00144317"/>
    <w:rsid w:val="00144377"/>
    <w:rsid w:val="001443D8"/>
    <w:rsid w:val="00144B2E"/>
    <w:rsid w:val="00144CC6"/>
    <w:rsid w:val="00145107"/>
    <w:rsid w:val="00145406"/>
    <w:rsid w:val="00145839"/>
    <w:rsid w:val="00146104"/>
    <w:rsid w:val="001468AB"/>
    <w:rsid w:val="001468EB"/>
    <w:rsid w:val="001471B0"/>
    <w:rsid w:val="0014764C"/>
    <w:rsid w:val="001479F1"/>
    <w:rsid w:val="0015034A"/>
    <w:rsid w:val="001503CC"/>
    <w:rsid w:val="001504D9"/>
    <w:rsid w:val="00150D6C"/>
    <w:rsid w:val="00151AE1"/>
    <w:rsid w:val="0015207F"/>
    <w:rsid w:val="00152368"/>
    <w:rsid w:val="0015271D"/>
    <w:rsid w:val="00152A75"/>
    <w:rsid w:val="00152EDF"/>
    <w:rsid w:val="0015312A"/>
    <w:rsid w:val="0015356F"/>
    <w:rsid w:val="0015357D"/>
    <w:rsid w:val="00153854"/>
    <w:rsid w:val="00154458"/>
    <w:rsid w:val="00154747"/>
    <w:rsid w:val="00154DDF"/>
    <w:rsid w:val="00155B64"/>
    <w:rsid w:val="00155F2B"/>
    <w:rsid w:val="00156078"/>
    <w:rsid w:val="00156596"/>
    <w:rsid w:val="001569A6"/>
    <w:rsid w:val="00156AAB"/>
    <w:rsid w:val="00156D62"/>
    <w:rsid w:val="00157063"/>
    <w:rsid w:val="0015786D"/>
    <w:rsid w:val="001579B8"/>
    <w:rsid w:val="00157D15"/>
    <w:rsid w:val="0016054C"/>
    <w:rsid w:val="001605B3"/>
    <w:rsid w:val="001607CB"/>
    <w:rsid w:val="00160C46"/>
    <w:rsid w:val="00160CCD"/>
    <w:rsid w:val="00160D84"/>
    <w:rsid w:val="00161337"/>
    <w:rsid w:val="00161630"/>
    <w:rsid w:val="00161B38"/>
    <w:rsid w:val="00161C38"/>
    <w:rsid w:val="00161FAD"/>
    <w:rsid w:val="00162221"/>
    <w:rsid w:val="00162495"/>
    <w:rsid w:val="001624B7"/>
    <w:rsid w:val="0016278A"/>
    <w:rsid w:val="00162B00"/>
    <w:rsid w:val="00163052"/>
    <w:rsid w:val="0016427D"/>
    <w:rsid w:val="00164484"/>
    <w:rsid w:val="00164875"/>
    <w:rsid w:val="001649ED"/>
    <w:rsid w:val="00164BC2"/>
    <w:rsid w:val="00164DE9"/>
    <w:rsid w:val="001655E9"/>
    <w:rsid w:val="001656CC"/>
    <w:rsid w:val="001665D9"/>
    <w:rsid w:val="00166B17"/>
    <w:rsid w:val="00166D81"/>
    <w:rsid w:val="00166FF4"/>
    <w:rsid w:val="00167403"/>
    <w:rsid w:val="00167533"/>
    <w:rsid w:val="001675EE"/>
    <w:rsid w:val="001676E0"/>
    <w:rsid w:val="0016788C"/>
    <w:rsid w:val="001678F8"/>
    <w:rsid w:val="001679AB"/>
    <w:rsid w:val="0017062B"/>
    <w:rsid w:val="00170632"/>
    <w:rsid w:val="00170681"/>
    <w:rsid w:val="00170830"/>
    <w:rsid w:val="00170838"/>
    <w:rsid w:val="0017096E"/>
    <w:rsid w:val="0017115B"/>
    <w:rsid w:val="001711C1"/>
    <w:rsid w:val="00171261"/>
    <w:rsid w:val="00171390"/>
    <w:rsid w:val="00171B93"/>
    <w:rsid w:val="00171EB5"/>
    <w:rsid w:val="00172711"/>
    <w:rsid w:val="00172CA3"/>
    <w:rsid w:val="00173560"/>
    <w:rsid w:val="00173EA8"/>
    <w:rsid w:val="00173FE8"/>
    <w:rsid w:val="0017439B"/>
    <w:rsid w:val="00174513"/>
    <w:rsid w:val="00174A31"/>
    <w:rsid w:val="00174C54"/>
    <w:rsid w:val="00174CCB"/>
    <w:rsid w:val="00175001"/>
    <w:rsid w:val="0017564D"/>
    <w:rsid w:val="001762AB"/>
    <w:rsid w:val="0017637C"/>
    <w:rsid w:val="001763BF"/>
    <w:rsid w:val="00176460"/>
    <w:rsid w:val="00176610"/>
    <w:rsid w:val="001768E9"/>
    <w:rsid w:val="00176F9D"/>
    <w:rsid w:val="0017729E"/>
    <w:rsid w:val="00177475"/>
    <w:rsid w:val="001778F6"/>
    <w:rsid w:val="00177E4A"/>
    <w:rsid w:val="001802B9"/>
    <w:rsid w:val="00180734"/>
    <w:rsid w:val="00180A5F"/>
    <w:rsid w:val="001816FB"/>
    <w:rsid w:val="00181856"/>
    <w:rsid w:val="00181ECD"/>
    <w:rsid w:val="00182149"/>
    <w:rsid w:val="00182BEF"/>
    <w:rsid w:val="001830A8"/>
    <w:rsid w:val="001830BD"/>
    <w:rsid w:val="001835D2"/>
    <w:rsid w:val="00183B90"/>
    <w:rsid w:val="0018417A"/>
    <w:rsid w:val="001841F2"/>
    <w:rsid w:val="00184D53"/>
    <w:rsid w:val="00184FE6"/>
    <w:rsid w:val="00185239"/>
    <w:rsid w:val="001854C2"/>
    <w:rsid w:val="00185C52"/>
    <w:rsid w:val="00186091"/>
    <w:rsid w:val="001862EF"/>
    <w:rsid w:val="001866C2"/>
    <w:rsid w:val="00186E18"/>
    <w:rsid w:val="001871B8"/>
    <w:rsid w:val="00187562"/>
    <w:rsid w:val="001877F0"/>
    <w:rsid w:val="0018780B"/>
    <w:rsid w:val="00187948"/>
    <w:rsid w:val="00187BBA"/>
    <w:rsid w:val="00190011"/>
    <w:rsid w:val="00190353"/>
    <w:rsid w:val="001906EA"/>
    <w:rsid w:val="00190C30"/>
    <w:rsid w:val="00190FDA"/>
    <w:rsid w:val="0019132A"/>
    <w:rsid w:val="0019177D"/>
    <w:rsid w:val="00191E2A"/>
    <w:rsid w:val="00191F76"/>
    <w:rsid w:val="00192AB9"/>
    <w:rsid w:val="001934D5"/>
    <w:rsid w:val="0019365D"/>
    <w:rsid w:val="00193AD2"/>
    <w:rsid w:val="00193CC8"/>
    <w:rsid w:val="00193F74"/>
    <w:rsid w:val="00193FD2"/>
    <w:rsid w:val="00194B3C"/>
    <w:rsid w:val="0019505F"/>
    <w:rsid w:val="001952D3"/>
    <w:rsid w:val="001955AA"/>
    <w:rsid w:val="00195659"/>
    <w:rsid w:val="00195684"/>
    <w:rsid w:val="001957C7"/>
    <w:rsid w:val="00195871"/>
    <w:rsid w:val="00196107"/>
    <w:rsid w:val="0019722B"/>
    <w:rsid w:val="00197647"/>
    <w:rsid w:val="00197881"/>
    <w:rsid w:val="001978EA"/>
    <w:rsid w:val="00197961"/>
    <w:rsid w:val="00197DAB"/>
    <w:rsid w:val="00197F0D"/>
    <w:rsid w:val="001A06E2"/>
    <w:rsid w:val="001A0CC2"/>
    <w:rsid w:val="001A0E7B"/>
    <w:rsid w:val="001A1270"/>
    <w:rsid w:val="001A1915"/>
    <w:rsid w:val="001A1944"/>
    <w:rsid w:val="001A1BB1"/>
    <w:rsid w:val="001A1C68"/>
    <w:rsid w:val="001A24CA"/>
    <w:rsid w:val="001A2B43"/>
    <w:rsid w:val="001A300A"/>
    <w:rsid w:val="001A3147"/>
    <w:rsid w:val="001A3CE0"/>
    <w:rsid w:val="001A3DB9"/>
    <w:rsid w:val="001A3F9C"/>
    <w:rsid w:val="001A41E2"/>
    <w:rsid w:val="001A498A"/>
    <w:rsid w:val="001A4BAE"/>
    <w:rsid w:val="001A4E21"/>
    <w:rsid w:val="001A4F13"/>
    <w:rsid w:val="001A5138"/>
    <w:rsid w:val="001A519E"/>
    <w:rsid w:val="001A573E"/>
    <w:rsid w:val="001A57B5"/>
    <w:rsid w:val="001A5899"/>
    <w:rsid w:val="001A59F8"/>
    <w:rsid w:val="001A5A75"/>
    <w:rsid w:val="001A5AFC"/>
    <w:rsid w:val="001A5B5F"/>
    <w:rsid w:val="001A5EFC"/>
    <w:rsid w:val="001A6925"/>
    <w:rsid w:val="001A754E"/>
    <w:rsid w:val="001A7606"/>
    <w:rsid w:val="001A7757"/>
    <w:rsid w:val="001A7A99"/>
    <w:rsid w:val="001A7B09"/>
    <w:rsid w:val="001B0954"/>
    <w:rsid w:val="001B0EAA"/>
    <w:rsid w:val="001B152F"/>
    <w:rsid w:val="001B1581"/>
    <w:rsid w:val="001B1EC8"/>
    <w:rsid w:val="001B212C"/>
    <w:rsid w:val="001B25DF"/>
    <w:rsid w:val="001B2835"/>
    <w:rsid w:val="001B2CFC"/>
    <w:rsid w:val="001B3911"/>
    <w:rsid w:val="001B3A8D"/>
    <w:rsid w:val="001B3E8C"/>
    <w:rsid w:val="001B426E"/>
    <w:rsid w:val="001B4827"/>
    <w:rsid w:val="001B4EB4"/>
    <w:rsid w:val="001B559B"/>
    <w:rsid w:val="001B5638"/>
    <w:rsid w:val="001B5889"/>
    <w:rsid w:val="001B5A3F"/>
    <w:rsid w:val="001B5B87"/>
    <w:rsid w:val="001B5CFB"/>
    <w:rsid w:val="001B63B9"/>
    <w:rsid w:val="001B6541"/>
    <w:rsid w:val="001B6692"/>
    <w:rsid w:val="001B66AB"/>
    <w:rsid w:val="001B6853"/>
    <w:rsid w:val="001B6DC9"/>
    <w:rsid w:val="001B7354"/>
    <w:rsid w:val="001B7BB1"/>
    <w:rsid w:val="001B7C0B"/>
    <w:rsid w:val="001B7D9B"/>
    <w:rsid w:val="001B7FAE"/>
    <w:rsid w:val="001C00AC"/>
    <w:rsid w:val="001C0285"/>
    <w:rsid w:val="001C05E9"/>
    <w:rsid w:val="001C0E13"/>
    <w:rsid w:val="001C1475"/>
    <w:rsid w:val="001C1703"/>
    <w:rsid w:val="001C17F6"/>
    <w:rsid w:val="001C236F"/>
    <w:rsid w:val="001C2CE4"/>
    <w:rsid w:val="001C3106"/>
    <w:rsid w:val="001C329C"/>
    <w:rsid w:val="001C347B"/>
    <w:rsid w:val="001C3715"/>
    <w:rsid w:val="001C3DC3"/>
    <w:rsid w:val="001C4109"/>
    <w:rsid w:val="001C4235"/>
    <w:rsid w:val="001C4995"/>
    <w:rsid w:val="001C4AA7"/>
    <w:rsid w:val="001C4AB8"/>
    <w:rsid w:val="001C4CFB"/>
    <w:rsid w:val="001C4D52"/>
    <w:rsid w:val="001C4EA3"/>
    <w:rsid w:val="001C50DA"/>
    <w:rsid w:val="001C5D09"/>
    <w:rsid w:val="001C5D43"/>
    <w:rsid w:val="001C5E6C"/>
    <w:rsid w:val="001C5F7A"/>
    <w:rsid w:val="001C6425"/>
    <w:rsid w:val="001C6600"/>
    <w:rsid w:val="001C6704"/>
    <w:rsid w:val="001C683F"/>
    <w:rsid w:val="001C6A09"/>
    <w:rsid w:val="001C6B13"/>
    <w:rsid w:val="001C6C95"/>
    <w:rsid w:val="001C6C97"/>
    <w:rsid w:val="001C6CFB"/>
    <w:rsid w:val="001C701A"/>
    <w:rsid w:val="001C71FF"/>
    <w:rsid w:val="001C7572"/>
    <w:rsid w:val="001C793D"/>
    <w:rsid w:val="001C7DCE"/>
    <w:rsid w:val="001C7F4E"/>
    <w:rsid w:val="001D0311"/>
    <w:rsid w:val="001D04E1"/>
    <w:rsid w:val="001D0E9F"/>
    <w:rsid w:val="001D0FA5"/>
    <w:rsid w:val="001D131E"/>
    <w:rsid w:val="001D24AC"/>
    <w:rsid w:val="001D27A5"/>
    <w:rsid w:val="001D2ADC"/>
    <w:rsid w:val="001D3900"/>
    <w:rsid w:val="001D3DEC"/>
    <w:rsid w:val="001D3FD4"/>
    <w:rsid w:val="001D4609"/>
    <w:rsid w:val="001D4CF9"/>
    <w:rsid w:val="001D4D35"/>
    <w:rsid w:val="001D4EC2"/>
    <w:rsid w:val="001D5AF1"/>
    <w:rsid w:val="001D5C60"/>
    <w:rsid w:val="001D5CD0"/>
    <w:rsid w:val="001D634F"/>
    <w:rsid w:val="001D6409"/>
    <w:rsid w:val="001D6678"/>
    <w:rsid w:val="001D682D"/>
    <w:rsid w:val="001D69F6"/>
    <w:rsid w:val="001D6A2C"/>
    <w:rsid w:val="001D6D40"/>
    <w:rsid w:val="001D7015"/>
    <w:rsid w:val="001D707E"/>
    <w:rsid w:val="001D742A"/>
    <w:rsid w:val="001D757B"/>
    <w:rsid w:val="001D79AC"/>
    <w:rsid w:val="001D7D68"/>
    <w:rsid w:val="001E007E"/>
    <w:rsid w:val="001E01D8"/>
    <w:rsid w:val="001E0608"/>
    <w:rsid w:val="001E073C"/>
    <w:rsid w:val="001E0BB2"/>
    <w:rsid w:val="001E0F83"/>
    <w:rsid w:val="001E0FE2"/>
    <w:rsid w:val="001E11D6"/>
    <w:rsid w:val="001E11FA"/>
    <w:rsid w:val="001E12D7"/>
    <w:rsid w:val="001E152D"/>
    <w:rsid w:val="001E1FED"/>
    <w:rsid w:val="001E2256"/>
    <w:rsid w:val="001E27FD"/>
    <w:rsid w:val="001E2965"/>
    <w:rsid w:val="001E2B58"/>
    <w:rsid w:val="001E3571"/>
    <w:rsid w:val="001E36C4"/>
    <w:rsid w:val="001E45E4"/>
    <w:rsid w:val="001E479B"/>
    <w:rsid w:val="001E4D88"/>
    <w:rsid w:val="001E4EE2"/>
    <w:rsid w:val="001E52FA"/>
    <w:rsid w:val="001E5560"/>
    <w:rsid w:val="001E5EF4"/>
    <w:rsid w:val="001E68DC"/>
    <w:rsid w:val="001E6D8B"/>
    <w:rsid w:val="001E70AF"/>
    <w:rsid w:val="001E7395"/>
    <w:rsid w:val="001E76CB"/>
    <w:rsid w:val="001E7F5F"/>
    <w:rsid w:val="001F0A7C"/>
    <w:rsid w:val="001F0B38"/>
    <w:rsid w:val="001F0C23"/>
    <w:rsid w:val="001F15E3"/>
    <w:rsid w:val="001F16CA"/>
    <w:rsid w:val="001F1DF6"/>
    <w:rsid w:val="001F214B"/>
    <w:rsid w:val="001F2347"/>
    <w:rsid w:val="001F2C60"/>
    <w:rsid w:val="001F30F9"/>
    <w:rsid w:val="001F3171"/>
    <w:rsid w:val="001F33BD"/>
    <w:rsid w:val="001F3510"/>
    <w:rsid w:val="001F3521"/>
    <w:rsid w:val="001F3AFD"/>
    <w:rsid w:val="001F3E14"/>
    <w:rsid w:val="001F412C"/>
    <w:rsid w:val="001F4215"/>
    <w:rsid w:val="001F4CD9"/>
    <w:rsid w:val="001F5424"/>
    <w:rsid w:val="001F668A"/>
    <w:rsid w:val="001F6701"/>
    <w:rsid w:val="001F7189"/>
    <w:rsid w:val="001F737C"/>
    <w:rsid w:val="001F7AC2"/>
    <w:rsid w:val="00200517"/>
    <w:rsid w:val="00201486"/>
    <w:rsid w:val="00201671"/>
    <w:rsid w:val="002020D3"/>
    <w:rsid w:val="0020223D"/>
    <w:rsid w:val="002027E9"/>
    <w:rsid w:val="00202D4F"/>
    <w:rsid w:val="00202FE4"/>
    <w:rsid w:val="0020305D"/>
    <w:rsid w:val="002038F5"/>
    <w:rsid w:val="002040CD"/>
    <w:rsid w:val="0020415E"/>
    <w:rsid w:val="002043B2"/>
    <w:rsid w:val="00205046"/>
    <w:rsid w:val="0020530E"/>
    <w:rsid w:val="00205F60"/>
    <w:rsid w:val="00206001"/>
    <w:rsid w:val="00206159"/>
    <w:rsid w:val="002064BC"/>
    <w:rsid w:val="00206670"/>
    <w:rsid w:val="002067E2"/>
    <w:rsid w:val="00206938"/>
    <w:rsid w:val="00206BD7"/>
    <w:rsid w:val="00206F9E"/>
    <w:rsid w:val="00207335"/>
    <w:rsid w:val="002073AB"/>
    <w:rsid w:val="00207D39"/>
    <w:rsid w:val="0021054D"/>
    <w:rsid w:val="00210637"/>
    <w:rsid w:val="00210BFC"/>
    <w:rsid w:val="0021117F"/>
    <w:rsid w:val="002111A9"/>
    <w:rsid w:val="00211335"/>
    <w:rsid w:val="00211655"/>
    <w:rsid w:val="00211A4E"/>
    <w:rsid w:val="00211D80"/>
    <w:rsid w:val="00212476"/>
    <w:rsid w:val="002126F2"/>
    <w:rsid w:val="0021273B"/>
    <w:rsid w:val="00212DE0"/>
    <w:rsid w:val="00212E1C"/>
    <w:rsid w:val="002130C2"/>
    <w:rsid w:val="002131AA"/>
    <w:rsid w:val="002132C5"/>
    <w:rsid w:val="002132F6"/>
    <w:rsid w:val="0021362E"/>
    <w:rsid w:val="00213706"/>
    <w:rsid w:val="002138AF"/>
    <w:rsid w:val="00213D33"/>
    <w:rsid w:val="002143EA"/>
    <w:rsid w:val="00214CA6"/>
    <w:rsid w:val="0021568B"/>
    <w:rsid w:val="00215878"/>
    <w:rsid w:val="002159BA"/>
    <w:rsid w:val="002159CD"/>
    <w:rsid w:val="00215A01"/>
    <w:rsid w:val="00216328"/>
    <w:rsid w:val="00216BDB"/>
    <w:rsid w:val="00216F43"/>
    <w:rsid w:val="002172D5"/>
    <w:rsid w:val="00217C65"/>
    <w:rsid w:val="002202DC"/>
    <w:rsid w:val="0022036D"/>
    <w:rsid w:val="0022052A"/>
    <w:rsid w:val="00220A9A"/>
    <w:rsid w:val="002212B3"/>
    <w:rsid w:val="002217B1"/>
    <w:rsid w:val="00221C8D"/>
    <w:rsid w:val="00221E36"/>
    <w:rsid w:val="00222236"/>
    <w:rsid w:val="0022231E"/>
    <w:rsid w:val="0022237C"/>
    <w:rsid w:val="0022249B"/>
    <w:rsid w:val="002226E8"/>
    <w:rsid w:val="002227F6"/>
    <w:rsid w:val="002230E5"/>
    <w:rsid w:val="0022323B"/>
    <w:rsid w:val="00223475"/>
    <w:rsid w:val="00223797"/>
    <w:rsid w:val="00223A80"/>
    <w:rsid w:val="00223B86"/>
    <w:rsid w:val="002244E2"/>
    <w:rsid w:val="0022464C"/>
    <w:rsid w:val="00224AD7"/>
    <w:rsid w:val="00224B5F"/>
    <w:rsid w:val="00224D4A"/>
    <w:rsid w:val="00224D72"/>
    <w:rsid w:val="00225747"/>
    <w:rsid w:val="00225762"/>
    <w:rsid w:val="00225C76"/>
    <w:rsid w:val="00225DE0"/>
    <w:rsid w:val="00226113"/>
    <w:rsid w:val="00226438"/>
    <w:rsid w:val="00226497"/>
    <w:rsid w:val="00226ADA"/>
    <w:rsid w:val="00226C51"/>
    <w:rsid w:val="002271B5"/>
    <w:rsid w:val="00227B05"/>
    <w:rsid w:val="00227BE6"/>
    <w:rsid w:val="00230197"/>
    <w:rsid w:val="002301BC"/>
    <w:rsid w:val="002309A7"/>
    <w:rsid w:val="0023108D"/>
    <w:rsid w:val="002311B6"/>
    <w:rsid w:val="0023122A"/>
    <w:rsid w:val="00231632"/>
    <w:rsid w:val="0023163F"/>
    <w:rsid w:val="00231DEC"/>
    <w:rsid w:val="00231EC8"/>
    <w:rsid w:val="00232896"/>
    <w:rsid w:val="002328E5"/>
    <w:rsid w:val="002331B6"/>
    <w:rsid w:val="002334CE"/>
    <w:rsid w:val="002342B5"/>
    <w:rsid w:val="00234830"/>
    <w:rsid w:val="0023559D"/>
    <w:rsid w:val="002358AD"/>
    <w:rsid w:val="00235CB2"/>
    <w:rsid w:val="00235E31"/>
    <w:rsid w:val="00236096"/>
    <w:rsid w:val="0023627E"/>
    <w:rsid w:val="002366BC"/>
    <w:rsid w:val="002368F4"/>
    <w:rsid w:val="0023719A"/>
    <w:rsid w:val="002374F8"/>
    <w:rsid w:val="00237786"/>
    <w:rsid w:val="00237804"/>
    <w:rsid w:val="00237B30"/>
    <w:rsid w:val="00237E0E"/>
    <w:rsid w:val="00240722"/>
    <w:rsid w:val="00240755"/>
    <w:rsid w:val="00240778"/>
    <w:rsid w:val="00240F93"/>
    <w:rsid w:val="0024126D"/>
    <w:rsid w:val="0024132B"/>
    <w:rsid w:val="0024159A"/>
    <w:rsid w:val="0024170C"/>
    <w:rsid w:val="002417F5"/>
    <w:rsid w:val="0024203F"/>
    <w:rsid w:val="0024207C"/>
    <w:rsid w:val="0024226C"/>
    <w:rsid w:val="002422DC"/>
    <w:rsid w:val="00242490"/>
    <w:rsid w:val="00242BBA"/>
    <w:rsid w:val="002439C3"/>
    <w:rsid w:val="002439EB"/>
    <w:rsid w:val="0024422C"/>
    <w:rsid w:val="00244607"/>
    <w:rsid w:val="00244A77"/>
    <w:rsid w:val="00245423"/>
    <w:rsid w:val="00245964"/>
    <w:rsid w:val="0024694C"/>
    <w:rsid w:val="002469FB"/>
    <w:rsid w:val="00246A9A"/>
    <w:rsid w:val="0024788F"/>
    <w:rsid w:val="002479E1"/>
    <w:rsid w:val="00247AC4"/>
    <w:rsid w:val="00247E2A"/>
    <w:rsid w:val="002506C1"/>
    <w:rsid w:val="00250807"/>
    <w:rsid w:val="00250C4A"/>
    <w:rsid w:val="00251097"/>
    <w:rsid w:val="0025166F"/>
    <w:rsid w:val="00251677"/>
    <w:rsid w:val="00252178"/>
    <w:rsid w:val="002523AE"/>
    <w:rsid w:val="002523B2"/>
    <w:rsid w:val="00252437"/>
    <w:rsid w:val="002525A8"/>
    <w:rsid w:val="00252CF5"/>
    <w:rsid w:val="002530BD"/>
    <w:rsid w:val="00253253"/>
    <w:rsid w:val="00254860"/>
    <w:rsid w:val="00255199"/>
    <w:rsid w:val="002559E0"/>
    <w:rsid w:val="00255F25"/>
    <w:rsid w:val="00255F79"/>
    <w:rsid w:val="0025615C"/>
    <w:rsid w:val="00256483"/>
    <w:rsid w:val="00256588"/>
    <w:rsid w:val="00256F12"/>
    <w:rsid w:val="002571F5"/>
    <w:rsid w:val="002576F3"/>
    <w:rsid w:val="00257A51"/>
    <w:rsid w:val="00257DED"/>
    <w:rsid w:val="00257E5B"/>
    <w:rsid w:val="00257F80"/>
    <w:rsid w:val="00257FB4"/>
    <w:rsid w:val="002600A3"/>
    <w:rsid w:val="002604F2"/>
    <w:rsid w:val="00260987"/>
    <w:rsid w:val="002609D9"/>
    <w:rsid w:val="00260D11"/>
    <w:rsid w:val="00260EC3"/>
    <w:rsid w:val="00261474"/>
    <w:rsid w:val="00261B31"/>
    <w:rsid w:val="00261BCB"/>
    <w:rsid w:val="00261CCB"/>
    <w:rsid w:val="00261D16"/>
    <w:rsid w:val="00261E09"/>
    <w:rsid w:val="0026252F"/>
    <w:rsid w:val="00264569"/>
    <w:rsid w:val="002646A3"/>
    <w:rsid w:val="002648BD"/>
    <w:rsid w:val="00264C7D"/>
    <w:rsid w:val="00264D8A"/>
    <w:rsid w:val="002653D3"/>
    <w:rsid w:val="0026550B"/>
    <w:rsid w:val="002659B8"/>
    <w:rsid w:val="00266148"/>
    <w:rsid w:val="00266222"/>
    <w:rsid w:val="00266385"/>
    <w:rsid w:val="002669A9"/>
    <w:rsid w:val="002669CC"/>
    <w:rsid w:val="002669F4"/>
    <w:rsid w:val="00266E02"/>
    <w:rsid w:val="00270530"/>
    <w:rsid w:val="002705BE"/>
    <w:rsid w:val="00270A51"/>
    <w:rsid w:val="00270E02"/>
    <w:rsid w:val="00270EB9"/>
    <w:rsid w:val="0027100A"/>
    <w:rsid w:val="0027106D"/>
    <w:rsid w:val="00271284"/>
    <w:rsid w:val="0027154E"/>
    <w:rsid w:val="002721AC"/>
    <w:rsid w:val="00272356"/>
    <w:rsid w:val="002728EA"/>
    <w:rsid w:val="00272B77"/>
    <w:rsid w:val="002730BB"/>
    <w:rsid w:val="00273148"/>
    <w:rsid w:val="002731C9"/>
    <w:rsid w:val="0027334F"/>
    <w:rsid w:val="00273514"/>
    <w:rsid w:val="0027361D"/>
    <w:rsid w:val="00273E98"/>
    <w:rsid w:val="00274102"/>
    <w:rsid w:val="0027466D"/>
    <w:rsid w:val="00274D25"/>
    <w:rsid w:val="00274DF6"/>
    <w:rsid w:val="0027520C"/>
    <w:rsid w:val="0027520E"/>
    <w:rsid w:val="00275D34"/>
    <w:rsid w:val="0027602E"/>
    <w:rsid w:val="00276106"/>
    <w:rsid w:val="002761AC"/>
    <w:rsid w:val="002762D6"/>
    <w:rsid w:val="0027649D"/>
    <w:rsid w:val="002764AE"/>
    <w:rsid w:val="00276790"/>
    <w:rsid w:val="002767AA"/>
    <w:rsid w:val="00276A6E"/>
    <w:rsid w:val="00276BBE"/>
    <w:rsid w:val="00276D58"/>
    <w:rsid w:val="00276DC3"/>
    <w:rsid w:val="00277432"/>
    <w:rsid w:val="00277D80"/>
    <w:rsid w:val="002808B5"/>
    <w:rsid w:val="00280BC6"/>
    <w:rsid w:val="00281886"/>
    <w:rsid w:val="00281A9F"/>
    <w:rsid w:val="00281AFB"/>
    <w:rsid w:val="0028224D"/>
    <w:rsid w:val="0028279F"/>
    <w:rsid w:val="00283439"/>
    <w:rsid w:val="002834CE"/>
    <w:rsid w:val="002845CD"/>
    <w:rsid w:val="00284933"/>
    <w:rsid w:val="00284B37"/>
    <w:rsid w:val="00284B6B"/>
    <w:rsid w:val="00284C69"/>
    <w:rsid w:val="00284EEC"/>
    <w:rsid w:val="002851D2"/>
    <w:rsid w:val="00285339"/>
    <w:rsid w:val="00285381"/>
    <w:rsid w:val="00285558"/>
    <w:rsid w:val="00285B8F"/>
    <w:rsid w:val="00285C83"/>
    <w:rsid w:val="00285DEC"/>
    <w:rsid w:val="00286343"/>
    <w:rsid w:val="0028636E"/>
    <w:rsid w:val="00286472"/>
    <w:rsid w:val="0028648D"/>
    <w:rsid w:val="00286D54"/>
    <w:rsid w:val="00287223"/>
    <w:rsid w:val="00287242"/>
    <w:rsid w:val="0028730C"/>
    <w:rsid w:val="0028737D"/>
    <w:rsid w:val="00287396"/>
    <w:rsid w:val="0028752D"/>
    <w:rsid w:val="00287667"/>
    <w:rsid w:val="00287B5E"/>
    <w:rsid w:val="00287FB6"/>
    <w:rsid w:val="00290173"/>
    <w:rsid w:val="00290B23"/>
    <w:rsid w:val="002911E4"/>
    <w:rsid w:val="002914B3"/>
    <w:rsid w:val="00291992"/>
    <w:rsid w:val="00291D67"/>
    <w:rsid w:val="00292134"/>
    <w:rsid w:val="00292189"/>
    <w:rsid w:val="002921D1"/>
    <w:rsid w:val="0029250F"/>
    <w:rsid w:val="00292770"/>
    <w:rsid w:val="00292A9C"/>
    <w:rsid w:val="0029319D"/>
    <w:rsid w:val="002933F7"/>
    <w:rsid w:val="00293429"/>
    <w:rsid w:val="00293759"/>
    <w:rsid w:val="0029390B"/>
    <w:rsid w:val="00293CC6"/>
    <w:rsid w:val="00293D2C"/>
    <w:rsid w:val="00293EDF"/>
    <w:rsid w:val="00293F0F"/>
    <w:rsid w:val="00295560"/>
    <w:rsid w:val="0029597B"/>
    <w:rsid w:val="002962E8"/>
    <w:rsid w:val="00296534"/>
    <w:rsid w:val="002969C6"/>
    <w:rsid w:val="00296B82"/>
    <w:rsid w:val="00296EC0"/>
    <w:rsid w:val="00297223"/>
    <w:rsid w:val="00297B3F"/>
    <w:rsid w:val="002A0002"/>
    <w:rsid w:val="002A0A25"/>
    <w:rsid w:val="002A0BA2"/>
    <w:rsid w:val="002A11EE"/>
    <w:rsid w:val="002A14F4"/>
    <w:rsid w:val="002A1971"/>
    <w:rsid w:val="002A1B60"/>
    <w:rsid w:val="002A22C5"/>
    <w:rsid w:val="002A263B"/>
    <w:rsid w:val="002A29D5"/>
    <w:rsid w:val="002A2D52"/>
    <w:rsid w:val="002A3348"/>
    <w:rsid w:val="002A3484"/>
    <w:rsid w:val="002A364B"/>
    <w:rsid w:val="002A382A"/>
    <w:rsid w:val="002A3A8E"/>
    <w:rsid w:val="002A409C"/>
    <w:rsid w:val="002A5212"/>
    <w:rsid w:val="002A56B3"/>
    <w:rsid w:val="002A5DB6"/>
    <w:rsid w:val="002A5EEA"/>
    <w:rsid w:val="002A636A"/>
    <w:rsid w:val="002A716D"/>
    <w:rsid w:val="002A725C"/>
    <w:rsid w:val="002A75F9"/>
    <w:rsid w:val="002A7951"/>
    <w:rsid w:val="002B000F"/>
    <w:rsid w:val="002B146B"/>
    <w:rsid w:val="002B161E"/>
    <w:rsid w:val="002B1647"/>
    <w:rsid w:val="002B17F0"/>
    <w:rsid w:val="002B1B8A"/>
    <w:rsid w:val="002B1C34"/>
    <w:rsid w:val="002B1E7D"/>
    <w:rsid w:val="002B1E8B"/>
    <w:rsid w:val="002B2055"/>
    <w:rsid w:val="002B24EC"/>
    <w:rsid w:val="002B2AEC"/>
    <w:rsid w:val="002B2D3D"/>
    <w:rsid w:val="002B2F5F"/>
    <w:rsid w:val="002B3397"/>
    <w:rsid w:val="002B33C4"/>
    <w:rsid w:val="002B34A6"/>
    <w:rsid w:val="002B37D9"/>
    <w:rsid w:val="002B37FF"/>
    <w:rsid w:val="002B40D7"/>
    <w:rsid w:val="002B40FD"/>
    <w:rsid w:val="002B4131"/>
    <w:rsid w:val="002B4209"/>
    <w:rsid w:val="002B4368"/>
    <w:rsid w:val="002B4820"/>
    <w:rsid w:val="002B4906"/>
    <w:rsid w:val="002B4E9E"/>
    <w:rsid w:val="002B4F00"/>
    <w:rsid w:val="002B5009"/>
    <w:rsid w:val="002B50B8"/>
    <w:rsid w:val="002B5188"/>
    <w:rsid w:val="002B56CB"/>
    <w:rsid w:val="002B5725"/>
    <w:rsid w:val="002B5860"/>
    <w:rsid w:val="002B63D0"/>
    <w:rsid w:val="002B6974"/>
    <w:rsid w:val="002B72AB"/>
    <w:rsid w:val="002B76E3"/>
    <w:rsid w:val="002B78E4"/>
    <w:rsid w:val="002B79BE"/>
    <w:rsid w:val="002B7E56"/>
    <w:rsid w:val="002C030C"/>
    <w:rsid w:val="002C03C1"/>
    <w:rsid w:val="002C05B3"/>
    <w:rsid w:val="002C094E"/>
    <w:rsid w:val="002C0C68"/>
    <w:rsid w:val="002C0EA5"/>
    <w:rsid w:val="002C27B1"/>
    <w:rsid w:val="002C27F6"/>
    <w:rsid w:val="002C2D41"/>
    <w:rsid w:val="002C2FC7"/>
    <w:rsid w:val="002C3404"/>
    <w:rsid w:val="002C39F0"/>
    <w:rsid w:val="002C3A48"/>
    <w:rsid w:val="002C4094"/>
    <w:rsid w:val="002C434F"/>
    <w:rsid w:val="002C454A"/>
    <w:rsid w:val="002C46C8"/>
    <w:rsid w:val="002C4F94"/>
    <w:rsid w:val="002C55A0"/>
    <w:rsid w:val="002C5733"/>
    <w:rsid w:val="002C592B"/>
    <w:rsid w:val="002C5CE0"/>
    <w:rsid w:val="002C5D05"/>
    <w:rsid w:val="002C5EB6"/>
    <w:rsid w:val="002C6517"/>
    <w:rsid w:val="002C6596"/>
    <w:rsid w:val="002C6B38"/>
    <w:rsid w:val="002C77EF"/>
    <w:rsid w:val="002C7ABB"/>
    <w:rsid w:val="002C7E18"/>
    <w:rsid w:val="002C7FBD"/>
    <w:rsid w:val="002D0076"/>
    <w:rsid w:val="002D0618"/>
    <w:rsid w:val="002D073B"/>
    <w:rsid w:val="002D074B"/>
    <w:rsid w:val="002D0E01"/>
    <w:rsid w:val="002D1129"/>
    <w:rsid w:val="002D11BA"/>
    <w:rsid w:val="002D137D"/>
    <w:rsid w:val="002D1A57"/>
    <w:rsid w:val="002D1B25"/>
    <w:rsid w:val="002D1E8B"/>
    <w:rsid w:val="002D1FCF"/>
    <w:rsid w:val="002D2024"/>
    <w:rsid w:val="002D2520"/>
    <w:rsid w:val="002D2B27"/>
    <w:rsid w:val="002D2F58"/>
    <w:rsid w:val="002D3030"/>
    <w:rsid w:val="002D3065"/>
    <w:rsid w:val="002D3683"/>
    <w:rsid w:val="002D3CBC"/>
    <w:rsid w:val="002D4974"/>
    <w:rsid w:val="002D4E77"/>
    <w:rsid w:val="002D4FE1"/>
    <w:rsid w:val="002D5397"/>
    <w:rsid w:val="002D562F"/>
    <w:rsid w:val="002D6A17"/>
    <w:rsid w:val="002D6B24"/>
    <w:rsid w:val="002D6FF2"/>
    <w:rsid w:val="002D7639"/>
    <w:rsid w:val="002D7CDB"/>
    <w:rsid w:val="002E010E"/>
    <w:rsid w:val="002E13DE"/>
    <w:rsid w:val="002E1B56"/>
    <w:rsid w:val="002E232F"/>
    <w:rsid w:val="002E2522"/>
    <w:rsid w:val="002E31BC"/>
    <w:rsid w:val="002E3DC7"/>
    <w:rsid w:val="002E44C4"/>
    <w:rsid w:val="002E46E4"/>
    <w:rsid w:val="002E4CBE"/>
    <w:rsid w:val="002E5014"/>
    <w:rsid w:val="002E50E3"/>
    <w:rsid w:val="002E522D"/>
    <w:rsid w:val="002E5672"/>
    <w:rsid w:val="002E5D49"/>
    <w:rsid w:val="002E6914"/>
    <w:rsid w:val="002E6AB0"/>
    <w:rsid w:val="002E6ADA"/>
    <w:rsid w:val="002E6B5B"/>
    <w:rsid w:val="002E6BC3"/>
    <w:rsid w:val="002E6F1C"/>
    <w:rsid w:val="002E711A"/>
    <w:rsid w:val="002E71FD"/>
    <w:rsid w:val="002E744B"/>
    <w:rsid w:val="002E77E6"/>
    <w:rsid w:val="002E7ADB"/>
    <w:rsid w:val="002E7B78"/>
    <w:rsid w:val="002E7BA3"/>
    <w:rsid w:val="002F0029"/>
    <w:rsid w:val="002F0189"/>
    <w:rsid w:val="002F0893"/>
    <w:rsid w:val="002F09AC"/>
    <w:rsid w:val="002F0C89"/>
    <w:rsid w:val="002F1285"/>
    <w:rsid w:val="002F1557"/>
    <w:rsid w:val="002F159A"/>
    <w:rsid w:val="002F1660"/>
    <w:rsid w:val="002F1ABC"/>
    <w:rsid w:val="002F1B74"/>
    <w:rsid w:val="002F2345"/>
    <w:rsid w:val="002F2E04"/>
    <w:rsid w:val="002F2ED6"/>
    <w:rsid w:val="002F319F"/>
    <w:rsid w:val="002F3D40"/>
    <w:rsid w:val="002F3DEC"/>
    <w:rsid w:val="002F3DF1"/>
    <w:rsid w:val="002F3FA5"/>
    <w:rsid w:val="002F4270"/>
    <w:rsid w:val="002F469C"/>
    <w:rsid w:val="002F4872"/>
    <w:rsid w:val="002F4C92"/>
    <w:rsid w:val="002F57FC"/>
    <w:rsid w:val="002F5D0F"/>
    <w:rsid w:val="002F6C11"/>
    <w:rsid w:val="002F6E1B"/>
    <w:rsid w:val="002F7409"/>
    <w:rsid w:val="002F74C8"/>
    <w:rsid w:val="002F7961"/>
    <w:rsid w:val="002F7B92"/>
    <w:rsid w:val="002F7F07"/>
    <w:rsid w:val="0030003C"/>
    <w:rsid w:val="0030024A"/>
    <w:rsid w:val="00300AD2"/>
    <w:rsid w:val="00300EAA"/>
    <w:rsid w:val="003015BE"/>
    <w:rsid w:val="003020BB"/>
    <w:rsid w:val="003020DD"/>
    <w:rsid w:val="003020EC"/>
    <w:rsid w:val="003022A2"/>
    <w:rsid w:val="0030295C"/>
    <w:rsid w:val="003029AA"/>
    <w:rsid w:val="00302A32"/>
    <w:rsid w:val="00302C5B"/>
    <w:rsid w:val="00303169"/>
    <w:rsid w:val="0030318C"/>
    <w:rsid w:val="00303300"/>
    <w:rsid w:val="003036B7"/>
    <w:rsid w:val="0030393C"/>
    <w:rsid w:val="00303D20"/>
    <w:rsid w:val="00303F14"/>
    <w:rsid w:val="003042C2"/>
    <w:rsid w:val="00305A53"/>
    <w:rsid w:val="00305F75"/>
    <w:rsid w:val="0030617A"/>
    <w:rsid w:val="003065D0"/>
    <w:rsid w:val="00306E7E"/>
    <w:rsid w:val="00307D49"/>
    <w:rsid w:val="00310507"/>
    <w:rsid w:val="00310578"/>
    <w:rsid w:val="00310664"/>
    <w:rsid w:val="00310AA9"/>
    <w:rsid w:val="00310EFC"/>
    <w:rsid w:val="00310FB9"/>
    <w:rsid w:val="003117E7"/>
    <w:rsid w:val="00311DA0"/>
    <w:rsid w:val="00311F37"/>
    <w:rsid w:val="00312142"/>
    <w:rsid w:val="0031215E"/>
    <w:rsid w:val="003127AB"/>
    <w:rsid w:val="00312C3F"/>
    <w:rsid w:val="0031300D"/>
    <w:rsid w:val="00313C9A"/>
    <w:rsid w:val="00313F72"/>
    <w:rsid w:val="0031518F"/>
    <w:rsid w:val="003152C7"/>
    <w:rsid w:val="003159A7"/>
    <w:rsid w:val="00315AB6"/>
    <w:rsid w:val="00316445"/>
    <w:rsid w:val="00316462"/>
    <w:rsid w:val="0031688E"/>
    <w:rsid w:val="00316E1D"/>
    <w:rsid w:val="00316E55"/>
    <w:rsid w:val="003171D7"/>
    <w:rsid w:val="00317C2D"/>
    <w:rsid w:val="00317ED1"/>
    <w:rsid w:val="00320874"/>
    <w:rsid w:val="003209F8"/>
    <w:rsid w:val="00320CCE"/>
    <w:rsid w:val="00320F84"/>
    <w:rsid w:val="003210AB"/>
    <w:rsid w:val="00321442"/>
    <w:rsid w:val="0032191A"/>
    <w:rsid w:val="00321B0C"/>
    <w:rsid w:val="003225E3"/>
    <w:rsid w:val="003226C6"/>
    <w:rsid w:val="00322D9E"/>
    <w:rsid w:val="00322EA5"/>
    <w:rsid w:val="003230E3"/>
    <w:rsid w:val="003233E9"/>
    <w:rsid w:val="00323B1E"/>
    <w:rsid w:val="00323D0B"/>
    <w:rsid w:val="003243B2"/>
    <w:rsid w:val="00324638"/>
    <w:rsid w:val="00324797"/>
    <w:rsid w:val="00324F60"/>
    <w:rsid w:val="003251AA"/>
    <w:rsid w:val="00325525"/>
    <w:rsid w:val="00325983"/>
    <w:rsid w:val="00325BC4"/>
    <w:rsid w:val="00325CD0"/>
    <w:rsid w:val="003260BA"/>
    <w:rsid w:val="00326633"/>
    <w:rsid w:val="0032683A"/>
    <w:rsid w:val="00326859"/>
    <w:rsid w:val="00326935"/>
    <w:rsid w:val="003269C7"/>
    <w:rsid w:val="00327345"/>
    <w:rsid w:val="003275D6"/>
    <w:rsid w:val="0032760F"/>
    <w:rsid w:val="00327E92"/>
    <w:rsid w:val="003302F5"/>
    <w:rsid w:val="00330353"/>
    <w:rsid w:val="00330F2E"/>
    <w:rsid w:val="0033106C"/>
    <w:rsid w:val="00331197"/>
    <w:rsid w:val="0033135C"/>
    <w:rsid w:val="003314C5"/>
    <w:rsid w:val="003314F4"/>
    <w:rsid w:val="00331719"/>
    <w:rsid w:val="00331783"/>
    <w:rsid w:val="0033181A"/>
    <w:rsid w:val="003321F9"/>
    <w:rsid w:val="0033274A"/>
    <w:rsid w:val="00332776"/>
    <w:rsid w:val="00332A30"/>
    <w:rsid w:val="00332ABE"/>
    <w:rsid w:val="003330DD"/>
    <w:rsid w:val="00333279"/>
    <w:rsid w:val="00333643"/>
    <w:rsid w:val="00333869"/>
    <w:rsid w:val="003339B1"/>
    <w:rsid w:val="00333CBB"/>
    <w:rsid w:val="00333D50"/>
    <w:rsid w:val="00333D54"/>
    <w:rsid w:val="0033456F"/>
    <w:rsid w:val="00334A55"/>
    <w:rsid w:val="00334AB4"/>
    <w:rsid w:val="00334F74"/>
    <w:rsid w:val="00335AB8"/>
    <w:rsid w:val="00335B9D"/>
    <w:rsid w:val="00335D4A"/>
    <w:rsid w:val="0033641B"/>
    <w:rsid w:val="0033704D"/>
    <w:rsid w:val="00337378"/>
    <w:rsid w:val="00337719"/>
    <w:rsid w:val="00337E68"/>
    <w:rsid w:val="00337F36"/>
    <w:rsid w:val="00337FFC"/>
    <w:rsid w:val="003402A0"/>
    <w:rsid w:val="0034045C"/>
    <w:rsid w:val="0034060A"/>
    <w:rsid w:val="00340864"/>
    <w:rsid w:val="00340A68"/>
    <w:rsid w:val="00340B50"/>
    <w:rsid w:val="00340E1F"/>
    <w:rsid w:val="00341498"/>
    <w:rsid w:val="003416CD"/>
    <w:rsid w:val="00341800"/>
    <w:rsid w:val="003422C6"/>
    <w:rsid w:val="00342B76"/>
    <w:rsid w:val="00342E98"/>
    <w:rsid w:val="00342F5B"/>
    <w:rsid w:val="00342F75"/>
    <w:rsid w:val="003432E0"/>
    <w:rsid w:val="003434EC"/>
    <w:rsid w:val="0034369E"/>
    <w:rsid w:val="003436D1"/>
    <w:rsid w:val="00343797"/>
    <w:rsid w:val="00343A41"/>
    <w:rsid w:val="00343F2B"/>
    <w:rsid w:val="003447D8"/>
    <w:rsid w:val="00344CB5"/>
    <w:rsid w:val="00345087"/>
    <w:rsid w:val="00345334"/>
    <w:rsid w:val="00345350"/>
    <w:rsid w:val="00346A7E"/>
    <w:rsid w:val="00346CF2"/>
    <w:rsid w:val="00347259"/>
    <w:rsid w:val="00350674"/>
    <w:rsid w:val="00351003"/>
    <w:rsid w:val="0035127B"/>
    <w:rsid w:val="00351292"/>
    <w:rsid w:val="00351646"/>
    <w:rsid w:val="00352158"/>
    <w:rsid w:val="00352758"/>
    <w:rsid w:val="00352F48"/>
    <w:rsid w:val="003531C3"/>
    <w:rsid w:val="003534B8"/>
    <w:rsid w:val="003534CE"/>
    <w:rsid w:val="00353B73"/>
    <w:rsid w:val="00353BDB"/>
    <w:rsid w:val="00353FBB"/>
    <w:rsid w:val="0035439D"/>
    <w:rsid w:val="00354568"/>
    <w:rsid w:val="00354959"/>
    <w:rsid w:val="00355996"/>
    <w:rsid w:val="00356377"/>
    <w:rsid w:val="003564E7"/>
    <w:rsid w:val="003565D5"/>
    <w:rsid w:val="003569F5"/>
    <w:rsid w:val="00356A1F"/>
    <w:rsid w:val="00356FE8"/>
    <w:rsid w:val="00357130"/>
    <w:rsid w:val="003571EC"/>
    <w:rsid w:val="00357209"/>
    <w:rsid w:val="003575F1"/>
    <w:rsid w:val="00357EE2"/>
    <w:rsid w:val="003600D5"/>
    <w:rsid w:val="00360D99"/>
    <w:rsid w:val="00360DC8"/>
    <w:rsid w:val="00360E3B"/>
    <w:rsid w:val="003615A9"/>
    <w:rsid w:val="00361CA7"/>
    <w:rsid w:val="00361F61"/>
    <w:rsid w:val="0036209F"/>
    <w:rsid w:val="0036234A"/>
    <w:rsid w:val="00362490"/>
    <w:rsid w:val="003626E3"/>
    <w:rsid w:val="00362B9A"/>
    <w:rsid w:val="0036310A"/>
    <w:rsid w:val="0036361E"/>
    <w:rsid w:val="003647F9"/>
    <w:rsid w:val="00364AA1"/>
    <w:rsid w:val="00364CCA"/>
    <w:rsid w:val="00364D36"/>
    <w:rsid w:val="00365269"/>
    <w:rsid w:val="0036575A"/>
    <w:rsid w:val="0036579C"/>
    <w:rsid w:val="003658A0"/>
    <w:rsid w:val="00366242"/>
    <w:rsid w:val="00366889"/>
    <w:rsid w:val="00366CC2"/>
    <w:rsid w:val="00366DF8"/>
    <w:rsid w:val="0036760D"/>
    <w:rsid w:val="003678A5"/>
    <w:rsid w:val="00367C58"/>
    <w:rsid w:val="00367CA1"/>
    <w:rsid w:val="0037133A"/>
    <w:rsid w:val="00371699"/>
    <w:rsid w:val="003717FC"/>
    <w:rsid w:val="00371BCA"/>
    <w:rsid w:val="00372ADF"/>
    <w:rsid w:val="00372B9C"/>
    <w:rsid w:val="00372C4E"/>
    <w:rsid w:val="003733E2"/>
    <w:rsid w:val="003739B5"/>
    <w:rsid w:val="0037456B"/>
    <w:rsid w:val="00374609"/>
    <w:rsid w:val="00374627"/>
    <w:rsid w:val="00374937"/>
    <w:rsid w:val="0037587E"/>
    <w:rsid w:val="0037597E"/>
    <w:rsid w:val="00375EFE"/>
    <w:rsid w:val="00376E31"/>
    <w:rsid w:val="00377124"/>
    <w:rsid w:val="003773DC"/>
    <w:rsid w:val="00377A79"/>
    <w:rsid w:val="00377B35"/>
    <w:rsid w:val="00377E57"/>
    <w:rsid w:val="00377F64"/>
    <w:rsid w:val="00377F77"/>
    <w:rsid w:val="00380420"/>
    <w:rsid w:val="0038072C"/>
    <w:rsid w:val="00380A63"/>
    <w:rsid w:val="00380B33"/>
    <w:rsid w:val="00381A31"/>
    <w:rsid w:val="00381BAD"/>
    <w:rsid w:val="00381E4A"/>
    <w:rsid w:val="0038201C"/>
    <w:rsid w:val="00382493"/>
    <w:rsid w:val="003827AA"/>
    <w:rsid w:val="003828BC"/>
    <w:rsid w:val="00382F2E"/>
    <w:rsid w:val="00382F33"/>
    <w:rsid w:val="00383619"/>
    <w:rsid w:val="003838BE"/>
    <w:rsid w:val="00383DCE"/>
    <w:rsid w:val="00383EFE"/>
    <w:rsid w:val="00384204"/>
    <w:rsid w:val="0038456C"/>
    <w:rsid w:val="00384693"/>
    <w:rsid w:val="00385423"/>
    <w:rsid w:val="0038595A"/>
    <w:rsid w:val="0038636E"/>
    <w:rsid w:val="00386630"/>
    <w:rsid w:val="00386B0F"/>
    <w:rsid w:val="003876AC"/>
    <w:rsid w:val="00387A79"/>
    <w:rsid w:val="00387D2B"/>
    <w:rsid w:val="00387DE8"/>
    <w:rsid w:val="00387F75"/>
    <w:rsid w:val="003903CF"/>
    <w:rsid w:val="00390431"/>
    <w:rsid w:val="00390B51"/>
    <w:rsid w:val="00390C0C"/>
    <w:rsid w:val="003913E1"/>
    <w:rsid w:val="003915DE"/>
    <w:rsid w:val="00391794"/>
    <w:rsid w:val="00391AE6"/>
    <w:rsid w:val="00391B39"/>
    <w:rsid w:val="00391E59"/>
    <w:rsid w:val="00391F9B"/>
    <w:rsid w:val="00391FC4"/>
    <w:rsid w:val="003921F0"/>
    <w:rsid w:val="003927BF"/>
    <w:rsid w:val="00392E0D"/>
    <w:rsid w:val="003934AE"/>
    <w:rsid w:val="003934C9"/>
    <w:rsid w:val="00393A75"/>
    <w:rsid w:val="00393BF6"/>
    <w:rsid w:val="00393CB2"/>
    <w:rsid w:val="00393CEB"/>
    <w:rsid w:val="00393E1F"/>
    <w:rsid w:val="003940DD"/>
    <w:rsid w:val="00394766"/>
    <w:rsid w:val="00394B9A"/>
    <w:rsid w:val="00395015"/>
    <w:rsid w:val="0039507E"/>
    <w:rsid w:val="003953EA"/>
    <w:rsid w:val="00395A89"/>
    <w:rsid w:val="00396632"/>
    <w:rsid w:val="00396894"/>
    <w:rsid w:val="00396A23"/>
    <w:rsid w:val="00396ADA"/>
    <w:rsid w:val="00396C93"/>
    <w:rsid w:val="0039715D"/>
    <w:rsid w:val="00397CEA"/>
    <w:rsid w:val="003A0B95"/>
    <w:rsid w:val="003A0C03"/>
    <w:rsid w:val="003A12AF"/>
    <w:rsid w:val="003A1317"/>
    <w:rsid w:val="003A13FB"/>
    <w:rsid w:val="003A1828"/>
    <w:rsid w:val="003A184B"/>
    <w:rsid w:val="003A18ED"/>
    <w:rsid w:val="003A18F2"/>
    <w:rsid w:val="003A19CC"/>
    <w:rsid w:val="003A1D8C"/>
    <w:rsid w:val="003A1E89"/>
    <w:rsid w:val="003A23B2"/>
    <w:rsid w:val="003A25A5"/>
    <w:rsid w:val="003A2C5E"/>
    <w:rsid w:val="003A2F73"/>
    <w:rsid w:val="003A2FA9"/>
    <w:rsid w:val="003A3162"/>
    <w:rsid w:val="003A31F2"/>
    <w:rsid w:val="003A32AE"/>
    <w:rsid w:val="003A3EC0"/>
    <w:rsid w:val="003A5741"/>
    <w:rsid w:val="003A594F"/>
    <w:rsid w:val="003A5C0B"/>
    <w:rsid w:val="003A5C70"/>
    <w:rsid w:val="003A6D51"/>
    <w:rsid w:val="003A6D9D"/>
    <w:rsid w:val="003A7012"/>
    <w:rsid w:val="003A73EC"/>
    <w:rsid w:val="003A76BA"/>
    <w:rsid w:val="003A77FC"/>
    <w:rsid w:val="003A7F6B"/>
    <w:rsid w:val="003B0537"/>
    <w:rsid w:val="003B06F3"/>
    <w:rsid w:val="003B0B7E"/>
    <w:rsid w:val="003B0D47"/>
    <w:rsid w:val="003B1200"/>
    <w:rsid w:val="003B1202"/>
    <w:rsid w:val="003B1799"/>
    <w:rsid w:val="003B1846"/>
    <w:rsid w:val="003B1C56"/>
    <w:rsid w:val="003B2166"/>
    <w:rsid w:val="003B29FE"/>
    <w:rsid w:val="003B2BA5"/>
    <w:rsid w:val="003B2FDA"/>
    <w:rsid w:val="003B30E4"/>
    <w:rsid w:val="003B337D"/>
    <w:rsid w:val="003B454E"/>
    <w:rsid w:val="003B47FC"/>
    <w:rsid w:val="003B4988"/>
    <w:rsid w:val="003B4E68"/>
    <w:rsid w:val="003B50A6"/>
    <w:rsid w:val="003B50D2"/>
    <w:rsid w:val="003B50DB"/>
    <w:rsid w:val="003B5111"/>
    <w:rsid w:val="003B5A76"/>
    <w:rsid w:val="003B5FEC"/>
    <w:rsid w:val="003B61A6"/>
    <w:rsid w:val="003B62E3"/>
    <w:rsid w:val="003B6365"/>
    <w:rsid w:val="003B66C2"/>
    <w:rsid w:val="003B6799"/>
    <w:rsid w:val="003B69CE"/>
    <w:rsid w:val="003B6D71"/>
    <w:rsid w:val="003B6DB2"/>
    <w:rsid w:val="003B715A"/>
    <w:rsid w:val="003B71AF"/>
    <w:rsid w:val="003B7657"/>
    <w:rsid w:val="003B78D5"/>
    <w:rsid w:val="003B7B53"/>
    <w:rsid w:val="003B7D6F"/>
    <w:rsid w:val="003C00AB"/>
    <w:rsid w:val="003C09D8"/>
    <w:rsid w:val="003C0D0D"/>
    <w:rsid w:val="003C19F9"/>
    <w:rsid w:val="003C1AAB"/>
    <w:rsid w:val="003C1B83"/>
    <w:rsid w:val="003C1E1A"/>
    <w:rsid w:val="003C2470"/>
    <w:rsid w:val="003C2CB7"/>
    <w:rsid w:val="003C3074"/>
    <w:rsid w:val="003C30B9"/>
    <w:rsid w:val="003C3241"/>
    <w:rsid w:val="003C35E9"/>
    <w:rsid w:val="003C38B7"/>
    <w:rsid w:val="003C39ED"/>
    <w:rsid w:val="003C3D85"/>
    <w:rsid w:val="003C40B8"/>
    <w:rsid w:val="003C41CD"/>
    <w:rsid w:val="003C4301"/>
    <w:rsid w:val="003C44E6"/>
    <w:rsid w:val="003C490B"/>
    <w:rsid w:val="003C4A68"/>
    <w:rsid w:val="003C4DAE"/>
    <w:rsid w:val="003C56BB"/>
    <w:rsid w:val="003C5A31"/>
    <w:rsid w:val="003C5C2C"/>
    <w:rsid w:val="003C62E3"/>
    <w:rsid w:val="003C688E"/>
    <w:rsid w:val="003C6A8A"/>
    <w:rsid w:val="003C6D13"/>
    <w:rsid w:val="003C6E91"/>
    <w:rsid w:val="003C731D"/>
    <w:rsid w:val="003C7446"/>
    <w:rsid w:val="003C7661"/>
    <w:rsid w:val="003C7B3E"/>
    <w:rsid w:val="003C7C0B"/>
    <w:rsid w:val="003C7CAA"/>
    <w:rsid w:val="003C7DE9"/>
    <w:rsid w:val="003D10B0"/>
    <w:rsid w:val="003D1185"/>
    <w:rsid w:val="003D284C"/>
    <w:rsid w:val="003D2881"/>
    <w:rsid w:val="003D2F5A"/>
    <w:rsid w:val="003D2FB5"/>
    <w:rsid w:val="003D3166"/>
    <w:rsid w:val="003D345C"/>
    <w:rsid w:val="003D44B0"/>
    <w:rsid w:val="003D458A"/>
    <w:rsid w:val="003D4CD7"/>
    <w:rsid w:val="003D4F4C"/>
    <w:rsid w:val="003D5159"/>
    <w:rsid w:val="003D5AF8"/>
    <w:rsid w:val="003D60CC"/>
    <w:rsid w:val="003D60DF"/>
    <w:rsid w:val="003D638E"/>
    <w:rsid w:val="003D64C2"/>
    <w:rsid w:val="003D66F6"/>
    <w:rsid w:val="003D68A5"/>
    <w:rsid w:val="003D6DCF"/>
    <w:rsid w:val="003D7196"/>
    <w:rsid w:val="003D7B53"/>
    <w:rsid w:val="003D7B7C"/>
    <w:rsid w:val="003E0496"/>
    <w:rsid w:val="003E08DC"/>
    <w:rsid w:val="003E0903"/>
    <w:rsid w:val="003E0E59"/>
    <w:rsid w:val="003E12B0"/>
    <w:rsid w:val="003E1F74"/>
    <w:rsid w:val="003E24CF"/>
    <w:rsid w:val="003E2602"/>
    <w:rsid w:val="003E2758"/>
    <w:rsid w:val="003E27A6"/>
    <w:rsid w:val="003E2939"/>
    <w:rsid w:val="003E2D0C"/>
    <w:rsid w:val="003E393A"/>
    <w:rsid w:val="003E42A9"/>
    <w:rsid w:val="003E43C5"/>
    <w:rsid w:val="003E44D0"/>
    <w:rsid w:val="003E4637"/>
    <w:rsid w:val="003E509E"/>
    <w:rsid w:val="003E53FF"/>
    <w:rsid w:val="003E544F"/>
    <w:rsid w:val="003E56AD"/>
    <w:rsid w:val="003E578A"/>
    <w:rsid w:val="003E58B4"/>
    <w:rsid w:val="003E5B5C"/>
    <w:rsid w:val="003E5F73"/>
    <w:rsid w:val="003E63FD"/>
    <w:rsid w:val="003E64DB"/>
    <w:rsid w:val="003E7956"/>
    <w:rsid w:val="003F05EF"/>
    <w:rsid w:val="003F1018"/>
    <w:rsid w:val="003F220A"/>
    <w:rsid w:val="003F27E4"/>
    <w:rsid w:val="003F2B79"/>
    <w:rsid w:val="003F2F8D"/>
    <w:rsid w:val="003F2FB7"/>
    <w:rsid w:val="003F35F5"/>
    <w:rsid w:val="003F3D2E"/>
    <w:rsid w:val="003F4215"/>
    <w:rsid w:val="003F589D"/>
    <w:rsid w:val="003F5A78"/>
    <w:rsid w:val="003F5E49"/>
    <w:rsid w:val="003F5FA6"/>
    <w:rsid w:val="003F6A95"/>
    <w:rsid w:val="003F7121"/>
    <w:rsid w:val="004005DD"/>
    <w:rsid w:val="00400822"/>
    <w:rsid w:val="00400863"/>
    <w:rsid w:val="004017DB"/>
    <w:rsid w:val="00401E50"/>
    <w:rsid w:val="004026FD"/>
    <w:rsid w:val="00402D60"/>
    <w:rsid w:val="00403C33"/>
    <w:rsid w:val="00403D6A"/>
    <w:rsid w:val="00403E56"/>
    <w:rsid w:val="004041FE"/>
    <w:rsid w:val="00404B0A"/>
    <w:rsid w:val="00404B57"/>
    <w:rsid w:val="00404CA6"/>
    <w:rsid w:val="004061BC"/>
    <w:rsid w:val="004062E3"/>
    <w:rsid w:val="00406331"/>
    <w:rsid w:val="004065B6"/>
    <w:rsid w:val="0040673C"/>
    <w:rsid w:val="00406834"/>
    <w:rsid w:val="00406D3C"/>
    <w:rsid w:val="00406DD8"/>
    <w:rsid w:val="00407C27"/>
    <w:rsid w:val="00407C2A"/>
    <w:rsid w:val="00407D9B"/>
    <w:rsid w:val="00407E47"/>
    <w:rsid w:val="00410074"/>
    <w:rsid w:val="004101FD"/>
    <w:rsid w:val="00410523"/>
    <w:rsid w:val="0041081F"/>
    <w:rsid w:val="004109EB"/>
    <w:rsid w:val="00410AA1"/>
    <w:rsid w:val="004112EC"/>
    <w:rsid w:val="004117F7"/>
    <w:rsid w:val="00411A14"/>
    <w:rsid w:val="00411A73"/>
    <w:rsid w:val="00411CB4"/>
    <w:rsid w:val="00411CB9"/>
    <w:rsid w:val="00411E1E"/>
    <w:rsid w:val="00411E7B"/>
    <w:rsid w:val="00411EE8"/>
    <w:rsid w:val="00412352"/>
    <w:rsid w:val="00412773"/>
    <w:rsid w:val="0041277F"/>
    <w:rsid w:val="00413157"/>
    <w:rsid w:val="0041328E"/>
    <w:rsid w:val="0041332C"/>
    <w:rsid w:val="004133CA"/>
    <w:rsid w:val="0041350B"/>
    <w:rsid w:val="004135C2"/>
    <w:rsid w:val="004139BA"/>
    <w:rsid w:val="00413DC3"/>
    <w:rsid w:val="0041465E"/>
    <w:rsid w:val="0041475C"/>
    <w:rsid w:val="00414D33"/>
    <w:rsid w:val="0041504E"/>
    <w:rsid w:val="004150E0"/>
    <w:rsid w:val="00415244"/>
    <w:rsid w:val="00415521"/>
    <w:rsid w:val="00415ED6"/>
    <w:rsid w:val="0041697F"/>
    <w:rsid w:val="004171EE"/>
    <w:rsid w:val="004179D0"/>
    <w:rsid w:val="00420166"/>
    <w:rsid w:val="00420363"/>
    <w:rsid w:val="00421D5E"/>
    <w:rsid w:val="00422163"/>
    <w:rsid w:val="00422911"/>
    <w:rsid w:val="00423196"/>
    <w:rsid w:val="00423227"/>
    <w:rsid w:val="0042374B"/>
    <w:rsid w:val="004240BC"/>
    <w:rsid w:val="0042468E"/>
    <w:rsid w:val="00424983"/>
    <w:rsid w:val="00424B87"/>
    <w:rsid w:val="00424DA0"/>
    <w:rsid w:val="00424E56"/>
    <w:rsid w:val="0042525C"/>
    <w:rsid w:val="00425407"/>
    <w:rsid w:val="00425503"/>
    <w:rsid w:val="00425889"/>
    <w:rsid w:val="004259D3"/>
    <w:rsid w:val="00425BA9"/>
    <w:rsid w:val="00425F99"/>
    <w:rsid w:val="004268EE"/>
    <w:rsid w:val="00426BEC"/>
    <w:rsid w:val="00426D45"/>
    <w:rsid w:val="004277DA"/>
    <w:rsid w:val="00427A49"/>
    <w:rsid w:val="00430194"/>
    <w:rsid w:val="004302BA"/>
    <w:rsid w:val="004302C7"/>
    <w:rsid w:val="004303F7"/>
    <w:rsid w:val="00430403"/>
    <w:rsid w:val="004306B5"/>
    <w:rsid w:val="00430D82"/>
    <w:rsid w:val="00430E5B"/>
    <w:rsid w:val="0043175D"/>
    <w:rsid w:val="00431880"/>
    <w:rsid w:val="00432127"/>
    <w:rsid w:val="00432504"/>
    <w:rsid w:val="0043256C"/>
    <w:rsid w:val="004333E6"/>
    <w:rsid w:val="004335A1"/>
    <w:rsid w:val="004335E3"/>
    <w:rsid w:val="004337B5"/>
    <w:rsid w:val="004337F4"/>
    <w:rsid w:val="00433A2F"/>
    <w:rsid w:val="00433A9F"/>
    <w:rsid w:val="00433F64"/>
    <w:rsid w:val="004344DC"/>
    <w:rsid w:val="00434BAA"/>
    <w:rsid w:val="00435391"/>
    <w:rsid w:val="004353A8"/>
    <w:rsid w:val="00435DC6"/>
    <w:rsid w:val="00436140"/>
    <w:rsid w:val="00436D51"/>
    <w:rsid w:val="00436E9A"/>
    <w:rsid w:val="00436F0F"/>
    <w:rsid w:val="00436FC4"/>
    <w:rsid w:val="00437032"/>
    <w:rsid w:val="004373B2"/>
    <w:rsid w:val="00437581"/>
    <w:rsid w:val="00437F6F"/>
    <w:rsid w:val="004407A7"/>
    <w:rsid w:val="00440B2F"/>
    <w:rsid w:val="00440DCC"/>
    <w:rsid w:val="00440E0D"/>
    <w:rsid w:val="00441058"/>
    <w:rsid w:val="00441447"/>
    <w:rsid w:val="00441694"/>
    <w:rsid w:val="0044172E"/>
    <w:rsid w:val="00441832"/>
    <w:rsid w:val="0044186C"/>
    <w:rsid w:val="00441B21"/>
    <w:rsid w:val="00442706"/>
    <w:rsid w:val="00442F78"/>
    <w:rsid w:val="00442FAB"/>
    <w:rsid w:val="00443146"/>
    <w:rsid w:val="00443312"/>
    <w:rsid w:val="004437AA"/>
    <w:rsid w:val="00443BD4"/>
    <w:rsid w:val="00443DE6"/>
    <w:rsid w:val="00444304"/>
    <w:rsid w:val="004448AB"/>
    <w:rsid w:val="00444CFF"/>
    <w:rsid w:val="00444EB5"/>
    <w:rsid w:val="0044517C"/>
    <w:rsid w:val="0044557D"/>
    <w:rsid w:val="004457A8"/>
    <w:rsid w:val="00445E1B"/>
    <w:rsid w:val="0044692F"/>
    <w:rsid w:val="00446EE9"/>
    <w:rsid w:val="00447224"/>
    <w:rsid w:val="0044750F"/>
    <w:rsid w:val="0044774C"/>
    <w:rsid w:val="00447935"/>
    <w:rsid w:val="00447FD4"/>
    <w:rsid w:val="004503BF"/>
    <w:rsid w:val="00450ACA"/>
    <w:rsid w:val="00450CD0"/>
    <w:rsid w:val="00451671"/>
    <w:rsid w:val="00451816"/>
    <w:rsid w:val="004518E5"/>
    <w:rsid w:val="0045214E"/>
    <w:rsid w:val="00452896"/>
    <w:rsid w:val="00452983"/>
    <w:rsid w:val="00452CF8"/>
    <w:rsid w:val="00452D9D"/>
    <w:rsid w:val="0045337E"/>
    <w:rsid w:val="0045358D"/>
    <w:rsid w:val="00453C06"/>
    <w:rsid w:val="00453C32"/>
    <w:rsid w:val="00453CE1"/>
    <w:rsid w:val="00454C35"/>
    <w:rsid w:val="004552FB"/>
    <w:rsid w:val="004554C7"/>
    <w:rsid w:val="0045554B"/>
    <w:rsid w:val="004557C3"/>
    <w:rsid w:val="00455B9C"/>
    <w:rsid w:val="00456040"/>
    <w:rsid w:val="004569FC"/>
    <w:rsid w:val="00456B78"/>
    <w:rsid w:val="0045765D"/>
    <w:rsid w:val="00457729"/>
    <w:rsid w:val="0046002A"/>
    <w:rsid w:val="004609AC"/>
    <w:rsid w:val="004609E5"/>
    <w:rsid w:val="00460F32"/>
    <w:rsid w:val="00461026"/>
    <w:rsid w:val="00461254"/>
    <w:rsid w:val="004612D3"/>
    <w:rsid w:val="004616E9"/>
    <w:rsid w:val="00461B6D"/>
    <w:rsid w:val="004622AD"/>
    <w:rsid w:val="00462930"/>
    <w:rsid w:val="00462B18"/>
    <w:rsid w:val="00462D96"/>
    <w:rsid w:val="004630B0"/>
    <w:rsid w:val="004632D9"/>
    <w:rsid w:val="004633CC"/>
    <w:rsid w:val="0046361F"/>
    <w:rsid w:val="00463733"/>
    <w:rsid w:val="00463F8B"/>
    <w:rsid w:val="00463FAF"/>
    <w:rsid w:val="004644C8"/>
    <w:rsid w:val="00464713"/>
    <w:rsid w:val="004647D6"/>
    <w:rsid w:val="00464C0F"/>
    <w:rsid w:val="00464D80"/>
    <w:rsid w:val="00464E34"/>
    <w:rsid w:val="00465006"/>
    <w:rsid w:val="004651CA"/>
    <w:rsid w:val="00465779"/>
    <w:rsid w:val="0046690D"/>
    <w:rsid w:val="004669E0"/>
    <w:rsid w:val="00466A11"/>
    <w:rsid w:val="00466F71"/>
    <w:rsid w:val="00467044"/>
    <w:rsid w:val="0046731D"/>
    <w:rsid w:val="004700D9"/>
    <w:rsid w:val="00470AC1"/>
    <w:rsid w:val="00471DC9"/>
    <w:rsid w:val="00472BAB"/>
    <w:rsid w:val="00472C89"/>
    <w:rsid w:val="00473038"/>
    <w:rsid w:val="004731B3"/>
    <w:rsid w:val="00473405"/>
    <w:rsid w:val="00473475"/>
    <w:rsid w:val="004735A6"/>
    <w:rsid w:val="00473632"/>
    <w:rsid w:val="00473702"/>
    <w:rsid w:val="00473AF5"/>
    <w:rsid w:val="00473C67"/>
    <w:rsid w:val="00473CFF"/>
    <w:rsid w:val="004742EC"/>
    <w:rsid w:val="00474A6B"/>
    <w:rsid w:val="00474ABD"/>
    <w:rsid w:val="00474B3D"/>
    <w:rsid w:val="004750D1"/>
    <w:rsid w:val="00475426"/>
    <w:rsid w:val="00475505"/>
    <w:rsid w:val="00475CA7"/>
    <w:rsid w:val="004760E5"/>
    <w:rsid w:val="004762EC"/>
    <w:rsid w:val="0047635B"/>
    <w:rsid w:val="00476828"/>
    <w:rsid w:val="00476907"/>
    <w:rsid w:val="00476C7E"/>
    <w:rsid w:val="00476E8D"/>
    <w:rsid w:val="00476F50"/>
    <w:rsid w:val="0048087D"/>
    <w:rsid w:val="00481467"/>
    <w:rsid w:val="0048153E"/>
    <w:rsid w:val="004816FA"/>
    <w:rsid w:val="00481E4D"/>
    <w:rsid w:val="00481EF6"/>
    <w:rsid w:val="00481F59"/>
    <w:rsid w:val="004823FF"/>
    <w:rsid w:val="00482551"/>
    <w:rsid w:val="00482E1E"/>
    <w:rsid w:val="00482E9A"/>
    <w:rsid w:val="00482FF1"/>
    <w:rsid w:val="004830E0"/>
    <w:rsid w:val="00483334"/>
    <w:rsid w:val="004836F5"/>
    <w:rsid w:val="00483968"/>
    <w:rsid w:val="00483B64"/>
    <w:rsid w:val="004843BC"/>
    <w:rsid w:val="00484663"/>
    <w:rsid w:val="00484B32"/>
    <w:rsid w:val="00484DB8"/>
    <w:rsid w:val="00484F0B"/>
    <w:rsid w:val="004854AD"/>
    <w:rsid w:val="004855FC"/>
    <w:rsid w:val="004856EF"/>
    <w:rsid w:val="004860CD"/>
    <w:rsid w:val="00486553"/>
    <w:rsid w:val="004866A8"/>
    <w:rsid w:val="00486EE3"/>
    <w:rsid w:val="0048703E"/>
    <w:rsid w:val="00487299"/>
    <w:rsid w:val="0048778A"/>
    <w:rsid w:val="00490101"/>
    <w:rsid w:val="00490C20"/>
    <w:rsid w:val="004913F3"/>
    <w:rsid w:val="0049140D"/>
    <w:rsid w:val="004915B6"/>
    <w:rsid w:val="00491F7A"/>
    <w:rsid w:val="00492046"/>
    <w:rsid w:val="00492D66"/>
    <w:rsid w:val="00492F4A"/>
    <w:rsid w:val="004932A4"/>
    <w:rsid w:val="00493D41"/>
    <w:rsid w:val="00493D54"/>
    <w:rsid w:val="00493FCD"/>
    <w:rsid w:val="004943E4"/>
    <w:rsid w:val="00494A59"/>
    <w:rsid w:val="00494DE4"/>
    <w:rsid w:val="00495078"/>
    <w:rsid w:val="00495084"/>
    <w:rsid w:val="004952A7"/>
    <w:rsid w:val="00495C5F"/>
    <w:rsid w:val="00495D5F"/>
    <w:rsid w:val="00495E57"/>
    <w:rsid w:val="0049617D"/>
    <w:rsid w:val="004963DF"/>
    <w:rsid w:val="00496CBC"/>
    <w:rsid w:val="00497E25"/>
    <w:rsid w:val="004A0792"/>
    <w:rsid w:val="004A12E7"/>
    <w:rsid w:val="004A14D6"/>
    <w:rsid w:val="004A170D"/>
    <w:rsid w:val="004A17B0"/>
    <w:rsid w:val="004A1A09"/>
    <w:rsid w:val="004A25F6"/>
    <w:rsid w:val="004A2738"/>
    <w:rsid w:val="004A2E33"/>
    <w:rsid w:val="004A311A"/>
    <w:rsid w:val="004A3843"/>
    <w:rsid w:val="004A3E08"/>
    <w:rsid w:val="004A435C"/>
    <w:rsid w:val="004A4430"/>
    <w:rsid w:val="004A49E7"/>
    <w:rsid w:val="004A4D48"/>
    <w:rsid w:val="004A5525"/>
    <w:rsid w:val="004A582C"/>
    <w:rsid w:val="004A5C65"/>
    <w:rsid w:val="004A5D6D"/>
    <w:rsid w:val="004A5E1E"/>
    <w:rsid w:val="004A5E56"/>
    <w:rsid w:val="004A5EAC"/>
    <w:rsid w:val="004A60DD"/>
    <w:rsid w:val="004A64C6"/>
    <w:rsid w:val="004A7A90"/>
    <w:rsid w:val="004A7E88"/>
    <w:rsid w:val="004B00AC"/>
    <w:rsid w:val="004B0666"/>
    <w:rsid w:val="004B11BE"/>
    <w:rsid w:val="004B14B4"/>
    <w:rsid w:val="004B1AAC"/>
    <w:rsid w:val="004B243B"/>
    <w:rsid w:val="004B28CB"/>
    <w:rsid w:val="004B35E1"/>
    <w:rsid w:val="004B36DE"/>
    <w:rsid w:val="004B389C"/>
    <w:rsid w:val="004B3B17"/>
    <w:rsid w:val="004B4059"/>
    <w:rsid w:val="004B423A"/>
    <w:rsid w:val="004B48DD"/>
    <w:rsid w:val="004B4919"/>
    <w:rsid w:val="004B4B8F"/>
    <w:rsid w:val="004B4CDA"/>
    <w:rsid w:val="004B5086"/>
    <w:rsid w:val="004B5327"/>
    <w:rsid w:val="004B58F7"/>
    <w:rsid w:val="004B5908"/>
    <w:rsid w:val="004B62B5"/>
    <w:rsid w:val="004B6615"/>
    <w:rsid w:val="004B6960"/>
    <w:rsid w:val="004B6A02"/>
    <w:rsid w:val="004B7070"/>
    <w:rsid w:val="004B7944"/>
    <w:rsid w:val="004B7F5F"/>
    <w:rsid w:val="004B7F66"/>
    <w:rsid w:val="004C089D"/>
    <w:rsid w:val="004C0D69"/>
    <w:rsid w:val="004C10AF"/>
    <w:rsid w:val="004C1533"/>
    <w:rsid w:val="004C16C0"/>
    <w:rsid w:val="004C23EB"/>
    <w:rsid w:val="004C241B"/>
    <w:rsid w:val="004C28BE"/>
    <w:rsid w:val="004C2A99"/>
    <w:rsid w:val="004C2C01"/>
    <w:rsid w:val="004C2FA9"/>
    <w:rsid w:val="004C3711"/>
    <w:rsid w:val="004C3AD2"/>
    <w:rsid w:val="004C439E"/>
    <w:rsid w:val="004C4A21"/>
    <w:rsid w:val="004C4CEB"/>
    <w:rsid w:val="004C4E8C"/>
    <w:rsid w:val="004C501C"/>
    <w:rsid w:val="004C5086"/>
    <w:rsid w:val="004C518C"/>
    <w:rsid w:val="004C5490"/>
    <w:rsid w:val="004C6582"/>
    <w:rsid w:val="004C6660"/>
    <w:rsid w:val="004C66C0"/>
    <w:rsid w:val="004C6967"/>
    <w:rsid w:val="004C6D19"/>
    <w:rsid w:val="004C6E69"/>
    <w:rsid w:val="004C6F73"/>
    <w:rsid w:val="004C6F7D"/>
    <w:rsid w:val="004C7056"/>
    <w:rsid w:val="004C705F"/>
    <w:rsid w:val="004C71FB"/>
    <w:rsid w:val="004C741B"/>
    <w:rsid w:val="004C7A45"/>
    <w:rsid w:val="004C7DA0"/>
    <w:rsid w:val="004D0220"/>
    <w:rsid w:val="004D03C5"/>
    <w:rsid w:val="004D0556"/>
    <w:rsid w:val="004D08EA"/>
    <w:rsid w:val="004D13D8"/>
    <w:rsid w:val="004D181E"/>
    <w:rsid w:val="004D1D9C"/>
    <w:rsid w:val="004D2494"/>
    <w:rsid w:val="004D279F"/>
    <w:rsid w:val="004D28FA"/>
    <w:rsid w:val="004D2A8C"/>
    <w:rsid w:val="004D2C10"/>
    <w:rsid w:val="004D2E39"/>
    <w:rsid w:val="004D2F30"/>
    <w:rsid w:val="004D3C0B"/>
    <w:rsid w:val="004D3C76"/>
    <w:rsid w:val="004D3E38"/>
    <w:rsid w:val="004D4420"/>
    <w:rsid w:val="004D4B82"/>
    <w:rsid w:val="004D52D6"/>
    <w:rsid w:val="004D56D0"/>
    <w:rsid w:val="004D589B"/>
    <w:rsid w:val="004D6462"/>
    <w:rsid w:val="004D6BED"/>
    <w:rsid w:val="004D6E02"/>
    <w:rsid w:val="004D7093"/>
    <w:rsid w:val="004D7572"/>
    <w:rsid w:val="004D7657"/>
    <w:rsid w:val="004D77FC"/>
    <w:rsid w:val="004E0373"/>
    <w:rsid w:val="004E0688"/>
    <w:rsid w:val="004E108A"/>
    <w:rsid w:val="004E174A"/>
    <w:rsid w:val="004E1890"/>
    <w:rsid w:val="004E1CC5"/>
    <w:rsid w:val="004E20A9"/>
    <w:rsid w:val="004E2379"/>
    <w:rsid w:val="004E2512"/>
    <w:rsid w:val="004E2596"/>
    <w:rsid w:val="004E42A5"/>
    <w:rsid w:val="004E457F"/>
    <w:rsid w:val="004E4600"/>
    <w:rsid w:val="004E4763"/>
    <w:rsid w:val="004E4875"/>
    <w:rsid w:val="004E4C82"/>
    <w:rsid w:val="004E4E94"/>
    <w:rsid w:val="004E4F61"/>
    <w:rsid w:val="004E54CB"/>
    <w:rsid w:val="004E5AA1"/>
    <w:rsid w:val="004E5E69"/>
    <w:rsid w:val="004E5FAE"/>
    <w:rsid w:val="004E5FF6"/>
    <w:rsid w:val="004E6017"/>
    <w:rsid w:val="004E616B"/>
    <w:rsid w:val="004E67BD"/>
    <w:rsid w:val="004E6A4C"/>
    <w:rsid w:val="004E7611"/>
    <w:rsid w:val="004F0596"/>
    <w:rsid w:val="004F1205"/>
    <w:rsid w:val="004F1777"/>
    <w:rsid w:val="004F1834"/>
    <w:rsid w:val="004F1871"/>
    <w:rsid w:val="004F2399"/>
    <w:rsid w:val="004F2751"/>
    <w:rsid w:val="004F2A6A"/>
    <w:rsid w:val="004F32F0"/>
    <w:rsid w:val="004F3325"/>
    <w:rsid w:val="004F3547"/>
    <w:rsid w:val="004F3609"/>
    <w:rsid w:val="004F3FC1"/>
    <w:rsid w:val="004F512C"/>
    <w:rsid w:val="004F582E"/>
    <w:rsid w:val="004F59C5"/>
    <w:rsid w:val="004F5D35"/>
    <w:rsid w:val="004F631C"/>
    <w:rsid w:val="004F6B73"/>
    <w:rsid w:val="004F6BC9"/>
    <w:rsid w:val="004F6CF1"/>
    <w:rsid w:val="004F6FF7"/>
    <w:rsid w:val="004F7196"/>
    <w:rsid w:val="004F7249"/>
    <w:rsid w:val="004F7801"/>
    <w:rsid w:val="004F79F0"/>
    <w:rsid w:val="004F7E64"/>
    <w:rsid w:val="004F7FF5"/>
    <w:rsid w:val="00500632"/>
    <w:rsid w:val="00500E93"/>
    <w:rsid w:val="00500EED"/>
    <w:rsid w:val="00500FDE"/>
    <w:rsid w:val="0050135A"/>
    <w:rsid w:val="00501630"/>
    <w:rsid w:val="005017F6"/>
    <w:rsid w:val="00501C49"/>
    <w:rsid w:val="00502181"/>
    <w:rsid w:val="005021DB"/>
    <w:rsid w:val="005035CE"/>
    <w:rsid w:val="005035EB"/>
    <w:rsid w:val="00503A51"/>
    <w:rsid w:val="00503BBE"/>
    <w:rsid w:val="00503DB4"/>
    <w:rsid w:val="00503DEA"/>
    <w:rsid w:val="00503FE2"/>
    <w:rsid w:val="00504013"/>
    <w:rsid w:val="00504212"/>
    <w:rsid w:val="00504573"/>
    <w:rsid w:val="00504768"/>
    <w:rsid w:val="00504C52"/>
    <w:rsid w:val="00504C88"/>
    <w:rsid w:val="00505288"/>
    <w:rsid w:val="005056D9"/>
    <w:rsid w:val="005057DF"/>
    <w:rsid w:val="00505C9D"/>
    <w:rsid w:val="0050613D"/>
    <w:rsid w:val="005062FE"/>
    <w:rsid w:val="00506669"/>
    <w:rsid w:val="00506B18"/>
    <w:rsid w:val="00506B40"/>
    <w:rsid w:val="00506C54"/>
    <w:rsid w:val="00506E27"/>
    <w:rsid w:val="00506E59"/>
    <w:rsid w:val="00507B8D"/>
    <w:rsid w:val="00510125"/>
    <w:rsid w:val="00510208"/>
    <w:rsid w:val="00510456"/>
    <w:rsid w:val="00510C39"/>
    <w:rsid w:val="00510D64"/>
    <w:rsid w:val="0051134A"/>
    <w:rsid w:val="0051155B"/>
    <w:rsid w:val="00511C5D"/>
    <w:rsid w:val="00511CFC"/>
    <w:rsid w:val="00511D28"/>
    <w:rsid w:val="00512014"/>
    <w:rsid w:val="00512139"/>
    <w:rsid w:val="005122FE"/>
    <w:rsid w:val="00512808"/>
    <w:rsid w:val="00512D55"/>
    <w:rsid w:val="0051322D"/>
    <w:rsid w:val="0051337C"/>
    <w:rsid w:val="005135E6"/>
    <w:rsid w:val="005137E9"/>
    <w:rsid w:val="005152A1"/>
    <w:rsid w:val="0051539A"/>
    <w:rsid w:val="005153A1"/>
    <w:rsid w:val="0051551F"/>
    <w:rsid w:val="00515792"/>
    <w:rsid w:val="005157CB"/>
    <w:rsid w:val="00515C8C"/>
    <w:rsid w:val="00515D6E"/>
    <w:rsid w:val="00515E30"/>
    <w:rsid w:val="0051635F"/>
    <w:rsid w:val="005163F0"/>
    <w:rsid w:val="005168B0"/>
    <w:rsid w:val="00516AC8"/>
    <w:rsid w:val="00516CBC"/>
    <w:rsid w:val="00516DA4"/>
    <w:rsid w:val="00517BCF"/>
    <w:rsid w:val="005207EE"/>
    <w:rsid w:val="00520CBB"/>
    <w:rsid w:val="005213F8"/>
    <w:rsid w:val="005216C7"/>
    <w:rsid w:val="005219BB"/>
    <w:rsid w:val="00521B9E"/>
    <w:rsid w:val="005220AB"/>
    <w:rsid w:val="005222AE"/>
    <w:rsid w:val="005223AE"/>
    <w:rsid w:val="00522F1D"/>
    <w:rsid w:val="005237F4"/>
    <w:rsid w:val="00524D84"/>
    <w:rsid w:val="00525137"/>
    <w:rsid w:val="00525351"/>
    <w:rsid w:val="005258EA"/>
    <w:rsid w:val="00526097"/>
    <w:rsid w:val="00526FC4"/>
    <w:rsid w:val="00526FFB"/>
    <w:rsid w:val="00527524"/>
    <w:rsid w:val="00527537"/>
    <w:rsid w:val="00527C78"/>
    <w:rsid w:val="0053037E"/>
    <w:rsid w:val="005304E7"/>
    <w:rsid w:val="00530EFB"/>
    <w:rsid w:val="005312AB"/>
    <w:rsid w:val="00531EEE"/>
    <w:rsid w:val="005321AD"/>
    <w:rsid w:val="0053277B"/>
    <w:rsid w:val="00532854"/>
    <w:rsid w:val="00532CDF"/>
    <w:rsid w:val="00533464"/>
    <w:rsid w:val="005344D7"/>
    <w:rsid w:val="005344EA"/>
    <w:rsid w:val="005346D5"/>
    <w:rsid w:val="005348FC"/>
    <w:rsid w:val="00534F8C"/>
    <w:rsid w:val="00535CFA"/>
    <w:rsid w:val="00535EBA"/>
    <w:rsid w:val="00535FEA"/>
    <w:rsid w:val="00536125"/>
    <w:rsid w:val="00536468"/>
    <w:rsid w:val="005367BE"/>
    <w:rsid w:val="00536BED"/>
    <w:rsid w:val="0053731A"/>
    <w:rsid w:val="005373F8"/>
    <w:rsid w:val="0053752C"/>
    <w:rsid w:val="00537665"/>
    <w:rsid w:val="00537732"/>
    <w:rsid w:val="005379AC"/>
    <w:rsid w:val="00537D4F"/>
    <w:rsid w:val="00540661"/>
    <w:rsid w:val="00540743"/>
    <w:rsid w:val="00540B98"/>
    <w:rsid w:val="00541249"/>
    <w:rsid w:val="00541882"/>
    <w:rsid w:val="005420FD"/>
    <w:rsid w:val="005433BE"/>
    <w:rsid w:val="00543932"/>
    <w:rsid w:val="00543C53"/>
    <w:rsid w:val="00543FD4"/>
    <w:rsid w:val="005442EF"/>
    <w:rsid w:val="00544462"/>
    <w:rsid w:val="00544691"/>
    <w:rsid w:val="00544D0C"/>
    <w:rsid w:val="00544D28"/>
    <w:rsid w:val="00544F5F"/>
    <w:rsid w:val="005454B9"/>
    <w:rsid w:val="00545544"/>
    <w:rsid w:val="00545BAD"/>
    <w:rsid w:val="00545C9A"/>
    <w:rsid w:val="00545FC4"/>
    <w:rsid w:val="0054606A"/>
    <w:rsid w:val="005461BA"/>
    <w:rsid w:val="005465FB"/>
    <w:rsid w:val="00546676"/>
    <w:rsid w:val="005469B2"/>
    <w:rsid w:val="00546FF1"/>
    <w:rsid w:val="00546FF2"/>
    <w:rsid w:val="005470F1"/>
    <w:rsid w:val="00547255"/>
    <w:rsid w:val="00547B3F"/>
    <w:rsid w:val="00547BF7"/>
    <w:rsid w:val="00547F2B"/>
    <w:rsid w:val="005502A0"/>
    <w:rsid w:val="005502FE"/>
    <w:rsid w:val="0055084A"/>
    <w:rsid w:val="00550990"/>
    <w:rsid w:val="00550A82"/>
    <w:rsid w:val="00550C89"/>
    <w:rsid w:val="00551612"/>
    <w:rsid w:val="00551761"/>
    <w:rsid w:val="00551B2C"/>
    <w:rsid w:val="00551B40"/>
    <w:rsid w:val="00551C1E"/>
    <w:rsid w:val="00551C47"/>
    <w:rsid w:val="00551E4C"/>
    <w:rsid w:val="0055280B"/>
    <w:rsid w:val="00552EA8"/>
    <w:rsid w:val="0055345E"/>
    <w:rsid w:val="00553F75"/>
    <w:rsid w:val="005547F1"/>
    <w:rsid w:val="0055495D"/>
    <w:rsid w:val="00554CFE"/>
    <w:rsid w:val="00554D40"/>
    <w:rsid w:val="00555249"/>
    <w:rsid w:val="005552AB"/>
    <w:rsid w:val="005554C1"/>
    <w:rsid w:val="0055550B"/>
    <w:rsid w:val="00555859"/>
    <w:rsid w:val="0055672B"/>
    <w:rsid w:val="0055696C"/>
    <w:rsid w:val="00556976"/>
    <w:rsid w:val="00556D46"/>
    <w:rsid w:val="00556F6F"/>
    <w:rsid w:val="00557942"/>
    <w:rsid w:val="00557A25"/>
    <w:rsid w:val="0056028D"/>
    <w:rsid w:val="0056039F"/>
    <w:rsid w:val="00560467"/>
    <w:rsid w:val="00560F8D"/>
    <w:rsid w:val="0056135A"/>
    <w:rsid w:val="00561992"/>
    <w:rsid w:val="005622E1"/>
    <w:rsid w:val="00562B31"/>
    <w:rsid w:val="00562C42"/>
    <w:rsid w:val="00563145"/>
    <w:rsid w:val="00563CB7"/>
    <w:rsid w:val="0056456F"/>
    <w:rsid w:val="00564B84"/>
    <w:rsid w:val="005654AA"/>
    <w:rsid w:val="005655A6"/>
    <w:rsid w:val="005658FF"/>
    <w:rsid w:val="005660A2"/>
    <w:rsid w:val="0056611A"/>
    <w:rsid w:val="0056641D"/>
    <w:rsid w:val="00566481"/>
    <w:rsid w:val="005677DF"/>
    <w:rsid w:val="00567DCF"/>
    <w:rsid w:val="00567F79"/>
    <w:rsid w:val="00567F86"/>
    <w:rsid w:val="00570E0D"/>
    <w:rsid w:val="0057156F"/>
    <w:rsid w:val="00571660"/>
    <w:rsid w:val="0057199F"/>
    <w:rsid w:val="005720C4"/>
    <w:rsid w:val="005722F3"/>
    <w:rsid w:val="00572CF6"/>
    <w:rsid w:val="00572E7F"/>
    <w:rsid w:val="00572FCB"/>
    <w:rsid w:val="00574406"/>
    <w:rsid w:val="00574DB1"/>
    <w:rsid w:val="00574F74"/>
    <w:rsid w:val="0057503C"/>
    <w:rsid w:val="00575227"/>
    <w:rsid w:val="00575306"/>
    <w:rsid w:val="005759CA"/>
    <w:rsid w:val="00575E58"/>
    <w:rsid w:val="00575EC1"/>
    <w:rsid w:val="00575F20"/>
    <w:rsid w:val="00576023"/>
    <w:rsid w:val="005762FA"/>
    <w:rsid w:val="00576489"/>
    <w:rsid w:val="00576E82"/>
    <w:rsid w:val="00577026"/>
    <w:rsid w:val="005774BA"/>
    <w:rsid w:val="005778A9"/>
    <w:rsid w:val="0058007E"/>
    <w:rsid w:val="0058034F"/>
    <w:rsid w:val="0058074A"/>
    <w:rsid w:val="00580C9C"/>
    <w:rsid w:val="0058140F"/>
    <w:rsid w:val="0058153C"/>
    <w:rsid w:val="005819B2"/>
    <w:rsid w:val="00582593"/>
    <w:rsid w:val="00582D9A"/>
    <w:rsid w:val="00582EAB"/>
    <w:rsid w:val="005830BC"/>
    <w:rsid w:val="0058334D"/>
    <w:rsid w:val="005835E4"/>
    <w:rsid w:val="0058362F"/>
    <w:rsid w:val="005836D0"/>
    <w:rsid w:val="00583A4B"/>
    <w:rsid w:val="005840C3"/>
    <w:rsid w:val="005840E3"/>
    <w:rsid w:val="00584293"/>
    <w:rsid w:val="00585492"/>
    <w:rsid w:val="00585947"/>
    <w:rsid w:val="0058661C"/>
    <w:rsid w:val="00586E14"/>
    <w:rsid w:val="00587072"/>
    <w:rsid w:val="0058738C"/>
    <w:rsid w:val="005879D2"/>
    <w:rsid w:val="00587BBD"/>
    <w:rsid w:val="00587C28"/>
    <w:rsid w:val="00590A32"/>
    <w:rsid w:val="00590A88"/>
    <w:rsid w:val="00591611"/>
    <w:rsid w:val="005918BC"/>
    <w:rsid w:val="00591B47"/>
    <w:rsid w:val="0059273D"/>
    <w:rsid w:val="00592A0A"/>
    <w:rsid w:val="00592A24"/>
    <w:rsid w:val="00594190"/>
    <w:rsid w:val="00595064"/>
    <w:rsid w:val="00595BFF"/>
    <w:rsid w:val="00595DB1"/>
    <w:rsid w:val="00595E3E"/>
    <w:rsid w:val="00595EB4"/>
    <w:rsid w:val="00596553"/>
    <w:rsid w:val="0059661C"/>
    <w:rsid w:val="0059681B"/>
    <w:rsid w:val="00597154"/>
    <w:rsid w:val="00597389"/>
    <w:rsid w:val="0059772D"/>
    <w:rsid w:val="00597FCD"/>
    <w:rsid w:val="005A0055"/>
    <w:rsid w:val="005A0754"/>
    <w:rsid w:val="005A0FF8"/>
    <w:rsid w:val="005A132F"/>
    <w:rsid w:val="005A13EE"/>
    <w:rsid w:val="005A1AD1"/>
    <w:rsid w:val="005A1B34"/>
    <w:rsid w:val="005A1C89"/>
    <w:rsid w:val="005A1CB9"/>
    <w:rsid w:val="005A1EEB"/>
    <w:rsid w:val="005A2311"/>
    <w:rsid w:val="005A24E9"/>
    <w:rsid w:val="005A2982"/>
    <w:rsid w:val="005A29FE"/>
    <w:rsid w:val="005A2F7D"/>
    <w:rsid w:val="005A358A"/>
    <w:rsid w:val="005A35D5"/>
    <w:rsid w:val="005A366A"/>
    <w:rsid w:val="005A3C97"/>
    <w:rsid w:val="005A4274"/>
    <w:rsid w:val="005A4441"/>
    <w:rsid w:val="005A4ADB"/>
    <w:rsid w:val="005A4B7D"/>
    <w:rsid w:val="005A4DD4"/>
    <w:rsid w:val="005A5E34"/>
    <w:rsid w:val="005A5F4B"/>
    <w:rsid w:val="005A65FC"/>
    <w:rsid w:val="005A66E5"/>
    <w:rsid w:val="005A6836"/>
    <w:rsid w:val="005A6953"/>
    <w:rsid w:val="005A6997"/>
    <w:rsid w:val="005A6F1B"/>
    <w:rsid w:val="005A71B9"/>
    <w:rsid w:val="005A7470"/>
    <w:rsid w:val="005A76B9"/>
    <w:rsid w:val="005A781A"/>
    <w:rsid w:val="005A7888"/>
    <w:rsid w:val="005A790D"/>
    <w:rsid w:val="005A7914"/>
    <w:rsid w:val="005A79B1"/>
    <w:rsid w:val="005A7BAF"/>
    <w:rsid w:val="005B01F3"/>
    <w:rsid w:val="005B0635"/>
    <w:rsid w:val="005B08CD"/>
    <w:rsid w:val="005B0E37"/>
    <w:rsid w:val="005B0E46"/>
    <w:rsid w:val="005B131C"/>
    <w:rsid w:val="005B14B6"/>
    <w:rsid w:val="005B1BC5"/>
    <w:rsid w:val="005B1C87"/>
    <w:rsid w:val="005B1D25"/>
    <w:rsid w:val="005B2148"/>
    <w:rsid w:val="005B2520"/>
    <w:rsid w:val="005B2619"/>
    <w:rsid w:val="005B26F0"/>
    <w:rsid w:val="005B295D"/>
    <w:rsid w:val="005B2BAF"/>
    <w:rsid w:val="005B3A52"/>
    <w:rsid w:val="005B3AF8"/>
    <w:rsid w:val="005B3AFC"/>
    <w:rsid w:val="005B3C06"/>
    <w:rsid w:val="005B4283"/>
    <w:rsid w:val="005B45A6"/>
    <w:rsid w:val="005B4BA6"/>
    <w:rsid w:val="005B4DD1"/>
    <w:rsid w:val="005B4EE1"/>
    <w:rsid w:val="005B567E"/>
    <w:rsid w:val="005B5D36"/>
    <w:rsid w:val="005B60CC"/>
    <w:rsid w:val="005B67A9"/>
    <w:rsid w:val="005B68F1"/>
    <w:rsid w:val="005B6DD0"/>
    <w:rsid w:val="005B7804"/>
    <w:rsid w:val="005B7F2B"/>
    <w:rsid w:val="005B7F92"/>
    <w:rsid w:val="005C02EB"/>
    <w:rsid w:val="005C051B"/>
    <w:rsid w:val="005C0903"/>
    <w:rsid w:val="005C095E"/>
    <w:rsid w:val="005C0E28"/>
    <w:rsid w:val="005C0E5C"/>
    <w:rsid w:val="005C0FF2"/>
    <w:rsid w:val="005C1507"/>
    <w:rsid w:val="005C17F8"/>
    <w:rsid w:val="005C1E69"/>
    <w:rsid w:val="005C1EC9"/>
    <w:rsid w:val="005C2702"/>
    <w:rsid w:val="005C2935"/>
    <w:rsid w:val="005C2CA2"/>
    <w:rsid w:val="005C2DE7"/>
    <w:rsid w:val="005C3081"/>
    <w:rsid w:val="005C4077"/>
    <w:rsid w:val="005C42EB"/>
    <w:rsid w:val="005C4329"/>
    <w:rsid w:val="005C447F"/>
    <w:rsid w:val="005C4875"/>
    <w:rsid w:val="005C487C"/>
    <w:rsid w:val="005C4A7C"/>
    <w:rsid w:val="005C4F5C"/>
    <w:rsid w:val="005C563F"/>
    <w:rsid w:val="005C567A"/>
    <w:rsid w:val="005C5801"/>
    <w:rsid w:val="005C58BA"/>
    <w:rsid w:val="005C5A2C"/>
    <w:rsid w:val="005C5ABE"/>
    <w:rsid w:val="005C5D4F"/>
    <w:rsid w:val="005C5E14"/>
    <w:rsid w:val="005C61A1"/>
    <w:rsid w:val="005C6CEA"/>
    <w:rsid w:val="005D0252"/>
    <w:rsid w:val="005D04C0"/>
    <w:rsid w:val="005D0832"/>
    <w:rsid w:val="005D0876"/>
    <w:rsid w:val="005D0925"/>
    <w:rsid w:val="005D0D23"/>
    <w:rsid w:val="005D0EBE"/>
    <w:rsid w:val="005D0F13"/>
    <w:rsid w:val="005D0F25"/>
    <w:rsid w:val="005D1601"/>
    <w:rsid w:val="005D1655"/>
    <w:rsid w:val="005D17EB"/>
    <w:rsid w:val="005D2DD7"/>
    <w:rsid w:val="005D2ED6"/>
    <w:rsid w:val="005D334C"/>
    <w:rsid w:val="005D3672"/>
    <w:rsid w:val="005D3A30"/>
    <w:rsid w:val="005D3D64"/>
    <w:rsid w:val="005D405A"/>
    <w:rsid w:val="005D419A"/>
    <w:rsid w:val="005D4789"/>
    <w:rsid w:val="005D5012"/>
    <w:rsid w:val="005D51DF"/>
    <w:rsid w:val="005D51FA"/>
    <w:rsid w:val="005D5746"/>
    <w:rsid w:val="005D5839"/>
    <w:rsid w:val="005D5ACF"/>
    <w:rsid w:val="005D6035"/>
    <w:rsid w:val="005D6236"/>
    <w:rsid w:val="005D6B99"/>
    <w:rsid w:val="005D6EEF"/>
    <w:rsid w:val="005D768A"/>
    <w:rsid w:val="005D7AD0"/>
    <w:rsid w:val="005E0584"/>
    <w:rsid w:val="005E077D"/>
    <w:rsid w:val="005E0AB2"/>
    <w:rsid w:val="005E0D3C"/>
    <w:rsid w:val="005E0EAF"/>
    <w:rsid w:val="005E1186"/>
    <w:rsid w:val="005E11A3"/>
    <w:rsid w:val="005E1329"/>
    <w:rsid w:val="005E16F6"/>
    <w:rsid w:val="005E190B"/>
    <w:rsid w:val="005E1C1C"/>
    <w:rsid w:val="005E1CF3"/>
    <w:rsid w:val="005E20D7"/>
    <w:rsid w:val="005E2BEB"/>
    <w:rsid w:val="005E2DA3"/>
    <w:rsid w:val="005E32CE"/>
    <w:rsid w:val="005E34FA"/>
    <w:rsid w:val="005E393C"/>
    <w:rsid w:val="005E4218"/>
    <w:rsid w:val="005E4269"/>
    <w:rsid w:val="005E43AA"/>
    <w:rsid w:val="005E49B9"/>
    <w:rsid w:val="005E49EE"/>
    <w:rsid w:val="005E4CF1"/>
    <w:rsid w:val="005E4D90"/>
    <w:rsid w:val="005E502D"/>
    <w:rsid w:val="005E5441"/>
    <w:rsid w:val="005E5617"/>
    <w:rsid w:val="005E581C"/>
    <w:rsid w:val="005E59C2"/>
    <w:rsid w:val="005E5EDB"/>
    <w:rsid w:val="005E6C27"/>
    <w:rsid w:val="005E7689"/>
    <w:rsid w:val="005E7BAB"/>
    <w:rsid w:val="005E7C38"/>
    <w:rsid w:val="005E7C52"/>
    <w:rsid w:val="005E7C68"/>
    <w:rsid w:val="005E7CB8"/>
    <w:rsid w:val="005E7DCE"/>
    <w:rsid w:val="005E7F4C"/>
    <w:rsid w:val="005F0107"/>
    <w:rsid w:val="005F034A"/>
    <w:rsid w:val="005F06DA"/>
    <w:rsid w:val="005F072E"/>
    <w:rsid w:val="005F07FA"/>
    <w:rsid w:val="005F0F3E"/>
    <w:rsid w:val="005F0F55"/>
    <w:rsid w:val="005F0FFD"/>
    <w:rsid w:val="005F1151"/>
    <w:rsid w:val="005F1380"/>
    <w:rsid w:val="005F19DC"/>
    <w:rsid w:val="005F1ED6"/>
    <w:rsid w:val="005F22A7"/>
    <w:rsid w:val="005F23F9"/>
    <w:rsid w:val="005F2ADB"/>
    <w:rsid w:val="005F34C9"/>
    <w:rsid w:val="005F369F"/>
    <w:rsid w:val="005F3D43"/>
    <w:rsid w:val="005F3EA6"/>
    <w:rsid w:val="005F434F"/>
    <w:rsid w:val="005F4970"/>
    <w:rsid w:val="005F49A9"/>
    <w:rsid w:val="005F4FAE"/>
    <w:rsid w:val="005F4FB8"/>
    <w:rsid w:val="005F5D02"/>
    <w:rsid w:val="005F6281"/>
    <w:rsid w:val="005F670E"/>
    <w:rsid w:val="005F73A5"/>
    <w:rsid w:val="005F797B"/>
    <w:rsid w:val="005F7FD3"/>
    <w:rsid w:val="006000F3"/>
    <w:rsid w:val="006006AB"/>
    <w:rsid w:val="00600933"/>
    <w:rsid w:val="00600D5D"/>
    <w:rsid w:val="006010BC"/>
    <w:rsid w:val="00601EBA"/>
    <w:rsid w:val="0060213C"/>
    <w:rsid w:val="00602181"/>
    <w:rsid w:val="0060223A"/>
    <w:rsid w:val="0060240D"/>
    <w:rsid w:val="0060243D"/>
    <w:rsid w:val="006026D6"/>
    <w:rsid w:val="00602CC4"/>
    <w:rsid w:val="0060316D"/>
    <w:rsid w:val="00603858"/>
    <w:rsid w:val="006041AB"/>
    <w:rsid w:val="00604293"/>
    <w:rsid w:val="00605703"/>
    <w:rsid w:val="0060571E"/>
    <w:rsid w:val="00605D63"/>
    <w:rsid w:val="00606BA6"/>
    <w:rsid w:val="006103C2"/>
    <w:rsid w:val="00610682"/>
    <w:rsid w:val="00610896"/>
    <w:rsid w:val="006111FF"/>
    <w:rsid w:val="006113B0"/>
    <w:rsid w:val="00611658"/>
    <w:rsid w:val="006118D2"/>
    <w:rsid w:val="006118F8"/>
    <w:rsid w:val="00611B5F"/>
    <w:rsid w:val="00611D53"/>
    <w:rsid w:val="006124A0"/>
    <w:rsid w:val="00612565"/>
    <w:rsid w:val="006128FD"/>
    <w:rsid w:val="00612AFA"/>
    <w:rsid w:val="00612BD7"/>
    <w:rsid w:val="00613B54"/>
    <w:rsid w:val="00613B5B"/>
    <w:rsid w:val="00614188"/>
    <w:rsid w:val="00614C70"/>
    <w:rsid w:val="00615252"/>
    <w:rsid w:val="00615753"/>
    <w:rsid w:val="00615841"/>
    <w:rsid w:val="00615873"/>
    <w:rsid w:val="00615925"/>
    <w:rsid w:val="006168B2"/>
    <w:rsid w:val="00617411"/>
    <w:rsid w:val="0061748F"/>
    <w:rsid w:val="0061771E"/>
    <w:rsid w:val="00617CA8"/>
    <w:rsid w:val="00617F06"/>
    <w:rsid w:val="0062011F"/>
    <w:rsid w:val="006215D2"/>
    <w:rsid w:val="00621F64"/>
    <w:rsid w:val="00621F6D"/>
    <w:rsid w:val="0062238F"/>
    <w:rsid w:val="006229D5"/>
    <w:rsid w:val="00623668"/>
    <w:rsid w:val="006237BB"/>
    <w:rsid w:val="006246EA"/>
    <w:rsid w:val="00624C5F"/>
    <w:rsid w:val="00625127"/>
    <w:rsid w:val="00625669"/>
    <w:rsid w:val="00625715"/>
    <w:rsid w:val="006259E0"/>
    <w:rsid w:val="006259E4"/>
    <w:rsid w:val="00625BD0"/>
    <w:rsid w:val="00625E91"/>
    <w:rsid w:val="006260BE"/>
    <w:rsid w:val="006262AA"/>
    <w:rsid w:val="006263E5"/>
    <w:rsid w:val="006273F8"/>
    <w:rsid w:val="006303DE"/>
    <w:rsid w:val="006306F0"/>
    <w:rsid w:val="00630845"/>
    <w:rsid w:val="00630C3B"/>
    <w:rsid w:val="00630E8C"/>
    <w:rsid w:val="00631036"/>
    <w:rsid w:val="006311B9"/>
    <w:rsid w:val="0063169E"/>
    <w:rsid w:val="00631AA9"/>
    <w:rsid w:val="006320EE"/>
    <w:rsid w:val="006321BD"/>
    <w:rsid w:val="00632653"/>
    <w:rsid w:val="00632B4D"/>
    <w:rsid w:val="00632D80"/>
    <w:rsid w:val="00633621"/>
    <w:rsid w:val="00633932"/>
    <w:rsid w:val="00633B4B"/>
    <w:rsid w:val="0063405E"/>
    <w:rsid w:val="00634294"/>
    <w:rsid w:val="00634549"/>
    <w:rsid w:val="00635684"/>
    <w:rsid w:val="00635D6D"/>
    <w:rsid w:val="00635E95"/>
    <w:rsid w:val="0063628C"/>
    <w:rsid w:val="0063670E"/>
    <w:rsid w:val="00636963"/>
    <w:rsid w:val="00636E67"/>
    <w:rsid w:val="00636F7A"/>
    <w:rsid w:val="00636FF4"/>
    <w:rsid w:val="0063721E"/>
    <w:rsid w:val="00637555"/>
    <w:rsid w:val="00637767"/>
    <w:rsid w:val="00637A92"/>
    <w:rsid w:val="00637D17"/>
    <w:rsid w:val="00637DB4"/>
    <w:rsid w:val="00640178"/>
    <w:rsid w:val="00640200"/>
    <w:rsid w:val="0064025F"/>
    <w:rsid w:val="00640AC9"/>
    <w:rsid w:val="00641262"/>
    <w:rsid w:val="00641369"/>
    <w:rsid w:val="00641C33"/>
    <w:rsid w:val="00641F93"/>
    <w:rsid w:val="00642310"/>
    <w:rsid w:val="0064260F"/>
    <w:rsid w:val="006426AF"/>
    <w:rsid w:val="0064285D"/>
    <w:rsid w:val="00642966"/>
    <w:rsid w:val="0064299B"/>
    <w:rsid w:val="0064330F"/>
    <w:rsid w:val="00643460"/>
    <w:rsid w:val="006434E6"/>
    <w:rsid w:val="006436E5"/>
    <w:rsid w:val="006437F9"/>
    <w:rsid w:val="00643840"/>
    <w:rsid w:val="00643BF8"/>
    <w:rsid w:val="00643CC1"/>
    <w:rsid w:val="0064428E"/>
    <w:rsid w:val="006444F5"/>
    <w:rsid w:val="00644603"/>
    <w:rsid w:val="006449D8"/>
    <w:rsid w:val="00644B64"/>
    <w:rsid w:val="00644E9E"/>
    <w:rsid w:val="00645196"/>
    <w:rsid w:val="006456CD"/>
    <w:rsid w:val="0064672D"/>
    <w:rsid w:val="00646815"/>
    <w:rsid w:val="0064691B"/>
    <w:rsid w:val="0064707C"/>
    <w:rsid w:val="006470AD"/>
    <w:rsid w:val="00647CEF"/>
    <w:rsid w:val="00650739"/>
    <w:rsid w:val="006507AA"/>
    <w:rsid w:val="00650A90"/>
    <w:rsid w:val="00650DAA"/>
    <w:rsid w:val="006514B8"/>
    <w:rsid w:val="00651863"/>
    <w:rsid w:val="00652317"/>
    <w:rsid w:val="006523AC"/>
    <w:rsid w:val="006524A3"/>
    <w:rsid w:val="00652636"/>
    <w:rsid w:val="006526EF"/>
    <w:rsid w:val="00652745"/>
    <w:rsid w:val="006527BF"/>
    <w:rsid w:val="00652A9D"/>
    <w:rsid w:val="00652CB1"/>
    <w:rsid w:val="00652D0A"/>
    <w:rsid w:val="006532DB"/>
    <w:rsid w:val="0065334E"/>
    <w:rsid w:val="006534B5"/>
    <w:rsid w:val="00653A0E"/>
    <w:rsid w:val="006540F2"/>
    <w:rsid w:val="00654187"/>
    <w:rsid w:val="00654689"/>
    <w:rsid w:val="00654A03"/>
    <w:rsid w:val="00654BD9"/>
    <w:rsid w:val="00655F0E"/>
    <w:rsid w:val="00655FF9"/>
    <w:rsid w:val="0065628D"/>
    <w:rsid w:val="00656AAA"/>
    <w:rsid w:val="00656E62"/>
    <w:rsid w:val="006574BA"/>
    <w:rsid w:val="00657F36"/>
    <w:rsid w:val="00660038"/>
    <w:rsid w:val="0066009F"/>
    <w:rsid w:val="006601CC"/>
    <w:rsid w:val="0066035B"/>
    <w:rsid w:val="006608AA"/>
    <w:rsid w:val="00660D96"/>
    <w:rsid w:val="00660F14"/>
    <w:rsid w:val="006624FB"/>
    <w:rsid w:val="00662E02"/>
    <w:rsid w:val="00663965"/>
    <w:rsid w:val="00663BAD"/>
    <w:rsid w:val="00663D53"/>
    <w:rsid w:val="00663D8F"/>
    <w:rsid w:val="00663DC9"/>
    <w:rsid w:val="006641F2"/>
    <w:rsid w:val="00664D27"/>
    <w:rsid w:val="00666381"/>
    <w:rsid w:val="00666551"/>
    <w:rsid w:val="00666F4E"/>
    <w:rsid w:val="00667591"/>
    <w:rsid w:val="006679DF"/>
    <w:rsid w:val="006701AC"/>
    <w:rsid w:val="006701ED"/>
    <w:rsid w:val="006702C2"/>
    <w:rsid w:val="006704DE"/>
    <w:rsid w:val="00670AD7"/>
    <w:rsid w:val="00670AF5"/>
    <w:rsid w:val="00670E74"/>
    <w:rsid w:val="00671769"/>
    <w:rsid w:val="006721A3"/>
    <w:rsid w:val="006726E2"/>
    <w:rsid w:val="006727E5"/>
    <w:rsid w:val="00672BA9"/>
    <w:rsid w:val="00672BC6"/>
    <w:rsid w:val="00672D07"/>
    <w:rsid w:val="006734C6"/>
    <w:rsid w:val="00673D7F"/>
    <w:rsid w:val="00674869"/>
    <w:rsid w:val="00674B06"/>
    <w:rsid w:val="00675124"/>
    <w:rsid w:val="0067597D"/>
    <w:rsid w:val="00675A40"/>
    <w:rsid w:val="00675CAD"/>
    <w:rsid w:val="00675E43"/>
    <w:rsid w:val="0067625C"/>
    <w:rsid w:val="006767FA"/>
    <w:rsid w:val="00676841"/>
    <w:rsid w:val="00676EB1"/>
    <w:rsid w:val="006776F1"/>
    <w:rsid w:val="0067782C"/>
    <w:rsid w:val="00677ABE"/>
    <w:rsid w:val="00677D14"/>
    <w:rsid w:val="00677E41"/>
    <w:rsid w:val="00680434"/>
    <w:rsid w:val="0068061D"/>
    <w:rsid w:val="00680779"/>
    <w:rsid w:val="00680F22"/>
    <w:rsid w:val="006811FA"/>
    <w:rsid w:val="00681707"/>
    <w:rsid w:val="00681DC0"/>
    <w:rsid w:val="00681E88"/>
    <w:rsid w:val="00682659"/>
    <w:rsid w:val="006826AF"/>
    <w:rsid w:val="00682968"/>
    <w:rsid w:val="006829F7"/>
    <w:rsid w:val="00682FE0"/>
    <w:rsid w:val="0068321B"/>
    <w:rsid w:val="00683C07"/>
    <w:rsid w:val="00683E57"/>
    <w:rsid w:val="00683E9E"/>
    <w:rsid w:val="00684006"/>
    <w:rsid w:val="006841C8"/>
    <w:rsid w:val="0068420F"/>
    <w:rsid w:val="0068428C"/>
    <w:rsid w:val="00684354"/>
    <w:rsid w:val="0068496F"/>
    <w:rsid w:val="006853C3"/>
    <w:rsid w:val="00685512"/>
    <w:rsid w:val="0068581B"/>
    <w:rsid w:val="00685DC2"/>
    <w:rsid w:val="006866DB"/>
    <w:rsid w:val="006868F9"/>
    <w:rsid w:val="006872C3"/>
    <w:rsid w:val="0068797F"/>
    <w:rsid w:val="00687C73"/>
    <w:rsid w:val="00690169"/>
    <w:rsid w:val="0069017C"/>
    <w:rsid w:val="00690F34"/>
    <w:rsid w:val="00691155"/>
    <w:rsid w:val="006912D8"/>
    <w:rsid w:val="00691704"/>
    <w:rsid w:val="0069179D"/>
    <w:rsid w:val="00691A1E"/>
    <w:rsid w:val="00691BA3"/>
    <w:rsid w:val="00691F19"/>
    <w:rsid w:val="00692443"/>
    <w:rsid w:val="00692663"/>
    <w:rsid w:val="00692F8D"/>
    <w:rsid w:val="0069380A"/>
    <w:rsid w:val="006938F0"/>
    <w:rsid w:val="00693D7A"/>
    <w:rsid w:val="00694444"/>
    <w:rsid w:val="006944DC"/>
    <w:rsid w:val="006948CC"/>
    <w:rsid w:val="00694CDF"/>
    <w:rsid w:val="00695055"/>
    <w:rsid w:val="006952E3"/>
    <w:rsid w:val="006953FC"/>
    <w:rsid w:val="00695614"/>
    <w:rsid w:val="00695F25"/>
    <w:rsid w:val="0069608E"/>
    <w:rsid w:val="006965E0"/>
    <w:rsid w:val="0069700F"/>
    <w:rsid w:val="00697166"/>
    <w:rsid w:val="00697676"/>
    <w:rsid w:val="0069781F"/>
    <w:rsid w:val="00697DB2"/>
    <w:rsid w:val="006A0095"/>
    <w:rsid w:val="006A0A35"/>
    <w:rsid w:val="006A0AE1"/>
    <w:rsid w:val="006A0C5C"/>
    <w:rsid w:val="006A121D"/>
    <w:rsid w:val="006A1CBB"/>
    <w:rsid w:val="006A1D29"/>
    <w:rsid w:val="006A236F"/>
    <w:rsid w:val="006A285B"/>
    <w:rsid w:val="006A2CF7"/>
    <w:rsid w:val="006A2DF5"/>
    <w:rsid w:val="006A3528"/>
    <w:rsid w:val="006A3851"/>
    <w:rsid w:val="006A3AB6"/>
    <w:rsid w:val="006A3B81"/>
    <w:rsid w:val="006A3E86"/>
    <w:rsid w:val="006A3FEC"/>
    <w:rsid w:val="006A53F4"/>
    <w:rsid w:val="006A548E"/>
    <w:rsid w:val="006A56C3"/>
    <w:rsid w:val="006A6203"/>
    <w:rsid w:val="006A6B64"/>
    <w:rsid w:val="006A71DA"/>
    <w:rsid w:val="006A72AC"/>
    <w:rsid w:val="006A7CBA"/>
    <w:rsid w:val="006A7D2A"/>
    <w:rsid w:val="006B0453"/>
    <w:rsid w:val="006B05D4"/>
    <w:rsid w:val="006B07A0"/>
    <w:rsid w:val="006B07C8"/>
    <w:rsid w:val="006B0CE6"/>
    <w:rsid w:val="006B109C"/>
    <w:rsid w:val="006B1A3E"/>
    <w:rsid w:val="006B2082"/>
    <w:rsid w:val="006B238C"/>
    <w:rsid w:val="006B2507"/>
    <w:rsid w:val="006B2858"/>
    <w:rsid w:val="006B28A2"/>
    <w:rsid w:val="006B29DF"/>
    <w:rsid w:val="006B2B13"/>
    <w:rsid w:val="006B310E"/>
    <w:rsid w:val="006B3243"/>
    <w:rsid w:val="006B3449"/>
    <w:rsid w:val="006B35B7"/>
    <w:rsid w:val="006B3679"/>
    <w:rsid w:val="006B3919"/>
    <w:rsid w:val="006B3BE8"/>
    <w:rsid w:val="006B3C83"/>
    <w:rsid w:val="006B41B1"/>
    <w:rsid w:val="006B4402"/>
    <w:rsid w:val="006B4E26"/>
    <w:rsid w:val="006B5517"/>
    <w:rsid w:val="006B5B40"/>
    <w:rsid w:val="006B6C00"/>
    <w:rsid w:val="006B6CD1"/>
    <w:rsid w:val="006B6D4D"/>
    <w:rsid w:val="006B6E05"/>
    <w:rsid w:val="006B7E2F"/>
    <w:rsid w:val="006B7F9C"/>
    <w:rsid w:val="006C0166"/>
    <w:rsid w:val="006C028F"/>
    <w:rsid w:val="006C1751"/>
    <w:rsid w:val="006C1AF4"/>
    <w:rsid w:val="006C23E9"/>
    <w:rsid w:val="006C2EE7"/>
    <w:rsid w:val="006C31D7"/>
    <w:rsid w:val="006C35CE"/>
    <w:rsid w:val="006C3B30"/>
    <w:rsid w:val="006C47EA"/>
    <w:rsid w:val="006C4910"/>
    <w:rsid w:val="006C4AF0"/>
    <w:rsid w:val="006C518F"/>
    <w:rsid w:val="006C540F"/>
    <w:rsid w:val="006C55BF"/>
    <w:rsid w:val="006C5F00"/>
    <w:rsid w:val="006C5F4B"/>
    <w:rsid w:val="006C6007"/>
    <w:rsid w:val="006C6698"/>
    <w:rsid w:val="006C6A34"/>
    <w:rsid w:val="006C6A98"/>
    <w:rsid w:val="006C70B3"/>
    <w:rsid w:val="006C720B"/>
    <w:rsid w:val="006C7CD2"/>
    <w:rsid w:val="006C7E12"/>
    <w:rsid w:val="006D008B"/>
    <w:rsid w:val="006D02ED"/>
    <w:rsid w:val="006D0322"/>
    <w:rsid w:val="006D0336"/>
    <w:rsid w:val="006D0F95"/>
    <w:rsid w:val="006D10DE"/>
    <w:rsid w:val="006D16A7"/>
    <w:rsid w:val="006D19A7"/>
    <w:rsid w:val="006D1EB1"/>
    <w:rsid w:val="006D21A1"/>
    <w:rsid w:val="006D22CD"/>
    <w:rsid w:val="006D268B"/>
    <w:rsid w:val="006D2874"/>
    <w:rsid w:val="006D28E6"/>
    <w:rsid w:val="006D2DCA"/>
    <w:rsid w:val="006D3009"/>
    <w:rsid w:val="006D32AD"/>
    <w:rsid w:val="006D33C1"/>
    <w:rsid w:val="006D357D"/>
    <w:rsid w:val="006D3B4E"/>
    <w:rsid w:val="006D42F9"/>
    <w:rsid w:val="006D4349"/>
    <w:rsid w:val="006D48B0"/>
    <w:rsid w:val="006D48FD"/>
    <w:rsid w:val="006D4D1F"/>
    <w:rsid w:val="006D4ED3"/>
    <w:rsid w:val="006D4F51"/>
    <w:rsid w:val="006D52AB"/>
    <w:rsid w:val="006D5978"/>
    <w:rsid w:val="006D5E97"/>
    <w:rsid w:val="006D6580"/>
    <w:rsid w:val="006D65B5"/>
    <w:rsid w:val="006D694B"/>
    <w:rsid w:val="006D6D6B"/>
    <w:rsid w:val="006D71DE"/>
    <w:rsid w:val="006D7B0B"/>
    <w:rsid w:val="006D7FAF"/>
    <w:rsid w:val="006E0066"/>
    <w:rsid w:val="006E046C"/>
    <w:rsid w:val="006E0D5D"/>
    <w:rsid w:val="006E0E6D"/>
    <w:rsid w:val="006E0F38"/>
    <w:rsid w:val="006E1044"/>
    <w:rsid w:val="006E1049"/>
    <w:rsid w:val="006E1203"/>
    <w:rsid w:val="006E169A"/>
    <w:rsid w:val="006E1E78"/>
    <w:rsid w:val="006E2313"/>
    <w:rsid w:val="006E23BF"/>
    <w:rsid w:val="006E2762"/>
    <w:rsid w:val="006E2A36"/>
    <w:rsid w:val="006E3353"/>
    <w:rsid w:val="006E344D"/>
    <w:rsid w:val="006E39B4"/>
    <w:rsid w:val="006E4108"/>
    <w:rsid w:val="006E471A"/>
    <w:rsid w:val="006E483D"/>
    <w:rsid w:val="006E4F06"/>
    <w:rsid w:val="006E53B0"/>
    <w:rsid w:val="006E5B42"/>
    <w:rsid w:val="006E60AA"/>
    <w:rsid w:val="006E7A7C"/>
    <w:rsid w:val="006E7CF3"/>
    <w:rsid w:val="006E7E33"/>
    <w:rsid w:val="006F0227"/>
    <w:rsid w:val="006F0730"/>
    <w:rsid w:val="006F096A"/>
    <w:rsid w:val="006F096E"/>
    <w:rsid w:val="006F1504"/>
    <w:rsid w:val="006F1652"/>
    <w:rsid w:val="006F1F86"/>
    <w:rsid w:val="006F1FC9"/>
    <w:rsid w:val="006F2233"/>
    <w:rsid w:val="006F2BBA"/>
    <w:rsid w:val="006F3DB5"/>
    <w:rsid w:val="006F3EE4"/>
    <w:rsid w:val="006F3F06"/>
    <w:rsid w:val="006F3F29"/>
    <w:rsid w:val="006F4116"/>
    <w:rsid w:val="006F51EA"/>
    <w:rsid w:val="006F52B9"/>
    <w:rsid w:val="006F65AD"/>
    <w:rsid w:val="006F680C"/>
    <w:rsid w:val="006F6D81"/>
    <w:rsid w:val="006F7077"/>
    <w:rsid w:val="006F75EB"/>
    <w:rsid w:val="006F775A"/>
    <w:rsid w:val="006F7AF9"/>
    <w:rsid w:val="00700363"/>
    <w:rsid w:val="00700DC4"/>
    <w:rsid w:val="0070111A"/>
    <w:rsid w:val="007013F5"/>
    <w:rsid w:val="00701A35"/>
    <w:rsid w:val="00701F32"/>
    <w:rsid w:val="00702464"/>
    <w:rsid w:val="0070287B"/>
    <w:rsid w:val="007029B8"/>
    <w:rsid w:val="00702AD7"/>
    <w:rsid w:val="00702AEA"/>
    <w:rsid w:val="00702FD2"/>
    <w:rsid w:val="007035F8"/>
    <w:rsid w:val="007040AA"/>
    <w:rsid w:val="007045C3"/>
    <w:rsid w:val="007058CB"/>
    <w:rsid w:val="0070625C"/>
    <w:rsid w:val="00706427"/>
    <w:rsid w:val="007064BC"/>
    <w:rsid w:val="007064FF"/>
    <w:rsid w:val="007065A2"/>
    <w:rsid w:val="00706A15"/>
    <w:rsid w:val="00706B2B"/>
    <w:rsid w:val="007070F8"/>
    <w:rsid w:val="007073B3"/>
    <w:rsid w:val="0070755E"/>
    <w:rsid w:val="0070757C"/>
    <w:rsid w:val="0070765E"/>
    <w:rsid w:val="00707AFA"/>
    <w:rsid w:val="00707D83"/>
    <w:rsid w:val="00710276"/>
    <w:rsid w:val="007106BC"/>
    <w:rsid w:val="007107EF"/>
    <w:rsid w:val="007113E5"/>
    <w:rsid w:val="00711799"/>
    <w:rsid w:val="00711A68"/>
    <w:rsid w:val="00711B49"/>
    <w:rsid w:val="00711FF0"/>
    <w:rsid w:val="00712334"/>
    <w:rsid w:val="0071241B"/>
    <w:rsid w:val="00712426"/>
    <w:rsid w:val="007126E2"/>
    <w:rsid w:val="007128BA"/>
    <w:rsid w:val="00712A01"/>
    <w:rsid w:val="00712ADC"/>
    <w:rsid w:val="00712F94"/>
    <w:rsid w:val="00712FCC"/>
    <w:rsid w:val="00713BA2"/>
    <w:rsid w:val="00714350"/>
    <w:rsid w:val="00714892"/>
    <w:rsid w:val="0071499E"/>
    <w:rsid w:val="00714DBE"/>
    <w:rsid w:val="007157A4"/>
    <w:rsid w:val="00715CDA"/>
    <w:rsid w:val="00716024"/>
    <w:rsid w:val="00716BDD"/>
    <w:rsid w:val="00716D17"/>
    <w:rsid w:val="0071799D"/>
    <w:rsid w:val="00717B56"/>
    <w:rsid w:val="00720884"/>
    <w:rsid w:val="00721349"/>
    <w:rsid w:val="0072143F"/>
    <w:rsid w:val="007215C9"/>
    <w:rsid w:val="00721A7C"/>
    <w:rsid w:val="00721C7D"/>
    <w:rsid w:val="007220BD"/>
    <w:rsid w:val="007222DA"/>
    <w:rsid w:val="00722339"/>
    <w:rsid w:val="00722714"/>
    <w:rsid w:val="00722A03"/>
    <w:rsid w:val="007231F8"/>
    <w:rsid w:val="0072332B"/>
    <w:rsid w:val="007236FA"/>
    <w:rsid w:val="00723B4B"/>
    <w:rsid w:val="00724334"/>
    <w:rsid w:val="0072483B"/>
    <w:rsid w:val="00724BC9"/>
    <w:rsid w:val="00724F21"/>
    <w:rsid w:val="007251AB"/>
    <w:rsid w:val="00725422"/>
    <w:rsid w:val="007255B4"/>
    <w:rsid w:val="00726834"/>
    <w:rsid w:val="00726A9D"/>
    <w:rsid w:val="007270F1"/>
    <w:rsid w:val="0072736A"/>
    <w:rsid w:val="007276CC"/>
    <w:rsid w:val="007279C7"/>
    <w:rsid w:val="00727A2A"/>
    <w:rsid w:val="00727A36"/>
    <w:rsid w:val="00727C4D"/>
    <w:rsid w:val="00730264"/>
    <w:rsid w:val="007302B7"/>
    <w:rsid w:val="00730421"/>
    <w:rsid w:val="0073058D"/>
    <w:rsid w:val="007309ED"/>
    <w:rsid w:val="00730F05"/>
    <w:rsid w:val="00730F1A"/>
    <w:rsid w:val="0073109E"/>
    <w:rsid w:val="007311D4"/>
    <w:rsid w:val="0073120A"/>
    <w:rsid w:val="007318AA"/>
    <w:rsid w:val="00731D5D"/>
    <w:rsid w:val="00731E62"/>
    <w:rsid w:val="007322D1"/>
    <w:rsid w:val="0073266E"/>
    <w:rsid w:val="007328CF"/>
    <w:rsid w:val="0073295E"/>
    <w:rsid w:val="00732DC6"/>
    <w:rsid w:val="00733844"/>
    <w:rsid w:val="00733BCD"/>
    <w:rsid w:val="007341FE"/>
    <w:rsid w:val="00734410"/>
    <w:rsid w:val="00734990"/>
    <w:rsid w:val="00734E81"/>
    <w:rsid w:val="00735673"/>
    <w:rsid w:val="007359DB"/>
    <w:rsid w:val="00735A75"/>
    <w:rsid w:val="00736051"/>
    <w:rsid w:val="00736663"/>
    <w:rsid w:val="0073683A"/>
    <w:rsid w:val="00736B5D"/>
    <w:rsid w:val="00736BD3"/>
    <w:rsid w:val="00736BEC"/>
    <w:rsid w:val="00736F0B"/>
    <w:rsid w:val="00737044"/>
    <w:rsid w:val="0073788F"/>
    <w:rsid w:val="007378AD"/>
    <w:rsid w:val="00737B5B"/>
    <w:rsid w:val="00737FB1"/>
    <w:rsid w:val="00740206"/>
    <w:rsid w:val="007403B7"/>
    <w:rsid w:val="00740F4E"/>
    <w:rsid w:val="007412AF"/>
    <w:rsid w:val="00741373"/>
    <w:rsid w:val="00741E9E"/>
    <w:rsid w:val="00742C20"/>
    <w:rsid w:val="00742E7A"/>
    <w:rsid w:val="00742F28"/>
    <w:rsid w:val="0074316C"/>
    <w:rsid w:val="00743C22"/>
    <w:rsid w:val="007447FF"/>
    <w:rsid w:val="00744FCC"/>
    <w:rsid w:val="0074515D"/>
    <w:rsid w:val="0074560F"/>
    <w:rsid w:val="00745672"/>
    <w:rsid w:val="00745895"/>
    <w:rsid w:val="007467CF"/>
    <w:rsid w:val="007469E5"/>
    <w:rsid w:val="00746F29"/>
    <w:rsid w:val="007477F0"/>
    <w:rsid w:val="00747F47"/>
    <w:rsid w:val="00750032"/>
    <w:rsid w:val="00750568"/>
    <w:rsid w:val="0075070D"/>
    <w:rsid w:val="00750CB4"/>
    <w:rsid w:val="00751481"/>
    <w:rsid w:val="007515BF"/>
    <w:rsid w:val="00751BA2"/>
    <w:rsid w:val="00751EF2"/>
    <w:rsid w:val="007523E6"/>
    <w:rsid w:val="00752777"/>
    <w:rsid w:val="007528A7"/>
    <w:rsid w:val="00752937"/>
    <w:rsid w:val="00752A4F"/>
    <w:rsid w:val="00752F41"/>
    <w:rsid w:val="007531AE"/>
    <w:rsid w:val="007532DD"/>
    <w:rsid w:val="00753765"/>
    <w:rsid w:val="0075413E"/>
    <w:rsid w:val="007545DE"/>
    <w:rsid w:val="007546AC"/>
    <w:rsid w:val="00754920"/>
    <w:rsid w:val="00755574"/>
    <w:rsid w:val="00755F62"/>
    <w:rsid w:val="00756097"/>
    <w:rsid w:val="007562F4"/>
    <w:rsid w:val="007563B9"/>
    <w:rsid w:val="007563C4"/>
    <w:rsid w:val="00756659"/>
    <w:rsid w:val="00757582"/>
    <w:rsid w:val="00757790"/>
    <w:rsid w:val="007579F7"/>
    <w:rsid w:val="00757F74"/>
    <w:rsid w:val="00757FCC"/>
    <w:rsid w:val="00760236"/>
    <w:rsid w:val="0076062F"/>
    <w:rsid w:val="007606B6"/>
    <w:rsid w:val="0076093B"/>
    <w:rsid w:val="00760EED"/>
    <w:rsid w:val="00760F43"/>
    <w:rsid w:val="00760FE0"/>
    <w:rsid w:val="00760FED"/>
    <w:rsid w:val="00761041"/>
    <w:rsid w:val="00761AA5"/>
    <w:rsid w:val="00761FE0"/>
    <w:rsid w:val="00762157"/>
    <w:rsid w:val="0076224C"/>
    <w:rsid w:val="007624A3"/>
    <w:rsid w:val="00762587"/>
    <w:rsid w:val="00762920"/>
    <w:rsid w:val="00762D88"/>
    <w:rsid w:val="00763232"/>
    <w:rsid w:val="00763438"/>
    <w:rsid w:val="00763624"/>
    <w:rsid w:val="00763BF7"/>
    <w:rsid w:val="007644D4"/>
    <w:rsid w:val="007644D8"/>
    <w:rsid w:val="0076457F"/>
    <w:rsid w:val="0076462D"/>
    <w:rsid w:val="007647BF"/>
    <w:rsid w:val="00764986"/>
    <w:rsid w:val="00764B69"/>
    <w:rsid w:val="00764FE5"/>
    <w:rsid w:val="007650C4"/>
    <w:rsid w:val="0076568E"/>
    <w:rsid w:val="00765726"/>
    <w:rsid w:val="007662EA"/>
    <w:rsid w:val="00766919"/>
    <w:rsid w:val="00766CC4"/>
    <w:rsid w:val="00766E5A"/>
    <w:rsid w:val="00767CB1"/>
    <w:rsid w:val="0077096F"/>
    <w:rsid w:val="00770C5E"/>
    <w:rsid w:val="00770CF9"/>
    <w:rsid w:val="00771119"/>
    <w:rsid w:val="00771467"/>
    <w:rsid w:val="007718FF"/>
    <w:rsid w:val="00771EBA"/>
    <w:rsid w:val="00772D1E"/>
    <w:rsid w:val="00772E7A"/>
    <w:rsid w:val="007733FE"/>
    <w:rsid w:val="0077445A"/>
    <w:rsid w:val="00774949"/>
    <w:rsid w:val="00774AB6"/>
    <w:rsid w:val="00774B94"/>
    <w:rsid w:val="00774D67"/>
    <w:rsid w:val="00774E55"/>
    <w:rsid w:val="00775D85"/>
    <w:rsid w:val="00775FE7"/>
    <w:rsid w:val="0077631A"/>
    <w:rsid w:val="00776723"/>
    <w:rsid w:val="00776B52"/>
    <w:rsid w:val="00776FF1"/>
    <w:rsid w:val="007770DF"/>
    <w:rsid w:val="007773FF"/>
    <w:rsid w:val="00777AD3"/>
    <w:rsid w:val="00780EBE"/>
    <w:rsid w:val="00780F9D"/>
    <w:rsid w:val="0078119D"/>
    <w:rsid w:val="007815F7"/>
    <w:rsid w:val="00782371"/>
    <w:rsid w:val="00782553"/>
    <w:rsid w:val="0078287B"/>
    <w:rsid w:val="00782D51"/>
    <w:rsid w:val="00784169"/>
    <w:rsid w:val="00784923"/>
    <w:rsid w:val="00784BB2"/>
    <w:rsid w:val="00784FE8"/>
    <w:rsid w:val="00785B69"/>
    <w:rsid w:val="00785C8B"/>
    <w:rsid w:val="00785CC1"/>
    <w:rsid w:val="0078672E"/>
    <w:rsid w:val="00786E0F"/>
    <w:rsid w:val="00787098"/>
    <w:rsid w:val="007876F9"/>
    <w:rsid w:val="007877CE"/>
    <w:rsid w:val="00787F09"/>
    <w:rsid w:val="00787F2C"/>
    <w:rsid w:val="007908BD"/>
    <w:rsid w:val="00790908"/>
    <w:rsid w:val="00790BE1"/>
    <w:rsid w:val="00791C18"/>
    <w:rsid w:val="00792305"/>
    <w:rsid w:val="00792B1A"/>
    <w:rsid w:val="00792BDC"/>
    <w:rsid w:val="00792BFC"/>
    <w:rsid w:val="00792EC2"/>
    <w:rsid w:val="007935B6"/>
    <w:rsid w:val="00793B4C"/>
    <w:rsid w:val="00793C23"/>
    <w:rsid w:val="00793ED8"/>
    <w:rsid w:val="0079409C"/>
    <w:rsid w:val="00794660"/>
    <w:rsid w:val="007948DA"/>
    <w:rsid w:val="00794C7B"/>
    <w:rsid w:val="00794E99"/>
    <w:rsid w:val="00794FA4"/>
    <w:rsid w:val="00795023"/>
    <w:rsid w:val="0079503C"/>
    <w:rsid w:val="0079636F"/>
    <w:rsid w:val="007963C9"/>
    <w:rsid w:val="00796531"/>
    <w:rsid w:val="00796C79"/>
    <w:rsid w:val="00796E1F"/>
    <w:rsid w:val="00797115"/>
    <w:rsid w:val="00797411"/>
    <w:rsid w:val="0079781E"/>
    <w:rsid w:val="00797F61"/>
    <w:rsid w:val="007A0399"/>
    <w:rsid w:val="007A0FC4"/>
    <w:rsid w:val="007A198B"/>
    <w:rsid w:val="007A1BBA"/>
    <w:rsid w:val="007A20B7"/>
    <w:rsid w:val="007A25C6"/>
    <w:rsid w:val="007A2752"/>
    <w:rsid w:val="007A2B3E"/>
    <w:rsid w:val="007A3806"/>
    <w:rsid w:val="007A3C4C"/>
    <w:rsid w:val="007A3D85"/>
    <w:rsid w:val="007A42A9"/>
    <w:rsid w:val="007A42B8"/>
    <w:rsid w:val="007A42F3"/>
    <w:rsid w:val="007A459E"/>
    <w:rsid w:val="007A45F9"/>
    <w:rsid w:val="007A4B5A"/>
    <w:rsid w:val="007A5277"/>
    <w:rsid w:val="007A57C2"/>
    <w:rsid w:val="007A5A3B"/>
    <w:rsid w:val="007A5D05"/>
    <w:rsid w:val="007A65D7"/>
    <w:rsid w:val="007A7182"/>
    <w:rsid w:val="007A783F"/>
    <w:rsid w:val="007A7CC6"/>
    <w:rsid w:val="007A7EC4"/>
    <w:rsid w:val="007B008D"/>
    <w:rsid w:val="007B0527"/>
    <w:rsid w:val="007B08BD"/>
    <w:rsid w:val="007B0F9E"/>
    <w:rsid w:val="007B1F38"/>
    <w:rsid w:val="007B2171"/>
    <w:rsid w:val="007B226E"/>
    <w:rsid w:val="007B2908"/>
    <w:rsid w:val="007B2CFD"/>
    <w:rsid w:val="007B3095"/>
    <w:rsid w:val="007B322F"/>
    <w:rsid w:val="007B34BA"/>
    <w:rsid w:val="007B34DA"/>
    <w:rsid w:val="007B3A45"/>
    <w:rsid w:val="007B4E91"/>
    <w:rsid w:val="007B5132"/>
    <w:rsid w:val="007B549B"/>
    <w:rsid w:val="007B5683"/>
    <w:rsid w:val="007B5783"/>
    <w:rsid w:val="007B5949"/>
    <w:rsid w:val="007B5988"/>
    <w:rsid w:val="007B5D59"/>
    <w:rsid w:val="007B5DC7"/>
    <w:rsid w:val="007B6A6E"/>
    <w:rsid w:val="007B6BB9"/>
    <w:rsid w:val="007B725F"/>
    <w:rsid w:val="007B778F"/>
    <w:rsid w:val="007B7823"/>
    <w:rsid w:val="007C0395"/>
    <w:rsid w:val="007C07F0"/>
    <w:rsid w:val="007C1962"/>
    <w:rsid w:val="007C196B"/>
    <w:rsid w:val="007C1A5C"/>
    <w:rsid w:val="007C23ED"/>
    <w:rsid w:val="007C2511"/>
    <w:rsid w:val="007C2630"/>
    <w:rsid w:val="007C2E93"/>
    <w:rsid w:val="007C2FEB"/>
    <w:rsid w:val="007C384E"/>
    <w:rsid w:val="007C3B47"/>
    <w:rsid w:val="007C3D95"/>
    <w:rsid w:val="007C4102"/>
    <w:rsid w:val="007C45CE"/>
    <w:rsid w:val="007C4655"/>
    <w:rsid w:val="007C49B2"/>
    <w:rsid w:val="007C4A5B"/>
    <w:rsid w:val="007C4DDC"/>
    <w:rsid w:val="007C4F07"/>
    <w:rsid w:val="007C4F0F"/>
    <w:rsid w:val="007C50E2"/>
    <w:rsid w:val="007C6AC2"/>
    <w:rsid w:val="007C6B3F"/>
    <w:rsid w:val="007C6BDD"/>
    <w:rsid w:val="007C7006"/>
    <w:rsid w:val="007C70CB"/>
    <w:rsid w:val="007C794F"/>
    <w:rsid w:val="007C7C69"/>
    <w:rsid w:val="007C7CD4"/>
    <w:rsid w:val="007D04A7"/>
    <w:rsid w:val="007D0AD1"/>
    <w:rsid w:val="007D0D3E"/>
    <w:rsid w:val="007D10D5"/>
    <w:rsid w:val="007D15C9"/>
    <w:rsid w:val="007D187F"/>
    <w:rsid w:val="007D1882"/>
    <w:rsid w:val="007D1975"/>
    <w:rsid w:val="007D27E0"/>
    <w:rsid w:val="007D2F05"/>
    <w:rsid w:val="007D2FF4"/>
    <w:rsid w:val="007D2FFA"/>
    <w:rsid w:val="007D33D5"/>
    <w:rsid w:val="007D391F"/>
    <w:rsid w:val="007D3A71"/>
    <w:rsid w:val="007D3B0E"/>
    <w:rsid w:val="007D4640"/>
    <w:rsid w:val="007D48C3"/>
    <w:rsid w:val="007D4A6A"/>
    <w:rsid w:val="007D4AB4"/>
    <w:rsid w:val="007D5646"/>
    <w:rsid w:val="007D59A1"/>
    <w:rsid w:val="007D5C37"/>
    <w:rsid w:val="007D5E1C"/>
    <w:rsid w:val="007D6118"/>
    <w:rsid w:val="007D6313"/>
    <w:rsid w:val="007D6E71"/>
    <w:rsid w:val="007D6FA0"/>
    <w:rsid w:val="007D7294"/>
    <w:rsid w:val="007D72A9"/>
    <w:rsid w:val="007D73B5"/>
    <w:rsid w:val="007D7590"/>
    <w:rsid w:val="007E0188"/>
    <w:rsid w:val="007E078A"/>
    <w:rsid w:val="007E0DB2"/>
    <w:rsid w:val="007E0FFA"/>
    <w:rsid w:val="007E111F"/>
    <w:rsid w:val="007E18DE"/>
    <w:rsid w:val="007E1910"/>
    <w:rsid w:val="007E1AFC"/>
    <w:rsid w:val="007E1BCD"/>
    <w:rsid w:val="007E1CA2"/>
    <w:rsid w:val="007E1CB0"/>
    <w:rsid w:val="007E2320"/>
    <w:rsid w:val="007E24C8"/>
    <w:rsid w:val="007E25A5"/>
    <w:rsid w:val="007E263E"/>
    <w:rsid w:val="007E3796"/>
    <w:rsid w:val="007E38BF"/>
    <w:rsid w:val="007E3B33"/>
    <w:rsid w:val="007E4046"/>
    <w:rsid w:val="007E41EC"/>
    <w:rsid w:val="007E4445"/>
    <w:rsid w:val="007E47E1"/>
    <w:rsid w:val="007E4AC5"/>
    <w:rsid w:val="007E50D7"/>
    <w:rsid w:val="007E57AB"/>
    <w:rsid w:val="007E5DAA"/>
    <w:rsid w:val="007E5DF1"/>
    <w:rsid w:val="007E5E02"/>
    <w:rsid w:val="007E5F3A"/>
    <w:rsid w:val="007E606D"/>
    <w:rsid w:val="007E64FE"/>
    <w:rsid w:val="007E6672"/>
    <w:rsid w:val="007E67C3"/>
    <w:rsid w:val="007E6943"/>
    <w:rsid w:val="007E7202"/>
    <w:rsid w:val="007E72CD"/>
    <w:rsid w:val="007E78B5"/>
    <w:rsid w:val="007E7AC0"/>
    <w:rsid w:val="007E7C0F"/>
    <w:rsid w:val="007E7D03"/>
    <w:rsid w:val="007E7EF9"/>
    <w:rsid w:val="007F01C5"/>
    <w:rsid w:val="007F0B2C"/>
    <w:rsid w:val="007F0D70"/>
    <w:rsid w:val="007F0DFC"/>
    <w:rsid w:val="007F0F3B"/>
    <w:rsid w:val="007F0F3E"/>
    <w:rsid w:val="007F139F"/>
    <w:rsid w:val="007F16D7"/>
    <w:rsid w:val="007F1E57"/>
    <w:rsid w:val="007F20E3"/>
    <w:rsid w:val="007F251A"/>
    <w:rsid w:val="007F27FB"/>
    <w:rsid w:val="007F2A63"/>
    <w:rsid w:val="007F2EC3"/>
    <w:rsid w:val="007F32D1"/>
    <w:rsid w:val="007F3B18"/>
    <w:rsid w:val="007F423C"/>
    <w:rsid w:val="007F427A"/>
    <w:rsid w:val="007F47A9"/>
    <w:rsid w:val="007F49FC"/>
    <w:rsid w:val="007F5138"/>
    <w:rsid w:val="007F56F8"/>
    <w:rsid w:val="007F5730"/>
    <w:rsid w:val="007F5DFD"/>
    <w:rsid w:val="007F5EB4"/>
    <w:rsid w:val="007F608F"/>
    <w:rsid w:val="007F60BF"/>
    <w:rsid w:val="007F7205"/>
    <w:rsid w:val="007F7289"/>
    <w:rsid w:val="007F7379"/>
    <w:rsid w:val="007F7502"/>
    <w:rsid w:val="008003A9"/>
    <w:rsid w:val="0080080D"/>
    <w:rsid w:val="00800B38"/>
    <w:rsid w:val="00801955"/>
    <w:rsid w:val="00801C47"/>
    <w:rsid w:val="00802136"/>
    <w:rsid w:val="00802BF1"/>
    <w:rsid w:val="00802F65"/>
    <w:rsid w:val="008030AE"/>
    <w:rsid w:val="00803EAE"/>
    <w:rsid w:val="00804041"/>
    <w:rsid w:val="008041B7"/>
    <w:rsid w:val="008046A3"/>
    <w:rsid w:val="008046B1"/>
    <w:rsid w:val="0080598B"/>
    <w:rsid w:val="00805B59"/>
    <w:rsid w:val="00805EE1"/>
    <w:rsid w:val="0080604D"/>
    <w:rsid w:val="00806323"/>
    <w:rsid w:val="00806324"/>
    <w:rsid w:val="008069CF"/>
    <w:rsid w:val="00806A09"/>
    <w:rsid w:val="00806F8F"/>
    <w:rsid w:val="00807432"/>
    <w:rsid w:val="00807D6B"/>
    <w:rsid w:val="00810070"/>
    <w:rsid w:val="008100A0"/>
    <w:rsid w:val="00810100"/>
    <w:rsid w:val="00810225"/>
    <w:rsid w:val="00810462"/>
    <w:rsid w:val="008107B4"/>
    <w:rsid w:val="00810D43"/>
    <w:rsid w:val="008111B1"/>
    <w:rsid w:val="008124F6"/>
    <w:rsid w:val="00812DF2"/>
    <w:rsid w:val="00812F1A"/>
    <w:rsid w:val="0081360C"/>
    <w:rsid w:val="008138C3"/>
    <w:rsid w:val="0081457D"/>
    <w:rsid w:val="008145A7"/>
    <w:rsid w:val="00814672"/>
    <w:rsid w:val="008147B1"/>
    <w:rsid w:val="00814C22"/>
    <w:rsid w:val="00814C8E"/>
    <w:rsid w:val="00814D32"/>
    <w:rsid w:val="008150B8"/>
    <w:rsid w:val="008155B0"/>
    <w:rsid w:val="0081595E"/>
    <w:rsid w:val="008159B2"/>
    <w:rsid w:val="00815CC2"/>
    <w:rsid w:val="00815D9E"/>
    <w:rsid w:val="0081648F"/>
    <w:rsid w:val="008165DF"/>
    <w:rsid w:val="0081669E"/>
    <w:rsid w:val="0081680F"/>
    <w:rsid w:val="008172A1"/>
    <w:rsid w:val="008174FE"/>
    <w:rsid w:val="008176D4"/>
    <w:rsid w:val="00820529"/>
    <w:rsid w:val="00820928"/>
    <w:rsid w:val="008213F4"/>
    <w:rsid w:val="008217E1"/>
    <w:rsid w:val="00821997"/>
    <w:rsid w:val="00821D55"/>
    <w:rsid w:val="00822226"/>
    <w:rsid w:val="008222E1"/>
    <w:rsid w:val="0082236E"/>
    <w:rsid w:val="008227C4"/>
    <w:rsid w:val="008228A9"/>
    <w:rsid w:val="008232FB"/>
    <w:rsid w:val="0082336B"/>
    <w:rsid w:val="00823511"/>
    <w:rsid w:val="00823A9B"/>
    <w:rsid w:val="008248C3"/>
    <w:rsid w:val="008248F0"/>
    <w:rsid w:val="00824D91"/>
    <w:rsid w:val="0082506B"/>
    <w:rsid w:val="008254DF"/>
    <w:rsid w:val="00825764"/>
    <w:rsid w:val="00825B91"/>
    <w:rsid w:val="008262D0"/>
    <w:rsid w:val="008266B3"/>
    <w:rsid w:val="0082702F"/>
    <w:rsid w:val="00827314"/>
    <w:rsid w:val="0082742F"/>
    <w:rsid w:val="0082759F"/>
    <w:rsid w:val="008275D6"/>
    <w:rsid w:val="00827CF3"/>
    <w:rsid w:val="0083022D"/>
    <w:rsid w:val="008302B7"/>
    <w:rsid w:val="0083086F"/>
    <w:rsid w:val="00830CAE"/>
    <w:rsid w:val="00831174"/>
    <w:rsid w:val="00831267"/>
    <w:rsid w:val="00831BD1"/>
    <w:rsid w:val="00832065"/>
    <w:rsid w:val="008320E7"/>
    <w:rsid w:val="008322EA"/>
    <w:rsid w:val="0083252F"/>
    <w:rsid w:val="00833428"/>
    <w:rsid w:val="008335BE"/>
    <w:rsid w:val="00833A87"/>
    <w:rsid w:val="00833F87"/>
    <w:rsid w:val="00834E8A"/>
    <w:rsid w:val="00834EB7"/>
    <w:rsid w:val="00834ED0"/>
    <w:rsid w:val="00835FD5"/>
    <w:rsid w:val="0083616A"/>
    <w:rsid w:val="00836693"/>
    <w:rsid w:val="008369B8"/>
    <w:rsid w:val="00836BA4"/>
    <w:rsid w:val="00836CDF"/>
    <w:rsid w:val="008374DA"/>
    <w:rsid w:val="00837503"/>
    <w:rsid w:val="008379E5"/>
    <w:rsid w:val="00837BEB"/>
    <w:rsid w:val="0084030E"/>
    <w:rsid w:val="00840842"/>
    <w:rsid w:val="00840F9B"/>
    <w:rsid w:val="008415D0"/>
    <w:rsid w:val="008419AB"/>
    <w:rsid w:val="00841E78"/>
    <w:rsid w:val="008421C8"/>
    <w:rsid w:val="00842C45"/>
    <w:rsid w:val="00842CCC"/>
    <w:rsid w:val="008431B5"/>
    <w:rsid w:val="008433E0"/>
    <w:rsid w:val="008436C9"/>
    <w:rsid w:val="00843737"/>
    <w:rsid w:val="00843810"/>
    <w:rsid w:val="00843E5D"/>
    <w:rsid w:val="0084401F"/>
    <w:rsid w:val="00844F80"/>
    <w:rsid w:val="00845843"/>
    <w:rsid w:val="008460CC"/>
    <w:rsid w:val="008460E0"/>
    <w:rsid w:val="008473EA"/>
    <w:rsid w:val="00847435"/>
    <w:rsid w:val="008476B6"/>
    <w:rsid w:val="008476EF"/>
    <w:rsid w:val="00847738"/>
    <w:rsid w:val="00847F82"/>
    <w:rsid w:val="008509C7"/>
    <w:rsid w:val="00850E24"/>
    <w:rsid w:val="00851597"/>
    <w:rsid w:val="00851600"/>
    <w:rsid w:val="008517C1"/>
    <w:rsid w:val="008518BD"/>
    <w:rsid w:val="00851A3E"/>
    <w:rsid w:val="00851A62"/>
    <w:rsid w:val="00851F8D"/>
    <w:rsid w:val="00852450"/>
    <w:rsid w:val="0085259C"/>
    <w:rsid w:val="0085282E"/>
    <w:rsid w:val="00852D23"/>
    <w:rsid w:val="00852EC7"/>
    <w:rsid w:val="0085315F"/>
    <w:rsid w:val="00853618"/>
    <w:rsid w:val="00853895"/>
    <w:rsid w:val="00853F20"/>
    <w:rsid w:val="008545A9"/>
    <w:rsid w:val="00854865"/>
    <w:rsid w:val="008552C8"/>
    <w:rsid w:val="0085573D"/>
    <w:rsid w:val="008558F2"/>
    <w:rsid w:val="0085595A"/>
    <w:rsid w:val="00855BF7"/>
    <w:rsid w:val="00855D59"/>
    <w:rsid w:val="00856544"/>
    <w:rsid w:val="00856EA4"/>
    <w:rsid w:val="00857C1C"/>
    <w:rsid w:val="0086025E"/>
    <w:rsid w:val="00860331"/>
    <w:rsid w:val="00860534"/>
    <w:rsid w:val="00860663"/>
    <w:rsid w:val="008607C9"/>
    <w:rsid w:val="0086083D"/>
    <w:rsid w:val="008608F7"/>
    <w:rsid w:val="00860C48"/>
    <w:rsid w:val="00860E9A"/>
    <w:rsid w:val="00860FBA"/>
    <w:rsid w:val="008618E1"/>
    <w:rsid w:val="008618FA"/>
    <w:rsid w:val="00861F6E"/>
    <w:rsid w:val="00861FF4"/>
    <w:rsid w:val="008626BC"/>
    <w:rsid w:val="0086282C"/>
    <w:rsid w:val="00862837"/>
    <w:rsid w:val="00862BA9"/>
    <w:rsid w:val="00863313"/>
    <w:rsid w:val="008636A3"/>
    <w:rsid w:val="00863A0E"/>
    <w:rsid w:val="0086414E"/>
    <w:rsid w:val="00864184"/>
    <w:rsid w:val="008641DF"/>
    <w:rsid w:val="0086462C"/>
    <w:rsid w:val="0086484C"/>
    <w:rsid w:val="00865034"/>
    <w:rsid w:val="00865051"/>
    <w:rsid w:val="008650E2"/>
    <w:rsid w:val="00865551"/>
    <w:rsid w:val="008655F5"/>
    <w:rsid w:val="00865685"/>
    <w:rsid w:val="008656BF"/>
    <w:rsid w:val="0086599C"/>
    <w:rsid w:val="00865A9F"/>
    <w:rsid w:val="00865D97"/>
    <w:rsid w:val="00867044"/>
    <w:rsid w:val="008676D5"/>
    <w:rsid w:val="00867DBA"/>
    <w:rsid w:val="008700D4"/>
    <w:rsid w:val="00870815"/>
    <w:rsid w:val="00870988"/>
    <w:rsid w:val="00870A0E"/>
    <w:rsid w:val="00870C2C"/>
    <w:rsid w:val="00870DDC"/>
    <w:rsid w:val="00870EE5"/>
    <w:rsid w:val="00870FC1"/>
    <w:rsid w:val="0087118B"/>
    <w:rsid w:val="00871609"/>
    <w:rsid w:val="00871868"/>
    <w:rsid w:val="00871A74"/>
    <w:rsid w:val="00871CAF"/>
    <w:rsid w:val="00871E10"/>
    <w:rsid w:val="00871F56"/>
    <w:rsid w:val="0087205A"/>
    <w:rsid w:val="0087225A"/>
    <w:rsid w:val="00872277"/>
    <w:rsid w:val="008724C7"/>
    <w:rsid w:val="008724F7"/>
    <w:rsid w:val="00872814"/>
    <w:rsid w:val="008729D8"/>
    <w:rsid w:val="00872A97"/>
    <w:rsid w:val="0087367F"/>
    <w:rsid w:val="008737B3"/>
    <w:rsid w:val="00873D0E"/>
    <w:rsid w:val="00873E27"/>
    <w:rsid w:val="008740FF"/>
    <w:rsid w:val="008741ED"/>
    <w:rsid w:val="00874AD2"/>
    <w:rsid w:val="00874AEC"/>
    <w:rsid w:val="00874E96"/>
    <w:rsid w:val="008756C2"/>
    <w:rsid w:val="00875899"/>
    <w:rsid w:val="00875A8F"/>
    <w:rsid w:val="00875B3A"/>
    <w:rsid w:val="00875D5E"/>
    <w:rsid w:val="00875E7C"/>
    <w:rsid w:val="00875ED7"/>
    <w:rsid w:val="00875FAC"/>
    <w:rsid w:val="00876050"/>
    <w:rsid w:val="008762F9"/>
    <w:rsid w:val="00877134"/>
    <w:rsid w:val="00877271"/>
    <w:rsid w:val="0087767A"/>
    <w:rsid w:val="00877CC1"/>
    <w:rsid w:val="008801DD"/>
    <w:rsid w:val="0088061B"/>
    <w:rsid w:val="00880BB5"/>
    <w:rsid w:val="00880DB1"/>
    <w:rsid w:val="0088121C"/>
    <w:rsid w:val="008814AB"/>
    <w:rsid w:val="00881EEF"/>
    <w:rsid w:val="008824A1"/>
    <w:rsid w:val="00882511"/>
    <w:rsid w:val="008826C6"/>
    <w:rsid w:val="00882D88"/>
    <w:rsid w:val="0088325E"/>
    <w:rsid w:val="0088396C"/>
    <w:rsid w:val="00883EA6"/>
    <w:rsid w:val="008840DB"/>
    <w:rsid w:val="0088432A"/>
    <w:rsid w:val="0088455A"/>
    <w:rsid w:val="008845F3"/>
    <w:rsid w:val="00884C92"/>
    <w:rsid w:val="00885442"/>
    <w:rsid w:val="008854AB"/>
    <w:rsid w:val="00885823"/>
    <w:rsid w:val="00885B2F"/>
    <w:rsid w:val="00885F65"/>
    <w:rsid w:val="00886348"/>
    <w:rsid w:val="008863E8"/>
    <w:rsid w:val="00886657"/>
    <w:rsid w:val="008869AD"/>
    <w:rsid w:val="00886DC7"/>
    <w:rsid w:val="00887162"/>
    <w:rsid w:val="0088798D"/>
    <w:rsid w:val="00887C02"/>
    <w:rsid w:val="0089031D"/>
    <w:rsid w:val="00890849"/>
    <w:rsid w:val="00890952"/>
    <w:rsid w:val="00890980"/>
    <w:rsid w:val="00890A89"/>
    <w:rsid w:val="00891256"/>
    <w:rsid w:val="008913AE"/>
    <w:rsid w:val="00891656"/>
    <w:rsid w:val="00891959"/>
    <w:rsid w:val="00892211"/>
    <w:rsid w:val="00892267"/>
    <w:rsid w:val="00892634"/>
    <w:rsid w:val="00892832"/>
    <w:rsid w:val="008928A7"/>
    <w:rsid w:val="00892D58"/>
    <w:rsid w:val="008934CE"/>
    <w:rsid w:val="00893748"/>
    <w:rsid w:val="008937D9"/>
    <w:rsid w:val="00894026"/>
    <w:rsid w:val="00894B55"/>
    <w:rsid w:val="00894B9B"/>
    <w:rsid w:val="00894F22"/>
    <w:rsid w:val="00895465"/>
    <w:rsid w:val="00895962"/>
    <w:rsid w:val="00895EA0"/>
    <w:rsid w:val="00896229"/>
    <w:rsid w:val="008962C9"/>
    <w:rsid w:val="008965BE"/>
    <w:rsid w:val="00896B46"/>
    <w:rsid w:val="00896D38"/>
    <w:rsid w:val="00897E2D"/>
    <w:rsid w:val="008A0152"/>
    <w:rsid w:val="008A02B0"/>
    <w:rsid w:val="008A02CB"/>
    <w:rsid w:val="008A0456"/>
    <w:rsid w:val="008A0553"/>
    <w:rsid w:val="008A07A5"/>
    <w:rsid w:val="008A08B8"/>
    <w:rsid w:val="008A093A"/>
    <w:rsid w:val="008A0B88"/>
    <w:rsid w:val="008A0ED0"/>
    <w:rsid w:val="008A111D"/>
    <w:rsid w:val="008A15F2"/>
    <w:rsid w:val="008A1A0D"/>
    <w:rsid w:val="008A1C5F"/>
    <w:rsid w:val="008A1C88"/>
    <w:rsid w:val="008A1F7E"/>
    <w:rsid w:val="008A2682"/>
    <w:rsid w:val="008A2A09"/>
    <w:rsid w:val="008A2B60"/>
    <w:rsid w:val="008A2C96"/>
    <w:rsid w:val="008A372A"/>
    <w:rsid w:val="008A424D"/>
    <w:rsid w:val="008A466E"/>
    <w:rsid w:val="008A4811"/>
    <w:rsid w:val="008A4D2F"/>
    <w:rsid w:val="008A4EAC"/>
    <w:rsid w:val="008A54AC"/>
    <w:rsid w:val="008A557A"/>
    <w:rsid w:val="008A55AC"/>
    <w:rsid w:val="008A6103"/>
    <w:rsid w:val="008A6403"/>
    <w:rsid w:val="008A6CEC"/>
    <w:rsid w:val="008A71CF"/>
    <w:rsid w:val="008A726E"/>
    <w:rsid w:val="008A75E9"/>
    <w:rsid w:val="008A78EF"/>
    <w:rsid w:val="008A7DEB"/>
    <w:rsid w:val="008A7E29"/>
    <w:rsid w:val="008B0336"/>
    <w:rsid w:val="008B04E3"/>
    <w:rsid w:val="008B061F"/>
    <w:rsid w:val="008B0A20"/>
    <w:rsid w:val="008B2476"/>
    <w:rsid w:val="008B2880"/>
    <w:rsid w:val="008B290C"/>
    <w:rsid w:val="008B2A87"/>
    <w:rsid w:val="008B2F94"/>
    <w:rsid w:val="008B3AE3"/>
    <w:rsid w:val="008B3C0B"/>
    <w:rsid w:val="008B3FE7"/>
    <w:rsid w:val="008B4479"/>
    <w:rsid w:val="008B45BA"/>
    <w:rsid w:val="008B4701"/>
    <w:rsid w:val="008B4B35"/>
    <w:rsid w:val="008B4BE2"/>
    <w:rsid w:val="008B544B"/>
    <w:rsid w:val="008B5741"/>
    <w:rsid w:val="008B5D6A"/>
    <w:rsid w:val="008B5EC7"/>
    <w:rsid w:val="008B5F3F"/>
    <w:rsid w:val="008B6344"/>
    <w:rsid w:val="008B64DB"/>
    <w:rsid w:val="008B679B"/>
    <w:rsid w:val="008C0069"/>
    <w:rsid w:val="008C00A6"/>
    <w:rsid w:val="008C06BC"/>
    <w:rsid w:val="008C084C"/>
    <w:rsid w:val="008C126E"/>
    <w:rsid w:val="008C1587"/>
    <w:rsid w:val="008C1D4C"/>
    <w:rsid w:val="008C1D9C"/>
    <w:rsid w:val="008C25B0"/>
    <w:rsid w:val="008C2C21"/>
    <w:rsid w:val="008C2E2B"/>
    <w:rsid w:val="008C30AF"/>
    <w:rsid w:val="008C36D5"/>
    <w:rsid w:val="008C36FB"/>
    <w:rsid w:val="008C3707"/>
    <w:rsid w:val="008C3BB2"/>
    <w:rsid w:val="008C420A"/>
    <w:rsid w:val="008C4307"/>
    <w:rsid w:val="008C4386"/>
    <w:rsid w:val="008C4516"/>
    <w:rsid w:val="008C4591"/>
    <w:rsid w:val="008C4C54"/>
    <w:rsid w:val="008C5426"/>
    <w:rsid w:val="008C57D5"/>
    <w:rsid w:val="008C57F0"/>
    <w:rsid w:val="008C5A69"/>
    <w:rsid w:val="008C615D"/>
    <w:rsid w:val="008C61CE"/>
    <w:rsid w:val="008C6B0B"/>
    <w:rsid w:val="008C6C2F"/>
    <w:rsid w:val="008C6E92"/>
    <w:rsid w:val="008C7237"/>
    <w:rsid w:val="008C748D"/>
    <w:rsid w:val="008C76ED"/>
    <w:rsid w:val="008C793E"/>
    <w:rsid w:val="008C7B3D"/>
    <w:rsid w:val="008C7E4D"/>
    <w:rsid w:val="008C7F51"/>
    <w:rsid w:val="008D000E"/>
    <w:rsid w:val="008D0623"/>
    <w:rsid w:val="008D0884"/>
    <w:rsid w:val="008D0922"/>
    <w:rsid w:val="008D098B"/>
    <w:rsid w:val="008D1671"/>
    <w:rsid w:val="008D188A"/>
    <w:rsid w:val="008D246D"/>
    <w:rsid w:val="008D24F9"/>
    <w:rsid w:val="008D288A"/>
    <w:rsid w:val="008D31A8"/>
    <w:rsid w:val="008D31C2"/>
    <w:rsid w:val="008D3438"/>
    <w:rsid w:val="008D364D"/>
    <w:rsid w:val="008D3714"/>
    <w:rsid w:val="008D38A5"/>
    <w:rsid w:val="008D3A27"/>
    <w:rsid w:val="008D3F5C"/>
    <w:rsid w:val="008D40E2"/>
    <w:rsid w:val="008D43E2"/>
    <w:rsid w:val="008D50E9"/>
    <w:rsid w:val="008D56CE"/>
    <w:rsid w:val="008D592A"/>
    <w:rsid w:val="008D5AB2"/>
    <w:rsid w:val="008D5C1F"/>
    <w:rsid w:val="008D5C27"/>
    <w:rsid w:val="008D6105"/>
    <w:rsid w:val="008D692A"/>
    <w:rsid w:val="008D6B97"/>
    <w:rsid w:val="008D6F4C"/>
    <w:rsid w:val="008D71A1"/>
    <w:rsid w:val="008D7368"/>
    <w:rsid w:val="008D7742"/>
    <w:rsid w:val="008D79C5"/>
    <w:rsid w:val="008D7C41"/>
    <w:rsid w:val="008D7F28"/>
    <w:rsid w:val="008E00C2"/>
    <w:rsid w:val="008E04A0"/>
    <w:rsid w:val="008E14F1"/>
    <w:rsid w:val="008E1546"/>
    <w:rsid w:val="008E15C3"/>
    <w:rsid w:val="008E2094"/>
    <w:rsid w:val="008E2705"/>
    <w:rsid w:val="008E2804"/>
    <w:rsid w:val="008E2A63"/>
    <w:rsid w:val="008E2E57"/>
    <w:rsid w:val="008E2F1B"/>
    <w:rsid w:val="008E2F6B"/>
    <w:rsid w:val="008E3199"/>
    <w:rsid w:val="008E3423"/>
    <w:rsid w:val="008E4010"/>
    <w:rsid w:val="008E4053"/>
    <w:rsid w:val="008E4267"/>
    <w:rsid w:val="008E4707"/>
    <w:rsid w:val="008E4C5D"/>
    <w:rsid w:val="008E50D1"/>
    <w:rsid w:val="008E5741"/>
    <w:rsid w:val="008E5A59"/>
    <w:rsid w:val="008E5B21"/>
    <w:rsid w:val="008E61B7"/>
    <w:rsid w:val="008E6C59"/>
    <w:rsid w:val="008E73C5"/>
    <w:rsid w:val="008E7416"/>
    <w:rsid w:val="008E7715"/>
    <w:rsid w:val="008E7CF7"/>
    <w:rsid w:val="008E7DBB"/>
    <w:rsid w:val="008E7FB6"/>
    <w:rsid w:val="008F009A"/>
    <w:rsid w:val="008F0273"/>
    <w:rsid w:val="008F0310"/>
    <w:rsid w:val="008F038D"/>
    <w:rsid w:val="008F03AA"/>
    <w:rsid w:val="008F03B9"/>
    <w:rsid w:val="008F064B"/>
    <w:rsid w:val="008F0BC3"/>
    <w:rsid w:val="008F0CF8"/>
    <w:rsid w:val="008F0D88"/>
    <w:rsid w:val="008F0E59"/>
    <w:rsid w:val="008F0F48"/>
    <w:rsid w:val="008F0FA3"/>
    <w:rsid w:val="008F1A3F"/>
    <w:rsid w:val="008F241E"/>
    <w:rsid w:val="008F2710"/>
    <w:rsid w:val="008F28B8"/>
    <w:rsid w:val="008F2FFF"/>
    <w:rsid w:val="008F38A1"/>
    <w:rsid w:val="008F399E"/>
    <w:rsid w:val="008F3B00"/>
    <w:rsid w:val="008F4334"/>
    <w:rsid w:val="008F436A"/>
    <w:rsid w:val="008F437F"/>
    <w:rsid w:val="008F475C"/>
    <w:rsid w:val="008F4937"/>
    <w:rsid w:val="008F4B18"/>
    <w:rsid w:val="008F4DB1"/>
    <w:rsid w:val="008F5082"/>
    <w:rsid w:val="008F516C"/>
    <w:rsid w:val="008F561B"/>
    <w:rsid w:val="008F57CD"/>
    <w:rsid w:val="008F5B4E"/>
    <w:rsid w:val="008F6489"/>
    <w:rsid w:val="008F6497"/>
    <w:rsid w:val="008F6630"/>
    <w:rsid w:val="008F6ABB"/>
    <w:rsid w:val="008F71C2"/>
    <w:rsid w:val="008F7228"/>
    <w:rsid w:val="008F72A2"/>
    <w:rsid w:val="008F78E9"/>
    <w:rsid w:val="008F7A3D"/>
    <w:rsid w:val="008F7EB4"/>
    <w:rsid w:val="008F7EBF"/>
    <w:rsid w:val="008F7FE2"/>
    <w:rsid w:val="009001D0"/>
    <w:rsid w:val="009001F9"/>
    <w:rsid w:val="00900639"/>
    <w:rsid w:val="00900BCA"/>
    <w:rsid w:val="00900E48"/>
    <w:rsid w:val="0090105F"/>
    <w:rsid w:val="00901288"/>
    <w:rsid w:val="00901406"/>
    <w:rsid w:val="009014DA"/>
    <w:rsid w:val="00901B68"/>
    <w:rsid w:val="0090221E"/>
    <w:rsid w:val="00902BCF"/>
    <w:rsid w:val="009033FD"/>
    <w:rsid w:val="00903F17"/>
    <w:rsid w:val="00904027"/>
    <w:rsid w:val="009040E3"/>
    <w:rsid w:val="009042A8"/>
    <w:rsid w:val="00905D2B"/>
    <w:rsid w:val="00905E24"/>
    <w:rsid w:val="00905F50"/>
    <w:rsid w:val="0090604D"/>
    <w:rsid w:val="00906A04"/>
    <w:rsid w:val="00906BD0"/>
    <w:rsid w:val="009079DB"/>
    <w:rsid w:val="00907C97"/>
    <w:rsid w:val="00910003"/>
    <w:rsid w:val="009100EA"/>
    <w:rsid w:val="00910614"/>
    <w:rsid w:val="00910830"/>
    <w:rsid w:val="00911595"/>
    <w:rsid w:val="0091166D"/>
    <w:rsid w:val="00911D59"/>
    <w:rsid w:val="00911F1C"/>
    <w:rsid w:val="00912250"/>
    <w:rsid w:val="00912367"/>
    <w:rsid w:val="009127FE"/>
    <w:rsid w:val="00912898"/>
    <w:rsid w:val="009131FC"/>
    <w:rsid w:val="00913516"/>
    <w:rsid w:val="00913862"/>
    <w:rsid w:val="009138FB"/>
    <w:rsid w:val="009142F2"/>
    <w:rsid w:val="009146A1"/>
    <w:rsid w:val="0091482B"/>
    <w:rsid w:val="00914F74"/>
    <w:rsid w:val="00914FE0"/>
    <w:rsid w:val="00915006"/>
    <w:rsid w:val="009152A5"/>
    <w:rsid w:val="00915567"/>
    <w:rsid w:val="00915602"/>
    <w:rsid w:val="00916D6B"/>
    <w:rsid w:val="00916FDD"/>
    <w:rsid w:val="0091730C"/>
    <w:rsid w:val="00917332"/>
    <w:rsid w:val="009173D6"/>
    <w:rsid w:val="0092007A"/>
    <w:rsid w:val="00920438"/>
    <w:rsid w:val="00920467"/>
    <w:rsid w:val="0092059F"/>
    <w:rsid w:val="00920B1B"/>
    <w:rsid w:val="00920E6B"/>
    <w:rsid w:val="00921230"/>
    <w:rsid w:val="0092139D"/>
    <w:rsid w:val="009218AD"/>
    <w:rsid w:val="00921A17"/>
    <w:rsid w:val="00921EC5"/>
    <w:rsid w:val="009220BD"/>
    <w:rsid w:val="00922328"/>
    <w:rsid w:val="00922358"/>
    <w:rsid w:val="0092257E"/>
    <w:rsid w:val="009227F5"/>
    <w:rsid w:val="00922F6F"/>
    <w:rsid w:val="00923268"/>
    <w:rsid w:val="00923371"/>
    <w:rsid w:val="009234BA"/>
    <w:rsid w:val="009235AD"/>
    <w:rsid w:val="00923635"/>
    <w:rsid w:val="00923954"/>
    <w:rsid w:val="00923E07"/>
    <w:rsid w:val="0092426D"/>
    <w:rsid w:val="009246CA"/>
    <w:rsid w:val="00924BD6"/>
    <w:rsid w:val="00924EBC"/>
    <w:rsid w:val="009257F7"/>
    <w:rsid w:val="00926490"/>
    <w:rsid w:val="009266E4"/>
    <w:rsid w:val="0092690C"/>
    <w:rsid w:val="00926BE1"/>
    <w:rsid w:val="00926D4B"/>
    <w:rsid w:val="009272BB"/>
    <w:rsid w:val="009278BF"/>
    <w:rsid w:val="00927E9A"/>
    <w:rsid w:val="009300FA"/>
    <w:rsid w:val="00930CF9"/>
    <w:rsid w:val="00930FC8"/>
    <w:rsid w:val="00931100"/>
    <w:rsid w:val="009317E2"/>
    <w:rsid w:val="00932137"/>
    <w:rsid w:val="00932559"/>
    <w:rsid w:val="009327FF"/>
    <w:rsid w:val="00932BDE"/>
    <w:rsid w:val="00932CAC"/>
    <w:rsid w:val="009337F7"/>
    <w:rsid w:val="00933FC7"/>
    <w:rsid w:val="0093403C"/>
    <w:rsid w:val="0093460F"/>
    <w:rsid w:val="009352DF"/>
    <w:rsid w:val="009355DF"/>
    <w:rsid w:val="00935891"/>
    <w:rsid w:val="00935C06"/>
    <w:rsid w:val="009363CE"/>
    <w:rsid w:val="00936647"/>
    <w:rsid w:val="00936998"/>
    <w:rsid w:val="009371C0"/>
    <w:rsid w:val="00937C99"/>
    <w:rsid w:val="00937FA6"/>
    <w:rsid w:val="00937FBA"/>
    <w:rsid w:val="00940103"/>
    <w:rsid w:val="0094064F"/>
    <w:rsid w:val="00940698"/>
    <w:rsid w:val="00940FD4"/>
    <w:rsid w:val="00941382"/>
    <w:rsid w:val="00941703"/>
    <w:rsid w:val="00941AF2"/>
    <w:rsid w:val="00941B5F"/>
    <w:rsid w:val="00941CB4"/>
    <w:rsid w:val="00941EF3"/>
    <w:rsid w:val="009421F4"/>
    <w:rsid w:val="00942404"/>
    <w:rsid w:val="0094248D"/>
    <w:rsid w:val="009427A1"/>
    <w:rsid w:val="00942DB7"/>
    <w:rsid w:val="0094303A"/>
    <w:rsid w:val="00943832"/>
    <w:rsid w:val="009440FA"/>
    <w:rsid w:val="009442AB"/>
    <w:rsid w:val="00944CB2"/>
    <w:rsid w:val="00944EC5"/>
    <w:rsid w:val="00945036"/>
    <w:rsid w:val="0094518F"/>
    <w:rsid w:val="00945D97"/>
    <w:rsid w:val="00946A39"/>
    <w:rsid w:val="00946D20"/>
    <w:rsid w:val="00946D73"/>
    <w:rsid w:val="00947246"/>
    <w:rsid w:val="009472BC"/>
    <w:rsid w:val="00947D56"/>
    <w:rsid w:val="00947D97"/>
    <w:rsid w:val="00947DC3"/>
    <w:rsid w:val="0095053A"/>
    <w:rsid w:val="0095067D"/>
    <w:rsid w:val="009509EB"/>
    <w:rsid w:val="00950A3C"/>
    <w:rsid w:val="00951DB3"/>
    <w:rsid w:val="009527A7"/>
    <w:rsid w:val="00953BE3"/>
    <w:rsid w:val="00953DA8"/>
    <w:rsid w:val="009540BB"/>
    <w:rsid w:val="009545E8"/>
    <w:rsid w:val="009546A6"/>
    <w:rsid w:val="00954F01"/>
    <w:rsid w:val="009551F7"/>
    <w:rsid w:val="00955743"/>
    <w:rsid w:val="00955C17"/>
    <w:rsid w:val="00956194"/>
    <w:rsid w:val="0095625E"/>
    <w:rsid w:val="00956EC7"/>
    <w:rsid w:val="00956F05"/>
    <w:rsid w:val="00956F37"/>
    <w:rsid w:val="009610AF"/>
    <w:rsid w:val="00961661"/>
    <w:rsid w:val="00962A4B"/>
    <w:rsid w:val="00962C2C"/>
    <w:rsid w:val="00962FBF"/>
    <w:rsid w:val="00963068"/>
    <w:rsid w:val="009638F2"/>
    <w:rsid w:val="00963FFC"/>
    <w:rsid w:val="009640A0"/>
    <w:rsid w:val="00965A07"/>
    <w:rsid w:val="00965F85"/>
    <w:rsid w:val="009669C3"/>
    <w:rsid w:val="00966E41"/>
    <w:rsid w:val="0096703F"/>
    <w:rsid w:val="00967182"/>
    <w:rsid w:val="00967633"/>
    <w:rsid w:val="00970083"/>
    <w:rsid w:val="00970823"/>
    <w:rsid w:val="00970D02"/>
    <w:rsid w:val="00970F6B"/>
    <w:rsid w:val="009711B8"/>
    <w:rsid w:val="009712E2"/>
    <w:rsid w:val="0097147C"/>
    <w:rsid w:val="009714D7"/>
    <w:rsid w:val="00971641"/>
    <w:rsid w:val="0097192D"/>
    <w:rsid w:val="0097203C"/>
    <w:rsid w:val="009721CA"/>
    <w:rsid w:val="00972C0E"/>
    <w:rsid w:val="00972EC1"/>
    <w:rsid w:val="0097321B"/>
    <w:rsid w:val="00973489"/>
    <w:rsid w:val="0097356D"/>
    <w:rsid w:val="00973696"/>
    <w:rsid w:val="00973C65"/>
    <w:rsid w:val="0097458A"/>
    <w:rsid w:val="00974ABE"/>
    <w:rsid w:val="00974B47"/>
    <w:rsid w:val="00974D52"/>
    <w:rsid w:val="00975329"/>
    <w:rsid w:val="0097587D"/>
    <w:rsid w:val="00976052"/>
    <w:rsid w:val="00976286"/>
    <w:rsid w:val="00976446"/>
    <w:rsid w:val="00976A24"/>
    <w:rsid w:val="00976DC6"/>
    <w:rsid w:val="00976F4C"/>
    <w:rsid w:val="00976FA1"/>
    <w:rsid w:val="00977818"/>
    <w:rsid w:val="00980A72"/>
    <w:rsid w:val="00980BBF"/>
    <w:rsid w:val="00980DAE"/>
    <w:rsid w:val="00980F6F"/>
    <w:rsid w:val="00981159"/>
    <w:rsid w:val="00981602"/>
    <w:rsid w:val="009818FD"/>
    <w:rsid w:val="00981A66"/>
    <w:rsid w:val="00981BFC"/>
    <w:rsid w:val="00982198"/>
    <w:rsid w:val="00982EE3"/>
    <w:rsid w:val="009830B5"/>
    <w:rsid w:val="0098359C"/>
    <w:rsid w:val="009835B5"/>
    <w:rsid w:val="00984026"/>
    <w:rsid w:val="00984C50"/>
    <w:rsid w:val="009866D9"/>
    <w:rsid w:val="009866DD"/>
    <w:rsid w:val="0098685E"/>
    <w:rsid w:val="00986CD8"/>
    <w:rsid w:val="009877CB"/>
    <w:rsid w:val="009878F4"/>
    <w:rsid w:val="0099048D"/>
    <w:rsid w:val="0099079A"/>
    <w:rsid w:val="009908CD"/>
    <w:rsid w:val="00990900"/>
    <w:rsid w:val="00990E33"/>
    <w:rsid w:val="00991042"/>
    <w:rsid w:val="00991062"/>
    <w:rsid w:val="009911FF"/>
    <w:rsid w:val="0099199D"/>
    <w:rsid w:val="009919E0"/>
    <w:rsid w:val="00991A26"/>
    <w:rsid w:val="00992170"/>
    <w:rsid w:val="0099306D"/>
    <w:rsid w:val="00993307"/>
    <w:rsid w:val="00993339"/>
    <w:rsid w:val="0099360E"/>
    <w:rsid w:val="00993E09"/>
    <w:rsid w:val="00994C1D"/>
    <w:rsid w:val="00994D1D"/>
    <w:rsid w:val="00994DCA"/>
    <w:rsid w:val="00994E77"/>
    <w:rsid w:val="00995537"/>
    <w:rsid w:val="00995568"/>
    <w:rsid w:val="00995833"/>
    <w:rsid w:val="00995BE0"/>
    <w:rsid w:val="00995BE6"/>
    <w:rsid w:val="009967B1"/>
    <w:rsid w:val="009968C8"/>
    <w:rsid w:val="00996A50"/>
    <w:rsid w:val="00996DC4"/>
    <w:rsid w:val="009970CF"/>
    <w:rsid w:val="009976D2"/>
    <w:rsid w:val="009979F3"/>
    <w:rsid w:val="00997CAB"/>
    <w:rsid w:val="009A02A5"/>
    <w:rsid w:val="009A0537"/>
    <w:rsid w:val="009A0848"/>
    <w:rsid w:val="009A1029"/>
    <w:rsid w:val="009A1390"/>
    <w:rsid w:val="009A1B50"/>
    <w:rsid w:val="009A1FDC"/>
    <w:rsid w:val="009A206E"/>
    <w:rsid w:val="009A21F9"/>
    <w:rsid w:val="009A29A8"/>
    <w:rsid w:val="009A3256"/>
    <w:rsid w:val="009A3A46"/>
    <w:rsid w:val="009A3E80"/>
    <w:rsid w:val="009A460D"/>
    <w:rsid w:val="009A4625"/>
    <w:rsid w:val="009A4B0D"/>
    <w:rsid w:val="009A59B0"/>
    <w:rsid w:val="009A64F1"/>
    <w:rsid w:val="009A67B9"/>
    <w:rsid w:val="009A69FD"/>
    <w:rsid w:val="009A6D3D"/>
    <w:rsid w:val="009A6EE7"/>
    <w:rsid w:val="009A700E"/>
    <w:rsid w:val="009A7725"/>
    <w:rsid w:val="009A7F1F"/>
    <w:rsid w:val="009B0056"/>
    <w:rsid w:val="009B0526"/>
    <w:rsid w:val="009B08DA"/>
    <w:rsid w:val="009B118C"/>
    <w:rsid w:val="009B11F8"/>
    <w:rsid w:val="009B1B0E"/>
    <w:rsid w:val="009B1B82"/>
    <w:rsid w:val="009B1C50"/>
    <w:rsid w:val="009B2448"/>
    <w:rsid w:val="009B26E9"/>
    <w:rsid w:val="009B2D72"/>
    <w:rsid w:val="009B3484"/>
    <w:rsid w:val="009B383D"/>
    <w:rsid w:val="009B3C84"/>
    <w:rsid w:val="009B417B"/>
    <w:rsid w:val="009B438F"/>
    <w:rsid w:val="009B4431"/>
    <w:rsid w:val="009B4660"/>
    <w:rsid w:val="009B5387"/>
    <w:rsid w:val="009B5398"/>
    <w:rsid w:val="009B546D"/>
    <w:rsid w:val="009B54ED"/>
    <w:rsid w:val="009B5BF4"/>
    <w:rsid w:val="009B5C17"/>
    <w:rsid w:val="009B600E"/>
    <w:rsid w:val="009B612B"/>
    <w:rsid w:val="009B6241"/>
    <w:rsid w:val="009B659A"/>
    <w:rsid w:val="009B6647"/>
    <w:rsid w:val="009B7B2A"/>
    <w:rsid w:val="009B7B7D"/>
    <w:rsid w:val="009B7B85"/>
    <w:rsid w:val="009B7C1D"/>
    <w:rsid w:val="009B7EA2"/>
    <w:rsid w:val="009B7FF1"/>
    <w:rsid w:val="009C0343"/>
    <w:rsid w:val="009C0A31"/>
    <w:rsid w:val="009C0D62"/>
    <w:rsid w:val="009C101E"/>
    <w:rsid w:val="009C1613"/>
    <w:rsid w:val="009C1823"/>
    <w:rsid w:val="009C1A3E"/>
    <w:rsid w:val="009C1E1F"/>
    <w:rsid w:val="009C1F2A"/>
    <w:rsid w:val="009C2087"/>
    <w:rsid w:val="009C2340"/>
    <w:rsid w:val="009C26D4"/>
    <w:rsid w:val="009C2774"/>
    <w:rsid w:val="009C34F9"/>
    <w:rsid w:val="009C36C5"/>
    <w:rsid w:val="009C36D0"/>
    <w:rsid w:val="009C3C81"/>
    <w:rsid w:val="009C43BE"/>
    <w:rsid w:val="009C440D"/>
    <w:rsid w:val="009C4D36"/>
    <w:rsid w:val="009C589F"/>
    <w:rsid w:val="009C59D7"/>
    <w:rsid w:val="009C64FC"/>
    <w:rsid w:val="009C6A17"/>
    <w:rsid w:val="009C6D73"/>
    <w:rsid w:val="009C6DAF"/>
    <w:rsid w:val="009C71B6"/>
    <w:rsid w:val="009C75A9"/>
    <w:rsid w:val="009C772C"/>
    <w:rsid w:val="009D0035"/>
    <w:rsid w:val="009D0511"/>
    <w:rsid w:val="009D0C16"/>
    <w:rsid w:val="009D219E"/>
    <w:rsid w:val="009D3120"/>
    <w:rsid w:val="009D3293"/>
    <w:rsid w:val="009D387D"/>
    <w:rsid w:val="009D3943"/>
    <w:rsid w:val="009D3B80"/>
    <w:rsid w:val="009D3DA3"/>
    <w:rsid w:val="009D3E1C"/>
    <w:rsid w:val="009D42DC"/>
    <w:rsid w:val="009D4928"/>
    <w:rsid w:val="009D4E00"/>
    <w:rsid w:val="009D508A"/>
    <w:rsid w:val="009D593A"/>
    <w:rsid w:val="009D5D95"/>
    <w:rsid w:val="009D5E8B"/>
    <w:rsid w:val="009D6A14"/>
    <w:rsid w:val="009D6F22"/>
    <w:rsid w:val="009D706E"/>
    <w:rsid w:val="009D7497"/>
    <w:rsid w:val="009D7793"/>
    <w:rsid w:val="009D7A7E"/>
    <w:rsid w:val="009E0077"/>
    <w:rsid w:val="009E00B2"/>
    <w:rsid w:val="009E04D2"/>
    <w:rsid w:val="009E0515"/>
    <w:rsid w:val="009E0615"/>
    <w:rsid w:val="009E0622"/>
    <w:rsid w:val="009E06D3"/>
    <w:rsid w:val="009E0AC8"/>
    <w:rsid w:val="009E0D11"/>
    <w:rsid w:val="009E0FB5"/>
    <w:rsid w:val="009E1562"/>
    <w:rsid w:val="009E1909"/>
    <w:rsid w:val="009E1B04"/>
    <w:rsid w:val="009E1F33"/>
    <w:rsid w:val="009E1F66"/>
    <w:rsid w:val="009E206E"/>
    <w:rsid w:val="009E27D2"/>
    <w:rsid w:val="009E2869"/>
    <w:rsid w:val="009E2E2C"/>
    <w:rsid w:val="009E30D2"/>
    <w:rsid w:val="009E4675"/>
    <w:rsid w:val="009E476B"/>
    <w:rsid w:val="009E477D"/>
    <w:rsid w:val="009E4BA7"/>
    <w:rsid w:val="009E5089"/>
    <w:rsid w:val="009E514A"/>
    <w:rsid w:val="009E53AC"/>
    <w:rsid w:val="009E5586"/>
    <w:rsid w:val="009E5756"/>
    <w:rsid w:val="009E5832"/>
    <w:rsid w:val="009E59FF"/>
    <w:rsid w:val="009E5B38"/>
    <w:rsid w:val="009E6047"/>
    <w:rsid w:val="009E6561"/>
    <w:rsid w:val="009E68E7"/>
    <w:rsid w:val="009E6A6D"/>
    <w:rsid w:val="009E70F0"/>
    <w:rsid w:val="009E70F6"/>
    <w:rsid w:val="009E7502"/>
    <w:rsid w:val="009E7B8F"/>
    <w:rsid w:val="009E7C4D"/>
    <w:rsid w:val="009E7D4D"/>
    <w:rsid w:val="009E7D7F"/>
    <w:rsid w:val="009E7DC7"/>
    <w:rsid w:val="009F0132"/>
    <w:rsid w:val="009F020F"/>
    <w:rsid w:val="009F0380"/>
    <w:rsid w:val="009F05D5"/>
    <w:rsid w:val="009F14BF"/>
    <w:rsid w:val="009F182E"/>
    <w:rsid w:val="009F1A18"/>
    <w:rsid w:val="009F1B0F"/>
    <w:rsid w:val="009F29DC"/>
    <w:rsid w:val="009F2B53"/>
    <w:rsid w:val="009F2C2E"/>
    <w:rsid w:val="009F3353"/>
    <w:rsid w:val="009F348D"/>
    <w:rsid w:val="009F3A49"/>
    <w:rsid w:val="009F3B48"/>
    <w:rsid w:val="009F3C08"/>
    <w:rsid w:val="009F4F62"/>
    <w:rsid w:val="009F5AD6"/>
    <w:rsid w:val="009F6057"/>
    <w:rsid w:val="009F6102"/>
    <w:rsid w:val="009F63FF"/>
    <w:rsid w:val="009F645A"/>
    <w:rsid w:val="009F64CA"/>
    <w:rsid w:val="009F67F2"/>
    <w:rsid w:val="009F68A0"/>
    <w:rsid w:val="009F7A13"/>
    <w:rsid w:val="009F7B33"/>
    <w:rsid w:val="009F7C49"/>
    <w:rsid w:val="009F7E3C"/>
    <w:rsid w:val="009F7ECE"/>
    <w:rsid w:val="00A00123"/>
    <w:rsid w:val="00A001CC"/>
    <w:rsid w:val="00A004CB"/>
    <w:rsid w:val="00A00782"/>
    <w:rsid w:val="00A00C51"/>
    <w:rsid w:val="00A01473"/>
    <w:rsid w:val="00A01772"/>
    <w:rsid w:val="00A01CBE"/>
    <w:rsid w:val="00A02228"/>
    <w:rsid w:val="00A02627"/>
    <w:rsid w:val="00A02A60"/>
    <w:rsid w:val="00A031FB"/>
    <w:rsid w:val="00A03209"/>
    <w:rsid w:val="00A0341C"/>
    <w:rsid w:val="00A03540"/>
    <w:rsid w:val="00A03665"/>
    <w:rsid w:val="00A03D02"/>
    <w:rsid w:val="00A04191"/>
    <w:rsid w:val="00A0527A"/>
    <w:rsid w:val="00A05828"/>
    <w:rsid w:val="00A05EAD"/>
    <w:rsid w:val="00A0621B"/>
    <w:rsid w:val="00A062DD"/>
    <w:rsid w:val="00A06927"/>
    <w:rsid w:val="00A06A40"/>
    <w:rsid w:val="00A06BE9"/>
    <w:rsid w:val="00A06D85"/>
    <w:rsid w:val="00A074C3"/>
    <w:rsid w:val="00A1007B"/>
    <w:rsid w:val="00A10590"/>
    <w:rsid w:val="00A10F0D"/>
    <w:rsid w:val="00A11111"/>
    <w:rsid w:val="00A12749"/>
    <w:rsid w:val="00A12945"/>
    <w:rsid w:val="00A12FAC"/>
    <w:rsid w:val="00A13503"/>
    <w:rsid w:val="00A13995"/>
    <w:rsid w:val="00A13A41"/>
    <w:rsid w:val="00A147DE"/>
    <w:rsid w:val="00A15212"/>
    <w:rsid w:val="00A15524"/>
    <w:rsid w:val="00A15923"/>
    <w:rsid w:val="00A15981"/>
    <w:rsid w:val="00A159BD"/>
    <w:rsid w:val="00A16A6C"/>
    <w:rsid w:val="00A16BE0"/>
    <w:rsid w:val="00A17036"/>
    <w:rsid w:val="00A17379"/>
    <w:rsid w:val="00A173F0"/>
    <w:rsid w:val="00A17AFE"/>
    <w:rsid w:val="00A17B5D"/>
    <w:rsid w:val="00A2015D"/>
    <w:rsid w:val="00A201BE"/>
    <w:rsid w:val="00A20268"/>
    <w:rsid w:val="00A20792"/>
    <w:rsid w:val="00A20D52"/>
    <w:rsid w:val="00A21071"/>
    <w:rsid w:val="00A218B0"/>
    <w:rsid w:val="00A21BAF"/>
    <w:rsid w:val="00A220B5"/>
    <w:rsid w:val="00A22122"/>
    <w:rsid w:val="00A22816"/>
    <w:rsid w:val="00A2283D"/>
    <w:rsid w:val="00A228B0"/>
    <w:rsid w:val="00A22937"/>
    <w:rsid w:val="00A22B8F"/>
    <w:rsid w:val="00A22BFF"/>
    <w:rsid w:val="00A22F35"/>
    <w:rsid w:val="00A23788"/>
    <w:rsid w:val="00A23ADA"/>
    <w:rsid w:val="00A23DEC"/>
    <w:rsid w:val="00A23E70"/>
    <w:rsid w:val="00A246ED"/>
    <w:rsid w:val="00A2573B"/>
    <w:rsid w:val="00A25D30"/>
    <w:rsid w:val="00A261DE"/>
    <w:rsid w:val="00A261E8"/>
    <w:rsid w:val="00A2624D"/>
    <w:rsid w:val="00A2651C"/>
    <w:rsid w:val="00A26A90"/>
    <w:rsid w:val="00A26D82"/>
    <w:rsid w:val="00A26E80"/>
    <w:rsid w:val="00A2718B"/>
    <w:rsid w:val="00A27E57"/>
    <w:rsid w:val="00A30262"/>
    <w:rsid w:val="00A3135D"/>
    <w:rsid w:val="00A316A5"/>
    <w:rsid w:val="00A316B5"/>
    <w:rsid w:val="00A31959"/>
    <w:rsid w:val="00A31B08"/>
    <w:rsid w:val="00A31C18"/>
    <w:rsid w:val="00A32F12"/>
    <w:rsid w:val="00A33284"/>
    <w:rsid w:val="00A33423"/>
    <w:rsid w:val="00A33675"/>
    <w:rsid w:val="00A3374B"/>
    <w:rsid w:val="00A33931"/>
    <w:rsid w:val="00A33B28"/>
    <w:rsid w:val="00A33DB9"/>
    <w:rsid w:val="00A342F5"/>
    <w:rsid w:val="00A343BB"/>
    <w:rsid w:val="00A34AB9"/>
    <w:rsid w:val="00A34ACE"/>
    <w:rsid w:val="00A34F67"/>
    <w:rsid w:val="00A351EF"/>
    <w:rsid w:val="00A352C4"/>
    <w:rsid w:val="00A356A6"/>
    <w:rsid w:val="00A35D87"/>
    <w:rsid w:val="00A36638"/>
    <w:rsid w:val="00A366B8"/>
    <w:rsid w:val="00A36806"/>
    <w:rsid w:val="00A36C40"/>
    <w:rsid w:val="00A375EA"/>
    <w:rsid w:val="00A400A2"/>
    <w:rsid w:val="00A400C3"/>
    <w:rsid w:val="00A400E8"/>
    <w:rsid w:val="00A40482"/>
    <w:rsid w:val="00A40C07"/>
    <w:rsid w:val="00A40CEE"/>
    <w:rsid w:val="00A4122C"/>
    <w:rsid w:val="00A41515"/>
    <w:rsid w:val="00A418E5"/>
    <w:rsid w:val="00A41D0B"/>
    <w:rsid w:val="00A41D40"/>
    <w:rsid w:val="00A41F81"/>
    <w:rsid w:val="00A42387"/>
    <w:rsid w:val="00A4245E"/>
    <w:rsid w:val="00A42908"/>
    <w:rsid w:val="00A4293A"/>
    <w:rsid w:val="00A42B5C"/>
    <w:rsid w:val="00A42B87"/>
    <w:rsid w:val="00A42BC3"/>
    <w:rsid w:val="00A42D1F"/>
    <w:rsid w:val="00A435C6"/>
    <w:rsid w:val="00A437FE"/>
    <w:rsid w:val="00A439F8"/>
    <w:rsid w:val="00A4465E"/>
    <w:rsid w:val="00A44718"/>
    <w:rsid w:val="00A44E9F"/>
    <w:rsid w:val="00A44F9A"/>
    <w:rsid w:val="00A4513D"/>
    <w:rsid w:val="00A45514"/>
    <w:rsid w:val="00A45608"/>
    <w:rsid w:val="00A45B7C"/>
    <w:rsid w:val="00A45E16"/>
    <w:rsid w:val="00A4604B"/>
    <w:rsid w:val="00A4691D"/>
    <w:rsid w:val="00A46E23"/>
    <w:rsid w:val="00A47226"/>
    <w:rsid w:val="00A476AB"/>
    <w:rsid w:val="00A47AB0"/>
    <w:rsid w:val="00A50A36"/>
    <w:rsid w:val="00A50A92"/>
    <w:rsid w:val="00A50E0A"/>
    <w:rsid w:val="00A5190E"/>
    <w:rsid w:val="00A52161"/>
    <w:rsid w:val="00A523BC"/>
    <w:rsid w:val="00A52EFD"/>
    <w:rsid w:val="00A533C7"/>
    <w:rsid w:val="00A53439"/>
    <w:rsid w:val="00A53598"/>
    <w:rsid w:val="00A542E2"/>
    <w:rsid w:val="00A544BA"/>
    <w:rsid w:val="00A54843"/>
    <w:rsid w:val="00A55CDF"/>
    <w:rsid w:val="00A55EFF"/>
    <w:rsid w:val="00A56120"/>
    <w:rsid w:val="00A5628F"/>
    <w:rsid w:val="00A562A0"/>
    <w:rsid w:val="00A5637C"/>
    <w:rsid w:val="00A56435"/>
    <w:rsid w:val="00A566BC"/>
    <w:rsid w:val="00A56B31"/>
    <w:rsid w:val="00A56BF5"/>
    <w:rsid w:val="00A56CA6"/>
    <w:rsid w:val="00A56E4D"/>
    <w:rsid w:val="00A57222"/>
    <w:rsid w:val="00A57897"/>
    <w:rsid w:val="00A5791F"/>
    <w:rsid w:val="00A57C70"/>
    <w:rsid w:val="00A6003C"/>
    <w:rsid w:val="00A60689"/>
    <w:rsid w:val="00A607BA"/>
    <w:rsid w:val="00A609B9"/>
    <w:rsid w:val="00A60CB9"/>
    <w:rsid w:val="00A61210"/>
    <w:rsid w:val="00A613B3"/>
    <w:rsid w:val="00A61C79"/>
    <w:rsid w:val="00A61EE9"/>
    <w:rsid w:val="00A62C5B"/>
    <w:rsid w:val="00A6341E"/>
    <w:rsid w:val="00A63487"/>
    <w:rsid w:val="00A636E6"/>
    <w:rsid w:val="00A63907"/>
    <w:rsid w:val="00A640A6"/>
    <w:rsid w:val="00A642C9"/>
    <w:rsid w:val="00A64531"/>
    <w:rsid w:val="00A6541B"/>
    <w:rsid w:val="00A655D7"/>
    <w:rsid w:val="00A659DF"/>
    <w:rsid w:val="00A65EA3"/>
    <w:rsid w:val="00A6688D"/>
    <w:rsid w:val="00A66B16"/>
    <w:rsid w:val="00A66C43"/>
    <w:rsid w:val="00A67453"/>
    <w:rsid w:val="00A676D5"/>
    <w:rsid w:val="00A67EFA"/>
    <w:rsid w:val="00A70058"/>
    <w:rsid w:val="00A7006A"/>
    <w:rsid w:val="00A70353"/>
    <w:rsid w:val="00A705C2"/>
    <w:rsid w:val="00A70906"/>
    <w:rsid w:val="00A70D62"/>
    <w:rsid w:val="00A70F13"/>
    <w:rsid w:val="00A711AB"/>
    <w:rsid w:val="00A7121B"/>
    <w:rsid w:val="00A7127C"/>
    <w:rsid w:val="00A71982"/>
    <w:rsid w:val="00A71A2D"/>
    <w:rsid w:val="00A721D3"/>
    <w:rsid w:val="00A72497"/>
    <w:rsid w:val="00A72994"/>
    <w:rsid w:val="00A731C6"/>
    <w:rsid w:val="00A73328"/>
    <w:rsid w:val="00A734FE"/>
    <w:rsid w:val="00A73539"/>
    <w:rsid w:val="00A737B4"/>
    <w:rsid w:val="00A73A98"/>
    <w:rsid w:val="00A73B65"/>
    <w:rsid w:val="00A73D4C"/>
    <w:rsid w:val="00A73ECF"/>
    <w:rsid w:val="00A740DC"/>
    <w:rsid w:val="00A741B9"/>
    <w:rsid w:val="00A741BD"/>
    <w:rsid w:val="00A74422"/>
    <w:rsid w:val="00A74508"/>
    <w:rsid w:val="00A747F2"/>
    <w:rsid w:val="00A75180"/>
    <w:rsid w:val="00A752A2"/>
    <w:rsid w:val="00A7531D"/>
    <w:rsid w:val="00A75672"/>
    <w:rsid w:val="00A75B0C"/>
    <w:rsid w:val="00A75E31"/>
    <w:rsid w:val="00A76031"/>
    <w:rsid w:val="00A76076"/>
    <w:rsid w:val="00A7675A"/>
    <w:rsid w:val="00A7678E"/>
    <w:rsid w:val="00A767D0"/>
    <w:rsid w:val="00A76821"/>
    <w:rsid w:val="00A76E3D"/>
    <w:rsid w:val="00A770AD"/>
    <w:rsid w:val="00A778F6"/>
    <w:rsid w:val="00A77B71"/>
    <w:rsid w:val="00A80305"/>
    <w:rsid w:val="00A80739"/>
    <w:rsid w:val="00A80A15"/>
    <w:rsid w:val="00A80C7E"/>
    <w:rsid w:val="00A81230"/>
    <w:rsid w:val="00A815AA"/>
    <w:rsid w:val="00A81B3B"/>
    <w:rsid w:val="00A81CFE"/>
    <w:rsid w:val="00A8221E"/>
    <w:rsid w:val="00A8272E"/>
    <w:rsid w:val="00A82827"/>
    <w:rsid w:val="00A82ACB"/>
    <w:rsid w:val="00A82AEE"/>
    <w:rsid w:val="00A82DFA"/>
    <w:rsid w:val="00A82EAC"/>
    <w:rsid w:val="00A830E6"/>
    <w:rsid w:val="00A83330"/>
    <w:rsid w:val="00A8374A"/>
    <w:rsid w:val="00A83DD7"/>
    <w:rsid w:val="00A84243"/>
    <w:rsid w:val="00A8434C"/>
    <w:rsid w:val="00A844A1"/>
    <w:rsid w:val="00A8462A"/>
    <w:rsid w:val="00A84771"/>
    <w:rsid w:val="00A84BB6"/>
    <w:rsid w:val="00A84C27"/>
    <w:rsid w:val="00A84F16"/>
    <w:rsid w:val="00A85D3C"/>
    <w:rsid w:val="00A85F8B"/>
    <w:rsid w:val="00A87303"/>
    <w:rsid w:val="00A87A64"/>
    <w:rsid w:val="00A87BE3"/>
    <w:rsid w:val="00A87DD0"/>
    <w:rsid w:val="00A901AA"/>
    <w:rsid w:val="00A91900"/>
    <w:rsid w:val="00A91A24"/>
    <w:rsid w:val="00A91B06"/>
    <w:rsid w:val="00A92084"/>
    <w:rsid w:val="00A923F6"/>
    <w:rsid w:val="00A928A3"/>
    <w:rsid w:val="00A92B5F"/>
    <w:rsid w:val="00A92CEA"/>
    <w:rsid w:val="00A935BA"/>
    <w:rsid w:val="00A93B16"/>
    <w:rsid w:val="00A93B87"/>
    <w:rsid w:val="00A9430B"/>
    <w:rsid w:val="00A94722"/>
    <w:rsid w:val="00A94C76"/>
    <w:rsid w:val="00A94C99"/>
    <w:rsid w:val="00A94D58"/>
    <w:rsid w:val="00A94E86"/>
    <w:rsid w:val="00A9502C"/>
    <w:rsid w:val="00A95161"/>
    <w:rsid w:val="00A953D2"/>
    <w:rsid w:val="00A956D2"/>
    <w:rsid w:val="00A95CA0"/>
    <w:rsid w:val="00A965D5"/>
    <w:rsid w:val="00A96A5E"/>
    <w:rsid w:val="00A970D5"/>
    <w:rsid w:val="00A97183"/>
    <w:rsid w:val="00A9746B"/>
    <w:rsid w:val="00A97475"/>
    <w:rsid w:val="00A9755C"/>
    <w:rsid w:val="00A978AB"/>
    <w:rsid w:val="00A97B83"/>
    <w:rsid w:val="00A97C8A"/>
    <w:rsid w:val="00AA018C"/>
    <w:rsid w:val="00AA0711"/>
    <w:rsid w:val="00AA0D10"/>
    <w:rsid w:val="00AA0DFF"/>
    <w:rsid w:val="00AA105D"/>
    <w:rsid w:val="00AA109A"/>
    <w:rsid w:val="00AA1563"/>
    <w:rsid w:val="00AA186E"/>
    <w:rsid w:val="00AA1974"/>
    <w:rsid w:val="00AA1AE5"/>
    <w:rsid w:val="00AA1E40"/>
    <w:rsid w:val="00AA2048"/>
    <w:rsid w:val="00AA23D3"/>
    <w:rsid w:val="00AA2809"/>
    <w:rsid w:val="00AA29F1"/>
    <w:rsid w:val="00AA2A28"/>
    <w:rsid w:val="00AA2BEA"/>
    <w:rsid w:val="00AA35C7"/>
    <w:rsid w:val="00AA3BA3"/>
    <w:rsid w:val="00AA3C91"/>
    <w:rsid w:val="00AA3E91"/>
    <w:rsid w:val="00AA43E3"/>
    <w:rsid w:val="00AA4443"/>
    <w:rsid w:val="00AA46A6"/>
    <w:rsid w:val="00AA5517"/>
    <w:rsid w:val="00AA6099"/>
    <w:rsid w:val="00AA6F3C"/>
    <w:rsid w:val="00AA6FE7"/>
    <w:rsid w:val="00AA71C5"/>
    <w:rsid w:val="00AA742C"/>
    <w:rsid w:val="00AB009F"/>
    <w:rsid w:val="00AB0DE8"/>
    <w:rsid w:val="00AB1102"/>
    <w:rsid w:val="00AB1A58"/>
    <w:rsid w:val="00AB1D87"/>
    <w:rsid w:val="00AB1E71"/>
    <w:rsid w:val="00AB2306"/>
    <w:rsid w:val="00AB23CA"/>
    <w:rsid w:val="00AB24B5"/>
    <w:rsid w:val="00AB30F7"/>
    <w:rsid w:val="00AB31E0"/>
    <w:rsid w:val="00AB32DE"/>
    <w:rsid w:val="00AB3593"/>
    <w:rsid w:val="00AB3ACC"/>
    <w:rsid w:val="00AB405B"/>
    <w:rsid w:val="00AB48E3"/>
    <w:rsid w:val="00AB49A0"/>
    <w:rsid w:val="00AB53C5"/>
    <w:rsid w:val="00AB55B0"/>
    <w:rsid w:val="00AB55BF"/>
    <w:rsid w:val="00AB5A01"/>
    <w:rsid w:val="00AB5CEA"/>
    <w:rsid w:val="00AB5EBA"/>
    <w:rsid w:val="00AB6141"/>
    <w:rsid w:val="00AB6B92"/>
    <w:rsid w:val="00AB6E7B"/>
    <w:rsid w:val="00AB7B0F"/>
    <w:rsid w:val="00AC0285"/>
    <w:rsid w:val="00AC028D"/>
    <w:rsid w:val="00AC0854"/>
    <w:rsid w:val="00AC0AC3"/>
    <w:rsid w:val="00AC138A"/>
    <w:rsid w:val="00AC1572"/>
    <w:rsid w:val="00AC1690"/>
    <w:rsid w:val="00AC192A"/>
    <w:rsid w:val="00AC1D5F"/>
    <w:rsid w:val="00AC1FD3"/>
    <w:rsid w:val="00AC2952"/>
    <w:rsid w:val="00AC2FD9"/>
    <w:rsid w:val="00AC3749"/>
    <w:rsid w:val="00AC37BB"/>
    <w:rsid w:val="00AC3D96"/>
    <w:rsid w:val="00AC40F9"/>
    <w:rsid w:val="00AC413D"/>
    <w:rsid w:val="00AC418C"/>
    <w:rsid w:val="00AC42E3"/>
    <w:rsid w:val="00AC4467"/>
    <w:rsid w:val="00AC4E26"/>
    <w:rsid w:val="00AC4E82"/>
    <w:rsid w:val="00AC4FE6"/>
    <w:rsid w:val="00AC5927"/>
    <w:rsid w:val="00AC5999"/>
    <w:rsid w:val="00AC5B4A"/>
    <w:rsid w:val="00AC5FA9"/>
    <w:rsid w:val="00AC6147"/>
    <w:rsid w:val="00AC614D"/>
    <w:rsid w:val="00AC66E2"/>
    <w:rsid w:val="00AC68B3"/>
    <w:rsid w:val="00AC6B1A"/>
    <w:rsid w:val="00AC6F82"/>
    <w:rsid w:val="00AC7054"/>
    <w:rsid w:val="00AC7252"/>
    <w:rsid w:val="00AC779B"/>
    <w:rsid w:val="00AC795F"/>
    <w:rsid w:val="00AC7B90"/>
    <w:rsid w:val="00AC7CA3"/>
    <w:rsid w:val="00AD0421"/>
    <w:rsid w:val="00AD081E"/>
    <w:rsid w:val="00AD0CA0"/>
    <w:rsid w:val="00AD1026"/>
    <w:rsid w:val="00AD11F6"/>
    <w:rsid w:val="00AD188B"/>
    <w:rsid w:val="00AD18AE"/>
    <w:rsid w:val="00AD1D17"/>
    <w:rsid w:val="00AD21E0"/>
    <w:rsid w:val="00AD24A9"/>
    <w:rsid w:val="00AD2F4D"/>
    <w:rsid w:val="00AD3688"/>
    <w:rsid w:val="00AD3B9C"/>
    <w:rsid w:val="00AD3BCF"/>
    <w:rsid w:val="00AD3BF8"/>
    <w:rsid w:val="00AD3EEA"/>
    <w:rsid w:val="00AD3FAB"/>
    <w:rsid w:val="00AD40A3"/>
    <w:rsid w:val="00AD44F8"/>
    <w:rsid w:val="00AD4990"/>
    <w:rsid w:val="00AD4A7A"/>
    <w:rsid w:val="00AD509C"/>
    <w:rsid w:val="00AD550F"/>
    <w:rsid w:val="00AD5EDB"/>
    <w:rsid w:val="00AD627A"/>
    <w:rsid w:val="00AD6C8E"/>
    <w:rsid w:val="00AD74F4"/>
    <w:rsid w:val="00AD7780"/>
    <w:rsid w:val="00AD7803"/>
    <w:rsid w:val="00AD78F0"/>
    <w:rsid w:val="00AD79B7"/>
    <w:rsid w:val="00AD7F33"/>
    <w:rsid w:val="00AE033A"/>
    <w:rsid w:val="00AE08A8"/>
    <w:rsid w:val="00AE0B3F"/>
    <w:rsid w:val="00AE0F16"/>
    <w:rsid w:val="00AE1BC0"/>
    <w:rsid w:val="00AE1C74"/>
    <w:rsid w:val="00AE1E9D"/>
    <w:rsid w:val="00AE26E2"/>
    <w:rsid w:val="00AE2A29"/>
    <w:rsid w:val="00AE2BA2"/>
    <w:rsid w:val="00AE2CE3"/>
    <w:rsid w:val="00AE2D3E"/>
    <w:rsid w:val="00AE2E87"/>
    <w:rsid w:val="00AE2ECD"/>
    <w:rsid w:val="00AE30A9"/>
    <w:rsid w:val="00AE347F"/>
    <w:rsid w:val="00AE3722"/>
    <w:rsid w:val="00AE3A10"/>
    <w:rsid w:val="00AE3A32"/>
    <w:rsid w:val="00AE4523"/>
    <w:rsid w:val="00AE47DF"/>
    <w:rsid w:val="00AE4E3A"/>
    <w:rsid w:val="00AE527A"/>
    <w:rsid w:val="00AE5C5F"/>
    <w:rsid w:val="00AE5E93"/>
    <w:rsid w:val="00AE5F23"/>
    <w:rsid w:val="00AE62DB"/>
    <w:rsid w:val="00AE6327"/>
    <w:rsid w:val="00AE65F7"/>
    <w:rsid w:val="00AE66A4"/>
    <w:rsid w:val="00AE6B25"/>
    <w:rsid w:val="00AE6B8D"/>
    <w:rsid w:val="00AE6F96"/>
    <w:rsid w:val="00AE700E"/>
    <w:rsid w:val="00AE7043"/>
    <w:rsid w:val="00AE71B9"/>
    <w:rsid w:val="00AE7482"/>
    <w:rsid w:val="00AE76AC"/>
    <w:rsid w:val="00AE7D0F"/>
    <w:rsid w:val="00AE7E41"/>
    <w:rsid w:val="00AF003C"/>
    <w:rsid w:val="00AF05CB"/>
    <w:rsid w:val="00AF10EB"/>
    <w:rsid w:val="00AF1605"/>
    <w:rsid w:val="00AF16A0"/>
    <w:rsid w:val="00AF1704"/>
    <w:rsid w:val="00AF18A9"/>
    <w:rsid w:val="00AF1C25"/>
    <w:rsid w:val="00AF25FB"/>
    <w:rsid w:val="00AF2A02"/>
    <w:rsid w:val="00AF2B5E"/>
    <w:rsid w:val="00AF2EF4"/>
    <w:rsid w:val="00AF31A3"/>
    <w:rsid w:val="00AF38B1"/>
    <w:rsid w:val="00AF3A00"/>
    <w:rsid w:val="00AF3C77"/>
    <w:rsid w:val="00AF3E0B"/>
    <w:rsid w:val="00AF47D4"/>
    <w:rsid w:val="00AF4B05"/>
    <w:rsid w:val="00AF4B7E"/>
    <w:rsid w:val="00AF4EE1"/>
    <w:rsid w:val="00AF506B"/>
    <w:rsid w:val="00AF52CE"/>
    <w:rsid w:val="00AF5387"/>
    <w:rsid w:val="00AF59C0"/>
    <w:rsid w:val="00AF5A2E"/>
    <w:rsid w:val="00AF5B97"/>
    <w:rsid w:val="00AF5E8A"/>
    <w:rsid w:val="00AF5F45"/>
    <w:rsid w:val="00AF7153"/>
    <w:rsid w:val="00AF72E0"/>
    <w:rsid w:val="00AF7382"/>
    <w:rsid w:val="00AF7870"/>
    <w:rsid w:val="00B0094B"/>
    <w:rsid w:val="00B0112E"/>
    <w:rsid w:val="00B014C7"/>
    <w:rsid w:val="00B0178B"/>
    <w:rsid w:val="00B02028"/>
    <w:rsid w:val="00B021A2"/>
    <w:rsid w:val="00B02AFB"/>
    <w:rsid w:val="00B02B15"/>
    <w:rsid w:val="00B02B3A"/>
    <w:rsid w:val="00B02C06"/>
    <w:rsid w:val="00B031A8"/>
    <w:rsid w:val="00B03E6C"/>
    <w:rsid w:val="00B041B9"/>
    <w:rsid w:val="00B050D6"/>
    <w:rsid w:val="00B05441"/>
    <w:rsid w:val="00B0549C"/>
    <w:rsid w:val="00B054E3"/>
    <w:rsid w:val="00B0586C"/>
    <w:rsid w:val="00B059FD"/>
    <w:rsid w:val="00B05C2C"/>
    <w:rsid w:val="00B0648F"/>
    <w:rsid w:val="00B07133"/>
    <w:rsid w:val="00B076BC"/>
    <w:rsid w:val="00B078D7"/>
    <w:rsid w:val="00B103B6"/>
    <w:rsid w:val="00B10579"/>
    <w:rsid w:val="00B10641"/>
    <w:rsid w:val="00B10E3A"/>
    <w:rsid w:val="00B10F19"/>
    <w:rsid w:val="00B110A9"/>
    <w:rsid w:val="00B113AA"/>
    <w:rsid w:val="00B1148E"/>
    <w:rsid w:val="00B117F5"/>
    <w:rsid w:val="00B11900"/>
    <w:rsid w:val="00B11B27"/>
    <w:rsid w:val="00B11C85"/>
    <w:rsid w:val="00B121DF"/>
    <w:rsid w:val="00B1231B"/>
    <w:rsid w:val="00B12510"/>
    <w:rsid w:val="00B12A7D"/>
    <w:rsid w:val="00B1328D"/>
    <w:rsid w:val="00B1413A"/>
    <w:rsid w:val="00B1569B"/>
    <w:rsid w:val="00B156F1"/>
    <w:rsid w:val="00B15776"/>
    <w:rsid w:val="00B157AB"/>
    <w:rsid w:val="00B15BEF"/>
    <w:rsid w:val="00B16471"/>
    <w:rsid w:val="00B1654B"/>
    <w:rsid w:val="00B16AAD"/>
    <w:rsid w:val="00B16AD7"/>
    <w:rsid w:val="00B17143"/>
    <w:rsid w:val="00B17274"/>
    <w:rsid w:val="00B173C2"/>
    <w:rsid w:val="00B17828"/>
    <w:rsid w:val="00B17999"/>
    <w:rsid w:val="00B179CD"/>
    <w:rsid w:val="00B200BB"/>
    <w:rsid w:val="00B202D7"/>
    <w:rsid w:val="00B20304"/>
    <w:rsid w:val="00B207F0"/>
    <w:rsid w:val="00B20AB4"/>
    <w:rsid w:val="00B20D78"/>
    <w:rsid w:val="00B214EB"/>
    <w:rsid w:val="00B215FA"/>
    <w:rsid w:val="00B21988"/>
    <w:rsid w:val="00B21D93"/>
    <w:rsid w:val="00B21E1D"/>
    <w:rsid w:val="00B2229B"/>
    <w:rsid w:val="00B22323"/>
    <w:rsid w:val="00B22560"/>
    <w:rsid w:val="00B225FD"/>
    <w:rsid w:val="00B2297E"/>
    <w:rsid w:val="00B229A0"/>
    <w:rsid w:val="00B22E9C"/>
    <w:rsid w:val="00B23019"/>
    <w:rsid w:val="00B23361"/>
    <w:rsid w:val="00B233CE"/>
    <w:rsid w:val="00B2350B"/>
    <w:rsid w:val="00B239EA"/>
    <w:rsid w:val="00B23A3B"/>
    <w:rsid w:val="00B23E47"/>
    <w:rsid w:val="00B2438C"/>
    <w:rsid w:val="00B24A5E"/>
    <w:rsid w:val="00B24E1E"/>
    <w:rsid w:val="00B24E9C"/>
    <w:rsid w:val="00B2524A"/>
    <w:rsid w:val="00B254D3"/>
    <w:rsid w:val="00B255DA"/>
    <w:rsid w:val="00B25BEF"/>
    <w:rsid w:val="00B2617E"/>
    <w:rsid w:val="00B262E6"/>
    <w:rsid w:val="00B2648F"/>
    <w:rsid w:val="00B26A0F"/>
    <w:rsid w:val="00B26C48"/>
    <w:rsid w:val="00B2722F"/>
    <w:rsid w:val="00B27AD2"/>
    <w:rsid w:val="00B302AE"/>
    <w:rsid w:val="00B3033F"/>
    <w:rsid w:val="00B305CB"/>
    <w:rsid w:val="00B30B93"/>
    <w:rsid w:val="00B30DEB"/>
    <w:rsid w:val="00B30F75"/>
    <w:rsid w:val="00B31389"/>
    <w:rsid w:val="00B3176A"/>
    <w:rsid w:val="00B31CBE"/>
    <w:rsid w:val="00B31E94"/>
    <w:rsid w:val="00B32016"/>
    <w:rsid w:val="00B3289C"/>
    <w:rsid w:val="00B337CE"/>
    <w:rsid w:val="00B33821"/>
    <w:rsid w:val="00B33AA6"/>
    <w:rsid w:val="00B33B2F"/>
    <w:rsid w:val="00B33FDA"/>
    <w:rsid w:val="00B34D49"/>
    <w:rsid w:val="00B34DCA"/>
    <w:rsid w:val="00B352CF"/>
    <w:rsid w:val="00B358D0"/>
    <w:rsid w:val="00B3595E"/>
    <w:rsid w:val="00B35B35"/>
    <w:rsid w:val="00B35F07"/>
    <w:rsid w:val="00B360B5"/>
    <w:rsid w:val="00B366C4"/>
    <w:rsid w:val="00B36946"/>
    <w:rsid w:val="00B36C75"/>
    <w:rsid w:val="00B37540"/>
    <w:rsid w:val="00B37A9E"/>
    <w:rsid w:val="00B37DFB"/>
    <w:rsid w:val="00B40530"/>
    <w:rsid w:val="00B409F0"/>
    <w:rsid w:val="00B40EB0"/>
    <w:rsid w:val="00B414D9"/>
    <w:rsid w:val="00B417CB"/>
    <w:rsid w:val="00B41826"/>
    <w:rsid w:val="00B41850"/>
    <w:rsid w:val="00B419C2"/>
    <w:rsid w:val="00B41E03"/>
    <w:rsid w:val="00B4276A"/>
    <w:rsid w:val="00B4290F"/>
    <w:rsid w:val="00B4353F"/>
    <w:rsid w:val="00B4395E"/>
    <w:rsid w:val="00B43BF4"/>
    <w:rsid w:val="00B44230"/>
    <w:rsid w:val="00B4471F"/>
    <w:rsid w:val="00B44896"/>
    <w:rsid w:val="00B44A02"/>
    <w:rsid w:val="00B44F0A"/>
    <w:rsid w:val="00B450FC"/>
    <w:rsid w:val="00B45138"/>
    <w:rsid w:val="00B45558"/>
    <w:rsid w:val="00B457F2"/>
    <w:rsid w:val="00B45A47"/>
    <w:rsid w:val="00B46052"/>
    <w:rsid w:val="00B460A0"/>
    <w:rsid w:val="00B462F3"/>
    <w:rsid w:val="00B4651D"/>
    <w:rsid w:val="00B46FAD"/>
    <w:rsid w:val="00B47273"/>
    <w:rsid w:val="00B4780E"/>
    <w:rsid w:val="00B47A37"/>
    <w:rsid w:val="00B502CC"/>
    <w:rsid w:val="00B50339"/>
    <w:rsid w:val="00B50397"/>
    <w:rsid w:val="00B504B5"/>
    <w:rsid w:val="00B5057C"/>
    <w:rsid w:val="00B50825"/>
    <w:rsid w:val="00B50881"/>
    <w:rsid w:val="00B511FF"/>
    <w:rsid w:val="00B513EE"/>
    <w:rsid w:val="00B514F8"/>
    <w:rsid w:val="00B51CA4"/>
    <w:rsid w:val="00B51D70"/>
    <w:rsid w:val="00B524C4"/>
    <w:rsid w:val="00B52530"/>
    <w:rsid w:val="00B525E9"/>
    <w:rsid w:val="00B52696"/>
    <w:rsid w:val="00B52D75"/>
    <w:rsid w:val="00B5398A"/>
    <w:rsid w:val="00B539F8"/>
    <w:rsid w:val="00B53EB1"/>
    <w:rsid w:val="00B53F3C"/>
    <w:rsid w:val="00B54830"/>
    <w:rsid w:val="00B54E7C"/>
    <w:rsid w:val="00B55739"/>
    <w:rsid w:val="00B55E68"/>
    <w:rsid w:val="00B562EC"/>
    <w:rsid w:val="00B56666"/>
    <w:rsid w:val="00B57129"/>
    <w:rsid w:val="00B57573"/>
    <w:rsid w:val="00B577F4"/>
    <w:rsid w:val="00B57A58"/>
    <w:rsid w:val="00B57E4E"/>
    <w:rsid w:val="00B57EE7"/>
    <w:rsid w:val="00B61A6B"/>
    <w:rsid w:val="00B61B8B"/>
    <w:rsid w:val="00B61CA9"/>
    <w:rsid w:val="00B61D8D"/>
    <w:rsid w:val="00B61E9C"/>
    <w:rsid w:val="00B626DF"/>
    <w:rsid w:val="00B63929"/>
    <w:rsid w:val="00B63989"/>
    <w:rsid w:val="00B63AD2"/>
    <w:rsid w:val="00B63E67"/>
    <w:rsid w:val="00B63E88"/>
    <w:rsid w:val="00B6413A"/>
    <w:rsid w:val="00B641BC"/>
    <w:rsid w:val="00B64459"/>
    <w:rsid w:val="00B644A5"/>
    <w:rsid w:val="00B65481"/>
    <w:rsid w:val="00B656DD"/>
    <w:rsid w:val="00B660DC"/>
    <w:rsid w:val="00B66599"/>
    <w:rsid w:val="00B6735F"/>
    <w:rsid w:val="00B67706"/>
    <w:rsid w:val="00B678EE"/>
    <w:rsid w:val="00B67E9C"/>
    <w:rsid w:val="00B70E4F"/>
    <w:rsid w:val="00B715A2"/>
    <w:rsid w:val="00B716F8"/>
    <w:rsid w:val="00B71829"/>
    <w:rsid w:val="00B71B72"/>
    <w:rsid w:val="00B71DF6"/>
    <w:rsid w:val="00B722CB"/>
    <w:rsid w:val="00B725F9"/>
    <w:rsid w:val="00B726CF"/>
    <w:rsid w:val="00B72B20"/>
    <w:rsid w:val="00B72BE1"/>
    <w:rsid w:val="00B72E56"/>
    <w:rsid w:val="00B730BF"/>
    <w:rsid w:val="00B73E0A"/>
    <w:rsid w:val="00B73FC6"/>
    <w:rsid w:val="00B74260"/>
    <w:rsid w:val="00B74414"/>
    <w:rsid w:val="00B74819"/>
    <w:rsid w:val="00B7495D"/>
    <w:rsid w:val="00B750F8"/>
    <w:rsid w:val="00B752FD"/>
    <w:rsid w:val="00B75388"/>
    <w:rsid w:val="00B756AD"/>
    <w:rsid w:val="00B75712"/>
    <w:rsid w:val="00B75780"/>
    <w:rsid w:val="00B76411"/>
    <w:rsid w:val="00B76E57"/>
    <w:rsid w:val="00B77170"/>
    <w:rsid w:val="00B77EB9"/>
    <w:rsid w:val="00B8016D"/>
    <w:rsid w:val="00B8018C"/>
    <w:rsid w:val="00B806C8"/>
    <w:rsid w:val="00B80EE5"/>
    <w:rsid w:val="00B811B6"/>
    <w:rsid w:val="00B814B6"/>
    <w:rsid w:val="00B81539"/>
    <w:rsid w:val="00B81616"/>
    <w:rsid w:val="00B81654"/>
    <w:rsid w:val="00B8189A"/>
    <w:rsid w:val="00B81C6E"/>
    <w:rsid w:val="00B81E0F"/>
    <w:rsid w:val="00B81E62"/>
    <w:rsid w:val="00B8226C"/>
    <w:rsid w:val="00B82E7B"/>
    <w:rsid w:val="00B83B9A"/>
    <w:rsid w:val="00B8457C"/>
    <w:rsid w:val="00B84770"/>
    <w:rsid w:val="00B847D5"/>
    <w:rsid w:val="00B848DD"/>
    <w:rsid w:val="00B84B22"/>
    <w:rsid w:val="00B84B6F"/>
    <w:rsid w:val="00B84E5A"/>
    <w:rsid w:val="00B84EB8"/>
    <w:rsid w:val="00B84F4D"/>
    <w:rsid w:val="00B85306"/>
    <w:rsid w:val="00B8586E"/>
    <w:rsid w:val="00B859CF"/>
    <w:rsid w:val="00B85C92"/>
    <w:rsid w:val="00B85D48"/>
    <w:rsid w:val="00B86406"/>
    <w:rsid w:val="00B86BA8"/>
    <w:rsid w:val="00B86DB2"/>
    <w:rsid w:val="00B86F10"/>
    <w:rsid w:val="00B871EA"/>
    <w:rsid w:val="00B873B2"/>
    <w:rsid w:val="00B87F2D"/>
    <w:rsid w:val="00B90F41"/>
    <w:rsid w:val="00B910A9"/>
    <w:rsid w:val="00B91102"/>
    <w:rsid w:val="00B91251"/>
    <w:rsid w:val="00B91B46"/>
    <w:rsid w:val="00B91ED8"/>
    <w:rsid w:val="00B92167"/>
    <w:rsid w:val="00B92535"/>
    <w:rsid w:val="00B927B9"/>
    <w:rsid w:val="00B92B34"/>
    <w:rsid w:val="00B92C38"/>
    <w:rsid w:val="00B92C99"/>
    <w:rsid w:val="00B94BD0"/>
    <w:rsid w:val="00B95F2B"/>
    <w:rsid w:val="00B9635C"/>
    <w:rsid w:val="00B967F3"/>
    <w:rsid w:val="00B96931"/>
    <w:rsid w:val="00B96B3D"/>
    <w:rsid w:val="00B97A3E"/>
    <w:rsid w:val="00B97C55"/>
    <w:rsid w:val="00BA0928"/>
    <w:rsid w:val="00BA101A"/>
    <w:rsid w:val="00BA1EB9"/>
    <w:rsid w:val="00BA2049"/>
    <w:rsid w:val="00BA20F2"/>
    <w:rsid w:val="00BA218C"/>
    <w:rsid w:val="00BA23C3"/>
    <w:rsid w:val="00BA26B8"/>
    <w:rsid w:val="00BA3C16"/>
    <w:rsid w:val="00BA41C1"/>
    <w:rsid w:val="00BA425A"/>
    <w:rsid w:val="00BA4B62"/>
    <w:rsid w:val="00BA4BA5"/>
    <w:rsid w:val="00BA4C2A"/>
    <w:rsid w:val="00BA501F"/>
    <w:rsid w:val="00BA51F7"/>
    <w:rsid w:val="00BA526F"/>
    <w:rsid w:val="00BA5DCB"/>
    <w:rsid w:val="00BA6B8D"/>
    <w:rsid w:val="00BA7143"/>
    <w:rsid w:val="00BA7D98"/>
    <w:rsid w:val="00BA7EC7"/>
    <w:rsid w:val="00BB06C0"/>
    <w:rsid w:val="00BB0731"/>
    <w:rsid w:val="00BB1674"/>
    <w:rsid w:val="00BB1D52"/>
    <w:rsid w:val="00BB1F68"/>
    <w:rsid w:val="00BB25AB"/>
    <w:rsid w:val="00BB30C8"/>
    <w:rsid w:val="00BB4476"/>
    <w:rsid w:val="00BB47D2"/>
    <w:rsid w:val="00BB4D2A"/>
    <w:rsid w:val="00BB4E28"/>
    <w:rsid w:val="00BB4E8F"/>
    <w:rsid w:val="00BB51D6"/>
    <w:rsid w:val="00BB5316"/>
    <w:rsid w:val="00BB563C"/>
    <w:rsid w:val="00BB58CD"/>
    <w:rsid w:val="00BB5A58"/>
    <w:rsid w:val="00BB5DC3"/>
    <w:rsid w:val="00BB635C"/>
    <w:rsid w:val="00BB67CC"/>
    <w:rsid w:val="00BB6A16"/>
    <w:rsid w:val="00BB6F99"/>
    <w:rsid w:val="00BB70BD"/>
    <w:rsid w:val="00BB71BA"/>
    <w:rsid w:val="00BB7BCD"/>
    <w:rsid w:val="00BC0858"/>
    <w:rsid w:val="00BC0F75"/>
    <w:rsid w:val="00BC10FB"/>
    <w:rsid w:val="00BC15B3"/>
    <w:rsid w:val="00BC1EBE"/>
    <w:rsid w:val="00BC2038"/>
    <w:rsid w:val="00BC20C6"/>
    <w:rsid w:val="00BC240E"/>
    <w:rsid w:val="00BC2B89"/>
    <w:rsid w:val="00BC2D9F"/>
    <w:rsid w:val="00BC2E05"/>
    <w:rsid w:val="00BC2FBF"/>
    <w:rsid w:val="00BC32F4"/>
    <w:rsid w:val="00BC3305"/>
    <w:rsid w:val="00BC3376"/>
    <w:rsid w:val="00BC3529"/>
    <w:rsid w:val="00BC3948"/>
    <w:rsid w:val="00BC3B6B"/>
    <w:rsid w:val="00BC4830"/>
    <w:rsid w:val="00BC50D4"/>
    <w:rsid w:val="00BC568F"/>
    <w:rsid w:val="00BC6150"/>
    <w:rsid w:val="00BC6D0A"/>
    <w:rsid w:val="00BC6E48"/>
    <w:rsid w:val="00BD0048"/>
    <w:rsid w:val="00BD0400"/>
    <w:rsid w:val="00BD09A8"/>
    <w:rsid w:val="00BD0DC8"/>
    <w:rsid w:val="00BD118D"/>
    <w:rsid w:val="00BD13CE"/>
    <w:rsid w:val="00BD14BD"/>
    <w:rsid w:val="00BD14C0"/>
    <w:rsid w:val="00BD14F6"/>
    <w:rsid w:val="00BD168D"/>
    <w:rsid w:val="00BD16E7"/>
    <w:rsid w:val="00BD1BFE"/>
    <w:rsid w:val="00BD1DE5"/>
    <w:rsid w:val="00BD2182"/>
    <w:rsid w:val="00BD2F57"/>
    <w:rsid w:val="00BD2F59"/>
    <w:rsid w:val="00BD3210"/>
    <w:rsid w:val="00BD3213"/>
    <w:rsid w:val="00BD3A2C"/>
    <w:rsid w:val="00BD3F1A"/>
    <w:rsid w:val="00BD41A4"/>
    <w:rsid w:val="00BD452A"/>
    <w:rsid w:val="00BD4C2F"/>
    <w:rsid w:val="00BD4FA6"/>
    <w:rsid w:val="00BD53CB"/>
    <w:rsid w:val="00BD58B1"/>
    <w:rsid w:val="00BD62AE"/>
    <w:rsid w:val="00BD6696"/>
    <w:rsid w:val="00BD6BCE"/>
    <w:rsid w:val="00BD6FA0"/>
    <w:rsid w:val="00BD7082"/>
    <w:rsid w:val="00BD738C"/>
    <w:rsid w:val="00BD7B0D"/>
    <w:rsid w:val="00BE005F"/>
    <w:rsid w:val="00BE00E6"/>
    <w:rsid w:val="00BE10AD"/>
    <w:rsid w:val="00BE16AF"/>
    <w:rsid w:val="00BE175E"/>
    <w:rsid w:val="00BE1B16"/>
    <w:rsid w:val="00BE1B23"/>
    <w:rsid w:val="00BE1DCC"/>
    <w:rsid w:val="00BE2389"/>
    <w:rsid w:val="00BE2479"/>
    <w:rsid w:val="00BE2EAA"/>
    <w:rsid w:val="00BE3103"/>
    <w:rsid w:val="00BE374B"/>
    <w:rsid w:val="00BE384E"/>
    <w:rsid w:val="00BE3D52"/>
    <w:rsid w:val="00BE3E70"/>
    <w:rsid w:val="00BE3F44"/>
    <w:rsid w:val="00BE4281"/>
    <w:rsid w:val="00BE44A0"/>
    <w:rsid w:val="00BE44E1"/>
    <w:rsid w:val="00BE4E26"/>
    <w:rsid w:val="00BE55D9"/>
    <w:rsid w:val="00BE584A"/>
    <w:rsid w:val="00BE5E7C"/>
    <w:rsid w:val="00BE6298"/>
    <w:rsid w:val="00BE649D"/>
    <w:rsid w:val="00BE6546"/>
    <w:rsid w:val="00BE6948"/>
    <w:rsid w:val="00BE6EE3"/>
    <w:rsid w:val="00BE704A"/>
    <w:rsid w:val="00BE76C2"/>
    <w:rsid w:val="00BE7D02"/>
    <w:rsid w:val="00BE7D4D"/>
    <w:rsid w:val="00BF010E"/>
    <w:rsid w:val="00BF0251"/>
    <w:rsid w:val="00BF0484"/>
    <w:rsid w:val="00BF08D8"/>
    <w:rsid w:val="00BF0947"/>
    <w:rsid w:val="00BF09E3"/>
    <w:rsid w:val="00BF0B29"/>
    <w:rsid w:val="00BF15B9"/>
    <w:rsid w:val="00BF2A3D"/>
    <w:rsid w:val="00BF3003"/>
    <w:rsid w:val="00BF31D3"/>
    <w:rsid w:val="00BF4085"/>
    <w:rsid w:val="00BF4700"/>
    <w:rsid w:val="00BF47B7"/>
    <w:rsid w:val="00BF4EAE"/>
    <w:rsid w:val="00BF530A"/>
    <w:rsid w:val="00BF5745"/>
    <w:rsid w:val="00BF5800"/>
    <w:rsid w:val="00BF6030"/>
    <w:rsid w:val="00BF68C2"/>
    <w:rsid w:val="00BF720E"/>
    <w:rsid w:val="00BF7809"/>
    <w:rsid w:val="00BF78AD"/>
    <w:rsid w:val="00BF794D"/>
    <w:rsid w:val="00BF7B19"/>
    <w:rsid w:val="00BF7B37"/>
    <w:rsid w:val="00BF7B63"/>
    <w:rsid w:val="00C003E8"/>
    <w:rsid w:val="00C0108F"/>
    <w:rsid w:val="00C011EC"/>
    <w:rsid w:val="00C0260D"/>
    <w:rsid w:val="00C026B6"/>
    <w:rsid w:val="00C02D4A"/>
    <w:rsid w:val="00C02D5F"/>
    <w:rsid w:val="00C03348"/>
    <w:rsid w:val="00C0337F"/>
    <w:rsid w:val="00C03436"/>
    <w:rsid w:val="00C03FE5"/>
    <w:rsid w:val="00C0424D"/>
    <w:rsid w:val="00C055FF"/>
    <w:rsid w:val="00C05728"/>
    <w:rsid w:val="00C05C7D"/>
    <w:rsid w:val="00C05E94"/>
    <w:rsid w:val="00C0618B"/>
    <w:rsid w:val="00C0642F"/>
    <w:rsid w:val="00C06866"/>
    <w:rsid w:val="00C069B1"/>
    <w:rsid w:val="00C06DF6"/>
    <w:rsid w:val="00C06F1C"/>
    <w:rsid w:val="00C0711F"/>
    <w:rsid w:val="00C07929"/>
    <w:rsid w:val="00C07CB3"/>
    <w:rsid w:val="00C10179"/>
    <w:rsid w:val="00C1040F"/>
    <w:rsid w:val="00C10FD6"/>
    <w:rsid w:val="00C115FD"/>
    <w:rsid w:val="00C1317A"/>
    <w:rsid w:val="00C13420"/>
    <w:rsid w:val="00C1348B"/>
    <w:rsid w:val="00C13ACC"/>
    <w:rsid w:val="00C13B60"/>
    <w:rsid w:val="00C13FCE"/>
    <w:rsid w:val="00C1422D"/>
    <w:rsid w:val="00C143D8"/>
    <w:rsid w:val="00C1451A"/>
    <w:rsid w:val="00C14573"/>
    <w:rsid w:val="00C14AA0"/>
    <w:rsid w:val="00C150CA"/>
    <w:rsid w:val="00C157D2"/>
    <w:rsid w:val="00C159C5"/>
    <w:rsid w:val="00C15B96"/>
    <w:rsid w:val="00C15C0F"/>
    <w:rsid w:val="00C15C75"/>
    <w:rsid w:val="00C162F0"/>
    <w:rsid w:val="00C168ED"/>
    <w:rsid w:val="00C16CC3"/>
    <w:rsid w:val="00C16DB4"/>
    <w:rsid w:val="00C172AB"/>
    <w:rsid w:val="00C17657"/>
    <w:rsid w:val="00C17888"/>
    <w:rsid w:val="00C17D50"/>
    <w:rsid w:val="00C17FDA"/>
    <w:rsid w:val="00C20C5E"/>
    <w:rsid w:val="00C2158E"/>
    <w:rsid w:val="00C21A91"/>
    <w:rsid w:val="00C22164"/>
    <w:rsid w:val="00C221C7"/>
    <w:rsid w:val="00C22503"/>
    <w:rsid w:val="00C2273F"/>
    <w:rsid w:val="00C22D3E"/>
    <w:rsid w:val="00C23045"/>
    <w:rsid w:val="00C23750"/>
    <w:rsid w:val="00C237AC"/>
    <w:rsid w:val="00C2385C"/>
    <w:rsid w:val="00C23BEC"/>
    <w:rsid w:val="00C23CB4"/>
    <w:rsid w:val="00C245AD"/>
    <w:rsid w:val="00C24CCA"/>
    <w:rsid w:val="00C24E9D"/>
    <w:rsid w:val="00C25832"/>
    <w:rsid w:val="00C25C17"/>
    <w:rsid w:val="00C25D39"/>
    <w:rsid w:val="00C25E4A"/>
    <w:rsid w:val="00C26324"/>
    <w:rsid w:val="00C265CC"/>
    <w:rsid w:val="00C266DD"/>
    <w:rsid w:val="00C26C2A"/>
    <w:rsid w:val="00C272F8"/>
    <w:rsid w:val="00C2756D"/>
    <w:rsid w:val="00C27E5C"/>
    <w:rsid w:val="00C30158"/>
    <w:rsid w:val="00C30248"/>
    <w:rsid w:val="00C30485"/>
    <w:rsid w:val="00C308FF"/>
    <w:rsid w:val="00C31372"/>
    <w:rsid w:val="00C31F2E"/>
    <w:rsid w:val="00C32409"/>
    <w:rsid w:val="00C32419"/>
    <w:rsid w:val="00C328FA"/>
    <w:rsid w:val="00C32C47"/>
    <w:rsid w:val="00C32D44"/>
    <w:rsid w:val="00C330A4"/>
    <w:rsid w:val="00C33548"/>
    <w:rsid w:val="00C33B48"/>
    <w:rsid w:val="00C34501"/>
    <w:rsid w:val="00C3462F"/>
    <w:rsid w:val="00C3469E"/>
    <w:rsid w:val="00C3472B"/>
    <w:rsid w:val="00C34A4D"/>
    <w:rsid w:val="00C34CE3"/>
    <w:rsid w:val="00C350F2"/>
    <w:rsid w:val="00C35234"/>
    <w:rsid w:val="00C3547E"/>
    <w:rsid w:val="00C35E9B"/>
    <w:rsid w:val="00C35FC8"/>
    <w:rsid w:val="00C35FF3"/>
    <w:rsid w:val="00C3644E"/>
    <w:rsid w:val="00C366AD"/>
    <w:rsid w:val="00C3686C"/>
    <w:rsid w:val="00C368C2"/>
    <w:rsid w:val="00C36A60"/>
    <w:rsid w:val="00C36B93"/>
    <w:rsid w:val="00C36D5D"/>
    <w:rsid w:val="00C37142"/>
    <w:rsid w:val="00C40047"/>
    <w:rsid w:val="00C40104"/>
    <w:rsid w:val="00C4082F"/>
    <w:rsid w:val="00C40DFD"/>
    <w:rsid w:val="00C40EA3"/>
    <w:rsid w:val="00C40EE6"/>
    <w:rsid w:val="00C41064"/>
    <w:rsid w:val="00C41244"/>
    <w:rsid w:val="00C41691"/>
    <w:rsid w:val="00C41FC1"/>
    <w:rsid w:val="00C42146"/>
    <w:rsid w:val="00C42351"/>
    <w:rsid w:val="00C42DC2"/>
    <w:rsid w:val="00C42E65"/>
    <w:rsid w:val="00C42ECD"/>
    <w:rsid w:val="00C42F32"/>
    <w:rsid w:val="00C44522"/>
    <w:rsid w:val="00C44601"/>
    <w:rsid w:val="00C4499B"/>
    <w:rsid w:val="00C44A97"/>
    <w:rsid w:val="00C44DDC"/>
    <w:rsid w:val="00C451E0"/>
    <w:rsid w:val="00C453F8"/>
    <w:rsid w:val="00C454EE"/>
    <w:rsid w:val="00C458AB"/>
    <w:rsid w:val="00C45A6A"/>
    <w:rsid w:val="00C45BBC"/>
    <w:rsid w:val="00C46224"/>
    <w:rsid w:val="00C462F1"/>
    <w:rsid w:val="00C4691B"/>
    <w:rsid w:val="00C46DFD"/>
    <w:rsid w:val="00C47021"/>
    <w:rsid w:val="00C471E1"/>
    <w:rsid w:val="00C47568"/>
    <w:rsid w:val="00C47A30"/>
    <w:rsid w:val="00C47D00"/>
    <w:rsid w:val="00C504DE"/>
    <w:rsid w:val="00C50504"/>
    <w:rsid w:val="00C505CF"/>
    <w:rsid w:val="00C50654"/>
    <w:rsid w:val="00C50879"/>
    <w:rsid w:val="00C50ACA"/>
    <w:rsid w:val="00C50B5F"/>
    <w:rsid w:val="00C50EB3"/>
    <w:rsid w:val="00C50F01"/>
    <w:rsid w:val="00C51195"/>
    <w:rsid w:val="00C513B8"/>
    <w:rsid w:val="00C51C53"/>
    <w:rsid w:val="00C51CEC"/>
    <w:rsid w:val="00C51E73"/>
    <w:rsid w:val="00C521ED"/>
    <w:rsid w:val="00C52F6E"/>
    <w:rsid w:val="00C5320F"/>
    <w:rsid w:val="00C53246"/>
    <w:rsid w:val="00C533C8"/>
    <w:rsid w:val="00C53486"/>
    <w:rsid w:val="00C5357D"/>
    <w:rsid w:val="00C53921"/>
    <w:rsid w:val="00C54AF2"/>
    <w:rsid w:val="00C5537C"/>
    <w:rsid w:val="00C554F9"/>
    <w:rsid w:val="00C5575C"/>
    <w:rsid w:val="00C559B0"/>
    <w:rsid w:val="00C55AD0"/>
    <w:rsid w:val="00C55C1B"/>
    <w:rsid w:val="00C56A10"/>
    <w:rsid w:val="00C56CAE"/>
    <w:rsid w:val="00C56E6B"/>
    <w:rsid w:val="00C56FD0"/>
    <w:rsid w:val="00C5704E"/>
    <w:rsid w:val="00C57966"/>
    <w:rsid w:val="00C602FC"/>
    <w:rsid w:val="00C605F6"/>
    <w:rsid w:val="00C6075E"/>
    <w:rsid w:val="00C609E1"/>
    <w:rsid w:val="00C60EBE"/>
    <w:rsid w:val="00C60FB7"/>
    <w:rsid w:val="00C60FBA"/>
    <w:rsid w:val="00C6108C"/>
    <w:rsid w:val="00C61424"/>
    <w:rsid w:val="00C615F7"/>
    <w:rsid w:val="00C6163B"/>
    <w:rsid w:val="00C618BA"/>
    <w:rsid w:val="00C61BEA"/>
    <w:rsid w:val="00C62200"/>
    <w:rsid w:val="00C624D4"/>
    <w:rsid w:val="00C633F1"/>
    <w:rsid w:val="00C641E5"/>
    <w:rsid w:val="00C64225"/>
    <w:rsid w:val="00C6470D"/>
    <w:rsid w:val="00C64748"/>
    <w:rsid w:val="00C648D4"/>
    <w:rsid w:val="00C64B96"/>
    <w:rsid w:val="00C64C91"/>
    <w:rsid w:val="00C64EA2"/>
    <w:rsid w:val="00C64EDB"/>
    <w:rsid w:val="00C65270"/>
    <w:rsid w:val="00C65A0F"/>
    <w:rsid w:val="00C65C1F"/>
    <w:rsid w:val="00C661AE"/>
    <w:rsid w:val="00C665D9"/>
    <w:rsid w:val="00C667A6"/>
    <w:rsid w:val="00C66D47"/>
    <w:rsid w:val="00C67085"/>
    <w:rsid w:val="00C67459"/>
    <w:rsid w:val="00C67F63"/>
    <w:rsid w:val="00C70173"/>
    <w:rsid w:val="00C70989"/>
    <w:rsid w:val="00C709A4"/>
    <w:rsid w:val="00C70AA4"/>
    <w:rsid w:val="00C713D8"/>
    <w:rsid w:val="00C7145C"/>
    <w:rsid w:val="00C7146E"/>
    <w:rsid w:val="00C71723"/>
    <w:rsid w:val="00C7190C"/>
    <w:rsid w:val="00C72336"/>
    <w:rsid w:val="00C729A5"/>
    <w:rsid w:val="00C72A82"/>
    <w:rsid w:val="00C72EB1"/>
    <w:rsid w:val="00C72F01"/>
    <w:rsid w:val="00C7304F"/>
    <w:rsid w:val="00C73C7E"/>
    <w:rsid w:val="00C73CB9"/>
    <w:rsid w:val="00C73F2F"/>
    <w:rsid w:val="00C74713"/>
    <w:rsid w:val="00C747C6"/>
    <w:rsid w:val="00C74E33"/>
    <w:rsid w:val="00C74F2A"/>
    <w:rsid w:val="00C74F5F"/>
    <w:rsid w:val="00C74FD5"/>
    <w:rsid w:val="00C763E2"/>
    <w:rsid w:val="00C770A7"/>
    <w:rsid w:val="00C77537"/>
    <w:rsid w:val="00C777B0"/>
    <w:rsid w:val="00C778DB"/>
    <w:rsid w:val="00C77BAC"/>
    <w:rsid w:val="00C77C80"/>
    <w:rsid w:val="00C77DC6"/>
    <w:rsid w:val="00C80100"/>
    <w:rsid w:val="00C804EB"/>
    <w:rsid w:val="00C8064D"/>
    <w:rsid w:val="00C80859"/>
    <w:rsid w:val="00C80C0F"/>
    <w:rsid w:val="00C812D4"/>
    <w:rsid w:val="00C820AD"/>
    <w:rsid w:val="00C821D1"/>
    <w:rsid w:val="00C82438"/>
    <w:rsid w:val="00C828B5"/>
    <w:rsid w:val="00C82BAC"/>
    <w:rsid w:val="00C82C98"/>
    <w:rsid w:val="00C83A45"/>
    <w:rsid w:val="00C8424F"/>
    <w:rsid w:val="00C8432F"/>
    <w:rsid w:val="00C850F8"/>
    <w:rsid w:val="00C85147"/>
    <w:rsid w:val="00C85481"/>
    <w:rsid w:val="00C85681"/>
    <w:rsid w:val="00C85C90"/>
    <w:rsid w:val="00C85F06"/>
    <w:rsid w:val="00C864B3"/>
    <w:rsid w:val="00C86762"/>
    <w:rsid w:val="00C86ABB"/>
    <w:rsid w:val="00C86BED"/>
    <w:rsid w:val="00C86E8C"/>
    <w:rsid w:val="00C87412"/>
    <w:rsid w:val="00C87447"/>
    <w:rsid w:val="00C8798B"/>
    <w:rsid w:val="00C87F04"/>
    <w:rsid w:val="00C87F7E"/>
    <w:rsid w:val="00C909BC"/>
    <w:rsid w:val="00C9122B"/>
    <w:rsid w:val="00C913E0"/>
    <w:rsid w:val="00C91FBC"/>
    <w:rsid w:val="00C93467"/>
    <w:rsid w:val="00C93895"/>
    <w:rsid w:val="00C9396F"/>
    <w:rsid w:val="00C93B4F"/>
    <w:rsid w:val="00C94B93"/>
    <w:rsid w:val="00C94BD4"/>
    <w:rsid w:val="00C952E7"/>
    <w:rsid w:val="00C95480"/>
    <w:rsid w:val="00C95950"/>
    <w:rsid w:val="00C96811"/>
    <w:rsid w:val="00C9752B"/>
    <w:rsid w:val="00C97AF6"/>
    <w:rsid w:val="00C97EDA"/>
    <w:rsid w:val="00C97F50"/>
    <w:rsid w:val="00CA03A3"/>
    <w:rsid w:val="00CA0B41"/>
    <w:rsid w:val="00CA0C2A"/>
    <w:rsid w:val="00CA0CA5"/>
    <w:rsid w:val="00CA12DF"/>
    <w:rsid w:val="00CA1364"/>
    <w:rsid w:val="00CA188D"/>
    <w:rsid w:val="00CA1C21"/>
    <w:rsid w:val="00CA2D18"/>
    <w:rsid w:val="00CA2D45"/>
    <w:rsid w:val="00CA2EC2"/>
    <w:rsid w:val="00CA2F73"/>
    <w:rsid w:val="00CA30BE"/>
    <w:rsid w:val="00CA30F3"/>
    <w:rsid w:val="00CA34C9"/>
    <w:rsid w:val="00CA3878"/>
    <w:rsid w:val="00CA38A0"/>
    <w:rsid w:val="00CA3E37"/>
    <w:rsid w:val="00CA4949"/>
    <w:rsid w:val="00CA4A65"/>
    <w:rsid w:val="00CA4D00"/>
    <w:rsid w:val="00CA538F"/>
    <w:rsid w:val="00CA58A0"/>
    <w:rsid w:val="00CA5E4C"/>
    <w:rsid w:val="00CA626E"/>
    <w:rsid w:val="00CA6857"/>
    <w:rsid w:val="00CA6870"/>
    <w:rsid w:val="00CA6A3E"/>
    <w:rsid w:val="00CA6A8F"/>
    <w:rsid w:val="00CA7100"/>
    <w:rsid w:val="00CA7761"/>
    <w:rsid w:val="00CA7ABF"/>
    <w:rsid w:val="00CB0101"/>
    <w:rsid w:val="00CB0169"/>
    <w:rsid w:val="00CB071C"/>
    <w:rsid w:val="00CB0D1F"/>
    <w:rsid w:val="00CB0F4B"/>
    <w:rsid w:val="00CB13B2"/>
    <w:rsid w:val="00CB20DC"/>
    <w:rsid w:val="00CB22DF"/>
    <w:rsid w:val="00CB258B"/>
    <w:rsid w:val="00CB2AEA"/>
    <w:rsid w:val="00CB347B"/>
    <w:rsid w:val="00CB38CE"/>
    <w:rsid w:val="00CB3DD8"/>
    <w:rsid w:val="00CB4043"/>
    <w:rsid w:val="00CB426F"/>
    <w:rsid w:val="00CB4320"/>
    <w:rsid w:val="00CB4537"/>
    <w:rsid w:val="00CB4A95"/>
    <w:rsid w:val="00CB4C1D"/>
    <w:rsid w:val="00CB4DEE"/>
    <w:rsid w:val="00CB4EFB"/>
    <w:rsid w:val="00CB5018"/>
    <w:rsid w:val="00CB559B"/>
    <w:rsid w:val="00CB5880"/>
    <w:rsid w:val="00CB5FEA"/>
    <w:rsid w:val="00CB6304"/>
    <w:rsid w:val="00CB7360"/>
    <w:rsid w:val="00CB773E"/>
    <w:rsid w:val="00CB7D3D"/>
    <w:rsid w:val="00CB7EF4"/>
    <w:rsid w:val="00CC04E2"/>
    <w:rsid w:val="00CC090B"/>
    <w:rsid w:val="00CC0DEC"/>
    <w:rsid w:val="00CC0EB7"/>
    <w:rsid w:val="00CC130D"/>
    <w:rsid w:val="00CC168E"/>
    <w:rsid w:val="00CC17DC"/>
    <w:rsid w:val="00CC18C9"/>
    <w:rsid w:val="00CC1AB9"/>
    <w:rsid w:val="00CC1BAB"/>
    <w:rsid w:val="00CC2082"/>
    <w:rsid w:val="00CC2319"/>
    <w:rsid w:val="00CC237D"/>
    <w:rsid w:val="00CC23A2"/>
    <w:rsid w:val="00CC23E6"/>
    <w:rsid w:val="00CC25F2"/>
    <w:rsid w:val="00CC3233"/>
    <w:rsid w:val="00CC3ABE"/>
    <w:rsid w:val="00CC3C6A"/>
    <w:rsid w:val="00CC3D1B"/>
    <w:rsid w:val="00CC4177"/>
    <w:rsid w:val="00CC4683"/>
    <w:rsid w:val="00CC5320"/>
    <w:rsid w:val="00CC58AD"/>
    <w:rsid w:val="00CC5C77"/>
    <w:rsid w:val="00CC5C97"/>
    <w:rsid w:val="00CC5DBB"/>
    <w:rsid w:val="00CC5EB2"/>
    <w:rsid w:val="00CC606F"/>
    <w:rsid w:val="00CC63B4"/>
    <w:rsid w:val="00CC6935"/>
    <w:rsid w:val="00CC6B3E"/>
    <w:rsid w:val="00CC6EC3"/>
    <w:rsid w:val="00CC726A"/>
    <w:rsid w:val="00CC749F"/>
    <w:rsid w:val="00CC7B81"/>
    <w:rsid w:val="00CC7EA2"/>
    <w:rsid w:val="00CD0250"/>
    <w:rsid w:val="00CD03EC"/>
    <w:rsid w:val="00CD0719"/>
    <w:rsid w:val="00CD08E6"/>
    <w:rsid w:val="00CD0EF9"/>
    <w:rsid w:val="00CD14EF"/>
    <w:rsid w:val="00CD1806"/>
    <w:rsid w:val="00CD1866"/>
    <w:rsid w:val="00CD1957"/>
    <w:rsid w:val="00CD1A28"/>
    <w:rsid w:val="00CD1B84"/>
    <w:rsid w:val="00CD1DF4"/>
    <w:rsid w:val="00CD2429"/>
    <w:rsid w:val="00CD2457"/>
    <w:rsid w:val="00CD248A"/>
    <w:rsid w:val="00CD2AB8"/>
    <w:rsid w:val="00CD2B12"/>
    <w:rsid w:val="00CD2BA7"/>
    <w:rsid w:val="00CD2D44"/>
    <w:rsid w:val="00CD2D4D"/>
    <w:rsid w:val="00CD3BE3"/>
    <w:rsid w:val="00CD3EAA"/>
    <w:rsid w:val="00CD4C53"/>
    <w:rsid w:val="00CD4CCE"/>
    <w:rsid w:val="00CD560B"/>
    <w:rsid w:val="00CD5D37"/>
    <w:rsid w:val="00CD5E73"/>
    <w:rsid w:val="00CD618C"/>
    <w:rsid w:val="00CD6F39"/>
    <w:rsid w:val="00CD7449"/>
    <w:rsid w:val="00CD791A"/>
    <w:rsid w:val="00CD7BB7"/>
    <w:rsid w:val="00CD7C2B"/>
    <w:rsid w:val="00CD7E0A"/>
    <w:rsid w:val="00CE00B6"/>
    <w:rsid w:val="00CE0203"/>
    <w:rsid w:val="00CE0F8E"/>
    <w:rsid w:val="00CE123E"/>
    <w:rsid w:val="00CE18EC"/>
    <w:rsid w:val="00CE1F23"/>
    <w:rsid w:val="00CE2413"/>
    <w:rsid w:val="00CE29BC"/>
    <w:rsid w:val="00CE2F4A"/>
    <w:rsid w:val="00CE2FE8"/>
    <w:rsid w:val="00CE33D7"/>
    <w:rsid w:val="00CE34E0"/>
    <w:rsid w:val="00CE35F5"/>
    <w:rsid w:val="00CE3730"/>
    <w:rsid w:val="00CE3F71"/>
    <w:rsid w:val="00CE3FC6"/>
    <w:rsid w:val="00CE41FA"/>
    <w:rsid w:val="00CE426E"/>
    <w:rsid w:val="00CE42C0"/>
    <w:rsid w:val="00CE45B1"/>
    <w:rsid w:val="00CE49BA"/>
    <w:rsid w:val="00CE4E02"/>
    <w:rsid w:val="00CE4F48"/>
    <w:rsid w:val="00CE50F4"/>
    <w:rsid w:val="00CE54AD"/>
    <w:rsid w:val="00CE5511"/>
    <w:rsid w:val="00CE612C"/>
    <w:rsid w:val="00CE62ED"/>
    <w:rsid w:val="00CE650A"/>
    <w:rsid w:val="00CE6785"/>
    <w:rsid w:val="00CE6B54"/>
    <w:rsid w:val="00CE6BFA"/>
    <w:rsid w:val="00CE6D7E"/>
    <w:rsid w:val="00CE73D6"/>
    <w:rsid w:val="00CE7694"/>
    <w:rsid w:val="00CE7C11"/>
    <w:rsid w:val="00CE7C5E"/>
    <w:rsid w:val="00CE7F4A"/>
    <w:rsid w:val="00CF0E74"/>
    <w:rsid w:val="00CF107D"/>
    <w:rsid w:val="00CF1387"/>
    <w:rsid w:val="00CF1961"/>
    <w:rsid w:val="00CF1B9B"/>
    <w:rsid w:val="00CF1BDE"/>
    <w:rsid w:val="00CF23AB"/>
    <w:rsid w:val="00CF297D"/>
    <w:rsid w:val="00CF3B1F"/>
    <w:rsid w:val="00CF43ED"/>
    <w:rsid w:val="00CF4703"/>
    <w:rsid w:val="00CF47C4"/>
    <w:rsid w:val="00CF481A"/>
    <w:rsid w:val="00CF4E42"/>
    <w:rsid w:val="00CF5078"/>
    <w:rsid w:val="00CF567D"/>
    <w:rsid w:val="00CF5C15"/>
    <w:rsid w:val="00CF5CCE"/>
    <w:rsid w:val="00CF5D43"/>
    <w:rsid w:val="00CF5E69"/>
    <w:rsid w:val="00CF6037"/>
    <w:rsid w:val="00CF606F"/>
    <w:rsid w:val="00CF69B4"/>
    <w:rsid w:val="00CF6BD1"/>
    <w:rsid w:val="00CF6F0A"/>
    <w:rsid w:val="00CF724F"/>
    <w:rsid w:val="00CF7319"/>
    <w:rsid w:val="00CF74BD"/>
    <w:rsid w:val="00CF754B"/>
    <w:rsid w:val="00D0051C"/>
    <w:rsid w:val="00D00937"/>
    <w:rsid w:val="00D00DA5"/>
    <w:rsid w:val="00D014ED"/>
    <w:rsid w:val="00D01BD7"/>
    <w:rsid w:val="00D020A2"/>
    <w:rsid w:val="00D0240E"/>
    <w:rsid w:val="00D02E38"/>
    <w:rsid w:val="00D0337E"/>
    <w:rsid w:val="00D036D3"/>
    <w:rsid w:val="00D03B17"/>
    <w:rsid w:val="00D03BB3"/>
    <w:rsid w:val="00D03BD0"/>
    <w:rsid w:val="00D0424B"/>
    <w:rsid w:val="00D0430B"/>
    <w:rsid w:val="00D049AE"/>
    <w:rsid w:val="00D052CC"/>
    <w:rsid w:val="00D0543A"/>
    <w:rsid w:val="00D05E1D"/>
    <w:rsid w:val="00D0604A"/>
    <w:rsid w:val="00D065B3"/>
    <w:rsid w:val="00D0687A"/>
    <w:rsid w:val="00D071C4"/>
    <w:rsid w:val="00D07844"/>
    <w:rsid w:val="00D07E49"/>
    <w:rsid w:val="00D10008"/>
    <w:rsid w:val="00D11386"/>
    <w:rsid w:val="00D11538"/>
    <w:rsid w:val="00D11A7E"/>
    <w:rsid w:val="00D11CDF"/>
    <w:rsid w:val="00D11E9F"/>
    <w:rsid w:val="00D12635"/>
    <w:rsid w:val="00D1263B"/>
    <w:rsid w:val="00D129C4"/>
    <w:rsid w:val="00D12E45"/>
    <w:rsid w:val="00D13210"/>
    <w:rsid w:val="00D13924"/>
    <w:rsid w:val="00D13D82"/>
    <w:rsid w:val="00D13E14"/>
    <w:rsid w:val="00D13E32"/>
    <w:rsid w:val="00D140FC"/>
    <w:rsid w:val="00D14167"/>
    <w:rsid w:val="00D14372"/>
    <w:rsid w:val="00D14D9B"/>
    <w:rsid w:val="00D156BC"/>
    <w:rsid w:val="00D15AB2"/>
    <w:rsid w:val="00D15F15"/>
    <w:rsid w:val="00D15F2F"/>
    <w:rsid w:val="00D16218"/>
    <w:rsid w:val="00D166CC"/>
    <w:rsid w:val="00D1681B"/>
    <w:rsid w:val="00D16AEC"/>
    <w:rsid w:val="00D17266"/>
    <w:rsid w:val="00D17937"/>
    <w:rsid w:val="00D17DDF"/>
    <w:rsid w:val="00D2026A"/>
    <w:rsid w:val="00D20E20"/>
    <w:rsid w:val="00D20EF9"/>
    <w:rsid w:val="00D211F5"/>
    <w:rsid w:val="00D2137A"/>
    <w:rsid w:val="00D2140C"/>
    <w:rsid w:val="00D214E6"/>
    <w:rsid w:val="00D21A24"/>
    <w:rsid w:val="00D21B53"/>
    <w:rsid w:val="00D21ECC"/>
    <w:rsid w:val="00D22C40"/>
    <w:rsid w:val="00D23921"/>
    <w:rsid w:val="00D23D7A"/>
    <w:rsid w:val="00D242BF"/>
    <w:rsid w:val="00D24C22"/>
    <w:rsid w:val="00D2578D"/>
    <w:rsid w:val="00D25938"/>
    <w:rsid w:val="00D25954"/>
    <w:rsid w:val="00D25C12"/>
    <w:rsid w:val="00D2616A"/>
    <w:rsid w:val="00D26299"/>
    <w:rsid w:val="00D2631E"/>
    <w:rsid w:val="00D26399"/>
    <w:rsid w:val="00D27C87"/>
    <w:rsid w:val="00D3000D"/>
    <w:rsid w:val="00D30206"/>
    <w:rsid w:val="00D302F8"/>
    <w:rsid w:val="00D306AF"/>
    <w:rsid w:val="00D30CBA"/>
    <w:rsid w:val="00D317DE"/>
    <w:rsid w:val="00D31B96"/>
    <w:rsid w:val="00D31CAA"/>
    <w:rsid w:val="00D31EC7"/>
    <w:rsid w:val="00D3208D"/>
    <w:rsid w:val="00D32DE5"/>
    <w:rsid w:val="00D33044"/>
    <w:rsid w:val="00D33298"/>
    <w:rsid w:val="00D33D00"/>
    <w:rsid w:val="00D34171"/>
    <w:rsid w:val="00D34CAF"/>
    <w:rsid w:val="00D34D9F"/>
    <w:rsid w:val="00D35406"/>
    <w:rsid w:val="00D3550E"/>
    <w:rsid w:val="00D35590"/>
    <w:rsid w:val="00D359EA"/>
    <w:rsid w:val="00D35B72"/>
    <w:rsid w:val="00D35BBC"/>
    <w:rsid w:val="00D35C80"/>
    <w:rsid w:val="00D35F15"/>
    <w:rsid w:val="00D3600E"/>
    <w:rsid w:val="00D3633A"/>
    <w:rsid w:val="00D36EB4"/>
    <w:rsid w:val="00D36F9A"/>
    <w:rsid w:val="00D379AF"/>
    <w:rsid w:val="00D37CD1"/>
    <w:rsid w:val="00D400F9"/>
    <w:rsid w:val="00D40B75"/>
    <w:rsid w:val="00D40EE0"/>
    <w:rsid w:val="00D413A0"/>
    <w:rsid w:val="00D417E6"/>
    <w:rsid w:val="00D4187F"/>
    <w:rsid w:val="00D41A6E"/>
    <w:rsid w:val="00D41AEF"/>
    <w:rsid w:val="00D42020"/>
    <w:rsid w:val="00D42332"/>
    <w:rsid w:val="00D424B6"/>
    <w:rsid w:val="00D4253A"/>
    <w:rsid w:val="00D4261B"/>
    <w:rsid w:val="00D42A29"/>
    <w:rsid w:val="00D43A2B"/>
    <w:rsid w:val="00D43FA4"/>
    <w:rsid w:val="00D4427C"/>
    <w:rsid w:val="00D446F1"/>
    <w:rsid w:val="00D44B1B"/>
    <w:rsid w:val="00D44B9D"/>
    <w:rsid w:val="00D44FB3"/>
    <w:rsid w:val="00D454D4"/>
    <w:rsid w:val="00D4589D"/>
    <w:rsid w:val="00D458EF"/>
    <w:rsid w:val="00D45BA5"/>
    <w:rsid w:val="00D45D73"/>
    <w:rsid w:val="00D463AC"/>
    <w:rsid w:val="00D46934"/>
    <w:rsid w:val="00D476AA"/>
    <w:rsid w:val="00D47717"/>
    <w:rsid w:val="00D500C9"/>
    <w:rsid w:val="00D501F8"/>
    <w:rsid w:val="00D50A4B"/>
    <w:rsid w:val="00D50A60"/>
    <w:rsid w:val="00D50BA9"/>
    <w:rsid w:val="00D51532"/>
    <w:rsid w:val="00D51A65"/>
    <w:rsid w:val="00D521BA"/>
    <w:rsid w:val="00D52264"/>
    <w:rsid w:val="00D52541"/>
    <w:rsid w:val="00D526F3"/>
    <w:rsid w:val="00D527D4"/>
    <w:rsid w:val="00D52D05"/>
    <w:rsid w:val="00D531E4"/>
    <w:rsid w:val="00D5336C"/>
    <w:rsid w:val="00D53667"/>
    <w:rsid w:val="00D5371E"/>
    <w:rsid w:val="00D54137"/>
    <w:rsid w:val="00D5432A"/>
    <w:rsid w:val="00D54703"/>
    <w:rsid w:val="00D54A2C"/>
    <w:rsid w:val="00D54A3A"/>
    <w:rsid w:val="00D54B63"/>
    <w:rsid w:val="00D54CC3"/>
    <w:rsid w:val="00D550D1"/>
    <w:rsid w:val="00D5514B"/>
    <w:rsid w:val="00D562B0"/>
    <w:rsid w:val="00D562F3"/>
    <w:rsid w:val="00D566EA"/>
    <w:rsid w:val="00D5676E"/>
    <w:rsid w:val="00D56FF4"/>
    <w:rsid w:val="00D570F9"/>
    <w:rsid w:val="00D57127"/>
    <w:rsid w:val="00D576C5"/>
    <w:rsid w:val="00D57B0C"/>
    <w:rsid w:val="00D6031E"/>
    <w:rsid w:val="00D6035A"/>
    <w:rsid w:val="00D60F9A"/>
    <w:rsid w:val="00D610C4"/>
    <w:rsid w:val="00D613C6"/>
    <w:rsid w:val="00D613E0"/>
    <w:rsid w:val="00D61420"/>
    <w:rsid w:val="00D6157E"/>
    <w:rsid w:val="00D61AC3"/>
    <w:rsid w:val="00D620C2"/>
    <w:rsid w:val="00D62779"/>
    <w:rsid w:val="00D62978"/>
    <w:rsid w:val="00D629C4"/>
    <w:rsid w:val="00D62BBB"/>
    <w:rsid w:val="00D63135"/>
    <w:rsid w:val="00D636AD"/>
    <w:rsid w:val="00D63B67"/>
    <w:rsid w:val="00D642AD"/>
    <w:rsid w:val="00D64649"/>
    <w:rsid w:val="00D64D4A"/>
    <w:rsid w:val="00D65289"/>
    <w:rsid w:val="00D652DA"/>
    <w:rsid w:val="00D6544B"/>
    <w:rsid w:val="00D6595D"/>
    <w:rsid w:val="00D65B78"/>
    <w:rsid w:val="00D65BF4"/>
    <w:rsid w:val="00D65F4F"/>
    <w:rsid w:val="00D66098"/>
    <w:rsid w:val="00D663BC"/>
    <w:rsid w:val="00D66849"/>
    <w:rsid w:val="00D66EB3"/>
    <w:rsid w:val="00D672DE"/>
    <w:rsid w:val="00D6792C"/>
    <w:rsid w:val="00D67B8B"/>
    <w:rsid w:val="00D67D29"/>
    <w:rsid w:val="00D67F0E"/>
    <w:rsid w:val="00D705B0"/>
    <w:rsid w:val="00D70B45"/>
    <w:rsid w:val="00D70F5A"/>
    <w:rsid w:val="00D72BEA"/>
    <w:rsid w:val="00D73498"/>
    <w:rsid w:val="00D738BD"/>
    <w:rsid w:val="00D73A79"/>
    <w:rsid w:val="00D73BB1"/>
    <w:rsid w:val="00D7400B"/>
    <w:rsid w:val="00D74292"/>
    <w:rsid w:val="00D748C7"/>
    <w:rsid w:val="00D7491F"/>
    <w:rsid w:val="00D74A61"/>
    <w:rsid w:val="00D74B00"/>
    <w:rsid w:val="00D74EB8"/>
    <w:rsid w:val="00D74EF3"/>
    <w:rsid w:val="00D7506A"/>
    <w:rsid w:val="00D7537D"/>
    <w:rsid w:val="00D754BB"/>
    <w:rsid w:val="00D76272"/>
    <w:rsid w:val="00D765F6"/>
    <w:rsid w:val="00D7660C"/>
    <w:rsid w:val="00D766AC"/>
    <w:rsid w:val="00D76BA3"/>
    <w:rsid w:val="00D76D06"/>
    <w:rsid w:val="00D772FC"/>
    <w:rsid w:val="00D777B1"/>
    <w:rsid w:val="00D77B48"/>
    <w:rsid w:val="00D77CA7"/>
    <w:rsid w:val="00D801D9"/>
    <w:rsid w:val="00D8089A"/>
    <w:rsid w:val="00D808DF"/>
    <w:rsid w:val="00D80B9F"/>
    <w:rsid w:val="00D80BF1"/>
    <w:rsid w:val="00D816AB"/>
    <w:rsid w:val="00D8175E"/>
    <w:rsid w:val="00D81E6F"/>
    <w:rsid w:val="00D82011"/>
    <w:rsid w:val="00D82423"/>
    <w:rsid w:val="00D82685"/>
    <w:rsid w:val="00D8298F"/>
    <w:rsid w:val="00D82BD7"/>
    <w:rsid w:val="00D830B7"/>
    <w:rsid w:val="00D83192"/>
    <w:rsid w:val="00D834C0"/>
    <w:rsid w:val="00D83535"/>
    <w:rsid w:val="00D8361A"/>
    <w:rsid w:val="00D840EF"/>
    <w:rsid w:val="00D84667"/>
    <w:rsid w:val="00D84A47"/>
    <w:rsid w:val="00D84CFC"/>
    <w:rsid w:val="00D8505C"/>
    <w:rsid w:val="00D85252"/>
    <w:rsid w:val="00D85303"/>
    <w:rsid w:val="00D85348"/>
    <w:rsid w:val="00D85645"/>
    <w:rsid w:val="00D85D5C"/>
    <w:rsid w:val="00D86058"/>
    <w:rsid w:val="00D864A9"/>
    <w:rsid w:val="00D8682B"/>
    <w:rsid w:val="00D86C9F"/>
    <w:rsid w:val="00D86E65"/>
    <w:rsid w:val="00D874CA"/>
    <w:rsid w:val="00D901BD"/>
    <w:rsid w:val="00D90659"/>
    <w:rsid w:val="00D90737"/>
    <w:rsid w:val="00D90813"/>
    <w:rsid w:val="00D90995"/>
    <w:rsid w:val="00D90D28"/>
    <w:rsid w:val="00D9102B"/>
    <w:rsid w:val="00D91B71"/>
    <w:rsid w:val="00D91E3C"/>
    <w:rsid w:val="00D92251"/>
    <w:rsid w:val="00D9289C"/>
    <w:rsid w:val="00D92AA7"/>
    <w:rsid w:val="00D93294"/>
    <w:rsid w:val="00D93600"/>
    <w:rsid w:val="00D93A75"/>
    <w:rsid w:val="00D941E6"/>
    <w:rsid w:val="00D952A7"/>
    <w:rsid w:val="00D952A8"/>
    <w:rsid w:val="00D955C7"/>
    <w:rsid w:val="00D95786"/>
    <w:rsid w:val="00D95872"/>
    <w:rsid w:val="00D9601F"/>
    <w:rsid w:val="00D96A18"/>
    <w:rsid w:val="00D96B04"/>
    <w:rsid w:val="00D96D7D"/>
    <w:rsid w:val="00D97098"/>
    <w:rsid w:val="00D973C8"/>
    <w:rsid w:val="00D97743"/>
    <w:rsid w:val="00D9776C"/>
    <w:rsid w:val="00D97A5B"/>
    <w:rsid w:val="00D97D84"/>
    <w:rsid w:val="00DA0B11"/>
    <w:rsid w:val="00DA0E4E"/>
    <w:rsid w:val="00DA0E5C"/>
    <w:rsid w:val="00DA27D5"/>
    <w:rsid w:val="00DA27EF"/>
    <w:rsid w:val="00DA31E8"/>
    <w:rsid w:val="00DA32F0"/>
    <w:rsid w:val="00DA524A"/>
    <w:rsid w:val="00DA58A6"/>
    <w:rsid w:val="00DA5B52"/>
    <w:rsid w:val="00DA5DD5"/>
    <w:rsid w:val="00DA5DF7"/>
    <w:rsid w:val="00DA5E7E"/>
    <w:rsid w:val="00DA6434"/>
    <w:rsid w:val="00DA660B"/>
    <w:rsid w:val="00DA6BD8"/>
    <w:rsid w:val="00DA72C5"/>
    <w:rsid w:val="00DA7BA4"/>
    <w:rsid w:val="00DA7BD7"/>
    <w:rsid w:val="00DA7E4C"/>
    <w:rsid w:val="00DB03E0"/>
    <w:rsid w:val="00DB06B0"/>
    <w:rsid w:val="00DB09AB"/>
    <w:rsid w:val="00DB0F35"/>
    <w:rsid w:val="00DB1415"/>
    <w:rsid w:val="00DB1AC1"/>
    <w:rsid w:val="00DB2E23"/>
    <w:rsid w:val="00DB3083"/>
    <w:rsid w:val="00DB3623"/>
    <w:rsid w:val="00DB3B56"/>
    <w:rsid w:val="00DB3D2C"/>
    <w:rsid w:val="00DB4094"/>
    <w:rsid w:val="00DB4867"/>
    <w:rsid w:val="00DB4A25"/>
    <w:rsid w:val="00DB5352"/>
    <w:rsid w:val="00DB5A36"/>
    <w:rsid w:val="00DB5CD7"/>
    <w:rsid w:val="00DB5FC6"/>
    <w:rsid w:val="00DB6027"/>
    <w:rsid w:val="00DB6393"/>
    <w:rsid w:val="00DB6607"/>
    <w:rsid w:val="00DB7006"/>
    <w:rsid w:val="00DB7257"/>
    <w:rsid w:val="00DB751E"/>
    <w:rsid w:val="00DB7BC1"/>
    <w:rsid w:val="00DC02CC"/>
    <w:rsid w:val="00DC067A"/>
    <w:rsid w:val="00DC08CA"/>
    <w:rsid w:val="00DC0E17"/>
    <w:rsid w:val="00DC1040"/>
    <w:rsid w:val="00DC12EA"/>
    <w:rsid w:val="00DC1335"/>
    <w:rsid w:val="00DC1697"/>
    <w:rsid w:val="00DC1948"/>
    <w:rsid w:val="00DC1BDA"/>
    <w:rsid w:val="00DC1D91"/>
    <w:rsid w:val="00DC1DDE"/>
    <w:rsid w:val="00DC1E42"/>
    <w:rsid w:val="00DC25B2"/>
    <w:rsid w:val="00DC27A2"/>
    <w:rsid w:val="00DC31DA"/>
    <w:rsid w:val="00DC3224"/>
    <w:rsid w:val="00DC3957"/>
    <w:rsid w:val="00DC4780"/>
    <w:rsid w:val="00DC4879"/>
    <w:rsid w:val="00DC4DF2"/>
    <w:rsid w:val="00DC4FDF"/>
    <w:rsid w:val="00DC5109"/>
    <w:rsid w:val="00DC516E"/>
    <w:rsid w:val="00DC5409"/>
    <w:rsid w:val="00DC5640"/>
    <w:rsid w:val="00DC589B"/>
    <w:rsid w:val="00DC5D9C"/>
    <w:rsid w:val="00DC5DFE"/>
    <w:rsid w:val="00DC6030"/>
    <w:rsid w:val="00DC625B"/>
    <w:rsid w:val="00DC63D9"/>
    <w:rsid w:val="00DC63E6"/>
    <w:rsid w:val="00DC651C"/>
    <w:rsid w:val="00DC65BB"/>
    <w:rsid w:val="00DC663C"/>
    <w:rsid w:val="00DC6942"/>
    <w:rsid w:val="00DC6DDE"/>
    <w:rsid w:val="00DC7D48"/>
    <w:rsid w:val="00DC7F39"/>
    <w:rsid w:val="00DC7FD1"/>
    <w:rsid w:val="00DD0BAC"/>
    <w:rsid w:val="00DD0DC4"/>
    <w:rsid w:val="00DD17D3"/>
    <w:rsid w:val="00DD1CDC"/>
    <w:rsid w:val="00DD2285"/>
    <w:rsid w:val="00DD22E6"/>
    <w:rsid w:val="00DD28D3"/>
    <w:rsid w:val="00DD2CB4"/>
    <w:rsid w:val="00DD31EC"/>
    <w:rsid w:val="00DD3751"/>
    <w:rsid w:val="00DD375F"/>
    <w:rsid w:val="00DD3869"/>
    <w:rsid w:val="00DD42E4"/>
    <w:rsid w:val="00DD46F7"/>
    <w:rsid w:val="00DD5260"/>
    <w:rsid w:val="00DD539A"/>
    <w:rsid w:val="00DD5502"/>
    <w:rsid w:val="00DD558F"/>
    <w:rsid w:val="00DD586C"/>
    <w:rsid w:val="00DD5E57"/>
    <w:rsid w:val="00DD61D2"/>
    <w:rsid w:val="00DD6441"/>
    <w:rsid w:val="00DD6935"/>
    <w:rsid w:val="00DD7075"/>
    <w:rsid w:val="00DD784F"/>
    <w:rsid w:val="00DD7E57"/>
    <w:rsid w:val="00DE1295"/>
    <w:rsid w:val="00DE15FB"/>
    <w:rsid w:val="00DE1CD2"/>
    <w:rsid w:val="00DE1E4D"/>
    <w:rsid w:val="00DE228D"/>
    <w:rsid w:val="00DE24D3"/>
    <w:rsid w:val="00DE2D09"/>
    <w:rsid w:val="00DE30F9"/>
    <w:rsid w:val="00DE3487"/>
    <w:rsid w:val="00DE3A42"/>
    <w:rsid w:val="00DE417C"/>
    <w:rsid w:val="00DE4F83"/>
    <w:rsid w:val="00DE4FA7"/>
    <w:rsid w:val="00DE50A2"/>
    <w:rsid w:val="00DE54F0"/>
    <w:rsid w:val="00DE55DD"/>
    <w:rsid w:val="00DE5A56"/>
    <w:rsid w:val="00DE5A9C"/>
    <w:rsid w:val="00DE5F56"/>
    <w:rsid w:val="00DE60E3"/>
    <w:rsid w:val="00DE6D0C"/>
    <w:rsid w:val="00DE73D2"/>
    <w:rsid w:val="00DE7564"/>
    <w:rsid w:val="00DE7606"/>
    <w:rsid w:val="00DE7E8F"/>
    <w:rsid w:val="00DE7FD3"/>
    <w:rsid w:val="00DF03EC"/>
    <w:rsid w:val="00DF08A3"/>
    <w:rsid w:val="00DF0E0D"/>
    <w:rsid w:val="00DF12B5"/>
    <w:rsid w:val="00DF18B9"/>
    <w:rsid w:val="00DF1DF9"/>
    <w:rsid w:val="00DF2335"/>
    <w:rsid w:val="00DF2C4E"/>
    <w:rsid w:val="00DF2DA3"/>
    <w:rsid w:val="00DF325D"/>
    <w:rsid w:val="00DF36CE"/>
    <w:rsid w:val="00DF3FDE"/>
    <w:rsid w:val="00DF416E"/>
    <w:rsid w:val="00DF4A3F"/>
    <w:rsid w:val="00DF4A98"/>
    <w:rsid w:val="00DF524C"/>
    <w:rsid w:val="00DF54FF"/>
    <w:rsid w:val="00DF5EFD"/>
    <w:rsid w:val="00DF6FE1"/>
    <w:rsid w:val="00DF735E"/>
    <w:rsid w:val="00DF764F"/>
    <w:rsid w:val="00DF7A66"/>
    <w:rsid w:val="00DF7E68"/>
    <w:rsid w:val="00E0008E"/>
    <w:rsid w:val="00E005D0"/>
    <w:rsid w:val="00E00798"/>
    <w:rsid w:val="00E0080D"/>
    <w:rsid w:val="00E00D95"/>
    <w:rsid w:val="00E0107E"/>
    <w:rsid w:val="00E011AF"/>
    <w:rsid w:val="00E01781"/>
    <w:rsid w:val="00E02134"/>
    <w:rsid w:val="00E021D6"/>
    <w:rsid w:val="00E0290B"/>
    <w:rsid w:val="00E029ED"/>
    <w:rsid w:val="00E02E50"/>
    <w:rsid w:val="00E02FA5"/>
    <w:rsid w:val="00E0304C"/>
    <w:rsid w:val="00E03421"/>
    <w:rsid w:val="00E03C10"/>
    <w:rsid w:val="00E03DD1"/>
    <w:rsid w:val="00E03E19"/>
    <w:rsid w:val="00E03E7D"/>
    <w:rsid w:val="00E04153"/>
    <w:rsid w:val="00E04228"/>
    <w:rsid w:val="00E044F9"/>
    <w:rsid w:val="00E05122"/>
    <w:rsid w:val="00E051D6"/>
    <w:rsid w:val="00E053E5"/>
    <w:rsid w:val="00E05411"/>
    <w:rsid w:val="00E054F8"/>
    <w:rsid w:val="00E05514"/>
    <w:rsid w:val="00E05530"/>
    <w:rsid w:val="00E059BE"/>
    <w:rsid w:val="00E05AF7"/>
    <w:rsid w:val="00E05C63"/>
    <w:rsid w:val="00E05DB4"/>
    <w:rsid w:val="00E06152"/>
    <w:rsid w:val="00E06D9D"/>
    <w:rsid w:val="00E07294"/>
    <w:rsid w:val="00E0741B"/>
    <w:rsid w:val="00E07996"/>
    <w:rsid w:val="00E07C24"/>
    <w:rsid w:val="00E1014B"/>
    <w:rsid w:val="00E11008"/>
    <w:rsid w:val="00E110B9"/>
    <w:rsid w:val="00E11D44"/>
    <w:rsid w:val="00E12550"/>
    <w:rsid w:val="00E1280A"/>
    <w:rsid w:val="00E128A2"/>
    <w:rsid w:val="00E12C28"/>
    <w:rsid w:val="00E12CC1"/>
    <w:rsid w:val="00E136C2"/>
    <w:rsid w:val="00E139C8"/>
    <w:rsid w:val="00E13B98"/>
    <w:rsid w:val="00E13F6D"/>
    <w:rsid w:val="00E1400A"/>
    <w:rsid w:val="00E14160"/>
    <w:rsid w:val="00E15326"/>
    <w:rsid w:val="00E15904"/>
    <w:rsid w:val="00E16539"/>
    <w:rsid w:val="00E1681F"/>
    <w:rsid w:val="00E17478"/>
    <w:rsid w:val="00E178A9"/>
    <w:rsid w:val="00E17F43"/>
    <w:rsid w:val="00E207D2"/>
    <w:rsid w:val="00E2119E"/>
    <w:rsid w:val="00E213E1"/>
    <w:rsid w:val="00E21443"/>
    <w:rsid w:val="00E21C67"/>
    <w:rsid w:val="00E2269E"/>
    <w:rsid w:val="00E22F7B"/>
    <w:rsid w:val="00E234B7"/>
    <w:rsid w:val="00E23DFF"/>
    <w:rsid w:val="00E242BC"/>
    <w:rsid w:val="00E24528"/>
    <w:rsid w:val="00E245F9"/>
    <w:rsid w:val="00E247F9"/>
    <w:rsid w:val="00E24A47"/>
    <w:rsid w:val="00E25170"/>
    <w:rsid w:val="00E251A0"/>
    <w:rsid w:val="00E2533B"/>
    <w:rsid w:val="00E25791"/>
    <w:rsid w:val="00E25BC9"/>
    <w:rsid w:val="00E25D5D"/>
    <w:rsid w:val="00E25DAF"/>
    <w:rsid w:val="00E26496"/>
    <w:rsid w:val="00E264CA"/>
    <w:rsid w:val="00E26643"/>
    <w:rsid w:val="00E2669E"/>
    <w:rsid w:val="00E266E4"/>
    <w:rsid w:val="00E2672F"/>
    <w:rsid w:val="00E26AA0"/>
    <w:rsid w:val="00E27332"/>
    <w:rsid w:val="00E27456"/>
    <w:rsid w:val="00E27573"/>
    <w:rsid w:val="00E277F4"/>
    <w:rsid w:val="00E27F40"/>
    <w:rsid w:val="00E27FD1"/>
    <w:rsid w:val="00E30151"/>
    <w:rsid w:val="00E30431"/>
    <w:rsid w:val="00E306F2"/>
    <w:rsid w:val="00E30ABE"/>
    <w:rsid w:val="00E30AD0"/>
    <w:rsid w:val="00E30AF8"/>
    <w:rsid w:val="00E30BE6"/>
    <w:rsid w:val="00E31169"/>
    <w:rsid w:val="00E311C9"/>
    <w:rsid w:val="00E312D0"/>
    <w:rsid w:val="00E313B3"/>
    <w:rsid w:val="00E31AC9"/>
    <w:rsid w:val="00E329F1"/>
    <w:rsid w:val="00E32A09"/>
    <w:rsid w:val="00E32DC2"/>
    <w:rsid w:val="00E332F6"/>
    <w:rsid w:val="00E33625"/>
    <w:rsid w:val="00E337C7"/>
    <w:rsid w:val="00E33A8A"/>
    <w:rsid w:val="00E33B17"/>
    <w:rsid w:val="00E33B84"/>
    <w:rsid w:val="00E33CC7"/>
    <w:rsid w:val="00E33D41"/>
    <w:rsid w:val="00E33E3A"/>
    <w:rsid w:val="00E340E9"/>
    <w:rsid w:val="00E3465F"/>
    <w:rsid w:val="00E34AC1"/>
    <w:rsid w:val="00E34FD5"/>
    <w:rsid w:val="00E35194"/>
    <w:rsid w:val="00E35275"/>
    <w:rsid w:val="00E355DE"/>
    <w:rsid w:val="00E3566C"/>
    <w:rsid w:val="00E35859"/>
    <w:rsid w:val="00E35AD6"/>
    <w:rsid w:val="00E3615C"/>
    <w:rsid w:val="00E3617D"/>
    <w:rsid w:val="00E36366"/>
    <w:rsid w:val="00E364E4"/>
    <w:rsid w:val="00E36679"/>
    <w:rsid w:val="00E368C5"/>
    <w:rsid w:val="00E376A1"/>
    <w:rsid w:val="00E3783E"/>
    <w:rsid w:val="00E3794D"/>
    <w:rsid w:val="00E37A18"/>
    <w:rsid w:val="00E37A69"/>
    <w:rsid w:val="00E37BE9"/>
    <w:rsid w:val="00E40663"/>
    <w:rsid w:val="00E409AE"/>
    <w:rsid w:val="00E40C7F"/>
    <w:rsid w:val="00E40ECE"/>
    <w:rsid w:val="00E40F2E"/>
    <w:rsid w:val="00E411FD"/>
    <w:rsid w:val="00E412B9"/>
    <w:rsid w:val="00E417B6"/>
    <w:rsid w:val="00E419F9"/>
    <w:rsid w:val="00E42024"/>
    <w:rsid w:val="00E422FA"/>
    <w:rsid w:val="00E426FE"/>
    <w:rsid w:val="00E42C19"/>
    <w:rsid w:val="00E42E3B"/>
    <w:rsid w:val="00E42EA5"/>
    <w:rsid w:val="00E42FCD"/>
    <w:rsid w:val="00E431C6"/>
    <w:rsid w:val="00E432BE"/>
    <w:rsid w:val="00E432FE"/>
    <w:rsid w:val="00E43664"/>
    <w:rsid w:val="00E4376A"/>
    <w:rsid w:val="00E43A60"/>
    <w:rsid w:val="00E43D08"/>
    <w:rsid w:val="00E442E5"/>
    <w:rsid w:val="00E444D7"/>
    <w:rsid w:val="00E446CA"/>
    <w:rsid w:val="00E44B29"/>
    <w:rsid w:val="00E45317"/>
    <w:rsid w:val="00E458EA"/>
    <w:rsid w:val="00E45E3D"/>
    <w:rsid w:val="00E4660B"/>
    <w:rsid w:val="00E477BC"/>
    <w:rsid w:val="00E477BE"/>
    <w:rsid w:val="00E47C1D"/>
    <w:rsid w:val="00E47D5E"/>
    <w:rsid w:val="00E5028A"/>
    <w:rsid w:val="00E50760"/>
    <w:rsid w:val="00E509B3"/>
    <w:rsid w:val="00E50D06"/>
    <w:rsid w:val="00E50F15"/>
    <w:rsid w:val="00E510E9"/>
    <w:rsid w:val="00E51440"/>
    <w:rsid w:val="00E51957"/>
    <w:rsid w:val="00E51ABE"/>
    <w:rsid w:val="00E51BC1"/>
    <w:rsid w:val="00E526B6"/>
    <w:rsid w:val="00E526DE"/>
    <w:rsid w:val="00E5275F"/>
    <w:rsid w:val="00E53108"/>
    <w:rsid w:val="00E5357E"/>
    <w:rsid w:val="00E53F91"/>
    <w:rsid w:val="00E5433F"/>
    <w:rsid w:val="00E55098"/>
    <w:rsid w:val="00E555EC"/>
    <w:rsid w:val="00E557F3"/>
    <w:rsid w:val="00E55907"/>
    <w:rsid w:val="00E55D73"/>
    <w:rsid w:val="00E55DCE"/>
    <w:rsid w:val="00E55EB2"/>
    <w:rsid w:val="00E56765"/>
    <w:rsid w:val="00E56B1A"/>
    <w:rsid w:val="00E56D36"/>
    <w:rsid w:val="00E56FDF"/>
    <w:rsid w:val="00E57627"/>
    <w:rsid w:val="00E57651"/>
    <w:rsid w:val="00E57A46"/>
    <w:rsid w:val="00E60701"/>
    <w:rsid w:val="00E6078B"/>
    <w:rsid w:val="00E60858"/>
    <w:rsid w:val="00E60D80"/>
    <w:rsid w:val="00E60F11"/>
    <w:rsid w:val="00E61164"/>
    <w:rsid w:val="00E61560"/>
    <w:rsid w:val="00E6173E"/>
    <w:rsid w:val="00E61758"/>
    <w:rsid w:val="00E619F9"/>
    <w:rsid w:val="00E61AB6"/>
    <w:rsid w:val="00E62313"/>
    <w:rsid w:val="00E623C5"/>
    <w:rsid w:val="00E62731"/>
    <w:rsid w:val="00E6273A"/>
    <w:rsid w:val="00E62B8C"/>
    <w:rsid w:val="00E62C49"/>
    <w:rsid w:val="00E62D5E"/>
    <w:rsid w:val="00E62F02"/>
    <w:rsid w:val="00E62F19"/>
    <w:rsid w:val="00E637D3"/>
    <w:rsid w:val="00E638B1"/>
    <w:rsid w:val="00E6398C"/>
    <w:rsid w:val="00E639D6"/>
    <w:rsid w:val="00E63A6D"/>
    <w:rsid w:val="00E63AAD"/>
    <w:rsid w:val="00E63B18"/>
    <w:rsid w:val="00E63B32"/>
    <w:rsid w:val="00E63B8D"/>
    <w:rsid w:val="00E642FF"/>
    <w:rsid w:val="00E644AF"/>
    <w:rsid w:val="00E64708"/>
    <w:rsid w:val="00E64B7E"/>
    <w:rsid w:val="00E64CF3"/>
    <w:rsid w:val="00E65447"/>
    <w:rsid w:val="00E654E9"/>
    <w:rsid w:val="00E65882"/>
    <w:rsid w:val="00E658E2"/>
    <w:rsid w:val="00E65A52"/>
    <w:rsid w:val="00E65A9B"/>
    <w:rsid w:val="00E65F5C"/>
    <w:rsid w:val="00E66519"/>
    <w:rsid w:val="00E665C2"/>
    <w:rsid w:val="00E66628"/>
    <w:rsid w:val="00E66C22"/>
    <w:rsid w:val="00E66D7F"/>
    <w:rsid w:val="00E66F9F"/>
    <w:rsid w:val="00E674D9"/>
    <w:rsid w:val="00E67865"/>
    <w:rsid w:val="00E67CF8"/>
    <w:rsid w:val="00E7004B"/>
    <w:rsid w:val="00E7007F"/>
    <w:rsid w:val="00E700B9"/>
    <w:rsid w:val="00E70197"/>
    <w:rsid w:val="00E70408"/>
    <w:rsid w:val="00E7055D"/>
    <w:rsid w:val="00E70811"/>
    <w:rsid w:val="00E708A3"/>
    <w:rsid w:val="00E70C2E"/>
    <w:rsid w:val="00E71366"/>
    <w:rsid w:val="00E71E06"/>
    <w:rsid w:val="00E72526"/>
    <w:rsid w:val="00E725C2"/>
    <w:rsid w:val="00E7319C"/>
    <w:rsid w:val="00E74B28"/>
    <w:rsid w:val="00E75AE9"/>
    <w:rsid w:val="00E7617B"/>
    <w:rsid w:val="00E772C4"/>
    <w:rsid w:val="00E773A1"/>
    <w:rsid w:val="00E7789A"/>
    <w:rsid w:val="00E8139D"/>
    <w:rsid w:val="00E81785"/>
    <w:rsid w:val="00E8182D"/>
    <w:rsid w:val="00E818D8"/>
    <w:rsid w:val="00E8232A"/>
    <w:rsid w:val="00E82767"/>
    <w:rsid w:val="00E827A6"/>
    <w:rsid w:val="00E82974"/>
    <w:rsid w:val="00E82D11"/>
    <w:rsid w:val="00E82E7F"/>
    <w:rsid w:val="00E82F4D"/>
    <w:rsid w:val="00E83475"/>
    <w:rsid w:val="00E83822"/>
    <w:rsid w:val="00E83A41"/>
    <w:rsid w:val="00E83C0E"/>
    <w:rsid w:val="00E83C3D"/>
    <w:rsid w:val="00E8422A"/>
    <w:rsid w:val="00E842FD"/>
    <w:rsid w:val="00E845EB"/>
    <w:rsid w:val="00E84729"/>
    <w:rsid w:val="00E84C0C"/>
    <w:rsid w:val="00E851AA"/>
    <w:rsid w:val="00E85601"/>
    <w:rsid w:val="00E86183"/>
    <w:rsid w:val="00E8631C"/>
    <w:rsid w:val="00E8631D"/>
    <w:rsid w:val="00E879D4"/>
    <w:rsid w:val="00E900D9"/>
    <w:rsid w:val="00E9031B"/>
    <w:rsid w:val="00E9061C"/>
    <w:rsid w:val="00E906AE"/>
    <w:rsid w:val="00E90733"/>
    <w:rsid w:val="00E90C53"/>
    <w:rsid w:val="00E90D28"/>
    <w:rsid w:val="00E91051"/>
    <w:rsid w:val="00E9161C"/>
    <w:rsid w:val="00E917FA"/>
    <w:rsid w:val="00E91C02"/>
    <w:rsid w:val="00E91DB4"/>
    <w:rsid w:val="00E91EEA"/>
    <w:rsid w:val="00E922C6"/>
    <w:rsid w:val="00E9276E"/>
    <w:rsid w:val="00E92CD9"/>
    <w:rsid w:val="00E92E1D"/>
    <w:rsid w:val="00E9329C"/>
    <w:rsid w:val="00E933E4"/>
    <w:rsid w:val="00E934F0"/>
    <w:rsid w:val="00E93696"/>
    <w:rsid w:val="00E940E6"/>
    <w:rsid w:val="00E94515"/>
    <w:rsid w:val="00E9469F"/>
    <w:rsid w:val="00E947F8"/>
    <w:rsid w:val="00E94A62"/>
    <w:rsid w:val="00E94D9B"/>
    <w:rsid w:val="00E956DC"/>
    <w:rsid w:val="00E96266"/>
    <w:rsid w:val="00E96991"/>
    <w:rsid w:val="00E970F3"/>
    <w:rsid w:val="00E97B32"/>
    <w:rsid w:val="00E97D94"/>
    <w:rsid w:val="00EA02F2"/>
    <w:rsid w:val="00EA04E5"/>
    <w:rsid w:val="00EA06B5"/>
    <w:rsid w:val="00EA0748"/>
    <w:rsid w:val="00EA0BDD"/>
    <w:rsid w:val="00EA0CDB"/>
    <w:rsid w:val="00EA0D37"/>
    <w:rsid w:val="00EA0E87"/>
    <w:rsid w:val="00EA1CBF"/>
    <w:rsid w:val="00EA20D4"/>
    <w:rsid w:val="00EA256F"/>
    <w:rsid w:val="00EA2918"/>
    <w:rsid w:val="00EA29EE"/>
    <w:rsid w:val="00EA2A05"/>
    <w:rsid w:val="00EA2A78"/>
    <w:rsid w:val="00EA2B72"/>
    <w:rsid w:val="00EA2FE8"/>
    <w:rsid w:val="00EA3124"/>
    <w:rsid w:val="00EA3204"/>
    <w:rsid w:val="00EA3CE9"/>
    <w:rsid w:val="00EA41EA"/>
    <w:rsid w:val="00EA4292"/>
    <w:rsid w:val="00EA462D"/>
    <w:rsid w:val="00EA49FC"/>
    <w:rsid w:val="00EA4E6E"/>
    <w:rsid w:val="00EA55BC"/>
    <w:rsid w:val="00EA5A07"/>
    <w:rsid w:val="00EA5B73"/>
    <w:rsid w:val="00EA65E8"/>
    <w:rsid w:val="00EA6C33"/>
    <w:rsid w:val="00EA6DAC"/>
    <w:rsid w:val="00EA7204"/>
    <w:rsid w:val="00EA736A"/>
    <w:rsid w:val="00EA73D9"/>
    <w:rsid w:val="00EA74A3"/>
    <w:rsid w:val="00EA74E2"/>
    <w:rsid w:val="00EA75C6"/>
    <w:rsid w:val="00EA7700"/>
    <w:rsid w:val="00EA7E21"/>
    <w:rsid w:val="00EB026C"/>
    <w:rsid w:val="00EB0576"/>
    <w:rsid w:val="00EB0BB1"/>
    <w:rsid w:val="00EB0D98"/>
    <w:rsid w:val="00EB0E37"/>
    <w:rsid w:val="00EB0F53"/>
    <w:rsid w:val="00EB1629"/>
    <w:rsid w:val="00EB16E3"/>
    <w:rsid w:val="00EB1A59"/>
    <w:rsid w:val="00EB1BB1"/>
    <w:rsid w:val="00EB1C54"/>
    <w:rsid w:val="00EB2600"/>
    <w:rsid w:val="00EB2898"/>
    <w:rsid w:val="00EB2F8D"/>
    <w:rsid w:val="00EB31B4"/>
    <w:rsid w:val="00EB3478"/>
    <w:rsid w:val="00EB347D"/>
    <w:rsid w:val="00EB38E1"/>
    <w:rsid w:val="00EB427B"/>
    <w:rsid w:val="00EB4360"/>
    <w:rsid w:val="00EB444D"/>
    <w:rsid w:val="00EB45C6"/>
    <w:rsid w:val="00EB4823"/>
    <w:rsid w:val="00EB4AE0"/>
    <w:rsid w:val="00EB4C63"/>
    <w:rsid w:val="00EB542A"/>
    <w:rsid w:val="00EB54E4"/>
    <w:rsid w:val="00EB55F6"/>
    <w:rsid w:val="00EB5CD5"/>
    <w:rsid w:val="00EB5F57"/>
    <w:rsid w:val="00EB66BF"/>
    <w:rsid w:val="00EB6944"/>
    <w:rsid w:val="00EB7882"/>
    <w:rsid w:val="00EB7D5D"/>
    <w:rsid w:val="00EC05BB"/>
    <w:rsid w:val="00EC0884"/>
    <w:rsid w:val="00EC08E9"/>
    <w:rsid w:val="00EC0F3B"/>
    <w:rsid w:val="00EC17BB"/>
    <w:rsid w:val="00EC1A58"/>
    <w:rsid w:val="00EC1B6F"/>
    <w:rsid w:val="00EC2140"/>
    <w:rsid w:val="00EC240D"/>
    <w:rsid w:val="00EC2494"/>
    <w:rsid w:val="00EC2508"/>
    <w:rsid w:val="00EC260A"/>
    <w:rsid w:val="00EC2B51"/>
    <w:rsid w:val="00EC2C32"/>
    <w:rsid w:val="00EC3ACB"/>
    <w:rsid w:val="00EC3DC5"/>
    <w:rsid w:val="00EC3E24"/>
    <w:rsid w:val="00EC4232"/>
    <w:rsid w:val="00EC451E"/>
    <w:rsid w:val="00EC4AEE"/>
    <w:rsid w:val="00EC4B7F"/>
    <w:rsid w:val="00EC4E53"/>
    <w:rsid w:val="00EC518A"/>
    <w:rsid w:val="00EC55D1"/>
    <w:rsid w:val="00EC56D8"/>
    <w:rsid w:val="00EC59F0"/>
    <w:rsid w:val="00EC6542"/>
    <w:rsid w:val="00EC7377"/>
    <w:rsid w:val="00EC76A5"/>
    <w:rsid w:val="00EC770C"/>
    <w:rsid w:val="00EC77C4"/>
    <w:rsid w:val="00EC7D98"/>
    <w:rsid w:val="00ED026C"/>
    <w:rsid w:val="00ED0533"/>
    <w:rsid w:val="00ED0AD3"/>
    <w:rsid w:val="00ED0EDE"/>
    <w:rsid w:val="00ED0F0A"/>
    <w:rsid w:val="00ED0F28"/>
    <w:rsid w:val="00ED1233"/>
    <w:rsid w:val="00ED1321"/>
    <w:rsid w:val="00ED15BB"/>
    <w:rsid w:val="00ED17CE"/>
    <w:rsid w:val="00ED1F9C"/>
    <w:rsid w:val="00ED2023"/>
    <w:rsid w:val="00ED231D"/>
    <w:rsid w:val="00ED2613"/>
    <w:rsid w:val="00ED2941"/>
    <w:rsid w:val="00ED29F9"/>
    <w:rsid w:val="00ED2EE9"/>
    <w:rsid w:val="00ED335D"/>
    <w:rsid w:val="00ED342C"/>
    <w:rsid w:val="00ED3808"/>
    <w:rsid w:val="00ED382B"/>
    <w:rsid w:val="00ED3CE9"/>
    <w:rsid w:val="00ED4215"/>
    <w:rsid w:val="00ED4402"/>
    <w:rsid w:val="00ED48F9"/>
    <w:rsid w:val="00ED4D9A"/>
    <w:rsid w:val="00ED544F"/>
    <w:rsid w:val="00ED583F"/>
    <w:rsid w:val="00ED5C85"/>
    <w:rsid w:val="00ED64CC"/>
    <w:rsid w:val="00ED6776"/>
    <w:rsid w:val="00ED7192"/>
    <w:rsid w:val="00ED720E"/>
    <w:rsid w:val="00ED7570"/>
    <w:rsid w:val="00ED7845"/>
    <w:rsid w:val="00ED796C"/>
    <w:rsid w:val="00ED7C3D"/>
    <w:rsid w:val="00EE0319"/>
    <w:rsid w:val="00EE07DA"/>
    <w:rsid w:val="00EE0940"/>
    <w:rsid w:val="00EE0DE9"/>
    <w:rsid w:val="00EE200A"/>
    <w:rsid w:val="00EE25BF"/>
    <w:rsid w:val="00EE2B84"/>
    <w:rsid w:val="00EE2D66"/>
    <w:rsid w:val="00EE36D4"/>
    <w:rsid w:val="00EE3800"/>
    <w:rsid w:val="00EE38F5"/>
    <w:rsid w:val="00EE3BA2"/>
    <w:rsid w:val="00EE4243"/>
    <w:rsid w:val="00EE430C"/>
    <w:rsid w:val="00EE4C87"/>
    <w:rsid w:val="00EE4E2B"/>
    <w:rsid w:val="00EE5232"/>
    <w:rsid w:val="00EE52ED"/>
    <w:rsid w:val="00EE5AC4"/>
    <w:rsid w:val="00EE5BB4"/>
    <w:rsid w:val="00EE5C77"/>
    <w:rsid w:val="00EE698F"/>
    <w:rsid w:val="00EE6EAE"/>
    <w:rsid w:val="00EE7C7F"/>
    <w:rsid w:val="00EF0260"/>
    <w:rsid w:val="00EF0561"/>
    <w:rsid w:val="00EF05FC"/>
    <w:rsid w:val="00EF124D"/>
    <w:rsid w:val="00EF181D"/>
    <w:rsid w:val="00EF1A69"/>
    <w:rsid w:val="00EF2132"/>
    <w:rsid w:val="00EF232E"/>
    <w:rsid w:val="00EF265C"/>
    <w:rsid w:val="00EF2795"/>
    <w:rsid w:val="00EF279B"/>
    <w:rsid w:val="00EF28D2"/>
    <w:rsid w:val="00EF2999"/>
    <w:rsid w:val="00EF299D"/>
    <w:rsid w:val="00EF2B47"/>
    <w:rsid w:val="00EF34A4"/>
    <w:rsid w:val="00EF398D"/>
    <w:rsid w:val="00EF3C4F"/>
    <w:rsid w:val="00EF43F6"/>
    <w:rsid w:val="00EF4434"/>
    <w:rsid w:val="00EF46B9"/>
    <w:rsid w:val="00EF473D"/>
    <w:rsid w:val="00EF4BE4"/>
    <w:rsid w:val="00EF4C18"/>
    <w:rsid w:val="00EF56A1"/>
    <w:rsid w:val="00EF58F1"/>
    <w:rsid w:val="00EF5B7A"/>
    <w:rsid w:val="00EF7147"/>
    <w:rsid w:val="00EF71D1"/>
    <w:rsid w:val="00EF741F"/>
    <w:rsid w:val="00EF746B"/>
    <w:rsid w:val="00EF76B1"/>
    <w:rsid w:val="00EF7D2D"/>
    <w:rsid w:val="00EF7EB3"/>
    <w:rsid w:val="00EF7FD9"/>
    <w:rsid w:val="00F00AE7"/>
    <w:rsid w:val="00F011A2"/>
    <w:rsid w:val="00F014A8"/>
    <w:rsid w:val="00F0170A"/>
    <w:rsid w:val="00F0177F"/>
    <w:rsid w:val="00F01F7B"/>
    <w:rsid w:val="00F020A0"/>
    <w:rsid w:val="00F023E4"/>
    <w:rsid w:val="00F0266C"/>
    <w:rsid w:val="00F02A5C"/>
    <w:rsid w:val="00F02AC9"/>
    <w:rsid w:val="00F02B6F"/>
    <w:rsid w:val="00F02CE0"/>
    <w:rsid w:val="00F02CEA"/>
    <w:rsid w:val="00F02D4E"/>
    <w:rsid w:val="00F03B60"/>
    <w:rsid w:val="00F04892"/>
    <w:rsid w:val="00F04CE4"/>
    <w:rsid w:val="00F0525E"/>
    <w:rsid w:val="00F05494"/>
    <w:rsid w:val="00F0575D"/>
    <w:rsid w:val="00F05E0D"/>
    <w:rsid w:val="00F05E19"/>
    <w:rsid w:val="00F06198"/>
    <w:rsid w:val="00F064BF"/>
    <w:rsid w:val="00F06984"/>
    <w:rsid w:val="00F06EC7"/>
    <w:rsid w:val="00F0701B"/>
    <w:rsid w:val="00F07277"/>
    <w:rsid w:val="00F07C75"/>
    <w:rsid w:val="00F07D95"/>
    <w:rsid w:val="00F102F7"/>
    <w:rsid w:val="00F1051A"/>
    <w:rsid w:val="00F1088C"/>
    <w:rsid w:val="00F1102A"/>
    <w:rsid w:val="00F110AF"/>
    <w:rsid w:val="00F11101"/>
    <w:rsid w:val="00F1170D"/>
    <w:rsid w:val="00F1175D"/>
    <w:rsid w:val="00F11C70"/>
    <w:rsid w:val="00F11F23"/>
    <w:rsid w:val="00F11FA8"/>
    <w:rsid w:val="00F121B0"/>
    <w:rsid w:val="00F1243C"/>
    <w:rsid w:val="00F13165"/>
    <w:rsid w:val="00F13BC6"/>
    <w:rsid w:val="00F13D68"/>
    <w:rsid w:val="00F14151"/>
    <w:rsid w:val="00F1436A"/>
    <w:rsid w:val="00F14A6E"/>
    <w:rsid w:val="00F15093"/>
    <w:rsid w:val="00F15606"/>
    <w:rsid w:val="00F15C1C"/>
    <w:rsid w:val="00F15DA4"/>
    <w:rsid w:val="00F1604C"/>
    <w:rsid w:val="00F167A9"/>
    <w:rsid w:val="00F17582"/>
    <w:rsid w:val="00F17F39"/>
    <w:rsid w:val="00F17F61"/>
    <w:rsid w:val="00F20919"/>
    <w:rsid w:val="00F20B82"/>
    <w:rsid w:val="00F210E9"/>
    <w:rsid w:val="00F214C3"/>
    <w:rsid w:val="00F2160F"/>
    <w:rsid w:val="00F2181D"/>
    <w:rsid w:val="00F21CB7"/>
    <w:rsid w:val="00F21D16"/>
    <w:rsid w:val="00F21E0C"/>
    <w:rsid w:val="00F22151"/>
    <w:rsid w:val="00F222A1"/>
    <w:rsid w:val="00F2255E"/>
    <w:rsid w:val="00F22D4C"/>
    <w:rsid w:val="00F22F87"/>
    <w:rsid w:val="00F23240"/>
    <w:rsid w:val="00F23392"/>
    <w:rsid w:val="00F2380C"/>
    <w:rsid w:val="00F23830"/>
    <w:rsid w:val="00F23B9F"/>
    <w:rsid w:val="00F23EDC"/>
    <w:rsid w:val="00F2415E"/>
    <w:rsid w:val="00F2427D"/>
    <w:rsid w:val="00F242A6"/>
    <w:rsid w:val="00F243E3"/>
    <w:rsid w:val="00F24BEF"/>
    <w:rsid w:val="00F24C4D"/>
    <w:rsid w:val="00F24D00"/>
    <w:rsid w:val="00F2583B"/>
    <w:rsid w:val="00F25DE7"/>
    <w:rsid w:val="00F25EB7"/>
    <w:rsid w:val="00F25EC3"/>
    <w:rsid w:val="00F25F98"/>
    <w:rsid w:val="00F25FB0"/>
    <w:rsid w:val="00F26492"/>
    <w:rsid w:val="00F26927"/>
    <w:rsid w:val="00F26A66"/>
    <w:rsid w:val="00F27641"/>
    <w:rsid w:val="00F277B7"/>
    <w:rsid w:val="00F278C9"/>
    <w:rsid w:val="00F27B44"/>
    <w:rsid w:val="00F3012D"/>
    <w:rsid w:val="00F304EF"/>
    <w:rsid w:val="00F307A6"/>
    <w:rsid w:val="00F308D7"/>
    <w:rsid w:val="00F31248"/>
    <w:rsid w:val="00F314AE"/>
    <w:rsid w:val="00F31ED4"/>
    <w:rsid w:val="00F328C4"/>
    <w:rsid w:val="00F331E6"/>
    <w:rsid w:val="00F334CF"/>
    <w:rsid w:val="00F33724"/>
    <w:rsid w:val="00F33D01"/>
    <w:rsid w:val="00F33FAB"/>
    <w:rsid w:val="00F347E9"/>
    <w:rsid w:val="00F34DD9"/>
    <w:rsid w:val="00F35D39"/>
    <w:rsid w:val="00F36164"/>
    <w:rsid w:val="00F36188"/>
    <w:rsid w:val="00F36273"/>
    <w:rsid w:val="00F36508"/>
    <w:rsid w:val="00F36F7A"/>
    <w:rsid w:val="00F372AC"/>
    <w:rsid w:val="00F40095"/>
    <w:rsid w:val="00F408D3"/>
    <w:rsid w:val="00F4093B"/>
    <w:rsid w:val="00F412AA"/>
    <w:rsid w:val="00F417FF"/>
    <w:rsid w:val="00F41987"/>
    <w:rsid w:val="00F419B9"/>
    <w:rsid w:val="00F419F3"/>
    <w:rsid w:val="00F41A51"/>
    <w:rsid w:val="00F41A54"/>
    <w:rsid w:val="00F4204E"/>
    <w:rsid w:val="00F42547"/>
    <w:rsid w:val="00F4264C"/>
    <w:rsid w:val="00F42850"/>
    <w:rsid w:val="00F4285A"/>
    <w:rsid w:val="00F4390A"/>
    <w:rsid w:val="00F43A81"/>
    <w:rsid w:val="00F446A4"/>
    <w:rsid w:val="00F4471F"/>
    <w:rsid w:val="00F44A24"/>
    <w:rsid w:val="00F44A67"/>
    <w:rsid w:val="00F44A7A"/>
    <w:rsid w:val="00F4513B"/>
    <w:rsid w:val="00F452BF"/>
    <w:rsid w:val="00F45AEF"/>
    <w:rsid w:val="00F45E5D"/>
    <w:rsid w:val="00F46588"/>
    <w:rsid w:val="00F466C9"/>
    <w:rsid w:val="00F4684B"/>
    <w:rsid w:val="00F468C4"/>
    <w:rsid w:val="00F46B4F"/>
    <w:rsid w:val="00F46BA7"/>
    <w:rsid w:val="00F46FE9"/>
    <w:rsid w:val="00F47320"/>
    <w:rsid w:val="00F474E5"/>
    <w:rsid w:val="00F508B3"/>
    <w:rsid w:val="00F5094E"/>
    <w:rsid w:val="00F50B2D"/>
    <w:rsid w:val="00F5108F"/>
    <w:rsid w:val="00F5117A"/>
    <w:rsid w:val="00F518C1"/>
    <w:rsid w:val="00F523D3"/>
    <w:rsid w:val="00F52B14"/>
    <w:rsid w:val="00F52B7B"/>
    <w:rsid w:val="00F52CB9"/>
    <w:rsid w:val="00F53550"/>
    <w:rsid w:val="00F53ADB"/>
    <w:rsid w:val="00F53F64"/>
    <w:rsid w:val="00F54994"/>
    <w:rsid w:val="00F54C9A"/>
    <w:rsid w:val="00F54CE2"/>
    <w:rsid w:val="00F55C3D"/>
    <w:rsid w:val="00F568AA"/>
    <w:rsid w:val="00F56E9A"/>
    <w:rsid w:val="00F57010"/>
    <w:rsid w:val="00F571FE"/>
    <w:rsid w:val="00F574EB"/>
    <w:rsid w:val="00F579F1"/>
    <w:rsid w:val="00F57C25"/>
    <w:rsid w:val="00F60000"/>
    <w:rsid w:val="00F60057"/>
    <w:rsid w:val="00F6023E"/>
    <w:rsid w:val="00F607AE"/>
    <w:rsid w:val="00F6096D"/>
    <w:rsid w:val="00F60A0D"/>
    <w:rsid w:val="00F60D43"/>
    <w:rsid w:val="00F6165D"/>
    <w:rsid w:val="00F618EB"/>
    <w:rsid w:val="00F62585"/>
    <w:rsid w:val="00F6273A"/>
    <w:rsid w:val="00F62F27"/>
    <w:rsid w:val="00F62F7E"/>
    <w:rsid w:val="00F631E5"/>
    <w:rsid w:val="00F63230"/>
    <w:rsid w:val="00F6338C"/>
    <w:rsid w:val="00F637D5"/>
    <w:rsid w:val="00F63E54"/>
    <w:rsid w:val="00F63E73"/>
    <w:rsid w:val="00F644B5"/>
    <w:rsid w:val="00F64518"/>
    <w:rsid w:val="00F64592"/>
    <w:rsid w:val="00F64636"/>
    <w:rsid w:val="00F64C0A"/>
    <w:rsid w:val="00F650C7"/>
    <w:rsid w:val="00F65164"/>
    <w:rsid w:val="00F65703"/>
    <w:rsid w:val="00F65727"/>
    <w:rsid w:val="00F65E2F"/>
    <w:rsid w:val="00F66028"/>
    <w:rsid w:val="00F661FA"/>
    <w:rsid w:val="00F66692"/>
    <w:rsid w:val="00F67319"/>
    <w:rsid w:val="00F6765D"/>
    <w:rsid w:val="00F67954"/>
    <w:rsid w:val="00F67B82"/>
    <w:rsid w:val="00F67EE5"/>
    <w:rsid w:val="00F67F9C"/>
    <w:rsid w:val="00F70B7F"/>
    <w:rsid w:val="00F711AD"/>
    <w:rsid w:val="00F71892"/>
    <w:rsid w:val="00F71BCB"/>
    <w:rsid w:val="00F71D54"/>
    <w:rsid w:val="00F71E65"/>
    <w:rsid w:val="00F720ED"/>
    <w:rsid w:val="00F726EE"/>
    <w:rsid w:val="00F72B55"/>
    <w:rsid w:val="00F735D9"/>
    <w:rsid w:val="00F735F3"/>
    <w:rsid w:val="00F73763"/>
    <w:rsid w:val="00F73815"/>
    <w:rsid w:val="00F740FA"/>
    <w:rsid w:val="00F74B13"/>
    <w:rsid w:val="00F74DE5"/>
    <w:rsid w:val="00F74EBF"/>
    <w:rsid w:val="00F7567D"/>
    <w:rsid w:val="00F756D3"/>
    <w:rsid w:val="00F7595F"/>
    <w:rsid w:val="00F75DEE"/>
    <w:rsid w:val="00F768D0"/>
    <w:rsid w:val="00F76D96"/>
    <w:rsid w:val="00F76DB9"/>
    <w:rsid w:val="00F76FD3"/>
    <w:rsid w:val="00F77391"/>
    <w:rsid w:val="00F77CA2"/>
    <w:rsid w:val="00F77D36"/>
    <w:rsid w:val="00F80107"/>
    <w:rsid w:val="00F804A8"/>
    <w:rsid w:val="00F80E11"/>
    <w:rsid w:val="00F812F3"/>
    <w:rsid w:val="00F8137E"/>
    <w:rsid w:val="00F81454"/>
    <w:rsid w:val="00F814E9"/>
    <w:rsid w:val="00F817AC"/>
    <w:rsid w:val="00F822A2"/>
    <w:rsid w:val="00F82BF0"/>
    <w:rsid w:val="00F830E9"/>
    <w:rsid w:val="00F830F3"/>
    <w:rsid w:val="00F83144"/>
    <w:rsid w:val="00F832EA"/>
    <w:rsid w:val="00F833D3"/>
    <w:rsid w:val="00F8387E"/>
    <w:rsid w:val="00F83C5F"/>
    <w:rsid w:val="00F84321"/>
    <w:rsid w:val="00F84395"/>
    <w:rsid w:val="00F843A9"/>
    <w:rsid w:val="00F84D72"/>
    <w:rsid w:val="00F85800"/>
    <w:rsid w:val="00F85F94"/>
    <w:rsid w:val="00F86F82"/>
    <w:rsid w:val="00F879F9"/>
    <w:rsid w:val="00F900AB"/>
    <w:rsid w:val="00F90378"/>
    <w:rsid w:val="00F90BB1"/>
    <w:rsid w:val="00F90BCB"/>
    <w:rsid w:val="00F90C50"/>
    <w:rsid w:val="00F90F6C"/>
    <w:rsid w:val="00F91057"/>
    <w:rsid w:val="00F92851"/>
    <w:rsid w:val="00F9339E"/>
    <w:rsid w:val="00F93BA6"/>
    <w:rsid w:val="00F93BFE"/>
    <w:rsid w:val="00F93C64"/>
    <w:rsid w:val="00F93F91"/>
    <w:rsid w:val="00F941DB"/>
    <w:rsid w:val="00F9498A"/>
    <w:rsid w:val="00F95624"/>
    <w:rsid w:val="00F95AD9"/>
    <w:rsid w:val="00F963B2"/>
    <w:rsid w:val="00F96640"/>
    <w:rsid w:val="00F966B2"/>
    <w:rsid w:val="00F966CA"/>
    <w:rsid w:val="00F96AB2"/>
    <w:rsid w:val="00F96D56"/>
    <w:rsid w:val="00F97341"/>
    <w:rsid w:val="00F97569"/>
    <w:rsid w:val="00F977E0"/>
    <w:rsid w:val="00F97C16"/>
    <w:rsid w:val="00FA0517"/>
    <w:rsid w:val="00FA05A9"/>
    <w:rsid w:val="00FA1506"/>
    <w:rsid w:val="00FA1967"/>
    <w:rsid w:val="00FA1A97"/>
    <w:rsid w:val="00FA1D22"/>
    <w:rsid w:val="00FA2401"/>
    <w:rsid w:val="00FA2528"/>
    <w:rsid w:val="00FA2976"/>
    <w:rsid w:val="00FA2CB3"/>
    <w:rsid w:val="00FA2ECA"/>
    <w:rsid w:val="00FA30F8"/>
    <w:rsid w:val="00FA3956"/>
    <w:rsid w:val="00FA3E57"/>
    <w:rsid w:val="00FA513E"/>
    <w:rsid w:val="00FA55BC"/>
    <w:rsid w:val="00FA576E"/>
    <w:rsid w:val="00FA5A90"/>
    <w:rsid w:val="00FA5C3F"/>
    <w:rsid w:val="00FA5FF4"/>
    <w:rsid w:val="00FA61C8"/>
    <w:rsid w:val="00FA61E4"/>
    <w:rsid w:val="00FA6375"/>
    <w:rsid w:val="00FA6ABA"/>
    <w:rsid w:val="00FA6C09"/>
    <w:rsid w:val="00FA6C73"/>
    <w:rsid w:val="00FA6F8C"/>
    <w:rsid w:val="00FA77FA"/>
    <w:rsid w:val="00FA7D9C"/>
    <w:rsid w:val="00FA7F1E"/>
    <w:rsid w:val="00FB08CE"/>
    <w:rsid w:val="00FB0902"/>
    <w:rsid w:val="00FB10AB"/>
    <w:rsid w:val="00FB1710"/>
    <w:rsid w:val="00FB1834"/>
    <w:rsid w:val="00FB1CB4"/>
    <w:rsid w:val="00FB1D81"/>
    <w:rsid w:val="00FB254D"/>
    <w:rsid w:val="00FB2655"/>
    <w:rsid w:val="00FB2A92"/>
    <w:rsid w:val="00FB2B65"/>
    <w:rsid w:val="00FB305F"/>
    <w:rsid w:val="00FB320B"/>
    <w:rsid w:val="00FB37F1"/>
    <w:rsid w:val="00FB387D"/>
    <w:rsid w:val="00FB38EF"/>
    <w:rsid w:val="00FB39CA"/>
    <w:rsid w:val="00FB3B35"/>
    <w:rsid w:val="00FB3F49"/>
    <w:rsid w:val="00FB44A0"/>
    <w:rsid w:val="00FB4649"/>
    <w:rsid w:val="00FB4E04"/>
    <w:rsid w:val="00FB5193"/>
    <w:rsid w:val="00FB53A6"/>
    <w:rsid w:val="00FB5442"/>
    <w:rsid w:val="00FB5709"/>
    <w:rsid w:val="00FB571A"/>
    <w:rsid w:val="00FB5A40"/>
    <w:rsid w:val="00FB5B09"/>
    <w:rsid w:val="00FB5F74"/>
    <w:rsid w:val="00FB6E45"/>
    <w:rsid w:val="00FB703D"/>
    <w:rsid w:val="00FB70DD"/>
    <w:rsid w:val="00FB7DCF"/>
    <w:rsid w:val="00FC0532"/>
    <w:rsid w:val="00FC068B"/>
    <w:rsid w:val="00FC155D"/>
    <w:rsid w:val="00FC1B57"/>
    <w:rsid w:val="00FC1B5D"/>
    <w:rsid w:val="00FC1DFC"/>
    <w:rsid w:val="00FC2A6D"/>
    <w:rsid w:val="00FC356D"/>
    <w:rsid w:val="00FC3AFF"/>
    <w:rsid w:val="00FC3E21"/>
    <w:rsid w:val="00FC41C3"/>
    <w:rsid w:val="00FC4D6F"/>
    <w:rsid w:val="00FC4F99"/>
    <w:rsid w:val="00FC53B7"/>
    <w:rsid w:val="00FC57B6"/>
    <w:rsid w:val="00FC6291"/>
    <w:rsid w:val="00FC646D"/>
    <w:rsid w:val="00FC70B2"/>
    <w:rsid w:val="00FC7436"/>
    <w:rsid w:val="00FC7A48"/>
    <w:rsid w:val="00FC7C56"/>
    <w:rsid w:val="00FC7C79"/>
    <w:rsid w:val="00FD0009"/>
    <w:rsid w:val="00FD0A9E"/>
    <w:rsid w:val="00FD0AA0"/>
    <w:rsid w:val="00FD0B39"/>
    <w:rsid w:val="00FD0DB2"/>
    <w:rsid w:val="00FD16F4"/>
    <w:rsid w:val="00FD180D"/>
    <w:rsid w:val="00FD229A"/>
    <w:rsid w:val="00FD3253"/>
    <w:rsid w:val="00FD32C4"/>
    <w:rsid w:val="00FD34B9"/>
    <w:rsid w:val="00FD3CB2"/>
    <w:rsid w:val="00FD3D53"/>
    <w:rsid w:val="00FD3FC3"/>
    <w:rsid w:val="00FD42DD"/>
    <w:rsid w:val="00FD4312"/>
    <w:rsid w:val="00FD431C"/>
    <w:rsid w:val="00FD44A1"/>
    <w:rsid w:val="00FD476F"/>
    <w:rsid w:val="00FD4F4B"/>
    <w:rsid w:val="00FD5B38"/>
    <w:rsid w:val="00FD5DFF"/>
    <w:rsid w:val="00FD5F0A"/>
    <w:rsid w:val="00FD5FFE"/>
    <w:rsid w:val="00FD6B54"/>
    <w:rsid w:val="00FD7358"/>
    <w:rsid w:val="00FD77A6"/>
    <w:rsid w:val="00FD7AF2"/>
    <w:rsid w:val="00FD7B99"/>
    <w:rsid w:val="00FD7BD1"/>
    <w:rsid w:val="00FE00F9"/>
    <w:rsid w:val="00FE0306"/>
    <w:rsid w:val="00FE05C7"/>
    <w:rsid w:val="00FE05D4"/>
    <w:rsid w:val="00FE0B2E"/>
    <w:rsid w:val="00FE1A0D"/>
    <w:rsid w:val="00FE20A2"/>
    <w:rsid w:val="00FE2831"/>
    <w:rsid w:val="00FE2947"/>
    <w:rsid w:val="00FE2ADA"/>
    <w:rsid w:val="00FE2D38"/>
    <w:rsid w:val="00FE2DB2"/>
    <w:rsid w:val="00FE33E9"/>
    <w:rsid w:val="00FE368C"/>
    <w:rsid w:val="00FE4039"/>
    <w:rsid w:val="00FE4118"/>
    <w:rsid w:val="00FE45DB"/>
    <w:rsid w:val="00FE4B3F"/>
    <w:rsid w:val="00FE4C11"/>
    <w:rsid w:val="00FE4DDA"/>
    <w:rsid w:val="00FE52C2"/>
    <w:rsid w:val="00FE5788"/>
    <w:rsid w:val="00FE598F"/>
    <w:rsid w:val="00FE608C"/>
    <w:rsid w:val="00FE6BFE"/>
    <w:rsid w:val="00FE737F"/>
    <w:rsid w:val="00FE758E"/>
    <w:rsid w:val="00FE7786"/>
    <w:rsid w:val="00FE7BAB"/>
    <w:rsid w:val="00FE7CC4"/>
    <w:rsid w:val="00FE7DBF"/>
    <w:rsid w:val="00FF003D"/>
    <w:rsid w:val="00FF0A19"/>
    <w:rsid w:val="00FF0E0D"/>
    <w:rsid w:val="00FF0E34"/>
    <w:rsid w:val="00FF1074"/>
    <w:rsid w:val="00FF1219"/>
    <w:rsid w:val="00FF1FA9"/>
    <w:rsid w:val="00FF260F"/>
    <w:rsid w:val="00FF28A5"/>
    <w:rsid w:val="00FF3430"/>
    <w:rsid w:val="00FF360C"/>
    <w:rsid w:val="00FF39CC"/>
    <w:rsid w:val="00FF403F"/>
    <w:rsid w:val="00FF46D7"/>
    <w:rsid w:val="00FF4831"/>
    <w:rsid w:val="00FF49D0"/>
    <w:rsid w:val="00FF4A09"/>
    <w:rsid w:val="00FF4C0B"/>
    <w:rsid w:val="00FF5023"/>
    <w:rsid w:val="00FF5390"/>
    <w:rsid w:val="00FF53A5"/>
    <w:rsid w:val="00FF5686"/>
    <w:rsid w:val="00FF571C"/>
    <w:rsid w:val="00FF59DB"/>
    <w:rsid w:val="00FF6153"/>
    <w:rsid w:val="00FF693B"/>
    <w:rsid w:val="00FF6B37"/>
    <w:rsid w:val="00FF6C31"/>
    <w:rsid w:val="00FF6F80"/>
    <w:rsid w:val="00FF7BD0"/>
    <w:rsid w:val="00FF7CC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41345"/>
    <o:shapelayout v:ext="edit">
      <o:idmap v:ext="edit" data="1"/>
    </o:shapelayout>
  </w:shapeDefaults>
  <w:decimalSymbol w:val=","/>
  <w:listSeparator w:val=","/>
  <w14:docId w14:val="39CA9EF6"/>
  <w15:docId w15:val="{31D6A893-FAAC-443A-8B48-B66578DE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F3C"/>
    <w:rPr>
      <w:sz w:val="24"/>
      <w:lang w:eastAsia="en-US"/>
    </w:rPr>
  </w:style>
  <w:style w:type="paragraph" w:styleId="Ttulo1">
    <w:name w:val="heading 1"/>
    <w:basedOn w:val="Normal"/>
    <w:next w:val="Normal"/>
    <w:link w:val="Ttulo1Car"/>
    <w:qFormat/>
    <w:rsid w:val="006B3679"/>
    <w:pPr>
      <w:keepNext/>
      <w:ind w:left="284" w:hanging="284"/>
      <w:outlineLvl w:val="0"/>
    </w:pPr>
    <w:rPr>
      <w:b/>
      <w:sz w:val="20"/>
      <w:lang w:val="es-ES_tradnl"/>
    </w:rPr>
  </w:style>
  <w:style w:type="paragraph" w:styleId="Ttulo2">
    <w:name w:val="heading 2"/>
    <w:basedOn w:val="Normal"/>
    <w:next w:val="Normal"/>
    <w:link w:val="Ttulo2Car"/>
    <w:uiPriority w:val="9"/>
    <w:qFormat/>
    <w:rsid w:val="006B3679"/>
    <w:pPr>
      <w:keepNext/>
      <w:jc w:val="both"/>
      <w:outlineLvl w:val="1"/>
    </w:pPr>
    <w:rPr>
      <w:u w:val="single"/>
      <w:lang w:val="es-ES_tradnl"/>
    </w:rPr>
  </w:style>
  <w:style w:type="paragraph" w:styleId="Ttulo3">
    <w:name w:val="heading 3"/>
    <w:basedOn w:val="Normal"/>
    <w:next w:val="Normal"/>
    <w:link w:val="Ttulo3Car"/>
    <w:qFormat/>
    <w:rsid w:val="006B3679"/>
    <w:pPr>
      <w:keepNext/>
      <w:ind w:left="142" w:hanging="142"/>
      <w:outlineLvl w:val="2"/>
    </w:pPr>
    <w:rPr>
      <w:b/>
      <w:lang w:val="es-ES_tradnl"/>
    </w:rPr>
  </w:style>
  <w:style w:type="paragraph" w:styleId="Ttulo4">
    <w:name w:val="heading 4"/>
    <w:basedOn w:val="Normal"/>
    <w:next w:val="Normal"/>
    <w:link w:val="Ttulo4Car"/>
    <w:qFormat/>
    <w:rsid w:val="006B3679"/>
    <w:pPr>
      <w:keepNext/>
      <w:ind w:left="284" w:hanging="284"/>
      <w:jc w:val="both"/>
      <w:outlineLvl w:val="3"/>
    </w:pPr>
    <w:rPr>
      <w:b/>
      <w:lang w:val="es-ES_tradnl"/>
    </w:rPr>
  </w:style>
  <w:style w:type="paragraph" w:styleId="Ttulo5">
    <w:name w:val="heading 5"/>
    <w:basedOn w:val="Normal"/>
    <w:next w:val="Normal"/>
    <w:link w:val="Ttulo5Car"/>
    <w:qFormat/>
    <w:rsid w:val="006B3679"/>
    <w:pPr>
      <w:keepNext/>
      <w:ind w:left="284" w:hanging="284"/>
      <w:jc w:val="right"/>
      <w:outlineLvl w:val="4"/>
    </w:pPr>
    <w:rPr>
      <w:sz w:val="20"/>
      <w:u w:val="single"/>
      <w:lang w:val="es-ES_tradnl"/>
    </w:rPr>
  </w:style>
  <w:style w:type="paragraph" w:styleId="Ttulo6">
    <w:name w:val="heading 6"/>
    <w:basedOn w:val="Normal"/>
    <w:next w:val="Normal"/>
    <w:link w:val="Ttulo6Car"/>
    <w:qFormat/>
    <w:rsid w:val="006B3679"/>
    <w:pPr>
      <w:keepNext/>
      <w:ind w:left="284" w:hanging="284"/>
      <w:outlineLvl w:val="5"/>
    </w:pPr>
    <w:rPr>
      <w:b/>
      <w:lang w:val="es-ES_tradnl"/>
    </w:rPr>
  </w:style>
  <w:style w:type="paragraph" w:styleId="Ttulo7">
    <w:name w:val="heading 7"/>
    <w:basedOn w:val="Normal"/>
    <w:next w:val="Normal"/>
    <w:link w:val="Ttulo7Car"/>
    <w:qFormat/>
    <w:rsid w:val="006B3679"/>
    <w:pPr>
      <w:keepNext/>
      <w:ind w:left="142"/>
      <w:outlineLvl w:val="6"/>
    </w:pPr>
    <w:rPr>
      <w:b/>
      <w:sz w:val="22"/>
      <w:lang w:val="es-ES_tradnl"/>
    </w:rPr>
  </w:style>
  <w:style w:type="paragraph" w:styleId="Ttulo8">
    <w:name w:val="heading 8"/>
    <w:basedOn w:val="Normal"/>
    <w:next w:val="Normal"/>
    <w:link w:val="Ttulo8Car"/>
    <w:qFormat/>
    <w:rsid w:val="006B3679"/>
    <w:pPr>
      <w:keepNext/>
      <w:jc w:val="center"/>
      <w:outlineLvl w:val="7"/>
    </w:pPr>
    <w:rPr>
      <w:b/>
      <w:sz w:val="22"/>
      <w:u w:val="single"/>
      <w:lang w:val="es-ES_tradnl"/>
    </w:rPr>
  </w:style>
  <w:style w:type="paragraph" w:styleId="Ttulo9">
    <w:name w:val="heading 9"/>
    <w:basedOn w:val="Normal"/>
    <w:next w:val="Normal"/>
    <w:link w:val="Ttulo9Car"/>
    <w:qFormat/>
    <w:rsid w:val="006B3679"/>
    <w:pPr>
      <w:keepNext/>
      <w:ind w:left="284" w:hanging="284"/>
      <w:jc w:val="center"/>
      <w:outlineLvl w:val="8"/>
    </w:pPr>
    <w:rPr>
      <w:b/>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6B3679"/>
    <w:pPr>
      <w:ind w:left="284" w:hanging="284"/>
      <w:jc w:val="both"/>
    </w:pPr>
    <w:rPr>
      <w:b/>
      <w:lang w:val="es-ES_tradnl"/>
    </w:rPr>
  </w:style>
  <w:style w:type="paragraph" w:styleId="Textoindependiente">
    <w:name w:val="Body Text"/>
    <w:basedOn w:val="Normal"/>
    <w:link w:val="TextoindependienteCar"/>
    <w:rsid w:val="006B3679"/>
    <w:pPr>
      <w:jc w:val="both"/>
    </w:pPr>
    <w:rPr>
      <w:lang w:val="es-ES_tradnl"/>
    </w:rPr>
  </w:style>
  <w:style w:type="paragraph" w:styleId="Sangra2detindependiente">
    <w:name w:val="Body Text Indent 2"/>
    <w:basedOn w:val="Normal"/>
    <w:link w:val="Sangra2detindependienteCar"/>
    <w:rsid w:val="006B3679"/>
    <w:pPr>
      <w:ind w:left="567"/>
      <w:jc w:val="both"/>
    </w:pPr>
    <w:rPr>
      <w:bCs/>
      <w:lang w:val="es-ES_tradnl"/>
    </w:rPr>
  </w:style>
  <w:style w:type="character" w:styleId="Refdecomentario">
    <w:name w:val="annotation reference"/>
    <w:basedOn w:val="Fuentedeprrafopredeter"/>
    <w:uiPriority w:val="99"/>
    <w:rsid w:val="006B3679"/>
    <w:rPr>
      <w:sz w:val="16"/>
      <w:szCs w:val="16"/>
    </w:rPr>
  </w:style>
  <w:style w:type="paragraph" w:styleId="Textocomentario">
    <w:name w:val="annotation text"/>
    <w:basedOn w:val="Normal"/>
    <w:link w:val="TextocomentarioCar"/>
    <w:uiPriority w:val="99"/>
    <w:rsid w:val="006B3679"/>
    <w:rPr>
      <w:sz w:val="20"/>
    </w:rPr>
  </w:style>
  <w:style w:type="paragraph" w:styleId="Encabezado">
    <w:name w:val="header"/>
    <w:basedOn w:val="Normal"/>
    <w:link w:val="EncabezadoCar"/>
    <w:rsid w:val="006B3679"/>
    <w:pPr>
      <w:tabs>
        <w:tab w:val="center" w:pos="4419"/>
        <w:tab w:val="right" w:pos="8838"/>
      </w:tabs>
    </w:pPr>
  </w:style>
  <w:style w:type="paragraph" w:styleId="Piedepgina">
    <w:name w:val="footer"/>
    <w:basedOn w:val="Normal"/>
    <w:link w:val="PiedepginaCar"/>
    <w:uiPriority w:val="99"/>
    <w:rsid w:val="00E05C63"/>
    <w:pPr>
      <w:tabs>
        <w:tab w:val="center" w:pos="4419"/>
        <w:tab w:val="right" w:pos="8838"/>
      </w:tabs>
    </w:pPr>
    <w:rPr>
      <w:rFonts w:ascii="Arial" w:hAnsi="Arial" w:cs="Arial"/>
      <w:lang w:val="it-IT"/>
    </w:rPr>
  </w:style>
  <w:style w:type="paragraph" w:styleId="Textoindependiente2">
    <w:name w:val="Body Text 2"/>
    <w:basedOn w:val="Normal"/>
    <w:link w:val="Textoindependiente2Car"/>
    <w:uiPriority w:val="99"/>
    <w:rsid w:val="006B3679"/>
    <w:rPr>
      <w:b/>
      <w:sz w:val="22"/>
      <w:lang w:val="es-ES_tradnl"/>
    </w:rPr>
  </w:style>
  <w:style w:type="paragraph" w:styleId="Textonotaalfinal">
    <w:name w:val="endnote text"/>
    <w:basedOn w:val="Normal"/>
    <w:link w:val="TextonotaalfinalCar"/>
    <w:rsid w:val="006B3679"/>
    <w:pPr>
      <w:jc w:val="both"/>
    </w:pPr>
    <w:rPr>
      <w:lang w:val="es-ES_tradnl"/>
    </w:rPr>
  </w:style>
  <w:style w:type="paragraph" w:styleId="Textoindependiente3">
    <w:name w:val="Body Text 3"/>
    <w:basedOn w:val="Normal"/>
    <w:link w:val="Textoindependiente3Car"/>
    <w:rsid w:val="006B3679"/>
    <w:pPr>
      <w:jc w:val="both"/>
    </w:pPr>
    <w:rPr>
      <w:sz w:val="22"/>
    </w:rPr>
  </w:style>
  <w:style w:type="paragraph" w:customStyle="1" w:styleId="Doble">
    <w:name w:val="Doble"/>
    <w:basedOn w:val="Normal"/>
    <w:rsid w:val="006B3679"/>
    <w:pPr>
      <w:jc w:val="right"/>
    </w:pPr>
    <w:rPr>
      <w:sz w:val="20"/>
      <w:u w:val="double"/>
      <w:lang w:val="es-ES_tradnl"/>
    </w:rPr>
  </w:style>
  <w:style w:type="paragraph" w:styleId="Sangra3detindependiente">
    <w:name w:val="Body Text Indent 3"/>
    <w:basedOn w:val="Normal"/>
    <w:link w:val="Sangra3detindependienteCar"/>
    <w:rsid w:val="006B3679"/>
    <w:pPr>
      <w:tabs>
        <w:tab w:val="left" w:pos="5458"/>
        <w:tab w:val="left" w:pos="7080"/>
        <w:tab w:val="left" w:pos="8702"/>
        <w:tab w:val="left" w:pos="10325"/>
        <w:tab w:val="left" w:pos="11947"/>
        <w:tab w:val="left" w:pos="13570"/>
      </w:tabs>
      <w:ind w:left="567" w:hanging="283"/>
      <w:jc w:val="both"/>
    </w:pPr>
    <w:rPr>
      <w:sz w:val="22"/>
      <w:lang w:val="es-ES_tradnl"/>
    </w:rPr>
  </w:style>
  <w:style w:type="paragraph" w:customStyle="1" w:styleId="Notacuerpo">
    <w:name w:val="Nota cuerpo"/>
    <w:basedOn w:val="Normal"/>
    <w:rsid w:val="006B3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440"/>
      <w:jc w:val="both"/>
    </w:pPr>
    <w:rPr>
      <w:rFonts w:ascii="Arial" w:hAnsi="Arial"/>
      <w:lang w:val="en-US"/>
    </w:rPr>
  </w:style>
  <w:style w:type="paragraph" w:customStyle="1" w:styleId="Auditor">
    <w:name w:val="Auditor"/>
    <w:basedOn w:val="Normal"/>
    <w:rsid w:val="006B3679"/>
    <w:pPr>
      <w:spacing w:line="360" w:lineRule="auto"/>
      <w:jc w:val="both"/>
    </w:pPr>
    <w:rPr>
      <w:rFonts w:ascii="Book Antiqua" w:hAnsi="Book Antiqua"/>
      <w:sz w:val="20"/>
      <w:lang w:val="es-ES_tradnl"/>
    </w:rPr>
  </w:style>
  <w:style w:type="paragraph" w:customStyle="1" w:styleId="Textoinfaud">
    <w:name w:val="Texto inf. aud."/>
    <w:basedOn w:val="Normal"/>
    <w:rsid w:val="006B3679"/>
    <w:pPr>
      <w:tabs>
        <w:tab w:val="left" w:pos="720"/>
      </w:tabs>
      <w:spacing w:line="360" w:lineRule="atLeast"/>
      <w:jc w:val="both"/>
    </w:pPr>
    <w:rPr>
      <w:rFonts w:ascii="Book Antiqua" w:hAnsi="Book Antiqua"/>
      <w:sz w:val="20"/>
      <w:lang w:val="es-ES_tradnl"/>
    </w:rPr>
  </w:style>
  <w:style w:type="paragraph" w:customStyle="1" w:styleId="Ttulonota">
    <w:name w:val="Título nota"/>
    <w:basedOn w:val="Normal"/>
    <w:rsid w:val="006B3679"/>
    <w:pPr>
      <w:jc w:val="both"/>
    </w:pPr>
    <w:rPr>
      <w:rFonts w:ascii="Book Antiqua" w:hAnsi="Book Antiqua"/>
      <w:b/>
      <w:sz w:val="22"/>
      <w:lang w:val="es-ES_tradnl"/>
    </w:rPr>
  </w:style>
  <w:style w:type="paragraph" w:customStyle="1" w:styleId="Textonota">
    <w:name w:val="Texto nota"/>
    <w:basedOn w:val="Normal"/>
    <w:rsid w:val="006B3679"/>
    <w:pPr>
      <w:ind w:left="432"/>
      <w:jc w:val="both"/>
    </w:pPr>
    <w:rPr>
      <w:rFonts w:ascii="Book Antiqua" w:hAnsi="Book Antiqua"/>
      <w:sz w:val="20"/>
      <w:lang w:val="es-ES_tradnl"/>
    </w:rPr>
  </w:style>
  <w:style w:type="paragraph" w:customStyle="1" w:styleId="Textonota1">
    <w:name w:val="Texto nota 1"/>
    <w:basedOn w:val="Textonota"/>
    <w:rsid w:val="006B3679"/>
    <w:pPr>
      <w:ind w:left="792"/>
    </w:pPr>
  </w:style>
  <w:style w:type="paragraph" w:styleId="Textodeglobo">
    <w:name w:val="Balloon Text"/>
    <w:basedOn w:val="Normal"/>
    <w:link w:val="TextodegloboCar"/>
    <w:uiPriority w:val="99"/>
    <w:rsid w:val="006B3679"/>
    <w:rPr>
      <w:rFonts w:ascii="Tahoma" w:hAnsi="Tahoma" w:cs="Tahoma"/>
      <w:sz w:val="16"/>
      <w:szCs w:val="16"/>
    </w:rPr>
  </w:style>
  <w:style w:type="character" w:styleId="Nmerodepgina">
    <w:name w:val="page number"/>
    <w:basedOn w:val="Fuentedeprrafopredeter"/>
    <w:rsid w:val="006B3679"/>
  </w:style>
  <w:style w:type="paragraph" w:customStyle="1" w:styleId="Textodenotaalfinal">
    <w:name w:val="Texto de nota al final"/>
    <w:basedOn w:val="Normal"/>
    <w:rsid w:val="006B3679"/>
    <w:pPr>
      <w:widowControl w:val="0"/>
      <w:jc w:val="both"/>
    </w:pPr>
    <w:rPr>
      <w:lang w:val="es-ES_tradnl"/>
    </w:rPr>
  </w:style>
  <w:style w:type="paragraph" w:customStyle="1" w:styleId="Ttuloprincipal">
    <w:name w:val="Título principal"/>
    <w:basedOn w:val="Normal"/>
    <w:rsid w:val="006B3679"/>
    <w:pPr>
      <w:jc w:val="center"/>
    </w:pPr>
    <w:rPr>
      <w:rFonts w:ascii="Book Antiqua" w:hAnsi="Book Antiqua"/>
      <w:b/>
      <w:lang w:val="es-ES_tradnl"/>
    </w:rPr>
  </w:style>
  <w:style w:type="paragraph" w:customStyle="1" w:styleId="Texto">
    <w:name w:val="Texto"/>
    <w:basedOn w:val="Textonota"/>
    <w:rsid w:val="006B3679"/>
    <w:pPr>
      <w:ind w:left="0"/>
    </w:pPr>
  </w:style>
  <w:style w:type="paragraph" w:customStyle="1" w:styleId="Tituloprincipal">
    <w:name w:val="Titulo principal"/>
    <w:basedOn w:val="Normal"/>
    <w:rsid w:val="006B3679"/>
    <w:rPr>
      <w:rFonts w:ascii="Book Antiqua" w:hAnsi="Book Antiqua"/>
      <w:b/>
      <w:lang w:val="es-ES_tradnl"/>
    </w:rPr>
  </w:style>
  <w:style w:type="paragraph" w:styleId="Ttulo">
    <w:name w:val="Title"/>
    <w:basedOn w:val="Normal"/>
    <w:link w:val="TtuloCar"/>
    <w:qFormat/>
    <w:rsid w:val="006B3679"/>
    <w:pPr>
      <w:jc w:val="center"/>
    </w:pPr>
    <w:rPr>
      <w:b/>
      <w:bCs/>
      <w:sz w:val="32"/>
      <w:szCs w:val="24"/>
      <w:lang w:bidi="he-IL"/>
    </w:rPr>
  </w:style>
  <w:style w:type="paragraph" w:customStyle="1" w:styleId="Pie">
    <w:name w:val="Pie"/>
    <w:basedOn w:val="Normal"/>
    <w:rsid w:val="003C7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Arial" w:hAnsi="Arial"/>
      <w:sz w:val="16"/>
      <w:lang w:val="en-US" w:eastAsia="es-ES"/>
    </w:rPr>
  </w:style>
  <w:style w:type="paragraph" w:customStyle="1" w:styleId="consideration">
    <w:name w:val="consideration"/>
    <w:basedOn w:val="Normal"/>
    <w:rsid w:val="006B3679"/>
    <w:pPr>
      <w:tabs>
        <w:tab w:val="left" w:pos="288"/>
      </w:tabs>
      <w:spacing w:before="120"/>
      <w:ind w:left="576" w:hanging="288"/>
    </w:pPr>
    <w:rPr>
      <w:i/>
      <w:sz w:val="22"/>
      <w:lang w:val="en-US"/>
    </w:rPr>
  </w:style>
  <w:style w:type="paragraph" w:customStyle="1" w:styleId="Notacuerpo1">
    <w:name w:val="Nota cuerpo:1"/>
    <w:basedOn w:val="Normal"/>
    <w:rsid w:val="00BE384E"/>
    <w:pPr>
      <w:ind w:left="1440"/>
      <w:jc w:val="both"/>
    </w:pPr>
    <w:rPr>
      <w:rFonts w:ascii="Arial" w:hAnsi="Arial"/>
      <w:noProof/>
      <w:lang w:eastAsia="es-ES"/>
    </w:rPr>
  </w:style>
  <w:style w:type="character" w:styleId="Hipervnculo">
    <w:name w:val="Hyperlink"/>
    <w:basedOn w:val="Fuentedeprrafopredeter"/>
    <w:rsid w:val="006B3679"/>
    <w:rPr>
      <w:color w:val="0000FF"/>
      <w:u w:val="single"/>
    </w:rPr>
  </w:style>
  <w:style w:type="character" w:styleId="Hipervnculovisitado">
    <w:name w:val="FollowedHyperlink"/>
    <w:basedOn w:val="Fuentedeprrafopredeter"/>
    <w:rsid w:val="006B3679"/>
    <w:rPr>
      <w:color w:val="800080"/>
      <w:u w:val="single"/>
    </w:rPr>
  </w:style>
  <w:style w:type="paragraph" w:customStyle="1" w:styleId="xl83">
    <w:name w:val="xl83"/>
    <w:basedOn w:val="Normal"/>
    <w:rsid w:val="006B3679"/>
    <w:pPr>
      <w:spacing w:before="100" w:beforeAutospacing="1" w:after="100" w:afterAutospacing="1"/>
      <w:jc w:val="right"/>
    </w:pPr>
    <w:rPr>
      <w:rFonts w:ascii="Book Antiqua" w:hAnsi="Book Antiqua"/>
      <w:sz w:val="16"/>
      <w:szCs w:val="16"/>
      <w:lang w:val="es-ES" w:eastAsia="es-ES"/>
    </w:rPr>
  </w:style>
  <w:style w:type="paragraph" w:customStyle="1" w:styleId="xl84">
    <w:name w:val="xl84"/>
    <w:basedOn w:val="Normal"/>
    <w:rsid w:val="006B3679"/>
    <w:pPr>
      <w:pBdr>
        <w:bottom w:val="single" w:sz="8" w:space="0" w:color="auto"/>
      </w:pBdr>
      <w:spacing w:before="100" w:beforeAutospacing="1" w:after="100" w:afterAutospacing="1"/>
      <w:jc w:val="center"/>
    </w:pPr>
    <w:rPr>
      <w:rFonts w:ascii="Book Antiqua" w:hAnsi="Book Antiqua"/>
      <w:b/>
      <w:bCs/>
      <w:sz w:val="16"/>
      <w:szCs w:val="16"/>
      <w:lang w:val="es-ES" w:eastAsia="es-ES"/>
    </w:rPr>
  </w:style>
  <w:style w:type="paragraph" w:customStyle="1" w:styleId="xl85">
    <w:name w:val="xl85"/>
    <w:basedOn w:val="Normal"/>
    <w:rsid w:val="006B3679"/>
    <w:pPr>
      <w:spacing w:before="100" w:beforeAutospacing="1" w:after="100" w:afterAutospacing="1"/>
      <w:jc w:val="center"/>
    </w:pPr>
    <w:rPr>
      <w:rFonts w:ascii="Book Antiqua" w:hAnsi="Book Antiqua"/>
      <w:b/>
      <w:bCs/>
      <w:sz w:val="16"/>
      <w:szCs w:val="16"/>
      <w:lang w:val="es-ES" w:eastAsia="es-ES"/>
    </w:rPr>
  </w:style>
  <w:style w:type="paragraph" w:customStyle="1" w:styleId="xl86">
    <w:name w:val="xl86"/>
    <w:basedOn w:val="Normal"/>
    <w:rsid w:val="006B3679"/>
    <w:pPr>
      <w:pBdr>
        <w:top w:val="single" w:sz="8" w:space="0" w:color="auto"/>
      </w:pBdr>
      <w:spacing w:before="100" w:beforeAutospacing="1" w:after="100" w:afterAutospacing="1"/>
      <w:jc w:val="both"/>
      <w:textAlignment w:val="top"/>
    </w:pPr>
    <w:rPr>
      <w:rFonts w:ascii="Book Antiqua" w:hAnsi="Book Antiqua"/>
      <w:b/>
      <w:bCs/>
      <w:sz w:val="16"/>
      <w:szCs w:val="16"/>
      <w:lang w:val="es-ES" w:eastAsia="es-ES"/>
    </w:rPr>
  </w:style>
  <w:style w:type="paragraph" w:customStyle="1" w:styleId="xl87">
    <w:name w:val="xl87"/>
    <w:basedOn w:val="Normal"/>
    <w:rsid w:val="006B3679"/>
    <w:pPr>
      <w:pBdr>
        <w:top w:val="single" w:sz="8" w:space="0" w:color="auto"/>
        <w:bottom w:val="single" w:sz="8" w:space="0" w:color="auto"/>
      </w:pBdr>
      <w:spacing w:before="100" w:beforeAutospacing="1" w:after="100" w:afterAutospacing="1"/>
      <w:jc w:val="right"/>
    </w:pPr>
    <w:rPr>
      <w:rFonts w:ascii="Book Antiqua" w:hAnsi="Book Antiqua"/>
      <w:sz w:val="16"/>
      <w:szCs w:val="16"/>
      <w:lang w:val="es-ES" w:eastAsia="es-ES"/>
    </w:rPr>
  </w:style>
  <w:style w:type="paragraph" w:customStyle="1" w:styleId="xl88">
    <w:name w:val="xl88"/>
    <w:basedOn w:val="Normal"/>
    <w:rsid w:val="006B3679"/>
    <w:pPr>
      <w:spacing w:before="100" w:beforeAutospacing="1" w:after="100" w:afterAutospacing="1"/>
      <w:jc w:val="both"/>
      <w:textAlignment w:val="top"/>
    </w:pPr>
    <w:rPr>
      <w:rFonts w:ascii="Book Antiqua" w:hAnsi="Book Antiqua"/>
      <w:sz w:val="16"/>
      <w:szCs w:val="16"/>
      <w:lang w:val="es-ES" w:eastAsia="es-ES"/>
    </w:rPr>
  </w:style>
  <w:style w:type="paragraph" w:customStyle="1" w:styleId="xl89">
    <w:name w:val="xl89"/>
    <w:basedOn w:val="Normal"/>
    <w:rsid w:val="006B3679"/>
    <w:pPr>
      <w:spacing w:before="100" w:beforeAutospacing="1" w:after="100" w:afterAutospacing="1"/>
      <w:jc w:val="right"/>
    </w:pPr>
    <w:rPr>
      <w:rFonts w:ascii="Book Antiqua" w:hAnsi="Book Antiqua"/>
      <w:sz w:val="16"/>
      <w:szCs w:val="16"/>
      <w:lang w:val="es-ES" w:eastAsia="es-ES"/>
    </w:rPr>
  </w:style>
  <w:style w:type="paragraph" w:customStyle="1" w:styleId="xl90">
    <w:name w:val="xl90"/>
    <w:basedOn w:val="Normal"/>
    <w:rsid w:val="006B3679"/>
    <w:pPr>
      <w:pBdr>
        <w:top w:val="single" w:sz="8" w:space="0" w:color="auto"/>
      </w:pBdr>
      <w:spacing w:before="100" w:beforeAutospacing="1" w:after="100" w:afterAutospacing="1"/>
      <w:jc w:val="both"/>
      <w:textAlignment w:val="top"/>
    </w:pPr>
    <w:rPr>
      <w:rFonts w:ascii="Book Antiqua" w:hAnsi="Book Antiqua"/>
      <w:b/>
      <w:bCs/>
      <w:sz w:val="16"/>
      <w:szCs w:val="16"/>
      <w:u w:val="single"/>
      <w:lang w:val="es-ES" w:eastAsia="es-ES"/>
    </w:rPr>
  </w:style>
  <w:style w:type="paragraph" w:customStyle="1" w:styleId="xl91">
    <w:name w:val="xl91"/>
    <w:basedOn w:val="Normal"/>
    <w:rsid w:val="006B3679"/>
    <w:pPr>
      <w:spacing w:before="100" w:beforeAutospacing="1" w:after="100" w:afterAutospacing="1"/>
    </w:pPr>
    <w:rPr>
      <w:rFonts w:ascii="Book Antiqua" w:hAnsi="Book Antiqua"/>
      <w:sz w:val="16"/>
      <w:szCs w:val="16"/>
      <w:lang w:val="es-ES" w:eastAsia="es-ES"/>
    </w:rPr>
  </w:style>
  <w:style w:type="paragraph" w:customStyle="1" w:styleId="xl92">
    <w:name w:val="xl92"/>
    <w:basedOn w:val="Normal"/>
    <w:rsid w:val="006B3679"/>
    <w:pPr>
      <w:spacing w:before="100" w:beforeAutospacing="1" w:after="100" w:afterAutospacing="1"/>
    </w:pPr>
    <w:rPr>
      <w:rFonts w:ascii="Book Antiqua" w:hAnsi="Book Antiqua"/>
      <w:sz w:val="16"/>
      <w:szCs w:val="16"/>
      <w:lang w:val="es-ES" w:eastAsia="es-ES"/>
    </w:rPr>
  </w:style>
  <w:style w:type="paragraph" w:customStyle="1" w:styleId="xl93">
    <w:name w:val="xl93"/>
    <w:basedOn w:val="Normal"/>
    <w:rsid w:val="006B3679"/>
    <w:pPr>
      <w:spacing w:before="100" w:beforeAutospacing="1" w:after="100" w:afterAutospacing="1"/>
      <w:jc w:val="right"/>
    </w:pPr>
    <w:rPr>
      <w:rFonts w:ascii="Book Antiqua" w:hAnsi="Book Antiqua"/>
      <w:sz w:val="16"/>
      <w:szCs w:val="16"/>
      <w:lang w:val="es-ES" w:eastAsia="es-ES"/>
    </w:rPr>
  </w:style>
  <w:style w:type="paragraph" w:customStyle="1" w:styleId="xl94">
    <w:name w:val="xl94"/>
    <w:basedOn w:val="Normal"/>
    <w:rsid w:val="006B3679"/>
    <w:pPr>
      <w:spacing w:before="100" w:beforeAutospacing="1" w:after="100" w:afterAutospacing="1"/>
    </w:pPr>
    <w:rPr>
      <w:rFonts w:ascii="Book Antiqua" w:hAnsi="Book Antiqua"/>
      <w:b/>
      <w:bCs/>
      <w:sz w:val="16"/>
      <w:szCs w:val="16"/>
      <w:lang w:val="es-ES" w:eastAsia="es-ES"/>
    </w:rPr>
  </w:style>
  <w:style w:type="paragraph" w:customStyle="1" w:styleId="xl95">
    <w:name w:val="xl95"/>
    <w:basedOn w:val="Normal"/>
    <w:rsid w:val="006B3679"/>
    <w:pPr>
      <w:spacing w:before="100" w:beforeAutospacing="1" w:after="100" w:afterAutospacing="1"/>
      <w:jc w:val="right"/>
    </w:pPr>
    <w:rPr>
      <w:rFonts w:ascii="Book Antiqua" w:hAnsi="Book Antiqua"/>
      <w:b/>
      <w:bCs/>
      <w:sz w:val="16"/>
      <w:szCs w:val="16"/>
      <w:lang w:val="es-ES" w:eastAsia="es-ES"/>
    </w:rPr>
  </w:style>
  <w:style w:type="paragraph" w:customStyle="1" w:styleId="xl96">
    <w:name w:val="xl96"/>
    <w:basedOn w:val="Normal"/>
    <w:rsid w:val="006B3679"/>
    <w:pPr>
      <w:spacing w:before="100" w:beforeAutospacing="1" w:after="100" w:afterAutospacing="1"/>
    </w:pPr>
    <w:rPr>
      <w:b/>
      <w:bCs/>
      <w:color w:val="FFFFFF"/>
      <w:sz w:val="16"/>
      <w:szCs w:val="16"/>
      <w:lang w:val="es-ES" w:eastAsia="es-ES"/>
    </w:rPr>
  </w:style>
  <w:style w:type="paragraph" w:customStyle="1" w:styleId="xl97">
    <w:name w:val="xl97"/>
    <w:basedOn w:val="Normal"/>
    <w:rsid w:val="006B3679"/>
    <w:pPr>
      <w:spacing w:before="100" w:beforeAutospacing="1" w:after="100" w:afterAutospacing="1"/>
    </w:pPr>
    <w:rPr>
      <w:sz w:val="16"/>
      <w:szCs w:val="16"/>
      <w:lang w:val="es-ES" w:eastAsia="es-ES"/>
    </w:rPr>
  </w:style>
  <w:style w:type="paragraph" w:customStyle="1" w:styleId="xl98">
    <w:name w:val="xl98"/>
    <w:basedOn w:val="Normal"/>
    <w:rsid w:val="006B3679"/>
    <w:pPr>
      <w:spacing w:before="100" w:beforeAutospacing="1" w:after="100" w:afterAutospacing="1"/>
      <w:jc w:val="right"/>
    </w:pPr>
    <w:rPr>
      <w:rFonts w:ascii="Book Antiqua" w:hAnsi="Book Antiqua"/>
      <w:sz w:val="16"/>
      <w:szCs w:val="16"/>
      <w:lang w:val="es-ES" w:eastAsia="es-ES"/>
    </w:rPr>
  </w:style>
  <w:style w:type="paragraph" w:customStyle="1" w:styleId="xl99">
    <w:name w:val="xl99"/>
    <w:basedOn w:val="Normal"/>
    <w:rsid w:val="006B3679"/>
    <w:pPr>
      <w:spacing w:before="100" w:beforeAutospacing="1" w:after="100" w:afterAutospacing="1"/>
      <w:jc w:val="right"/>
    </w:pPr>
    <w:rPr>
      <w:rFonts w:ascii="Book Antiqua" w:hAnsi="Book Antiqua"/>
      <w:b/>
      <w:bCs/>
      <w:sz w:val="16"/>
      <w:szCs w:val="16"/>
      <w:lang w:val="es-ES" w:eastAsia="es-ES"/>
    </w:rPr>
  </w:style>
  <w:style w:type="paragraph" w:customStyle="1" w:styleId="xl100">
    <w:name w:val="xl100"/>
    <w:basedOn w:val="Normal"/>
    <w:rsid w:val="006B3679"/>
    <w:pPr>
      <w:spacing w:before="100" w:beforeAutospacing="1" w:after="100" w:afterAutospacing="1"/>
      <w:jc w:val="right"/>
    </w:pPr>
    <w:rPr>
      <w:rFonts w:ascii="Book Antiqua" w:hAnsi="Book Antiqua"/>
      <w:sz w:val="16"/>
      <w:szCs w:val="16"/>
      <w:lang w:val="es-ES" w:eastAsia="es-ES"/>
    </w:rPr>
  </w:style>
  <w:style w:type="character" w:customStyle="1" w:styleId="HeaderChar">
    <w:name w:val="Header Char"/>
    <w:basedOn w:val="Fuentedeprrafopredeter"/>
    <w:uiPriority w:val="99"/>
    <w:rsid w:val="006B3679"/>
    <w:rPr>
      <w:sz w:val="24"/>
      <w:lang w:val="en-GB"/>
    </w:rPr>
  </w:style>
  <w:style w:type="paragraph" w:styleId="Prrafodelista">
    <w:name w:val="List Paragraph"/>
    <w:basedOn w:val="Normal"/>
    <w:link w:val="PrrafodelistaCar"/>
    <w:uiPriority w:val="34"/>
    <w:qFormat/>
    <w:rsid w:val="006B3679"/>
    <w:pPr>
      <w:ind w:left="720"/>
    </w:pPr>
  </w:style>
  <w:style w:type="character" w:customStyle="1" w:styleId="FooterChar">
    <w:name w:val="Footer Char"/>
    <w:basedOn w:val="Fuentedeprrafopredeter"/>
    <w:rsid w:val="006B3679"/>
    <w:rPr>
      <w:sz w:val="24"/>
      <w:lang w:val="en-GB"/>
    </w:rPr>
  </w:style>
  <w:style w:type="paragraph" w:customStyle="1" w:styleId="Textonota2">
    <w:name w:val="Texto nota 2"/>
    <w:basedOn w:val="Textonota1"/>
    <w:rsid w:val="006B3679"/>
    <w:pPr>
      <w:ind w:left="1152"/>
      <w:jc w:val="left"/>
    </w:pPr>
    <w:rPr>
      <w:rFonts w:ascii="Arial" w:hAnsi="Arial"/>
      <w:sz w:val="19"/>
    </w:rPr>
  </w:style>
  <w:style w:type="character" w:customStyle="1" w:styleId="Heading1Char">
    <w:name w:val="Heading 1 Char"/>
    <w:basedOn w:val="Fuentedeprrafopredeter"/>
    <w:rsid w:val="006B3679"/>
    <w:rPr>
      <w:b/>
      <w:lang w:val="es-ES_tradnl"/>
    </w:rPr>
  </w:style>
  <w:style w:type="paragraph" w:customStyle="1" w:styleId="Titulonota">
    <w:name w:val="Titulo nota"/>
    <w:basedOn w:val="Normal"/>
    <w:rsid w:val="006B3679"/>
    <w:pPr>
      <w:jc w:val="both"/>
    </w:pPr>
    <w:rPr>
      <w:rFonts w:ascii="Arial" w:hAnsi="Arial"/>
      <w:b/>
      <w:caps/>
      <w:sz w:val="22"/>
      <w:lang w:val="es-ES_tradnl" w:eastAsia="es-ES"/>
    </w:rPr>
  </w:style>
  <w:style w:type="paragraph" w:customStyle="1" w:styleId="AEVEDOSPrrafopostNotaNumerada">
    <w:name w:val="AEV EDOS Párrafo post Nota Numerada"/>
    <w:basedOn w:val="Normal"/>
    <w:rsid w:val="006B3679"/>
    <w:pPr>
      <w:overflowPunct w:val="0"/>
      <w:autoSpaceDE w:val="0"/>
      <w:autoSpaceDN w:val="0"/>
      <w:adjustRightInd w:val="0"/>
      <w:ind w:left="992"/>
      <w:jc w:val="both"/>
      <w:textAlignment w:val="baseline"/>
    </w:pPr>
    <w:rPr>
      <w:rFonts w:ascii="Arial" w:hAnsi="Arial"/>
      <w:sz w:val="21"/>
      <w:lang w:val="es-ES_tradnl"/>
    </w:rPr>
  </w:style>
  <w:style w:type="paragraph" w:customStyle="1" w:styleId="NotaN">
    <w:name w:val="Nota Nº"/>
    <w:basedOn w:val="Normal"/>
    <w:rsid w:val="00AE7043"/>
    <w:pPr>
      <w:jc w:val="both"/>
    </w:pPr>
    <w:rPr>
      <w:rFonts w:ascii="Arial" w:hAnsi="Arial"/>
      <w:b/>
      <w:lang w:eastAsia="es-ES"/>
    </w:rPr>
  </w:style>
  <w:style w:type="paragraph" w:customStyle="1" w:styleId="2Ttulo">
    <w:name w:val="2Título"/>
    <w:basedOn w:val="Normal"/>
    <w:rsid w:val="005F7FD3"/>
    <w:pPr>
      <w:jc w:val="center"/>
    </w:pPr>
    <w:rPr>
      <w:b/>
      <w:lang w:eastAsia="es-ES"/>
    </w:rPr>
  </w:style>
  <w:style w:type="paragraph" w:customStyle="1" w:styleId="3Subttulo">
    <w:name w:val="3Subtítulo"/>
    <w:basedOn w:val="Normal"/>
    <w:rsid w:val="00013B98"/>
    <w:pPr>
      <w:jc w:val="center"/>
    </w:pPr>
    <w:rPr>
      <w:lang w:eastAsia="es-ES"/>
    </w:rPr>
  </w:style>
  <w:style w:type="paragraph" w:customStyle="1" w:styleId="Textodetabla">
    <w:name w:val="Texto de tabla"/>
    <w:basedOn w:val="Normal"/>
    <w:rsid w:val="00013B98"/>
    <w:pPr>
      <w:tabs>
        <w:tab w:val="decimal"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pPr>
    <w:rPr>
      <w:rFonts w:ascii="Arial" w:hAnsi="Arial"/>
      <w:sz w:val="16"/>
      <w:lang w:eastAsia="es-ES"/>
    </w:rPr>
  </w:style>
  <w:style w:type="paragraph" w:customStyle="1" w:styleId="Textopredeterminado">
    <w:name w:val="Texto predeterminado"/>
    <w:basedOn w:val="Normal"/>
    <w:rsid w:val="00013B98"/>
    <w:rPr>
      <w:i/>
      <w:snapToGrid w:val="0"/>
      <w:lang w:val="en-US" w:eastAsia="es-ES"/>
    </w:rPr>
  </w:style>
  <w:style w:type="paragraph" w:customStyle="1" w:styleId="1Empresa">
    <w:name w:val="1Empresa"/>
    <w:basedOn w:val="Normal"/>
    <w:rsid w:val="009B7B85"/>
    <w:pPr>
      <w:jc w:val="center"/>
    </w:pPr>
    <w:rPr>
      <w:b/>
      <w:sz w:val="36"/>
      <w:lang w:eastAsia="es-ES"/>
    </w:rPr>
  </w:style>
  <w:style w:type="paragraph" w:customStyle="1" w:styleId="Texto1">
    <w:name w:val="Texto_1"/>
    <w:basedOn w:val="Textodebloque"/>
    <w:rsid w:val="006449D8"/>
    <w:pPr>
      <w:spacing w:before="14" w:after="14"/>
      <w:ind w:left="709" w:right="72"/>
    </w:pPr>
    <w:rPr>
      <w:rFonts w:ascii="Courier New" w:hAnsi="Courier New"/>
      <w:sz w:val="14"/>
      <w:lang w:val="es-ES_tradnl"/>
    </w:rPr>
  </w:style>
  <w:style w:type="paragraph" w:styleId="Textodebloque">
    <w:name w:val="Block Text"/>
    <w:aliases w:val="5 Sgl J,75 Sgl J,blk"/>
    <w:basedOn w:val="Normal"/>
    <w:rsid w:val="006449D8"/>
    <w:pPr>
      <w:spacing w:after="120"/>
      <w:ind w:left="1440" w:right="1440"/>
    </w:pPr>
  </w:style>
  <w:style w:type="paragraph" w:customStyle="1" w:styleId="CharCharChar">
    <w:name w:val="Char Char Char"/>
    <w:basedOn w:val="Normal"/>
    <w:rsid w:val="00D85D5C"/>
    <w:pPr>
      <w:spacing w:after="160" w:line="240" w:lineRule="exact"/>
    </w:pPr>
    <w:rPr>
      <w:rFonts w:ascii="Verdana" w:eastAsia="PMingLiU" w:hAnsi="Verdana"/>
      <w:sz w:val="20"/>
      <w:lang w:val="en-US"/>
    </w:rPr>
  </w:style>
  <w:style w:type="paragraph" w:customStyle="1" w:styleId="Car">
    <w:name w:val="Car"/>
    <w:basedOn w:val="Normal"/>
    <w:rsid w:val="009F67F2"/>
    <w:pPr>
      <w:spacing w:after="160" w:line="240" w:lineRule="exact"/>
    </w:pPr>
    <w:rPr>
      <w:rFonts w:ascii="Verdana" w:eastAsia="PMingLiU" w:hAnsi="Verdana"/>
      <w:sz w:val="20"/>
      <w:lang w:val="en-US"/>
    </w:rPr>
  </w:style>
  <w:style w:type="paragraph" w:customStyle="1" w:styleId="Estndar">
    <w:name w:val="Estándar"/>
    <w:basedOn w:val="Normal"/>
    <w:rsid w:val="004179D0"/>
    <w:pPr>
      <w:jc w:val="both"/>
    </w:pPr>
    <w:rPr>
      <w:lang w:val="es-ES_tradnl"/>
    </w:rPr>
  </w:style>
  <w:style w:type="paragraph" w:customStyle="1" w:styleId="Prrafodelista1">
    <w:name w:val="Párrafo de lista1"/>
    <w:basedOn w:val="Normal"/>
    <w:qFormat/>
    <w:rsid w:val="00CA7761"/>
    <w:pPr>
      <w:ind w:left="720"/>
      <w:contextualSpacing/>
    </w:pPr>
    <w:rPr>
      <w:szCs w:val="24"/>
      <w:lang w:val="es-ES" w:eastAsia="es-ES"/>
    </w:rPr>
  </w:style>
  <w:style w:type="paragraph" w:customStyle="1" w:styleId="CarCarCarCar1CharCarCarCarCar">
    <w:name w:val="Car Car Car Car1 Char Car Car Car Car"/>
    <w:basedOn w:val="Normal"/>
    <w:rsid w:val="003E0E59"/>
    <w:pPr>
      <w:spacing w:after="160" w:line="240" w:lineRule="exact"/>
    </w:pPr>
    <w:rPr>
      <w:rFonts w:ascii="Verdana" w:eastAsia="PMingLiU" w:hAnsi="Verdana"/>
      <w:sz w:val="20"/>
      <w:lang w:val="en-US"/>
    </w:rPr>
  </w:style>
  <w:style w:type="paragraph" w:customStyle="1" w:styleId="CarCarCarCar1CharCarCarCarCarCarCar">
    <w:name w:val="Car Car Car Car1 Char Car Car Car Car Car Car"/>
    <w:basedOn w:val="Normal"/>
    <w:rsid w:val="00804041"/>
    <w:pPr>
      <w:spacing w:after="160" w:line="240" w:lineRule="exact"/>
    </w:pPr>
    <w:rPr>
      <w:rFonts w:ascii="Verdana" w:eastAsia="PMingLiU" w:hAnsi="Verdana"/>
      <w:sz w:val="20"/>
      <w:lang w:val="en-US"/>
    </w:rPr>
  </w:style>
  <w:style w:type="paragraph" w:styleId="Asuntodelcomentario">
    <w:name w:val="annotation subject"/>
    <w:basedOn w:val="Textocomentario"/>
    <w:next w:val="Textocomentario"/>
    <w:link w:val="AsuntodelcomentarioCar"/>
    <w:rsid w:val="0063670E"/>
    <w:rPr>
      <w:b/>
      <w:bCs/>
    </w:rPr>
  </w:style>
  <w:style w:type="paragraph" w:customStyle="1" w:styleId="CarCharCharChar">
    <w:name w:val="Car Char Char Char"/>
    <w:basedOn w:val="Normal"/>
    <w:rsid w:val="007C70CB"/>
    <w:pPr>
      <w:spacing w:after="160" w:line="240" w:lineRule="exact"/>
    </w:pPr>
    <w:rPr>
      <w:rFonts w:ascii="Verdana" w:eastAsia="PMingLiU" w:hAnsi="Verdana"/>
      <w:sz w:val="20"/>
      <w:lang w:val="en-US"/>
    </w:rPr>
  </w:style>
  <w:style w:type="paragraph" w:customStyle="1" w:styleId="Car1CharCharChar">
    <w:name w:val="Car1 Char Char Char"/>
    <w:basedOn w:val="Normal"/>
    <w:rsid w:val="000E07F9"/>
    <w:pPr>
      <w:spacing w:after="160" w:line="240" w:lineRule="exact"/>
    </w:pPr>
    <w:rPr>
      <w:rFonts w:ascii="Verdana" w:eastAsia="PMingLiU" w:hAnsi="Verdana"/>
      <w:sz w:val="20"/>
      <w:lang w:val="en-US"/>
    </w:rPr>
  </w:style>
  <w:style w:type="paragraph" w:customStyle="1" w:styleId="CarCarCarCar1">
    <w:name w:val="Car Car Car Car1"/>
    <w:basedOn w:val="Normal"/>
    <w:rsid w:val="00D74B00"/>
    <w:pPr>
      <w:spacing w:after="160" w:line="240" w:lineRule="exact"/>
    </w:pPr>
    <w:rPr>
      <w:rFonts w:ascii="Verdana" w:eastAsia="PMingLiU" w:hAnsi="Verdana"/>
      <w:sz w:val="20"/>
      <w:lang w:val="en-US"/>
    </w:rPr>
  </w:style>
  <w:style w:type="paragraph" w:customStyle="1" w:styleId="Simple">
    <w:name w:val="Simple"/>
    <w:basedOn w:val="Normal"/>
    <w:rsid w:val="00A8462A"/>
    <w:rPr>
      <w:lang w:val="es-ES_tradnl"/>
    </w:rPr>
  </w:style>
  <w:style w:type="paragraph" w:customStyle="1" w:styleId="CarCarCarCar1CharCarCarCarCarCarCarCar">
    <w:name w:val="Car Car Car Car1 Char Car Car Car Car Car Car Car"/>
    <w:basedOn w:val="Normal"/>
    <w:rsid w:val="00F84395"/>
    <w:pPr>
      <w:spacing w:after="160" w:line="240" w:lineRule="exact"/>
    </w:pPr>
    <w:rPr>
      <w:rFonts w:ascii="Verdana" w:eastAsia="PMingLiU" w:hAnsi="Verdana"/>
      <w:sz w:val="20"/>
      <w:lang w:val="en-US"/>
    </w:rPr>
  </w:style>
  <w:style w:type="paragraph" w:customStyle="1" w:styleId="CharChar">
    <w:name w:val="Char Char"/>
    <w:basedOn w:val="Normal"/>
    <w:rsid w:val="00F46FE9"/>
    <w:pPr>
      <w:spacing w:after="160" w:line="240" w:lineRule="exact"/>
    </w:pPr>
    <w:rPr>
      <w:rFonts w:ascii="Verdana" w:eastAsia="PMingLiU" w:hAnsi="Verdana"/>
      <w:sz w:val="20"/>
      <w:lang w:val="en-US"/>
    </w:rPr>
  </w:style>
  <w:style w:type="character" w:customStyle="1" w:styleId="noticia1">
    <w:name w:val="noticia1"/>
    <w:basedOn w:val="Fuentedeprrafopredeter"/>
    <w:rsid w:val="007E078A"/>
    <w:rPr>
      <w:rFonts w:ascii="Arial" w:hAnsi="Arial" w:cs="Arial" w:hint="default"/>
      <w:sz w:val="17"/>
      <w:szCs w:val="17"/>
    </w:rPr>
  </w:style>
  <w:style w:type="table" w:styleId="Tablaconcuadrcula">
    <w:name w:val="Table Grid"/>
    <w:basedOn w:val="Tablanormal"/>
    <w:uiPriority w:val="39"/>
    <w:rsid w:val="00515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NDENTEDPARA">
    <w:name w:val="A INDENTED PARA"/>
    <w:basedOn w:val="Normal"/>
    <w:rsid w:val="00F95AD9"/>
    <w:pPr>
      <w:ind w:left="360"/>
      <w:jc w:val="both"/>
    </w:pPr>
    <w:rPr>
      <w:rFonts w:ascii="Book Antiqua" w:hAnsi="Book Antiqua"/>
      <w:sz w:val="22"/>
      <w:lang w:val="es-ES"/>
    </w:rPr>
  </w:style>
  <w:style w:type="character" w:customStyle="1" w:styleId="Table10pt">
    <w:name w:val="Table 10 pt"/>
    <w:basedOn w:val="Fuentedeprrafopredeter"/>
    <w:rsid w:val="001816FB"/>
    <w:rPr>
      <w:rFonts w:ascii="Arial" w:hAnsi="Arial" w:cs="Times New Roman"/>
      <w:color w:val="auto"/>
      <w:spacing w:val="0"/>
      <w:sz w:val="20"/>
      <w:szCs w:val="20"/>
      <w:u w:val="none"/>
      <w:vertAlign w:val="baseline"/>
    </w:rPr>
  </w:style>
  <w:style w:type="paragraph" w:customStyle="1" w:styleId="Sinespaciado1">
    <w:name w:val="Sin espaciado1"/>
    <w:link w:val="SinespaciadoCar"/>
    <w:qFormat/>
    <w:rsid w:val="00151AE1"/>
    <w:pPr>
      <w:jc w:val="both"/>
    </w:pPr>
    <w:rPr>
      <w:rFonts w:ascii="Univers" w:eastAsia="Calibri" w:hAnsi="Univers"/>
      <w:sz w:val="18"/>
      <w:szCs w:val="22"/>
      <w:lang w:eastAsia="en-US"/>
    </w:rPr>
  </w:style>
  <w:style w:type="character" w:customStyle="1" w:styleId="SinespaciadoCar">
    <w:name w:val="Sin espaciado Car"/>
    <w:basedOn w:val="Fuentedeprrafopredeter"/>
    <w:link w:val="Sinespaciado1"/>
    <w:rsid w:val="00151AE1"/>
    <w:rPr>
      <w:rFonts w:ascii="Univers" w:eastAsia="Calibri" w:hAnsi="Univers"/>
      <w:sz w:val="18"/>
      <w:szCs w:val="22"/>
      <w:lang w:val="es-AR" w:eastAsia="en-US" w:bidi="ar-SA"/>
    </w:rPr>
  </w:style>
  <w:style w:type="paragraph" w:customStyle="1" w:styleId="1Empresa1">
    <w:name w:val="1Empresa:1"/>
    <w:basedOn w:val="Normal"/>
    <w:rsid w:val="00AD0421"/>
    <w:rPr>
      <w:b/>
      <w:sz w:val="36"/>
      <w:lang w:eastAsia="es-ES"/>
    </w:rPr>
  </w:style>
  <w:style w:type="paragraph" w:customStyle="1" w:styleId="Textopredeterminado1">
    <w:name w:val="Texto predeterminado:1"/>
    <w:basedOn w:val="Normal"/>
    <w:uiPriority w:val="99"/>
    <w:rsid w:val="008814AB"/>
    <w:rPr>
      <w:rFonts w:ascii="Arial" w:hAnsi="Arial"/>
      <w:lang w:eastAsia="es-ES"/>
    </w:rPr>
  </w:style>
  <w:style w:type="character" w:customStyle="1" w:styleId="PiedepginaCar">
    <w:name w:val="Pie de página Car"/>
    <w:basedOn w:val="Fuentedeprrafopredeter"/>
    <w:link w:val="Piedepgina"/>
    <w:uiPriority w:val="99"/>
    <w:rsid w:val="00E05C63"/>
    <w:rPr>
      <w:rFonts w:ascii="Arial" w:hAnsi="Arial" w:cs="Arial"/>
      <w:sz w:val="24"/>
      <w:lang w:val="it-IT" w:eastAsia="en-US"/>
    </w:rPr>
  </w:style>
  <w:style w:type="character" w:customStyle="1" w:styleId="EncabezadoCar">
    <w:name w:val="Encabezado Car"/>
    <w:basedOn w:val="Fuentedeprrafopredeter"/>
    <w:link w:val="Encabezado"/>
    <w:uiPriority w:val="99"/>
    <w:rsid w:val="00ED64CC"/>
    <w:rPr>
      <w:sz w:val="24"/>
      <w:lang w:val="en-GB" w:eastAsia="en-US"/>
    </w:rPr>
  </w:style>
  <w:style w:type="character" w:customStyle="1" w:styleId="Ttulo1Car">
    <w:name w:val="Título 1 Car"/>
    <w:basedOn w:val="Fuentedeprrafopredeter"/>
    <w:link w:val="Ttulo1"/>
    <w:rsid w:val="001D0E9F"/>
    <w:rPr>
      <w:b/>
      <w:lang w:val="es-ES_tradnl" w:eastAsia="en-US"/>
    </w:rPr>
  </w:style>
  <w:style w:type="character" w:customStyle="1" w:styleId="Ttulo2Car">
    <w:name w:val="Título 2 Car"/>
    <w:basedOn w:val="Fuentedeprrafopredeter"/>
    <w:link w:val="Ttulo2"/>
    <w:uiPriority w:val="9"/>
    <w:rsid w:val="001D0E9F"/>
    <w:rPr>
      <w:sz w:val="24"/>
      <w:u w:val="single"/>
      <w:lang w:val="es-ES_tradnl" w:eastAsia="en-US"/>
    </w:rPr>
  </w:style>
  <w:style w:type="character" w:customStyle="1" w:styleId="Ttulo3Car">
    <w:name w:val="Título 3 Car"/>
    <w:basedOn w:val="Fuentedeprrafopredeter"/>
    <w:link w:val="Ttulo3"/>
    <w:rsid w:val="001D0E9F"/>
    <w:rPr>
      <w:b/>
      <w:sz w:val="24"/>
      <w:lang w:val="es-ES_tradnl" w:eastAsia="en-US"/>
    </w:rPr>
  </w:style>
  <w:style w:type="character" w:customStyle="1" w:styleId="Ttulo4Car">
    <w:name w:val="Título 4 Car"/>
    <w:basedOn w:val="Fuentedeprrafopredeter"/>
    <w:link w:val="Ttulo4"/>
    <w:rsid w:val="001D0E9F"/>
    <w:rPr>
      <w:b/>
      <w:sz w:val="24"/>
      <w:lang w:val="es-ES_tradnl" w:eastAsia="en-US"/>
    </w:rPr>
  </w:style>
  <w:style w:type="character" w:customStyle="1" w:styleId="Ttulo5Car">
    <w:name w:val="Título 5 Car"/>
    <w:basedOn w:val="Fuentedeprrafopredeter"/>
    <w:link w:val="Ttulo5"/>
    <w:rsid w:val="001D0E9F"/>
    <w:rPr>
      <w:u w:val="single"/>
      <w:lang w:val="es-ES_tradnl" w:eastAsia="en-US"/>
    </w:rPr>
  </w:style>
  <w:style w:type="character" w:customStyle="1" w:styleId="Ttulo6Car">
    <w:name w:val="Título 6 Car"/>
    <w:basedOn w:val="Fuentedeprrafopredeter"/>
    <w:link w:val="Ttulo6"/>
    <w:rsid w:val="001D0E9F"/>
    <w:rPr>
      <w:b/>
      <w:sz w:val="24"/>
      <w:lang w:val="es-ES_tradnl" w:eastAsia="en-US"/>
    </w:rPr>
  </w:style>
  <w:style w:type="character" w:customStyle="1" w:styleId="Ttulo7Car">
    <w:name w:val="Título 7 Car"/>
    <w:basedOn w:val="Fuentedeprrafopredeter"/>
    <w:link w:val="Ttulo7"/>
    <w:rsid w:val="001D0E9F"/>
    <w:rPr>
      <w:b/>
      <w:sz w:val="22"/>
      <w:lang w:val="es-ES_tradnl" w:eastAsia="en-US"/>
    </w:rPr>
  </w:style>
  <w:style w:type="character" w:customStyle="1" w:styleId="Ttulo8Car">
    <w:name w:val="Título 8 Car"/>
    <w:basedOn w:val="Fuentedeprrafopredeter"/>
    <w:link w:val="Ttulo8"/>
    <w:rsid w:val="001D0E9F"/>
    <w:rPr>
      <w:b/>
      <w:sz w:val="22"/>
      <w:u w:val="single"/>
      <w:lang w:val="es-ES_tradnl" w:eastAsia="en-US"/>
    </w:rPr>
  </w:style>
  <w:style w:type="character" w:customStyle="1" w:styleId="Textoindependiente2Car">
    <w:name w:val="Texto independiente 2 Car"/>
    <w:basedOn w:val="Fuentedeprrafopredeter"/>
    <w:link w:val="Textoindependiente2"/>
    <w:uiPriority w:val="99"/>
    <w:rsid w:val="001D0E9F"/>
    <w:rPr>
      <w:b/>
      <w:sz w:val="22"/>
      <w:lang w:val="es-ES_tradnl" w:eastAsia="en-US"/>
    </w:rPr>
  </w:style>
  <w:style w:type="paragraph" w:styleId="Mapadeldocumento">
    <w:name w:val="Document Map"/>
    <w:basedOn w:val="Normal"/>
    <w:link w:val="MapadeldocumentoCar"/>
    <w:semiHidden/>
    <w:rsid w:val="001D0E9F"/>
    <w:pPr>
      <w:shd w:val="clear" w:color="auto" w:fill="000080"/>
    </w:pPr>
    <w:rPr>
      <w:rFonts w:ascii="Tahoma" w:hAnsi="Tahoma"/>
      <w:sz w:val="20"/>
      <w:lang w:val="es-ES_tradnl"/>
    </w:rPr>
  </w:style>
  <w:style w:type="character" w:customStyle="1" w:styleId="MapadeldocumentoCar">
    <w:name w:val="Mapa del documento Car"/>
    <w:basedOn w:val="Fuentedeprrafopredeter"/>
    <w:link w:val="Mapadeldocumento"/>
    <w:semiHidden/>
    <w:rsid w:val="001D0E9F"/>
    <w:rPr>
      <w:rFonts w:ascii="Tahoma" w:hAnsi="Tahoma"/>
      <w:shd w:val="clear" w:color="auto" w:fill="000080"/>
      <w:lang w:val="es-ES_tradnl" w:eastAsia="en-US"/>
    </w:rPr>
  </w:style>
  <w:style w:type="character" w:customStyle="1" w:styleId="TextoindependienteCar">
    <w:name w:val="Texto independiente Car"/>
    <w:basedOn w:val="Fuentedeprrafopredeter"/>
    <w:link w:val="Textoindependiente"/>
    <w:rsid w:val="001D0E9F"/>
    <w:rPr>
      <w:sz w:val="24"/>
      <w:lang w:val="es-ES_tradnl" w:eastAsia="en-US"/>
    </w:rPr>
  </w:style>
  <w:style w:type="character" w:customStyle="1" w:styleId="Sangra2detindependienteCar">
    <w:name w:val="Sangría 2 de t. independiente Car"/>
    <w:basedOn w:val="Fuentedeprrafopredeter"/>
    <w:link w:val="Sangra2detindependiente"/>
    <w:rsid w:val="001D0E9F"/>
    <w:rPr>
      <w:bCs/>
      <w:sz w:val="24"/>
      <w:lang w:val="es-ES_tradnl" w:eastAsia="en-US"/>
    </w:rPr>
  </w:style>
  <w:style w:type="character" w:customStyle="1" w:styleId="SangradetextonormalCar">
    <w:name w:val="Sangría de texto normal Car"/>
    <w:basedOn w:val="Fuentedeprrafopredeter"/>
    <w:link w:val="Sangradetextonormal"/>
    <w:rsid w:val="001D0E9F"/>
    <w:rPr>
      <w:b/>
      <w:sz w:val="24"/>
      <w:lang w:val="es-ES_tradnl" w:eastAsia="en-US"/>
    </w:rPr>
  </w:style>
  <w:style w:type="character" w:customStyle="1" w:styleId="Sangra3detindependienteCar">
    <w:name w:val="Sangría 3 de t. independiente Car"/>
    <w:basedOn w:val="Fuentedeprrafopredeter"/>
    <w:link w:val="Sangra3detindependiente"/>
    <w:rsid w:val="001D0E9F"/>
    <w:rPr>
      <w:sz w:val="22"/>
      <w:lang w:val="es-ES_tradnl" w:eastAsia="en-US"/>
    </w:rPr>
  </w:style>
  <w:style w:type="character" w:customStyle="1" w:styleId="Textoindependiente3Car">
    <w:name w:val="Texto independiente 3 Car"/>
    <w:basedOn w:val="Fuentedeprrafopredeter"/>
    <w:link w:val="Textoindependiente3"/>
    <w:rsid w:val="001D0E9F"/>
    <w:rPr>
      <w:sz w:val="22"/>
      <w:lang w:eastAsia="en-US"/>
    </w:rPr>
  </w:style>
  <w:style w:type="character" w:customStyle="1" w:styleId="AAReference">
    <w:name w:val="AA Reference"/>
    <w:basedOn w:val="Fuentedeprrafopredeter"/>
    <w:rsid w:val="001D0E9F"/>
    <w:rPr>
      <w:rFonts w:ascii="Arial" w:hAnsi="Arial" w:cs="Times New Roman"/>
      <w:color w:val="auto"/>
      <w:spacing w:val="0"/>
      <w:w w:val="100"/>
      <w:position w:val="0"/>
      <w:sz w:val="14"/>
      <w:vertAlign w:val="baseline"/>
      <w:lang w:val="en-US"/>
    </w:rPr>
  </w:style>
  <w:style w:type="paragraph" w:styleId="Listaconvietas2">
    <w:name w:val="List Bullet 2"/>
    <w:basedOn w:val="Normal"/>
    <w:autoRedefine/>
    <w:rsid w:val="001D0E9F"/>
    <w:pPr>
      <w:numPr>
        <w:numId w:val="1"/>
      </w:numPr>
      <w:tabs>
        <w:tab w:val="clear" w:pos="643"/>
        <w:tab w:val="left" w:pos="567"/>
        <w:tab w:val="left" w:pos="1134"/>
      </w:tabs>
      <w:spacing w:line="240" w:lineRule="atLeast"/>
      <w:ind w:left="0" w:firstLine="0"/>
    </w:pPr>
    <w:rPr>
      <w:sz w:val="20"/>
    </w:rPr>
  </w:style>
  <w:style w:type="paragraph" w:customStyle="1" w:styleId="COMUTEXTO">
    <w:name w:val="COMUTEXTO"/>
    <w:basedOn w:val="Normal"/>
    <w:rsid w:val="001D0E9F"/>
    <w:pPr>
      <w:autoSpaceDE w:val="0"/>
      <w:autoSpaceDN w:val="0"/>
      <w:ind w:right="567" w:firstLine="1418"/>
      <w:jc w:val="both"/>
    </w:pPr>
    <w:rPr>
      <w:rFonts w:ascii="Arial" w:hAnsi="Arial" w:cs="Arial"/>
      <w:sz w:val="20"/>
      <w:lang w:val="es-ES_tradnl"/>
    </w:rPr>
  </w:style>
  <w:style w:type="paragraph" w:styleId="Textosinformato">
    <w:name w:val="Plain Text"/>
    <w:basedOn w:val="Normal"/>
    <w:link w:val="TextosinformatoCar"/>
    <w:uiPriority w:val="99"/>
    <w:rsid w:val="001D0E9F"/>
    <w:rPr>
      <w:rFonts w:ascii="Courier New" w:hAnsi="Courier New"/>
      <w:sz w:val="20"/>
      <w:lang w:val="es-ES"/>
    </w:rPr>
  </w:style>
  <w:style w:type="character" w:customStyle="1" w:styleId="TextosinformatoCar">
    <w:name w:val="Texto sin formato Car"/>
    <w:basedOn w:val="Fuentedeprrafopredeter"/>
    <w:link w:val="Textosinformato"/>
    <w:uiPriority w:val="99"/>
    <w:rsid w:val="001D0E9F"/>
    <w:rPr>
      <w:rFonts w:ascii="Courier New" w:hAnsi="Courier New"/>
      <w:lang w:val="es-ES" w:eastAsia="en-US"/>
    </w:rPr>
  </w:style>
  <w:style w:type="paragraph" w:customStyle="1" w:styleId="Textodeglobo1">
    <w:name w:val="Texto de globo1"/>
    <w:basedOn w:val="Normal"/>
    <w:semiHidden/>
    <w:rsid w:val="001D0E9F"/>
    <w:rPr>
      <w:rFonts w:ascii="Tahoma" w:hAnsi="Tahoma" w:cs="Tahoma"/>
      <w:sz w:val="16"/>
      <w:szCs w:val="16"/>
      <w:lang w:val="es-ES_tradnl"/>
    </w:rPr>
  </w:style>
  <w:style w:type="character" w:customStyle="1" w:styleId="TextocomentarioCar">
    <w:name w:val="Texto comentario Car"/>
    <w:basedOn w:val="Fuentedeprrafopredeter"/>
    <w:link w:val="Textocomentario"/>
    <w:uiPriority w:val="99"/>
    <w:rsid w:val="001D0E9F"/>
    <w:rPr>
      <w:lang w:val="en-GB" w:eastAsia="en-US"/>
    </w:rPr>
  </w:style>
  <w:style w:type="paragraph" w:customStyle="1" w:styleId="Asuntodelcomentario1">
    <w:name w:val="Asunto del comentario1"/>
    <w:basedOn w:val="Textocomentario"/>
    <w:next w:val="Textocomentario"/>
    <w:semiHidden/>
    <w:rsid w:val="001D0E9F"/>
    <w:rPr>
      <w:b/>
      <w:bCs/>
      <w:lang w:val="es-ES_tradnl"/>
    </w:rPr>
  </w:style>
  <w:style w:type="paragraph" w:styleId="NormalWeb">
    <w:name w:val="Normal (Web)"/>
    <w:basedOn w:val="Normal"/>
    <w:uiPriority w:val="99"/>
    <w:rsid w:val="001D0E9F"/>
    <w:pPr>
      <w:spacing w:before="100" w:beforeAutospacing="1" w:after="100" w:afterAutospacing="1"/>
    </w:pPr>
    <w:rPr>
      <w:szCs w:val="24"/>
      <w:lang w:val="es-ES" w:eastAsia="es-ES"/>
    </w:rPr>
  </w:style>
  <w:style w:type="character" w:customStyle="1" w:styleId="InitialStyle">
    <w:name w:val="InitialStyle"/>
    <w:rsid w:val="001D0E9F"/>
    <w:rPr>
      <w:rFonts w:ascii="Times New Roman" w:hAnsi="Times New Roman"/>
      <w:color w:val="auto"/>
      <w:spacing w:val="0"/>
      <w:sz w:val="24"/>
    </w:rPr>
  </w:style>
  <w:style w:type="character" w:styleId="Textoennegrita">
    <w:name w:val="Strong"/>
    <w:basedOn w:val="Fuentedeprrafopredeter"/>
    <w:qFormat/>
    <w:rsid w:val="001D0E9F"/>
    <w:rPr>
      <w:rFonts w:cs="Times New Roman"/>
      <w:b/>
      <w:bCs/>
    </w:rPr>
  </w:style>
  <w:style w:type="paragraph" w:customStyle="1" w:styleId="Estilo">
    <w:name w:val="Estilo"/>
    <w:basedOn w:val="Normal"/>
    <w:rsid w:val="001D0E9F"/>
    <w:pPr>
      <w:spacing w:after="160" w:line="240" w:lineRule="exact"/>
    </w:pPr>
    <w:rPr>
      <w:rFonts w:ascii="Verdana" w:eastAsia="PMingLiU" w:hAnsi="Verdana"/>
      <w:sz w:val="20"/>
      <w:lang w:val="en-US"/>
    </w:rPr>
  </w:style>
  <w:style w:type="character" w:customStyle="1" w:styleId="TextodegloboCar">
    <w:name w:val="Texto de globo Car"/>
    <w:basedOn w:val="Fuentedeprrafopredeter"/>
    <w:link w:val="Textodeglobo"/>
    <w:uiPriority w:val="99"/>
    <w:rsid w:val="001D0E9F"/>
    <w:rPr>
      <w:rFonts w:ascii="Tahoma" w:hAnsi="Tahoma" w:cs="Tahoma"/>
      <w:sz w:val="16"/>
      <w:szCs w:val="16"/>
      <w:lang w:val="en-GB" w:eastAsia="en-US"/>
    </w:rPr>
  </w:style>
  <w:style w:type="character" w:customStyle="1" w:styleId="CarCar1">
    <w:name w:val="Car Car1"/>
    <w:basedOn w:val="Fuentedeprrafopredeter"/>
    <w:semiHidden/>
    <w:rsid w:val="001D0E9F"/>
    <w:rPr>
      <w:rFonts w:ascii="Tahoma" w:hAnsi="Tahoma" w:cs="Tahoma"/>
      <w:sz w:val="16"/>
      <w:szCs w:val="16"/>
      <w:lang w:val="es-ES_tradnl"/>
    </w:rPr>
  </w:style>
  <w:style w:type="paragraph" w:customStyle="1" w:styleId="CarCarCarCar">
    <w:name w:val="Car Car Car Car"/>
    <w:basedOn w:val="Normal"/>
    <w:rsid w:val="001D0E9F"/>
    <w:pPr>
      <w:spacing w:after="160" w:line="240" w:lineRule="exact"/>
    </w:pPr>
    <w:rPr>
      <w:rFonts w:ascii="Verdana" w:eastAsia="PMingLiU" w:hAnsi="Verdana"/>
      <w:sz w:val="20"/>
      <w:lang w:val="en-US"/>
    </w:rPr>
  </w:style>
  <w:style w:type="paragraph" w:customStyle="1" w:styleId="CarCarCarCar1CharCarCarCarCar1">
    <w:name w:val="Car Car Car Car1 Char Car Car Car Car1"/>
    <w:basedOn w:val="Normal"/>
    <w:rsid w:val="001D0E9F"/>
    <w:pPr>
      <w:spacing w:after="160" w:line="240" w:lineRule="exact"/>
    </w:pPr>
    <w:rPr>
      <w:rFonts w:ascii="Verdana" w:eastAsia="PMingLiU" w:hAnsi="Verdana"/>
      <w:sz w:val="20"/>
      <w:lang w:val="en-US"/>
    </w:rPr>
  </w:style>
  <w:style w:type="paragraph" w:customStyle="1" w:styleId="CarCarCarCar1CharCar">
    <w:name w:val="Car Car Car Car1 Char Car"/>
    <w:basedOn w:val="Normal"/>
    <w:rsid w:val="001D0E9F"/>
    <w:pPr>
      <w:spacing w:after="160" w:line="240" w:lineRule="exact"/>
    </w:pPr>
    <w:rPr>
      <w:rFonts w:ascii="Verdana" w:eastAsia="PMingLiU" w:hAnsi="Verdana"/>
      <w:sz w:val="20"/>
      <w:lang w:val="en-US"/>
    </w:rPr>
  </w:style>
  <w:style w:type="paragraph" w:customStyle="1" w:styleId="Car1">
    <w:name w:val="Car1"/>
    <w:basedOn w:val="Normal"/>
    <w:rsid w:val="001D0E9F"/>
    <w:pPr>
      <w:spacing w:after="160" w:line="240" w:lineRule="exact"/>
    </w:pPr>
    <w:rPr>
      <w:rFonts w:ascii="Verdana" w:eastAsia="PMingLiU" w:hAnsi="Verdana"/>
      <w:sz w:val="20"/>
      <w:lang w:val="en-US"/>
    </w:rPr>
  </w:style>
  <w:style w:type="paragraph" w:styleId="Textonotapie">
    <w:name w:val="footnote text"/>
    <w:basedOn w:val="Normal"/>
    <w:link w:val="TextonotapieCar"/>
    <w:rsid w:val="001D0E9F"/>
    <w:rPr>
      <w:sz w:val="20"/>
      <w:lang w:val="es-ES" w:eastAsia="es-ES"/>
    </w:rPr>
  </w:style>
  <w:style w:type="character" w:customStyle="1" w:styleId="TextonotapieCar">
    <w:name w:val="Texto nota pie Car"/>
    <w:basedOn w:val="Fuentedeprrafopredeter"/>
    <w:link w:val="Textonotapie"/>
    <w:rsid w:val="001D0E9F"/>
    <w:rPr>
      <w:lang w:val="es-ES" w:eastAsia="es-ES"/>
    </w:rPr>
  </w:style>
  <w:style w:type="paragraph" w:customStyle="1" w:styleId="clusula">
    <w:name w:val="clusula"/>
    <w:basedOn w:val="Normal"/>
    <w:rsid w:val="001D0E9F"/>
    <w:pPr>
      <w:spacing w:before="60" w:after="60"/>
      <w:jc w:val="both"/>
    </w:pPr>
    <w:rPr>
      <w:color w:val="000000"/>
      <w:sz w:val="20"/>
      <w:lang w:val="es-ES" w:eastAsia="es-ES"/>
    </w:rPr>
  </w:style>
  <w:style w:type="character" w:customStyle="1" w:styleId="EstiloCorreo138">
    <w:name w:val="EstiloCorreo138"/>
    <w:basedOn w:val="Fuentedeprrafopredeter"/>
    <w:semiHidden/>
    <w:rsid w:val="001D0E9F"/>
    <w:rPr>
      <w:rFonts w:ascii="Arial" w:hAnsi="Arial" w:cs="Arial"/>
      <w:color w:val="000080"/>
      <w:sz w:val="20"/>
      <w:szCs w:val="20"/>
    </w:rPr>
  </w:style>
  <w:style w:type="paragraph" w:customStyle="1" w:styleId="bodytext2sgl">
    <w:name w:val="bodytext2sgl"/>
    <w:basedOn w:val="Normal"/>
    <w:rsid w:val="001D0E9F"/>
    <w:pPr>
      <w:autoSpaceDE w:val="0"/>
      <w:autoSpaceDN w:val="0"/>
      <w:spacing w:after="240"/>
      <w:ind w:firstLine="720"/>
    </w:pPr>
    <w:rPr>
      <w:sz w:val="20"/>
      <w:lang w:val="es-ES" w:eastAsia="es-ES"/>
    </w:rPr>
  </w:style>
  <w:style w:type="numbering" w:customStyle="1" w:styleId="Sinlista1">
    <w:name w:val="Sin lista1"/>
    <w:next w:val="Sinlista"/>
    <w:uiPriority w:val="99"/>
    <w:semiHidden/>
    <w:unhideWhenUsed/>
    <w:rsid w:val="00511C5D"/>
  </w:style>
  <w:style w:type="paragraph" w:customStyle="1" w:styleId="1">
    <w:name w:val="1"/>
    <w:basedOn w:val="Normal"/>
    <w:rsid w:val="00511C5D"/>
    <w:pPr>
      <w:spacing w:after="160" w:line="240" w:lineRule="exact"/>
    </w:pPr>
    <w:rPr>
      <w:rFonts w:ascii="Verdana" w:eastAsia="PMingLiU" w:hAnsi="Verdana"/>
      <w:sz w:val="20"/>
      <w:lang w:val="en-US"/>
    </w:rPr>
  </w:style>
  <w:style w:type="character" w:customStyle="1" w:styleId="EstiloCorreo142">
    <w:name w:val="EstiloCorreo142"/>
    <w:basedOn w:val="Fuentedeprrafopredeter"/>
    <w:semiHidden/>
    <w:rsid w:val="00511C5D"/>
    <w:rPr>
      <w:rFonts w:ascii="Arial" w:hAnsi="Arial" w:cs="Arial" w:hint="default"/>
      <w:color w:val="000080"/>
      <w:sz w:val="20"/>
      <w:szCs w:val="20"/>
    </w:rPr>
  </w:style>
  <w:style w:type="paragraph" w:styleId="Descripcin">
    <w:name w:val="caption"/>
    <w:basedOn w:val="Normal"/>
    <w:next w:val="Normal"/>
    <w:unhideWhenUsed/>
    <w:qFormat/>
    <w:rsid w:val="00511C5D"/>
    <w:pPr>
      <w:spacing w:after="200"/>
    </w:pPr>
    <w:rPr>
      <w:b/>
      <w:bCs/>
      <w:color w:val="4F81BD" w:themeColor="accent1"/>
      <w:sz w:val="18"/>
      <w:szCs w:val="18"/>
      <w:lang w:val="es-ES_tradnl"/>
    </w:rPr>
  </w:style>
  <w:style w:type="character" w:customStyle="1" w:styleId="EstiloCorreo144">
    <w:name w:val="EstiloCorreo144"/>
    <w:basedOn w:val="Fuentedeprrafopredeter"/>
    <w:semiHidden/>
    <w:rsid w:val="00E417B6"/>
    <w:rPr>
      <w:rFonts w:ascii="Arial" w:hAnsi="Arial" w:cs="Arial" w:hint="default"/>
      <w:color w:val="000080"/>
      <w:sz w:val="20"/>
      <w:szCs w:val="20"/>
    </w:rPr>
  </w:style>
  <w:style w:type="numbering" w:customStyle="1" w:styleId="Sinlista2">
    <w:name w:val="Sin lista2"/>
    <w:next w:val="Sinlista"/>
    <w:uiPriority w:val="99"/>
    <w:semiHidden/>
    <w:unhideWhenUsed/>
    <w:rsid w:val="00A76E3D"/>
  </w:style>
  <w:style w:type="character" w:customStyle="1" w:styleId="EstiloCorreo146">
    <w:name w:val="EstiloCorreo146"/>
    <w:basedOn w:val="Fuentedeprrafopredeter"/>
    <w:semiHidden/>
    <w:rsid w:val="00A76E3D"/>
    <w:rPr>
      <w:rFonts w:ascii="Arial" w:hAnsi="Arial" w:cs="Arial" w:hint="default"/>
      <w:color w:val="000080"/>
      <w:sz w:val="20"/>
      <w:szCs w:val="20"/>
    </w:rPr>
  </w:style>
  <w:style w:type="numbering" w:customStyle="1" w:styleId="Sinlista3">
    <w:name w:val="Sin lista3"/>
    <w:next w:val="Sinlista"/>
    <w:uiPriority w:val="99"/>
    <w:semiHidden/>
    <w:unhideWhenUsed/>
    <w:rsid w:val="00AB1102"/>
  </w:style>
  <w:style w:type="character" w:customStyle="1" w:styleId="EstiloCorreo1481">
    <w:name w:val="EstiloCorreo1481"/>
    <w:basedOn w:val="Fuentedeprrafopredeter"/>
    <w:semiHidden/>
    <w:rsid w:val="00AB1102"/>
    <w:rPr>
      <w:rFonts w:ascii="Arial" w:hAnsi="Arial" w:cs="Arial" w:hint="default"/>
      <w:color w:val="000080"/>
      <w:sz w:val="20"/>
      <w:szCs w:val="20"/>
    </w:rPr>
  </w:style>
  <w:style w:type="numbering" w:customStyle="1" w:styleId="Sinlista4">
    <w:name w:val="Sin lista4"/>
    <w:next w:val="Sinlista"/>
    <w:uiPriority w:val="99"/>
    <w:semiHidden/>
    <w:unhideWhenUsed/>
    <w:rsid w:val="008F72A2"/>
  </w:style>
  <w:style w:type="character" w:customStyle="1" w:styleId="EstiloCorreo150">
    <w:name w:val="EstiloCorreo150"/>
    <w:basedOn w:val="Fuentedeprrafopredeter"/>
    <w:semiHidden/>
    <w:rsid w:val="008F72A2"/>
    <w:rPr>
      <w:rFonts w:ascii="Arial" w:hAnsi="Arial" w:cs="Arial" w:hint="default"/>
      <w:color w:val="000080"/>
      <w:sz w:val="20"/>
      <w:szCs w:val="20"/>
    </w:rPr>
  </w:style>
  <w:style w:type="character" w:customStyle="1" w:styleId="EstiloCorreo581">
    <w:name w:val="EstiloCorreo581"/>
    <w:basedOn w:val="Fuentedeprrafopredeter"/>
    <w:semiHidden/>
    <w:rsid w:val="00C350F2"/>
    <w:rPr>
      <w:rFonts w:ascii="Arial" w:hAnsi="Arial" w:cs="Arial" w:hint="default"/>
      <w:color w:val="000080"/>
      <w:sz w:val="20"/>
      <w:szCs w:val="20"/>
    </w:rPr>
  </w:style>
  <w:style w:type="character" w:customStyle="1" w:styleId="Ttulo9Car">
    <w:name w:val="Título 9 Car"/>
    <w:basedOn w:val="Fuentedeprrafopredeter"/>
    <w:link w:val="Ttulo9"/>
    <w:rsid w:val="00C350F2"/>
    <w:rPr>
      <w:b/>
      <w:lang w:val="es-ES_tradnl" w:eastAsia="en-US"/>
    </w:rPr>
  </w:style>
  <w:style w:type="character" w:customStyle="1" w:styleId="TextonotaalfinalCar">
    <w:name w:val="Texto nota al final Car"/>
    <w:basedOn w:val="Fuentedeprrafopredeter"/>
    <w:link w:val="Textonotaalfinal"/>
    <w:rsid w:val="00C350F2"/>
    <w:rPr>
      <w:sz w:val="24"/>
      <w:lang w:val="es-ES_tradnl" w:eastAsia="en-US"/>
    </w:rPr>
  </w:style>
  <w:style w:type="character" w:customStyle="1" w:styleId="TtuloCar">
    <w:name w:val="Título Car"/>
    <w:basedOn w:val="Fuentedeprrafopredeter"/>
    <w:link w:val="Ttulo"/>
    <w:rsid w:val="00C350F2"/>
    <w:rPr>
      <w:b/>
      <w:bCs/>
      <w:sz w:val="32"/>
      <w:szCs w:val="24"/>
      <w:lang w:eastAsia="en-US" w:bidi="he-IL"/>
    </w:rPr>
  </w:style>
  <w:style w:type="character" w:customStyle="1" w:styleId="AsuntodelcomentarioCar">
    <w:name w:val="Asunto del comentario Car"/>
    <w:basedOn w:val="TextocomentarioCar"/>
    <w:link w:val="Asuntodelcomentario"/>
    <w:rsid w:val="00C350F2"/>
    <w:rPr>
      <w:b/>
      <w:bCs/>
      <w:lang w:val="en-GB" w:eastAsia="en-US"/>
    </w:rPr>
  </w:style>
  <w:style w:type="character" w:customStyle="1" w:styleId="EstiloCorreo1471">
    <w:name w:val="EstiloCorreo1471"/>
    <w:basedOn w:val="Fuentedeprrafopredeter"/>
    <w:semiHidden/>
    <w:rsid w:val="00C350F2"/>
    <w:rPr>
      <w:rFonts w:ascii="Arial" w:hAnsi="Arial" w:cs="Arial" w:hint="default"/>
      <w:color w:val="000080"/>
      <w:sz w:val="20"/>
      <w:szCs w:val="20"/>
    </w:rPr>
  </w:style>
  <w:style w:type="character" w:customStyle="1" w:styleId="EstiloCorreo1491">
    <w:name w:val="EstiloCorreo1491"/>
    <w:basedOn w:val="Fuentedeprrafopredeter"/>
    <w:semiHidden/>
    <w:rsid w:val="00C350F2"/>
    <w:rPr>
      <w:rFonts w:ascii="Arial" w:hAnsi="Arial" w:cs="Arial" w:hint="default"/>
      <w:color w:val="000080"/>
      <w:sz w:val="20"/>
      <w:szCs w:val="20"/>
    </w:rPr>
  </w:style>
  <w:style w:type="character" w:customStyle="1" w:styleId="EstiloCorreo1511">
    <w:name w:val="EstiloCorreo1511"/>
    <w:basedOn w:val="Fuentedeprrafopredeter"/>
    <w:semiHidden/>
    <w:rsid w:val="00C350F2"/>
    <w:rPr>
      <w:rFonts w:ascii="Arial" w:hAnsi="Arial" w:cs="Arial" w:hint="default"/>
      <w:color w:val="000080"/>
      <w:sz w:val="20"/>
      <w:szCs w:val="20"/>
    </w:rPr>
  </w:style>
  <w:style w:type="character" w:customStyle="1" w:styleId="EstiloCorreo1531">
    <w:name w:val="EstiloCorreo1531"/>
    <w:basedOn w:val="Fuentedeprrafopredeter"/>
    <w:semiHidden/>
    <w:rsid w:val="00C350F2"/>
    <w:rPr>
      <w:rFonts w:ascii="Arial" w:hAnsi="Arial" w:cs="Arial" w:hint="default"/>
      <w:color w:val="000080"/>
      <w:sz w:val="20"/>
      <w:szCs w:val="20"/>
    </w:rPr>
  </w:style>
  <w:style w:type="numbering" w:customStyle="1" w:styleId="Sinlista5">
    <w:name w:val="Sin lista5"/>
    <w:next w:val="Sinlista"/>
    <w:uiPriority w:val="99"/>
    <w:semiHidden/>
    <w:unhideWhenUsed/>
    <w:rsid w:val="00C350F2"/>
  </w:style>
  <w:style w:type="character" w:customStyle="1" w:styleId="EstiloCorreo1551">
    <w:name w:val="EstiloCorreo1551"/>
    <w:basedOn w:val="Fuentedeprrafopredeter"/>
    <w:semiHidden/>
    <w:rsid w:val="00C350F2"/>
    <w:rPr>
      <w:rFonts w:ascii="Arial" w:hAnsi="Arial" w:cs="Arial" w:hint="default"/>
      <w:color w:val="000080"/>
      <w:sz w:val="20"/>
      <w:szCs w:val="20"/>
    </w:rPr>
  </w:style>
  <w:style w:type="character" w:customStyle="1" w:styleId="EstiloCorreo1561">
    <w:name w:val="EstiloCorreo1561"/>
    <w:basedOn w:val="Fuentedeprrafopredeter"/>
    <w:semiHidden/>
    <w:rsid w:val="00C350F2"/>
    <w:rPr>
      <w:rFonts w:ascii="Arial" w:hAnsi="Arial" w:cs="Arial"/>
      <w:color w:val="000080"/>
      <w:sz w:val="20"/>
      <w:szCs w:val="20"/>
    </w:rPr>
  </w:style>
  <w:style w:type="character" w:customStyle="1" w:styleId="EstiloCorreo1571">
    <w:name w:val="EstiloCorreo1571"/>
    <w:basedOn w:val="Fuentedeprrafopredeter"/>
    <w:semiHidden/>
    <w:rsid w:val="00C350F2"/>
    <w:rPr>
      <w:rFonts w:ascii="Arial" w:hAnsi="Arial" w:cs="Arial" w:hint="default"/>
      <w:color w:val="000080"/>
      <w:sz w:val="20"/>
      <w:szCs w:val="20"/>
    </w:rPr>
  </w:style>
  <w:style w:type="character" w:customStyle="1" w:styleId="EstiloCorreo1581">
    <w:name w:val="EstiloCorreo1581"/>
    <w:basedOn w:val="Fuentedeprrafopredeter"/>
    <w:semiHidden/>
    <w:rsid w:val="00C350F2"/>
    <w:rPr>
      <w:rFonts w:ascii="Arial" w:hAnsi="Arial" w:cs="Arial" w:hint="default"/>
      <w:color w:val="000080"/>
      <w:sz w:val="20"/>
      <w:szCs w:val="20"/>
    </w:rPr>
  </w:style>
  <w:style w:type="character" w:customStyle="1" w:styleId="EstiloCorreo1591">
    <w:name w:val="EstiloCorreo1591"/>
    <w:basedOn w:val="Fuentedeprrafopredeter"/>
    <w:semiHidden/>
    <w:rsid w:val="00C350F2"/>
    <w:rPr>
      <w:rFonts w:ascii="Arial" w:hAnsi="Arial" w:cs="Arial" w:hint="default"/>
      <w:color w:val="000080"/>
      <w:sz w:val="20"/>
      <w:szCs w:val="20"/>
    </w:rPr>
  </w:style>
  <w:style w:type="character" w:customStyle="1" w:styleId="EstiloCorreo1601">
    <w:name w:val="EstiloCorreo1601"/>
    <w:basedOn w:val="Fuentedeprrafopredeter"/>
    <w:semiHidden/>
    <w:rsid w:val="00C350F2"/>
    <w:rPr>
      <w:rFonts w:ascii="Arial" w:hAnsi="Arial" w:cs="Arial" w:hint="default"/>
      <w:color w:val="000080"/>
      <w:sz w:val="20"/>
      <w:szCs w:val="20"/>
    </w:rPr>
  </w:style>
  <w:style w:type="character" w:customStyle="1" w:styleId="EstiloCorreo1611">
    <w:name w:val="EstiloCorreo1611"/>
    <w:basedOn w:val="Fuentedeprrafopredeter"/>
    <w:semiHidden/>
    <w:rsid w:val="00C350F2"/>
    <w:rPr>
      <w:rFonts w:ascii="Arial" w:hAnsi="Arial" w:cs="Arial"/>
      <w:color w:val="000080"/>
      <w:sz w:val="20"/>
      <w:szCs w:val="20"/>
    </w:rPr>
  </w:style>
  <w:style w:type="numbering" w:customStyle="1" w:styleId="Sinlista11">
    <w:name w:val="Sin lista11"/>
    <w:next w:val="Sinlista"/>
    <w:uiPriority w:val="99"/>
    <w:semiHidden/>
    <w:unhideWhenUsed/>
    <w:rsid w:val="00C350F2"/>
  </w:style>
  <w:style w:type="character" w:customStyle="1" w:styleId="EstiloCorreo1631">
    <w:name w:val="EstiloCorreo1631"/>
    <w:basedOn w:val="Fuentedeprrafopredeter"/>
    <w:semiHidden/>
    <w:rsid w:val="00C350F2"/>
    <w:rPr>
      <w:rFonts w:ascii="Arial" w:hAnsi="Arial" w:cs="Arial" w:hint="default"/>
      <w:color w:val="000080"/>
      <w:sz w:val="20"/>
      <w:szCs w:val="20"/>
    </w:rPr>
  </w:style>
  <w:style w:type="character" w:customStyle="1" w:styleId="EstiloCorreo1641">
    <w:name w:val="EstiloCorreo1641"/>
    <w:basedOn w:val="Fuentedeprrafopredeter"/>
    <w:semiHidden/>
    <w:rsid w:val="00C350F2"/>
    <w:rPr>
      <w:rFonts w:ascii="Arial" w:hAnsi="Arial" w:cs="Arial" w:hint="default"/>
      <w:color w:val="000080"/>
      <w:sz w:val="20"/>
      <w:szCs w:val="20"/>
    </w:rPr>
  </w:style>
  <w:style w:type="numbering" w:customStyle="1" w:styleId="Sinlista21">
    <w:name w:val="Sin lista21"/>
    <w:next w:val="Sinlista"/>
    <w:uiPriority w:val="99"/>
    <w:semiHidden/>
    <w:unhideWhenUsed/>
    <w:rsid w:val="00C350F2"/>
  </w:style>
  <w:style w:type="character" w:customStyle="1" w:styleId="EstiloCorreo1661">
    <w:name w:val="EstiloCorreo1661"/>
    <w:basedOn w:val="Fuentedeprrafopredeter"/>
    <w:semiHidden/>
    <w:rsid w:val="00C350F2"/>
    <w:rPr>
      <w:rFonts w:ascii="Arial" w:hAnsi="Arial" w:cs="Arial" w:hint="default"/>
      <w:color w:val="000080"/>
      <w:sz w:val="20"/>
      <w:szCs w:val="20"/>
    </w:rPr>
  </w:style>
  <w:style w:type="numbering" w:customStyle="1" w:styleId="Sinlista31">
    <w:name w:val="Sin lista31"/>
    <w:next w:val="Sinlista"/>
    <w:uiPriority w:val="99"/>
    <w:semiHidden/>
    <w:unhideWhenUsed/>
    <w:rsid w:val="00C350F2"/>
  </w:style>
  <w:style w:type="character" w:customStyle="1" w:styleId="EstiloCorreo1681">
    <w:name w:val="EstiloCorreo1681"/>
    <w:basedOn w:val="Fuentedeprrafopredeter"/>
    <w:semiHidden/>
    <w:rsid w:val="00C350F2"/>
    <w:rPr>
      <w:rFonts w:ascii="Arial" w:hAnsi="Arial" w:cs="Arial" w:hint="default"/>
      <w:color w:val="000080"/>
      <w:sz w:val="20"/>
      <w:szCs w:val="20"/>
    </w:rPr>
  </w:style>
  <w:style w:type="numbering" w:customStyle="1" w:styleId="Sinlista41">
    <w:name w:val="Sin lista41"/>
    <w:next w:val="Sinlista"/>
    <w:uiPriority w:val="99"/>
    <w:semiHidden/>
    <w:unhideWhenUsed/>
    <w:rsid w:val="00C350F2"/>
  </w:style>
  <w:style w:type="character" w:customStyle="1" w:styleId="EstiloCorreo1701">
    <w:name w:val="EstiloCorreo1701"/>
    <w:basedOn w:val="Fuentedeprrafopredeter"/>
    <w:semiHidden/>
    <w:rsid w:val="00C350F2"/>
    <w:rPr>
      <w:rFonts w:ascii="Arial" w:hAnsi="Arial" w:cs="Arial" w:hint="default"/>
      <w:color w:val="000080"/>
      <w:sz w:val="20"/>
      <w:szCs w:val="20"/>
    </w:rPr>
  </w:style>
  <w:style w:type="numbering" w:customStyle="1" w:styleId="Sinlista51">
    <w:name w:val="Sin lista51"/>
    <w:next w:val="Sinlista"/>
    <w:uiPriority w:val="99"/>
    <w:semiHidden/>
    <w:unhideWhenUsed/>
    <w:rsid w:val="00C350F2"/>
  </w:style>
  <w:style w:type="character" w:customStyle="1" w:styleId="EstiloCorreo1721">
    <w:name w:val="EstiloCorreo1721"/>
    <w:basedOn w:val="Fuentedeprrafopredeter"/>
    <w:semiHidden/>
    <w:rsid w:val="00C350F2"/>
    <w:rPr>
      <w:rFonts w:ascii="Arial" w:hAnsi="Arial" w:cs="Arial" w:hint="default"/>
      <w:color w:val="000080"/>
      <w:sz w:val="20"/>
      <w:szCs w:val="20"/>
    </w:rPr>
  </w:style>
  <w:style w:type="paragraph" w:customStyle="1" w:styleId="s25">
    <w:name w:val="s25"/>
    <w:basedOn w:val="Normal"/>
    <w:uiPriority w:val="99"/>
    <w:rsid w:val="00C350F2"/>
    <w:pPr>
      <w:ind w:left="624"/>
      <w:jc w:val="both"/>
    </w:pPr>
    <w:rPr>
      <w:rFonts w:ascii="Arial" w:eastAsia="Calibri" w:hAnsi="Arial" w:cs="Arial"/>
      <w:sz w:val="20"/>
      <w:lang w:eastAsia="es-AR"/>
    </w:rPr>
  </w:style>
  <w:style w:type="paragraph" w:customStyle="1" w:styleId="s30-3675">
    <w:name w:val="s30-3675"/>
    <w:basedOn w:val="Normal"/>
    <w:rsid w:val="00C350F2"/>
    <w:pPr>
      <w:ind w:firstLine="567"/>
      <w:jc w:val="both"/>
    </w:pPr>
    <w:rPr>
      <w:rFonts w:eastAsia="Calibri"/>
      <w:szCs w:val="24"/>
      <w:lang w:eastAsia="es-AR"/>
    </w:rPr>
  </w:style>
  <w:style w:type="numbering" w:customStyle="1" w:styleId="Sinlista6">
    <w:name w:val="Sin lista6"/>
    <w:next w:val="Sinlista"/>
    <w:uiPriority w:val="99"/>
    <w:semiHidden/>
    <w:unhideWhenUsed/>
    <w:rsid w:val="00C350F2"/>
  </w:style>
  <w:style w:type="numbering" w:customStyle="1" w:styleId="Sinlista12">
    <w:name w:val="Sin lista12"/>
    <w:next w:val="Sinlista"/>
    <w:uiPriority w:val="99"/>
    <w:semiHidden/>
    <w:unhideWhenUsed/>
    <w:rsid w:val="00C350F2"/>
  </w:style>
  <w:style w:type="character" w:customStyle="1" w:styleId="EstiloCorreo177">
    <w:name w:val="EstiloCorreo177"/>
    <w:basedOn w:val="Fuentedeprrafopredeter"/>
    <w:semiHidden/>
    <w:rsid w:val="00C350F2"/>
    <w:rPr>
      <w:rFonts w:ascii="Arial" w:hAnsi="Arial" w:cs="Arial"/>
      <w:color w:val="000080"/>
      <w:sz w:val="20"/>
      <w:szCs w:val="20"/>
    </w:rPr>
  </w:style>
  <w:style w:type="numbering" w:customStyle="1" w:styleId="Sinlista111">
    <w:name w:val="Sin lista111"/>
    <w:next w:val="Sinlista"/>
    <w:uiPriority w:val="99"/>
    <w:semiHidden/>
    <w:unhideWhenUsed/>
    <w:rsid w:val="00C350F2"/>
  </w:style>
  <w:style w:type="character" w:customStyle="1" w:styleId="EstiloCorreo179">
    <w:name w:val="EstiloCorreo179"/>
    <w:basedOn w:val="Fuentedeprrafopredeter"/>
    <w:semiHidden/>
    <w:rsid w:val="00C350F2"/>
    <w:rPr>
      <w:rFonts w:ascii="Arial" w:hAnsi="Arial" w:cs="Arial" w:hint="default"/>
      <w:color w:val="000080"/>
      <w:sz w:val="20"/>
      <w:szCs w:val="20"/>
    </w:rPr>
  </w:style>
  <w:style w:type="numbering" w:customStyle="1" w:styleId="Sinlista22">
    <w:name w:val="Sin lista22"/>
    <w:next w:val="Sinlista"/>
    <w:uiPriority w:val="99"/>
    <w:semiHidden/>
    <w:unhideWhenUsed/>
    <w:rsid w:val="00C350F2"/>
  </w:style>
  <w:style w:type="numbering" w:customStyle="1" w:styleId="Sinlista32">
    <w:name w:val="Sin lista32"/>
    <w:next w:val="Sinlista"/>
    <w:uiPriority w:val="99"/>
    <w:semiHidden/>
    <w:unhideWhenUsed/>
    <w:rsid w:val="00C350F2"/>
  </w:style>
  <w:style w:type="character" w:customStyle="1" w:styleId="EstiloCorreo182">
    <w:name w:val="EstiloCorreo182"/>
    <w:basedOn w:val="Fuentedeprrafopredeter"/>
    <w:semiHidden/>
    <w:rsid w:val="00C350F2"/>
    <w:rPr>
      <w:rFonts w:ascii="Arial" w:hAnsi="Arial" w:cs="Arial" w:hint="default"/>
      <w:color w:val="000080"/>
      <w:sz w:val="20"/>
      <w:szCs w:val="20"/>
    </w:rPr>
  </w:style>
  <w:style w:type="numbering" w:customStyle="1" w:styleId="Sinlista42">
    <w:name w:val="Sin lista42"/>
    <w:next w:val="Sinlista"/>
    <w:uiPriority w:val="99"/>
    <w:semiHidden/>
    <w:unhideWhenUsed/>
    <w:rsid w:val="00C350F2"/>
  </w:style>
  <w:style w:type="character" w:customStyle="1" w:styleId="EstiloCorreo184">
    <w:name w:val="EstiloCorreo184"/>
    <w:basedOn w:val="Fuentedeprrafopredeter"/>
    <w:semiHidden/>
    <w:rsid w:val="00C350F2"/>
    <w:rPr>
      <w:rFonts w:ascii="Arial" w:hAnsi="Arial" w:cs="Arial" w:hint="default"/>
      <w:color w:val="000080"/>
      <w:sz w:val="20"/>
      <w:szCs w:val="20"/>
    </w:rPr>
  </w:style>
  <w:style w:type="numbering" w:customStyle="1" w:styleId="Sinlista52">
    <w:name w:val="Sin lista52"/>
    <w:next w:val="Sinlista"/>
    <w:uiPriority w:val="99"/>
    <w:semiHidden/>
    <w:unhideWhenUsed/>
    <w:rsid w:val="00C350F2"/>
  </w:style>
  <w:style w:type="character" w:customStyle="1" w:styleId="EstiloCorreo186">
    <w:name w:val="EstiloCorreo186"/>
    <w:basedOn w:val="Fuentedeprrafopredeter"/>
    <w:semiHidden/>
    <w:rsid w:val="00C350F2"/>
    <w:rPr>
      <w:rFonts w:ascii="Arial" w:hAnsi="Arial" w:cs="Arial" w:hint="default"/>
      <w:color w:val="000080"/>
      <w:sz w:val="20"/>
      <w:szCs w:val="20"/>
    </w:rPr>
  </w:style>
  <w:style w:type="character" w:customStyle="1" w:styleId="EstiloCorreo187">
    <w:name w:val="EstiloCorreo187"/>
    <w:basedOn w:val="Fuentedeprrafopredeter"/>
    <w:semiHidden/>
    <w:rsid w:val="00C350F2"/>
    <w:rPr>
      <w:rFonts w:ascii="Arial" w:hAnsi="Arial" w:cs="Arial"/>
      <w:color w:val="000080"/>
      <w:sz w:val="20"/>
      <w:szCs w:val="20"/>
    </w:rPr>
  </w:style>
  <w:style w:type="numbering" w:customStyle="1" w:styleId="Sinlista1111">
    <w:name w:val="Sin lista1111"/>
    <w:next w:val="Sinlista"/>
    <w:uiPriority w:val="99"/>
    <w:semiHidden/>
    <w:unhideWhenUsed/>
    <w:rsid w:val="00C350F2"/>
  </w:style>
  <w:style w:type="character" w:customStyle="1" w:styleId="EstiloCorreo189">
    <w:name w:val="EstiloCorreo189"/>
    <w:basedOn w:val="Fuentedeprrafopredeter"/>
    <w:semiHidden/>
    <w:rsid w:val="00C350F2"/>
    <w:rPr>
      <w:rFonts w:ascii="Arial" w:hAnsi="Arial" w:cs="Arial" w:hint="default"/>
      <w:color w:val="000080"/>
      <w:sz w:val="20"/>
      <w:szCs w:val="20"/>
    </w:rPr>
  </w:style>
  <w:style w:type="character" w:customStyle="1" w:styleId="EstiloCorreo190">
    <w:name w:val="EstiloCorreo190"/>
    <w:basedOn w:val="Fuentedeprrafopredeter"/>
    <w:semiHidden/>
    <w:rsid w:val="00C350F2"/>
    <w:rPr>
      <w:rFonts w:ascii="Arial" w:hAnsi="Arial" w:cs="Arial" w:hint="default"/>
      <w:color w:val="000080"/>
      <w:sz w:val="20"/>
      <w:szCs w:val="20"/>
    </w:rPr>
  </w:style>
  <w:style w:type="numbering" w:customStyle="1" w:styleId="Sinlista211">
    <w:name w:val="Sin lista211"/>
    <w:next w:val="Sinlista"/>
    <w:uiPriority w:val="99"/>
    <w:semiHidden/>
    <w:unhideWhenUsed/>
    <w:rsid w:val="00C350F2"/>
  </w:style>
  <w:style w:type="character" w:customStyle="1" w:styleId="EstiloCorreo192">
    <w:name w:val="EstiloCorreo192"/>
    <w:basedOn w:val="Fuentedeprrafopredeter"/>
    <w:semiHidden/>
    <w:rsid w:val="00C350F2"/>
    <w:rPr>
      <w:rFonts w:ascii="Arial" w:hAnsi="Arial" w:cs="Arial" w:hint="default"/>
      <w:color w:val="000080"/>
      <w:sz w:val="20"/>
      <w:szCs w:val="20"/>
    </w:rPr>
  </w:style>
  <w:style w:type="numbering" w:customStyle="1" w:styleId="Sinlista311">
    <w:name w:val="Sin lista311"/>
    <w:next w:val="Sinlista"/>
    <w:uiPriority w:val="99"/>
    <w:semiHidden/>
    <w:unhideWhenUsed/>
    <w:rsid w:val="00C350F2"/>
  </w:style>
  <w:style w:type="character" w:customStyle="1" w:styleId="EstiloCorreo194">
    <w:name w:val="EstiloCorreo194"/>
    <w:basedOn w:val="Fuentedeprrafopredeter"/>
    <w:semiHidden/>
    <w:rsid w:val="00C350F2"/>
    <w:rPr>
      <w:rFonts w:ascii="Arial" w:hAnsi="Arial" w:cs="Arial" w:hint="default"/>
      <w:color w:val="000080"/>
      <w:sz w:val="20"/>
      <w:szCs w:val="20"/>
    </w:rPr>
  </w:style>
  <w:style w:type="numbering" w:customStyle="1" w:styleId="Sinlista411">
    <w:name w:val="Sin lista411"/>
    <w:next w:val="Sinlista"/>
    <w:uiPriority w:val="99"/>
    <w:semiHidden/>
    <w:unhideWhenUsed/>
    <w:rsid w:val="00C350F2"/>
  </w:style>
  <w:style w:type="character" w:customStyle="1" w:styleId="EstiloCorreo196">
    <w:name w:val="EstiloCorreo196"/>
    <w:basedOn w:val="Fuentedeprrafopredeter"/>
    <w:semiHidden/>
    <w:rsid w:val="00C350F2"/>
    <w:rPr>
      <w:rFonts w:ascii="Arial" w:hAnsi="Arial" w:cs="Arial" w:hint="default"/>
      <w:color w:val="000080"/>
      <w:sz w:val="20"/>
      <w:szCs w:val="20"/>
    </w:rPr>
  </w:style>
  <w:style w:type="numbering" w:customStyle="1" w:styleId="Sinlista511">
    <w:name w:val="Sin lista511"/>
    <w:next w:val="Sinlista"/>
    <w:uiPriority w:val="99"/>
    <w:semiHidden/>
    <w:unhideWhenUsed/>
    <w:rsid w:val="00C350F2"/>
  </w:style>
  <w:style w:type="character" w:customStyle="1" w:styleId="EstiloCorreo198">
    <w:name w:val="EstiloCorreo198"/>
    <w:basedOn w:val="Fuentedeprrafopredeter"/>
    <w:semiHidden/>
    <w:rsid w:val="00C350F2"/>
    <w:rPr>
      <w:rFonts w:ascii="Arial" w:hAnsi="Arial" w:cs="Arial" w:hint="default"/>
      <w:color w:val="000080"/>
      <w:sz w:val="20"/>
      <w:szCs w:val="20"/>
    </w:rPr>
  </w:style>
  <w:style w:type="character" w:customStyle="1" w:styleId="EstiloCorreo199">
    <w:name w:val="EstiloCorreo199"/>
    <w:basedOn w:val="Fuentedeprrafopredeter"/>
    <w:semiHidden/>
    <w:rsid w:val="00C350F2"/>
    <w:rPr>
      <w:rFonts w:ascii="Arial" w:hAnsi="Arial" w:cs="Arial"/>
      <w:color w:val="000080"/>
      <w:sz w:val="20"/>
      <w:szCs w:val="20"/>
    </w:rPr>
  </w:style>
  <w:style w:type="character" w:customStyle="1" w:styleId="EstiloCorreo200">
    <w:name w:val="EstiloCorreo200"/>
    <w:basedOn w:val="Fuentedeprrafopredeter"/>
    <w:semiHidden/>
    <w:rsid w:val="00C350F2"/>
    <w:rPr>
      <w:rFonts w:ascii="Arial" w:hAnsi="Arial" w:cs="Arial" w:hint="default"/>
      <w:color w:val="000080"/>
      <w:sz w:val="20"/>
      <w:szCs w:val="20"/>
    </w:rPr>
  </w:style>
  <w:style w:type="character" w:customStyle="1" w:styleId="EstiloCorreo201">
    <w:name w:val="EstiloCorreo201"/>
    <w:basedOn w:val="Fuentedeprrafopredeter"/>
    <w:semiHidden/>
    <w:rsid w:val="00C350F2"/>
    <w:rPr>
      <w:rFonts w:ascii="Arial" w:hAnsi="Arial" w:cs="Arial" w:hint="default"/>
      <w:color w:val="000080"/>
      <w:sz w:val="20"/>
      <w:szCs w:val="20"/>
    </w:rPr>
  </w:style>
  <w:style w:type="character" w:customStyle="1" w:styleId="EstiloCorreo202">
    <w:name w:val="EstiloCorreo202"/>
    <w:basedOn w:val="Fuentedeprrafopredeter"/>
    <w:semiHidden/>
    <w:rsid w:val="00C350F2"/>
    <w:rPr>
      <w:rFonts w:ascii="Arial" w:hAnsi="Arial" w:cs="Arial" w:hint="default"/>
      <w:color w:val="000080"/>
      <w:sz w:val="20"/>
      <w:szCs w:val="20"/>
    </w:rPr>
  </w:style>
  <w:style w:type="character" w:customStyle="1" w:styleId="EstiloCorreo203">
    <w:name w:val="EstiloCorreo203"/>
    <w:basedOn w:val="Fuentedeprrafopredeter"/>
    <w:semiHidden/>
    <w:rsid w:val="00C350F2"/>
    <w:rPr>
      <w:rFonts w:ascii="Arial" w:hAnsi="Arial" w:cs="Arial" w:hint="default"/>
      <w:color w:val="000080"/>
      <w:sz w:val="20"/>
      <w:szCs w:val="20"/>
    </w:rPr>
  </w:style>
  <w:style w:type="character" w:customStyle="1" w:styleId="EstiloCorreo204">
    <w:name w:val="EstiloCorreo204"/>
    <w:basedOn w:val="Fuentedeprrafopredeter"/>
    <w:semiHidden/>
    <w:rsid w:val="00C350F2"/>
    <w:rPr>
      <w:rFonts w:ascii="Arial" w:hAnsi="Arial" w:cs="Arial"/>
      <w:color w:val="000080"/>
      <w:sz w:val="20"/>
      <w:szCs w:val="20"/>
    </w:rPr>
  </w:style>
  <w:style w:type="numbering" w:customStyle="1" w:styleId="Sinlista11111">
    <w:name w:val="Sin lista11111"/>
    <w:next w:val="Sinlista"/>
    <w:uiPriority w:val="99"/>
    <w:semiHidden/>
    <w:unhideWhenUsed/>
    <w:rsid w:val="00C350F2"/>
  </w:style>
  <w:style w:type="character" w:customStyle="1" w:styleId="EstiloCorreo206">
    <w:name w:val="EstiloCorreo206"/>
    <w:basedOn w:val="Fuentedeprrafopredeter"/>
    <w:semiHidden/>
    <w:rsid w:val="00C350F2"/>
    <w:rPr>
      <w:rFonts w:ascii="Arial" w:hAnsi="Arial" w:cs="Arial" w:hint="default"/>
      <w:color w:val="000080"/>
      <w:sz w:val="20"/>
      <w:szCs w:val="20"/>
    </w:rPr>
  </w:style>
  <w:style w:type="character" w:customStyle="1" w:styleId="EstiloCorreo207">
    <w:name w:val="EstiloCorreo207"/>
    <w:basedOn w:val="Fuentedeprrafopredeter"/>
    <w:semiHidden/>
    <w:rsid w:val="00C350F2"/>
    <w:rPr>
      <w:rFonts w:ascii="Arial" w:hAnsi="Arial" w:cs="Arial" w:hint="default"/>
      <w:color w:val="000080"/>
      <w:sz w:val="20"/>
      <w:szCs w:val="20"/>
    </w:rPr>
  </w:style>
  <w:style w:type="numbering" w:customStyle="1" w:styleId="Sinlista2111">
    <w:name w:val="Sin lista2111"/>
    <w:next w:val="Sinlista"/>
    <w:uiPriority w:val="99"/>
    <w:semiHidden/>
    <w:unhideWhenUsed/>
    <w:rsid w:val="00C350F2"/>
  </w:style>
  <w:style w:type="character" w:customStyle="1" w:styleId="EstiloCorreo209">
    <w:name w:val="EstiloCorreo209"/>
    <w:basedOn w:val="Fuentedeprrafopredeter"/>
    <w:semiHidden/>
    <w:rsid w:val="00C350F2"/>
    <w:rPr>
      <w:rFonts w:ascii="Arial" w:hAnsi="Arial" w:cs="Arial" w:hint="default"/>
      <w:color w:val="000080"/>
      <w:sz w:val="20"/>
      <w:szCs w:val="20"/>
    </w:rPr>
  </w:style>
  <w:style w:type="numbering" w:customStyle="1" w:styleId="Sinlista3111">
    <w:name w:val="Sin lista3111"/>
    <w:next w:val="Sinlista"/>
    <w:uiPriority w:val="99"/>
    <w:semiHidden/>
    <w:unhideWhenUsed/>
    <w:rsid w:val="00C350F2"/>
  </w:style>
  <w:style w:type="character" w:customStyle="1" w:styleId="EstiloCorreo211">
    <w:name w:val="EstiloCorreo211"/>
    <w:basedOn w:val="Fuentedeprrafopredeter"/>
    <w:semiHidden/>
    <w:rsid w:val="00C350F2"/>
    <w:rPr>
      <w:rFonts w:ascii="Arial" w:hAnsi="Arial" w:cs="Arial" w:hint="default"/>
      <w:color w:val="000080"/>
      <w:sz w:val="20"/>
      <w:szCs w:val="20"/>
    </w:rPr>
  </w:style>
  <w:style w:type="numbering" w:customStyle="1" w:styleId="Sinlista4111">
    <w:name w:val="Sin lista4111"/>
    <w:next w:val="Sinlista"/>
    <w:uiPriority w:val="99"/>
    <w:semiHidden/>
    <w:unhideWhenUsed/>
    <w:rsid w:val="00C350F2"/>
  </w:style>
  <w:style w:type="character" w:customStyle="1" w:styleId="EstiloCorreo213">
    <w:name w:val="EstiloCorreo213"/>
    <w:basedOn w:val="Fuentedeprrafopredeter"/>
    <w:semiHidden/>
    <w:rsid w:val="00C350F2"/>
    <w:rPr>
      <w:rFonts w:ascii="Arial" w:hAnsi="Arial" w:cs="Arial" w:hint="default"/>
      <w:color w:val="000080"/>
      <w:sz w:val="20"/>
      <w:szCs w:val="20"/>
    </w:rPr>
  </w:style>
  <w:style w:type="numbering" w:customStyle="1" w:styleId="Sinlista5111">
    <w:name w:val="Sin lista5111"/>
    <w:next w:val="Sinlista"/>
    <w:uiPriority w:val="99"/>
    <w:semiHidden/>
    <w:unhideWhenUsed/>
    <w:rsid w:val="00C350F2"/>
  </w:style>
  <w:style w:type="character" w:customStyle="1" w:styleId="EstiloCorreo215">
    <w:name w:val="EstiloCorreo215"/>
    <w:basedOn w:val="Fuentedeprrafopredeter"/>
    <w:semiHidden/>
    <w:rsid w:val="00C350F2"/>
    <w:rPr>
      <w:rFonts w:ascii="Arial" w:hAnsi="Arial" w:cs="Arial" w:hint="default"/>
      <w:color w:val="000080"/>
      <w:sz w:val="20"/>
      <w:szCs w:val="20"/>
    </w:rPr>
  </w:style>
  <w:style w:type="numbering" w:customStyle="1" w:styleId="Sinlista7">
    <w:name w:val="Sin lista7"/>
    <w:next w:val="Sinlista"/>
    <w:uiPriority w:val="99"/>
    <w:semiHidden/>
    <w:unhideWhenUsed/>
    <w:rsid w:val="00332ABE"/>
  </w:style>
  <w:style w:type="numbering" w:customStyle="1" w:styleId="Sinlista13">
    <w:name w:val="Sin lista13"/>
    <w:next w:val="Sinlista"/>
    <w:uiPriority w:val="99"/>
    <w:semiHidden/>
    <w:unhideWhenUsed/>
    <w:rsid w:val="00332ABE"/>
  </w:style>
  <w:style w:type="numbering" w:customStyle="1" w:styleId="Sinlista23">
    <w:name w:val="Sin lista23"/>
    <w:next w:val="Sinlista"/>
    <w:uiPriority w:val="99"/>
    <w:semiHidden/>
    <w:unhideWhenUsed/>
    <w:rsid w:val="00332ABE"/>
  </w:style>
  <w:style w:type="numbering" w:customStyle="1" w:styleId="Sinlista33">
    <w:name w:val="Sin lista33"/>
    <w:next w:val="Sinlista"/>
    <w:uiPriority w:val="99"/>
    <w:semiHidden/>
    <w:unhideWhenUsed/>
    <w:rsid w:val="00332ABE"/>
  </w:style>
  <w:style w:type="numbering" w:customStyle="1" w:styleId="Sinlista43">
    <w:name w:val="Sin lista43"/>
    <w:next w:val="Sinlista"/>
    <w:uiPriority w:val="99"/>
    <w:semiHidden/>
    <w:unhideWhenUsed/>
    <w:rsid w:val="00332ABE"/>
  </w:style>
  <w:style w:type="numbering" w:customStyle="1" w:styleId="Sinlista53">
    <w:name w:val="Sin lista53"/>
    <w:next w:val="Sinlista"/>
    <w:uiPriority w:val="99"/>
    <w:semiHidden/>
    <w:unhideWhenUsed/>
    <w:rsid w:val="00332ABE"/>
  </w:style>
  <w:style w:type="numbering" w:customStyle="1" w:styleId="Sinlista112">
    <w:name w:val="Sin lista112"/>
    <w:next w:val="Sinlista"/>
    <w:uiPriority w:val="99"/>
    <w:semiHidden/>
    <w:unhideWhenUsed/>
    <w:rsid w:val="00332ABE"/>
  </w:style>
  <w:style w:type="numbering" w:customStyle="1" w:styleId="Sinlista212">
    <w:name w:val="Sin lista212"/>
    <w:next w:val="Sinlista"/>
    <w:uiPriority w:val="99"/>
    <w:semiHidden/>
    <w:unhideWhenUsed/>
    <w:rsid w:val="00332ABE"/>
  </w:style>
  <w:style w:type="numbering" w:customStyle="1" w:styleId="Sinlista312">
    <w:name w:val="Sin lista312"/>
    <w:next w:val="Sinlista"/>
    <w:uiPriority w:val="99"/>
    <w:semiHidden/>
    <w:unhideWhenUsed/>
    <w:rsid w:val="00332ABE"/>
  </w:style>
  <w:style w:type="numbering" w:customStyle="1" w:styleId="Sinlista412">
    <w:name w:val="Sin lista412"/>
    <w:next w:val="Sinlista"/>
    <w:uiPriority w:val="99"/>
    <w:semiHidden/>
    <w:unhideWhenUsed/>
    <w:rsid w:val="00332ABE"/>
  </w:style>
  <w:style w:type="numbering" w:customStyle="1" w:styleId="Sinlista512">
    <w:name w:val="Sin lista512"/>
    <w:next w:val="Sinlista"/>
    <w:uiPriority w:val="99"/>
    <w:semiHidden/>
    <w:unhideWhenUsed/>
    <w:rsid w:val="00332ABE"/>
  </w:style>
  <w:style w:type="numbering" w:customStyle="1" w:styleId="Sinlista61">
    <w:name w:val="Sin lista61"/>
    <w:next w:val="Sinlista"/>
    <w:uiPriority w:val="99"/>
    <w:semiHidden/>
    <w:unhideWhenUsed/>
    <w:rsid w:val="00332ABE"/>
  </w:style>
  <w:style w:type="numbering" w:customStyle="1" w:styleId="Sinlista121">
    <w:name w:val="Sin lista121"/>
    <w:next w:val="Sinlista"/>
    <w:uiPriority w:val="99"/>
    <w:semiHidden/>
    <w:unhideWhenUsed/>
    <w:rsid w:val="00332ABE"/>
  </w:style>
  <w:style w:type="numbering" w:customStyle="1" w:styleId="Sinlista1112">
    <w:name w:val="Sin lista1112"/>
    <w:next w:val="Sinlista"/>
    <w:uiPriority w:val="99"/>
    <w:semiHidden/>
    <w:unhideWhenUsed/>
    <w:rsid w:val="00332ABE"/>
  </w:style>
  <w:style w:type="numbering" w:customStyle="1" w:styleId="Sinlista221">
    <w:name w:val="Sin lista221"/>
    <w:next w:val="Sinlista"/>
    <w:uiPriority w:val="99"/>
    <w:semiHidden/>
    <w:unhideWhenUsed/>
    <w:rsid w:val="00332ABE"/>
  </w:style>
  <w:style w:type="numbering" w:customStyle="1" w:styleId="Sinlista321">
    <w:name w:val="Sin lista321"/>
    <w:next w:val="Sinlista"/>
    <w:uiPriority w:val="99"/>
    <w:semiHidden/>
    <w:unhideWhenUsed/>
    <w:rsid w:val="00332ABE"/>
  </w:style>
  <w:style w:type="numbering" w:customStyle="1" w:styleId="Sinlista421">
    <w:name w:val="Sin lista421"/>
    <w:next w:val="Sinlista"/>
    <w:uiPriority w:val="99"/>
    <w:semiHidden/>
    <w:unhideWhenUsed/>
    <w:rsid w:val="00332ABE"/>
  </w:style>
  <w:style w:type="numbering" w:customStyle="1" w:styleId="Sinlista521">
    <w:name w:val="Sin lista521"/>
    <w:next w:val="Sinlista"/>
    <w:uiPriority w:val="99"/>
    <w:semiHidden/>
    <w:unhideWhenUsed/>
    <w:rsid w:val="00332ABE"/>
  </w:style>
  <w:style w:type="numbering" w:customStyle="1" w:styleId="Sinlista11112">
    <w:name w:val="Sin lista11112"/>
    <w:next w:val="Sinlista"/>
    <w:uiPriority w:val="99"/>
    <w:semiHidden/>
    <w:unhideWhenUsed/>
    <w:rsid w:val="00332ABE"/>
  </w:style>
  <w:style w:type="numbering" w:customStyle="1" w:styleId="Sinlista2112">
    <w:name w:val="Sin lista2112"/>
    <w:next w:val="Sinlista"/>
    <w:uiPriority w:val="99"/>
    <w:semiHidden/>
    <w:unhideWhenUsed/>
    <w:rsid w:val="00332ABE"/>
  </w:style>
  <w:style w:type="numbering" w:customStyle="1" w:styleId="Sinlista3112">
    <w:name w:val="Sin lista3112"/>
    <w:next w:val="Sinlista"/>
    <w:uiPriority w:val="99"/>
    <w:semiHidden/>
    <w:unhideWhenUsed/>
    <w:rsid w:val="00332ABE"/>
  </w:style>
  <w:style w:type="numbering" w:customStyle="1" w:styleId="Sinlista4112">
    <w:name w:val="Sin lista4112"/>
    <w:next w:val="Sinlista"/>
    <w:uiPriority w:val="99"/>
    <w:semiHidden/>
    <w:unhideWhenUsed/>
    <w:rsid w:val="00332ABE"/>
  </w:style>
  <w:style w:type="numbering" w:customStyle="1" w:styleId="Sinlista5112">
    <w:name w:val="Sin lista5112"/>
    <w:next w:val="Sinlista"/>
    <w:uiPriority w:val="99"/>
    <w:semiHidden/>
    <w:unhideWhenUsed/>
    <w:rsid w:val="00332ABE"/>
  </w:style>
  <w:style w:type="numbering" w:customStyle="1" w:styleId="Sinlista111111">
    <w:name w:val="Sin lista111111"/>
    <w:next w:val="Sinlista"/>
    <w:uiPriority w:val="99"/>
    <w:semiHidden/>
    <w:unhideWhenUsed/>
    <w:rsid w:val="00332ABE"/>
  </w:style>
  <w:style w:type="numbering" w:customStyle="1" w:styleId="Sinlista21111">
    <w:name w:val="Sin lista21111"/>
    <w:next w:val="Sinlista"/>
    <w:uiPriority w:val="99"/>
    <w:semiHidden/>
    <w:unhideWhenUsed/>
    <w:rsid w:val="00332ABE"/>
  </w:style>
  <w:style w:type="numbering" w:customStyle="1" w:styleId="Sinlista31111">
    <w:name w:val="Sin lista31111"/>
    <w:next w:val="Sinlista"/>
    <w:uiPriority w:val="99"/>
    <w:semiHidden/>
    <w:unhideWhenUsed/>
    <w:rsid w:val="00332ABE"/>
  </w:style>
  <w:style w:type="numbering" w:customStyle="1" w:styleId="Sinlista41111">
    <w:name w:val="Sin lista41111"/>
    <w:next w:val="Sinlista"/>
    <w:uiPriority w:val="99"/>
    <w:semiHidden/>
    <w:unhideWhenUsed/>
    <w:rsid w:val="00332ABE"/>
  </w:style>
  <w:style w:type="numbering" w:customStyle="1" w:styleId="Sinlista51111">
    <w:name w:val="Sin lista51111"/>
    <w:next w:val="Sinlista"/>
    <w:uiPriority w:val="99"/>
    <w:semiHidden/>
    <w:unhideWhenUsed/>
    <w:rsid w:val="00332ABE"/>
  </w:style>
  <w:style w:type="numbering" w:customStyle="1" w:styleId="Sinlista8">
    <w:name w:val="Sin lista8"/>
    <w:next w:val="Sinlista"/>
    <w:uiPriority w:val="99"/>
    <w:semiHidden/>
    <w:unhideWhenUsed/>
    <w:rsid w:val="006D16A7"/>
  </w:style>
  <w:style w:type="numbering" w:customStyle="1" w:styleId="Sinlista14">
    <w:name w:val="Sin lista14"/>
    <w:next w:val="Sinlista"/>
    <w:uiPriority w:val="99"/>
    <w:semiHidden/>
    <w:unhideWhenUsed/>
    <w:rsid w:val="006D16A7"/>
  </w:style>
  <w:style w:type="numbering" w:customStyle="1" w:styleId="Sinlista24">
    <w:name w:val="Sin lista24"/>
    <w:next w:val="Sinlista"/>
    <w:uiPriority w:val="99"/>
    <w:semiHidden/>
    <w:unhideWhenUsed/>
    <w:rsid w:val="006D16A7"/>
  </w:style>
  <w:style w:type="numbering" w:customStyle="1" w:styleId="Sinlista34">
    <w:name w:val="Sin lista34"/>
    <w:next w:val="Sinlista"/>
    <w:uiPriority w:val="99"/>
    <w:semiHidden/>
    <w:unhideWhenUsed/>
    <w:rsid w:val="006D16A7"/>
  </w:style>
  <w:style w:type="numbering" w:customStyle="1" w:styleId="Sinlista44">
    <w:name w:val="Sin lista44"/>
    <w:next w:val="Sinlista"/>
    <w:uiPriority w:val="99"/>
    <w:semiHidden/>
    <w:unhideWhenUsed/>
    <w:rsid w:val="006D16A7"/>
  </w:style>
  <w:style w:type="numbering" w:customStyle="1" w:styleId="Sinlista54">
    <w:name w:val="Sin lista54"/>
    <w:next w:val="Sinlista"/>
    <w:uiPriority w:val="99"/>
    <w:semiHidden/>
    <w:unhideWhenUsed/>
    <w:rsid w:val="006D16A7"/>
  </w:style>
  <w:style w:type="numbering" w:customStyle="1" w:styleId="Sinlista113">
    <w:name w:val="Sin lista113"/>
    <w:next w:val="Sinlista"/>
    <w:uiPriority w:val="99"/>
    <w:semiHidden/>
    <w:unhideWhenUsed/>
    <w:rsid w:val="006D16A7"/>
  </w:style>
  <w:style w:type="numbering" w:customStyle="1" w:styleId="Sinlista213">
    <w:name w:val="Sin lista213"/>
    <w:next w:val="Sinlista"/>
    <w:uiPriority w:val="99"/>
    <w:semiHidden/>
    <w:unhideWhenUsed/>
    <w:rsid w:val="006D16A7"/>
  </w:style>
  <w:style w:type="numbering" w:customStyle="1" w:styleId="Sinlista313">
    <w:name w:val="Sin lista313"/>
    <w:next w:val="Sinlista"/>
    <w:uiPriority w:val="99"/>
    <w:semiHidden/>
    <w:unhideWhenUsed/>
    <w:rsid w:val="006D16A7"/>
  </w:style>
  <w:style w:type="numbering" w:customStyle="1" w:styleId="Sinlista413">
    <w:name w:val="Sin lista413"/>
    <w:next w:val="Sinlista"/>
    <w:uiPriority w:val="99"/>
    <w:semiHidden/>
    <w:unhideWhenUsed/>
    <w:rsid w:val="006D16A7"/>
  </w:style>
  <w:style w:type="numbering" w:customStyle="1" w:styleId="Sinlista513">
    <w:name w:val="Sin lista513"/>
    <w:next w:val="Sinlista"/>
    <w:uiPriority w:val="99"/>
    <w:semiHidden/>
    <w:unhideWhenUsed/>
    <w:rsid w:val="006D16A7"/>
  </w:style>
  <w:style w:type="numbering" w:customStyle="1" w:styleId="Sinlista62">
    <w:name w:val="Sin lista62"/>
    <w:next w:val="Sinlista"/>
    <w:uiPriority w:val="99"/>
    <w:semiHidden/>
    <w:unhideWhenUsed/>
    <w:rsid w:val="006D16A7"/>
  </w:style>
  <w:style w:type="numbering" w:customStyle="1" w:styleId="Sinlista122">
    <w:name w:val="Sin lista122"/>
    <w:next w:val="Sinlista"/>
    <w:uiPriority w:val="99"/>
    <w:semiHidden/>
    <w:unhideWhenUsed/>
    <w:rsid w:val="006D16A7"/>
  </w:style>
  <w:style w:type="numbering" w:customStyle="1" w:styleId="Sinlista1113">
    <w:name w:val="Sin lista1113"/>
    <w:next w:val="Sinlista"/>
    <w:uiPriority w:val="99"/>
    <w:semiHidden/>
    <w:unhideWhenUsed/>
    <w:rsid w:val="006D16A7"/>
  </w:style>
  <w:style w:type="numbering" w:customStyle="1" w:styleId="Sinlista222">
    <w:name w:val="Sin lista222"/>
    <w:next w:val="Sinlista"/>
    <w:uiPriority w:val="99"/>
    <w:semiHidden/>
    <w:unhideWhenUsed/>
    <w:rsid w:val="006D16A7"/>
  </w:style>
  <w:style w:type="numbering" w:customStyle="1" w:styleId="Sinlista322">
    <w:name w:val="Sin lista322"/>
    <w:next w:val="Sinlista"/>
    <w:uiPriority w:val="99"/>
    <w:semiHidden/>
    <w:unhideWhenUsed/>
    <w:rsid w:val="006D16A7"/>
  </w:style>
  <w:style w:type="numbering" w:customStyle="1" w:styleId="Sinlista422">
    <w:name w:val="Sin lista422"/>
    <w:next w:val="Sinlista"/>
    <w:uiPriority w:val="99"/>
    <w:semiHidden/>
    <w:unhideWhenUsed/>
    <w:rsid w:val="006D16A7"/>
  </w:style>
  <w:style w:type="numbering" w:customStyle="1" w:styleId="Sinlista522">
    <w:name w:val="Sin lista522"/>
    <w:next w:val="Sinlista"/>
    <w:uiPriority w:val="99"/>
    <w:semiHidden/>
    <w:unhideWhenUsed/>
    <w:rsid w:val="006D16A7"/>
  </w:style>
  <w:style w:type="numbering" w:customStyle="1" w:styleId="Sinlista11113">
    <w:name w:val="Sin lista11113"/>
    <w:next w:val="Sinlista"/>
    <w:uiPriority w:val="99"/>
    <w:semiHidden/>
    <w:unhideWhenUsed/>
    <w:rsid w:val="006D16A7"/>
  </w:style>
  <w:style w:type="numbering" w:customStyle="1" w:styleId="Sinlista2113">
    <w:name w:val="Sin lista2113"/>
    <w:next w:val="Sinlista"/>
    <w:uiPriority w:val="99"/>
    <w:semiHidden/>
    <w:unhideWhenUsed/>
    <w:rsid w:val="006D16A7"/>
  </w:style>
  <w:style w:type="numbering" w:customStyle="1" w:styleId="Sinlista3113">
    <w:name w:val="Sin lista3113"/>
    <w:next w:val="Sinlista"/>
    <w:uiPriority w:val="99"/>
    <w:semiHidden/>
    <w:unhideWhenUsed/>
    <w:rsid w:val="006D16A7"/>
  </w:style>
  <w:style w:type="numbering" w:customStyle="1" w:styleId="Sinlista4113">
    <w:name w:val="Sin lista4113"/>
    <w:next w:val="Sinlista"/>
    <w:uiPriority w:val="99"/>
    <w:semiHidden/>
    <w:unhideWhenUsed/>
    <w:rsid w:val="006D16A7"/>
  </w:style>
  <w:style w:type="numbering" w:customStyle="1" w:styleId="Sinlista5113">
    <w:name w:val="Sin lista5113"/>
    <w:next w:val="Sinlista"/>
    <w:uiPriority w:val="99"/>
    <w:semiHidden/>
    <w:unhideWhenUsed/>
    <w:rsid w:val="006D16A7"/>
  </w:style>
  <w:style w:type="numbering" w:customStyle="1" w:styleId="Sinlista111112">
    <w:name w:val="Sin lista111112"/>
    <w:next w:val="Sinlista"/>
    <w:uiPriority w:val="99"/>
    <w:semiHidden/>
    <w:unhideWhenUsed/>
    <w:rsid w:val="006D16A7"/>
  </w:style>
  <w:style w:type="numbering" w:customStyle="1" w:styleId="Sinlista21112">
    <w:name w:val="Sin lista21112"/>
    <w:next w:val="Sinlista"/>
    <w:uiPriority w:val="99"/>
    <w:semiHidden/>
    <w:unhideWhenUsed/>
    <w:rsid w:val="006D16A7"/>
  </w:style>
  <w:style w:type="numbering" w:customStyle="1" w:styleId="Sinlista31112">
    <w:name w:val="Sin lista31112"/>
    <w:next w:val="Sinlista"/>
    <w:uiPriority w:val="99"/>
    <w:semiHidden/>
    <w:unhideWhenUsed/>
    <w:rsid w:val="006D16A7"/>
  </w:style>
  <w:style w:type="numbering" w:customStyle="1" w:styleId="Sinlista41112">
    <w:name w:val="Sin lista41112"/>
    <w:next w:val="Sinlista"/>
    <w:uiPriority w:val="99"/>
    <w:semiHidden/>
    <w:unhideWhenUsed/>
    <w:rsid w:val="006D16A7"/>
  </w:style>
  <w:style w:type="numbering" w:customStyle="1" w:styleId="Sinlista51112">
    <w:name w:val="Sin lista51112"/>
    <w:next w:val="Sinlista"/>
    <w:uiPriority w:val="99"/>
    <w:semiHidden/>
    <w:unhideWhenUsed/>
    <w:rsid w:val="006D16A7"/>
  </w:style>
  <w:style w:type="numbering" w:customStyle="1" w:styleId="Sinlista9">
    <w:name w:val="Sin lista9"/>
    <w:next w:val="Sinlista"/>
    <w:uiPriority w:val="99"/>
    <w:semiHidden/>
    <w:unhideWhenUsed/>
    <w:rsid w:val="00FA5A90"/>
  </w:style>
  <w:style w:type="character" w:customStyle="1" w:styleId="EstiloCorreo1441">
    <w:name w:val="EstiloCorreo1441"/>
    <w:basedOn w:val="Fuentedeprrafopredeter"/>
    <w:semiHidden/>
    <w:rsid w:val="00FA5A90"/>
    <w:rPr>
      <w:rFonts w:ascii="Arial" w:hAnsi="Arial" w:cs="Arial"/>
      <w:color w:val="000080"/>
      <w:sz w:val="20"/>
      <w:szCs w:val="20"/>
    </w:rPr>
  </w:style>
  <w:style w:type="numbering" w:customStyle="1" w:styleId="Sinlista15">
    <w:name w:val="Sin lista15"/>
    <w:next w:val="Sinlista"/>
    <w:uiPriority w:val="99"/>
    <w:semiHidden/>
    <w:unhideWhenUsed/>
    <w:rsid w:val="00FA5A90"/>
  </w:style>
  <w:style w:type="character" w:customStyle="1" w:styleId="EstiloCorreo1461">
    <w:name w:val="EstiloCorreo1461"/>
    <w:basedOn w:val="Fuentedeprrafopredeter"/>
    <w:semiHidden/>
    <w:rsid w:val="00FA5A90"/>
    <w:rPr>
      <w:rFonts w:ascii="Arial" w:hAnsi="Arial" w:cs="Arial" w:hint="default"/>
      <w:color w:val="000080"/>
      <w:sz w:val="20"/>
      <w:szCs w:val="20"/>
    </w:rPr>
  </w:style>
  <w:style w:type="numbering" w:customStyle="1" w:styleId="Sinlista25">
    <w:name w:val="Sin lista25"/>
    <w:next w:val="Sinlista"/>
    <w:uiPriority w:val="99"/>
    <w:semiHidden/>
    <w:unhideWhenUsed/>
    <w:rsid w:val="00FA5A90"/>
  </w:style>
  <w:style w:type="numbering" w:customStyle="1" w:styleId="Sinlista35">
    <w:name w:val="Sin lista35"/>
    <w:next w:val="Sinlista"/>
    <w:uiPriority w:val="99"/>
    <w:semiHidden/>
    <w:unhideWhenUsed/>
    <w:rsid w:val="00FA5A90"/>
  </w:style>
  <w:style w:type="numbering" w:customStyle="1" w:styleId="Sinlista45">
    <w:name w:val="Sin lista45"/>
    <w:next w:val="Sinlista"/>
    <w:uiPriority w:val="99"/>
    <w:semiHidden/>
    <w:unhideWhenUsed/>
    <w:rsid w:val="00FA5A90"/>
  </w:style>
  <w:style w:type="numbering" w:customStyle="1" w:styleId="Sinlista55">
    <w:name w:val="Sin lista55"/>
    <w:next w:val="Sinlista"/>
    <w:uiPriority w:val="99"/>
    <w:semiHidden/>
    <w:unhideWhenUsed/>
    <w:rsid w:val="00FA5A90"/>
  </w:style>
  <w:style w:type="numbering" w:customStyle="1" w:styleId="Sinlista114">
    <w:name w:val="Sin lista114"/>
    <w:next w:val="Sinlista"/>
    <w:uiPriority w:val="99"/>
    <w:semiHidden/>
    <w:unhideWhenUsed/>
    <w:rsid w:val="00FA5A90"/>
  </w:style>
  <w:style w:type="numbering" w:customStyle="1" w:styleId="Sinlista214">
    <w:name w:val="Sin lista214"/>
    <w:next w:val="Sinlista"/>
    <w:uiPriority w:val="99"/>
    <w:semiHidden/>
    <w:unhideWhenUsed/>
    <w:rsid w:val="00FA5A90"/>
  </w:style>
  <w:style w:type="numbering" w:customStyle="1" w:styleId="Sinlista314">
    <w:name w:val="Sin lista314"/>
    <w:next w:val="Sinlista"/>
    <w:uiPriority w:val="99"/>
    <w:semiHidden/>
    <w:unhideWhenUsed/>
    <w:rsid w:val="00FA5A90"/>
  </w:style>
  <w:style w:type="numbering" w:customStyle="1" w:styleId="Sinlista414">
    <w:name w:val="Sin lista414"/>
    <w:next w:val="Sinlista"/>
    <w:uiPriority w:val="99"/>
    <w:semiHidden/>
    <w:unhideWhenUsed/>
    <w:rsid w:val="00FA5A90"/>
  </w:style>
  <w:style w:type="numbering" w:customStyle="1" w:styleId="Sinlista514">
    <w:name w:val="Sin lista514"/>
    <w:next w:val="Sinlista"/>
    <w:uiPriority w:val="99"/>
    <w:semiHidden/>
    <w:unhideWhenUsed/>
    <w:rsid w:val="00FA5A90"/>
  </w:style>
  <w:style w:type="numbering" w:customStyle="1" w:styleId="Sinlista63">
    <w:name w:val="Sin lista63"/>
    <w:next w:val="Sinlista"/>
    <w:uiPriority w:val="99"/>
    <w:semiHidden/>
    <w:unhideWhenUsed/>
    <w:rsid w:val="00FA5A90"/>
  </w:style>
  <w:style w:type="numbering" w:customStyle="1" w:styleId="Sinlista123">
    <w:name w:val="Sin lista123"/>
    <w:next w:val="Sinlista"/>
    <w:uiPriority w:val="99"/>
    <w:semiHidden/>
    <w:unhideWhenUsed/>
    <w:rsid w:val="00FA5A90"/>
  </w:style>
  <w:style w:type="numbering" w:customStyle="1" w:styleId="Sinlista1114">
    <w:name w:val="Sin lista1114"/>
    <w:next w:val="Sinlista"/>
    <w:uiPriority w:val="99"/>
    <w:semiHidden/>
    <w:unhideWhenUsed/>
    <w:rsid w:val="00FA5A90"/>
  </w:style>
  <w:style w:type="numbering" w:customStyle="1" w:styleId="Sinlista223">
    <w:name w:val="Sin lista223"/>
    <w:next w:val="Sinlista"/>
    <w:uiPriority w:val="99"/>
    <w:semiHidden/>
    <w:unhideWhenUsed/>
    <w:rsid w:val="00FA5A90"/>
  </w:style>
  <w:style w:type="numbering" w:customStyle="1" w:styleId="Sinlista323">
    <w:name w:val="Sin lista323"/>
    <w:next w:val="Sinlista"/>
    <w:uiPriority w:val="99"/>
    <w:semiHidden/>
    <w:unhideWhenUsed/>
    <w:rsid w:val="00FA5A90"/>
  </w:style>
  <w:style w:type="numbering" w:customStyle="1" w:styleId="Sinlista423">
    <w:name w:val="Sin lista423"/>
    <w:next w:val="Sinlista"/>
    <w:uiPriority w:val="99"/>
    <w:semiHidden/>
    <w:unhideWhenUsed/>
    <w:rsid w:val="00FA5A90"/>
  </w:style>
  <w:style w:type="numbering" w:customStyle="1" w:styleId="Sinlista523">
    <w:name w:val="Sin lista523"/>
    <w:next w:val="Sinlista"/>
    <w:uiPriority w:val="99"/>
    <w:semiHidden/>
    <w:unhideWhenUsed/>
    <w:rsid w:val="00FA5A90"/>
  </w:style>
  <w:style w:type="numbering" w:customStyle="1" w:styleId="Sinlista11114">
    <w:name w:val="Sin lista11114"/>
    <w:next w:val="Sinlista"/>
    <w:uiPriority w:val="99"/>
    <w:semiHidden/>
    <w:unhideWhenUsed/>
    <w:rsid w:val="00FA5A90"/>
  </w:style>
  <w:style w:type="numbering" w:customStyle="1" w:styleId="Sinlista2114">
    <w:name w:val="Sin lista2114"/>
    <w:next w:val="Sinlista"/>
    <w:uiPriority w:val="99"/>
    <w:semiHidden/>
    <w:unhideWhenUsed/>
    <w:rsid w:val="00FA5A90"/>
  </w:style>
  <w:style w:type="numbering" w:customStyle="1" w:styleId="Sinlista3114">
    <w:name w:val="Sin lista3114"/>
    <w:next w:val="Sinlista"/>
    <w:uiPriority w:val="99"/>
    <w:semiHidden/>
    <w:unhideWhenUsed/>
    <w:rsid w:val="00FA5A90"/>
  </w:style>
  <w:style w:type="numbering" w:customStyle="1" w:styleId="Sinlista4114">
    <w:name w:val="Sin lista4114"/>
    <w:next w:val="Sinlista"/>
    <w:uiPriority w:val="99"/>
    <w:semiHidden/>
    <w:unhideWhenUsed/>
    <w:rsid w:val="00FA5A90"/>
  </w:style>
  <w:style w:type="numbering" w:customStyle="1" w:styleId="Sinlista5114">
    <w:name w:val="Sin lista5114"/>
    <w:next w:val="Sinlista"/>
    <w:uiPriority w:val="99"/>
    <w:semiHidden/>
    <w:unhideWhenUsed/>
    <w:rsid w:val="00FA5A90"/>
  </w:style>
  <w:style w:type="numbering" w:customStyle="1" w:styleId="Sinlista111113">
    <w:name w:val="Sin lista111113"/>
    <w:next w:val="Sinlista"/>
    <w:uiPriority w:val="99"/>
    <w:semiHidden/>
    <w:unhideWhenUsed/>
    <w:rsid w:val="00FA5A90"/>
  </w:style>
  <w:style w:type="numbering" w:customStyle="1" w:styleId="Sinlista21113">
    <w:name w:val="Sin lista21113"/>
    <w:next w:val="Sinlista"/>
    <w:uiPriority w:val="99"/>
    <w:semiHidden/>
    <w:unhideWhenUsed/>
    <w:rsid w:val="00FA5A90"/>
  </w:style>
  <w:style w:type="numbering" w:customStyle="1" w:styleId="Sinlista31113">
    <w:name w:val="Sin lista31113"/>
    <w:next w:val="Sinlista"/>
    <w:uiPriority w:val="99"/>
    <w:semiHidden/>
    <w:unhideWhenUsed/>
    <w:rsid w:val="00FA5A90"/>
  </w:style>
  <w:style w:type="numbering" w:customStyle="1" w:styleId="Sinlista41113">
    <w:name w:val="Sin lista41113"/>
    <w:next w:val="Sinlista"/>
    <w:uiPriority w:val="99"/>
    <w:semiHidden/>
    <w:unhideWhenUsed/>
    <w:rsid w:val="00FA5A90"/>
  </w:style>
  <w:style w:type="numbering" w:customStyle="1" w:styleId="Sinlista51113">
    <w:name w:val="Sin lista51113"/>
    <w:next w:val="Sinlista"/>
    <w:uiPriority w:val="99"/>
    <w:semiHidden/>
    <w:unhideWhenUsed/>
    <w:rsid w:val="00FA5A90"/>
  </w:style>
  <w:style w:type="character" w:customStyle="1" w:styleId="EstiloCorreo1381">
    <w:name w:val="EstiloCorreo1381"/>
    <w:basedOn w:val="Fuentedeprrafopredeter"/>
    <w:semiHidden/>
    <w:rsid w:val="001A7757"/>
    <w:rPr>
      <w:rFonts w:ascii="Arial" w:hAnsi="Arial" w:cs="Arial"/>
      <w:color w:val="000080"/>
      <w:sz w:val="20"/>
      <w:szCs w:val="20"/>
    </w:rPr>
  </w:style>
  <w:style w:type="character" w:customStyle="1" w:styleId="EstiloCorreo1421">
    <w:name w:val="EstiloCorreo1421"/>
    <w:basedOn w:val="Fuentedeprrafopredeter"/>
    <w:semiHidden/>
    <w:rsid w:val="001A7757"/>
    <w:rPr>
      <w:rFonts w:ascii="Arial" w:hAnsi="Arial" w:cs="Arial" w:hint="default"/>
      <w:color w:val="000080"/>
      <w:sz w:val="20"/>
      <w:szCs w:val="20"/>
    </w:rPr>
  </w:style>
  <w:style w:type="character" w:customStyle="1" w:styleId="EstiloCorreo1442">
    <w:name w:val="EstiloCorreo1442"/>
    <w:basedOn w:val="Fuentedeprrafopredeter"/>
    <w:semiHidden/>
    <w:rsid w:val="001A7757"/>
    <w:rPr>
      <w:rFonts w:ascii="Arial" w:hAnsi="Arial" w:cs="Arial" w:hint="default"/>
      <w:color w:val="000080"/>
      <w:sz w:val="20"/>
      <w:szCs w:val="20"/>
    </w:rPr>
  </w:style>
  <w:style w:type="character" w:customStyle="1" w:styleId="EstiloCorreo1462">
    <w:name w:val="EstiloCorreo1462"/>
    <w:basedOn w:val="Fuentedeprrafopredeter"/>
    <w:semiHidden/>
    <w:rsid w:val="001A7757"/>
    <w:rPr>
      <w:rFonts w:ascii="Arial" w:hAnsi="Arial" w:cs="Arial" w:hint="default"/>
      <w:color w:val="000080"/>
      <w:sz w:val="20"/>
      <w:szCs w:val="20"/>
    </w:rPr>
  </w:style>
  <w:style w:type="character" w:customStyle="1" w:styleId="EstiloCorreo148">
    <w:name w:val="EstiloCorreo148"/>
    <w:basedOn w:val="Fuentedeprrafopredeter"/>
    <w:semiHidden/>
    <w:rsid w:val="001A7757"/>
    <w:rPr>
      <w:rFonts w:ascii="Arial" w:hAnsi="Arial" w:cs="Arial" w:hint="default"/>
      <w:color w:val="000080"/>
      <w:sz w:val="20"/>
      <w:szCs w:val="20"/>
    </w:rPr>
  </w:style>
  <w:style w:type="character" w:customStyle="1" w:styleId="EstiloCorreo1501">
    <w:name w:val="EstiloCorreo1501"/>
    <w:basedOn w:val="Fuentedeprrafopredeter"/>
    <w:semiHidden/>
    <w:rsid w:val="001A7757"/>
    <w:rPr>
      <w:rFonts w:ascii="Arial" w:hAnsi="Arial" w:cs="Arial" w:hint="default"/>
      <w:color w:val="000080"/>
      <w:sz w:val="20"/>
      <w:szCs w:val="20"/>
    </w:rPr>
  </w:style>
  <w:style w:type="numbering" w:customStyle="1" w:styleId="Sinlista71">
    <w:name w:val="Sin lista71"/>
    <w:next w:val="Sinlista"/>
    <w:uiPriority w:val="99"/>
    <w:semiHidden/>
    <w:unhideWhenUsed/>
    <w:rsid w:val="001A7757"/>
  </w:style>
  <w:style w:type="numbering" w:customStyle="1" w:styleId="Sinlista131">
    <w:name w:val="Sin lista131"/>
    <w:next w:val="Sinlista"/>
    <w:uiPriority w:val="99"/>
    <w:semiHidden/>
    <w:unhideWhenUsed/>
    <w:rsid w:val="001A7757"/>
  </w:style>
  <w:style w:type="numbering" w:customStyle="1" w:styleId="Sinlista231">
    <w:name w:val="Sin lista231"/>
    <w:next w:val="Sinlista"/>
    <w:uiPriority w:val="99"/>
    <w:semiHidden/>
    <w:unhideWhenUsed/>
    <w:rsid w:val="001A7757"/>
  </w:style>
  <w:style w:type="numbering" w:customStyle="1" w:styleId="Sinlista331">
    <w:name w:val="Sin lista331"/>
    <w:next w:val="Sinlista"/>
    <w:uiPriority w:val="99"/>
    <w:semiHidden/>
    <w:unhideWhenUsed/>
    <w:rsid w:val="001A7757"/>
  </w:style>
  <w:style w:type="numbering" w:customStyle="1" w:styleId="Sinlista431">
    <w:name w:val="Sin lista431"/>
    <w:next w:val="Sinlista"/>
    <w:uiPriority w:val="99"/>
    <w:semiHidden/>
    <w:unhideWhenUsed/>
    <w:rsid w:val="001A7757"/>
  </w:style>
  <w:style w:type="numbering" w:customStyle="1" w:styleId="Sinlista531">
    <w:name w:val="Sin lista531"/>
    <w:next w:val="Sinlista"/>
    <w:uiPriority w:val="99"/>
    <w:semiHidden/>
    <w:unhideWhenUsed/>
    <w:rsid w:val="001A7757"/>
  </w:style>
  <w:style w:type="numbering" w:customStyle="1" w:styleId="Sinlista1121">
    <w:name w:val="Sin lista1121"/>
    <w:next w:val="Sinlista"/>
    <w:uiPriority w:val="99"/>
    <w:semiHidden/>
    <w:unhideWhenUsed/>
    <w:rsid w:val="001A7757"/>
  </w:style>
  <w:style w:type="numbering" w:customStyle="1" w:styleId="Sinlista2121">
    <w:name w:val="Sin lista2121"/>
    <w:next w:val="Sinlista"/>
    <w:uiPriority w:val="99"/>
    <w:semiHidden/>
    <w:unhideWhenUsed/>
    <w:rsid w:val="001A7757"/>
  </w:style>
  <w:style w:type="numbering" w:customStyle="1" w:styleId="Sinlista3121">
    <w:name w:val="Sin lista3121"/>
    <w:next w:val="Sinlista"/>
    <w:uiPriority w:val="99"/>
    <w:semiHidden/>
    <w:unhideWhenUsed/>
    <w:rsid w:val="001A7757"/>
  </w:style>
  <w:style w:type="numbering" w:customStyle="1" w:styleId="Sinlista4121">
    <w:name w:val="Sin lista4121"/>
    <w:next w:val="Sinlista"/>
    <w:uiPriority w:val="99"/>
    <w:semiHidden/>
    <w:unhideWhenUsed/>
    <w:rsid w:val="001A7757"/>
  </w:style>
  <w:style w:type="numbering" w:customStyle="1" w:styleId="Sinlista5121">
    <w:name w:val="Sin lista5121"/>
    <w:next w:val="Sinlista"/>
    <w:uiPriority w:val="99"/>
    <w:semiHidden/>
    <w:unhideWhenUsed/>
    <w:rsid w:val="001A7757"/>
  </w:style>
  <w:style w:type="numbering" w:customStyle="1" w:styleId="Sinlista611">
    <w:name w:val="Sin lista611"/>
    <w:next w:val="Sinlista"/>
    <w:uiPriority w:val="99"/>
    <w:semiHidden/>
    <w:unhideWhenUsed/>
    <w:rsid w:val="001A7757"/>
  </w:style>
  <w:style w:type="numbering" w:customStyle="1" w:styleId="Sinlista1211">
    <w:name w:val="Sin lista1211"/>
    <w:next w:val="Sinlista"/>
    <w:uiPriority w:val="99"/>
    <w:semiHidden/>
    <w:unhideWhenUsed/>
    <w:rsid w:val="001A7757"/>
  </w:style>
  <w:style w:type="numbering" w:customStyle="1" w:styleId="Sinlista11121">
    <w:name w:val="Sin lista11121"/>
    <w:next w:val="Sinlista"/>
    <w:uiPriority w:val="99"/>
    <w:semiHidden/>
    <w:unhideWhenUsed/>
    <w:rsid w:val="001A7757"/>
  </w:style>
  <w:style w:type="numbering" w:customStyle="1" w:styleId="Sinlista2211">
    <w:name w:val="Sin lista2211"/>
    <w:next w:val="Sinlista"/>
    <w:uiPriority w:val="99"/>
    <w:semiHidden/>
    <w:unhideWhenUsed/>
    <w:rsid w:val="001A7757"/>
  </w:style>
  <w:style w:type="numbering" w:customStyle="1" w:styleId="Sinlista3211">
    <w:name w:val="Sin lista3211"/>
    <w:next w:val="Sinlista"/>
    <w:uiPriority w:val="99"/>
    <w:semiHidden/>
    <w:unhideWhenUsed/>
    <w:rsid w:val="001A7757"/>
  </w:style>
  <w:style w:type="numbering" w:customStyle="1" w:styleId="Sinlista4211">
    <w:name w:val="Sin lista4211"/>
    <w:next w:val="Sinlista"/>
    <w:uiPriority w:val="99"/>
    <w:semiHidden/>
    <w:unhideWhenUsed/>
    <w:rsid w:val="001A7757"/>
  </w:style>
  <w:style w:type="numbering" w:customStyle="1" w:styleId="Sinlista5211">
    <w:name w:val="Sin lista5211"/>
    <w:next w:val="Sinlista"/>
    <w:uiPriority w:val="99"/>
    <w:semiHidden/>
    <w:unhideWhenUsed/>
    <w:rsid w:val="001A7757"/>
  </w:style>
  <w:style w:type="numbering" w:customStyle="1" w:styleId="Sinlista111121">
    <w:name w:val="Sin lista111121"/>
    <w:next w:val="Sinlista"/>
    <w:uiPriority w:val="99"/>
    <w:semiHidden/>
    <w:unhideWhenUsed/>
    <w:rsid w:val="001A7757"/>
  </w:style>
  <w:style w:type="numbering" w:customStyle="1" w:styleId="Sinlista21121">
    <w:name w:val="Sin lista21121"/>
    <w:next w:val="Sinlista"/>
    <w:uiPriority w:val="99"/>
    <w:semiHidden/>
    <w:unhideWhenUsed/>
    <w:rsid w:val="001A7757"/>
  </w:style>
  <w:style w:type="numbering" w:customStyle="1" w:styleId="Sinlista31121">
    <w:name w:val="Sin lista31121"/>
    <w:next w:val="Sinlista"/>
    <w:uiPriority w:val="99"/>
    <w:semiHidden/>
    <w:unhideWhenUsed/>
    <w:rsid w:val="001A7757"/>
  </w:style>
  <w:style w:type="numbering" w:customStyle="1" w:styleId="Sinlista41121">
    <w:name w:val="Sin lista41121"/>
    <w:next w:val="Sinlista"/>
    <w:uiPriority w:val="99"/>
    <w:semiHidden/>
    <w:unhideWhenUsed/>
    <w:rsid w:val="001A7757"/>
  </w:style>
  <w:style w:type="numbering" w:customStyle="1" w:styleId="Sinlista51121">
    <w:name w:val="Sin lista51121"/>
    <w:next w:val="Sinlista"/>
    <w:uiPriority w:val="99"/>
    <w:semiHidden/>
    <w:unhideWhenUsed/>
    <w:rsid w:val="001A7757"/>
  </w:style>
  <w:style w:type="numbering" w:customStyle="1" w:styleId="Sinlista1111111">
    <w:name w:val="Sin lista1111111"/>
    <w:next w:val="Sinlista"/>
    <w:uiPriority w:val="99"/>
    <w:semiHidden/>
    <w:unhideWhenUsed/>
    <w:rsid w:val="001A7757"/>
  </w:style>
  <w:style w:type="numbering" w:customStyle="1" w:styleId="Sinlista211111">
    <w:name w:val="Sin lista211111"/>
    <w:next w:val="Sinlista"/>
    <w:uiPriority w:val="99"/>
    <w:semiHidden/>
    <w:unhideWhenUsed/>
    <w:rsid w:val="001A7757"/>
  </w:style>
  <w:style w:type="numbering" w:customStyle="1" w:styleId="Sinlista311111">
    <w:name w:val="Sin lista311111"/>
    <w:next w:val="Sinlista"/>
    <w:uiPriority w:val="99"/>
    <w:semiHidden/>
    <w:unhideWhenUsed/>
    <w:rsid w:val="001A7757"/>
  </w:style>
  <w:style w:type="numbering" w:customStyle="1" w:styleId="Sinlista411111">
    <w:name w:val="Sin lista411111"/>
    <w:next w:val="Sinlista"/>
    <w:uiPriority w:val="99"/>
    <w:semiHidden/>
    <w:unhideWhenUsed/>
    <w:rsid w:val="001A7757"/>
  </w:style>
  <w:style w:type="numbering" w:customStyle="1" w:styleId="Sinlista511111">
    <w:name w:val="Sin lista511111"/>
    <w:next w:val="Sinlista"/>
    <w:uiPriority w:val="99"/>
    <w:semiHidden/>
    <w:unhideWhenUsed/>
    <w:rsid w:val="001A7757"/>
  </w:style>
  <w:style w:type="paragraph" w:customStyle="1" w:styleId="Cuerpo">
    <w:name w:val="Cuerpo"/>
    <w:rsid w:val="00B215FA"/>
    <w:pPr>
      <w:pBdr>
        <w:top w:val="nil"/>
        <w:left w:val="nil"/>
        <w:bottom w:val="nil"/>
        <w:right w:val="nil"/>
        <w:between w:val="nil"/>
        <w:bar w:val="nil"/>
      </w:pBdr>
    </w:pPr>
    <w:rPr>
      <w:rFonts w:eastAsia="Arial Unicode MS" w:cs="Arial Unicode MS"/>
      <w:color w:val="000000"/>
      <w:sz w:val="24"/>
      <w:szCs w:val="24"/>
      <w:u w:color="000000"/>
      <w:bdr w:val="nil"/>
      <w:lang w:val="es-ES_tradnl"/>
    </w:rPr>
  </w:style>
  <w:style w:type="numbering" w:customStyle="1" w:styleId="Estiloimportado1">
    <w:name w:val="Estilo importado 1"/>
    <w:rsid w:val="00B215FA"/>
  </w:style>
  <w:style w:type="character" w:customStyle="1" w:styleId="Ninguno">
    <w:name w:val="Ninguno"/>
    <w:rsid w:val="00B215FA"/>
    <w:rPr>
      <w:lang w:val="es-ES_tradnl"/>
    </w:rPr>
  </w:style>
  <w:style w:type="numbering" w:customStyle="1" w:styleId="Estiloimportado2">
    <w:name w:val="Estilo importado 2"/>
    <w:rsid w:val="00B215FA"/>
  </w:style>
  <w:style w:type="numbering" w:customStyle="1" w:styleId="Estiloimportado3">
    <w:name w:val="Estilo importado 3"/>
    <w:rsid w:val="00B215FA"/>
  </w:style>
  <w:style w:type="numbering" w:customStyle="1" w:styleId="Estiloimportado4">
    <w:name w:val="Estilo importado 4"/>
    <w:rsid w:val="00B215FA"/>
  </w:style>
  <w:style w:type="numbering" w:customStyle="1" w:styleId="Estiloimportado5">
    <w:name w:val="Estilo importado 5"/>
    <w:rsid w:val="00B215FA"/>
  </w:style>
  <w:style w:type="numbering" w:customStyle="1" w:styleId="Estiloimportado6">
    <w:name w:val="Estilo importado 6"/>
    <w:rsid w:val="00B215FA"/>
  </w:style>
  <w:style w:type="numbering" w:customStyle="1" w:styleId="Estiloimportado7">
    <w:name w:val="Estilo importado 7"/>
    <w:rsid w:val="00B215FA"/>
  </w:style>
  <w:style w:type="numbering" w:customStyle="1" w:styleId="Estiloimportado8">
    <w:name w:val="Estilo importado 8"/>
    <w:rsid w:val="00B215FA"/>
  </w:style>
  <w:style w:type="numbering" w:customStyle="1" w:styleId="Estiloimportado9">
    <w:name w:val="Estilo importado 9"/>
    <w:rsid w:val="00B215FA"/>
  </w:style>
  <w:style w:type="numbering" w:customStyle="1" w:styleId="Estiloimportado10">
    <w:name w:val="Estilo importado 10"/>
    <w:rsid w:val="00B215FA"/>
  </w:style>
  <w:style w:type="numbering" w:customStyle="1" w:styleId="Estiloimportado11">
    <w:name w:val="Estilo importado 11"/>
    <w:rsid w:val="00B215FA"/>
  </w:style>
  <w:style w:type="numbering" w:customStyle="1" w:styleId="Estiloimportado12">
    <w:name w:val="Estilo importado 12"/>
    <w:rsid w:val="00B215FA"/>
  </w:style>
  <w:style w:type="character" w:customStyle="1" w:styleId="Hyperlink0">
    <w:name w:val="Hyperlink.0"/>
    <w:basedOn w:val="Fuentedeprrafopredeter"/>
    <w:rsid w:val="00B215FA"/>
    <w:rPr>
      <w:rFonts w:ascii="Arial" w:eastAsia="Arial" w:hAnsi="Arial" w:cs="Arial"/>
      <w:color w:val="0000FF"/>
      <w:sz w:val="20"/>
      <w:szCs w:val="20"/>
      <w:u w:val="single" w:color="0000FF"/>
      <w:lang w:val="es-ES_tradnl"/>
    </w:rPr>
  </w:style>
  <w:style w:type="numbering" w:customStyle="1" w:styleId="Estiloimportado13">
    <w:name w:val="Estilo importado 13"/>
    <w:rsid w:val="00B215FA"/>
  </w:style>
  <w:style w:type="numbering" w:customStyle="1" w:styleId="Estiloimportado14">
    <w:name w:val="Estilo importado 14"/>
    <w:rsid w:val="00B215FA"/>
  </w:style>
  <w:style w:type="numbering" w:customStyle="1" w:styleId="Estiloimportado15">
    <w:name w:val="Estilo importado 15"/>
    <w:rsid w:val="00B215FA"/>
  </w:style>
  <w:style w:type="numbering" w:customStyle="1" w:styleId="Estiloimportado203">
    <w:name w:val="Estilo importado 203"/>
    <w:rsid w:val="00B215FA"/>
  </w:style>
  <w:style w:type="numbering" w:customStyle="1" w:styleId="Estiloimportado16">
    <w:name w:val="Estilo importado 16"/>
    <w:rsid w:val="00B215FA"/>
  </w:style>
  <w:style w:type="numbering" w:customStyle="1" w:styleId="Estiloimportado17">
    <w:name w:val="Estilo importado 17"/>
    <w:rsid w:val="00B215FA"/>
  </w:style>
  <w:style w:type="numbering" w:customStyle="1" w:styleId="Estiloimportado18">
    <w:name w:val="Estilo importado 18"/>
    <w:rsid w:val="00B215FA"/>
  </w:style>
  <w:style w:type="numbering" w:customStyle="1" w:styleId="Estiloimportado19">
    <w:name w:val="Estilo importado 19"/>
    <w:rsid w:val="00B215FA"/>
    <w:pPr>
      <w:numPr>
        <w:numId w:val="25"/>
      </w:numPr>
    </w:pPr>
  </w:style>
  <w:style w:type="numbering" w:customStyle="1" w:styleId="Estiloimportado20">
    <w:name w:val="Estilo importado 20"/>
    <w:rsid w:val="00B215FA"/>
    <w:pPr>
      <w:numPr>
        <w:numId w:val="26"/>
      </w:numPr>
    </w:pPr>
  </w:style>
  <w:style w:type="character" w:customStyle="1" w:styleId="PrrafodelistaCar">
    <w:name w:val="Párrafo de lista Car"/>
    <w:link w:val="Prrafodelista"/>
    <w:uiPriority w:val="34"/>
    <w:rsid w:val="002E6F1C"/>
    <w:rPr>
      <w:sz w:val="24"/>
      <w:lang w:eastAsia="en-US"/>
    </w:rPr>
  </w:style>
  <w:style w:type="numbering" w:customStyle="1" w:styleId="Sinlista10">
    <w:name w:val="Sin lista10"/>
    <w:next w:val="Sinlista"/>
    <w:uiPriority w:val="99"/>
    <w:semiHidden/>
    <w:unhideWhenUsed/>
    <w:rsid w:val="002E6F1C"/>
  </w:style>
  <w:style w:type="numbering" w:customStyle="1" w:styleId="Sinlista16">
    <w:name w:val="Sin lista16"/>
    <w:next w:val="Sinlista"/>
    <w:uiPriority w:val="99"/>
    <w:semiHidden/>
    <w:unhideWhenUsed/>
    <w:rsid w:val="002E6F1C"/>
  </w:style>
  <w:style w:type="numbering" w:customStyle="1" w:styleId="Sinlista26">
    <w:name w:val="Sin lista26"/>
    <w:next w:val="Sinlista"/>
    <w:uiPriority w:val="99"/>
    <w:semiHidden/>
    <w:unhideWhenUsed/>
    <w:rsid w:val="002E6F1C"/>
  </w:style>
  <w:style w:type="numbering" w:customStyle="1" w:styleId="Sinlista36">
    <w:name w:val="Sin lista36"/>
    <w:next w:val="Sinlista"/>
    <w:uiPriority w:val="99"/>
    <w:semiHidden/>
    <w:unhideWhenUsed/>
    <w:rsid w:val="002E6F1C"/>
  </w:style>
  <w:style w:type="numbering" w:customStyle="1" w:styleId="Sinlista46">
    <w:name w:val="Sin lista46"/>
    <w:next w:val="Sinlista"/>
    <w:uiPriority w:val="99"/>
    <w:semiHidden/>
    <w:unhideWhenUsed/>
    <w:rsid w:val="002E6F1C"/>
  </w:style>
  <w:style w:type="numbering" w:customStyle="1" w:styleId="Sinlista56">
    <w:name w:val="Sin lista56"/>
    <w:next w:val="Sinlista"/>
    <w:uiPriority w:val="99"/>
    <w:semiHidden/>
    <w:unhideWhenUsed/>
    <w:rsid w:val="002E6F1C"/>
  </w:style>
  <w:style w:type="numbering" w:customStyle="1" w:styleId="Sinlista115">
    <w:name w:val="Sin lista115"/>
    <w:next w:val="Sinlista"/>
    <w:uiPriority w:val="99"/>
    <w:semiHidden/>
    <w:unhideWhenUsed/>
    <w:rsid w:val="002E6F1C"/>
  </w:style>
  <w:style w:type="numbering" w:customStyle="1" w:styleId="Sinlista215">
    <w:name w:val="Sin lista215"/>
    <w:next w:val="Sinlista"/>
    <w:uiPriority w:val="99"/>
    <w:semiHidden/>
    <w:unhideWhenUsed/>
    <w:rsid w:val="002E6F1C"/>
  </w:style>
  <w:style w:type="numbering" w:customStyle="1" w:styleId="Sinlista315">
    <w:name w:val="Sin lista315"/>
    <w:next w:val="Sinlista"/>
    <w:uiPriority w:val="99"/>
    <w:semiHidden/>
    <w:unhideWhenUsed/>
    <w:rsid w:val="002E6F1C"/>
  </w:style>
  <w:style w:type="numbering" w:customStyle="1" w:styleId="Sinlista415">
    <w:name w:val="Sin lista415"/>
    <w:next w:val="Sinlista"/>
    <w:uiPriority w:val="99"/>
    <w:semiHidden/>
    <w:unhideWhenUsed/>
    <w:rsid w:val="002E6F1C"/>
  </w:style>
  <w:style w:type="numbering" w:customStyle="1" w:styleId="Sinlista515">
    <w:name w:val="Sin lista515"/>
    <w:next w:val="Sinlista"/>
    <w:uiPriority w:val="99"/>
    <w:semiHidden/>
    <w:unhideWhenUsed/>
    <w:rsid w:val="002E6F1C"/>
  </w:style>
  <w:style w:type="numbering" w:customStyle="1" w:styleId="Sinlista64">
    <w:name w:val="Sin lista64"/>
    <w:next w:val="Sinlista"/>
    <w:uiPriority w:val="99"/>
    <w:semiHidden/>
    <w:unhideWhenUsed/>
    <w:rsid w:val="002E6F1C"/>
  </w:style>
  <w:style w:type="numbering" w:customStyle="1" w:styleId="Sinlista124">
    <w:name w:val="Sin lista124"/>
    <w:next w:val="Sinlista"/>
    <w:uiPriority w:val="99"/>
    <w:semiHidden/>
    <w:unhideWhenUsed/>
    <w:rsid w:val="002E6F1C"/>
  </w:style>
  <w:style w:type="numbering" w:customStyle="1" w:styleId="Sinlista1115">
    <w:name w:val="Sin lista1115"/>
    <w:next w:val="Sinlista"/>
    <w:uiPriority w:val="99"/>
    <w:semiHidden/>
    <w:unhideWhenUsed/>
    <w:rsid w:val="002E6F1C"/>
  </w:style>
  <w:style w:type="numbering" w:customStyle="1" w:styleId="Sinlista224">
    <w:name w:val="Sin lista224"/>
    <w:next w:val="Sinlista"/>
    <w:uiPriority w:val="99"/>
    <w:semiHidden/>
    <w:unhideWhenUsed/>
    <w:rsid w:val="002E6F1C"/>
  </w:style>
  <w:style w:type="numbering" w:customStyle="1" w:styleId="Sinlista324">
    <w:name w:val="Sin lista324"/>
    <w:next w:val="Sinlista"/>
    <w:uiPriority w:val="99"/>
    <w:semiHidden/>
    <w:unhideWhenUsed/>
    <w:rsid w:val="002E6F1C"/>
  </w:style>
  <w:style w:type="numbering" w:customStyle="1" w:styleId="Sinlista424">
    <w:name w:val="Sin lista424"/>
    <w:next w:val="Sinlista"/>
    <w:uiPriority w:val="99"/>
    <w:semiHidden/>
    <w:unhideWhenUsed/>
    <w:rsid w:val="002E6F1C"/>
  </w:style>
  <w:style w:type="numbering" w:customStyle="1" w:styleId="Sinlista524">
    <w:name w:val="Sin lista524"/>
    <w:next w:val="Sinlista"/>
    <w:uiPriority w:val="99"/>
    <w:semiHidden/>
    <w:unhideWhenUsed/>
    <w:rsid w:val="002E6F1C"/>
  </w:style>
  <w:style w:type="numbering" w:customStyle="1" w:styleId="Sinlista11115">
    <w:name w:val="Sin lista11115"/>
    <w:next w:val="Sinlista"/>
    <w:uiPriority w:val="99"/>
    <w:semiHidden/>
    <w:unhideWhenUsed/>
    <w:rsid w:val="002E6F1C"/>
  </w:style>
  <w:style w:type="numbering" w:customStyle="1" w:styleId="Sinlista2115">
    <w:name w:val="Sin lista2115"/>
    <w:next w:val="Sinlista"/>
    <w:uiPriority w:val="99"/>
    <w:semiHidden/>
    <w:unhideWhenUsed/>
    <w:rsid w:val="002E6F1C"/>
  </w:style>
  <w:style w:type="numbering" w:customStyle="1" w:styleId="Sinlista3115">
    <w:name w:val="Sin lista3115"/>
    <w:next w:val="Sinlista"/>
    <w:uiPriority w:val="99"/>
    <w:semiHidden/>
    <w:unhideWhenUsed/>
    <w:rsid w:val="002E6F1C"/>
  </w:style>
  <w:style w:type="numbering" w:customStyle="1" w:styleId="Sinlista4115">
    <w:name w:val="Sin lista4115"/>
    <w:next w:val="Sinlista"/>
    <w:uiPriority w:val="99"/>
    <w:semiHidden/>
    <w:unhideWhenUsed/>
    <w:rsid w:val="002E6F1C"/>
  </w:style>
  <w:style w:type="numbering" w:customStyle="1" w:styleId="Sinlista5115">
    <w:name w:val="Sin lista5115"/>
    <w:next w:val="Sinlista"/>
    <w:uiPriority w:val="99"/>
    <w:semiHidden/>
    <w:unhideWhenUsed/>
    <w:rsid w:val="002E6F1C"/>
  </w:style>
  <w:style w:type="numbering" w:customStyle="1" w:styleId="Sinlista111114">
    <w:name w:val="Sin lista111114"/>
    <w:next w:val="Sinlista"/>
    <w:uiPriority w:val="99"/>
    <w:semiHidden/>
    <w:unhideWhenUsed/>
    <w:rsid w:val="002E6F1C"/>
  </w:style>
  <w:style w:type="numbering" w:customStyle="1" w:styleId="Sinlista21114">
    <w:name w:val="Sin lista21114"/>
    <w:next w:val="Sinlista"/>
    <w:uiPriority w:val="99"/>
    <w:semiHidden/>
    <w:unhideWhenUsed/>
    <w:rsid w:val="002E6F1C"/>
  </w:style>
  <w:style w:type="numbering" w:customStyle="1" w:styleId="Sinlista31114">
    <w:name w:val="Sin lista31114"/>
    <w:next w:val="Sinlista"/>
    <w:uiPriority w:val="99"/>
    <w:semiHidden/>
    <w:unhideWhenUsed/>
    <w:rsid w:val="002E6F1C"/>
  </w:style>
  <w:style w:type="numbering" w:customStyle="1" w:styleId="Sinlista41114">
    <w:name w:val="Sin lista41114"/>
    <w:next w:val="Sinlista"/>
    <w:uiPriority w:val="99"/>
    <w:semiHidden/>
    <w:unhideWhenUsed/>
    <w:rsid w:val="002E6F1C"/>
  </w:style>
  <w:style w:type="numbering" w:customStyle="1" w:styleId="Sinlista51114">
    <w:name w:val="Sin lista51114"/>
    <w:next w:val="Sinlista"/>
    <w:uiPriority w:val="99"/>
    <w:semiHidden/>
    <w:unhideWhenUsed/>
    <w:rsid w:val="002E6F1C"/>
  </w:style>
  <w:style w:type="numbering" w:customStyle="1" w:styleId="Sinlista72">
    <w:name w:val="Sin lista72"/>
    <w:next w:val="Sinlista"/>
    <w:uiPriority w:val="99"/>
    <w:semiHidden/>
    <w:unhideWhenUsed/>
    <w:rsid w:val="002E6F1C"/>
  </w:style>
  <w:style w:type="numbering" w:customStyle="1" w:styleId="Sinlista132">
    <w:name w:val="Sin lista132"/>
    <w:next w:val="Sinlista"/>
    <w:uiPriority w:val="99"/>
    <w:semiHidden/>
    <w:unhideWhenUsed/>
    <w:rsid w:val="002E6F1C"/>
  </w:style>
  <w:style w:type="numbering" w:customStyle="1" w:styleId="Sinlista232">
    <w:name w:val="Sin lista232"/>
    <w:next w:val="Sinlista"/>
    <w:uiPriority w:val="99"/>
    <w:semiHidden/>
    <w:unhideWhenUsed/>
    <w:rsid w:val="002E6F1C"/>
  </w:style>
  <w:style w:type="numbering" w:customStyle="1" w:styleId="Sinlista332">
    <w:name w:val="Sin lista332"/>
    <w:next w:val="Sinlista"/>
    <w:uiPriority w:val="99"/>
    <w:semiHidden/>
    <w:unhideWhenUsed/>
    <w:rsid w:val="002E6F1C"/>
  </w:style>
  <w:style w:type="numbering" w:customStyle="1" w:styleId="Sinlista432">
    <w:name w:val="Sin lista432"/>
    <w:next w:val="Sinlista"/>
    <w:uiPriority w:val="99"/>
    <w:semiHidden/>
    <w:unhideWhenUsed/>
    <w:rsid w:val="002E6F1C"/>
  </w:style>
  <w:style w:type="numbering" w:customStyle="1" w:styleId="Sinlista532">
    <w:name w:val="Sin lista532"/>
    <w:next w:val="Sinlista"/>
    <w:uiPriority w:val="99"/>
    <w:semiHidden/>
    <w:unhideWhenUsed/>
    <w:rsid w:val="002E6F1C"/>
  </w:style>
  <w:style w:type="numbering" w:customStyle="1" w:styleId="Sinlista1122">
    <w:name w:val="Sin lista1122"/>
    <w:next w:val="Sinlista"/>
    <w:uiPriority w:val="99"/>
    <w:semiHidden/>
    <w:unhideWhenUsed/>
    <w:rsid w:val="002E6F1C"/>
  </w:style>
  <w:style w:type="numbering" w:customStyle="1" w:styleId="Sinlista2122">
    <w:name w:val="Sin lista2122"/>
    <w:next w:val="Sinlista"/>
    <w:uiPriority w:val="99"/>
    <w:semiHidden/>
    <w:unhideWhenUsed/>
    <w:rsid w:val="002E6F1C"/>
  </w:style>
  <w:style w:type="numbering" w:customStyle="1" w:styleId="Sinlista3122">
    <w:name w:val="Sin lista3122"/>
    <w:next w:val="Sinlista"/>
    <w:uiPriority w:val="99"/>
    <w:semiHidden/>
    <w:unhideWhenUsed/>
    <w:rsid w:val="002E6F1C"/>
  </w:style>
  <w:style w:type="numbering" w:customStyle="1" w:styleId="Sinlista4122">
    <w:name w:val="Sin lista4122"/>
    <w:next w:val="Sinlista"/>
    <w:uiPriority w:val="99"/>
    <w:semiHidden/>
    <w:unhideWhenUsed/>
    <w:rsid w:val="002E6F1C"/>
  </w:style>
  <w:style w:type="numbering" w:customStyle="1" w:styleId="Sinlista5122">
    <w:name w:val="Sin lista5122"/>
    <w:next w:val="Sinlista"/>
    <w:uiPriority w:val="99"/>
    <w:semiHidden/>
    <w:unhideWhenUsed/>
    <w:rsid w:val="002E6F1C"/>
  </w:style>
  <w:style w:type="numbering" w:customStyle="1" w:styleId="Sinlista612">
    <w:name w:val="Sin lista612"/>
    <w:next w:val="Sinlista"/>
    <w:uiPriority w:val="99"/>
    <w:semiHidden/>
    <w:unhideWhenUsed/>
    <w:rsid w:val="002E6F1C"/>
  </w:style>
  <w:style w:type="numbering" w:customStyle="1" w:styleId="Sinlista1212">
    <w:name w:val="Sin lista1212"/>
    <w:next w:val="Sinlista"/>
    <w:uiPriority w:val="99"/>
    <w:semiHidden/>
    <w:unhideWhenUsed/>
    <w:rsid w:val="002E6F1C"/>
  </w:style>
  <w:style w:type="numbering" w:customStyle="1" w:styleId="Sinlista11122">
    <w:name w:val="Sin lista11122"/>
    <w:next w:val="Sinlista"/>
    <w:uiPriority w:val="99"/>
    <w:semiHidden/>
    <w:unhideWhenUsed/>
    <w:rsid w:val="002E6F1C"/>
  </w:style>
  <w:style w:type="numbering" w:customStyle="1" w:styleId="Sinlista2212">
    <w:name w:val="Sin lista2212"/>
    <w:next w:val="Sinlista"/>
    <w:uiPriority w:val="99"/>
    <w:semiHidden/>
    <w:unhideWhenUsed/>
    <w:rsid w:val="002E6F1C"/>
  </w:style>
  <w:style w:type="numbering" w:customStyle="1" w:styleId="Sinlista3212">
    <w:name w:val="Sin lista3212"/>
    <w:next w:val="Sinlista"/>
    <w:uiPriority w:val="99"/>
    <w:semiHidden/>
    <w:unhideWhenUsed/>
    <w:rsid w:val="002E6F1C"/>
  </w:style>
  <w:style w:type="numbering" w:customStyle="1" w:styleId="Sinlista4212">
    <w:name w:val="Sin lista4212"/>
    <w:next w:val="Sinlista"/>
    <w:uiPriority w:val="99"/>
    <w:semiHidden/>
    <w:unhideWhenUsed/>
    <w:rsid w:val="002E6F1C"/>
  </w:style>
  <w:style w:type="numbering" w:customStyle="1" w:styleId="Sinlista5212">
    <w:name w:val="Sin lista5212"/>
    <w:next w:val="Sinlista"/>
    <w:uiPriority w:val="99"/>
    <w:semiHidden/>
    <w:unhideWhenUsed/>
    <w:rsid w:val="002E6F1C"/>
  </w:style>
  <w:style w:type="numbering" w:customStyle="1" w:styleId="Sinlista111122">
    <w:name w:val="Sin lista111122"/>
    <w:next w:val="Sinlista"/>
    <w:uiPriority w:val="99"/>
    <w:semiHidden/>
    <w:unhideWhenUsed/>
    <w:rsid w:val="002E6F1C"/>
  </w:style>
  <w:style w:type="numbering" w:customStyle="1" w:styleId="Sinlista21122">
    <w:name w:val="Sin lista21122"/>
    <w:next w:val="Sinlista"/>
    <w:uiPriority w:val="99"/>
    <w:semiHidden/>
    <w:unhideWhenUsed/>
    <w:rsid w:val="002E6F1C"/>
  </w:style>
  <w:style w:type="numbering" w:customStyle="1" w:styleId="Sinlista31122">
    <w:name w:val="Sin lista31122"/>
    <w:next w:val="Sinlista"/>
    <w:uiPriority w:val="99"/>
    <w:semiHidden/>
    <w:unhideWhenUsed/>
    <w:rsid w:val="002E6F1C"/>
  </w:style>
  <w:style w:type="numbering" w:customStyle="1" w:styleId="Sinlista41122">
    <w:name w:val="Sin lista41122"/>
    <w:next w:val="Sinlista"/>
    <w:uiPriority w:val="99"/>
    <w:semiHidden/>
    <w:unhideWhenUsed/>
    <w:rsid w:val="002E6F1C"/>
  </w:style>
  <w:style w:type="numbering" w:customStyle="1" w:styleId="Sinlista51122">
    <w:name w:val="Sin lista51122"/>
    <w:next w:val="Sinlista"/>
    <w:uiPriority w:val="99"/>
    <w:semiHidden/>
    <w:unhideWhenUsed/>
    <w:rsid w:val="002E6F1C"/>
  </w:style>
  <w:style w:type="numbering" w:customStyle="1" w:styleId="Sinlista1111112">
    <w:name w:val="Sin lista1111112"/>
    <w:next w:val="Sinlista"/>
    <w:uiPriority w:val="99"/>
    <w:semiHidden/>
    <w:unhideWhenUsed/>
    <w:rsid w:val="002E6F1C"/>
  </w:style>
  <w:style w:type="numbering" w:customStyle="1" w:styleId="Sinlista211112">
    <w:name w:val="Sin lista211112"/>
    <w:next w:val="Sinlista"/>
    <w:uiPriority w:val="99"/>
    <w:semiHidden/>
    <w:unhideWhenUsed/>
    <w:rsid w:val="002E6F1C"/>
  </w:style>
  <w:style w:type="numbering" w:customStyle="1" w:styleId="Sinlista311112">
    <w:name w:val="Sin lista311112"/>
    <w:next w:val="Sinlista"/>
    <w:uiPriority w:val="99"/>
    <w:semiHidden/>
    <w:unhideWhenUsed/>
    <w:rsid w:val="002E6F1C"/>
  </w:style>
  <w:style w:type="numbering" w:customStyle="1" w:styleId="Sinlista411112">
    <w:name w:val="Sin lista411112"/>
    <w:next w:val="Sinlista"/>
    <w:uiPriority w:val="99"/>
    <w:semiHidden/>
    <w:unhideWhenUsed/>
    <w:rsid w:val="002E6F1C"/>
  </w:style>
  <w:style w:type="numbering" w:customStyle="1" w:styleId="Sinlista511112">
    <w:name w:val="Sin lista511112"/>
    <w:next w:val="Sinlista"/>
    <w:uiPriority w:val="99"/>
    <w:semiHidden/>
    <w:unhideWhenUsed/>
    <w:rsid w:val="002E6F1C"/>
  </w:style>
  <w:style w:type="numbering" w:customStyle="1" w:styleId="Sinlista81">
    <w:name w:val="Sin lista81"/>
    <w:next w:val="Sinlista"/>
    <w:uiPriority w:val="99"/>
    <w:semiHidden/>
    <w:unhideWhenUsed/>
    <w:rsid w:val="002E6F1C"/>
  </w:style>
  <w:style w:type="numbering" w:customStyle="1" w:styleId="Sinlista141">
    <w:name w:val="Sin lista141"/>
    <w:next w:val="Sinlista"/>
    <w:uiPriority w:val="99"/>
    <w:semiHidden/>
    <w:unhideWhenUsed/>
    <w:rsid w:val="002E6F1C"/>
  </w:style>
  <w:style w:type="numbering" w:customStyle="1" w:styleId="Sinlista241">
    <w:name w:val="Sin lista241"/>
    <w:next w:val="Sinlista"/>
    <w:uiPriority w:val="99"/>
    <w:semiHidden/>
    <w:unhideWhenUsed/>
    <w:rsid w:val="002E6F1C"/>
  </w:style>
  <w:style w:type="numbering" w:customStyle="1" w:styleId="Sinlista341">
    <w:name w:val="Sin lista341"/>
    <w:next w:val="Sinlista"/>
    <w:uiPriority w:val="99"/>
    <w:semiHidden/>
    <w:unhideWhenUsed/>
    <w:rsid w:val="002E6F1C"/>
  </w:style>
  <w:style w:type="numbering" w:customStyle="1" w:styleId="Sinlista441">
    <w:name w:val="Sin lista441"/>
    <w:next w:val="Sinlista"/>
    <w:uiPriority w:val="99"/>
    <w:semiHidden/>
    <w:unhideWhenUsed/>
    <w:rsid w:val="002E6F1C"/>
  </w:style>
  <w:style w:type="numbering" w:customStyle="1" w:styleId="Sinlista541">
    <w:name w:val="Sin lista541"/>
    <w:next w:val="Sinlista"/>
    <w:uiPriority w:val="99"/>
    <w:semiHidden/>
    <w:unhideWhenUsed/>
    <w:rsid w:val="002E6F1C"/>
  </w:style>
  <w:style w:type="numbering" w:customStyle="1" w:styleId="Sinlista1131">
    <w:name w:val="Sin lista1131"/>
    <w:next w:val="Sinlista"/>
    <w:uiPriority w:val="99"/>
    <w:semiHidden/>
    <w:unhideWhenUsed/>
    <w:rsid w:val="002E6F1C"/>
  </w:style>
  <w:style w:type="numbering" w:customStyle="1" w:styleId="Sinlista2131">
    <w:name w:val="Sin lista2131"/>
    <w:next w:val="Sinlista"/>
    <w:uiPriority w:val="99"/>
    <w:semiHidden/>
    <w:unhideWhenUsed/>
    <w:rsid w:val="002E6F1C"/>
  </w:style>
  <w:style w:type="numbering" w:customStyle="1" w:styleId="Sinlista3131">
    <w:name w:val="Sin lista3131"/>
    <w:next w:val="Sinlista"/>
    <w:uiPriority w:val="99"/>
    <w:semiHidden/>
    <w:unhideWhenUsed/>
    <w:rsid w:val="002E6F1C"/>
  </w:style>
  <w:style w:type="numbering" w:customStyle="1" w:styleId="Sinlista4131">
    <w:name w:val="Sin lista4131"/>
    <w:next w:val="Sinlista"/>
    <w:uiPriority w:val="99"/>
    <w:semiHidden/>
    <w:unhideWhenUsed/>
    <w:rsid w:val="002E6F1C"/>
  </w:style>
  <w:style w:type="numbering" w:customStyle="1" w:styleId="Sinlista5131">
    <w:name w:val="Sin lista5131"/>
    <w:next w:val="Sinlista"/>
    <w:uiPriority w:val="99"/>
    <w:semiHidden/>
    <w:unhideWhenUsed/>
    <w:rsid w:val="002E6F1C"/>
  </w:style>
  <w:style w:type="numbering" w:customStyle="1" w:styleId="Sinlista621">
    <w:name w:val="Sin lista621"/>
    <w:next w:val="Sinlista"/>
    <w:uiPriority w:val="99"/>
    <w:semiHidden/>
    <w:unhideWhenUsed/>
    <w:rsid w:val="002E6F1C"/>
  </w:style>
  <w:style w:type="numbering" w:customStyle="1" w:styleId="Sinlista1221">
    <w:name w:val="Sin lista1221"/>
    <w:next w:val="Sinlista"/>
    <w:uiPriority w:val="99"/>
    <w:semiHidden/>
    <w:unhideWhenUsed/>
    <w:rsid w:val="002E6F1C"/>
  </w:style>
  <w:style w:type="numbering" w:customStyle="1" w:styleId="Sinlista11131">
    <w:name w:val="Sin lista11131"/>
    <w:next w:val="Sinlista"/>
    <w:uiPriority w:val="99"/>
    <w:semiHidden/>
    <w:unhideWhenUsed/>
    <w:rsid w:val="002E6F1C"/>
  </w:style>
  <w:style w:type="numbering" w:customStyle="1" w:styleId="Sinlista2221">
    <w:name w:val="Sin lista2221"/>
    <w:next w:val="Sinlista"/>
    <w:uiPriority w:val="99"/>
    <w:semiHidden/>
    <w:unhideWhenUsed/>
    <w:rsid w:val="002E6F1C"/>
  </w:style>
  <w:style w:type="numbering" w:customStyle="1" w:styleId="Sinlista3221">
    <w:name w:val="Sin lista3221"/>
    <w:next w:val="Sinlista"/>
    <w:uiPriority w:val="99"/>
    <w:semiHidden/>
    <w:unhideWhenUsed/>
    <w:rsid w:val="002E6F1C"/>
  </w:style>
  <w:style w:type="numbering" w:customStyle="1" w:styleId="Sinlista4221">
    <w:name w:val="Sin lista4221"/>
    <w:next w:val="Sinlista"/>
    <w:uiPriority w:val="99"/>
    <w:semiHidden/>
    <w:unhideWhenUsed/>
    <w:rsid w:val="002E6F1C"/>
  </w:style>
  <w:style w:type="numbering" w:customStyle="1" w:styleId="Sinlista5221">
    <w:name w:val="Sin lista5221"/>
    <w:next w:val="Sinlista"/>
    <w:uiPriority w:val="99"/>
    <w:semiHidden/>
    <w:unhideWhenUsed/>
    <w:rsid w:val="002E6F1C"/>
  </w:style>
  <w:style w:type="numbering" w:customStyle="1" w:styleId="Sinlista111131">
    <w:name w:val="Sin lista111131"/>
    <w:next w:val="Sinlista"/>
    <w:uiPriority w:val="99"/>
    <w:semiHidden/>
    <w:unhideWhenUsed/>
    <w:rsid w:val="002E6F1C"/>
  </w:style>
  <w:style w:type="numbering" w:customStyle="1" w:styleId="Sinlista21131">
    <w:name w:val="Sin lista21131"/>
    <w:next w:val="Sinlista"/>
    <w:uiPriority w:val="99"/>
    <w:semiHidden/>
    <w:unhideWhenUsed/>
    <w:rsid w:val="002E6F1C"/>
  </w:style>
  <w:style w:type="numbering" w:customStyle="1" w:styleId="Sinlista31131">
    <w:name w:val="Sin lista31131"/>
    <w:next w:val="Sinlista"/>
    <w:uiPriority w:val="99"/>
    <w:semiHidden/>
    <w:unhideWhenUsed/>
    <w:rsid w:val="002E6F1C"/>
  </w:style>
  <w:style w:type="numbering" w:customStyle="1" w:styleId="Sinlista41131">
    <w:name w:val="Sin lista41131"/>
    <w:next w:val="Sinlista"/>
    <w:uiPriority w:val="99"/>
    <w:semiHidden/>
    <w:unhideWhenUsed/>
    <w:rsid w:val="002E6F1C"/>
  </w:style>
  <w:style w:type="numbering" w:customStyle="1" w:styleId="Sinlista51131">
    <w:name w:val="Sin lista51131"/>
    <w:next w:val="Sinlista"/>
    <w:uiPriority w:val="99"/>
    <w:semiHidden/>
    <w:unhideWhenUsed/>
    <w:rsid w:val="002E6F1C"/>
  </w:style>
  <w:style w:type="numbering" w:customStyle="1" w:styleId="Sinlista1111121">
    <w:name w:val="Sin lista1111121"/>
    <w:next w:val="Sinlista"/>
    <w:uiPriority w:val="99"/>
    <w:semiHidden/>
    <w:unhideWhenUsed/>
    <w:rsid w:val="002E6F1C"/>
  </w:style>
  <w:style w:type="numbering" w:customStyle="1" w:styleId="Sinlista211121">
    <w:name w:val="Sin lista211121"/>
    <w:next w:val="Sinlista"/>
    <w:uiPriority w:val="99"/>
    <w:semiHidden/>
    <w:unhideWhenUsed/>
    <w:rsid w:val="002E6F1C"/>
  </w:style>
  <w:style w:type="numbering" w:customStyle="1" w:styleId="Sinlista311121">
    <w:name w:val="Sin lista311121"/>
    <w:next w:val="Sinlista"/>
    <w:uiPriority w:val="99"/>
    <w:semiHidden/>
    <w:unhideWhenUsed/>
    <w:rsid w:val="002E6F1C"/>
  </w:style>
  <w:style w:type="numbering" w:customStyle="1" w:styleId="Sinlista411121">
    <w:name w:val="Sin lista411121"/>
    <w:next w:val="Sinlista"/>
    <w:uiPriority w:val="99"/>
    <w:semiHidden/>
    <w:unhideWhenUsed/>
    <w:rsid w:val="002E6F1C"/>
  </w:style>
  <w:style w:type="numbering" w:customStyle="1" w:styleId="Sinlista511121">
    <w:name w:val="Sin lista511121"/>
    <w:next w:val="Sinlista"/>
    <w:uiPriority w:val="99"/>
    <w:semiHidden/>
    <w:unhideWhenUsed/>
    <w:rsid w:val="002E6F1C"/>
  </w:style>
  <w:style w:type="numbering" w:customStyle="1" w:styleId="Sinlista91">
    <w:name w:val="Sin lista91"/>
    <w:next w:val="Sinlista"/>
    <w:uiPriority w:val="99"/>
    <w:semiHidden/>
    <w:unhideWhenUsed/>
    <w:rsid w:val="002E6F1C"/>
  </w:style>
  <w:style w:type="numbering" w:customStyle="1" w:styleId="Sinlista151">
    <w:name w:val="Sin lista151"/>
    <w:next w:val="Sinlista"/>
    <w:uiPriority w:val="99"/>
    <w:semiHidden/>
    <w:unhideWhenUsed/>
    <w:rsid w:val="002E6F1C"/>
  </w:style>
  <w:style w:type="numbering" w:customStyle="1" w:styleId="Sinlista251">
    <w:name w:val="Sin lista251"/>
    <w:next w:val="Sinlista"/>
    <w:uiPriority w:val="99"/>
    <w:semiHidden/>
    <w:unhideWhenUsed/>
    <w:rsid w:val="002E6F1C"/>
  </w:style>
  <w:style w:type="numbering" w:customStyle="1" w:styleId="Sinlista351">
    <w:name w:val="Sin lista351"/>
    <w:next w:val="Sinlista"/>
    <w:uiPriority w:val="99"/>
    <w:semiHidden/>
    <w:unhideWhenUsed/>
    <w:rsid w:val="002E6F1C"/>
  </w:style>
  <w:style w:type="numbering" w:customStyle="1" w:styleId="Sinlista451">
    <w:name w:val="Sin lista451"/>
    <w:next w:val="Sinlista"/>
    <w:uiPriority w:val="99"/>
    <w:semiHidden/>
    <w:unhideWhenUsed/>
    <w:rsid w:val="002E6F1C"/>
  </w:style>
  <w:style w:type="numbering" w:customStyle="1" w:styleId="Sinlista551">
    <w:name w:val="Sin lista551"/>
    <w:next w:val="Sinlista"/>
    <w:uiPriority w:val="99"/>
    <w:semiHidden/>
    <w:unhideWhenUsed/>
    <w:rsid w:val="002E6F1C"/>
  </w:style>
  <w:style w:type="numbering" w:customStyle="1" w:styleId="Sinlista1141">
    <w:name w:val="Sin lista1141"/>
    <w:next w:val="Sinlista"/>
    <w:uiPriority w:val="99"/>
    <w:semiHidden/>
    <w:unhideWhenUsed/>
    <w:rsid w:val="002E6F1C"/>
  </w:style>
  <w:style w:type="numbering" w:customStyle="1" w:styleId="Sinlista2141">
    <w:name w:val="Sin lista2141"/>
    <w:next w:val="Sinlista"/>
    <w:uiPriority w:val="99"/>
    <w:semiHidden/>
    <w:unhideWhenUsed/>
    <w:rsid w:val="002E6F1C"/>
  </w:style>
  <w:style w:type="numbering" w:customStyle="1" w:styleId="Sinlista3141">
    <w:name w:val="Sin lista3141"/>
    <w:next w:val="Sinlista"/>
    <w:uiPriority w:val="99"/>
    <w:semiHidden/>
    <w:unhideWhenUsed/>
    <w:rsid w:val="002E6F1C"/>
  </w:style>
  <w:style w:type="numbering" w:customStyle="1" w:styleId="Sinlista4141">
    <w:name w:val="Sin lista4141"/>
    <w:next w:val="Sinlista"/>
    <w:uiPriority w:val="99"/>
    <w:semiHidden/>
    <w:unhideWhenUsed/>
    <w:rsid w:val="002E6F1C"/>
  </w:style>
  <w:style w:type="numbering" w:customStyle="1" w:styleId="Sinlista5141">
    <w:name w:val="Sin lista5141"/>
    <w:next w:val="Sinlista"/>
    <w:uiPriority w:val="99"/>
    <w:semiHidden/>
    <w:unhideWhenUsed/>
    <w:rsid w:val="002E6F1C"/>
  </w:style>
  <w:style w:type="numbering" w:customStyle="1" w:styleId="Sinlista631">
    <w:name w:val="Sin lista631"/>
    <w:next w:val="Sinlista"/>
    <w:uiPriority w:val="99"/>
    <w:semiHidden/>
    <w:unhideWhenUsed/>
    <w:rsid w:val="002E6F1C"/>
  </w:style>
  <w:style w:type="numbering" w:customStyle="1" w:styleId="Sinlista1231">
    <w:name w:val="Sin lista1231"/>
    <w:next w:val="Sinlista"/>
    <w:uiPriority w:val="99"/>
    <w:semiHidden/>
    <w:unhideWhenUsed/>
    <w:rsid w:val="002E6F1C"/>
  </w:style>
  <w:style w:type="numbering" w:customStyle="1" w:styleId="Sinlista11141">
    <w:name w:val="Sin lista11141"/>
    <w:next w:val="Sinlista"/>
    <w:uiPriority w:val="99"/>
    <w:semiHidden/>
    <w:unhideWhenUsed/>
    <w:rsid w:val="002E6F1C"/>
  </w:style>
  <w:style w:type="numbering" w:customStyle="1" w:styleId="Sinlista2231">
    <w:name w:val="Sin lista2231"/>
    <w:next w:val="Sinlista"/>
    <w:uiPriority w:val="99"/>
    <w:semiHidden/>
    <w:unhideWhenUsed/>
    <w:rsid w:val="002E6F1C"/>
  </w:style>
  <w:style w:type="numbering" w:customStyle="1" w:styleId="Sinlista3231">
    <w:name w:val="Sin lista3231"/>
    <w:next w:val="Sinlista"/>
    <w:uiPriority w:val="99"/>
    <w:semiHidden/>
    <w:unhideWhenUsed/>
    <w:rsid w:val="002E6F1C"/>
  </w:style>
  <w:style w:type="numbering" w:customStyle="1" w:styleId="Sinlista4231">
    <w:name w:val="Sin lista4231"/>
    <w:next w:val="Sinlista"/>
    <w:uiPriority w:val="99"/>
    <w:semiHidden/>
    <w:unhideWhenUsed/>
    <w:rsid w:val="002E6F1C"/>
  </w:style>
  <w:style w:type="numbering" w:customStyle="1" w:styleId="Sinlista5231">
    <w:name w:val="Sin lista5231"/>
    <w:next w:val="Sinlista"/>
    <w:uiPriority w:val="99"/>
    <w:semiHidden/>
    <w:unhideWhenUsed/>
    <w:rsid w:val="002E6F1C"/>
  </w:style>
  <w:style w:type="numbering" w:customStyle="1" w:styleId="Sinlista111141">
    <w:name w:val="Sin lista111141"/>
    <w:next w:val="Sinlista"/>
    <w:uiPriority w:val="99"/>
    <w:semiHidden/>
    <w:unhideWhenUsed/>
    <w:rsid w:val="002E6F1C"/>
  </w:style>
  <w:style w:type="numbering" w:customStyle="1" w:styleId="Sinlista21141">
    <w:name w:val="Sin lista21141"/>
    <w:next w:val="Sinlista"/>
    <w:uiPriority w:val="99"/>
    <w:semiHidden/>
    <w:unhideWhenUsed/>
    <w:rsid w:val="002E6F1C"/>
  </w:style>
  <w:style w:type="numbering" w:customStyle="1" w:styleId="Sinlista31141">
    <w:name w:val="Sin lista31141"/>
    <w:next w:val="Sinlista"/>
    <w:uiPriority w:val="99"/>
    <w:semiHidden/>
    <w:unhideWhenUsed/>
    <w:rsid w:val="002E6F1C"/>
  </w:style>
  <w:style w:type="numbering" w:customStyle="1" w:styleId="Sinlista41141">
    <w:name w:val="Sin lista41141"/>
    <w:next w:val="Sinlista"/>
    <w:uiPriority w:val="99"/>
    <w:semiHidden/>
    <w:unhideWhenUsed/>
    <w:rsid w:val="002E6F1C"/>
  </w:style>
  <w:style w:type="numbering" w:customStyle="1" w:styleId="Sinlista51141">
    <w:name w:val="Sin lista51141"/>
    <w:next w:val="Sinlista"/>
    <w:uiPriority w:val="99"/>
    <w:semiHidden/>
    <w:unhideWhenUsed/>
    <w:rsid w:val="002E6F1C"/>
  </w:style>
  <w:style w:type="numbering" w:customStyle="1" w:styleId="Sinlista1111131">
    <w:name w:val="Sin lista1111131"/>
    <w:next w:val="Sinlista"/>
    <w:uiPriority w:val="99"/>
    <w:semiHidden/>
    <w:unhideWhenUsed/>
    <w:rsid w:val="002E6F1C"/>
  </w:style>
  <w:style w:type="numbering" w:customStyle="1" w:styleId="Sinlista211131">
    <w:name w:val="Sin lista211131"/>
    <w:next w:val="Sinlista"/>
    <w:uiPriority w:val="99"/>
    <w:semiHidden/>
    <w:unhideWhenUsed/>
    <w:rsid w:val="002E6F1C"/>
  </w:style>
  <w:style w:type="numbering" w:customStyle="1" w:styleId="Sinlista311131">
    <w:name w:val="Sin lista311131"/>
    <w:next w:val="Sinlista"/>
    <w:uiPriority w:val="99"/>
    <w:semiHidden/>
    <w:unhideWhenUsed/>
    <w:rsid w:val="002E6F1C"/>
  </w:style>
  <w:style w:type="numbering" w:customStyle="1" w:styleId="Sinlista411131">
    <w:name w:val="Sin lista411131"/>
    <w:next w:val="Sinlista"/>
    <w:uiPriority w:val="99"/>
    <w:semiHidden/>
    <w:unhideWhenUsed/>
    <w:rsid w:val="002E6F1C"/>
  </w:style>
  <w:style w:type="numbering" w:customStyle="1" w:styleId="Sinlista511131">
    <w:name w:val="Sin lista511131"/>
    <w:next w:val="Sinlista"/>
    <w:uiPriority w:val="99"/>
    <w:semiHidden/>
    <w:unhideWhenUsed/>
    <w:rsid w:val="002E6F1C"/>
  </w:style>
  <w:style w:type="numbering" w:customStyle="1" w:styleId="Sinlista711">
    <w:name w:val="Sin lista711"/>
    <w:next w:val="Sinlista"/>
    <w:uiPriority w:val="99"/>
    <w:semiHidden/>
    <w:unhideWhenUsed/>
    <w:rsid w:val="002E6F1C"/>
  </w:style>
  <w:style w:type="numbering" w:customStyle="1" w:styleId="Sinlista1311">
    <w:name w:val="Sin lista1311"/>
    <w:next w:val="Sinlista"/>
    <w:uiPriority w:val="99"/>
    <w:semiHidden/>
    <w:unhideWhenUsed/>
    <w:rsid w:val="002E6F1C"/>
  </w:style>
  <w:style w:type="numbering" w:customStyle="1" w:styleId="Sinlista2311">
    <w:name w:val="Sin lista2311"/>
    <w:next w:val="Sinlista"/>
    <w:uiPriority w:val="99"/>
    <w:semiHidden/>
    <w:unhideWhenUsed/>
    <w:rsid w:val="002E6F1C"/>
  </w:style>
  <w:style w:type="numbering" w:customStyle="1" w:styleId="Sinlista3311">
    <w:name w:val="Sin lista3311"/>
    <w:next w:val="Sinlista"/>
    <w:uiPriority w:val="99"/>
    <w:semiHidden/>
    <w:unhideWhenUsed/>
    <w:rsid w:val="002E6F1C"/>
  </w:style>
  <w:style w:type="numbering" w:customStyle="1" w:styleId="Sinlista4311">
    <w:name w:val="Sin lista4311"/>
    <w:next w:val="Sinlista"/>
    <w:uiPriority w:val="99"/>
    <w:semiHidden/>
    <w:unhideWhenUsed/>
    <w:rsid w:val="002E6F1C"/>
  </w:style>
  <w:style w:type="numbering" w:customStyle="1" w:styleId="Sinlista5311">
    <w:name w:val="Sin lista5311"/>
    <w:next w:val="Sinlista"/>
    <w:uiPriority w:val="99"/>
    <w:semiHidden/>
    <w:unhideWhenUsed/>
    <w:rsid w:val="002E6F1C"/>
  </w:style>
  <w:style w:type="numbering" w:customStyle="1" w:styleId="Sinlista11211">
    <w:name w:val="Sin lista11211"/>
    <w:next w:val="Sinlista"/>
    <w:uiPriority w:val="99"/>
    <w:semiHidden/>
    <w:unhideWhenUsed/>
    <w:rsid w:val="002E6F1C"/>
  </w:style>
  <w:style w:type="numbering" w:customStyle="1" w:styleId="Sinlista21211">
    <w:name w:val="Sin lista21211"/>
    <w:next w:val="Sinlista"/>
    <w:uiPriority w:val="99"/>
    <w:semiHidden/>
    <w:unhideWhenUsed/>
    <w:rsid w:val="002E6F1C"/>
  </w:style>
  <w:style w:type="numbering" w:customStyle="1" w:styleId="Sinlista31211">
    <w:name w:val="Sin lista31211"/>
    <w:next w:val="Sinlista"/>
    <w:uiPriority w:val="99"/>
    <w:semiHidden/>
    <w:unhideWhenUsed/>
    <w:rsid w:val="002E6F1C"/>
  </w:style>
  <w:style w:type="numbering" w:customStyle="1" w:styleId="Sinlista41211">
    <w:name w:val="Sin lista41211"/>
    <w:next w:val="Sinlista"/>
    <w:uiPriority w:val="99"/>
    <w:semiHidden/>
    <w:unhideWhenUsed/>
    <w:rsid w:val="002E6F1C"/>
  </w:style>
  <w:style w:type="numbering" w:customStyle="1" w:styleId="Sinlista51211">
    <w:name w:val="Sin lista51211"/>
    <w:next w:val="Sinlista"/>
    <w:uiPriority w:val="99"/>
    <w:semiHidden/>
    <w:unhideWhenUsed/>
    <w:rsid w:val="002E6F1C"/>
  </w:style>
  <w:style w:type="numbering" w:customStyle="1" w:styleId="Sinlista6111">
    <w:name w:val="Sin lista6111"/>
    <w:next w:val="Sinlista"/>
    <w:uiPriority w:val="99"/>
    <w:semiHidden/>
    <w:unhideWhenUsed/>
    <w:rsid w:val="002E6F1C"/>
  </w:style>
  <w:style w:type="numbering" w:customStyle="1" w:styleId="Sinlista12111">
    <w:name w:val="Sin lista12111"/>
    <w:next w:val="Sinlista"/>
    <w:uiPriority w:val="99"/>
    <w:semiHidden/>
    <w:unhideWhenUsed/>
    <w:rsid w:val="002E6F1C"/>
  </w:style>
  <w:style w:type="numbering" w:customStyle="1" w:styleId="Sinlista111211">
    <w:name w:val="Sin lista111211"/>
    <w:next w:val="Sinlista"/>
    <w:uiPriority w:val="99"/>
    <w:semiHidden/>
    <w:unhideWhenUsed/>
    <w:rsid w:val="002E6F1C"/>
  </w:style>
  <w:style w:type="numbering" w:customStyle="1" w:styleId="Sinlista22111">
    <w:name w:val="Sin lista22111"/>
    <w:next w:val="Sinlista"/>
    <w:uiPriority w:val="99"/>
    <w:semiHidden/>
    <w:unhideWhenUsed/>
    <w:rsid w:val="002E6F1C"/>
  </w:style>
  <w:style w:type="numbering" w:customStyle="1" w:styleId="Sinlista32111">
    <w:name w:val="Sin lista32111"/>
    <w:next w:val="Sinlista"/>
    <w:uiPriority w:val="99"/>
    <w:semiHidden/>
    <w:unhideWhenUsed/>
    <w:rsid w:val="002E6F1C"/>
  </w:style>
  <w:style w:type="numbering" w:customStyle="1" w:styleId="Sinlista42111">
    <w:name w:val="Sin lista42111"/>
    <w:next w:val="Sinlista"/>
    <w:uiPriority w:val="99"/>
    <w:semiHidden/>
    <w:unhideWhenUsed/>
    <w:rsid w:val="002E6F1C"/>
  </w:style>
  <w:style w:type="numbering" w:customStyle="1" w:styleId="Sinlista52111">
    <w:name w:val="Sin lista52111"/>
    <w:next w:val="Sinlista"/>
    <w:uiPriority w:val="99"/>
    <w:semiHidden/>
    <w:unhideWhenUsed/>
    <w:rsid w:val="002E6F1C"/>
  </w:style>
  <w:style w:type="numbering" w:customStyle="1" w:styleId="Sinlista1111211">
    <w:name w:val="Sin lista1111211"/>
    <w:next w:val="Sinlista"/>
    <w:uiPriority w:val="99"/>
    <w:semiHidden/>
    <w:unhideWhenUsed/>
    <w:rsid w:val="002E6F1C"/>
  </w:style>
  <w:style w:type="numbering" w:customStyle="1" w:styleId="Sinlista211211">
    <w:name w:val="Sin lista211211"/>
    <w:next w:val="Sinlista"/>
    <w:uiPriority w:val="99"/>
    <w:semiHidden/>
    <w:unhideWhenUsed/>
    <w:rsid w:val="002E6F1C"/>
  </w:style>
  <w:style w:type="numbering" w:customStyle="1" w:styleId="Sinlista311211">
    <w:name w:val="Sin lista311211"/>
    <w:next w:val="Sinlista"/>
    <w:uiPriority w:val="99"/>
    <w:semiHidden/>
    <w:unhideWhenUsed/>
    <w:rsid w:val="002E6F1C"/>
  </w:style>
  <w:style w:type="numbering" w:customStyle="1" w:styleId="Sinlista411211">
    <w:name w:val="Sin lista411211"/>
    <w:next w:val="Sinlista"/>
    <w:uiPriority w:val="99"/>
    <w:semiHidden/>
    <w:unhideWhenUsed/>
    <w:rsid w:val="002E6F1C"/>
  </w:style>
  <w:style w:type="numbering" w:customStyle="1" w:styleId="Sinlista511211">
    <w:name w:val="Sin lista511211"/>
    <w:next w:val="Sinlista"/>
    <w:uiPriority w:val="99"/>
    <w:semiHidden/>
    <w:unhideWhenUsed/>
    <w:rsid w:val="002E6F1C"/>
  </w:style>
  <w:style w:type="numbering" w:customStyle="1" w:styleId="Sinlista11111111">
    <w:name w:val="Sin lista11111111"/>
    <w:next w:val="Sinlista"/>
    <w:uiPriority w:val="99"/>
    <w:semiHidden/>
    <w:unhideWhenUsed/>
    <w:rsid w:val="002E6F1C"/>
  </w:style>
  <w:style w:type="numbering" w:customStyle="1" w:styleId="Sinlista2111111">
    <w:name w:val="Sin lista2111111"/>
    <w:next w:val="Sinlista"/>
    <w:uiPriority w:val="99"/>
    <w:semiHidden/>
    <w:unhideWhenUsed/>
    <w:rsid w:val="002E6F1C"/>
  </w:style>
  <w:style w:type="numbering" w:customStyle="1" w:styleId="Sinlista3111111">
    <w:name w:val="Sin lista3111111"/>
    <w:next w:val="Sinlista"/>
    <w:uiPriority w:val="99"/>
    <w:semiHidden/>
    <w:unhideWhenUsed/>
    <w:rsid w:val="002E6F1C"/>
  </w:style>
  <w:style w:type="numbering" w:customStyle="1" w:styleId="Sinlista4111111">
    <w:name w:val="Sin lista4111111"/>
    <w:next w:val="Sinlista"/>
    <w:uiPriority w:val="99"/>
    <w:semiHidden/>
    <w:unhideWhenUsed/>
    <w:rsid w:val="002E6F1C"/>
  </w:style>
  <w:style w:type="numbering" w:customStyle="1" w:styleId="Sinlista5111111">
    <w:name w:val="Sin lista5111111"/>
    <w:next w:val="Sinlista"/>
    <w:uiPriority w:val="99"/>
    <w:semiHidden/>
    <w:unhideWhenUsed/>
    <w:rsid w:val="002E6F1C"/>
  </w:style>
  <w:style w:type="numbering" w:customStyle="1" w:styleId="Estiloimportado110">
    <w:name w:val="Estilo importado 110"/>
    <w:rsid w:val="002E6F1C"/>
  </w:style>
  <w:style w:type="numbering" w:customStyle="1" w:styleId="Estiloimportado21">
    <w:name w:val="Estilo importado 21"/>
    <w:rsid w:val="002E6F1C"/>
  </w:style>
  <w:style w:type="numbering" w:customStyle="1" w:styleId="Estiloimportado31">
    <w:name w:val="Estilo importado 31"/>
    <w:rsid w:val="002E6F1C"/>
  </w:style>
  <w:style w:type="numbering" w:customStyle="1" w:styleId="Estiloimportado41">
    <w:name w:val="Estilo importado 41"/>
    <w:rsid w:val="002E6F1C"/>
  </w:style>
  <w:style w:type="numbering" w:customStyle="1" w:styleId="Estiloimportado51">
    <w:name w:val="Estilo importado 51"/>
    <w:rsid w:val="002E6F1C"/>
  </w:style>
  <w:style w:type="numbering" w:customStyle="1" w:styleId="Estiloimportado61">
    <w:name w:val="Estilo importado 61"/>
    <w:rsid w:val="002E6F1C"/>
  </w:style>
  <w:style w:type="numbering" w:customStyle="1" w:styleId="Estiloimportado71">
    <w:name w:val="Estilo importado 71"/>
    <w:rsid w:val="002E6F1C"/>
  </w:style>
  <w:style w:type="numbering" w:customStyle="1" w:styleId="Estiloimportado81">
    <w:name w:val="Estilo importado 81"/>
    <w:rsid w:val="002E6F1C"/>
  </w:style>
  <w:style w:type="numbering" w:customStyle="1" w:styleId="Estiloimportado91">
    <w:name w:val="Estilo importado 91"/>
    <w:rsid w:val="002E6F1C"/>
  </w:style>
  <w:style w:type="numbering" w:customStyle="1" w:styleId="Estiloimportado101">
    <w:name w:val="Estilo importado 101"/>
    <w:rsid w:val="002E6F1C"/>
  </w:style>
  <w:style w:type="numbering" w:customStyle="1" w:styleId="Estiloimportado111">
    <w:name w:val="Estilo importado 111"/>
    <w:rsid w:val="002E6F1C"/>
  </w:style>
  <w:style w:type="numbering" w:customStyle="1" w:styleId="Estiloimportado121">
    <w:name w:val="Estilo importado 121"/>
    <w:rsid w:val="002E6F1C"/>
  </w:style>
  <w:style w:type="numbering" w:customStyle="1" w:styleId="Estiloimportado131">
    <w:name w:val="Estilo importado 131"/>
    <w:rsid w:val="002E6F1C"/>
  </w:style>
  <w:style w:type="numbering" w:customStyle="1" w:styleId="Estiloimportado141">
    <w:name w:val="Estilo importado 141"/>
    <w:rsid w:val="002E6F1C"/>
  </w:style>
  <w:style w:type="numbering" w:customStyle="1" w:styleId="Estiloimportado151">
    <w:name w:val="Estilo importado 151"/>
    <w:rsid w:val="002E6F1C"/>
  </w:style>
  <w:style w:type="numbering" w:customStyle="1" w:styleId="Estiloimportado2031">
    <w:name w:val="Estilo importado 2031"/>
    <w:rsid w:val="002E6F1C"/>
  </w:style>
  <w:style w:type="numbering" w:customStyle="1" w:styleId="Estiloimportado161">
    <w:name w:val="Estilo importado 161"/>
    <w:rsid w:val="002E6F1C"/>
  </w:style>
  <w:style w:type="numbering" w:customStyle="1" w:styleId="Estiloimportado171">
    <w:name w:val="Estilo importado 171"/>
    <w:rsid w:val="002E6F1C"/>
  </w:style>
  <w:style w:type="numbering" w:customStyle="1" w:styleId="Estiloimportado181">
    <w:name w:val="Estilo importado 181"/>
    <w:rsid w:val="002E6F1C"/>
  </w:style>
  <w:style w:type="numbering" w:customStyle="1" w:styleId="Estiloimportado191">
    <w:name w:val="Estilo importado 191"/>
    <w:rsid w:val="002E6F1C"/>
  </w:style>
  <w:style w:type="numbering" w:customStyle="1" w:styleId="Estiloimportado201">
    <w:name w:val="Estilo importado 201"/>
    <w:rsid w:val="002E6F1C"/>
  </w:style>
  <w:style w:type="paragraph" w:styleId="Revisin">
    <w:name w:val="Revision"/>
    <w:hidden/>
    <w:uiPriority w:val="99"/>
    <w:semiHidden/>
    <w:rsid w:val="002E6F1C"/>
    <w:rPr>
      <w:sz w:val="24"/>
      <w:lang w:eastAsia="en-US"/>
    </w:rPr>
  </w:style>
  <w:style w:type="numbering" w:customStyle="1" w:styleId="Sinlista17">
    <w:name w:val="Sin lista17"/>
    <w:next w:val="Sinlista"/>
    <w:uiPriority w:val="99"/>
    <w:semiHidden/>
    <w:unhideWhenUsed/>
    <w:rsid w:val="00033B43"/>
  </w:style>
  <w:style w:type="numbering" w:customStyle="1" w:styleId="Sinlista18">
    <w:name w:val="Sin lista18"/>
    <w:next w:val="Sinlista"/>
    <w:uiPriority w:val="99"/>
    <w:semiHidden/>
    <w:unhideWhenUsed/>
    <w:rsid w:val="00033B43"/>
  </w:style>
  <w:style w:type="numbering" w:customStyle="1" w:styleId="Sinlista27">
    <w:name w:val="Sin lista27"/>
    <w:next w:val="Sinlista"/>
    <w:uiPriority w:val="99"/>
    <w:semiHidden/>
    <w:unhideWhenUsed/>
    <w:rsid w:val="00033B43"/>
  </w:style>
  <w:style w:type="numbering" w:customStyle="1" w:styleId="Sinlista37">
    <w:name w:val="Sin lista37"/>
    <w:next w:val="Sinlista"/>
    <w:uiPriority w:val="99"/>
    <w:semiHidden/>
    <w:unhideWhenUsed/>
    <w:rsid w:val="00033B43"/>
  </w:style>
  <w:style w:type="numbering" w:customStyle="1" w:styleId="Sinlista47">
    <w:name w:val="Sin lista47"/>
    <w:next w:val="Sinlista"/>
    <w:uiPriority w:val="99"/>
    <w:semiHidden/>
    <w:unhideWhenUsed/>
    <w:rsid w:val="00033B43"/>
  </w:style>
  <w:style w:type="numbering" w:customStyle="1" w:styleId="Sinlista57">
    <w:name w:val="Sin lista57"/>
    <w:next w:val="Sinlista"/>
    <w:uiPriority w:val="99"/>
    <w:semiHidden/>
    <w:unhideWhenUsed/>
    <w:rsid w:val="00033B43"/>
  </w:style>
  <w:style w:type="numbering" w:customStyle="1" w:styleId="Sinlista116">
    <w:name w:val="Sin lista116"/>
    <w:next w:val="Sinlista"/>
    <w:uiPriority w:val="99"/>
    <w:semiHidden/>
    <w:unhideWhenUsed/>
    <w:rsid w:val="00033B43"/>
  </w:style>
  <w:style w:type="numbering" w:customStyle="1" w:styleId="Sinlista216">
    <w:name w:val="Sin lista216"/>
    <w:next w:val="Sinlista"/>
    <w:uiPriority w:val="99"/>
    <w:semiHidden/>
    <w:unhideWhenUsed/>
    <w:rsid w:val="00033B43"/>
  </w:style>
  <w:style w:type="numbering" w:customStyle="1" w:styleId="Sinlista316">
    <w:name w:val="Sin lista316"/>
    <w:next w:val="Sinlista"/>
    <w:uiPriority w:val="99"/>
    <w:semiHidden/>
    <w:unhideWhenUsed/>
    <w:rsid w:val="00033B43"/>
  </w:style>
  <w:style w:type="numbering" w:customStyle="1" w:styleId="Sinlista416">
    <w:name w:val="Sin lista416"/>
    <w:next w:val="Sinlista"/>
    <w:uiPriority w:val="99"/>
    <w:semiHidden/>
    <w:unhideWhenUsed/>
    <w:rsid w:val="00033B43"/>
  </w:style>
  <w:style w:type="numbering" w:customStyle="1" w:styleId="Sinlista516">
    <w:name w:val="Sin lista516"/>
    <w:next w:val="Sinlista"/>
    <w:uiPriority w:val="99"/>
    <w:semiHidden/>
    <w:unhideWhenUsed/>
    <w:rsid w:val="00033B43"/>
  </w:style>
  <w:style w:type="numbering" w:customStyle="1" w:styleId="Sinlista65">
    <w:name w:val="Sin lista65"/>
    <w:next w:val="Sinlista"/>
    <w:uiPriority w:val="99"/>
    <w:semiHidden/>
    <w:unhideWhenUsed/>
    <w:rsid w:val="00033B43"/>
  </w:style>
  <w:style w:type="numbering" w:customStyle="1" w:styleId="Sinlista125">
    <w:name w:val="Sin lista125"/>
    <w:next w:val="Sinlista"/>
    <w:uiPriority w:val="99"/>
    <w:semiHidden/>
    <w:unhideWhenUsed/>
    <w:rsid w:val="00033B43"/>
  </w:style>
  <w:style w:type="numbering" w:customStyle="1" w:styleId="Sinlista1116">
    <w:name w:val="Sin lista1116"/>
    <w:next w:val="Sinlista"/>
    <w:uiPriority w:val="99"/>
    <w:semiHidden/>
    <w:unhideWhenUsed/>
    <w:rsid w:val="00033B43"/>
  </w:style>
  <w:style w:type="numbering" w:customStyle="1" w:styleId="Sinlista225">
    <w:name w:val="Sin lista225"/>
    <w:next w:val="Sinlista"/>
    <w:uiPriority w:val="99"/>
    <w:semiHidden/>
    <w:unhideWhenUsed/>
    <w:rsid w:val="00033B43"/>
  </w:style>
  <w:style w:type="numbering" w:customStyle="1" w:styleId="Sinlista325">
    <w:name w:val="Sin lista325"/>
    <w:next w:val="Sinlista"/>
    <w:uiPriority w:val="99"/>
    <w:semiHidden/>
    <w:unhideWhenUsed/>
    <w:rsid w:val="00033B43"/>
  </w:style>
  <w:style w:type="numbering" w:customStyle="1" w:styleId="Sinlista425">
    <w:name w:val="Sin lista425"/>
    <w:next w:val="Sinlista"/>
    <w:uiPriority w:val="99"/>
    <w:semiHidden/>
    <w:unhideWhenUsed/>
    <w:rsid w:val="00033B43"/>
  </w:style>
  <w:style w:type="numbering" w:customStyle="1" w:styleId="Sinlista525">
    <w:name w:val="Sin lista525"/>
    <w:next w:val="Sinlista"/>
    <w:uiPriority w:val="99"/>
    <w:semiHidden/>
    <w:unhideWhenUsed/>
    <w:rsid w:val="00033B43"/>
  </w:style>
  <w:style w:type="numbering" w:customStyle="1" w:styleId="Sinlista11116">
    <w:name w:val="Sin lista11116"/>
    <w:next w:val="Sinlista"/>
    <w:uiPriority w:val="99"/>
    <w:semiHidden/>
    <w:unhideWhenUsed/>
    <w:rsid w:val="00033B43"/>
  </w:style>
  <w:style w:type="numbering" w:customStyle="1" w:styleId="Sinlista2116">
    <w:name w:val="Sin lista2116"/>
    <w:next w:val="Sinlista"/>
    <w:uiPriority w:val="99"/>
    <w:semiHidden/>
    <w:unhideWhenUsed/>
    <w:rsid w:val="00033B43"/>
  </w:style>
  <w:style w:type="numbering" w:customStyle="1" w:styleId="Sinlista3116">
    <w:name w:val="Sin lista3116"/>
    <w:next w:val="Sinlista"/>
    <w:uiPriority w:val="99"/>
    <w:semiHidden/>
    <w:unhideWhenUsed/>
    <w:rsid w:val="00033B43"/>
  </w:style>
  <w:style w:type="numbering" w:customStyle="1" w:styleId="Sinlista4116">
    <w:name w:val="Sin lista4116"/>
    <w:next w:val="Sinlista"/>
    <w:uiPriority w:val="99"/>
    <w:semiHidden/>
    <w:unhideWhenUsed/>
    <w:rsid w:val="00033B43"/>
  </w:style>
  <w:style w:type="numbering" w:customStyle="1" w:styleId="Sinlista5116">
    <w:name w:val="Sin lista5116"/>
    <w:next w:val="Sinlista"/>
    <w:uiPriority w:val="99"/>
    <w:semiHidden/>
    <w:unhideWhenUsed/>
    <w:rsid w:val="00033B43"/>
  </w:style>
  <w:style w:type="numbering" w:customStyle="1" w:styleId="Sinlista111115">
    <w:name w:val="Sin lista111115"/>
    <w:next w:val="Sinlista"/>
    <w:uiPriority w:val="99"/>
    <w:semiHidden/>
    <w:unhideWhenUsed/>
    <w:rsid w:val="00033B43"/>
  </w:style>
  <w:style w:type="numbering" w:customStyle="1" w:styleId="Sinlista21115">
    <w:name w:val="Sin lista21115"/>
    <w:next w:val="Sinlista"/>
    <w:uiPriority w:val="99"/>
    <w:semiHidden/>
    <w:unhideWhenUsed/>
    <w:rsid w:val="00033B43"/>
  </w:style>
  <w:style w:type="numbering" w:customStyle="1" w:styleId="Sinlista31115">
    <w:name w:val="Sin lista31115"/>
    <w:next w:val="Sinlista"/>
    <w:uiPriority w:val="99"/>
    <w:semiHidden/>
    <w:unhideWhenUsed/>
    <w:rsid w:val="00033B43"/>
  </w:style>
  <w:style w:type="numbering" w:customStyle="1" w:styleId="Sinlista41115">
    <w:name w:val="Sin lista41115"/>
    <w:next w:val="Sinlista"/>
    <w:uiPriority w:val="99"/>
    <w:semiHidden/>
    <w:unhideWhenUsed/>
    <w:rsid w:val="00033B43"/>
  </w:style>
  <w:style w:type="numbering" w:customStyle="1" w:styleId="Sinlista51115">
    <w:name w:val="Sin lista51115"/>
    <w:next w:val="Sinlista"/>
    <w:uiPriority w:val="99"/>
    <w:semiHidden/>
    <w:unhideWhenUsed/>
    <w:rsid w:val="00033B43"/>
  </w:style>
  <w:style w:type="numbering" w:customStyle="1" w:styleId="Sinlista73">
    <w:name w:val="Sin lista73"/>
    <w:next w:val="Sinlista"/>
    <w:uiPriority w:val="99"/>
    <w:semiHidden/>
    <w:unhideWhenUsed/>
    <w:rsid w:val="00033B43"/>
  </w:style>
  <w:style w:type="numbering" w:customStyle="1" w:styleId="Sinlista133">
    <w:name w:val="Sin lista133"/>
    <w:next w:val="Sinlista"/>
    <w:uiPriority w:val="99"/>
    <w:semiHidden/>
    <w:unhideWhenUsed/>
    <w:rsid w:val="00033B43"/>
  </w:style>
  <w:style w:type="numbering" w:customStyle="1" w:styleId="Sinlista233">
    <w:name w:val="Sin lista233"/>
    <w:next w:val="Sinlista"/>
    <w:uiPriority w:val="99"/>
    <w:semiHidden/>
    <w:unhideWhenUsed/>
    <w:rsid w:val="00033B43"/>
  </w:style>
  <w:style w:type="numbering" w:customStyle="1" w:styleId="Sinlista333">
    <w:name w:val="Sin lista333"/>
    <w:next w:val="Sinlista"/>
    <w:uiPriority w:val="99"/>
    <w:semiHidden/>
    <w:unhideWhenUsed/>
    <w:rsid w:val="00033B43"/>
  </w:style>
  <w:style w:type="numbering" w:customStyle="1" w:styleId="Sinlista433">
    <w:name w:val="Sin lista433"/>
    <w:next w:val="Sinlista"/>
    <w:uiPriority w:val="99"/>
    <w:semiHidden/>
    <w:unhideWhenUsed/>
    <w:rsid w:val="00033B43"/>
  </w:style>
  <w:style w:type="numbering" w:customStyle="1" w:styleId="Sinlista533">
    <w:name w:val="Sin lista533"/>
    <w:next w:val="Sinlista"/>
    <w:uiPriority w:val="99"/>
    <w:semiHidden/>
    <w:unhideWhenUsed/>
    <w:rsid w:val="00033B43"/>
  </w:style>
  <w:style w:type="numbering" w:customStyle="1" w:styleId="Sinlista1123">
    <w:name w:val="Sin lista1123"/>
    <w:next w:val="Sinlista"/>
    <w:uiPriority w:val="99"/>
    <w:semiHidden/>
    <w:unhideWhenUsed/>
    <w:rsid w:val="00033B43"/>
  </w:style>
  <w:style w:type="numbering" w:customStyle="1" w:styleId="Sinlista2123">
    <w:name w:val="Sin lista2123"/>
    <w:next w:val="Sinlista"/>
    <w:uiPriority w:val="99"/>
    <w:semiHidden/>
    <w:unhideWhenUsed/>
    <w:rsid w:val="00033B43"/>
  </w:style>
  <w:style w:type="numbering" w:customStyle="1" w:styleId="Sinlista3123">
    <w:name w:val="Sin lista3123"/>
    <w:next w:val="Sinlista"/>
    <w:uiPriority w:val="99"/>
    <w:semiHidden/>
    <w:unhideWhenUsed/>
    <w:rsid w:val="00033B43"/>
  </w:style>
  <w:style w:type="numbering" w:customStyle="1" w:styleId="Sinlista4123">
    <w:name w:val="Sin lista4123"/>
    <w:next w:val="Sinlista"/>
    <w:uiPriority w:val="99"/>
    <w:semiHidden/>
    <w:unhideWhenUsed/>
    <w:rsid w:val="00033B43"/>
  </w:style>
  <w:style w:type="numbering" w:customStyle="1" w:styleId="Sinlista5123">
    <w:name w:val="Sin lista5123"/>
    <w:next w:val="Sinlista"/>
    <w:uiPriority w:val="99"/>
    <w:semiHidden/>
    <w:unhideWhenUsed/>
    <w:rsid w:val="00033B43"/>
  </w:style>
  <w:style w:type="numbering" w:customStyle="1" w:styleId="Sinlista613">
    <w:name w:val="Sin lista613"/>
    <w:next w:val="Sinlista"/>
    <w:uiPriority w:val="99"/>
    <w:semiHidden/>
    <w:unhideWhenUsed/>
    <w:rsid w:val="00033B43"/>
  </w:style>
  <w:style w:type="numbering" w:customStyle="1" w:styleId="Sinlista1213">
    <w:name w:val="Sin lista1213"/>
    <w:next w:val="Sinlista"/>
    <w:uiPriority w:val="99"/>
    <w:semiHidden/>
    <w:unhideWhenUsed/>
    <w:rsid w:val="00033B43"/>
  </w:style>
  <w:style w:type="numbering" w:customStyle="1" w:styleId="Sinlista11123">
    <w:name w:val="Sin lista11123"/>
    <w:next w:val="Sinlista"/>
    <w:uiPriority w:val="99"/>
    <w:semiHidden/>
    <w:unhideWhenUsed/>
    <w:rsid w:val="00033B43"/>
  </w:style>
  <w:style w:type="numbering" w:customStyle="1" w:styleId="Sinlista2213">
    <w:name w:val="Sin lista2213"/>
    <w:next w:val="Sinlista"/>
    <w:uiPriority w:val="99"/>
    <w:semiHidden/>
    <w:unhideWhenUsed/>
    <w:rsid w:val="00033B43"/>
  </w:style>
  <w:style w:type="numbering" w:customStyle="1" w:styleId="Sinlista3213">
    <w:name w:val="Sin lista3213"/>
    <w:next w:val="Sinlista"/>
    <w:uiPriority w:val="99"/>
    <w:semiHidden/>
    <w:unhideWhenUsed/>
    <w:rsid w:val="00033B43"/>
  </w:style>
  <w:style w:type="numbering" w:customStyle="1" w:styleId="Sinlista4213">
    <w:name w:val="Sin lista4213"/>
    <w:next w:val="Sinlista"/>
    <w:uiPriority w:val="99"/>
    <w:semiHidden/>
    <w:unhideWhenUsed/>
    <w:rsid w:val="00033B43"/>
  </w:style>
  <w:style w:type="numbering" w:customStyle="1" w:styleId="Sinlista5213">
    <w:name w:val="Sin lista5213"/>
    <w:next w:val="Sinlista"/>
    <w:uiPriority w:val="99"/>
    <w:semiHidden/>
    <w:unhideWhenUsed/>
    <w:rsid w:val="00033B43"/>
  </w:style>
  <w:style w:type="numbering" w:customStyle="1" w:styleId="Sinlista111123">
    <w:name w:val="Sin lista111123"/>
    <w:next w:val="Sinlista"/>
    <w:uiPriority w:val="99"/>
    <w:semiHidden/>
    <w:unhideWhenUsed/>
    <w:rsid w:val="00033B43"/>
  </w:style>
  <w:style w:type="numbering" w:customStyle="1" w:styleId="Sinlista21123">
    <w:name w:val="Sin lista21123"/>
    <w:next w:val="Sinlista"/>
    <w:uiPriority w:val="99"/>
    <w:semiHidden/>
    <w:unhideWhenUsed/>
    <w:rsid w:val="00033B43"/>
  </w:style>
  <w:style w:type="numbering" w:customStyle="1" w:styleId="Sinlista31123">
    <w:name w:val="Sin lista31123"/>
    <w:next w:val="Sinlista"/>
    <w:uiPriority w:val="99"/>
    <w:semiHidden/>
    <w:unhideWhenUsed/>
    <w:rsid w:val="00033B43"/>
  </w:style>
  <w:style w:type="numbering" w:customStyle="1" w:styleId="Sinlista41123">
    <w:name w:val="Sin lista41123"/>
    <w:next w:val="Sinlista"/>
    <w:uiPriority w:val="99"/>
    <w:semiHidden/>
    <w:unhideWhenUsed/>
    <w:rsid w:val="00033B43"/>
  </w:style>
  <w:style w:type="numbering" w:customStyle="1" w:styleId="Sinlista51123">
    <w:name w:val="Sin lista51123"/>
    <w:next w:val="Sinlista"/>
    <w:uiPriority w:val="99"/>
    <w:semiHidden/>
    <w:unhideWhenUsed/>
    <w:rsid w:val="00033B43"/>
  </w:style>
  <w:style w:type="numbering" w:customStyle="1" w:styleId="Sinlista1111113">
    <w:name w:val="Sin lista1111113"/>
    <w:next w:val="Sinlista"/>
    <w:uiPriority w:val="99"/>
    <w:semiHidden/>
    <w:unhideWhenUsed/>
    <w:rsid w:val="00033B43"/>
  </w:style>
  <w:style w:type="numbering" w:customStyle="1" w:styleId="Sinlista211113">
    <w:name w:val="Sin lista211113"/>
    <w:next w:val="Sinlista"/>
    <w:uiPriority w:val="99"/>
    <w:semiHidden/>
    <w:unhideWhenUsed/>
    <w:rsid w:val="00033B43"/>
  </w:style>
  <w:style w:type="numbering" w:customStyle="1" w:styleId="Sinlista311113">
    <w:name w:val="Sin lista311113"/>
    <w:next w:val="Sinlista"/>
    <w:uiPriority w:val="99"/>
    <w:semiHidden/>
    <w:unhideWhenUsed/>
    <w:rsid w:val="00033B43"/>
  </w:style>
  <w:style w:type="numbering" w:customStyle="1" w:styleId="Sinlista411113">
    <w:name w:val="Sin lista411113"/>
    <w:next w:val="Sinlista"/>
    <w:uiPriority w:val="99"/>
    <w:semiHidden/>
    <w:unhideWhenUsed/>
    <w:rsid w:val="00033B43"/>
  </w:style>
  <w:style w:type="numbering" w:customStyle="1" w:styleId="Sinlista511113">
    <w:name w:val="Sin lista511113"/>
    <w:next w:val="Sinlista"/>
    <w:uiPriority w:val="99"/>
    <w:semiHidden/>
    <w:unhideWhenUsed/>
    <w:rsid w:val="00033B43"/>
  </w:style>
  <w:style w:type="numbering" w:customStyle="1" w:styleId="Sinlista712">
    <w:name w:val="Sin lista712"/>
    <w:next w:val="Sinlista"/>
    <w:uiPriority w:val="99"/>
    <w:semiHidden/>
    <w:unhideWhenUsed/>
    <w:rsid w:val="00033B43"/>
  </w:style>
  <w:style w:type="numbering" w:customStyle="1" w:styleId="Sinlista1312">
    <w:name w:val="Sin lista1312"/>
    <w:next w:val="Sinlista"/>
    <w:uiPriority w:val="99"/>
    <w:semiHidden/>
    <w:unhideWhenUsed/>
    <w:rsid w:val="00033B43"/>
  </w:style>
  <w:style w:type="numbering" w:customStyle="1" w:styleId="Sinlista2312">
    <w:name w:val="Sin lista2312"/>
    <w:next w:val="Sinlista"/>
    <w:uiPriority w:val="99"/>
    <w:semiHidden/>
    <w:unhideWhenUsed/>
    <w:rsid w:val="00033B43"/>
  </w:style>
  <w:style w:type="numbering" w:customStyle="1" w:styleId="Sinlista3312">
    <w:name w:val="Sin lista3312"/>
    <w:next w:val="Sinlista"/>
    <w:uiPriority w:val="99"/>
    <w:semiHidden/>
    <w:unhideWhenUsed/>
    <w:rsid w:val="00033B43"/>
  </w:style>
  <w:style w:type="numbering" w:customStyle="1" w:styleId="Sinlista4312">
    <w:name w:val="Sin lista4312"/>
    <w:next w:val="Sinlista"/>
    <w:uiPriority w:val="99"/>
    <w:semiHidden/>
    <w:unhideWhenUsed/>
    <w:rsid w:val="00033B43"/>
  </w:style>
  <w:style w:type="numbering" w:customStyle="1" w:styleId="Sinlista5312">
    <w:name w:val="Sin lista5312"/>
    <w:next w:val="Sinlista"/>
    <w:uiPriority w:val="99"/>
    <w:semiHidden/>
    <w:unhideWhenUsed/>
    <w:rsid w:val="00033B43"/>
  </w:style>
  <w:style w:type="numbering" w:customStyle="1" w:styleId="Sinlista11212">
    <w:name w:val="Sin lista11212"/>
    <w:next w:val="Sinlista"/>
    <w:uiPriority w:val="99"/>
    <w:semiHidden/>
    <w:unhideWhenUsed/>
    <w:rsid w:val="00033B43"/>
  </w:style>
  <w:style w:type="numbering" w:customStyle="1" w:styleId="Sinlista21212">
    <w:name w:val="Sin lista21212"/>
    <w:next w:val="Sinlista"/>
    <w:uiPriority w:val="99"/>
    <w:semiHidden/>
    <w:unhideWhenUsed/>
    <w:rsid w:val="00033B43"/>
  </w:style>
  <w:style w:type="numbering" w:customStyle="1" w:styleId="Sinlista31212">
    <w:name w:val="Sin lista31212"/>
    <w:next w:val="Sinlista"/>
    <w:uiPriority w:val="99"/>
    <w:semiHidden/>
    <w:unhideWhenUsed/>
    <w:rsid w:val="00033B43"/>
  </w:style>
  <w:style w:type="numbering" w:customStyle="1" w:styleId="Sinlista41212">
    <w:name w:val="Sin lista41212"/>
    <w:next w:val="Sinlista"/>
    <w:uiPriority w:val="99"/>
    <w:semiHidden/>
    <w:unhideWhenUsed/>
    <w:rsid w:val="00033B43"/>
  </w:style>
  <w:style w:type="numbering" w:customStyle="1" w:styleId="Sinlista51212">
    <w:name w:val="Sin lista51212"/>
    <w:next w:val="Sinlista"/>
    <w:uiPriority w:val="99"/>
    <w:semiHidden/>
    <w:unhideWhenUsed/>
    <w:rsid w:val="00033B43"/>
  </w:style>
  <w:style w:type="numbering" w:customStyle="1" w:styleId="Sinlista6112">
    <w:name w:val="Sin lista6112"/>
    <w:next w:val="Sinlista"/>
    <w:uiPriority w:val="99"/>
    <w:semiHidden/>
    <w:unhideWhenUsed/>
    <w:rsid w:val="00033B43"/>
  </w:style>
  <w:style w:type="numbering" w:customStyle="1" w:styleId="Sinlista12112">
    <w:name w:val="Sin lista12112"/>
    <w:next w:val="Sinlista"/>
    <w:uiPriority w:val="99"/>
    <w:semiHidden/>
    <w:unhideWhenUsed/>
    <w:rsid w:val="00033B43"/>
  </w:style>
  <w:style w:type="numbering" w:customStyle="1" w:styleId="Sinlista111212">
    <w:name w:val="Sin lista111212"/>
    <w:next w:val="Sinlista"/>
    <w:uiPriority w:val="99"/>
    <w:semiHidden/>
    <w:unhideWhenUsed/>
    <w:rsid w:val="00033B43"/>
  </w:style>
  <w:style w:type="numbering" w:customStyle="1" w:styleId="Sinlista22112">
    <w:name w:val="Sin lista22112"/>
    <w:next w:val="Sinlista"/>
    <w:uiPriority w:val="99"/>
    <w:semiHidden/>
    <w:unhideWhenUsed/>
    <w:rsid w:val="00033B43"/>
  </w:style>
  <w:style w:type="numbering" w:customStyle="1" w:styleId="Sinlista32112">
    <w:name w:val="Sin lista32112"/>
    <w:next w:val="Sinlista"/>
    <w:uiPriority w:val="99"/>
    <w:semiHidden/>
    <w:unhideWhenUsed/>
    <w:rsid w:val="00033B43"/>
  </w:style>
  <w:style w:type="numbering" w:customStyle="1" w:styleId="Sinlista42112">
    <w:name w:val="Sin lista42112"/>
    <w:next w:val="Sinlista"/>
    <w:uiPriority w:val="99"/>
    <w:semiHidden/>
    <w:unhideWhenUsed/>
    <w:rsid w:val="00033B43"/>
  </w:style>
  <w:style w:type="numbering" w:customStyle="1" w:styleId="Sinlista52112">
    <w:name w:val="Sin lista52112"/>
    <w:next w:val="Sinlista"/>
    <w:uiPriority w:val="99"/>
    <w:semiHidden/>
    <w:unhideWhenUsed/>
    <w:rsid w:val="00033B43"/>
  </w:style>
  <w:style w:type="numbering" w:customStyle="1" w:styleId="Sinlista1111212">
    <w:name w:val="Sin lista1111212"/>
    <w:next w:val="Sinlista"/>
    <w:uiPriority w:val="99"/>
    <w:semiHidden/>
    <w:unhideWhenUsed/>
    <w:rsid w:val="00033B43"/>
  </w:style>
  <w:style w:type="numbering" w:customStyle="1" w:styleId="Sinlista211212">
    <w:name w:val="Sin lista211212"/>
    <w:next w:val="Sinlista"/>
    <w:uiPriority w:val="99"/>
    <w:semiHidden/>
    <w:unhideWhenUsed/>
    <w:rsid w:val="00033B43"/>
  </w:style>
  <w:style w:type="numbering" w:customStyle="1" w:styleId="Sinlista311212">
    <w:name w:val="Sin lista311212"/>
    <w:next w:val="Sinlista"/>
    <w:uiPriority w:val="99"/>
    <w:semiHidden/>
    <w:unhideWhenUsed/>
    <w:rsid w:val="00033B43"/>
  </w:style>
  <w:style w:type="numbering" w:customStyle="1" w:styleId="Sinlista411212">
    <w:name w:val="Sin lista411212"/>
    <w:next w:val="Sinlista"/>
    <w:uiPriority w:val="99"/>
    <w:semiHidden/>
    <w:unhideWhenUsed/>
    <w:rsid w:val="00033B43"/>
  </w:style>
  <w:style w:type="numbering" w:customStyle="1" w:styleId="Sinlista511212">
    <w:name w:val="Sin lista511212"/>
    <w:next w:val="Sinlista"/>
    <w:uiPriority w:val="99"/>
    <w:semiHidden/>
    <w:unhideWhenUsed/>
    <w:rsid w:val="00033B43"/>
  </w:style>
  <w:style w:type="numbering" w:customStyle="1" w:styleId="Sinlista11111112">
    <w:name w:val="Sin lista11111112"/>
    <w:next w:val="Sinlista"/>
    <w:uiPriority w:val="99"/>
    <w:semiHidden/>
    <w:unhideWhenUsed/>
    <w:rsid w:val="00033B43"/>
  </w:style>
  <w:style w:type="numbering" w:customStyle="1" w:styleId="Sinlista2111112">
    <w:name w:val="Sin lista2111112"/>
    <w:next w:val="Sinlista"/>
    <w:uiPriority w:val="99"/>
    <w:semiHidden/>
    <w:unhideWhenUsed/>
    <w:rsid w:val="00033B43"/>
  </w:style>
  <w:style w:type="numbering" w:customStyle="1" w:styleId="Sinlista3111112">
    <w:name w:val="Sin lista3111112"/>
    <w:next w:val="Sinlista"/>
    <w:uiPriority w:val="99"/>
    <w:semiHidden/>
    <w:unhideWhenUsed/>
    <w:rsid w:val="00033B43"/>
  </w:style>
  <w:style w:type="numbering" w:customStyle="1" w:styleId="Sinlista4111112">
    <w:name w:val="Sin lista4111112"/>
    <w:next w:val="Sinlista"/>
    <w:uiPriority w:val="99"/>
    <w:semiHidden/>
    <w:unhideWhenUsed/>
    <w:rsid w:val="00033B43"/>
  </w:style>
  <w:style w:type="numbering" w:customStyle="1" w:styleId="Sinlista5111112">
    <w:name w:val="Sin lista5111112"/>
    <w:next w:val="Sinlista"/>
    <w:uiPriority w:val="99"/>
    <w:semiHidden/>
    <w:unhideWhenUsed/>
    <w:rsid w:val="00033B43"/>
  </w:style>
  <w:style w:type="numbering" w:customStyle="1" w:styleId="Sinlista82">
    <w:name w:val="Sin lista82"/>
    <w:next w:val="Sinlista"/>
    <w:uiPriority w:val="99"/>
    <w:semiHidden/>
    <w:unhideWhenUsed/>
    <w:rsid w:val="00033B43"/>
  </w:style>
  <w:style w:type="numbering" w:customStyle="1" w:styleId="Sinlista142">
    <w:name w:val="Sin lista142"/>
    <w:next w:val="Sinlista"/>
    <w:uiPriority w:val="99"/>
    <w:semiHidden/>
    <w:unhideWhenUsed/>
    <w:rsid w:val="00033B43"/>
  </w:style>
  <w:style w:type="numbering" w:customStyle="1" w:styleId="Sinlista242">
    <w:name w:val="Sin lista242"/>
    <w:next w:val="Sinlista"/>
    <w:uiPriority w:val="99"/>
    <w:semiHidden/>
    <w:unhideWhenUsed/>
    <w:rsid w:val="00033B43"/>
  </w:style>
  <w:style w:type="numbering" w:customStyle="1" w:styleId="Sinlista342">
    <w:name w:val="Sin lista342"/>
    <w:next w:val="Sinlista"/>
    <w:uiPriority w:val="99"/>
    <w:semiHidden/>
    <w:unhideWhenUsed/>
    <w:rsid w:val="00033B43"/>
  </w:style>
  <w:style w:type="numbering" w:customStyle="1" w:styleId="Sinlista442">
    <w:name w:val="Sin lista442"/>
    <w:next w:val="Sinlista"/>
    <w:uiPriority w:val="99"/>
    <w:semiHidden/>
    <w:unhideWhenUsed/>
    <w:rsid w:val="00033B43"/>
  </w:style>
  <w:style w:type="numbering" w:customStyle="1" w:styleId="Sinlista542">
    <w:name w:val="Sin lista542"/>
    <w:next w:val="Sinlista"/>
    <w:uiPriority w:val="99"/>
    <w:semiHidden/>
    <w:unhideWhenUsed/>
    <w:rsid w:val="00033B43"/>
  </w:style>
  <w:style w:type="numbering" w:customStyle="1" w:styleId="Sinlista1132">
    <w:name w:val="Sin lista1132"/>
    <w:next w:val="Sinlista"/>
    <w:uiPriority w:val="99"/>
    <w:semiHidden/>
    <w:unhideWhenUsed/>
    <w:rsid w:val="00033B43"/>
  </w:style>
  <w:style w:type="numbering" w:customStyle="1" w:styleId="Sinlista2132">
    <w:name w:val="Sin lista2132"/>
    <w:next w:val="Sinlista"/>
    <w:uiPriority w:val="99"/>
    <w:semiHidden/>
    <w:unhideWhenUsed/>
    <w:rsid w:val="00033B43"/>
  </w:style>
  <w:style w:type="numbering" w:customStyle="1" w:styleId="Sinlista3132">
    <w:name w:val="Sin lista3132"/>
    <w:next w:val="Sinlista"/>
    <w:uiPriority w:val="99"/>
    <w:semiHidden/>
    <w:unhideWhenUsed/>
    <w:rsid w:val="00033B43"/>
  </w:style>
  <w:style w:type="numbering" w:customStyle="1" w:styleId="Sinlista4132">
    <w:name w:val="Sin lista4132"/>
    <w:next w:val="Sinlista"/>
    <w:uiPriority w:val="99"/>
    <w:semiHidden/>
    <w:unhideWhenUsed/>
    <w:rsid w:val="00033B43"/>
  </w:style>
  <w:style w:type="numbering" w:customStyle="1" w:styleId="Sinlista5132">
    <w:name w:val="Sin lista5132"/>
    <w:next w:val="Sinlista"/>
    <w:uiPriority w:val="99"/>
    <w:semiHidden/>
    <w:unhideWhenUsed/>
    <w:rsid w:val="00033B43"/>
  </w:style>
  <w:style w:type="numbering" w:customStyle="1" w:styleId="Sinlista622">
    <w:name w:val="Sin lista622"/>
    <w:next w:val="Sinlista"/>
    <w:uiPriority w:val="99"/>
    <w:semiHidden/>
    <w:unhideWhenUsed/>
    <w:rsid w:val="00033B43"/>
  </w:style>
  <w:style w:type="numbering" w:customStyle="1" w:styleId="Sinlista1222">
    <w:name w:val="Sin lista1222"/>
    <w:next w:val="Sinlista"/>
    <w:uiPriority w:val="99"/>
    <w:semiHidden/>
    <w:unhideWhenUsed/>
    <w:rsid w:val="00033B43"/>
  </w:style>
  <w:style w:type="numbering" w:customStyle="1" w:styleId="Sinlista11132">
    <w:name w:val="Sin lista11132"/>
    <w:next w:val="Sinlista"/>
    <w:uiPriority w:val="99"/>
    <w:semiHidden/>
    <w:unhideWhenUsed/>
    <w:rsid w:val="00033B43"/>
  </w:style>
  <w:style w:type="numbering" w:customStyle="1" w:styleId="Sinlista2222">
    <w:name w:val="Sin lista2222"/>
    <w:next w:val="Sinlista"/>
    <w:uiPriority w:val="99"/>
    <w:semiHidden/>
    <w:unhideWhenUsed/>
    <w:rsid w:val="00033B43"/>
  </w:style>
  <w:style w:type="numbering" w:customStyle="1" w:styleId="Sinlista3222">
    <w:name w:val="Sin lista3222"/>
    <w:next w:val="Sinlista"/>
    <w:uiPriority w:val="99"/>
    <w:semiHidden/>
    <w:unhideWhenUsed/>
    <w:rsid w:val="00033B43"/>
  </w:style>
  <w:style w:type="numbering" w:customStyle="1" w:styleId="Sinlista4222">
    <w:name w:val="Sin lista4222"/>
    <w:next w:val="Sinlista"/>
    <w:uiPriority w:val="99"/>
    <w:semiHidden/>
    <w:unhideWhenUsed/>
    <w:rsid w:val="00033B43"/>
  </w:style>
  <w:style w:type="numbering" w:customStyle="1" w:styleId="Sinlista5222">
    <w:name w:val="Sin lista5222"/>
    <w:next w:val="Sinlista"/>
    <w:uiPriority w:val="99"/>
    <w:semiHidden/>
    <w:unhideWhenUsed/>
    <w:rsid w:val="00033B43"/>
  </w:style>
  <w:style w:type="numbering" w:customStyle="1" w:styleId="Sinlista111132">
    <w:name w:val="Sin lista111132"/>
    <w:next w:val="Sinlista"/>
    <w:uiPriority w:val="99"/>
    <w:semiHidden/>
    <w:unhideWhenUsed/>
    <w:rsid w:val="00033B43"/>
  </w:style>
  <w:style w:type="numbering" w:customStyle="1" w:styleId="Sinlista21132">
    <w:name w:val="Sin lista21132"/>
    <w:next w:val="Sinlista"/>
    <w:uiPriority w:val="99"/>
    <w:semiHidden/>
    <w:unhideWhenUsed/>
    <w:rsid w:val="00033B43"/>
  </w:style>
  <w:style w:type="numbering" w:customStyle="1" w:styleId="Sinlista31132">
    <w:name w:val="Sin lista31132"/>
    <w:next w:val="Sinlista"/>
    <w:uiPriority w:val="99"/>
    <w:semiHidden/>
    <w:unhideWhenUsed/>
    <w:rsid w:val="00033B43"/>
  </w:style>
  <w:style w:type="numbering" w:customStyle="1" w:styleId="Sinlista41132">
    <w:name w:val="Sin lista41132"/>
    <w:next w:val="Sinlista"/>
    <w:uiPriority w:val="99"/>
    <w:semiHidden/>
    <w:unhideWhenUsed/>
    <w:rsid w:val="00033B43"/>
  </w:style>
  <w:style w:type="numbering" w:customStyle="1" w:styleId="Sinlista51132">
    <w:name w:val="Sin lista51132"/>
    <w:next w:val="Sinlista"/>
    <w:uiPriority w:val="99"/>
    <w:semiHidden/>
    <w:unhideWhenUsed/>
    <w:rsid w:val="00033B43"/>
  </w:style>
  <w:style w:type="numbering" w:customStyle="1" w:styleId="Sinlista1111122">
    <w:name w:val="Sin lista1111122"/>
    <w:next w:val="Sinlista"/>
    <w:uiPriority w:val="99"/>
    <w:semiHidden/>
    <w:unhideWhenUsed/>
    <w:rsid w:val="00033B43"/>
  </w:style>
  <w:style w:type="numbering" w:customStyle="1" w:styleId="Sinlista211122">
    <w:name w:val="Sin lista211122"/>
    <w:next w:val="Sinlista"/>
    <w:uiPriority w:val="99"/>
    <w:semiHidden/>
    <w:unhideWhenUsed/>
    <w:rsid w:val="00033B43"/>
  </w:style>
  <w:style w:type="numbering" w:customStyle="1" w:styleId="Sinlista311122">
    <w:name w:val="Sin lista311122"/>
    <w:next w:val="Sinlista"/>
    <w:uiPriority w:val="99"/>
    <w:semiHidden/>
    <w:unhideWhenUsed/>
    <w:rsid w:val="00033B43"/>
  </w:style>
  <w:style w:type="numbering" w:customStyle="1" w:styleId="Sinlista411122">
    <w:name w:val="Sin lista411122"/>
    <w:next w:val="Sinlista"/>
    <w:uiPriority w:val="99"/>
    <w:semiHidden/>
    <w:unhideWhenUsed/>
    <w:rsid w:val="00033B43"/>
  </w:style>
  <w:style w:type="numbering" w:customStyle="1" w:styleId="Sinlista511122">
    <w:name w:val="Sin lista511122"/>
    <w:next w:val="Sinlista"/>
    <w:uiPriority w:val="99"/>
    <w:semiHidden/>
    <w:unhideWhenUsed/>
    <w:rsid w:val="00033B43"/>
  </w:style>
  <w:style w:type="numbering" w:customStyle="1" w:styleId="Sinlista92">
    <w:name w:val="Sin lista92"/>
    <w:next w:val="Sinlista"/>
    <w:uiPriority w:val="99"/>
    <w:semiHidden/>
    <w:unhideWhenUsed/>
    <w:rsid w:val="00033B43"/>
  </w:style>
  <w:style w:type="numbering" w:customStyle="1" w:styleId="Sinlista152">
    <w:name w:val="Sin lista152"/>
    <w:next w:val="Sinlista"/>
    <w:uiPriority w:val="99"/>
    <w:semiHidden/>
    <w:unhideWhenUsed/>
    <w:rsid w:val="00033B43"/>
  </w:style>
  <w:style w:type="numbering" w:customStyle="1" w:styleId="Sinlista252">
    <w:name w:val="Sin lista252"/>
    <w:next w:val="Sinlista"/>
    <w:uiPriority w:val="99"/>
    <w:semiHidden/>
    <w:unhideWhenUsed/>
    <w:rsid w:val="00033B43"/>
  </w:style>
  <w:style w:type="numbering" w:customStyle="1" w:styleId="Sinlista352">
    <w:name w:val="Sin lista352"/>
    <w:next w:val="Sinlista"/>
    <w:uiPriority w:val="99"/>
    <w:semiHidden/>
    <w:unhideWhenUsed/>
    <w:rsid w:val="00033B43"/>
  </w:style>
  <w:style w:type="numbering" w:customStyle="1" w:styleId="Sinlista452">
    <w:name w:val="Sin lista452"/>
    <w:next w:val="Sinlista"/>
    <w:uiPriority w:val="99"/>
    <w:semiHidden/>
    <w:unhideWhenUsed/>
    <w:rsid w:val="00033B43"/>
  </w:style>
  <w:style w:type="numbering" w:customStyle="1" w:styleId="Sinlista552">
    <w:name w:val="Sin lista552"/>
    <w:next w:val="Sinlista"/>
    <w:uiPriority w:val="99"/>
    <w:semiHidden/>
    <w:unhideWhenUsed/>
    <w:rsid w:val="00033B43"/>
  </w:style>
  <w:style w:type="numbering" w:customStyle="1" w:styleId="Sinlista1142">
    <w:name w:val="Sin lista1142"/>
    <w:next w:val="Sinlista"/>
    <w:uiPriority w:val="99"/>
    <w:semiHidden/>
    <w:unhideWhenUsed/>
    <w:rsid w:val="00033B43"/>
  </w:style>
  <w:style w:type="numbering" w:customStyle="1" w:styleId="Sinlista2142">
    <w:name w:val="Sin lista2142"/>
    <w:next w:val="Sinlista"/>
    <w:uiPriority w:val="99"/>
    <w:semiHidden/>
    <w:unhideWhenUsed/>
    <w:rsid w:val="00033B43"/>
  </w:style>
  <w:style w:type="numbering" w:customStyle="1" w:styleId="Sinlista3142">
    <w:name w:val="Sin lista3142"/>
    <w:next w:val="Sinlista"/>
    <w:uiPriority w:val="99"/>
    <w:semiHidden/>
    <w:unhideWhenUsed/>
    <w:rsid w:val="00033B43"/>
  </w:style>
  <w:style w:type="numbering" w:customStyle="1" w:styleId="Sinlista4142">
    <w:name w:val="Sin lista4142"/>
    <w:next w:val="Sinlista"/>
    <w:uiPriority w:val="99"/>
    <w:semiHidden/>
    <w:unhideWhenUsed/>
    <w:rsid w:val="00033B43"/>
  </w:style>
  <w:style w:type="numbering" w:customStyle="1" w:styleId="Sinlista5142">
    <w:name w:val="Sin lista5142"/>
    <w:next w:val="Sinlista"/>
    <w:uiPriority w:val="99"/>
    <w:semiHidden/>
    <w:unhideWhenUsed/>
    <w:rsid w:val="00033B43"/>
  </w:style>
  <w:style w:type="numbering" w:customStyle="1" w:styleId="Sinlista632">
    <w:name w:val="Sin lista632"/>
    <w:next w:val="Sinlista"/>
    <w:uiPriority w:val="99"/>
    <w:semiHidden/>
    <w:unhideWhenUsed/>
    <w:rsid w:val="00033B43"/>
  </w:style>
  <w:style w:type="numbering" w:customStyle="1" w:styleId="Sinlista1232">
    <w:name w:val="Sin lista1232"/>
    <w:next w:val="Sinlista"/>
    <w:uiPriority w:val="99"/>
    <w:semiHidden/>
    <w:unhideWhenUsed/>
    <w:rsid w:val="00033B43"/>
  </w:style>
  <w:style w:type="numbering" w:customStyle="1" w:styleId="Sinlista11142">
    <w:name w:val="Sin lista11142"/>
    <w:next w:val="Sinlista"/>
    <w:uiPriority w:val="99"/>
    <w:semiHidden/>
    <w:unhideWhenUsed/>
    <w:rsid w:val="00033B43"/>
  </w:style>
  <w:style w:type="numbering" w:customStyle="1" w:styleId="Sinlista2232">
    <w:name w:val="Sin lista2232"/>
    <w:next w:val="Sinlista"/>
    <w:uiPriority w:val="99"/>
    <w:semiHidden/>
    <w:unhideWhenUsed/>
    <w:rsid w:val="00033B43"/>
  </w:style>
  <w:style w:type="numbering" w:customStyle="1" w:styleId="Sinlista3232">
    <w:name w:val="Sin lista3232"/>
    <w:next w:val="Sinlista"/>
    <w:uiPriority w:val="99"/>
    <w:semiHidden/>
    <w:unhideWhenUsed/>
    <w:rsid w:val="00033B43"/>
  </w:style>
  <w:style w:type="numbering" w:customStyle="1" w:styleId="Sinlista4232">
    <w:name w:val="Sin lista4232"/>
    <w:next w:val="Sinlista"/>
    <w:uiPriority w:val="99"/>
    <w:semiHidden/>
    <w:unhideWhenUsed/>
    <w:rsid w:val="00033B43"/>
  </w:style>
  <w:style w:type="numbering" w:customStyle="1" w:styleId="Sinlista5232">
    <w:name w:val="Sin lista5232"/>
    <w:next w:val="Sinlista"/>
    <w:uiPriority w:val="99"/>
    <w:semiHidden/>
    <w:unhideWhenUsed/>
    <w:rsid w:val="00033B43"/>
  </w:style>
  <w:style w:type="numbering" w:customStyle="1" w:styleId="Sinlista111142">
    <w:name w:val="Sin lista111142"/>
    <w:next w:val="Sinlista"/>
    <w:uiPriority w:val="99"/>
    <w:semiHidden/>
    <w:unhideWhenUsed/>
    <w:rsid w:val="00033B43"/>
  </w:style>
  <w:style w:type="numbering" w:customStyle="1" w:styleId="Sinlista21142">
    <w:name w:val="Sin lista21142"/>
    <w:next w:val="Sinlista"/>
    <w:uiPriority w:val="99"/>
    <w:semiHidden/>
    <w:unhideWhenUsed/>
    <w:rsid w:val="00033B43"/>
  </w:style>
  <w:style w:type="numbering" w:customStyle="1" w:styleId="Sinlista31142">
    <w:name w:val="Sin lista31142"/>
    <w:next w:val="Sinlista"/>
    <w:uiPriority w:val="99"/>
    <w:semiHidden/>
    <w:unhideWhenUsed/>
    <w:rsid w:val="00033B43"/>
  </w:style>
  <w:style w:type="numbering" w:customStyle="1" w:styleId="Sinlista41142">
    <w:name w:val="Sin lista41142"/>
    <w:next w:val="Sinlista"/>
    <w:uiPriority w:val="99"/>
    <w:semiHidden/>
    <w:unhideWhenUsed/>
    <w:rsid w:val="00033B43"/>
  </w:style>
  <w:style w:type="numbering" w:customStyle="1" w:styleId="Sinlista51142">
    <w:name w:val="Sin lista51142"/>
    <w:next w:val="Sinlista"/>
    <w:uiPriority w:val="99"/>
    <w:semiHidden/>
    <w:unhideWhenUsed/>
    <w:rsid w:val="00033B43"/>
  </w:style>
  <w:style w:type="numbering" w:customStyle="1" w:styleId="Sinlista1111132">
    <w:name w:val="Sin lista1111132"/>
    <w:next w:val="Sinlista"/>
    <w:uiPriority w:val="99"/>
    <w:semiHidden/>
    <w:unhideWhenUsed/>
    <w:rsid w:val="00033B43"/>
  </w:style>
  <w:style w:type="numbering" w:customStyle="1" w:styleId="Sinlista211132">
    <w:name w:val="Sin lista211132"/>
    <w:next w:val="Sinlista"/>
    <w:uiPriority w:val="99"/>
    <w:semiHidden/>
    <w:unhideWhenUsed/>
    <w:rsid w:val="00033B43"/>
  </w:style>
  <w:style w:type="numbering" w:customStyle="1" w:styleId="Sinlista311132">
    <w:name w:val="Sin lista311132"/>
    <w:next w:val="Sinlista"/>
    <w:uiPriority w:val="99"/>
    <w:semiHidden/>
    <w:unhideWhenUsed/>
    <w:rsid w:val="00033B43"/>
  </w:style>
  <w:style w:type="numbering" w:customStyle="1" w:styleId="Sinlista411132">
    <w:name w:val="Sin lista411132"/>
    <w:next w:val="Sinlista"/>
    <w:uiPriority w:val="99"/>
    <w:semiHidden/>
    <w:unhideWhenUsed/>
    <w:rsid w:val="00033B43"/>
  </w:style>
  <w:style w:type="numbering" w:customStyle="1" w:styleId="Sinlista511132">
    <w:name w:val="Sin lista511132"/>
    <w:next w:val="Sinlista"/>
    <w:uiPriority w:val="99"/>
    <w:semiHidden/>
    <w:unhideWhenUsed/>
    <w:rsid w:val="00033B43"/>
  </w:style>
  <w:style w:type="numbering" w:customStyle="1" w:styleId="Estiloimportado112">
    <w:name w:val="Estilo importado 112"/>
    <w:rsid w:val="00033B43"/>
    <w:pPr>
      <w:numPr>
        <w:numId w:val="4"/>
      </w:numPr>
    </w:pPr>
  </w:style>
  <w:style w:type="numbering" w:customStyle="1" w:styleId="Estiloimportado22">
    <w:name w:val="Estilo importado 22"/>
    <w:rsid w:val="00033B43"/>
    <w:pPr>
      <w:numPr>
        <w:numId w:val="5"/>
      </w:numPr>
    </w:pPr>
  </w:style>
  <w:style w:type="numbering" w:customStyle="1" w:styleId="Estiloimportado32">
    <w:name w:val="Estilo importado 32"/>
    <w:rsid w:val="00033B43"/>
    <w:pPr>
      <w:numPr>
        <w:numId w:val="6"/>
      </w:numPr>
    </w:pPr>
  </w:style>
  <w:style w:type="numbering" w:customStyle="1" w:styleId="Estiloimportado42">
    <w:name w:val="Estilo importado 42"/>
    <w:rsid w:val="00033B43"/>
    <w:pPr>
      <w:numPr>
        <w:numId w:val="7"/>
      </w:numPr>
    </w:pPr>
  </w:style>
  <w:style w:type="numbering" w:customStyle="1" w:styleId="Estiloimportado52">
    <w:name w:val="Estilo importado 52"/>
    <w:rsid w:val="00033B43"/>
    <w:pPr>
      <w:numPr>
        <w:numId w:val="8"/>
      </w:numPr>
    </w:pPr>
  </w:style>
  <w:style w:type="numbering" w:customStyle="1" w:styleId="Estiloimportado62">
    <w:name w:val="Estilo importado 62"/>
    <w:rsid w:val="00033B43"/>
    <w:pPr>
      <w:numPr>
        <w:numId w:val="9"/>
      </w:numPr>
    </w:pPr>
  </w:style>
  <w:style w:type="numbering" w:customStyle="1" w:styleId="Estiloimportado72">
    <w:name w:val="Estilo importado 72"/>
    <w:rsid w:val="00033B43"/>
    <w:pPr>
      <w:numPr>
        <w:numId w:val="10"/>
      </w:numPr>
    </w:pPr>
  </w:style>
  <w:style w:type="numbering" w:customStyle="1" w:styleId="Estiloimportado82">
    <w:name w:val="Estilo importado 82"/>
    <w:rsid w:val="00033B43"/>
    <w:pPr>
      <w:numPr>
        <w:numId w:val="11"/>
      </w:numPr>
    </w:pPr>
  </w:style>
  <w:style w:type="numbering" w:customStyle="1" w:styleId="Estiloimportado92">
    <w:name w:val="Estilo importado 92"/>
    <w:rsid w:val="00033B43"/>
    <w:pPr>
      <w:numPr>
        <w:numId w:val="12"/>
      </w:numPr>
    </w:pPr>
  </w:style>
  <w:style w:type="numbering" w:customStyle="1" w:styleId="Estiloimportado102">
    <w:name w:val="Estilo importado 102"/>
    <w:rsid w:val="00033B43"/>
    <w:pPr>
      <w:numPr>
        <w:numId w:val="13"/>
      </w:numPr>
    </w:pPr>
  </w:style>
  <w:style w:type="numbering" w:customStyle="1" w:styleId="Estiloimportado113">
    <w:name w:val="Estilo importado 113"/>
    <w:rsid w:val="00033B43"/>
    <w:pPr>
      <w:numPr>
        <w:numId w:val="14"/>
      </w:numPr>
    </w:pPr>
  </w:style>
  <w:style w:type="numbering" w:customStyle="1" w:styleId="Estiloimportado122">
    <w:name w:val="Estilo importado 122"/>
    <w:rsid w:val="00033B43"/>
    <w:pPr>
      <w:numPr>
        <w:numId w:val="15"/>
      </w:numPr>
    </w:pPr>
  </w:style>
  <w:style w:type="numbering" w:customStyle="1" w:styleId="Estiloimportado132">
    <w:name w:val="Estilo importado 132"/>
    <w:rsid w:val="00033B43"/>
    <w:pPr>
      <w:numPr>
        <w:numId w:val="16"/>
      </w:numPr>
    </w:pPr>
  </w:style>
  <w:style w:type="numbering" w:customStyle="1" w:styleId="Estiloimportado142">
    <w:name w:val="Estilo importado 142"/>
    <w:rsid w:val="00033B43"/>
    <w:pPr>
      <w:numPr>
        <w:numId w:val="17"/>
      </w:numPr>
    </w:pPr>
  </w:style>
  <w:style w:type="numbering" w:customStyle="1" w:styleId="Estiloimportado152">
    <w:name w:val="Estilo importado 152"/>
    <w:rsid w:val="00033B43"/>
    <w:pPr>
      <w:numPr>
        <w:numId w:val="18"/>
      </w:numPr>
    </w:pPr>
  </w:style>
  <w:style w:type="numbering" w:customStyle="1" w:styleId="Estiloimportado2032">
    <w:name w:val="Estilo importado 2032"/>
    <w:rsid w:val="00033B43"/>
    <w:pPr>
      <w:numPr>
        <w:numId w:val="19"/>
      </w:numPr>
    </w:pPr>
  </w:style>
  <w:style w:type="numbering" w:customStyle="1" w:styleId="Estiloimportado162">
    <w:name w:val="Estilo importado 162"/>
    <w:rsid w:val="00033B43"/>
    <w:pPr>
      <w:numPr>
        <w:numId w:val="20"/>
      </w:numPr>
    </w:pPr>
  </w:style>
  <w:style w:type="numbering" w:customStyle="1" w:styleId="Estiloimportado172">
    <w:name w:val="Estilo importado 172"/>
    <w:rsid w:val="00033B43"/>
    <w:pPr>
      <w:numPr>
        <w:numId w:val="21"/>
      </w:numPr>
    </w:pPr>
  </w:style>
  <w:style w:type="numbering" w:customStyle="1" w:styleId="Estiloimportado182">
    <w:name w:val="Estilo importado 182"/>
    <w:rsid w:val="00033B43"/>
    <w:pPr>
      <w:numPr>
        <w:numId w:val="22"/>
      </w:numPr>
    </w:pPr>
  </w:style>
  <w:style w:type="numbering" w:customStyle="1" w:styleId="Estiloimportado192">
    <w:name w:val="Estilo importado 192"/>
    <w:rsid w:val="00033B43"/>
    <w:pPr>
      <w:numPr>
        <w:numId w:val="23"/>
      </w:numPr>
    </w:pPr>
  </w:style>
  <w:style w:type="numbering" w:customStyle="1" w:styleId="Estiloimportado202">
    <w:name w:val="Estilo importado 202"/>
    <w:rsid w:val="00033B43"/>
    <w:pPr>
      <w:numPr>
        <w:numId w:val="24"/>
      </w:numPr>
    </w:pPr>
  </w:style>
  <w:style w:type="numbering" w:customStyle="1" w:styleId="Sinlista101">
    <w:name w:val="Sin lista101"/>
    <w:next w:val="Sinlista"/>
    <w:uiPriority w:val="99"/>
    <w:semiHidden/>
    <w:unhideWhenUsed/>
    <w:rsid w:val="00033B43"/>
  </w:style>
  <w:style w:type="numbering" w:customStyle="1" w:styleId="Sinlista161">
    <w:name w:val="Sin lista161"/>
    <w:next w:val="Sinlista"/>
    <w:uiPriority w:val="99"/>
    <w:semiHidden/>
    <w:unhideWhenUsed/>
    <w:rsid w:val="00033B43"/>
  </w:style>
  <w:style w:type="numbering" w:customStyle="1" w:styleId="Sinlista261">
    <w:name w:val="Sin lista261"/>
    <w:next w:val="Sinlista"/>
    <w:uiPriority w:val="99"/>
    <w:semiHidden/>
    <w:unhideWhenUsed/>
    <w:rsid w:val="00033B43"/>
  </w:style>
  <w:style w:type="numbering" w:customStyle="1" w:styleId="Sinlista361">
    <w:name w:val="Sin lista361"/>
    <w:next w:val="Sinlista"/>
    <w:uiPriority w:val="99"/>
    <w:semiHidden/>
    <w:unhideWhenUsed/>
    <w:rsid w:val="00033B43"/>
  </w:style>
  <w:style w:type="numbering" w:customStyle="1" w:styleId="Sinlista461">
    <w:name w:val="Sin lista461"/>
    <w:next w:val="Sinlista"/>
    <w:uiPriority w:val="99"/>
    <w:semiHidden/>
    <w:unhideWhenUsed/>
    <w:rsid w:val="00033B43"/>
  </w:style>
  <w:style w:type="numbering" w:customStyle="1" w:styleId="Sinlista561">
    <w:name w:val="Sin lista561"/>
    <w:next w:val="Sinlista"/>
    <w:uiPriority w:val="99"/>
    <w:semiHidden/>
    <w:unhideWhenUsed/>
    <w:rsid w:val="00033B43"/>
  </w:style>
  <w:style w:type="numbering" w:customStyle="1" w:styleId="Sinlista1151">
    <w:name w:val="Sin lista1151"/>
    <w:next w:val="Sinlista"/>
    <w:uiPriority w:val="99"/>
    <w:semiHidden/>
    <w:unhideWhenUsed/>
    <w:rsid w:val="00033B43"/>
  </w:style>
  <w:style w:type="numbering" w:customStyle="1" w:styleId="Sinlista2151">
    <w:name w:val="Sin lista2151"/>
    <w:next w:val="Sinlista"/>
    <w:uiPriority w:val="99"/>
    <w:semiHidden/>
    <w:unhideWhenUsed/>
    <w:rsid w:val="00033B43"/>
  </w:style>
  <w:style w:type="numbering" w:customStyle="1" w:styleId="Sinlista3151">
    <w:name w:val="Sin lista3151"/>
    <w:next w:val="Sinlista"/>
    <w:uiPriority w:val="99"/>
    <w:semiHidden/>
    <w:unhideWhenUsed/>
    <w:rsid w:val="00033B43"/>
  </w:style>
  <w:style w:type="numbering" w:customStyle="1" w:styleId="Sinlista4151">
    <w:name w:val="Sin lista4151"/>
    <w:next w:val="Sinlista"/>
    <w:uiPriority w:val="99"/>
    <w:semiHidden/>
    <w:unhideWhenUsed/>
    <w:rsid w:val="00033B43"/>
  </w:style>
  <w:style w:type="numbering" w:customStyle="1" w:styleId="Sinlista5151">
    <w:name w:val="Sin lista5151"/>
    <w:next w:val="Sinlista"/>
    <w:uiPriority w:val="99"/>
    <w:semiHidden/>
    <w:unhideWhenUsed/>
    <w:rsid w:val="00033B43"/>
  </w:style>
  <w:style w:type="numbering" w:customStyle="1" w:styleId="Sinlista641">
    <w:name w:val="Sin lista641"/>
    <w:next w:val="Sinlista"/>
    <w:uiPriority w:val="99"/>
    <w:semiHidden/>
    <w:unhideWhenUsed/>
    <w:rsid w:val="00033B43"/>
  </w:style>
  <w:style w:type="numbering" w:customStyle="1" w:styleId="Sinlista1241">
    <w:name w:val="Sin lista1241"/>
    <w:next w:val="Sinlista"/>
    <w:uiPriority w:val="99"/>
    <w:semiHidden/>
    <w:unhideWhenUsed/>
    <w:rsid w:val="00033B43"/>
  </w:style>
  <w:style w:type="numbering" w:customStyle="1" w:styleId="Sinlista11151">
    <w:name w:val="Sin lista11151"/>
    <w:next w:val="Sinlista"/>
    <w:uiPriority w:val="99"/>
    <w:semiHidden/>
    <w:unhideWhenUsed/>
    <w:rsid w:val="00033B43"/>
  </w:style>
  <w:style w:type="numbering" w:customStyle="1" w:styleId="Sinlista2241">
    <w:name w:val="Sin lista2241"/>
    <w:next w:val="Sinlista"/>
    <w:uiPriority w:val="99"/>
    <w:semiHidden/>
    <w:unhideWhenUsed/>
    <w:rsid w:val="00033B43"/>
  </w:style>
  <w:style w:type="numbering" w:customStyle="1" w:styleId="Sinlista3241">
    <w:name w:val="Sin lista3241"/>
    <w:next w:val="Sinlista"/>
    <w:uiPriority w:val="99"/>
    <w:semiHidden/>
    <w:unhideWhenUsed/>
    <w:rsid w:val="00033B43"/>
  </w:style>
  <w:style w:type="numbering" w:customStyle="1" w:styleId="Sinlista4241">
    <w:name w:val="Sin lista4241"/>
    <w:next w:val="Sinlista"/>
    <w:uiPriority w:val="99"/>
    <w:semiHidden/>
    <w:unhideWhenUsed/>
    <w:rsid w:val="00033B43"/>
  </w:style>
  <w:style w:type="numbering" w:customStyle="1" w:styleId="Sinlista5241">
    <w:name w:val="Sin lista5241"/>
    <w:next w:val="Sinlista"/>
    <w:uiPriority w:val="99"/>
    <w:semiHidden/>
    <w:unhideWhenUsed/>
    <w:rsid w:val="00033B43"/>
  </w:style>
  <w:style w:type="numbering" w:customStyle="1" w:styleId="Sinlista111151">
    <w:name w:val="Sin lista111151"/>
    <w:next w:val="Sinlista"/>
    <w:uiPriority w:val="99"/>
    <w:semiHidden/>
    <w:unhideWhenUsed/>
    <w:rsid w:val="00033B43"/>
  </w:style>
  <w:style w:type="numbering" w:customStyle="1" w:styleId="Sinlista21151">
    <w:name w:val="Sin lista21151"/>
    <w:next w:val="Sinlista"/>
    <w:uiPriority w:val="99"/>
    <w:semiHidden/>
    <w:unhideWhenUsed/>
    <w:rsid w:val="00033B43"/>
  </w:style>
  <w:style w:type="numbering" w:customStyle="1" w:styleId="Sinlista31151">
    <w:name w:val="Sin lista31151"/>
    <w:next w:val="Sinlista"/>
    <w:uiPriority w:val="99"/>
    <w:semiHidden/>
    <w:unhideWhenUsed/>
    <w:rsid w:val="00033B43"/>
  </w:style>
  <w:style w:type="numbering" w:customStyle="1" w:styleId="Sinlista41151">
    <w:name w:val="Sin lista41151"/>
    <w:next w:val="Sinlista"/>
    <w:uiPriority w:val="99"/>
    <w:semiHidden/>
    <w:unhideWhenUsed/>
    <w:rsid w:val="00033B43"/>
  </w:style>
  <w:style w:type="numbering" w:customStyle="1" w:styleId="Sinlista51151">
    <w:name w:val="Sin lista51151"/>
    <w:next w:val="Sinlista"/>
    <w:uiPriority w:val="99"/>
    <w:semiHidden/>
    <w:unhideWhenUsed/>
    <w:rsid w:val="00033B43"/>
  </w:style>
  <w:style w:type="numbering" w:customStyle="1" w:styleId="Sinlista1111141">
    <w:name w:val="Sin lista1111141"/>
    <w:next w:val="Sinlista"/>
    <w:uiPriority w:val="99"/>
    <w:semiHidden/>
    <w:unhideWhenUsed/>
    <w:rsid w:val="00033B43"/>
  </w:style>
  <w:style w:type="numbering" w:customStyle="1" w:styleId="Sinlista211141">
    <w:name w:val="Sin lista211141"/>
    <w:next w:val="Sinlista"/>
    <w:uiPriority w:val="99"/>
    <w:semiHidden/>
    <w:unhideWhenUsed/>
    <w:rsid w:val="00033B43"/>
  </w:style>
  <w:style w:type="numbering" w:customStyle="1" w:styleId="Sinlista311141">
    <w:name w:val="Sin lista311141"/>
    <w:next w:val="Sinlista"/>
    <w:uiPriority w:val="99"/>
    <w:semiHidden/>
    <w:unhideWhenUsed/>
    <w:rsid w:val="00033B43"/>
  </w:style>
  <w:style w:type="numbering" w:customStyle="1" w:styleId="Sinlista411141">
    <w:name w:val="Sin lista411141"/>
    <w:next w:val="Sinlista"/>
    <w:uiPriority w:val="99"/>
    <w:semiHidden/>
    <w:unhideWhenUsed/>
    <w:rsid w:val="00033B43"/>
  </w:style>
  <w:style w:type="numbering" w:customStyle="1" w:styleId="Sinlista511141">
    <w:name w:val="Sin lista511141"/>
    <w:next w:val="Sinlista"/>
    <w:uiPriority w:val="99"/>
    <w:semiHidden/>
    <w:unhideWhenUsed/>
    <w:rsid w:val="00033B43"/>
  </w:style>
  <w:style w:type="numbering" w:customStyle="1" w:styleId="Sinlista721">
    <w:name w:val="Sin lista721"/>
    <w:next w:val="Sinlista"/>
    <w:uiPriority w:val="99"/>
    <w:semiHidden/>
    <w:unhideWhenUsed/>
    <w:rsid w:val="00033B43"/>
  </w:style>
  <w:style w:type="numbering" w:customStyle="1" w:styleId="Sinlista1321">
    <w:name w:val="Sin lista1321"/>
    <w:next w:val="Sinlista"/>
    <w:uiPriority w:val="99"/>
    <w:semiHidden/>
    <w:unhideWhenUsed/>
    <w:rsid w:val="00033B43"/>
  </w:style>
  <w:style w:type="numbering" w:customStyle="1" w:styleId="Sinlista2321">
    <w:name w:val="Sin lista2321"/>
    <w:next w:val="Sinlista"/>
    <w:uiPriority w:val="99"/>
    <w:semiHidden/>
    <w:unhideWhenUsed/>
    <w:rsid w:val="00033B43"/>
  </w:style>
  <w:style w:type="numbering" w:customStyle="1" w:styleId="Sinlista3321">
    <w:name w:val="Sin lista3321"/>
    <w:next w:val="Sinlista"/>
    <w:uiPriority w:val="99"/>
    <w:semiHidden/>
    <w:unhideWhenUsed/>
    <w:rsid w:val="00033B43"/>
  </w:style>
  <w:style w:type="numbering" w:customStyle="1" w:styleId="Sinlista4321">
    <w:name w:val="Sin lista4321"/>
    <w:next w:val="Sinlista"/>
    <w:uiPriority w:val="99"/>
    <w:semiHidden/>
    <w:unhideWhenUsed/>
    <w:rsid w:val="00033B43"/>
  </w:style>
  <w:style w:type="numbering" w:customStyle="1" w:styleId="Sinlista5321">
    <w:name w:val="Sin lista5321"/>
    <w:next w:val="Sinlista"/>
    <w:uiPriority w:val="99"/>
    <w:semiHidden/>
    <w:unhideWhenUsed/>
    <w:rsid w:val="00033B43"/>
  </w:style>
  <w:style w:type="numbering" w:customStyle="1" w:styleId="Sinlista11221">
    <w:name w:val="Sin lista11221"/>
    <w:next w:val="Sinlista"/>
    <w:uiPriority w:val="99"/>
    <w:semiHidden/>
    <w:unhideWhenUsed/>
    <w:rsid w:val="00033B43"/>
  </w:style>
  <w:style w:type="numbering" w:customStyle="1" w:styleId="Sinlista21221">
    <w:name w:val="Sin lista21221"/>
    <w:next w:val="Sinlista"/>
    <w:uiPriority w:val="99"/>
    <w:semiHidden/>
    <w:unhideWhenUsed/>
    <w:rsid w:val="00033B43"/>
  </w:style>
  <w:style w:type="numbering" w:customStyle="1" w:styleId="Sinlista31221">
    <w:name w:val="Sin lista31221"/>
    <w:next w:val="Sinlista"/>
    <w:uiPriority w:val="99"/>
    <w:semiHidden/>
    <w:unhideWhenUsed/>
    <w:rsid w:val="00033B43"/>
  </w:style>
  <w:style w:type="numbering" w:customStyle="1" w:styleId="Sinlista41221">
    <w:name w:val="Sin lista41221"/>
    <w:next w:val="Sinlista"/>
    <w:uiPriority w:val="99"/>
    <w:semiHidden/>
    <w:unhideWhenUsed/>
    <w:rsid w:val="00033B43"/>
  </w:style>
  <w:style w:type="numbering" w:customStyle="1" w:styleId="Sinlista51221">
    <w:name w:val="Sin lista51221"/>
    <w:next w:val="Sinlista"/>
    <w:uiPriority w:val="99"/>
    <w:semiHidden/>
    <w:unhideWhenUsed/>
    <w:rsid w:val="00033B43"/>
  </w:style>
  <w:style w:type="numbering" w:customStyle="1" w:styleId="Sinlista6121">
    <w:name w:val="Sin lista6121"/>
    <w:next w:val="Sinlista"/>
    <w:uiPriority w:val="99"/>
    <w:semiHidden/>
    <w:unhideWhenUsed/>
    <w:rsid w:val="00033B43"/>
  </w:style>
  <w:style w:type="numbering" w:customStyle="1" w:styleId="Sinlista12121">
    <w:name w:val="Sin lista12121"/>
    <w:next w:val="Sinlista"/>
    <w:uiPriority w:val="99"/>
    <w:semiHidden/>
    <w:unhideWhenUsed/>
    <w:rsid w:val="00033B43"/>
  </w:style>
  <w:style w:type="numbering" w:customStyle="1" w:styleId="Sinlista111221">
    <w:name w:val="Sin lista111221"/>
    <w:next w:val="Sinlista"/>
    <w:uiPriority w:val="99"/>
    <w:semiHidden/>
    <w:unhideWhenUsed/>
    <w:rsid w:val="00033B43"/>
  </w:style>
  <w:style w:type="numbering" w:customStyle="1" w:styleId="Sinlista22121">
    <w:name w:val="Sin lista22121"/>
    <w:next w:val="Sinlista"/>
    <w:uiPriority w:val="99"/>
    <w:semiHidden/>
    <w:unhideWhenUsed/>
    <w:rsid w:val="00033B43"/>
  </w:style>
  <w:style w:type="numbering" w:customStyle="1" w:styleId="Sinlista32121">
    <w:name w:val="Sin lista32121"/>
    <w:next w:val="Sinlista"/>
    <w:uiPriority w:val="99"/>
    <w:semiHidden/>
    <w:unhideWhenUsed/>
    <w:rsid w:val="00033B43"/>
  </w:style>
  <w:style w:type="numbering" w:customStyle="1" w:styleId="Sinlista42121">
    <w:name w:val="Sin lista42121"/>
    <w:next w:val="Sinlista"/>
    <w:uiPriority w:val="99"/>
    <w:semiHidden/>
    <w:unhideWhenUsed/>
    <w:rsid w:val="00033B43"/>
  </w:style>
  <w:style w:type="numbering" w:customStyle="1" w:styleId="Sinlista52121">
    <w:name w:val="Sin lista52121"/>
    <w:next w:val="Sinlista"/>
    <w:uiPriority w:val="99"/>
    <w:semiHidden/>
    <w:unhideWhenUsed/>
    <w:rsid w:val="00033B43"/>
  </w:style>
  <w:style w:type="numbering" w:customStyle="1" w:styleId="Sinlista1111221">
    <w:name w:val="Sin lista1111221"/>
    <w:next w:val="Sinlista"/>
    <w:uiPriority w:val="99"/>
    <w:semiHidden/>
    <w:unhideWhenUsed/>
    <w:rsid w:val="00033B43"/>
  </w:style>
  <w:style w:type="numbering" w:customStyle="1" w:styleId="Sinlista211221">
    <w:name w:val="Sin lista211221"/>
    <w:next w:val="Sinlista"/>
    <w:uiPriority w:val="99"/>
    <w:semiHidden/>
    <w:unhideWhenUsed/>
    <w:rsid w:val="00033B43"/>
  </w:style>
  <w:style w:type="numbering" w:customStyle="1" w:styleId="Sinlista311221">
    <w:name w:val="Sin lista311221"/>
    <w:next w:val="Sinlista"/>
    <w:uiPriority w:val="99"/>
    <w:semiHidden/>
    <w:unhideWhenUsed/>
    <w:rsid w:val="00033B43"/>
  </w:style>
  <w:style w:type="numbering" w:customStyle="1" w:styleId="Sinlista411221">
    <w:name w:val="Sin lista411221"/>
    <w:next w:val="Sinlista"/>
    <w:uiPriority w:val="99"/>
    <w:semiHidden/>
    <w:unhideWhenUsed/>
    <w:rsid w:val="00033B43"/>
  </w:style>
  <w:style w:type="numbering" w:customStyle="1" w:styleId="Sinlista511221">
    <w:name w:val="Sin lista511221"/>
    <w:next w:val="Sinlista"/>
    <w:uiPriority w:val="99"/>
    <w:semiHidden/>
    <w:unhideWhenUsed/>
    <w:rsid w:val="00033B43"/>
  </w:style>
  <w:style w:type="numbering" w:customStyle="1" w:styleId="Sinlista11111121">
    <w:name w:val="Sin lista11111121"/>
    <w:next w:val="Sinlista"/>
    <w:uiPriority w:val="99"/>
    <w:semiHidden/>
    <w:unhideWhenUsed/>
    <w:rsid w:val="00033B43"/>
  </w:style>
  <w:style w:type="numbering" w:customStyle="1" w:styleId="Sinlista2111121">
    <w:name w:val="Sin lista2111121"/>
    <w:next w:val="Sinlista"/>
    <w:uiPriority w:val="99"/>
    <w:semiHidden/>
    <w:unhideWhenUsed/>
    <w:rsid w:val="00033B43"/>
  </w:style>
  <w:style w:type="numbering" w:customStyle="1" w:styleId="Sinlista3111121">
    <w:name w:val="Sin lista3111121"/>
    <w:next w:val="Sinlista"/>
    <w:uiPriority w:val="99"/>
    <w:semiHidden/>
    <w:unhideWhenUsed/>
    <w:rsid w:val="00033B43"/>
  </w:style>
  <w:style w:type="numbering" w:customStyle="1" w:styleId="Sinlista4111121">
    <w:name w:val="Sin lista4111121"/>
    <w:next w:val="Sinlista"/>
    <w:uiPriority w:val="99"/>
    <w:semiHidden/>
    <w:unhideWhenUsed/>
    <w:rsid w:val="00033B43"/>
  </w:style>
  <w:style w:type="numbering" w:customStyle="1" w:styleId="Sinlista5111121">
    <w:name w:val="Sin lista5111121"/>
    <w:next w:val="Sinlista"/>
    <w:uiPriority w:val="99"/>
    <w:semiHidden/>
    <w:unhideWhenUsed/>
    <w:rsid w:val="00033B43"/>
  </w:style>
  <w:style w:type="numbering" w:customStyle="1" w:styleId="Sinlista811">
    <w:name w:val="Sin lista811"/>
    <w:next w:val="Sinlista"/>
    <w:uiPriority w:val="99"/>
    <w:semiHidden/>
    <w:unhideWhenUsed/>
    <w:rsid w:val="00033B43"/>
  </w:style>
  <w:style w:type="numbering" w:customStyle="1" w:styleId="Sinlista1411">
    <w:name w:val="Sin lista1411"/>
    <w:next w:val="Sinlista"/>
    <w:uiPriority w:val="99"/>
    <w:semiHidden/>
    <w:unhideWhenUsed/>
    <w:rsid w:val="00033B43"/>
  </w:style>
  <w:style w:type="numbering" w:customStyle="1" w:styleId="Sinlista2411">
    <w:name w:val="Sin lista2411"/>
    <w:next w:val="Sinlista"/>
    <w:uiPriority w:val="99"/>
    <w:semiHidden/>
    <w:unhideWhenUsed/>
    <w:rsid w:val="00033B43"/>
  </w:style>
  <w:style w:type="numbering" w:customStyle="1" w:styleId="Sinlista3411">
    <w:name w:val="Sin lista3411"/>
    <w:next w:val="Sinlista"/>
    <w:uiPriority w:val="99"/>
    <w:semiHidden/>
    <w:unhideWhenUsed/>
    <w:rsid w:val="00033B43"/>
  </w:style>
  <w:style w:type="numbering" w:customStyle="1" w:styleId="Sinlista4411">
    <w:name w:val="Sin lista4411"/>
    <w:next w:val="Sinlista"/>
    <w:uiPriority w:val="99"/>
    <w:semiHidden/>
    <w:unhideWhenUsed/>
    <w:rsid w:val="00033B43"/>
  </w:style>
  <w:style w:type="numbering" w:customStyle="1" w:styleId="Sinlista5411">
    <w:name w:val="Sin lista5411"/>
    <w:next w:val="Sinlista"/>
    <w:uiPriority w:val="99"/>
    <w:semiHidden/>
    <w:unhideWhenUsed/>
    <w:rsid w:val="00033B43"/>
  </w:style>
  <w:style w:type="numbering" w:customStyle="1" w:styleId="Sinlista11311">
    <w:name w:val="Sin lista11311"/>
    <w:next w:val="Sinlista"/>
    <w:uiPriority w:val="99"/>
    <w:semiHidden/>
    <w:unhideWhenUsed/>
    <w:rsid w:val="00033B43"/>
  </w:style>
  <w:style w:type="numbering" w:customStyle="1" w:styleId="Sinlista21311">
    <w:name w:val="Sin lista21311"/>
    <w:next w:val="Sinlista"/>
    <w:uiPriority w:val="99"/>
    <w:semiHidden/>
    <w:unhideWhenUsed/>
    <w:rsid w:val="00033B43"/>
  </w:style>
  <w:style w:type="numbering" w:customStyle="1" w:styleId="Sinlista31311">
    <w:name w:val="Sin lista31311"/>
    <w:next w:val="Sinlista"/>
    <w:uiPriority w:val="99"/>
    <w:semiHidden/>
    <w:unhideWhenUsed/>
    <w:rsid w:val="00033B43"/>
  </w:style>
  <w:style w:type="numbering" w:customStyle="1" w:styleId="Sinlista41311">
    <w:name w:val="Sin lista41311"/>
    <w:next w:val="Sinlista"/>
    <w:uiPriority w:val="99"/>
    <w:semiHidden/>
    <w:unhideWhenUsed/>
    <w:rsid w:val="00033B43"/>
  </w:style>
  <w:style w:type="numbering" w:customStyle="1" w:styleId="Sinlista51311">
    <w:name w:val="Sin lista51311"/>
    <w:next w:val="Sinlista"/>
    <w:uiPriority w:val="99"/>
    <w:semiHidden/>
    <w:unhideWhenUsed/>
    <w:rsid w:val="00033B43"/>
  </w:style>
  <w:style w:type="numbering" w:customStyle="1" w:styleId="Sinlista6211">
    <w:name w:val="Sin lista6211"/>
    <w:next w:val="Sinlista"/>
    <w:uiPriority w:val="99"/>
    <w:semiHidden/>
    <w:unhideWhenUsed/>
    <w:rsid w:val="00033B43"/>
  </w:style>
  <w:style w:type="numbering" w:customStyle="1" w:styleId="Sinlista12211">
    <w:name w:val="Sin lista12211"/>
    <w:next w:val="Sinlista"/>
    <w:uiPriority w:val="99"/>
    <w:semiHidden/>
    <w:unhideWhenUsed/>
    <w:rsid w:val="00033B43"/>
  </w:style>
  <w:style w:type="numbering" w:customStyle="1" w:styleId="Sinlista111311">
    <w:name w:val="Sin lista111311"/>
    <w:next w:val="Sinlista"/>
    <w:uiPriority w:val="99"/>
    <w:semiHidden/>
    <w:unhideWhenUsed/>
    <w:rsid w:val="00033B43"/>
  </w:style>
  <w:style w:type="numbering" w:customStyle="1" w:styleId="Sinlista22211">
    <w:name w:val="Sin lista22211"/>
    <w:next w:val="Sinlista"/>
    <w:uiPriority w:val="99"/>
    <w:semiHidden/>
    <w:unhideWhenUsed/>
    <w:rsid w:val="00033B43"/>
  </w:style>
  <w:style w:type="numbering" w:customStyle="1" w:styleId="Sinlista32211">
    <w:name w:val="Sin lista32211"/>
    <w:next w:val="Sinlista"/>
    <w:uiPriority w:val="99"/>
    <w:semiHidden/>
    <w:unhideWhenUsed/>
    <w:rsid w:val="00033B43"/>
  </w:style>
  <w:style w:type="numbering" w:customStyle="1" w:styleId="Sinlista42211">
    <w:name w:val="Sin lista42211"/>
    <w:next w:val="Sinlista"/>
    <w:uiPriority w:val="99"/>
    <w:semiHidden/>
    <w:unhideWhenUsed/>
    <w:rsid w:val="00033B43"/>
  </w:style>
  <w:style w:type="numbering" w:customStyle="1" w:styleId="Sinlista52211">
    <w:name w:val="Sin lista52211"/>
    <w:next w:val="Sinlista"/>
    <w:uiPriority w:val="99"/>
    <w:semiHidden/>
    <w:unhideWhenUsed/>
    <w:rsid w:val="00033B43"/>
  </w:style>
  <w:style w:type="numbering" w:customStyle="1" w:styleId="Sinlista1111311">
    <w:name w:val="Sin lista1111311"/>
    <w:next w:val="Sinlista"/>
    <w:uiPriority w:val="99"/>
    <w:semiHidden/>
    <w:unhideWhenUsed/>
    <w:rsid w:val="00033B43"/>
  </w:style>
  <w:style w:type="numbering" w:customStyle="1" w:styleId="Sinlista211311">
    <w:name w:val="Sin lista211311"/>
    <w:next w:val="Sinlista"/>
    <w:uiPriority w:val="99"/>
    <w:semiHidden/>
    <w:unhideWhenUsed/>
    <w:rsid w:val="00033B43"/>
  </w:style>
  <w:style w:type="numbering" w:customStyle="1" w:styleId="Sinlista311311">
    <w:name w:val="Sin lista311311"/>
    <w:next w:val="Sinlista"/>
    <w:uiPriority w:val="99"/>
    <w:semiHidden/>
    <w:unhideWhenUsed/>
    <w:rsid w:val="00033B43"/>
  </w:style>
  <w:style w:type="numbering" w:customStyle="1" w:styleId="Sinlista411311">
    <w:name w:val="Sin lista411311"/>
    <w:next w:val="Sinlista"/>
    <w:uiPriority w:val="99"/>
    <w:semiHidden/>
    <w:unhideWhenUsed/>
    <w:rsid w:val="00033B43"/>
  </w:style>
  <w:style w:type="numbering" w:customStyle="1" w:styleId="Sinlista511311">
    <w:name w:val="Sin lista511311"/>
    <w:next w:val="Sinlista"/>
    <w:uiPriority w:val="99"/>
    <w:semiHidden/>
    <w:unhideWhenUsed/>
    <w:rsid w:val="00033B43"/>
  </w:style>
  <w:style w:type="numbering" w:customStyle="1" w:styleId="Sinlista11111211">
    <w:name w:val="Sin lista11111211"/>
    <w:next w:val="Sinlista"/>
    <w:uiPriority w:val="99"/>
    <w:semiHidden/>
    <w:unhideWhenUsed/>
    <w:rsid w:val="00033B43"/>
  </w:style>
  <w:style w:type="numbering" w:customStyle="1" w:styleId="Sinlista2111211">
    <w:name w:val="Sin lista2111211"/>
    <w:next w:val="Sinlista"/>
    <w:uiPriority w:val="99"/>
    <w:semiHidden/>
    <w:unhideWhenUsed/>
    <w:rsid w:val="00033B43"/>
  </w:style>
  <w:style w:type="numbering" w:customStyle="1" w:styleId="Sinlista3111211">
    <w:name w:val="Sin lista3111211"/>
    <w:next w:val="Sinlista"/>
    <w:uiPriority w:val="99"/>
    <w:semiHidden/>
    <w:unhideWhenUsed/>
    <w:rsid w:val="00033B43"/>
  </w:style>
  <w:style w:type="numbering" w:customStyle="1" w:styleId="Sinlista4111211">
    <w:name w:val="Sin lista4111211"/>
    <w:next w:val="Sinlista"/>
    <w:uiPriority w:val="99"/>
    <w:semiHidden/>
    <w:unhideWhenUsed/>
    <w:rsid w:val="00033B43"/>
  </w:style>
  <w:style w:type="numbering" w:customStyle="1" w:styleId="Sinlista5111211">
    <w:name w:val="Sin lista5111211"/>
    <w:next w:val="Sinlista"/>
    <w:uiPriority w:val="99"/>
    <w:semiHidden/>
    <w:unhideWhenUsed/>
    <w:rsid w:val="00033B43"/>
  </w:style>
  <w:style w:type="numbering" w:customStyle="1" w:styleId="Sinlista911">
    <w:name w:val="Sin lista911"/>
    <w:next w:val="Sinlista"/>
    <w:uiPriority w:val="99"/>
    <w:semiHidden/>
    <w:unhideWhenUsed/>
    <w:rsid w:val="00033B43"/>
  </w:style>
  <w:style w:type="numbering" w:customStyle="1" w:styleId="Sinlista1511">
    <w:name w:val="Sin lista1511"/>
    <w:next w:val="Sinlista"/>
    <w:uiPriority w:val="99"/>
    <w:semiHidden/>
    <w:unhideWhenUsed/>
    <w:rsid w:val="00033B43"/>
  </w:style>
  <w:style w:type="numbering" w:customStyle="1" w:styleId="Sinlista2511">
    <w:name w:val="Sin lista2511"/>
    <w:next w:val="Sinlista"/>
    <w:uiPriority w:val="99"/>
    <w:semiHidden/>
    <w:unhideWhenUsed/>
    <w:rsid w:val="00033B43"/>
  </w:style>
  <w:style w:type="numbering" w:customStyle="1" w:styleId="Sinlista3511">
    <w:name w:val="Sin lista3511"/>
    <w:next w:val="Sinlista"/>
    <w:uiPriority w:val="99"/>
    <w:semiHidden/>
    <w:unhideWhenUsed/>
    <w:rsid w:val="00033B43"/>
  </w:style>
  <w:style w:type="numbering" w:customStyle="1" w:styleId="Sinlista4511">
    <w:name w:val="Sin lista4511"/>
    <w:next w:val="Sinlista"/>
    <w:uiPriority w:val="99"/>
    <w:semiHidden/>
    <w:unhideWhenUsed/>
    <w:rsid w:val="00033B43"/>
  </w:style>
  <w:style w:type="numbering" w:customStyle="1" w:styleId="Sinlista5511">
    <w:name w:val="Sin lista5511"/>
    <w:next w:val="Sinlista"/>
    <w:uiPriority w:val="99"/>
    <w:semiHidden/>
    <w:unhideWhenUsed/>
    <w:rsid w:val="00033B43"/>
  </w:style>
  <w:style w:type="numbering" w:customStyle="1" w:styleId="Sinlista11411">
    <w:name w:val="Sin lista11411"/>
    <w:next w:val="Sinlista"/>
    <w:uiPriority w:val="99"/>
    <w:semiHidden/>
    <w:unhideWhenUsed/>
    <w:rsid w:val="00033B43"/>
  </w:style>
  <w:style w:type="numbering" w:customStyle="1" w:styleId="Sinlista21411">
    <w:name w:val="Sin lista21411"/>
    <w:next w:val="Sinlista"/>
    <w:uiPriority w:val="99"/>
    <w:semiHidden/>
    <w:unhideWhenUsed/>
    <w:rsid w:val="00033B43"/>
  </w:style>
  <w:style w:type="numbering" w:customStyle="1" w:styleId="Sinlista31411">
    <w:name w:val="Sin lista31411"/>
    <w:next w:val="Sinlista"/>
    <w:uiPriority w:val="99"/>
    <w:semiHidden/>
    <w:unhideWhenUsed/>
    <w:rsid w:val="00033B43"/>
  </w:style>
  <w:style w:type="numbering" w:customStyle="1" w:styleId="Sinlista41411">
    <w:name w:val="Sin lista41411"/>
    <w:next w:val="Sinlista"/>
    <w:uiPriority w:val="99"/>
    <w:semiHidden/>
    <w:unhideWhenUsed/>
    <w:rsid w:val="00033B43"/>
  </w:style>
  <w:style w:type="numbering" w:customStyle="1" w:styleId="Sinlista51411">
    <w:name w:val="Sin lista51411"/>
    <w:next w:val="Sinlista"/>
    <w:uiPriority w:val="99"/>
    <w:semiHidden/>
    <w:unhideWhenUsed/>
    <w:rsid w:val="00033B43"/>
  </w:style>
  <w:style w:type="numbering" w:customStyle="1" w:styleId="Sinlista6311">
    <w:name w:val="Sin lista6311"/>
    <w:next w:val="Sinlista"/>
    <w:uiPriority w:val="99"/>
    <w:semiHidden/>
    <w:unhideWhenUsed/>
    <w:rsid w:val="00033B43"/>
  </w:style>
  <w:style w:type="numbering" w:customStyle="1" w:styleId="Sinlista12311">
    <w:name w:val="Sin lista12311"/>
    <w:next w:val="Sinlista"/>
    <w:uiPriority w:val="99"/>
    <w:semiHidden/>
    <w:unhideWhenUsed/>
    <w:rsid w:val="00033B43"/>
  </w:style>
  <w:style w:type="numbering" w:customStyle="1" w:styleId="Sinlista111411">
    <w:name w:val="Sin lista111411"/>
    <w:next w:val="Sinlista"/>
    <w:uiPriority w:val="99"/>
    <w:semiHidden/>
    <w:unhideWhenUsed/>
    <w:rsid w:val="00033B43"/>
  </w:style>
  <w:style w:type="numbering" w:customStyle="1" w:styleId="Sinlista22311">
    <w:name w:val="Sin lista22311"/>
    <w:next w:val="Sinlista"/>
    <w:uiPriority w:val="99"/>
    <w:semiHidden/>
    <w:unhideWhenUsed/>
    <w:rsid w:val="00033B43"/>
  </w:style>
  <w:style w:type="numbering" w:customStyle="1" w:styleId="Sinlista32311">
    <w:name w:val="Sin lista32311"/>
    <w:next w:val="Sinlista"/>
    <w:uiPriority w:val="99"/>
    <w:semiHidden/>
    <w:unhideWhenUsed/>
    <w:rsid w:val="00033B43"/>
  </w:style>
  <w:style w:type="numbering" w:customStyle="1" w:styleId="Sinlista42311">
    <w:name w:val="Sin lista42311"/>
    <w:next w:val="Sinlista"/>
    <w:uiPriority w:val="99"/>
    <w:semiHidden/>
    <w:unhideWhenUsed/>
    <w:rsid w:val="00033B43"/>
  </w:style>
  <w:style w:type="numbering" w:customStyle="1" w:styleId="Sinlista52311">
    <w:name w:val="Sin lista52311"/>
    <w:next w:val="Sinlista"/>
    <w:uiPriority w:val="99"/>
    <w:semiHidden/>
    <w:unhideWhenUsed/>
    <w:rsid w:val="00033B43"/>
  </w:style>
  <w:style w:type="numbering" w:customStyle="1" w:styleId="Sinlista1111411">
    <w:name w:val="Sin lista1111411"/>
    <w:next w:val="Sinlista"/>
    <w:uiPriority w:val="99"/>
    <w:semiHidden/>
    <w:unhideWhenUsed/>
    <w:rsid w:val="00033B43"/>
  </w:style>
  <w:style w:type="numbering" w:customStyle="1" w:styleId="Sinlista211411">
    <w:name w:val="Sin lista211411"/>
    <w:next w:val="Sinlista"/>
    <w:uiPriority w:val="99"/>
    <w:semiHidden/>
    <w:unhideWhenUsed/>
    <w:rsid w:val="00033B43"/>
  </w:style>
  <w:style w:type="numbering" w:customStyle="1" w:styleId="Sinlista311411">
    <w:name w:val="Sin lista311411"/>
    <w:next w:val="Sinlista"/>
    <w:uiPriority w:val="99"/>
    <w:semiHidden/>
    <w:unhideWhenUsed/>
    <w:rsid w:val="00033B43"/>
  </w:style>
  <w:style w:type="numbering" w:customStyle="1" w:styleId="Sinlista411411">
    <w:name w:val="Sin lista411411"/>
    <w:next w:val="Sinlista"/>
    <w:uiPriority w:val="99"/>
    <w:semiHidden/>
    <w:unhideWhenUsed/>
    <w:rsid w:val="00033B43"/>
  </w:style>
  <w:style w:type="numbering" w:customStyle="1" w:styleId="Sinlista511411">
    <w:name w:val="Sin lista511411"/>
    <w:next w:val="Sinlista"/>
    <w:uiPriority w:val="99"/>
    <w:semiHidden/>
    <w:unhideWhenUsed/>
    <w:rsid w:val="00033B43"/>
  </w:style>
  <w:style w:type="numbering" w:customStyle="1" w:styleId="Sinlista11111311">
    <w:name w:val="Sin lista11111311"/>
    <w:next w:val="Sinlista"/>
    <w:uiPriority w:val="99"/>
    <w:semiHidden/>
    <w:unhideWhenUsed/>
    <w:rsid w:val="00033B43"/>
  </w:style>
  <w:style w:type="numbering" w:customStyle="1" w:styleId="Sinlista2111311">
    <w:name w:val="Sin lista2111311"/>
    <w:next w:val="Sinlista"/>
    <w:uiPriority w:val="99"/>
    <w:semiHidden/>
    <w:unhideWhenUsed/>
    <w:rsid w:val="00033B43"/>
  </w:style>
  <w:style w:type="numbering" w:customStyle="1" w:styleId="Sinlista3111311">
    <w:name w:val="Sin lista3111311"/>
    <w:next w:val="Sinlista"/>
    <w:uiPriority w:val="99"/>
    <w:semiHidden/>
    <w:unhideWhenUsed/>
    <w:rsid w:val="00033B43"/>
  </w:style>
  <w:style w:type="numbering" w:customStyle="1" w:styleId="Sinlista4111311">
    <w:name w:val="Sin lista4111311"/>
    <w:next w:val="Sinlista"/>
    <w:uiPriority w:val="99"/>
    <w:semiHidden/>
    <w:unhideWhenUsed/>
    <w:rsid w:val="00033B43"/>
  </w:style>
  <w:style w:type="numbering" w:customStyle="1" w:styleId="Sinlista5111311">
    <w:name w:val="Sin lista5111311"/>
    <w:next w:val="Sinlista"/>
    <w:uiPriority w:val="99"/>
    <w:semiHidden/>
    <w:unhideWhenUsed/>
    <w:rsid w:val="00033B43"/>
  </w:style>
  <w:style w:type="numbering" w:customStyle="1" w:styleId="Sinlista7111">
    <w:name w:val="Sin lista7111"/>
    <w:next w:val="Sinlista"/>
    <w:uiPriority w:val="99"/>
    <w:semiHidden/>
    <w:unhideWhenUsed/>
    <w:rsid w:val="00033B43"/>
  </w:style>
  <w:style w:type="numbering" w:customStyle="1" w:styleId="Sinlista13111">
    <w:name w:val="Sin lista13111"/>
    <w:next w:val="Sinlista"/>
    <w:uiPriority w:val="99"/>
    <w:semiHidden/>
    <w:unhideWhenUsed/>
    <w:rsid w:val="00033B43"/>
  </w:style>
  <w:style w:type="numbering" w:customStyle="1" w:styleId="Sinlista23111">
    <w:name w:val="Sin lista23111"/>
    <w:next w:val="Sinlista"/>
    <w:uiPriority w:val="99"/>
    <w:semiHidden/>
    <w:unhideWhenUsed/>
    <w:rsid w:val="00033B43"/>
  </w:style>
  <w:style w:type="numbering" w:customStyle="1" w:styleId="Sinlista33111">
    <w:name w:val="Sin lista33111"/>
    <w:next w:val="Sinlista"/>
    <w:uiPriority w:val="99"/>
    <w:semiHidden/>
    <w:unhideWhenUsed/>
    <w:rsid w:val="00033B43"/>
  </w:style>
  <w:style w:type="numbering" w:customStyle="1" w:styleId="Sinlista43111">
    <w:name w:val="Sin lista43111"/>
    <w:next w:val="Sinlista"/>
    <w:uiPriority w:val="99"/>
    <w:semiHidden/>
    <w:unhideWhenUsed/>
    <w:rsid w:val="00033B43"/>
  </w:style>
  <w:style w:type="numbering" w:customStyle="1" w:styleId="Sinlista53111">
    <w:name w:val="Sin lista53111"/>
    <w:next w:val="Sinlista"/>
    <w:uiPriority w:val="99"/>
    <w:semiHidden/>
    <w:unhideWhenUsed/>
    <w:rsid w:val="00033B43"/>
  </w:style>
  <w:style w:type="numbering" w:customStyle="1" w:styleId="Sinlista112111">
    <w:name w:val="Sin lista112111"/>
    <w:next w:val="Sinlista"/>
    <w:uiPriority w:val="99"/>
    <w:semiHidden/>
    <w:unhideWhenUsed/>
    <w:rsid w:val="00033B43"/>
  </w:style>
  <w:style w:type="numbering" w:customStyle="1" w:styleId="Sinlista212111">
    <w:name w:val="Sin lista212111"/>
    <w:next w:val="Sinlista"/>
    <w:uiPriority w:val="99"/>
    <w:semiHidden/>
    <w:unhideWhenUsed/>
    <w:rsid w:val="00033B43"/>
  </w:style>
  <w:style w:type="numbering" w:customStyle="1" w:styleId="Sinlista312111">
    <w:name w:val="Sin lista312111"/>
    <w:next w:val="Sinlista"/>
    <w:uiPriority w:val="99"/>
    <w:semiHidden/>
    <w:unhideWhenUsed/>
    <w:rsid w:val="00033B43"/>
  </w:style>
  <w:style w:type="numbering" w:customStyle="1" w:styleId="Sinlista412111">
    <w:name w:val="Sin lista412111"/>
    <w:next w:val="Sinlista"/>
    <w:uiPriority w:val="99"/>
    <w:semiHidden/>
    <w:unhideWhenUsed/>
    <w:rsid w:val="00033B43"/>
  </w:style>
  <w:style w:type="numbering" w:customStyle="1" w:styleId="Sinlista512111">
    <w:name w:val="Sin lista512111"/>
    <w:next w:val="Sinlista"/>
    <w:uiPriority w:val="99"/>
    <w:semiHidden/>
    <w:unhideWhenUsed/>
    <w:rsid w:val="00033B43"/>
  </w:style>
  <w:style w:type="numbering" w:customStyle="1" w:styleId="Sinlista61111">
    <w:name w:val="Sin lista61111"/>
    <w:next w:val="Sinlista"/>
    <w:uiPriority w:val="99"/>
    <w:semiHidden/>
    <w:unhideWhenUsed/>
    <w:rsid w:val="00033B43"/>
  </w:style>
  <w:style w:type="numbering" w:customStyle="1" w:styleId="Sinlista121111">
    <w:name w:val="Sin lista121111"/>
    <w:next w:val="Sinlista"/>
    <w:uiPriority w:val="99"/>
    <w:semiHidden/>
    <w:unhideWhenUsed/>
    <w:rsid w:val="00033B43"/>
  </w:style>
  <w:style w:type="numbering" w:customStyle="1" w:styleId="Sinlista1112111">
    <w:name w:val="Sin lista1112111"/>
    <w:next w:val="Sinlista"/>
    <w:uiPriority w:val="99"/>
    <w:semiHidden/>
    <w:unhideWhenUsed/>
    <w:rsid w:val="00033B43"/>
  </w:style>
  <w:style w:type="numbering" w:customStyle="1" w:styleId="Sinlista221111">
    <w:name w:val="Sin lista221111"/>
    <w:next w:val="Sinlista"/>
    <w:uiPriority w:val="99"/>
    <w:semiHidden/>
    <w:unhideWhenUsed/>
    <w:rsid w:val="00033B43"/>
  </w:style>
  <w:style w:type="numbering" w:customStyle="1" w:styleId="Sinlista321111">
    <w:name w:val="Sin lista321111"/>
    <w:next w:val="Sinlista"/>
    <w:uiPriority w:val="99"/>
    <w:semiHidden/>
    <w:unhideWhenUsed/>
    <w:rsid w:val="00033B43"/>
  </w:style>
  <w:style w:type="numbering" w:customStyle="1" w:styleId="Sinlista421111">
    <w:name w:val="Sin lista421111"/>
    <w:next w:val="Sinlista"/>
    <w:uiPriority w:val="99"/>
    <w:semiHidden/>
    <w:unhideWhenUsed/>
    <w:rsid w:val="00033B43"/>
  </w:style>
  <w:style w:type="numbering" w:customStyle="1" w:styleId="Sinlista521111">
    <w:name w:val="Sin lista521111"/>
    <w:next w:val="Sinlista"/>
    <w:uiPriority w:val="99"/>
    <w:semiHidden/>
    <w:unhideWhenUsed/>
    <w:rsid w:val="00033B43"/>
  </w:style>
  <w:style w:type="numbering" w:customStyle="1" w:styleId="Sinlista11112111">
    <w:name w:val="Sin lista11112111"/>
    <w:next w:val="Sinlista"/>
    <w:uiPriority w:val="99"/>
    <w:semiHidden/>
    <w:unhideWhenUsed/>
    <w:rsid w:val="00033B43"/>
  </w:style>
  <w:style w:type="numbering" w:customStyle="1" w:styleId="Sinlista2112111">
    <w:name w:val="Sin lista2112111"/>
    <w:next w:val="Sinlista"/>
    <w:uiPriority w:val="99"/>
    <w:semiHidden/>
    <w:unhideWhenUsed/>
    <w:rsid w:val="00033B43"/>
  </w:style>
  <w:style w:type="numbering" w:customStyle="1" w:styleId="Sinlista3112111">
    <w:name w:val="Sin lista3112111"/>
    <w:next w:val="Sinlista"/>
    <w:uiPriority w:val="99"/>
    <w:semiHidden/>
    <w:unhideWhenUsed/>
    <w:rsid w:val="00033B43"/>
  </w:style>
  <w:style w:type="numbering" w:customStyle="1" w:styleId="Sinlista4112111">
    <w:name w:val="Sin lista4112111"/>
    <w:next w:val="Sinlista"/>
    <w:uiPriority w:val="99"/>
    <w:semiHidden/>
    <w:unhideWhenUsed/>
    <w:rsid w:val="00033B43"/>
  </w:style>
  <w:style w:type="numbering" w:customStyle="1" w:styleId="Sinlista5112111">
    <w:name w:val="Sin lista5112111"/>
    <w:next w:val="Sinlista"/>
    <w:uiPriority w:val="99"/>
    <w:semiHidden/>
    <w:unhideWhenUsed/>
    <w:rsid w:val="00033B43"/>
  </w:style>
  <w:style w:type="numbering" w:customStyle="1" w:styleId="Sinlista111111111">
    <w:name w:val="Sin lista111111111"/>
    <w:next w:val="Sinlista"/>
    <w:uiPriority w:val="99"/>
    <w:semiHidden/>
    <w:unhideWhenUsed/>
    <w:rsid w:val="00033B43"/>
  </w:style>
  <w:style w:type="numbering" w:customStyle="1" w:styleId="Sinlista21111111">
    <w:name w:val="Sin lista21111111"/>
    <w:next w:val="Sinlista"/>
    <w:uiPriority w:val="99"/>
    <w:semiHidden/>
    <w:unhideWhenUsed/>
    <w:rsid w:val="00033B43"/>
  </w:style>
  <w:style w:type="numbering" w:customStyle="1" w:styleId="Sinlista31111111">
    <w:name w:val="Sin lista31111111"/>
    <w:next w:val="Sinlista"/>
    <w:uiPriority w:val="99"/>
    <w:semiHidden/>
    <w:unhideWhenUsed/>
    <w:rsid w:val="00033B43"/>
  </w:style>
  <w:style w:type="numbering" w:customStyle="1" w:styleId="Sinlista41111111">
    <w:name w:val="Sin lista41111111"/>
    <w:next w:val="Sinlista"/>
    <w:uiPriority w:val="99"/>
    <w:semiHidden/>
    <w:unhideWhenUsed/>
    <w:rsid w:val="00033B43"/>
  </w:style>
  <w:style w:type="numbering" w:customStyle="1" w:styleId="Sinlista51111111">
    <w:name w:val="Sin lista51111111"/>
    <w:next w:val="Sinlista"/>
    <w:uiPriority w:val="99"/>
    <w:semiHidden/>
    <w:unhideWhenUsed/>
    <w:rsid w:val="00033B43"/>
  </w:style>
  <w:style w:type="numbering" w:customStyle="1" w:styleId="Estiloimportado1101">
    <w:name w:val="Estilo importado 1101"/>
    <w:rsid w:val="00033B43"/>
  </w:style>
  <w:style w:type="numbering" w:customStyle="1" w:styleId="Estiloimportado211">
    <w:name w:val="Estilo importado 211"/>
    <w:rsid w:val="00033B43"/>
  </w:style>
  <w:style w:type="numbering" w:customStyle="1" w:styleId="Estiloimportado311">
    <w:name w:val="Estilo importado 311"/>
    <w:rsid w:val="00033B43"/>
  </w:style>
  <w:style w:type="numbering" w:customStyle="1" w:styleId="Estiloimportado411">
    <w:name w:val="Estilo importado 411"/>
    <w:rsid w:val="00033B43"/>
  </w:style>
  <w:style w:type="numbering" w:customStyle="1" w:styleId="Estiloimportado511">
    <w:name w:val="Estilo importado 511"/>
    <w:rsid w:val="00033B43"/>
  </w:style>
  <w:style w:type="numbering" w:customStyle="1" w:styleId="Estiloimportado611">
    <w:name w:val="Estilo importado 611"/>
    <w:rsid w:val="00033B43"/>
  </w:style>
  <w:style w:type="numbering" w:customStyle="1" w:styleId="Estiloimportado711">
    <w:name w:val="Estilo importado 711"/>
    <w:rsid w:val="00033B43"/>
  </w:style>
  <w:style w:type="numbering" w:customStyle="1" w:styleId="Estiloimportado811">
    <w:name w:val="Estilo importado 811"/>
    <w:rsid w:val="00033B43"/>
  </w:style>
  <w:style w:type="numbering" w:customStyle="1" w:styleId="Estiloimportado911">
    <w:name w:val="Estilo importado 911"/>
    <w:rsid w:val="00033B43"/>
  </w:style>
  <w:style w:type="numbering" w:customStyle="1" w:styleId="Estiloimportado1011">
    <w:name w:val="Estilo importado 1011"/>
    <w:rsid w:val="00033B43"/>
  </w:style>
  <w:style w:type="numbering" w:customStyle="1" w:styleId="Estiloimportado1111">
    <w:name w:val="Estilo importado 1111"/>
    <w:rsid w:val="00033B43"/>
  </w:style>
  <w:style w:type="numbering" w:customStyle="1" w:styleId="Estiloimportado1211">
    <w:name w:val="Estilo importado 1211"/>
    <w:rsid w:val="00033B43"/>
  </w:style>
  <w:style w:type="numbering" w:customStyle="1" w:styleId="Estiloimportado1311">
    <w:name w:val="Estilo importado 1311"/>
    <w:rsid w:val="00033B43"/>
  </w:style>
  <w:style w:type="numbering" w:customStyle="1" w:styleId="Estiloimportado1411">
    <w:name w:val="Estilo importado 1411"/>
    <w:rsid w:val="00033B43"/>
  </w:style>
  <w:style w:type="numbering" w:customStyle="1" w:styleId="Estiloimportado1511">
    <w:name w:val="Estilo importado 1511"/>
    <w:rsid w:val="00033B43"/>
  </w:style>
  <w:style w:type="numbering" w:customStyle="1" w:styleId="Estiloimportado20311">
    <w:name w:val="Estilo importado 20311"/>
    <w:rsid w:val="00033B43"/>
  </w:style>
  <w:style w:type="numbering" w:customStyle="1" w:styleId="Estiloimportado1611">
    <w:name w:val="Estilo importado 1611"/>
    <w:rsid w:val="00033B43"/>
  </w:style>
  <w:style w:type="numbering" w:customStyle="1" w:styleId="Estiloimportado1711">
    <w:name w:val="Estilo importado 1711"/>
    <w:rsid w:val="00033B43"/>
  </w:style>
  <w:style w:type="numbering" w:customStyle="1" w:styleId="Estiloimportado1811">
    <w:name w:val="Estilo importado 1811"/>
    <w:rsid w:val="00033B43"/>
  </w:style>
  <w:style w:type="numbering" w:customStyle="1" w:styleId="Estiloimportado1911">
    <w:name w:val="Estilo importado 1911"/>
    <w:rsid w:val="00033B43"/>
  </w:style>
  <w:style w:type="numbering" w:customStyle="1" w:styleId="Estiloimportado2011">
    <w:name w:val="Estilo importado 2011"/>
    <w:rsid w:val="00033B43"/>
  </w:style>
  <w:style w:type="table" w:customStyle="1" w:styleId="Tablaconcuadrcula1">
    <w:name w:val="Tabla con cuadrícula1"/>
    <w:basedOn w:val="Tablanormal"/>
    <w:next w:val="Tablaconcuadrcula"/>
    <w:uiPriority w:val="59"/>
    <w:rsid w:val="00B37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Nivel">
    <w:name w:val="Primer Nivel"/>
    <w:qFormat/>
    <w:rsid w:val="00A06BE9"/>
    <w:pPr>
      <w:numPr>
        <w:numId w:val="33"/>
      </w:numPr>
      <w:ind w:left="1134" w:hanging="567"/>
      <w:jc w:val="both"/>
    </w:pPr>
    <w:rPr>
      <w:rFonts w:ascii="Calibri" w:eastAsia="Calibri" w:hAnsi="Calibri"/>
      <w:sz w:val="18"/>
      <w:szCs w:val="18"/>
      <w:lang w:val="es-PE" w:eastAsia="es-PE"/>
    </w:rPr>
  </w:style>
  <w:style w:type="paragraph" w:styleId="Sinespaciado">
    <w:name w:val="No Spacing"/>
    <w:uiPriority w:val="1"/>
    <w:qFormat/>
    <w:rsid w:val="00A06BE9"/>
    <w:rPr>
      <w:rFonts w:asciiTheme="minorHAnsi" w:eastAsiaTheme="minorHAnsi" w:hAnsiTheme="minorHAnsi" w:cstheme="minorBidi"/>
      <w:sz w:val="22"/>
      <w:szCs w:val="22"/>
      <w:lang w:eastAsia="en-US"/>
    </w:rPr>
  </w:style>
  <w:style w:type="paragraph" w:customStyle="1" w:styleId="Style1">
    <w:name w:val="Style 1"/>
    <w:basedOn w:val="Normal"/>
    <w:rsid w:val="00A06BE9"/>
    <w:pPr>
      <w:widowControl w:val="0"/>
      <w:autoSpaceDE w:val="0"/>
      <w:autoSpaceDN w:val="0"/>
      <w:adjustRightInd w:val="0"/>
    </w:pPr>
    <w:rPr>
      <w:noProof/>
      <w:sz w:val="20"/>
      <w:szCs w:val="24"/>
    </w:rPr>
  </w:style>
  <w:style w:type="paragraph" w:styleId="Lista">
    <w:name w:val="List"/>
    <w:basedOn w:val="Normal"/>
    <w:rsid w:val="00A06BE9"/>
    <w:pPr>
      <w:ind w:left="397" w:hanging="397"/>
    </w:pPr>
    <w:rPr>
      <w:rFonts w:eastAsia="Calibri"/>
      <w:noProof/>
      <w:szCs w:val="24"/>
      <w:lang w:val="es-ES" w:eastAsia="es-ES"/>
    </w:rPr>
  </w:style>
  <w:style w:type="table" w:customStyle="1" w:styleId="Tabladecuadrcula1clara1">
    <w:name w:val="Tabla de cuadrícula 1 clara1"/>
    <w:basedOn w:val="Tablanormal"/>
    <w:uiPriority w:val="46"/>
    <w:rsid w:val="00A06BE9"/>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A06BE9"/>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tulo21">
    <w:name w:val="Título 21"/>
    <w:basedOn w:val="Normal"/>
    <w:next w:val="Normal"/>
    <w:uiPriority w:val="9"/>
    <w:unhideWhenUsed/>
    <w:qFormat/>
    <w:rsid w:val="00A06BE9"/>
    <w:pPr>
      <w:keepNext/>
      <w:keepLines/>
      <w:spacing w:before="40" w:line="259" w:lineRule="auto"/>
      <w:outlineLvl w:val="1"/>
    </w:pPr>
    <w:rPr>
      <w:rFonts w:ascii="Cambria" w:hAnsi="Cambria"/>
      <w:color w:val="365F91"/>
      <w:sz w:val="26"/>
      <w:szCs w:val="26"/>
    </w:rPr>
  </w:style>
  <w:style w:type="paragraph" w:customStyle="1" w:styleId="Default">
    <w:name w:val="Default"/>
    <w:rsid w:val="00A06BE9"/>
    <w:pPr>
      <w:autoSpaceDE w:val="0"/>
      <w:autoSpaceDN w:val="0"/>
      <w:adjustRightInd w:val="0"/>
    </w:pPr>
    <w:rPr>
      <w:rFonts w:ascii="Arial" w:eastAsia="Calibri" w:hAnsi="Arial" w:cs="Arial"/>
      <w:color w:val="000000"/>
      <w:sz w:val="24"/>
      <w:szCs w:val="24"/>
      <w:lang w:eastAsia="en-US"/>
    </w:rPr>
  </w:style>
  <w:style w:type="paragraph" w:styleId="HTMLconformatoprevio">
    <w:name w:val="HTML Preformatted"/>
    <w:basedOn w:val="Normal"/>
    <w:link w:val="HTMLconformatoprevioCar"/>
    <w:uiPriority w:val="99"/>
    <w:unhideWhenUsed/>
    <w:rsid w:val="00A06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s-AR"/>
    </w:rPr>
  </w:style>
  <w:style w:type="character" w:customStyle="1" w:styleId="HTMLconformatoprevioCar">
    <w:name w:val="HTML con formato previo Car"/>
    <w:basedOn w:val="Fuentedeprrafopredeter"/>
    <w:link w:val="HTMLconformatoprevio"/>
    <w:uiPriority w:val="99"/>
    <w:rsid w:val="00A06BE9"/>
    <w:rPr>
      <w:rFonts w:ascii="Courier New" w:hAnsi="Courier New" w:cs="Courier New"/>
    </w:rPr>
  </w:style>
  <w:style w:type="character" w:customStyle="1" w:styleId="Ttulo2Car1">
    <w:name w:val="Título 2 Car1"/>
    <w:basedOn w:val="Fuentedeprrafopredeter"/>
    <w:semiHidden/>
    <w:rsid w:val="00A06BE9"/>
    <w:rPr>
      <w:rFonts w:asciiTheme="majorHAnsi" w:eastAsiaTheme="majorEastAsia" w:hAnsiTheme="majorHAnsi" w:cstheme="majorBidi"/>
      <w:b/>
      <w:bCs/>
      <w:color w:val="4F81BD" w:themeColor="accent1"/>
      <w:sz w:val="26"/>
      <w:szCs w:val="26"/>
      <w:lang w:val="es-ES" w:eastAsia="es-ES"/>
    </w:rPr>
  </w:style>
  <w:style w:type="paragraph" w:customStyle="1" w:styleId="AOHeadings">
    <w:name w:val="AOHeadings"/>
    <w:basedOn w:val="Normal"/>
    <w:next w:val="Normal"/>
    <w:rsid w:val="00A06BE9"/>
    <w:pPr>
      <w:spacing w:before="200"/>
      <w:jc w:val="both"/>
    </w:pPr>
    <w:rPr>
      <w:sz w:val="20"/>
      <w:lang w:val="en-US"/>
    </w:rPr>
  </w:style>
  <w:style w:type="paragraph" w:customStyle="1" w:styleId="TitleLItal">
    <w:name w:val="Title L Ital"/>
    <w:basedOn w:val="Normal"/>
    <w:rsid w:val="00A06BE9"/>
    <w:pPr>
      <w:keepNext/>
      <w:spacing w:after="240"/>
      <w:jc w:val="both"/>
    </w:pPr>
    <w:rPr>
      <w:i/>
      <w:iCs/>
      <w:sz w:val="20"/>
      <w:lang w:val="en-US"/>
    </w:rPr>
  </w:style>
  <w:style w:type="paragraph" w:customStyle="1" w:styleId="CG-Title-Center">
    <w:name w:val="CG-Title-Center"/>
    <w:aliases w:val="t5"/>
    <w:basedOn w:val="Normal"/>
    <w:next w:val="Normal"/>
    <w:rsid w:val="00A06BE9"/>
    <w:pPr>
      <w:keepNext/>
      <w:spacing w:after="240"/>
      <w:jc w:val="center"/>
    </w:pPr>
    <w:rPr>
      <w:sz w:val="20"/>
      <w:lang w:val="en-US"/>
    </w:rPr>
  </w:style>
  <w:style w:type="paragraph" w:customStyle="1" w:styleId="BodyBullet">
    <w:name w:val="Body Bullet"/>
    <w:aliases w:val="bb"/>
    <w:basedOn w:val="Textoindependiente"/>
    <w:rsid w:val="00A06BE9"/>
    <w:pPr>
      <w:spacing w:after="240"/>
      <w:jc w:val="left"/>
    </w:pPr>
    <w:rPr>
      <w:sz w:val="20"/>
      <w:lang w:val="en-US" w:eastAsia="es-ES"/>
    </w:rPr>
  </w:style>
  <w:style w:type="paragraph" w:customStyle="1" w:styleId="Tax">
    <w:name w:val="Tax"/>
    <w:basedOn w:val="Normal"/>
    <w:rsid w:val="00A06BE9"/>
    <w:pPr>
      <w:autoSpaceDE w:val="0"/>
      <w:autoSpaceDN w:val="0"/>
      <w:adjustRightInd w:val="0"/>
    </w:pPr>
    <w:rPr>
      <w:szCs w:val="24"/>
      <w:lang w:val="en-US"/>
    </w:rPr>
  </w:style>
  <w:style w:type="paragraph" w:customStyle="1" w:styleId="DSLxStyle">
    <w:name w:val="DSLxStyle"/>
    <w:basedOn w:val="Normal"/>
    <w:link w:val="DSLxStyleChar"/>
    <w:rsid w:val="0073058D"/>
    <w:pPr>
      <w:tabs>
        <w:tab w:val="left" w:pos="851"/>
      </w:tabs>
      <w:ind w:left="567" w:right="839"/>
      <w:jc w:val="right"/>
    </w:pPr>
    <w:rPr>
      <w:rFonts w:ascii="Georgia" w:hAnsi="Georgia"/>
      <w:color w:val="666666"/>
      <w:sz w:val="12"/>
      <w:lang w:val="es-ES_tradnl"/>
    </w:rPr>
  </w:style>
  <w:style w:type="character" w:customStyle="1" w:styleId="DSLxStyleChar">
    <w:name w:val="DSLxStyle Char"/>
    <w:basedOn w:val="Fuentedeprrafopredeter"/>
    <w:link w:val="DSLxStyle"/>
    <w:rsid w:val="0073058D"/>
    <w:rPr>
      <w:rFonts w:ascii="Georgia" w:hAnsi="Georgia"/>
      <w:color w:val="666666"/>
      <w:sz w:val="1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743">
      <w:bodyDiv w:val="1"/>
      <w:marLeft w:val="0"/>
      <w:marRight w:val="0"/>
      <w:marTop w:val="0"/>
      <w:marBottom w:val="0"/>
      <w:divBdr>
        <w:top w:val="none" w:sz="0" w:space="0" w:color="auto"/>
        <w:left w:val="none" w:sz="0" w:space="0" w:color="auto"/>
        <w:bottom w:val="none" w:sz="0" w:space="0" w:color="auto"/>
        <w:right w:val="none" w:sz="0" w:space="0" w:color="auto"/>
      </w:divBdr>
    </w:div>
    <w:div w:id="3093092">
      <w:bodyDiv w:val="1"/>
      <w:marLeft w:val="0"/>
      <w:marRight w:val="0"/>
      <w:marTop w:val="0"/>
      <w:marBottom w:val="0"/>
      <w:divBdr>
        <w:top w:val="none" w:sz="0" w:space="0" w:color="auto"/>
        <w:left w:val="none" w:sz="0" w:space="0" w:color="auto"/>
        <w:bottom w:val="none" w:sz="0" w:space="0" w:color="auto"/>
        <w:right w:val="none" w:sz="0" w:space="0" w:color="auto"/>
      </w:divBdr>
    </w:div>
    <w:div w:id="5140847">
      <w:bodyDiv w:val="1"/>
      <w:marLeft w:val="0"/>
      <w:marRight w:val="0"/>
      <w:marTop w:val="0"/>
      <w:marBottom w:val="0"/>
      <w:divBdr>
        <w:top w:val="none" w:sz="0" w:space="0" w:color="auto"/>
        <w:left w:val="none" w:sz="0" w:space="0" w:color="auto"/>
        <w:bottom w:val="none" w:sz="0" w:space="0" w:color="auto"/>
        <w:right w:val="none" w:sz="0" w:space="0" w:color="auto"/>
      </w:divBdr>
    </w:div>
    <w:div w:id="5447602">
      <w:bodyDiv w:val="1"/>
      <w:marLeft w:val="0"/>
      <w:marRight w:val="0"/>
      <w:marTop w:val="0"/>
      <w:marBottom w:val="0"/>
      <w:divBdr>
        <w:top w:val="none" w:sz="0" w:space="0" w:color="auto"/>
        <w:left w:val="none" w:sz="0" w:space="0" w:color="auto"/>
        <w:bottom w:val="none" w:sz="0" w:space="0" w:color="auto"/>
        <w:right w:val="none" w:sz="0" w:space="0" w:color="auto"/>
      </w:divBdr>
    </w:div>
    <w:div w:id="7566076">
      <w:bodyDiv w:val="1"/>
      <w:marLeft w:val="0"/>
      <w:marRight w:val="0"/>
      <w:marTop w:val="0"/>
      <w:marBottom w:val="0"/>
      <w:divBdr>
        <w:top w:val="none" w:sz="0" w:space="0" w:color="auto"/>
        <w:left w:val="none" w:sz="0" w:space="0" w:color="auto"/>
        <w:bottom w:val="none" w:sz="0" w:space="0" w:color="auto"/>
        <w:right w:val="none" w:sz="0" w:space="0" w:color="auto"/>
      </w:divBdr>
    </w:div>
    <w:div w:id="14772430">
      <w:bodyDiv w:val="1"/>
      <w:marLeft w:val="0"/>
      <w:marRight w:val="0"/>
      <w:marTop w:val="0"/>
      <w:marBottom w:val="0"/>
      <w:divBdr>
        <w:top w:val="none" w:sz="0" w:space="0" w:color="auto"/>
        <w:left w:val="none" w:sz="0" w:space="0" w:color="auto"/>
        <w:bottom w:val="none" w:sz="0" w:space="0" w:color="auto"/>
        <w:right w:val="none" w:sz="0" w:space="0" w:color="auto"/>
      </w:divBdr>
    </w:div>
    <w:div w:id="16586295">
      <w:bodyDiv w:val="1"/>
      <w:marLeft w:val="0"/>
      <w:marRight w:val="0"/>
      <w:marTop w:val="0"/>
      <w:marBottom w:val="0"/>
      <w:divBdr>
        <w:top w:val="none" w:sz="0" w:space="0" w:color="auto"/>
        <w:left w:val="none" w:sz="0" w:space="0" w:color="auto"/>
        <w:bottom w:val="none" w:sz="0" w:space="0" w:color="auto"/>
        <w:right w:val="none" w:sz="0" w:space="0" w:color="auto"/>
      </w:divBdr>
    </w:div>
    <w:div w:id="18287491">
      <w:bodyDiv w:val="1"/>
      <w:marLeft w:val="0"/>
      <w:marRight w:val="0"/>
      <w:marTop w:val="0"/>
      <w:marBottom w:val="0"/>
      <w:divBdr>
        <w:top w:val="none" w:sz="0" w:space="0" w:color="auto"/>
        <w:left w:val="none" w:sz="0" w:space="0" w:color="auto"/>
        <w:bottom w:val="none" w:sz="0" w:space="0" w:color="auto"/>
        <w:right w:val="none" w:sz="0" w:space="0" w:color="auto"/>
      </w:divBdr>
    </w:div>
    <w:div w:id="19281956">
      <w:bodyDiv w:val="1"/>
      <w:marLeft w:val="0"/>
      <w:marRight w:val="0"/>
      <w:marTop w:val="0"/>
      <w:marBottom w:val="0"/>
      <w:divBdr>
        <w:top w:val="none" w:sz="0" w:space="0" w:color="auto"/>
        <w:left w:val="none" w:sz="0" w:space="0" w:color="auto"/>
        <w:bottom w:val="none" w:sz="0" w:space="0" w:color="auto"/>
        <w:right w:val="none" w:sz="0" w:space="0" w:color="auto"/>
      </w:divBdr>
    </w:div>
    <w:div w:id="21253525">
      <w:bodyDiv w:val="1"/>
      <w:marLeft w:val="0"/>
      <w:marRight w:val="0"/>
      <w:marTop w:val="0"/>
      <w:marBottom w:val="0"/>
      <w:divBdr>
        <w:top w:val="none" w:sz="0" w:space="0" w:color="auto"/>
        <w:left w:val="none" w:sz="0" w:space="0" w:color="auto"/>
        <w:bottom w:val="none" w:sz="0" w:space="0" w:color="auto"/>
        <w:right w:val="none" w:sz="0" w:space="0" w:color="auto"/>
      </w:divBdr>
    </w:div>
    <w:div w:id="24060267">
      <w:bodyDiv w:val="1"/>
      <w:marLeft w:val="0"/>
      <w:marRight w:val="0"/>
      <w:marTop w:val="0"/>
      <w:marBottom w:val="0"/>
      <w:divBdr>
        <w:top w:val="none" w:sz="0" w:space="0" w:color="auto"/>
        <w:left w:val="none" w:sz="0" w:space="0" w:color="auto"/>
        <w:bottom w:val="none" w:sz="0" w:space="0" w:color="auto"/>
        <w:right w:val="none" w:sz="0" w:space="0" w:color="auto"/>
      </w:divBdr>
    </w:div>
    <w:div w:id="24527421">
      <w:bodyDiv w:val="1"/>
      <w:marLeft w:val="0"/>
      <w:marRight w:val="0"/>
      <w:marTop w:val="0"/>
      <w:marBottom w:val="0"/>
      <w:divBdr>
        <w:top w:val="none" w:sz="0" w:space="0" w:color="auto"/>
        <w:left w:val="none" w:sz="0" w:space="0" w:color="auto"/>
        <w:bottom w:val="none" w:sz="0" w:space="0" w:color="auto"/>
        <w:right w:val="none" w:sz="0" w:space="0" w:color="auto"/>
      </w:divBdr>
    </w:div>
    <w:div w:id="28605637">
      <w:bodyDiv w:val="1"/>
      <w:marLeft w:val="0"/>
      <w:marRight w:val="0"/>
      <w:marTop w:val="0"/>
      <w:marBottom w:val="0"/>
      <w:divBdr>
        <w:top w:val="none" w:sz="0" w:space="0" w:color="auto"/>
        <w:left w:val="none" w:sz="0" w:space="0" w:color="auto"/>
        <w:bottom w:val="none" w:sz="0" w:space="0" w:color="auto"/>
        <w:right w:val="none" w:sz="0" w:space="0" w:color="auto"/>
      </w:divBdr>
    </w:div>
    <w:div w:id="34241284">
      <w:bodyDiv w:val="1"/>
      <w:marLeft w:val="0"/>
      <w:marRight w:val="0"/>
      <w:marTop w:val="0"/>
      <w:marBottom w:val="0"/>
      <w:divBdr>
        <w:top w:val="none" w:sz="0" w:space="0" w:color="auto"/>
        <w:left w:val="none" w:sz="0" w:space="0" w:color="auto"/>
        <w:bottom w:val="none" w:sz="0" w:space="0" w:color="auto"/>
        <w:right w:val="none" w:sz="0" w:space="0" w:color="auto"/>
      </w:divBdr>
    </w:div>
    <w:div w:id="41835864">
      <w:bodyDiv w:val="1"/>
      <w:marLeft w:val="0"/>
      <w:marRight w:val="0"/>
      <w:marTop w:val="0"/>
      <w:marBottom w:val="0"/>
      <w:divBdr>
        <w:top w:val="none" w:sz="0" w:space="0" w:color="auto"/>
        <w:left w:val="none" w:sz="0" w:space="0" w:color="auto"/>
        <w:bottom w:val="none" w:sz="0" w:space="0" w:color="auto"/>
        <w:right w:val="none" w:sz="0" w:space="0" w:color="auto"/>
      </w:divBdr>
    </w:div>
    <w:div w:id="43066645">
      <w:bodyDiv w:val="1"/>
      <w:marLeft w:val="0"/>
      <w:marRight w:val="0"/>
      <w:marTop w:val="0"/>
      <w:marBottom w:val="0"/>
      <w:divBdr>
        <w:top w:val="none" w:sz="0" w:space="0" w:color="auto"/>
        <w:left w:val="none" w:sz="0" w:space="0" w:color="auto"/>
        <w:bottom w:val="none" w:sz="0" w:space="0" w:color="auto"/>
        <w:right w:val="none" w:sz="0" w:space="0" w:color="auto"/>
      </w:divBdr>
    </w:div>
    <w:div w:id="43070163">
      <w:bodyDiv w:val="1"/>
      <w:marLeft w:val="0"/>
      <w:marRight w:val="0"/>
      <w:marTop w:val="0"/>
      <w:marBottom w:val="0"/>
      <w:divBdr>
        <w:top w:val="none" w:sz="0" w:space="0" w:color="auto"/>
        <w:left w:val="none" w:sz="0" w:space="0" w:color="auto"/>
        <w:bottom w:val="none" w:sz="0" w:space="0" w:color="auto"/>
        <w:right w:val="none" w:sz="0" w:space="0" w:color="auto"/>
      </w:divBdr>
    </w:div>
    <w:div w:id="43140862">
      <w:bodyDiv w:val="1"/>
      <w:marLeft w:val="0"/>
      <w:marRight w:val="0"/>
      <w:marTop w:val="0"/>
      <w:marBottom w:val="0"/>
      <w:divBdr>
        <w:top w:val="none" w:sz="0" w:space="0" w:color="auto"/>
        <w:left w:val="none" w:sz="0" w:space="0" w:color="auto"/>
        <w:bottom w:val="none" w:sz="0" w:space="0" w:color="auto"/>
        <w:right w:val="none" w:sz="0" w:space="0" w:color="auto"/>
      </w:divBdr>
    </w:div>
    <w:div w:id="44334918">
      <w:bodyDiv w:val="1"/>
      <w:marLeft w:val="0"/>
      <w:marRight w:val="0"/>
      <w:marTop w:val="0"/>
      <w:marBottom w:val="0"/>
      <w:divBdr>
        <w:top w:val="none" w:sz="0" w:space="0" w:color="auto"/>
        <w:left w:val="none" w:sz="0" w:space="0" w:color="auto"/>
        <w:bottom w:val="none" w:sz="0" w:space="0" w:color="auto"/>
        <w:right w:val="none" w:sz="0" w:space="0" w:color="auto"/>
      </w:divBdr>
    </w:div>
    <w:div w:id="47266137">
      <w:bodyDiv w:val="1"/>
      <w:marLeft w:val="0"/>
      <w:marRight w:val="0"/>
      <w:marTop w:val="0"/>
      <w:marBottom w:val="0"/>
      <w:divBdr>
        <w:top w:val="none" w:sz="0" w:space="0" w:color="auto"/>
        <w:left w:val="none" w:sz="0" w:space="0" w:color="auto"/>
        <w:bottom w:val="none" w:sz="0" w:space="0" w:color="auto"/>
        <w:right w:val="none" w:sz="0" w:space="0" w:color="auto"/>
      </w:divBdr>
    </w:div>
    <w:div w:id="54012519">
      <w:bodyDiv w:val="1"/>
      <w:marLeft w:val="0"/>
      <w:marRight w:val="0"/>
      <w:marTop w:val="0"/>
      <w:marBottom w:val="0"/>
      <w:divBdr>
        <w:top w:val="none" w:sz="0" w:space="0" w:color="auto"/>
        <w:left w:val="none" w:sz="0" w:space="0" w:color="auto"/>
        <w:bottom w:val="none" w:sz="0" w:space="0" w:color="auto"/>
        <w:right w:val="none" w:sz="0" w:space="0" w:color="auto"/>
      </w:divBdr>
    </w:div>
    <w:div w:id="55131985">
      <w:bodyDiv w:val="1"/>
      <w:marLeft w:val="0"/>
      <w:marRight w:val="0"/>
      <w:marTop w:val="0"/>
      <w:marBottom w:val="0"/>
      <w:divBdr>
        <w:top w:val="none" w:sz="0" w:space="0" w:color="auto"/>
        <w:left w:val="none" w:sz="0" w:space="0" w:color="auto"/>
        <w:bottom w:val="none" w:sz="0" w:space="0" w:color="auto"/>
        <w:right w:val="none" w:sz="0" w:space="0" w:color="auto"/>
      </w:divBdr>
    </w:div>
    <w:div w:id="59450078">
      <w:bodyDiv w:val="1"/>
      <w:marLeft w:val="0"/>
      <w:marRight w:val="0"/>
      <w:marTop w:val="0"/>
      <w:marBottom w:val="0"/>
      <w:divBdr>
        <w:top w:val="none" w:sz="0" w:space="0" w:color="auto"/>
        <w:left w:val="none" w:sz="0" w:space="0" w:color="auto"/>
        <w:bottom w:val="none" w:sz="0" w:space="0" w:color="auto"/>
        <w:right w:val="none" w:sz="0" w:space="0" w:color="auto"/>
      </w:divBdr>
    </w:div>
    <w:div w:id="59598550">
      <w:bodyDiv w:val="1"/>
      <w:marLeft w:val="0"/>
      <w:marRight w:val="0"/>
      <w:marTop w:val="0"/>
      <w:marBottom w:val="0"/>
      <w:divBdr>
        <w:top w:val="none" w:sz="0" w:space="0" w:color="auto"/>
        <w:left w:val="none" w:sz="0" w:space="0" w:color="auto"/>
        <w:bottom w:val="none" w:sz="0" w:space="0" w:color="auto"/>
        <w:right w:val="none" w:sz="0" w:space="0" w:color="auto"/>
      </w:divBdr>
    </w:div>
    <w:div w:id="62026691">
      <w:bodyDiv w:val="1"/>
      <w:marLeft w:val="0"/>
      <w:marRight w:val="0"/>
      <w:marTop w:val="0"/>
      <w:marBottom w:val="0"/>
      <w:divBdr>
        <w:top w:val="none" w:sz="0" w:space="0" w:color="auto"/>
        <w:left w:val="none" w:sz="0" w:space="0" w:color="auto"/>
        <w:bottom w:val="none" w:sz="0" w:space="0" w:color="auto"/>
        <w:right w:val="none" w:sz="0" w:space="0" w:color="auto"/>
      </w:divBdr>
    </w:div>
    <w:div w:id="62146012">
      <w:bodyDiv w:val="1"/>
      <w:marLeft w:val="0"/>
      <w:marRight w:val="0"/>
      <w:marTop w:val="0"/>
      <w:marBottom w:val="0"/>
      <w:divBdr>
        <w:top w:val="none" w:sz="0" w:space="0" w:color="auto"/>
        <w:left w:val="none" w:sz="0" w:space="0" w:color="auto"/>
        <w:bottom w:val="none" w:sz="0" w:space="0" w:color="auto"/>
        <w:right w:val="none" w:sz="0" w:space="0" w:color="auto"/>
      </w:divBdr>
    </w:div>
    <w:div w:id="68314669">
      <w:bodyDiv w:val="1"/>
      <w:marLeft w:val="0"/>
      <w:marRight w:val="0"/>
      <w:marTop w:val="0"/>
      <w:marBottom w:val="0"/>
      <w:divBdr>
        <w:top w:val="none" w:sz="0" w:space="0" w:color="auto"/>
        <w:left w:val="none" w:sz="0" w:space="0" w:color="auto"/>
        <w:bottom w:val="none" w:sz="0" w:space="0" w:color="auto"/>
        <w:right w:val="none" w:sz="0" w:space="0" w:color="auto"/>
      </w:divBdr>
    </w:div>
    <w:div w:id="69469256">
      <w:bodyDiv w:val="1"/>
      <w:marLeft w:val="0"/>
      <w:marRight w:val="0"/>
      <w:marTop w:val="0"/>
      <w:marBottom w:val="0"/>
      <w:divBdr>
        <w:top w:val="none" w:sz="0" w:space="0" w:color="auto"/>
        <w:left w:val="none" w:sz="0" w:space="0" w:color="auto"/>
        <w:bottom w:val="none" w:sz="0" w:space="0" w:color="auto"/>
        <w:right w:val="none" w:sz="0" w:space="0" w:color="auto"/>
      </w:divBdr>
    </w:div>
    <w:div w:id="70664615">
      <w:bodyDiv w:val="1"/>
      <w:marLeft w:val="0"/>
      <w:marRight w:val="0"/>
      <w:marTop w:val="0"/>
      <w:marBottom w:val="0"/>
      <w:divBdr>
        <w:top w:val="none" w:sz="0" w:space="0" w:color="auto"/>
        <w:left w:val="none" w:sz="0" w:space="0" w:color="auto"/>
        <w:bottom w:val="none" w:sz="0" w:space="0" w:color="auto"/>
        <w:right w:val="none" w:sz="0" w:space="0" w:color="auto"/>
      </w:divBdr>
    </w:div>
    <w:div w:id="71516418">
      <w:bodyDiv w:val="1"/>
      <w:marLeft w:val="0"/>
      <w:marRight w:val="0"/>
      <w:marTop w:val="0"/>
      <w:marBottom w:val="0"/>
      <w:divBdr>
        <w:top w:val="none" w:sz="0" w:space="0" w:color="auto"/>
        <w:left w:val="none" w:sz="0" w:space="0" w:color="auto"/>
        <w:bottom w:val="none" w:sz="0" w:space="0" w:color="auto"/>
        <w:right w:val="none" w:sz="0" w:space="0" w:color="auto"/>
      </w:divBdr>
    </w:div>
    <w:div w:id="72359319">
      <w:bodyDiv w:val="1"/>
      <w:marLeft w:val="0"/>
      <w:marRight w:val="0"/>
      <w:marTop w:val="0"/>
      <w:marBottom w:val="0"/>
      <w:divBdr>
        <w:top w:val="none" w:sz="0" w:space="0" w:color="auto"/>
        <w:left w:val="none" w:sz="0" w:space="0" w:color="auto"/>
        <w:bottom w:val="none" w:sz="0" w:space="0" w:color="auto"/>
        <w:right w:val="none" w:sz="0" w:space="0" w:color="auto"/>
      </w:divBdr>
    </w:div>
    <w:div w:id="73089447">
      <w:bodyDiv w:val="1"/>
      <w:marLeft w:val="0"/>
      <w:marRight w:val="0"/>
      <w:marTop w:val="0"/>
      <w:marBottom w:val="0"/>
      <w:divBdr>
        <w:top w:val="none" w:sz="0" w:space="0" w:color="auto"/>
        <w:left w:val="none" w:sz="0" w:space="0" w:color="auto"/>
        <w:bottom w:val="none" w:sz="0" w:space="0" w:color="auto"/>
        <w:right w:val="none" w:sz="0" w:space="0" w:color="auto"/>
      </w:divBdr>
    </w:div>
    <w:div w:id="74204089">
      <w:bodyDiv w:val="1"/>
      <w:marLeft w:val="0"/>
      <w:marRight w:val="0"/>
      <w:marTop w:val="0"/>
      <w:marBottom w:val="0"/>
      <w:divBdr>
        <w:top w:val="none" w:sz="0" w:space="0" w:color="auto"/>
        <w:left w:val="none" w:sz="0" w:space="0" w:color="auto"/>
        <w:bottom w:val="none" w:sz="0" w:space="0" w:color="auto"/>
        <w:right w:val="none" w:sz="0" w:space="0" w:color="auto"/>
      </w:divBdr>
    </w:div>
    <w:div w:id="76371064">
      <w:bodyDiv w:val="1"/>
      <w:marLeft w:val="0"/>
      <w:marRight w:val="0"/>
      <w:marTop w:val="0"/>
      <w:marBottom w:val="0"/>
      <w:divBdr>
        <w:top w:val="none" w:sz="0" w:space="0" w:color="auto"/>
        <w:left w:val="none" w:sz="0" w:space="0" w:color="auto"/>
        <w:bottom w:val="none" w:sz="0" w:space="0" w:color="auto"/>
        <w:right w:val="none" w:sz="0" w:space="0" w:color="auto"/>
      </w:divBdr>
    </w:div>
    <w:div w:id="85733537">
      <w:bodyDiv w:val="1"/>
      <w:marLeft w:val="0"/>
      <w:marRight w:val="0"/>
      <w:marTop w:val="0"/>
      <w:marBottom w:val="0"/>
      <w:divBdr>
        <w:top w:val="none" w:sz="0" w:space="0" w:color="auto"/>
        <w:left w:val="none" w:sz="0" w:space="0" w:color="auto"/>
        <w:bottom w:val="none" w:sz="0" w:space="0" w:color="auto"/>
        <w:right w:val="none" w:sz="0" w:space="0" w:color="auto"/>
      </w:divBdr>
    </w:div>
    <w:div w:id="87309258">
      <w:bodyDiv w:val="1"/>
      <w:marLeft w:val="0"/>
      <w:marRight w:val="0"/>
      <w:marTop w:val="0"/>
      <w:marBottom w:val="0"/>
      <w:divBdr>
        <w:top w:val="none" w:sz="0" w:space="0" w:color="auto"/>
        <w:left w:val="none" w:sz="0" w:space="0" w:color="auto"/>
        <w:bottom w:val="none" w:sz="0" w:space="0" w:color="auto"/>
        <w:right w:val="none" w:sz="0" w:space="0" w:color="auto"/>
      </w:divBdr>
    </w:div>
    <w:div w:id="94445681">
      <w:bodyDiv w:val="1"/>
      <w:marLeft w:val="0"/>
      <w:marRight w:val="0"/>
      <w:marTop w:val="0"/>
      <w:marBottom w:val="0"/>
      <w:divBdr>
        <w:top w:val="none" w:sz="0" w:space="0" w:color="auto"/>
        <w:left w:val="none" w:sz="0" w:space="0" w:color="auto"/>
        <w:bottom w:val="none" w:sz="0" w:space="0" w:color="auto"/>
        <w:right w:val="none" w:sz="0" w:space="0" w:color="auto"/>
      </w:divBdr>
    </w:div>
    <w:div w:id="94792019">
      <w:bodyDiv w:val="1"/>
      <w:marLeft w:val="0"/>
      <w:marRight w:val="0"/>
      <w:marTop w:val="0"/>
      <w:marBottom w:val="0"/>
      <w:divBdr>
        <w:top w:val="none" w:sz="0" w:space="0" w:color="auto"/>
        <w:left w:val="none" w:sz="0" w:space="0" w:color="auto"/>
        <w:bottom w:val="none" w:sz="0" w:space="0" w:color="auto"/>
        <w:right w:val="none" w:sz="0" w:space="0" w:color="auto"/>
      </w:divBdr>
    </w:div>
    <w:div w:id="107429126">
      <w:bodyDiv w:val="1"/>
      <w:marLeft w:val="0"/>
      <w:marRight w:val="0"/>
      <w:marTop w:val="0"/>
      <w:marBottom w:val="0"/>
      <w:divBdr>
        <w:top w:val="none" w:sz="0" w:space="0" w:color="auto"/>
        <w:left w:val="none" w:sz="0" w:space="0" w:color="auto"/>
        <w:bottom w:val="none" w:sz="0" w:space="0" w:color="auto"/>
        <w:right w:val="none" w:sz="0" w:space="0" w:color="auto"/>
      </w:divBdr>
    </w:div>
    <w:div w:id="107899708">
      <w:bodyDiv w:val="1"/>
      <w:marLeft w:val="0"/>
      <w:marRight w:val="0"/>
      <w:marTop w:val="0"/>
      <w:marBottom w:val="0"/>
      <w:divBdr>
        <w:top w:val="none" w:sz="0" w:space="0" w:color="auto"/>
        <w:left w:val="none" w:sz="0" w:space="0" w:color="auto"/>
        <w:bottom w:val="none" w:sz="0" w:space="0" w:color="auto"/>
        <w:right w:val="none" w:sz="0" w:space="0" w:color="auto"/>
      </w:divBdr>
    </w:div>
    <w:div w:id="108623973">
      <w:bodyDiv w:val="1"/>
      <w:marLeft w:val="0"/>
      <w:marRight w:val="0"/>
      <w:marTop w:val="0"/>
      <w:marBottom w:val="0"/>
      <w:divBdr>
        <w:top w:val="none" w:sz="0" w:space="0" w:color="auto"/>
        <w:left w:val="none" w:sz="0" w:space="0" w:color="auto"/>
        <w:bottom w:val="none" w:sz="0" w:space="0" w:color="auto"/>
        <w:right w:val="none" w:sz="0" w:space="0" w:color="auto"/>
      </w:divBdr>
    </w:div>
    <w:div w:id="109320442">
      <w:bodyDiv w:val="1"/>
      <w:marLeft w:val="0"/>
      <w:marRight w:val="0"/>
      <w:marTop w:val="0"/>
      <w:marBottom w:val="0"/>
      <w:divBdr>
        <w:top w:val="none" w:sz="0" w:space="0" w:color="auto"/>
        <w:left w:val="none" w:sz="0" w:space="0" w:color="auto"/>
        <w:bottom w:val="none" w:sz="0" w:space="0" w:color="auto"/>
        <w:right w:val="none" w:sz="0" w:space="0" w:color="auto"/>
      </w:divBdr>
    </w:div>
    <w:div w:id="114448724">
      <w:bodyDiv w:val="1"/>
      <w:marLeft w:val="0"/>
      <w:marRight w:val="0"/>
      <w:marTop w:val="0"/>
      <w:marBottom w:val="0"/>
      <w:divBdr>
        <w:top w:val="none" w:sz="0" w:space="0" w:color="auto"/>
        <w:left w:val="none" w:sz="0" w:space="0" w:color="auto"/>
        <w:bottom w:val="none" w:sz="0" w:space="0" w:color="auto"/>
        <w:right w:val="none" w:sz="0" w:space="0" w:color="auto"/>
      </w:divBdr>
    </w:div>
    <w:div w:id="116607200">
      <w:bodyDiv w:val="1"/>
      <w:marLeft w:val="0"/>
      <w:marRight w:val="0"/>
      <w:marTop w:val="0"/>
      <w:marBottom w:val="0"/>
      <w:divBdr>
        <w:top w:val="none" w:sz="0" w:space="0" w:color="auto"/>
        <w:left w:val="none" w:sz="0" w:space="0" w:color="auto"/>
        <w:bottom w:val="none" w:sz="0" w:space="0" w:color="auto"/>
        <w:right w:val="none" w:sz="0" w:space="0" w:color="auto"/>
      </w:divBdr>
    </w:div>
    <w:div w:id="119959101">
      <w:bodyDiv w:val="1"/>
      <w:marLeft w:val="0"/>
      <w:marRight w:val="0"/>
      <w:marTop w:val="0"/>
      <w:marBottom w:val="0"/>
      <w:divBdr>
        <w:top w:val="none" w:sz="0" w:space="0" w:color="auto"/>
        <w:left w:val="none" w:sz="0" w:space="0" w:color="auto"/>
        <w:bottom w:val="none" w:sz="0" w:space="0" w:color="auto"/>
        <w:right w:val="none" w:sz="0" w:space="0" w:color="auto"/>
      </w:divBdr>
    </w:div>
    <w:div w:id="122886954">
      <w:bodyDiv w:val="1"/>
      <w:marLeft w:val="0"/>
      <w:marRight w:val="0"/>
      <w:marTop w:val="0"/>
      <w:marBottom w:val="0"/>
      <w:divBdr>
        <w:top w:val="none" w:sz="0" w:space="0" w:color="auto"/>
        <w:left w:val="none" w:sz="0" w:space="0" w:color="auto"/>
        <w:bottom w:val="none" w:sz="0" w:space="0" w:color="auto"/>
        <w:right w:val="none" w:sz="0" w:space="0" w:color="auto"/>
      </w:divBdr>
    </w:div>
    <w:div w:id="129833941">
      <w:bodyDiv w:val="1"/>
      <w:marLeft w:val="0"/>
      <w:marRight w:val="0"/>
      <w:marTop w:val="0"/>
      <w:marBottom w:val="0"/>
      <w:divBdr>
        <w:top w:val="none" w:sz="0" w:space="0" w:color="auto"/>
        <w:left w:val="none" w:sz="0" w:space="0" w:color="auto"/>
        <w:bottom w:val="none" w:sz="0" w:space="0" w:color="auto"/>
        <w:right w:val="none" w:sz="0" w:space="0" w:color="auto"/>
      </w:divBdr>
    </w:div>
    <w:div w:id="132452609">
      <w:bodyDiv w:val="1"/>
      <w:marLeft w:val="0"/>
      <w:marRight w:val="0"/>
      <w:marTop w:val="0"/>
      <w:marBottom w:val="0"/>
      <w:divBdr>
        <w:top w:val="none" w:sz="0" w:space="0" w:color="auto"/>
        <w:left w:val="none" w:sz="0" w:space="0" w:color="auto"/>
        <w:bottom w:val="none" w:sz="0" w:space="0" w:color="auto"/>
        <w:right w:val="none" w:sz="0" w:space="0" w:color="auto"/>
      </w:divBdr>
    </w:div>
    <w:div w:id="135143452">
      <w:bodyDiv w:val="1"/>
      <w:marLeft w:val="0"/>
      <w:marRight w:val="0"/>
      <w:marTop w:val="0"/>
      <w:marBottom w:val="0"/>
      <w:divBdr>
        <w:top w:val="none" w:sz="0" w:space="0" w:color="auto"/>
        <w:left w:val="none" w:sz="0" w:space="0" w:color="auto"/>
        <w:bottom w:val="none" w:sz="0" w:space="0" w:color="auto"/>
        <w:right w:val="none" w:sz="0" w:space="0" w:color="auto"/>
      </w:divBdr>
    </w:div>
    <w:div w:id="135413349">
      <w:bodyDiv w:val="1"/>
      <w:marLeft w:val="0"/>
      <w:marRight w:val="0"/>
      <w:marTop w:val="0"/>
      <w:marBottom w:val="0"/>
      <w:divBdr>
        <w:top w:val="none" w:sz="0" w:space="0" w:color="auto"/>
        <w:left w:val="none" w:sz="0" w:space="0" w:color="auto"/>
        <w:bottom w:val="none" w:sz="0" w:space="0" w:color="auto"/>
        <w:right w:val="none" w:sz="0" w:space="0" w:color="auto"/>
      </w:divBdr>
    </w:div>
    <w:div w:id="139540457">
      <w:bodyDiv w:val="1"/>
      <w:marLeft w:val="0"/>
      <w:marRight w:val="0"/>
      <w:marTop w:val="0"/>
      <w:marBottom w:val="0"/>
      <w:divBdr>
        <w:top w:val="none" w:sz="0" w:space="0" w:color="auto"/>
        <w:left w:val="none" w:sz="0" w:space="0" w:color="auto"/>
        <w:bottom w:val="none" w:sz="0" w:space="0" w:color="auto"/>
        <w:right w:val="none" w:sz="0" w:space="0" w:color="auto"/>
      </w:divBdr>
    </w:div>
    <w:div w:id="143353812">
      <w:bodyDiv w:val="1"/>
      <w:marLeft w:val="0"/>
      <w:marRight w:val="0"/>
      <w:marTop w:val="0"/>
      <w:marBottom w:val="0"/>
      <w:divBdr>
        <w:top w:val="none" w:sz="0" w:space="0" w:color="auto"/>
        <w:left w:val="none" w:sz="0" w:space="0" w:color="auto"/>
        <w:bottom w:val="none" w:sz="0" w:space="0" w:color="auto"/>
        <w:right w:val="none" w:sz="0" w:space="0" w:color="auto"/>
      </w:divBdr>
    </w:div>
    <w:div w:id="144244841">
      <w:bodyDiv w:val="1"/>
      <w:marLeft w:val="0"/>
      <w:marRight w:val="0"/>
      <w:marTop w:val="0"/>
      <w:marBottom w:val="0"/>
      <w:divBdr>
        <w:top w:val="none" w:sz="0" w:space="0" w:color="auto"/>
        <w:left w:val="none" w:sz="0" w:space="0" w:color="auto"/>
        <w:bottom w:val="none" w:sz="0" w:space="0" w:color="auto"/>
        <w:right w:val="none" w:sz="0" w:space="0" w:color="auto"/>
      </w:divBdr>
    </w:div>
    <w:div w:id="150367339">
      <w:bodyDiv w:val="1"/>
      <w:marLeft w:val="0"/>
      <w:marRight w:val="0"/>
      <w:marTop w:val="0"/>
      <w:marBottom w:val="0"/>
      <w:divBdr>
        <w:top w:val="none" w:sz="0" w:space="0" w:color="auto"/>
        <w:left w:val="none" w:sz="0" w:space="0" w:color="auto"/>
        <w:bottom w:val="none" w:sz="0" w:space="0" w:color="auto"/>
        <w:right w:val="none" w:sz="0" w:space="0" w:color="auto"/>
      </w:divBdr>
    </w:div>
    <w:div w:id="151944886">
      <w:bodyDiv w:val="1"/>
      <w:marLeft w:val="0"/>
      <w:marRight w:val="0"/>
      <w:marTop w:val="0"/>
      <w:marBottom w:val="0"/>
      <w:divBdr>
        <w:top w:val="none" w:sz="0" w:space="0" w:color="auto"/>
        <w:left w:val="none" w:sz="0" w:space="0" w:color="auto"/>
        <w:bottom w:val="none" w:sz="0" w:space="0" w:color="auto"/>
        <w:right w:val="none" w:sz="0" w:space="0" w:color="auto"/>
      </w:divBdr>
    </w:div>
    <w:div w:id="152307461">
      <w:bodyDiv w:val="1"/>
      <w:marLeft w:val="0"/>
      <w:marRight w:val="0"/>
      <w:marTop w:val="0"/>
      <w:marBottom w:val="0"/>
      <w:divBdr>
        <w:top w:val="none" w:sz="0" w:space="0" w:color="auto"/>
        <w:left w:val="none" w:sz="0" w:space="0" w:color="auto"/>
        <w:bottom w:val="none" w:sz="0" w:space="0" w:color="auto"/>
        <w:right w:val="none" w:sz="0" w:space="0" w:color="auto"/>
      </w:divBdr>
    </w:div>
    <w:div w:id="154690175">
      <w:bodyDiv w:val="1"/>
      <w:marLeft w:val="0"/>
      <w:marRight w:val="0"/>
      <w:marTop w:val="0"/>
      <w:marBottom w:val="0"/>
      <w:divBdr>
        <w:top w:val="none" w:sz="0" w:space="0" w:color="auto"/>
        <w:left w:val="none" w:sz="0" w:space="0" w:color="auto"/>
        <w:bottom w:val="none" w:sz="0" w:space="0" w:color="auto"/>
        <w:right w:val="none" w:sz="0" w:space="0" w:color="auto"/>
      </w:divBdr>
    </w:div>
    <w:div w:id="155652508">
      <w:bodyDiv w:val="1"/>
      <w:marLeft w:val="0"/>
      <w:marRight w:val="0"/>
      <w:marTop w:val="0"/>
      <w:marBottom w:val="0"/>
      <w:divBdr>
        <w:top w:val="none" w:sz="0" w:space="0" w:color="auto"/>
        <w:left w:val="none" w:sz="0" w:space="0" w:color="auto"/>
        <w:bottom w:val="none" w:sz="0" w:space="0" w:color="auto"/>
        <w:right w:val="none" w:sz="0" w:space="0" w:color="auto"/>
      </w:divBdr>
    </w:div>
    <w:div w:id="155729068">
      <w:bodyDiv w:val="1"/>
      <w:marLeft w:val="0"/>
      <w:marRight w:val="0"/>
      <w:marTop w:val="0"/>
      <w:marBottom w:val="0"/>
      <w:divBdr>
        <w:top w:val="none" w:sz="0" w:space="0" w:color="auto"/>
        <w:left w:val="none" w:sz="0" w:space="0" w:color="auto"/>
        <w:bottom w:val="none" w:sz="0" w:space="0" w:color="auto"/>
        <w:right w:val="none" w:sz="0" w:space="0" w:color="auto"/>
      </w:divBdr>
    </w:div>
    <w:div w:id="159735759">
      <w:bodyDiv w:val="1"/>
      <w:marLeft w:val="0"/>
      <w:marRight w:val="0"/>
      <w:marTop w:val="0"/>
      <w:marBottom w:val="0"/>
      <w:divBdr>
        <w:top w:val="none" w:sz="0" w:space="0" w:color="auto"/>
        <w:left w:val="none" w:sz="0" w:space="0" w:color="auto"/>
        <w:bottom w:val="none" w:sz="0" w:space="0" w:color="auto"/>
        <w:right w:val="none" w:sz="0" w:space="0" w:color="auto"/>
      </w:divBdr>
    </w:div>
    <w:div w:id="160774668">
      <w:bodyDiv w:val="1"/>
      <w:marLeft w:val="0"/>
      <w:marRight w:val="0"/>
      <w:marTop w:val="0"/>
      <w:marBottom w:val="0"/>
      <w:divBdr>
        <w:top w:val="none" w:sz="0" w:space="0" w:color="auto"/>
        <w:left w:val="none" w:sz="0" w:space="0" w:color="auto"/>
        <w:bottom w:val="none" w:sz="0" w:space="0" w:color="auto"/>
        <w:right w:val="none" w:sz="0" w:space="0" w:color="auto"/>
      </w:divBdr>
    </w:div>
    <w:div w:id="163059960">
      <w:bodyDiv w:val="1"/>
      <w:marLeft w:val="0"/>
      <w:marRight w:val="0"/>
      <w:marTop w:val="0"/>
      <w:marBottom w:val="0"/>
      <w:divBdr>
        <w:top w:val="none" w:sz="0" w:space="0" w:color="auto"/>
        <w:left w:val="none" w:sz="0" w:space="0" w:color="auto"/>
        <w:bottom w:val="none" w:sz="0" w:space="0" w:color="auto"/>
        <w:right w:val="none" w:sz="0" w:space="0" w:color="auto"/>
      </w:divBdr>
    </w:div>
    <w:div w:id="166795544">
      <w:bodyDiv w:val="1"/>
      <w:marLeft w:val="0"/>
      <w:marRight w:val="0"/>
      <w:marTop w:val="0"/>
      <w:marBottom w:val="0"/>
      <w:divBdr>
        <w:top w:val="none" w:sz="0" w:space="0" w:color="auto"/>
        <w:left w:val="none" w:sz="0" w:space="0" w:color="auto"/>
        <w:bottom w:val="none" w:sz="0" w:space="0" w:color="auto"/>
        <w:right w:val="none" w:sz="0" w:space="0" w:color="auto"/>
      </w:divBdr>
    </w:div>
    <w:div w:id="167062381">
      <w:bodyDiv w:val="1"/>
      <w:marLeft w:val="0"/>
      <w:marRight w:val="0"/>
      <w:marTop w:val="0"/>
      <w:marBottom w:val="0"/>
      <w:divBdr>
        <w:top w:val="none" w:sz="0" w:space="0" w:color="auto"/>
        <w:left w:val="none" w:sz="0" w:space="0" w:color="auto"/>
        <w:bottom w:val="none" w:sz="0" w:space="0" w:color="auto"/>
        <w:right w:val="none" w:sz="0" w:space="0" w:color="auto"/>
      </w:divBdr>
    </w:div>
    <w:div w:id="167255202">
      <w:bodyDiv w:val="1"/>
      <w:marLeft w:val="0"/>
      <w:marRight w:val="0"/>
      <w:marTop w:val="0"/>
      <w:marBottom w:val="0"/>
      <w:divBdr>
        <w:top w:val="none" w:sz="0" w:space="0" w:color="auto"/>
        <w:left w:val="none" w:sz="0" w:space="0" w:color="auto"/>
        <w:bottom w:val="none" w:sz="0" w:space="0" w:color="auto"/>
        <w:right w:val="none" w:sz="0" w:space="0" w:color="auto"/>
      </w:divBdr>
    </w:div>
    <w:div w:id="169487760">
      <w:bodyDiv w:val="1"/>
      <w:marLeft w:val="0"/>
      <w:marRight w:val="0"/>
      <w:marTop w:val="0"/>
      <w:marBottom w:val="0"/>
      <w:divBdr>
        <w:top w:val="none" w:sz="0" w:space="0" w:color="auto"/>
        <w:left w:val="none" w:sz="0" w:space="0" w:color="auto"/>
        <w:bottom w:val="none" w:sz="0" w:space="0" w:color="auto"/>
        <w:right w:val="none" w:sz="0" w:space="0" w:color="auto"/>
      </w:divBdr>
    </w:div>
    <w:div w:id="171800330">
      <w:bodyDiv w:val="1"/>
      <w:marLeft w:val="0"/>
      <w:marRight w:val="0"/>
      <w:marTop w:val="0"/>
      <w:marBottom w:val="0"/>
      <w:divBdr>
        <w:top w:val="none" w:sz="0" w:space="0" w:color="auto"/>
        <w:left w:val="none" w:sz="0" w:space="0" w:color="auto"/>
        <w:bottom w:val="none" w:sz="0" w:space="0" w:color="auto"/>
        <w:right w:val="none" w:sz="0" w:space="0" w:color="auto"/>
      </w:divBdr>
    </w:div>
    <w:div w:id="172573567">
      <w:bodyDiv w:val="1"/>
      <w:marLeft w:val="0"/>
      <w:marRight w:val="0"/>
      <w:marTop w:val="0"/>
      <w:marBottom w:val="0"/>
      <w:divBdr>
        <w:top w:val="none" w:sz="0" w:space="0" w:color="auto"/>
        <w:left w:val="none" w:sz="0" w:space="0" w:color="auto"/>
        <w:bottom w:val="none" w:sz="0" w:space="0" w:color="auto"/>
        <w:right w:val="none" w:sz="0" w:space="0" w:color="auto"/>
      </w:divBdr>
    </w:div>
    <w:div w:id="178202327">
      <w:bodyDiv w:val="1"/>
      <w:marLeft w:val="0"/>
      <w:marRight w:val="0"/>
      <w:marTop w:val="0"/>
      <w:marBottom w:val="0"/>
      <w:divBdr>
        <w:top w:val="none" w:sz="0" w:space="0" w:color="auto"/>
        <w:left w:val="none" w:sz="0" w:space="0" w:color="auto"/>
        <w:bottom w:val="none" w:sz="0" w:space="0" w:color="auto"/>
        <w:right w:val="none" w:sz="0" w:space="0" w:color="auto"/>
      </w:divBdr>
    </w:div>
    <w:div w:id="181864736">
      <w:bodyDiv w:val="1"/>
      <w:marLeft w:val="0"/>
      <w:marRight w:val="0"/>
      <w:marTop w:val="0"/>
      <w:marBottom w:val="0"/>
      <w:divBdr>
        <w:top w:val="none" w:sz="0" w:space="0" w:color="auto"/>
        <w:left w:val="none" w:sz="0" w:space="0" w:color="auto"/>
        <w:bottom w:val="none" w:sz="0" w:space="0" w:color="auto"/>
        <w:right w:val="none" w:sz="0" w:space="0" w:color="auto"/>
      </w:divBdr>
    </w:div>
    <w:div w:id="182476885">
      <w:bodyDiv w:val="1"/>
      <w:marLeft w:val="0"/>
      <w:marRight w:val="0"/>
      <w:marTop w:val="0"/>
      <w:marBottom w:val="0"/>
      <w:divBdr>
        <w:top w:val="none" w:sz="0" w:space="0" w:color="auto"/>
        <w:left w:val="none" w:sz="0" w:space="0" w:color="auto"/>
        <w:bottom w:val="none" w:sz="0" w:space="0" w:color="auto"/>
        <w:right w:val="none" w:sz="0" w:space="0" w:color="auto"/>
      </w:divBdr>
    </w:div>
    <w:div w:id="184171153">
      <w:bodyDiv w:val="1"/>
      <w:marLeft w:val="0"/>
      <w:marRight w:val="0"/>
      <w:marTop w:val="0"/>
      <w:marBottom w:val="0"/>
      <w:divBdr>
        <w:top w:val="none" w:sz="0" w:space="0" w:color="auto"/>
        <w:left w:val="none" w:sz="0" w:space="0" w:color="auto"/>
        <w:bottom w:val="none" w:sz="0" w:space="0" w:color="auto"/>
        <w:right w:val="none" w:sz="0" w:space="0" w:color="auto"/>
      </w:divBdr>
    </w:div>
    <w:div w:id="185947241">
      <w:bodyDiv w:val="1"/>
      <w:marLeft w:val="0"/>
      <w:marRight w:val="0"/>
      <w:marTop w:val="0"/>
      <w:marBottom w:val="0"/>
      <w:divBdr>
        <w:top w:val="none" w:sz="0" w:space="0" w:color="auto"/>
        <w:left w:val="none" w:sz="0" w:space="0" w:color="auto"/>
        <w:bottom w:val="none" w:sz="0" w:space="0" w:color="auto"/>
        <w:right w:val="none" w:sz="0" w:space="0" w:color="auto"/>
      </w:divBdr>
    </w:div>
    <w:div w:id="188297605">
      <w:bodyDiv w:val="1"/>
      <w:marLeft w:val="0"/>
      <w:marRight w:val="0"/>
      <w:marTop w:val="0"/>
      <w:marBottom w:val="0"/>
      <w:divBdr>
        <w:top w:val="none" w:sz="0" w:space="0" w:color="auto"/>
        <w:left w:val="none" w:sz="0" w:space="0" w:color="auto"/>
        <w:bottom w:val="none" w:sz="0" w:space="0" w:color="auto"/>
        <w:right w:val="none" w:sz="0" w:space="0" w:color="auto"/>
      </w:divBdr>
    </w:div>
    <w:div w:id="192034223">
      <w:bodyDiv w:val="1"/>
      <w:marLeft w:val="0"/>
      <w:marRight w:val="0"/>
      <w:marTop w:val="0"/>
      <w:marBottom w:val="0"/>
      <w:divBdr>
        <w:top w:val="none" w:sz="0" w:space="0" w:color="auto"/>
        <w:left w:val="none" w:sz="0" w:space="0" w:color="auto"/>
        <w:bottom w:val="none" w:sz="0" w:space="0" w:color="auto"/>
        <w:right w:val="none" w:sz="0" w:space="0" w:color="auto"/>
      </w:divBdr>
    </w:div>
    <w:div w:id="192620579">
      <w:bodyDiv w:val="1"/>
      <w:marLeft w:val="0"/>
      <w:marRight w:val="0"/>
      <w:marTop w:val="0"/>
      <w:marBottom w:val="0"/>
      <w:divBdr>
        <w:top w:val="none" w:sz="0" w:space="0" w:color="auto"/>
        <w:left w:val="none" w:sz="0" w:space="0" w:color="auto"/>
        <w:bottom w:val="none" w:sz="0" w:space="0" w:color="auto"/>
        <w:right w:val="none" w:sz="0" w:space="0" w:color="auto"/>
      </w:divBdr>
    </w:div>
    <w:div w:id="194660523">
      <w:bodyDiv w:val="1"/>
      <w:marLeft w:val="0"/>
      <w:marRight w:val="0"/>
      <w:marTop w:val="0"/>
      <w:marBottom w:val="0"/>
      <w:divBdr>
        <w:top w:val="none" w:sz="0" w:space="0" w:color="auto"/>
        <w:left w:val="none" w:sz="0" w:space="0" w:color="auto"/>
        <w:bottom w:val="none" w:sz="0" w:space="0" w:color="auto"/>
        <w:right w:val="none" w:sz="0" w:space="0" w:color="auto"/>
      </w:divBdr>
    </w:div>
    <w:div w:id="194739077">
      <w:bodyDiv w:val="1"/>
      <w:marLeft w:val="0"/>
      <w:marRight w:val="0"/>
      <w:marTop w:val="0"/>
      <w:marBottom w:val="0"/>
      <w:divBdr>
        <w:top w:val="none" w:sz="0" w:space="0" w:color="auto"/>
        <w:left w:val="none" w:sz="0" w:space="0" w:color="auto"/>
        <w:bottom w:val="none" w:sz="0" w:space="0" w:color="auto"/>
        <w:right w:val="none" w:sz="0" w:space="0" w:color="auto"/>
      </w:divBdr>
    </w:div>
    <w:div w:id="195387796">
      <w:bodyDiv w:val="1"/>
      <w:marLeft w:val="0"/>
      <w:marRight w:val="0"/>
      <w:marTop w:val="0"/>
      <w:marBottom w:val="0"/>
      <w:divBdr>
        <w:top w:val="none" w:sz="0" w:space="0" w:color="auto"/>
        <w:left w:val="none" w:sz="0" w:space="0" w:color="auto"/>
        <w:bottom w:val="none" w:sz="0" w:space="0" w:color="auto"/>
        <w:right w:val="none" w:sz="0" w:space="0" w:color="auto"/>
      </w:divBdr>
    </w:div>
    <w:div w:id="195965168">
      <w:bodyDiv w:val="1"/>
      <w:marLeft w:val="0"/>
      <w:marRight w:val="0"/>
      <w:marTop w:val="0"/>
      <w:marBottom w:val="0"/>
      <w:divBdr>
        <w:top w:val="none" w:sz="0" w:space="0" w:color="auto"/>
        <w:left w:val="none" w:sz="0" w:space="0" w:color="auto"/>
        <w:bottom w:val="none" w:sz="0" w:space="0" w:color="auto"/>
        <w:right w:val="none" w:sz="0" w:space="0" w:color="auto"/>
      </w:divBdr>
    </w:div>
    <w:div w:id="197084437">
      <w:bodyDiv w:val="1"/>
      <w:marLeft w:val="0"/>
      <w:marRight w:val="0"/>
      <w:marTop w:val="0"/>
      <w:marBottom w:val="0"/>
      <w:divBdr>
        <w:top w:val="none" w:sz="0" w:space="0" w:color="auto"/>
        <w:left w:val="none" w:sz="0" w:space="0" w:color="auto"/>
        <w:bottom w:val="none" w:sz="0" w:space="0" w:color="auto"/>
        <w:right w:val="none" w:sz="0" w:space="0" w:color="auto"/>
      </w:divBdr>
    </w:div>
    <w:div w:id="197091752">
      <w:bodyDiv w:val="1"/>
      <w:marLeft w:val="0"/>
      <w:marRight w:val="0"/>
      <w:marTop w:val="0"/>
      <w:marBottom w:val="0"/>
      <w:divBdr>
        <w:top w:val="none" w:sz="0" w:space="0" w:color="auto"/>
        <w:left w:val="none" w:sz="0" w:space="0" w:color="auto"/>
        <w:bottom w:val="none" w:sz="0" w:space="0" w:color="auto"/>
        <w:right w:val="none" w:sz="0" w:space="0" w:color="auto"/>
      </w:divBdr>
    </w:div>
    <w:div w:id="201523704">
      <w:bodyDiv w:val="1"/>
      <w:marLeft w:val="0"/>
      <w:marRight w:val="0"/>
      <w:marTop w:val="0"/>
      <w:marBottom w:val="0"/>
      <w:divBdr>
        <w:top w:val="none" w:sz="0" w:space="0" w:color="auto"/>
        <w:left w:val="none" w:sz="0" w:space="0" w:color="auto"/>
        <w:bottom w:val="none" w:sz="0" w:space="0" w:color="auto"/>
        <w:right w:val="none" w:sz="0" w:space="0" w:color="auto"/>
      </w:divBdr>
    </w:div>
    <w:div w:id="206993867">
      <w:bodyDiv w:val="1"/>
      <w:marLeft w:val="0"/>
      <w:marRight w:val="0"/>
      <w:marTop w:val="0"/>
      <w:marBottom w:val="0"/>
      <w:divBdr>
        <w:top w:val="none" w:sz="0" w:space="0" w:color="auto"/>
        <w:left w:val="none" w:sz="0" w:space="0" w:color="auto"/>
        <w:bottom w:val="none" w:sz="0" w:space="0" w:color="auto"/>
        <w:right w:val="none" w:sz="0" w:space="0" w:color="auto"/>
      </w:divBdr>
    </w:div>
    <w:div w:id="207423902">
      <w:bodyDiv w:val="1"/>
      <w:marLeft w:val="0"/>
      <w:marRight w:val="0"/>
      <w:marTop w:val="0"/>
      <w:marBottom w:val="0"/>
      <w:divBdr>
        <w:top w:val="none" w:sz="0" w:space="0" w:color="auto"/>
        <w:left w:val="none" w:sz="0" w:space="0" w:color="auto"/>
        <w:bottom w:val="none" w:sz="0" w:space="0" w:color="auto"/>
        <w:right w:val="none" w:sz="0" w:space="0" w:color="auto"/>
      </w:divBdr>
    </w:div>
    <w:div w:id="210464061">
      <w:bodyDiv w:val="1"/>
      <w:marLeft w:val="0"/>
      <w:marRight w:val="0"/>
      <w:marTop w:val="0"/>
      <w:marBottom w:val="0"/>
      <w:divBdr>
        <w:top w:val="none" w:sz="0" w:space="0" w:color="auto"/>
        <w:left w:val="none" w:sz="0" w:space="0" w:color="auto"/>
        <w:bottom w:val="none" w:sz="0" w:space="0" w:color="auto"/>
        <w:right w:val="none" w:sz="0" w:space="0" w:color="auto"/>
      </w:divBdr>
    </w:div>
    <w:div w:id="213393949">
      <w:bodyDiv w:val="1"/>
      <w:marLeft w:val="0"/>
      <w:marRight w:val="0"/>
      <w:marTop w:val="0"/>
      <w:marBottom w:val="0"/>
      <w:divBdr>
        <w:top w:val="none" w:sz="0" w:space="0" w:color="auto"/>
        <w:left w:val="none" w:sz="0" w:space="0" w:color="auto"/>
        <w:bottom w:val="none" w:sz="0" w:space="0" w:color="auto"/>
        <w:right w:val="none" w:sz="0" w:space="0" w:color="auto"/>
      </w:divBdr>
    </w:div>
    <w:div w:id="213977176">
      <w:bodyDiv w:val="1"/>
      <w:marLeft w:val="0"/>
      <w:marRight w:val="0"/>
      <w:marTop w:val="0"/>
      <w:marBottom w:val="0"/>
      <w:divBdr>
        <w:top w:val="none" w:sz="0" w:space="0" w:color="auto"/>
        <w:left w:val="none" w:sz="0" w:space="0" w:color="auto"/>
        <w:bottom w:val="none" w:sz="0" w:space="0" w:color="auto"/>
        <w:right w:val="none" w:sz="0" w:space="0" w:color="auto"/>
      </w:divBdr>
    </w:div>
    <w:div w:id="223298651">
      <w:bodyDiv w:val="1"/>
      <w:marLeft w:val="0"/>
      <w:marRight w:val="0"/>
      <w:marTop w:val="0"/>
      <w:marBottom w:val="0"/>
      <w:divBdr>
        <w:top w:val="none" w:sz="0" w:space="0" w:color="auto"/>
        <w:left w:val="none" w:sz="0" w:space="0" w:color="auto"/>
        <w:bottom w:val="none" w:sz="0" w:space="0" w:color="auto"/>
        <w:right w:val="none" w:sz="0" w:space="0" w:color="auto"/>
      </w:divBdr>
    </w:div>
    <w:div w:id="229049095">
      <w:bodyDiv w:val="1"/>
      <w:marLeft w:val="0"/>
      <w:marRight w:val="0"/>
      <w:marTop w:val="0"/>
      <w:marBottom w:val="0"/>
      <w:divBdr>
        <w:top w:val="none" w:sz="0" w:space="0" w:color="auto"/>
        <w:left w:val="none" w:sz="0" w:space="0" w:color="auto"/>
        <w:bottom w:val="none" w:sz="0" w:space="0" w:color="auto"/>
        <w:right w:val="none" w:sz="0" w:space="0" w:color="auto"/>
      </w:divBdr>
    </w:div>
    <w:div w:id="233781496">
      <w:bodyDiv w:val="1"/>
      <w:marLeft w:val="0"/>
      <w:marRight w:val="0"/>
      <w:marTop w:val="0"/>
      <w:marBottom w:val="0"/>
      <w:divBdr>
        <w:top w:val="none" w:sz="0" w:space="0" w:color="auto"/>
        <w:left w:val="none" w:sz="0" w:space="0" w:color="auto"/>
        <w:bottom w:val="none" w:sz="0" w:space="0" w:color="auto"/>
        <w:right w:val="none" w:sz="0" w:space="0" w:color="auto"/>
      </w:divBdr>
    </w:div>
    <w:div w:id="234902009">
      <w:bodyDiv w:val="1"/>
      <w:marLeft w:val="0"/>
      <w:marRight w:val="0"/>
      <w:marTop w:val="0"/>
      <w:marBottom w:val="0"/>
      <w:divBdr>
        <w:top w:val="none" w:sz="0" w:space="0" w:color="auto"/>
        <w:left w:val="none" w:sz="0" w:space="0" w:color="auto"/>
        <w:bottom w:val="none" w:sz="0" w:space="0" w:color="auto"/>
        <w:right w:val="none" w:sz="0" w:space="0" w:color="auto"/>
      </w:divBdr>
    </w:div>
    <w:div w:id="236861893">
      <w:bodyDiv w:val="1"/>
      <w:marLeft w:val="0"/>
      <w:marRight w:val="0"/>
      <w:marTop w:val="0"/>
      <w:marBottom w:val="0"/>
      <w:divBdr>
        <w:top w:val="none" w:sz="0" w:space="0" w:color="auto"/>
        <w:left w:val="none" w:sz="0" w:space="0" w:color="auto"/>
        <w:bottom w:val="none" w:sz="0" w:space="0" w:color="auto"/>
        <w:right w:val="none" w:sz="0" w:space="0" w:color="auto"/>
      </w:divBdr>
    </w:div>
    <w:div w:id="237135509">
      <w:bodyDiv w:val="1"/>
      <w:marLeft w:val="0"/>
      <w:marRight w:val="0"/>
      <w:marTop w:val="0"/>
      <w:marBottom w:val="0"/>
      <w:divBdr>
        <w:top w:val="none" w:sz="0" w:space="0" w:color="auto"/>
        <w:left w:val="none" w:sz="0" w:space="0" w:color="auto"/>
        <w:bottom w:val="none" w:sz="0" w:space="0" w:color="auto"/>
        <w:right w:val="none" w:sz="0" w:space="0" w:color="auto"/>
      </w:divBdr>
    </w:div>
    <w:div w:id="241332049">
      <w:bodyDiv w:val="1"/>
      <w:marLeft w:val="0"/>
      <w:marRight w:val="0"/>
      <w:marTop w:val="0"/>
      <w:marBottom w:val="0"/>
      <w:divBdr>
        <w:top w:val="none" w:sz="0" w:space="0" w:color="auto"/>
        <w:left w:val="none" w:sz="0" w:space="0" w:color="auto"/>
        <w:bottom w:val="none" w:sz="0" w:space="0" w:color="auto"/>
        <w:right w:val="none" w:sz="0" w:space="0" w:color="auto"/>
      </w:divBdr>
    </w:div>
    <w:div w:id="243075079">
      <w:bodyDiv w:val="1"/>
      <w:marLeft w:val="0"/>
      <w:marRight w:val="0"/>
      <w:marTop w:val="0"/>
      <w:marBottom w:val="0"/>
      <w:divBdr>
        <w:top w:val="none" w:sz="0" w:space="0" w:color="auto"/>
        <w:left w:val="none" w:sz="0" w:space="0" w:color="auto"/>
        <w:bottom w:val="none" w:sz="0" w:space="0" w:color="auto"/>
        <w:right w:val="none" w:sz="0" w:space="0" w:color="auto"/>
      </w:divBdr>
    </w:div>
    <w:div w:id="243809096">
      <w:bodyDiv w:val="1"/>
      <w:marLeft w:val="0"/>
      <w:marRight w:val="0"/>
      <w:marTop w:val="0"/>
      <w:marBottom w:val="0"/>
      <w:divBdr>
        <w:top w:val="none" w:sz="0" w:space="0" w:color="auto"/>
        <w:left w:val="none" w:sz="0" w:space="0" w:color="auto"/>
        <w:bottom w:val="none" w:sz="0" w:space="0" w:color="auto"/>
        <w:right w:val="none" w:sz="0" w:space="0" w:color="auto"/>
      </w:divBdr>
    </w:div>
    <w:div w:id="244806835">
      <w:bodyDiv w:val="1"/>
      <w:marLeft w:val="0"/>
      <w:marRight w:val="0"/>
      <w:marTop w:val="0"/>
      <w:marBottom w:val="0"/>
      <w:divBdr>
        <w:top w:val="none" w:sz="0" w:space="0" w:color="auto"/>
        <w:left w:val="none" w:sz="0" w:space="0" w:color="auto"/>
        <w:bottom w:val="none" w:sz="0" w:space="0" w:color="auto"/>
        <w:right w:val="none" w:sz="0" w:space="0" w:color="auto"/>
      </w:divBdr>
    </w:div>
    <w:div w:id="247543706">
      <w:bodyDiv w:val="1"/>
      <w:marLeft w:val="0"/>
      <w:marRight w:val="0"/>
      <w:marTop w:val="0"/>
      <w:marBottom w:val="0"/>
      <w:divBdr>
        <w:top w:val="none" w:sz="0" w:space="0" w:color="auto"/>
        <w:left w:val="none" w:sz="0" w:space="0" w:color="auto"/>
        <w:bottom w:val="none" w:sz="0" w:space="0" w:color="auto"/>
        <w:right w:val="none" w:sz="0" w:space="0" w:color="auto"/>
      </w:divBdr>
    </w:div>
    <w:div w:id="247622702">
      <w:bodyDiv w:val="1"/>
      <w:marLeft w:val="0"/>
      <w:marRight w:val="0"/>
      <w:marTop w:val="0"/>
      <w:marBottom w:val="0"/>
      <w:divBdr>
        <w:top w:val="none" w:sz="0" w:space="0" w:color="auto"/>
        <w:left w:val="none" w:sz="0" w:space="0" w:color="auto"/>
        <w:bottom w:val="none" w:sz="0" w:space="0" w:color="auto"/>
        <w:right w:val="none" w:sz="0" w:space="0" w:color="auto"/>
      </w:divBdr>
    </w:div>
    <w:div w:id="249655629">
      <w:bodyDiv w:val="1"/>
      <w:marLeft w:val="0"/>
      <w:marRight w:val="0"/>
      <w:marTop w:val="0"/>
      <w:marBottom w:val="0"/>
      <w:divBdr>
        <w:top w:val="none" w:sz="0" w:space="0" w:color="auto"/>
        <w:left w:val="none" w:sz="0" w:space="0" w:color="auto"/>
        <w:bottom w:val="none" w:sz="0" w:space="0" w:color="auto"/>
        <w:right w:val="none" w:sz="0" w:space="0" w:color="auto"/>
      </w:divBdr>
    </w:div>
    <w:div w:id="249849984">
      <w:bodyDiv w:val="1"/>
      <w:marLeft w:val="0"/>
      <w:marRight w:val="0"/>
      <w:marTop w:val="0"/>
      <w:marBottom w:val="0"/>
      <w:divBdr>
        <w:top w:val="none" w:sz="0" w:space="0" w:color="auto"/>
        <w:left w:val="none" w:sz="0" w:space="0" w:color="auto"/>
        <w:bottom w:val="none" w:sz="0" w:space="0" w:color="auto"/>
        <w:right w:val="none" w:sz="0" w:space="0" w:color="auto"/>
      </w:divBdr>
    </w:div>
    <w:div w:id="252130346">
      <w:bodyDiv w:val="1"/>
      <w:marLeft w:val="0"/>
      <w:marRight w:val="0"/>
      <w:marTop w:val="0"/>
      <w:marBottom w:val="0"/>
      <w:divBdr>
        <w:top w:val="none" w:sz="0" w:space="0" w:color="auto"/>
        <w:left w:val="none" w:sz="0" w:space="0" w:color="auto"/>
        <w:bottom w:val="none" w:sz="0" w:space="0" w:color="auto"/>
        <w:right w:val="none" w:sz="0" w:space="0" w:color="auto"/>
      </w:divBdr>
    </w:div>
    <w:div w:id="256597510">
      <w:bodyDiv w:val="1"/>
      <w:marLeft w:val="0"/>
      <w:marRight w:val="0"/>
      <w:marTop w:val="0"/>
      <w:marBottom w:val="0"/>
      <w:divBdr>
        <w:top w:val="none" w:sz="0" w:space="0" w:color="auto"/>
        <w:left w:val="none" w:sz="0" w:space="0" w:color="auto"/>
        <w:bottom w:val="none" w:sz="0" w:space="0" w:color="auto"/>
        <w:right w:val="none" w:sz="0" w:space="0" w:color="auto"/>
      </w:divBdr>
    </w:div>
    <w:div w:id="260726870">
      <w:bodyDiv w:val="1"/>
      <w:marLeft w:val="0"/>
      <w:marRight w:val="0"/>
      <w:marTop w:val="0"/>
      <w:marBottom w:val="0"/>
      <w:divBdr>
        <w:top w:val="none" w:sz="0" w:space="0" w:color="auto"/>
        <w:left w:val="none" w:sz="0" w:space="0" w:color="auto"/>
        <w:bottom w:val="none" w:sz="0" w:space="0" w:color="auto"/>
        <w:right w:val="none" w:sz="0" w:space="0" w:color="auto"/>
      </w:divBdr>
    </w:div>
    <w:div w:id="261424139">
      <w:bodyDiv w:val="1"/>
      <w:marLeft w:val="0"/>
      <w:marRight w:val="0"/>
      <w:marTop w:val="0"/>
      <w:marBottom w:val="0"/>
      <w:divBdr>
        <w:top w:val="none" w:sz="0" w:space="0" w:color="auto"/>
        <w:left w:val="none" w:sz="0" w:space="0" w:color="auto"/>
        <w:bottom w:val="none" w:sz="0" w:space="0" w:color="auto"/>
        <w:right w:val="none" w:sz="0" w:space="0" w:color="auto"/>
      </w:divBdr>
    </w:div>
    <w:div w:id="262887341">
      <w:bodyDiv w:val="1"/>
      <w:marLeft w:val="0"/>
      <w:marRight w:val="0"/>
      <w:marTop w:val="0"/>
      <w:marBottom w:val="0"/>
      <w:divBdr>
        <w:top w:val="none" w:sz="0" w:space="0" w:color="auto"/>
        <w:left w:val="none" w:sz="0" w:space="0" w:color="auto"/>
        <w:bottom w:val="none" w:sz="0" w:space="0" w:color="auto"/>
        <w:right w:val="none" w:sz="0" w:space="0" w:color="auto"/>
      </w:divBdr>
    </w:div>
    <w:div w:id="265887697">
      <w:bodyDiv w:val="1"/>
      <w:marLeft w:val="0"/>
      <w:marRight w:val="0"/>
      <w:marTop w:val="0"/>
      <w:marBottom w:val="0"/>
      <w:divBdr>
        <w:top w:val="none" w:sz="0" w:space="0" w:color="auto"/>
        <w:left w:val="none" w:sz="0" w:space="0" w:color="auto"/>
        <w:bottom w:val="none" w:sz="0" w:space="0" w:color="auto"/>
        <w:right w:val="none" w:sz="0" w:space="0" w:color="auto"/>
      </w:divBdr>
    </w:div>
    <w:div w:id="270402144">
      <w:bodyDiv w:val="1"/>
      <w:marLeft w:val="0"/>
      <w:marRight w:val="0"/>
      <w:marTop w:val="0"/>
      <w:marBottom w:val="0"/>
      <w:divBdr>
        <w:top w:val="none" w:sz="0" w:space="0" w:color="auto"/>
        <w:left w:val="none" w:sz="0" w:space="0" w:color="auto"/>
        <w:bottom w:val="none" w:sz="0" w:space="0" w:color="auto"/>
        <w:right w:val="none" w:sz="0" w:space="0" w:color="auto"/>
      </w:divBdr>
    </w:div>
    <w:div w:id="271203996">
      <w:bodyDiv w:val="1"/>
      <w:marLeft w:val="0"/>
      <w:marRight w:val="0"/>
      <w:marTop w:val="0"/>
      <w:marBottom w:val="0"/>
      <w:divBdr>
        <w:top w:val="none" w:sz="0" w:space="0" w:color="auto"/>
        <w:left w:val="none" w:sz="0" w:space="0" w:color="auto"/>
        <w:bottom w:val="none" w:sz="0" w:space="0" w:color="auto"/>
        <w:right w:val="none" w:sz="0" w:space="0" w:color="auto"/>
      </w:divBdr>
    </w:div>
    <w:div w:id="271519796">
      <w:bodyDiv w:val="1"/>
      <w:marLeft w:val="0"/>
      <w:marRight w:val="0"/>
      <w:marTop w:val="0"/>
      <w:marBottom w:val="0"/>
      <w:divBdr>
        <w:top w:val="none" w:sz="0" w:space="0" w:color="auto"/>
        <w:left w:val="none" w:sz="0" w:space="0" w:color="auto"/>
        <w:bottom w:val="none" w:sz="0" w:space="0" w:color="auto"/>
        <w:right w:val="none" w:sz="0" w:space="0" w:color="auto"/>
      </w:divBdr>
    </w:div>
    <w:div w:id="272368689">
      <w:bodyDiv w:val="1"/>
      <w:marLeft w:val="0"/>
      <w:marRight w:val="0"/>
      <w:marTop w:val="0"/>
      <w:marBottom w:val="0"/>
      <w:divBdr>
        <w:top w:val="none" w:sz="0" w:space="0" w:color="auto"/>
        <w:left w:val="none" w:sz="0" w:space="0" w:color="auto"/>
        <w:bottom w:val="none" w:sz="0" w:space="0" w:color="auto"/>
        <w:right w:val="none" w:sz="0" w:space="0" w:color="auto"/>
      </w:divBdr>
    </w:div>
    <w:div w:id="273905636">
      <w:bodyDiv w:val="1"/>
      <w:marLeft w:val="0"/>
      <w:marRight w:val="0"/>
      <w:marTop w:val="0"/>
      <w:marBottom w:val="0"/>
      <w:divBdr>
        <w:top w:val="none" w:sz="0" w:space="0" w:color="auto"/>
        <w:left w:val="none" w:sz="0" w:space="0" w:color="auto"/>
        <w:bottom w:val="none" w:sz="0" w:space="0" w:color="auto"/>
        <w:right w:val="none" w:sz="0" w:space="0" w:color="auto"/>
      </w:divBdr>
    </w:div>
    <w:div w:id="277952196">
      <w:bodyDiv w:val="1"/>
      <w:marLeft w:val="0"/>
      <w:marRight w:val="0"/>
      <w:marTop w:val="0"/>
      <w:marBottom w:val="0"/>
      <w:divBdr>
        <w:top w:val="none" w:sz="0" w:space="0" w:color="auto"/>
        <w:left w:val="none" w:sz="0" w:space="0" w:color="auto"/>
        <w:bottom w:val="none" w:sz="0" w:space="0" w:color="auto"/>
        <w:right w:val="none" w:sz="0" w:space="0" w:color="auto"/>
      </w:divBdr>
    </w:div>
    <w:div w:id="278610969">
      <w:bodyDiv w:val="1"/>
      <w:marLeft w:val="0"/>
      <w:marRight w:val="0"/>
      <w:marTop w:val="0"/>
      <w:marBottom w:val="0"/>
      <w:divBdr>
        <w:top w:val="none" w:sz="0" w:space="0" w:color="auto"/>
        <w:left w:val="none" w:sz="0" w:space="0" w:color="auto"/>
        <w:bottom w:val="none" w:sz="0" w:space="0" w:color="auto"/>
        <w:right w:val="none" w:sz="0" w:space="0" w:color="auto"/>
      </w:divBdr>
    </w:div>
    <w:div w:id="280457173">
      <w:bodyDiv w:val="1"/>
      <w:marLeft w:val="0"/>
      <w:marRight w:val="0"/>
      <w:marTop w:val="0"/>
      <w:marBottom w:val="0"/>
      <w:divBdr>
        <w:top w:val="none" w:sz="0" w:space="0" w:color="auto"/>
        <w:left w:val="none" w:sz="0" w:space="0" w:color="auto"/>
        <w:bottom w:val="none" w:sz="0" w:space="0" w:color="auto"/>
        <w:right w:val="none" w:sz="0" w:space="0" w:color="auto"/>
      </w:divBdr>
    </w:div>
    <w:div w:id="283196708">
      <w:bodyDiv w:val="1"/>
      <w:marLeft w:val="0"/>
      <w:marRight w:val="0"/>
      <w:marTop w:val="0"/>
      <w:marBottom w:val="0"/>
      <w:divBdr>
        <w:top w:val="none" w:sz="0" w:space="0" w:color="auto"/>
        <w:left w:val="none" w:sz="0" w:space="0" w:color="auto"/>
        <w:bottom w:val="none" w:sz="0" w:space="0" w:color="auto"/>
        <w:right w:val="none" w:sz="0" w:space="0" w:color="auto"/>
      </w:divBdr>
    </w:div>
    <w:div w:id="287518496">
      <w:bodyDiv w:val="1"/>
      <w:marLeft w:val="0"/>
      <w:marRight w:val="0"/>
      <w:marTop w:val="0"/>
      <w:marBottom w:val="0"/>
      <w:divBdr>
        <w:top w:val="none" w:sz="0" w:space="0" w:color="auto"/>
        <w:left w:val="none" w:sz="0" w:space="0" w:color="auto"/>
        <w:bottom w:val="none" w:sz="0" w:space="0" w:color="auto"/>
        <w:right w:val="none" w:sz="0" w:space="0" w:color="auto"/>
      </w:divBdr>
    </w:div>
    <w:div w:id="291984796">
      <w:bodyDiv w:val="1"/>
      <w:marLeft w:val="0"/>
      <w:marRight w:val="0"/>
      <w:marTop w:val="0"/>
      <w:marBottom w:val="0"/>
      <w:divBdr>
        <w:top w:val="none" w:sz="0" w:space="0" w:color="auto"/>
        <w:left w:val="none" w:sz="0" w:space="0" w:color="auto"/>
        <w:bottom w:val="none" w:sz="0" w:space="0" w:color="auto"/>
        <w:right w:val="none" w:sz="0" w:space="0" w:color="auto"/>
      </w:divBdr>
    </w:div>
    <w:div w:id="292906984">
      <w:bodyDiv w:val="1"/>
      <w:marLeft w:val="0"/>
      <w:marRight w:val="0"/>
      <w:marTop w:val="0"/>
      <w:marBottom w:val="0"/>
      <w:divBdr>
        <w:top w:val="none" w:sz="0" w:space="0" w:color="auto"/>
        <w:left w:val="none" w:sz="0" w:space="0" w:color="auto"/>
        <w:bottom w:val="none" w:sz="0" w:space="0" w:color="auto"/>
        <w:right w:val="none" w:sz="0" w:space="0" w:color="auto"/>
      </w:divBdr>
    </w:div>
    <w:div w:id="295261114">
      <w:bodyDiv w:val="1"/>
      <w:marLeft w:val="0"/>
      <w:marRight w:val="0"/>
      <w:marTop w:val="0"/>
      <w:marBottom w:val="0"/>
      <w:divBdr>
        <w:top w:val="none" w:sz="0" w:space="0" w:color="auto"/>
        <w:left w:val="none" w:sz="0" w:space="0" w:color="auto"/>
        <w:bottom w:val="none" w:sz="0" w:space="0" w:color="auto"/>
        <w:right w:val="none" w:sz="0" w:space="0" w:color="auto"/>
      </w:divBdr>
    </w:div>
    <w:div w:id="297151629">
      <w:bodyDiv w:val="1"/>
      <w:marLeft w:val="0"/>
      <w:marRight w:val="0"/>
      <w:marTop w:val="0"/>
      <w:marBottom w:val="0"/>
      <w:divBdr>
        <w:top w:val="none" w:sz="0" w:space="0" w:color="auto"/>
        <w:left w:val="none" w:sz="0" w:space="0" w:color="auto"/>
        <w:bottom w:val="none" w:sz="0" w:space="0" w:color="auto"/>
        <w:right w:val="none" w:sz="0" w:space="0" w:color="auto"/>
      </w:divBdr>
    </w:div>
    <w:div w:id="299723809">
      <w:bodyDiv w:val="1"/>
      <w:marLeft w:val="0"/>
      <w:marRight w:val="0"/>
      <w:marTop w:val="0"/>
      <w:marBottom w:val="0"/>
      <w:divBdr>
        <w:top w:val="none" w:sz="0" w:space="0" w:color="auto"/>
        <w:left w:val="none" w:sz="0" w:space="0" w:color="auto"/>
        <w:bottom w:val="none" w:sz="0" w:space="0" w:color="auto"/>
        <w:right w:val="none" w:sz="0" w:space="0" w:color="auto"/>
      </w:divBdr>
    </w:div>
    <w:div w:id="302199203">
      <w:bodyDiv w:val="1"/>
      <w:marLeft w:val="0"/>
      <w:marRight w:val="0"/>
      <w:marTop w:val="0"/>
      <w:marBottom w:val="0"/>
      <w:divBdr>
        <w:top w:val="none" w:sz="0" w:space="0" w:color="auto"/>
        <w:left w:val="none" w:sz="0" w:space="0" w:color="auto"/>
        <w:bottom w:val="none" w:sz="0" w:space="0" w:color="auto"/>
        <w:right w:val="none" w:sz="0" w:space="0" w:color="auto"/>
      </w:divBdr>
    </w:div>
    <w:div w:id="305864944">
      <w:bodyDiv w:val="1"/>
      <w:marLeft w:val="0"/>
      <w:marRight w:val="0"/>
      <w:marTop w:val="0"/>
      <w:marBottom w:val="0"/>
      <w:divBdr>
        <w:top w:val="none" w:sz="0" w:space="0" w:color="auto"/>
        <w:left w:val="none" w:sz="0" w:space="0" w:color="auto"/>
        <w:bottom w:val="none" w:sz="0" w:space="0" w:color="auto"/>
        <w:right w:val="none" w:sz="0" w:space="0" w:color="auto"/>
      </w:divBdr>
    </w:div>
    <w:div w:id="310718155">
      <w:bodyDiv w:val="1"/>
      <w:marLeft w:val="0"/>
      <w:marRight w:val="0"/>
      <w:marTop w:val="0"/>
      <w:marBottom w:val="0"/>
      <w:divBdr>
        <w:top w:val="none" w:sz="0" w:space="0" w:color="auto"/>
        <w:left w:val="none" w:sz="0" w:space="0" w:color="auto"/>
        <w:bottom w:val="none" w:sz="0" w:space="0" w:color="auto"/>
        <w:right w:val="none" w:sz="0" w:space="0" w:color="auto"/>
      </w:divBdr>
    </w:div>
    <w:div w:id="312293734">
      <w:bodyDiv w:val="1"/>
      <w:marLeft w:val="0"/>
      <w:marRight w:val="0"/>
      <w:marTop w:val="0"/>
      <w:marBottom w:val="0"/>
      <w:divBdr>
        <w:top w:val="none" w:sz="0" w:space="0" w:color="auto"/>
        <w:left w:val="none" w:sz="0" w:space="0" w:color="auto"/>
        <w:bottom w:val="none" w:sz="0" w:space="0" w:color="auto"/>
        <w:right w:val="none" w:sz="0" w:space="0" w:color="auto"/>
      </w:divBdr>
    </w:div>
    <w:div w:id="315453421">
      <w:bodyDiv w:val="1"/>
      <w:marLeft w:val="0"/>
      <w:marRight w:val="0"/>
      <w:marTop w:val="0"/>
      <w:marBottom w:val="0"/>
      <w:divBdr>
        <w:top w:val="none" w:sz="0" w:space="0" w:color="auto"/>
        <w:left w:val="none" w:sz="0" w:space="0" w:color="auto"/>
        <w:bottom w:val="none" w:sz="0" w:space="0" w:color="auto"/>
        <w:right w:val="none" w:sz="0" w:space="0" w:color="auto"/>
      </w:divBdr>
    </w:div>
    <w:div w:id="316541030">
      <w:bodyDiv w:val="1"/>
      <w:marLeft w:val="0"/>
      <w:marRight w:val="0"/>
      <w:marTop w:val="0"/>
      <w:marBottom w:val="0"/>
      <w:divBdr>
        <w:top w:val="none" w:sz="0" w:space="0" w:color="auto"/>
        <w:left w:val="none" w:sz="0" w:space="0" w:color="auto"/>
        <w:bottom w:val="none" w:sz="0" w:space="0" w:color="auto"/>
        <w:right w:val="none" w:sz="0" w:space="0" w:color="auto"/>
      </w:divBdr>
    </w:div>
    <w:div w:id="318733611">
      <w:bodyDiv w:val="1"/>
      <w:marLeft w:val="0"/>
      <w:marRight w:val="0"/>
      <w:marTop w:val="0"/>
      <w:marBottom w:val="0"/>
      <w:divBdr>
        <w:top w:val="none" w:sz="0" w:space="0" w:color="auto"/>
        <w:left w:val="none" w:sz="0" w:space="0" w:color="auto"/>
        <w:bottom w:val="none" w:sz="0" w:space="0" w:color="auto"/>
        <w:right w:val="none" w:sz="0" w:space="0" w:color="auto"/>
      </w:divBdr>
    </w:div>
    <w:div w:id="319116719">
      <w:bodyDiv w:val="1"/>
      <w:marLeft w:val="0"/>
      <w:marRight w:val="0"/>
      <w:marTop w:val="0"/>
      <w:marBottom w:val="0"/>
      <w:divBdr>
        <w:top w:val="none" w:sz="0" w:space="0" w:color="auto"/>
        <w:left w:val="none" w:sz="0" w:space="0" w:color="auto"/>
        <w:bottom w:val="none" w:sz="0" w:space="0" w:color="auto"/>
        <w:right w:val="none" w:sz="0" w:space="0" w:color="auto"/>
      </w:divBdr>
    </w:div>
    <w:div w:id="321471221">
      <w:bodyDiv w:val="1"/>
      <w:marLeft w:val="0"/>
      <w:marRight w:val="0"/>
      <w:marTop w:val="0"/>
      <w:marBottom w:val="0"/>
      <w:divBdr>
        <w:top w:val="none" w:sz="0" w:space="0" w:color="auto"/>
        <w:left w:val="none" w:sz="0" w:space="0" w:color="auto"/>
        <w:bottom w:val="none" w:sz="0" w:space="0" w:color="auto"/>
        <w:right w:val="none" w:sz="0" w:space="0" w:color="auto"/>
      </w:divBdr>
    </w:div>
    <w:div w:id="328599959">
      <w:bodyDiv w:val="1"/>
      <w:marLeft w:val="0"/>
      <w:marRight w:val="0"/>
      <w:marTop w:val="0"/>
      <w:marBottom w:val="0"/>
      <w:divBdr>
        <w:top w:val="none" w:sz="0" w:space="0" w:color="auto"/>
        <w:left w:val="none" w:sz="0" w:space="0" w:color="auto"/>
        <w:bottom w:val="none" w:sz="0" w:space="0" w:color="auto"/>
        <w:right w:val="none" w:sz="0" w:space="0" w:color="auto"/>
      </w:divBdr>
    </w:div>
    <w:div w:id="332414239">
      <w:bodyDiv w:val="1"/>
      <w:marLeft w:val="0"/>
      <w:marRight w:val="0"/>
      <w:marTop w:val="0"/>
      <w:marBottom w:val="0"/>
      <w:divBdr>
        <w:top w:val="none" w:sz="0" w:space="0" w:color="auto"/>
        <w:left w:val="none" w:sz="0" w:space="0" w:color="auto"/>
        <w:bottom w:val="none" w:sz="0" w:space="0" w:color="auto"/>
        <w:right w:val="none" w:sz="0" w:space="0" w:color="auto"/>
      </w:divBdr>
    </w:div>
    <w:div w:id="334889121">
      <w:bodyDiv w:val="1"/>
      <w:marLeft w:val="0"/>
      <w:marRight w:val="0"/>
      <w:marTop w:val="0"/>
      <w:marBottom w:val="0"/>
      <w:divBdr>
        <w:top w:val="none" w:sz="0" w:space="0" w:color="auto"/>
        <w:left w:val="none" w:sz="0" w:space="0" w:color="auto"/>
        <w:bottom w:val="none" w:sz="0" w:space="0" w:color="auto"/>
        <w:right w:val="none" w:sz="0" w:space="0" w:color="auto"/>
      </w:divBdr>
    </w:div>
    <w:div w:id="336423024">
      <w:bodyDiv w:val="1"/>
      <w:marLeft w:val="0"/>
      <w:marRight w:val="0"/>
      <w:marTop w:val="0"/>
      <w:marBottom w:val="0"/>
      <w:divBdr>
        <w:top w:val="none" w:sz="0" w:space="0" w:color="auto"/>
        <w:left w:val="none" w:sz="0" w:space="0" w:color="auto"/>
        <w:bottom w:val="none" w:sz="0" w:space="0" w:color="auto"/>
        <w:right w:val="none" w:sz="0" w:space="0" w:color="auto"/>
      </w:divBdr>
    </w:div>
    <w:div w:id="340358254">
      <w:bodyDiv w:val="1"/>
      <w:marLeft w:val="0"/>
      <w:marRight w:val="0"/>
      <w:marTop w:val="0"/>
      <w:marBottom w:val="0"/>
      <w:divBdr>
        <w:top w:val="none" w:sz="0" w:space="0" w:color="auto"/>
        <w:left w:val="none" w:sz="0" w:space="0" w:color="auto"/>
        <w:bottom w:val="none" w:sz="0" w:space="0" w:color="auto"/>
        <w:right w:val="none" w:sz="0" w:space="0" w:color="auto"/>
      </w:divBdr>
    </w:div>
    <w:div w:id="340936984">
      <w:bodyDiv w:val="1"/>
      <w:marLeft w:val="0"/>
      <w:marRight w:val="0"/>
      <w:marTop w:val="0"/>
      <w:marBottom w:val="0"/>
      <w:divBdr>
        <w:top w:val="none" w:sz="0" w:space="0" w:color="auto"/>
        <w:left w:val="none" w:sz="0" w:space="0" w:color="auto"/>
        <w:bottom w:val="none" w:sz="0" w:space="0" w:color="auto"/>
        <w:right w:val="none" w:sz="0" w:space="0" w:color="auto"/>
      </w:divBdr>
    </w:div>
    <w:div w:id="341467780">
      <w:bodyDiv w:val="1"/>
      <w:marLeft w:val="0"/>
      <w:marRight w:val="0"/>
      <w:marTop w:val="0"/>
      <w:marBottom w:val="0"/>
      <w:divBdr>
        <w:top w:val="none" w:sz="0" w:space="0" w:color="auto"/>
        <w:left w:val="none" w:sz="0" w:space="0" w:color="auto"/>
        <w:bottom w:val="none" w:sz="0" w:space="0" w:color="auto"/>
        <w:right w:val="none" w:sz="0" w:space="0" w:color="auto"/>
      </w:divBdr>
    </w:div>
    <w:div w:id="344941553">
      <w:bodyDiv w:val="1"/>
      <w:marLeft w:val="0"/>
      <w:marRight w:val="0"/>
      <w:marTop w:val="0"/>
      <w:marBottom w:val="0"/>
      <w:divBdr>
        <w:top w:val="none" w:sz="0" w:space="0" w:color="auto"/>
        <w:left w:val="none" w:sz="0" w:space="0" w:color="auto"/>
        <w:bottom w:val="none" w:sz="0" w:space="0" w:color="auto"/>
        <w:right w:val="none" w:sz="0" w:space="0" w:color="auto"/>
      </w:divBdr>
    </w:div>
    <w:div w:id="345912596">
      <w:bodyDiv w:val="1"/>
      <w:marLeft w:val="0"/>
      <w:marRight w:val="0"/>
      <w:marTop w:val="0"/>
      <w:marBottom w:val="0"/>
      <w:divBdr>
        <w:top w:val="none" w:sz="0" w:space="0" w:color="auto"/>
        <w:left w:val="none" w:sz="0" w:space="0" w:color="auto"/>
        <w:bottom w:val="none" w:sz="0" w:space="0" w:color="auto"/>
        <w:right w:val="none" w:sz="0" w:space="0" w:color="auto"/>
      </w:divBdr>
    </w:div>
    <w:div w:id="346953276">
      <w:bodyDiv w:val="1"/>
      <w:marLeft w:val="0"/>
      <w:marRight w:val="0"/>
      <w:marTop w:val="0"/>
      <w:marBottom w:val="0"/>
      <w:divBdr>
        <w:top w:val="none" w:sz="0" w:space="0" w:color="auto"/>
        <w:left w:val="none" w:sz="0" w:space="0" w:color="auto"/>
        <w:bottom w:val="none" w:sz="0" w:space="0" w:color="auto"/>
        <w:right w:val="none" w:sz="0" w:space="0" w:color="auto"/>
      </w:divBdr>
    </w:div>
    <w:div w:id="347219585">
      <w:bodyDiv w:val="1"/>
      <w:marLeft w:val="0"/>
      <w:marRight w:val="0"/>
      <w:marTop w:val="0"/>
      <w:marBottom w:val="0"/>
      <w:divBdr>
        <w:top w:val="none" w:sz="0" w:space="0" w:color="auto"/>
        <w:left w:val="none" w:sz="0" w:space="0" w:color="auto"/>
        <w:bottom w:val="none" w:sz="0" w:space="0" w:color="auto"/>
        <w:right w:val="none" w:sz="0" w:space="0" w:color="auto"/>
      </w:divBdr>
    </w:div>
    <w:div w:id="347874408">
      <w:bodyDiv w:val="1"/>
      <w:marLeft w:val="0"/>
      <w:marRight w:val="0"/>
      <w:marTop w:val="0"/>
      <w:marBottom w:val="0"/>
      <w:divBdr>
        <w:top w:val="none" w:sz="0" w:space="0" w:color="auto"/>
        <w:left w:val="none" w:sz="0" w:space="0" w:color="auto"/>
        <w:bottom w:val="none" w:sz="0" w:space="0" w:color="auto"/>
        <w:right w:val="none" w:sz="0" w:space="0" w:color="auto"/>
      </w:divBdr>
    </w:div>
    <w:div w:id="353456553">
      <w:bodyDiv w:val="1"/>
      <w:marLeft w:val="0"/>
      <w:marRight w:val="0"/>
      <w:marTop w:val="0"/>
      <w:marBottom w:val="0"/>
      <w:divBdr>
        <w:top w:val="none" w:sz="0" w:space="0" w:color="auto"/>
        <w:left w:val="none" w:sz="0" w:space="0" w:color="auto"/>
        <w:bottom w:val="none" w:sz="0" w:space="0" w:color="auto"/>
        <w:right w:val="none" w:sz="0" w:space="0" w:color="auto"/>
      </w:divBdr>
    </w:div>
    <w:div w:id="353966888">
      <w:bodyDiv w:val="1"/>
      <w:marLeft w:val="0"/>
      <w:marRight w:val="0"/>
      <w:marTop w:val="0"/>
      <w:marBottom w:val="0"/>
      <w:divBdr>
        <w:top w:val="none" w:sz="0" w:space="0" w:color="auto"/>
        <w:left w:val="none" w:sz="0" w:space="0" w:color="auto"/>
        <w:bottom w:val="none" w:sz="0" w:space="0" w:color="auto"/>
        <w:right w:val="none" w:sz="0" w:space="0" w:color="auto"/>
      </w:divBdr>
    </w:div>
    <w:div w:id="356389791">
      <w:bodyDiv w:val="1"/>
      <w:marLeft w:val="0"/>
      <w:marRight w:val="0"/>
      <w:marTop w:val="0"/>
      <w:marBottom w:val="0"/>
      <w:divBdr>
        <w:top w:val="none" w:sz="0" w:space="0" w:color="auto"/>
        <w:left w:val="none" w:sz="0" w:space="0" w:color="auto"/>
        <w:bottom w:val="none" w:sz="0" w:space="0" w:color="auto"/>
        <w:right w:val="none" w:sz="0" w:space="0" w:color="auto"/>
      </w:divBdr>
    </w:div>
    <w:div w:id="362874533">
      <w:bodyDiv w:val="1"/>
      <w:marLeft w:val="0"/>
      <w:marRight w:val="0"/>
      <w:marTop w:val="0"/>
      <w:marBottom w:val="0"/>
      <w:divBdr>
        <w:top w:val="none" w:sz="0" w:space="0" w:color="auto"/>
        <w:left w:val="none" w:sz="0" w:space="0" w:color="auto"/>
        <w:bottom w:val="none" w:sz="0" w:space="0" w:color="auto"/>
        <w:right w:val="none" w:sz="0" w:space="0" w:color="auto"/>
      </w:divBdr>
    </w:div>
    <w:div w:id="363672607">
      <w:bodyDiv w:val="1"/>
      <w:marLeft w:val="0"/>
      <w:marRight w:val="0"/>
      <w:marTop w:val="0"/>
      <w:marBottom w:val="0"/>
      <w:divBdr>
        <w:top w:val="none" w:sz="0" w:space="0" w:color="auto"/>
        <w:left w:val="none" w:sz="0" w:space="0" w:color="auto"/>
        <w:bottom w:val="none" w:sz="0" w:space="0" w:color="auto"/>
        <w:right w:val="none" w:sz="0" w:space="0" w:color="auto"/>
      </w:divBdr>
    </w:div>
    <w:div w:id="364713886">
      <w:bodyDiv w:val="1"/>
      <w:marLeft w:val="0"/>
      <w:marRight w:val="0"/>
      <w:marTop w:val="0"/>
      <w:marBottom w:val="0"/>
      <w:divBdr>
        <w:top w:val="none" w:sz="0" w:space="0" w:color="auto"/>
        <w:left w:val="none" w:sz="0" w:space="0" w:color="auto"/>
        <w:bottom w:val="none" w:sz="0" w:space="0" w:color="auto"/>
        <w:right w:val="none" w:sz="0" w:space="0" w:color="auto"/>
      </w:divBdr>
    </w:div>
    <w:div w:id="367610038">
      <w:bodyDiv w:val="1"/>
      <w:marLeft w:val="0"/>
      <w:marRight w:val="0"/>
      <w:marTop w:val="0"/>
      <w:marBottom w:val="0"/>
      <w:divBdr>
        <w:top w:val="none" w:sz="0" w:space="0" w:color="auto"/>
        <w:left w:val="none" w:sz="0" w:space="0" w:color="auto"/>
        <w:bottom w:val="none" w:sz="0" w:space="0" w:color="auto"/>
        <w:right w:val="none" w:sz="0" w:space="0" w:color="auto"/>
      </w:divBdr>
    </w:div>
    <w:div w:id="371082119">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82676456">
      <w:bodyDiv w:val="1"/>
      <w:marLeft w:val="0"/>
      <w:marRight w:val="0"/>
      <w:marTop w:val="0"/>
      <w:marBottom w:val="0"/>
      <w:divBdr>
        <w:top w:val="none" w:sz="0" w:space="0" w:color="auto"/>
        <w:left w:val="none" w:sz="0" w:space="0" w:color="auto"/>
        <w:bottom w:val="none" w:sz="0" w:space="0" w:color="auto"/>
        <w:right w:val="none" w:sz="0" w:space="0" w:color="auto"/>
      </w:divBdr>
    </w:div>
    <w:div w:id="384068022">
      <w:bodyDiv w:val="1"/>
      <w:marLeft w:val="0"/>
      <w:marRight w:val="0"/>
      <w:marTop w:val="0"/>
      <w:marBottom w:val="0"/>
      <w:divBdr>
        <w:top w:val="none" w:sz="0" w:space="0" w:color="auto"/>
        <w:left w:val="none" w:sz="0" w:space="0" w:color="auto"/>
        <w:bottom w:val="none" w:sz="0" w:space="0" w:color="auto"/>
        <w:right w:val="none" w:sz="0" w:space="0" w:color="auto"/>
      </w:divBdr>
    </w:div>
    <w:div w:id="384990484">
      <w:bodyDiv w:val="1"/>
      <w:marLeft w:val="0"/>
      <w:marRight w:val="0"/>
      <w:marTop w:val="0"/>
      <w:marBottom w:val="0"/>
      <w:divBdr>
        <w:top w:val="none" w:sz="0" w:space="0" w:color="auto"/>
        <w:left w:val="none" w:sz="0" w:space="0" w:color="auto"/>
        <w:bottom w:val="none" w:sz="0" w:space="0" w:color="auto"/>
        <w:right w:val="none" w:sz="0" w:space="0" w:color="auto"/>
      </w:divBdr>
    </w:div>
    <w:div w:id="386153236">
      <w:bodyDiv w:val="1"/>
      <w:marLeft w:val="0"/>
      <w:marRight w:val="0"/>
      <w:marTop w:val="0"/>
      <w:marBottom w:val="0"/>
      <w:divBdr>
        <w:top w:val="none" w:sz="0" w:space="0" w:color="auto"/>
        <w:left w:val="none" w:sz="0" w:space="0" w:color="auto"/>
        <w:bottom w:val="none" w:sz="0" w:space="0" w:color="auto"/>
        <w:right w:val="none" w:sz="0" w:space="0" w:color="auto"/>
      </w:divBdr>
    </w:div>
    <w:div w:id="386299864">
      <w:bodyDiv w:val="1"/>
      <w:marLeft w:val="0"/>
      <w:marRight w:val="0"/>
      <w:marTop w:val="0"/>
      <w:marBottom w:val="0"/>
      <w:divBdr>
        <w:top w:val="none" w:sz="0" w:space="0" w:color="auto"/>
        <w:left w:val="none" w:sz="0" w:space="0" w:color="auto"/>
        <w:bottom w:val="none" w:sz="0" w:space="0" w:color="auto"/>
        <w:right w:val="none" w:sz="0" w:space="0" w:color="auto"/>
      </w:divBdr>
    </w:div>
    <w:div w:id="386926290">
      <w:bodyDiv w:val="1"/>
      <w:marLeft w:val="0"/>
      <w:marRight w:val="0"/>
      <w:marTop w:val="0"/>
      <w:marBottom w:val="0"/>
      <w:divBdr>
        <w:top w:val="none" w:sz="0" w:space="0" w:color="auto"/>
        <w:left w:val="none" w:sz="0" w:space="0" w:color="auto"/>
        <w:bottom w:val="none" w:sz="0" w:space="0" w:color="auto"/>
        <w:right w:val="none" w:sz="0" w:space="0" w:color="auto"/>
      </w:divBdr>
    </w:div>
    <w:div w:id="387652663">
      <w:bodyDiv w:val="1"/>
      <w:marLeft w:val="0"/>
      <w:marRight w:val="0"/>
      <w:marTop w:val="0"/>
      <w:marBottom w:val="0"/>
      <w:divBdr>
        <w:top w:val="none" w:sz="0" w:space="0" w:color="auto"/>
        <w:left w:val="none" w:sz="0" w:space="0" w:color="auto"/>
        <w:bottom w:val="none" w:sz="0" w:space="0" w:color="auto"/>
        <w:right w:val="none" w:sz="0" w:space="0" w:color="auto"/>
      </w:divBdr>
    </w:div>
    <w:div w:id="388655155">
      <w:bodyDiv w:val="1"/>
      <w:marLeft w:val="0"/>
      <w:marRight w:val="0"/>
      <w:marTop w:val="0"/>
      <w:marBottom w:val="0"/>
      <w:divBdr>
        <w:top w:val="none" w:sz="0" w:space="0" w:color="auto"/>
        <w:left w:val="none" w:sz="0" w:space="0" w:color="auto"/>
        <w:bottom w:val="none" w:sz="0" w:space="0" w:color="auto"/>
        <w:right w:val="none" w:sz="0" w:space="0" w:color="auto"/>
      </w:divBdr>
    </w:div>
    <w:div w:id="390271692">
      <w:bodyDiv w:val="1"/>
      <w:marLeft w:val="0"/>
      <w:marRight w:val="0"/>
      <w:marTop w:val="0"/>
      <w:marBottom w:val="0"/>
      <w:divBdr>
        <w:top w:val="none" w:sz="0" w:space="0" w:color="auto"/>
        <w:left w:val="none" w:sz="0" w:space="0" w:color="auto"/>
        <w:bottom w:val="none" w:sz="0" w:space="0" w:color="auto"/>
        <w:right w:val="none" w:sz="0" w:space="0" w:color="auto"/>
      </w:divBdr>
    </w:div>
    <w:div w:id="391269618">
      <w:bodyDiv w:val="1"/>
      <w:marLeft w:val="0"/>
      <w:marRight w:val="0"/>
      <w:marTop w:val="0"/>
      <w:marBottom w:val="0"/>
      <w:divBdr>
        <w:top w:val="none" w:sz="0" w:space="0" w:color="auto"/>
        <w:left w:val="none" w:sz="0" w:space="0" w:color="auto"/>
        <w:bottom w:val="none" w:sz="0" w:space="0" w:color="auto"/>
        <w:right w:val="none" w:sz="0" w:space="0" w:color="auto"/>
      </w:divBdr>
    </w:div>
    <w:div w:id="392974724">
      <w:bodyDiv w:val="1"/>
      <w:marLeft w:val="0"/>
      <w:marRight w:val="0"/>
      <w:marTop w:val="0"/>
      <w:marBottom w:val="0"/>
      <w:divBdr>
        <w:top w:val="none" w:sz="0" w:space="0" w:color="auto"/>
        <w:left w:val="none" w:sz="0" w:space="0" w:color="auto"/>
        <w:bottom w:val="none" w:sz="0" w:space="0" w:color="auto"/>
        <w:right w:val="none" w:sz="0" w:space="0" w:color="auto"/>
      </w:divBdr>
    </w:div>
    <w:div w:id="396124147">
      <w:bodyDiv w:val="1"/>
      <w:marLeft w:val="0"/>
      <w:marRight w:val="0"/>
      <w:marTop w:val="0"/>
      <w:marBottom w:val="0"/>
      <w:divBdr>
        <w:top w:val="none" w:sz="0" w:space="0" w:color="auto"/>
        <w:left w:val="none" w:sz="0" w:space="0" w:color="auto"/>
        <w:bottom w:val="none" w:sz="0" w:space="0" w:color="auto"/>
        <w:right w:val="none" w:sz="0" w:space="0" w:color="auto"/>
      </w:divBdr>
    </w:div>
    <w:div w:id="396515549">
      <w:bodyDiv w:val="1"/>
      <w:marLeft w:val="0"/>
      <w:marRight w:val="0"/>
      <w:marTop w:val="0"/>
      <w:marBottom w:val="0"/>
      <w:divBdr>
        <w:top w:val="none" w:sz="0" w:space="0" w:color="auto"/>
        <w:left w:val="none" w:sz="0" w:space="0" w:color="auto"/>
        <w:bottom w:val="none" w:sz="0" w:space="0" w:color="auto"/>
        <w:right w:val="none" w:sz="0" w:space="0" w:color="auto"/>
      </w:divBdr>
    </w:div>
    <w:div w:id="399443844">
      <w:bodyDiv w:val="1"/>
      <w:marLeft w:val="0"/>
      <w:marRight w:val="0"/>
      <w:marTop w:val="0"/>
      <w:marBottom w:val="0"/>
      <w:divBdr>
        <w:top w:val="none" w:sz="0" w:space="0" w:color="auto"/>
        <w:left w:val="none" w:sz="0" w:space="0" w:color="auto"/>
        <w:bottom w:val="none" w:sz="0" w:space="0" w:color="auto"/>
        <w:right w:val="none" w:sz="0" w:space="0" w:color="auto"/>
      </w:divBdr>
    </w:div>
    <w:div w:id="399645552">
      <w:bodyDiv w:val="1"/>
      <w:marLeft w:val="0"/>
      <w:marRight w:val="0"/>
      <w:marTop w:val="0"/>
      <w:marBottom w:val="0"/>
      <w:divBdr>
        <w:top w:val="none" w:sz="0" w:space="0" w:color="auto"/>
        <w:left w:val="none" w:sz="0" w:space="0" w:color="auto"/>
        <w:bottom w:val="none" w:sz="0" w:space="0" w:color="auto"/>
        <w:right w:val="none" w:sz="0" w:space="0" w:color="auto"/>
      </w:divBdr>
    </w:div>
    <w:div w:id="401415838">
      <w:bodyDiv w:val="1"/>
      <w:marLeft w:val="0"/>
      <w:marRight w:val="0"/>
      <w:marTop w:val="0"/>
      <w:marBottom w:val="0"/>
      <w:divBdr>
        <w:top w:val="none" w:sz="0" w:space="0" w:color="auto"/>
        <w:left w:val="none" w:sz="0" w:space="0" w:color="auto"/>
        <w:bottom w:val="none" w:sz="0" w:space="0" w:color="auto"/>
        <w:right w:val="none" w:sz="0" w:space="0" w:color="auto"/>
      </w:divBdr>
    </w:div>
    <w:div w:id="405078978">
      <w:bodyDiv w:val="1"/>
      <w:marLeft w:val="0"/>
      <w:marRight w:val="0"/>
      <w:marTop w:val="0"/>
      <w:marBottom w:val="0"/>
      <w:divBdr>
        <w:top w:val="none" w:sz="0" w:space="0" w:color="auto"/>
        <w:left w:val="none" w:sz="0" w:space="0" w:color="auto"/>
        <w:bottom w:val="none" w:sz="0" w:space="0" w:color="auto"/>
        <w:right w:val="none" w:sz="0" w:space="0" w:color="auto"/>
      </w:divBdr>
    </w:div>
    <w:div w:id="405537367">
      <w:bodyDiv w:val="1"/>
      <w:marLeft w:val="0"/>
      <w:marRight w:val="0"/>
      <w:marTop w:val="0"/>
      <w:marBottom w:val="0"/>
      <w:divBdr>
        <w:top w:val="none" w:sz="0" w:space="0" w:color="auto"/>
        <w:left w:val="none" w:sz="0" w:space="0" w:color="auto"/>
        <w:bottom w:val="none" w:sz="0" w:space="0" w:color="auto"/>
        <w:right w:val="none" w:sz="0" w:space="0" w:color="auto"/>
      </w:divBdr>
    </w:div>
    <w:div w:id="405961625">
      <w:bodyDiv w:val="1"/>
      <w:marLeft w:val="0"/>
      <w:marRight w:val="0"/>
      <w:marTop w:val="0"/>
      <w:marBottom w:val="0"/>
      <w:divBdr>
        <w:top w:val="none" w:sz="0" w:space="0" w:color="auto"/>
        <w:left w:val="none" w:sz="0" w:space="0" w:color="auto"/>
        <w:bottom w:val="none" w:sz="0" w:space="0" w:color="auto"/>
        <w:right w:val="none" w:sz="0" w:space="0" w:color="auto"/>
      </w:divBdr>
    </w:div>
    <w:div w:id="406194440">
      <w:bodyDiv w:val="1"/>
      <w:marLeft w:val="0"/>
      <w:marRight w:val="0"/>
      <w:marTop w:val="0"/>
      <w:marBottom w:val="0"/>
      <w:divBdr>
        <w:top w:val="none" w:sz="0" w:space="0" w:color="auto"/>
        <w:left w:val="none" w:sz="0" w:space="0" w:color="auto"/>
        <w:bottom w:val="none" w:sz="0" w:space="0" w:color="auto"/>
        <w:right w:val="none" w:sz="0" w:space="0" w:color="auto"/>
      </w:divBdr>
    </w:div>
    <w:div w:id="408038281">
      <w:bodyDiv w:val="1"/>
      <w:marLeft w:val="0"/>
      <w:marRight w:val="0"/>
      <w:marTop w:val="0"/>
      <w:marBottom w:val="0"/>
      <w:divBdr>
        <w:top w:val="none" w:sz="0" w:space="0" w:color="auto"/>
        <w:left w:val="none" w:sz="0" w:space="0" w:color="auto"/>
        <w:bottom w:val="none" w:sz="0" w:space="0" w:color="auto"/>
        <w:right w:val="none" w:sz="0" w:space="0" w:color="auto"/>
      </w:divBdr>
    </w:div>
    <w:div w:id="410851044">
      <w:bodyDiv w:val="1"/>
      <w:marLeft w:val="0"/>
      <w:marRight w:val="0"/>
      <w:marTop w:val="0"/>
      <w:marBottom w:val="0"/>
      <w:divBdr>
        <w:top w:val="none" w:sz="0" w:space="0" w:color="auto"/>
        <w:left w:val="none" w:sz="0" w:space="0" w:color="auto"/>
        <w:bottom w:val="none" w:sz="0" w:space="0" w:color="auto"/>
        <w:right w:val="none" w:sz="0" w:space="0" w:color="auto"/>
      </w:divBdr>
    </w:div>
    <w:div w:id="412776007">
      <w:bodyDiv w:val="1"/>
      <w:marLeft w:val="0"/>
      <w:marRight w:val="0"/>
      <w:marTop w:val="0"/>
      <w:marBottom w:val="0"/>
      <w:divBdr>
        <w:top w:val="none" w:sz="0" w:space="0" w:color="auto"/>
        <w:left w:val="none" w:sz="0" w:space="0" w:color="auto"/>
        <w:bottom w:val="none" w:sz="0" w:space="0" w:color="auto"/>
        <w:right w:val="none" w:sz="0" w:space="0" w:color="auto"/>
      </w:divBdr>
    </w:div>
    <w:div w:id="415522190">
      <w:bodyDiv w:val="1"/>
      <w:marLeft w:val="0"/>
      <w:marRight w:val="0"/>
      <w:marTop w:val="0"/>
      <w:marBottom w:val="0"/>
      <w:divBdr>
        <w:top w:val="none" w:sz="0" w:space="0" w:color="auto"/>
        <w:left w:val="none" w:sz="0" w:space="0" w:color="auto"/>
        <w:bottom w:val="none" w:sz="0" w:space="0" w:color="auto"/>
        <w:right w:val="none" w:sz="0" w:space="0" w:color="auto"/>
      </w:divBdr>
    </w:div>
    <w:div w:id="417530322">
      <w:bodyDiv w:val="1"/>
      <w:marLeft w:val="0"/>
      <w:marRight w:val="0"/>
      <w:marTop w:val="0"/>
      <w:marBottom w:val="0"/>
      <w:divBdr>
        <w:top w:val="none" w:sz="0" w:space="0" w:color="auto"/>
        <w:left w:val="none" w:sz="0" w:space="0" w:color="auto"/>
        <w:bottom w:val="none" w:sz="0" w:space="0" w:color="auto"/>
        <w:right w:val="none" w:sz="0" w:space="0" w:color="auto"/>
      </w:divBdr>
    </w:div>
    <w:div w:id="417562592">
      <w:bodyDiv w:val="1"/>
      <w:marLeft w:val="0"/>
      <w:marRight w:val="0"/>
      <w:marTop w:val="0"/>
      <w:marBottom w:val="0"/>
      <w:divBdr>
        <w:top w:val="none" w:sz="0" w:space="0" w:color="auto"/>
        <w:left w:val="none" w:sz="0" w:space="0" w:color="auto"/>
        <w:bottom w:val="none" w:sz="0" w:space="0" w:color="auto"/>
        <w:right w:val="none" w:sz="0" w:space="0" w:color="auto"/>
      </w:divBdr>
    </w:div>
    <w:div w:id="419445621">
      <w:bodyDiv w:val="1"/>
      <w:marLeft w:val="0"/>
      <w:marRight w:val="0"/>
      <w:marTop w:val="0"/>
      <w:marBottom w:val="0"/>
      <w:divBdr>
        <w:top w:val="none" w:sz="0" w:space="0" w:color="auto"/>
        <w:left w:val="none" w:sz="0" w:space="0" w:color="auto"/>
        <w:bottom w:val="none" w:sz="0" w:space="0" w:color="auto"/>
        <w:right w:val="none" w:sz="0" w:space="0" w:color="auto"/>
      </w:divBdr>
    </w:div>
    <w:div w:id="424493898">
      <w:bodyDiv w:val="1"/>
      <w:marLeft w:val="0"/>
      <w:marRight w:val="0"/>
      <w:marTop w:val="0"/>
      <w:marBottom w:val="0"/>
      <w:divBdr>
        <w:top w:val="none" w:sz="0" w:space="0" w:color="auto"/>
        <w:left w:val="none" w:sz="0" w:space="0" w:color="auto"/>
        <w:bottom w:val="none" w:sz="0" w:space="0" w:color="auto"/>
        <w:right w:val="none" w:sz="0" w:space="0" w:color="auto"/>
      </w:divBdr>
    </w:div>
    <w:div w:id="424499622">
      <w:bodyDiv w:val="1"/>
      <w:marLeft w:val="0"/>
      <w:marRight w:val="0"/>
      <w:marTop w:val="0"/>
      <w:marBottom w:val="0"/>
      <w:divBdr>
        <w:top w:val="none" w:sz="0" w:space="0" w:color="auto"/>
        <w:left w:val="none" w:sz="0" w:space="0" w:color="auto"/>
        <w:bottom w:val="none" w:sz="0" w:space="0" w:color="auto"/>
        <w:right w:val="none" w:sz="0" w:space="0" w:color="auto"/>
      </w:divBdr>
    </w:div>
    <w:div w:id="425728986">
      <w:bodyDiv w:val="1"/>
      <w:marLeft w:val="0"/>
      <w:marRight w:val="0"/>
      <w:marTop w:val="0"/>
      <w:marBottom w:val="0"/>
      <w:divBdr>
        <w:top w:val="none" w:sz="0" w:space="0" w:color="auto"/>
        <w:left w:val="none" w:sz="0" w:space="0" w:color="auto"/>
        <w:bottom w:val="none" w:sz="0" w:space="0" w:color="auto"/>
        <w:right w:val="none" w:sz="0" w:space="0" w:color="auto"/>
      </w:divBdr>
    </w:div>
    <w:div w:id="426460764">
      <w:bodyDiv w:val="1"/>
      <w:marLeft w:val="0"/>
      <w:marRight w:val="0"/>
      <w:marTop w:val="0"/>
      <w:marBottom w:val="0"/>
      <w:divBdr>
        <w:top w:val="none" w:sz="0" w:space="0" w:color="auto"/>
        <w:left w:val="none" w:sz="0" w:space="0" w:color="auto"/>
        <w:bottom w:val="none" w:sz="0" w:space="0" w:color="auto"/>
        <w:right w:val="none" w:sz="0" w:space="0" w:color="auto"/>
      </w:divBdr>
    </w:div>
    <w:div w:id="429742024">
      <w:bodyDiv w:val="1"/>
      <w:marLeft w:val="0"/>
      <w:marRight w:val="0"/>
      <w:marTop w:val="0"/>
      <w:marBottom w:val="0"/>
      <w:divBdr>
        <w:top w:val="none" w:sz="0" w:space="0" w:color="auto"/>
        <w:left w:val="none" w:sz="0" w:space="0" w:color="auto"/>
        <w:bottom w:val="none" w:sz="0" w:space="0" w:color="auto"/>
        <w:right w:val="none" w:sz="0" w:space="0" w:color="auto"/>
      </w:divBdr>
    </w:div>
    <w:div w:id="430123097">
      <w:bodyDiv w:val="1"/>
      <w:marLeft w:val="0"/>
      <w:marRight w:val="0"/>
      <w:marTop w:val="0"/>
      <w:marBottom w:val="0"/>
      <w:divBdr>
        <w:top w:val="none" w:sz="0" w:space="0" w:color="auto"/>
        <w:left w:val="none" w:sz="0" w:space="0" w:color="auto"/>
        <w:bottom w:val="none" w:sz="0" w:space="0" w:color="auto"/>
        <w:right w:val="none" w:sz="0" w:space="0" w:color="auto"/>
      </w:divBdr>
    </w:div>
    <w:div w:id="433324895">
      <w:bodyDiv w:val="1"/>
      <w:marLeft w:val="0"/>
      <w:marRight w:val="0"/>
      <w:marTop w:val="0"/>
      <w:marBottom w:val="0"/>
      <w:divBdr>
        <w:top w:val="none" w:sz="0" w:space="0" w:color="auto"/>
        <w:left w:val="none" w:sz="0" w:space="0" w:color="auto"/>
        <w:bottom w:val="none" w:sz="0" w:space="0" w:color="auto"/>
        <w:right w:val="none" w:sz="0" w:space="0" w:color="auto"/>
      </w:divBdr>
    </w:div>
    <w:div w:id="434598253">
      <w:bodyDiv w:val="1"/>
      <w:marLeft w:val="0"/>
      <w:marRight w:val="0"/>
      <w:marTop w:val="0"/>
      <w:marBottom w:val="0"/>
      <w:divBdr>
        <w:top w:val="none" w:sz="0" w:space="0" w:color="auto"/>
        <w:left w:val="none" w:sz="0" w:space="0" w:color="auto"/>
        <w:bottom w:val="none" w:sz="0" w:space="0" w:color="auto"/>
        <w:right w:val="none" w:sz="0" w:space="0" w:color="auto"/>
      </w:divBdr>
    </w:div>
    <w:div w:id="436828455">
      <w:bodyDiv w:val="1"/>
      <w:marLeft w:val="0"/>
      <w:marRight w:val="0"/>
      <w:marTop w:val="0"/>
      <w:marBottom w:val="0"/>
      <w:divBdr>
        <w:top w:val="none" w:sz="0" w:space="0" w:color="auto"/>
        <w:left w:val="none" w:sz="0" w:space="0" w:color="auto"/>
        <w:bottom w:val="none" w:sz="0" w:space="0" w:color="auto"/>
        <w:right w:val="none" w:sz="0" w:space="0" w:color="auto"/>
      </w:divBdr>
    </w:div>
    <w:div w:id="442654042">
      <w:bodyDiv w:val="1"/>
      <w:marLeft w:val="0"/>
      <w:marRight w:val="0"/>
      <w:marTop w:val="0"/>
      <w:marBottom w:val="0"/>
      <w:divBdr>
        <w:top w:val="none" w:sz="0" w:space="0" w:color="auto"/>
        <w:left w:val="none" w:sz="0" w:space="0" w:color="auto"/>
        <w:bottom w:val="none" w:sz="0" w:space="0" w:color="auto"/>
        <w:right w:val="none" w:sz="0" w:space="0" w:color="auto"/>
      </w:divBdr>
    </w:div>
    <w:div w:id="448160318">
      <w:bodyDiv w:val="1"/>
      <w:marLeft w:val="0"/>
      <w:marRight w:val="0"/>
      <w:marTop w:val="0"/>
      <w:marBottom w:val="0"/>
      <w:divBdr>
        <w:top w:val="none" w:sz="0" w:space="0" w:color="auto"/>
        <w:left w:val="none" w:sz="0" w:space="0" w:color="auto"/>
        <w:bottom w:val="none" w:sz="0" w:space="0" w:color="auto"/>
        <w:right w:val="none" w:sz="0" w:space="0" w:color="auto"/>
      </w:divBdr>
    </w:div>
    <w:div w:id="455608743">
      <w:bodyDiv w:val="1"/>
      <w:marLeft w:val="0"/>
      <w:marRight w:val="0"/>
      <w:marTop w:val="0"/>
      <w:marBottom w:val="0"/>
      <w:divBdr>
        <w:top w:val="none" w:sz="0" w:space="0" w:color="auto"/>
        <w:left w:val="none" w:sz="0" w:space="0" w:color="auto"/>
        <w:bottom w:val="none" w:sz="0" w:space="0" w:color="auto"/>
        <w:right w:val="none" w:sz="0" w:space="0" w:color="auto"/>
      </w:divBdr>
    </w:div>
    <w:div w:id="458642829">
      <w:bodyDiv w:val="1"/>
      <w:marLeft w:val="0"/>
      <w:marRight w:val="0"/>
      <w:marTop w:val="0"/>
      <w:marBottom w:val="0"/>
      <w:divBdr>
        <w:top w:val="none" w:sz="0" w:space="0" w:color="auto"/>
        <w:left w:val="none" w:sz="0" w:space="0" w:color="auto"/>
        <w:bottom w:val="none" w:sz="0" w:space="0" w:color="auto"/>
        <w:right w:val="none" w:sz="0" w:space="0" w:color="auto"/>
      </w:divBdr>
    </w:div>
    <w:div w:id="463735966">
      <w:bodyDiv w:val="1"/>
      <w:marLeft w:val="0"/>
      <w:marRight w:val="0"/>
      <w:marTop w:val="0"/>
      <w:marBottom w:val="0"/>
      <w:divBdr>
        <w:top w:val="none" w:sz="0" w:space="0" w:color="auto"/>
        <w:left w:val="none" w:sz="0" w:space="0" w:color="auto"/>
        <w:bottom w:val="none" w:sz="0" w:space="0" w:color="auto"/>
        <w:right w:val="none" w:sz="0" w:space="0" w:color="auto"/>
      </w:divBdr>
    </w:div>
    <w:div w:id="467404216">
      <w:bodyDiv w:val="1"/>
      <w:marLeft w:val="0"/>
      <w:marRight w:val="0"/>
      <w:marTop w:val="0"/>
      <w:marBottom w:val="0"/>
      <w:divBdr>
        <w:top w:val="none" w:sz="0" w:space="0" w:color="auto"/>
        <w:left w:val="none" w:sz="0" w:space="0" w:color="auto"/>
        <w:bottom w:val="none" w:sz="0" w:space="0" w:color="auto"/>
        <w:right w:val="none" w:sz="0" w:space="0" w:color="auto"/>
      </w:divBdr>
    </w:div>
    <w:div w:id="469593987">
      <w:bodyDiv w:val="1"/>
      <w:marLeft w:val="0"/>
      <w:marRight w:val="0"/>
      <w:marTop w:val="0"/>
      <w:marBottom w:val="0"/>
      <w:divBdr>
        <w:top w:val="none" w:sz="0" w:space="0" w:color="auto"/>
        <w:left w:val="none" w:sz="0" w:space="0" w:color="auto"/>
        <w:bottom w:val="none" w:sz="0" w:space="0" w:color="auto"/>
        <w:right w:val="none" w:sz="0" w:space="0" w:color="auto"/>
      </w:divBdr>
    </w:div>
    <w:div w:id="471099932">
      <w:bodyDiv w:val="1"/>
      <w:marLeft w:val="0"/>
      <w:marRight w:val="0"/>
      <w:marTop w:val="0"/>
      <w:marBottom w:val="0"/>
      <w:divBdr>
        <w:top w:val="none" w:sz="0" w:space="0" w:color="auto"/>
        <w:left w:val="none" w:sz="0" w:space="0" w:color="auto"/>
        <w:bottom w:val="none" w:sz="0" w:space="0" w:color="auto"/>
        <w:right w:val="none" w:sz="0" w:space="0" w:color="auto"/>
      </w:divBdr>
    </w:div>
    <w:div w:id="477264414">
      <w:bodyDiv w:val="1"/>
      <w:marLeft w:val="0"/>
      <w:marRight w:val="0"/>
      <w:marTop w:val="0"/>
      <w:marBottom w:val="0"/>
      <w:divBdr>
        <w:top w:val="none" w:sz="0" w:space="0" w:color="auto"/>
        <w:left w:val="none" w:sz="0" w:space="0" w:color="auto"/>
        <w:bottom w:val="none" w:sz="0" w:space="0" w:color="auto"/>
        <w:right w:val="none" w:sz="0" w:space="0" w:color="auto"/>
      </w:divBdr>
    </w:div>
    <w:div w:id="483395651">
      <w:bodyDiv w:val="1"/>
      <w:marLeft w:val="0"/>
      <w:marRight w:val="0"/>
      <w:marTop w:val="0"/>
      <w:marBottom w:val="0"/>
      <w:divBdr>
        <w:top w:val="none" w:sz="0" w:space="0" w:color="auto"/>
        <w:left w:val="none" w:sz="0" w:space="0" w:color="auto"/>
        <w:bottom w:val="none" w:sz="0" w:space="0" w:color="auto"/>
        <w:right w:val="none" w:sz="0" w:space="0" w:color="auto"/>
      </w:divBdr>
    </w:div>
    <w:div w:id="487403400">
      <w:bodyDiv w:val="1"/>
      <w:marLeft w:val="0"/>
      <w:marRight w:val="0"/>
      <w:marTop w:val="0"/>
      <w:marBottom w:val="0"/>
      <w:divBdr>
        <w:top w:val="none" w:sz="0" w:space="0" w:color="auto"/>
        <w:left w:val="none" w:sz="0" w:space="0" w:color="auto"/>
        <w:bottom w:val="none" w:sz="0" w:space="0" w:color="auto"/>
        <w:right w:val="none" w:sz="0" w:space="0" w:color="auto"/>
      </w:divBdr>
    </w:div>
    <w:div w:id="490484953">
      <w:bodyDiv w:val="1"/>
      <w:marLeft w:val="0"/>
      <w:marRight w:val="0"/>
      <w:marTop w:val="0"/>
      <w:marBottom w:val="0"/>
      <w:divBdr>
        <w:top w:val="none" w:sz="0" w:space="0" w:color="auto"/>
        <w:left w:val="none" w:sz="0" w:space="0" w:color="auto"/>
        <w:bottom w:val="none" w:sz="0" w:space="0" w:color="auto"/>
        <w:right w:val="none" w:sz="0" w:space="0" w:color="auto"/>
      </w:divBdr>
    </w:div>
    <w:div w:id="492332369">
      <w:bodyDiv w:val="1"/>
      <w:marLeft w:val="0"/>
      <w:marRight w:val="0"/>
      <w:marTop w:val="0"/>
      <w:marBottom w:val="0"/>
      <w:divBdr>
        <w:top w:val="none" w:sz="0" w:space="0" w:color="auto"/>
        <w:left w:val="none" w:sz="0" w:space="0" w:color="auto"/>
        <w:bottom w:val="none" w:sz="0" w:space="0" w:color="auto"/>
        <w:right w:val="none" w:sz="0" w:space="0" w:color="auto"/>
      </w:divBdr>
    </w:div>
    <w:div w:id="496312174">
      <w:bodyDiv w:val="1"/>
      <w:marLeft w:val="0"/>
      <w:marRight w:val="0"/>
      <w:marTop w:val="0"/>
      <w:marBottom w:val="0"/>
      <w:divBdr>
        <w:top w:val="none" w:sz="0" w:space="0" w:color="auto"/>
        <w:left w:val="none" w:sz="0" w:space="0" w:color="auto"/>
        <w:bottom w:val="none" w:sz="0" w:space="0" w:color="auto"/>
        <w:right w:val="none" w:sz="0" w:space="0" w:color="auto"/>
      </w:divBdr>
    </w:div>
    <w:div w:id="498622574">
      <w:bodyDiv w:val="1"/>
      <w:marLeft w:val="0"/>
      <w:marRight w:val="0"/>
      <w:marTop w:val="0"/>
      <w:marBottom w:val="0"/>
      <w:divBdr>
        <w:top w:val="none" w:sz="0" w:space="0" w:color="auto"/>
        <w:left w:val="none" w:sz="0" w:space="0" w:color="auto"/>
        <w:bottom w:val="none" w:sz="0" w:space="0" w:color="auto"/>
        <w:right w:val="none" w:sz="0" w:space="0" w:color="auto"/>
      </w:divBdr>
    </w:div>
    <w:div w:id="500510449">
      <w:bodyDiv w:val="1"/>
      <w:marLeft w:val="0"/>
      <w:marRight w:val="0"/>
      <w:marTop w:val="0"/>
      <w:marBottom w:val="0"/>
      <w:divBdr>
        <w:top w:val="none" w:sz="0" w:space="0" w:color="auto"/>
        <w:left w:val="none" w:sz="0" w:space="0" w:color="auto"/>
        <w:bottom w:val="none" w:sz="0" w:space="0" w:color="auto"/>
        <w:right w:val="none" w:sz="0" w:space="0" w:color="auto"/>
      </w:divBdr>
    </w:div>
    <w:div w:id="501088717">
      <w:bodyDiv w:val="1"/>
      <w:marLeft w:val="0"/>
      <w:marRight w:val="0"/>
      <w:marTop w:val="0"/>
      <w:marBottom w:val="0"/>
      <w:divBdr>
        <w:top w:val="none" w:sz="0" w:space="0" w:color="auto"/>
        <w:left w:val="none" w:sz="0" w:space="0" w:color="auto"/>
        <w:bottom w:val="none" w:sz="0" w:space="0" w:color="auto"/>
        <w:right w:val="none" w:sz="0" w:space="0" w:color="auto"/>
      </w:divBdr>
    </w:div>
    <w:div w:id="501970130">
      <w:bodyDiv w:val="1"/>
      <w:marLeft w:val="0"/>
      <w:marRight w:val="0"/>
      <w:marTop w:val="0"/>
      <w:marBottom w:val="0"/>
      <w:divBdr>
        <w:top w:val="none" w:sz="0" w:space="0" w:color="auto"/>
        <w:left w:val="none" w:sz="0" w:space="0" w:color="auto"/>
        <w:bottom w:val="none" w:sz="0" w:space="0" w:color="auto"/>
        <w:right w:val="none" w:sz="0" w:space="0" w:color="auto"/>
      </w:divBdr>
    </w:div>
    <w:div w:id="503320643">
      <w:bodyDiv w:val="1"/>
      <w:marLeft w:val="0"/>
      <w:marRight w:val="0"/>
      <w:marTop w:val="0"/>
      <w:marBottom w:val="0"/>
      <w:divBdr>
        <w:top w:val="none" w:sz="0" w:space="0" w:color="auto"/>
        <w:left w:val="none" w:sz="0" w:space="0" w:color="auto"/>
        <w:bottom w:val="none" w:sz="0" w:space="0" w:color="auto"/>
        <w:right w:val="none" w:sz="0" w:space="0" w:color="auto"/>
      </w:divBdr>
    </w:div>
    <w:div w:id="506166867">
      <w:bodyDiv w:val="1"/>
      <w:marLeft w:val="0"/>
      <w:marRight w:val="0"/>
      <w:marTop w:val="0"/>
      <w:marBottom w:val="0"/>
      <w:divBdr>
        <w:top w:val="none" w:sz="0" w:space="0" w:color="auto"/>
        <w:left w:val="none" w:sz="0" w:space="0" w:color="auto"/>
        <w:bottom w:val="none" w:sz="0" w:space="0" w:color="auto"/>
        <w:right w:val="none" w:sz="0" w:space="0" w:color="auto"/>
      </w:divBdr>
    </w:div>
    <w:div w:id="509611106">
      <w:bodyDiv w:val="1"/>
      <w:marLeft w:val="0"/>
      <w:marRight w:val="0"/>
      <w:marTop w:val="0"/>
      <w:marBottom w:val="0"/>
      <w:divBdr>
        <w:top w:val="none" w:sz="0" w:space="0" w:color="auto"/>
        <w:left w:val="none" w:sz="0" w:space="0" w:color="auto"/>
        <w:bottom w:val="none" w:sz="0" w:space="0" w:color="auto"/>
        <w:right w:val="none" w:sz="0" w:space="0" w:color="auto"/>
      </w:divBdr>
    </w:div>
    <w:div w:id="515533515">
      <w:bodyDiv w:val="1"/>
      <w:marLeft w:val="0"/>
      <w:marRight w:val="0"/>
      <w:marTop w:val="0"/>
      <w:marBottom w:val="0"/>
      <w:divBdr>
        <w:top w:val="none" w:sz="0" w:space="0" w:color="auto"/>
        <w:left w:val="none" w:sz="0" w:space="0" w:color="auto"/>
        <w:bottom w:val="none" w:sz="0" w:space="0" w:color="auto"/>
        <w:right w:val="none" w:sz="0" w:space="0" w:color="auto"/>
      </w:divBdr>
    </w:div>
    <w:div w:id="518815016">
      <w:bodyDiv w:val="1"/>
      <w:marLeft w:val="0"/>
      <w:marRight w:val="0"/>
      <w:marTop w:val="0"/>
      <w:marBottom w:val="0"/>
      <w:divBdr>
        <w:top w:val="none" w:sz="0" w:space="0" w:color="auto"/>
        <w:left w:val="none" w:sz="0" w:space="0" w:color="auto"/>
        <w:bottom w:val="none" w:sz="0" w:space="0" w:color="auto"/>
        <w:right w:val="none" w:sz="0" w:space="0" w:color="auto"/>
      </w:divBdr>
    </w:div>
    <w:div w:id="520122234">
      <w:bodyDiv w:val="1"/>
      <w:marLeft w:val="0"/>
      <w:marRight w:val="0"/>
      <w:marTop w:val="0"/>
      <w:marBottom w:val="0"/>
      <w:divBdr>
        <w:top w:val="none" w:sz="0" w:space="0" w:color="auto"/>
        <w:left w:val="none" w:sz="0" w:space="0" w:color="auto"/>
        <w:bottom w:val="none" w:sz="0" w:space="0" w:color="auto"/>
        <w:right w:val="none" w:sz="0" w:space="0" w:color="auto"/>
      </w:divBdr>
    </w:div>
    <w:div w:id="522669515">
      <w:bodyDiv w:val="1"/>
      <w:marLeft w:val="0"/>
      <w:marRight w:val="0"/>
      <w:marTop w:val="0"/>
      <w:marBottom w:val="0"/>
      <w:divBdr>
        <w:top w:val="none" w:sz="0" w:space="0" w:color="auto"/>
        <w:left w:val="none" w:sz="0" w:space="0" w:color="auto"/>
        <w:bottom w:val="none" w:sz="0" w:space="0" w:color="auto"/>
        <w:right w:val="none" w:sz="0" w:space="0" w:color="auto"/>
      </w:divBdr>
    </w:div>
    <w:div w:id="525096534">
      <w:bodyDiv w:val="1"/>
      <w:marLeft w:val="0"/>
      <w:marRight w:val="0"/>
      <w:marTop w:val="0"/>
      <w:marBottom w:val="0"/>
      <w:divBdr>
        <w:top w:val="none" w:sz="0" w:space="0" w:color="auto"/>
        <w:left w:val="none" w:sz="0" w:space="0" w:color="auto"/>
        <w:bottom w:val="none" w:sz="0" w:space="0" w:color="auto"/>
        <w:right w:val="none" w:sz="0" w:space="0" w:color="auto"/>
      </w:divBdr>
    </w:div>
    <w:div w:id="526866989">
      <w:bodyDiv w:val="1"/>
      <w:marLeft w:val="0"/>
      <w:marRight w:val="0"/>
      <w:marTop w:val="0"/>
      <w:marBottom w:val="0"/>
      <w:divBdr>
        <w:top w:val="none" w:sz="0" w:space="0" w:color="auto"/>
        <w:left w:val="none" w:sz="0" w:space="0" w:color="auto"/>
        <w:bottom w:val="none" w:sz="0" w:space="0" w:color="auto"/>
        <w:right w:val="none" w:sz="0" w:space="0" w:color="auto"/>
      </w:divBdr>
    </w:div>
    <w:div w:id="530076248">
      <w:bodyDiv w:val="1"/>
      <w:marLeft w:val="0"/>
      <w:marRight w:val="0"/>
      <w:marTop w:val="0"/>
      <w:marBottom w:val="0"/>
      <w:divBdr>
        <w:top w:val="none" w:sz="0" w:space="0" w:color="auto"/>
        <w:left w:val="none" w:sz="0" w:space="0" w:color="auto"/>
        <w:bottom w:val="none" w:sz="0" w:space="0" w:color="auto"/>
        <w:right w:val="none" w:sz="0" w:space="0" w:color="auto"/>
      </w:divBdr>
    </w:div>
    <w:div w:id="533688184">
      <w:bodyDiv w:val="1"/>
      <w:marLeft w:val="0"/>
      <w:marRight w:val="0"/>
      <w:marTop w:val="0"/>
      <w:marBottom w:val="0"/>
      <w:divBdr>
        <w:top w:val="none" w:sz="0" w:space="0" w:color="auto"/>
        <w:left w:val="none" w:sz="0" w:space="0" w:color="auto"/>
        <w:bottom w:val="none" w:sz="0" w:space="0" w:color="auto"/>
        <w:right w:val="none" w:sz="0" w:space="0" w:color="auto"/>
      </w:divBdr>
    </w:div>
    <w:div w:id="534926919">
      <w:bodyDiv w:val="1"/>
      <w:marLeft w:val="0"/>
      <w:marRight w:val="0"/>
      <w:marTop w:val="0"/>
      <w:marBottom w:val="0"/>
      <w:divBdr>
        <w:top w:val="none" w:sz="0" w:space="0" w:color="auto"/>
        <w:left w:val="none" w:sz="0" w:space="0" w:color="auto"/>
        <w:bottom w:val="none" w:sz="0" w:space="0" w:color="auto"/>
        <w:right w:val="none" w:sz="0" w:space="0" w:color="auto"/>
      </w:divBdr>
    </w:div>
    <w:div w:id="535045056">
      <w:bodyDiv w:val="1"/>
      <w:marLeft w:val="0"/>
      <w:marRight w:val="0"/>
      <w:marTop w:val="0"/>
      <w:marBottom w:val="0"/>
      <w:divBdr>
        <w:top w:val="none" w:sz="0" w:space="0" w:color="auto"/>
        <w:left w:val="none" w:sz="0" w:space="0" w:color="auto"/>
        <w:bottom w:val="none" w:sz="0" w:space="0" w:color="auto"/>
        <w:right w:val="none" w:sz="0" w:space="0" w:color="auto"/>
      </w:divBdr>
    </w:div>
    <w:div w:id="535125726">
      <w:bodyDiv w:val="1"/>
      <w:marLeft w:val="0"/>
      <w:marRight w:val="0"/>
      <w:marTop w:val="0"/>
      <w:marBottom w:val="0"/>
      <w:divBdr>
        <w:top w:val="none" w:sz="0" w:space="0" w:color="auto"/>
        <w:left w:val="none" w:sz="0" w:space="0" w:color="auto"/>
        <w:bottom w:val="none" w:sz="0" w:space="0" w:color="auto"/>
        <w:right w:val="none" w:sz="0" w:space="0" w:color="auto"/>
      </w:divBdr>
    </w:div>
    <w:div w:id="536896029">
      <w:bodyDiv w:val="1"/>
      <w:marLeft w:val="0"/>
      <w:marRight w:val="0"/>
      <w:marTop w:val="0"/>
      <w:marBottom w:val="0"/>
      <w:divBdr>
        <w:top w:val="none" w:sz="0" w:space="0" w:color="auto"/>
        <w:left w:val="none" w:sz="0" w:space="0" w:color="auto"/>
        <w:bottom w:val="none" w:sz="0" w:space="0" w:color="auto"/>
        <w:right w:val="none" w:sz="0" w:space="0" w:color="auto"/>
      </w:divBdr>
    </w:div>
    <w:div w:id="546382465">
      <w:bodyDiv w:val="1"/>
      <w:marLeft w:val="0"/>
      <w:marRight w:val="0"/>
      <w:marTop w:val="0"/>
      <w:marBottom w:val="0"/>
      <w:divBdr>
        <w:top w:val="none" w:sz="0" w:space="0" w:color="auto"/>
        <w:left w:val="none" w:sz="0" w:space="0" w:color="auto"/>
        <w:bottom w:val="none" w:sz="0" w:space="0" w:color="auto"/>
        <w:right w:val="none" w:sz="0" w:space="0" w:color="auto"/>
      </w:divBdr>
    </w:div>
    <w:div w:id="546572043">
      <w:bodyDiv w:val="1"/>
      <w:marLeft w:val="0"/>
      <w:marRight w:val="0"/>
      <w:marTop w:val="0"/>
      <w:marBottom w:val="0"/>
      <w:divBdr>
        <w:top w:val="none" w:sz="0" w:space="0" w:color="auto"/>
        <w:left w:val="none" w:sz="0" w:space="0" w:color="auto"/>
        <w:bottom w:val="none" w:sz="0" w:space="0" w:color="auto"/>
        <w:right w:val="none" w:sz="0" w:space="0" w:color="auto"/>
      </w:divBdr>
    </w:div>
    <w:div w:id="549196070">
      <w:bodyDiv w:val="1"/>
      <w:marLeft w:val="0"/>
      <w:marRight w:val="0"/>
      <w:marTop w:val="0"/>
      <w:marBottom w:val="0"/>
      <w:divBdr>
        <w:top w:val="none" w:sz="0" w:space="0" w:color="auto"/>
        <w:left w:val="none" w:sz="0" w:space="0" w:color="auto"/>
        <w:bottom w:val="none" w:sz="0" w:space="0" w:color="auto"/>
        <w:right w:val="none" w:sz="0" w:space="0" w:color="auto"/>
      </w:divBdr>
    </w:div>
    <w:div w:id="554658870">
      <w:bodyDiv w:val="1"/>
      <w:marLeft w:val="0"/>
      <w:marRight w:val="0"/>
      <w:marTop w:val="0"/>
      <w:marBottom w:val="0"/>
      <w:divBdr>
        <w:top w:val="none" w:sz="0" w:space="0" w:color="auto"/>
        <w:left w:val="none" w:sz="0" w:space="0" w:color="auto"/>
        <w:bottom w:val="none" w:sz="0" w:space="0" w:color="auto"/>
        <w:right w:val="none" w:sz="0" w:space="0" w:color="auto"/>
      </w:divBdr>
    </w:div>
    <w:div w:id="557131146">
      <w:bodyDiv w:val="1"/>
      <w:marLeft w:val="0"/>
      <w:marRight w:val="0"/>
      <w:marTop w:val="0"/>
      <w:marBottom w:val="0"/>
      <w:divBdr>
        <w:top w:val="none" w:sz="0" w:space="0" w:color="auto"/>
        <w:left w:val="none" w:sz="0" w:space="0" w:color="auto"/>
        <w:bottom w:val="none" w:sz="0" w:space="0" w:color="auto"/>
        <w:right w:val="none" w:sz="0" w:space="0" w:color="auto"/>
      </w:divBdr>
    </w:div>
    <w:div w:id="557205551">
      <w:bodyDiv w:val="1"/>
      <w:marLeft w:val="0"/>
      <w:marRight w:val="0"/>
      <w:marTop w:val="0"/>
      <w:marBottom w:val="0"/>
      <w:divBdr>
        <w:top w:val="none" w:sz="0" w:space="0" w:color="auto"/>
        <w:left w:val="none" w:sz="0" w:space="0" w:color="auto"/>
        <w:bottom w:val="none" w:sz="0" w:space="0" w:color="auto"/>
        <w:right w:val="none" w:sz="0" w:space="0" w:color="auto"/>
      </w:divBdr>
    </w:div>
    <w:div w:id="558517918">
      <w:bodyDiv w:val="1"/>
      <w:marLeft w:val="0"/>
      <w:marRight w:val="0"/>
      <w:marTop w:val="0"/>
      <w:marBottom w:val="0"/>
      <w:divBdr>
        <w:top w:val="none" w:sz="0" w:space="0" w:color="auto"/>
        <w:left w:val="none" w:sz="0" w:space="0" w:color="auto"/>
        <w:bottom w:val="none" w:sz="0" w:space="0" w:color="auto"/>
        <w:right w:val="none" w:sz="0" w:space="0" w:color="auto"/>
      </w:divBdr>
    </w:div>
    <w:div w:id="561720380">
      <w:bodyDiv w:val="1"/>
      <w:marLeft w:val="0"/>
      <w:marRight w:val="0"/>
      <w:marTop w:val="0"/>
      <w:marBottom w:val="0"/>
      <w:divBdr>
        <w:top w:val="none" w:sz="0" w:space="0" w:color="auto"/>
        <w:left w:val="none" w:sz="0" w:space="0" w:color="auto"/>
        <w:bottom w:val="none" w:sz="0" w:space="0" w:color="auto"/>
        <w:right w:val="none" w:sz="0" w:space="0" w:color="auto"/>
      </w:divBdr>
    </w:div>
    <w:div w:id="561908899">
      <w:bodyDiv w:val="1"/>
      <w:marLeft w:val="0"/>
      <w:marRight w:val="0"/>
      <w:marTop w:val="0"/>
      <w:marBottom w:val="0"/>
      <w:divBdr>
        <w:top w:val="none" w:sz="0" w:space="0" w:color="auto"/>
        <w:left w:val="none" w:sz="0" w:space="0" w:color="auto"/>
        <w:bottom w:val="none" w:sz="0" w:space="0" w:color="auto"/>
        <w:right w:val="none" w:sz="0" w:space="0" w:color="auto"/>
      </w:divBdr>
    </w:div>
    <w:div w:id="562521345">
      <w:bodyDiv w:val="1"/>
      <w:marLeft w:val="0"/>
      <w:marRight w:val="0"/>
      <w:marTop w:val="0"/>
      <w:marBottom w:val="0"/>
      <w:divBdr>
        <w:top w:val="none" w:sz="0" w:space="0" w:color="auto"/>
        <w:left w:val="none" w:sz="0" w:space="0" w:color="auto"/>
        <w:bottom w:val="none" w:sz="0" w:space="0" w:color="auto"/>
        <w:right w:val="none" w:sz="0" w:space="0" w:color="auto"/>
      </w:divBdr>
    </w:div>
    <w:div w:id="562562566">
      <w:bodyDiv w:val="1"/>
      <w:marLeft w:val="0"/>
      <w:marRight w:val="0"/>
      <w:marTop w:val="0"/>
      <w:marBottom w:val="0"/>
      <w:divBdr>
        <w:top w:val="none" w:sz="0" w:space="0" w:color="auto"/>
        <w:left w:val="none" w:sz="0" w:space="0" w:color="auto"/>
        <w:bottom w:val="none" w:sz="0" w:space="0" w:color="auto"/>
        <w:right w:val="none" w:sz="0" w:space="0" w:color="auto"/>
      </w:divBdr>
    </w:div>
    <w:div w:id="562912486">
      <w:bodyDiv w:val="1"/>
      <w:marLeft w:val="0"/>
      <w:marRight w:val="0"/>
      <w:marTop w:val="0"/>
      <w:marBottom w:val="0"/>
      <w:divBdr>
        <w:top w:val="none" w:sz="0" w:space="0" w:color="auto"/>
        <w:left w:val="none" w:sz="0" w:space="0" w:color="auto"/>
        <w:bottom w:val="none" w:sz="0" w:space="0" w:color="auto"/>
        <w:right w:val="none" w:sz="0" w:space="0" w:color="auto"/>
      </w:divBdr>
    </w:div>
    <w:div w:id="565722874">
      <w:bodyDiv w:val="1"/>
      <w:marLeft w:val="0"/>
      <w:marRight w:val="0"/>
      <w:marTop w:val="0"/>
      <w:marBottom w:val="0"/>
      <w:divBdr>
        <w:top w:val="none" w:sz="0" w:space="0" w:color="auto"/>
        <w:left w:val="none" w:sz="0" w:space="0" w:color="auto"/>
        <w:bottom w:val="none" w:sz="0" w:space="0" w:color="auto"/>
        <w:right w:val="none" w:sz="0" w:space="0" w:color="auto"/>
      </w:divBdr>
    </w:div>
    <w:div w:id="567109228">
      <w:bodyDiv w:val="1"/>
      <w:marLeft w:val="0"/>
      <w:marRight w:val="0"/>
      <w:marTop w:val="0"/>
      <w:marBottom w:val="0"/>
      <w:divBdr>
        <w:top w:val="none" w:sz="0" w:space="0" w:color="auto"/>
        <w:left w:val="none" w:sz="0" w:space="0" w:color="auto"/>
        <w:bottom w:val="none" w:sz="0" w:space="0" w:color="auto"/>
        <w:right w:val="none" w:sz="0" w:space="0" w:color="auto"/>
      </w:divBdr>
    </w:div>
    <w:div w:id="567226134">
      <w:bodyDiv w:val="1"/>
      <w:marLeft w:val="0"/>
      <w:marRight w:val="0"/>
      <w:marTop w:val="0"/>
      <w:marBottom w:val="0"/>
      <w:divBdr>
        <w:top w:val="none" w:sz="0" w:space="0" w:color="auto"/>
        <w:left w:val="none" w:sz="0" w:space="0" w:color="auto"/>
        <w:bottom w:val="none" w:sz="0" w:space="0" w:color="auto"/>
        <w:right w:val="none" w:sz="0" w:space="0" w:color="auto"/>
      </w:divBdr>
    </w:div>
    <w:div w:id="567228064">
      <w:bodyDiv w:val="1"/>
      <w:marLeft w:val="0"/>
      <w:marRight w:val="0"/>
      <w:marTop w:val="0"/>
      <w:marBottom w:val="0"/>
      <w:divBdr>
        <w:top w:val="none" w:sz="0" w:space="0" w:color="auto"/>
        <w:left w:val="none" w:sz="0" w:space="0" w:color="auto"/>
        <w:bottom w:val="none" w:sz="0" w:space="0" w:color="auto"/>
        <w:right w:val="none" w:sz="0" w:space="0" w:color="auto"/>
      </w:divBdr>
    </w:div>
    <w:div w:id="567427123">
      <w:bodyDiv w:val="1"/>
      <w:marLeft w:val="0"/>
      <w:marRight w:val="0"/>
      <w:marTop w:val="0"/>
      <w:marBottom w:val="0"/>
      <w:divBdr>
        <w:top w:val="none" w:sz="0" w:space="0" w:color="auto"/>
        <w:left w:val="none" w:sz="0" w:space="0" w:color="auto"/>
        <w:bottom w:val="none" w:sz="0" w:space="0" w:color="auto"/>
        <w:right w:val="none" w:sz="0" w:space="0" w:color="auto"/>
      </w:divBdr>
    </w:div>
    <w:div w:id="567764290">
      <w:bodyDiv w:val="1"/>
      <w:marLeft w:val="0"/>
      <w:marRight w:val="0"/>
      <w:marTop w:val="0"/>
      <w:marBottom w:val="0"/>
      <w:divBdr>
        <w:top w:val="none" w:sz="0" w:space="0" w:color="auto"/>
        <w:left w:val="none" w:sz="0" w:space="0" w:color="auto"/>
        <w:bottom w:val="none" w:sz="0" w:space="0" w:color="auto"/>
        <w:right w:val="none" w:sz="0" w:space="0" w:color="auto"/>
      </w:divBdr>
    </w:div>
    <w:div w:id="569311655">
      <w:bodyDiv w:val="1"/>
      <w:marLeft w:val="0"/>
      <w:marRight w:val="0"/>
      <w:marTop w:val="0"/>
      <w:marBottom w:val="0"/>
      <w:divBdr>
        <w:top w:val="none" w:sz="0" w:space="0" w:color="auto"/>
        <w:left w:val="none" w:sz="0" w:space="0" w:color="auto"/>
        <w:bottom w:val="none" w:sz="0" w:space="0" w:color="auto"/>
        <w:right w:val="none" w:sz="0" w:space="0" w:color="auto"/>
      </w:divBdr>
    </w:div>
    <w:div w:id="573316614">
      <w:bodyDiv w:val="1"/>
      <w:marLeft w:val="0"/>
      <w:marRight w:val="0"/>
      <w:marTop w:val="0"/>
      <w:marBottom w:val="0"/>
      <w:divBdr>
        <w:top w:val="none" w:sz="0" w:space="0" w:color="auto"/>
        <w:left w:val="none" w:sz="0" w:space="0" w:color="auto"/>
        <w:bottom w:val="none" w:sz="0" w:space="0" w:color="auto"/>
        <w:right w:val="none" w:sz="0" w:space="0" w:color="auto"/>
      </w:divBdr>
    </w:div>
    <w:div w:id="574977743">
      <w:bodyDiv w:val="1"/>
      <w:marLeft w:val="0"/>
      <w:marRight w:val="0"/>
      <w:marTop w:val="0"/>
      <w:marBottom w:val="0"/>
      <w:divBdr>
        <w:top w:val="none" w:sz="0" w:space="0" w:color="auto"/>
        <w:left w:val="none" w:sz="0" w:space="0" w:color="auto"/>
        <w:bottom w:val="none" w:sz="0" w:space="0" w:color="auto"/>
        <w:right w:val="none" w:sz="0" w:space="0" w:color="auto"/>
      </w:divBdr>
    </w:div>
    <w:div w:id="586115185">
      <w:bodyDiv w:val="1"/>
      <w:marLeft w:val="0"/>
      <w:marRight w:val="0"/>
      <w:marTop w:val="0"/>
      <w:marBottom w:val="0"/>
      <w:divBdr>
        <w:top w:val="none" w:sz="0" w:space="0" w:color="auto"/>
        <w:left w:val="none" w:sz="0" w:space="0" w:color="auto"/>
        <w:bottom w:val="none" w:sz="0" w:space="0" w:color="auto"/>
        <w:right w:val="none" w:sz="0" w:space="0" w:color="auto"/>
      </w:divBdr>
    </w:div>
    <w:div w:id="587079829">
      <w:bodyDiv w:val="1"/>
      <w:marLeft w:val="0"/>
      <w:marRight w:val="0"/>
      <w:marTop w:val="0"/>
      <w:marBottom w:val="0"/>
      <w:divBdr>
        <w:top w:val="none" w:sz="0" w:space="0" w:color="auto"/>
        <w:left w:val="none" w:sz="0" w:space="0" w:color="auto"/>
        <w:bottom w:val="none" w:sz="0" w:space="0" w:color="auto"/>
        <w:right w:val="none" w:sz="0" w:space="0" w:color="auto"/>
      </w:divBdr>
    </w:div>
    <w:div w:id="588268128">
      <w:bodyDiv w:val="1"/>
      <w:marLeft w:val="0"/>
      <w:marRight w:val="0"/>
      <w:marTop w:val="0"/>
      <w:marBottom w:val="0"/>
      <w:divBdr>
        <w:top w:val="none" w:sz="0" w:space="0" w:color="auto"/>
        <w:left w:val="none" w:sz="0" w:space="0" w:color="auto"/>
        <w:bottom w:val="none" w:sz="0" w:space="0" w:color="auto"/>
        <w:right w:val="none" w:sz="0" w:space="0" w:color="auto"/>
      </w:divBdr>
    </w:div>
    <w:div w:id="589389538">
      <w:bodyDiv w:val="1"/>
      <w:marLeft w:val="0"/>
      <w:marRight w:val="0"/>
      <w:marTop w:val="0"/>
      <w:marBottom w:val="0"/>
      <w:divBdr>
        <w:top w:val="none" w:sz="0" w:space="0" w:color="auto"/>
        <w:left w:val="none" w:sz="0" w:space="0" w:color="auto"/>
        <w:bottom w:val="none" w:sz="0" w:space="0" w:color="auto"/>
        <w:right w:val="none" w:sz="0" w:space="0" w:color="auto"/>
      </w:divBdr>
    </w:div>
    <w:div w:id="590554686">
      <w:bodyDiv w:val="1"/>
      <w:marLeft w:val="0"/>
      <w:marRight w:val="0"/>
      <w:marTop w:val="0"/>
      <w:marBottom w:val="0"/>
      <w:divBdr>
        <w:top w:val="none" w:sz="0" w:space="0" w:color="auto"/>
        <w:left w:val="none" w:sz="0" w:space="0" w:color="auto"/>
        <w:bottom w:val="none" w:sz="0" w:space="0" w:color="auto"/>
        <w:right w:val="none" w:sz="0" w:space="0" w:color="auto"/>
      </w:divBdr>
    </w:div>
    <w:div w:id="591016502">
      <w:bodyDiv w:val="1"/>
      <w:marLeft w:val="0"/>
      <w:marRight w:val="0"/>
      <w:marTop w:val="0"/>
      <w:marBottom w:val="0"/>
      <w:divBdr>
        <w:top w:val="none" w:sz="0" w:space="0" w:color="auto"/>
        <w:left w:val="none" w:sz="0" w:space="0" w:color="auto"/>
        <w:bottom w:val="none" w:sz="0" w:space="0" w:color="auto"/>
        <w:right w:val="none" w:sz="0" w:space="0" w:color="auto"/>
      </w:divBdr>
    </w:div>
    <w:div w:id="591016802">
      <w:bodyDiv w:val="1"/>
      <w:marLeft w:val="0"/>
      <w:marRight w:val="0"/>
      <w:marTop w:val="0"/>
      <w:marBottom w:val="0"/>
      <w:divBdr>
        <w:top w:val="none" w:sz="0" w:space="0" w:color="auto"/>
        <w:left w:val="none" w:sz="0" w:space="0" w:color="auto"/>
        <w:bottom w:val="none" w:sz="0" w:space="0" w:color="auto"/>
        <w:right w:val="none" w:sz="0" w:space="0" w:color="auto"/>
      </w:divBdr>
    </w:div>
    <w:div w:id="595676482">
      <w:bodyDiv w:val="1"/>
      <w:marLeft w:val="0"/>
      <w:marRight w:val="0"/>
      <w:marTop w:val="0"/>
      <w:marBottom w:val="0"/>
      <w:divBdr>
        <w:top w:val="none" w:sz="0" w:space="0" w:color="auto"/>
        <w:left w:val="none" w:sz="0" w:space="0" w:color="auto"/>
        <w:bottom w:val="none" w:sz="0" w:space="0" w:color="auto"/>
        <w:right w:val="none" w:sz="0" w:space="0" w:color="auto"/>
      </w:divBdr>
    </w:div>
    <w:div w:id="595789511">
      <w:bodyDiv w:val="1"/>
      <w:marLeft w:val="0"/>
      <w:marRight w:val="0"/>
      <w:marTop w:val="0"/>
      <w:marBottom w:val="0"/>
      <w:divBdr>
        <w:top w:val="none" w:sz="0" w:space="0" w:color="auto"/>
        <w:left w:val="none" w:sz="0" w:space="0" w:color="auto"/>
        <w:bottom w:val="none" w:sz="0" w:space="0" w:color="auto"/>
        <w:right w:val="none" w:sz="0" w:space="0" w:color="auto"/>
      </w:divBdr>
    </w:div>
    <w:div w:id="596132065">
      <w:bodyDiv w:val="1"/>
      <w:marLeft w:val="0"/>
      <w:marRight w:val="0"/>
      <w:marTop w:val="0"/>
      <w:marBottom w:val="0"/>
      <w:divBdr>
        <w:top w:val="none" w:sz="0" w:space="0" w:color="auto"/>
        <w:left w:val="none" w:sz="0" w:space="0" w:color="auto"/>
        <w:bottom w:val="none" w:sz="0" w:space="0" w:color="auto"/>
        <w:right w:val="none" w:sz="0" w:space="0" w:color="auto"/>
      </w:divBdr>
    </w:div>
    <w:div w:id="600989874">
      <w:bodyDiv w:val="1"/>
      <w:marLeft w:val="0"/>
      <w:marRight w:val="0"/>
      <w:marTop w:val="0"/>
      <w:marBottom w:val="0"/>
      <w:divBdr>
        <w:top w:val="none" w:sz="0" w:space="0" w:color="auto"/>
        <w:left w:val="none" w:sz="0" w:space="0" w:color="auto"/>
        <w:bottom w:val="none" w:sz="0" w:space="0" w:color="auto"/>
        <w:right w:val="none" w:sz="0" w:space="0" w:color="auto"/>
      </w:divBdr>
    </w:div>
    <w:div w:id="604313308">
      <w:bodyDiv w:val="1"/>
      <w:marLeft w:val="0"/>
      <w:marRight w:val="0"/>
      <w:marTop w:val="0"/>
      <w:marBottom w:val="0"/>
      <w:divBdr>
        <w:top w:val="none" w:sz="0" w:space="0" w:color="auto"/>
        <w:left w:val="none" w:sz="0" w:space="0" w:color="auto"/>
        <w:bottom w:val="none" w:sz="0" w:space="0" w:color="auto"/>
        <w:right w:val="none" w:sz="0" w:space="0" w:color="auto"/>
      </w:divBdr>
    </w:div>
    <w:div w:id="608895396">
      <w:bodyDiv w:val="1"/>
      <w:marLeft w:val="0"/>
      <w:marRight w:val="0"/>
      <w:marTop w:val="0"/>
      <w:marBottom w:val="0"/>
      <w:divBdr>
        <w:top w:val="none" w:sz="0" w:space="0" w:color="auto"/>
        <w:left w:val="none" w:sz="0" w:space="0" w:color="auto"/>
        <w:bottom w:val="none" w:sz="0" w:space="0" w:color="auto"/>
        <w:right w:val="none" w:sz="0" w:space="0" w:color="auto"/>
      </w:divBdr>
    </w:div>
    <w:div w:id="611786990">
      <w:bodyDiv w:val="1"/>
      <w:marLeft w:val="0"/>
      <w:marRight w:val="0"/>
      <w:marTop w:val="0"/>
      <w:marBottom w:val="0"/>
      <w:divBdr>
        <w:top w:val="none" w:sz="0" w:space="0" w:color="auto"/>
        <w:left w:val="none" w:sz="0" w:space="0" w:color="auto"/>
        <w:bottom w:val="none" w:sz="0" w:space="0" w:color="auto"/>
        <w:right w:val="none" w:sz="0" w:space="0" w:color="auto"/>
      </w:divBdr>
    </w:div>
    <w:div w:id="616371170">
      <w:bodyDiv w:val="1"/>
      <w:marLeft w:val="0"/>
      <w:marRight w:val="0"/>
      <w:marTop w:val="0"/>
      <w:marBottom w:val="0"/>
      <w:divBdr>
        <w:top w:val="none" w:sz="0" w:space="0" w:color="auto"/>
        <w:left w:val="none" w:sz="0" w:space="0" w:color="auto"/>
        <w:bottom w:val="none" w:sz="0" w:space="0" w:color="auto"/>
        <w:right w:val="none" w:sz="0" w:space="0" w:color="auto"/>
      </w:divBdr>
    </w:div>
    <w:div w:id="617175784">
      <w:bodyDiv w:val="1"/>
      <w:marLeft w:val="0"/>
      <w:marRight w:val="0"/>
      <w:marTop w:val="0"/>
      <w:marBottom w:val="0"/>
      <w:divBdr>
        <w:top w:val="none" w:sz="0" w:space="0" w:color="auto"/>
        <w:left w:val="none" w:sz="0" w:space="0" w:color="auto"/>
        <w:bottom w:val="none" w:sz="0" w:space="0" w:color="auto"/>
        <w:right w:val="none" w:sz="0" w:space="0" w:color="auto"/>
      </w:divBdr>
    </w:div>
    <w:div w:id="617220058">
      <w:bodyDiv w:val="1"/>
      <w:marLeft w:val="0"/>
      <w:marRight w:val="0"/>
      <w:marTop w:val="0"/>
      <w:marBottom w:val="0"/>
      <w:divBdr>
        <w:top w:val="none" w:sz="0" w:space="0" w:color="auto"/>
        <w:left w:val="none" w:sz="0" w:space="0" w:color="auto"/>
        <w:bottom w:val="none" w:sz="0" w:space="0" w:color="auto"/>
        <w:right w:val="none" w:sz="0" w:space="0" w:color="auto"/>
      </w:divBdr>
    </w:div>
    <w:div w:id="618997525">
      <w:bodyDiv w:val="1"/>
      <w:marLeft w:val="0"/>
      <w:marRight w:val="0"/>
      <w:marTop w:val="0"/>
      <w:marBottom w:val="0"/>
      <w:divBdr>
        <w:top w:val="none" w:sz="0" w:space="0" w:color="auto"/>
        <w:left w:val="none" w:sz="0" w:space="0" w:color="auto"/>
        <w:bottom w:val="none" w:sz="0" w:space="0" w:color="auto"/>
        <w:right w:val="none" w:sz="0" w:space="0" w:color="auto"/>
      </w:divBdr>
    </w:div>
    <w:div w:id="620379897">
      <w:bodyDiv w:val="1"/>
      <w:marLeft w:val="0"/>
      <w:marRight w:val="0"/>
      <w:marTop w:val="0"/>
      <w:marBottom w:val="0"/>
      <w:divBdr>
        <w:top w:val="none" w:sz="0" w:space="0" w:color="auto"/>
        <w:left w:val="none" w:sz="0" w:space="0" w:color="auto"/>
        <w:bottom w:val="none" w:sz="0" w:space="0" w:color="auto"/>
        <w:right w:val="none" w:sz="0" w:space="0" w:color="auto"/>
      </w:divBdr>
    </w:div>
    <w:div w:id="621619804">
      <w:bodyDiv w:val="1"/>
      <w:marLeft w:val="0"/>
      <w:marRight w:val="0"/>
      <w:marTop w:val="0"/>
      <w:marBottom w:val="0"/>
      <w:divBdr>
        <w:top w:val="none" w:sz="0" w:space="0" w:color="auto"/>
        <w:left w:val="none" w:sz="0" w:space="0" w:color="auto"/>
        <w:bottom w:val="none" w:sz="0" w:space="0" w:color="auto"/>
        <w:right w:val="none" w:sz="0" w:space="0" w:color="auto"/>
      </w:divBdr>
    </w:div>
    <w:div w:id="623002518">
      <w:bodyDiv w:val="1"/>
      <w:marLeft w:val="0"/>
      <w:marRight w:val="0"/>
      <w:marTop w:val="0"/>
      <w:marBottom w:val="0"/>
      <w:divBdr>
        <w:top w:val="none" w:sz="0" w:space="0" w:color="auto"/>
        <w:left w:val="none" w:sz="0" w:space="0" w:color="auto"/>
        <w:bottom w:val="none" w:sz="0" w:space="0" w:color="auto"/>
        <w:right w:val="none" w:sz="0" w:space="0" w:color="auto"/>
      </w:divBdr>
    </w:div>
    <w:div w:id="624696134">
      <w:bodyDiv w:val="1"/>
      <w:marLeft w:val="0"/>
      <w:marRight w:val="0"/>
      <w:marTop w:val="0"/>
      <w:marBottom w:val="0"/>
      <w:divBdr>
        <w:top w:val="none" w:sz="0" w:space="0" w:color="auto"/>
        <w:left w:val="none" w:sz="0" w:space="0" w:color="auto"/>
        <w:bottom w:val="none" w:sz="0" w:space="0" w:color="auto"/>
        <w:right w:val="none" w:sz="0" w:space="0" w:color="auto"/>
      </w:divBdr>
    </w:div>
    <w:div w:id="628629294">
      <w:bodyDiv w:val="1"/>
      <w:marLeft w:val="0"/>
      <w:marRight w:val="0"/>
      <w:marTop w:val="0"/>
      <w:marBottom w:val="0"/>
      <w:divBdr>
        <w:top w:val="none" w:sz="0" w:space="0" w:color="auto"/>
        <w:left w:val="none" w:sz="0" w:space="0" w:color="auto"/>
        <w:bottom w:val="none" w:sz="0" w:space="0" w:color="auto"/>
        <w:right w:val="none" w:sz="0" w:space="0" w:color="auto"/>
      </w:divBdr>
    </w:div>
    <w:div w:id="634723045">
      <w:bodyDiv w:val="1"/>
      <w:marLeft w:val="0"/>
      <w:marRight w:val="0"/>
      <w:marTop w:val="0"/>
      <w:marBottom w:val="0"/>
      <w:divBdr>
        <w:top w:val="none" w:sz="0" w:space="0" w:color="auto"/>
        <w:left w:val="none" w:sz="0" w:space="0" w:color="auto"/>
        <w:bottom w:val="none" w:sz="0" w:space="0" w:color="auto"/>
        <w:right w:val="none" w:sz="0" w:space="0" w:color="auto"/>
      </w:divBdr>
    </w:div>
    <w:div w:id="635599021">
      <w:bodyDiv w:val="1"/>
      <w:marLeft w:val="0"/>
      <w:marRight w:val="0"/>
      <w:marTop w:val="0"/>
      <w:marBottom w:val="0"/>
      <w:divBdr>
        <w:top w:val="none" w:sz="0" w:space="0" w:color="auto"/>
        <w:left w:val="none" w:sz="0" w:space="0" w:color="auto"/>
        <w:bottom w:val="none" w:sz="0" w:space="0" w:color="auto"/>
        <w:right w:val="none" w:sz="0" w:space="0" w:color="auto"/>
      </w:divBdr>
    </w:div>
    <w:div w:id="640035912">
      <w:bodyDiv w:val="1"/>
      <w:marLeft w:val="0"/>
      <w:marRight w:val="0"/>
      <w:marTop w:val="0"/>
      <w:marBottom w:val="0"/>
      <w:divBdr>
        <w:top w:val="none" w:sz="0" w:space="0" w:color="auto"/>
        <w:left w:val="none" w:sz="0" w:space="0" w:color="auto"/>
        <w:bottom w:val="none" w:sz="0" w:space="0" w:color="auto"/>
        <w:right w:val="none" w:sz="0" w:space="0" w:color="auto"/>
      </w:divBdr>
    </w:div>
    <w:div w:id="641691048">
      <w:bodyDiv w:val="1"/>
      <w:marLeft w:val="0"/>
      <w:marRight w:val="0"/>
      <w:marTop w:val="0"/>
      <w:marBottom w:val="0"/>
      <w:divBdr>
        <w:top w:val="none" w:sz="0" w:space="0" w:color="auto"/>
        <w:left w:val="none" w:sz="0" w:space="0" w:color="auto"/>
        <w:bottom w:val="none" w:sz="0" w:space="0" w:color="auto"/>
        <w:right w:val="none" w:sz="0" w:space="0" w:color="auto"/>
      </w:divBdr>
    </w:div>
    <w:div w:id="641812885">
      <w:bodyDiv w:val="1"/>
      <w:marLeft w:val="0"/>
      <w:marRight w:val="0"/>
      <w:marTop w:val="0"/>
      <w:marBottom w:val="0"/>
      <w:divBdr>
        <w:top w:val="none" w:sz="0" w:space="0" w:color="auto"/>
        <w:left w:val="none" w:sz="0" w:space="0" w:color="auto"/>
        <w:bottom w:val="none" w:sz="0" w:space="0" w:color="auto"/>
        <w:right w:val="none" w:sz="0" w:space="0" w:color="auto"/>
      </w:divBdr>
    </w:div>
    <w:div w:id="646283112">
      <w:bodyDiv w:val="1"/>
      <w:marLeft w:val="0"/>
      <w:marRight w:val="0"/>
      <w:marTop w:val="0"/>
      <w:marBottom w:val="0"/>
      <w:divBdr>
        <w:top w:val="none" w:sz="0" w:space="0" w:color="auto"/>
        <w:left w:val="none" w:sz="0" w:space="0" w:color="auto"/>
        <w:bottom w:val="none" w:sz="0" w:space="0" w:color="auto"/>
        <w:right w:val="none" w:sz="0" w:space="0" w:color="auto"/>
      </w:divBdr>
    </w:div>
    <w:div w:id="647513943">
      <w:bodyDiv w:val="1"/>
      <w:marLeft w:val="0"/>
      <w:marRight w:val="0"/>
      <w:marTop w:val="0"/>
      <w:marBottom w:val="0"/>
      <w:divBdr>
        <w:top w:val="none" w:sz="0" w:space="0" w:color="auto"/>
        <w:left w:val="none" w:sz="0" w:space="0" w:color="auto"/>
        <w:bottom w:val="none" w:sz="0" w:space="0" w:color="auto"/>
        <w:right w:val="none" w:sz="0" w:space="0" w:color="auto"/>
      </w:divBdr>
    </w:div>
    <w:div w:id="662583780">
      <w:bodyDiv w:val="1"/>
      <w:marLeft w:val="0"/>
      <w:marRight w:val="0"/>
      <w:marTop w:val="0"/>
      <w:marBottom w:val="0"/>
      <w:divBdr>
        <w:top w:val="none" w:sz="0" w:space="0" w:color="auto"/>
        <w:left w:val="none" w:sz="0" w:space="0" w:color="auto"/>
        <w:bottom w:val="none" w:sz="0" w:space="0" w:color="auto"/>
        <w:right w:val="none" w:sz="0" w:space="0" w:color="auto"/>
      </w:divBdr>
    </w:div>
    <w:div w:id="668290704">
      <w:bodyDiv w:val="1"/>
      <w:marLeft w:val="0"/>
      <w:marRight w:val="0"/>
      <w:marTop w:val="0"/>
      <w:marBottom w:val="0"/>
      <w:divBdr>
        <w:top w:val="none" w:sz="0" w:space="0" w:color="auto"/>
        <w:left w:val="none" w:sz="0" w:space="0" w:color="auto"/>
        <w:bottom w:val="none" w:sz="0" w:space="0" w:color="auto"/>
        <w:right w:val="none" w:sz="0" w:space="0" w:color="auto"/>
      </w:divBdr>
    </w:div>
    <w:div w:id="669796313">
      <w:bodyDiv w:val="1"/>
      <w:marLeft w:val="0"/>
      <w:marRight w:val="0"/>
      <w:marTop w:val="0"/>
      <w:marBottom w:val="0"/>
      <w:divBdr>
        <w:top w:val="none" w:sz="0" w:space="0" w:color="auto"/>
        <w:left w:val="none" w:sz="0" w:space="0" w:color="auto"/>
        <w:bottom w:val="none" w:sz="0" w:space="0" w:color="auto"/>
        <w:right w:val="none" w:sz="0" w:space="0" w:color="auto"/>
      </w:divBdr>
    </w:div>
    <w:div w:id="677922901">
      <w:bodyDiv w:val="1"/>
      <w:marLeft w:val="0"/>
      <w:marRight w:val="0"/>
      <w:marTop w:val="0"/>
      <w:marBottom w:val="0"/>
      <w:divBdr>
        <w:top w:val="none" w:sz="0" w:space="0" w:color="auto"/>
        <w:left w:val="none" w:sz="0" w:space="0" w:color="auto"/>
        <w:bottom w:val="none" w:sz="0" w:space="0" w:color="auto"/>
        <w:right w:val="none" w:sz="0" w:space="0" w:color="auto"/>
      </w:divBdr>
    </w:div>
    <w:div w:id="678460559">
      <w:bodyDiv w:val="1"/>
      <w:marLeft w:val="0"/>
      <w:marRight w:val="0"/>
      <w:marTop w:val="0"/>
      <w:marBottom w:val="0"/>
      <w:divBdr>
        <w:top w:val="none" w:sz="0" w:space="0" w:color="auto"/>
        <w:left w:val="none" w:sz="0" w:space="0" w:color="auto"/>
        <w:bottom w:val="none" w:sz="0" w:space="0" w:color="auto"/>
        <w:right w:val="none" w:sz="0" w:space="0" w:color="auto"/>
      </w:divBdr>
    </w:div>
    <w:div w:id="684284731">
      <w:bodyDiv w:val="1"/>
      <w:marLeft w:val="0"/>
      <w:marRight w:val="0"/>
      <w:marTop w:val="0"/>
      <w:marBottom w:val="0"/>
      <w:divBdr>
        <w:top w:val="none" w:sz="0" w:space="0" w:color="auto"/>
        <w:left w:val="none" w:sz="0" w:space="0" w:color="auto"/>
        <w:bottom w:val="none" w:sz="0" w:space="0" w:color="auto"/>
        <w:right w:val="none" w:sz="0" w:space="0" w:color="auto"/>
      </w:divBdr>
    </w:div>
    <w:div w:id="686256555">
      <w:bodyDiv w:val="1"/>
      <w:marLeft w:val="0"/>
      <w:marRight w:val="0"/>
      <w:marTop w:val="0"/>
      <w:marBottom w:val="0"/>
      <w:divBdr>
        <w:top w:val="none" w:sz="0" w:space="0" w:color="auto"/>
        <w:left w:val="none" w:sz="0" w:space="0" w:color="auto"/>
        <w:bottom w:val="none" w:sz="0" w:space="0" w:color="auto"/>
        <w:right w:val="none" w:sz="0" w:space="0" w:color="auto"/>
      </w:divBdr>
    </w:div>
    <w:div w:id="691614320">
      <w:bodyDiv w:val="1"/>
      <w:marLeft w:val="0"/>
      <w:marRight w:val="0"/>
      <w:marTop w:val="0"/>
      <w:marBottom w:val="0"/>
      <w:divBdr>
        <w:top w:val="none" w:sz="0" w:space="0" w:color="auto"/>
        <w:left w:val="none" w:sz="0" w:space="0" w:color="auto"/>
        <w:bottom w:val="none" w:sz="0" w:space="0" w:color="auto"/>
        <w:right w:val="none" w:sz="0" w:space="0" w:color="auto"/>
      </w:divBdr>
    </w:div>
    <w:div w:id="691879665">
      <w:bodyDiv w:val="1"/>
      <w:marLeft w:val="0"/>
      <w:marRight w:val="0"/>
      <w:marTop w:val="0"/>
      <w:marBottom w:val="0"/>
      <w:divBdr>
        <w:top w:val="none" w:sz="0" w:space="0" w:color="auto"/>
        <w:left w:val="none" w:sz="0" w:space="0" w:color="auto"/>
        <w:bottom w:val="none" w:sz="0" w:space="0" w:color="auto"/>
        <w:right w:val="none" w:sz="0" w:space="0" w:color="auto"/>
      </w:divBdr>
    </w:div>
    <w:div w:id="692027023">
      <w:bodyDiv w:val="1"/>
      <w:marLeft w:val="0"/>
      <w:marRight w:val="0"/>
      <w:marTop w:val="0"/>
      <w:marBottom w:val="0"/>
      <w:divBdr>
        <w:top w:val="none" w:sz="0" w:space="0" w:color="auto"/>
        <w:left w:val="none" w:sz="0" w:space="0" w:color="auto"/>
        <w:bottom w:val="none" w:sz="0" w:space="0" w:color="auto"/>
        <w:right w:val="none" w:sz="0" w:space="0" w:color="auto"/>
      </w:divBdr>
    </w:div>
    <w:div w:id="697509706">
      <w:bodyDiv w:val="1"/>
      <w:marLeft w:val="0"/>
      <w:marRight w:val="0"/>
      <w:marTop w:val="0"/>
      <w:marBottom w:val="0"/>
      <w:divBdr>
        <w:top w:val="none" w:sz="0" w:space="0" w:color="auto"/>
        <w:left w:val="none" w:sz="0" w:space="0" w:color="auto"/>
        <w:bottom w:val="none" w:sz="0" w:space="0" w:color="auto"/>
        <w:right w:val="none" w:sz="0" w:space="0" w:color="auto"/>
      </w:divBdr>
    </w:div>
    <w:div w:id="697587378">
      <w:bodyDiv w:val="1"/>
      <w:marLeft w:val="0"/>
      <w:marRight w:val="0"/>
      <w:marTop w:val="0"/>
      <w:marBottom w:val="0"/>
      <w:divBdr>
        <w:top w:val="none" w:sz="0" w:space="0" w:color="auto"/>
        <w:left w:val="none" w:sz="0" w:space="0" w:color="auto"/>
        <w:bottom w:val="none" w:sz="0" w:space="0" w:color="auto"/>
        <w:right w:val="none" w:sz="0" w:space="0" w:color="auto"/>
      </w:divBdr>
    </w:div>
    <w:div w:id="697854206">
      <w:bodyDiv w:val="1"/>
      <w:marLeft w:val="0"/>
      <w:marRight w:val="0"/>
      <w:marTop w:val="0"/>
      <w:marBottom w:val="0"/>
      <w:divBdr>
        <w:top w:val="none" w:sz="0" w:space="0" w:color="auto"/>
        <w:left w:val="none" w:sz="0" w:space="0" w:color="auto"/>
        <w:bottom w:val="none" w:sz="0" w:space="0" w:color="auto"/>
        <w:right w:val="none" w:sz="0" w:space="0" w:color="auto"/>
      </w:divBdr>
    </w:div>
    <w:div w:id="699164256">
      <w:bodyDiv w:val="1"/>
      <w:marLeft w:val="0"/>
      <w:marRight w:val="0"/>
      <w:marTop w:val="0"/>
      <w:marBottom w:val="0"/>
      <w:divBdr>
        <w:top w:val="none" w:sz="0" w:space="0" w:color="auto"/>
        <w:left w:val="none" w:sz="0" w:space="0" w:color="auto"/>
        <w:bottom w:val="none" w:sz="0" w:space="0" w:color="auto"/>
        <w:right w:val="none" w:sz="0" w:space="0" w:color="auto"/>
      </w:divBdr>
    </w:div>
    <w:div w:id="701057654">
      <w:bodyDiv w:val="1"/>
      <w:marLeft w:val="0"/>
      <w:marRight w:val="0"/>
      <w:marTop w:val="0"/>
      <w:marBottom w:val="0"/>
      <w:divBdr>
        <w:top w:val="none" w:sz="0" w:space="0" w:color="auto"/>
        <w:left w:val="none" w:sz="0" w:space="0" w:color="auto"/>
        <w:bottom w:val="none" w:sz="0" w:space="0" w:color="auto"/>
        <w:right w:val="none" w:sz="0" w:space="0" w:color="auto"/>
      </w:divBdr>
    </w:div>
    <w:div w:id="703138542">
      <w:bodyDiv w:val="1"/>
      <w:marLeft w:val="0"/>
      <w:marRight w:val="0"/>
      <w:marTop w:val="0"/>
      <w:marBottom w:val="0"/>
      <w:divBdr>
        <w:top w:val="none" w:sz="0" w:space="0" w:color="auto"/>
        <w:left w:val="none" w:sz="0" w:space="0" w:color="auto"/>
        <w:bottom w:val="none" w:sz="0" w:space="0" w:color="auto"/>
        <w:right w:val="none" w:sz="0" w:space="0" w:color="auto"/>
      </w:divBdr>
    </w:div>
    <w:div w:id="704015349">
      <w:bodyDiv w:val="1"/>
      <w:marLeft w:val="0"/>
      <w:marRight w:val="0"/>
      <w:marTop w:val="0"/>
      <w:marBottom w:val="0"/>
      <w:divBdr>
        <w:top w:val="none" w:sz="0" w:space="0" w:color="auto"/>
        <w:left w:val="none" w:sz="0" w:space="0" w:color="auto"/>
        <w:bottom w:val="none" w:sz="0" w:space="0" w:color="auto"/>
        <w:right w:val="none" w:sz="0" w:space="0" w:color="auto"/>
      </w:divBdr>
    </w:div>
    <w:div w:id="705180156">
      <w:bodyDiv w:val="1"/>
      <w:marLeft w:val="0"/>
      <w:marRight w:val="0"/>
      <w:marTop w:val="0"/>
      <w:marBottom w:val="0"/>
      <w:divBdr>
        <w:top w:val="none" w:sz="0" w:space="0" w:color="auto"/>
        <w:left w:val="none" w:sz="0" w:space="0" w:color="auto"/>
        <w:bottom w:val="none" w:sz="0" w:space="0" w:color="auto"/>
        <w:right w:val="none" w:sz="0" w:space="0" w:color="auto"/>
      </w:divBdr>
    </w:div>
    <w:div w:id="706376996">
      <w:bodyDiv w:val="1"/>
      <w:marLeft w:val="0"/>
      <w:marRight w:val="0"/>
      <w:marTop w:val="0"/>
      <w:marBottom w:val="0"/>
      <w:divBdr>
        <w:top w:val="none" w:sz="0" w:space="0" w:color="auto"/>
        <w:left w:val="none" w:sz="0" w:space="0" w:color="auto"/>
        <w:bottom w:val="none" w:sz="0" w:space="0" w:color="auto"/>
        <w:right w:val="none" w:sz="0" w:space="0" w:color="auto"/>
      </w:divBdr>
    </w:div>
    <w:div w:id="712734108">
      <w:bodyDiv w:val="1"/>
      <w:marLeft w:val="0"/>
      <w:marRight w:val="0"/>
      <w:marTop w:val="0"/>
      <w:marBottom w:val="0"/>
      <w:divBdr>
        <w:top w:val="none" w:sz="0" w:space="0" w:color="auto"/>
        <w:left w:val="none" w:sz="0" w:space="0" w:color="auto"/>
        <w:bottom w:val="none" w:sz="0" w:space="0" w:color="auto"/>
        <w:right w:val="none" w:sz="0" w:space="0" w:color="auto"/>
      </w:divBdr>
    </w:div>
    <w:div w:id="712971431">
      <w:bodyDiv w:val="1"/>
      <w:marLeft w:val="0"/>
      <w:marRight w:val="0"/>
      <w:marTop w:val="0"/>
      <w:marBottom w:val="0"/>
      <w:divBdr>
        <w:top w:val="none" w:sz="0" w:space="0" w:color="auto"/>
        <w:left w:val="none" w:sz="0" w:space="0" w:color="auto"/>
        <w:bottom w:val="none" w:sz="0" w:space="0" w:color="auto"/>
        <w:right w:val="none" w:sz="0" w:space="0" w:color="auto"/>
      </w:divBdr>
    </w:div>
    <w:div w:id="714157270">
      <w:bodyDiv w:val="1"/>
      <w:marLeft w:val="0"/>
      <w:marRight w:val="0"/>
      <w:marTop w:val="0"/>
      <w:marBottom w:val="0"/>
      <w:divBdr>
        <w:top w:val="none" w:sz="0" w:space="0" w:color="auto"/>
        <w:left w:val="none" w:sz="0" w:space="0" w:color="auto"/>
        <w:bottom w:val="none" w:sz="0" w:space="0" w:color="auto"/>
        <w:right w:val="none" w:sz="0" w:space="0" w:color="auto"/>
      </w:divBdr>
    </w:div>
    <w:div w:id="719670145">
      <w:bodyDiv w:val="1"/>
      <w:marLeft w:val="0"/>
      <w:marRight w:val="0"/>
      <w:marTop w:val="0"/>
      <w:marBottom w:val="0"/>
      <w:divBdr>
        <w:top w:val="none" w:sz="0" w:space="0" w:color="auto"/>
        <w:left w:val="none" w:sz="0" w:space="0" w:color="auto"/>
        <w:bottom w:val="none" w:sz="0" w:space="0" w:color="auto"/>
        <w:right w:val="none" w:sz="0" w:space="0" w:color="auto"/>
      </w:divBdr>
    </w:div>
    <w:div w:id="727264894">
      <w:bodyDiv w:val="1"/>
      <w:marLeft w:val="0"/>
      <w:marRight w:val="0"/>
      <w:marTop w:val="0"/>
      <w:marBottom w:val="0"/>
      <w:divBdr>
        <w:top w:val="none" w:sz="0" w:space="0" w:color="auto"/>
        <w:left w:val="none" w:sz="0" w:space="0" w:color="auto"/>
        <w:bottom w:val="none" w:sz="0" w:space="0" w:color="auto"/>
        <w:right w:val="none" w:sz="0" w:space="0" w:color="auto"/>
      </w:divBdr>
    </w:div>
    <w:div w:id="729884744">
      <w:bodyDiv w:val="1"/>
      <w:marLeft w:val="0"/>
      <w:marRight w:val="0"/>
      <w:marTop w:val="0"/>
      <w:marBottom w:val="0"/>
      <w:divBdr>
        <w:top w:val="none" w:sz="0" w:space="0" w:color="auto"/>
        <w:left w:val="none" w:sz="0" w:space="0" w:color="auto"/>
        <w:bottom w:val="none" w:sz="0" w:space="0" w:color="auto"/>
        <w:right w:val="none" w:sz="0" w:space="0" w:color="auto"/>
      </w:divBdr>
    </w:div>
    <w:div w:id="733236033">
      <w:bodyDiv w:val="1"/>
      <w:marLeft w:val="0"/>
      <w:marRight w:val="0"/>
      <w:marTop w:val="0"/>
      <w:marBottom w:val="0"/>
      <w:divBdr>
        <w:top w:val="none" w:sz="0" w:space="0" w:color="auto"/>
        <w:left w:val="none" w:sz="0" w:space="0" w:color="auto"/>
        <w:bottom w:val="none" w:sz="0" w:space="0" w:color="auto"/>
        <w:right w:val="none" w:sz="0" w:space="0" w:color="auto"/>
      </w:divBdr>
    </w:div>
    <w:div w:id="735011980">
      <w:bodyDiv w:val="1"/>
      <w:marLeft w:val="0"/>
      <w:marRight w:val="0"/>
      <w:marTop w:val="0"/>
      <w:marBottom w:val="0"/>
      <w:divBdr>
        <w:top w:val="none" w:sz="0" w:space="0" w:color="auto"/>
        <w:left w:val="none" w:sz="0" w:space="0" w:color="auto"/>
        <w:bottom w:val="none" w:sz="0" w:space="0" w:color="auto"/>
        <w:right w:val="none" w:sz="0" w:space="0" w:color="auto"/>
      </w:divBdr>
    </w:div>
    <w:div w:id="736853900">
      <w:bodyDiv w:val="1"/>
      <w:marLeft w:val="0"/>
      <w:marRight w:val="0"/>
      <w:marTop w:val="0"/>
      <w:marBottom w:val="0"/>
      <w:divBdr>
        <w:top w:val="none" w:sz="0" w:space="0" w:color="auto"/>
        <w:left w:val="none" w:sz="0" w:space="0" w:color="auto"/>
        <w:bottom w:val="none" w:sz="0" w:space="0" w:color="auto"/>
        <w:right w:val="none" w:sz="0" w:space="0" w:color="auto"/>
      </w:divBdr>
    </w:div>
    <w:div w:id="736904580">
      <w:bodyDiv w:val="1"/>
      <w:marLeft w:val="0"/>
      <w:marRight w:val="0"/>
      <w:marTop w:val="0"/>
      <w:marBottom w:val="0"/>
      <w:divBdr>
        <w:top w:val="none" w:sz="0" w:space="0" w:color="auto"/>
        <w:left w:val="none" w:sz="0" w:space="0" w:color="auto"/>
        <w:bottom w:val="none" w:sz="0" w:space="0" w:color="auto"/>
        <w:right w:val="none" w:sz="0" w:space="0" w:color="auto"/>
      </w:divBdr>
    </w:div>
    <w:div w:id="742719663">
      <w:bodyDiv w:val="1"/>
      <w:marLeft w:val="0"/>
      <w:marRight w:val="0"/>
      <w:marTop w:val="0"/>
      <w:marBottom w:val="0"/>
      <w:divBdr>
        <w:top w:val="none" w:sz="0" w:space="0" w:color="auto"/>
        <w:left w:val="none" w:sz="0" w:space="0" w:color="auto"/>
        <w:bottom w:val="none" w:sz="0" w:space="0" w:color="auto"/>
        <w:right w:val="none" w:sz="0" w:space="0" w:color="auto"/>
      </w:divBdr>
    </w:div>
    <w:div w:id="745146085">
      <w:bodyDiv w:val="1"/>
      <w:marLeft w:val="0"/>
      <w:marRight w:val="0"/>
      <w:marTop w:val="0"/>
      <w:marBottom w:val="0"/>
      <w:divBdr>
        <w:top w:val="none" w:sz="0" w:space="0" w:color="auto"/>
        <w:left w:val="none" w:sz="0" w:space="0" w:color="auto"/>
        <w:bottom w:val="none" w:sz="0" w:space="0" w:color="auto"/>
        <w:right w:val="none" w:sz="0" w:space="0" w:color="auto"/>
      </w:divBdr>
    </w:div>
    <w:div w:id="749890438">
      <w:bodyDiv w:val="1"/>
      <w:marLeft w:val="0"/>
      <w:marRight w:val="0"/>
      <w:marTop w:val="0"/>
      <w:marBottom w:val="0"/>
      <w:divBdr>
        <w:top w:val="none" w:sz="0" w:space="0" w:color="auto"/>
        <w:left w:val="none" w:sz="0" w:space="0" w:color="auto"/>
        <w:bottom w:val="none" w:sz="0" w:space="0" w:color="auto"/>
        <w:right w:val="none" w:sz="0" w:space="0" w:color="auto"/>
      </w:divBdr>
    </w:div>
    <w:div w:id="752359773">
      <w:bodyDiv w:val="1"/>
      <w:marLeft w:val="0"/>
      <w:marRight w:val="0"/>
      <w:marTop w:val="0"/>
      <w:marBottom w:val="0"/>
      <w:divBdr>
        <w:top w:val="none" w:sz="0" w:space="0" w:color="auto"/>
        <w:left w:val="none" w:sz="0" w:space="0" w:color="auto"/>
        <w:bottom w:val="none" w:sz="0" w:space="0" w:color="auto"/>
        <w:right w:val="none" w:sz="0" w:space="0" w:color="auto"/>
      </w:divBdr>
    </w:div>
    <w:div w:id="757406164">
      <w:bodyDiv w:val="1"/>
      <w:marLeft w:val="0"/>
      <w:marRight w:val="0"/>
      <w:marTop w:val="0"/>
      <w:marBottom w:val="0"/>
      <w:divBdr>
        <w:top w:val="none" w:sz="0" w:space="0" w:color="auto"/>
        <w:left w:val="none" w:sz="0" w:space="0" w:color="auto"/>
        <w:bottom w:val="none" w:sz="0" w:space="0" w:color="auto"/>
        <w:right w:val="none" w:sz="0" w:space="0" w:color="auto"/>
      </w:divBdr>
    </w:div>
    <w:div w:id="759060519">
      <w:bodyDiv w:val="1"/>
      <w:marLeft w:val="0"/>
      <w:marRight w:val="0"/>
      <w:marTop w:val="0"/>
      <w:marBottom w:val="0"/>
      <w:divBdr>
        <w:top w:val="none" w:sz="0" w:space="0" w:color="auto"/>
        <w:left w:val="none" w:sz="0" w:space="0" w:color="auto"/>
        <w:bottom w:val="none" w:sz="0" w:space="0" w:color="auto"/>
        <w:right w:val="none" w:sz="0" w:space="0" w:color="auto"/>
      </w:divBdr>
    </w:div>
    <w:div w:id="759370751">
      <w:bodyDiv w:val="1"/>
      <w:marLeft w:val="0"/>
      <w:marRight w:val="0"/>
      <w:marTop w:val="0"/>
      <w:marBottom w:val="0"/>
      <w:divBdr>
        <w:top w:val="none" w:sz="0" w:space="0" w:color="auto"/>
        <w:left w:val="none" w:sz="0" w:space="0" w:color="auto"/>
        <w:bottom w:val="none" w:sz="0" w:space="0" w:color="auto"/>
        <w:right w:val="none" w:sz="0" w:space="0" w:color="auto"/>
      </w:divBdr>
    </w:div>
    <w:div w:id="761030376">
      <w:bodyDiv w:val="1"/>
      <w:marLeft w:val="0"/>
      <w:marRight w:val="0"/>
      <w:marTop w:val="0"/>
      <w:marBottom w:val="0"/>
      <w:divBdr>
        <w:top w:val="none" w:sz="0" w:space="0" w:color="auto"/>
        <w:left w:val="none" w:sz="0" w:space="0" w:color="auto"/>
        <w:bottom w:val="none" w:sz="0" w:space="0" w:color="auto"/>
        <w:right w:val="none" w:sz="0" w:space="0" w:color="auto"/>
      </w:divBdr>
    </w:div>
    <w:div w:id="761224311">
      <w:bodyDiv w:val="1"/>
      <w:marLeft w:val="0"/>
      <w:marRight w:val="0"/>
      <w:marTop w:val="0"/>
      <w:marBottom w:val="0"/>
      <w:divBdr>
        <w:top w:val="none" w:sz="0" w:space="0" w:color="auto"/>
        <w:left w:val="none" w:sz="0" w:space="0" w:color="auto"/>
        <w:bottom w:val="none" w:sz="0" w:space="0" w:color="auto"/>
        <w:right w:val="none" w:sz="0" w:space="0" w:color="auto"/>
      </w:divBdr>
    </w:div>
    <w:div w:id="762074834">
      <w:bodyDiv w:val="1"/>
      <w:marLeft w:val="0"/>
      <w:marRight w:val="0"/>
      <w:marTop w:val="0"/>
      <w:marBottom w:val="0"/>
      <w:divBdr>
        <w:top w:val="none" w:sz="0" w:space="0" w:color="auto"/>
        <w:left w:val="none" w:sz="0" w:space="0" w:color="auto"/>
        <w:bottom w:val="none" w:sz="0" w:space="0" w:color="auto"/>
        <w:right w:val="none" w:sz="0" w:space="0" w:color="auto"/>
      </w:divBdr>
    </w:div>
    <w:div w:id="762265446">
      <w:bodyDiv w:val="1"/>
      <w:marLeft w:val="0"/>
      <w:marRight w:val="0"/>
      <w:marTop w:val="0"/>
      <w:marBottom w:val="0"/>
      <w:divBdr>
        <w:top w:val="none" w:sz="0" w:space="0" w:color="auto"/>
        <w:left w:val="none" w:sz="0" w:space="0" w:color="auto"/>
        <w:bottom w:val="none" w:sz="0" w:space="0" w:color="auto"/>
        <w:right w:val="none" w:sz="0" w:space="0" w:color="auto"/>
      </w:divBdr>
    </w:div>
    <w:div w:id="764880920">
      <w:bodyDiv w:val="1"/>
      <w:marLeft w:val="0"/>
      <w:marRight w:val="0"/>
      <w:marTop w:val="0"/>
      <w:marBottom w:val="0"/>
      <w:divBdr>
        <w:top w:val="none" w:sz="0" w:space="0" w:color="auto"/>
        <w:left w:val="none" w:sz="0" w:space="0" w:color="auto"/>
        <w:bottom w:val="none" w:sz="0" w:space="0" w:color="auto"/>
        <w:right w:val="none" w:sz="0" w:space="0" w:color="auto"/>
      </w:divBdr>
    </w:div>
    <w:div w:id="767309946">
      <w:bodyDiv w:val="1"/>
      <w:marLeft w:val="0"/>
      <w:marRight w:val="0"/>
      <w:marTop w:val="0"/>
      <w:marBottom w:val="0"/>
      <w:divBdr>
        <w:top w:val="none" w:sz="0" w:space="0" w:color="auto"/>
        <w:left w:val="none" w:sz="0" w:space="0" w:color="auto"/>
        <w:bottom w:val="none" w:sz="0" w:space="0" w:color="auto"/>
        <w:right w:val="none" w:sz="0" w:space="0" w:color="auto"/>
      </w:divBdr>
    </w:div>
    <w:div w:id="767965577">
      <w:bodyDiv w:val="1"/>
      <w:marLeft w:val="0"/>
      <w:marRight w:val="0"/>
      <w:marTop w:val="0"/>
      <w:marBottom w:val="0"/>
      <w:divBdr>
        <w:top w:val="none" w:sz="0" w:space="0" w:color="auto"/>
        <w:left w:val="none" w:sz="0" w:space="0" w:color="auto"/>
        <w:bottom w:val="none" w:sz="0" w:space="0" w:color="auto"/>
        <w:right w:val="none" w:sz="0" w:space="0" w:color="auto"/>
      </w:divBdr>
    </w:div>
    <w:div w:id="768161182">
      <w:bodyDiv w:val="1"/>
      <w:marLeft w:val="0"/>
      <w:marRight w:val="0"/>
      <w:marTop w:val="0"/>
      <w:marBottom w:val="0"/>
      <w:divBdr>
        <w:top w:val="none" w:sz="0" w:space="0" w:color="auto"/>
        <w:left w:val="none" w:sz="0" w:space="0" w:color="auto"/>
        <w:bottom w:val="none" w:sz="0" w:space="0" w:color="auto"/>
        <w:right w:val="none" w:sz="0" w:space="0" w:color="auto"/>
      </w:divBdr>
    </w:div>
    <w:div w:id="770978749">
      <w:bodyDiv w:val="1"/>
      <w:marLeft w:val="0"/>
      <w:marRight w:val="0"/>
      <w:marTop w:val="0"/>
      <w:marBottom w:val="0"/>
      <w:divBdr>
        <w:top w:val="none" w:sz="0" w:space="0" w:color="auto"/>
        <w:left w:val="none" w:sz="0" w:space="0" w:color="auto"/>
        <w:bottom w:val="none" w:sz="0" w:space="0" w:color="auto"/>
        <w:right w:val="none" w:sz="0" w:space="0" w:color="auto"/>
      </w:divBdr>
    </w:div>
    <w:div w:id="775247047">
      <w:bodyDiv w:val="1"/>
      <w:marLeft w:val="0"/>
      <w:marRight w:val="0"/>
      <w:marTop w:val="0"/>
      <w:marBottom w:val="0"/>
      <w:divBdr>
        <w:top w:val="none" w:sz="0" w:space="0" w:color="auto"/>
        <w:left w:val="none" w:sz="0" w:space="0" w:color="auto"/>
        <w:bottom w:val="none" w:sz="0" w:space="0" w:color="auto"/>
        <w:right w:val="none" w:sz="0" w:space="0" w:color="auto"/>
      </w:divBdr>
    </w:div>
    <w:div w:id="776219765">
      <w:bodyDiv w:val="1"/>
      <w:marLeft w:val="0"/>
      <w:marRight w:val="0"/>
      <w:marTop w:val="0"/>
      <w:marBottom w:val="0"/>
      <w:divBdr>
        <w:top w:val="none" w:sz="0" w:space="0" w:color="auto"/>
        <w:left w:val="none" w:sz="0" w:space="0" w:color="auto"/>
        <w:bottom w:val="none" w:sz="0" w:space="0" w:color="auto"/>
        <w:right w:val="none" w:sz="0" w:space="0" w:color="auto"/>
      </w:divBdr>
    </w:div>
    <w:div w:id="778111385">
      <w:bodyDiv w:val="1"/>
      <w:marLeft w:val="0"/>
      <w:marRight w:val="0"/>
      <w:marTop w:val="0"/>
      <w:marBottom w:val="0"/>
      <w:divBdr>
        <w:top w:val="none" w:sz="0" w:space="0" w:color="auto"/>
        <w:left w:val="none" w:sz="0" w:space="0" w:color="auto"/>
        <w:bottom w:val="none" w:sz="0" w:space="0" w:color="auto"/>
        <w:right w:val="none" w:sz="0" w:space="0" w:color="auto"/>
      </w:divBdr>
    </w:div>
    <w:div w:id="779882223">
      <w:bodyDiv w:val="1"/>
      <w:marLeft w:val="0"/>
      <w:marRight w:val="0"/>
      <w:marTop w:val="0"/>
      <w:marBottom w:val="0"/>
      <w:divBdr>
        <w:top w:val="none" w:sz="0" w:space="0" w:color="auto"/>
        <w:left w:val="none" w:sz="0" w:space="0" w:color="auto"/>
        <w:bottom w:val="none" w:sz="0" w:space="0" w:color="auto"/>
        <w:right w:val="none" w:sz="0" w:space="0" w:color="auto"/>
      </w:divBdr>
    </w:div>
    <w:div w:id="781727654">
      <w:bodyDiv w:val="1"/>
      <w:marLeft w:val="0"/>
      <w:marRight w:val="0"/>
      <w:marTop w:val="0"/>
      <w:marBottom w:val="0"/>
      <w:divBdr>
        <w:top w:val="none" w:sz="0" w:space="0" w:color="auto"/>
        <w:left w:val="none" w:sz="0" w:space="0" w:color="auto"/>
        <w:bottom w:val="none" w:sz="0" w:space="0" w:color="auto"/>
        <w:right w:val="none" w:sz="0" w:space="0" w:color="auto"/>
      </w:divBdr>
    </w:div>
    <w:div w:id="782655411">
      <w:bodyDiv w:val="1"/>
      <w:marLeft w:val="0"/>
      <w:marRight w:val="0"/>
      <w:marTop w:val="0"/>
      <w:marBottom w:val="0"/>
      <w:divBdr>
        <w:top w:val="none" w:sz="0" w:space="0" w:color="auto"/>
        <w:left w:val="none" w:sz="0" w:space="0" w:color="auto"/>
        <w:bottom w:val="none" w:sz="0" w:space="0" w:color="auto"/>
        <w:right w:val="none" w:sz="0" w:space="0" w:color="auto"/>
      </w:divBdr>
    </w:div>
    <w:div w:id="783156173">
      <w:bodyDiv w:val="1"/>
      <w:marLeft w:val="0"/>
      <w:marRight w:val="0"/>
      <w:marTop w:val="0"/>
      <w:marBottom w:val="0"/>
      <w:divBdr>
        <w:top w:val="none" w:sz="0" w:space="0" w:color="auto"/>
        <w:left w:val="none" w:sz="0" w:space="0" w:color="auto"/>
        <w:bottom w:val="none" w:sz="0" w:space="0" w:color="auto"/>
        <w:right w:val="none" w:sz="0" w:space="0" w:color="auto"/>
      </w:divBdr>
    </w:div>
    <w:div w:id="783303525">
      <w:bodyDiv w:val="1"/>
      <w:marLeft w:val="0"/>
      <w:marRight w:val="0"/>
      <w:marTop w:val="0"/>
      <w:marBottom w:val="0"/>
      <w:divBdr>
        <w:top w:val="none" w:sz="0" w:space="0" w:color="auto"/>
        <w:left w:val="none" w:sz="0" w:space="0" w:color="auto"/>
        <w:bottom w:val="none" w:sz="0" w:space="0" w:color="auto"/>
        <w:right w:val="none" w:sz="0" w:space="0" w:color="auto"/>
      </w:divBdr>
    </w:div>
    <w:div w:id="783498867">
      <w:bodyDiv w:val="1"/>
      <w:marLeft w:val="0"/>
      <w:marRight w:val="0"/>
      <w:marTop w:val="0"/>
      <w:marBottom w:val="0"/>
      <w:divBdr>
        <w:top w:val="none" w:sz="0" w:space="0" w:color="auto"/>
        <w:left w:val="none" w:sz="0" w:space="0" w:color="auto"/>
        <w:bottom w:val="none" w:sz="0" w:space="0" w:color="auto"/>
        <w:right w:val="none" w:sz="0" w:space="0" w:color="auto"/>
      </w:divBdr>
    </w:div>
    <w:div w:id="786388378">
      <w:bodyDiv w:val="1"/>
      <w:marLeft w:val="0"/>
      <w:marRight w:val="0"/>
      <w:marTop w:val="0"/>
      <w:marBottom w:val="0"/>
      <w:divBdr>
        <w:top w:val="none" w:sz="0" w:space="0" w:color="auto"/>
        <w:left w:val="none" w:sz="0" w:space="0" w:color="auto"/>
        <w:bottom w:val="none" w:sz="0" w:space="0" w:color="auto"/>
        <w:right w:val="none" w:sz="0" w:space="0" w:color="auto"/>
      </w:divBdr>
    </w:div>
    <w:div w:id="787160645">
      <w:bodyDiv w:val="1"/>
      <w:marLeft w:val="0"/>
      <w:marRight w:val="0"/>
      <w:marTop w:val="0"/>
      <w:marBottom w:val="0"/>
      <w:divBdr>
        <w:top w:val="none" w:sz="0" w:space="0" w:color="auto"/>
        <w:left w:val="none" w:sz="0" w:space="0" w:color="auto"/>
        <w:bottom w:val="none" w:sz="0" w:space="0" w:color="auto"/>
        <w:right w:val="none" w:sz="0" w:space="0" w:color="auto"/>
      </w:divBdr>
    </w:div>
    <w:div w:id="789976029">
      <w:bodyDiv w:val="1"/>
      <w:marLeft w:val="0"/>
      <w:marRight w:val="0"/>
      <w:marTop w:val="0"/>
      <w:marBottom w:val="0"/>
      <w:divBdr>
        <w:top w:val="none" w:sz="0" w:space="0" w:color="auto"/>
        <w:left w:val="none" w:sz="0" w:space="0" w:color="auto"/>
        <w:bottom w:val="none" w:sz="0" w:space="0" w:color="auto"/>
        <w:right w:val="none" w:sz="0" w:space="0" w:color="auto"/>
      </w:divBdr>
    </w:div>
    <w:div w:id="790824248">
      <w:bodyDiv w:val="1"/>
      <w:marLeft w:val="0"/>
      <w:marRight w:val="0"/>
      <w:marTop w:val="0"/>
      <w:marBottom w:val="0"/>
      <w:divBdr>
        <w:top w:val="none" w:sz="0" w:space="0" w:color="auto"/>
        <w:left w:val="none" w:sz="0" w:space="0" w:color="auto"/>
        <w:bottom w:val="none" w:sz="0" w:space="0" w:color="auto"/>
        <w:right w:val="none" w:sz="0" w:space="0" w:color="auto"/>
      </w:divBdr>
    </w:div>
    <w:div w:id="791898871">
      <w:bodyDiv w:val="1"/>
      <w:marLeft w:val="0"/>
      <w:marRight w:val="0"/>
      <w:marTop w:val="0"/>
      <w:marBottom w:val="0"/>
      <w:divBdr>
        <w:top w:val="none" w:sz="0" w:space="0" w:color="auto"/>
        <w:left w:val="none" w:sz="0" w:space="0" w:color="auto"/>
        <w:bottom w:val="none" w:sz="0" w:space="0" w:color="auto"/>
        <w:right w:val="none" w:sz="0" w:space="0" w:color="auto"/>
      </w:divBdr>
    </w:div>
    <w:div w:id="792359252">
      <w:bodyDiv w:val="1"/>
      <w:marLeft w:val="0"/>
      <w:marRight w:val="0"/>
      <w:marTop w:val="0"/>
      <w:marBottom w:val="0"/>
      <w:divBdr>
        <w:top w:val="none" w:sz="0" w:space="0" w:color="auto"/>
        <w:left w:val="none" w:sz="0" w:space="0" w:color="auto"/>
        <w:bottom w:val="none" w:sz="0" w:space="0" w:color="auto"/>
        <w:right w:val="none" w:sz="0" w:space="0" w:color="auto"/>
      </w:divBdr>
    </w:div>
    <w:div w:id="794718183">
      <w:bodyDiv w:val="1"/>
      <w:marLeft w:val="0"/>
      <w:marRight w:val="0"/>
      <w:marTop w:val="0"/>
      <w:marBottom w:val="0"/>
      <w:divBdr>
        <w:top w:val="none" w:sz="0" w:space="0" w:color="auto"/>
        <w:left w:val="none" w:sz="0" w:space="0" w:color="auto"/>
        <w:bottom w:val="none" w:sz="0" w:space="0" w:color="auto"/>
        <w:right w:val="none" w:sz="0" w:space="0" w:color="auto"/>
      </w:divBdr>
    </w:div>
    <w:div w:id="794758151">
      <w:bodyDiv w:val="1"/>
      <w:marLeft w:val="0"/>
      <w:marRight w:val="0"/>
      <w:marTop w:val="0"/>
      <w:marBottom w:val="0"/>
      <w:divBdr>
        <w:top w:val="none" w:sz="0" w:space="0" w:color="auto"/>
        <w:left w:val="none" w:sz="0" w:space="0" w:color="auto"/>
        <w:bottom w:val="none" w:sz="0" w:space="0" w:color="auto"/>
        <w:right w:val="none" w:sz="0" w:space="0" w:color="auto"/>
      </w:divBdr>
    </w:div>
    <w:div w:id="796266059">
      <w:bodyDiv w:val="1"/>
      <w:marLeft w:val="0"/>
      <w:marRight w:val="0"/>
      <w:marTop w:val="0"/>
      <w:marBottom w:val="0"/>
      <w:divBdr>
        <w:top w:val="none" w:sz="0" w:space="0" w:color="auto"/>
        <w:left w:val="none" w:sz="0" w:space="0" w:color="auto"/>
        <w:bottom w:val="none" w:sz="0" w:space="0" w:color="auto"/>
        <w:right w:val="none" w:sz="0" w:space="0" w:color="auto"/>
      </w:divBdr>
    </w:div>
    <w:div w:id="798189302">
      <w:bodyDiv w:val="1"/>
      <w:marLeft w:val="0"/>
      <w:marRight w:val="0"/>
      <w:marTop w:val="0"/>
      <w:marBottom w:val="0"/>
      <w:divBdr>
        <w:top w:val="none" w:sz="0" w:space="0" w:color="auto"/>
        <w:left w:val="none" w:sz="0" w:space="0" w:color="auto"/>
        <w:bottom w:val="none" w:sz="0" w:space="0" w:color="auto"/>
        <w:right w:val="none" w:sz="0" w:space="0" w:color="auto"/>
      </w:divBdr>
    </w:div>
    <w:div w:id="798379717">
      <w:bodyDiv w:val="1"/>
      <w:marLeft w:val="0"/>
      <w:marRight w:val="0"/>
      <w:marTop w:val="0"/>
      <w:marBottom w:val="0"/>
      <w:divBdr>
        <w:top w:val="none" w:sz="0" w:space="0" w:color="auto"/>
        <w:left w:val="none" w:sz="0" w:space="0" w:color="auto"/>
        <w:bottom w:val="none" w:sz="0" w:space="0" w:color="auto"/>
        <w:right w:val="none" w:sz="0" w:space="0" w:color="auto"/>
      </w:divBdr>
    </w:div>
    <w:div w:id="800223329">
      <w:bodyDiv w:val="1"/>
      <w:marLeft w:val="0"/>
      <w:marRight w:val="0"/>
      <w:marTop w:val="0"/>
      <w:marBottom w:val="0"/>
      <w:divBdr>
        <w:top w:val="none" w:sz="0" w:space="0" w:color="auto"/>
        <w:left w:val="none" w:sz="0" w:space="0" w:color="auto"/>
        <w:bottom w:val="none" w:sz="0" w:space="0" w:color="auto"/>
        <w:right w:val="none" w:sz="0" w:space="0" w:color="auto"/>
      </w:divBdr>
    </w:div>
    <w:div w:id="801466387">
      <w:bodyDiv w:val="1"/>
      <w:marLeft w:val="0"/>
      <w:marRight w:val="0"/>
      <w:marTop w:val="0"/>
      <w:marBottom w:val="0"/>
      <w:divBdr>
        <w:top w:val="none" w:sz="0" w:space="0" w:color="auto"/>
        <w:left w:val="none" w:sz="0" w:space="0" w:color="auto"/>
        <w:bottom w:val="none" w:sz="0" w:space="0" w:color="auto"/>
        <w:right w:val="none" w:sz="0" w:space="0" w:color="auto"/>
      </w:divBdr>
    </w:div>
    <w:div w:id="804080632">
      <w:bodyDiv w:val="1"/>
      <w:marLeft w:val="0"/>
      <w:marRight w:val="0"/>
      <w:marTop w:val="0"/>
      <w:marBottom w:val="0"/>
      <w:divBdr>
        <w:top w:val="none" w:sz="0" w:space="0" w:color="auto"/>
        <w:left w:val="none" w:sz="0" w:space="0" w:color="auto"/>
        <w:bottom w:val="none" w:sz="0" w:space="0" w:color="auto"/>
        <w:right w:val="none" w:sz="0" w:space="0" w:color="auto"/>
      </w:divBdr>
    </w:div>
    <w:div w:id="804354308">
      <w:bodyDiv w:val="1"/>
      <w:marLeft w:val="0"/>
      <w:marRight w:val="0"/>
      <w:marTop w:val="0"/>
      <w:marBottom w:val="0"/>
      <w:divBdr>
        <w:top w:val="none" w:sz="0" w:space="0" w:color="auto"/>
        <w:left w:val="none" w:sz="0" w:space="0" w:color="auto"/>
        <w:bottom w:val="none" w:sz="0" w:space="0" w:color="auto"/>
        <w:right w:val="none" w:sz="0" w:space="0" w:color="auto"/>
      </w:divBdr>
    </w:div>
    <w:div w:id="805706819">
      <w:bodyDiv w:val="1"/>
      <w:marLeft w:val="0"/>
      <w:marRight w:val="0"/>
      <w:marTop w:val="0"/>
      <w:marBottom w:val="0"/>
      <w:divBdr>
        <w:top w:val="none" w:sz="0" w:space="0" w:color="auto"/>
        <w:left w:val="none" w:sz="0" w:space="0" w:color="auto"/>
        <w:bottom w:val="none" w:sz="0" w:space="0" w:color="auto"/>
        <w:right w:val="none" w:sz="0" w:space="0" w:color="auto"/>
      </w:divBdr>
    </w:div>
    <w:div w:id="809707146">
      <w:bodyDiv w:val="1"/>
      <w:marLeft w:val="0"/>
      <w:marRight w:val="0"/>
      <w:marTop w:val="0"/>
      <w:marBottom w:val="0"/>
      <w:divBdr>
        <w:top w:val="none" w:sz="0" w:space="0" w:color="auto"/>
        <w:left w:val="none" w:sz="0" w:space="0" w:color="auto"/>
        <w:bottom w:val="none" w:sz="0" w:space="0" w:color="auto"/>
        <w:right w:val="none" w:sz="0" w:space="0" w:color="auto"/>
      </w:divBdr>
    </w:div>
    <w:div w:id="810365023">
      <w:bodyDiv w:val="1"/>
      <w:marLeft w:val="0"/>
      <w:marRight w:val="0"/>
      <w:marTop w:val="0"/>
      <w:marBottom w:val="0"/>
      <w:divBdr>
        <w:top w:val="none" w:sz="0" w:space="0" w:color="auto"/>
        <w:left w:val="none" w:sz="0" w:space="0" w:color="auto"/>
        <w:bottom w:val="none" w:sz="0" w:space="0" w:color="auto"/>
        <w:right w:val="none" w:sz="0" w:space="0" w:color="auto"/>
      </w:divBdr>
    </w:div>
    <w:div w:id="811020433">
      <w:bodyDiv w:val="1"/>
      <w:marLeft w:val="0"/>
      <w:marRight w:val="0"/>
      <w:marTop w:val="0"/>
      <w:marBottom w:val="0"/>
      <w:divBdr>
        <w:top w:val="none" w:sz="0" w:space="0" w:color="auto"/>
        <w:left w:val="none" w:sz="0" w:space="0" w:color="auto"/>
        <w:bottom w:val="none" w:sz="0" w:space="0" w:color="auto"/>
        <w:right w:val="none" w:sz="0" w:space="0" w:color="auto"/>
      </w:divBdr>
    </w:div>
    <w:div w:id="815299101">
      <w:bodyDiv w:val="1"/>
      <w:marLeft w:val="0"/>
      <w:marRight w:val="0"/>
      <w:marTop w:val="0"/>
      <w:marBottom w:val="0"/>
      <w:divBdr>
        <w:top w:val="none" w:sz="0" w:space="0" w:color="auto"/>
        <w:left w:val="none" w:sz="0" w:space="0" w:color="auto"/>
        <w:bottom w:val="none" w:sz="0" w:space="0" w:color="auto"/>
        <w:right w:val="none" w:sz="0" w:space="0" w:color="auto"/>
      </w:divBdr>
    </w:div>
    <w:div w:id="816192404">
      <w:bodyDiv w:val="1"/>
      <w:marLeft w:val="0"/>
      <w:marRight w:val="0"/>
      <w:marTop w:val="0"/>
      <w:marBottom w:val="0"/>
      <w:divBdr>
        <w:top w:val="none" w:sz="0" w:space="0" w:color="auto"/>
        <w:left w:val="none" w:sz="0" w:space="0" w:color="auto"/>
        <w:bottom w:val="none" w:sz="0" w:space="0" w:color="auto"/>
        <w:right w:val="none" w:sz="0" w:space="0" w:color="auto"/>
      </w:divBdr>
    </w:div>
    <w:div w:id="823471894">
      <w:bodyDiv w:val="1"/>
      <w:marLeft w:val="0"/>
      <w:marRight w:val="0"/>
      <w:marTop w:val="0"/>
      <w:marBottom w:val="0"/>
      <w:divBdr>
        <w:top w:val="none" w:sz="0" w:space="0" w:color="auto"/>
        <w:left w:val="none" w:sz="0" w:space="0" w:color="auto"/>
        <w:bottom w:val="none" w:sz="0" w:space="0" w:color="auto"/>
        <w:right w:val="none" w:sz="0" w:space="0" w:color="auto"/>
      </w:divBdr>
    </w:div>
    <w:div w:id="823543625">
      <w:bodyDiv w:val="1"/>
      <w:marLeft w:val="0"/>
      <w:marRight w:val="0"/>
      <w:marTop w:val="0"/>
      <w:marBottom w:val="0"/>
      <w:divBdr>
        <w:top w:val="none" w:sz="0" w:space="0" w:color="auto"/>
        <w:left w:val="none" w:sz="0" w:space="0" w:color="auto"/>
        <w:bottom w:val="none" w:sz="0" w:space="0" w:color="auto"/>
        <w:right w:val="none" w:sz="0" w:space="0" w:color="auto"/>
      </w:divBdr>
    </w:div>
    <w:div w:id="824204657">
      <w:bodyDiv w:val="1"/>
      <w:marLeft w:val="0"/>
      <w:marRight w:val="0"/>
      <w:marTop w:val="0"/>
      <w:marBottom w:val="0"/>
      <w:divBdr>
        <w:top w:val="none" w:sz="0" w:space="0" w:color="auto"/>
        <w:left w:val="none" w:sz="0" w:space="0" w:color="auto"/>
        <w:bottom w:val="none" w:sz="0" w:space="0" w:color="auto"/>
        <w:right w:val="none" w:sz="0" w:space="0" w:color="auto"/>
      </w:divBdr>
    </w:div>
    <w:div w:id="832260766">
      <w:bodyDiv w:val="1"/>
      <w:marLeft w:val="0"/>
      <w:marRight w:val="0"/>
      <w:marTop w:val="0"/>
      <w:marBottom w:val="0"/>
      <w:divBdr>
        <w:top w:val="none" w:sz="0" w:space="0" w:color="auto"/>
        <w:left w:val="none" w:sz="0" w:space="0" w:color="auto"/>
        <w:bottom w:val="none" w:sz="0" w:space="0" w:color="auto"/>
        <w:right w:val="none" w:sz="0" w:space="0" w:color="auto"/>
      </w:divBdr>
    </w:div>
    <w:div w:id="834035133">
      <w:bodyDiv w:val="1"/>
      <w:marLeft w:val="0"/>
      <w:marRight w:val="0"/>
      <w:marTop w:val="0"/>
      <w:marBottom w:val="0"/>
      <w:divBdr>
        <w:top w:val="none" w:sz="0" w:space="0" w:color="auto"/>
        <w:left w:val="none" w:sz="0" w:space="0" w:color="auto"/>
        <w:bottom w:val="none" w:sz="0" w:space="0" w:color="auto"/>
        <w:right w:val="none" w:sz="0" w:space="0" w:color="auto"/>
      </w:divBdr>
    </w:div>
    <w:div w:id="834876819">
      <w:bodyDiv w:val="1"/>
      <w:marLeft w:val="0"/>
      <w:marRight w:val="0"/>
      <w:marTop w:val="0"/>
      <w:marBottom w:val="0"/>
      <w:divBdr>
        <w:top w:val="none" w:sz="0" w:space="0" w:color="auto"/>
        <w:left w:val="none" w:sz="0" w:space="0" w:color="auto"/>
        <w:bottom w:val="none" w:sz="0" w:space="0" w:color="auto"/>
        <w:right w:val="none" w:sz="0" w:space="0" w:color="auto"/>
      </w:divBdr>
    </w:div>
    <w:div w:id="835270736">
      <w:bodyDiv w:val="1"/>
      <w:marLeft w:val="0"/>
      <w:marRight w:val="0"/>
      <w:marTop w:val="0"/>
      <w:marBottom w:val="0"/>
      <w:divBdr>
        <w:top w:val="none" w:sz="0" w:space="0" w:color="auto"/>
        <w:left w:val="none" w:sz="0" w:space="0" w:color="auto"/>
        <w:bottom w:val="none" w:sz="0" w:space="0" w:color="auto"/>
        <w:right w:val="none" w:sz="0" w:space="0" w:color="auto"/>
      </w:divBdr>
    </w:div>
    <w:div w:id="836578573">
      <w:bodyDiv w:val="1"/>
      <w:marLeft w:val="0"/>
      <w:marRight w:val="0"/>
      <w:marTop w:val="0"/>
      <w:marBottom w:val="0"/>
      <w:divBdr>
        <w:top w:val="none" w:sz="0" w:space="0" w:color="auto"/>
        <w:left w:val="none" w:sz="0" w:space="0" w:color="auto"/>
        <w:bottom w:val="none" w:sz="0" w:space="0" w:color="auto"/>
        <w:right w:val="none" w:sz="0" w:space="0" w:color="auto"/>
      </w:divBdr>
    </w:div>
    <w:div w:id="836916763">
      <w:bodyDiv w:val="1"/>
      <w:marLeft w:val="0"/>
      <w:marRight w:val="0"/>
      <w:marTop w:val="0"/>
      <w:marBottom w:val="0"/>
      <w:divBdr>
        <w:top w:val="none" w:sz="0" w:space="0" w:color="auto"/>
        <w:left w:val="none" w:sz="0" w:space="0" w:color="auto"/>
        <w:bottom w:val="none" w:sz="0" w:space="0" w:color="auto"/>
        <w:right w:val="none" w:sz="0" w:space="0" w:color="auto"/>
      </w:divBdr>
    </w:div>
    <w:div w:id="837307775">
      <w:bodyDiv w:val="1"/>
      <w:marLeft w:val="0"/>
      <w:marRight w:val="0"/>
      <w:marTop w:val="0"/>
      <w:marBottom w:val="0"/>
      <w:divBdr>
        <w:top w:val="none" w:sz="0" w:space="0" w:color="auto"/>
        <w:left w:val="none" w:sz="0" w:space="0" w:color="auto"/>
        <w:bottom w:val="none" w:sz="0" w:space="0" w:color="auto"/>
        <w:right w:val="none" w:sz="0" w:space="0" w:color="auto"/>
      </w:divBdr>
    </w:div>
    <w:div w:id="839465770">
      <w:bodyDiv w:val="1"/>
      <w:marLeft w:val="0"/>
      <w:marRight w:val="0"/>
      <w:marTop w:val="0"/>
      <w:marBottom w:val="0"/>
      <w:divBdr>
        <w:top w:val="none" w:sz="0" w:space="0" w:color="auto"/>
        <w:left w:val="none" w:sz="0" w:space="0" w:color="auto"/>
        <w:bottom w:val="none" w:sz="0" w:space="0" w:color="auto"/>
        <w:right w:val="none" w:sz="0" w:space="0" w:color="auto"/>
      </w:divBdr>
    </w:div>
    <w:div w:id="843591224">
      <w:bodyDiv w:val="1"/>
      <w:marLeft w:val="0"/>
      <w:marRight w:val="0"/>
      <w:marTop w:val="0"/>
      <w:marBottom w:val="0"/>
      <w:divBdr>
        <w:top w:val="none" w:sz="0" w:space="0" w:color="auto"/>
        <w:left w:val="none" w:sz="0" w:space="0" w:color="auto"/>
        <w:bottom w:val="none" w:sz="0" w:space="0" w:color="auto"/>
        <w:right w:val="none" w:sz="0" w:space="0" w:color="auto"/>
      </w:divBdr>
    </w:div>
    <w:div w:id="843669514">
      <w:bodyDiv w:val="1"/>
      <w:marLeft w:val="0"/>
      <w:marRight w:val="0"/>
      <w:marTop w:val="0"/>
      <w:marBottom w:val="0"/>
      <w:divBdr>
        <w:top w:val="none" w:sz="0" w:space="0" w:color="auto"/>
        <w:left w:val="none" w:sz="0" w:space="0" w:color="auto"/>
        <w:bottom w:val="none" w:sz="0" w:space="0" w:color="auto"/>
        <w:right w:val="none" w:sz="0" w:space="0" w:color="auto"/>
      </w:divBdr>
    </w:div>
    <w:div w:id="844707350">
      <w:bodyDiv w:val="1"/>
      <w:marLeft w:val="0"/>
      <w:marRight w:val="0"/>
      <w:marTop w:val="0"/>
      <w:marBottom w:val="0"/>
      <w:divBdr>
        <w:top w:val="none" w:sz="0" w:space="0" w:color="auto"/>
        <w:left w:val="none" w:sz="0" w:space="0" w:color="auto"/>
        <w:bottom w:val="none" w:sz="0" w:space="0" w:color="auto"/>
        <w:right w:val="none" w:sz="0" w:space="0" w:color="auto"/>
      </w:divBdr>
    </w:div>
    <w:div w:id="847058985">
      <w:bodyDiv w:val="1"/>
      <w:marLeft w:val="0"/>
      <w:marRight w:val="0"/>
      <w:marTop w:val="0"/>
      <w:marBottom w:val="0"/>
      <w:divBdr>
        <w:top w:val="none" w:sz="0" w:space="0" w:color="auto"/>
        <w:left w:val="none" w:sz="0" w:space="0" w:color="auto"/>
        <w:bottom w:val="none" w:sz="0" w:space="0" w:color="auto"/>
        <w:right w:val="none" w:sz="0" w:space="0" w:color="auto"/>
      </w:divBdr>
    </w:div>
    <w:div w:id="850801116">
      <w:bodyDiv w:val="1"/>
      <w:marLeft w:val="0"/>
      <w:marRight w:val="0"/>
      <w:marTop w:val="0"/>
      <w:marBottom w:val="0"/>
      <w:divBdr>
        <w:top w:val="none" w:sz="0" w:space="0" w:color="auto"/>
        <w:left w:val="none" w:sz="0" w:space="0" w:color="auto"/>
        <w:bottom w:val="none" w:sz="0" w:space="0" w:color="auto"/>
        <w:right w:val="none" w:sz="0" w:space="0" w:color="auto"/>
      </w:divBdr>
    </w:div>
    <w:div w:id="851068049">
      <w:bodyDiv w:val="1"/>
      <w:marLeft w:val="0"/>
      <w:marRight w:val="0"/>
      <w:marTop w:val="0"/>
      <w:marBottom w:val="0"/>
      <w:divBdr>
        <w:top w:val="none" w:sz="0" w:space="0" w:color="auto"/>
        <w:left w:val="none" w:sz="0" w:space="0" w:color="auto"/>
        <w:bottom w:val="none" w:sz="0" w:space="0" w:color="auto"/>
        <w:right w:val="none" w:sz="0" w:space="0" w:color="auto"/>
      </w:divBdr>
    </w:div>
    <w:div w:id="851993780">
      <w:bodyDiv w:val="1"/>
      <w:marLeft w:val="0"/>
      <w:marRight w:val="0"/>
      <w:marTop w:val="0"/>
      <w:marBottom w:val="0"/>
      <w:divBdr>
        <w:top w:val="none" w:sz="0" w:space="0" w:color="auto"/>
        <w:left w:val="none" w:sz="0" w:space="0" w:color="auto"/>
        <w:bottom w:val="none" w:sz="0" w:space="0" w:color="auto"/>
        <w:right w:val="none" w:sz="0" w:space="0" w:color="auto"/>
      </w:divBdr>
    </w:div>
    <w:div w:id="854080971">
      <w:bodyDiv w:val="1"/>
      <w:marLeft w:val="0"/>
      <w:marRight w:val="0"/>
      <w:marTop w:val="0"/>
      <w:marBottom w:val="0"/>
      <w:divBdr>
        <w:top w:val="none" w:sz="0" w:space="0" w:color="auto"/>
        <w:left w:val="none" w:sz="0" w:space="0" w:color="auto"/>
        <w:bottom w:val="none" w:sz="0" w:space="0" w:color="auto"/>
        <w:right w:val="none" w:sz="0" w:space="0" w:color="auto"/>
      </w:divBdr>
    </w:div>
    <w:div w:id="854536763">
      <w:bodyDiv w:val="1"/>
      <w:marLeft w:val="0"/>
      <w:marRight w:val="0"/>
      <w:marTop w:val="0"/>
      <w:marBottom w:val="0"/>
      <w:divBdr>
        <w:top w:val="none" w:sz="0" w:space="0" w:color="auto"/>
        <w:left w:val="none" w:sz="0" w:space="0" w:color="auto"/>
        <w:bottom w:val="none" w:sz="0" w:space="0" w:color="auto"/>
        <w:right w:val="none" w:sz="0" w:space="0" w:color="auto"/>
      </w:divBdr>
    </w:div>
    <w:div w:id="856381682">
      <w:bodyDiv w:val="1"/>
      <w:marLeft w:val="0"/>
      <w:marRight w:val="0"/>
      <w:marTop w:val="0"/>
      <w:marBottom w:val="0"/>
      <w:divBdr>
        <w:top w:val="none" w:sz="0" w:space="0" w:color="auto"/>
        <w:left w:val="none" w:sz="0" w:space="0" w:color="auto"/>
        <w:bottom w:val="none" w:sz="0" w:space="0" w:color="auto"/>
        <w:right w:val="none" w:sz="0" w:space="0" w:color="auto"/>
      </w:divBdr>
    </w:div>
    <w:div w:id="859782449">
      <w:bodyDiv w:val="1"/>
      <w:marLeft w:val="0"/>
      <w:marRight w:val="0"/>
      <w:marTop w:val="0"/>
      <w:marBottom w:val="0"/>
      <w:divBdr>
        <w:top w:val="none" w:sz="0" w:space="0" w:color="auto"/>
        <w:left w:val="none" w:sz="0" w:space="0" w:color="auto"/>
        <w:bottom w:val="none" w:sz="0" w:space="0" w:color="auto"/>
        <w:right w:val="none" w:sz="0" w:space="0" w:color="auto"/>
      </w:divBdr>
    </w:div>
    <w:div w:id="860048860">
      <w:bodyDiv w:val="1"/>
      <w:marLeft w:val="0"/>
      <w:marRight w:val="0"/>
      <w:marTop w:val="0"/>
      <w:marBottom w:val="0"/>
      <w:divBdr>
        <w:top w:val="none" w:sz="0" w:space="0" w:color="auto"/>
        <w:left w:val="none" w:sz="0" w:space="0" w:color="auto"/>
        <w:bottom w:val="none" w:sz="0" w:space="0" w:color="auto"/>
        <w:right w:val="none" w:sz="0" w:space="0" w:color="auto"/>
      </w:divBdr>
    </w:div>
    <w:div w:id="861288223">
      <w:bodyDiv w:val="1"/>
      <w:marLeft w:val="0"/>
      <w:marRight w:val="0"/>
      <w:marTop w:val="0"/>
      <w:marBottom w:val="0"/>
      <w:divBdr>
        <w:top w:val="none" w:sz="0" w:space="0" w:color="auto"/>
        <w:left w:val="none" w:sz="0" w:space="0" w:color="auto"/>
        <w:bottom w:val="none" w:sz="0" w:space="0" w:color="auto"/>
        <w:right w:val="none" w:sz="0" w:space="0" w:color="auto"/>
      </w:divBdr>
    </w:div>
    <w:div w:id="862788581">
      <w:bodyDiv w:val="1"/>
      <w:marLeft w:val="0"/>
      <w:marRight w:val="0"/>
      <w:marTop w:val="0"/>
      <w:marBottom w:val="0"/>
      <w:divBdr>
        <w:top w:val="none" w:sz="0" w:space="0" w:color="auto"/>
        <w:left w:val="none" w:sz="0" w:space="0" w:color="auto"/>
        <w:bottom w:val="none" w:sz="0" w:space="0" w:color="auto"/>
        <w:right w:val="none" w:sz="0" w:space="0" w:color="auto"/>
      </w:divBdr>
    </w:div>
    <w:div w:id="864633292">
      <w:bodyDiv w:val="1"/>
      <w:marLeft w:val="0"/>
      <w:marRight w:val="0"/>
      <w:marTop w:val="0"/>
      <w:marBottom w:val="0"/>
      <w:divBdr>
        <w:top w:val="none" w:sz="0" w:space="0" w:color="auto"/>
        <w:left w:val="none" w:sz="0" w:space="0" w:color="auto"/>
        <w:bottom w:val="none" w:sz="0" w:space="0" w:color="auto"/>
        <w:right w:val="none" w:sz="0" w:space="0" w:color="auto"/>
      </w:divBdr>
    </w:div>
    <w:div w:id="865369855">
      <w:bodyDiv w:val="1"/>
      <w:marLeft w:val="0"/>
      <w:marRight w:val="0"/>
      <w:marTop w:val="0"/>
      <w:marBottom w:val="0"/>
      <w:divBdr>
        <w:top w:val="none" w:sz="0" w:space="0" w:color="auto"/>
        <w:left w:val="none" w:sz="0" w:space="0" w:color="auto"/>
        <w:bottom w:val="none" w:sz="0" w:space="0" w:color="auto"/>
        <w:right w:val="none" w:sz="0" w:space="0" w:color="auto"/>
      </w:divBdr>
    </w:div>
    <w:div w:id="865480543">
      <w:bodyDiv w:val="1"/>
      <w:marLeft w:val="0"/>
      <w:marRight w:val="0"/>
      <w:marTop w:val="0"/>
      <w:marBottom w:val="0"/>
      <w:divBdr>
        <w:top w:val="none" w:sz="0" w:space="0" w:color="auto"/>
        <w:left w:val="none" w:sz="0" w:space="0" w:color="auto"/>
        <w:bottom w:val="none" w:sz="0" w:space="0" w:color="auto"/>
        <w:right w:val="none" w:sz="0" w:space="0" w:color="auto"/>
      </w:divBdr>
    </w:div>
    <w:div w:id="865603549">
      <w:bodyDiv w:val="1"/>
      <w:marLeft w:val="0"/>
      <w:marRight w:val="0"/>
      <w:marTop w:val="0"/>
      <w:marBottom w:val="0"/>
      <w:divBdr>
        <w:top w:val="none" w:sz="0" w:space="0" w:color="auto"/>
        <w:left w:val="none" w:sz="0" w:space="0" w:color="auto"/>
        <w:bottom w:val="none" w:sz="0" w:space="0" w:color="auto"/>
        <w:right w:val="none" w:sz="0" w:space="0" w:color="auto"/>
      </w:divBdr>
    </w:div>
    <w:div w:id="866872950">
      <w:bodyDiv w:val="1"/>
      <w:marLeft w:val="0"/>
      <w:marRight w:val="0"/>
      <w:marTop w:val="0"/>
      <w:marBottom w:val="0"/>
      <w:divBdr>
        <w:top w:val="none" w:sz="0" w:space="0" w:color="auto"/>
        <w:left w:val="none" w:sz="0" w:space="0" w:color="auto"/>
        <w:bottom w:val="none" w:sz="0" w:space="0" w:color="auto"/>
        <w:right w:val="none" w:sz="0" w:space="0" w:color="auto"/>
      </w:divBdr>
    </w:div>
    <w:div w:id="872767632">
      <w:bodyDiv w:val="1"/>
      <w:marLeft w:val="0"/>
      <w:marRight w:val="0"/>
      <w:marTop w:val="0"/>
      <w:marBottom w:val="0"/>
      <w:divBdr>
        <w:top w:val="none" w:sz="0" w:space="0" w:color="auto"/>
        <w:left w:val="none" w:sz="0" w:space="0" w:color="auto"/>
        <w:bottom w:val="none" w:sz="0" w:space="0" w:color="auto"/>
        <w:right w:val="none" w:sz="0" w:space="0" w:color="auto"/>
      </w:divBdr>
    </w:div>
    <w:div w:id="874543169">
      <w:bodyDiv w:val="1"/>
      <w:marLeft w:val="0"/>
      <w:marRight w:val="0"/>
      <w:marTop w:val="0"/>
      <w:marBottom w:val="0"/>
      <w:divBdr>
        <w:top w:val="none" w:sz="0" w:space="0" w:color="auto"/>
        <w:left w:val="none" w:sz="0" w:space="0" w:color="auto"/>
        <w:bottom w:val="none" w:sz="0" w:space="0" w:color="auto"/>
        <w:right w:val="none" w:sz="0" w:space="0" w:color="auto"/>
      </w:divBdr>
    </w:div>
    <w:div w:id="876166955">
      <w:bodyDiv w:val="1"/>
      <w:marLeft w:val="0"/>
      <w:marRight w:val="0"/>
      <w:marTop w:val="0"/>
      <w:marBottom w:val="0"/>
      <w:divBdr>
        <w:top w:val="none" w:sz="0" w:space="0" w:color="auto"/>
        <w:left w:val="none" w:sz="0" w:space="0" w:color="auto"/>
        <w:bottom w:val="none" w:sz="0" w:space="0" w:color="auto"/>
        <w:right w:val="none" w:sz="0" w:space="0" w:color="auto"/>
      </w:divBdr>
    </w:div>
    <w:div w:id="879585727">
      <w:bodyDiv w:val="1"/>
      <w:marLeft w:val="0"/>
      <w:marRight w:val="0"/>
      <w:marTop w:val="0"/>
      <w:marBottom w:val="0"/>
      <w:divBdr>
        <w:top w:val="none" w:sz="0" w:space="0" w:color="auto"/>
        <w:left w:val="none" w:sz="0" w:space="0" w:color="auto"/>
        <w:bottom w:val="none" w:sz="0" w:space="0" w:color="auto"/>
        <w:right w:val="none" w:sz="0" w:space="0" w:color="auto"/>
      </w:divBdr>
    </w:div>
    <w:div w:id="879635185">
      <w:bodyDiv w:val="1"/>
      <w:marLeft w:val="0"/>
      <w:marRight w:val="0"/>
      <w:marTop w:val="0"/>
      <w:marBottom w:val="0"/>
      <w:divBdr>
        <w:top w:val="none" w:sz="0" w:space="0" w:color="auto"/>
        <w:left w:val="none" w:sz="0" w:space="0" w:color="auto"/>
        <w:bottom w:val="none" w:sz="0" w:space="0" w:color="auto"/>
        <w:right w:val="none" w:sz="0" w:space="0" w:color="auto"/>
      </w:divBdr>
    </w:div>
    <w:div w:id="886381273">
      <w:bodyDiv w:val="1"/>
      <w:marLeft w:val="0"/>
      <w:marRight w:val="0"/>
      <w:marTop w:val="0"/>
      <w:marBottom w:val="0"/>
      <w:divBdr>
        <w:top w:val="none" w:sz="0" w:space="0" w:color="auto"/>
        <w:left w:val="none" w:sz="0" w:space="0" w:color="auto"/>
        <w:bottom w:val="none" w:sz="0" w:space="0" w:color="auto"/>
        <w:right w:val="none" w:sz="0" w:space="0" w:color="auto"/>
      </w:divBdr>
    </w:div>
    <w:div w:id="892546252">
      <w:bodyDiv w:val="1"/>
      <w:marLeft w:val="0"/>
      <w:marRight w:val="0"/>
      <w:marTop w:val="0"/>
      <w:marBottom w:val="0"/>
      <w:divBdr>
        <w:top w:val="none" w:sz="0" w:space="0" w:color="auto"/>
        <w:left w:val="none" w:sz="0" w:space="0" w:color="auto"/>
        <w:bottom w:val="none" w:sz="0" w:space="0" w:color="auto"/>
        <w:right w:val="none" w:sz="0" w:space="0" w:color="auto"/>
      </w:divBdr>
    </w:div>
    <w:div w:id="894585617">
      <w:bodyDiv w:val="1"/>
      <w:marLeft w:val="0"/>
      <w:marRight w:val="0"/>
      <w:marTop w:val="0"/>
      <w:marBottom w:val="0"/>
      <w:divBdr>
        <w:top w:val="none" w:sz="0" w:space="0" w:color="auto"/>
        <w:left w:val="none" w:sz="0" w:space="0" w:color="auto"/>
        <w:bottom w:val="none" w:sz="0" w:space="0" w:color="auto"/>
        <w:right w:val="none" w:sz="0" w:space="0" w:color="auto"/>
      </w:divBdr>
    </w:div>
    <w:div w:id="897280881">
      <w:bodyDiv w:val="1"/>
      <w:marLeft w:val="0"/>
      <w:marRight w:val="0"/>
      <w:marTop w:val="0"/>
      <w:marBottom w:val="0"/>
      <w:divBdr>
        <w:top w:val="none" w:sz="0" w:space="0" w:color="auto"/>
        <w:left w:val="none" w:sz="0" w:space="0" w:color="auto"/>
        <w:bottom w:val="none" w:sz="0" w:space="0" w:color="auto"/>
        <w:right w:val="none" w:sz="0" w:space="0" w:color="auto"/>
      </w:divBdr>
    </w:div>
    <w:div w:id="897547011">
      <w:bodyDiv w:val="1"/>
      <w:marLeft w:val="0"/>
      <w:marRight w:val="0"/>
      <w:marTop w:val="0"/>
      <w:marBottom w:val="0"/>
      <w:divBdr>
        <w:top w:val="none" w:sz="0" w:space="0" w:color="auto"/>
        <w:left w:val="none" w:sz="0" w:space="0" w:color="auto"/>
        <w:bottom w:val="none" w:sz="0" w:space="0" w:color="auto"/>
        <w:right w:val="none" w:sz="0" w:space="0" w:color="auto"/>
      </w:divBdr>
    </w:div>
    <w:div w:id="898173754">
      <w:bodyDiv w:val="1"/>
      <w:marLeft w:val="0"/>
      <w:marRight w:val="0"/>
      <w:marTop w:val="0"/>
      <w:marBottom w:val="0"/>
      <w:divBdr>
        <w:top w:val="none" w:sz="0" w:space="0" w:color="auto"/>
        <w:left w:val="none" w:sz="0" w:space="0" w:color="auto"/>
        <w:bottom w:val="none" w:sz="0" w:space="0" w:color="auto"/>
        <w:right w:val="none" w:sz="0" w:space="0" w:color="auto"/>
      </w:divBdr>
    </w:div>
    <w:div w:id="899169214">
      <w:bodyDiv w:val="1"/>
      <w:marLeft w:val="0"/>
      <w:marRight w:val="0"/>
      <w:marTop w:val="0"/>
      <w:marBottom w:val="0"/>
      <w:divBdr>
        <w:top w:val="none" w:sz="0" w:space="0" w:color="auto"/>
        <w:left w:val="none" w:sz="0" w:space="0" w:color="auto"/>
        <w:bottom w:val="none" w:sz="0" w:space="0" w:color="auto"/>
        <w:right w:val="none" w:sz="0" w:space="0" w:color="auto"/>
      </w:divBdr>
    </w:div>
    <w:div w:id="900558693">
      <w:bodyDiv w:val="1"/>
      <w:marLeft w:val="0"/>
      <w:marRight w:val="0"/>
      <w:marTop w:val="0"/>
      <w:marBottom w:val="0"/>
      <w:divBdr>
        <w:top w:val="none" w:sz="0" w:space="0" w:color="auto"/>
        <w:left w:val="none" w:sz="0" w:space="0" w:color="auto"/>
        <w:bottom w:val="none" w:sz="0" w:space="0" w:color="auto"/>
        <w:right w:val="none" w:sz="0" w:space="0" w:color="auto"/>
      </w:divBdr>
    </w:div>
    <w:div w:id="903367825">
      <w:bodyDiv w:val="1"/>
      <w:marLeft w:val="0"/>
      <w:marRight w:val="0"/>
      <w:marTop w:val="0"/>
      <w:marBottom w:val="0"/>
      <w:divBdr>
        <w:top w:val="none" w:sz="0" w:space="0" w:color="auto"/>
        <w:left w:val="none" w:sz="0" w:space="0" w:color="auto"/>
        <w:bottom w:val="none" w:sz="0" w:space="0" w:color="auto"/>
        <w:right w:val="none" w:sz="0" w:space="0" w:color="auto"/>
      </w:divBdr>
    </w:div>
    <w:div w:id="903443756">
      <w:bodyDiv w:val="1"/>
      <w:marLeft w:val="0"/>
      <w:marRight w:val="0"/>
      <w:marTop w:val="0"/>
      <w:marBottom w:val="0"/>
      <w:divBdr>
        <w:top w:val="none" w:sz="0" w:space="0" w:color="auto"/>
        <w:left w:val="none" w:sz="0" w:space="0" w:color="auto"/>
        <w:bottom w:val="none" w:sz="0" w:space="0" w:color="auto"/>
        <w:right w:val="none" w:sz="0" w:space="0" w:color="auto"/>
      </w:divBdr>
    </w:div>
    <w:div w:id="903494120">
      <w:bodyDiv w:val="1"/>
      <w:marLeft w:val="0"/>
      <w:marRight w:val="0"/>
      <w:marTop w:val="0"/>
      <w:marBottom w:val="0"/>
      <w:divBdr>
        <w:top w:val="none" w:sz="0" w:space="0" w:color="auto"/>
        <w:left w:val="none" w:sz="0" w:space="0" w:color="auto"/>
        <w:bottom w:val="none" w:sz="0" w:space="0" w:color="auto"/>
        <w:right w:val="none" w:sz="0" w:space="0" w:color="auto"/>
      </w:divBdr>
    </w:div>
    <w:div w:id="909998593">
      <w:bodyDiv w:val="1"/>
      <w:marLeft w:val="0"/>
      <w:marRight w:val="0"/>
      <w:marTop w:val="0"/>
      <w:marBottom w:val="0"/>
      <w:divBdr>
        <w:top w:val="none" w:sz="0" w:space="0" w:color="auto"/>
        <w:left w:val="none" w:sz="0" w:space="0" w:color="auto"/>
        <w:bottom w:val="none" w:sz="0" w:space="0" w:color="auto"/>
        <w:right w:val="none" w:sz="0" w:space="0" w:color="auto"/>
      </w:divBdr>
    </w:div>
    <w:div w:id="920262394">
      <w:bodyDiv w:val="1"/>
      <w:marLeft w:val="0"/>
      <w:marRight w:val="0"/>
      <w:marTop w:val="0"/>
      <w:marBottom w:val="0"/>
      <w:divBdr>
        <w:top w:val="none" w:sz="0" w:space="0" w:color="auto"/>
        <w:left w:val="none" w:sz="0" w:space="0" w:color="auto"/>
        <w:bottom w:val="none" w:sz="0" w:space="0" w:color="auto"/>
        <w:right w:val="none" w:sz="0" w:space="0" w:color="auto"/>
      </w:divBdr>
    </w:div>
    <w:div w:id="921724288">
      <w:bodyDiv w:val="1"/>
      <w:marLeft w:val="0"/>
      <w:marRight w:val="0"/>
      <w:marTop w:val="0"/>
      <w:marBottom w:val="0"/>
      <w:divBdr>
        <w:top w:val="none" w:sz="0" w:space="0" w:color="auto"/>
        <w:left w:val="none" w:sz="0" w:space="0" w:color="auto"/>
        <w:bottom w:val="none" w:sz="0" w:space="0" w:color="auto"/>
        <w:right w:val="none" w:sz="0" w:space="0" w:color="auto"/>
      </w:divBdr>
    </w:div>
    <w:div w:id="924534620">
      <w:bodyDiv w:val="1"/>
      <w:marLeft w:val="0"/>
      <w:marRight w:val="0"/>
      <w:marTop w:val="0"/>
      <w:marBottom w:val="0"/>
      <w:divBdr>
        <w:top w:val="none" w:sz="0" w:space="0" w:color="auto"/>
        <w:left w:val="none" w:sz="0" w:space="0" w:color="auto"/>
        <w:bottom w:val="none" w:sz="0" w:space="0" w:color="auto"/>
        <w:right w:val="none" w:sz="0" w:space="0" w:color="auto"/>
      </w:divBdr>
    </w:div>
    <w:div w:id="929243437">
      <w:bodyDiv w:val="1"/>
      <w:marLeft w:val="0"/>
      <w:marRight w:val="0"/>
      <w:marTop w:val="0"/>
      <w:marBottom w:val="0"/>
      <w:divBdr>
        <w:top w:val="none" w:sz="0" w:space="0" w:color="auto"/>
        <w:left w:val="none" w:sz="0" w:space="0" w:color="auto"/>
        <w:bottom w:val="none" w:sz="0" w:space="0" w:color="auto"/>
        <w:right w:val="none" w:sz="0" w:space="0" w:color="auto"/>
      </w:divBdr>
    </w:div>
    <w:div w:id="931623565">
      <w:bodyDiv w:val="1"/>
      <w:marLeft w:val="0"/>
      <w:marRight w:val="0"/>
      <w:marTop w:val="0"/>
      <w:marBottom w:val="0"/>
      <w:divBdr>
        <w:top w:val="none" w:sz="0" w:space="0" w:color="auto"/>
        <w:left w:val="none" w:sz="0" w:space="0" w:color="auto"/>
        <w:bottom w:val="none" w:sz="0" w:space="0" w:color="auto"/>
        <w:right w:val="none" w:sz="0" w:space="0" w:color="auto"/>
      </w:divBdr>
    </w:div>
    <w:div w:id="935746116">
      <w:bodyDiv w:val="1"/>
      <w:marLeft w:val="0"/>
      <w:marRight w:val="0"/>
      <w:marTop w:val="0"/>
      <w:marBottom w:val="0"/>
      <w:divBdr>
        <w:top w:val="none" w:sz="0" w:space="0" w:color="auto"/>
        <w:left w:val="none" w:sz="0" w:space="0" w:color="auto"/>
        <w:bottom w:val="none" w:sz="0" w:space="0" w:color="auto"/>
        <w:right w:val="none" w:sz="0" w:space="0" w:color="auto"/>
      </w:divBdr>
    </w:div>
    <w:div w:id="936444920">
      <w:bodyDiv w:val="1"/>
      <w:marLeft w:val="0"/>
      <w:marRight w:val="0"/>
      <w:marTop w:val="0"/>
      <w:marBottom w:val="0"/>
      <w:divBdr>
        <w:top w:val="none" w:sz="0" w:space="0" w:color="auto"/>
        <w:left w:val="none" w:sz="0" w:space="0" w:color="auto"/>
        <w:bottom w:val="none" w:sz="0" w:space="0" w:color="auto"/>
        <w:right w:val="none" w:sz="0" w:space="0" w:color="auto"/>
      </w:divBdr>
    </w:div>
    <w:div w:id="937643484">
      <w:bodyDiv w:val="1"/>
      <w:marLeft w:val="0"/>
      <w:marRight w:val="0"/>
      <w:marTop w:val="0"/>
      <w:marBottom w:val="0"/>
      <w:divBdr>
        <w:top w:val="none" w:sz="0" w:space="0" w:color="auto"/>
        <w:left w:val="none" w:sz="0" w:space="0" w:color="auto"/>
        <w:bottom w:val="none" w:sz="0" w:space="0" w:color="auto"/>
        <w:right w:val="none" w:sz="0" w:space="0" w:color="auto"/>
      </w:divBdr>
    </w:div>
    <w:div w:id="938830136">
      <w:bodyDiv w:val="1"/>
      <w:marLeft w:val="0"/>
      <w:marRight w:val="0"/>
      <w:marTop w:val="0"/>
      <w:marBottom w:val="0"/>
      <w:divBdr>
        <w:top w:val="none" w:sz="0" w:space="0" w:color="auto"/>
        <w:left w:val="none" w:sz="0" w:space="0" w:color="auto"/>
        <w:bottom w:val="none" w:sz="0" w:space="0" w:color="auto"/>
        <w:right w:val="none" w:sz="0" w:space="0" w:color="auto"/>
      </w:divBdr>
    </w:div>
    <w:div w:id="939140225">
      <w:bodyDiv w:val="1"/>
      <w:marLeft w:val="0"/>
      <w:marRight w:val="0"/>
      <w:marTop w:val="0"/>
      <w:marBottom w:val="0"/>
      <w:divBdr>
        <w:top w:val="none" w:sz="0" w:space="0" w:color="auto"/>
        <w:left w:val="none" w:sz="0" w:space="0" w:color="auto"/>
        <w:bottom w:val="none" w:sz="0" w:space="0" w:color="auto"/>
        <w:right w:val="none" w:sz="0" w:space="0" w:color="auto"/>
      </w:divBdr>
    </w:div>
    <w:div w:id="939527305">
      <w:bodyDiv w:val="1"/>
      <w:marLeft w:val="0"/>
      <w:marRight w:val="0"/>
      <w:marTop w:val="0"/>
      <w:marBottom w:val="0"/>
      <w:divBdr>
        <w:top w:val="none" w:sz="0" w:space="0" w:color="auto"/>
        <w:left w:val="none" w:sz="0" w:space="0" w:color="auto"/>
        <w:bottom w:val="none" w:sz="0" w:space="0" w:color="auto"/>
        <w:right w:val="none" w:sz="0" w:space="0" w:color="auto"/>
      </w:divBdr>
    </w:div>
    <w:div w:id="940456533">
      <w:bodyDiv w:val="1"/>
      <w:marLeft w:val="0"/>
      <w:marRight w:val="0"/>
      <w:marTop w:val="0"/>
      <w:marBottom w:val="0"/>
      <w:divBdr>
        <w:top w:val="none" w:sz="0" w:space="0" w:color="auto"/>
        <w:left w:val="none" w:sz="0" w:space="0" w:color="auto"/>
        <w:bottom w:val="none" w:sz="0" w:space="0" w:color="auto"/>
        <w:right w:val="none" w:sz="0" w:space="0" w:color="auto"/>
      </w:divBdr>
    </w:div>
    <w:div w:id="940911831">
      <w:bodyDiv w:val="1"/>
      <w:marLeft w:val="0"/>
      <w:marRight w:val="0"/>
      <w:marTop w:val="0"/>
      <w:marBottom w:val="0"/>
      <w:divBdr>
        <w:top w:val="none" w:sz="0" w:space="0" w:color="auto"/>
        <w:left w:val="none" w:sz="0" w:space="0" w:color="auto"/>
        <w:bottom w:val="none" w:sz="0" w:space="0" w:color="auto"/>
        <w:right w:val="none" w:sz="0" w:space="0" w:color="auto"/>
      </w:divBdr>
    </w:div>
    <w:div w:id="943658556">
      <w:bodyDiv w:val="1"/>
      <w:marLeft w:val="0"/>
      <w:marRight w:val="0"/>
      <w:marTop w:val="0"/>
      <w:marBottom w:val="0"/>
      <w:divBdr>
        <w:top w:val="none" w:sz="0" w:space="0" w:color="auto"/>
        <w:left w:val="none" w:sz="0" w:space="0" w:color="auto"/>
        <w:bottom w:val="none" w:sz="0" w:space="0" w:color="auto"/>
        <w:right w:val="none" w:sz="0" w:space="0" w:color="auto"/>
      </w:divBdr>
    </w:div>
    <w:div w:id="944189584">
      <w:bodyDiv w:val="1"/>
      <w:marLeft w:val="0"/>
      <w:marRight w:val="0"/>
      <w:marTop w:val="0"/>
      <w:marBottom w:val="0"/>
      <w:divBdr>
        <w:top w:val="none" w:sz="0" w:space="0" w:color="auto"/>
        <w:left w:val="none" w:sz="0" w:space="0" w:color="auto"/>
        <w:bottom w:val="none" w:sz="0" w:space="0" w:color="auto"/>
        <w:right w:val="none" w:sz="0" w:space="0" w:color="auto"/>
      </w:divBdr>
    </w:div>
    <w:div w:id="946279897">
      <w:bodyDiv w:val="1"/>
      <w:marLeft w:val="0"/>
      <w:marRight w:val="0"/>
      <w:marTop w:val="0"/>
      <w:marBottom w:val="0"/>
      <w:divBdr>
        <w:top w:val="none" w:sz="0" w:space="0" w:color="auto"/>
        <w:left w:val="none" w:sz="0" w:space="0" w:color="auto"/>
        <w:bottom w:val="none" w:sz="0" w:space="0" w:color="auto"/>
        <w:right w:val="none" w:sz="0" w:space="0" w:color="auto"/>
      </w:divBdr>
    </w:div>
    <w:div w:id="950630669">
      <w:bodyDiv w:val="1"/>
      <w:marLeft w:val="0"/>
      <w:marRight w:val="0"/>
      <w:marTop w:val="0"/>
      <w:marBottom w:val="0"/>
      <w:divBdr>
        <w:top w:val="none" w:sz="0" w:space="0" w:color="auto"/>
        <w:left w:val="none" w:sz="0" w:space="0" w:color="auto"/>
        <w:bottom w:val="none" w:sz="0" w:space="0" w:color="auto"/>
        <w:right w:val="none" w:sz="0" w:space="0" w:color="auto"/>
      </w:divBdr>
    </w:div>
    <w:div w:id="951861210">
      <w:bodyDiv w:val="1"/>
      <w:marLeft w:val="0"/>
      <w:marRight w:val="0"/>
      <w:marTop w:val="0"/>
      <w:marBottom w:val="0"/>
      <w:divBdr>
        <w:top w:val="none" w:sz="0" w:space="0" w:color="auto"/>
        <w:left w:val="none" w:sz="0" w:space="0" w:color="auto"/>
        <w:bottom w:val="none" w:sz="0" w:space="0" w:color="auto"/>
        <w:right w:val="none" w:sz="0" w:space="0" w:color="auto"/>
      </w:divBdr>
    </w:div>
    <w:div w:id="958340047">
      <w:bodyDiv w:val="1"/>
      <w:marLeft w:val="0"/>
      <w:marRight w:val="0"/>
      <w:marTop w:val="0"/>
      <w:marBottom w:val="0"/>
      <w:divBdr>
        <w:top w:val="none" w:sz="0" w:space="0" w:color="auto"/>
        <w:left w:val="none" w:sz="0" w:space="0" w:color="auto"/>
        <w:bottom w:val="none" w:sz="0" w:space="0" w:color="auto"/>
        <w:right w:val="none" w:sz="0" w:space="0" w:color="auto"/>
      </w:divBdr>
    </w:div>
    <w:div w:id="964853547">
      <w:bodyDiv w:val="1"/>
      <w:marLeft w:val="0"/>
      <w:marRight w:val="0"/>
      <w:marTop w:val="0"/>
      <w:marBottom w:val="0"/>
      <w:divBdr>
        <w:top w:val="none" w:sz="0" w:space="0" w:color="auto"/>
        <w:left w:val="none" w:sz="0" w:space="0" w:color="auto"/>
        <w:bottom w:val="none" w:sz="0" w:space="0" w:color="auto"/>
        <w:right w:val="none" w:sz="0" w:space="0" w:color="auto"/>
      </w:divBdr>
    </w:div>
    <w:div w:id="971591460">
      <w:bodyDiv w:val="1"/>
      <w:marLeft w:val="0"/>
      <w:marRight w:val="0"/>
      <w:marTop w:val="0"/>
      <w:marBottom w:val="0"/>
      <w:divBdr>
        <w:top w:val="none" w:sz="0" w:space="0" w:color="auto"/>
        <w:left w:val="none" w:sz="0" w:space="0" w:color="auto"/>
        <w:bottom w:val="none" w:sz="0" w:space="0" w:color="auto"/>
        <w:right w:val="none" w:sz="0" w:space="0" w:color="auto"/>
      </w:divBdr>
    </w:div>
    <w:div w:id="971864013">
      <w:bodyDiv w:val="1"/>
      <w:marLeft w:val="0"/>
      <w:marRight w:val="0"/>
      <w:marTop w:val="0"/>
      <w:marBottom w:val="0"/>
      <w:divBdr>
        <w:top w:val="none" w:sz="0" w:space="0" w:color="auto"/>
        <w:left w:val="none" w:sz="0" w:space="0" w:color="auto"/>
        <w:bottom w:val="none" w:sz="0" w:space="0" w:color="auto"/>
        <w:right w:val="none" w:sz="0" w:space="0" w:color="auto"/>
      </w:divBdr>
    </w:div>
    <w:div w:id="972055286">
      <w:bodyDiv w:val="1"/>
      <w:marLeft w:val="0"/>
      <w:marRight w:val="0"/>
      <w:marTop w:val="0"/>
      <w:marBottom w:val="0"/>
      <w:divBdr>
        <w:top w:val="none" w:sz="0" w:space="0" w:color="auto"/>
        <w:left w:val="none" w:sz="0" w:space="0" w:color="auto"/>
        <w:bottom w:val="none" w:sz="0" w:space="0" w:color="auto"/>
        <w:right w:val="none" w:sz="0" w:space="0" w:color="auto"/>
      </w:divBdr>
    </w:div>
    <w:div w:id="975254001">
      <w:bodyDiv w:val="1"/>
      <w:marLeft w:val="0"/>
      <w:marRight w:val="0"/>
      <w:marTop w:val="0"/>
      <w:marBottom w:val="0"/>
      <w:divBdr>
        <w:top w:val="none" w:sz="0" w:space="0" w:color="auto"/>
        <w:left w:val="none" w:sz="0" w:space="0" w:color="auto"/>
        <w:bottom w:val="none" w:sz="0" w:space="0" w:color="auto"/>
        <w:right w:val="none" w:sz="0" w:space="0" w:color="auto"/>
      </w:divBdr>
    </w:div>
    <w:div w:id="977105169">
      <w:bodyDiv w:val="1"/>
      <w:marLeft w:val="0"/>
      <w:marRight w:val="0"/>
      <w:marTop w:val="0"/>
      <w:marBottom w:val="0"/>
      <w:divBdr>
        <w:top w:val="none" w:sz="0" w:space="0" w:color="auto"/>
        <w:left w:val="none" w:sz="0" w:space="0" w:color="auto"/>
        <w:bottom w:val="none" w:sz="0" w:space="0" w:color="auto"/>
        <w:right w:val="none" w:sz="0" w:space="0" w:color="auto"/>
      </w:divBdr>
    </w:div>
    <w:div w:id="979768826">
      <w:bodyDiv w:val="1"/>
      <w:marLeft w:val="0"/>
      <w:marRight w:val="0"/>
      <w:marTop w:val="0"/>
      <w:marBottom w:val="0"/>
      <w:divBdr>
        <w:top w:val="none" w:sz="0" w:space="0" w:color="auto"/>
        <w:left w:val="none" w:sz="0" w:space="0" w:color="auto"/>
        <w:bottom w:val="none" w:sz="0" w:space="0" w:color="auto"/>
        <w:right w:val="none" w:sz="0" w:space="0" w:color="auto"/>
      </w:divBdr>
    </w:div>
    <w:div w:id="983240376">
      <w:bodyDiv w:val="1"/>
      <w:marLeft w:val="0"/>
      <w:marRight w:val="0"/>
      <w:marTop w:val="0"/>
      <w:marBottom w:val="0"/>
      <w:divBdr>
        <w:top w:val="none" w:sz="0" w:space="0" w:color="auto"/>
        <w:left w:val="none" w:sz="0" w:space="0" w:color="auto"/>
        <w:bottom w:val="none" w:sz="0" w:space="0" w:color="auto"/>
        <w:right w:val="none" w:sz="0" w:space="0" w:color="auto"/>
      </w:divBdr>
    </w:div>
    <w:div w:id="985743182">
      <w:bodyDiv w:val="1"/>
      <w:marLeft w:val="0"/>
      <w:marRight w:val="0"/>
      <w:marTop w:val="0"/>
      <w:marBottom w:val="0"/>
      <w:divBdr>
        <w:top w:val="none" w:sz="0" w:space="0" w:color="auto"/>
        <w:left w:val="none" w:sz="0" w:space="0" w:color="auto"/>
        <w:bottom w:val="none" w:sz="0" w:space="0" w:color="auto"/>
        <w:right w:val="none" w:sz="0" w:space="0" w:color="auto"/>
      </w:divBdr>
    </w:div>
    <w:div w:id="986471960">
      <w:bodyDiv w:val="1"/>
      <w:marLeft w:val="0"/>
      <w:marRight w:val="0"/>
      <w:marTop w:val="0"/>
      <w:marBottom w:val="0"/>
      <w:divBdr>
        <w:top w:val="none" w:sz="0" w:space="0" w:color="auto"/>
        <w:left w:val="none" w:sz="0" w:space="0" w:color="auto"/>
        <w:bottom w:val="none" w:sz="0" w:space="0" w:color="auto"/>
        <w:right w:val="none" w:sz="0" w:space="0" w:color="auto"/>
      </w:divBdr>
    </w:div>
    <w:div w:id="990981807">
      <w:bodyDiv w:val="1"/>
      <w:marLeft w:val="0"/>
      <w:marRight w:val="0"/>
      <w:marTop w:val="0"/>
      <w:marBottom w:val="0"/>
      <w:divBdr>
        <w:top w:val="none" w:sz="0" w:space="0" w:color="auto"/>
        <w:left w:val="none" w:sz="0" w:space="0" w:color="auto"/>
        <w:bottom w:val="none" w:sz="0" w:space="0" w:color="auto"/>
        <w:right w:val="none" w:sz="0" w:space="0" w:color="auto"/>
      </w:divBdr>
    </w:div>
    <w:div w:id="991712069">
      <w:bodyDiv w:val="1"/>
      <w:marLeft w:val="0"/>
      <w:marRight w:val="0"/>
      <w:marTop w:val="0"/>
      <w:marBottom w:val="0"/>
      <w:divBdr>
        <w:top w:val="none" w:sz="0" w:space="0" w:color="auto"/>
        <w:left w:val="none" w:sz="0" w:space="0" w:color="auto"/>
        <w:bottom w:val="none" w:sz="0" w:space="0" w:color="auto"/>
        <w:right w:val="none" w:sz="0" w:space="0" w:color="auto"/>
      </w:divBdr>
    </w:div>
    <w:div w:id="993794777">
      <w:bodyDiv w:val="1"/>
      <w:marLeft w:val="0"/>
      <w:marRight w:val="0"/>
      <w:marTop w:val="0"/>
      <w:marBottom w:val="0"/>
      <w:divBdr>
        <w:top w:val="none" w:sz="0" w:space="0" w:color="auto"/>
        <w:left w:val="none" w:sz="0" w:space="0" w:color="auto"/>
        <w:bottom w:val="none" w:sz="0" w:space="0" w:color="auto"/>
        <w:right w:val="none" w:sz="0" w:space="0" w:color="auto"/>
      </w:divBdr>
    </w:div>
    <w:div w:id="999305855">
      <w:bodyDiv w:val="1"/>
      <w:marLeft w:val="0"/>
      <w:marRight w:val="0"/>
      <w:marTop w:val="0"/>
      <w:marBottom w:val="0"/>
      <w:divBdr>
        <w:top w:val="none" w:sz="0" w:space="0" w:color="auto"/>
        <w:left w:val="none" w:sz="0" w:space="0" w:color="auto"/>
        <w:bottom w:val="none" w:sz="0" w:space="0" w:color="auto"/>
        <w:right w:val="none" w:sz="0" w:space="0" w:color="auto"/>
      </w:divBdr>
    </w:div>
    <w:div w:id="1000037928">
      <w:bodyDiv w:val="1"/>
      <w:marLeft w:val="0"/>
      <w:marRight w:val="0"/>
      <w:marTop w:val="0"/>
      <w:marBottom w:val="0"/>
      <w:divBdr>
        <w:top w:val="none" w:sz="0" w:space="0" w:color="auto"/>
        <w:left w:val="none" w:sz="0" w:space="0" w:color="auto"/>
        <w:bottom w:val="none" w:sz="0" w:space="0" w:color="auto"/>
        <w:right w:val="none" w:sz="0" w:space="0" w:color="auto"/>
      </w:divBdr>
    </w:div>
    <w:div w:id="1000280645">
      <w:bodyDiv w:val="1"/>
      <w:marLeft w:val="0"/>
      <w:marRight w:val="0"/>
      <w:marTop w:val="0"/>
      <w:marBottom w:val="0"/>
      <w:divBdr>
        <w:top w:val="none" w:sz="0" w:space="0" w:color="auto"/>
        <w:left w:val="none" w:sz="0" w:space="0" w:color="auto"/>
        <w:bottom w:val="none" w:sz="0" w:space="0" w:color="auto"/>
        <w:right w:val="none" w:sz="0" w:space="0" w:color="auto"/>
      </w:divBdr>
    </w:div>
    <w:div w:id="1002660129">
      <w:bodyDiv w:val="1"/>
      <w:marLeft w:val="0"/>
      <w:marRight w:val="0"/>
      <w:marTop w:val="0"/>
      <w:marBottom w:val="0"/>
      <w:divBdr>
        <w:top w:val="none" w:sz="0" w:space="0" w:color="auto"/>
        <w:left w:val="none" w:sz="0" w:space="0" w:color="auto"/>
        <w:bottom w:val="none" w:sz="0" w:space="0" w:color="auto"/>
        <w:right w:val="none" w:sz="0" w:space="0" w:color="auto"/>
      </w:divBdr>
    </w:div>
    <w:div w:id="1003821641">
      <w:bodyDiv w:val="1"/>
      <w:marLeft w:val="0"/>
      <w:marRight w:val="0"/>
      <w:marTop w:val="0"/>
      <w:marBottom w:val="0"/>
      <w:divBdr>
        <w:top w:val="none" w:sz="0" w:space="0" w:color="auto"/>
        <w:left w:val="none" w:sz="0" w:space="0" w:color="auto"/>
        <w:bottom w:val="none" w:sz="0" w:space="0" w:color="auto"/>
        <w:right w:val="none" w:sz="0" w:space="0" w:color="auto"/>
      </w:divBdr>
    </w:div>
    <w:div w:id="1008824423">
      <w:bodyDiv w:val="1"/>
      <w:marLeft w:val="0"/>
      <w:marRight w:val="0"/>
      <w:marTop w:val="0"/>
      <w:marBottom w:val="0"/>
      <w:divBdr>
        <w:top w:val="none" w:sz="0" w:space="0" w:color="auto"/>
        <w:left w:val="none" w:sz="0" w:space="0" w:color="auto"/>
        <w:bottom w:val="none" w:sz="0" w:space="0" w:color="auto"/>
        <w:right w:val="none" w:sz="0" w:space="0" w:color="auto"/>
      </w:divBdr>
    </w:div>
    <w:div w:id="1011225430">
      <w:bodyDiv w:val="1"/>
      <w:marLeft w:val="0"/>
      <w:marRight w:val="0"/>
      <w:marTop w:val="0"/>
      <w:marBottom w:val="0"/>
      <w:divBdr>
        <w:top w:val="none" w:sz="0" w:space="0" w:color="auto"/>
        <w:left w:val="none" w:sz="0" w:space="0" w:color="auto"/>
        <w:bottom w:val="none" w:sz="0" w:space="0" w:color="auto"/>
        <w:right w:val="none" w:sz="0" w:space="0" w:color="auto"/>
      </w:divBdr>
    </w:div>
    <w:div w:id="1012537916">
      <w:bodyDiv w:val="1"/>
      <w:marLeft w:val="0"/>
      <w:marRight w:val="0"/>
      <w:marTop w:val="0"/>
      <w:marBottom w:val="0"/>
      <w:divBdr>
        <w:top w:val="none" w:sz="0" w:space="0" w:color="auto"/>
        <w:left w:val="none" w:sz="0" w:space="0" w:color="auto"/>
        <w:bottom w:val="none" w:sz="0" w:space="0" w:color="auto"/>
        <w:right w:val="none" w:sz="0" w:space="0" w:color="auto"/>
      </w:divBdr>
    </w:div>
    <w:div w:id="1012755106">
      <w:bodyDiv w:val="1"/>
      <w:marLeft w:val="0"/>
      <w:marRight w:val="0"/>
      <w:marTop w:val="0"/>
      <w:marBottom w:val="0"/>
      <w:divBdr>
        <w:top w:val="none" w:sz="0" w:space="0" w:color="auto"/>
        <w:left w:val="none" w:sz="0" w:space="0" w:color="auto"/>
        <w:bottom w:val="none" w:sz="0" w:space="0" w:color="auto"/>
        <w:right w:val="none" w:sz="0" w:space="0" w:color="auto"/>
      </w:divBdr>
    </w:div>
    <w:div w:id="1013459782">
      <w:bodyDiv w:val="1"/>
      <w:marLeft w:val="0"/>
      <w:marRight w:val="0"/>
      <w:marTop w:val="0"/>
      <w:marBottom w:val="0"/>
      <w:divBdr>
        <w:top w:val="none" w:sz="0" w:space="0" w:color="auto"/>
        <w:left w:val="none" w:sz="0" w:space="0" w:color="auto"/>
        <w:bottom w:val="none" w:sz="0" w:space="0" w:color="auto"/>
        <w:right w:val="none" w:sz="0" w:space="0" w:color="auto"/>
      </w:divBdr>
    </w:div>
    <w:div w:id="1013730649">
      <w:bodyDiv w:val="1"/>
      <w:marLeft w:val="0"/>
      <w:marRight w:val="0"/>
      <w:marTop w:val="0"/>
      <w:marBottom w:val="0"/>
      <w:divBdr>
        <w:top w:val="none" w:sz="0" w:space="0" w:color="auto"/>
        <w:left w:val="none" w:sz="0" w:space="0" w:color="auto"/>
        <w:bottom w:val="none" w:sz="0" w:space="0" w:color="auto"/>
        <w:right w:val="none" w:sz="0" w:space="0" w:color="auto"/>
      </w:divBdr>
    </w:div>
    <w:div w:id="1014963017">
      <w:bodyDiv w:val="1"/>
      <w:marLeft w:val="0"/>
      <w:marRight w:val="0"/>
      <w:marTop w:val="0"/>
      <w:marBottom w:val="0"/>
      <w:divBdr>
        <w:top w:val="none" w:sz="0" w:space="0" w:color="auto"/>
        <w:left w:val="none" w:sz="0" w:space="0" w:color="auto"/>
        <w:bottom w:val="none" w:sz="0" w:space="0" w:color="auto"/>
        <w:right w:val="none" w:sz="0" w:space="0" w:color="auto"/>
      </w:divBdr>
    </w:div>
    <w:div w:id="1017076779">
      <w:bodyDiv w:val="1"/>
      <w:marLeft w:val="0"/>
      <w:marRight w:val="0"/>
      <w:marTop w:val="0"/>
      <w:marBottom w:val="0"/>
      <w:divBdr>
        <w:top w:val="none" w:sz="0" w:space="0" w:color="auto"/>
        <w:left w:val="none" w:sz="0" w:space="0" w:color="auto"/>
        <w:bottom w:val="none" w:sz="0" w:space="0" w:color="auto"/>
        <w:right w:val="none" w:sz="0" w:space="0" w:color="auto"/>
      </w:divBdr>
    </w:div>
    <w:div w:id="1018435049">
      <w:bodyDiv w:val="1"/>
      <w:marLeft w:val="0"/>
      <w:marRight w:val="0"/>
      <w:marTop w:val="0"/>
      <w:marBottom w:val="0"/>
      <w:divBdr>
        <w:top w:val="none" w:sz="0" w:space="0" w:color="auto"/>
        <w:left w:val="none" w:sz="0" w:space="0" w:color="auto"/>
        <w:bottom w:val="none" w:sz="0" w:space="0" w:color="auto"/>
        <w:right w:val="none" w:sz="0" w:space="0" w:color="auto"/>
      </w:divBdr>
    </w:div>
    <w:div w:id="1020013614">
      <w:bodyDiv w:val="1"/>
      <w:marLeft w:val="0"/>
      <w:marRight w:val="0"/>
      <w:marTop w:val="0"/>
      <w:marBottom w:val="0"/>
      <w:divBdr>
        <w:top w:val="none" w:sz="0" w:space="0" w:color="auto"/>
        <w:left w:val="none" w:sz="0" w:space="0" w:color="auto"/>
        <w:bottom w:val="none" w:sz="0" w:space="0" w:color="auto"/>
        <w:right w:val="none" w:sz="0" w:space="0" w:color="auto"/>
      </w:divBdr>
    </w:div>
    <w:div w:id="1023364651">
      <w:bodyDiv w:val="1"/>
      <w:marLeft w:val="0"/>
      <w:marRight w:val="0"/>
      <w:marTop w:val="0"/>
      <w:marBottom w:val="0"/>
      <w:divBdr>
        <w:top w:val="none" w:sz="0" w:space="0" w:color="auto"/>
        <w:left w:val="none" w:sz="0" w:space="0" w:color="auto"/>
        <w:bottom w:val="none" w:sz="0" w:space="0" w:color="auto"/>
        <w:right w:val="none" w:sz="0" w:space="0" w:color="auto"/>
      </w:divBdr>
    </w:div>
    <w:div w:id="1026296081">
      <w:bodyDiv w:val="1"/>
      <w:marLeft w:val="0"/>
      <w:marRight w:val="0"/>
      <w:marTop w:val="0"/>
      <w:marBottom w:val="0"/>
      <w:divBdr>
        <w:top w:val="none" w:sz="0" w:space="0" w:color="auto"/>
        <w:left w:val="none" w:sz="0" w:space="0" w:color="auto"/>
        <w:bottom w:val="none" w:sz="0" w:space="0" w:color="auto"/>
        <w:right w:val="none" w:sz="0" w:space="0" w:color="auto"/>
      </w:divBdr>
    </w:div>
    <w:div w:id="1026638086">
      <w:bodyDiv w:val="1"/>
      <w:marLeft w:val="0"/>
      <w:marRight w:val="0"/>
      <w:marTop w:val="0"/>
      <w:marBottom w:val="0"/>
      <w:divBdr>
        <w:top w:val="none" w:sz="0" w:space="0" w:color="auto"/>
        <w:left w:val="none" w:sz="0" w:space="0" w:color="auto"/>
        <w:bottom w:val="none" w:sz="0" w:space="0" w:color="auto"/>
        <w:right w:val="none" w:sz="0" w:space="0" w:color="auto"/>
      </w:divBdr>
    </w:div>
    <w:div w:id="1028525812">
      <w:bodyDiv w:val="1"/>
      <w:marLeft w:val="0"/>
      <w:marRight w:val="0"/>
      <w:marTop w:val="0"/>
      <w:marBottom w:val="0"/>
      <w:divBdr>
        <w:top w:val="none" w:sz="0" w:space="0" w:color="auto"/>
        <w:left w:val="none" w:sz="0" w:space="0" w:color="auto"/>
        <w:bottom w:val="none" w:sz="0" w:space="0" w:color="auto"/>
        <w:right w:val="none" w:sz="0" w:space="0" w:color="auto"/>
      </w:divBdr>
    </w:div>
    <w:div w:id="1028873736">
      <w:bodyDiv w:val="1"/>
      <w:marLeft w:val="0"/>
      <w:marRight w:val="0"/>
      <w:marTop w:val="0"/>
      <w:marBottom w:val="0"/>
      <w:divBdr>
        <w:top w:val="none" w:sz="0" w:space="0" w:color="auto"/>
        <w:left w:val="none" w:sz="0" w:space="0" w:color="auto"/>
        <w:bottom w:val="none" w:sz="0" w:space="0" w:color="auto"/>
        <w:right w:val="none" w:sz="0" w:space="0" w:color="auto"/>
      </w:divBdr>
    </w:div>
    <w:div w:id="1030107208">
      <w:bodyDiv w:val="1"/>
      <w:marLeft w:val="0"/>
      <w:marRight w:val="0"/>
      <w:marTop w:val="0"/>
      <w:marBottom w:val="0"/>
      <w:divBdr>
        <w:top w:val="none" w:sz="0" w:space="0" w:color="auto"/>
        <w:left w:val="none" w:sz="0" w:space="0" w:color="auto"/>
        <w:bottom w:val="none" w:sz="0" w:space="0" w:color="auto"/>
        <w:right w:val="none" w:sz="0" w:space="0" w:color="auto"/>
      </w:divBdr>
    </w:div>
    <w:div w:id="1030187028">
      <w:bodyDiv w:val="1"/>
      <w:marLeft w:val="0"/>
      <w:marRight w:val="0"/>
      <w:marTop w:val="0"/>
      <w:marBottom w:val="0"/>
      <w:divBdr>
        <w:top w:val="none" w:sz="0" w:space="0" w:color="auto"/>
        <w:left w:val="none" w:sz="0" w:space="0" w:color="auto"/>
        <w:bottom w:val="none" w:sz="0" w:space="0" w:color="auto"/>
        <w:right w:val="none" w:sz="0" w:space="0" w:color="auto"/>
      </w:divBdr>
    </w:div>
    <w:div w:id="1031809878">
      <w:bodyDiv w:val="1"/>
      <w:marLeft w:val="0"/>
      <w:marRight w:val="0"/>
      <w:marTop w:val="0"/>
      <w:marBottom w:val="0"/>
      <w:divBdr>
        <w:top w:val="none" w:sz="0" w:space="0" w:color="auto"/>
        <w:left w:val="none" w:sz="0" w:space="0" w:color="auto"/>
        <w:bottom w:val="none" w:sz="0" w:space="0" w:color="auto"/>
        <w:right w:val="none" w:sz="0" w:space="0" w:color="auto"/>
      </w:divBdr>
    </w:div>
    <w:div w:id="1032078114">
      <w:bodyDiv w:val="1"/>
      <w:marLeft w:val="0"/>
      <w:marRight w:val="0"/>
      <w:marTop w:val="0"/>
      <w:marBottom w:val="0"/>
      <w:divBdr>
        <w:top w:val="none" w:sz="0" w:space="0" w:color="auto"/>
        <w:left w:val="none" w:sz="0" w:space="0" w:color="auto"/>
        <w:bottom w:val="none" w:sz="0" w:space="0" w:color="auto"/>
        <w:right w:val="none" w:sz="0" w:space="0" w:color="auto"/>
      </w:divBdr>
    </w:div>
    <w:div w:id="1034161138">
      <w:bodyDiv w:val="1"/>
      <w:marLeft w:val="0"/>
      <w:marRight w:val="0"/>
      <w:marTop w:val="0"/>
      <w:marBottom w:val="0"/>
      <w:divBdr>
        <w:top w:val="none" w:sz="0" w:space="0" w:color="auto"/>
        <w:left w:val="none" w:sz="0" w:space="0" w:color="auto"/>
        <w:bottom w:val="none" w:sz="0" w:space="0" w:color="auto"/>
        <w:right w:val="none" w:sz="0" w:space="0" w:color="auto"/>
      </w:divBdr>
    </w:div>
    <w:div w:id="1034619063">
      <w:bodyDiv w:val="1"/>
      <w:marLeft w:val="0"/>
      <w:marRight w:val="0"/>
      <w:marTop w:val="0"/>
      <w:marBottom w:val="0"/>
      <w:divBdr>
        <w:top w:val="none" w:sz="0" w:space="0" w:color="auto"/>
        <w:left w:val="none" w:sz="0" w:space="0" w:color="auto"/>
        <w:bottom w:val="none" w:sz="0" w:space="0" w:color="auto"/>
        <w:right w:val="none" w:sz="0" w:space="0" w:color="auto"/>
      </w:divBdr>
    </w:div>
    <w:div w:id="1037699760">
      <w:bodyDiv w:val="1"/>
      <w:marLeft w:val="0"/>
      <w:marRight w:val="0"/>
      <w:marTop w:val="0"/>
      <w:marBottom w:val="0"/>
      <w:divBdr>
        <w:top w:val="none" w:sz="0" w:space="0" w:color="auto"/>
        <w:left w:val="none" w:sz="0" w:space="0" w:color="auto"/>
        <w:bottom w:val="none" w:sz="0" w:space="0" w:color="auto"/>
        <w:right w:val="none" w:sz="0" w:space="0" w:color="auto"/>
      </w:divBdr>
    </w:div>
    <w:div w:id="1038436438">
      <w:bodyDiv w:val="1"/>
      <w:marLeft w:val="0"/>
      <w:marRight w:val="0"/>
      <w:marTop w:val="0"/>
      <w:marBottom w:val="0"/>
      <w:divBdr>
        <w:top w:val="none" w:sz="0" w:space="0" w:color="auto"/>
        <w:left w:val="none" w:sz="0" w:space="0" w:color="auto"/>
        <w:bottom w:val="none" w:sz="0" w:space="0" w:color="auto"/>
        <w:right w:val="none" w:sz="0" w:space="0" w:color="auto"/>
      </w:divBdr>
    </w:div>
    <w:div w:id="1039163184">
      <w:bodyDiv w:val="1"/>
      <w:marLeft w:val="0"/>
      <w:marRight w:val="0"/>
      <w:marTop w:val="0"/>
      <w:marBottom w:val="0"/>
      <w:divBdr>
        <w:top w:val="none" w:sz="0" w:space="0" w:color="auto"/>
        <w:left w:val="none" w:sz="0" w:space="0" w:color="auto"/>
        <w:bottom w:val="none" w:sz="0" w:space="0" w:color="auto"/>
        <w:right w:val="none" w:sz="0" w:space="0" w:color="auto"/>
      </w:divBdr>
    </w:div>
    <w:div w:id="1040938173">
      <w:bodyDiv w:val="1"/>
      <w:marLeft w:val="0"/>
      <w:marRight w:val="0"/>
      <w:marTop w:val="0"/>
      <w:marBottom w:val="0"/>
      <w:divBdr>
        <w:top w:val="none" w:sz="0" w:space="0" w:color="auto"/>
        <w:left w:val="none" w:sz="0" w:space="0" w:color="auto"/>
        <w:bottom w:val="none" w:sz="0" w:space="0" w:color="auto"/>
        <w:right w:val="none" w:sz="0" w:space="0" w:color="auto"/>
      </w:divBdr>
    </w:div>
    <w:div w:id="1041443595">
      <w:bodyDiv w:val="1"/>
      <w:marLeft w:val="0"/>
      <w:marRight w:val="0"/>
      <w:marTop w:val="0"/>
      <w:marBottom w:val="0"/>
      <w:divBdr>
        <w:top w:val="none" w:sz="0" w:space="0" w:color="auto"/>
        <w:left w:val="none" w:sz="0" w:space="0" w:color="auto"/>
        <w:bottom w:val="none" w:sz="0" w:space="0" w:color="auto"/>
        <w:right w:val="none" w:sz="0" w:space="0" w:color="auto"/>
      </w:divBdr>
    </w:div>
    <w:div w:id="1041511640">
      <w:bodyDiv w:val="1"/>
      <w:marLeft w:val="0"/>
      <w:marRight w:val="0"/>
      <w:marTop w:val="0"/>
      <w:marBottom w:val="0"/>
      <w:divBdr>
        <w:top w:val="none" w:sz="0" w:space="0" w:color="auto"/>
        <w:left w:val="none" w:sz="0" w:space="0" w:color="auto"/>
        <w:bottom w:val="none" w:sz="0" w:space="0" w:color="auto"/>
        <w:right w:val="none" w:sz="0" w:space="0" w:color="auto"/>
      </w:divBdr>
    </w:div>
    <w:div w:id="1046024997">
      <w:bodyDiv w:val="1"/>
      <w:marLeft w:val="0"/>
      <w:marRight w:val="0"/>
      <w:marTop w:val="0"/>
      <w:marBottom w:val="0"/>
      <w:divBdr>
        <w:top w:val="none" w:sz="0" w:space="0" w:color="auto"/>
        <w:left w:val="none" w:sz="0" w:space="0" w:color="auto"/>
        <w:bottom w:val="none" w:sz="0" w:space="0" w:color="auto"/>
        <w:right w:val="none" w:sz="0" w:space="0" w:color="auto"/>
      </w:divBdr>
    </w:div>
    <w:div w:id="1047995572">
      <w:bodyDiv w:val="1"/>
      <w:marLeft w:val="0"/>
      <w:marRight w:val="0"/>
      <w:marTop w:val="0"/>
      <w:marBottom w:val="0"/>
      <w:divBdr>
        <w:top w:val="none" w:sz="0" w:space="0" w:color="auto"/>
        <w:left w:val="none" w:sz="0" w:space="0" w:color="auto"/>
        <w:bottom w:val="none" w:sz="0" w:space="0" w:color="auto"/>
        <w:right w:val="none" w:sz="0" w:space="0" w:color="auto"/>
      </w:divBdr>
    </w:div>
    <w:div w:id="1048144712">
      <w:bodyDiv w:val="1"/>
      <w:marLeft w:val="0"/>
      <w:marRight w:val="0"/>
      <w:marTop w:val="0"/>
      <w:marBottom w:val="0"/>
      <w:divBdr>
        <w:top w:val="none" w:sz="0" w:space="0" w:color="auto"/>
        <w:left w:val="none" w:sz="0" w:space="0" w:color="auto"/>
        <w:bottom w:val="none" w:sz="0" w:space="0" w:color="auto"/>
        <w:right w:val="none" w:sz="0" w:space="0" w:color="auto"/>
      </w:divBdr>
    </w:div>
    <w:div w:id="1049262765">
      <w:bodyDiv w:val="1"/>
      <w:marLeft w:val="0"/>
      <w:marRight w:val="0"/>
      <w:marTop w:val="0"/>
      <w:marBottom w:val="0"/>
      <w:divBdr>
        <w:top w:val="none" w:sz="0" w:space="0" w:color="auto"/>
        <w:left w:val="none" w:sz="0" w:space="0" w:color="auto"/>
        <w:bottom w:val="none" w:sz="0" w:space="0" w:color="auto"/>
        <w:right w:val="none" w:sz="0" w:space="0" w:color="auto"/>
      </w:divBdr>
    </w:div>
    <w:div w:id="1049914743">
      <w:bodyDiv w:val="1"/>
      <w:marLeft w:val="0"/>
      <w:marRight w:val="0"/>
      <w:marTop w:val="0"/>
      <w:marBottom w:val="0"/>
      <w:divBdr>
        <w:top w:val="none" w:sz="0" w:space="0" w:color="auto"/>
        <w:left w:val="none" w:sz="0" w:space="0" w:color="auto"/>
        <w:bottom w:val="none" w:sz="0" w:space="0" w:color="auto"/>
        <w:right w:val="none" w:sz="0" w:space="0" w:color="auto"/>
      </w:divBdr>
    </w:div>
    <w:div w:id="1050108319">
      <w:bodyDiv w:val="1"/>
      <w:marLeft w:val="0"/>
      <w:marRight w:val="0"/>
      <w:marTop w:val="0"/>
      <w:marBottom w:val="0"/>
      <w:divBdr>
        <w:top w:val="none" w:sz="0" w:space="0" w:color="auto"/>
        <w:left w:val="none" w:sz="0" w:space="0" w:color="auto"/>
        <w:bottom w:val="none" w:sz="0" w:space="0" w:color="auto"/>
        <w:right w:val="none" w:sz="0" w:space="0" w:color="auto"/>
      </w:divBdr>
    </w:div>
    <w:div w:id="1056199759">
      <w:bodyDiv w:val="1"/>
      <w:marLeft w:val="0"/>
      <w:marRight w:val="0"/>
      <w:marTop w:val="0"/>
      <w:marBottom w:val="0"/>
      <w:divBdr>
        <w:top w:val="none" w:sz="0" w:space="0" w:color="auto"/>
        <w:left w:val="none" w:sz="0" w:space="0" w:color="auto"/>
        <w:bottom w:val="none" w:sz="0" w:space="0" w:color="auto"/>
        <w:right w:val="none" w:sz="0" w:space="0" w:color="auto"/>
      </w:divBdr>
    </w:div>
    <w:div w:id="1056465191">
      <w:bodyDiv w:val="1"/>
      <w:marLeft w:val="0"/>
      <w:marRight w:val="0"/>
      <w:marTop w:val="0"/>
      <w:marBottom w:val="0"/>
      <w:divBdr>
        <w:top w:val="none" w:sz="0" w:space="0" w:color="auto"/>
        <w:left w:val="none" w:sz="0" w:space="0" w:color="auto"/>
        <w:bottom w:val="none" w:sz="0" w:space="0" w:color="auto"/>
        <w:right w:val="none" w:sz="0" w:space="0" w:color="auto"/>
      </w:divBdr>
    </w:div>
    <w:div w:id="1058480147">
      <w:bodyDiv w:val="1"/>
      <w:marLeft w:val="0"/>
      <w:marRight w:val="0"/>
      <w:marTop w:val="0"/>
      <w:marBottom w:val="0"/>
      <w:divBdr>
        <w:top w:val="none" w:sz="0" w:space="0" w:color="auto"/>
        <w:left w:val="none" w:sz="0" w:space="0" w:color="auto"/>
        <w:bottom w:val="none" w:sz="0" w:space="0" w:color="auto"/>
        <w:right w:val="none" w:sz="0" w:space="0" w:color="auto"/>
      </w:divBdr>
    </w:div>
    <w:div w:id="1064916246">
      <w:bodyDiv w:val="1"/>
      <w:marLeft w:val="0"/>
      <w:marRight w:val="0"/>
      <w:marTop w:val="0"/>
      <w:marBottom w:val="0"/>
      <w:divBdr>
        <w:top w:val="none" w:sz="0" w:space="0" w:color="auto"/>
        <w:left w:val="none" w:sz="0" w:space="0" w:color="auto"/>
        <w:bottom w:val="none" w:sz="0" w:space="0" w:color="auto"/>
        <w:right w:val="none" w:sz="0" w:space="0" w:color="auto"/>
      </w:divBdr>
    </w:div>
    <w:div w:id="1065835359">
      <w:bodyDiv w:val="1"/>
      <w:marLeft w:val="0"/>
      <w:marRight w:val="0"/>
      <w:marTop w:val="0"/>
      <w:marBottom w:val="0"/>
      <w:divBdr>
        <w:top w:val="none" w:sz="0" w:space="0" w:color="auto"/>
        <w:left w:val="none" w:sz="0" w:space="0" w:color="auto"/>
        <w:bottom w:val="none" w:sz="0" w:space="0" w:color="auto"/>
        <w:right w:val="none" w:sz="0" w:space="0" w:color="auto"/>
      </w:divBdr>
    </w:div>
    <w:div w:id="1066298281">
      <w:bodyDiv w:val="1"/>
      <w:marLeft w:val="0"/>
      <w:marRight w:val="0"/>
      <w:marTop w:val="0"/>
      <w:marBottom w:val="0"/>
      <w:divBdr>
        <w:top w:val="none" w:sz="0" w:space="0" w:color="auto"/>
        <w:left w:val="none" w:sz="0" w:space="0" w:color="auto"/>
        <w:bottom w:val="none" w:sz="0" w:space="0" w:color="auto"/>
        <w:right w:val="none" w:sz="0" w:space="0" w:color="auto"/>
      </w:divBdr>
    </w:div>
    <w:div w:id="1069572485">
      <w:bodyDiv w:val="1"/>
      <w:marLeft w:val="0"/>
      <w:marRight w:val="0"/>
      <w:marTop w:val="0"/>
      <w:marBottom w:val="0"/>
      <w:divBdr>
        <w:top w:val="none" w:sz="0" w:space="0" w:color="auto"/>
        <w:left w:val="none" w:sz="0" w:space="0" w:color="auto"/>
        <w:bottom w:val="none" w:sz="0" w:space="0" w:color="auto"/>
        <w:right w:val="none" w:sz="0" w:space="0" w:color="auto"/>
      </w:divBdr>
    </w:div>
    <w:div w:id="1069619673">
      <w:bodyDiv w:val="1"/>
      <w:marLeft w:val="0"/>
      <w:marRight w:val="0"/>
      <w:marTop w:val="0"/>
      <w:marBottom w:val="0"/>
      <w:divBdr>
        <w:top w:val="none" w:sz="0" w:space="0" w:color="auto"/>
        <w:left w:val="none" w:sz="0" w:space="0" w:color="auto"/>
        <w:bottom w:val="none" w:sz="0" w:space="0" w:color="auto"/>
        <w:right w:val="none" w:sz="0" w:space="0" w:color="auto"/>
      </w:divBdr>
    </w:div>
    <w:div w:id="1072241135">
      <w:bodyDiv w:val="1"/>
      <w:marLeft w:val="0"/>
      <w:marRight w:val="0"/>
      <w:marTop w:val="0"/>
      <w:marBottom w:val="0"/>
      <w:divBdr>
        <w:top w:val="none" w:sz="0" w:space="0" w:color="auto"/>
        <w:left w:val="none" w:sz="0" w:space="0" w:color="auto"/>
        <w:bottom w:val="none" w:sz="0" w:space="0" w:color="auto"/>
        <w:right w:val="none" w:sz="0" w:space="0" w:color="auto"/>
      </w:divBdr>
    </w:div>
    <w:div w:id="1075250818">
      <w:bodyDiv w:val="1"/>
      <w:marLeft w:val="0"/>
      <w:marRight w:val="0"/>
      <w:marTop w:val="0"/>
      <w:marBottom w:val="0"/>
      <w:divBdr>
        <w:top w:val="none" w:sz="0" w:space="0" w:color="auto"/>
        <w:left w:val="none" w:sz="0" w:space="0" w:color="auto"/>
        <w:bottom w:val="none" w:sz="0" w:space="0" w:color="auto"/>
        <w:right w:val="none" w:sz="0" w:space="0" w:color="auto"/>
      </w:divBdr>
    </w:div>
    <w:div w:id="1076824010">
      <w:bodyDiv w:val="1"/>
      <w:marLeft w:val="0"/>
      <w:marRight w:val="0"/>
      <w:marTop w:val="0"/>
      <w:marBottom w:val="0"/>
      <w:divBdr>
        <w:top w:val="none" w:sz="0" w:space="0" w:color="auto"/>
        <w:left w:val="none" w:sz="0" w:space="0" w:color="auto"/>
        <w:bottom w:val="none" w:sz="0" w:space="0" w:color="auto"/>
        <w:right w:val="none" w:sz="0" w:space="0" w:color="auto"/>
      </w:divBdr>
    </w:div>
    <w:div w:id="1081028529">
      <w:bodyDiv w:val="1"/>
      <w:marLeft w:val="0"/>
      <w:marRight w:val="0"/>
      <w:marTop w:val="0"/>
      <w:marBottom w:val="0"/>
      <w:divBdr>
        <w:top w:val="none" w:sz="0" w:space="0" w:color="auto"/>
        <w:left w:val="none" w:sz="0" w:space="0" w:color="auto"/>
        <w:bottom w:val="none" w:sz="0" w:space="0" w:color="auto"/>
        <w:right w:val="none" w:sz="0" w:space="0" w:color="auto"/>
      </w:divBdr>
    </w:div>
    <w:div w:id="1081173075">
      <w:bodyDiv w:val="1"/>
      <w:marLeft w:val="0"/>
      <w:marRight w:val="0"/>
      <w:marTop w:val="0"/>
      <w:marBottom w:val="0"/>
      <w:divBdr>
        <w:top w:val="none" w:sz="0" w:space="0" w:color="auto"/>
        <w:left w:val="none" w:sz="0" w:space="0" w:color="auto"/>
        <w:bottom w:val="none" w:sz="0" w:space="0" w:color="auto"/>
        <w:right w:val="none" w:sz="0" w:space="0" w:color="auto"/>
      </w:divBdr>
    </w:div>
    <w:div w:id="1081636832">
      <w:bodyDiv w:val="1"/>
      <w:marLeft w:val="0"/>
      <w:marRight w:val="0"/>
      <w:marTop w:val="0"/>
      <w:marBottom w:val="0"/>
      <w:divBdr>
        <w:top w:val="none" w:sz="0" w:space="0" w:color="auto"/>
        <w:left w:val="none" w:sz="0" w:space="0" w:color="auto"/>
        <w:bottom w:val="none" w:sz="0" w:space="0" w:color="auto"/>
        <w:right w:val="none" w:sz="0" w:space="0" w:color="auto"/>
      </w:divBdr>
    </w:div>
    <w:div w:id="1083144961">
      <w:bodyDiv w:val="1"/>
      <w:marLeft w:val="0"/>
      <w:marRight w:val="0"/>
      <w:marTop w:val="0"/>
      <w:marBottom w:val="0"/>
      <w:divBdr>
        <w:top w:val="none" w:sz="0" w:space="0" w:color="auto"/>
        <w:left w:val="none" w:sz="0" w:space="0" w:color="auto"/>
        <w:bottom w:val="none" w:sz="0" w:space="0" w:color="auto"/>
        <w:right w:val="none" w:sz="0" w:space="0" w:color="auto"/>
      </w:divBdr>
    </w:div>
    <w:div w:id="1083602809">
      <w:bodyDiv w:val="1"/>
      <w:marLeft w:val="0"/>
      <w:marRight w:val="0"/>
      <w:marTop w:val="0"/>
      <w:marBottom w:val="0"/>
      <w:divBdr>
        <w:top w:val="none" w:sz="0" w:space="0" w:color="auto"/>
        <w:left w:val="none" w:sz="0" w:space="0" w:color="auto"/>
        <w:bottom w:val="none" w:sz="0" w:space="0" w:color="auto"/>
        <w:right w:val="none" w:sz="0" w:space="0" w:color="auto"/>
      </w:divBdr>
    </w:div>
    <w:div w:id="1086153919">
      <w:bodyDiv w:val="1"/>
      <w:marLeft w:val="0"/>
      <w:marRight w:val="0"/>
      <w:marTop w:val="0"/>
      <w:marBottom w:val="0"/>
      <w:divBdr>
        <w:top w:val="none" w:sz="0" w:space="0" w:color="auto"/>
        <w:left w:val="none" w:sz="0" w:space="0" w:color="auto"/>
        <w:bottom w:val="none" w:sz="0" w:space="0" w:color="auto"/>
        <w:right w:val="none" w:sz="0" w:space="0" w:color="auto"/>
      </w:divBdr>
    </w:div>
    <w:div w:id="1091121673">
      <w:bodyDiv w:val="1"/>
      <w:marLeft w:val="0"/>
      <w:marRight w:val="0"/>
      <w:marTop w:val="0"/>
      <w:marBottom w:val="0"/>
      <w:divBdr>
        <w:top w:val="none" w:sz="0" w:space="0" w:color="auto"/>
        <w:left w:val="none" w:sz="0" w:space="0" w:color="auto"/>
        <w:bottom w:val="none" w:sz="0" w:space="0" w:color="auto"/>
        <w:right w:val="none" w:sz="0" w:space="0" w:color="auto"/>
      </w:divBdr>
    </w:div>
    <w:div w:id="1091194248">
      <w:bodyDiv w:val="1"/>
      <w:marLeft w:val="0"/>
      <w:marRight w:val="0"/>
      <w:marTop w:val="0"/>
      <w:marBottom w:val="0"/>
      <w:divBdr>
        <w:top w:val="none" w:sz="0" w:space="0" w:color="auto"/>
        <w:left w:val="none" w:sz="0" w:space="0" w:color="auto"/>
        <w:bottom w:val="none" w:sz="0" w:space="0" w:color="auto"/>
        <w:right w:val="none" w:sz="0" w:space="0" w:color="auto"/>
      </w:divBdr>
    </w:div>
    <w:div w:id="1095973840">
      <w:bodyDiv w:val="1"/>
      <w:marLeft w:val="0"/>
      <w:marRight w:val="0"/>
      <w:marTop w:val="0"/>
      <w:marBottom w:val="0"/>
      <w:divBdr>
        <w:top w:val="none" w:sz="0" w:space="0" w:color="auto"/>
        <w:left w:val="none" w:sz="0" w:space="0" w:color="auto"/>
        <w:bottom w:val="none" w:sz="0" w:space="0" w:color="auto"/>
        <w:right w:val="none" w:sz="0" w:space="0" w:color="auto"/>
      </w:divBdr>
    </w:div>
    <w:div w:id="1096942882">
      <w:bodyDiv w:val="1"/>
      <w:marLeft w:val="0"/>
      <w:marRight w:val="0"/>
      <w:marTop w:val="0"/>
      <w:marBottom w:val="0"/>
      <w:divBdr>
        <w:top w:val="none" w:sz="0" w:space="0" w:color="auto"/>
        <w:left w:val="none" w:sz="0" w:space="0" w:color="auto"/>
        <w:bottom w:val="none" w:sz="0" w:space="0" w:color="auto"/>
        <w:right w:val="none" w:sz="0" w:space="0" w:color="auto"/>
      </w:divBdr>
    </w:div>
    <w:div w:id="1099256962">
      <w:bodyDiv w:val="1"/>
      <w:marLeft w:val="0"/>
      <w:marRight w:val="0"/>
      <w:marTop w:val="0"/>
      <w:marBottom w:val="0"/>
      <w:divBdr>
        <w:top w:val="none" w:sz="0" w:space="0" w:color="auto"/>
        <w:left w:val="none" w:sz="0" w:space="0" w:color="auto"/>
        <w:bottom w:val="none" w:sz="0" w:space="0" w:color="auto"/>
        <w:right w:val="none" w:sz="0" w:space="0" w:color="auto"/>
      </w:divBdr>
    </w:div>
    <w:div w:id="1101146685">
      <w:bodyDiv w:val="1"/>
      <w:marLeft w:val="0"/>
      <w:marRight w:val="0"/>
      <w:marTop w:val="0"/>
      <w:marBottom w:val="0"/>
      <w:divBdr>
        <w:top w:val="none" w:sz="0" w:space="0" w:color="auto"/>
        <w:left w:val="none" w:sz="0" w:space="0" w:color="auto"/>
        <w:bottom w:val="none" w:sz="0" w:space="0" w:color="auto"/>
        <w:right w:val="none" w:sz="0" w:space="0" w:color="auto"/>
      </w:divBdr>
    </w:div>
    <w:div w:id="1104304614">
      <w:bodyDiv w:val="1"/>
      <w:marLeft w:val="0"/>
      <w:marRight w:val="0"/>
      <w:marTop w:val="0"/>
      <w:marBottom w:val="0"/>
      <w:divBdr>
        <w:top w:val="none" w:sz="0" w:space="0" w:color="auto"/>
        <w:left w:val="none" w:sz="0" w:space="0" w:color="auto"/>
        <w:bottom w:val="none" w:sz="0" w:space="0" w:color="auto"/>
        <w:right w:val="none" w:sz="0" w:space="0" w:color="auto"/>
      </w:divBdr>
    </w:div>
    <w:div w:id="1104809079">
      <w:bodyDiv w:val="1"/>
      <w:marLeft w:val="0"/>
      <w:marRight w:val="0"/>
      <w:marTop w:val="0"/>
      <w:marBottom w:val="0"/>
      <w:divBdr>
        <w:top w:val="none" w:sz="0" w:space="0" w:color="auto"/>
        <w:left w:val="none" w:sz="0" w:space="0" w:color="auto"/>
        <w:bottom w:val="none" w:sz="0" w:space="0" w:color="auto"/>
        <w:right w:val="none" w:sz="0" w:space="0" w:color="auto"/>
      </w:divBdr>
    </w:div>
    <w:div w:id="1112939273">
      <w:bodyDiv w:val="1"/>
      <w:marLeft w:val="0"/>
      <w:marRight w:val="0"/>
      <w:marTop w:val="0"/>
      <w:marBottom w:val="0"/>
      <w:divBdr>
        <w:top w:val="none" w:sz="0" w:space="0" w:color="auto"/>
        <w:left w:val="none" w:sz="0" w:space="0" w:color="auto"/>
        <w:bottom w:val="none" w:sz="0" w:space="0" w:color="auto"/>
        <w:right w:val="none" w:sz="0" w:space="0" w:color="auto"/>
      </w:divBdr>
    </w:div>
    <w:div w:id="1114325373">
      <w:bodyDiv w:val="1"/>
      <w:marLeft w:val="0"/>
      <w:marRight w:val="0"/>
      <w:marTop w:val="0"/>
      <w:marBottom w:val="0"/>
      <w:divBdr>
        <w:top w:val="none" w:sz="0" w:space="0" w:color="auto"/>
        <w:left w:val="none" w:sz="0" w:space="0" w:color="auto"/>
        <w:bottom w:val="none" w:sz="0" w:space="0" w:color="auto"/>
        <w:right w:val="none" w:sz="0" w:space="0" w:color="auto"/>
      </w:divBdr>
    </w:div>
    <w:div w:id="1122304293">
      <w:bodyDiv w:val="1"/>
      <w:marLeft w:val="0"/>
      <w:marRight w:val="0"/>
      <w:marTop w:val="0"/>
      <w:marBottom w:val="0"/>
      <w:divBdr>
        <w:top w:val="none" w:sz="0" w:space="0" w:color="auto"/>
        <w:left w:val="none" w:sz="0" w:space="0" w:color="auto"/>
        <w:bottom w:val="none" w:sz="0" w:space="0" w:color="auto"/>
        <w:right w:val="none" w:sz="0" w:space="0" w:color="auto"/>
      </w:divBdr>
    </w:div>
    <w:div w:id="1127162480">
      <w:bodyDiv w:val="1"/>
      <w:marLeft w:val="0"/>
      <w:marRight w:val="0"/>
      <w:marTop w:val="0"/>
      <w:marBottom w:val="0"/>
      <w:divBdr>
        <w:top w:val="none" w:sz="0" w:space="0" w:color="auto"/>
        <w:left w:val="none" w:sz="0" w:space="0" w:color="auto"/>
        <w:bottom w:val="none" w:sz="0" w:space="0" w:color="auto"/>
        <w:right w:val="none" w:sz="0" w:space="0" w:color="auto"/>
      </w:divBdr>
    </w:div>
    <w:div w:id="1128157866">
      <w:bodyDiv w:val="1"/>
      <w:marLeft w:val="0"/>
      <w:marRight w:val="0"/>
      <w:marTop w:val="0"/>
      <w:marBottom w:val="0"/>
      <w:divBdr>
        <w:top w:val="none" w:sz="0" w:space="0" w:color="auto"/>
        <w:left w:val="none" w:sz="0" w:space="0" w:color="auto"/>
        <w:bottom w:val="none" w:sz="0" w:space="0" w:color="auto"/>
        <w:right w:val="none" w:sz="0" w:space="0" w:color="auto"/>
      </w:divBdr>
    </w:div>
    <w:div w:id="1131023552">
      <w:bodyDiv w:val="1"/>
      <w:marLeft w:val="0"/>
      <w:marRight w:val="0"/>
      <w:marTop w:val="0"/>
      <w:marBottom w:val="0"/>
      <w:divBdr>
        <w:top w:val="none" w:sz="0" w:space="0" w:color="auto"/>
        <w:left w:val="none" w:sz="0" w:space="0" w:color="auto"/>
        <w:bottom w:val="none" w:sz="0" w:space="0" w:color="auto"/>
        <w:right w:val="none" w:sz="0" w:space="0" w:color="auto"/>
      </w:divBdr>
    </w:div>
    <w:div w:id="1136795106">
      <w:bodyDiv w:val="1"/>
      <w:marLeft w:val="0"/>
      <w:marRight w:val="0"/>
      <w:marTop w:val="0"/>
      <w:marBottom w:val="0"/>
      <w:divBdr>
        <w:top w:val="none" w:sz="0" w:space="0" w:color="auto"/>
        <w:left w:val="none" w:sz="0" w:space="0" w:color="auto"/>
        <w:bottom w:val="none" w:sz="0" w:space="0" w:color="auto"/>
        <w:right w:val="none" w:sz="0" w:space="0" w:color="auto"/>
      </w:divBdr>
    </w:div>
    <w:div w:id="1139147322">
      <w:bodyDiv w:val="1"/>
      <w:marLeft w:val="0"/>
      <w:marRight w:val="0"/>
      <w:marTop w:val="0"/>
      <w:marBottom w:val="0"/>
      <w:divBdr>
        <w:top w:val="none" w:sz="0" w:space="0" w:color="auto"/>
        <w:left w:val="none" w:sz="0" w:space="0" w:color="auto"/>
        <w:bottom w:val="none" w:sz="0" w:space="0" w:color="auto"/>
        <w:right w:val="none" w:sz="0" w:space="0" w:color="auto"/>
      </w:divBdr>
    </w:div>
    <w:div w:id="1152407420">
      <w:bodyDiv w:val="1"/>
      <w:marLeft w:val="0"/>
      <w:marRight w:val="0"/>
      <w:marTop w:val="0"/>
      <w:marBottom w:val="0"/>
      <w:divBdr>
        <w:top w:val="none" w:sz="0" w:space="0" w:color="auto"/>
        <w:left w:val="none" w:sz="0" w:space="0" w:color="auto"/>
        <w:bottom w:val="none" w:sz="0" w:space="0" w:color="auto"/>
        <w:right w:val="none" w:sz="0" w:space="0" w:color="auto"/>
      </w:divBdr>
    </w:div>
    <w:div w:id="1154026817">
      <w:bodyDiv w:val="1"/>
      <w:marLeft w:val="0"/>
      <w:marRight w:val="0"/>
      <w:marTop w:val="0"/>
      <w:marBottom w:val="0"/>
      <w:divBdr>
        <w:top w:val="none" w:sz="0" w:space="0" w:color="auto"/>
        <w:left w:val="none" w:sz="0" w:space="0" w:color="auto"/>
        <w:bottom w:val="none" w:sz="0" w:space="0" w:color="auto"/>
        <w:right w:val="none" w:sz="0" w:space="0" w:color="auto"/>
      </w:divBdr>
    </w:div>
    <w:div w:id="1157916426">
      <w:bodyDiv w:val="1"/>
      <w:marLeft w:val="0"/>
      <w:marRight w:val="0"/>
      <w:marTop w:val="0"/>
      <w:marBottom w:val="0"/>
      <w:divBdr>
        <w:top w:val="none" w:sz="0" w:space="0" w:color="auto"/>
        <w:left w:val="none" w:sz="0" w:space="0" w:color="auto"/>
        <w:bottom w:val="none" w:sz="0" w:space="0" w:color="auto"/>
        <w:right w:val="none" w:sz="0" w:space="0" w:color="auto"/>
      </w:divBdr>
    </w:div>
    <w:div w:id="1159542661">
      <w:bodyDiv w:val="1"/>
      <w:marLeft w:val="0"/>
      <w:marRight w:val="0"/>
      <w:marTop w:val="0"/>
      <w:marBottom w:val="0"/>
      <w:divBdr>
        <w:top w:val="none" w:sz="0" w:space="0" w:color="auto"/>
        <w:left w:val="none" w:sz="0" w:space="0" w:color="auto"/>
        <w:bottom w:val="none" w:sz="0" w:space="0" w:color="auto"/>
        <w:right w:val="none" w:sz="0" w:space="0" w:color="auto"/>
      </w:divBdr>
    </w:div>
    <w:div w:id="1162433579">
      <w:bodyDiv w:val="1"/>
      <w:marLeft w:val="0"/>
      <w:marRight w:val="0"/>
      <w:marTop w:val="0"/>
      <w:marBottom w:val="0"/>
      <w:divBdr>
        <w:top w:val="none" w:sz="0" w:space="0" w:color="auto"/>
        <w:left w:val="none" w:sz="0" w:space="0" w:color="auto"/>
        <w:bottom w:val="none" w:sz="0" w:space="0" w:color="auto"/>
        <w:right w:val="none" w:sz="0" w:space="0" w:color="auto"/>
      </w:divBdr>
    </w:div>
    <w:div w:id="1164466415">
      <w:bodyDiv w:val="1"/>
      <w:marLeft w:val="0"/>
      <w:marRight w:val="0"/>
      <w:marTop w:val="0"/>
      <w:marBottom w:val="0"/>
      <w:divBdr>
        <w:top w:val="none" w:sz="0" w:space="0" w:color="auto"/>
        <w:left w:val="none" w:sz="0" w:space="0" w:color="auto"/>
        <w:bottom w:val="none" w:sz="0" w:space="0" w:color="auto"/>
        <w:right w:val="none" w:sz="0" w:space="0" w:color="auto"/>
      </w:divBdr>
    </w:div>
    <w:div w:id="1168322306">
      <w:bodyDiv w:val="1"/>
      <w:marLeft w:val="0"/>
      <w:marRight w:val="0"/>
      <w:marTop w:val="0"/>
      <w:marBottom w:val="0"/>
      <w:divBdr>
        <w:top w:val="none" w:sz="0" w:space="0" w:color="auto"/>
        <w:left w:val="none" w:sz="0" w:space="0" w:color="auto"/>
        <w:bottom w:val="none" w:sz="0" w:space="0" w:color="auto"/>
        <w:right w:val="none" w:sz="0" w:space="0" w:color="auto"/>
      </w:divBdr>
    </w:div>
    <w:div w:id="1180243423">
      <w:bodyDiv w:val="1"/>
      <w:marLeft w:val="0"/>
      <w:marRight w:val="0"/>
      <w:marTop w:val="0"/>
      <w:marBottom w:val="0"/>
      <w:divBdr>
        <w:top w:val="none" w:sz="0" w:space="0" w:color="auto"/>
        <w:left w:val="none" w:sz="0" w:space="0" w:color="auto"/>
        <w:bottom w:val="none" w:sz="0" w:space="0" w:color="auto"/>
        <w:right w:val="none" w:sz="0" w:space="0" w:color="auto"/>
      </w:divBdr>
    </w:div>
    <w:div w:id="1181816970">
      <w:bodyDiv w:val="1"/>
      <w:marLeft w:val="0"/>
      <w:marRight w:val="0"/>
      <w:marTop w:val="0"/>
      <w:marBottom w:val="0"/>
      <w:divBdr>
        <w:top w:val="none" w:sz="0" w:space="0" w:color="auto"/>
        <w:left w:val="none" w:sz="0" w:space="0" w:color="auto"/>
        <w:bottom w:val="none" w:sz="0" w:space="0" w:color="auto"/>
        <w:right w:val="none" w:sz="0" w:space="0" w:color="auto"/>
      </w:divBdr>
    </w:div>
    <w:div w:id="1181817105">
      <w:bodyDiv w:val="1"/>
      <w:marLeft w:val="0"/>
      <w:marRight w:val="0"/>
      <w:marTop w:val="0"/>
      <w:marBottom w:val="0"/>
      <w:divBdr>
        <w:top w:val="none" w:sz="0" w:space="0" w:color="auto"/>
        <w:left w:val="none" w:sz="0" w:space="0" w:color="auto"/>
        <w:bottom w:val="none" w:sz="0" w:space="0" w:color="auto"/>
        <w:right w:val="none" w:sz="0" w:space="0" w:color="auto"/>
      </w:divBdr>
    </w:div>
    <w:div w:id="1182476670">
      <w:bodyDiv w:val="1"/>
      <w:marLeft w:val="0"/>
      <w:marRight w:val="0"/>
      <w:marTop w:val="0"/>
      <w:marBottom w:val="0"/>
      <w:divBdr>
        <w:top w:val="none" w:sz="0" w:space="0" w:color="auto"/>
        <w:left w:val="none" w:sz="0" w:space="0" w:color="auto"/>
        <w:bottom w:val="none" w:sz="0" w:space="0" w:color="auto"/>
        <w:right w:val="none" w:sz="0" w:space="0" w:color="auto"/>
      </w:divBdr>
    </w:div>
    <w:div w:id="1182666980">
      <w:bodyDiv w:val="1"/>
      <w:marLeft w:val="0"/>
      <w:marRight w:val="0"/>
      <w:marTop w:val="0"/>
      <w:marBottom w:val="0"/>
      <w:divBdr>
        <w:top w:val="none" w:sz="0" w:space="0" w:color="auto"/>
        <w:left w:val="none" w:sz="0" w:space="0" w:color="auto"/>
        <w:bottom w:val="none" w:sz="0" w:space="0" w:color="auto"/>
        <w:right w:val="none" w:sz="0" w:space="0" w:color="auto"/>
      </w:divBdr>
    </w:div>
    <w:div w:id="1182822368">
      <w:bodyDiv w:val="1"/>
      <w:marLeft w:val="0"/>
      <w:marRight w:val="0"/>
      <w:marTop w:val="0"/>
      <w:marBottom w:val="0"/>
      <w:divBdr>
        <w:top w:val="none" w:sz="0" w:space="0" w:color="auto"/>
        <w:left w:val="none" w:sz="0" w:space="0" w:color="auto"/>
        <w:bottom w:val="none" w:sz="0" w:space="0" w:color="auto"/>
        <w:right w:val="none" w:sz="0" w:space="0" w:color="auto"/>
      </w:divBdr>
    </w:div>
    <w:div w:id="1184444307">
      <w:bodyDiv w:val="1"/>
      <w:marLeft w:val="0"/>
      <w:marRight w:val="0"/>
      <w:marTop w:val="0"/>
      <w:marBottom w:val="0"/>
      <w:divBdr>
        <w:top w:val="none" w:sz="0" w:space="0" w:color="auto"/>
        <w:left w:val="none" w:sz="0" w:space="0" w:color="auto"/>
        <w:bottom w:val="none" w:sz="0" w:space="0" w:color="auto"/>
        <w:right w:val="none" w:sz="0" w:space="0" w:color="auto"/>
      </w:divBdr>
    </w:div>
    <w:div w:id="1189219445">
      <w:bodyDiv w:val="1"/>
      <w:marLeft w:val="0"/>
      <w:marRight w:val="0"/>
      <w:marTop w:val="0"/>
      <w:marBottom w:val="0"/>
      <w:divBdr>
        <w:top w:val="none" w:sz="0" w:space="0" w:color="auto"/>
        <w:left w:val="none" w:sz="0" w:space="0" w:color="auto"/>
        <w:bottom w:val="none" w:sz="0" w:space="0" w:color="auto"/>
        <w:right w:val="none" w:sz="0" w:space="0" w:color="auto"/>
      </w:divBdr>
    </w:div>
    <w:div w:id="1189874862">
      <w:bodyDiv w:val="1"/>
      <w:marLeft w:val="0"/>
      <w:marRight w:val="0"/>
      <w:marTop w:val="0"/>
      <w:marBottom w:val="0"/>
      <w:divBdr>
        <w:top w:val="none" w:sz="0" w:space="0" w:color="auto"/>
        <w:left w:val="none" w:sz="0" w:space="0" w:color="auto"/>
        <w:bottom w:val="none" w:sz="0" w:space="0" w:color="auto"/>
        <w:right w:val="none" w:sz="0" w:space="0" w:color="auto"/>
      </w:divBdr>
    </w:div>
    <w:div w:id="1194463296">
      <w:bodyDiv w:val="1"/>
      <w:marLeft w:val="0"/>
      <w:marRight w:val="0"/>
      <w:marTop w:val="0"/>
      <w:marBottom w:val="0"/>
      <w:divBdr>
        <w:top w:val="none" w:sz="0" w:space="0" w:color="auto"/>
        <w:left w:val="none" w:sz="0" w:space="0" w:color="auto"/>
        <w:bottom w:val="none" w:sz="0" w:space="0" w:color="auto"/>
        <w:right w:val="none" w:sz="0" w:space="0" w:color="auto"/>
      </w:divBdr>
    </w:div>
    <w:div w:id="1196499319">
      <w:bodyDiv w:val="1"/>
      <w:marLeft w:val="0"/>
      <w:marRight w:val="0"/>
      <w:marTop w:val="0"/>
      <w:marBottom w:val="0"/>
      <w:divBdr>
        <w:top w:val="none" w:sz="0" w:space="0" w:color="auto"/>
        <w:left w:val="none" w:sz="0" w:space="0" w:color="auto"/>
        <w:bottom w:val="none" w:sz="0" w:space="0" w:color="auto"/>
        <w:right w:val="none" w:sz="0" w:space="0" w:color="auto"/>
      </w:divBdr>
    </w:div>
    <w:div w:id="1196771530">
      <w:bodyDiv w:val="1"/>
      <w:marLeft w:val="0"/>
      <w:marRight w:val="0"/>
      <w:marTop w:val="0"/>
      <w:marBottom w:val="0"/>
      <w:divBdr>
        <w:top w:val="none" w:sz="0" w:space="0" w:color="auto"/>
        <w:left w:val="none" w:sz="0" w:space="0" w:color="auto"/>
        <w:bottom w:val="none" w:sz="0" w:space="0" w:color="auto"/>
        <w:right w:val="none" w:sz="0" w:space="0" w:color="auto"/>
      </w:divBdr>
    </w:div>
    <w:div w:id="1198618860">
      <w:bodyDiv w:val="1"/>
      <w:marLeft w:val="0"/>
      <w:marRight w:val="0"/>
      <w:marTop w:val="0"/>
      <w:marBottom w:val="0"/>
      <w:divBdr>
        <w:top w:val="none" w:sz="0" w:space="0" w:color="auto"/>
        <w:left w:val="none" w:sz="0" w:space="0" w:color="auto"/>
        <w:bottom w:val="none" w:sz="0" w:space="0" w:color="auto"/>
        <w:right w:val="none" w:sz="0" w:space="0" w:color="auto"/>
      </w:divBdr>
    </w:div>
    <w:div w:id="1202086998">
      <w:bodyDiv w:val="1"/>
      <w:marLeft w:val="0"/>
      <w:marRight w:val="0"/>
      <w:marTop w:val="0"/>
      <w:marBottom w:val="0"/>
      <w:divBdr>
        <w:top w:val="none" w:sz="0" w:space="0" w:color="auto"/>
        <w:left w:val="none" w:sz="0" w:space="0" w:color="auto"/>
        <w:bottom w:val="none" w:sz="0" w:space="0" w:color="auto"/>
        <w:right w:val="none" w:sz="0" w:space="0" w:color="auto"/>
      </w:divBdr>
    </w:div>
    <w:div w:id="1202130678">
      <w:bodyDiv w:val="1"/>
      <w:marLeft w:val="0"/>
      <w:marRight w:val="0"/>
      <w:marTop w:val="0"/>
      <w:marBottom w:val="0"/>
      <w:divBdr>
        <w:top w:val="none" w:sz="0" w:space="0" w:color="auto"/>
        <w:left w:val="none" w:sz="0" w:space="0" w:color="auto"/>
        <w:bottom w:val="none" w:sz="0" w:space="0" w:color="auto"/>
        <w:right w:val="none" w:sz="0" w:space="0" w:color="auto"/>
      </w:divBdr>
    </w:div>
    <w:div w:id="1206598120">
      <w:bodyDiv w:val="1"/>
      <w:marLeft w:val="0"/>
      <w:marRight w:val="0"/>
      <w:marTop w:val="0"/>
      <w:marBottom w:val="0"/>
      <w:divBdr>
        <w:top w:val="none" w:sz="0" w:space="0" w:color="auto"/>
        <w:left w:val="none" w:sz="0" w:space="0" w:color="auto"/>
        <w:bottom w:val="none" w:sz="0" w:space="0" w:color="auto"/>
        <w:right w:val="none" w:sz="0" w:space="0" w:color="auto"/>
      </w:divBdr>
    </w:div>
    <w:div w:id="1207373165">
      <w:bodyDiv w:val="1"/>
      <w:marLeft w:val="0"/>
      <w:marRight w:val="0"/>
      <w:marTop w:val="0"/>
      <w:marBottom w:val="0"/>
      <w:divBdr>
        <w:top w:val="none" w:sz="0" w:space="0" w:color="auto"/>
        <w:left w:val="none" w:sz="0" w:space="0" w:color="auto"/>
        <w:bottom w:val="none" w:sz="0" w:space="0" w:color="auto"/>
        <w:right w:val="none" w:sz="0" w:space="0" w:color="auto"/>
      </w:divBdr>
    </w:div>
    <w:div w:id="1210528376">
      <w:bodyDiv w:val="1"/>
      <w:marLeft w:val="0"/>
      <w:marRight w:val="0"/>
      <w:marTop w:val="0"/>
      <w:marBottom w:val="0"/>
      <w:divBdr>
        <w:top w:val="none" w:sz="0" w:space="0" w:color="auto"/>
        <w:left w:val="none" w:sz="0" w:space="0" w:color="auto"/>
        <w:bottom w:val="none" w:sz="0" w:space="0" w:color="auto"/>
        <w:right w:val="none" w:sz="0" w:space="0" w:color="auto"/>
      </w:divBdr>
    </w:div>
    <w:div w:id="1220481121">
      <w:bodyDiv w:val="1"/>
      <w:marLeft w:val="0"/>
      <w:marRight w:val="0"/>
      <w:marTop w:val="0"/>
      <w:marBottom w:val="0"/>
      <w:divBdr>
        <w:top w:val="none" w:sz="0" w:space="0" w:color="auto"/>
        <w:left w:val="none" w:sz="0" w:space="0" w:color="auto"/>
        <w:bottom w:val="none" w:sz="0" w:space="0" w:color="auto"/>
        <w:right w:val="none" w:sz="0" w:space="0" w:color="auto"/>
      </w:divBdr>
    </w:div>
    <w:div w:id="1220938348">
      <w:bodyDiv w:val="1"/>
      <w:marLeft w:val="0"/>
      <w:marRight w:val="0"/>
      <w:marTop w:val="0"/>
      <w:marBottom w:val="0"/>
      <w:divBdr>
        <w:top w:val="none" w:sz="0" w:space="0" w:color="auto"/>
        <w:left w:val="none" w:sz="0" w:space="0" w:color="auto"/>
        <w:bottom w:val="none" w:sz="0" w:space="0" w:color="auto"/>
        <w:right w:val="none" w:sz="0" w:space="0" w:color="auto"/>
      </w:divBdr>
    </w:div>
    <w:div w:id="1222985786">
      <w:bodyDiv w:val="1"/>
      <w:marLeft w:val="0"/>
      <w:marRight w:val="0"/>
      <w:marTop w:val="0"/>
      <w:marBottom w:val="0"/>
      <w:divBdr>
        <w:top w:val="none" w:sz="0" w:space="0" w:color="auto"/>
        <w:left w:val="none" w:sz="0" w:space="0" w:color="auto"/>
        <w:bottom w:val="none" w:sz="0" w:space="0" w:color="auto"/>
        <w:right w:val="none" w:sz="0" w:space="0" w:color="auto"/>
      </w:divBdr>
    </w:div>
    <w:div w:id="1226068552">
      <w:bodyDiv w:val="1"/>
      <w:marLeft w:val="0"/>
      <w:marRight w:val="0"/>
      <w:marTop w:val="0"/>
      <w:marBottom w:val="0"/>
      <w:divBdr>
        <w:top w:val="none" w:sz="0" w:space="0" w:color="auto"/>
        <w:left w:val="none" w:sz="0" w:space="0" w:color="auto"/>
        <w:bottom w:val="none" w:sz="0" w:space="0" w:color="auto"/>
        <w:right w:val="none" w:sz="0" w:space="0" w:color="auto"/>
      </w:divBdr>
    </w:div>
    <w:div w:id="1227689515">
      <w:bodyDiv w:val="1"/>
      <w:marLeft w:val="0"/>
      <w:marRight w:val="0"/>
      <w:marTop w:val="0"/>
      <w:marBottom w:val="0"/>
      <w:divBdr>
        <w:top w:val="none" w:sz="0" w:space="0" w:color="auto"/>
        <w:left w:val="none" w:sz="0" w:space="0" w:color="auto"/>
        <w:bottom w:val="none" w:sz="0" w:space="0" w:color="auto"/>
        <w:right w:val="none" w:sz="0" w:space="0" w:color="auto"/>
      </w:divBdr>
    </w:div>
    <w:div w:id="1234194600">
      <w:bodyDiv w:val="1"/>
      <w:marLeft w:val="0"/>
      <w:marRight w:val="0"/>
      <w:marTop w:val="0"/>
      <w:marBottom w:val="0"/>
      <w:divBdr>
        <w:top w:val="none" w:sz="0" w:space="0" w:color="auto"/>
        <w:left w:val="none" w:sz="0" w:space="0" w:color="auto"/>
        <w:bottom w:val="none" w:sz="0" w:space="0" w:color="auto"/>
        <w:right w:val="none" w:sz="0" w:space="0" w:color="auto"/>
      </w:divBdr>
    </w:div>
    <w:div w:id="1234967675">
      <w:bodyDiv w:val="1"/>
      <w:marLeft w:val="0"/>
      <w:marRight w:val="0"/>
      <w:marTop w:val="0"/>
      <w:marBottom w:val="0"/>
      <w:divBdr>
        <w:top w:val="none" w:sz="0" w:space="0" w:color="auto"/>
        <w:left w:val="none" w:sz="0" w:space="0" w:color="auto"/>
        <w:bottom w:val="none" w:sz="0" w:space="0" w:color="auto"/>
        <w:right w:val="none" w:sz="0" w:space="0" w:color="auto"/>
      </w:divBdr>
    </w:div>
    <w:div w:id="1235970502">
      <w:bodyDiv w:val="1"/>
      <w:marLeft w:val="0"/>
      <w:marRight w:val="0"/>
      <w:marTop w:val="0"/>
      <w:marBottom w:val="0"/>
      <w:divBdr>
        <w:top w:val="none" w:sz="0" w:space="0" w:color="auto"/>
        <w:left w:val="none" w:sz="0" w:space="0" w:color="auto"/>
        <w:bottom w:val="none" w:sz="0" w:space="0" w:color="auto"/>
        <w:right w:val="none" w:sz="0" w:space="0" w:color="auto"/>
      </w:divBdr>
    </w:div>
    <w:div w:id="1236085297">
      <w:bodyDiv w:val="1"/>
      <w:marLeft w:val="0"/>
      <w:marRight w:val="0"/>
      <w:marTop w:val="0"/>
      <w:marBottom w:val="0"/>
      <w:divBdr>
        <w:top w:val="none" w:sz="0" w:space="0" w:color="auto"/>
        <w:left w:val="none" w:sz="0" w:space="0" w:color="auto"/>
        <w:bottom w:val="none" w:sz="0" w:space="0" w:color="auto"/>
        <w:right w:val="none" w:sz="0" w:space="0" w:color="auto"/>
      </w:divBdr>
    </w:div>
    <w:div w:id="1238981674">
      <w:bodyDiv w:val="1"/>
      <w:marLeft w:val="0"/>
      <w:marRight w:val="0"/>
      <w:marTop w:val="0"/>
      <w:marBottom w:val="0"/>
      <w:divBdr>
        <w:top w:val="none" w:sz="0" w:space="0" w:color="auto"/>
        <w:left w:val="none" w:sz="0" w:space="0" w:color="auto"/>
        <w:bottom w:val="none" w:sz="0" w:space="0" w:color="auto"/>
        <w:right w:val="none" w:sz="0" w:space="0" w:color="auto"/>
      </w:divBdr>
    </w:div>
    <w:div w:id="1239094026">
      <w:bodyDiv w:val="1"/>
      <w:marLeft w:val="0"/>
      <w:marRight w:val="0"/>
      <w:marTop w:val="0"/>
      <w:marBottom w:val="0"/>
      <w:divBdr>
        <w:top w:val="none" w:sz="0" w:space="0" w:color="auto"/>
        <w:left w:val="none" w:sz="0" w:space="0" w:color="auto"/>
        <w:bottom w:val="none" w:sz="0" w:space="0" w:color="auto"/>
        <w:right w:val="none" w:sz="0" w:space="0" w:color="auto"/>
      </w:divBdr>
    </w:div>
    <w:div w:id="1240016900">
      <w:bodyDiv w:val="1"/>
      <w:marLeft w:val="0"/>
      <w:marRight w:val="0"/>
      <w:marTop w:val="0"/>
      <w:marBottom w:val="0"/>
      <w:divBdr>
        <w:top w:val="none" w:sz="0" w:space="0" w:color="auto"/>
        <w:left w:val="none" w:sz="0" w:space="0" w:color="auto"/>
        <w:bottom w:val="none" w:sz="0" w:space="0" w:color="auto"/>
        <w:right w:val="none" w:sz="0" w:space="0" w:color="auto"/>
      </w:divBdr>
    </w:div>
    <w:div w:id="1242450084">
      <w:bodyDiv w:val="1"/>
      <w:marLeft w:val="0"/>
      <w:marRight w:val="0"/>
      <w:marTop w:val="0"/>
      <w:marBottom w:val="0"/>
      <w:divBdr>
        <w:top w:val="none" w:sz="0" w:space="0" w:color="auto"/>
        <w:left w:val="none" w:sz="0" w:space="0" w:color="auto"/>
        <w:bottom w:val="none" w:sz="0" w:space="0" w:color="auto"/>
        <w:right w:val="none" w:sz="0" w:space="0" w:color="auto"/>
      </w:divBdr>
    </w:div>
    <w:div w:id="1242984371">
      <w:bodyDiv w:val="1"/>
      <w:marLeft w:val="0"/>
      <w:marRight w:val="0"/>
      <w:marTop w:val="0"/>
      <w:marBottom w:val="0"/>
      <w:divBdr>
        <w:top w:val="none" w:sz="0" w:space="0" w:color="auto"/>
        <w:left w:val="none" w:sz="0" w:space="0" w:color="auto"/>
        <w:bottom w:val="none" w:sz="0" w:space="0" w:color="auto"/>
        <w:right w:val="none" w:sz="0" w:space="0" w:color="auto"/>
      </w:divBdr>
    </w:div>
    <w:div w:id="1249777516">
      <w:bodyDiv w:val="1"/>
      <w:marLeft w:val="0"/>
      <w:marRight w:val="0"/>
      <w:marTop w:val="0"/>
      <w:marBottom w:val="0"/>
      <w:divBdr>
        <w:top w:val="none" w:sz="0" w:space="0" w:color="auto"/>
        <w:left w:val="none" w:sz="0" w:space="0" w:color="auto"/>
        <w:bottom w:val="none" w:sz="0" w:space="0" w:color="auto"/>
        <w:right w:val="none" w:sz="0" w:space="0" w:color="auto"/>
      </w:divBdr>
    </w:div>
    <w:div w:id="1252079764">
      <w:bodyDiv w:val="1"/>
      <w:marLeft w:val="0"/>
      <w:marRight w:val="0"/>
      <w:marTop w:val="0"/>
      <w:marBottom w:val="0"/>
      <w:divBdr>
        <w:top w:val="none" w:sz="0" w:space="0" w:color="auto"/>
        <w:left w:val="none" w:sz="0" w:space="0" w:color="auto"/>
        <w:bottom w:val="none" w:sz="0" w:space="0" w:color="auto"/>
        <w:right w:val="none" w:sz="0" w:space="0" w:color="auto"/>
      </w:divBdr>
    </w:div>
    <w:div w:id="1252394677">
      <w:bodyDiv w:val="1"/>
      <w:marLeft w:val="0"/>
      <w:marRight w:val="0"/>
      <w:marTop w:val="0"/>
      <w:marBottom w:val="0"/>
      <w:divBdr>
        <w:top w:val="none" w:sz="0" w:space="0" w:color="auto"/>
        <w:left w:val="none" w:sz="0" w:space="0" w:color="auto"/>
        <w:bottom w:val="none" w:sz="0" w:space="0" w:color="auto"/>
        <w:right w:val="none" w:sz="0" w:space="0" w:color="auto"/>
      </w:divBdr>
    </w:div>
    <w:div w:id="1252739570">
      <w:bodyDiv w:val="1"/>
      <w:marLeft w:val="0"/>
      <w:marRight w:val="0"/>
      <w:marTop w:val="0"/>
      <w:marBottom w:val="0"/>
      <w:divBdr>
        <w:top w:val="none" w:sz="0" w:space="0" w:color="auto"/>
        <w:left w:val="none" w:sz="0" w:space="0" w:color="auto"/>
        <w:bottom w:val="none" w:sz="0" w:space="0" w:color="auto"/>
        <w:right w:val="none" w:sz="0" w:space="0" w:color="auto"/>
      </w:divBdr>
    </w:div>
    <w:div w:id="1254128467">
      <w:bodyDiv w:val="1"/>
      <w:marLeft w:val="0"/>
      <w:marRight w:val="0"/>
      <w:marTop w:val="0"/>
      <w:marBottom w:val="0"/>
      <w:divBdr>
        <w:top w:val="none" w:sz="0" w:space="0" w:color="auto"/>
        <w:left w:val="none" w:sz="0" w:space="0" w:color="auto"/>
        <w:bottom w:val="none" w:sz="0" w:space="0" w:color="auto"/>
        <w:right w:val="none" w:sz="0" w:space="0" w:color="auto"/>
      </w:divBdr>
    </w:div>
    <w:div w:id="1257247365">
      <w:bodyDiv w:val="1"/>
      <w:marLeft w:val="0"/>
      <w:marRight w:val="0"/>
      <w:marTop w:val="0"/>
      <w:marBottom w:val="0"/>
      <w:divBdr>
        <w:top w:val="none" w:sz="0" w:space="0" w:color="auto"/>
        <w:left w:val="none" w:sz="0" w:space="0" w:color="auto"/>
        <w:bottom w:val="none" w:sz="0" w:space="0" w:color="auto"/>
        <w:right w:val="none" w:sz="0" w:space="0" w:color="auto"/>
      </w:divBdr>
    </w:div>
    <w:div w:id="1273055020">
      <w:bodyDiv w:val="1"/>
      <w:marLeft w:val="0"/>
      <w:marRight w:val="0"/>
      <w:marTop w:val="0"/>
      <w:marBottom w:val="0"/>
      <w:divBdr>
        <w:top w:val="none" w:sz="0" w:space="0" w:color="auto"/>
        <w:left w:val="none" w:sz="0" w:space="0" w:color="auto"/>
        <w:bottom w:val="none" w:sz="0" w:space="0" w:color="auto"/>
        <w:right w:val="none" w:sz="0" w:space="0" w:color="auto"/>
      </w:divBdr>
    </w:div>
    <w:div w:id="1279533016">
      <w:bodyDiv w:val="1"/>
      <w:marLeft w:val="0"/>
      <w:marRight w:val="0"/>
      <w:marTop w:val="0"/>
      <w:marBottom w:val="0"/>
      <w:divBdr>
        <w:top w:val="none" w:sz="0" w:space="0" w:color="auto"/>
        <w:left w:val="none" w:sz="0" w:space="0" w:color="auto"/>
        <w:bottom w:val="none" w:sz="0" w:space="0" w:color="auto"/>
        <w:right w:val="none" w:sz="0" w:space="0" w:color="auto"/>
      </w:divBdr>
    </w:div>
    <w:div w:id="1281835584">
      <w:bodyDiv w:val="1"/>
      <w:marLeft w:val="0"/>
      <w:marRight w:val="0"/>
      <w:marTop w:val="0"/>
      <w:marBottom w:val="0"/>
      <w:divBdr>
        <w:top w:val="none" w:sz="0" w:space="0" w:color="auto"/>
        <w:left w:val="none" w:sz="0" w:space="0" w:color="auto"/>
        <w:bottom w:val="none" w:sz="0" w:space="0" w:color="auto"/>
        <w:right w:val="none" w:sz="0" w:space="0" w:color="auto"/>
      </w:divBdr>
    </w:div>
    <w:div w:id="1283194973">
      <w:bodyDiv w:val="1"/>
      <w:marLeft w:val="0"/>
      <w:marRight w:val="0"/>
      <w:marTop w:val="0"/>
      <w:marBottom w:val="0"/>
      <w:divBdr>
        <w:top w:val="none" w:sz="0" w:space="0" w:color="auto"/>
        <w:left w:val="none" w:sz="0" w:space="0" w:color="auto"/>
        <w:bottom w:val="none" w:sz="0" w:space="0" w:color="auto"/>
        <w:right w:val="none" w:sz="0" w:space="0" w:color="auto"/>
      </w:divBdr>
    </w:div>
    <w:div w:id="1290211803">
      <w:bodyDiv w:val="1"/>
      <w:marLeft w:val="0"/>
      <w:marRight w:val="0"/>
      <w:marTop w:val="0"/>
      <w:marBottom w:val="0"/>
      <w:divBdr>
        <w:top w:val="none" w:sz="0" w:space="0" w:color="auto"/>
        <w:left w:val="none" w:sz="0" w:space="0" w:color="auto"/>
        <w:bottom w:val="none" w:sz="0" w:space="0" w:color="auto"/>
        <w:right w:val="none" w:sz="0" w:space="0" w:color="auto"/>
      </w:divBdr>
    </w:div>
    <w:div w:id="1293752795">
      <w:bodyDiv w:val="1"/>
      <w:marLeft w:val="0"/>
      <w:marRight w:val="0"/>
      <w:marTop w:val="0"/>
      <w:marBottom w:val="0"/>
      <w:divBdr>
        <w:top w:val="none" w:sz="0" w:space="0" w:color="auto"/>
        <w:left w:val="none" w:sz="0" w:space="0" w:color="auto"/>
        <w:bottom w:val="none" w:sz="0" w:space="0" w:color="auto"/>
        <w:right w:val="none" w:sz="0" w:space="0" w:color="auto"/>
      </w:divBdr>
    </w:div>
    <w:div w:id="1297754964">
      <w:bodyDiv w:val="1"/>
      <w:marLeft w:val="0"/>
      <w:marRight w:val="0"/>
      <w:marTop w:val="0"/>
      <w:marBottom w:val="0"/>
      <w:divBdr>
        <w:top w:val="none" w:sz="0" w:space="0" w:color="auto"/>
        <w:left w:val="none" w:sz="0" w:space="0" w:color="auto"/>
        <w:bottom w:val="none" w:sz="0" w:space="0" w:color="auto"/>
        <w:right w:val="none" w:sz="0" w:space="0" w:color="auto"/>
      </w:divBdr>
    </w:div>
    <w:div w:id="1298606803">
      <w:bodyDiv w:val="1"/>
      <w:marLeft w:val="0"/>
      <w:marRight w:val="0"/>
      <w:marTop w:val="0"/>
      <w:marBottom w:val="0"/>
      <w:divBdr>
        <w:top w:val="none" w:sz="0" w:space="0" w:color="auto"/>
        <w:left w:val="none" w:sz="0" w:space="0" w:color="auto"/>
        <w:bottom w:val="none" w:sz="0" w:space="0" w:color="auto"/>
        <w:right w:val="none" w:sz="0" w:space="0" w:color="auto"/>
      </w:divBdr>
    </w:div>
    <w:div w:id="1300108819">
      <w:bodyDiv w:val="1"/>
      <w:marLeft w:val="0"/>
      <w:marRight w:val="0"/>
      <w:marTop w:val="0"/>
      <w:marBottom w:val="0"/>
      <w:divBdr>
        <w:top w:val="none" w:sz="0" w:space="0" w:color="auto"/>
        <w:left w:val="none" w:sz="0" w:space="0" w:color="auto"/>
        <w:bottom w:val="none" w:sz="0" w:space="0" w:color="auto"/>
        <w:right w:val="none" w:sz="0" w:space="0" w:color="auto"/>
      </w:divBdr>
    </w:div>
    <w:div w:id="1300958863">
      <w:bodyDiv w:val="1"/>
      <w:marLeft w:val="0"/>
      <w:marRight w:val="0"/>
      <w:marTop w:val="0"/>
      <w:marBottom w:val="0"/>
      <w:divBdr>
        <w:top w:val="none" w:sz="0" w:space="0" w:color="auto"/>
        <w:left w:val="none" w:sz="0" w:space="0" w:color="auto"/>
        <w:bottom w:val="none" w:sz="0" w:space="0" w:color="auto"/>
        <w:right w:val="none" w:sz="0" w:space="0" w:color="auto"/>
      </w:divBdr>
    </w:div>
    <w:div w:id="1301231335">
      <w:bodyDiv w:val="1"/>
      <w:marLeft w:val="0"/>
      <w:marRight w:val="0"/>
      <w:marTop w:val="0"/>
      <w:marBottom w:val="0"/>
      <w:divBdr>
        <w:top w:val="none" w:sz="0" w:space="0" w:color="auto"/>
        <w:left w:val="none" w:sz="0" w:space="0" w:color="auto"/>
        <w:bottom w:val="none" w:sz="0" w:space="0" w:color="auto"/>
        <w:right w:val="none" w:sz="0" w:space="0" w:color="auto"/>
      </w:divBdr>
    </w:div>
    <w:div w:id="1306279967">
      <w:bodyDiv w:val="1"/>
      <w:marLeft w:val="0"/>
      <w:marRight w:val="0"/>
      <w:marTop w:val="0"/>
      <w:marBottom w:val="0"/>
      <w:divBdr>
        <w:top w:val="none" w:sz="0" w:space="0" w:color="auto"/>
        <w:left w:val="none" w:sz="0" w:space="0" w:color="auto"/>
        <w:bottom w:val="none" w:sz="0" w:space="0" w:color="auto"/>
        <w:right w:val="none" w:sz="0" w:space="0" w:color="auto"/>
      </w:divBdr>
    </w:div>
    <w:div w:id="1310090447">
      <w:bodyDiv w:val="1"/>
      <w:marLeft w:val="0"/>
      <w:marRight w:val="0"/>
      <w:marTop w:val="0"/>
      <w:marBottom w:val="0"/>
      <w:divBdr>
        <w:top w:val="none" w:sz="0" w:space="0" w:color="auto"/>
        <w:left w:val="none" w:sz="0" w:space="0" w:color="auto"/>
        <w:bottom w:val="none" w:sz="0" w:space="0" w:color="auto"/>
        <w:right w:val="none" w:sz="0" w:space="0" w:color="auto"/>
      </w:divBdr>
    </w:div>
    <w:div w:id="1310095331">
      <w:bodyDiv w:val="1"/>
      <w:marLeft w:val="0"/>
      <w:marRight w:val="0"/>
      <w:marTop w:val="0"/>
      <w:marBottom w:val="0"/>
      <w:divBdr>
        <w:top w:val="none" w:sz="0" w:space="0" w:color="auto"/>
        <w:left w:val="none" w:sz="0" w:space="0" w:color="auto"/>
        <w:bottom w:val="none" w:sz="0" w:space="0" w:color="auto"/>
        <w:right w:val="none" w:sz="0" w:space="0" w:color="auto"/>
      </w:divBdr>
    </w:div>
    <w:div w:id="1311986458">
      <w:bodyDiv w:val="1"/>
      <w:marLeft w:val="0"/>
      <w:marRight w:val="0"/>
      <w:marTop w:val="0"/>
      <w:marBottom w:val="0"/>
      <w:divBdr>
        <w:top w:val="none" w:sz="0" w:space="0" w:color="auto"/>
        <w:left w:val="none" w:sz="0" w:space="0" w:color="auto"/>
        <w:bottom w:val="none" w:sz="0" w:space="0" w:color="auto"/>
        <w:right w:val="none" w:sz="0" w:space="0" w:color="auto"/>
      </w:divBdr>
    </w:div>
    <w:div w:id="1315916149">
      <w:bodyDiv w:val="1"/>
      <w:marLeft w:val="0"/>
      <w:marRight w:val="0"/>
      <w:marTop w:val="0"/>
      <w:marBottom w:val="0"/>
      <w:divBdr>
        <w:top w:val="none" w:sz="0" w:space="0" w:color="auto"/>
        <w:left w:val="none" w:sz="0" w:space="0" w:color="auto"/>
        <w:bottom w:val="none" w:sz="0" w:space="0" w:color="auto"/>
        <w:right w:val="none" w:sz="0" w:space="0" w:color="auto"/>
      </w:divBdr>
    </w:div>
    <w:div w:id="1317297334">
      <w:bodyDiv w:val="1"/>
      <w:marLeft w:val="0"/>
      <w:marRight w:val="0"/>
      <w:marTop w:val="0"/>
      <w:marBottom w:val="0"/>
      <w:divBdr>
        <w:top w:val="none" w:sz="0" w:space="0" w:color="auto"/>
        <w:left w:val="none" w:sz="0" w:space="0" w:color="auto"/>
        <w:bottom w:val="none" w:sz="0" w:space="0" w:color="auto"/>
        <w:right w:val="none" w:sz="0" w:space="0" w:color="auto"/>
      </w:divBdr>
    </w:div>
    <w:div w:id="1319531903">
      <w:bodyDiv w:val="1"/>
      <w:marLeft w:val="0"/>
      <w:marRight w:val="0"/>
      <w:marTop w:val="0"/>
      <w:marBottom w:val="0"/>
      <w:divBdr>
        <w:top w:val="none" w:sz="0" w:space="0" w:color="auto"/>
        <w:left w:val="none" w:sz="0" w:space="0" w:color="auto"/>
        <w:bottom w:val="none" w:sz="0" w:space="0" w:color="auto"/>
        <w:right w:val="none" w:sz="0" w:space="0" w:color="auto"/>
      </w:divBdr>
    </w:div>
    <w:div w:id="1321500032">
      <w:bodyDiv w:val="1"/>
      <w:marLeft w:val="0"/>
      <w:marRight w:val="0"/>
      <w:marTop w:val="0"/>
      <w:marBottom w:val="0"/>
      <w:divBdr>
        <w:top w:val="none" w:sz="0" w:space="0" w:color="auto"/>
        <w:left w:val="none" w:sz="0" w:space="0" w:color="auto"/>
        <w:bottom w:val="none" w:sz="0" w:space="0" w:color="auto"/>
        <w:right w:val="none" w:sz="0" w:space="0" w:color="auto"/>
      </w:divBdr>
    </w:div>
    <w:div w:id="1325626396">
      <w:bodyDiv w:val="1"/>
      <w:marLeft w:val="0"/>
      <w:marRight w:val="0"/>
      <w:marTop w:val="0"/>
      <w:marBottom w:val="0"/>
      <w:divBdr>
        <w:top w:val="none" w:sz="0" w:space="0" w:color="auto"/>
        <w:left w:val="none" w:sz="0" w:space="0" w:color="auto"/>
        <w:bottom w:val="none" w:sz="0" w:space="0" w:color="auto"/>
        <w:right w:val="none" w:sz="0" w:space="0" w:color="auto"/>
      </w:divBdr>
    </w:div>
    <w:div w:id="1327243566">
      <w:bodyDiv w:val="1"/>
      <w:marLeft w:val="0"/>
      <w:marRight w:val="0"/>
      <w:marTop w:val="0"/>
      <w:marBottom w:val="0"/>
      <w:divBdr>
        <w:top w:val="none" w:sz="0" w:space="0" w:color="auto"/>
        <w:left w:val="none" w:sz="0" w:space="0" w:color="auto"/>
        <w:bottom w:val="none" w:sz="0" w:space="0" w:color="auto"/>
        <w:right w:val="none" w:sz="0" w:space="0" w:color="auto"/>
      </w:divBdr>
    </w:div>
    <w:div w:id="1329944406">
      <w:bodyDiv w:val="1"/>
      <w:marLeft w:val="0"/>
      <w:marRight w:val="0"/>
      <w:marTop w:val="0"/>
      <w:marBottom w:val="0"/>
      <w:divBdr>
        <w:top w:val="none" w:sz="0" w:space="0" w:color="auto"/>
        <w:left w:val="none" w:sz="0" w:space="0" w:color="auto"/>
        <w:bottom w:val="none" w:sz="0" w:space="0" w:color="auto"/>
        <w:right w:val="none" w:sz="0" w:space="0" w:color="auto"/>
      </w:divBdr>
    </w:div>
    <w:div w:id="1332610148">
      <w:bodyDiv w:val="1"/>
      <w:marLeft w:val="0"/>
      <w:marRight w:val="0"/>
      <w:marTop w:val="0"/>
      <w:marBottom w:val="0"/>
      <w:divBdr>
        <w:top w:val="none" w:sz="0" w:space="0" w:color="auto"/>
        <w:left w:val="none" w:sz="0" w:space="0" w:color="auto"/>
        <w:bottom w:val="none" w:sz="0" w:space="0" w:color="auto"/>
        <w:right w:val="none" w:sz="0" w:space="0" w:color="auto"/>
      </w:divBdr>
    </w:div>
    <w:div w:id="1337465008">
      <w:bodyDiv w:val="1"/>
      <w:marLeft w:val="0"/>
      <w:marRight w:val="0"/>
      <w:marTop w:val="0"/>
      <w:marBottom w:val="0"/>
      <w:divBdr>
        <w:top w:val="none" w:sz="0" w:space="0" w:color="auto"/>
        <w:left w:val="none" w:sz="0" w:space="0" w:color="auto"/>
        <w:bottom w:val="none" w:sz="0" w:space="0" w:color="auto"/>
        <w:right w:val="none" w:sz="0" w:space="0" w:color="auto"/>
      </w:divBdr>
    </w:div>
    <w:div w:id="1337881054">
      <w:bodyDiv w:val="1"/>
      <w:marLeft w:val="0"/>
      <w:marRight w:val="0"/>
      <w:marTop w:val="0"/>
      <w:marBottom w:val="0"/>
      <w:divBdr>
        <w:top w:val="none" w:sz="0" w:space="0" w:color="auto"/>
        <w:left w:val="none" w:sz="0" w:space="0" w:color="auto"/>
        <w:bottom w:val="none" w:sz="0" w:space="0" w:color="auto"/>
        <w:right w:val="none" w:sz="0" w:space="0" w:color="auto"/>
      </w:divBdr>
    </w:div>
    <w:div w:id="1344552121">
      <w:bodyDiv w:val="1"/>
      <w:marLeft w:val="0"/>
      <w:marRight w:val="0"/>
      <w:marTop w:val="0"/>
      <w:marBottom w:val="0"/>
      <w:divBdr>
        <w:top w:val="none" w:sz="0" w:space="0" w:color="auto"/>
        <w:left w:val="none" w:sz="0" w:space="0" w:color="auto"/>
        <w:bottom w:val="none" w:sz="0" w:space="0" w:color="auto"/>
        <w:right w:val="none" w:sz="0" w:space="0" w:color="auto"/>
      </w:divBdr>
    </w:div>
    <w:div w:id="1349212779">
      <w:bodyDiv w:val="1"/>
      <w:marLeft w:val="0"/>
      <w:marRight w:val="0"/>
      <w:marTop w:val="0"/>
      <w:marBottom w:val="0"/>
      <w:divBdr>
        <w:top w:val="none" w:sz="0" w:space="0" w:color="auto"/>
        <w:left w:val="none" w:sz="0" w:space="0" w:color="auto"/>
        <w:bottom w:val="none" w:sz="0" w:space="0" w:color="auto"/>
        <w:right w:val="none" w:sz="0" w:space="0" w:color="auto"/>
      </w:divBdr>
    </w:div>
    <w:div w:id="1350446273">
      <w:bodyDiv w:val="1"/>
      <w:marLeft w:val="0"/>
      <w:marRight w:val="0"/>
      <w:marTop w:val="0"/>
      <w:marBottom w:val="0"/>
      <w:divBdr>
        <w:top w:val="none" w:sz="0" w:space="0" w:color="auto"/>
        <w:left w:val="none" w:sz="0" w:space="0" w:color="auto"/>
        <w:bottom w:val="none" w:sz="0" w:space="0" w:color="auto"/>
        <w:right w:val="none" w:sz="0" w:space="0" w:color="auto"/>
      </w:divBdr>
    </w:div>
    <w:div w:id="1351033620">
      <w:bodyDiv w:val="1"/>
      <w:marLeft w:val="0"/>
      <w:marRight w:val="0"/>
      <w:marTop w:val="0"/>
      <w:marBottom w:val="0"/>
      <w:divBdr>
        <w:top w:val="none" w:sz="0" w:space="0" w:color="auto"/>
        <w:left w:val="none" w:sz="0" w:space="0" w:color="auto"/>
        <w:bottom w:val="none" w:sz="0" w:space="0" w:color="auto"/>
        <w:right w:val="none" w:sz="0" w:space="0" w:color="auto"/>
      </w:divBdr>
    </w:div>
    <w:div w:id="1351570546">
      <w:bodyDiv w:val="1"/>
      <w:marLeft w:val="0"/>
      <w:marRight w:val="0"/>
      <w:marTop w:val="0"/>
      <w:marBottom w:val="0"/>
      <w:divBdr>
        <w:top w:val="none" w:sz="0" w:space="0" w:color="auto"/>
        <w:left w:val="none" w:sz="0" w:space="0" w:color="auto"/>
        <w:bottom w:val="none" w:sz="0" w:space="0" w:color="auto"/>
        <w:right w:val="none" w:sz="0" w:space="0" w:color="auto"/>
      </w:divBdr>
    </w:div>
    <w:div w:id="1355427078">
      <w:bodyDiv w:val="1"/>
      <w:marLeft w:val="0"/>
      <w:marRight w:val="0"/>
      <w:marTop w:val="0"/>
      <w:marBottom w:val="0"/>
      <w:divBdr>
        <w:top w:val="none" w:sz="0" w:space="0" w:color="auto"/>
        <w:left w:val="none" w:sz="0" w:space="0" w:color="auto"/>
        <w:bottom w:val="none" w:sz="0" w:space="0" w:color="auto"/>
        <w:right w:val="none" w:sz="0" w:space="0" w:color="auto"/>
      </w:divBdr>
    </w:div>
    <w:div w:id="1355494290">
      <w:bodyDiv w:val="1"/>
      <w:marLeft w:val="0"/>
      <w:marRight w:val="0"/>
      <w:marTop w:val="0"/>
      <w:marBottom w:val="0"/>
      <w:divBdr>
        <w:top w:val="none" w:sz="0" w:space="0" w:color="auto"/>
        <w:left w:val="none" w:sz="0" w:space="0" w:color="auto"/>
        <w:bottom w:val="none" w:sz="0" w:space="0" w:color="auto"/>
        <w:right w:val="none" w:sz="0" w:space="0" w:color="auto"/>
      </w:divBdr>
    </w:div>
    <w:div w:id="1355644589">
      <w:bodyDiv w:val="1"/>
      <w:marLeft w:val="0"/>
      <w:marRight w:val="0"/>
      <w:marTop w:val="0"/>
      <w:marBottom w:val="0"/>
      <w:divBdr>
        <w:top w:val="none" w:sz="0" w:space="0" w:color="auto"/>
        <w:left w:val="none" w:sz="0" w:space="0" w:color="auto"/>
        <w:bottom w:val="none" w:sz="0" w:space="0" w:color="auto"/>
        <w:right w:val="none" w:sz="0" w:space="0" w:color="auto"/>
      </w:divBdr>
    </w:div>
    <w:div w:id="1358388398">
      <w:bodyDiv w:val="1"/>
      <w:marLeft w:val="0"/>
      <w:marRight w:val="0"/>
      <w:marTop w:val="0"/>
      <w:marBottom w:val="0"/>
      <w:divBdr>
        <w:top w:val="none" w:sz="0" w:space="0" w:color="auto"/>
        <w:left w:val="none" w:sz="0" w:space="0" w:color="auto"/>
        <w:bottom w:val="none" w:sz="0" w:space="0" w:color="auto"/>
        <w:right w:val="none" w:sz="0" w:space="0" w:color="auto"/>
      </w:divBdr>
    </w:div>
    <w:div w:id="1363750862">
      <w:bodyDiv w:val="1"/>
      <w:marLeft w:val="0"/>
      <w:marRight w:val="0"/>
      <w:marTop w:val="0"/>
      <w:marBottom w:val="0"/>
      <w:divBdr>
        <w:top w:val="none" w:sz="0" w:space="0" w:color="auto"/>
        <w:left w:val="none" w:sz="0" w:space="0" w:color="auto"/>
        <w:bottom w:val="none" w:sz="0" w:space="0" w:color="auto"/>
        <w:right w:val="none" w:sz="0" w:space="0" w:color="auto"/>
      </w:divBdr>
    </w:div>
    <w:div w:id="1364475393">
      <w:bodyDiv w:val="1"/>
      <w:marLeft w:val="0"/>
      <w:marRight w:val="0"/>
      <w:marTop w:val="0"/>
      <w:marBottom w:val="0"/>
      <w:divBdr>
        <w:top w:val="none" w:sz="0" w:space="0" w:color="auto"/>
        <w:left w:val="none" w:sz="0" w:space="0" w:color="auto"/>
        <w:bottom w:val="none" w:sz="0" w:space="0" w:color="auto"/>
        <w:right w:val="none" w:sz="0" w:space="0" w:color="auto"/>
      </w:divBdr>
    </w:div>
    <w:div w:id="1365787859">
      <w:bodyDiv w:val="1"/>
      <w:marLeft w:val="0"/>
      <w:marRight w:val="0"/>
      <w:marTop w:val="0"/>
      <w:marBottom w:val="0"/>
      <w:divBdr>
        <w:top w:val="none" w:sz="0" w:space="0" w:color="auto"/>
        <w:left w:val="none" w:sz="0" w:space="0" w:color="auto"/>
        <w:bottom w:val="none" w:sz="0" w:space="0" w:color="auto"/>
        <w:right w:val="none" w:sz="0" w:space="0" w:color="auto"/>
      </w:divBdr>
    </w:div>
    <w:div w:id="1365909169">
      <w:bodyDiv w:val="1"/>
      <w:marLeft w:val="0"/>
      <w:marRight w:val="0"/>
      <w:marTop w:val="0"/>
      <w:marBottom w:val="0"/>
      <w:divBdr>
        <w:top w:val="none" w:sz="0" w:space="0" w:color="auto"/>
        <w:left w:val="none" w:sz="0" w:space="0" w:color="auto"/>
        <w:bottom w:val="none" w:sz="0" w:space="0" w:color="auto"/>
        <w:right w:val="none" w:sz="0" w:space="0" w:color="auto"/>
      </w:divBdr>
    </w:div>
    <w:div w:id="1368021793">
      <w:bodyDiv w:val="1"/>
      <w:marLeft w:val="0"/>
      <w:marRight w:val="0"/>
      <w:marTop w:val="0"/>
      <w:marBottom w:val="0"/>
      <w:divBdr>
        <w:top w:val="none" w:sz="0" w:space="0" w:color="auto"/>
        <w:left w:val="none" w:sz="0" w:space="0" w:color="auto"/>
        <w:bottom w:val="none" w:sz="0" w:space="0" w:color="auto"/>
        <w:right w:val="none" w:sz="0" w:space="0" w:color="auto"/>
      </w:divBdr>
    </w:div>
    <w:div w:id="1368523954">
      <w:bodyDiv w:val="1"/>
      <w:marLeft w:val="0"/>
      <w:marRight w:val="0"/>
      <w:marTop w:val="0"/>
      <w:marBottom w:val="0"/>
      <w:divBdr>
        <w:top w:val="none" w:sz="0" w:space="0" w:color="auto"/>
        <w:left w:val="none" w:sz="0" w:space="0" w:color="auto"/>
        <w:bottom w:val="none" w:sz="0" w:space="0" w:color="auto"/>
        <w:right w:val="none" w:sz="0" w:space="0" w:color="auto"/>
      </w:divBdr>
    </w:div>
    <w:div w:id="1370374181">
      <w:bodyDiv w:val="1"/>
      <w:marLeft w:val="0"/>
      <w:marRight w:val="0"/>
      <w:marTop w:val="0"/>
      <w:marBottom w:val="0"/>
      <w:divBdr>
        <w:top w:val="none" w:sz="0" w:space="0" w:color="auto"/>
        <w:left w:val="none" w:sz="0" w:space="0" w:color="auto"/>
        <w:bottom w:val="none" w:sz="0" w:space="0" w:color="auto"/>
        <w:right w:val="none" w:sz="0" w:space="0" w:color="auto"/>
      </w:divBdr>
    </w:div>
    <w:div w:id="1371227088">
      <w:bodyDiv w:val="1"/>
      <w:marLeft w:val="0"/>
      <w:marRight w:val="0"/>
      <w:marTop w:val="0"/>
      <w:marBottom w:val="0"/>
      <w:divBdr>
        <w:top w:val="none" w:sz="0" w:space="0" w:color="auto"/>
        <w:left w:val="none" w:sz="0" w:space="0" w:color="auto"/>
        <w:bottom w:val="none" w:sz="0" w:space="0" w:color="auto"/>
        <w:right w:val="none" w:sz="0" w:space="0" w:color="auto"/>
      </w:divBdr>
    </w:div>
    <w:div w:id="1372923932">
      <w:bodyDiv w:val="1"/>
      <w:marLeft w:val="0"/>
      <w:marRight w:val="0"/>
      <w:marTop w:val="0"/>
      <w:marBottom w:val="0"/>
      <w:divBdr>
        <w:top w:val="none" w:sz="0" w:space="0" w:color="auto"/>
        <w:left w:val="none" w:sz="0" w:space="0" w:color="auto"/>
        <w:bottom w:val="none" w:sz="0" w:space="0" w:color="auto"/>
        <w:right w:val="none" w:sz="0" w:space="0" w:color="auto"/>
      </w:divBdr>
    </w:div>
    <w:div w:id="1376615325">
      <w:bodyDiv w:val="1"/>
      <w:marLeft w:val="0"/>
      <w:marRight w:val="0"/>
      <w:marTop w:val="0"/>
      <w:marBottom w:val="0"/>
      <w:divBdr>
        <w:top w:val="none" w:sz="0" w:space="0" w:color="auto"/>
        <w:left w:val="none" w:sz="0" w:space="0" w:color="auto"/>
        <w:bottom w:val="none" w:sz="0" w:space="0" w:color="auto"/>
        <w:right w:val="none" w:sz="0" w:space="0" w:color="auto"/>
      </w:divBdr>
    </w:div>
    <w:div w:id="1379233541">
      <w:bodyDiv w:val="1"/>
      <w:marLeft w:val="0"/>
      <w:marRight w:val="0"/>
      <w:marTop w:val="0"/>
      <w:marBottom w:val="0"/>
      <w:divBdr>
        <w:top w:val="none" w:sz="0" w:space="0" w:color="auto"/>
        <w:left w:val="none" w:sz="0" w:space="0" w:color="auto"/>
        <w:bottom w:val="none" w:sz="0" w:space="0" w:color="auto"/>
        <w:right w:val="none" w:sz="0" w:space="0" w:color="auto"/>
      </w:divBdr>
    </w:div>
    <w:div w:id="1380595149">
      <w:bodyDiv w:val="1"/>
      <w:marLeft w:val="0"/>
      <w:marRight w:val="0"/>
      <w:marTop w:val="0"/>
      <w:marBottom w:val="0"/>
      <w:divBdr>
        <w:top w:val="none" w:sz="0" w:space="0" w:color="auto"/>
        <w:left w:val="none" w:sz="0" w:space="0" w:color="auto"/>
        <w:bottom w:val="none" w:sz="0" w:space="0" w:color="auto"/>
        <w:right w:val="none" w:sz="0" w:space="0" w:color="auto"/>
      </w:divBdr>
    </w:div>
    <w:div w:id="1382754394">
      <w:bodyDiv w:val="1"/>
      <w:marLeft w:val="0"/>
      <w:marRight w:val="0"/>
      <w:marTop w:val="0"/>
      <w:marBottom w:val="0"/>
      <w:divBdr>
        <w:top w:val="none" w:sz="0" w:space="0" w:color="auto"/>
        <w:left w:val="none" w:sz="0" w:space="0" w:color="auto"/>
        <w:bottom w:val="none" w:sz="0" w:space="0" w:color="auto"/>
        <w:right w:val="none" w:sz="0" w:space="0" w:color="auto"/>
      </w:divBdr>
    </w:div>
    <w:div w:id="1384215402">
      <w:bodyDiv w:val="1"/>
      <w:marLeft w:val="0"/>
      <w:marRight w:val="0"/>
      <w:marTop w:val="0"/>
      <w:marBottom w:val="0"/>
      <w:divBdr>
        <w:top w:val="none" w:sz="0" w:space="0" w:color="auto"/>
        <w:left w:val="none" w:sz="0" w:space="0" w:color="auto"/>
        <w:bottom w:val="none" w:sz="0" w:space="0" w:color="auto"/>
        <w:right w:val="none" w:sz="0" w:space="0" w:color="auto"/>
      </w:divBdr>
    </w:div>
    <w:div w:id="1387416021">
      <w:bodyDiv w:val="1"/>
      <w:marLeft w:val="0"/>
      <w:marRight w:val="0"/>
      <w:marTop w:val="0"/>
      <w:marBottom w:val="0"/>
      <w:divBdr>
        <w:top w:val="none" w:sz="0" w:space="0" w:color="auto"/>
        <w:left w:val="none" w:sz="0" w:space="0" w:color="auto"/>
        <w:bottom w:val="none" w:sz="0" w:space="0" w:color="auto"/>
        <w:right w:val="none" w:sz="0" w:space="0" w:color="auto"/>
      </w:divBdr>
    </w:div>
    <w:div w:id="1388643363">
      <w:bodyDiv w:val="1"/>
      <w:marLeft w:val="0"/>
      <w:marRight w:val="0"/>
      <w:marTop w:val="0"/>
      <w:marBottom w:val="0"/>
      <w:divBdr>
        <w:top w:val="none" w:sz="0" w:space="0" w:color="auto"/>
        <w:left w:val="none" w:sz="0" w:space="0" w:color="auto"/>
        <w:bottom w:val="none" w:sz="0" w:space="0" w:color="auto"/>
        <w:right w:val="none" w:sz="0" w:space="0" w:color="auto"/>
      </w:divBdr>
    </w:div>
    <w:div w:id="1392272321">
      <w:bodyDiv w:val="1"/>
      <w:marLeft w:val="0"/>
      <w:marRight w:val="0"/>
      <w:marTop w:val="0"/>
      <w:marBottom w:val="0"/>
      <w:divBdr>
        <w:top w:val="none" w:sz="0" w:space="0" w:color="auto"/>
        <w:left w:val="none" w:sz="0" w:space="0" w:color="auto"/>
        <w:bottom w:val="none" w:sz="0" w:space="0" w:color="auto"/>
        <w:right w:val="none" w:sz="0" w:space="0" w:color="auto"/>
      </w:divBdr>
    </w:div>
    <w:div w:id="1393575416">
      <w:bodyDiv w:val="1"/>
      <w:marLeft w:val="0"/>
      <w:marRight w:val="0"/>
      <w:marTop w:val="0"/>
      <w:marBottom w:val="0"/>
      <w:divBdr>
        <w:top w:val="none" w:sz="0" w:space="0" w:color="auto"/>
        <w:left w:val="none" w:sz="0" w:space="0" w:color="auto"/>
        <w:bottom w:val="none" w:sz="0" w:space="0" w:color="auto"/>
        <w:right w:val="none" w:sz="0" w:space="0" w:color="auto"/>
      </w:divBdr>
    </w:div>
    <w:div w:id="1395393652">
      <w:bodyDiv w:val="1"/>
      <w:marLeft w:val="0"/>
      <w:marRight w:val="0"/>
      <w:marTop w:val="0"/>
      <w:marBottom w:val="0"/>
      <w:divBdr>
        <w:top w:val="none" w:sz="0" w:space="0" w:color="auto"/>
        <w:left w:val="none" w:sz="0" w:space="0" w:color="auto"/>
        <w:bottom w:val="none" w:sz="0" w:space="0" w:color="auto"/>
        <w:right w:val="none" w:sz="0" w:space="0" w:color="auto"/>
      </w:divBdr>
    </w:div>
    <w:div w:id="1396473637">
      <w:bodyDiv w:val="1"/>
      <w:marLeft w:val="0"/>
      <w:marRight w:val="0"/>
      <w:marTop w:val="0"/>
      <w:marBottom w:val="0"/>
      <w:divBdr>
        <w:top w:val="none" w:sz="0" w:space="0" w:color="auto"/>
        <w:left w:val="none" w:sz="0" w:space="0" w:color="auto"/>
        <w:bottom w:val="none" w:sz="0" w:space="0" w:color="auto"/>
        <w:right w:val="none" w:sz="0" w:space="0" w:color="auto"/>
      </w:divBdr>
    </w:div>
    <w:div w:id="1399551989">
      <w:bodyDiv w:val="1"/>
      <w:marLeft w:val="0"/>
      <w:marRight w:val="0"/>
      <w:marTop w:val="0"/>
      <w:marBottom w:val="0"/>
      <w:divBdr>
        <w:top w:val="none" w:sz="0" w:space="0" w:color="auto"/>
        <w:left w:val="none" w:sz="0" w:space="0" w:color="auto"/>
        <w:bottom w:val="none" w:sz="0" w:space="0" w:color="auto"/>
        <w:right w:val="none" w:sz="0" w:space="0" w:color="auto"/>
      </w:divBdr>
    </w:div>
    <w:div w:id="1403789865">
      <w:bodyDiv w:val="1"/>
      <w:marLeft w:val="0"/>
      <w:marRight w:val="0"/>
      <w:marTop w:val="0"/>
      <w:marBottom w:val="0"/>
      <w:divBdr>
        <w:top w:val="none" w:sz="0" w:space="0" w:color="auto"/>
        <w:left w:val="none" w:sz="0" w:space="0" w:color="auto"/>
        <w:bottom w:val="none" w:sz="0" w:space="0" w:color="auto"/>
        <w:right w:val="none" w:sz="0" w:space="0" w:color="auto"/>
      </w:divBdr>
    </w:div>
    <w:div w:id="1417282040">
      <w:bodyDiv w:val="1"/>
      <w:marLeft w:val="0"/>
      <w:marRight w:val="0"/>
      <w:marTop w:val="0"/>
      <w:marBottom w:val="0"/>
      <w:divBdr>
        <w:top w:val="none" w:sz="0" w:space="0" w:color="auto"/>
        <w:left w:val="none" w:sz="0" w:space="0" w:color="auto"/>
        <w:bottom w:val="none" w:sz="0" w:space="0" w:color="auto"/>
        <w:right w:val="none" w:sz="0" w:space="0" w:color="auto"/>
      </w:divBdr>
    </w:div>
    <w:div w:id="1418861868">
      <w:bodyDiv w:val="1"/>
      <w:marLeft w:val="0"/>
      <w:marRight w:val="0"/>
      <w:marTop w:val="0"/>
      <w:marBottom w:val="0"/>
      <w:divBdr>
        <w:top w:val="none" w:sz="0" w:space="0" w:color="auto"/>
        <w:left w:val="none" w:sz="0" w:space="0" w:color="auto"/>
        <w:bottom w:val="none" w:sz="0" w:space="0" w:color="auto"/>
        <w:right w:val="none" w:sz="0" w:space="0" w:color="auto"/>
      </w:divBdr>
    </w:div>
    <w:div w:id="1419209304">
      <w:bodyDiv w:val="1"/>
      <w:marLeft w:val="0"/>
      <w:marRight w:val="0"/>
      <w:marTop w:val="0"/>
      <w:marBottom w:val="0"/>
      <w:divBdr>
        <w:top w:val="none" w:sz="0" w:space="0" w:color="auto"/>
        <w:left w:val="none" w:sz="0" w:space="0" w:color="auto"/>
        <w:bottom w:val="none" w:sz="0" w:space="0" w:color="auto"/>
        <w:right w:val="none" w:sz="0" w:space="0" w:color="auto"/>
      </w:divBdr>
    </w:div>
    <w:div w:id="1419718503">
      <w:bodyDiv w:val="1"/>
      <w:marLeft w:val="0"/>
      <w:marRight w:val="0"/>
      <w:marTop w:val="0"/>
      <w:marBottom w:val="0"/>
      <w:divBdr>
        <w:top w:val="none" w:sz="0" w:space="0" w:color="auto"/>
        <w:left w:val="none" w:sz="0" w:space="0" w:color="auto"/>
        <w:bottom w:val="none" w:sz="0" w:space="0" w:color="auto"/>
        <w:right w:val="none" w:sz="0" w:space="0" w:color="auto"/>
      </w:divBdr>
    </w:div>
    <w:div w:id="1424187086">
      <w:bodyDiv w:val="1"/>
      <w:marLeft w:val="0"/>
      <w:marRight w:val="0"/>
      <w:marTop w:val="0"/>
      <w:marBottom w:val="0"/>
      <w:divBdr>
        <w:top w:val="none" w:sz="0" w:space="0" w:color="auto"/>
        <w:left w:val="none" w:sz="0" w:space="0" w:color="auto"/>
        <w:bottom w:val="none" w:sz="0" w:space="0" w:color="auto"/>
        <w:right w:val="none" w:sz="0" w:space="0" w:color="auto"/>
      </w:divBdr>
    </w:div>
    <w:div w:id="1426993280">
      <w:bodyDiv w:val="1"/>
      <w:marLeft w:val="0"/>
      <w:marRight w:val="0"/>
      <w:marTop w:val="0"/>
      <w:marBottom w:val="0"/>
      <w:divBdr>
        <w:top w:val="none" w:sz="0" w:space="0" w:color="auto"/>
        <w:left w:val="none" w:sz="0" w:space="0" w:color="auto"/>
        <w:bottom w:val="none" w:sz="0" w:space="0" w:color="auto"/>
        <w:right w:val="none" w:sz="0" w:space="0" w:color="auto"/>
      </w:divBdr>
    </w:div>
    <w:div w:id="1429041938">
      <w:bodyDiv w:val="1"/>
      <w:marLeft w:val="0"/>
      <w:marRight w:val="0"/>
      <w:marTop w:val="0"/>
      <w:marBottom w:val="0"/>
      <w:divBdr>
        <w:top w:val="none" w:sz="0" w:space="0" w:color="auto"/>
        <w:left w:val="none" w:sz="0" w:space="0" w:color="auto"/>
        <w:bottom w:val="none" w:sz="0" w:space="0" w:color="auto"/>
        <w:right w:val="none" w:sz="0" w:space="0" w:color="auto"/>
      </w:divBdr>
    </w:div>
    <w:div w:id="1431513123">
      <w:bodyDiv w:val="1"/>
      <w:marLeft w:val="0"/>
      <w:marRight w:val="0"/>
      <w:marTop w:val="0"/>
      <w:marBottom w:val="0"/>
      <w:divBdr>
        <w:top w:val="none" w:sz="0" w:space="0" w:color="auto"/>
        <w:left w:val="none" w:sz="0" w:space="0" w:color="auto"/>
        <w:bottom w:val="none" w:sz="0" w:space="0" w:color="auto"/>
        <w:right w:val="none" w:sz="0" w:space="0" w:color="auto"/>
      </w:divBdr>
    </w:div>
    <w:div w:id="1431662078">
      <w:bodyDiv w:val="1"/>
      <w:marLeft w:val="0"/>
      <w:marRight w:val="0"/>
      <w:marTop w:val="0"/>
      <w:marBottom w:val="0"/>
      <w:divBdr>
        <w:top w:val="none" w:sz="0" w:space="0" w:color="auto"/>
        <w:left w:val="none" w:sz="0" w:space="0" w:color="auto"/>
        <w:bottom w:val="none" w:sz="0" w:space="0" w:color="auto"/>
        <w:right w:val="none" w:sz="0" w:space="0" w:color="auto"/>
      </w:divBdr>
    </w:div>
    <w:div w:id="1437212707">
      <w:bodyDiv w:val="1"/>
      <w:marLeft w:val="0"/>
      <w:marRight w:val="0"/>
      <w:marTop w:val="0"/>
      <w:marBottom w:val="0"/>
      <w:divBdr>
        <w:top w:val="none" w:sz="0" w:space="0" w:color="auto"/>
        <w:left w:val="none" w:sz="0" w:space="0" w:color="auto"/>
        <w:bottom w:val="none" w:sz="0" w:space="0" w:color="auto"/>
        <w:right w:val="none" w:sz="0" w:space="0" w:color="auto"/>
      </w:divBdr>
    </w:div>
    <w:div w:id="1437284348">
      <w:bodyDiv w:val="1"/>
      <w:marLeft w:val="0"/>
      <w:marRight w:val="0"/>
      <w:marTop w:val="0"/>
      <w:marBottom w:val="0"/>
      <w:divBdr>
        <w:top w:val="none" w:sz="0" w:space="0" w:color="auto"/>
        <w:left w:val="none" w:sz="0" w:space="0" w:color="auto"/>
        <w:bottom w:val="none" w:sz="0" w:space="0" w:color="auto"/>
        <w:right w:val="none" w:sz="0" w:space="0" w:color="auto"/>
      </w:divBdr>
    </w:div>
    <w:div w:id="1438792251">
      <w:bodyDiv w:val="1"/>
      <w:marLeft w:val="0"/>
      <w:marRight w:val="0"/>
      <w:marTop w:val="0"/>
      <w:marBottom w:val="0"/>
      <w:divBdr>
        <w:top w:val="none" w:sz="0" w:space="0" w:color="auto"/>
        <w:left w:val="none" w:sz="0" w:space="0" w:color="auto"/>
        <w:bottom w:val="none" w:sz="0" w:space="0" w:color="auto"/>
        <w:right w:val="none" w:sz="0" w:space="0" w:color="auto"/>
      </w:divBdr>
    </w:div>
    <w:div w:id="1443184690">
      <w:bodyDiv w:val="1"/>
      <w:marLeft w:val="0"/>
      <w:marRight w:val="0"/>
      <w:marTop w:val="0"/>
      <w:marBottom w:val="0"/>
      <w:divBdr>
        <w:top w:val="none" w:sz="0" w:space="0" w:color="auto"/>
        <w:left w:val="none" w:sz="0" w:space="0" w:color="auto"/>
        <w:bottom w:val="none" w:sz="0" w:space="0" w:color="auto"/>
        <w:right w:val="none" w:sz="0" w:space="0" w:color="auto"/>
      </w:divBdr>
    </w:div>
    <w:div w:id="1451976335">
      <w:bodyDiv w:val="1"/>
      <w:marLeft w:val="0"/>
      <w:marRight w:val="0"/>
      <w:marTop w:val="0"/>
      <w:marBottom w:val="0"/>
      <w:divBdr>
        <w:top w:val="none" w:sz="0" w:space="0" w:color="auto"/>
        <w:left w:val="none" w:sz="0" w:space="0" w:color="auto"/>
        <w:bottom w:val="none" w:sz="0" w:space="0" w:color="auto"/>
        <w:right w:val="none" w:sz="0" w:space="0" w:color="auto"/>
      </w:divBdr>
    </w:div>
    <w:div w:id="1452044418">
      <w:bodyDiv w:val="1"/>
      <w:marLeft w:val="0"/>
      <w:marRight w:val="0"/>
      <w:marTop w:val="0"/>
      <w:marBottom w:val="0"/>
      <w:divBdr>
        <w:top w:val="none" w:sz="0" w:space="0" w:color="auto"/>
        <w:left w:val="none" w:sz="0" w:space="0" w:color="auto"/>
        <w:bottom w:val="none" w:sz="0" w:space="0" w:color="auto"/>
        <w:right w:val="none" w:sz="0" w:space="0" w:color="auto"/>
      </w:divBdr>
    </w:div>
    <w:div w:id="1453400689">
      <w:bodyDiv w:val="1"/>
      <w:marLeft w:val="0"/>
      <w:marRight w:val="0"/>
      <w:marTop w:val="0"/>
      <w:marBottom w:val="0"/>
      <w:divBdr>
        <w:top w:val="none" w:sz="0" w:space="0" w:color="auto"/>
        <w:left w:val="none" w:sz="0" w:space="0" w:color="auto"/>
        <w:bottom w:val="none" w:sz="0" w:space="0" w:color="auto"/>
        <w:right w:val="none" w:sz="0" w:space="0" w:color="auto"/>
      </w:divBdr>
    </w:div>
    <w:div w:id="1454979104">
      <w:bodyDiv w:val="1"/>
      <w:marLeft w:val="0"/>
      <w:marRight w:val="0"/>
      <w:marTop w:val="0"/>
      <w:marBottom w:val="0"/>
      <w:divBdr>
        <w:top w:val="none" w:sz="0" w:space="0" w:color="auto"/>
        <w:left w:val="none" w:sz="0" w:space="0" w:color="auto"/>
        <w:bottom w:val="none" w:sz="0" w:space="0" w:color="auto"/>
        <w:right w:val="none" w:sz="0" w:space="0" w:color="auto"/>
      </w:divBdr>
    </w:div>
    <w:div w:id="1455363706">
      <w:bodyDiv w:val="1"/>
      <w:marLeft w:val="0"/>
      <w:marRight w:val="0"/>
      <w:marTop w:val="0"/>
      <w:marBottom w:val="0"/>
      <w:divBdr>
        <w:top w:val="none" w:sz="0" w:space="0" w:color="auto"/>
        <w:left w:val="none" w:sz="0" w:space="0" w:color="auto"/>
        <w:bottom w:val="none" w:sz="0" w:space="0" w:color="auto"/>
        <w:right w:val="none" w:sz="0" w:space="0" w:color="auto"/>
      </w:divBdr>
    </w:div>
    <w:div w:id="1458254910">
      <w:bodyDiv w:val="1"/>
      <w:marLeft w:val="0"/>
      <w:marRight w:val="0"/>
      <w:marTop w:val="0"/>
      <w:marBottom w:val="0"/>
      <w:divBdr>
        <w:top w:val="none" w:sz="0" w:space="0" w:color="auto"/>
        <w:left w:val="none" w:sz="0" w:space="0" w:color="auto"/>
        <w:bottom w:val="none" w:sz="0" w:space="0" w:color="auto"/>
        <w:right w:val="none" w:sz="0" w:space="0" w:color="auto"/>
      </w:divBdr>
    </w:div>
    <w:div w:id="1458445869">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7068872">
      <w:bodyDiv w:val="1"/>
      <w:marLeft w:val="0"/>
      <w:marRight w:val="0"/>
      <w:marTop w:val="0"/>
      <w:marBottom w:val="0"/>
      <w:divBdr>
        <w:top w:val="none" w:sz="0" w:space="0" w:color="auto"/>
        <w:left w:val="none" w:sz="0" w:space="0" w:color="auto"/>
        <w:bottom w:val="none" w:sz="0" w:space="0" w:color="auto"/>
        <w:right w:val="none" w:sz="0" w:space="0" w:color="auto"/>
      </w:divBdr>
    </w:div>
    <w:div w:id="1477334812">
      <w:bodyDiv w:val="1"/>
      <w:marLeft w:val="0"/>
      <w:marRight w:val="0"/>
      <w:marTop w:val="0"/>
      <w:marBottom w:val="0"/>
      <w:divBdr>
        <w:top w:val="none" w:sz="0" w:space="0" w:color="auto"/>
        <w:left w:val="none" w:sz="0" w:space="0" w:color="auto"/>
        <w:bottom w:val="none" w:sz="0" w:space="0" w:color="auto"/>
        <w:right w:val="none" w:sz="0" w:space="0" w:color="auto"/>
      </w:divBdr>
    </w:div>
    <w:div w:id="1480534110">
      <w:bodyDiv w:val="1"/>
      <w:marLeft w:val="0"/>
      <w:marRight w:val="0"/>
      <w:marTop w:val="0"/>
      <w:marBottom w:val="0"/>
      <w:divBdr>
        <w:top w:val="none" w:sz="0" w:space="0" w:color="auto"/>
        <w:left w:val="none" w:sz="0" w:space="0" w:color="auto"/>
        <w:bottom w:val="none" w:sz="0" w:space="0" w:color="auto"/>
        <w:right w:val="none" w:sz="0" w:space="0" w:color="auto"/>
      </w:divBdr>
    </w:div>
    <w:div w:id="1480998007">
      <w:bodyDiv w:val="1"/>
      <w:marLeft w:val="0"/>
      <w:marRight w:val="0"/>
      <w:marTop w:val="0"/>
      <w:marBottom w:val="0"/>
      <w:divBdr>
        <w:top w:val="none" w:sz="0" w:space="0" w:color="auto"/>
        <w:left w:val="none" w:sz="0" w:space="0" w:color="auto"/>
        <w:bottom w:val="none" w:sz="0" w:space="0" w:color="auto"/>
        <w:right w:val="none" w:sz="0" w:space="0" w:color="auto"/>
      </w:divBdr>
    </w:div>
    <w:div w:id="1490904458">
      <w:bodyDiv w:val="1"/>
      <w:marLeft w:val="0"/>
      <w:marRight w:val="0"/>
      <w:marTop w:val="0"/>
      <w:marBottom w:val="0"/>
      <w:divBdr>
        <w:top w:val="none" w:sz="0" w:space="0" w:color="auto"/>
        <w:left w:val="none" w:sz="0" w:space="0" w:color="auto"/>
        <w:bottom w:val="none" w:sz="0" w:space="0" w:color="auto"/>
        <w:right w:val="none" w:sz="0" w:space="0" w:color="auto"/>
      </w:divBdr>
    </w:div>
    <w:div w:id="1494108089">
      <w:bodyDiv w:val="1"/>
      <w:marLeft w:val="0"/>
      <w:marRight w:val="0"/>
      <w:marTop w:val="0"/>
      <w:marBottom w:val="0"/>
      <w:divBdr>
        <w:top w:val="none" w:sz="0" w:space="0" w:color="auto"/>
        <w:left w:val="none" w:sz="0" w:space="0" w:color="auto"/>
        <w:bottom w:val="none" w:sz="0" w:space="0" w:color="auto"/>
        <w:right w:val="none" w:sz="0" w:space="0" w:color="auto"/>
      </w:divBdr>
    </w:div>
    <w:div w:id="1495141403">
      <w:bodyDiv w:val="1"/>
      <w:marLeft w:val="0"/>
      <w:marRight w:val="0"/>
      <w:marTop w:val="0"/>
      <w:marBottom w:val="0"/>
      <w:divBdr>
        <w:top w:val="none" w:sz="0" w:space="0" w:color="auto"/>
        <w:left w:val="none" w:sz="0" w:space="0" w:color="auto"/>
        <w:bottom w:val="none" w:sz="0" w:space="0" w:color="auto"/>
        <w:right w:val="none" w:sz="0" w:space="0" w:color="auto"/>
      </w:divBdr>
    </w:div>
    <w:div w:id="1495873018">
      <w:bodyDiv w:val="1"/>
      <w:marLeft w:val="0"/>
      <w:marRight w:val="0"/>
      <w:marTop w:val="0"/>
      <w:marBottom w:val="0"/>
      <w:divBdr>
        <w:top w:val="none" w:sz="0" w:space="0" w:color="auto"/>
        <w:left w:val="none" w:sz="0" w:space="0" w:color="auto"/>
        <w:bottom w:val="none" w:sz="0" w:space="0" w:color="auto"/>
        <w:right w:val="none" w:sz="0" w:space="0" w:color="auto"/>
      </w:divBdr>
    </w:div>
    <w:div w:id="1496602316">
      <w:bodyDiv w:val="1"/>
      <w:marLeft w:val="0"/>
      <w:marRight w:val="0"/>
      <w:marTop w:val="0"/>
      <w:marBottom w:val="0"/>
      <w:divBdr>
        <w:top w:val="none" w:sz="0" w:space="0" w:color="auto"/>
        <w:left w:val="none" w:sz="0" w:space="0" w:color="auto"/>
        <w:bottom w:val="none" w:sz="0" w:space="0" w:color="auto"/>
        <w:right w:val="none" w:sz="0" w:space="0" w:color="auto"/>
      </w:divBdr>
    </w:div>
    <w:div w:id="1498035311">
      <w:bodyDiv w:val="1"/>
      <w:marLeft w:val="0"/>
      <w:marRight w:val="0"/>
      <w:marTop w:val="0"/>
      <w:marBottom w:val="0"/>
      <w:divBdr>
        <w:top w:val="none" w:sz="0" w:space="0" w:color="auto"/>
        <w:left w:val="none" w:sz="0" w:space="0" w:color="auto"/>
        <w:bottom w:val="none" w:sz="0" w:space="0" w:color="auto"/>
        <w:right w:val="none" w:sz="0" w:space="0" w:color="auto"/>
      </w:divBdr>
    </w:div>
    <w:div w:id="1501847289">
      <w:bodyDiv w:val="1"/>
      <w:marLeft w:val="0"/>
      <w:marRight w:val="0"/>
      <w:marTop w:val="0"/>
      <w:marBottom w:val="0"/>
      <w:divBdr>
        <w:top w:val="none" w:sz="0" w:space="0" w:color="auto"/>
        <w:left w:val="none" w:sz="0" w:space="0" w:color="auto"/>
        <w:bottom w:val="none" w:sz="0" w:space="0" w:color="auto"/>
        <w:right w:val="none" w:sz="0" w:space="0" w:color="auto"/>
      </w:divBdr>
    </w:div>
    <w:div w:id="1504785382">
      <w:bodyDiv w:val="1"/>
      <w:marLeft w:val="0"/>
      <w:marRight w:val="0"/>
      <w:marTop w:val="0"/>
      <w:marBottom w:val="0"/>
      <w:divBdr>
        <w:top w:val="none" w:sz="0" w:space="0" w:color="auto"/>
        <w:left w:val="none" w:sz="0" w:space="0" w:color="auto"/>
        <w:bottom w:val="none" w:sz="0" w:space="0" w:color="auto"/>
        <w:right w:val="none" w:sz="0" w:space="0" w:color="auto"/>
      </w:divBdr>
    </w:div>
    <w:div w:id="1505631091">
      <w:bodyDiv w:val="1"/>
      <w:marLeft w:val="0"/>
      <w:marRight w:val="0"/>
      <w:marTop w:val="0"/>
      <w:marBottom w:val="0"/>
      <w:divBdr>
        <w:top w:val="none" w:sz="0" w:space="0" w:color="auto"/>
        <w:left w:val="none" w:sz="0" w:space="0" w:color="auto"/>
        <w:bottom w:val="none" w:sz="0" w:space="0" w:color="auto"/>
        <w:right w:val="none" w:sz="0" w:space="0" w:color="auto"/>
      </w:divBdr>
    </w:div>
    <w:div w:id="1508523402">
      <w:bodyDiv w:val="1"/>
      <w:marLeft w:val="0"/>
      <w:marRight w:val="0"/>
      <w:marTop w:val="0"/>
      <w:marBottom w:val="0"/>
      <w:divBdr>
        <w:top w:val="none" w:sz="0" w:space="0" w:color="auto"/>
        <w:left w:val="none" w:sz="0" w:space="0" w:color="auto"/>
        <w:bottom w:val="none" w:sz="0" w:space="0" w:color="auto"/>
        <w:right w:val="none" w:sz="0" w:space="0" w:color="auto"/>
      </w:divBdr>
    </w:div>
    <w:div w:id="1508787670">
      <w:bodyDiv w:val="1"/>
      <w:marLeft w:val="0"/>
      <w:marRight w:val="0"/>
      <w:marTop w:val="0"/>
      <w:marBottom w:val="0"/>
      <w:divBdr>
        <w:top w:val="none" w:sz="0" w:space="0" w:color="auto"/>
        <w:left w:val="none" w:sz="0" w:space="0" w:color="auto"/>
        <w:bottom w:val="none" w:sz="0" w:space="0" w:color="auto"/>
        <w:right w:val="none" w:sz="0" w:space="0" w:color="auto"/>
      </w:divBdr>
    </w:div>
    <w:div w:id="1511024217">
      <w:bodyDiv w:val="1"/>
      <w:marLeft w:val="0"/>
      <w:marRight w:val="0"/>
      <w:marTop w:val="0"/>
      <w:marBottom w:val="0"/>
      <w:divBdr>
        <w:top w:val="none" w:sz="0" w:space="0" w:color="auto"/>
        <w:left w:val="none" w:sz="0" w:space="0" w:color="auto"/>
        <w:bottom w:val="none" w:sz="0" w:space="0" w:color="auto"/>
        <w:right w:val="none" w:sz="0" w:space="0" w:color="auto"/>
      </w:divBdr>
    </w:div>
    <w:div w:id="1512836675">
      <w:bodyDiv w:val="1"/>
      <w:marLeft w:val="0"/>
      <w:marRight w:val="0"/>
      <w:marTop w:val="0"/>
      <w:marBottom w:val="0"/>
      <w:divBdr>
        <w:top w:val="none" w:sz="0" w:space="0" w:color="auto"/>
        <w:left w:val="none" w:sz="0" w:space="0" w:color="auto"/>
        <w:bottom w:val="none" w:sz="0" w:space="0" w:color="auto"/>
        <w:right w:val="none" w:sz="0" w:space="0" w:color="auto"/>
      </w:divBdr>
    </w:div>
    <w:div w:id="1512917155">
      <w:bodyDiv w:val="1"/>
      <w:marLeft w:val="0"/>
      <w:marRight w:val="0"/>
      <w:marTop w:val="0"/>
      <w:marBottom w:val="0"/>
      <w:divBdr>
        <w:top w:val="none" w:sz="0" w:space="0" w:color="auto"/>
        <w:left w:val="none" w:sz="0" w:space="0" w:color="auto"/>
        <w:bottom w:val="none" w:sz="0" w:space="0" w:color="auto"/>
        <w:right w:val="none" w:sz="0" w:space="0" w:color="auto"/>
      </w:divBdr>
    </w:div>
    <w:div w:id="1515342090">
      <w:bodyDiv w:val="1"/>
      <w:marLeft w:val="0"/>
      <w:marRight w:val="0"/>
      <w:marTop w:val="0"/>
      <w:marBottom w:val="0"/>
      <w:divBdr>
        <w:top w:val="none" w:sz="0" w:space="0" w:color="auto"/>
        <w:left w:val="none" w:sz="0" w:space="0" w:color="auto"/>
        <w:bottom w:val="none" w:sz="0" w:space="0" w:color="auto"/>
        <w:right w:val="none" w:sz="0" w:space="0" w:color="auto"/>
      </w:divBdr>
    </w:div>
    <w:div w:id="1517619644">
      <w:bodyDiv w:val="1"/>
      <w:marLeft w:val="0"/>
      <w:marRight w:val="0"/>
      <w:marTop w:val="0"/>
      <w:marBottom w:val="0"/>
      <w:divBdr>
        <w:top w:val="none" w:sz="0" w:space="0" w:color="auto"/>
        <w:left w:val="none" w:sz="0" w:space="0" w:color="auto"/>
        <w:bottom w:val="none" w:sz="0" w:space="0" w:color="auto"/>
        <w:right w:val="none" w:sz="0" w:space="0" w:color="auto"/>
      </w:divBdr>
    </w:div>
    <w:div w:id="1518763643">
      <w:bodyDiv w:val="1"/>
      <w:marLeft w:val="0"/>
      <w:marRight w:val="0"/>
      <w:marTop w:val="0"/>
      <w:marBottom w:val="0"/>
      <w:divBdr>
        <w:top w:val="none" w:sz="0" w:space="0" w:color="auto"/>
        <w:left w:val="none" w:sz="0" w:space="0" w:color="auto"/>
        <w:bottom w:val="none" w:sz="0" w:space="0" w:color="auto"/>
        <w:right w:val="none" w:sz="0" w:space="0" w:color="auto"/>
      </w:divBdr>
    </w:div>
    <w:div w:id="1521047704">
      <w:bodyDiv w:val="1"/>
      <w:marLeft w:val="0"/>
      <w:marRight w:val="0"/>
      <w:marTop w:val="0"/>
      <w:marBottom w:val="0"/>
      <w:divBdr>
        <w:top w:val="none" w:sz="0" w:space="0" w:color="auto"/>
        <w:left w:val="none" w:sz="0" w:space="0" w:color="auto"/>
        <w:bottom w:val="none" w:sz="0" w:space="0" w:color="auto"/>
        <w:right w:val="none" w:sz="0" w:space="0" w:color="auto"/>
      </w:divBdr>
    </w:div>
    <w:div w:id="1521771978">
      <w:bodyDiv w:val="1"/>
      <w:marLeft w:val="0"/>
      <w:marRight w:val="0"/>
      <w:marTop w:val="0"/>
      <w:marBottom w:val="0"/>
      <w:divBdr>
        <w:top w:val="none" w:sz="0" w:space="0" w:color="auto"/>
        <w:left w:val="none" w:sz="0" w:space="0" w:color="auto"/>
        <w:bottom w:val="none" w:sz="0" w:space="0" w:color="auto"/>
        <w:right w:val="none" w:sz="0" w:space="0" w:color="auto"/>
      </w:divBdr>
    </w:div>
    <w:div w:id="1522671627">
      <w:bodyDiv w:val="1"/>
      <w:marLeft w:val="0"/>
      <w:marRight w:val="0"/>
      <w:marTop w:val="0"/>
      <w:marBottom w:val="0"/>
      <w:divBdr>
        <w:top w:val="none" w:sz="0" w:space="0" w:color="auto"/>
        <w:left w:val="none" w:sz="0" w:space="0" w:color="auto"/>
        <w:bottom w:val="none" w:sz="0" w:space="0" w:color="auto"/>
        <w:right w:val="none" w:sz="0" w:space="0" w:color="auto"/>
      </w:divBdr>
    </w:div>
    <w:div w:id="1525362516">
      <w:bodyDiv w:val="1"/>
      <w:marLeft w:val="0"/>
      <w:marRight w:val="0"/>
      <w:marTop w:val="0"/>
      <w:marBottom w:val="0"/>
      <w:divBdr>
        <w:top w:val="none" w:sz="0" w:space="0" w:color="auto"/>
        <w:left w:val="none" w:sz="0" w:space="0" w:color="auto"/>
        <w:bottom w:val="none" w:sz="0" w:space="0" w:color="auto"/>
        <w:right w:val="none" w:sz="0" w:space="0" w:color="auto"/>
      </w:divBdr>
    </w:div>
    <w:div w:id="1527720275">
      <w:bodyDiv w:val="1"/>
      <w:marLeft w:val="0"/>
      <w:marRight w:val="0"/>
      <w:marTop w:val="0"/>
      <w:marBottom w:val="0"/>
      <w:divBdr>
        <w:top w:val="none" w:sz="0" w:space="0" w:color="auto"/>
        <w:left w:val="none" w:sz="0" w:space="0" w:color="auto"/>
        <w:bottom w:val="none" w:sz="0" w:space="0" w:color="auto"/>
        <w:right w:val="none" w:sz="0" w:space="0" w:color="auto"/>
      </w:divBdr>
    </w:div>
    <w:div w:id="1528369877">
      <w:bodyDiv w:val="1"/>
      <w:marLeft w:val="0"/>
      <w:marRight w:val="0"/>
      <w:marTop w:val="0"/>
      <w:marBottom w:val="0"/>
      <w:divBdr>
        <w:top w:val="none" w:sz="0" w:space="0" w:color="auto"/>
        <w:left w:val="none" w:sz="0" w:space="0" w:color="auto"/>
        <w:bottom w:val="none" w:sz="0" w:space="0" w:color="auto"/>
        <w:right w:val="none" w:sz="0" w:space="0" w:color="auto"/>
      </w:divBdr>
    </w:div>
    <w:div w:id="1531063881">
      <w:bodyDiv w:val="1"/>
      <w:marLeft w:val="0"/>
      <w:marRight w:val="0"/>
      <w:marTop w:val="0"/>
      <w:marBottom w:val="0"/>
      <w:divBdr>
        <w:top w:val="none" w:sz="0" w:space="0" w:color="auto"/>
        <w:left w:val="none" w:sz="0" w:space="0" w:color="auto"/>
        <w:bottom w:val="none" w:sz="0" w:space="0" w:color="auto"/>
        <w:right w:val="none" w:sz="0" w:space="0" w:color="auto"/>
      </w:divBdr>
    </w:div>
    <w:div w:id="1538856726">
      <w:bodyDiv w:val="1"/>
      <w:marLeft w:val="0"/>
      <w:marRight w:val="0"/>
      <w:marTop w:val="0"/>
      <w:marBottom w:val="0"/>
      <w:divBdr>
        <w:top w:val="none" w:sz="0" w:space="0" w:color="auto"/>
        <w:left w:val="none" w:sz="0" w:space="0" w:color="auto"/>
        <w:bottom w:val="none" w:sz="0" w:space="0" w:color="auto"/>
        <w:right w:val="none" w:sz="0" w:space="0" w:color="auto"/>
      </w:divBdr>
    </w:div>
    <w:div w:id="1540557040">
      <w:bodyDiv w:val="1"/>
      <w:marLeft w:val="0"/>
      <w:marRight w:val="0"/>
      <w:marTop w:val="0"/>
      <w:marBottom w:val="0"/>
      <w:divBdr>
        <w:top w:val="none" w:sz="0" w:space="0" w:color="auto"/>
        <w:left w:val="none" w:sz="0" w:space="0" w:color="auto"/>
        <w:bottom w:val="none" w:sz="0" w:space="0" w:color="auto"/>
        <w:right w:val="none" w:sz="0" w:space="0" w:color="auto"/>
      </w:divBdr>
    </w:div>
    <w:div w:id="1542403147">
      <w:bodyDiv w:val="1"/>
      <w:marLeft w:val="0"/>
      <w:marRight w:val="0"/>
      <w:marTop w:val="0"/>
      <w:marBottom w:val="0"/>
      <w:divBdr>
        <w:top w:val="none" w:sz="0" w:space="0" w:color="auto"/>
        <w:left w:val="none" w:sz="0" w:space="0" w:color="auto"/>
        <w:bottom w:val="none" w:sz="0" w:space="0" w:color="auto"/>
        <w:right w:val="none" w:sz="0" w:space="0" w:color="auto"/>
      </w:divBdr>
    </w:div>
    <w:div w:id="1543443123">
      <w:bodyDiv w:val="1"/>
      <w:marLeft w:val="0"/>
      <w:marRight w:val="0"/>
      <w:marTop w:val="0"/>
      <w:marBottom w:val="0"/>
      <w:divBdr>
        <w:top w:val="none" w:sz="0" w:space="0" w:color="auto"/>
        <w:left w:val="none" w:sz="0" w:space="0" w:color="auto"/>
        <w:bottom w:val="none" w:sz="0" w:space="0" w:color="auto"/>
        <w:right w:val="none" w:sz="0" w:space="0" w:color="auto"/>
      </w:divBdr>
    </w:div>
    <w:div w:id="1545480177">
      <w:bodyDiv w:val="1"/>
      <w:marLeft w:val="0"/>
      <w:marRight w:val="0"/>
      <w:marTop w:val="0"/>
      <w:marBottom w:val="0"/>
      <w:divBdr>
        <w:top w:val="none" w:sz="0" w:space="0" w:color="auto"/>
        <w:left w:val="none" w:sz="0" w:space="0" w:color="auto"/>
        <w:bottom w:val="none" w:sz="0" w:space="0" w:color="auto"/>
        <w:right w:val="none" w:sz="0" w:space="0" w:color="auto"/>
      </w:divBdr>
    </w:div>
    <w:div w:id="1545556185">
      <w:bodyDiv w:val="1"/>
      <w:marLeft w:val="0"/>
      <w:marRight w:val="0"/>
      <w:marTop w:val="0"/>
      <w:marBottom w:val="0"/>
      <w:divBdr>
        <w:top w:val="none" w:sz="0" w:space="0" w:color="auto"/>
        <w:left w:val="none" w:sz="0" w:space="0" w:color="auto"/>
        <w:bottom w:val="none" w:sz="0" w:space="0" w:color="auto"/>
        <w:right w:val="none" w:sz="0" w:space="0" w:color="auto"/>
      </w:divBdr>
    </w:div>
    <w:div w:id="1547791949">
      <w:bodyDiv w:val="1"/>
      <w:marLeft w:val="0"/>
      <w:marRight w:val="0"/>
      <w:marTop w:val="0"/>
      <w:marBottom w:val="0"/>
      <w:divBdr>
        <w:top w:val="none" w:sz="0" w:space="0" w:color="auto"/>
        <w:left w:val="none" w:sz="0" w:space="0" w:color="auto"/>
        <w:bottom w:val="none" w:sz="0" w:space="0" w:color="auto"/>
        <w:right w:val="none" w:sz="0" w:space="0" w:color="auto"/>
      </w:divBdr>
    </w:div>
    <w:div w:id="1548106053">
      <w:bodyDiv w:val="1"/>
      <w:marLeft w:val="0"/>
      <w:marRight w:val="0"/>
      <w:marTop w:val="0"/>
      <w:marBottom w:val="0"/>
      <w:divBdr>
        <w:top w:val="none" w:sz="0" w:space="0" w:color="auto"/>
        <w:left w:val="none" w:sz="0" w:space="0" w:color="auto"/>
        <w:bottom w:val="none" w:sz="0" w:space="0" w:color="auto"/>
        <w:right w:val="none" w:sz="0" w:space="0" w:color="auto"/>
      </w:divBdr>
    </w:div>
    <w:div w:id="1553342227">
      <w:bodyDiv w:val="1"/>
      <w:marLeft w:val="0"/>
      <w:marRight w:val="0"/>
      <w:marTop w:val="0"/>
      <w:marBottom w:val="0"/>
      <w:divBdr>
        <w:top w:val="none" w:sz="0" w:space="0" w:color="auto"/>
        <w:left w:val="none" w:sz="0" w:space="0" w:color="auto"/>
        <w:bottom w:val="none" w:sz="0" w:space="0" w:color="auto"/>
        <w:right w:val="none" w:sz="0" w:space="0" w:color="auto"/>
      </w:divBdr>
    </w:div>
    <w:div w:id="1553692300">
      <w:bodyDiv w:val="1"/>
      <w:marLeft w:val="0"/>
      <w:marRight w:val="0"/>
      <w:marTop w:val="0"/>
      <w:marBottom w:val="0"/>
      <w:divBdr>
        <w:top w:val="none" w:sz="0" w:space="0" w:color="auto"/>
        <w:left w:val="none" w:sz="0" w:space="0" w:color="auto"/>
        <w:bottom w:val="none" w:sz="0" w:space="0" w:color="auto"/>
        <w:right w:val="none" w:sz="0" w:space="0" w:color="auto"/>
      </w:divBdr>
    </w:div>
    <w:div w:id="1557008547">
      <w:bodyDiv w:val="1"/>
      <w:marLeft w:val="0"/>
      <w:marRight w:val="0"/>
      <w:marTop w:val="0"/>
      <w:marBottom w:val="0"/>
      <w:divBdr>
        <w:top w:val="none" w:sz="0" w:space="0" w:color="auto"/>
        <w:left w:val="none" w:sz="0" w:space="0" w:color="auto"/>
        <w:bottom w:val="none" w:sz="0" w:space="0" w:color="auto"/>
        <w:right w:val="none" w:sz="0" w:space="0" w:color="auto"/>
      </w:divBdr>
    </w:div>
    <w:div w:id="1561867702">
      <w:bodyDiv w:val="1"/>
      <w:marLeft w:val="0"/>
      <w:marRight w:val="0"/>
      <w:marTop w:val="0"/>
      <w:marBottom w:val="0"/>
      <w:divBdr>
        <w:top w:val="none" w:sz="0" w:space="0" w:color="auto"/>
        <w:left w:val="none" w:sz="0" w:space="0" w:color="auto"/>
        <w:bottom w:val="none" w:sz="0" w:space="0" w:color="auto"/>
        <w:right w:val="none" w:sz="0" w:space="0" w:color="auto"/>
      </w:divBdr>
    </w:div>
    <w:div w:id="1563367279">
      <w:bodyDiv w:val="1"/>
      <w:marLeft w:val="0"/>
      <w:marRight w:val="0"/>
      <w:marTop w:val="0"/>
      <w:marBottom w:val="0"/>
      <w:divBdr>
        <w:top w:val="none" w:sz="0" w:space="0" w:color="auto"/>
        <w:left w:val="none" w:sz="0" w:space="0" w:color="auto"/>
        <w:bottom w:val="none" w:sz="0" w:space="0" w:color="auto"/>
        <w:right w:val="none" w:sz="0" w:space="0" w:color="auto"/>
      </w:divBdr>
    </w:div>
    <w:div w:id="1564441822">
      <w:bodyDiv w:val="1"/>
      <w:marLeft w:val="0"/>
      <w:marRight w:val="0"/>
      <w:marTop w:val="0"/>
      <w:marBottom w:val="0"/>
      <w:divBdr>
        <w:top w:val="none" w:sz="0" w:space="0" w:color="auto"/>
        <w:left w:val="none" w:sz="0" w:space="0" w:color="auto"/>
        <w:bottom w:val="none" w:sz="0" w:space="0" w:color="auto"/>
        <w:right w:val="none" w:sz="0" w:space="0" w:color="auto"/>
      </w:divBdr>
    </w:div>
    <w:div w:id="1568370380">
      <w:bodyDiv w:val="1"/>
      <w:marLeft w:val="0"/>
      <w:marRight w:val="0"/>
      <w:marTop w:val="0"/>
      <w:marBottom w:val="0"/>
      <w:divBdr>
        <w:top w:val="none" w:sz="0" w:space="0" w:color="auto"/>
        <w:left w:val="none" w:sz="0" w:space="0" w:color="auto"/>
        <w:bottom w:val="none" w:sz="0" w:space="0" w:color="auto"/>
        <w:right w:val="none" w:sz="0" w:space="0" w:color="auto"/>
      </w:divBdr>
    </w:div>
    <w:div w:id="1570072956">
      <w:bodyDiv w:val="1"/>
      <w:marLeft w:val="0"/>
      <w:marRight w:val="0"/>
      <w:marTop w:val="0"/>
      <w:marBottom w:val="0"/>
      <w:divBdr>
        <w:top w:val="none" w:sz="0" w:space="0" w:color="auto"/>
        <w:left w:val="none" w:sz="0" w:space="0" w:color="auto"/>
        <w:bottom w:val="none" w:sz="0" w:space="0" w:color="auto"/>
        <w:right w:val="none" w:sz="0" w:space="0" w:color="auto"/>
      </w:divBdr>
    </w:div>
    <w:div w:id="1573155538">
      <w:bodyDiv w:val="1"/>
      <w:marLeft w:val="0"/>
      <w:marRight w:val="0"/>
      <w:marTop w:val="0"/>
      <w:marBottom w:val="0"/>
      <w:divBdr>
        <w:top w:val="none" w:sz="0" w:space="0" w:color="auto"/>
        <w:left w:val="none" w:sz="0" w:space="0" w:color="auto"/>
        <w:bottom w:val="none" w:sz="0" w:space="0" w:color="auto"/>
        <w:right w:val="none" w:sz="0" w:space="0" w:color="auto"/>
      </w:divBdr>
    </w:div>
    <w:div w:id="1574466383">
      <w:bodyDiv w:val="1"/>
      <w:marLeft w:val="0"/>
      <w:marRight w:val="0"/>
      <w:marTop w:val="0"/>
      <w:marBottom w:val="0"/>
      <w:divBdr>
        <w:top w:val="none" w:sz="0" w:space="0" w:color="auto"/>
        <w:left w:val="none" w:sz="0" w:space="0" w:color="auto"/>
        <w:bottom w:val="none" w:sz="0" w:space="0" w:color="auto"/>
        <w:right w:val="none" w:sz="0" w:space="0" w:color="auto"/>
      </w:divBdr>
    </w:div>
    <w:div w:id="1575815491">
      <w:bodyDiv w:val="1"/>
      <w:marLeft w:val="0"/>
      <w:marRight w:val="0"/>
      <w:marTop w:val="0"/>
      <w:marBottom w:val="0"/>
      <w:divBdr>
        <w:top w:val="none" w:sz="0" w:space="0" w:color="auto"/>
        <w:left w:val="none" w:sz="0" w:space="0" w:color="auto"/>
        <w:bottom w:val="none" w:sz="0" w:space="0" w:color="auto"/>
        <w:right w:val="none" w:sz="0" w:space="0" w:color="auto"/>
      </w:divBdr>
    </w:div>
    <w:div w:id="1577351297">
      <w:bodyDiv w:val="1"/>
      <w:marLeft w:val="0"/>
      <w:marRight w:val="0"/>
      <w:marTop w:val="0"/>
      <w:marBottom w:val="0"/>
      <w:divBdr>
        <w:top w:val="none" w:sz="0" w:space="0" w:color="auto"/>
        <w:left w:val="none" w:sz="0" w:space="0" w:color="auto"/>
        <w:bottom w:val="none" w:sz="0" w:space="0" w:color="auto"/>
        <w:right w:val="none" w:sz="0" w:space="0" w:color="auto"/>
      </w:divBdr>
    </w:div>
    <w:div w:id="1577669593">
      <w:bodyDiv w:val="1"/>
      <w:marLeft w:val="0"/>
      <w:marRight w:val="0"/>
      <w:marTop w:val="0"/>
      <w:marBottom w:val="0"/>
      <w:divBdr>
        <w:top w:val="none" w:sz="0" w:space="0" w:color="auto"/>
        <w:left w:val="none" w:sz="0" w:space="0" w:color="auto"/>
        <w:bottom w:val="none" w:sz="0" w:space="0" w:color="auto"/>
        <w:right w:val="none" w:sz="0" w:space="0" w:color="auto"/>
      </w:divBdr>
    </w:div>
    <w:div w:id="1578978636">
      <w:bodyDiv w:val="1"/>
      <w:marLeft w:val="0"/>
      <w:marRight w:val="0"/>
      <w:marTop w:val="0"/>
      <w:marBottom w:val="0"/>
      <w:divBdr>
        <w:top w:val="none" w:sz="0" w:space="0" w:color="auto"/>
        <w:left w:val="none" w:sz="0" w:space="0" w:color="auto"/>
        <w:bottom w:val="none" w:sz="0" w:space="0" w:color="auto"/>
        <w:right w:val="none" w:sz="0" w:space="0" w:color="auto"/>
      </w:divBdr>
    </w:div>
    <w:div w:id="1579287535">
      <w:bodyDiv w:val="1"/>
      <w:marLeft w:val="0"/>
      <w:marRight w:val="0"/>
      <w:marTop w:val="0"/>
      <w:marBottom w:val="0"/>
      <w:divBdr>
        <w:top w:val="none" w:sz="0" w:space="0" w:color="auto"/>
        <w:left w:val="none" w:sz="0" w:space="0" w:color="auto"/>
        <w:bottom w:val="none" w:sz="0" w:space="0" w:color="auto"/>
        <w:right w:val="none" w:sz="0" w:space="0" w:color="auto"/>
      </w:divBdr>
    </w:div>
    <w:div w:id="1580209901">
      <w:bodyDiv w:val="1"/>
      <w:marLeft w:val="0"/>
      <w:marRight w:val="0"/>
      <w:marTop w:val="0"/>
      <w:marBottom w:val="0"/>
      <w:divBdr>
        <w:top w:val="none" w:sz="0" w:space="0" w:color="auto"/>
        <w:left w:val="none" w:sz="0" w:space="0" w:color="auto"/>
        <w:bottom w:val="none" w:sz="0" w:space="0" w:color="auto"/>
        <w:right w:val="none" w:sz="0" w:space="0" w:color="auto"/>
      </w:divBdr>
    </w:div>
    <w:div w:id="1581982347">
      <w:bodyDiv w:val="1"/>
      <w:marLeft w:val="0"/>
      <w:marRight w:val="0"/>
      <w:marTop w:val="0"/>
      <w:marBottom w:val="0"/>
      <w:divBdr>
        <w:top w:val="none" w:sz="0" w:space="0" w:color="auto"/>
        <w:left w:val="none" w:sz="0" w:space="0" w:color="auto"/>
        <w:bottom w:val="none" w:sz="0" w:space="0" w:color="auto"/>
        <w:right w:val="none" w:sz="0" w:space="0" w:color="auto"/>
      </w:divBdr>
    </w:div>
    <w:div w:id="1582564897">
      <w:bodyDiv w:val="1"/>
      <w:marLeft w:val="0"/>
      <w:marRight w:val="0"/>
      <w:marTop w:val="0"/>
      <w:marBottom w:val="0"/>
      <w:divBdr>
        <w:top w:val="none" w:sz="0" w:space="0" w:color="auto"/>
        <w:left w:val="none" w:sz="0" w:space="0" w:color="auto"/>
        <w:bottom w:val="none" w:sz="0" w:space="0" w:color="auto"/>
        <w:right w:val="none" w:sz="0" w:space="0" w:color="auto"/>
      </w:divBdr>
    </w:div>
    <w:div w:id="1583761082">
      <w:bodyDiv w:val="1"/>
      <w:marLeft w:val="0"/>
      <w:marRight w:val="0"/>
      <w:marTop w:val="0"/>
      <w:marBottom w:val="0"/>
      <w:divBdr>
        <w:top w:val="none" w:sz="0" w:space="0" w:color="auto"/>
        <w:left w:val="none" w:sz="0" w:space="0" w:color="auto"/>
        <w:bottom w:val="none" w:sz="0" w:space="0" w:color="auto"/>
        <w:right w:val="none" w:sz="0" w:space="0" w:color="auto"/>
      </w:divBdr>
    </w:div>
    <w:div w:id="1595090747">
      <w:bodyDiv w:val="1"/>
      <w:marLeft w:val="0"/>
      <w:marRight w:val="0"/>
      <w:marTop w:val="0"/>
      <w:marBottom w:val="0"/>
      <w:divBdr>
        <w:top w:val="none" w:sz="0" w:space="0" w:color="auto"/>
        <w:left w:val="none" w:sz="0" w:space="0" w:color="auto"/>
        <w:bottom w:val="none" w:sz="0" w:space="0" w:color="auto"/>
        <w:right w:val="none" w:sz="0" w:space="0" w:color="auto"/>
      </w:divBdr>
    </w:div>
    <w:div w:id="1597327863">
      <w:bodyDiv w:val="1"/>
      <w:marLeft w:val="0"/>
      <w:marRight w:val="0"/>
      <w:marTop w:val="0"/>
      <w:marBottom w:val="0"/>
      <w:divBdr>
        <w:top w:val="none" w:sz="0" w:space="0" w:color="auto"/>
        <w:left w:val="none" w:sz="0" w:space="0" w:color="auto"/>
        <w:bottom w:val="none" w:sz="0" w:space="0" w:color="auto"/>
        <w:right w:val="none" w:sz="0" w:space="0" w:color="auto"/>
      </w:divBdr>
    </w:div>
    <w:div w:id="1598127962">
      <w:bodyDiv w:val="1"/>
      <w:marLeft w:val="0"/>
      <w:marRight w:val="0"/>
      <w:marTop w:val="0"/>
      <w:marBottom w:val="0"/>
      <w:divBdr>
        <w:top w:val="none" w:sz="0" w:space="0" w:color="auto"/>
        <w:left w:val="none" w:sz="0" w:space="0" w:color="auto"/>
        <w:bottom w:val="none" w:sz="0" w:space="0" w:color="auto"/>
        <w:right w:val="none" w:sz="0" w:space="0" w:color="auto"/>
      </w:divBdr>
    </w:div>
    <w:div w:id="1599944981">
      <w:bodyDiv w:val="1"/>
      <w:marLeft w:val="0"/>
      <w:marRight w:val="0"/>
      <w:marTop w:val="0"/>
      <w:marBottom w:val="0"/>
      <w:divBdr>
        <w:top w:val="none" w:sz="0" w:space="0" w:color="auto"/>
        <w:left w:val="none" w:sz="0" w:space="0" w:color="auto"/>
        <w:bottom w:val="none" w:sz="0" w:space="0" w:color="auto"/>
        <w:right w:val="none" w:sz="0" w:space="0" w:color="auto"/>
      </w:divBdr>
    </w:div>
    <w:div w:id="1600524953">
      <w:bodyDiv w:val="1"/>
      <w:marLeft w:val="0"/>
      <w:marRight w:val="0"/>
      <w:marTop w:val="0"/>
      <w:marBottom w:val="0"/>
      <w:divBdr>
        <w:top w:val="none" w:sz="0" w:space="0" w:color="auto"/>
        <w:left w:val="none" w:sz="0" w:space="0" w:color="auto"/>
        <w:bottom w:val="none" w:sz="0" w:space="0" w:color="auto"/>
        <w:right w:val="none" w:sz="0" w:space="0" w:color="auto"/>
      </w:divBdr>
    </w:div>
    <w:div w:id="1602955261">
      <w:bodyDiv w:val="1"/>
      <w:marLeft w:val="0"/>
      <w:marRight w:val="0"/>
      <w:marTop w:val="0"/>
      <w:marBottom w:val="0"/>
      <w:divBdr>
        <w:top w:val="none" w:sz="0" w:space="0" w:color="auto"/>
        <w:left w:val="none" w:sz="0" w:space="0" w:color="auto"/>
        <w:bottom w:val="none" w:sz="0" w:space="0" w:color="auto"/>
        <w:right w:val="none" w:sz="0" w:space="0" w:color="auto"/>
      </w:divBdr>
    </w:div>
    <w:div w:id="1608074028">
      <w:bodyDiv w:val="1"/>
      <w:marLeft w:val="0"/>
      <w:marRight w:val="0"/>
      <w:marTop w:val="0"/>
      <w:marBottom w:val="0"/>
      <w:divBdr>
        <w:top w:val="none" w:sz="0" w:space="0" w:color="auto"/>
        <w:left w:val="none" w:sz="0" w:space="0" w:color="auto"/>
        <w:bottom w:val="none" w:sz="0" w:space="0" w:color="auto"/>
        <w:right w:val="none" w:sz="0" w:space="0" w:color="auto"/>
      </w:divBdr>
    </w:div>
    <w:div w:id="1610046519">
      <w:bodyDiv w:val="1"/>
      <w:marLeft w:val="0"/>
      <w:marRight w:val="0"/>
      <w:marTop w:val="0"/>
      <w:marBottom w:val="0"/>
      <w:divBdr>
        <w:top w:val="none" w:sz="0" w:space="0" w:color="auto"/>
        <w:left w:val="none" w:sz="0" w:space="0" w:color="auto"/>
        <w:bottom w:val="none" w:sz="0" w:space="0" w:color="auto"/>
        <w:right w:val="none" w:sz="0" w:space="0" w:color="auto"/>
      </w:divBdr>
    </w:div>
    <w:div w:id="1614439756">
      <w:bodyDiv w:val="1"/>
      <w:marLeft w:val="0"/>
      <w:marRight w:val="0"/>
      <w:marTop w:val="0"/>
      <w:marBottom w:val="0"/>
      <w:divBdr>
        <w:top w:val="none" w:sz="0" w:space="0" w:color="auto"/>
        <w:left w:val="none" w:sz="0" w:space="0" w:color="auto"/>
        <w:bottom w:val="none" w:sz="0" w:space="0" w:color="auto"/>
        <w:right w:val="none" w:sz="0" w:space="0" w:color="auto"/>
      </w:divBdr>
    </w:div>
    <w:div w:id="1615095110">
      <w:bodyDiv w:val="1"/>
      <w:marLeft w:val="0"/>
      <w:marRight w:val="0"/>
      <w:marTop w:val="0"/>
      <w:marBottom w:val="0"/>
      <w:divBdr>
        <w:top w:val="none" w:sz="0" w:space="0" w:color="auto"/>
        <w:left w:val="none" w:sz="0" w:space="0" w:color="auto"/>
        <w:bottom w:val="none" w:sz="0" w:space="0" w:color="auto"/>
        <w:right w:val="none" w:sz="0" w:space="0" w:color="auto"/>
      </w:divBdr>
    </w:div>
    <w:div w:id="1616018941">
      <w:bodyDiv w:val="1"/>
      <w:marLeft w:val="0"/>
      <w:marRight w:val="0"/>
      <w:marTop w:val="0"/>
      <w:marBottom w:val="0"/>
      <w:divBdr>
        <w:top w:val="none" w:sz="0" w:space="0" w:color="auto"/>
        <w:left w:val="none" w:sz="0" w:space="0" w:color="auto"/>
        <w:bottom w:val="none" w:sz="0" w:space="0" w:color="auto"/>
        <w:right w:val="none" w:sz="0" w:space="0" w:color="auto"/>
      </w:divBdr>
    </w:div>
    <w:div w:id="1616911817">
      <w:bodyDiv w:val="1"/>
      <w:marLeft w:val="0"/>
      <w:marRight w:val="0"/>
      <w:marTop w:val="0"/>
      <w:marBottom w:val="0"/>
      <w:divBdr>
        <w:top w:val="none" w:sz="0" w:space="0" w:color="auto"/>
        <w:left w:val="none" w:sz="0" w:space="0" w:color="auto"/>
        <w:bottom w:val="none" w:sz="0" w:space="0" w:color="auto"/>
        <w:right w:val="none" w:sz="0" w:space="0" w:color="auto"/>
      </w:divBdr>
    </w:div>
    <w:div w:id="1617056537">
      <w:bodyDiv w:val="1"/>
      <w:marLeft w:val="0"/>
      <w:marRight w:val="0"/>
      <w:marTop w:val="0"/>
      <w:marBottom w:val="0"/>
      <w:divBdr>
        <w:top w:val="none" w:sz="0" w:space="0" w:color="auto"/>
        <w:left w:val="none" w:sz="0" w:space="0" w:color="auto"/>
        <w:bottom w:val="none" w:sz="0" w:space="0" w:color="auto"/>
        <w:right w:val="none" w:sz="0" w:space="0" w:color="auto"/>
      </w:divBdr>
    </w:div>
    <w:div w:id="1621377484">
      <w:bodyDiv w:val="1"/>
      <w:marLeft w:val="0"/>
      <w:marRight w:val="0"/>
      <w:marTop w:val="0"/>
      <w:marBottom w:val="0"/>
      <w:divBdr>
        <w:top w:val="none" w:sz="0" w:space="0" w:color="auto"/>
        <w:left w:val="none" w:sz="0" w:space="0" w:color="auto"/>
        <w:bottom w:val="none" w:sz="0" w:space="0" w:color="auto"/>
        <w:right w:val="none" w:sz="0" w:space="0" w:color="auto"/>
      </w:divBdr>
    </w:div>
    <w:div w:id="1622372586">
      <w:bodyDiv w:val="1"/>
      <w:marLeft w:val="0"/>
      <w:marRight w:val="0"/>
      <w:marTop w:val="0"/>
      <w:marBottom w:val="0"/>
      <w:divBdr>
        <w:top w:val="none" w:sz="0" w:space="0" w:color="auto"/>
        <w:left w:val="none" w:sz="0" w:space="0" w:color="auto"/>
        <w:bottom w:val="none" w:sz="0" w:space="0" w:color="auto"/>
        <w:right w:val="none" w:sz="0" w:space="0" w:color="auto"/>
      </w:divBdr>
    </w:div>
    <w:div w:id="1624114473">
      <w:bodyDiv w:val="1"/>
      <w:marLeft w:val="0"/>
      <w:marRight w:val="0"/>
      <w:marTop w:val="0"/>
      <w:marBottom w:val="0"/>
      <w:divBdr>
        <w:top w:val="none" w:sz="0" w:space="0" w:color="auto"/>
        <w:left w:val="none" w:sz="0" w:space="0" w:color="auto"/>
        <w:bottom w:val="none" w:sz="0" w:space="0" w:color="auto"/>
        <w:right w:val="none" w:sz="0" w:space="0" w:color="auto"/>
      </w:divBdr>
    </w:div>
    <w:div w:id="1631401739">
      <w:bodyDiv w:val="1"/>
      <w:marLeft w:val="0"/>
      <w:marRight w:val="0"/>
      <w:marTop w:val="0"/>
      <w:marBottom w:val="0"/>
      <w:divBdr>
        <w:top w:val="none" w:sz="0" w:space="0" w:color="auto"/>
        <w:left w:val="none" w:sz="0" w:space="0" w:color="auto"/>
        <w:bottom w:val="none" w:sz="0" w:space="0" w:color="auto"/>
        <w:right w:val="none" w:sz="0" w:space="0" w:color="auto"/>
      </w:divBdr>
    </w:div>
    <w:div w:id="1632400837">
      <w:bodyDiv w:val="1"/>
      <w:marLeft w:val="0"/>
      <w:marRight w:val="0"/>
      <w:marTop w:val="0"/>
      <w:marBottom w:val="0"/>
      <w:divBdr>
        <w:top w:val="none" w:sz="0" w:space="0" w:color="auto"/>
        <w:left w:val="none" w:sz="0" w:space="0" w:color="auto"/>
        <w:bottom w:val="none" w:sz="0" w:space="0" w:color="auto"/>
        <w:right w:val="none" w:sz="0" w:space="0" w:color="auto"/>
      </w:divBdr>
    </w:div>
    <w:div w:id="1632665194">
      <w:bodyDiv w:val="1"/>
      <w:marLeft w:val="0"/>
      <w:marRight w:val="0"/>
      <w:marTop w:val="0"/>
      <w:marBottom w:val="0"/>
      <w:divBdr>
        <w:top w:val="none" w:sz="0" w:space="0" w:color="auto"/>
        <w:left w:val="none" w:sz="0" w:space="0" w:color="auto"/>
        <w:bottom w:val="none" w:sz="0" w:space="0" w:color="auto"/>
        <w:right w:val="none" w:sz="0" w:space="0" w:color="auto"/>
      </w:divBdr>
    </w:div>
    <w:div w:id="1634368546">
      <w:bodyDiv w:val="1"/>
      <w:marLeft w:val="0"/>
      <w:marRight w:val="0"/>
      <w:marTop w:val="0"/>
      <w:marBottom w:val="0"/>
      <w:divBdr>
        <w:top w:val="none" w:sz="0" w:space="0" w:color="auto"/>
        <w:left w:val="none" w:sz="0" w:space="0" w:color="auto"/>
        <w:bottom w:val="none" w:sz="0" w:space="0" w:color="auto"/>
        <w:right w:val="none" w:sz="0" w:space="0" w:color="auto"/>
      </w:divBdr>
    </w:div>
    <w:div w:id="1635868676">
      <w:bodyDiv w:val="1"/>
      <w:marLeft w:val="0"/>
      <w:marRight w:val="0"/>
      <w:marTop w:val="0"/>
      <w:marBottom w:val="0"/>
      <w:divBdr>
        <w:top w:val="none" w:sz="0" w:space="0" w:color="auto"/>
        <w:left w:val="none" w:sz="0" w:space="0" w:color="auto"/>
        <w:bottom w:val="none" w:sz="0" w:space="0" w:color="auto"/>
        <w:right w:val="none" w:sz="0" w:space="0" w:color="auto"/>
      </w:divBdr>
    </w:div>
    <w:div w:id="1637485966">
      <w:bodyDiv w:val="1"/>
      <w:marLeft w:val="0"/>
      <w:marRight w:val="0"/>
      <w:marTop w:val="0"/>
      <w:marBottom w:val="0"/>
      <w:divBdr>
        <w:top w:val="none" w:sz="0" w:space="0" w:color="auto"/>
        <w:left w:val="none" w:sz="0" w:space="0" w:color="auto"/>
        <w:bottom w:val="none" w:sz="0" w:space="0" w:color="auto"/>
        <w:right w:val="none" w:sz="0" w:space="0" w:color="auto"/>
      </w:divBdr>
    </w:div>
    <w:div w:id="1650017316">
      <w:bodyDiv w:val="1"/>
      <w:marLeft w:val="0"/>
      <w:marRight w:val="0"/>
      <w:marTop w:val="0"/>
      <w:marBottom w:val="0"/>
      <w:divBdr>
        <w:top w:val="none" w:sz="0" w:space="0" w:color="auto"/>
        <w:left w:val="none" w:sz="0" w:space="0" w:color="auto"/>
        <w:bottom w:val="none" w:sz="0" w:space="0" w:color="auto"/>
        <w:right w:val="none" w:sz="0" w:space="0" w:color="auto"/>
      </w:divBdr>
    </w:div>
    <w:div w:id="1655137645">
      <w:bodyDiv w:val="1"/>
      <w:marLeft w:val="0"/>
      <w:marRight w:val="0"/>
      <w:marTop w:val="0"/>
      <w:marBottom w:val="0"/>
      <w:divBdr>
        <w:top w:val="none" w:sz="0" w:space="0" w:color="auto"/>
        <w:left w:val="none" w:sz="0" w:space="0" w:color="auto"/>
        <w:bottom w:val="none" w:sz="0" w:space="0" w:color="auto"/>
        <w:right w:val="none" w:sz="0" w:space="0" w:color="auto"/>
      </w:divBdr>
    </w:div>
    <w:div w:id="1656226277">
      <w:bodyDiv w:val="1"/>
      <w:marLeft w:val="0"/>
      <w:marRight w:val="0"/>
      <w:marTop w:val="0"/>
      <w:marBottom w:val="0"/>
      <w:divBdr>
        <w:top w:val="none" w:sz="0" w:space="0" w:color="auto"/>
        <w:left w:val="none" w:sz="0" w:space="0" w:color="auto"/>
        <w:bottom w:val="none" w:sz="0" w:space="0" w:color="auto"/>
        <w:right w:val="none" w:sz="0" w:space="0" w:color="auto"/>
      </w:divBdr>
    </w:div>
    <w:div w:id="1657609280">
      <w:bodyDiv w:val="1"/>
      <w:marLeft w:val="0"/>
      <w:marRight w:val="0"/>
      <w:marTop w:val="0"/>
      <w:marBottom w:val="0"/>
      <w:divBdr>
        <w:top w:val="none" w:sz="0" w:space="0" w:color="auto"/>
        <w:left w:val="none" w:sz="0" w:space="0" w:color="auto"/>
        <w:bottom w:val="none" w:sz="0" w:space="0" w:color="auto"/>
        <w:right w:val="none" w:sz="0" w:space="0" w:color="auto"/>
      </w:divBdr>
    </w:div>
    <w:div w:id="1661539845">
      <w:bodyDiv w:val="1"/>
      <w:marLeft w:val="0"/>
      <w:marRight w:val="0"/>
      <w:marTop w:val="0"/>
      <w:marBottom w:val="0"/>
      <w:divBdr>
        <w:top w:val="none" w:sz="0" w:space="0" w:color="auto"/>
        <w:left w:val="none" w:sz="0" w:space="0" w:color="auto"/>
        <w:bottom w:val="none" w:sz="0" w:space="0" w:color="auto"/>
        <w:right w:val="none" w:sz="0" w:space="0" w:color="auto"/>
      </w:divBdr>
    </w:div>
    <w:div w:id="1662268139">
      <w:bodyDiv w:val="1"/>
      <w:marLeft w:val="0"/>
      <w:marRight w:val="0"/>
      <w:marTop w:val="0"/>
      <w:marBottom w:val="0"/>
      <w:divBdr>
        <w:top w:val="none" w:sz="0" w:space="0" w:color="auto"/>
        <w:left w:val="none" w:sz="0" w:space="0" w:color="auto"/>
        <w:bottom w:val="none" w:sz="0" w:space="0" w:color="auto"/>
        <w:right w:val="none" w:sz="0" w:space="0" w:color="auto"/>
      </w:divBdr>
    </w:div>
    <w:div w:id="1664158136">
      <w:bodyDiv w:val="1"/>
      <w:marLeft w:val="0"/>
      <w:marRight w:val="0"/>
      <w:marTop w:val="0"/>
      <w:marBottom w:val="0"/>
      <w:divBdr>
        <w:top w:val="none" w:sz="0" w:space="0" w:color="auto"/>
        <w:left w:val="none" w:sz="0" w:space="0" w:color="auto"/>
        <w:bottom w:val="none" w:sz="0" w:space="0" w:color="auto"/>
        <w:right w:val="none" w:sz="0" w:space="0" w:color="auto"/>
      </w:divBdr>
    </w:div>
    <w:div w:id="1665091059">
      <w:bodyDiv w:val="1"/>
      <w:marLeft w:val="0"/>
      <w:marRight w:val="0"/>
      <w:marTop w:val="0"/>
      <w:marBottom w:val="0"/>
      <w:divBdr>
        <w:top w:val="none" w:sz="0" w:space="0" w:color="auto"/>
        <w:left w:val="none" w:sz="0" w:space="0" w:color="auto"/>
        <w:bottom w:val="none" w:sz="0" w:space="0" w:color="auto"/>
        <w:right w:val="none" w:sz="0" w:space="0" w:color="auto"/>
      </w:divBdr>
    </w:div>
    <w:div w:id="1674259625">
      <w:bodyDiv w:val="1"/>
      <w:marLeft w:val="0"/>
      <w:marRight w:val="0"/>
      <w:marTop w:val="0"/>
      <w:marBottom w:val="0"/>
      <w:divBdr>
        <w:top w:val="none" w:sz="0" w:space="0" w:color="auto"/>
        <w:left w:val="none" w:sz="0" w:space="0" w:color="auto"/>
        <w:bottom w:val="none" w:sz="0" w:space="0" w:color="auto"/>
        <w:right w:val="none" w:sz="0" w:space="0" w:color="auto"/>
      </w:divBdr>
    </w:div>
    <w:div w:id="1674334181">
      <w:bodyDiv w:val="1"/>
      <w:marLeft w:val="0"/>
      <w:marRight w:val="0"/>
      <w:marTop w:val="0"/>
      <w:marBottom w:val="0"/>
      <w:divBdr>
        <w:top w:val="none" w:sz="0" w:space="0" w:color="auto"/>
        <w:left w:val="none" w:sz="0" w:space="0" w:color="auto"/>
        <w:bottom w:val="none" w:sz="0" w:space="0" w:color="auto"/>
        <w:right w:val="none" w:sz="0" w:space="0" w:color="auto"/>
      </w:divBdr>
    </w:div>
    <w:div w:id="1676692008">
      <w:bodyDiv w:val="1"/>
      <w:marLeft w:val="0"/>
      <w:marRight w:val="0"/>
      <w:marTop w:val="0"/>
      <w:marBottom w:val="0"/>
      <w:divBdr>
        <w:top w:val="none" w:sz="0" w:space="0" w:color="auto"/>
        <w:left w:val="none" w:sz="0" w:space="0" w:color="auto"/>
        <w:bottom w:val="none" w:sz="0" w:space="0" w:color="auto"/>
        <w:right w:val="none" w:sz="0" w:space="0" w:color="auto"/>
      </w:divBdr>
    </w:div>
    <w:div w:id="1681273429">
      <w:bodyDiv w:val="1"/>
      <w:marLeft w:val="0"/>
      <w:marRight w:val="0"/>
      <w:marTop w:val="0"/>
      <w:marBottom w:val="0"/>
      <w:divBdr>
        <w:top w:val="none" w:sz="0" w:space="0" w:color="auto"/>
        <w:left w:val="none" w:sz="0" w:space="0" w:color="auto"/>
        <w:bottom w:val="none" w:sz="0" w:space="0" w:color="auto"/>
        <w:right w:val="none" w:sz="0" w:space="0" w:color="auto"/>
      </w:divBdr>
    </w:div>
    <w:div w:id="1683817266">
      <w:bodyDiv w:val="1"/>
      <w:marLeft w:val="0"/>
      <w:marRight w:val="0"/>
      <w:marTop w:val="0"/>
      <w:marBottom w:val="0"/>
      <w:divBdr>
        <w:top w:val="none" w:sz="0" w:space="0" w:color="auto"/>
        <w:left w:val="none" w:sz="0" w:space="0" w:color="auto"/>
        <w:bottom w:val="none" w:sz="0" w:space="0" w:color="auto"/>
        <w:right w:val="none" w:sz="0" w:space="0" w:color="auto"/>
      </w:divBdr>
    </w:div>
    <w:div w:id="1691249828">
      <w:bodyDiv w:val="1"/>
      <w:marLeft w:val="0"/>
      <w:marRight w:val="0"/>
      <w:marTop w:val="0"/>
      <w:marBottom w:val="0"/>
      <w:divBdr>
        <w:top w:val="none" w:sz="0" w:space="0" w:color="auto"/>
        <w:left w:val="none" w:sz="0" w:space="0" w:color="auto"/>
        <w:bottom w:val="none" w:sz="0" w:space="0" w:color="auto"/>
        <w:right w:val="none" w:sz="0" w:space="0" w:color="auto"/>
      </w:divBdr>
    </w:div>
    <w:div w:id="1693335686">
      <w:bodyDiv w:val="1"/>
      <w:marLeft w:val="0"/>
      <w:marRight w:val="0"/>
      <w:marTop w:val="0"/>
      <w:marBottom w:val="0"/>
      <w:divBdr>
        <w:top w:val="none" w:sz="0" w:space="0" w:color="auto"/>
        <w:left w:val="none" w:sz="0" w:space="0" w:color="auto"/>
        <w:bottom w:val="none" w:sz="0" w:space="0" w:color="auto"/>
        <w:right w:val="none" w:sz="0" w:space="0" w:color="auto"/>
      </w:divBdr>
    </w:div>
    <w:div w:id="1693536537">
      <w:bodyDiv w:val="1"/>
      <w:marLeft w:val="0"/>
      <w:marRight w:val="0"/>
      <w:marTop w:val="0"/>
      <w:marBottom w:val="0"/>
      <w:divBdr>
        <w:top w:val="none" w:sz="0" w:space="0" w:color="auto"/>
        <w:left w:val="none" w:sz="0" w:space="0" w:color="auto"/>
        <w:bottom w:val="none" w:sz="0" w:space="0" w:color="auto"/>
        <w:right w:val="none" w:sz="0" w:space="0" w:color="auto"/>
      </w:divBdr>
    </w:div>
    <w:div w:id="1696341663">
      <w:bodyDiv w:val="1"/>
      <w:marLeft w:val="0"/>
      <w:marRight w:val="0"/>
      <w:marTop w:val="0"/>
      <w:marBottom w:val="0"/>
      <w:divBdr>
        <w:top w:val="none" w:sz="0" w:space="0" w:color="auto"/>
        <w:left w:val="none" w:sz="0" w:space="0" w:color="auto"/>
        <w:bottom w:val="none" w:sz="0" w:space="0" w:color="auto"/>
        <w:right w:val="none" w:sz="0" w:space="0" w:color="auto"/>
      </w:divBdr>
    </w:div>
    <w:div w:id="1696737064">
      <w:bodyDiv w:val="1"/>
      <w:marLeft w:val="0"/>
      <w:marRight w:val="0"/>
      <w:marTop w:val="0"/>
      <w:marBottom w:val="0"/>
      <w:divBdr>
        <w:top w:val="none" w:sz="0" w:space="0" w:color="auto"/>
        <w:left w:val="none" w:sz="0" w:space="0" w:color="auto"/>
        <w:bottom w:val="none" w:sz="0" w:space="0" w:color="auto"/>
        <w:right w:val="none" w:sz="0" w:space="0" w:color="auto"/>
      </w:divBdr>
    </w:div>
    <w:div w:id="1696926188">
      <w:bodyDiv w:val="1"/>
      <w:marLeft w:val="0"/>
      <w:marRight w:val="0"/>
      <w:marTop w:val="0"/>
      <w:marBottom w:val="0"/>
      <w:divBdr>
        <w:top w:val="none" w:sz="0" w:space="0" w:color="auto"/>
        <w:left w:val="none" w:sz="0" w:space="0" w:color="auto"/>
        <w:bottom w:val="none" w:sz="0" w:space="0" w:color="auto"/>
        <w:right w:val="none" w:sz="0" w:space="0" w:color="auto"/>
      </w:divBdr>
    </w:div>
    <w:div w:id="1698502223">
      <w:bodyDiv w:val="1"/>
      <w:marLeft w:val="0"/>
      <w:marRight w:val="0"/>
      <w:marTop w:val="0"/>
      <w:marBottom w:val="0"/>
      <w:divBdr>
        <w:top w:val="none" w:sz="0" w:space="0" w:color="auto"/>
        <w:left w:val="none" w:sz="0" w:space="0" w:color="auto"/>
        <w:bottom w:val="none" w:sz="0" w:space="0" w:color="auto"/>
        <w:right w:val="none" w:sz="0" w:space="0" w:color="auto"/>
      </w:divBdr>
    </w:div>
    <w:div w:id="1701933093">
      <w:bodyDiv w:val="1"/>
      <w:marLeft w:val="0"/>
      <w:marRight w:val="0"/>
      <w:marTop w:val="0"/>
      <w:marBottom w:val="0"/>
      <w:divBdr>
        <w:top w:val="none" w:sz="0" w:space="0" w:color="auto"/>
        <w:left w:val="none" w:sz="0" w:space="0" w:color="auto"/>
        <w:bottom w:val="none" w:sz="0" w:space="0" w:color="auto"/>
        <w:right w:val="none" w:sz="0" w:space="0" w:color="auto"/>
      </w:divBdr>
    </w:div>
    <w:div w:id="1702316330">
      <w:bodyDiv w:val="1"/>
      <w:marLeft w:val="0"/>
      <w:marRight w:val="0"/>
      <w:marTop w:val="0"/>
      <w:marBottom w:val="0"/>
      <w:divBdr>
        <w:top w:val="none" w:sz="0" w:space="0" w:color="auto"/>
        <w:left w:val="none" w:sz="0" w:space="0" w:color="auto"/>
        <w:bottom w:val="none" w:sz="0" w:space="0" w:color="auto"/>
        <w:right w:val="none" w:sz="0" w:space="0" w:color="auto"/>
      </w:divBdr>
    </w:div>
    <w:div w:id="1702439050">
      <w:bodyDiv w:val="1"/>
      <w:marLeft w:val="0"/>
      <w:marRight w:val="0"/>
      <w:marTop w:val="0"/>
      <w:marBottom w:val="0"/>
      <w:divBdr>
        <w:top w:val="none" w:sz="0" w:space="0" w:color="auto"/>
        <w:left w:val="none" w:sz="0" w:space="0" w:color="auto"/>
        <w:bottom w:val="none" w:sz="0" w:space="0" w:color="auto"/>
        <w:right w:val="none" w:sz="0" w:space="0" w:color="auto"/>
      </w:divBdr>
    </w:div>
    <w:div w:id="1704937110">
      <w:bodyDiv w:val="1"/>
      <w:marLeft w:val="0"/>
      <w:marRight w:val="0"/>
      <w:marTop w:val="0"/>
      <w:marBottom w:val="0"/>
      <w:divBdr>
        <w:top w:val="none" w:sz="0" w:space="0" w:color="auto"/>
        <w:left w:val="none" w:sz="0" w:space="0" w:color="auto"/>
        <w:bottom w:val="none" w:sz="0" w:space="0" w:color="auto"/>
        <w:right w:val="none" w:sz="0" w:space="0" w:color="auto"/>
      </w:divBdr>
    </w:div>
    <w:div w:id="1705134100">
      <w:bodyDiv w:val="1"/>
      <w:marLeft w:val="0"/>
      <w:marRight w:val="0"/>
      <w:marTop w:val="0"/>
      <w:marBottom w:val="0"/>
      <w:divBdr>
        <w:top w:val="none" w:sz="0" w:space="0" w:color="auto"/>
        <w:left w:val="none" w:sz="0" w:space="0" w:color="auto"/>
        <w:bottom w:val="none" w:sz="0" w:space="0" w:color="auto"/>
        <w:right w:val="none" w:sz="0" w:space="0" w:color="auto"/>
      </w:divBdr>
    </w:div>
    <w:div w:id="1706904314">
      <w:bodyDiv w:val="1"/>
      <w:marLeft w:val="0"/>
      <w:marRight w:val="0"/>
      <w:marTop w:val="0"/>
      <w:marBottom w:val="0"/>
      <w:divBdr>
        <w:top w:val="none" w:sz="0" w:space="0" w:color="auto"/>
        <w:left w:val="none" w:sz="0" w:space="0" w:color="auto"/>
        <w:bottom w:val="none" w:sz="0" w:space="0" w:color="auto"/>
        <w:right w:val="none" w:sz="0" w:space="0" w:color="auto"/>
      </w:divBdr>
    </w:div>
    <w:div w:id="1710184529">
      <w:bodyDiv w:val="1"/>
      <w:marLeft w:val="0"/>
      <w:marRight w:val="0"/>
      <w:marTop w:val="0"/>
      <w:marBottom w:val="0"/>
      <w:divBdr>
        <w:top w:val="none" w:sz="0" w:space="0" w:color="auto"/>
        <w:left w:val="none" w:sz="0" w:space="0" w:color="auto"/>
        <w:bottom w:val="none" w:sz="0" w:space="0" w:color="auto"/>
        <w:right w:val="none" w:sz="0" w:space="0" w:color="auto"/>
      </w:divBdr>
    </w:div>
    <w:div w:id="1710757183">
      <w:bodyDiv w:val="1"/>
      <w:marLeft w:val="0"/>
      <w:marRight w:val="0"/>
      <w:marTop w:val="0"/>
      <w:marBottom w:val="0"/>
      <w:divBdr>
        <w:top w:val="none" w:sz="0" w:space="0" w:color="auto"/>
        <w:left w:val="none" w:sz="0" w:space="0" w:color="auto"/>
        <w:bottom w:val="none" w:sz="0" w:space="0" w:color="auto"/>
        <w:right w:val="none" w:sz="0" w:space="0" w:color="auto"/>
      </w:divBdr>
    </w:div>
    <w:div w:id="1711228162">
      <w:bodyDiv w:val="1"/>
      <w:marLeft w:val="0"/>
      <w:marRight w:val="0"/>
      <w:marTop w:val="0"/>
      <w:marBottom w:val="0"/>
      <w:divBdr>
        <w:top w:val="none" w:sz="0" w:space="0" w:color="auto"/>
        <w:left w:val="none" w:sz="0" w:space="0" w:color="auto"/>
        <w:bottom w:val="none" w:sz="0" w:space="0" w:color="auto"/>
        <w:right w:val="none" w:sz="0" w:space="0" w:color="auto"/>
      </w:divBdr>
    </w:div>
    <w:div w:id="1711370628">
      <w:bodyDiv w:val="1"/>
      <w:marLeft w:val="0"/>
      <w:marRight w:val="0"/>
      <w:marTop w:val="0"/>
      <w:marBottom w:val="0"/>
      <w:divBdr>
        <w:top w:val="none" w:sz="0" w:space="0" w:color="auto"/>
        <w:left w:val="none" w:sz="0" w:space="0" w:color="auto"/>
        <w:bottom w:val="none" w:sz="0" w:space="0" w:color="auto"/>
        <w:right w:val="none" w:sz="0" w:space="0" w:color="auto"/>
      </w:divBdr>
    </w:div>
    <w:div w:id="1711956039">
      <w:bodyDiv w:val="1"/>
      <w:marLeft w:val="0"/>
      <w:marRight w:val="0"/>
      <w:marTop w:val="0"/>
      <w:marBottom w:val="0"/>
      <w:divBdr>
        <w:top w:val="none" w:sz="0" w:space="0" w:color="auto"/>
        <w:left w:val="none" w:sz="0" w:space="0" w:color="auto"/>
        <w:bottom w:val="none" w:sz="0" w:space="0" w:color="auto"/>
        <w:right w:val="none" w:sz="0" w:space="0" w:color="auto"/>
      </w:divBdr>
    </w:div>
    <w:div w:id="1716345225">
      <w:bodyDiv w:val="1"/>
      <w:marLeft w:val="0"/>
      <w:marRight w:val="0"/>
      <w:marTop w:val="0"/>
      <w:marBottom w:val="0"/>
      <w:divBdr>
        <w:top w:val="none" w:sz="0" w:space="0" w:color="auto"/>
        <w:left w:val="none" w:sz="0" w:space="0" w:color="auto"/>
        <w:bottom w:val="none" w:sz="0" w:space="0" w:color="auto"/>
        <w:right w:val="none" w:sz="0" w:space="0" w:color="auto"/>
      </w:divBdr>
    </w:div>
    <w:div w:id="1717661540">
      <w:bodyDiv w:val="1"/>
      <w:marLeft w:val="0"/>
      <w:marRight w:val="0"/>
      <w:marTop w:val="0"/>
      <w:marBottom w:val="0"/>
      <w:divBdr>
        <w:top w:val="none" w:sz="0" w:space="0" w:color="auto"/>
        <w:left w:val="none" w:sz="0" w:space="0" w:color="auto"/>
        <w:bottom w:val="none" w:sz="0" w:space="0" w:color="auto"/>
        <w:right w:val="none" w:sz="0" w:space="0" w:color="auto"/>
      </w:divBdr>
    </w:div>
    <w:div w:id="1717854243">
      <w:bodyDiv w:val="1"/>
      <w:marLeft w:val="0"/>
      <w:marRight w:val="0"/>
      <w:marTop w:val="0"/>
      <w:marBottom w:val="0"/>
      <w:divBdr>
        <w:top w:val="none" w:sz="0" w:space="0" w:color="auto"/>
        <w:left w:val="none" w:sz="0" w:space="0" w:color="auto"/>
        <w:bottom w:val="none" w:sz="0" w:space="0" w:color="auto"/>
        <w:right w:val="none" w:sz="0" w:space="0" w:color="auto"/>
      </w:divBdr>
    </w:div>
    <w:div w:id="1721855615">
      <w:bodyDiv w:val="1"/>
      <w:marLeft w:val="0"/>
      <w:marRight w:val="0"/>
      <w:marTop w:val="0"/>
      <w:marBottom w:val="0"/>
      <w:divBdr>
        <w:top w:val="none" w:sz="0" w:space="0" w:color="auto"/>
        <w:left w:val="none" w:sz="0" w:space="0" w:color="auto"/>
        <w:bottom w:val="none" w:sz="0" w:space="0" w:color="auto"/>
        <w:right w:val="none" w:sz="0" w:space="0" w:color="auto"/>
      </w:divBdr>
    </w:div>
    <w:div w:id="1726492661">
      <w:bodyDiv w:val="1"/>
      <w:marLeft w:val="0"/>
      <w:marRight w:val="0"/>
      <w:marTop w:val="0"/>
      <w:marBottom w:val="0"/>
      <w:divBdr>
        <w:top w:val="none" w:sz="0" w:space="0" w:color="auto"/>
        <w:left w:val="none" w:sz="0" w:space="0" w:color="auto"/>
        <w:bottom w:val="none" w:sz="0" w:space="0" w:color="auto"/>
        <w:right w:val="none" w:sz="0" w:space="0" w:color="auto"/>
      </w:divBdr>
    </w:div>
    <w:div w:id="1729722410">
      <w:bodyDiv w:val="1"/>
      <w:marLeft w:val="0"/>
      <w:marRight w:val="0"/>
      <w:marTop w:val="0"/>
      <w:marBottom w:val="0"/>
      <w:divBdr>
        <w:top w:val="none" w:sz="0" w:space="0" w:color="auto"/>
        <w:left w:val="none" w:sz="0" w:space="0" w:color="auto"/>
        <w:bottom w:val="none" w:sz="0" w:space="0" w:color="auto"/>
        <w:right w:val="none" w:sz="0" w:space="0" w:color="auto"/>
      </w:divBdr>
    </w:div>
    <w:div w:id="1730764820">
      <w:bodyDiv w:val="1"/>
      <w:marLeft w:val="0"/>
      <w:marRight w:val="0"/>
      <w:marTop w:val="0"/>
      <w:marBottom w:val="0"/>
      <w:divBdr>
        <w:top w:val="none" w:sz="0" w:space="0" w:color="auto"/>
        <w:left w:val="none" w:sz="0" w:space="0" w:color="auto"/>
        <w:bottom w:val="none" w:sz="0" w:space="0" w:color="auto"/>
        <w:right w:val="none" w:sz="0" w:space="0" w:color="auto"/>
      </w:divBdr>
    </w:div>
    <w:div w:id="1733845201">
      <w:bodyDiv w:val="1"/>
      <w:marLeft w:val="0"/>
      <w:marRight w:val="0"/>
      <w:marTop w:val="0"/>
      <w:marBottom w:val="0"/>
      <w:divBdr>
        <w:top w:val="none" w:sz="0" w:space="0" w:color="auto"/>
        <w:left w:val="none" w:sz="0" w:space="0" w:color="auto"/>
        <w:bottom w:val="none" w:sz="0" w:space="0" w:color="auto"/>
        <w:right w:val="none" w:sz="0" w:space="0" w:color="auto"/>
      </w:divBdr>
    </w:div>
    <w:div w:id="1733960927">
      <w:bodyDiv w:val="1"/>
      <w:marLeft w:val="0"/>
      <w:marRight w:val="0"/>
      <w:marTop w:val="0"/>
      <w:marBottom w:val="0"/>
      <w:divBdr>
        <w:top w:val="none" w:sz="0" w:space="0" w:color="auto"/>
        <w:left w:val="none" w:sz="0" w:space="0" w:color="auto"/>
        <w:bottom w:val="none" w:sz="0" w:space="0" w:color="auto"/>
        <w:right w:val="none" w:sz="0" w:space="0" w:color="auto"/>
      </w:divBdr>
    </w:div>
    <w:div w:id="1736270235">
      <w:bodyDiv w:val="1"/>
      <w:marLeft w:val="0"/>
      <w:marRight w:val="0"/>
      <w:marTop w:val="0"/>
      <w:marBottom w:val="0"/>
      <w:divBdr>
        <w:top w:val="none" w:sz="0" w:space="0" w:color="auto"/>
        <w:left w:val="none" w:sz="0" w:space="0" w:color="auto"/>
        <w:bottom w:val="none" w:sz="0" w:space="0" w:color="auto"/>
        <w:right w:val="none" w:sz="0" w:space="0" w:color="auto"/>
      </w:divBdr>
    </w:div>
    <w:div w:id="1740907044">
      <w:bodyDiv w:val="1"/>
      <w:marLeft w:val="0"/>
      <w:marRight w:val="0"/>
      <w:marTop w:val="0"/>
      <w:marBottom w:val="0"/>
      <w:divBdr>
        <w:top w:val="none" w:sz="0" w:space="0" w:color="auto"/>
        <w:left w:val="none" w:sz="0" w:space="0" w:color="auto"/>
        <w:bottom w:val="none" w:sz="0" w:space="0" w:color="auto"/>
        <w:right w:val="none" w:sz="0" w:space="0" w:color="auto"/>
      </w:divBdr>
    </w:div>
    <w:div w:id="1742408479">
      <w:bodyDiv w:val="1"/>
      <w:marLeft w:val="0"/>
      <w:marRight w:val="0"/>
      <w:marTop w:val="0"/>
      <w:marBottom w:val="0"/>
      <w:divBdr>
        <w:top w:val="none" w:sz="0" w:space="0" w:color="auto"/>
        <w:left w:val="none" w:sz="0" w:space="0" w:color="auto"/>
        <w:bottom w:val="none" w:sz="0" w:space="0" w:color="auto"/>
        <w:right w:val="none" w:sz="0" w:space="0" w:color="auto"/>
      </w:divBdr>
    </w:div>
    <w:div w:id="1743138976">
      <w:bodyDiv w:val="1"/>
      <w:marLeft w:val="0"/>
      <w:marRight w:val="0"/>
      <w:marTop w:val="0"/>
      <w:marBottom w:val="0"/>
      <w:divBdr>
        <w:top w:val="none" w:sz="0" w:space="0" w:color="auto"/>
        <w:left w:val="none" w:sz="0" w:space="0" w:color="auto"/>
        <w:bottom w:val="none" w:sz="0" w:space="0" w:color="auto"/>
        <w:right w:val="none" w:sz="0" w:space="0" w:color="auto"/>
      </w:divBdr>
    </w:div>
    <w:div w:id="1744790703">
      <w:bodyDiv w:val="1"/>
      <w:marLeft w:val="0"/>
      <w:marRight w:val="0"/>
      <w:marTop w:val="0"/>
      <w:marBottom w:val="0"/>
      <w:divBdr>
        <w:top w:val="none" w:sz="0" w:space="0" w:color="auto"/>
        <w:left w:val="none" w:sz="0" w:space="0" w:color="auto"/>
        <w:bottom w:val="none" w:sz="0" w:space="0" w:color="auto"/>
        <w:right w:val="none" w:sz="0" w:space="0" w:color="auto"/>
      </w:divBdr>
    </w:div>
    <w:div w:id="1745099876">
      <w:bodyDiv w:val="1"/>
      <w:marLeft w:val="0"/>
      <w:marRight w:val="0"/>
      <w:marTop w:val="0"/>
      <w:marBottom w:val="0"/>
      <w:divBdr>
        <w:top w:val="none" w:sz="0" w:space="0" w:color="auto"/>
        <w:left w:val="none" w:sz="0" w:space="0" w:color="auto"/>
        <w:bottom w:val="none" w:sz="0" w:space="0" w:color="auto"/>
        <w:right w:val="none" w:sz="0" w:space="0" w:color="auto"/>
      </w:divBdr>
    </w:div>
    <w:div w:id="1748839195">
      <w:bodyDiv w:val="1"/>
      <w:marLeft w:val="0"/>
      <w:marRight w:val="0"/>
      <w:marTop w:val="0"/>
      <w:marBottom w:val="0"/>
      <w:divBdr>
        <w:top w:val="none" w:sz="0" w:space="0" w:color="auto"/>
        <w:left w:val="none" w:sz="0" w:space="0" w:color="auto"/>
        <w:bottom w:val="none" w:sz="0" w:space="0" w:color="auto"/>
        <w:right w:val="none" w:sz="0" w:space="0" w:color="auto"/>
      </w:divBdr>
    </w:div>
    <w:div w:id="1757745316">
      <w:bodyDiv w:val="1"/>
      <w:marLeft w:val="0"/>
      <w:marRight w:val="0"/>
      <w:marTop w:val="0"/>
      <w:marBottom w:val="0"/>
      <w:divBdr>
        <w:top w:val="none" w:sz="0" w:space="0" w:color="auto"/>
        <w:left w:val="none" w:sz="0" w:space="0" w:color="auto"/>
        <w:bottom w:val="none" w:sz="0" w:space="0" w:color="auto"/>
        <w:right w:val="none" w:sz="0" w:space="0" w:color="auto"/>
      </w:divBdr>
    </w:div>
    <w:div w:id="1758406857">
      <w:bodyDiv w:val="1"/>
      <w:marLeft w:val="0"/>
      <w:marRight w:val="0"/>
      <w:marTop w:val="0"/>
      <w:marBottom w:val="0"/>
      <w:divBdr>
        <w:top w:val="none" w:sz="0" w:space="0" w:color="auto"/>
        <w:left w:val="none" w:sz="0" w:space="0" w:color="auto"/>
        <w:bottom w:val="none" w:sz="0" w:space="0" w:color="auto"/>
        <w:right w:val="none" w:sz="0" w:space="0" w:color="auto"/>
      </w:divBdr>
    </w:div>
    <w:div w:id="1758676394">
      <w:bodyDiv w:val="1"/>
      <w:marLeft w:val="0"/>
      <w:marRight w:val="0"/>
      <w:marTop w:val="0"/>
      <w:marBottom w:val="0"/>
      <w:divBdr>
        <w:top w:val="none" w:sz="0" w:space="0" w:color="auto"/>
        <w:left w:val="none" w:sz="0" w:space="0" w:color="auto"/>
        <w:bottom w:val="none" w:sz="0" w:space="0" w:color="auto"/>
        <w:right w:val="none" w:sz="0" w:space="0" w:color="auto"/>
      </w:divBdr>
    </w:div>
    <w:div w:id="1759666472">
      <w:bodyDiv w:val="1"/>
      <w:marLeft w:val="0"/>
      <w:marRight w:val="0"/>
      <w:marTop w:val="0"/>
      <w:marBottom w:val="0"/>
      <w:divBdr>
        <w:top w:val="none" w:sz="0" w:space="0" w:color="auto"/>
        <w:left w:val="none" w:sz="0" w:space="0" w:color="auto"/>
        <w:bottom w:val="none" w:sz="0" w:space="0" w:color="auto"/>
        <w:right w:val="none" w:sz="0" w:space="0" w:color="auto"/>
      </w:divBdr>
    </w:div>
    <w:div w:id="1761607770">
      <w:bodyDiv w:val="1"/>
      <w:marLeft w:val="0"/>
      <w:marRight w:val="0"/>
      <w:marTop w:val="0"/>
      <w:marBottom w:val="0"/>
      <w:divBdr>
        <w:top w:val="none" w:sz="0" w:space="0" w:color="auto"/>
        <w:left w:val="none" w:sz="0" w:space="0" w:color="auto"/>
        <w:bottom w:val="none" w:sz="0" w:space="0" w:color="auto"/>
        <w:right w:val="none" w:sz="0" w:space="0" w:color="auto"/>
      </w:divBdr>
    </w:div>
    <w:div w:id="1762331925">
      <w:bodyDiv w:val="1"/>
      <w:marLeft w:val="0"/>
      <w:marRight w:val="0"/>
      <w:marTop w:val="0"/>
      <w:marBottom w:val="0"/>
      <w:divBdr>
        <w:top w:val="none" w:sz="0" w:space="0" w:color="auto"/>
        <w:left w:val="none" w:sz="0" w:space="0" w:color="auto"/>
        <w:bottom w:val="none" w:sz="0" w:space="0" w:color="auto"/>
        <w:right w:val="none" w:sz="0" w:space="0" w:color="auto"/>
      </w:divBdr>
    </w:div>
    <w:div w:id="1764492530">
      <w:bodyDiv w:val="1"/>
      <w:marLeft w:val="0"/>
      <w:marRight w:val="0"/>
      <w:marTop w:val="0"/>
      <w:marBottom w:val="0"/>
      <w:divBdr>
        <w:top w:val="none" w:sz="0" w:space="0" w:color="auto"/>
        <w:left w:val="none" w:sz="0" w:space="0" w:color="auto"/>
        <w:bottom w:val="none" w:sz="0" w:space="0" w:color="auto"/>
        <w:right w:val="none" w:sz="0" w:space="0" w:color="auto"/>
      </w:divBdr>
    </w:div>
    <w:div w:id="1764644546">
      <w:bodyDiv w:val="1"/>
      <w:marLeft w:val="0"/>
      <w:marRight w:val="0"/>
      <w:marTop w:val="0"/>
      <w:marBottom w:val="0"/>
      <w:divBdr>
        <w:top w:val="none" w:sz="0" w:space="0" w:color="auto"/>
        <w:left w:val="none" w:sz="0" w:space="0" w:color="auto"/>
        <w:bottom w:val="none" w:sz="0" w:space="0" w:color="auto"/>
        <w:right w:val="none" w:sz="0" w:space="0" w:color="auto"/>
      </w:divBdr>
    </w:div>
    <w:div w:id="1764767204">
      <w:bodyDiv w:val="1"/>
      <w:marLeft w:val="0"/>
      <w:marRight w:val="0"/>
      <w:marTop w:val="0"/>
      <w:marBottom w:val="0"/>
      <w:divBdr>
        <w:top w:val="none" w:sz="0" w:space="0" w:color="auto"/>
        <w:left w:val="none" w:sz="0" w:space="0" w:color="auto"/>
        <w:bottom w:val="none" w:sz="0" w:space="0" w:color="auto"/>
        <w:right w:val="none" w:sz="0" w:space="0" w:color="auto"/>
      </w:divBdr>
    </w:div>
    <w:div w:id="1768233074">
      <w:bodyDiv w:val="1"/>
      <w:marLeft w:val="0"/>
      <w:marRight w:val="0"/>
      <w:marTop w:val="0"/>
      <w:marBottom w:val="0"/>
      <w:divBdr>
        <w:top w:val="none" w:sz="0" w:space="0" w:color="auto"/>
        <w:left w:val="none" w:sz="0" w:space="0" w:color="auto"/>
        <w:bottom w:val="none" w:sz="0" w:space="0" w:color="auto"/>
        <w:right w:val="none" w:sz="0" w:space="0" w:color="auto"/>
      </w:divBdr>
    </w:div>
    <w:div w:id="1770274938">
      <w:bodyDiv w:val="1"/>
      <w:marLeft w:val="0"/>
      <w:marRight w:val="0"/>
      <w:marTop w:val="0"/>
      <w:marBottom w:val="0"/>
      <w:divBdr>
        <w:top w:val="none" w:sz="0" w:space="0" w:color="auto"/>
        <w:left w:val="none" w:sz="0" w:space="0" w:color="auto"/>
        <w:bottom w:val="none" w:sz="0" w:space="0" w:color="auto"/>
        <w:right w:val="none" w:sz="0" w:space="0" w:color="auto"/>
      </w:divBdr>
    </w:div>
    <w:div w:id="1782382938">
      <w:bodyDiv w:val="1"/>
      <w:marLeft w:val="0"/>
      <w:marRight w:val="0"/>
      <w:marTop w:val="0"/>
      <w:marBottom w:val="0"/>
      <w:divBdr>
        <w:top w:val="none" w:sz="0" w:space="0" w:color="auto"/>
        <w:left w:val="none" w:sz="0" w:space="0" w:color="auto"/>
        <w:bottom w:val="none" w:sz="0" w:space="0" w:color="auto"/>
        <w:right w:val="none" w:sz="0" w:space="0" w:color="auto"/>
      </w:divBdr>
    </w:div>
    <w:div w:id="1789083288">
      <w:bodyDiv w:val="1"/>
      <w:marLeft w:val="0"/>
      <w:marRight w:val="0"/>
      <w:marTop w:val="0"/>
      <w:marBottom w:val="0"/>
      <w:divBdr>
        <w:top w:val="none" w:sz="0" w:space="0" w:color="auto"/>
        <w:left w:val="none" w:sz="0" w:space="0" w:color="auto"/>
        <w:bottom w:val="none" w:sz="0" w:space="0" w:color="auto"/>
        <w:right w:val="none" w:sz="0" w:space="0" w:color="auto"/>
      </w:divBdr>
    </w:div>
    <w:div w:id="1789423800">
      <w:bodyDiv w:val="1"/>
      <w:marLeft w:val="0"/>
      <w:marRight w:val="0"/>
      <w:marTop w:val="0"/>
      <w:marBottom w:val="0"/>
      <w:divBdr>
        <w:top w:val="none" w:sz="0" w:space="0" w:color="auto"/>
        <w:left w:val="none" w:sz="0" w:space="0" w:color="auto"/>
        <w:bottom w:val="none" w:sz="0" w:space="0" w:color="auto"/>
        <w:right w:val="none" w:sz="0" w:space="0" w:color="auto"/>
      </w:divBdr>
    </w:div>
    <w:div w:id="1792744369">
      <w:bodyDiv w:val="1"/>
      <w:marLeft w:val="0"/>
      <w:marRight w:val="0"/>
      <w:marTop w:val="0"/>
      <w:marBottom w:val="0"/>
      <w:divBdr>
        <w:top w:val="none" w:sz="0" w:space="0" w:color="auto"/>
        <w:left w:val="none" w:sz="0" w:space="0" w:color="auto"/>
        <w:bottom w:val="none" w:sz="0" w:space="0" w:color="auto"/>
        <w:right w:val="none" w:sz="0" w:space="0" w:color="auto"/>
      </w:divBdr>
    </w:div>
    <w:div w:id="1793556403">
      <w:bodyDiv w:val="1"/>
      <w:marLeft w:val="0"/>
      <w:marRight w:val="0"/>
      <w:marTop w:val="0"/>
      <w:marBottom w:val="0"/>
      <w:divBdr>
        <w:top w:val="none" w:sz="0" w:space="0" w:color="auto"/>
        <w:left w:val="none" w:sz="0" w:space="0" w:color="auto"/>
        <w:bottom w:val="none" w:sz="0" w:space="0" w:color="auto"/>
        <w:right w:val="none" w:sz="0" w:space="0" w:color="auto"/>
      </w:divBdr>
    </w:div>
    <w:div w:id="1794060275">
      <w:bodyDiv w:val="1"/>
      <w:marLeft w:val="0"/>
      <w:marRight w:val="0"/>
      <w:marTop w:val="0"/>
      <w:marBottom w:val="0"/>
      <w:divBdr>
        <w:top w:val="none" w:sz="0" w:space="0" w:color="auto"/>
        <w:left w:val="none" w:sz="0" w:space="0" w:color="auto"/>
        <w:bottom w:val="none" w:sz="0" w:space="0" w:color="auto"/>
        <w:right w:val="none" w:sz="0" w:space="0" w:color="auto"/>
      </w:divBdr>
    </w:div>
    <w:div w:id="1795250527">
      <w:bodyDiv w:val="1"/>
      <w:marLeft w:val="0"/>
      <w:marRight w:val="0"/>
      <w:marTop w:val="0"/>
      <w:marBottom w:val="0"/>
      <w:divBdr>
        <w:top w:val="none" w:sz="0" w:space="0" w:color="auto"/>
        <w:left w:val="none" w:sz="0" w:space="0" w:color="auto"/>
        <w:bottom w:val="none" w:sz="0" w:space="0" w:color="auto"/>
        <w:right w:val="none" w:sz="0" w:space="0" w:color="auto"/>
      </w:divBdr>
    </w:div>
    <w:div w:id="1796093740">
      <w:bodyDiv w:val="1"/>
      <w:marLeft w:val="0"/>
      <w:marRight w:val="0"/>
      <w:marTop w:val="0"/>
      <w:marBottom w:val="0"/>
      <w:divBdr>
        <w:top w:val="none" w:sz="0" w:space="0" w:color="auto"/>
        <w:left w:val="none" w:sz="0" w:space="0" w:color="auto"/>
        <w:bottom w:val="none" w:sz="0" w:space="0" w:color="auto"/>
        <w:right w:val="none" w:sz="0" w:space="0" w:color="auto"/>
      </w:divBdr>
    </w:div>
    <w:div w:id="1796489102">
      <w:bodyDiv w:val="1"/>
      <w:marLeft w:val="0"/>
      <w:marRight w:val="0"/>
      <w:marTop w:val="0"/>
      <w:marBottom w:val="0"/>
      <w:divBdr>
        <w:top w:val="none" w:sz="0" w:space="0" w:color="auto"/>
        <w:left w:val="none" w:sz="0" w:space="0" w:color="auto"/>
        <w:bottom w:val="none" w:sz="0" w:space="0" w:color="auto"/>
        <w:right w:val="none" w:sz="0" w:space="0" w:color="auto"/>
      </w:divBdr>
    </w:div>
    <w:div w:id="1797333656">
      <w:bodyDiv w:val="1"/>
      <w:marLeft w:val="0"/>
      <w:marRight w:val="0"/>
      <w:marTop w:val="0"/>
      <w:marBottom w:val="0"/>
      <w:divBdr>
        <w:top w:val="none" w:sz="0" w:space="0" w:color="auto"/>
        <w:left w:val="none" w:sz="0" w:space="0" w:color="auto"/>
        <w:bottom w:val="none" w:sz="0" w:space="0" w:color="auto"/>
        <w:right w:val="none" w:sz="0" w:space="0" w:color="auto"/>
      </w:divBdr>
    </w:div>
    <w:div w:id="1806123712">
      <w:bodyDiv w:val="1"/>
      <w:marLeft w:val="0"/>
      <w:marRight w:val="0"/>
      <w:marTop w:val="0"/>
      <w:marBottom w:val="0"/>
      <w:divBdr>
        <w:top w:val="none" w:sz="0" w:space="0" w:color="auto"/>
        <w:left w:val="none" w:sz="0" w:space="0" w:color="auto"/>
        <w:bottom w:val="none" w:sz="0" w:space="0" w:color="auto"/>
        <w:right w:val="none" w:sz="0" w:space="0" w:color="auto"/>
      </w:divBdr>
    </w:div>
    <w:div w:id="1813207504">
      <w:bodyDiv w:val="1"/>
      <w:marLeft w:val="0"/>
      <w:marRight w:val="0"/>
      <w:marTop w:val="0"/>
      <w:marBottom w:val="0"/>
      <w:divBdr>
        <w:top w:val="none" w:sz="0" w:space="0" w:color="auto"/>
        <w:left w:val="none" w:sz="0" w:space="0" w:color="auto"/>
        <w:bottom w:val="none" w:sz="0" w:space="0" w:color="auto"/>
        <w:right w:val="none" w:sz="0" w:space="0" w:color="auto"/>
      </w:divBdr>
    </w:div>
    <w:div w:id="1815488896">
      <w:bodyDiv w:val="1"/>
      <w:marLeft w:val="0"/>
      <w:marRight w:val="0"/>
      <w:marTop w:val="0"/>
      <w:marBottom w:val="0"/>
      <w:divBdr>
        <w:top w:val="none" w:sz="0" w:space="0" w:color="auto"/>
        <w:left w:val="none" w:sz="0" w:space="0" w:color="auto"/>
        <w:bottom w:val="none" w:sz="0" w:space="0" w:color="auto"/>
        <w:right w:val="none" w:sz="0" w:space="0" w:color="auto"/>
      </w:divBdr>
    </w:div>
    <w:div w:id="1820920623">
      <w:bodyDiv w:val="1"/>
      <w:marLeft w:val="0"/>
      <w:marRight w:val="0"/>
      <w:marTop w:val="0"/>
      <w:marBottom w:val="0"/>
      <w:divBdr>
        <w:top w:val="none" w:sz="0" w:space="0" w:color="auto"/>
        <w:left w:val="none" w:sz="0" w:space="0" w:color="auto"/>
        <w:bottom w:val="none" w:sz="0" w:space="0" w:color="auto"/>
        <w:right w:val="none" w:sz="0" w:space="0" w:color="auto"/>
      </w:divBdr>
    </w:div>
    <w:div w:id="1837836717">
      <w:bodyDiv w:val="1"/>
      <w:marLeft w:val="0"/>
      <w:marRight w:val="0"/>
      <w:marTop w:val="0"/>
      <w:marBottom w:val="0"/>
      <w:divBdr>
        <w:top w:val="none" w:sz="0" w:space="0" w:color="auto"/>
        <w:left w:val="none" w:sz="0" w:space="0" w:color="auto"/>
        <w:bottom w:val="none" w:sz="0" w:space="0" w:color="auto"/>
        <w:right w:val="none" w:sz="0" w:space="0" w:color="auto"/>
      </w:divBdr>
    </w:div>
    <w:div w:id="1840268011">
      <w:bodyDiv w:val="1"/>
      <w:marLeft w:val="0"/>
      <w:marRight w:val="0"/>
      <w:marTop w:val="0"/>
      <w:marBottom w:val="0"/>
      <w:divBdr>
        <w:top w:val="none" w:sz="0" w:space="0" w:color="auto"/>
        <w:left w:val="none" w:sz="0" w:space="0" w:color="auto"/>
        <w:bottom w:val="none" w:sz="0" w:space="0" w:color="auto"/>
        <w:right w:val="none" w:sz="0" w:space="0" w:color="auto"/>
      </w:divBdr>
    </w:div>
    <w:div w:id="1841120570">
      <w:bodyDiv w:val="1"/>
      <w:marLeft w:val="0"/>
      <w:marRight w:val="0"/>
      <w:marTop w:val="0"/>
      <w:marBottom w:val="0"/>
      <w:divBdr>
        <w:top w:val="none" w:sz="0" w:space="0" w:color="auto"/>
        <w:left w:val="none" w:sz="0" w:space="0" w:color="auto"/>
        <w:bottom w:val="none" w:sz="0" w:space="0" w:color="auto"/>
        <w:right w:val="none" w:sz="0" w:space="0" w:color="auto"/>
      </w:divBdr>
    </w:div>
    <w:div w:id="1848905941">
      <w:bodyDiv w:val="1"/>
      <w:marLeft w:val="0"/>
      <w:marRight w:val="0"/>
      <w:marTop w:val="0"/>
      <w:marBottom w:val="0"/>
      <w:divBdr>
        <w:top w:val="none" w:sz="0" w:space="0" w:color="auto"/>
        <w:left w:val="none" w:sz="0" w:space="0" w:color="auto"/>
        <w:bottom w:val="none" w:sz="0" w:space="0" w:color="auto"/>
        <w:right w:val="none" w:sz="0" w:space="0" w:color="auto"/>
      </w:divBdr>
    </w:div>
    <w:div w:id="1850018428">
      <w:bodyDiv w:val="1"/>
      <w:marLeft w:val="0"/>
      <w:marRight w:val="0"/>
      <w:marTop w:val="0"/>
      <w:marBottom w:val="0"/>
      <w:divBdr>
        <w:top w:val="none" w:sz="0" w:space="0" w:color="auto"/>
        <w:left w:val="none" w:sz="0" w:space="0" w:color="auto"/>
        <w:bottom w:val="none" w:sz="0" w:space="0" w:color="auto"/>
        <w:right w:val="none" w:sz="0" w:space="0" w:color="auto"/>
      </w:divBdr>
    </w:div>
    <w:div w:id="1850562559">
      <w:bodyDiv w:val="1"/>
      <w:marLeft w:val="0"/>
      <w:marRight w:val="0"/>
      <w:marTop w:val="0"/>
      <w:marBottom w:val="0"/>
      <w:divBdr>
        <w:top w:val="none" w:sz="0" w:space="0" w:color="auto"/>
        <w:left w:val="none" w:sz="0" w:space="0" w:color="auto"/>
        <w:bottom w:val="none" w:sz="0" w:space="0" w:color="auto"/>
        <w:right w:val="none" w:sz="0" w:space="0" w:color="auto"/>
      </w:divBdr>
    </w:div>
    <w:div w:id="1850563355">
      <w:bodyDiv w:val="1"/>
      <w:marLeft w:val="0"/>
      <w:marRight w:val="0"/>
      <w:marTop w:val="0"/>
      <w:marBottom w:val="0"/>
      <w:divBdr>
        <w:top w:val="none" w:sz="0" w:space="0" w:color="auto"/>
        <w:left w:val="none" w:sz="0" w:space="0" w:color="auto"/>
        <w:bottom w:val="none" w:sz="0" w:space="0" w:color="auto"/>
        <w:right w:val="none" w:sz="0" w:space="0" w:color="auto"/>
      </w:divBdr>
    </w:div>
    <w:div w:id="1850675249">
      <w:bodyDiv w:val="1"/>
      <w:marLeft w:val="0"/>
      <w:marRight w:val="0"/>
      <w:marTop w:val="0"/>
      <w:marBottom w:val="0"/>
      <w:divBdr>
        <w:top w:val="none" w:sz="0" w:space="0" w:color="auto"/>
        <w:left w:val="none" w:sz="0" w:space="0" w:color="auto"/>
        <w:bottom w:val="none" w:sz="0" w:space="0" w:color="auto"/>
        <w:right w:val="none" w:sz="0" w:space="0" w:color="auto"/>
      </w:divBdr>
    </w:div>
    <w:div w:id="1853838115">
      <w:bodyDiv w:val="1"/>
      <w:marLeft w:val="0"/>
      <w:marRight w:val="0"/>
      <w:marTop w:val="0"/>
      <w:marBottom w:val="0"/>
      <w:divBdr>
        <w:top w:val="none" w:sz="0" w:space="0" w:color="auto"/>
        <w:left w:val="none" w:sz="0" w:space="0" w:color="auto"/>
        <w:bottom w:val="none" w:sz="0" w:space="0" w:color="auto"/>
        <w:right w:val="none" w:sz="0" w:space="0" w:color="auto"/>
      </w:divBdr>
    </w:div>
    <w:div w:id="1858890100">
      <w:bodyDiv w:val="1"/>
      <w:marLeft w:val="0"/>
      <w:marRight w:val="0"/>
      <w:marTop w:val="0"/>
      <w:marBottom w:val="0"/>
      <w:divBdr>
        <w:top w:val="none" w:sz="0" w:space="0" w:color="auto"/>
        <w:left w:val="none" w:sz="0" w:space="0" w:color="auto"/>
        <w:bottom w:val="none" w:sz="0" w:space="0" w:color="auto"/>
        <w:right w:val="none" w:sz="0" w:space="0" w:color="auto"/>
      </w:divBdr>
    </w:div>
    <w:div w:id="1859004221">
      <w:bodyDiv w:val="1"/>
      <w:marLeft w:val="0"/>
      <w:marRight w:val="0"/>
      <w:marTop w:val="0"/>
      <w:marBottom w:val="0"/>
      <w:divBdr>
        <w:top w:val="none" w:sz="0" w:space="0" w:color="auto"/>
        <w:left w:val="none" w:sz="0" w:space="0" w:color="auto"/>
        <w:bottom w:val="none" w:sz="0" w:space="0" w:color="auto"/>
        <w:right w:val="none" w:sz="0" w:space="0" w:color="auto"/>
      </w:divBdr>
    </w:div>
    <w:div w:id="1860846835">
      <w:bodyDiv w:val="1"/>
      <w:marLeft w:val="0"/>
      <w:marRight w:val="0"/>
      <w:marTop w:val="0"/>
      <w:marBottom w:val="0"/>
      <w:divBdr>
        <w:top w:val="none" w:sz="0" w:space="0" w:color="auto"/>
        <w:left w:val="none" w:sz="0" w:space="0" w:color="auto"/>
        <w:bottom w:val="none" w:sz="0" w:space="0" w:color="auto"/>
        <w:right w:val="none" w:sz="0" w:space="0" w:color="auto"/>
      </w:divBdr>
    </w:div>
    <w:div w:id="1860972092">
      <w:bodyDiv w:val="1"/>
      <w:marLeft w:val="0"/>
      <w:marRight w:val="0"/>
      <w:marTop w:val="0"/>
      <w:marBottom w:val="0"/>
      <w:divBdr>
        <w:top w:val="none" w:sz="0" w:space="0" w:color="auto"/>
        <w:left w:val="none" w:sz="0" w:space="0" w:color="auto"/>
        <w:bottom w:val="none" w:sz="0" w:space="0" w:color="auto"/>
        <w:right w:val="none" w:sz="0" w:space="0" w:color="auto"/>
      </w:divBdr>
    </w:div>
    <w:div w:id="1861385458">
      <w:bodyDiv w:val="1"/>
      <w:marLeft w:val="0"/>
      <w:marRight w:val="0"/>
      <w:marTop w:val="0"/>
      <w:marBottom w:val="0"/>
      <w:divBdr>
        <w:top w:val="none" w:sz="0" w:space="0" w:color="auto"/>
        <w:left w:val="none" w:sz="0" w:space="0" w:color="auto"/>
        <w:bottom w:val="none" w:sz="0" w:space="0" w:color="auto"/>
        <w:right w:val="none" w:sz="0" w:space="0" w:color="auto"/>
      </w:divBdr>
    </w:div>
    <w:div w:id="1864173638">
      <w:bodyDiv w:val="1"/>
      <w:marLeft w:val="0"/>
      <w:marRight w:val="0"/>
      <w:marTop w:val="0"/>
      <w:marBottom w:val="0"/>
      <w:divBdr>
        <w:top w:val="none" w:sz="0" w:space="0" w:color="auto"/>
        <w:left w:val="none" w:sz="0" w:space="0" w:color="auto"/>
        <w:bottom w:val="none" w:sz="0" w:space="0" w:color="auto"/>
        <w:right w:val="none" w:sz="0" w:space="0" w:color="auto"/>
      </w:divBdr>
    </w:div>
    <w:div w:id="1865901117">
      <w:bodyDiv w:val="1"/>
      <w:marLeft w:val="0"/>
      <w:marRight w:val="0"/>
      <w:marTop w:val="0"/>
      <w:marBottom w:val="0"/>
      <w:divBdr>
        <w:top w:val="none" w:sz="0" w:space="0" w:color="auto"/>
        <w:left w:val="none" w:sz="0" w:space="0" w:color="auto"/>
        <w:bottom w:val="none" w:sz="0" w:space="0" w:color="auto"/>
        <w:right w:val="none" w:sz="0" w:space="0" w:color="auto"/>
      </w:divBdr>
    </w:div>
    <w:div w:id="1866945514">
      <w:bodyDiv w:val="1"/>
      <w:marLeft w:val="0"/>
      <w:marRight w:val="0"/>
      <w:marTop w:val="0"/>
      <w:marBottom w:val="0"/>
      <w:divBdr>
        <w:top w:val="none" w:sz="0" w:space="0" w:color="auto"/>
        <w:left w:val="none" w:sz="0" w:space="0" w:color="auto"/>
        <w:bottom w:val="none" w:sz="0" w:space="0" w:color="auto"/>
        <w:right w:val="none" w:sz="0" w:space="0" w:color="auto"/>
      </w:divBdr>
    </w:div>
    <w:div w:id="1867282816">
      <w:bodyDiv w:val="1"/>
      <w:marLeft w:val="0"/>
      <w:marRight w:val="0"/>
      <w:marTop w:val="0"/>
      <w:marBottom w:val="0"/>
      <w:divBdr>
        <w:top w:val="none" w:sz="0" w:space="0" w:color="auto"/>
        <w:left w:val="none" w:sz="0" w:space="0" w:color="auto"/>
        <w:bottom w:val="none" w:sz="0" w:space="0" w:color="auto"/>
        <w:right w:val="none" w:sz="0" w:space="0" w:color="auto"/>
      </w:divBdr>
    </w:div>
    <w:div w:id="1867720145">
      <w:bodyDiv w:val="1"/>
      <w:marLeft w:val="0"/>
      <w:marRight w:val="0"/>
      <w:marTop w:val="0"/>
      <w:marBottom w:val="0"/>
      <w:divBdr>
        <w:top w:val="none" w:sz="0" w:space="0" w:color="auto"/>
        <w:left w:val="none" w:sz="0" w:space="0" w:color="auto"/>
        <w:bottom w:val="none" w:sz="0" w:space="0" w:color="auto"/>
        <w:right w:val="none" w:sz="0" w:space="0" w:color="auto"/>
      </w:divBdr>
    </w:div>
    <w:div w:id="1870411926">
      <w:bodyDiv w:val="1"/>
      <w:marLeft w:val="0"/>
      <w:marRight w:val="0"/>
      <w:marTop w:val="0"/>
      <w:marBottom w:val="0"/>
      <w:divBdr>
        <w:top w:val="none" w:sz="0" w:space="0" w:color="auto"/>
        <w:left w:val="none" w:sz="0" w:space="0" w:color="auto"/>
        <w:bottom w:val="none" w:sz="0" w:space="0" w:color="auto"/>
        <w:right w:val="none" w:sz="0" w:space="0" w:color="auto"/>
      </w:divBdr>
    </w:div>
    <w:div w:id="1873495234">
      <w:bodyDiv w:val="1"/>
      <w:marLeft w:val="0"/>
      <w:marRight w:val="0"/>
      <w:marTop w:val="0"/>
      <w:marBottom w:val="0"/>
      <w:divBdr>
        <w:top w:val="none" w:sz="0" w:space="0" w:color="auto"/>
        <w:left w:val="none" w:sz="0" w:space="0" w:color="auto"/>
        <w:bottom w:val="none" w:sz="0" w:space="0" w:color="auto"/>
        <w:right w:val="none" w:sz="0" w:space="0" w:color="auto"/>
      </w:divBdr>
    </w:div>
    <w:div w:id="1874027214">
      <w:bodyDiv w:val="1"/>
      <w:marLeft w:val="0"/>
      <w:marRight w:val="0"/>
      <w:marTop w:val="0"/>
      <w:marBottom w:val="0"/>
      <w:divBdr>
        <w:top w:val="none" w:sz="0" w:space="0" w:color="auto"/>
        <w:left w:val="none" w:sz="0" w:space="0" w:color="auto"/>
        <w:bottom w:val="none" w:sz="0" w:space="0" w:color="auto"/>
        <w:right w:val="none" w:sz="0" w:space="0" w:color="auto"/>
      </w:divBdr>
    </w:div>
    <w:div w:id="1875118900">
      <w:bodyDiv w:val="1"/>
      <w:marLeft w:val="0"/>
      <w:marRight w:val="0"/>
      <w:marTop w:val="0"/>
      <w:marBottom w:val="0"/>
      <w:divBdr>
        <w:top w:val="none" w:sz="0" w:space="0" w:color="auto"/>
        <w:left w:val="none" w:sz="0" w:space="0" w:color="auto"/>
        <w:bottom w:val="none" w:sz="0" w:space="0" w:color="auto"/>
        <w:right w:val="none" w:sz="0" w:space="0" w:color="auto"/>
      </w:divBdr>
    </w:div>
    <w:div w:id="1886985752">
      <w:bodyDiv w:val="1"/>
      <w:marLeft w:val="0"/>
      <w:marRight w:val="0"/>
      <w:marTop w:val="0"/>
      <w:marBottom w:val="0"/>
      <w:divBdr>
        <w:top w:val="none" w:sz="0" w:space="0" w:color="auto"/>
        <w:left w:val="none" w:sz="0" w:space="0" w:color="auto"/>
        <w:bottom w:val="none" w:sz="0" w:space="0" w:color="auto"/>
        <w:right w:val="none" w:sz="0" w:space="0" w:color="auto"/>
      </w:divBdr>
    </w:div>
    <w:div w:id="1887987418">
      <w:bodyDiv w:val="1"/>
      <w:marLeft w:val="0"/>
      <w:marRight w:val="0"/>
      <w:marTop w:val="0"/>
      <w:marBottom w:val="0"/>
      <w:divBdr>
        <w:top w:val="none" w:sz="0" w:space="0" w:color="auto"/>
        <w:left w:val="none" w:sz="0" w:space="0" w:color="auto"/>
        <w:bottom w:val="none" w:sz="0" w:space="0" w:color="auto"/>
        <w:right w:val="none" w:sz="0" w:space="0" w:color="auto"/>
      </w:divBdr>
    </w:div>
    <w:div w:id="1888101749">
      <w:bodyDiv w:val="1"/>
      <w:marLeft w:val="0"/>
      <w:marRight w:val="0"/>
      <w:marTop w:val="0"/>
      <w:marBottom w:val="0"/>
      <w:divBdr>
        <w:top w:val="none" w:sz="0" w:space="0" w:color="auto"/>
        <w:left w:val="none" w:sz="0" w:space="0" w:color="auto"/>
        <w:bottom w:val="none" w:sz="0" w:space="0" w:color="auto"/>
        <w:right w:val="none" w:sz="0" w:space="0" w:color="auto"/>
      </w:divBdr>
    </w:div>
    <w:div w:id="1894776951">
      <w:bodyDiv w:val="1"/>
      <w:marLeft w:val="0"/>
      <w:marRight w:val="0"/>
      <w:marTop w:val="0"/>
      <w:marBottom w:val="0"/>
      <w:divBdr>
        <w:top w:val="none" w:sz="0" w:space="0" w:color="auto"/>
        <w:left w:val="none" w:sz="0" w:space="0" w:color="auto"/>
        <w:bottom w:val="none" w:sz="0" w:space="0" w:color="auto"/>
        <w:right w:val="none" w:sz="0" w:space="0" w:color="auto"/>
      </w:divBdr>
    </w:div>
    <w:div w:id="1898320910">
      <w:bodyDiv w:val="1"/>
      <w:marLeft w:val="0"/>
      <w:marRight w:val="0"/>
      <w:marTop w:val="0"/>
      <w:marBottom w:val="0"/>
      <w:divBdr>
        <w:top w:val="none" w:sz="0" w:space="0" w:color="auto"/>
        <w:left w:val="none" w:sz="0" w:space="0" w:color="auto"/>
        <w:bottom w:val="none" w:sz="0" w:space="0" w:color="auto"/>
        <w:right w:val="none" w:sz="0" w:space="0" w:color="auto"/>
      </w:divBdr>
    </w:div>
    <w:div w:id="1900049671">
      <w:bodyDiv w:val="1"/>
      <w:marLeft w:val="0"/>
      <w:marRight w:val="0"/>
      <w:marTop w:val="0"/>
      <w:marBottom w:val="0"/>
      <w:divBdr>
        <w:top w:val="none" w:sz="0" w:space="0" w:color="auto"/>
        <w:left w:val="none" w:sz="0" w:space="0" w:color="auto"/>
        <w:bottom w:val="none" w:sz="0" w:space="0" w:color="auto"/>
        <w:right w:val="none" w:sz="0" w:space="0" w:color="auto"/>
      </w:divBdr>
    </w:div>
    <w:div w:id="1905555791">
      <w:bodyDiv w:val="1"/>
      <w:marLeft w:val="0"/>
      <w:marRight w:val="0"/>
      <w:marTop w:val="0"/>
      <w:marBottom w:val="0"/>
      <w:divBdr>
        <w:top w:val="none" w:sz="0" w:space="0" w:color="auto"/>
        <w:left w:val="none" w:sz="0" w:space="0" w:color="auto"/>
        <w:bottom w:val="none" w:sz="0" w:space="0" w:color="auto"/>
        <w:right w:val="none" w:sz="0" w:space="0" w:color="auto"/>
      </w:divBdr>
    </w:div>
    <w:div w:id="1910338639">
      <w:bodyDiv w:val="1"/>
      <w:marLeft w:val="0"/>
      <w:marRight w:val="0"/>
      <w:marTop w:val="0"/>
      <w:marBottom w:val="0"/>
      <w:divBdr>
        <w:top w:val="none" w:sz="0" w:space="0" w:color="auto"/>
        <w:left w:val="none" w:sz="0" w:space="0" w:color="auto"/>
        <w:bottom w:val="none" w:sz="0" w:space="0" w:color="auto"/>
        <w:right w:val="none" w:sz="0" w:space="0" w:color="auto"/>
      </w:divBdr>
    </w:div>
    <w:div w:id="1910841091">
      <w:bodyDiv w:val="1"/>
      <w:marLeft w:val="0"/>
      <w:marRight w:val="0"/>
      <w:marTop w:val="0"/>
      <w:marBottom w:val="0"/>
      <w:divBdr>
        <w:top w:val="none" w:sz="0" w:space="0" w:color="auto"/>
        <w:left w:val="none" w:sz="0" w:space="0" w:color="auto"/>
        <w:bottom w:val="none" w:sz="0" w:space="0" w:color="auto"/>
        <w:right w:val="none" w:sz="0" w:space="0" w:color="auto"/>
      </w:divBdr>
    </w:div>
    <w:div w:id="1912037855">
      <w:bodyDiv w:val="1"/>
      <w:marLeft w:val="0"/>
      <w:marRight w:val="0"/>
      <w:marTop w:val="0"/>
      <w:marBottom w:val="0"/>
      <w:divBdr>
        <w:top w:val="none" w:sz="0" w:space="0" w:color="auto"/>
        <w:left w:val="none" w:sz="0" w:space="0" w:color="auto"/>
        <w:bottom w:val="none" w:sz="0" w:space="0" w:color="auto"/>
        <w:right w:val="none" w:sz="0" w:space="0" w:color="auto"/>
      </w:divBdr>
    </w:div>
    <w:div w:id="1914661618">
      <w:bodyDiv w:val="1"/>
      <w:marLeft w:val="0"/>
      <w:marRight w:val="0"/>
      <w:marTop w:val="0"/>
      <w:marBottom w:val="0"/>
      <w:divBdr>
        <w:top w:val="none" w:sz="0" w:space="0" w:color="auto"/>
        <w:left w:val="none" w:sz="0" w:space="0" w:color="auto"/>
        <w:bottom w:val="none" w:sz="0" w:space="0" w:color="auto"/>
        <w:right w:val="none" w:sz="0" w:space="0" w:color="auto"/>
      </w:divBdr>
    </w:div>
    <w:div w:id="1918705990">
      <w:bodyDiv w:val="1"/>
      <w:marLeft w:val="0"/>
      <w:marRight w:val="0"/>
      <w:marTop w:val="0"/>
      <w:marBottom w:val="0"/>
      <w:divBdr>
        <w:top w:val="none" w:sz="0" w:space="0" w:color="auto"/>
        <w:left w:val="none" w:sz="0" w:space="0" w:color="auto"/>
        <w:bottom w:val="none" w:sz="0" w:space="0" w:color="auto"/>
        <w:right w:val="none" w:sz="0" w:space="0" w:color="auto"/>
      </w:divBdr>
    </w:div>
    <w:div w:id="1922332276">
      <w:bodyDiv w:val="1"/>
      <w:marLeft w:val="0"/>
      <w:marRight w:val="0"/>
      <w:marTop w:val="0"/>
      <w:marBottom w:val="0"/>
      <w:divBdr>
        <w:top w:val="none" w:sz="0" w:space="0" w:color="auto"/>
        <w:left w:val="none" w:sz="0" w:space="0" w:color="auto"/>
        <w:bottom w:val="none" w:sz="0" w:space="0" w:color="auto"/>
        <w:right w:val="none" w:sz="0" w:space="0" w:color="auto"/>
      </w:divBdr>
    </w:div>
    <w:div w:id="1923370611">
      <w:bodyDiv w:val="1"/>
      <w:marLeft w:val="0"/>
      <w:marRight w:val="0"/>
      <w:marTop w:val="0"/>
      <w:marBottom w:val="0"/>
      <w:divBdr>
        <w:top w:val="none" w:sz="0" w:space="0" w:color="auto"/>
        <w:left w:val="none" w:sz="0" w:space="0" w:color="auto"/>
        <w:bottom w:val="none" w:sz="0" w:space="0" w:color="auto"/>
        <w:right w:val="none" w:sz="0" w:space="0" w:color="auto"/>
      </w:divBdr>
    </w:div>
    <w:div w:id="1927183889">
      <w:bodyDiv w:val="1"/>
      <w:marLeft w:val="0"/>
      <w:marRight w:val="0"/>
      <w:marTop w:val="0"/>
      <w:marBottom w:val="0"/>
      <w:divBdr>
        <w:top w:val="none" w:sz="0" w:space="0" w:color="auto"/>
        <w:left w:val="none" w:sz="0" w:space="0" w:color="auto"/>
        <w:bottom w:val="none" w:sz="0" w:space="0" w:color="auto"/>
        <w:right w:val="none" w:sz="0" w:space="0" w:color="auto"/>
      </w:divBdr>
    </w:div>
    <w:div w:id="1931153845">
      <w:bodyDiv w:val="1"/>
      <w:marLeft w:val="0"/>
      <w:marRight w:val="0"/>
      <w:marTop w:val="0"/>
      <w:marBottom w:val="0"/>
      <w:divBdr>
        <w:top w:val="none" w:sz="0" w:space="0" w:color="auto"/>
        <w:left w:val="none" w:sz="0" w:space="0" w:color="auto"/>
        <w:bottom w:val="none" w:sz="0" w:space="0" w:color="auto"/>
        <w:right w:val="none" w:sz="0" w:space="0" w:color="auto"/>
      </w:divBdr>
    </w:div>
    <w:div w:id="1933590201">
      <w:bodyDiv w:val="1"/>
      <w:marLeft w:val="0"/>
      <w:marRight w:val="0"/>
      <w:marTop w:val="0"/>
      <w:marBottom w:val="0"/>
      <w:divBdr>
        <w:top w:val="none" w:sz="0" w:space="0" w:color="auto"/>
        <w:left w:val="none" w:sz="0" w:space="0" w:color="auto"/>
        <w:bottom w:val="none" w:sz="0" w:space="0" w:color="auto"/>
        <w:right w:val="none" w:sz="0" w:space="0" w:color="auto"/>
      </w:divBdr>
    </w:div>
    <w:div w:id="1933662296">
      <w:bodyDiv w:val="1"/>
      <w:marLeft w:val="0"/>
      <w:marRight w:val="0"/>
      <w:marTop w:val="0"/>
      <w:marBottom w:val="0"/>
      <w:divBdr>
        <w:top w:val="none" w:sz="0" w:space="0" w:color="auto"/>
        <w:left w:val="none" w:sz="0" w:space="0" w:color="auto"/>
        <w:bottom w:val="none" w:sz="0" w:space="0" w:color="auto"/>
        <w:right w:val="none" w:sz="0" w:space="0" w:color="auto"/>
      </w:divBdr>
    </w:div>
    <w:div w:id="1935938290">
      <w:bodyDiv w:val="1"/>
      <w:marLeft w:val="0"/>
      <w:marRight w:val="0"/>
      <w:marTop w:val="0"/>
      <w:marBottom w:val="0"/>
      <w:divBdr>
        <w:top w:val="none" w:sz="0" w:space="0" w:color="auto"/>
        <w:left w:val="none" w:sz="0" w:space="0" w:color="auto"/>
        <w:bottom w:val="none" w:sz="0" w:space="0" w:color="auto"/>
        <w:right w:val="none" w:sz="0" w:space="0" w:color="auto"/>
      </w:divBdr>
    </w:div>
    <w:div w:id="1937252065">
      <w:bodyDiv w:val="1"/>
      <w:marLeft w:val="0"/>
      <w:marRight w:val="0"/>
      <w:marTop w:val="0"/>
      <w:marBottom w:val="0"/>
      <w:divBdr>
        <w:top w:val="none" w:sz="0" w:space="0" w:color="auto"/>
        <w:left w:val="none" w:sz="0" w:space="0" w:color="auto"/>
        <w:bottom w:val="none" w:sz="0" w:space="0" w:color="auto"/>
        <w:right w:val="none" w:sz="0" w:space="0" w:color="auto"/>
      </w:divBdr>
    </w:div>
    <w:div w:id="1942762209">
      <w:bodyDiv w:val="1"/>
      <w:marLeft w:val="0"/>
      <w:marRight w:val="0"/>
      <w:marTop w:val="0"/>
      <w:marBottom w:val="0"/>
      <w:divBdr>
        <w:top w:val="none" w:sz="0" w:space="0" w:color="auto"/>
        <w:left w:val="none" w:sz="0" w:space="0" w:color="auto"/>
        <w:bottom w:val="none" w:sz="0" w:space="0" w:color="auto"/>
        <w:right w:val="none" w:sz="0" w:space="0" w:color="auto"/>
      </w:divBdr>
    </w:div>
    <w:div w:id="1946425682">
      <w:bodyDiv w:val="1"/>
      <w:marLeft w:val="0"/>
      <w:marRight w:val="0"/>
      <w:marTop w:val="0"/>
      <w:marBottom w:val="0"/>
      <w:divBdr>
        <w:top w:val="none" w:sz="0" w:space="0" w:color="auto"/>
        <w:left w:val="none" w:sz="0" w:space="0" w:color="auto"/>
        <w:bottom w:val="none" w:sz="0" w:space="0" w:color="auto"/>
        <w:right w:val="none" w:sz="0" w:space="0" w:color="auto"/>
      </w:divBdr>
    </w:div>
    <w:div w:id="1956447039">
      <w:bodyDiv w:val="1"/>
      <w:marLeft w:val="0"/>
      <w:marRight w:val="0"/>
      <w:marTop w:val="0"/>
      <w:marBottom w:val="0"/>
      <w:divBdr>
        <w:top w:val="none" w:sz="0" w:space="0" w:color="auto"/>
        <w:left w:val="none" w:sz="0" w:space="0" w:color="auto"/>
        <w:bottom w:val="none" w:sz="0" w:space="0" w:color="auto"/>
        <w:right w:val="none" w:sz="0" w:space="0" w:color="auto"/>
      </w:divBdr>
    </w:div>
    <w:div w:id="1957446325">
      <w:bodyDiv w:val="1"/>
      <w:marLeft w:val="0"/>
      <w:marRight w:val="0"/>
      <w:marTop w:val="0"/>
      <w:marBottom w:val="0"/>
      <w:divBdr>
        <w:top w:val="none" w:sz="0" w:space="0" w:color="auto"/>
        <w:left w:val="none" w:sz="0" w:space="0" w:color="auto"/>
        <w:bottom w:val="none" w:sz="0" w:space="0" w:color="auto"/>
        <w:right w:val="none" w:sz="0" w:space="0" w:color="auto"/>
      </w:divBdr>
    </w:div>
    <w:div w:id="1958216643">
      <w:bodyDiv w:val="1"/>
      <w:marLeft w:val="0"/>
      <w:marRight w:val="0"/>
      <w:marTop w:val="0"/>
      <w:marBottom w:val="0"/>
      <w:divBdr>
        <w:top w:val="none" w:sz="0" w:space="0" w:color="auto"/>
        <w:left w:val="none" w:sz="0" w:space="0" w:color="auto"/>
        <w:bottom w:val="none" w:sz="0" w:space="0" w:color="auto"/>
        <w:right w:val="none" w:sz="0" w:space="0" w:color="auto"/>
      </w:divBdr>
    </w:div>
    <w:div w:id="1958217711">
      <w:bodyDiv w:val="1"/>
      <w:marLeft w:val="0"/>
      <w:marRight w:val="0"/>
      <w:marTop w:val="0"/>
      <w:marBottom w:val="0"/>
      <w:divBdr>
        <w:top w:val="none" w:sz="0" w:space="0" w:color="auto"/>
        <w:left w:val="none" w:sz="0" w:space="0" w:color="auto"/>
        <w:bottom w:val="none" w:sz="0" w:space="0" w:color="auto"/>
        <w:right w:val="none" w:sz="0" w:space="0" w:color="auto"/>
      </w:divBdr>
    </w:div>
    <w:div w:id="1958683118">
      <w:bodyDiv w:val="1"/>
      <w:marLeft w:val="0"/>
      <w:marRight w:val="0"/>
      <w:marTop w:val="0"/>
      <w:marBottom w:val="0"/>
      <w:divBdr>
        <w:top w:val="none" w:sz="0" w:space="0" w:color="auto"/>
        <w:left w:val="none" w:sz="0" w:space="0" w:color="auto"/>
        <w:bottom w:val="none" w:sz="0" w:space="0" w:color="auto"/>
        <w:right w:val="none" w:sz="0" w:space="0" w:color="auto"/>
      </w:divBdr>
    </w:div>
    <w:div w:id="1963339653">
      <w:bodyDiv w:val="1"/>
      <w:marLeft w:val="0"/>
      <w:marRight w:val="0"/>
      <w:marTop w:val="0"/>
      <w:marBottom w:val="0"/>
      <w:divBdr>
        <w:top w:val="none" w:sz="0" w:space="0" w:color="auto"/>
        <w:left w:val="none" w:sz="0" w:space="0" w:color="auto"/>
        <w:bottom w:val="none" w:sz="0" w:space="0" w:color="auto"/>
        <w:right w:val="none" w:sz="0" w:space="0" w:color="auto"/>
      </w:divBdr>
    </w:div>
    <w:div w:id="1965426499">
      <w:bodyDiv w:val="1"/>
      <w:marLeft w:val="0"/>
      <w:marRight w:val="0"/>
      <w:marTop w:val="0"/>
      <w:marBottom w:val="0"/>
      <w:divBdr>
        <w:top w:val="none" w:sz="0" w:space="0" w:color="auto"/>
        <w:left w:val="none" w:sz="0" w:space="0" w:color="auto"/>
        <w:bottom w:val="none" w:sz="0" w:space="0" w:color="auto"/>
        <w:right w:val="none" w:sz="0" w:space="0" w:color="auto"/>
      </w:divBdr>
    </w:div>
    <w:div w:id="1966890443">
      <w:bodyDiv w:val="1"/>
      <w:marLeft w:val="0"/>
      <w:marRight w:val="0"/>
      <w:marTop w:val="0"/>
      <w:marBottom w:val="0"/>
      <w:divBdr>
        <w:top w:val="none" w:sz="0" w:space="0" w:color="auto"/>
        <w:left w:val="none" w:sz="0" w:space="0" w:color="auto"/>
        <w:bottom w:val="none" w:sz="0" w:space="0" w:color="auto"/>
        <w:right w:val="none" w:sz="0" w:space="0" w:color="auto"/>
      </w:divBdr>
    </w:div>
    <w:div w:id="1976058237">
      <w:bodyDiv w:val="1"/>
      <w:marLeft w:val="0"/>
      <w:marRight w:val="0"/>
      <w:marTop w:val="0"/>
      <w:marBottom w:val="0"/>
      <w:divBdr>
        <w:top w:val="none" w:sz="0" w:space="0" w:color="auto"/>
        <w:left w:val="none" w:sz="0" w:space="0" w:color="auto"/>
        <w:bottom w:val="none" w:sz="0" w:space="0" w:color="auto"/>
        <w:right w:val="none" w:sz="0" w:space="0" w:color="auto"/>
      </w:divBdr>
    </w:div>
    <w:div w:id="1976831806">
      <w:bodyDiv w:val="1"/>
      <w:marLeft w:val="0"/>
      <w:marRight w:val="0"/>
      <w:marTop w:val="0"/>
      <w:marBottom w:val="0"/>
      <w:divBdr>
        <w:top w:val="none" w:sz="0" w:space="0" w:color="auto"/>
        <w:left w:val="none" w:sz="0" w:space="0" w:color="auto"/>
        <w:bottom w:val="none" w:sz="0" w:space="0" w:color="auto"/>
        <w:right w:val="none" w:sz="0" w:space="0" w:color="auto"/>
      </w:divBdr>
    </w:div>
    <w:div w:id="1977057267">
      <w:bodyDiv w:val="1"/>
      <w:marLeft w:val="0"/>
      <w:marRight w:val="0"/>
      <w:marTop w:val="0"/>
      <w:marBottom w:val="0"/>
      <w:divBdr>
        <w:top w:val="none" w:sz="0" w:space="0" w:color="auto"/>
        <w:left w:val="none" w:sz="0" w:space="0" w:color="auto"/>
        <w:bottom w:val="none" w:sz="0" w:space="0" w:color="auto"/>
        <w:right w:val="none" w:sz="0" w:space="0" w:color="auto"/>
      </w:divBdr>
    </w:div>
    <w:div w:id="1981154798">
      <w:bodyDiv w:val="1"/>
      <w:marLeft w:val="0"/>
      <w:marRight w:val="0"/>
      <w:marTop w:val="0"/>
      <w:marBottom w:val="0"/>
      <w:divBdr>
        <w:top w:val="none" w:sz="0" w:space="0" w:color="auto"/>
        <w:left w:val="none" w:sz="0" w:space="0" w:color="auto"/>
        <w:bottom w:val="none" w:sz="0" w:space="0" w:color="auto"/>
        <w:right w:val="none" w:sz="0" w:space="0" w:color="auto"/>
      </w:divBdr>
    </w:div>
    <w:div w:id="1984040982">
      <w:bodyDiv w:val="1"/>
      <w:marLeft w:val="0"/>
      <w:marRight w:val="0"/>
      <w:marTop w:val="0"/>
      <w:marBottom w:val="0"/>
      <w:divBdr>
        <w:top w:val="none" w:sz="0" w:space="0" w:color="auto"/>
        <w:left w:val="none" w:sz="0" w:space="0" w:color="auto"/>
        <w:bottom w:val="none" w:sz="0" w:space="0" w:color="auto"/>
        <w:right w:val="none" w:sz="0" w:space="0" w:color="auto"/>
      </w:divBdr>
    </w:div>
    <w:div w:id="1984315259">
      <w:bodyDiv w:val="1"/>
      <w:marLeft w:val="0"/>
      <w:marRight w:val="0"/>
      <w:marTop w:val="0"/>
      <w:marBottom w:val="0"/>
      <w:divBdr>
        <w:top w:val="none" w:sz="0" w:space="0" w:color="auto"/>
        <w:left w:val="none" w:sz="0" w:space="0" w:color="auto"/>
        <w:bottom w:val="none" w:sz="0" w:space="0" w:color="auto"/>
        <w:right w:val="none" w:sz="0" w:space="0" w:color="auto"/>
      </w:divBdr>
    </w:div>
    <w:div w:id="1984430717">
      <w:bodyDiv w:val="1"/>
      <w:marLeft w:val="0"/>
      <w:marRight w:val="0"/>
      <w:marTop w:val="0"/>
      <w:marBottom w:val="0"/>
      <w:divBdr>
        <w:top w:val="none" w:sz="0" w:space="0" w:color="auto"/>
        <w:left w:val="none" w:sz="0" w:space="0" w:color="auto"/>
        <w:bottom w:val="none" w:sz="0" w:space="0" w:color="auto"/>
        <w:right w:val="none" w:sz="0" w:space="0" w:color="auto"/>
      </w:divBdr>
    </w:div>
    <w:div w:id="1985424654">
      <w:bodyDiv w:val="1"/>
      <w:marLeft w:val="0"/>
      <w:marRight w:val="0"/>
      <w:marTop w:val="0"/>
      <w:marBottom w:val="0"/>
      <w:divBdr>
        <w:top w:val="none" w:sz="0" w:space="0" w:color="auto"/>
        <w:left w:val="none" w:sz="0" w:space="0" w:color="auto"/>
        <w:bottom w:val="none" w:sz="0" w:space="0" w:color="auto"/>
        <w:right w:val="none" w:sz="0" w:space="0" w:color="auto"/>
      </w:divBdr>
    </w:div>
    <w:div w:id="1985892874">
      <w:bodyDiv w:val="1"/>
      <w:marLeft w:val="0"/>
      <w:marRight w:val="0"/>
      <w:marTop w:val="0"/>
      <w:marBottom w:val="0"/>
      <w:divBdr>
        <w:top w:val="none" w:sz="0" w:space="0" w:color="auto"/>
        <w:left w:val="none" w:sz="0" w:space="0" w:color="auto"/>
        <w:bottom w:val="none" w:sz="0" w:space="0" w:color="auto"/>
        <w:right w:val="none" w:sz="0" w:space="0" w:color="auto"/>
      </w:divBdr>
    </w:div>
    <w:div w:id="1987121338">
      <w:bodyDiv w:val="1"/>
      <w:marLeft w:val="0"/>
      <w:marRight w:val="0"/>
      <w:marTop w:val="0"/>
      <w:marBottom w:val="0"/>
      <w:divBdr>
        <w:top w:val="none" w:sz="0" w:space="0" w:color="auto"/>
        <w:left w:val="none" w:sz="0" w:space="0" w:color="auto"/>
        <w:bottom w:val="none" w:sz="0" w:space="0" w:color="auto"/>
        <w:right w:val="none" w:sz="0" w:space="0" w:color="auto"/>
      </w:divBdr>
    </w:div>
    <w:div w:id="1996376067">
      <w:bodyDiv w:val="1"/>
      <w:marLeft w:val="0"/>
      <w:marRight w:val="0"/>
      <w:marTop w:val="0"/>
      <w:marBottom w:val="0"/>
      <w:divBdr>
        <w:top w:val="none" w:sz="0" w:space="0" w:color="auto"/>
        <w:left w:val="none" w:sz="0" w:space="0" w:color="auto"/>
        <w:bottom w:val="none" w:sz="0" w:space="0" w:color="auto"/>
        <w:right w:val="none" w:sz="0" w:space="0" w:color="auto"/>
      </w:divBdr>
    </w:div>
    <w:div w:id="2001038090">
      <w:bodyDiv w:val="1"/>
      <w:marLeft w:val="0"/>
      <w:marRight w:val="0"/>
      <w:marTop w:val="0"/>
      <w:marBottom w:val="0"/>
      <w:divBdr>
        <w:top w:val="none" w:sz="0" w:space="0" w:color="auto"/>
        <w:left w:val="none" w:sz="0" w:space="0" w:color="auto"/>
        <w:bottom w:val="none" w:sz="0" w:space="0" w:color="auto"/>
        <w:right w:val="none" w:sz="0" w:space="0" w:color="auto"/>
      </w:divBdr>
    </w:div>
    <w:div w:id="2003658027">
      <w:bodyDiv w:val="1"/>
      <w:marLeft w:val="0"/>
      <w:marRight w:val="0"/>
      <w:marTop w:val="0"/>
      <w:marBottom w:val="0"/>
      <w:divBdr>
        <w:top w:val="none" w:sz="0" w:space="0" w:color="auto"/>
        <w:left w:val="none" w:sz="0" w:space="0" w:color="auto"/>
        <w:bottom w:val="none" w:sz="0" w:space="0" w:color="auto"/>
        <w:right w:val="none" w:sz="0" w:space="0" w:color="auto"/>
      </w:divBdr>
    </w:div>
    <w:div w:id="2008172962">
      <w:bodyDiv w:val="1"/>
      <w:marLeft w:val="0"/>
      <w:marRight w:val="0"/>
      <w:marTop w:val="0"/>
      <w:marBottom w:val="0"/>
      <w:divBdr>
        <w:top w:val="none" w:sz="0" w:space="0" w:color="auto"/>
        <w:left w:val="none" w:sz="0" w:space="0" w:color="auto"/>
        <w:bottom w:val="none" w:sz="0" w:space="0" w:color="auto"/>
        <w:right w:val="none" w:sz="0" w:space="0" w:color="auto"/>
      </w:divBdr>
    </w:div>
    <w:div w:id="2009484107">
      <w:bodyDiv w:val="1"/>
      <w:marLeft w:val="0"/>
      <w:marRight w:val="0"/>
      <w:marTop w:val="0"/>
      <w:marBottom w:val="0"/>
      <w:divBdr>
        <w:top w:val="none" w:sz="0" w:space="0" w:color="auto"/>
        <w:left w:val="none" w:sz="0" w:space="0" w:color="auto"/>
        <w:bottom w:val="none" w:sz="0" w:space="0" w:color="auto"/>
        <w:right w:val="none" w:sz="0" w:space="0" w:color="auto"/>
      </w:divBdr>
    </w:div>
    <w:div w:id="2009939179">
      <w:bodyDiv w:val="1"/>
      <w:marLeft w:val="0"/>
      <w:marRight w:val="0"/>
      <w:marTop w:val="0"/>
      <w:marBottom w:val="0"/>
      <w:divBdr>
        <w:top w:val="none" w:sz="0" w:space="0" w:color="auto"/>
        <w:left w:val="none" w:sz="0" w:space="0" w:color="auto"/>
        <w:bottom w:val="none" w:sz="0" w:space="0" w:color="auto"/>
        <w:right w:val="none" w:sz="0" w:space="0" w:color="auto"/>
      </w:divBdr>
    </w:div>
    <w:div w:id="2013334082">
      <w:bodyDiv w:val="1"/>
      <w:marLeft w:val="0"/>
      <w:marRight w:val="0"/>
      <w:marTop w:val="0"/>
      <w:marBottom w:val="0"/>
      <w:divBdr>
        <w:top w:val="none" w:sz="0" w:space="0" w:color="auto"/>
        <w:left w:val="none" w:sz="0" w:space="0" w:color="auto"/>
        <w:bottom w:val="none" w:sz="0" w:space="0" w:color="auto"/>
        <w:right w:val="none" w:sz="0" w:space="0" w:color="auto"/>
      </w:divBdr>
    </w:div>
    <w:div w:id="2014724153">
      <w:bodyDiv w:val="1"/>
      <w:marLeft w:val="0"/>
      <w:marRight w:val="0"/>
      <w:marTop w:val="0"/>
      <w:marBottom w:val="0"/>
      <w:divBdr>
        <w:top w:val="none" w:sz="0" w:space="0" w:color="auto"/>
        <w:left w:val="none" w:sz="0" w:space="0" w:color="auto"/>
        <w:bottom w:val="none" w:sz="0" w:space="0" w:color="auto"/>
        <w:right w:val="none" w:sz="0" w:space="0" w:color="auto"/>
      </w:divBdr>
    </w:div>
    <w:div w:id="2019767990">
      <w:bodyDiv w:val="1"/>
      <w:marLeft w:val="0"/>
      <w:marRight w:val="0"/>
      <w:marTop w:val="0"/>
      <w:marBottom w:val="0"/>
      <w:divBdr>
        <w:top w:val="none" w:sz="0" w:space="0" w:color="auto"/>
        <w:left w:val="none" w:sz="0" w:space="0" w:color="auto"/>
        <w:bottom w:val="none" w:sz="0" w:space="0" w:color="auto"/>
        <w:right w:val="none" w:sz="0" w:space="0" w:color="auto"/>
      </w:divBdr>
    </w:div>
    <w:div w:id="2021196566">
      <w:bodyDiv w:val="1"/>
      <w:marLeft w:val="0"/>
      <w:marRight w:val="0"/>
      <w:marTop w:val="0"/>
      <w:marBottom w:val="0"/>
      <w:divBdr>
        <w:top w:val="none" w:sz="0" w:space="0" w:color="auto"/>
        <w:left w:val="none" w:sz="0" w:space="0" w:color="auto"/>
        <w:bottom w:val="none" w:sz="0" w:space="0" w:color="auto"/>
        <w:right w:val="none" w:sz="0" w:space="0" w:color="auto"/>
      </w:divBdr>
    </w:div>
    <w:div w:id="2023044200">
      <w:bodyDiv w:val="1"/>
      <w:marLeft w:val="0"/>
      <w:marRight w:val="0"/>
      <w:marTop w:val="0"/>
      <w:marBottom w:val="0"/>
      <w:divBdr>
        <w:top w:val="none" w:sz="0" w:space="0" w:color="auto"/>
        <w:left w:val="none" w:sz="0" w:space="0" w:color="auto"/>
        <w:bottom w:val="none" w:sz="0" w:space="0" w:color="auto"/>
        <w:right w:val="none" w:sz="0" w:space="0" w:color="auto"/>
      </w:divBdr>
    </w:div>
    <w:div w:id="2023583627">
      <w:bodyDiv w:val="1"/>
      <w:marLeft w:val="0"/>
      <w:marRight w:val="0"/>
      <w:marTop w:val="0"/>
      <w:marBottom w:val="0"/>
      <w:divBdr>
        <w:top w:val="none" w:sz="0" w:space="0" w:color="auto"/>
        <w:left w:val="none" w:sz="0" w:space="0" w:color="auto"/>
        <w:bottom w:val="none" w:sz="0" w:space="0" w:color="auto"/>
        <w:right w:val="none" w:sz="0" w:space="0" w:color="auto"/>
      </w:divBdr>
    </w:div>
    <w:div w:id="2025203533">
      <w:bodyDiv w:val="1"/>
      <w:marLeft w:val="0"/>
      <w:marRight w:val="0"/>
      <w:marTop w:val="0"/>
      <w:marBottom w:val="0"/>
      <w:divBdr>
        <w:top w:val="none" w:sz="0" w:space="0" w:color="auto"/>
        <w:left w:val="none" w:sz="0" w:space="0" w:color="auto"/>
        <w:bottom w:val="none" w:sz="0" w:space="0" w:color="auto"/>
        <w:right w:val="none" w:sz="0" w:space="0" w:color="auto"/>
      </w:divBdr>
    </w:div>
    <w:div w:id="2026512580">
      <w:bodyDiv w:val="1"/>
      <w:marLeft w:val="0"/>
      <w:marRight w:val="0"/>
      <w:marTop w:val="0"/>
      <w:marBottom w:val="0"/>
      <w:divBdr>
        <w:top w:val="none" w:sz="0" w:space="0" w:color="auto"/>
        <w:left w:val="none" w:sz="0" w:space="0" w:color="auto"/>
        <w:bottom w:val="none" w:sz="0" w:space="0" w:color="auto"/>
        <w:right w:val="none" w:sz="0" w:space="0" w:color="auto"/>
      </w:divBdr>
    </w:div>
    <w:div w:id="2027248580">
      <w:bodyDiv w:val="1"/>
      <w:marLeft w:val="0"/>
      <w:marRight w:val="0"/>
      <w:marTop w:val="0"/>
      <w:marBottom w:val="0"/>
      <w:divBdr>
        <w:top w:val="none" w:sz="0" w:space="0" w:color="auto"/>
        <w:left w:val="none" w:sz="0" w:space="0" w:color="auto"/>
        <w:bottom w:val="none" w:sz="0" w:space="0" w:color="auto"/>
        <w:right w:val="none" w:sz="0" w:space="0" w:color="auto"/>
      </w:divBdr>
    </w:div>
    <w:div w:id="2027515979">
      <w:bodyDiv w:val="1"/>
      <w:marLeft w:val="0"/>
      <w:marRight w:val="0"/>
      <w:marTop w:val="0"/>
      <w:marBottom w:val="0"/>
      <w:divBdr>
        <w:top w:val="none" w:sz="0" w:space="0" w:color="auto"/>
        <w:left w:val="none" w:sz="0" w:space="0" w:color="auto"/>
        <w:bottom w:val="none" w:sz="0" w:space="0" w:color="auto"/>
        <w:right w:val="none" w:sz="0" w:space="0" w:color="auto"/>
      </w:divBdr>
    </w:div>
    <w:div w:id="2031297690">
      <w:bodyDiv w:val="1"/>
      <w:marLeft w:val="0"/>
      <w:marRight w:val="0"/>
      <w:marTop w:val="0"/>
      <w:marBottom w:val="0"/>
      <w:divBdr>
        <w:top w:val="none" w:sz="0" w:space="0" w:color="auto"/>
        <w:left w:val="none" w:sz="0" w:space="0" w:color="auto"/>
        <w:bottom w:val="none" w:sz="0" w:space="0" w:color="auto"/>
        <w:right w:val="none" w:sz="0" w:space="0" w:color="auto"/>
      </w:divBdr>
    </w:div>
    <w:div w:id="2033606848">
      <w:bodyDiv w:val="1"/>
      <w:marLeft w:val="0"/>
      <w:marRight w:val="0"/>
      <w:marTop w:val="0"/>
      <w:marBottom w:val="0"/>
      <w:divBdr>
        <w:top w:val="none" w:sz="0" w:space="0" w:color="auto"/>
        <w:left w:val="none" w:sz="0" w:space="0" w:color="auto"/>
        <w:bottom w:val="none" w:sz="0" w:space="0" w:color="auto"/>
        <w:right w:val="none" w:sz="0" w:space="0" w:color="auto"/>
      </w:divBdr>
    </w:div>
    <w:div w:id="2034568411">
      <w:bodyDiv w:val="1"/>
      <w:marLeft w:val="0"/>
      <w:marRight w:val="0"/>
      <w:marTop w:val="0"/>
      <w:marBottom w:val="0"/>
      <w:divBdr>
        <w:top w:val="none" w:sz="0" w:space="0" w:color="auto"/>
        <w:left w:val="none" w:sz="0" w:space="0" w:color="auto"/>
        <w:bottom w:val="none" w:sz="0" w:space="0" w:color="auto"/>
        <w:right w:val="none" w:sz="0" w:space="0" w:color="auto"/>
      </w:divBdr>
    </w:div>
    <w:div w:id="2040813326">
      <w:bodyDiv w:val="1"/>
      <w:marLeft w:val="0"/>
      <w:marRight w:val="0"/>
      <w:marTop w:val="0"/>
      <w:marBottom w:val="0"/>
      <w:divBdr>
        <w:top w:val="none" w:sz="0" w:space="0" w:color="auto"/>
        <w:left w:val="none" w:sz="0" w:space="0" w:color="auto"/>
        <w:bottom w:val="none" w:sz="0" w:space="0" w:color="auto"/>
        <w:right w:val="none" w:sz="0" w:space="0" w:color="auto"/>
      </w:divBdr>
    </w:div>
    <w:div w:id="2041740957">
      <w:bodyDiv w:val="1"/>
      <w:marLeft w:val="0"/>
      <w:marRight w:val="0"/>
      <w:marTop w:val="0"/>
      <w:marBottom w:val="0"/>
      <w:divBdr>
        <w:top w:val="none" w:sz="0" w:space="0" w:color="auto"/>
        <w:left w:val="none" w:sz="0" w:space="0" w:color="auto"/>
        <w:bottom w:val="none" w:sz="0" w:space="0" w:color="auto"/>
        <w:right w:val="none" w:sz="0" w:space="0" w:color="auto"/>
      </w:divBdr>
    </w:div>
    <w:div w:id="2042783344">
      <w:bodyDiv w:val="1"/>
      <w:marLeft w:val="0"/>
      <w:marRight w:val="0"/>
      <w:marTop w:val="0"/>
      <w:marBottom w:val="0"/>
      <w:divBdr>
        <w:top w:val="none" w:sz="0" w:space="0" w:color="auto"/>
        <w:left w:val="none" w:sz="0" w:space="0" w:color="auto"/>
        <w:bottom w:val="none" w:sz="0" w:space="0" w:color="auto"/>
        <w:right w:val="none" w:sz="0" w:space="0" w:color="auto"/>
      </w:divBdr>
    </w:div>
    <w:div w:id="2044281265">
      <w:bodyDiv w:val="1"/>
      <w:marLeft w:val="0"/>
      <w:marRight w:val="0"/>
      <w:marTop w:val="0"/>
      <w:marBottom w:val="0"/>
      <w:divBdr>
        <w:top w:val="none" w:sz="0" w:space="0" w:color="auto"/>
        <w:left w:val="none" w:sz="0" w:space="0" w:color="auto"/>
        <w:bottom w:val="none" w:sz="0" w:space="0" w:color="auto"/>
        <w:right w:val="none" w:sz="0" w:space="0" w:color="auto"/>
      </w:divBdr>
    </w:div>
    <w:div w:id="2045323020">
      <w:bodyDiv w:val="1"/>
      <w:marLeft w:val="0"/>
      <w:marRight w:val="0"/>
      <w:marTop w:val="0"/>
      <w:marBottom w:val="0"/>
      <w:divBdr>
        <w:top w:val="none" w:sz="0" w:space="0" w:color="auto"/>
        <w:left w:val="none" w:sz="0" w:space="0" w:color="auto"/>
        <w:bottom w:val="none" w:sz="0" w:space="0" w:color="auto"/>
        <w:right w:val="none" w:sz="0" w:space="0" w:color="auto"/>
      </w:divBdr>
    </w:div>
    <w:div w:id="2046903200">
      <w:bodyDiv w:val="1"/>
      <w:marLeft w:val="0"/>
      <w:marRight w:val="0"/>
      <w:marTop w:val="0"/>
      <w:marBottom w:val="0"/>
      <w:divBdr>
        <w:top w:val="none" w:sz="0" w:space="0" w:color="auto"/>
        <w:left w:val="none" w:sz="0" w:space="0" w:color="auto"/>
        <w:bottom w:val="none" w:sz="0" w:space="0" w:color="auto"/>
        <w:right w:val="none" w:sz="0" w:space="0" w:color="auto"/>
      </w:divBdr>
    </w:div>
    <w:div w:id="2047411642">
      <w:bodyDiv w:val="1"/>
      <w:marLeft w:val="0"/>
      <w:marRight w:val="0"/>
      <w:marTop w:val="0"/>
      <w:marBottom w:val="0"/>
      <w:divBdr>
        <w:top w:val="none" w:sz="0" w:space="0" w:color="auto"/>
        <w:left w:val="none" w:sz="0" w:space="0" w:color="auto"/>
        <w:bottom w:val="none" w:sz="0" w:space="0" w:color="auto"/>
        <w:right w:val="none" w:sz="0" w:space="0" w:color="auto"/>
      </w:divBdr>
    </w:div>
    <w:div w:id="2050641752">
      <w:bodyDiv w:val="1"/>
      <w:marLeft w:val="0"/>
      <w:marRight w:val="0"/>
      <w:marTop w:val="0"/>
      <w:marBottom w:val="0"/>
      <w:divBdr>
        <w:top w:val="none" w:sz="0" w:space="0" w:color="auto"/>
        <w:left w:val="none" w:sz="0" w:space="0" w:color="auto"/>
        <w:bottom w:val="none" w:sz="0" w:space="0" w:color="auto"/>
        <w:right w:val="none" w:sz="0" w:space="0" w:color="auto"/>
      </w:divBdr>
    </w:div>
    <w:div w:id="2051345374">
      <w:bodyDiv w:val="1"/>
      <w:marLeft w:val="0"/>
      <w:marRight w:val="0"/>
      <w:marTop w:val="0"/>
      <w:marBottom w:val="0"/>
      <w:divBdr>
        <w:top w:val="none" w:sz="0" w:space="0" w:color="auto"/>
        <w:left w:val="none" w:sz="0" w:space="0" w:color="auto"/>
        <w:bottom w:val="none" w:sz="0" w:space="0" w:color="auto"/>
        <w:right w:val="none" w:sz="0" w:space="0" w:color="auto"/>
      </w:divBdr>
    </w:div>
    <w:div w:id="2055274993">
      <w:bodyDiv w:val="1"/>
      <w:marLeft w:val="0"/>
      <w:marRight w:val="0"/>
      <w:marTop w:val="0"/>
      <w:marBottom w:val="0"/>
      <w:divBdr>
        <w:top w:val="none" w:sz="0" w:space="0" w:color="auto"/>
        <w:left w:val="none" w:sz="0" w:space="0" w:color="auto"/>
        <w:bottom w:val="none" w:sz="0" w:space="0" w:color="auto"/>
        <w:right w:val="none" w:sz="0" w:space="0" w:color="auto"/>
      </w:divBdr>
    </w:div>
    <w:div w:id="2058696342">
      <w:bodyDiv w:val="1"/>
      <w:marLeft w:val="0"/>
      <w:marRight w:val="0"/>
      <w:marTop w:val="0"/>
      <w:marBottom w:val="0"/>
      <w:divBdr>
        <w:top w:val="none" w:sz="0" w:space="0" w:color="auto"/>
        <w:left w:val="none" w:sz="0" w:space="0" w:color="auto"/>
        <w:bottom w:val="none" w:sz="0" w:space="0" w:color="auto"/>
        <w:right w:val="none" w:sz="0" w:space="0" w:color="auto"/>
      </w:divBdr>
    </w:div>
    <w:div w:id="2059163358">
      <w:bodyDiv w:val="1"/>
      <w:marLeft w:val="0"/>
      <w:marRight w:val="0"/>
      <w:marTop w:val="0"/>
      <w:marBottom w:val="0"/>
      <w:divBdr>
        <w:top w:val="none" w:sz="0" w:space="0" w:color="auto"/>
        <w:left w:val="none" w:sz="0" w:space="0" w:color="auto"/>
        <w:bottom w:val="none" w:sz="0" w:space="0" w:color="auto"/>
        <w:right w:val="none" w:sz="0" w:space="0" w:color="auto"/>
      </w:divBdr>
    </w:div>
    <w:div w:id="2060126538">
      <w:bodyDiv w:val="1"/>
      <w:marLeft w:val="0"/>
      <w:marRight w:val="0"/>
      <w:marTop w:val="0"/>
      <w:marBottom w:val="0"/>
      <w:divBdr>
        <w:top w:val="none" w:sz="0" w:space="0" w:color="auto"/>
        <w:left w:val="none" w:sz="0" w:space="0" w:color="auto"/>
        <w:bottom w:val="none" w:sz="0" w:space="0" w:color="auto"/>
        <w:right w:val="none" w:sz="0" w:space="0" w:color="auto"/>
      </w:divBdr>
    </w:div>
    <w:div w:id="2060275232">
      <w:bodyDiv w:val="1"/>
      <w:marLeft w:val="0"/>
      <w:marRight w:val="0"/>
      <w:marTop w:val="0"/>
      <w:marBottom w:val="0"/>
      <w:divBdr>
        <w:top w:val="none" w:sz="0" w:space="0" w:color="auto"/>
        <w:left w:val="none" w:sz="0" w:space="0" w:color="auto"/>
        <w:bottom w:val="none" w:sz="0" w:space="0" w:color="auto"/>
        <w:right w:val="none" w:sz="0" w:space="0" w:color="auto"/>
      </w:divBdr>
    </w:div>
    <w:div w:id="2069301260">
      <w:bodyDiv w:val="1"/>
      <w:marLeft w:val="0"/>
      <w:marRight w:val="0"/>
      <w:marTop w:val="0"/>
      <w:marBottom w:val="0"/>
      <w:divBdr>
        <w:top w:val="none" w:sz="0" w:space="0" w:color="auto"/>
        <w:left w:val="none" w:sz="0" w:space="0" w:color="auto"/>
        <w:bottom w:val="none" w:sz="0" w:space="0" w:color="auto"/>
        <w:right w:val="none" w:sz="0" w:space="0" w:color="auto"/>
      </w:divBdr>
    </w:div>
    <w:div w:id="2072651502">
      <w:bodyDiv w:val="1"/>
      <w:marLeft w:val="0"/>
      <w:marRight w:val="0"/>
      <w:marTop w:val="0"/>
      <w:marBottom w:val="0"/>
      <w:divBdr>
        <w:top w:val="none" w:sz="0" w:space="0" w:color="auto"/>
        <w:left w:val="none" w:sz="0" w:space="0" w:color="auto"/>
        <w:bottom w:val="none" w:sz="0" w:space="0" w:color="auto"/>
        <w:right w:val="none" w:sz="0" w:space="0" w:color="auto"/>
      </w:divBdr>
    </w:div>
    <w:div w:id="2072800201">
      <w:bodyDiv w:val="1"/>
      <w:marLeft w:val="0"/>
      <w:marRight w:val="0"/>
      <w:marTop w:val="0"/>
      <w:marBottom w:val="0"/>
      <w:divBdr>
        <w:top w:val="none" w:sz="0" w:space="0" w:color="auto"/>
        <w:left w:val="none" w:sz="0" w:space="0" w:color="auto"/>
        <w:bottom w:val="none" w:sz="0" w:space="0" w:color="auto"/>
        <w:right w:val="none" w:sz="0" w:space="0" w:color="auto"/>
      </w:divBdr>
    </w:div>
    <w:div w:id="2078745385">
      <w:bodyDiv w:val="1"/>
      <w:marLeft w:val="0"/>
      <w:marRight w:val="0"/>
      <w:marTop w:val="0"/>
      <w:marBottom w:val="0"/>
      <w:divBdr>
        <w:top w:val="none" w:sz="0" w:space="0" w:color="auto"/>
        <w:left w:val="none" w:sz="0" w:space="0" w:color="auto"/>
        <w:bottom w:val="none" w:sz="0" w:space="0" w:color="auto"/>
        <w:right w:val="none" w:sz="0" w:space="0" w:color="auto"/>
      </w:divBdr>
    </w:div>
    <w:div w:id="2081832145">
      <w:bodyDiv w:val="1"/>
      <w:marLeft w:val="0"/>
      <w:marRight w:val="0"/>
      <w:marTop w:val="0"/>
      <w:marBottom w:val="0"/>
      <w:divBdr>
        <w:top w:val="none" w:sz="0" w:space="0" w:color="auto"/>
        <w:left w:val="none" w:sz="0" w:space="0" w:color="auto"/>
        <w:bottom w:val="none" w:sz="0" w:space="0" w:color="auto"/>
        <w:right w:val="none" w:sz="0" w:space="0" w:color="auto"/>
      </w:divBdr>
    </w:div>
    <w:div w:id="2083408419">
      <w:bodyDiv w:val="1"/>
      <w:marLeft w:val="0"/>
      <w:marRight w:val="0"/>
      <w:marTop w:val="0"/>
      <w:marBottom w:val="0"/>
      <w:divBdr>
        <w:top w:val="none" w:sz="0" w:space="0" w:color="auto"/>
        <w:left w:val="none" w:sz="0" w:space="0" w:color="auto"/>
        <w:bottom w:val="none" w:sz="0" w:space="0" w:color="auto"/>
        <w:right w:val="none" w:sz="0" w:space="0" w:color="auto"/>
      </w:divBdr>
    </w:div>
    <w:div w:id="2085182159">
      <w:bodyDiv w:val="1"/>
      <w:marLeft w:val="0"/>
      <w:marRight w:val="0"/>
      <w:marTop w:val="0"/>
      <w:marBottom w:val="0"/>
      <w:divBdr>
        <w:top w:val="none" w:sz="0" w:space="0" w:color="auto"/>
        <w:left w:val="none" w:sz="0" w:space="0" w:color="auto"/>
        <w:bottom w:val="none" w:sz="0" w:space="0" w:color="auto"/>
        <w:right w:val="none" w:sz="0" w:space="0" w:color="auto"/>
      </w:divBdr>
    </w:div>
    <w:div w:id="2086146849">
      <w:bodyDiv w:val="1"/>
      <w:marLeft w:val="0"/>
      <w:marRight w:val="0"/>
      <w:marTop w:val="0"/>
      <w:marBottom w:val="0"/>
      <w:divBdr>
        <w:top w:val="none" w:sz="0" w:space="0" w:color="auto"/>
        <w:left w:val="none" w:sz="0" w:space="0" w:color="auto"/>
        <w:bottom w:val="none" w:sz="0" w:space="0" w:color="auto"/>
        <w:right w:val="none" w:sz="0" w:space="0" w:color="auto"/>
      </w:divBdr>
    </w:div>
    <w:div w:id="2087142714">
      <w:bodyDiv w:val="1"/>
      <w:marLeft w:val="0"/>
      <w:marRight w:val="0"/>
      <w:marTop w:val="0"/>
      <w:marBottom w:val="0"/>
      <w:divBdr>
        <w:top w:val="none" w:sz="0" w:space="0" w:color="auto"/>
        <w:left w:val="none" w:sz="0" w:space="0" w:color="auto"/>
        <w:bottom w:val="none" w:sz="0" w:space="0" w:color="auto"/>
        <w:right w:val="none" w:sz="0" w:space="0" w:color="auto"/>
      </w:divBdr>
    </w:div>
    <w:div w:id="2087534692">
      <w:bodyDiv w:val="1"/>
      <w:marLeft w:val="0"/>
      <w:marRight w:val="0"/>
      <w:marTop w:val="0"/>
      <w:marBottom w:val="0"/>
      <w:divBdr>
        <w:top w:val="none" w:sz="0" w:space="0" w:color="auto"/>
        <w:left w:val="none" w:sz="0" w:space="0" w:color="auto"/>
        <w:bottom w:val="none" w:sz="0" w:space="0" w:color="auto"/>
        <w:right w:val="none" w:sz="0" w:space="0" w:color="auto"/>
      </w:divBdr>
    </w:div>
    <w:div w:id="2091461933">
      <w:bodyDiv w:val="1"/>
      <w:marLeft w:val="0"/>
      <w:marRight w:val="0"/>
      <w:marTop w:val="0"/>
      <w:marBottom w:val="0"/>
      <w:divBdr>
        <w:top w:val="none" w:sz="0" w:space="0" w:color="auto"/>
        <w:left w:val="none" w:sz="0" w:space="0" w:color="auto"/>
        <w:bottom w:val="none" w:sz="0" w:space="0" w:color="auto"/>
        <w:right w:val="none" w:sz="0" w:space="0" w:color="auto"/>
      </w:divBdr>
    </w:div>
    <w:div w:id="2099204140">
      <w:bodyDiv w:val="1"/>
      <w:marLeft w:val="0"/>
      <w:marRight w:val="0"/>
      <w:marTop w:val="0"/>
      <w:marBottom w:val="0"/>
      <w:divBdr>
        <w:top w:val="none" w:sz="0" w:space="0" w:color="auto"/>
        <w:left w:val="none" w:sz="0" w:space="0" w:color="auto"/>
        <w:bottom w:val="none" w:sz="0" w:space="0" w:color="auto"/>
        <w:right w:val="none" w:sz="0" w:space="0" w:color="auto"/>
      </w:divBdr>
    </w:div>
    <w:div w:id="2099524325">
      <w:bodyDiv w:val="1"/>
      <w:marLeft w:val="0"/>
      <w:marRight w:val="0"/>
      <w:marTop w:val="0"/>
      <w:marBottom w:val="0"/>
      <w:divBdr>
        <w:top w:val="none" w:sz="0" w:space="0" w:color="auto"/>
        <w:left w:val="none" w:sz="0" w:space="0" w:color="auto"/>
        <w:bottom w:val="none" w:sz="0" w:space="0" w:color="auto"/>
        <w:right w:val="none" w:sz="0" w:space="0" w:color="auto"/>
      </w:divBdr>
    </w:div>
    <w:div w:id="2103379754">
      <w:bodyDiv w:val="1"/>
      <w:marLeft w:val="0"/>
      <w:marRight w:val="0"/>
      <w:marTop w:val="0"/>
      <w:marBottom w:val="0"/>
      <w:divBdr>
        <w:top w:val="none" w:sz="0" w:space="0" w:color="auto"/>
        <w:left w:val="none" w:sz="0" w:space="0" w:color="auto"/>
        <w:bottom w:val="none" w:sz="0" w:space="0" w:color="auto"/>
        <w:right w:val="none" w:sz="0" w:space="0" w:color="auto"/>
      </w:divBdr>
    </w:div>
    <w:div w:id="2103866317">
      <w:bodyDiv w:val="1"/>
      <w:marLeft w:val="0"/>
      <w:marRight w:val="0"/>
      <w:marTop w:val="0"/>
      <w:marBottom w:val="0"/>
      <w:divBdr>
        <w:top w:val="none" w:sz="0" w:space="0" w:color="auto"/>
        <w:left w:val="none" w:sz="0" w:space="0" w:color="auto"/>
        <w:bottom w:val="none" w:sz="0" w:space="0" w:color="auto"/>
        <w:right w:val="none" w:sz="0" w:space="0" w:color="auto"/>
      </w:divBdr>
    </w:div>
    <w:div w:id="2106993952">
      <w:bodyDiv w:val="1"/>
      <w:marLeft w:val="0"/>
      <w:marRight w:val="0"/>
      <w:marTop w:val="0"/>
      <w:marBottom w:val="0"/>
      <w:divBdr>
        <w:top w:val="none" w:sz="0" w:space="0" w:color="auto"/>
        <w:left w:val="none" w:sz="0" w:space="0" w:color="auto"/>
        <w:bottom w:val="none" w:sz="0" w:space="0" w:color="auto"/>
        <w:right w:val="none" w:sz="0" w:space="0" w:color="auto"/>
      </w:divBdr>
    </w:div>
    <w:div w:id="2108039796">
      <w:bodyDiv w:val="1"/>
      <w:marLeft w:val="0"/>
      <w:marRight w:val="0"/>
      <w:marTop w:val="0"/>
      <w:marBottom w:val="0"/>
      <w:divBdr>
        <w:top w:val="none" w:sz="0" w:space="0" w:color="auto"/>
        <w:left w:val="none" w:sz="0" w:space="0" w:color="auto"/>
        <w:bottom w:val="none" w:sz="0" w:space="0" w:color="auto"/>
        <w:right w:val="none" w:sz="0" w:space="0" w:color="auto"/>
      </w:divBdr>
    </w:div>
    <w:div w:id="2108386705">
      <w:bodyDiv w:val="1"/>
      <w:marLeft w:val="0"/>
      <w:marRight w:val="0"/>
      <w:marTop w:val="0"/>
      <w:marBottom w:val="0"/>
      <w:divBdr>
        <w:top w:val="none" w:sz="0" w:space="0" w:color="auto"/>
        <w:left w:val="none" w:sz="0" w:space="0" w:color="auto"/>
        <w:bottom w:val="none" w:sz="0" w:space="0" w:color="auto"/>
        <w:right w:val="none" w:sz="0" w:space="0" w:color="auto"/>
      </w:divBdr>
    </w:div>
    <w:div w:id="2112242950">
      <w:bodyDiv w:val="1"/>
      <w:marLeft w:val="0"/>
      <w:marRight w:val="0"/>
      <w:marTop w:val="0"/>
      <w:marBottom w:val="0"/>
      <w:divBdr>
        <w:top w:val="none" w:sz="0" w:space="0" w:color="auto"/>
        <w:left w:val="none" w:sz="0" w:space="0" w:color="auto"/>
        <w:bottom w:val="none" w:sz="0" w:space="0" w:color="auto"/>
        <w:right w:val="none" w:sz="0" w:space="0" w:color="auto"/>
      </w:divBdr>
    </w:div>
    <w:div w:id="2114130712">
      <w:bodyDiv w:val="1"/>
      <w:marLeft w:val="0"/>
      <w:marRight w:val="0"/>
      <w:marTop w:val="0"/>
      <w:marBottom w:val="0"/>
      <w:divBdr>
        <w:top w:val="none" w:sz="0" w:space="0" w:color="auto"/>
        <w:left w:val="none" w:sz="0" w:space="0" w:color="auto"/>
        <w:bottom w:val="none" w:sz="0" w:space="0" w:color="auto"/>
        <w:right w:val="none" w:sz="0" w:space="0" w:color="auto"/>
      </w:divBdr>
    </w:div>
    <w:div w:id="2115005667">
      <w:bodyDiv w:val="1"/>
      <w:marLeft w:val="0"/>
      <w:marRight w:val="0"/>
      <w:marTop w:val="0"/>
      <w:marBottom w:val="0"/>
      <w:divBdr>
        <w:top w:val="none" w:sz="0" w:space="0" w:color="auto"/>
        <w:left w:val="none" w:sz="0" w:space="0" w:color="auto"/>
        <w:bottom w:val="none" w:sz="0" w:space="0" w:color="auto"/>
        <w:right w:val="none" w:sz="0" w:space="0" w:color="auto"/>
      </w:divBdr>
    </w:div>
    <w:div w:id="2115705064">
      <w:bodyDiv w:val="1"/>
      <w:marLeft w:val="0"/>
      <w:marRight w:val="0"/>
      <w:marTop w:val="0"/>
      <w:marBottom w:val="0"/>
      <w:divBdr>
        <w:top w:val="none" w:sz="0" w:space="0" w:color="auto"/>
        <w:left w:val="none" w:sz="0" w:space="0" w:color="auto"/>
        <w:bottom w:val="none" w:sz="0" w:space="0" w:color="auto"/>
        <w:right w:val="none" w:sz="0" w:space="0" w:color="auto"/>
      </w:divBdr>
    </w:div>
    <w:div w:id="2118600401">
      <w:bodyDiv w:val="1"/>
      <w:marLeft w:val="0"/>
      <w:marRight w:val="0"/>
      <w:marTop w:val="0"/>
      <w:marBottom w:val="0"/>
      <w:divBdr>
        <w:top w:val="none" w:sz="0" w:space="0" w:color="auto"/>
        <w:left w:val="none" w:sz="0" w:space="0" w:color="auto"/>
        <w:bottom w:val="none" w:sz="0" w:space="0" w:color="auto"/>
        <w:right w:val="none" w:sz="0" w:space="0" w:color="auto"/>
      </w:divBdr>
    </w:div>
    <w:div w:id="2119714183">
      <w:bodyDiv w:val="1"/>
      <w:marLeft w:val="0"/>
      <w:marRight w:val="0"/>
      <w:marTop w:val="0"/>
      <w:marBottom w:val="0"/>
      <w:divBdr>
        <w:top w:val="none" w:sz="0" w:space="0" w:color="auto"/>
        <w:left w:val="none" w:sz="0" w:space="0" w:color="auto"/>
        <w:bottom w:val="none" w:sz="0" w:space="0" w:color="auto"/>
        <w:right w:val="none" w:sz="0" w:space="0" w:color="auto"/>
      </w:divBdr>
    </w:div>
    <w:div w:id="2119792933">
      <w:bodyDiv w:val="1"/>
      <w:marLeft w:val="0"/>
      <w:marRight w:val="0"/>
      <w:marTop w:val="0"/>
      <w:marBottom w:val="0"/>
      <w:divBdr>
        <w:top w:val="none" w:sz="0" w:space="0" w:color="auto"/>
        <w:left w:val="none" w:sz="0" w:space="0" w:color="auto"/>
        <w:bottom w:val="none" w:sz="0" w:space="0" w:color="auto"/>
        <w:right w:val="none" w:sz="0" w:space="0" w:color="auto"/>
      </w:divBdr>
    </w:div>
    <w:div w:id="2120290893">
      <w:bodyDiv w:val="1"/>
      <w:marLeft w:val="0"/>
      <w:marRight w:val="0"/>
      <w:marTop w:val="0"/>
      <w:marBottom w:val="0"/>
      <w:divBdr>
        <w:top w:val="none" w:sz="0" w:space="0" w:color="auto"/>
        <w:left w:val="none" w:sz="0" w:space="0" w:color="auto"/>
        <w:bottom w:val="none" w:sz="0" w:space="0" w:color="auto"/>
        <w:right w:val="none" w:sz="0" w:space="0" w:color="auto"/>
      </w:divBdr>
    </w:div>
    <w:div w:id="2123305642">
      <w:bodyDiv w:val="1"/>
      <w:marLeft w:val="0"/>
      <w:marRight w:val="0"/>
      <w:marTop w:val="0"/>
      <w:marBottom w:val="0"/>
      <w:divBdr>
        <w:top w:val="none" w:sz="0" w:space="0" w:color="auto"/>
        <w:left w:val="none" w:sz="0" w:space="0" w:color="auto"/>
        <w:bottom w:val="none" w:sz="0" w:space="0" w:color="auto"/>
        <w:right w:val="none" w:sz="0" w:space="0" w:color="auto"/>
      </w:divBdr>
    </w:div>
    <w:div w:id="2123917098">
      <w:bodyDiv w:val="1"/>
      <w:marLeft w:val="0"/>
      <w:marRight w:val="0"/>
      <w:marTop w:val="0"/>
      <w:marBottom w:val="0"/>
      <w:divBdr>
        <w:top w:val="none" w:sz="0" w:space="0" w:color="auto"/>
        <w:left w:val="none" w:sz="0" w:space="0" w:color="auto"/>
        <w:bottom w:val="none" w:sz="0" w:space="0" w:color="auto"/>
        <w:right w:val="none" w:sz="0" w:space="0" w:color="auto"/>
      </w:divBdr>
    </w:div>
    <w:div w:id="2124033326">
      <w:bodyDiv w:val="1"/>
      <w:marLeft w:val="0"/>
      <w:marRight w:val="0"/>
      <w:marTop w:val="0"/>
      <w:marBottom w:val="0"/>
      <w:divBdr>
        <w:top w:val="none" w:sz="0" w:space="0" w:color="auto"/>
        <w:left w:val="none" w:sz="0" w:space="0" w:color="auto"/>
        <w:bottom w:val="none" w:sz="0" w:space="0" w:color="auto"/>
        <w:right w:val="none" w:sz="0" w:space="0" w:color="auto"/>
      </w:divBdr>
    </w:div>
    <w:div w:id="2124495439">
      <w:bodyDiv w:val="1"/>
      <w:marLeft w:val="0"/>
      <w:marRight w:val="0"/>
      <w:marTop w:val="0"/>
      <w:marBottom w:val="0"/>
      <w:divBdr>
        <w:top w:val="none" w:sz="0" w:space="0" w:color="auto"/>
        <w:left w:val="none" w:sz="0" w:space="0" w:color="auto"/>
        <w:bottom w:val="none" w:sz="0" w:space="0" w:color="auto"/>
        <w:right w:val="none" w:sz="0" w:space="0" w:color="auto"/>
      </w:divBdr>
    </w:div>
    <w:div w:id="2126079629">
      <w:bodyDiv w:val="1"/>
      <w:marLeft w:val="0"/>
      <w:marRight w:val="0"/>
      <w:marTop w:val="0"/>
      <w:marBottom w:val="0"/>
      <w:divBdr>
        <w:top w:val="none" w:sz="0" w:space="0" w:color="auto"/>
        <w:left w:val="none" w:sz="0" w:space="0" w:color="auto"/>
        <w:bottom w:val="none" w:sz="0" w:space="0" w:color="auto"/>
        <w:right w:val="none" w:sz="0" w:space="0" w:color="auto"/>
      </w:divBdr>
    </w:div>
    <w:div w:id="2126846048">
      <w:bodyDiv w:val="1"/>
      <w:marLeft w:val="0"/>
      <w:marRight w:val="0"/>
      <w:marTop w:val="0"/>
      <w:marBottom w:val="0"/>
      <w:divBdr>
        <w:top w:val="none" w:sz="0" w:space="0" w:color="auto"/>
        <w:left w:val="none" w:sz="0" w:space="0" w:color="auto"/>
        <w:bottom w:val="none" w:sz="0" w:space="0" w:color="auto"/>
        <w:right w:val="none" w:sz="0" w:space="0" w:color="auto"/>
      </w:divBdr>
    </w:div>
    <w:div w:id="2127431493">
      <w:bodyDiv w:val="1"/>
      <w:marLeft w:val="0"/>
      <w:marRight w:val="0"/>
      <w:marTop w:val="0"/>
      <w:marBottom w:val="0"/>
      <w:divBdr>
        <w:top w:val="none" w:sz="0" w:space="0" w:color="auto"/>
        <w:left w:val="none" w:sz="0" w:space="0" w:color="auto"/>
        <w:bottom w:val="none" w:sz="0" w:space="0" w:color="auto"/>
        <w:right w:val="none" w:sz="0" w:space="0" w:color="auto"/>
      </w:divBdr>
    </w:div>
    <w:div w:id="2128163170">
      <w:bodyDiv w:val="1"/>
      <w:marLeft w:val="0"/>
      <w:marRight w:val="0"/>
      <w:marTop w:val="0"/>
      <w:marBottom w:val="0"/>
      <w:divBdr>
        <w:top w:val="none" w:sz="0" w:space="0" w:color="auto"/>
        <w:left w:val="none" w:sz="0" w:space="0" w:color="auto"/>
        <w:bottom w:val="none" w:sz="0" w:space="0" w:color="auto"/>
        <w:right w:val="none" w:sz="0" w:space="0" w:color="auto"/>
      </w:divBdr>
    </w:div>
    <w:div w:id="2133670600">
      <w:bodyDiv w:val="1"/>
      <w:marLeft w:val="0"/>
      <w:marRight w:val="0"/>
      <w:marTop w:val="0"/>
      <w:marBottom w:val="0"/>
      <w:divBdr>
        <w:top w:val="none" w:sz="0" w:space="0" w:color="auto"/>
        <w:left w:val="none" w:sz="0" w:space="0" w:color="auto"/>
        <w:bottom w:val="none" w:sz="0" w:space="0" w:color="auto"/>
        <w:right w:val="none" w:sz="0" w:space="0" w:color="auto"/>
      </w:divBdr>
    </w:div>
    <w:div w:id="2133788366">
      <w:bodyDiv w:val="1"/>
      <w:marLeft w:val="0"/>
      <w:marRight w:val="0"/>
      <w:marTop w:val="0"/>
      <w:marBottom w:val="0"/>
      <w:divBdr>
        <w:top w:val="none" w:sz="0" w:space="0" w:color="auto"/>
        <w:left w:val="none" w:sz="0" w:space="0" w:color="auto"/>
        <w:bottom w:val="none" w:sz="0" w:space="0" w:color="auto"/>
        <w:right w:val="none" w:sz="0" w:space="0" w:color="auto"/>
      </w:divBdr>
    </w:div>
    <w:div w:id="2135442878">
      <w:bodyDiv w:val="1"/>
      <w:marLeft w:val="0"/>
      <w:marRight w:val="0"/>
      <w:marTop w:val="0"/>
      <w:marBottom w:val="0"/>
      <w:divBdr>
        <w:top w:val="none" w:sz="0" w:space="0" w:color="auto"/>
        <w:left w:val="none" w:sz="0" w:space="0" w:color="auto"/>
        <w:bottom w:val="none" w:sz="0" w:space="0" w:color="auto"/>
        <w:right w:val="none" w:sz="0" w:space="0" w:color="auto"/>
      </w:divBdr>
    </w:div>
    <w:div w:id="2139831838">
      <w:bodyDiv w:val="1"/>
      <w:marLeft w:val="0"/>
      <w:marRight w:val="0"/>
      <w:marTop w:val="0"/>
      <w:marBottom w:val="0"/>
      <w:divBdr>
        <w:top w:val="none" w:sz="0" w:space="0" w:color="auto"/>
        <w:left w:val="none" w:sz="0" w:space="0" w:color="auto"/>
        <w:bottom w:val="none" w:sz="0" w:space="0" w:color="auto"/>
        <w:right w:val="none" w:sz="0" w:space="0" w:color="auto"/>
      </w:divBdr>
    </w:div>
    <w:div w:id="2140369363">
      <w:bodyDiv w:val="1"/>
      <w:marLeft w:val="0"/>
      <w:marRight w:val="0"/>
      <w:marTop w:val="0"/>
      <w:marBottom w:val="0"/>
      <w:divBdr>
        <w:top w:val="none" w:sz="0" w:space="0" w:color="auto"/>
        <w:left w:val="none" w:sz="0" w:space="0" w:color="auto"/>
        <w:bottom w:val="none" w:sz="0" w:space="0" w:color="auto"/>
        <w:right w:val="none" w:sz="0" w:space="0" w:color="auto"/>
      </w:divBdr>
    </w:div>
    <w:div w:id="2143617853">
      <w:bodyDiv w:val="1"/>
      <w:marLeft w:val="0"/>
      <w:marRight w:val="0"/>
      <w:marTop w:val="0"/>
      <w:marBottom w:val="0"/>
      <w:divBdr>
        <w:top w:val="none" w:sz="0" w:space="0" w:color="auto"/>
        <w:left w:val="none" w:sz="0" w:space="0" w:color="auto"/>
        <w:bottom w:val="none" w:sz="0" w:space="0" w:color="auto"/>
        <w:right w:val="none" w:sz="0" w:space="0" w:color="auto"/>
      </w:divBdr>
    </w:div>
    <w:div w:id="214453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header" Target="header6.xml"/><Relationship Id="rId42" Type="http://schemas.openxmlformats.org/officeDocument/2006/relationships/image" Target="media/image19.emf"/><Relationship Id="rId63" Type="http://schemas.openxmlformats.org/officeDocument/2006/relationships/footer" Target="footer3.xml"/><Relationship Id="rId84" Type="http://schemas.openxmlformats.org/officeDocument/2006/relationships/header" Target="header34.xml"/><Relationship Id="rId16" Type="http://schemas.openxmlformats.org/officeDocument/2006/relationships/header" Target="header4.xml"/><Relationship Id="rId107" Type="http://schemas.openxmlformats.org/officeDocument/2006/relationships/image" Target="media/image54.emf"/><Relationship Id="rId11"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header" Target="header15.xml"/><Relationship Id="rId53" Type="http://schemas.openxmlformats.org/officeDocument/2006/relationships/image" Target="media/image25.emf"/><Relationship Id="rId58" Type="http://schemas.openxmlformats.org/officeDocument/2006/relationships/footer" Target="footer2.xml"/><Relationship Id="rId74" Type="http://schemas.openxmlformats.org/officeDocument/2006/relationships/image" Target="media/image35.emf"/><Relationship Id="rId79" Type="http://schemas.openxmlformats.org/officeDocument/2006/relationships/image" Target="media/image38.emf"/><Relationship Id="rId102" Type="http://schemas.openxmlformats.org/officeDocument/2006/relationships/header" Target="header42.xml"/><Relationship Id="rId123" Type="http://schemas.openxmlformats.org/officeDocument/2006/relationships/footer" Target="footer5.xml"/><Relationship Id="rId128"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image" Target="media/image48.emf"/><Relationship Id="rId22" Type="http://schemas.openxmlformats.org/officeDocument/2006/relationships/header" Target="header7.xml"/><Relationship Id="rId27" Type="http://schemas.openxmlformats.org/officeDocument/2006/relationships/image" Target="media/image11.emf"/><Relationship Id="rId43" Type="http://schemas.openxmlformats.org/officeDocument/2006/relationships/header" Target="header17.xml"/><Relationship Id="rId48"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1.emf"/><Relationship Id="rId113" Type="http://schemas.openxmlformats.org/officeDocument/2006/relationships/image" Target="media/image57.emf"/><Relationship Id="rId118" Type="http://schemas.openxmlformats.org/officeDocument/2006/relationships/header" Target="header49.xml"/><Relationship Id="rId80" Type="http://schemas.openxmlformats.org/officeDocument/2006/relationships/image" Target="media/image39.emf"/><Relationship Id="rId85" Type="http://schemas.openxmlformats.org/officeDocument/2006/relationships/image" Target="media/image42.emf"/><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header" Target="header25.xml"/><Relationship Id="rId103" Type="http://schemas.openxmlformats.org/officeDocument/2006/relationships/image" Target="media/image52.emf"/><Relationship Id="rId108" Type="http://schemas.openxmlformats.org/officeDocument/2006/relationships/header" Target="header45.xml"/><Relationship Id="rId124" Type="http://schemas.openxmlformats.org/officeDocument/2006/relationships/header" Target="header53.xml"/><Relationship Id="rId129" Type="http://schemas.openxmlformats.org/officeDocument/2006/relationships/footer" Target="footer8.xml"/><Relationship Id="rId54" Type="http://schemas.openxmlformats.org/officeDocument/2006/relationships/header" Target="header22.xml"/><Relationship Id="rId70" Type="http://schemas.openxmlformats.org/officeDocument/2006/relationships/image" Target="media/image32.emf"/><Relationship Id="rId75" Type="http://schemas.openxmlformats.org/officeDocument/2006/relationships/header" Target="header31.xml"/><Relationship Id="rId91" Type="http://schemas.openxmlformats.org/officeDocument/2006/relationships/header" Target="header37.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image" Target="media/image58.emf"/><Relationship Id="rId119" Type="http://schemas.openxmlformats.org/officeDocument/2006/relationships/header" Target="header50.xml"/><Relationship Id="rId44" Type="http://schemas.openxmlformats.org/officeDocument/2006/relationships/image" Target="media/image20.emf"/><Relationship Id="rId60" Type="http://schemas.openxmlformats.org/officeDocument/2006/relationships/image" Target="media/image27.emf"/><Relationship Id="rId65" Type="http://schemas.openxmlformats.org/officeDocument/2006/relationships/header" Target="header27.xml"/><Relationship Id="rId81" Type="http://schemas.openxmlformats.org/officeDocument/2006/relationships/header" Target="header33.xml"/><Relationship Id="rId86" Type="http://schemas.openxmlformats.org/officeDocument/2006/relationships/image" Target="media/image43.emf"/><Relationship Id="rId130" Type="http://schemas.openxmlformats.org/officeDocument/2006/relationships/header" Target="header56.xml"/><Relationship Id="rId13" Type="http://schemas.openxmlformats.org/officeDocument/2006/relationships/image" Target="media/image4.emf"/><Relationship Id="rId18" Type="http://schemas.openxmlformats.org/officeDocument/2006/relationships/header" Target="header5.xml"/><Relationship Id="rId39" Type="http://schemas.openxmlformats.org/officeDocument/2006/relationships/image" Target="media/image17.emf"/><Relationship Id="rId109" Type="http://schemas.openxmlformats.org/officeDocument/2006/relationships/image" Target="media/image55.emf"/><Relationship Id="rId34" Type="http://schemas.openxmlformats.org/officeDocument/2006/relationships/header" Target="header13.xml"/><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36.emf"/><Relationship Id="rId97" Type="http://schemas.openxmlformats.org/officeDocument/2006/relationships/image" Target="media/image49.emf"/><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image" Target="media/image59.emf"/><Relationship Id="rId131" Type="http://schemas.openxmlformats.org/officeDocument/2006/relationships/footer" Target="footer9.xml"/><Relationship Id="rId61" Type="http://schemas.openxmlformats.org/officeDocument/2006/relationships/image" Target="media/image28.emf"/><Relationship Id="rId82" Type="http://schemas.openxmlformats.org/officeDocument/2006/relationships/image" Target="media/image40.emf"/><Relationship Id="rId19" Type="http://schemas.openxmlformats.org/officeDocument/2006/relationships/image" Target="media/image7.emf"/><Relationship Id="rId14" Type="http://schemas.openxmlformats.org/officeDocument/2006/relationships/header" Target="header3.xml"/><Relationship Id="rId30" Type="http://schemas.openxmlformats.org/officeDocument/2006/relationships/header" Target="header12.xml"/><Relationship Id="rId35" Type="http://schemas.openxmlformats.org/officeDocument/2006/relationships/image" Target="media/image15.emf"/><Relationship Id="rId56" Type="http://schemas.openxmlformats.org/officeDocument/2006/relationships/header" Target="header23.xml"/><Relationship Id="rId77" Type="http://schemas.openxmlformats.org/officeDocument/2006/relationships/image" Target="media/image37.emf"/><Relationship Id="rId100" Type="http://schemas.openxmlformats.org/officeDocument/2006/relationships/header" Target="header41.xml"/><Relationship Id="rId105" Type="http://schemas.openxmlformats.org/officeDocument/2006/relationships/image" Target="media/image53.emf"/><Relationship Id="rId126" Type="http://schemas.openxmlformats.org/officeDocument/2006/relationships/header" Target="header54.xml"/><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header" Target="header30.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header" Target="header52.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image" Target="media/image30.emf"/><Relationship Id="rId116" Type="http://schemas.openxmlformats.org/officeDocument/2006/relationships/header" Target="header48.xml"/><Relationship Id="rId20" Type="http://schemas.openxmlformats.org/officeDocument/2006/relationships/image" Target="media/image8.emf"/><Relationship Id="rId41" Type="http://schemas.openxmlformats.org/officeDocument/2006/relationships/header" Target="header16.xml"/><Relationship Id="rId62" Type="http://schemas.openxmlformats.org/officeDocument/2006/relationships/header" Target="header26.xml"/><Relationship Id="rId83" Type="http://schemas.openxmlformats.org/officeDocument/2006/relationships/image" Target="media/image41.emf"/><Relationship Id="rId88" Type="http://schemas.openxmlformats.org/officeDocument/2006/relationships/image" Target="media/image44.emf"/><Relationship Id="rId111" Type="http://schemas.openxmlformats.org/officeDocument/2006/relationships/image" Target="media/image56.emf"/><Relationship Id="rId132"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4.xml"/><Relationship Id="rId127" Type="http://schemas.openxmlformats.org/officeDocument/2006/relationships/header" Target="header55.xml"/><Relationship Id="rId10" Type="http://schemas.openxmlformats.org/officeDocument/2006/relationships/image" Target="media/image3.emf"/><Relationship Id="rId31" Type="http://schemas.openxmlformats.org/officeDocument/2006/relationships/image" Target="media/image12.emf"/><Relationship Id="rId52" Type="http://schemas.openxmlformats.org/officeDocument/2006/relationships/header" Target="header21.xml"/><Relationship Id="rId73" Type="http://schemas.openxmlformats.org/officeDocument/2006/relationships/image" Target="media/image34.emf"/><Relationship Id="rId78" Type="http://schemas.openxmlformats.org/officeDocument/2006/relationships/header" Target="header32.xml"/><Relationship Id="rId94" Type="http://schemas.openxmlformats.org/officeDocument/2006/relationships/image" Target="media/image47.emf"/><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header" Target="header29.xml"/><Relationship Id="rId89" Type="http://schemas.openxmlformats.org/officeDocument/2006/relationships/header" Target="header36.xml"/><Relationship Id="rId112" Type="http://schemas.openxmlformats.org/officeDocument/2006/relationships/header" Target="header47.xm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61.jpeg"/><Relationship Id="rId1" Type="http://schemas.openxmlformats.org/officeDocument/2006/relationships/hyperlink" Target="http://10.241.100.92/index.php"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E0BA-EFA2-4560-8896-3A934825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288</Pages>
  <Words>77396</Words>
  <Characters>425679</Characters>
  <Application>Microsoft Office Word</Application>
  <DocSecurity>0</DocSecurity>
  <Lines>3547</Lines>
  <Paragraphs>1004</Paragraphs>
  <ScaleCrop>false</ScaleCrop>
  <HeadingPairs>
    <vt:vector size="2" baseType="variant">
      <vt:variant>
        <vt:lpstr>Título</vt:lpstr>
      </vt:variant>
      <vt:variant>
        <vt:i4>1</vt:i4>
      </vt:variant>
    </vt:vector>
  </HeadingPairs>
  <TitlesOfParts>
    <vt:vector size="1" baseType="lpstr">
      <vt:lpstr>ESTADOS CONTABLES SUPERVIELLE</vt:lpstr>
    </vt:vector>
  </TitlesOfParts>
  <Company>Banco Supervielle</Company>
  <LinksUpToDate>false</LinksUpToDate>
  <CharactersWithSpaces>502071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ESTADOS CONTABLES SUPERVIELLE</dc:title>
  <dc:creator>Banco Supervielle</dc:creator>
  <cp:lastModifiedBy>D Angelo Enzo</cp:lastModifiedBy>
  <cp:revision>5</cp:revision>
  <cp:lastPrinted>2018-11-16T17:21:00Z</cp:lastPrinted>
  <dcterms:created xsi:type="dcterms:W3CDTF">2018-11-15T20:42:00Z</dcterms:created>
  <dcterms:modified xsi:type="dcterms:W3CDTF">2018-11-16T18:16:00Z</dcterms:modified>
</cp:coreProperties>
</file>